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00FB5387" w:rsidRDefault="0097783F">
      <w:pPr>
        <w:jc w:val="center"/>
        <w:rPr>
          <w:b/>
          <w:bCs/>
          <w:color w:val="000000"/>
          <w:szCs w:val="24"/>
        </w:rPr>
      </w:pPr>
      <w:r w:rsidRPr="00FB63B3">
        <w:rPr>
          <w:szCs w:val="24"/>
          <w:lang w:val="en-CA"/>
        </w:rPr>
        <w:fldChar w:fldCharType="begin"/>
      </w:r>
      <w:r w:rsidRPr="00FB63B3">
        <w:rPr>
          <w:szCs w:val="24"/>
          <w:lang w:val="en-CA"/>
        </w:rPr>
        <w:instrText xml:space="preserve"> SEQ CHAPTER \h \r 1</w:instrText>
      </w:r>
      <w:r w:rsidRPr="00FB63B3">
        <w:rPr>
          <w:szCs w:val="24"/>
          <w:lang w:val="en-CA"/>
        </w:rPr>
        <w:fldChar w:fldCharType="end"/>
      </w:r>
      <w:r w:rsidRPr="00FB63B3">
        <w:rPr>
          <w:b/>
          <w:bCs/>
          <w:color w:val="000000"/>
          <w:szCs w:val="24"/>
        </w:rPr>
        <w:t xml:space="preserve">Supporting Statement </w:t>
      </w:r>
    </w:p>
    <w:p w:rsidRPr="00FB63B3" w:rsidR="00F7745D" w:rsidRDefault="00F7745D">
      <w:pPr>
        <w:jc w:val="center"/>
        <w:rPr>
          <w:b/>
          <w:bCs/>
          <w:color w:val="000000"/>
          <w:szCs w:val="24"/>
        </w:rPr>
      </w:pPr>
    </w:p>
    <w:p w:rsidR="0046361E" w:rsidRDefault="00ED2D21">
      <w:pPr>
        <w:jc w:val="center"/>
        <w:rPr>
          <w:b/>
          <w:bCs/>
          <w:color w:val="000000"/>
          <w:szCs w:val="24"/>
        </w:rPr>
      </w:pPr>
      <w:r>
        <w:rPr>
          <w:b/>
          <w:bCs/>
          <w:color w:val="000000"/>
          <w:szCs w:val="24"/>
        </w:rPr>
        <w:t>Supervisory Guidance:  Supervisory Review Process</w:t>
      </w:r>
    </w:p>
    <w:p w:rsidR="00ED2D21" w:rsidRDefault="00ED2D21">
      <w:pPr>
        <w:jc w:val="center"/>
        <w:rPr>
          <w:b/>
          <w:bCs/>
          <w:color w:val="000000"/>
          <w:szCs w:val="24"/>
        </w:rPr>
      </w:pPr>
      <w:r>
        <w:rPr>
          <w:b/>
          <w:bCs/>
          <w:color w:val="000000"/>
          <w:szCs w:val="24"/>
        </w:rPr>
        <w:t>of Capital Adequacy (Pillar 2) Related to</w:t>
      </w:r>
    </w:p>
    <w:p w:rsidR="00ED2D21" w:rsidRDefault="00C3597A">
      <w:pPr>
        <w:jc w:val="center"/>
        <w:rPr>
          <w:b/>
          <w:bCs/>
          <w:color w:val="000000"/>
          <w:szCs w:val="24"/>
        </w:rPr>
      </w:pPr>
      <w:r>
        <w:rPr>
          <w:b/>
          <w:bCs/>
          <w:color w:val="000000"/>
          <w:szCs w:val="24"/>
        </w:rPr>
        <w:t>t</w:t>
      </w:r>
      <w:r w:rsidR="00ED2D21">
        <w:rPr>
          <w:b/>
          <w:bCs/>
          <w:color w:val="000000"/>
          <w:szCs w:val="24"/>
        </w:rPr>
        <w:t xml:space="preserve">he Implementation of the </w:t>
      </w:r>
      <w:smartTag w:uri="urn:schemas-microsoft-com:office:smarttags" w:element="place">
        <w:smartTag w:uri="urn:schemas-microsoft-com:office:smarttags" w:element="City">
          <w:r w:rsidR="00ED2D21">
            <w:rPr>
              <w:b/>
              <w:bCs/>
              <w:color w:val="000000"/>
              <w:szCs w:val="24"/>
            </w:rPr>
            <w:t>Basel</w:t>
          </w:r>
        </w:smartTag>
      </w:smartTag>
      <w:r w:rsidR="00ED2D21">
        <w:rPr>
          <w:b/>
          <w:bCs/>
          <w:color w:val="000000"/>
          <w:szCs w:val="24"/>
        </w:rPr>
        <w:t xml:space="preserve"> II Advanced Capital Framework</w:t>
      </w:r>
    </w:p>
    <w:p w:rsidRPr="00FB63B3" w:rsidR="00F7745D" w:rsidRDefault="00F7745D">
      <w:pPr>
        <w:jc w:val="center"/>
        <w:rPr>
          <w:b/>
          <w:bCs/>
          <w:color w:val="000000"/>
          <w:szCs w:val="24"/>
        </w:rPr>
      </w:pPr>
    </w:p>
    <w:p w:rsidRPr="002339AF" w:rsidR="0097783F" w:rsidRDefault="00962332">
      <w:pPr>
        <w:jc w:val="center"/>
        <w:rPr>
          <w:color w:val="000000"/>
          <w:szCs w:val="24"/>
        </w:rPr>
      </w:pPr>
      <w:r w:rsidRPr="002339AF">
        <w:rPr>
          <w:b/>
          <w:bCs/>
          <w:color w:val="000000"/>
          <w:szCs w:val="24"/>
        </w:rPr>
        <w:t>OMB Control No. 1557-</w:t>
      </w:r>
      <w:r w:rsidRPr="002339AF" w:rsidR="008D72EC">
        <w:rPr>
          <w:b/>
          <w:bCs/>
          <w:color w:val="000000"/>
          <w:szCs w:val="24"/>
        </w:rPr>
        <w:t>0242</w:t>
      </w:r>
    </w:p>
    <w:p w:rsidRPr="002339AF" w:rsidR="0097783F" w:rsidRDefault="0097783F">
      <w:pPr>
        <w:jc w:val="both"/>
        <w:rPr>
          <w:color w:val="000000"/>
          <w:szCs w:val="24"/>
        </w:rPr>
      </w:pPr>
    </w:p>
    <w:p w:rsidRPr="002339AF" w:rsidR="00011053" w:rsidP="00294902" w:rsidRDefault="00011053">
      <w:pPr>
        <w:rPr>
          <w:szCs w:val="24"/>
        </w:rPr>
      </w:pPr>
    </w:p>
    <w:p w:rsidRPr="002339AF" w:rsidR="00294902" w:rsidP="00294902" w:rsidRDefault="00294902">
      <w:pPr>
        <w:rPr>
          <w:b/>
          <w:szCs w:val="24"/>
        </w:rPr>
      </w:pPr>
      <w:r w:rsidRPr="002339AF">
        <w:rPr>
          <w:b/>
          <w:szCs w:val="24"/>
        </w:rPr>
        <w:t>A.</w:t>
      </w:r>
      <w:r w:rsidRPr="002339AF">
        <w:rPr>
          <w:b/>
          <w:szCs w:val="24"/>
        </w:rPr>
        <w:tab/>
      </w:r>
      <w:r w:rsidRPr="002339AF" w:rsidR="00BB116F">
        <w:rPr>
          <w:b/>
          <w:szCs w:val="24"/>
        </w:rPr>
        <w:t>Justification.</w:t>
      </w:r>
    </w:p>
    <w:p w:rsidRPr="002339AF" w:rsidR="00294902" w:rsidP="00294902" w:rsidRDefault="00294902">
      <w:pPr>
        <w:rPr>
          <w:szCs w:val="24"/>
        </w:rPr>
      </w:pPr>
    </w:p>
    <w:p w:rsidRPr="002339AF" w:rsidR="00294902" w:rsidP="002579F4" w:rsidRDefault="00294902">
      <w:pPr>
        <w:numPr>
          <w:ilvl w:val="0"/>
          <w:numId w:val="7"/>
        </w:numPr>
        <w:ind w:left="270" w:hanging="270"/>
        <w:rPr>
          <w:b/>
          <w:i/>
          <w:szCs w:val="24"/>
        </w:rPr>
      </w:pPr>
      <w:r w:rsidRPr="002339AF">
        <w:rPr>
          <w:b/>
          <w:i/>
          <w:szCs w:val="24"/>
        </w:rPr>
        <w:t>Circumstances that make the collection necessary:</w:t>
      </w:r>
    </w:p>
    <w:p w:rsidRPr="002339AF" w:rsidR="0097783F" w:rsidRDefault="0097783F">
      <w:pPr>
        <w:jc w:val="both"/>
        <w:rPr>
          <w:color w:val="000000"/>
          <w:szCs w:val="24"/>
        </w:rPr>
      </w:pPr>
    </w:p>
    <w:p w:rsidRPr="002339AF" w:rsidR="00566034" w:rsidP="00566034" w:rsidRDefault="00566034">
      <w:pPr>
        <w:ind w:firstLine="720"/>
        <w:rPr>
          <w:color w:val="000000"/>
          <w:szCs w:val="24"/>
        </w:rPr>
      </w:pPr>
      <w:r w:rsidRPr="002339AF">
        <w:rPr>
          <w:color w:val="000000"/>
          <w:szCs w:val="24"/>
        </w:rPr>
        <w:t xml:space="preserve">Section 1831(o) of the </w:t>
      </w:r>
      <w:r w:rsidRPr="002339AF" w:rsidR="00164734">
        <w:rPr>
          <w:color w:val="000000"/>
          <w:szCs w:val="24"/>
        </w:rPr>
        <w:t>F</w:t>
      </w:r>
      <w:r w:rsidRPr="002339AF" w:rsidR="00F7745D">
        <w:rPr>
          <w:color w:val="000000"/>
          <w:szCs w:val="24"/>
        </w:rPr>
        <w:t xml:space="preserve">ederal </w:t>
      </w:r>
      <w:r w:rsidRPr="002339AF" w:rsidR="00164734">
        <w:rPr>
          <w:color w:val="000000"/>
          <w:szCs w:val="24"/>
        </w:rPr>
        <w:t>D</w:t>
      </w:r>
      <w:r w:rsidRPr="002339AF" w:rsidR="00F7745D">
        <w:rPr>
          <w:color w:val="000000"/>
          <w:szCs w:val="24"/>
        </w:rPr>
        <w:t xml:space="preserve">eposit </w:t>
      </w:r>
      <w:r w:rsidRPr="002339AF" w:rsidR="00164734">
        <w:rPr>
          <w:color w:val="000000"/>
          <w:szCs w:val="24"/>
        </w:rPr>
        <w:t>I</w:t>
      </w:r>
      <w:r w:rsidRPr="002339AF" w:rsidR="00F7745D">
        <w:rPr>
          <w:color w:val="000000"/>
          <w:szCs w:val="24"/>
        </w:rPr>
        <w:t>nsurance</w:t>
      </w:r>
      <w:r w:rsidRPr="002339AF">
        <w:rPr>
          <w:color w:val="000000"/>
          <w:szCs w:val="24"/>
        </w:rPr>
        <w:t xml:space="preserve"> Act requires each </w:t>
      </w:r>
      <w:r w:rsidR="00AA6238">
        <w:rPr>
          <w:color w:val="000000"/>
          <w:szCs w:val="24"/>
        </w:rPr>
        <w:t>F</w:t>
      </w:r>
      <w:r w:rsidRPr="002339AF">
        <w:rPr>
          <w:color w:val="000000"/>
          <w:szCs w:val="24"/>
        </w:rPr>
        <w:t xml:space="preserve">ederal banking agency to adopt a prompt corrective action framework.  </w:t>
      </w:r>
    </w:p>
    <w:p w:rsidRPr="002339AF" w:rsidR="00375AA4" w:rsidP="00ED55D8" w:rsidRDefault="00375AA4">
      <w:pPr>
        <w:rPr>
          <w:szCs w:val="24"/>
        </w:rPr>
      </w:pPr>
    </w:p>
    <w:p w:rsidRPr="002339AF" w:rsidR="00F23ED4" w:rsidP="00B30906" w:rsidRDefault="00F23ED4">
      <w:pPr>
        <w:ind w:firstLine="720"/>
        <w:rPr>
          <w:szCs w:val="24"/>
        </w:rPr>
      </w:pPr>
      <w:r w:rsidRPr="002339AF">
        <w:rPr>
          <w:szCs w:val="24"/>
        </w:rPr>
        <w:t xml:space="preserve">Basel II set forth a three-pillar framework </w:t>
      </w:r>
      <w:r w:rsidRPr="002339AF" w:rsidR="007119AF">
        <w:rPr>
          <w:szCs w:val="24"/>
        </w:rPr>
        <w:t>based on</w:t>
      </w:r>
      <w:r w:rsidRPr="002339AF">
        <w:rPr>
          <w:szCs w:val="24"/>
        </w:rPr>
        <w:t xml:space="preserve"> regulatory risk-based capital requirements (Pillar 1); supervisory review of capital adequacy (Pillar 2); and market discipline through enhanced public disclosures (Pillar 3).  </w:t>
      </w:r>
      <w:r w:rsidRPr="002339AF" w:rsidR="00A343E4">
        <w:rPr>
          <w:szCs w:val="24"/>
        </w:rPr>
        <w:t xml:space="preserve">Basel II </w:t>
      </w:r>
      <w:r w:rsidRPr="002339AF" w:rsidR="002A6876">
        <w:rPr>
          <w:szCs w:val="24"/>
        </w:rPr>
        <w:t xml:space="preserve">also provided for </w:t>
      </w:r>
      <w:r w:rsidRPr="002339AF">
        <w:rPr>
          <w:szCs w:val="24"/>
        </w:rPr>
        <w:t>a process for the supervisory review of capital adequacy under Pillar 2</w:t>
      </w:r>
      <w:r w:rsidRPr="002339AF" w:rsidR="00A343E4">
        <w:rPr>
          <w:szCs w:val="24"/>
        </w:rPr>
        <w:t xml:space="preserve">.  The </w:t>
      </w:r>
      <w:r w:rsidRPr="002339AF" w:rsidR="00A26EF5">
        <w:rPr>
          <w:szCs w:val="24"/>
        </w:rPr>
        <w:t xml:space="preserve">OCC </w:t>
      </w:r>
      <w:r w:rsidRPr="002339AF" w:rsidR="00A343E4">
        <w:rPr>
          <w:szCs w:val="24"/>
        </w:rPr>
        <w:t>rule</w:t>
      </w:r>
      <w:r w:rsidRPr="002339AF">
        <w:rPr>
          <w:szCs w:val="24"/>
        </w:rPr>
        <w:t xml:space="preserve"> </w:t>
      </w:r>
      <w:r w:rsidRPr="002339AF" w:rsidR="00A26EF5">
        <w:rPr>
          <w:szCs w:val="24"/>
        </w:rPr>
        <w:t xml:space="preserve">implementing the </w:t>
      </w:r>
      <w:r w:rsidRPr="002339AF" w:rsidR="002A6876">
        <w:rPr>
          <w:szCs w:val="24"/>
        </w:rPr>
        <w:t>regulatory risk-based capital requirements</w:t>
      </w:r>
      <w:r w:rsidRPr="002339AF" w:rsidR="00B95C11">
        <w:rPr>
          <w:szCs w:val="24"/>
          <w:vertAlign w:val="superscript"/>
        </w:rPr>
        <w:footnoteReference w:id="1"/>
      </w:r>
      <w:r w:rsidRPr="002339AF" w:rsidR="00A26EF5">
        <w:rPr>
          <w:szCs w:val="24"/>
        </w:rPr>
        <w:t xml:space="preserve"> into the OCC’s Capital Rule</w:t>
      </w:r>
      <w:r w:rsidRPr="002339AF" w:rsidR="00B95C11">
        <w:rPr>
          <w:rStyle w:val="FootnoteReference"/>
          <w:szCs w:val="24"/>
        </w:rPr>
        <w:footnoteReference w:id="2"/>
      </w:r>
      <w:r w:rsidRPr="002339AF" w:rsidR="00A26EF5">
        <w:rPr>
          <w:szCs w:val="24"/>
        </w:rPr>
        <w:t xml:space="preserve"> </w:t>
      </w:r>
      <w:r w:rsidRPr="002339AF">
        <w:rPr>
          <w:szCs w:val="24"/>
        </w:rPr>
        <w:t xml:space="preserve">describes the qualification process and provides qualification requirements for obtaining supervisory approval </w:t>
      </w:r>
      <w:r w:rsidRPr="002339AF" w:rsidR="00144B79">
        <w:rPr>
          <w:szCs w:val="24"/>
        </w:rPr>
        <w:t xml:space="preserve">to </w:t>
      </w:r>
      <w:r w:rsidRPr="002339AF">
        <w:rPr>
          <w:szCs w:val="24"/>
        </w:rPr>
        <w:t xml:space="preserve">use the </w:t>
      </w:r>
      <w:r w:rsidRPr="002339AF" w:rsidR="00D42E43">
        <w:rPr>
          <w:szCs w:val="24"/>
        </w:rPr>
        <w:t xml:space="preserve">internal models in the </w:t>
      </w:r>
      <w:r w:rsidRPr="002339AF">
        <w:rPr>
          <w:szCs w:val="24"/>
        </w:rPr>
        <w:t>advanced approaches</w:t>
      </w:r>
      <w:r w:rsidRPr="002339AF" w:rsidR="00D42E43">
        <w:rPr>
          <w:szCs w:val="24"/>
        </w:rPr>
        <w:t xml:space="preserve"> risk-based capital requirements</w:t>
      </w:r>
      <w:r w:rsidRPr="002339AF">
        <w:rPr>
          <w:szCs w:val="24"/>
        </w:rPr>
        <w:t>.  The qualification requirements are written broadly to accommodate the many ways a</w:t>
      </w:r>
      <w:r w:rsidRPr="002339AF" w:rsidR="00D0148D">
        <w:rPr>
          <w:szCs w:val="24"/>
        </w:rPr>
        <w:t>n</w:t>
      </w:r>
      <w:r w:rsidRPr="002339AF">
        <w:rPr>
          <w:szCs w:val="24"/>
        </w:rPr>
        <w:t xml:space="preserve"> </w:t>
      </w:r>
      <w:r w:rsidRPr="002339AF" w:rsidR="00D0148D">
        <w:rPr>
          <w:szCs w:val="24"/>
        </w:rPr>
        <w:t>institution</w:t>
      </w:r>
      <w:r w:rsidRPr="002339AF">
        <w:rPr>
          <w:szCs w:val="24"/>
        </w:rPr>
        <w:t xml:space="preserve"> may design and implement robust credit and operational risk measurement and management systems and to permit industry practice to evolve.</w:t>
      </w:r>
    </w:p>
    <w:p w:rsidRPr="002339AF" w:rsidR="00B30906" w:rsidP="00B30906" w:rsidRDefault="00B30906">
      <w:pPr>
        <w:ind w:firstLine="720"/>
        <w:rPr>
          <w:szCs w:val="24"/>
        </w:rPr>
      </w:pPr>
    </w:p>
    <w:p w:rsidR="00F23ED4" w:rsidP="00447D9E" w:rsidRDefault="00F23ED4">
      <w:pPr>
        <w:tabs>
          <w:tab w:val="left" w:pos="720"/>
        </w:tabs>
        <w:ind w:firstLine="720"/>
        <w:rPr>
          <w:szCs w:val="24"/>
        </w:rPr>
      </w:pPr>
      <w:r w:rsidRPr="002339AF">
        <w:rPr>
          <w:szCs w:val="24"/>
        </w:rPr>
        <w:t xml:space="preserve">The </w:t>
      </w:r>
      <w:r w:rsidRPr="002339AF" w:rsidR="00A343E4">
        <w:rPr>
          <w:szCs w:val="24"/>
        </w:rPr>
        <w:t>s</w:t>
      </w:r>
      <w:r w:rsidRPr="002339AF">
        <w:rPr>
          <w:szCs w:val="24"/>
        </w:rPr>
        <w:t>upervisory guidance</w:t>
      </w:r>
      <w:r w:rsidRPr="002339AF" w:rsidR="00204F79">
        <w:rPr>
          <w:szCs w:val="24"/>
        </w:rPr>
        <w:t xml:space="preserve"> that contains the information collection</w:t>
      </w:r>
      <w:r w:rsidRPr="002339AF" w:rsidR="00447D9E">
        <w:rPr>
          <w:szCs w:val="24"/>
        </w:rPr>
        <w:t>, “Supervisory Review Process of Capital Adequacy (Pillar 2) Related to the Implementation of the Basel II Advanced Capital Framework”</w:t>
      </w:r>
      <w:r w:rsidRPr="002339AF" w:rsidR="00204F79">
        <w:rPr>
          <w:szCs w:val="24"/>
        </w:rPr>
        <w:t xml:space="preserve"> (Guidance)</w:t>
      </w:r>
      <w:r w:rsidRPr="002339AF" w:rsidR="00447D9E">
        <w:rPr>
          <w:szCs w:val="24"/>
        </w:rPr>
        <w:t>,</w:t>
      </w:r>
      <w:r w:rsidRPr="002339AF" w:rsidR="003B5464">
        <w:rPr>
          <w:rStyle w:val="FootnoteReference"/>
          <w:szCs w:val="24"/>
        </w:rPr>
        <w:footnoteReference w:id="3"/>
      </w:r>
      <w:r w:rsidRPr="002339AF" w:rsidR="00204F79">
        <w:rPr>
          <w:szCs w:val="24"/>
        </w:rPr>
        <w:t xml:space="preserve"> was issued subsequent to the implementing rule and</w:t>
      </w:r>
      <w:r w:rsidRPr="002339AF">
        <w:rPr>
          <w:szCs w:val="24"/>
        </w:rPr>
        <w:t xml:space="preserve"> provide</w:t>
      </w:r>
      <w:r w:rsidRPr="002339AF" w:rsidR="001D4A8C">
        <w:rPr>
          <w:szCs w:val="24"/>
        </w:rPr>
        <w:t>s</w:t>
      </w:r>
      <w:r w:rsidRPr="002339AF">
        <w:rPr>
          <w:szCs w:val="24"/>
        </w:rPr>
        <w:t xml:space="preserve"> additional detail that </w:t>
      </w:r>
      <w:r w:rsidRPr="002339AF" w:rsidR="00FA5EE7">
        <w:rPr>
          <w:szCs w:val="24"/>
        </w:rPr>
        <w:t xml:space="preserve">is intended to </w:t>
      </w:r>
      <w:r w:rsidRPr="002339AF">
        <w:rPr>
          <w:szCs w:val="24"/>
        </w:rPr>
        <w:t xml:space="preserve">help </w:t>
      </w:r>
      <w:r w:rsidRPr="002339AF" w:rsidR="00D0148D">
        <w:rPr>
          <w:szCs w:val="24"/>
        </w:rPr>
        <w:t>institution</w:t>
      </w:r>
      <w:r w:rsidRPr="002339AF">
        <w:rPr>
          <w:szCs w:val="24"/>
        </w:rPr>
        <w:t xml:space="preserve">s </w:t>
      </w:r>
      <w:r w:rsidRPr="002339AF" w:rsidR="00FA5EE7">
        <w:rPr>
          <w:szCs w:val="24"/>
        </w:rPr>
        <w:t>comply</w:t>
      </w:r>
      <w:r w:rsidRPr="002339AF" w:rsidR="00447D9E">
        <w:rPr>
          <w:szCs w:val="24"/>
        </w:rPr>
        <w:t xml:space="preserve"> </w:t>
      </w:r>
      <w:r w:rsidRPr="002339AF" w:rsidR="00204F79">
        <w:rPr>
          <w:szCs w:val="24"/>
        </w:rPr>
        <w:t xml:space="preserve">with </w:t>
      </w:r>
      <w:r w:rsidRPr="002339AF">
        <w:rPr>
          <w:szCs w:val="24"/>
        </w:rPr>
        <w:t xml:space="preserve">the qualification requirements in the </w:t>
      </w:r>
      <w:r w:rsidRPr="002339AF" w:rsidR="001D4A8C">
        <w:rPr>
          <w:szCs w:val="24"/>
        </w:rPr>
        <w:t>rule</w:t>
      </w:r>
      <w:r w:rsidRPr="002339AF">
        <w:rPr>
          <w:szCs w:val="24"/>
        </w:rPr>
        <w:t>.</w:t>
      </w:r>
      <w:r w:rsidRPr="002339AF" w:rsidR="0071546E">
        <w:rPr>
          <w:rStyle w:val="FootnoteReference"/>
          <w:szCs w:val="24"/>
        </w:rPr>
        <w:footnoteReference w:id="4"/>
      </w:r>
      <w:r w:rsidRPr="002339AF">
        <w:rPr>
          <w:szCs w:val="24"/>
        </w:rPr>
        <w:t xml:space="preserve">  The</w:t>
      </w:r>
      <w:r w:rsidRPr="00FB63B3">
        <w:rPr>
          <w:szCs w:val="24"/>
        </w:rPr>
        <w:t xml:space="preserve"> </w:t>
      </w:r>
      <w:r w:rsidR="00D909E0">
        <w:rPr>
          <w:szCs w:val="24"/>
        </w:rPr>
        <w:t>OCC</w:t>
      </w:r>
      <w:r w:rsidRPr="00FB63B3">
        <w:rPr>
          <w:szCs w:val="24"/>
        </w:rPr>
        <w:t xml:space="preserve"> believe</w:t>
      </w:r>
      <w:r w:rsidR="00D909E0">
        <w:rPr>
          <w:szCs w:val="24"/>
        </w:rPr>
        <w:t>s</w:t>
      </w:r>
      <w:r w:rsidRPr="00FB63B3">
        <w:rPr>
          <w:szCs w:val="24"/>
        </w:rPr>
        <w:t xml:space="preserve"> that the </w:t>
      </w:r>
      <w:r w:rsidR="002C0BC3">
        <w:rPr>
          <w:szCs w:val="24"/>
        </w:rPr>
        <w:t>G</w:t>
      </w:r>
      <w:r w:rsidRPr="00FB63B3">
        <w:rPr>
          <w:szCs w:val="24"/>
        </w:rPr>
        <w:t xml:space="preserve">uidance </w:t>
      </w:r>
      <w:r w:rsidR="00862634">
        <w:rPr>
          <w:szCs w:val="24"/>
        </w:rPr>
        <w:t>provide</w:t>
      </w:r>
      <w:r w:rsidR="002C0BC3">
        <w:rPr>
          <w:szCs w:val="24"/>
        </w:rPr>
        <w:t>s</w:t>
      </w:r>
      <w:r w:rsidR="00862634">
        <w:rPr>
          <w:szCs w:val="24"/>
        </w:rPr>
        <w:t xml:space="preserve"> useful information</w:t>
      </w:r>
      <w:r w:rsidRPr="00FB63B3" w:rsidR="00862634">
        <w:rPr>
          <w:szCs w:val="24"/>
        </w:rPr>
        <w:t xml:space="preserve"> </w:t>
      </w:r>
      <w:r w:rsidRPr="00FB63B3">
        <w:rPr>
          <w:szCs w:val="24"/>
        </w:rPr>
        <w:t xml:space="preserve">to </w:t>
      </w:r>
      <w:r w:rsidR="00862634">
        <w:rPr>
          <w:szCs w:val="24"/>
        </w:rPr>
        <w:t xml:space="preserve">banks, which can be used to </w:t>
      </w:r>
      <w:r w:rsidRPr="00FB63B3">
        <w:rPr>
          <w:szCs w:val="24"/>
        </w:rPr>
        <w:t xml:space="preserve">supplement the </w:t>
      </w:r>
      <w:r w:rsidR="002A6876">
        <w:rPr>
          <w:szCs w:val="24"/>
        </w:rPr>
        <w:t>risk-based capital</w:t>
      </w:r>
      <w:r w:rsidR="00204F79">
        <w:rPr>
          <w:szCs w:val="24"/>
        </w:rPr>
        <w:t xml:space="preserve"> </w:t>
      </w:r>
      <w:r w:rsidRPr="00FB63B3">
        <w:rPr>
          <w:szCs w:val="24"/>
        </w:rPr>
        <w:t>framework with standards t</w:t>
      </w:r>
      <w:r w:rsidR="000E609F">
        <w:rPr>
          <w:szCs w:val="24"/>
        </w:rPr>
        <w:t>hat</w:t>
      </w:r>
      <w:r w:rsidRPr="00FB63B3">
        <w:rPr>
          <w:szCs w:val="24"/>
        </w:rPr>
        <w:t xml:space="preserve"> promote safety and soundness and encourage comparability across </w:t>
      </w:r>
      <w:r w:rsidR="00D0148D">
        <w:rPr>
          <w:szCs w:val="24"/>
        </w:rPr>
        <w:t>institution</w:t>
      </w:r>
      <w:r w:rsidRPr="00FB63B3">
        <w:rPr>
          <w:szCs w:val="24"/>
        </w:rPr>
        <w:t xml:space="preserve">s.  </w:t>
      </w:r>
      <w:r w:rsidR="000C725B">
        <w:rPr>
          <w:szCs w:val="24"/>
        </w:rPr>
        <w:t xml:space="preserve">The OCC uses the information provided in response to the information collection in determining whether </w:t>
      </w:r>
      <w:r w:rsidRPr="000C725B" w:rsidR="000C725B">
        <w:rPr>
          <w:szCs w:val="24"/>
        </w:rPr>
        <w:t>each institution (i) has</w:t>
      </w:r>
      <w:r w:rsidR="000C725B">
        <w:rPr>
          <w:szCs w:val="24"/>
        </w:rPr>
        <w:t xml:space="preserve"> </w:t>
      </w:r>
      <w:r w:rsidRPr="000C725B" w:rsidR="000C725B">
        <w:rPr>
          <w:szCs w:val="24"/>
        </w:rPr>
        <w:t>satisfied the qualification requirements</w:t>
      </w:r>
      <w:r w:rsidR="000C725B">
        <w:rPr>
          <w:szCs w:val="24"/>
        </w:rPr>
        <w:t xml:space="preserve"> </w:t>
      </w:r>
      <w:r w:rsidRPr="000C725B" w:rsidR="000C725B">
        <w:rPr>
          <w:szCs w:val="24"/>
        </w:rPr>
        <w:t>for implementing the advanced</w:t>
      </w:r>
      <w:r w:rsidR="000C725B">
        <w:rPr>
          <w:szCs w:val="24"/>
        </w:rPr>
        <w:t xml:space="preserve"> </w:t>
      </w:r>
      <w:r w:rsidRPr="000C725B" w:rsidR="000C725B">
        <w:rPr>
          <w:szCs w:val="24"/>
        </w:rPr>
        <w:t>approaches; (ii) has a rigorous process</w:t>
      </w:r>
      <w:r w:rsidR="000C725B">
        <w:rPr>
          <w:szCs w:val="24"/>
        </w:rPr>
        <w:t xml:space="preserve"> </w:t>
      </w:r>
      <w:r w:rsidRPr="000C725B" w:rsidR="000C725B">
        <w:rPr>
          <w:szCs w:val="24"/>
        </w:rPr>
        <w:t>for assessing its overall capital adequacy</w:t>
      </w:r>
      <w:r w:rsidR="000C725B">
        <w:rPr>
          <w:szCs w:val="24"/>
        </w:rPr>
        <w:t xml:space="preserve"> </w:t>
      </w:r>
      <w:r w:rsidRPr="000C725B" w:rsidR="000C725B">
        <w:rPr>
          <w:szCs w:val="24"/>
        </w:rPr>
        <w:t>in relation to its risk profile and a</w:t>
      </w:r>
      <w:r w:rsidR="000C725B">
        <w:rPr>
          <w:szCs w:val="24"/>
        </w:rPr>
        <w:t xml:space="preserve"> </w:t>
      </w:r>
      <w:r w:rsidRPr="000C725B" w:rsidR="000C725B">
        <w:rPr>
          <w:szCs w:val="24"/>
        </w:rPr>
        <w:t>comprehensive strategy for maintaining</w:t>
      </w:r>
      <w:r w:rsidR="000C725B">
        <w:rPr>
          <w:szCs w:val="24"/>
        </w:rPr>
        <w:t xml:space="preserve"> </w:t>
      </w:r>
      <w:r w:rsidRPr="000C725B" w:rsidR="000C725B">
        <w:rPr>
          <w:szCs w:val="24"/>
        </w:rPr>
        <w:t xml:space="preserve">appropriate capital levels; and (iii) </w:t>
      </w:r>
      <w:r w:rsidRPr="000C725B" w:rsidR="000C725B">
        <w:rPr>
          <w:szCs w:val="24"/>
        </w:rPr>
        <w:lastRenderedPageBreak/>
        <w:t>maintains a</w:t>
      </w:r>
      <w:r w:rsidR="000C725B">
        <w:rPr>
          <w:szCs w:val="24"/>
        </w:rPr>
        <w:t xml:space="preserve"> </w:t>
      </w:r>
      <w:r w:rsidRPr="000C725B" w:rsidR="000C725B">
        <w:rPr>
          <w:szCs w:val="24"/>
        </w:rPr>
        <w:t>satisfactory risk management and</w:t>
      </w:r>
      <w:r w:rsidR="000C725B">
        <w:rPr>
          <w:szCs w:val="24"/>
        </w:rPr>
        <w:t xml:space="preserve"> </w:t>
      </w:r>
      <w:r w:rsidRPr="000C725B" w:rsidR="000C725B">
        <w:rPr>
          <w:szCs w:val="24"/>
        </w:rPr>
        <w:t>control structure, consistent with its</w:t>
      </w:r>
      <w:r w:rsidR="000C725B">
        <w:rPr>
          <w:szCs w:val="24"/>
        </w:rPr>
        <w:t xml:space="preserve"> </w:t>
      </w:r>
      <w:r w:rsidRPr="000C725B" w:rsidR="000C725B">
        <w:rPr>
          <w:szCs w:val="24"/>
        </w:rPr>
        <w:t>capital position and overall risk pro</w:t>
      </w:r>
      <w:r w:rsidRPr="00FB63B3">
        <w:rPr>
          <w:szCs w:val="24"/>
        </w:rPr>
        <w:t xml:space="preserve"> </w:t>
      </w:r>
    </w:p>
    <w:p w:rsidRPr="00FB63B3" w:rsidR="00B30906" w:rsidP="00814CF7" w:rsidRDefault="00B30906">
      <w:pPr>
        <w:jc w:val="both"/>
        <w:rPr>
          <w:b/>
          <w:bCs/>
          <w:color w:val="000000"/>
          <w:szCs w:val="24"/>
        </w:rPr>
      </w:pPr>
    </w:p>
    <w:p w:rsidRPr="00462880" w:rsidR="00294902" w:rsidP="00294902" w:rsidRDefault="00294902">
      <w:pPr>
        <w:rPr>
          <w:b/>
          <w:i/>
          <w:szCs w:val="24"/>
        </w:rPr>
      </w:pPr>
      <w:r w:rsidRPr="00462880">
        <w:rPr>
          <w:b/>
          <w:i/>
          <w:szCs w:val="24"/>
        </w:rPr>
        <w:t>2. Use of the information:</w:t>
      </w:r>
    </w:p>
    <w:p w:rsidRPr="001D4A8C" w:rsidR="001D4A8C" w:rsidP="001D4A8C" w:rsidRDefault="001D4A8C">
      <w:pPr>
        <w:rPr>
          <w:szCs w:val="24"/>
        </w:rPr>
      </w:pPr>
    </w:p>
    <w:p w:rsidR="000C725B" w:rsidP="005F64DF" w:rsidRDefault="0012553E">
      <w:pPr>
        <w:ind w:firstLine="720"/>
      </w:pPr>
      <w:r w:rsidRPr="00FB63B3">
        <w:t xml:space="preserve">The </w:t>
      </w:r>
      <w:r w:rsidR="00204F79">
        <w:t>G</w:t>
      </w:r>
      <w:r w:rsidRPr="00FB63B3" w:rsidR="00B30906">
        <w:t>uidance</w:t>
      </w:r>
      <w:r w:rsidRPr="00FB63B3">
        <w:t xml:space="preserve"> </w:t>
      </w:r>
      <w:r w:rsidR="00862634">
        <w:t>recommends that</w:t>
      </w:r>
      <w:r w:rsidRPr="00FB63B3" w:rsidR="00862634">
        <w:t xml:space="preserve"> </w:t>
      </w:r>
      <w:r w:rsidRPr="00FB63B3">
        <w:t xml:space="preserve">respondents </w:t>
      </w:r>
      <w:r w:rsidRPr="00FB63B3" w:rsidR="00B30906">
        <w:t>maintain certain documentation</w:t>
      </w:r>
      <w:r w:rsidR="00862634">
        <w:t>,</w:t>
      </w:r>
      <w:r w:rsidRPr="00FB63B3" w:rsidR="00B30906">
        <w:t xml:space="preserve"> as</w:t>
      </w:r>
      <w:r w:rsidRPr="00FB63B3">
        <w:t xml:space="preserve"> described in </w:t>
      </w:r>
      <w:r w:rsidR="00C22D43">
        <w:t>paragraphs</w:t>
      </w:r>
      <w:r w:rsidRPr="00FB63B3" w:rsidR="00C22D43">
        <w:t xml:space="preserve"> </w:t>
      </w:r>
      <w:r w:rsidRPr="00FB63B3" w:rsidR="00B30906">
        <w:t>37,</w:t>
      </w:r>
      <w:r w:rsidRPr="00FB63B3">
        <w:t xml:space="preserve"> 4</w:t>
      </w:r>
      <w:r w:rsidRPr="00FB63B3" w:rsidR="006A0346">
        <w:t>1</w:t>
      </w:r>
      <w:r w:rsidR="007119AF">
        <w:t>, 43 and 46</w:t>
      </w:r>
      <w:r w:rsidRPr="00FB63B3">
        <w:t xml:space="preserve">.  </w:t>
      </w:r>
      <w:r w:rsidR="000C725B">
        <w:t>As described above, OCC examiners use the information provided as part of the Pillar 2 supervisory process.</w:t>
      </w:r>
      <w:r w:rsidR="00AA6238">
        <w:t xml:space="preserve">  T</w:t>
      </w:r>
      <w:r w:rsidRPr="00FB63B3" w:rsidR="00AA6238">
        <w:t xml:space="preserve">he </w:t>
      </w:r>
      <w:r w:rsidR="00AA6238">
        <w:t>specific recommendations</w:t>
      </w:r>
      <w:r w:rsidRPr="00FB63B3" w:rsidR="00AA6238">
        <w:t xml:space="preserve"> </w:t>
      </w:r>
      <w:r w:rsidR="00AA6238">
        <w:t>are</w:t>
      </w:r>
      <w:r w:rsidRPr="00FB63B3" w:rsidR="00AA6238">
        <w:t xml:space="preserve"> </w:t>
      </w:r>
      <w:r w:rsidR="00AA6238">
        <w:t>as follows:</w:t>
      </w:r>
    </w:p>
    <w:p w:rsidRPr="00FB63B3" w:rsidR="005D7A89" w:rsidP="005D7A89" w:rsidRDefault="005D7A89">
      <w:pPr>
        <w:pStyle w:val="BodyText"/>
        <w:rPr>
          <w:rFonts w:ascii="Times New Roman" w:hAnsi="Times New Roman"/>
        </w:rPr>
      </w:pPr>
    </w:p>
    <w:p w:rsidRPr="00FB63B3" w:rsidR="006A0346" w:rsidP="006B3164" w:rsidRDefault="006A0346">
      <w:pPr>
        <w:pStyle w:val="A-FRNP2Body"/>
        <w:numPr>
          <w:ilvl w:val="0"/>
          <w:numId w:val="0"/>
        </w:numPr>
        <w:tabs>
          <w:tab w:val="left" w:pos="720"/>
        </w:tabs>
        <w:spacing w:line="240" w:lineRule="auto"/>
      </w:pPr>
      <w:r w:rsidRPr="00FB63B3">
        <w:rPr>
          <w:b/>
        </w:rPr>
        <w:tab/>
      </w:r>
      <w:r w:rsidR="00C22D43">
        <w:rPr>
          <w:u w:val="single"/>
        </w:rPr>
        <w:t>Paragraph</w:t>
      </w:r>
      <w:r w:rsidRPr="006D412F" w:rsidR="00C22D43">
        <w:rPr>
          <w:u w:val="single"/>
        </w:rPr>
        <w:t xml:space="preserve"> </w:t>
      </w:r>
      <w:r w:rsidRPr="006D412F" w:rsidR="00531F32">
        <w:rPr>
          <w:u w:val="single"/>
        </w:rPr>
        <w:t>37</w:t>
      </w:r>
      <w:r w:rsidRPr="009F66B6" w:rsidR="003935D5">
        <w:t xml:space="preserve">. </w:t>
      </w:r>
      <w:r w:rsidRPr="00FB63B3" w:rsidR="003935D5">
        <w:rPr>
          <w:b/>
        </w:rPr>
        <w:t xml:space="preserve"> </w:t>
      </w:r>
      <w:r w:rsidRPr="00FB63B3">
        <w:t xml:space="preserve">Various definitions of capital are used in </w:t>
      </w:r>
      <w:r w:rsidR="00CA0998">
        <w:t xml:space="preserve">the </w:t>
      </w:r>
      <w:r w:rsidRPr="00FB63B3">
        <w:t>banking</w:t>
      </w:r>
      <w:r w:rsidR="00CA0998">
        <w:t xml:space="preserve"> industry</w:t>
      </w:r>
      <w:r w:rsidRPr="00FB63B3">
        <w:t>.  A</w:t>
      </w:r>
      <w:r w:rsidR="00D0148D">
        <w:t>n</w:t>
      </w:r>
      <w:r w:rsidRPr="00FB63B3">
        <w:t xml:space="preserve"> </w:t>
      </w:r>
      <w:r w:rsidR="00D0148D">
        <w:t>institution</w:t>
      </w:r>
      <w:r w:rsidRPr="00FB63B3">
        <w:t xml:space="preserve"> should state clearly the definition of capital used in any aspect of its internal capital adequacy assessment process (ICAAP).  Since components of capital are not necessarily alike and have varying ability to absorb losses, a</w:t>
      </w:r>
      <w:r w:rsidR="00D0148D">
        <w:t>n</w:t>
      </w:r>
      <w:r w:rsidRPr="00FB63B3">
        <w:t xml:space="preserve"> </w:t>
      </w:r>
      <w:r w:rsidR="00D0148D">
        <w:t>institution</w:t>
      </w:r>
      <w:r w:rsidRPr="00FB63B3">
        <w:t xml:space="preserve"> should </w:t>
      </w:r>
      <w:r w:rsidR="00D83DC7">
        <w:t xml:space="preserve">be able to demonstrate the </w:t>
      </w:r>
      <w:r w:rsidRPr="00FB63B3">
        <w:t xml:space="preserve">relationship between its internal capital definition and its assessment of capital adequacy.  The </w:t>
      </w:r>
      <w:r w:rsidR="007839B0">
        <w:t>institution</w:t>
      </w:r>
      <w:r w:rsidRPr="00FB63B3">
        <w:t xml:space="preserve"> should document any changes in its internal definition of capital and the reason for those changes. </w:t>
      </w:r>
    </w:p>
    <w:p w:rsidRPr="00FB63B3" w:rsidR="006A0346" w:rsidP="006A0346" w:rsidRDefault="006A0346">
      <w:pPr>
        <w:pStyle w:val="A-FRNP2Body"/>
        <w:numPr>
          <w:ilvl w:val="0"/>
          <w:numId w:val="0"/>
        </w:numPr>
        <w:spacing w:line="240" w:lineRule="auto"/>
        <w:jc w:val="center"/>
        <w:rPr>
          <w:i/>
          <w:snapToGrid w:val="0"/>
        </w:rPr>
      </w:pPr>
    </w:p>
    <w:p w:rsidR="006D412F" w:rsidP="006D412F" w:rsidRDefault="006D412F">
      <w:pPr>
        <w:pStyle w:val="A-FRNP2Body"/>
        <w:numPr>
          <w:ilvl w:val="0"/>
          <w:numId w:val="0"/>
        </w:numPr>
        <w:spacing w:line="240" w:lineRule="auto"/>
      </w:pPr>
      <w:r>
        <w:rPr>
          <w:b/>
        </w:rPr>
        <w:t xml:space="preserve">          </w:t>
      </w:r>
      <w:r w:rsidR="00C22D43">
        <w:rPr>
          <w:u w:val="single"/>
        </w:rPr>
        <w:t>Paragraph</w:t>
      </w:r>
      <w:r w:rsidRPr="006D412F" w:rsidR="00531F32">
        <w:rPr>
          <w:u w:val="single"/>
        </w:rPr>
        <w:t xml:space="preserve"> 41</w:t>
      </w:r>
      <w:r w:rsidRPr="009F66B6" w:rsidR="003935D5">
        <w:t xml:space="preserve">. </w:t>
      </w:r>
      <w:r w:rsidRPr="00FB63B3" w:rsidR="003935D5">
        <w:t xml:space="preserve"> </w:t>
      </w:r>
      <w:r w:rsidR="007839B0">
        <w:t>Institution</w:t>
      </w:r>
      <w:r w:rsidRPr="00FB63B3" w:rsidR="006A0346">
        <w:t xml:space="preserve">s should have </w:t>
      </w:r>
      <w:r>
        <w:t>thorough</w:t>
      </w:r>
      <w:r w:rsidRPr="00FB63B3" w:rsidR="006A0346">
        <w:t xml:space="preserve"> documentation covering the ICAAP.  At a minimum, </w:t>
      </w:r>
      <w:r w:rsidR="003319E9">
        <w:t>this</w:t>
      </w:r>
      <w:r w:rsidRPr="00FB63B3" w:rsidR="006A0346">
        <w:t xml:space="preserve"> documentation should include a description of the overall process, including committees and individuals responsible for the ICAAP, the frequency </w:t>
      </w:r>
      <w:r w:rsidR="00AA6238">
        <w:t xml:space="preserve">and distribution </w:t>
      </w:r>
      <w:r w:rsidRPr="00FB63B3" w:rsidR="006A0346">
        <w:t xml:space="preserve">of ICAAP-related reporting, and procedures for the periodic evaluation of the appropriateness and adequacy of </w:t>
      </w:r>
      <w:r w:rsidR="003207A7">
        <w:t xml:space="preserve">the </w:t>
      </w:r>
      <w:r w:rsidRPr="00FB63B3" w:rsidR="006A0346">
        <w:t xml:space="preserve">ICAAP.  </w:t>
      </w:r>
      <w:r w:rsidR="003319E9">
        <w:t>If</w:t>
      </w:r>
      <w:r>
        <w:t xml:space="preserve"> applicable, ICAAP documentation should demonstrate the </w:t>
      </w:r>
      <w:r w:rsidR="00D0148D">
        <w:t>institution</w:t>
      </w:r>
      <w:r>
        <w:t xml:space="preserve">’s sound use </w:t>
      </w:r>
      <w:r w:rsidR="00843758">
        <w:t>of quantitative methods</w:t>
      </w:r>
      <w:r w:rsidR="003207A7">
        <w:t xml:space="preserve"> (i</w:t>
      </w:r>
      <w:r>
        <w:t xml:space="preserve">ncluding </w:t>
      </w:r>
      <w:r w:rsidR="00843758">
        <w:t>model selection and limitations</w:t>
      </w:r>
      <w:r w:rsidR="003207A7">
        <w:t>)</w:t>
      </w:r>
      <w:r>
        <w:t xml:space="preserve"> and data–selection techniques</w:t>
      </w:r>
      <w:r w:rsidR="003207A7">
        <w:t xml:space="preserve">, </w:t>
      </w:r>
      <w:r>
        <w:t>as well as appropriate maintenance, controls, and validation.  A</w:t>
      </w:r>
      <w:r w:rsidR="00D0148D">
        <w:t>n</w:t>
      </w:r>
      <w:r>
        <w:t xml:space="preserve"> </w:t>
      </w:r>
      <w:r w:rsidR="00D0148D">
        <w:t>institution</w:t>
      </w:r>
      <w:r>
        <w:t xml:space="preserve"> should document and explain the role of third-party and vendor products, services and information</w:t>
      </w:r>
      <w:r w:rsidR="00025506">
        <w:t>—</w:t>
      </w:r>
      <w:r>
        <w:t>including methodologies, model inputs, systems, data, and ratings</w:t>
      </w:r>
      <w:r w:rsidR="00025506">
        <w:t>—</w:t>
      </w:r>
      <w:r>
        <w:t>and the extent to which they are used within the ICAAP.  A</w:t>
      </w:r>
      <w:r w:rsidR="00D0148D">
        <w:t>n</w:t>
      </w:r>
      <w:r>
        <w:t xml:space="preserve"> </w:t>
      </w:r>
      <w:r w:rsidR="00D0148D">
        <w:t>institution</w:t>
      </w:r>
      <w:r>
        <w:t xml:space="preserve"> should have a process to regularly evaluate the performance of third-party and vendor products, services</w:t>
      </w:r>
      <w:r w:rsidR="003207A7">
        <w:t>,</w:t>
      </w:r>
      <w:r>
        <w:t xml:space="preserve"> and information.  </w:t>
      </w:r>
      <w:r w:rsidR="003319E9">
        <w:t>A</w:t>
      </w:r>
      <w:r w:rsidR="00D0148D">
        <w:t>n</w:t>
      </w:r>
      <w:r>
        <w:t xml:space="preserve"> </w:t>
      </w:r>
      <w:r w:rsidR="00D0148D">
        <w:t>institution</w:t>
      </w:r>
      <w:r>
        <w:t xml:space="preserve"> should document the assumptions, methods, data, information, and judgment used in its quantitative and qualitative approaches.</w:t>
      </w:r>
    </w:p>
    <w:p w:rsidRPr="00FB63B3" w:rsidR="005D7A89" w:rsidP="006D412F" w:rsidRDefault="005D7A89">
      <w:pPr>
        <w:pStyle w:val="A-FRNP2Body"/>
        <w:numPr>
          <w:ilvl w:val="0"/>
          <w:numId w:val="0"/>
        </w:numPr>
        <w:tabs>
          <w:tab w:val="left" w:pos="720"/>
        </w:tabs>
        <w:spacing w:line="240" w:lineRule="auto"/>
      </w:pPr>
    </w:p>
    <w:p w:rsidR="006D412F" w:rsidP="006D412F" w:rsidRDefault="006D412F">
      <w:pPr>
        <w:pStyle w:val="A-FRNP2Body"/>
        <w:numPr>
          <w:ilvl w:val="0"/>
          <w:numId w:val="0"/>
        </w:numPr>
        <w:spacing w:line="240" w:lineRule="auto"/>
      </w:pPr>
      <w:r>
        <w:rPr>
          <w:b/>
          <w:snapToGrid w:val="0"/>
        </w:rPr>
        <w:t xml:space="preserve">          </w:t>
      </w:r>
      <w:r w:rsidR="00C22D43">
        <w:rPr>
          <w:u w:val="single"/>
        </w:rPr>
        <w:t>Paragraph</w:t>
      </w:r>
      <w:r w:rsidRPr="006D412F" w:rsidR="00AB6031">
        <w:rPr>
          <w:u w:val="single"/>
        </w:rPr>
        <w:t xml:space="preserve"> 43</w:t>
      </w:r>
      <w:r w:rsidRPr="009F66B6" w:rsidR="006A0346">
        <w:t>.</w:t>
      </w:r>
      <w:r w:rsidRPr="00FB63B3" w:rsidR="006A0346">
        <w:t xml:space="preserve">  </w:t>
      </w:r>
      <w:r>
        <w:t>The board of directors and senior management have certain responsibilities in developing, implementing, and overseeing the ICAAP.  The board should approve the ICAAP and its components</w:t>
      </w:r>
      <w:r w:rsidR="002A488E">
        <w:t>,</w:t>
      </w:r>
      <w:r>
        <w:t xml:space="preserve"> review the ICAAP and its components on a regular basis, </w:t>
      </w:r>
      <w:r w:rsidR="002A488E">
        <w:t>and approve any revisions.  This</w:t>
      </w:r>
      <w:r>
        <w:t xml:space="preserve"> review should encompass the effectiveness of the ICAAP, the appropriateness of risk tolerance levels and capital planning</w:t>
      </w:r>
      <w:r w:rsidR="00025506">
        <w:t>,</w:t>
      </w:r>
      <w:r>
        <w:t xml:space="preserve"> a</w:t>
      </w:r>
      <w:r w:rsidR="000C6833">
        <w:t>s well as</w:t>
      </w:r>
      <w:r>
        <w:t xml:space="preserve"> the strength of control infrastructures.  Seni</w:t>
      </w:r>
      <w:r w:rsidR="00F77E17">
        <w:t>or management should contin</w:t>
      </w:r>
      <w:r w:rsidR="003207A7">
        <w:t>ually</w:t>
      </w:r>
      <w:r>
        <w:t xml:space="preserve"> ensure that the ICAAP is functioning effectively and as intended, under a formal review policy that is explicit and well documented.  </w:t>
      </w:r>
      <w:r w:rsidR="001045B2">
        <w:t>A</w:t>
      </w:r>
      <w:r w:rsidR="00D0148D">
        <w:t>n</w:t>
      </w:r>
      <w:r>
        <w:t xml:space="preserve"> </w:t>
      </w:r>
      <w:r w:rsidR="00D0148D">
        <w:t>institution</w:t>
      </w:r>
      <w:r>
        <w:t xml:space="preserve">’s internal audit function should play a key role in reviewing the controls and governance surrounding the ICAAP on an ongoing basis.  </w:t>
      </w:r>
    </w:p>
    <w:p w:rsidRPr="00FB63B3" w:rsidR="006A0346" w:rsidP="006D412F" w:rsidRDefault="006A0346">
      <w:pPr>
        <w:pStyle w:val="A-FRNP2Body"/>
        <w:numPr>
          <w:ilvl w:val="0"/>
          <w:numId w:val="0"/>
        </w:numPr>
        <w:tabs>
          <w:tab w:val="left" w:pos="720"/>
        </w:tabs>
        <w:spacing w:line="240" w:lineRule="auto"/>
      </w:pPr>
    </w:p>
    <w:p w:rsidR="006D412F" w:rsidP="006D412F" w:rsidRDefault="006D412F">
      <w:pPr>
        <w:pStyle w:val="A-FRNP2Body"/>
        <w:numPr>
          <w:ilvl w:val="0"/>
          <w:numId w:val="0"/>
        </w:numPr>
        <w:spacing w:line="240" w:lineRule="auto"/>
      </w:pPr>
      <w:r>
        <w:rPr>
          <w:snapToGrid w:val="0"/>
        </w:rPr>
        <w:t xml:space="preserve">          </w:t>
      </w:r>
      <w:r w:rsidR="00C22D43">
        <w:rPr>
          <w:u w:val="single"/>
        </w:rPr>
        <w:t>Paragraph</w:t>
      </w:r>
      <w:r w:rsidR="00DC00FA">
        <w:rPr>
          <w:u w:val="single"/>
        </w:rPr>
        <w:t xml:space="preserve"> </w:t>
      </w:r>
      <w:r w:rsidRPr="006D412F" w:rsidR="00531F32">
        <w:rPr>
          <w:u w:val="single"/>
        </w:rPr>
        <w:t>46</w:t>
      </w:r>
      <w:r w:rsidRPr="00FB63B3" w:rsidR="006A0346">
        <w:t xml:space="preserve">.  </w:t>
      </w:r>
      <w:r>
        <w:t xml:space="preserve">As part of the ICAAP, the board or its delegated agent, as well as appropriate senior management, should periodically review the resulting assessment of </w:t>
      </w:r>
      <w:r>
        <w:lastRenderedPageBreak/>
        <w:t>overall capital adequacy.  This review</w:t>
      </w:r>
      <w:r w:rsidR="003207A7">
        <w:t>, which should occur at least annually,</w:t>
      </w:r>
      <w:r>
        <w:t xml:space="preserve"> should include an analysis of how measures of internal capital adequacy compa</w:t>
      </w:r>
      <w:r w:rsidR="00843758">
        <w:t xml:space="preserve">re with other capital measures, </w:t>
      </w:r>
      <w:r>
        <w:t>such as regulatory, accoun</w:t>
      </w:r>
      <w:r w:rsidR="00843758">
        <w:t>ting-based</w:t>
      </w:r>
      <w:r w:rsidR="00182ECC">
        <w:t>,</w:t>
      </w:r>
      <w:r w:rsidR="00843758">
        <w:t xml:space="preserve"> or market-determined</w:t>
      </w:r>
      <w:r>
        <w:t xml:space="preserve">.  Upon completion of this review, the board or its delegated agent should determine that, consistent with safety and soundness, the </w:t>
      </w:r>
      <w:r w:rsidR="00D0148D">
        <w:t>institution</w:t>
      </w:r>
      <w:r>
        <w:t xml:space="preserve">’s capital </w:t>
      </w:r>
      <w:proofErr w:type="gramStart"/>
      <w:r>
        <w:t>takes into account</w:t>
      </w:r>
      <w:proofErr w:type="gramEnd"/>
      <w:r>
        <w:t xml:space="preserve"> all material risks and is appropriate for its risk profile.  </w:t>
      </w:r>
      <w:r w:rsidR="001F6FF3">
        <w:t>I</w:t>
      </w:r>
      <w:r>
        <w:t>n the event a capital deficiency is uncovered</w:t>
      </w:r>
      <w:r w:rsidR="003207A7">
        <w:t xml:space="preserve"> (that is, if capital is not consistent with the bank’s risk profile or risk tolerance)</w:t>
      </w:r>
      <w:r w:rsidR="001F6FF3">
        <w:t>, m</w:t>
      </w:r>
      <w:r>
        <w:t>anagement should consult and adhere to formal procedures to correct the capital deficiency.</w:t>
      </w:r>
    </w:p>
    <w:p w:rsidRPr="00FB63B3" w:rsidR="00294902" w:rsidP="006D412F" w:rsidRDefault="00294902">
      <w:pPr>
        <w:pStyle w:val="A-FRNP2Body"/>
        <w:numPr>
          <w:ilvl w:val="0"/>
          <w:numId w:val="0"/>
        </w:numPr>
        <w:tabs>
          <w:tab w:val="left" w:pos="720"/>
        </w:tabs>
        <w:spacing w:line="240" w:lineRule="auto"/>
      </w:pPr>
    </w:p>
    <w:p w:rsidRPr="00462880" w:rsidR="00294902" w:rsidP="00D866F0" w:rsidRDefault="00294902">
      <w:pPr>
        <w:numPr>
          <w:ilvl w:val="0"/>
          <w:numId w:val="8"/>
        </w:numPr>
        <w:ind w:left="360" w:hanging="270"/>
        <w:rPr>
          <w:b/>
          <w:i/>
          <w:szCs w:val="24"/>
        </w:rPr>
      </w:pPr>
      <w:r w:rsidRPr="00462880">
        <w:rPr>
          <w:b/>
          <w:i/>
          <w:szCs w:val="24"/>
        </w:rPr>
        <w:t>Consideration of the use of improved information technology:</w:t>
      </w:r>
    </w:p>
    <w:p w:rsidR="00064EC1" w:rsidP="00064EC1" w:rsidRDefault="00064EC1">
      <w:pPr>
        <w:rPr>
          <w:szCs w:val="24"/>
          <w:u w:val="single"/>
        </w:rPr>
      </w:pPr>
    </w:p>
    <w:p w:rsidRPr="00064EC1" w:rsidR="00064EC1" w:rsidP="00064EC1" w:rsidRDefault="00064EC1">
      <w:pPr>
        <w:ind w:firstLine="720"/>
        <w:rPr>
          <w:szCs w:val="24"/>
          <w:u w:val="single"/>
        </w:rPr>
      </w:pPr>
      <w:r>
        <w:rPr>
          <w:bCs/>
        </w:rPr>
        <w:t>A</w:t>
      </w:r>
      <w:r w:rsidR="00D0148D">
        <w:rPr>
          <w:bCs/>
        </w:rPr>
        <w:t>n institution</w:t>
      </w:r>
      <w:r w:rsidRPr="00064EC1">
        <w:rPr>
          <w:bCs/>
        </w:rPr>
        <w:t xml:space="preserve"> may use any means of improved information technology that meets the</w:t>
      </w:r>
      <w:r>
        <w:rPr>
          <w:bCs/>
        </w:rPr>
        <w:t>se</w:t>
      </w:r>
      <w:r w:rsidRPr="00064EC1">
        <w:rPr>
          <w:bCs/>
        </w:rPr>
        <w:t xml:space="preserve"> requirements.</w:t>
      </w:r>
    </w:p>
    <w:p w:rsidRPr="00FB63B3" w:rsidR="00011053" w:rsidP="00294902" w:rsidRDefault="00011053">
      <w:pPr>
        <w:keepNext/>
        <w:keepLines/>
        <w:rPr>
          <w:szCs w:val="24"/>
        </w:rPr>
      </w:pPr>
    </w:p>
    <w:p w:rsidRPr="00462880" w:rsidR="00294902" w:rsidP="00B36FDA" w:rsidRDefault="00294902">
      <w:pPr>
        <w:keepNext/>
        <w:keepLines/>
        <w:numPr>
          <w:ilvl w:val="0"/>
          <w:numId w:val="8"/>
        </w:numPr>
        <w:ind w:left="360" w:hanging="270"/>
        <w:rPr>
          <w:b/>
          <w:i/>
          <w:szCs w:val="24"/>
        </w:rPr>
      </w:pPr>
      <w:r w:rsidRPr="00462880">
        <w:rPr>
          <w:b/>
          <w:i/>
          <w:szCs w:val="24"/>
        </w:rPr>
        <w:t>Efforts to identify duplication:</w:t>
      </w:r>
    </w:p>
    <w:p w:rsidR="003C55B8" w:rsidP="003C55B8" w:rsidRDefault="003C55B8">
      <w:pPr>
        <w:keepNext/>
        <w:keepLines/>
        <w:ind w:left="360"/>
        <w:rPr>
          <w:szCs w:val="24"/>
          <w:u w:val="single"/>
        </w:rPr>
      </w:pPr>
    </w:p>
    <w:p w:rsidR="00596511" w:rsidP="00D456E4" w:rsidRDefault="00D304E2">
      <w:pPr>
        <w:pStyle w:val="BodyText"/>
        <w:ind w:firstLine="720"/>
      </w:pPr>
      <w:r w:rsidRPr="003C55B8">
        <w:t>The information required is not otherwise available to the OCC.</w:t>
      </w:r>
    </w:p>
    <w:p w:rsidR="005B0F25" w:rsidP="005B0F25" w:rsidRDefault="005B0F25">
      <w:pPr>
        <w:pStyle w:val="BodyText"/>
        <w:widowControl w:val="0"/>
        <w:ind w:left="100" w:right="861"/>
        <w:rPr>
          <w:bCs/>
        </w:rPr>
      </w:pPr>
    </w:p>
    <w:p w:rsidR="005B0F25" w:rsidP="00CD23BA" w:rsidRDefault="005B0F25">
      <w:pPr>
        <w:pStyle w:val="BodyText"/>
        <w:widowControl w:val="0"/>
        <w:numPr>
          <w:ilvl w:val="0"/>
          <w:numId w:val="8"/>
        </w:numPr>
        <w:tabs>
          <w:tab w:val="num" w:pos="360"/>
        </w:tabs>
        <w:ind w:left="90" w:right="861" w:firstLine="0"/>
        <w:rPr>
          <w:rFonts w:ascii="Times New Roman" w:hAnsi="Times New Roman"/>
          <w:b/>
          <w:i/>
        </w:rPr>
      </w:pPr>
      <w:r>
        <w:rPr>
          <w:rFonts w:ascii="Times New Roman" w:hAnsi="Times New Roman"/>
          <w:b/>
          <w:i/>
          <w:spacing w:val="-2"/>
        </w:rPr>
        <w:t>If</w:t>
      </w:r>
      <w:r>
        <w:rPr>
          <w:rFonts w:ascii="Times New Roman" w:hAnsi="Times New Roman"/>
          <w:b/>
          <w:i/>
          <w:spacing w:val="-8"/>
        </w:rPr>
        <w:t xml:space="preserve"> </w:t>
      </w:r>
      <w:r>
        <w:rPr>
          <w:rFonts w:ascii="Times New Roman" w:hAnsi="Times New Roman"/>
          <w:b/>
          <w:i/>
        </w:rPr>
        <w:t>the</w:t>
      </w:r>
      <w:r>
        <w:rPr>
          <w:rFonts w:ascii="Times New Roman" w:hAnsi="Times New Roman"/>
          <w:b/>
          <w:i/>
          <w:spacing w:val="-7"/>
        </w:rPr>
        <w:t xml:space="preserve"> </w:t>
      </w:r>
      <w:r>
        <w:rPr>
          <w:rFonts w:ascii="Times New Roman" w:hAnsi="Times New Roman"/>
          <w:b/>
          <w:i/>
          <w:spacing w:val="-1"/>
        </w:rPr>
        <w:t>collection</w:t>
      </w:r>
      <w:r>
        <w:rPr>
          <w:rFonts w:ascii="Times New Roman" w:hAnsi="Times New Roman"/>
          <w:b/>
          <w:i/>
          <w:spacing w:val="-7"/>
        </w:rPr>
        <w:t xml:space="preserve"> </w:t>
      </w:r>
      <w:r>
        <w:rPr>
          <w:rFonts w:ascii="Times New Roman" w:hAnsi="Times New Roman"/>
          <w:b/>
          <w:i/>
        </w:rPr>
        <w:t>of</w:t>
      </w:r>
      <w:r>
        <w:rPr>
          <w:rFonts w:ascii="Times New Roman" w:hAnsi="Times New Roman"/>
          <w:b/>
          <w:i/>
          <w:spacing w:val="-8"/>
        </w:rPr>
        <w:t xml:space="preserve"> </w:t>
      </w:r>
      <w:r>
        <w:rPr>
          <w:rFonts w:ascii="Times New Roman" w:hAnsi="Times New Roman"/>
          <w:b/>
          <w:i/>
          <w:spacing w:val="-1"/>
        </w:rPr>
        <w:t>information</w:t>
      </w:r>
      <w:r>
        <w:rPr>
          <w:rFonts w:ascii="Times New Roman" w:hAnsi="Times New Roman"/>
          <w:b/>
          <w:i/>
          <w:spacing w:val="-7"/>
        </w:rPr>
        <w:t xml:space="preserve"> </w:t>
      </w:r>
      <w:r>
        <w:rPr>
          <w:rFonts w:ascii="Times New Roman" w:hAnsi="Times New Roman"/>
          <w:b/>
          <w:i/>
          <w:spacing w:val="-1"/>
        </w:rPr>
        <w:t>impacts</w:t>
      </w:r>
      <w:r>
        <w:rPr>
          <w:rFonts w:ascii="Times New Roman" w:hAnsi="Times New Roman"/>
          <w:b/>
          <w:i/>
          <w:spacing w:val="-6"/>
        </w:rPr>
        <w:t xml:space="preserve"> </w:t>
      </w:r>
      <w:r>
        <w:rPr>
          <w:rFonts w:ascii="Times New Roman" w:hAnsi="Times New Roman"/>
          <w:b/>
          <w:i/>
          <w:spacing w:val="-1"/>
        </w:rPr>
        <w:t>small</w:t>
      </w:r>
      <w:r>
        <w:rPr>
          <w:rFonts w:ascii="Times New Roman" w:hAnsi="Times New Roman"/>
          <w:b/>
          <w:i/>
          <w:spacing w:val="-7"/>
        </w:rPr>
        <w:t xml:space="preserve"> </w:t>
      </w:r>
      <w:r>
        <w:rPr>
          <w:rFonts w:ascii="Times New Roman" w:hAnsi="Times New Roman"/>
          <w:b/>
          <w:i/>
          <w:spacing w:val="-1"/>
        </w:rPr>
        <w:t>businesses</w:t>
      </w:r>
      <w:r>
        <w:rPr>
          <w:rFonts w:ascii="Times New Roman" w:hAnsi="Times New Roman"/>
          <w:b/>
          <w:i/>
          <w:spacing w:val="-6"/>
        </w:rPr>
        <w:t xml:space="preserve"> </w:t>
      </w:r>
      <w:r>
        <w:rPr>
          <w:rFonts w:ascii="Times New Roman" w:hAnsi="Times New Roman"/>
          <w:b/>
          <w:i/>
        </w:rPr>
        <w:t>or</w:t>
      </w:r>
      <w:r>
        <w:rPr>
          <w:rFonts w:ascii="Times New Roman" w:hAnsi="Times New Roman"/>
          <w:b/>
          <w:i/>
          <w:spacing w:val="-8"/>
        </w:rPr>
        <w:t xml:space="preserve"> </w:t>
      </w:r>
      <w:r>
        <w:rPr>
          <w:rFonts w:ascii="Times New Roman" w:hAnsi="Times New Roman"/>
          <w:b/>
          <w:i/>
          <w:spacing w:val="1"/>
        </w:rPr>
        <w:t>other</w:t>
      </w:r>
      <w:r>
        <w:rPr>
          <w:rFonts w:ascii="Times New Roman" w:hAnsi="Times New Roman"/>
          <w:b/>
          <w:i/>
          <w:spacing w:val="-7"/>
        </w:rPr>
        <w:t xml:space="preserve"> </w:t>
      </w:r>
      <w:r>
        <w:rPr>
          <w:rFonts w:ascii="Times New Roman" w:hAnsi="Times New Roman"/>
          <w:b/>
          <w:i/>
          <w:spacing w:val="-1"/>
        </w:rPr>
        <w:t>small</w:t>
      </w:r>
      <w:r>
        <w:rPr>
          <w:rFonts w:ascii="Times New Roman" w:hAnsi="Times New Roman"/>
          <w:b/>
          <w:i/>
          <w:spacing w:val="-6"/>
        </w:rPr>
        <w:t xml:space="preserve"> </w:t>
      </w:r>
      <w:r>
        <w:rPr>
          <w:rFonts w:ascii="Times New Roman" w:hAnsi="Times New Roman"/>
          <w:b/>
          <w:i/>
        </w:rPr>
        <w:t>entities, describe</w:t>
      </w:r>
      <w:r>
        <w:rPr>
          <w:rFonts w:ascii="Times New Roman" w:hAnsi="Times New Roman"/>
          <w:b/>
          <w:i/>
          <w:spacing w:val="-7"/>
        </w:rPr>
        <w:t xml:space="preserve"> </w:t>
      </w:r>
      <w:r>
        <w:rPr>
          <w:rFonts w:ascii="Times New Roman" w:hAnsi="Times New Roman"/>
          <w:b/>
          <w:i/>
          <w:spacing w:val="1"/>
        </w:rPr>
        <w:t>any</w:t>
      </w:r>
      <w:r>
        <w:rPr>
          <w:rFonts w:ascii="Times New Roman" w:hAnsi="Times New Roman"/>
          <w:b/>
          <w:i/>
          <w:spacing w:val="-11"/>
        </w:rPr>
        <w:t xml:space="preserve"> </w:t>
      </w:r>
      <w:r>
        <w:rPr>
          <w:rFonts w:ascii="Times New Roman" w:hAnsi="Times New Roman"/>
          <w:b/>
          <w:i/>
          <w:spacing w:val="-1"/>
        </w:rPr>
        <w:t>methods</w:t>
      </w:r>
      <w:r>
        <w:rPr>
          <w:rFonts w:ascii="Times New Roman" w:hAnsi="Times New Roman"/>
          <w:b/>
          <w:i/>
          <w:spacing w:val="-8"/>
        </w:rPr>
        <w:t xml:space="preserve"> </w:t>
      </w:r>
      <w:r>
        <w:rPr>
          <w:rFonts w:ascii="Times New Roman" w:hAnsi="Times New Roman"/>
          <w:b/>
          <w:i/>
          <w:spacing w:val="-1"/>
        </w:rPr>
        <w:t>used</w:t>
      </w:r>
      <w:r>
        <w:rPr>
          <w:rFonts w:ascii="Times New Roman" w:hAnsi="Times New Roman"/>
          <w:b/>
          <w:i/>
          <w:spacing w:val="-8"/>
        </w:rPr>
        <w:t xml:space="preserve"> </w:t>
      </w:r>
      <w:r>
        <w:rPr>
          <w:rFonts w:ascii="Times New Roman" w:hAnsi="Times New Roman"/>
          <w:b/>
          <w:i/>
        </w:rPr>
        <w:t>to</w:t>
      </w:r>
      <w:r>
        <w:rPr>
          <w:rFonts w:ascii="Times New Roman" w:hAnsi="Times New Roman"/>
          <w:b/>
          <w:i/>
          <w:spacing w:val="-8"/>
        </w:rPr>
        <w:t xml:space="preserve"> </w:t>
      </w:r>
      <w:r>
        <w:rPr>
          <w:rFonts w:ascii="Times New Roman" w:hAnsi="Times New Roman"/>
          <w:b/>
          <w:i/>
        </w:rPr>
        <w:t>minimize</w:t>
      </w:r>
      <w:r>
        <w:rPr>
          <w:rFonts w:ascii="Times New Roman" w:hAnsi="Times New Roman"/>
          <w:b/>
          <w:i/>
          <w:spacing w:val="-8"/>
        </w:rPr>
        <w:t xml:space="preserve"> </w:t>
      </w:r>
      <w:r>
        <w:rPr>
          <w:rFonts w:ascii="Times New Roman" w:hAnsi="Times New Roman"/>
          <w:b/>
          <w:i/>
          <w:spacing w:val="-1"/>
        </w:rPr>
        <w:t>burden.</w:t>
      </w:r>
    </w:p>
    <w:p w:rsidR="005B0F25" w:rsidP="005B0F25" w:rsidRDefault="005B0F25"/>
    <w:p w:rsidR="005B0F25" w:rsidP="005B0F25" w:rsidRDefault="005B0F25">
      <w:pPr>
        <w:ind w:firstLine="720"/>
        <w:rPr>
          <w:color w:val="000000"/>
        </w:rPr>
      </w:pPr>
      <w:r>
        <w:rPr>
          <w:color w:val="000000"/>
        </w:rPr>
        <w:t>There are no alternatives that would result in lowering the burden on small institutions, while still accomplishing the purpose of the rule.</w:t>
      </w:r>
    </w:p>
    <w:p w:rsidR="009502E0" w:rsidP="005B0F25" w:rsidRDefault="009502E0">
      <w:pPr>
        <w:ind w:firstLine="720"/>
        <w:rPr>
          <w:color w:val="000000"/>
        </w:rPr>
      </w:pPr>
    </w:p>
    <w:p w:rsidRPr="00462880" w:rsidR="00294902" w:rsidP="00ED033F" w:rsidRDefault="00294902">
      <w:pPr>
        <w:rPr>
          <w:b/>
          <w:i/>
          <w:szCs w:val="24"/>
        </w:rPr>
      </w:pPr>
      <w:r w:rsidRPr="00462880">
        <w:rPr>
          <w:b/>
          <w:i/>
          <w:szCs w:val="24"/>
        </w:rPr>
        <w:t>6. Consequences of less frequent collection:</w:t>
      </w:r>
    </w:p>
    <w:p w:rsidR="004466EA" w:rsidP="00011053" w:rsidRDefault="004466EA">
      <w:pPr>
        <w:ind w:firstLine="360"/>
        <w:rPr>
          <w:szCs w:val="24"/>
          <w:u w:val="single"/>
        </w:rPr>
      </w:pPr>
    </w:p>
    <w:p w:rsidR="00A975C9" w:rsidP="00417E5C" w:rsidRDefault="00A975C9">
      <w:pPr>
        <w:ind w:firstLine="720"/>
      </w:pPr>
      <w:r>
        <w:t>The OCC will not be able to adequately monitor capital levels and ensure safety and soundness.</w:t>
      </w:r>
    </w:p>
    <w:p w:rsidRPr="00FB63B3" w:rsidR="00011053" w:rsidP="00294902" w:rsidRDefault="00011053">
      <w:pPr>
        <w:rPr>
          <w:szCs w:val="24"/>
        </w:rPr>
      </w:pPr>
    </w:p>
    <w:p w:rsidRPr="00462880" w:rsidR="00294902" w:rsidP="00ED033F" w:rsidRDefault="00294902">
      <w:pPr>
        <w:numPr>
          <w:ilvl w:val="0"/>
          <w:numId w:val="5"/>
        </w:numPr>
        <w:tabs>
          <w:tab w:val="clear" w:pos="720"/>
          <w:tab w:val="num" w:pos="360"/>
        </w:tabs>
        <w:ind w:hanging="720"/>
        <w:rPr>
          <w:b/>
          <w:i/>
          <w:szCs w:val="24"/>
        </w:rPr>
      </w:pPr>
      <w:r w:rsidRPr="00462880">
        <w:rPr>
          <w:b/>
          <w:i/>
          <w:szCs w:val="24"/>
        </w:rPr>
        <w:t>Special circumstances necessitating collection inconsistent with 5 CFR part 1320:</w:t>
      </w:r>
    </w:p>
    <w:p w:rsidR="00417E5C" w:rsidP="00417E5C" w:rsidRDefault="00417E5C">
      <w:pPr>
        <w:ind w:left="360"/>
        <w:rPr>
          <w:szCs w:val="24"/>
          <w:u w:val="single"/>
        </w:rPr>
      </w:pPr>
    </w:p>
    <w:p w:rsidR="00081025" w:rsidP="00417E5C" w:rsidRDefault="00081025">
      <w:pPr>
        <w:ind w:firstLine="720"/>
      </w:pPr>
      <w:r>
        <w:t xml:space="preserve">This information collection is conducted in accordance with OMB guidelines in 5 CFR </w:t>
      </w:r>
      <w:r w:rsidR="00FC3106">
        <w:t xml:space="preserve">part </w:t>
      </w:r>
      <w:r>
        <w:t>1320.</w:t>
      </w:r>
    </w:p>
    <w:p w:rsidRPr="00FB63B3" w:rsidR="00921519" w:rsidP="00921519" w:rsidRDefault="00921519">
      <w:pPr>
        <w:jc w:val="both"/>
        <w:rPr>
          <w:color w:val="000000"/>
          <w:szCs w:val="24"/>
        </w:rPr>
      </w:pPr>
    </w:p>
    <w:p w:rsidRPr="00462880" w:rsidR="00294902" w:rsidP="00ED033F" w:rsidRDefault="00294902">
      <w:pPr>
        <w:rPr>
          <w:b/>
          <w:i/>
          <w:szCs w:val="24"/>
        </w:rPr>
      </w:pPr>
      <w:r w:rsidRPr="00462880">
        <w:rPr>
          <w:b/>
          <w:i/>
          <w:szCs w:val="24"/>
        </w:rPr>
        <w:t>8. Consultation with persons outside the agency:</w:t>
      </w:r>
    </w:p>
    <w:p w:rsidR="007063D0" w:rsidP="00EA3A22" w:rsidRDefault="007063D0">
      <w:pPr>
        <w:ind w:firstLine="360"/>
        <w:rPr>
          <w:szCs w:val="24"/>
          <w:u w:val="single"/>
        </w:rPr>
      </w:pPr>
    </w:p>
    <w:p w:rsidRPr="007063D0" w:rsidR="00921519" w:rsidP="007063D0" w:rsidRDefault="007063D0">
      <w:pPr>
        <w:ind w:firstLine="360"/>
        <w:rPr>
          <w:color w:val="000000"/>
          <w:szCs w:val="24"/>
        </w:rPr>
      </w:pPr>
      <w:r w:rsidRPr="007063D0">
        <w:rPr>
          <w:szCs w:val="24"/>
        </w:rPr>
        <w:t xml:space="preserve">     The OCC issued a notice for 60 days of comment on </w:t>
      </w:r>
      <w:r w:rsidR="004E1D5E">
        <w:rPr>
          <w:szCs w:val="24"/>
        </w:rPr>
        <w:t>May 14</w:t>
      </w:r>
      <w:r w:rsidR="00FC3106">
        <w:rPr>
          <w:szCs w:val="24"/>
        </w:rPr>
        <w:t>,</w:t>
      </w:r>
      <w:r w:rsidR="00CB6B1F">
        <w:rPr>
          <w:szCs w:val="24"/>
        </w:rPr>
        <w:t xml:space="preserve"> 2020,</w:t>
      </w:r>
      <w:r w:rsidR="00FC3106">
        <w:rPr>
          <w:szCs w:val="24"/>
        </w:rPr>
        <w:t xml:space="preserve"> 8</w:t>
      </w:r>
      <w:r w:rsidR="00CB6B1F">
        <w:rPr>
          <w:szCs w:val="24"/>
        </w:rPr>
        <w:t>5</w:t>
      </w:r>
      <w:r w:rsidRPr="007063D0">
        <w:rPr>
          <w:szCs w:val="24"/>
        </w:rPr>
        <w:t xml:space="preserve"> FR </w:t>
      </w:r>
      <w:r w:rsidR="004E1D5E">
        <w:rPr>
          <w:szCs w:val="24"/>
        </w:rPr>
        <w:t>29019</w:t>
      </w:r>
      <w:r w:rsidRPr="007063D0">
        <w:rPr>
          <w:szCs w:val="24"/>
        </w:rPr>
        <w:t xml:space="preserve">.  </w:t>
      </w:r>
      <w:r w:rsidR="004E1D5E">
        <w:rPr>
          <w:szCs w:val="24"/>
        </w:rPr>
        <w:t>No</w:t>
      </w:r>
      <w:r w:rsidRPr="007063D0">
        <w:rPr>
          <w:szCs w:val="24"/>
        </w:rPr>
        <w:t xml:space="preserve"> comments were received.</w:t>
      </w:r>
      <w:r w:rsidRPr="007063D0" w:rsidR="00294902">
        <w:rPr>
          <w:color w:val="000000"/>
          <w:szCs w:val="24"/>
        </w:rPr>
        <w:tab/>
      </w:r>
    </w:p>
    <w:p w:rsidR="005C108B" w:rsidP="00294902" w:rsidRDefault="005C108B">
      <w:pPr>
        <w:rPr>
          <w:szCs w:val="24"/>
        </w:rPr>
      </w:pPr>
    </w:p>
    <w:p w:rsidRPr="00462880" w:rsidR="00294902" w:rsidP="00EA3A22" w:rsidRDefault="00ED033F">
      <w:pPr>
        <w:rPr>
          <w:b/>
          <w:i/>
          <w:szCs w:val="24"/>
        </w:rPr>
      </w:pPr>
      <w:r>
        <w:rPr>
          <w:b/>
          <w:i/>
          <w:szCs w:val="24"/>
        </w:rPr>
        <w:t xml:space="preserve">  </w:t>
      </w:r>
      <w:r w:rsidRPr="00462880" w:rsidR="00294902">
        <w:rPr>
          <w:b/>
          <w:i/>
          <w:szCs w:val="24"/>
        </w:rPr>
        <w:t>9.  Payment or gift to respondents:</w:t>
      </w:r>
    </w:p>
    <w:p w:rsidR="00187B53" w:rsidP="00EA3A22" w:rsidRDefault="00187B53">
      <w:pPr>
        <w:rPr>
          <w:szCs w:val="24"/>
          <w:u w:val="single"/>
        </w:rPr>
      </w:pPr>
    </w:p>
    <w:p w:rsidRPr="00187B53" w:rsidR="00073FCD" w:rsidP="00187B53" w:rsidRDefault="00073FCD">
      <w:pPr>
        <w:ind w:firstLine="720"/>
        <w:rPr>
          <w:szCs w:val="24"/>
        </w:rPr>
      </w:pPr>
      <w:r w:rsidRPr="00187B53">
        <w:rPr>
          <w:szCs w:val="24"/>
        </w:rPr>
        <w:t>None.</w:t>
      </w:r>
    </w:p>
    <w:p w:rsidR="005C108B" w:rsidP="00294902" w:rsidRDefault="005C108B">
      <w:pPr>
        <w:rPr>
          <w:szCs w:val="24"/>
        </w:rPr>
      </w:pPr>
    </w:p>
    <w:p w:rsidRPr="00462880" w:rsidR="003935D5" w:rsidP="00EA3A22" w:rsidRDefault="00ED033F">
      <w:pPr>
        <w:rPr>
          <w:b/>
          <w:i/>
          <w:szCs w:val="24"/>
        </w:rPr>
      </w:pPr>
      <w:r>
        <w:rPr>
          <w:b/>
          <w:i/>
          <w:szCs w:val="24"/>
        </w:rPr>
        <w:t xml:space="preserve"> </w:t>
      </w:r>
      <w:r w:rsidRPr="00462880" w:rsidR="00294902">
        <w:rPr>
          <w:b/>
          <w:i/>
          <w:szCs w:val="24"/>
        </w:rPr>
        <w:t>10. Any assurance of confidentiality:</w:t>
      </w:r>
    </w:p>
    <w:p w:rsidRPr="00462880" w:rsidR="00D75702" w:rsidP="00EA3A22" w:rsidRDefault="00D75702">
      <w:pPr>
        <w:rPr>
          <w:b/>
          <w:i/>
          <w:szCs w:val="24"/>
        </w:rPr>
      </w:pPr>
    </w:p>
    <w:p w:rsidR="00A975C9" w:rsidP="00D75702" w:rsidRDefault="00A975C9">
      <w:pPr>
        <w:ind w:firstLine="720"/>
      </w:pPr>
      <w:r>
        <w:lastRenderedPageBreak/>
        <w:t xml:space="preserve">The information will be kept </w:t>
      </w:r>
      <w:r w:rsidR="00EA0C43">
        <w:t>private</w:t>
      </w:r>
      <w:r>
        <w:t xml:space="preserve"> </w:t>
      </w:r>
      <w:r w:rsidR="00F47BE7">
        <w:t>to the extent permitted by law.</w:t>
      </w:r>
    </w:p>
    <w:p w:rsidRPr="00EA3A22" w:rsidR="00EA3A22" w:rsidP="00EA3A22" w:rsidRDefault="00EA3A22">
      <w:pPr>
        <w:rPr>
          <w:szCs w:val="24"/>
        </w:rPr>
      </w:pPr>
    </w:p>
    <w:p w:rsidRPr="00462880" w:rsidR="00AC3838" w:rsidP="00ED033F" w:rsidRDefault="00EA3A22">
      <w:pPr>
        <w:rPr>
          <w:b/>
          <w:i/>
          <w:szCs w:val="24"/>
        </w:rPr>
      </w:pPr>
      <w:r w:rsidRPr="00462880">
        <w:rPr>
          <w:b/>
          <w:i/>
          <w:szCs w:val="24"/>
        </w:rPr>
        <w:t>1</w:t>
      </w:r>
      <w:r w:rsidRPr="00462880" w:rsidR="00AC3838">
        <w:rPr>
          <w:b/>
          <w:i/>
          <w:szCs w:val="24"/>
        </w:rPr>
        <w:t>1. Information of a sensitive nature:</w:t>
      </w:r>
    </w:p>
    <w:p w:rsidRPr="00FB63B3" w:rsidR="00AC3838" w:rsidP="00AC3838" w:rsidRDefault="00AC383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Pr="00FB63B3" w:rsidR="006F07B8" w:rsidP="00AC3838" w:rsidRDefault="00AC383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FB63B3">
        <w:rPr>
          <w:color w:val="000000"/>
          <w:szCs w:val="24"/>
        </w:rPr>
        <w:tab/>
      </w:r>
      <w:r w:rsidRPr="00FB63B3">
        <w:rPr>
          <w:color w:val="000000"/>
          <w:szCs w:val="24"/>
        </w:rPr>
        <w:tab/>
      </w:r>
      <w:r w:rsidR="00F47BE7">
        <w:rPr>
          <w:color w:val="000000"/>
          <w:szCs w:val="24"/>
        </w:rPr>
        <w:t>Not applicable.  No personally identifiable information is collected.</w:t>
      </w:r>
    </w:p>
    <w:p w:rsidRPr="00FB63B3" w:rsidR="00E57466" w:rsidP="00294902" w:rsidRDefault="00E57466">
      <w:pPr>
        <w:outlineLvl w:val="0"/>
        <w:rPr>
          <w:b/>
          <w:bCs/>
          <w:color w:val="000000"/>
          <w:szCs w:val="24"/>
        </w:rPr>
      </w:pPr>
    </w:p>
    <w:p w:rsidRPr="00462880" w:rsidR="00B8683E" w:rsidP="00C0193F" w:rsidRDefault="00294902">
      <w:pPr>
        <w:outlineLvl w:val="0"/>
        <w:rPr>
          <w:b/>
          <w:i/>
          <w:szCs w:val="24"/>
        </w:rPr>
      </w:pPr>
      <w:r w:rsidRPr="00462880">
        <w:rPr>
          <w:b/>
          <w:i/>
          <w:szCs w:val="24"/>
        </w:rPr>
        <w:t>12. Burden estimate:</w:t>
      </w:r>
    </w:p>
    <w:p w:rsidRPr="00FB63B3" w:rsidR="00533694" w:rsidP="00533694" w:rsidRDefault="00533694">
      <w:pPr>
        <w:jc w:val="both"/>
        <w:rPr>
          <w:color w:val="000000"/>
          <w:szCs w:val="24"/>
        </w:rPr>
      </w:pPr>
    </w:p>
    <w:tbl>
      <w:tblPr>
        <w:tblW w:w="5760" w:type="dxa"/>
        <w:tblInd w:w="13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39" w:type="dxa"/>
          <w:right w:w="139" w:type="dxa"/>
        </w:tblCellMar>
        <w:tblLook w:val="0000" w:firstRow="0" w:lastRow="0" w:firstColumn="0" w:lastColumn="0" w:noHBand="0" w:noVBand="0"/>
      </w:tblPr>
      <w:tblGrid>
        <w:gridCol w:w="1440"/>
        <w:gridCol w:w="1260"/>
        <w:gridCol w:w="1440"/>
        <w:gridCol w:w="1620"/>
      </w:tblGrid>
      <w:tr w:rsidRPr="00FB63B3" w:rsidR="00B473D4" w:rsidTr="00666E52">
        <w:tblPrEx>
          <w:tblCellMar>
            <w:top w:w="0" w:type="dxa"/>
            <w:bottom w:w="0" w:type="dxa"/>
          </w:tblCellMar>
        </w:tblPrEx>
        <w:trPr>
          <w:cantSplit/>
        </w:trPr>
        <w:tc>
          <w:tcPr>
            <w:tcW w:w="1440" w:type="dxa"/>
            <w:shd w:val="clear" w:color="auto" w:fill="CCCCCC"/>
            <w:vAlign w:val="bottom"/>
          </w:tcPr>
          <w:p w:rsidRPr="00666E52" w:rsidR="00B473D4" w:rsidP="00FB1523" w:rsidRDefault="00B473D4">
            <w:pPr>
              <w:tabs>
                <w:tab w:val="left" w:pos="-1440"/>
                <w:tab w:val="left" w:pos="-720"/>
                <w:tab w:val="left" w:pos="0"/>
                <w:tab w:val="left" w:pos="240"/>
                <w:tab w:val="left" w:pos="720"/>
                <w:tab w:val="left" w:pos="1440"/>
              </w:tabs>
              <w:spacing w:after="19"/>
              <w:jc w:val="center"/>
              <w:rPr>
                <w:iCs/>
                <w:color w:val="000000"/>
                <w:szCs w:val="24"/>
                <w:u w:val="single"/>
              </w:rPr>
            </w:pPr>
            <w:r w:rsidRPr="00666E52">
              <w:rPr>
                <w:iCs/>
                <w:color w:val="000000"/>
                <w:szCs w:val="24"/>
                <w:u w:val="single"/>
              </w:rPr>
              <w:t>Number</w:t>
            </w:r>
          </w:p>
          <w:p w:rsidRPr="00666E52" w:rsidR="00B473D4" w:rsidP="00FB1523" w:rsidRDefault="00B473D4">
            <w:pPr>
              <w:tabs>
                <w:tab w:val="left" w:pos="-1440"/>
                <w:tab w:val="left" w:pos="-720"/>
                <w:tab w:val="left" w:pos="0"/>
                <w:tab w:val="left" w:pos="240"/>
                <w:tab w:val="left" w:pos="720"/>
                <w:tab w:val="left" w:pos="1440"/>
              </w:tabs>
              <w:spacing w:after="19"/>
              <w:jc w:val="center"/>
              <w:rPr>
                <w:szCs w:val="24"/>
                <w:u w:val="single"/>
              </w:rPr>
            </w:pPr>
            <w:r w:rsidRPr="00666E52">
              <w:rPr>
                <w:iCs/>
                <w:color w:val="000000"/>
                <w:szCs w:val="24"/>
                <w:u w:val="single"/>
              </w:rPr>
              <w:t>of respondents</w:t>
            </w:r>
          </w:p>
        </w:tc>
        <w:tc>
          <w:tcPr>
            <w:tcW w:w="1260" w:type="dxa"/>
            <w:shd w:val="clear" w:color="auto" w:fill="CCCCCC"/>
            <w:vAlign w:val="bottom"/>
          </w:tcPr>
          <w:p w:rsidRPr="00666E52" w:rsidR="00B473D4" w:rsidP="00FB1523" w:rsidRDefault="00B473D4">
            <w:pPr>
              <w:tabs>
                <w:tab w:val="left" w:pos="-1440"/>
                <w:tab w:val="left" w:pos="-720"/>
                <w:tab w:val="left" w:pos="0"/>
                <w:tab w:val="left" w:pos="240"/>
                <w:tab w:val="left" w:pos="720"/>
              </w:tabs>
              <w:spacing w:before="163" w:after="19"/>
              <w:jc w:val="center"/>
              <w:rPr>
                <w:szCs w:val="24"/>
                <w:u w:val="single"/>
              </w:rPr>
            </w:pPr>
            <w:r w:rsidRPr="00666E52">
              <w:rPr>
                <w:iCs/>
                <w:color w:val="000000"/>
                <w:szCs w:val="24"/>
                <w:u w:val="single"/>
              </w:rPr>
              <w:t>Estimated annual frequency</w:t>
            </w:r>
          </w:p>
        </w:tc>
        <w:tc>
          <w:tcPr>
            <w:tcW w:w="1440" w:type="dxa"/>
            <w:shd w:val="clear" w:color="auto" w:fill="CCCCCC"/>
            <w:vAlign w:val="bottom"/>
          </w:tcPr>
          <w:p w:rsidRPr="00666E52" w:rsidR="00B473D4" w:rsidP="00FB1523" w:rsidRDefault="00B473D4">
            <w:pPr>
              <w:tabs>
                <w:tab w:val="left" w:pos="-1440"/>
                <w:tab w:val="left" w:pos="-720"/>
                <w:tab w:val="left" w:pos="0"/>
                <w:tab w:val="left" w:pos="240"/>
                <w:tab w:val="left" w:pos="720"/>
              </w:tabs>
              <w:spacing w:before="163"/>
              <w:jc w:val="center"/>
              <w:rPr>
                <w:color w:val="000000"/>
                <w:szCs w:val="24"/>
                <w:u w:val="single"/>
              </w:rPr>
            </w:pPr>
            <w:r w:rsidRPr="00666E52">
              <w:rPr>
                <w:iCs/>
                <w:color w:val="000000"/>
                <w:szCs w:val="24"/>
                <w:u w:val="single"/>
              </w:rPr>
              <w:t>Estimated response</w:t>
            </w:r>
          </w:p>
          <w:p w:rsidRPr="00666E52" w:rsidR="00B473D4" w:rsidP="00FB1523" w:rsidRDefault="00B473D4">
            <w:pPr>
              <w:tabs>
                <w:tab w:val="left" w:pos="-1440"/>
                <w:tab w:val="left" w:pos="-720"/>
                <w:tab w:val="left" w:pos="0"/>
                <w:tab w:val="left" w:pos="240"/>
                <w:tab w:val="left" w:pos="720"/>
              </w:tabs>
              <w:spacing w:after="19"/>
              <w:jc w:val="center"/>
              <w:rPr>
                <w:szCs w:val="24"/>
                <w:u w:val="single"/>
              </w:rPr>
            </w:pPr>
            <w:r w:rsidRPr="00666E52">
              <w:rPr>
                <w:iCs/>
                <w:color w:val="000000"/>
                <w:szCs w:val="24"/>
                <w:u w:val="single"/>
              </w:rPr>
              <w:t>time</w:t>
            </w:r>
          </w:p>
        </w:tc>
        <w:tc>
          <w:tcPr>
            <w:tcW w:w="1620" w:type="dxa"/>
            <w:shd w:val="clear" w:color="auto" w:fill="CCCCCC"/>
            <w:vAlign w:val="bottom"/>
          </w:tcPr>
          <w:p w:rsidRPr="00666E52" w:rsidR="00B473D4" w:rsidP="00FB1523" w:rsidRDefault="00B473D4">
            <w:pPr>
              <w:tabs>
                <w:tab w:val="left" w:pos="-1440"/>
                <w:tab w:val="left" w:pos="-720"/>
                <w:tab w:val="left" w:pos="0"/>
                <w:tab w:val="left" w:pos="240"/>
                <w:tab w:val="left" w:pos="720"/>
                <w:tab w:val="left" w:pos="1440"/>
              </w:tabs>
              <w:spacing w:before="163" w:after="19"/>
              <w:jc w:val="center"/>
              <w:rPr>
                <w:szCs w:val="24"/>
                <w:u w:val="single"/>
              </w:rPr>
            </w:pPr>
            <w:r w:rsidRPr="00666E52">
              <w:rPr>
                <w:iCs/>
                <w:color w:val="000000"/>
                <w:szCs w:val="24"/>
                <w:u w:val="single"/>
              </w:rPr>
              <w:t>Estimated annual burden hours</w:t>
            </w:r>
          </w:p>
        </w:tc>
      </w:tr>
      <w:tr w:rsidRPr="00FB63B3" w:rsidR="00B473D4" w:rsidTr="00666E52">
        <w:tblPrEx>
          <w:tblCellMar>
            <w:top w:w="0" w:type="dxa"/>
            <w:bottom w:w="0" w:type="dxa"/>
          </w:tblCellMar>
        </w:tblPrEx>
        <w:trPr>
          <w:cantSplit/>
        </w:trPr>
        <w:tc>
          <w:tcPr>
            <w:tcW w:w="1440" w:type="dxa"/>
          </w:tcPr>
          <w:p w:rsidRPr="00FB63B3" w:rsidR="00B473D4" w:rsidP="00FB1523" w:rsidRDefault="00BF0A7B">
            <w:pPr>
              <w:tabs>
                <w:tab w:val="left" w:pos="-1440"/>
                <w:tab w:val="left" w:pos="-720"/>
                <w:tab w:val="left" w:pos="0"/>
                <w:tab w:val="left" w:pos="240"/>
                <w:tab w:val="left" w:pos="720"/>
                <w:tab w:val="left" w:pos="1440"/>
              </w:tabs>
              <w:spacing w:before="163" w:after="19"/>
              <w:jc w:val="center"/>
              <w:rPr>
                <w:szCs w:val="24"/>
              </w:rPr>
            </w:pPr>
            <w:r>
              <w:rPr>
                <w:szCs w:val="24"/>
              </w:rPr>
              <w:t>19</w:t>
            </w:r>
          </w:p>
        </w:tc>
        <w:tc>
          <w:tcPr>
            <w:tcW w:w="1260" w:type="dxa"/>
          </w:tcPr>
          <w:p w:rsidRPr="00FB63B3" w:rsidR="00B473D4" w:rsidP="00FB1523" w:rsidRDefault="00B473D4">
            <w:pPr>
              <w:tabs>
                <w:tab w:val="left" w:pos="-1440"/>
                <w:tab w:val="left" w:pos="-720"/>
                <w:tab w:val="left" w:pos="0"/>
                <w:tab w:val="left" w:pos="240"/>
                <w:tab w:val="left" w:pos="720"/>
              </w:tabs>
              <w:spacing w:before="163" w:after="19"/>
              <w:jc w:val="center"/>
              <w:rPr>
                <w:szCs w:val="24"/>
              </w:rPr>
            </w:pPr>
            <w:r w:rsidRPr="00FB63B3">
              <w:rPr>
                <w:szCs w:val="24"/>
              </w:rPr>
              <w:t>1</w:t>
            </w:r>
          </w:p>
        </w:tc>
        <w:tc>
          <w:tcPr>
            <w:tcW w:w="1440" w:type="dxa"/>
          </w:tcPr>
          <w:p w:rsidRPr="00FB63B3" w:rsidR="00B473D4" w:rsidP="00FB1523" w:rsidRDefault="00CC13D8">
            <w:pPr>
              <w:tabs>
                <w:tab w:val="left" w:pos="-1440"/>
                <w:tab w:val="left" w:pos="-720"/>
                <w:tab w:val="left" w:pos="0"/>
                <w:tab w:val="left" w:pos="240"/>
                <w:tab w:val="left" w:pos="720"/>
              </w:tabs>
              <w:spacing w:before="163" w:after="19"/>
              <w:jc w:val="center"/>
              <w:rPr>
                <w:szCs w:val="24"/>
              </w:rPr>
            </w:pPr>
            <w:r>
              <w:rPr>
                <w:szCs w:val="24"/>
              </w:rPr>
              <w:t>140</w:t>
            </w:r>
            <w:r w:rsidRPr="00FB63B3" w:rsidR="00B473D4">
              <w:rPr>
                <w:szCs w:val="24"/>
              </w:rPr>
              <w:t xml:space="preserve"> hours</w:t>
            </w:r>
          </w:p>
        </w:tc>
        <w:tc>
          <w:tcPr>
            <w:tcW w:w="1620" w:type="dxa"/>
          </w:tcPr>
          <w:p w:rsidRPr="00FB63B3" w:rsidR="00B473D4" w:rsidP="00031096" w:rsidRDefault="004602E8">
            <w:pPr>
              <w:tabs>
                <w:tab w:val="left" w:pos="-1440"/>
                <w:tab w:val="left" w:pos="-720"/>
                <w:tab w:val="left" w:pos="0"/>
                <w:tab w:val="left" w:pos="240"/>
                <w:tab w:val="left" w:pos="720"/>
                <w:tab w:val="left" w:pos="1440"/>
              </w:tabs>
              <w:spacing w:before="163" w:after="19"/>
              <w:jc w:val="center"/>
              <w:rPr>
                <w:szCs w:val="24"/>
              </w:rPr>
            </w:pPr>
            <w:r>
              <w:rPr>
                <w:szCs w:val="24"/>
              </w:rPr>
              <w:t>2,660</w:t>
            </w:r>
          </w:p>
        </w:tc>
      </w:tr>
    </w:tbl>
    <w:p w:rsidR="00591338" w:rsidP="00C0193F" w:rsidRDefault="00591338">
      <w:pPr>
        <w:tabs>
          <w:tab w:val="left" w:pos="8640"/>
        </w:tabs>
        <w:rPr>
          <w:szCs w:val="24"/>
        </w:rPr>
      </w:pPr>
    </w:p>
    <w:p w:rsidRPr="00591338" w:rsidR="00591338" w:rsidP="00C0193F" w:rsidRDefault="00585E07">
      <w:pPr>
        <w:tabs>
          <w:tab w:val="left" w:pos="8640"/>
        </w:tabs>
        <w:rPr>
          <w:b/>
          <w:szCs w:val="24"/>
        </w:rPr>
      </w:pPr>
      <w:r w:rsidRPr="00591338">
        <w:rPr>
          <w:b/>
          <w:szCs w:val="24"/>
        </w:rPr>
        <w:t>Cos</w:t>
      </w:r>
      <w:r w:rsidRPr="00591338" w:rsidR="00591338">
        <w:rPr>
          <w:b/>
          <w:szCs w:val="24"/>
        </w:rPr>
        <w:t xml:space="preserve">t of </w:t>
      </w:r>
      <w:r w:rsidR="00591338">
        <w:rPr>
          <w:b/>
          <w:szCs w:val="24"/>
        </w:rPr>
        <w:t>B</w:t>
      </w:r>
      <w:r w:rsidRPr="00591338" w:rsidR="00591338">
        <w:rPr>
          <w:b/>
          <w:szCs w:val="24"/>
        </w:rPr>
        <w:t xml:space="preserve">urden </w:t>
      </w:r>
      <w:r w:rsidR="00591338">
        <w:rPr>
          <w:b/>
          <w:szCs w:val="24"/>
        </w:rPr>
        <w:t>H</w:t>
      </w:r>
      <w:r w:rsidRPr="00591338" w:rsidR="00591338">
        <w:rPr>
          <w:b/>
          <w:szCs w:val="24"/>
        </w:rPr>
        <w:t>ours</w:t>
      </w:r>
    </w:p>
    <w:p w:rsidRPr="00591338" w:rsidR="00591338" w:rsidP="00C0193F" w:rsidRDefault="00585E07">
      <w:pPr>
        <w:tabs>
          <w:tab w:val="left" w:pos="8640"/>
        </w:tabs>
        <w:rPr>
          <w:b/>
          <w:szCs w:val="24"/>
        </w:rPr>
      </w:pPr>
      <w:r w:rsidRPr="00591338">
        <w:rPr>
          <w:b/>
          <w:szCs w:val="24"/>
        </w:rPr>
        <w:t xml:space="preserve"> </w:t>
      </w:r>
    </w:p>
    <w:p w:rsidRPr="00591338" w:rsidR="00C0193F" w:rsidP="00C0193F" w:rsidRDefault="004602E8">
      <w:pPr>
        <w:tabs>
          <w:tab w:val="left" w:pos="8640"/>
        </w:tabs>
        <w:rPr>
          <w:b/>
          <w:szCs w:val="24"/>
        </w:rPr>
      </w:pPr>
      <w:r>
        <w:rPr>
          <w:b/>
          <w:szCs w:val="24"/>
        </w:rPr>
        <w:t>2,660</w:t>
      </w:r>
      <w:r w:rsidRPr="00591338" w:rsidR="00C0193F">
        <w:rPr>
          <w:b/>
          <w:szCs w:val="24"/>
        </w:rPr>
        <w:t xml:space="preserve"> x </w:t>
      </w:r>
      <w:r w:rsidRPr="00591338" w:rsidR="005D1F85">
        <w:rPr>
          <w:b/>
          <w:szCs w:val="24"/>
        </w:rPr>
        <w:t>$11</w:t>
      </w:r>
      <w:r w:rsidR="006C35C6">
        <w:rPr>
          <w:b/>
          <w:szCs w:val="24"/>
        </w:rPr>
        <w:t>5.19</w:t>
      </w:r>
      <w:r w:rsidRPr="00591338" w:rsidR="00826060">
        <w:rPr>
          <w:b/>
          <w:szCs w:val="24"/>
        </w:rPr>
        <w:t xml:space="preserve"> = $ </w:t>
      </w:r>
      <w:r>
        <w:rPr>
          <w:b/>
          <w:szCs w:val="24"/>
        </w:rPr>
        <w:t>30</w:t>
      </w:r>
      <w:r w:rsidR="006C35C6">
        <w:rPr>
          <w:b/>
          <w:szCs w:val="24"/>
        </w:rPr>
        <w:t>6,405.40</w:t>
      </w:r>
    </w:p>
    <w:p w:rsidR="00C0193F" w:rsidP="00C0193F" w:rsidRDefault="00C0193F">
      <w:pPr>
        <w:tabs>
          <w:tab w:val="left" w:pos="8640"/>
        </w:tabs>
        <w:rPr>
          <w:szCs w:val="24"/>
        </w:rPr>
      </w:pPr>
    </w:p>
    <w:p w:rsidRPr="0064167F" w:rsidR="006C35C6" w:rsidP="006C35C6" w:rsidRDefault="006C35C6">
      <w:pPr>
        <w:rPr>
          <w:szCs w:val="24"/>
        </w:rPr>
      </w:pPr>
      <w:r>
        <w:rPr>
          <w:color w:val="000000"/>
          <w:szCs w:val="24"/>
        </w:rPr>
        <w:t>To estimate wages the OCC reviewed May 2019 data for wages (by industry and occupation) from the U.S. Bureau of Labor Statistics (BLS) for credit intermediation and related activities excluding nondepository credit intermediaries (NAICS 5220A1).  To estimate compensation costs associated with the rule, the OCC uses $115.19 per hour, which is based on the average of the 90th percentile for six occupations adjusted for inflation (3.1 percent as of Q1 2020 according to the BLS), plus an additional 33.4 percent for benefits (based on the percent of total compensation allocated to benefits as of Q4 2019 for NAICS 522: credit intermediation and related activities).</w:t>
      </w:r>
    </w:p>
    <w:p w:rsidRPr="00FB63B3" w:rsidR="00294902" w:rsidRDefault="00294902">
      <w:pPr>
        <w:rPr>
          <w:color w:val="000000"/>
          <w:szCs w:val="24"/>
        </w:rPr>
      </w:pPr>
    </w:p>
    <w:p w:rsidRPr="00462880" w:rsidR="00294902" w:rsidP="00AC0C5E" w:rsidRDefault="00294902">
      <w:pPr>
        <w:tabs>
          <w:tab w:val="left" w:pos="540"/>
          <w:tab w:val="left" w:pos="720"/>
        </w:tabs>
        <w:rPr>
          <w:b/>
          <w:i/>
          <w:szCs w:val="24"/>
        </w:rPr>
      </w:pPr>
      <w:r w:rsidRPr="00462880">
        <w:rPr>
          <w:b/>
          <w:i/>
          <w:szCs w:val="24"/>
        </w:rPr>
        <w:t>13. Estimate of annualized costs to respondents:</w:t>
      </w:r>
    </w:p>
    <w:p w:rsidRPr="00FB63B3" w:rsidR="00294902" w:rsidP="00294902" w:rsidRDefault="00294902">
      <w:pPr>
        <w:rPr>
          <w:szCs w:val="24"/>
        </w:rPr>
      </w:pPr>
    </w:p>
    <w:p w:rsidRPr="00FB63B3" w:rsidR="00294902" w:rsidP="003C5CF1" w:rsidRDefault="00294902">
      <w:pPr>
        <w:ind w:firstLine="720"/>
        <w:outlineLvl w:val="0"/>
        <w:rPr>
          <w:szCs w:val="24"/>
        </w:rPr>
      </w:pPr>
      <w:r w:rsidRPr="00FB63B3">
        <w:rPr>
          <w:szCs w:val="24"/>
        </w:rPr>
        <w:t>Not applicable.</w:t>
      </w:r>
    </w:p>
    <w:p w:rsidRPr="00FB63B3" w:rsidR="00294902" w:rsidP="00294902" w:rsidRDefault="00294902">
      <w:pPr>
        <w:rPr>
          <w:szCs w:val="24"/>
        </w:rPr>
      </w:pPr>
    </w:p>
    <w:p w:rsidRPr="00462880" w:rsidR="00294902" w:rsidP="00294902" w:rsidRDefault="00294902">
      <w:pPr>
        <w:rPr>
          <w:b/>
          <w:i/>
          <w:szCs w:val="24"/>
        </w:rPr>
      </w:pPr>
      <w:r w:rsidRPr="00462880">
        <w:rPr>
          <w:b/>
          <w:i/>
          <w:szCs w:val="24"/>
        </w:rPr>
        <w:t>14. Estimate of annualized costs to the government:</w:t>
      </w:r>
    </w:p>
    <w:p w:rsidRPr="00FB63B3" w:rsidR="00294902" w:rsidP="00294902" w:rsidRDefault="00294902">
      <w:pPr>
        <w:rPr>
          <w:szCs w:val="24"/>
        </w:rPr>
      </w:pPr>
    </w:p>
    <w:p w:rsidR="00294902" w:rsidP="003C5CF1" w:rsidRDefault="00294902">
      <w:pPr>
        <w:ind w:firstLine="720"/>
        <w:outlineLvl w:val="0"/>
        <w:rPr>
          <w:szCs w:val="24"/>
        </w:rPr>
      </w:pPr>
      <w:r w:rsidRPr="00FB63B3">
        <w:rPr>
          <w:szCs w:val="24"/>
        </w:rPr>
        <w:t>Not applicable.</w:t>
      </w:r>
    </w:p>
    <w:p w:rsidRPr="00FB63B3" w:rsidR="00693DA1" w:rsidP="00294902" w:rsidRDefault="00693DA1">
      <w:pPr>
        <w:outlineLvl w:val="0"/>
        <w:rPr>
          <w:szCs w:val="24"/>
        </w:rPr>
      </w:pPr>
    </w:p>
    <w:p w:rsidRPr="00462880" w:rsidR="00294902" w:rsidP="00F410A4" w:rsidRDefault="00F410A4">
      <w:pPr>
        <w:rPr>
          <w:b/>
          <w:i/>
          <w:szCs w:val="24"/>
        </w:rPr>
      </w:pPr>
      <w:r w:rsidRPr="00462880">
        <w:rPr>
          <w:b/>
          <w:i/>
          <w:szCs w:val="24"/>
        </w:rPr>
        <w:t xml:space="preserve">15. </w:t>
      </w:r>
      <w:r w:rsidRPr="00462880" w:rsidR="00294902">
        <w:rPr>
          <w:b/>
          <w:i/>
          <w:szCs w:val="24"/>
        </w:rPr>
        <w:t>Changes in burden:</w:t>
      </w:r>
    </w:p>
    <w:p w:rsidR="001C4701" w:rsidP="001C4701" w:rsidRDefault="001C4701">
      <w:pPr>
        <w:rPr>
          <w:szCs w:val="24"/>
          <w:u w:val="single"/>
        </w:rPr>
      </w:pPr>
    </w:p>
    <w:p w:rsidR="00915B11" w:rsidP="00294902" w:rsidRDefault="005F42A0">
      <w:pPr>
        <w:rPr>
          <w:szCs w:val="24"/>
        </w:rPr>
      </w:pPr>
      <w:r>
        <w:rPr>
          <w:szCs w:val="24"/>
        </w:rPr>
        <w:t xml:space="preserve">Prior Burden:  </w:t>
      </w:r>
      <w:r w:rsidR="006D1757">
        <w:rPr>
          <w:szCs w:val="24"/>
        </w:rPr>
        <w:t>3,220 Burden Hours.</w:t>
      </w:r>
    </w:p>
    <w:p w:rsidR="005F42A0" w:rsidP="00294902" w:rsidRDefault="005F42A0">
      <w:pPr>
        <w:rPr>
          <w:szCs w:val="24"/>
        </w:rPr>
      </w:pPr>
    </w:p>
    <w:p w:rsidR="005F42A0" w:rsidP="00294902" w:rsidRDefault="005F42A0">
      <w:pPr>
        <w:rPr>
          <w:szCs w:val="24"/>
        </w:rPr>
      </w:pPr>
      <w:r>
        <w:rPr>
          <w:szCs w:val="24"/>
        </w:rPr>
        <w:t xml:space="preserve">Current Burden:  </w:t>
      </w:r>
      <w:r w:rsidR="004602E8">
        <w:rPr>
          <w:szCs w:val="24"/>
        </w:rPr>
        <w:t>2,660 Burden Hours</w:t>
      </w:r>
    </w:p>
    <w:p w:rsidR="005F42A0" w:rsidP="00294902" w:rsidRDefault="005F42A0">
      <w:pPr>
        <w:rPr>
          <w:szCs w:val="24"/>
        </w:rPr>
      </w:pPr>
    </w:p>
    <w:p w:rsidR="005F42A0" w:rsidP="00294902" w:rsidRDefault="005F42A0">
      <w:pPr>
        <w:rPr>
          <w:szCs w:val="24"/>
        </w:rPr>
      </w:pPr>
      <w:r>
        <w:rPr>
          <w:szCs w:val="24"/>
        </w:rPr>
        <w:t xml:space="preserve">Difference: </w:t>
      </w:r>
      <w:r w:rsidR="00F77AAC">
        <w:rPr>
          <w:szCs w:val="24"/>
        </w:rPr>
        <w:t xml:space="preserve"> </w:t>
      </w:r>
      <w:r w:rsidR="00262872">
        <w:rPr>
          <w:szCs w:val="24"/>
        </w:rPr>
        <w:t>-</w:t>
      </w:r>
      <w:r w:rsidR="004602E8">
        <w:rPr>
          <w:szCs w:val="24"/>
        </w:rPr>
        <w:t>560 Burden Hours</w:t>
      </w:r>
    </w:p>
    <w:p w:rsidR="005F42A0" w:rsidP="00294902" w:rsidRDefault="005F42A0">
      <w:pPr>
        <w:rPr>
          <w:szCs w:val="24"/>
        </w:rPr>
      </w:pPr>
    </w:p>
    <w:p w:rsidR="005F42A0" w:rsidP="00294902" w:rsidRDefault="006D1757">
      <w:pPr>
        <w:rPr>
          <w:szCs w:val="24"/>
        </w:rPr>
      </w:pPr>
      <w:r>
        <w:rPr>
          <w:szCs w:val="24"/>
        </w:rPr>
        <w:t xml:space="preserve">The change is due to </w:t>
      </w:r>
      <w:r w:rsidR="00262872">
        <w:rPr>
          <w:szCs w:val="24"/>
        </w:rPr>
        <w:t>a reduction in the</w:t>
      </w:r>
      <w:r w:rsidR="004602E8">
        <w:rPr>
          <w:szCs w:val="24"/>
        </w:rPr>
        <w:t xml:space="preserve"> number of respondents</w:t>
      </w:r>
      <w:r w:rsidR="00262872">
        <w:rPr>
          <w:szCs w:val="24"/>
        </w:rPr>
        <w:t>.</w:t>
      </w:r>
      <w:r w:rsidR="004602E8">
        <w:rPr>
          <w:szCs w:val="24"/>
        </w:rPr>
        <w:t xml:space="preserve"> </w:t>
      </w:r>
    </w:p>
    <w:p w:rsidRPr="005A6DB6" w:rsidR="002D775E" w:rsidP="00294902" w:rsidRDefault="002D775E">
      <w:pPr>
        <w:rPr>
          <w:szCs w:val="24"/>
        </w:rPr>
      </w:pPr>
    </w:p>
    <w:p w:rsidRPr="00462880" w:rsidR="00294902" w:rsidP="00294902" w:rsidRDefault="00AC0C5E">
      <w:pPr>
        <w:rPr>
          <w:b/>
          <w:i/>
          <w:szCs w:val="24"/>
        </w:rPr>
      </w:pPr>
      <w:r w:rsidRPr="00462880">
        <w:rPr>
          <w:b/>
          <w:i/>
          <w:szCs w:val="24"/>
        </w:rPr>
        <w:lastRenderedPageBreak/>
        <w:t xml:space="preserve">16. </w:t>
      </w:r>
      <w:r w:rsidRPr="00462880" w:rsidR="00294902">
        <w:rPr>
          <w:b/>
          <w:i/>
          <w:szCs w:val="24"/>
        </w:rPr>
        <w:t>Information regarding collections whose results are planned to be published for statistical use:</w:t>
      </w:r>
    </w:p>
    <w:p w:rsidRPr="00FB63B3" w:rsidR="00693DA1" w:rsidP="00693DA1" w:rsidRDefault="00693DA1">
      <w:pPr>
        <w:jc w:val="both"/>
        <w:rPr>
          <w:color w:val="000000"/>
          <w:szCs w:val="24"/>
        </w:rPr>
      </w:pPr>
    </w:p>
    <w:p w:rsidRPr="00FB63B3" w:rsidR="00693DA1" w:rsidP="005F64DF" w:rsidRDefault="005F42A0">
      <w:pPr>
        <w:ind w:firstLine="720"/>
        <w:rPr>
          <w:szCs w:val="24"/>
        </w:rPr>
      </w:pPr>
      <w:r>
        <w:rPr>
          <w:szCs w:val="24"/>
        </w:rPr>
        <w:t>Not applicable.</w:t>
      </w:r>
    </w:p>
    <w:p w:rsidR="00F77AAC" w:rsidP="00294902" w:rsidRDefault="00F77AAC">
      <w:pPr>
        <w:rPr>
          <w:b/>
          <w:i/>
          <w:szCs w:val="24"/>
        </w:rPr>
      </w:pPr>
    </w:p>
    <w:p w:rsidRPr="00462880" w:rsidR="00294902" w:rsidP="00294902" w:rsidRDefault="00AC0C5E">
      <w:pPr>
        <w:rPr>
          <w:b/>
          <w:i/>
          <w:szCs w:val="24"/>
        </w:rPr>
      </w:pPr>
      <w:r w:rsidRPr="00462880">
        <w:rPr>
          <w:b/>
          <w:i/>
          <w:szCs w:val="24"/>
        </w:rPr>
        <w:t xml:space="preserve">17.  </w:t>
      </w:r>
      <w:r w:rsidRPr="00462880" w:rsidR="00294902">
        <w:rPr>
          <w:b/>
          <w:i/>
          <w:szCs w:val="24"/>
        </w:rPr>
        <w:t>Display of expiration date:</w:t>
      </w:r>
    </w:p>
    <w:p w:rsidRPr="00FB63B3" w:rsidR="00294902" w:rsidP="00294902" w:rsidRDefault="00294902">
      <w:pPr>
        <w:rPr>
          <w:szCs w:val="24"/>
        </w:rPr>
      </w:pPr>
    </w:p>
    <w:p w:rsidR="00294902" w:rsidP="00294902" w:rsidRDefault="00294902">
      <w:pPr>
        <w:ind w:firstLine="720"/>
        <w:rPr>
          <w:szCs w:val="24"/>
        </w:rPr>
      </w:pPr>
      <w:r w:rsidRPr="00FB63B3">
        <w:rPr>
          <w:szCs w:val="24"/>
        </w:rPr>
        <w:t>Not applicable.</w:t>
      </w:r>
    </w:p>
    <w:p w:rsidRPr="00FB63B3" w:rsidR="00294902" w:rsidP="00294902" w:rsidRDefault="00294902">
      <w:pPr>
        <w:rPr>
          <w:szCs w:val="24"/>
        </w:rPr>
      </w:pPr>
    </w:p>
    <w:p w:rsidRPr="00462880" w:rsidR="00294902" w:rsidP="00294902" w:rsidRDefault="00AC0C5E">
      <w:pPr>
        <w:rPr>
          <w:b/>
          <w:i/>
          <w:szCs w:val="24"/>
        </w:rPr>
      </w:pPr>
      <w:r w:rsidRPr="00462880">
        <w:rPr>
          <w:b/>
          <w:i/>
          <w:szCs w:val="24"/>
        </w:rPr>
        <w:t xml:space="preserve">18.  </w:t>
      </w:r>
      <w:r w:rsidRPr="00462880" w:rsidR="00294902">
        <w:rPr>
          <w:b/>
          <w:i/>
          <w:szCs w:val="24"/>
        </w:rPr>
        <w:t>Exceptions to certification statement:</w:t>
      </w:r>
    </w:p>
    <w:p w:rsidRPr="00FB63B3" w:rsidR="00294902" w:rsidP="00294902" w:rsidRDefault="00294902">
      <w:pPr>
        <w:rPr>
          <w:szCs w:val="24"/>
        </w:rPr>
      </w:pPr>
    </w:p>
    <w:p w:rsidRPr="00FB63B3" w:rsidR="00294902" w:rsidP="00294902" w:rsidRDefault="00294902">
      <w:pPr>
        <w:ind w:firstLine="720"/>
        <w:rPr>
          <w:szCs w:val="24"/>
        </w:rPr>
      </w:pPr>
      <w:r w:rsidRPr="00FB63B3">
        <w:rPr>
          <w:szCs w:val="24"/>
        </w:rPr>
        <w:t>Not applicable.</w:t>
      </w:r>
    </w:p>
    <w:p w:rsidRPr="00826060" w:rsidR="00294902" w:rsidP="00294902" w:rsidRDefault="00294902">
      <w:pPr>
        <w:rPr>
          <w:b/>
          <w:szCs w:val="24"/>
        </w:rPr>
      </w:pPr>
    </w:p>
    <w:p w:rsidRPr="00BB116F" w:rsidR="00294902" w:rsidP="009502E0" w:rsidRDefault="00294902">
      <w:pPr>
        <w:widowControl w:val="0"/>
        <w:numPr>
          <w:ilvl w:val="0"/>
          <w:numId w:val="9"/>
        </w:numPr>
        <w:ind w:left="450" w:hanging="450"/>
        <w:rPr>
          <w:b/>
          <w:szCs w:val="24"/>
        </w:rPr>
      </w:pPr>
      <w:r w:rsidRPr="00BB116F">
        <w:rPr>
          <w:b/>
          <w:szCs w:val="24"/>
        </w:rPr>
        <w:t>C</w:t>
      </w:r>
      <w:r w:rsidRPr="00BB116F" w:rsidR="00BB116F">
        <w:rPr>
          <w:b/>
          <w:szCs w:val="24"/>
        </w:rPr>
        <w:t xml:space="preserve">ollections of </w:t>
      </w:r>
      <w:r w:rsidRPr="00BB116F">
        <w:rPr>
          <w:b/>
          <w:szCs w:val="24"/>
        </w:rPr>
        <w:t>I</w:t>
      </w:r>
      <w:r w:rsidRPr="00BB116F" w:rsidR="00BB116F">
        <w:rPr>
          <w:b/>
          <w:szCs w:val="24"/>
        </w:rPr>
        <w:t>nformation</w:t>
      </w:r>
      <w:r w:rsidRPr="00BB116F" w:rsidR="008B2652">
        <w:rPr>
          <w:b/>
          <w:szCs w:val="24"/>
        </w:rPr>
        <w:t xml:space="preserve"> E</w:t>
      </w:r>
      <w:r w:rsidRPr="00BB116F" w:rsidR="00BB116F">
        <w:rPr>
          <w:b/>
          <w:szCs w:val="24"/>
        </w:rPr>
        <w:t>mploying</w:t>
      </w:r>
      <w:r w:rsidRPr="00BB116F" w:rsidR="008B2652">
        <w:rPr>
          <w:b/>
          <w:szCs w:val="24"/>
        </w:rPr>
        <w:t xml:space="preserve"> S</w:t>
      </w:r>
      <w:r w:rsidRPr="00BB116F" w:rsidR="00BB116F">
        <w:rPr>
          <w:b/>
          <w:szCs w:val="24"/>
        </w:rPr>
        <w:t>tatistical</w:t>
      </w:r>
      <w:r w:rsidRPr="00BB116F" w:rsidR="008B2652">
        <w:rPr>
          <w:b/>
          <w:szCs w:val="24"/>
        </w:rPr>
        <w:t xml:space="preserve"> </w:t>
      </w:r>
      <w:r w:rsidRPr="00BB116F">
        <w:rPr>
          <w:b/>
          <w:szCs w:val="24"/>
        </w:rPr>
        <w:t>M</w:t>
      </w:r>
      <w:r w:rsidRPr="00BB116F" w:rsidR="00BB116F">
        <w:rPr>
          <w:b/>
          <w:szCs w:val="24"/>
        </w:rPr>
        <w:t>ethods</w:t>
      </w:r>
      <w:r w:rsidR="00BB116F">
        <w:rPr>
          <w:b/>
          <w:szCs w:val="24"/>
        </w:rPr>
        <w:t>.</w:t>
      </w:r>
      <w:r w:rsidRPr="00BB116F">
        <w:rPr>
          <w:b/>
          <w:szCs w:val="24"/>
        </w:rPr>
        <w:t xml:space="preserve"> </w:t>
      </w:r>
    </w:p>
    <w:p w:rsidRPr="00A84B39" w:rsidR="00294902" w:rsidP="00294902" w:rsidRDefault="00294902">
      <w:pPr>
        <w:ind w:left="360"/>
        <w:rPr>
          <w:sz w:val="22"/>
          <w:szCs w:val="22"/>
        </w:rPr>
      </w:pPr>
    </w:p>
    <w:p w:rsidRPr="00A84B39" w:rsidR="00294902" w:rsidP="00A84B39" w:rsidRDefault="00AC0C5E">
      <w:pPr>
        <w:pStyle w:val="BodyTextIndent3"/>
        <w:rPr>
          <w:sz w:val="22"/>
          <w:szCs w:val="22"/>
        </w:rPr>
      </w:pPr>
      <w:r w:rsidRPr="00A84B39">
        <w:rPr>
          <w:sz w:val="22"/>
          <w:szCs w:val="22"/>
        </w:rPr>
        <w:t xml:space="preserve">      </w:t>
      </w:r>
      <w:r w:rsidRPr="00A84B39" w:rsidR="00294902">
        <w:rPr>
          <w:sz w:val="22"/>
          <w:szCs w:val="22"/>
        </w:rPr>
        <w:t>Not applicable.</w:t>
      </w:r>
    </w:p>
    <w:sectPr w:rsidRPr="00A84B39" w:rsidR="00294902">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1255" w:rsidRDefault="00B61255">
      <w:r>
        <w:separator/>
      </w:r>
    </w:p>
  </w:endnote>
  <w:endnote w:type="continuationSeparator" w:id="0">
    <w:p w:rsidR="00B61255" w:rsidRDefault="00B61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1A9F" w:rsidRDefault="003C1A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C1A9F" w:rsidRDefault="003C1A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47FF" w:rsidRDefault="00C847FF">
    <w:pPr>
      <w:pStyle w:val="Footer"/>
      <w:jc w:val="center"/>
    </w:pPr>
    <w:r>
      <w:fldChar w:fldCharType="begin"/>
    </w:r>
    <w:r>
      <w:instrText xml:space="preserve"> PAGE   \* MERGEFORMAT </w:instrText>
    </w:r>
    <w:r>
      <w:fldChar w:fldCharType="separate"/>
    </w:r>
    <w:r w:rsidR="00182ECC">
      <w:rPr>
        <w:noProof/>
      </w:rPr>
      <w:t>3</w:t>
    </w:r>
    <w:r>
      <w:rPr>
        <w:noProof/>
      </w:rPr>
      <w:fldChar w:fldCharType="end"/>
    </w:r>
  </w:p>
  <w:p w:rsidR="003C1A9F" w:rsidRDefault="003C1A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1255" w:rsidRDefault="00B61255">
      <w:r>
        <w:separator/>
      </w:r>
    </w:p>
  </w:footnote>
  <w:footnote w:type="continuationSeparator" w:id="0">
    <w:p w:rsidR="00B61255" w:rsidRDefault="00B61255">
      <w:r>
        <w:continuationSeparator/>
      </w:r>
    </w:p>
  </w:footnote>
  <w:footnote w:id="1">
    <w:p w:rsidR="00B95C11" w:rsidRPr="0071546E" w:rsidRDefault="00B95C11" w:rsidP="00B95C11">
      <w:pPr>
        <w:pStyle w:val="FootnoteText"/>
      </w:pPr>
      <w:r w:rsidRPr="0071546E">
        <w:rPr>
          <w:rStyle w:val="FootnoteReference"/>
        </w:rPr>
        <w:footnoteRef/>
      </w:r>
      <w:r w:rsidRPr="0071546E">
        <w:t xml:space="preserve"> </w:t>
      </w:r>
      <w:r w:rsidRPr="009B0585">
        <w:rPr>
          <w:i/>
        </w:rPr>
        <w:t>See</w:t>
      </w:r>
      <w:r w:rsidRPr="0071546E">
        <w:t xml:space="preserve"> 72 FR 69302</w:t>
      </w:r>
      <w:r>
        <w:t xml:space="preserve">, </w:t>
      </w:r>
      <w:r w:rsidRPr="0071546E">
        <w:t>part III, section B (Dec. 7, 2007).</w:t>
      </w:r>
    </w:p>
  </w:footnote>
  <w:footnote w:id="2">
    <w:p w:rsidR="00B95C11" w:rsidRDefault="00B95C11">
      <w:pPr>
        <w:pStyle w:val="FootnoteText"/>
      </w:pPr>
      <w:r>
        <w:rPr>
          <w:rStyle w:val="FootnoteReference"/>
        </w:rPr>
        <w:footnoteRef/>
      </w:r>
      <w:r>
        <w:t xml:space="preserve"> 12 C.F.R. part 3.</w:t>
      </w:r>
    </w:p>
  </w:footnote>
  <w:footnote w:id="3">
    <w:p w:rsidR="003B5464" w:rsidRPr="0071546E" w:rsidRDefault="003B5464" w:rsidP="00204F79">
      <w:pPr>
        <w:pStyle w:val="FootnoteText"/>
      </w:pPr>
      <w:r w:rsidRPr="0071546E">
        <w:rPr>
          <w:rStyle w:val="FootnoteReference"/>
        </w:rPr>
        <w:footnoteRef/>
      </w:r>
      <w:r w:rsidRPr="0071546E">
        <w:t xml:space="preserve"> </w:t>
      </w:r>
      <w:r w:rsidR="00204F79">
        <w:t>Supervisory Guidance: Supervisory Review Process of Capital Adequacy (Pillar 2) Related to the Implementation of the Basel II Advanced Capital Framework,</w:t>
      </w:r>
      <w:r w:rsidR="00204F79" w:rsidRPr="0071546E">
        <w:t xml:space="preserve"> </w:t>
      </w:r>
      <w:r w:rsidRPr="0071546E">
        <w:t>73 FR 44620</w:t>
      </w:r>
      <w:r w:rsidR="00204F79">
        <w:t xml:space="preserve"> (July 31, 2008)</w:t>
      </w:r>
      <w:r w:rsidRPr="0071546E">
        <w:t>.</w:t>
      </w:r>
    </w:p>
  </w:footnote>
  <w:footnote w:id="4">
    <w:p w:rsidR="0071546E" w:rsidRDefault="0071546E">
      <w:pPr>
        <w:pStyle w:val="FootnoteText"/>
      </w:pPr>
      <w:r>
        <w:rPr>
          <w:rStyle w:val="FootnoteReference"/>
        </w:rPr>
        <w:footnoteRef/>
      </w:r>
      <w:r>
        <w:t xml:space="preserve"> The </w:t>
      </w:r>
      <w:r w:rsidR="00204F79">
        <w:t>Guidance</w:t>
      </w:r>
      <w:r>
        <w:t xml:space="preserve"> </w:t>
      </w:r>
      <w:r w:rsidR="00204F79">
        <w:t xml:space="preserve">draws </w:t>
      </w:r>
      <w:r>
        <w:t xml:space="preserve">on the Basel II international framework, which has been superseded by the Basel III international framework.  However, </w:t>
      </w:r>
      <w:r w:rsidR="00204F79">
        <w:t xml:space="preserve">the </w:t>
      </w:r>
      <w:r w:rsidR="009E56C7">
        <w:t>Pillar 2</w:t>
      </w:r>
      <w:r w:rsidR="00204F79">
        <w:t xml:space="preserve"> standards described in the Guidance remain in effect</w:t>
      </w:r>
      <w:r w:rsidR="009E56C7">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329CB"/>
    <w:multiLevelType w:val="hybridMultilevel"/>
    <w:tmpl w:val="BC626D6C"/>
    <w:lvl w:ilvl="0" w:tplc="3E8497F2">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8903A6"/>
    <w:multiLevelType w:val="hybridMultilevel"/>
    <w:tmpl w:val="2D8CB822"/>
    <w:lvl w:ilvl="0" w:tplc="94585AAA">
      <w:start w:val="1"/>
      <w:numFmt w:val="decimal"/>
      <w:pStyle w:val="A-FRNP2Body"/>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2D465B2"/>
    <w:multiLevelType w:val="hybridMultilevel"/>
    <w:tmpl w:val="9E3A9642"/>
    <w:lvl w:ilvl="0" w:tplc="D3782B76">
      <w:start w:val="15"/>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D84DED"/>
    <w:multiLevelType w:val="hybridMultilevel"/>
    <w:tmpl w:val="90FCC02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C407A76"/>
    <w:multiLevelType w:val="hybridMultilevel"/>
    <w:tmpl w:val="B9B4A7AE"/>
    <w:lvl w:ilvl="0" w:tplc="6D6417F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48612DC"/>
    <w:multiLevelType w:val="hybridMultilevel"/>
    <w:tmpl w:val="C082C322"/>
    <w:lvl w:ilvl="0" w:tplc="0409000F">
      <w:start w:val="3"/>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B204A1D"/>
    <w:multiLevelType w:val="hybridMultilevel"/>
    <w:tmpl w:val="EB965B7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C67AD0"/>
    <w:multiLevelType w:val="hybridMultilevel"/>
    <w:tmpl w:val="89C00A3E"/>
    <w:lvl w:ilvl="0" w:tplc="F8045B3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DE21946"/>
    <w:multiLevelType w:val="hybridMultilevel"/>
    <w:tmpl w:val="7EB21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3"/>
  </w:num>
  <w:num w:numId="6">
    <w:abstractNumId w:val="4"/>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C9E"/>
    <w:rsid w:val="000034D5"/>
    <w:rsid w:val="000076E8"/>
    <w:rsid w:val="00011053"/>
    <w:rsid w:val="00013F9C"/>
    <w:rsid w:val="000207E6"/>
    <w:rsid w:val="00025506"/>
    <w:rsid w:val="00031096"/>
    <w:rsid w:val="000627B5"/>
    <w:rsid w:val="00064EC1"/>
    <w:rsid w:val="00067C92"/>
    <w:rsid w:val="00073FCD"/>
    <w:rsid w:val="00081025"/>
    <w:rsid w:val="000B36AF"/>
    <w:rsid w:val="000B401A"/>
    <w:rsid w:val="000B5D02"/>
    <w:rsid w:val="000C31ED"/>
    <w:rsid w:val="000C5FDD"/>
    <w:rsid w:val="000C6833"/>
    <w:rsid w:val="000C725B"/>
    <w:rsid w:val="000E609F"/>
    <w:rsid w:val="000E6809"/>
    <w:rsid w:val="00103FFC"/>
    <w:rsid w:val="001045B2"/>
    <w:rsid w:val="00104BDA"/>
    <w:rsid w:val="00107609"/>
    <w:rsid w:val="00123261"/>
    <w:rsid w:val="0012553E"/>
    <w:rsid w:val="00131C95"/>
    <w:rsid w:val="001427B6"/>
    <w:rsid w:val="00144B79"/>
    <w:rsid w:val="001464A7"/>
    <w:rsid w:val="00146A78"/>
    <w:rsid w:val="001612C7"/>
    <w:rsid w:val="00164734"/>
    <w:rsid w:val="00182ECC"/>
    <w:rsid w:val="00186C79"/>
    <w:rsid w:val="00187B53"/>
    <w:rsid w:val="001A0FA5"/>
    <w:rsid w:val="001A2406"/>
    <w:rsid w:val="001C4701"/>
    <w:rsid w:val="001D4A8C"/>
    <w:rsid w:val="001D4B11"/>
    <w:rsid w:val="001F6FF3"/>
    <w:rsid w:val="002038A9"/>
    <w:rsid w:val="00204F79"/>
    <w:rsid w:val="00214838"/>
    <w:rsid w:val="002304C8"/>
    <w:rsid w:val="002339AF"/>
    <w:rsid w:val="00246BE9"/>
    <w:rsid w:val="002579F4"/>
    <w:rsid w:val="00262872"/>
    <w:rsid w:val="0026599C"/>
    <w:rsid w:val="00294902"/>
    <w:rsid w:val="002A488E"/>
    <w:rsid w:val="002A6876"/>
    <w:rsid w:val="002C0665"/>
    <w:rsid w:val="002C0BC3"/>
    <w:rsid w:val="002D775E"/>
    <w:rsid w:val="002E3327"/>
    <w:rsid w:val="002E53B0"/>
    <w:rsid w:val="002F3648"/>
    <w:rsid w:val="00305AE0"/>
    <w:rsid w:val="00310360"/>
    <w:rsid w:val="003207A7"/>
    <w:rsid w:val="003319E9"/>
    <w:rsid w:val="00340B43"/>
    <w:rsid w:val="00341F36"/>
    <w:rsid w:val="003514BE"/>
    <w:rsid w:val="0036182C"/>
    <w:rsid w:val="00375AA4"/>
    <w:rsid w:val="00377326"/>
    <w:rsid w:val="003844B4"/>
    <w:rsid w:val="00384FED"/>
    <w:rsid w:val="003871CE"/>
    <w:rsid w:val="003935D5"/>
    <w:rsid w:val="00395EA9"/>
    <w:rsid w:val="003B1A5E"/>
    <w:rsid w:val="003B2F0C"/>
    <w:rsid w:val="003B5464"/>
    <w:rsid w:val="003C034E"/>
    <w:rsid w:val="003C1A9F"/>
    <w:rsid w:val="003C55B8"/>
    <w:rsid w:val="003C5C50"/>
    <w:rsid w:val="003C5CF1"/>
    <w:rsid w:val="003D37F0"/>
    <w:rsid w:val="003F07E8"/>
    <w:rsid w:val="003F4C6C"/>
    <w:rsid w:val="003F5AF5"/>
    <w:rsid w:val="003F65EE"/>
    <w:rsid w:val="003F7D22"/>
    <w:rsid w:val="00416897"/>
    <w:rsid w:val="00417E5C"/>
    <w:rsid w:val="00435884"/>
    <w:rsid w:val="0044462A"/>
    <w:rsid w:val="004466EA"/>
    <w:rsid w:val="00447D9E"/>
    <w:rsid w:val="00457E92"/>
    <w:rsid w:val="004602E8"/>
    <w:rsid w:val="00462880"/>
    <w:rsid w:val="0046361E"/>
    <w:rsid w:val="004730BC"/>
    <w:rsid w:val="004C23B4"/>
    <w:rsid w:val="004C69E7"/>
    <w:rsid w:val="004D2C1E"/>
    <w:rsid w:val="004D2D94"/>
    <w:rsid w:val="004E1D5E"/>
    <w:rsid w:val="00500FE3"/>
    <w:rsid w:val="00503EE6"/>
    <w:rsid w:val="00512D06"/>
    <w:rsid w:val="00531F32"/>
    <w:rsid w:val="0053251B"/>
    <w:rsid w:val="00533694"/>
    <w:rsid w:val="00537965"/>
    <w:rsid w:val="00566034"/>
    <w:rsid w:val="00566111"/>
    <w:rsid w:val="00572971"/>
    <w:rsid w:val="00585E07"/>
    <w:rsid w:val="005869DD"/>
    <w:rsid w:val="00591338"/>
    <w:rsid w:val="00596511"/>
    <w:rsid w:val="00596656"/>
    <w:rsid w:val="005A218E"/>
    <w:rsid w:val="005A6DB6"/>
    <w:rsid w:val="005B0F25"/>
    <w:rsid w:val="005B56A0"/>
    <w:rsid w:val="005C108B"/>
    <w:rsid w:val="005C1972"/>
    <w:rsid w:val="005C3833"/>
    <w:rsid w:val="005C6044"/>
    <w:rsid w:val="005D1F85"/>
    <w:rsid w:val="005D6F87"/>
    <w:rsid w:val="005D7A89"/>
    <w:rsid w:val="005E1BC0"/>
    <w:rsid w:val="005F42A0"/>
    <w:rsid w:val="005F64DF"/>
    <w:rsid w:val="0060543E"/>
    <w:rsid w:val="00613F94"/>
    <w:rsid w:val="00614E53"/>
    <w:rsid w:val="00617396"/>
    <w:rsid w:val="00640362"/>
    <w:rsid w:val="00644C7C"/>
    <w:rsid w:val="00660F17"/>
    <w:rsid w:val="00666E52"/>
    <w:rsid w:val="0067593F"/>
    <w:rsid w:val="00693DA1"/>
    <w:rsid w:val="006A0346"/>
    <w:rsid w:val="006A08B6"/>
    <w:rsid w:val="006B0827"/>
    <w:rsid w:val="006B3164"/>
    <w:rsid w:val="006C026C"/>
    <w:rsid w:val="006C35C6"/>
    <w:rsid w:val="006D1757"/>
    <w:rsid w:val="006D412F"/>
    <w:rsid w:val="006E46F6"/>
    <w:rsid w:val="006E6762"/>
    <w:rsid w:val="006E7C17"/>
    <w:rsid w:val="006E7CDD"/>
    <w:rsid w:val="006F07B8"/>
    <w:rsid w:val="006F3BAB"/>
    <w:rsid w:val="00700D37"/>
    <w:rsid w:val="007063D0"/>
    <w:rsid w:val="007071D9"/>
    <w:rsid w:val="007119AF"/>
    <w:rsid w:val="00712522"/>
    <w:rsid w:val="007151D8"/>
    <w:rsid w:val="0071546E"/>
    <w:rsid w:val="00717EA3"/>
    <w:rsid w:val="00742D7E"/>
    <w:rsid w:val="00754495"/>
    <w:rsid w:val="00767B7A"/>
    <w:rsid w:val="00767BEB"/>
    <w:rsid w:val="007839B0"/>
    <w:rsid w:val="00785E5F"/>
    <w:rsid w:val="007A7BBD"/>
    <w:rsid w:val="007B06F7"/>
    <w:rsid w:val="007B53D0"/>
    <w:rsid w:val="007C3A7C"/>
    <w:rsid w:val="007D23DC"/>
    <w:rsid w:val="007E471C"/>
    <w:rsid w:val="007F238D"/>
    <w:rsid w:val="007F5EB0"/>
    <w:rsid w:val="00805D16"/>
    <w:rsid w:val="00814CF7"/>
    <w:rsid w:val="00826060"/>
    <w:rsid w:val="00832FC3"/>
    <w:rsid w:val="0083595F"/>
    <w:rsid w:val="00841B71"/>
    <w:rsid w:val="00843758"/>
    <w:rsid w:val="00862634"/>
    <w:rsid w:val="008630C8"/>
    <w:rsid w:val="008746C0"/>
    <w:rsid w:val="0088299B"/>
    <w:rsid w:val="008B2652"/>
    <w:rsid w:val="008B55A5"/>
    <w:rsid w:val="008D72EC"/>
    <w:rsid w:val="008F6D25"/>
    <w:rsid w:val="00900B3E"/>
    <w:rsid w:val="00915B11"/>
    <w:rsid w:val="00921519"/>
    <w:rsid w:val="00924369"/>
    <w:rsid w:val="00941314"/>
    <w:rsid w:val="009502E0"/>
    <w:rsid w:val="009537C3"/>
    <w:rsid w:val="00962332"/>
    <w:rsid w:val="0097783F"/>
    <w:rsid w:val="009840C3"/>
    <w:rsid w:val="009B48F2"/>
    <w:rsid w:val="009C47D3"/>
    <w:rsid w:val="009D3217"/>
    <w:rsid w:val="009D503A"/>
    <w:rsid w:val="009D5EE4"/>
    <w:rsid w:val="009E56C7"/>
    <w:rsid w:val="009F48AA"/>
    <w:rsid w:val="009F5929"/>
    <w:rsid w:val="009F66B6"/>
    <w:rsid w:val="00A26EF5"/>
    <w:rsid w:val="00A343E4"/>
    <w:rsid w:val="00A84B39"/>
    <w:rsid w:val="00A856B1"/>
    <w:rsid w:val="00A9016F"/>
    <w:rsid w:val="00A975C9"/>
    <w:rsid w:val="00AA06F2"/>
    <w:rsid w:val="00AA6238"/>
    <w:rsid w:val="00AB4907"/>
    <w:rsid w:val="00AB6031"/>
    <w:rsid w:val="00AC0C5E"/>
    <w:rsid w:val="00AC3838"/>
    <w:rsid w:val="00AD14C2"/>
    <w:rsid w:val="00AE0696"/>
    <w:rsid w:val="00AF4664"/>
    <w:rsid w:val="00B231FD"/>
    <w:rsid w:val="00B30906"/>
    <w:rsid w:val="00B36FDA"/>
    <w:rsid w:val="00B450D9"/>
    <w:rsid w:val="00B473D4"/>
    <w:rsid w:val="00B61255"/>
    <w:rsid w:val="00B8683E"/>
    <w:rsid w:val="00B95C11"/>
    <w:rsid w:val="00BA0842"/>
    <w:rsid w:val="00BA55DC"/>
    <w:rsid w:val="00BB116F"/>
    <w:rsid w:val="00BB2597"/>
    <w:rsid w:val="00BD33BA"/>
    <w:rsid w:val="00BD4A08"/>
    <w:rsid w:val="00BE4F62"/>
    <w:rsid w:val="00BF06D8"/>
    <w:rsid w:val="00BF0A7B"/>
    <w:rsid w:val="00BF2944"/>
    <w:rsid w:val="00C0193F"/>
    <w:rsid w:val="00C102B3"/>
    <w:rsid w:val="00C16318"/>
    <w:rsid w:val="00C21C68"/>
    <w:rsid w:val="00C22D43"/>
    <w:rsid w:val="00C31FE7"/>
    <w:rsid w:val="00C32C9E"/>
    <w:rsid w:val="00C348D6"/>
    <w:rsid w:val="00C3597A"/>
    <w:rsid w:val="00C41F3F"/>
    <w:rsid w:val="00C423FD"/>
    <w:rsid w:val="00C46015"/>
    <w:rsid w:val="00C53857"/>
    <w:rsid w:val="00C567E7"/>
    <w:rsid w:val="00C64016"/>
    <w:rsid w:val="00C77805"/>
    <w:rsid w:val="00C847FF"/>
    <w:rsid w:val="00C908B1"/>
    <w:rsid w:val="00C94BB7"/>
    <w:rsid w:val="00CA0998"/>
    <w:rsid w:val="00CB6B1F"/>
    <w:rsid w:val="00CB79D7"/>
    <w:rsid w:val="00CC102F"/>
    <w:rsid w:val="00CC13D8"/>
    <w:rsid w:val="00CD23BA"/>
    <w:rsid w:val="00CD477E"/>
    <w:rsid w:val="00CE7AE6"/>
    <w:rsid w:val="00D0148D"/>
    <w:rsid w:val="00D21D59"/>
    <w:rsid w:val="00D235AB"/>
    <w:rsid w:val="00D304E2"/>
    <w:rsid w:val="00D33C24"/>
    <w:rsid w:val="00D42581"/>
    <w:rsid w:val="00D42E43"/>
    <w:rsid w:val="00D456E4"/>
    <w:rsid w:val="00D57F75"/>
    <w:rsid w:val="00D7077B"/>
    <w:rsid w:val="00D71209"/>
    <w:rsid w:val="00D75702"/>
    <w:rsid w:val="00D83DC7"/>
    <w:rsid w:val="00D866F0"/>
    <w:rsid w:val="00D909E0"/>
    <w:rsid w:val="00D910DD"/>
    <w:rsid w:val="00DA3DAA"/>
    <w:rsid w:val="00DC00FA"/>
    <w:rsid w:val="00DD23FB"/>
    <w:rsid w:val="00DE657C"/>
    <w:rsid w:val="00E002E4"/>
    <w:rsid w:val="00E26E2E"/>
    <w:rsid w:val="00E36612"/>
    <w:rsid w:val="00E36CDD"/>
    <w:rsid w:val="00E42864"/>
    <w:rsid w:val="00E5213A"/>
    <w:rsid w:val="00E57466"/>
    <w:rsid w:val="00E66FB8"/>
    <w:rsid w:val="00E7245A"/>
    <w:rsid w:val="00E75D49"/>
    <w:rsid w:val="00E82142"/>
    <w:rsid w:val="00E90DF4"/>
    <w:rsid w:val="00E941DE"/>
    <w:rsid w:val="00E978E7"/>
    <w:rsid w:val="00EA0C43"/>
    <w:rsid w:val="00EA3A22"/>
    <w:rsid w:val="00EB199F"/>
    <w:rsid w:val="00EC0E41"/>
    <w:rsid w:val="00EC2D87"/>
    <w:rsid w:val="00ED033F"/>
    <w:rsid w:val="00ED1243"/>
    <w:rsid w:val="00ED189F"/>
    <w:rsid w:val="00ED2D21"/>
    <w:rsid w:val="00ED55D8"/>
    <w:rsid w:val="00F11B0A"/>
    <w:rsid w:val="00F22CC2"/>
    <w:rsid w:val="00F23ED4"/>
    <w:rsid w:val="00F25713"/>
    <w:rsid w:val="00F329BE"/>
    <w:rsid w:val="00F379CC"/>
    <w:rsid w:val="00F37E2B"/>
    <w:rsid w:val="00F410A4"/>
    <w:rsid w:val="00F47BE7"/>
    <w:rsid w:val="00F54097"/>
    <w:rsid w:val="00F7745D"/>
    <w:rsid w:val="00F77AAC"/>
    <w:rsid w:val="00F77E17"/>
    <w:rsid w:val="00F91E0E"/>
    <w:rsid w:val="00FA5EE7"/>
    <w:rsid w:val="00FB0B9D"/>
    <w:rsid w:val="00FB1523"/>
    <w:rsid w:val="00FB5387"/>
    <w:rsid w:val="00FB63B3"/>
    <w:rsid w:val="00FC3106"/>
    <w:rsid w:val="00FD0DF7"/>
    <w:rsid w:val="00FF5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5:chartTrackingRefBased/>
  <w15:docId w15:val="{3D4D5B93-5D00-4FF6-9539-4955F8C9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napToGrid/>
      <w:sz w:val="20"/>
    </w:rPr>
  </w:style>
  <w:style w:type="character" w:styleId="FootnoteReference">
    <w:name w:val="footnote reference"/>
    <w:semiHidden/>
    <w:rPr>
      <w:vertAlign w:val="superscript"/>
    </w:rPr>
  </w:style>
  <w:style w:type="paragraph" w:styleId="BodyTextIndent">
    <w:name w:val="Body Text Indent"/>
    <w:basedOn w:val="Normal"/>
    <w:pPr>
      <w:ind w:firstLine="720"/>
      <w:jc w:val="both"/>
    </w:pPr>
    <w:rPr>
      <w:rFonts w:ascii="Times" w:hAnsi="Times"/>
    </w:rPr>
  </w:style>
  <w:style w:type="paragraph" w:styleId="BodyTextIndent2">
    <w:name w:val="Body Text Indent 2"/>
    <w:basedOn w:val="Normal"/>
    <w:pPr>
      <w:ind w:firstLine="720"/>
    </w:pPr>
    <w:rPr>
      <w:rFonts w:ascii="Times" w:hAnsi="Times"/>
      <w:color w:val="000000"/>
      <w:szCs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Times" w:hAnsi="Times"/>
      <w:color w:val="000000"/>
      <w:szCs w:val="24"/>
    </w:rPr>
  </w:style>
  <w:style w:type="paragraph" w:styleId="BalloonText">
    <w:name w:val="Balloon Text"/>
    <w:basedOn w:val="Normal"/>
    <w:semiHidden/>
    <w:rsid w:val="00C32C9E"/>
    <w:rPr>
      <w:rFonts w:ascii="Tahoma" w:hAnsi="Tahoma" w:cs="Tahoma"/>
      <w:sz w:val="16"/>
      <w:szCs w:val="16"/>
    </w:rPr>
  </w:style>
  <w:style w:type="character" w:styleId="CommentReference">
    <w:name w:val="annotation reference"/>
    <w:semiHidden/>
    <w:rsid w:val="00C32C9E"/>
    <w:rPr>
      <w:sz w:val="16"/>
      <w:szCs w:val="16"/>
    </w:rPr>
  </w:style>
  <w:style w:type="paragraph" w:styleId="CommentText">
    <w:name w:val="annotation text"/>
    <w:basedOn w:val="Normal"/>
    <w:semiHidden/>
    <w:rsid w:val="00C32C9E"/>
    <w:rPr>
      <w:sz w:val="20"/>
    </w:rPr>
  </w:style>
  <w:style w:type="paragraph" w:styleId="CommentSubject">
    <w:name w:val="annotation subject"/>
    <w:basedOn w:val="CommentText"/>
    <w:next w:val="CommentText"/>
    <w:semiHidden/>
    <w:rsid w:val="00C32C9E"/>
    <w:rPr>
      <w:b/>
      <w:bCs/>
    </w:rPr>
  </w:style>
  <w:style w:type="character" w:styleId="FollowedHyperlink">
    <w:name w:val="FollowedHyperlink"/>
    <w:rsid w:val="006A08B6"/>
    <w:rPr>
      <w:color w:val="800080"/>
      <w:u w:val="single"/>
    </w:rPr>
  </w:style>
  <w:style w:type="paragraph" w:styleId="Header">
    <w:name w:val="header"/>
    <w:basedOn w:val="Normal"/>
    <w:rsid w:val="00F23ED4"/>
    <w:pPr>
      <w:tabs>
        <w:tab w:val="center" w:pos="4320"/>
        <w:tab w:val="right" w:pos="8640"/>
      </w:tabs>
    </w:pPr>
    <w:rPr>
      <w:snapToGrid/>
      <w:szCs w:val="24"/>
    </w:rPr>
  </w:style>
  <w:style w:type="paragraph" w:customStyle="1" w:styleId="A-FRNP2Body">
    <w:name w:val="A-FRN P2 Body"/>
    <w:basedOn w:val="Normal"/>
    <w:rsid w:val="00B30906"/>
    <w:pPr>
      <w:numPr>
        <w:numId w:val="1"/>
      </w:numPr>
      <w:tabs>
        <w:tab w:val="clear" w:pos="720"/>
        <w:tab w:val="left" w:pos="1152"/>
      </w:tabs>
      <w:spacing w:line="480" w:lineRule="auto"/>
      <w:ind w:left="0" w:firstLine="720"/>
    </w:pPr>
    <w:rPr>
      <w:snapToGrid/>
      <w:szCs w:val="24"/>
    </w:rPr>
  </w:style>
  <w:style w:type="paragraph" w:styleId="BodyTextIndent3">
    <w:name w:val="Body Text Indent 3"/>
    <w:basedOn w:val="Normal"/>
    <w:rsid w:val="00294902"/>
    <w:pPr>
      <w:spacing w:after="120"/>
      <w:ind w:left="360"/>
    </w:pPr>
    <w:rPr>
      <w:sz w:val="16"/>
      <w:szCs w:val="16"/>
    </w:rPr>
  </w:style>
  <w:style w:type="paragraph" w:customStyle="1" w:styleId="A-FRNAMABullets">
    <w:name w:val="A-FRN AMA Bullets"/>
    <w:basedOn w:val="Normal"/>
    <w:rsid w:val="006D412F"/>
    <w:pPr>
      <w:widowControl w:val="0"/>
      <w:tabs>
        <w:tab w:val="num" w:pos="1080"/>
      </w:tabs>
      <w:spacing w:line="480" w:lineRule="auto"/>
      <w:ind w:left="1080" w:hanging="360"/>
    </w:pPr>
    <w:rPr>
      <w:snapToGrid/>
      <w:szCs w:val="24"/>
    </w:rPr>
  </w:style>
  <w:style w:type="character" w:customStyle="1" w:styleId="FooterChar">
    <w:name w:val="Footer Char"/>
    <w:link w:val="Footer"/>
    <w:uiPriority w:val="99"/>
    <w:rsid w:val="00C847FF"/>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6461A-E9B8-432D-B918-631CBD09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1340</Words>
  <Characters>7643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Supporting Statement for *** (FR ####; OMB No</vt:lpstr>
    </vt:vector>
  </TitlesOfParts>
  <Company>FRB</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 (FR ####; OMB No</dc:title>
  <dc:subject/>
  <dc:creator>m1mel00</dc:creator>
  <cp:keywords/>
  <cp:lastModifiedBy>Gottlieb, Mary</cp:lastModifiedBy>
  <cp:revision>2</cp:revision>
  <cp:lastPrinted>2017-07-12T16:19:00Z</cp:lastPrinted>
  <dcterms:created xsi:type="dcterms:W3CDTF">2020-08-18T13:41:00Z</dcterms:created>
  <dcterms:modified xsi:type="dcterms:W3CDTF">2020-08-18T13:41:00Z</dcterms:modified>
</cp:coreProperties>
</file>