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7E4" w:rsidR="00E9076D" w:rsidP="00E9076D" w:rsidRDefault="007E2EEB">
      <w:pPr>
        <w:tabs>
          <w:tab w:val="center" w:pos="4680"/>
        </w:tabs>
        <w:rPr>
          <w:rFonts w:ascii="Calibri" w:hAnsi="Calibri" w:cs="Berylium"/>
          <w:b/>
          <w:bCs/>
          <w:sz w:val="22"/>
          <w:szCs w:val="22"/>
        </w:rPr>
      </w:pPr>
      <w:bookmarkStart w:name="_GoBack" w:id="0"/>
      <w:bookmarkEnd w:id="0"/>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ED6812" w:rsidR="00ED6812" w:rsidP="00ED6812" w:rsidRDefault="00ED6812">
      <w:pPr>
        <w:tabs>
          <w:tab w:val="center" w:pos="4680"/>
        </w:tabs>
        <w:jc w:val="center"/>
        <w:rPr>
          <w:rFonts w:ascii="Calibri" w:hAnsi="Calibri" w:cs="Berylium"/>
          <w:b/>
          <w:bCs/>
          <w:sz w:val="22"/>
          <w:szCs w:val="22"/>
        </w:rPr>
      </w:pPr>
      <w:r w:rsidRPr="00ED6812">
        <w:rPr>
          <w:rFonts w:ascii="Calibri" w:hAnsi="Calibri" w:cs="Berylium"/>
          <w:b/>
          <w:bCs/>
          <w:sz w:val="22"/>
          <w:szCs w:val="22"/>
        </w:rPr>
        <w:t>Manner of making election to terminate tax-exempt bond financing</w:t>
      </w:r>
    </w:p>
    <w:p w:rsidRPr="00ED6812" w:rsidR="00ED6812" w:rsidP="00ED6812" w:rsidRDefault="00ED6812">
      <w:pPr>
        <w:tabs>
          <w:tab w:val="center" w:pos="4680"/>
        </w:tabs>
        <w:jc w:val="center"/>
        <w:rPr>
          <w:rFonts w:ascii="Calibri" w:hAnsi="Calibri" w:cs="Berylium"/>
          <w:b/>
          <w:bCs/>
          <w:sz w:val="22"/>
          <w:szCs w:val="22"/>
        </w:rPr>
      </w:pPr>
      <w:r w:rsidRPr="00ED6812">
        <w:rPr>
          <w:rFonts w:ascii="Calibri" w:hAnsi="Calibri" w:cs="Berylium"/>
          <w:b/>
          <w:bCs/>
          <w:sz w:val="22"/>
          <w:szCs w:val="22"/>
        </w:rPr>
        <w:t>Obligations of States and Political Subdivisions (TD 8941)</w:t>
      </w:r>
    </w:p>
    <w:p w:rsidRPr="00ED6812" w:rsidR="00ED6812" w:rsidP="00ED6812" w:rsidRDefault="00ED6812">
      <w:pPr>
        <w:tabs>
          <w:tab w:val="center" w:pos="4680"/>
        </w:tabs>
        <w:jc w:val="center"/>
        <w:rPr>
          <w:rFonts w:ascii="Calibri" w:hAnsi="Calibri" w:cs="Berylium"/>
          <w:b/>
          <w:bCs/>
          <w:sz w:val="22"/>
          <w:szCs w:val="22"/>
        </w:rPr>
      </w:pPr>
      <w:r w:rsidRPr="00ED6812">
        <w:rPr>
          <w:rFonts w:ascii="Calibri" w:hAnsi="Calibri" w:cs="Berylium"/>
          <w:b/>
          <w:bCs/>
          <w:sz w:val="22"/>
          <w:szCs w:val="22"/>
        </w:rPr>
        <w:t>OMB Number 1545-1730</w:t>
      </w:r>
    </w:p>
    <w:p w:rsidRPr="003127E4" w:rsidR="007E2EEB" w:rsidRDefault="007E2EEB">
      <w:pPr>
        <w:rPr>
          <w:rFonts w:ascii="Calibri" w:hAnsi="Calibri" w:cs="Berylium"/>
          <w:b/>
          <w:bCs/>
          <w:sz w:val="22"/>
          <w:szCs w:val="22"/>
        </w:rPr>
      </w:pPr>
    </w:p>
    <w:p w:rsidRPr="004F12D2"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pPr>
        <w:pStyle w:val="Level1"/>
        <w:numPr>
          <w:ilvl w:val="0"/>
          <w:numId w:val="0"/>
        </w:numPr>
        <w:tabs>
          <w:tab w:val="left" w:pos="-1440"/>
        </w:tabs>
        <w:ind w:left="720" w:hanging="720"/>
        <w:rPr>
          <w:rFonts w:ascii="Calibri" w:hAnsi="Calibri"/>
          <w:b/>
          <w:sz w:val="22"/>
          <w:szCs w:val="22"/>
        </w:rPr>
      </w:pPr>
    </w:p>
    <w:p w:rsidRPr="00ED6812" w:rsidR="00ED6812" w:rsidP="00ED6812" w:rsidRDefault="00ED6812">
      <w:pPr>
        <w:ind w:left="720"/>
        <w:rPr>
          <w:rFonts w:ascii="Calibri" w:hAnsi="Calibri" w:cs="Calibri"/>
          <w:bCs/>
          <w:sz w:val="22"/>
          <w:szCs w:val="22"/>
        </w:rPr>
      </w:pPr>
      <w:bookmarkStart w:name="_Hlk503267997" w:id="1"/>
      <w:bookmarkStart w:name="_Hlk17986999" w:id="2"/>
      <w:r w:rsidRPr="00ED6812">
        <w:rPr>
          <w:rFonts w:ascii="Calibri" w:hAnsi="Calibri" w:cs="Calibri"/>
          <w:bCs/>
          <w:sz w:val="22"/>
          <w:szCs w:val="22"/>
        </w:rPr>
        <w:t xml:space="preserve">Section 142(f)(4) of the Internal Revenue Code of 1986 permits a person engaged in the local furnishing of electric energy or gas that uses facilities financed with exempt facility bonds under section 142(a)(8) and that expands its service area in a manner inconsistent with the requirements of sections 142(a)(8) and 142(f) to make an election to ensure that those bonds will continue to be treated as tax-exempt bonds.  In order to make the election the person engaged in local furnishing must, among other things, agree to redeem all outstanding bonds that financed the facilities not later than 6 months after the later of the earliest date on which the bonds may be redeemed or the date of the election.  The final regulations (§1.142(f)-1) set forth the required time and manner of making this statutory election.  In general, the election must be made on or before the 90th day after the date of the service area expansion. The collection of information is </w:t>
      </w:r>
      <w:proofErr w:type="gramStart"/>
      <w:r w:rsidRPr="00ED6812">
        <w:rPr>
          <w:rFonts w:ascii="Calibri" w:hAnsi="Calibri" w:cs="Calibri"/>
          <w:bCs/>
          <w:sz w:val="22"/>
          <w:szCs w:val="22"/>
        </w:rPr>
        <w:t>mandatory</w:t>
      </w:r>
      <w:proofErr w:type="gramEnd"/>
      <w:r w:rsidRPr="00ED6812">
        <w:rPr>
          <w:rFonts w:ascii="Calibri" w:hAnsi="Calibri" w:cs="Calibri"/>
          <w:bCs/>
          <w:sz w:val="22"/>
          <w:szCs w:val="22"/>
        </w:rPr>
        <w:t xml:space="preserve"> and the likely respondents are business institutions.</w:t>
      </w:r>
    </w:p>
    <w:p w:rsidRPr="00A134E4" w:rsidR="00A134E4" w:rsidP="00A134E4" w:rsidRDefault="00A134E4">
      <w:pPr>
        <w:ind w:left="720"/>
        <w:rPr>
          <w:rFonts w:ascii="Calibri" w:hAnsi="Calibri" w:cs="Calibri"/>
          <w:bCs/>
          <w:sz w:val="22"/>
          <w:szCs w:val="22"/>
        </w:rPr>
      </w:pPr>
    </w:p>
    <w:bookmarkEnd w:id="1"/>
    <w:bookmarkEnd w:id="2"/>
    <w:p w:rsidRPr="003127E4"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pPr>
        <w:rPr>
          <w:rFonts w:ascii="Calibri" w:hAnsi="Calibri"/>
          <w:sz w:val="22"/>
          <w:szCs w:val="22"/>
        </w:rPr>
      </w:pPr>
    </w:p>
    <w:p w:rsidRPr="00010B0A" w:rsidR="00010B0A" w:rsidP="00DA38BF" w:rsidRDefault="004F12D2">
      <w:pPr>
        <w:pStyle w:val="Default"/>
        <w:ind w:left="720" w:hanging="720"/>
        <w:rPr>
          <w:rFonts w:ascii="Calibri" w:hAnsi="Calibri"/>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Pr="00ED6812" w:rsidR="00ED6812">
        <w:rPr>
          <w:rFonts w:ascii="Calibri" w:hAnsi="Calibri"/>
          <w:sz w:val="22"/>
          <w:szCs w:val="22"/>
        </w:rPr>
        <w:t>The data collected will be used by the Internal Revenue Service as the mechanism for identifying bonds that will remain tax-exempt notwithstanding a service area expansion that is inconsistent with the requirements of sections 142(a)(8) and 142(f).</w:t>
      </w:r>
      <w:r w:rsidRPr="00DA38BF" w:rsidR="00DA38BF">
        <w:rPr>
          <w:rFonts w:ascii="Calibri" w:hAnsi="Calibri"/>
          <w:sz w:val="22"/>
          <w:szCs w:val="22"/>
        </w:rPr>
        <w:t xml:space="preserve">                                   </w:t>
      </w:r>
    </w:p>
    <w:p w:rsidRPr="003127E4" w:rsidR="007E2EEB" w:rsidRDefault="007E2EEB">
      <w:pPr>
        <w:rPr>
          <w:rFonts w:ascii="Calibri" w:hAnsi="Calibri"/>
          <w:sz w:val="22"/>
          <w:szCs w:val="22"/>
        </w:rPr>
      </w:pPr>
      <w:r w:rsidRPr="003127E4">
        <w:rPr>
          <w:rFonts w:ascii="Calibri" w:hAnsi="Calibri"/>
          <w:sz w:val="22"/>
          <w:szCs w:val="22"/>
        </w:rPr>
        <w:t xml:space="preserve">    </w:t>
      </w:r>
    </w:p>
    <w:p w:rsidRPr="003127E4" w:rsidR="007E2EEB" w:rsidRDefault="007E2EEB">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pPr>
        <w:rPr>
          <w:rFonts w:ascii="Calibri" w:hAnsi="Calibri"/>
          <w:sz w:val="22"/>
          <w:szCs w:val="22"/>
        </w:rPr>
      </w:pPr>
    </w:p>
    <w:p w:rsidRPr="003127E4" w:rsidR="007E2EEB" w:rsidRDefault="0092632D">
      <w:pPr>
        <w:ind w:left="720"/>
        <w:rPr>
          <w:rFonts w:ascii="Calibri" w:hAnsi="Calibri"/>
          <w:sz w:val="22"/>
          <w:szCs w:val="22"/>
        </w:rPr>
      </w:pPr>
      <w:r w:rsidRPr="0092632D">
        <w:rPr>
          <w:rFonts w:ascii="Calibri" w:hAnsi="Calibri"/>
          <w:sz w:val="22"/>
          <w:szCs w:val="22"/>
        </w:rPr>
        <w:t>IRS Publications, Regulations, Notices and Letters are to be electronically enabled on an as practicable basis in accordance with the IRS Reform and Restructuring Act of 1998</w:t>
      </w:r>
      <w:r>
        <w:rPr>
          <w:rFonts w:ascii="Calibri" w:hAnsi="Calibri"/>
          <w:sz w:val="22"/>
          <w:szCs w:val="22"/>
        </w:rPr>
        <w:t>. E</w:t>
      </w:r>
      <w:r w:rsidRPr="00017836" w:rsidR="00017836">
        <w:rPr>
          <w:rFonts w:ascii="Calibri" w:hAnsi="Calibri"/>
          <w:sz w:val="22"/>
          <w:szCs w:val="22"/>
        </w:rPr>
        <w:t>lectronic</w:t>
      </w:r>
      <w:r>
        <w:rPr>
          <w:rFonts w:ascii="Calibri" w:hAnsi="Calibri"/>
          <w:sz w:val="22"/>
          <w:szCs w:val="22"/>
        </w:rPr>
        <w:t xml:space="preserve"> enabling is not available</w:t>
      </w:r>
      <w:r w:rsidRPr="00017836" w:rsidR="00017836">
        <w:rPr>
          <w:rFonts w:ascii="Calibri" w:hAnsi="Calibri"/>
          <w:sz w:val="22"/>
          <w:szCs w:val="22"/>
        </w:rPr>
        <w:t xml:space="preserve"> since its relatively low volume does not justify the cost</w:t>
      </w:r>
      <w:r>
        <w:rPr>
          <w:rFonts w:ascii="Calibri" w:hAnsi="Calibri"/>
          <w:sz w:val="22"/>
          <w:szCs w:val="22"/>
        </w:rPr>
        <w:t>.</w:t>
      </w:r>
    </w:p>
    <w:p w:rsidRPr="003127E4" w:rsidR="007E2EEB" w:rsidRDefault="007E2EEB">
      <w:pPr>
        <w:rPr>
          <w:rFonts w:ascii="Calibri" w:hAnsi="Calibri"/>
          <w:sz w:val="22"/>
          <w:szCs w:val="22"/>
        </w:rPr>
      </w:pPr>
    </w:p>
    <w:p w:rsidRPr="003127E4"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pPr>
        <w:rPr>
          <w:rFonts w:ascii="Calibri" w:hAnsi="Calibri"/>
          <w:sz w:val="22"/>
          <w:szCs w:val="22"/>
        </w:rPr>
      </w:pPr>
    </w:p>
    <w:p w:rsidR="0047289C" w:rsidP="002D4886" w:rsidRDefault="00715FFF">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pPr>
        <w:rPr>
          <w:rFonts w:ascii="Calibri" w:hAnsi="Calibri"/>
          <w:sz w:val="22"/>
          <w:szCs w:val="22"/>
        </w:rPr>
      </w:pPr>
    </w:p>
    <w:p w:rsidRPr="003127E4" w:rsidR="007E2EEB" w:rsidRDefault="007E2EEB">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pPr>
        <w:rPr>
          <w:rFonts w:ascii="Calibri" w:hAnsi="Calibri"/>
          <w:sz w:val="22"/>
          <w:szCs w:val="22"/>
        </w:rPr>
      </w:pPr>
    </w:p>
    <w:p w:rsidR="00F669A8" w:rsidRDefault="00354235">
      <w:pPr>
        <w:ind w:left="720"/>
        <w:rPr>
          <w:rFonts w:ascii="Calibri" w:hAnsi="Calibri" w:cs="Courier New"/>
          <w:color w:val="000000"/>
          <w:sz w:val="22"/>
          <w:szCs w:val="22"/>
        </w:rPr>
      </w:pPr>
      <w:r w:rsidRPr="00354235">
        <w:rPr>
          <w:rFonts w:ascii="Calibri" w:hAnsi="Calibri" w:cs="Courier New"/>
          <w:color w:val="000000"/>
          <w:sz w:val="22"/>
          <w:szCs w:val="22"/>
        </w:rPr>
        <w:t xml:space="preserve">Small businesses should not be disadvantaged as the requirements are structured to request the least amount of information and still satisfy the requirements of the statute and the needs of the Service.     </w:t>
      </w:r>
    </w:p>
    <w:p w:rsidRPr="003127E4" w:rsidR="00354235" w:rsidRDefault="00354235">
      <w:pPr>
        <w:ind w:left="720"/>
        <w:rPr>
          <w:rFonts w:ascii="Calibri" w:hAnsi="Calibri"/>
          <w:sz w:val="22"/>
          <w:szCs w:val="22"/>
        </w:rPr>
      </w:pPr>
    </w:p>
    <w:p w:rsidRPr="003127E4" w:rsidR="007E2EEB" w:rsidRDefault="007E2EEB">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pPr>
        <w:rPr>
          <w:rFonts w:ascii="Calibri" w:hAnsi="Calibri"/>
          <w:sz w:val="22"/>
          <w:szCs w:val="22"/>
        </w:rPr>
      </w:pPr>
    </w:p>
    <w:p w:rsidRPr="003127E4" w:rsidR="007E2EEB" w:rsidP="00017836" w:rsidRDefault="00354235">
      <w:pPr>
        <w:ind w:left="720"/>
        <w:rPr>
          <w:rFonts w:ascii="Calibri" w:hAnsi="Calibri"/>
          <w:sz w:val="22"/>
          <w:szCs w:val="22"/>
        </w:rPr>
      </w:pPr>
      <w:r w:rsidRPr="00354235">
        <w:rPr>
          <w:rFonts w:ascii="Calibri" w:hAnsi="Calibri"/>
          <w:sz w:val="22"/>
          <w:szCs w:val="22"/>
        </w:rPr>
        <w:t xml:space="preserve">The data collected will be used by the Internal Revenue Service as the mechanism for identifying bonds that will remain tax-exempt notwithstanding a service area expansion that is inconsistent </w:t>
      </w:r>
      <w:r w:rsidRPr="00354235">
        <w:rPr>
          <w:rFonts w:ascii="Calibri" w:hAnsi="Calibri"/>
          <w:sz w:val="22"/>
          <w:szCs w:val="22"/>
        </w:rPr>
        <w:lastRenderedPageBreak/>
        <w:t>with the requirements of sections 142(a)(8) and 142(f). The consequences are that the IRS will have to spend more taxpayer assistance resources to collect this data through other means.  This will compromise the Agency’s ability to enforce tax compliance.  Tax compliance is a vital part of the government’s ability to meet its’ mission and serve the public.</w:t>
      </w:r>
    </w:p>
    <w:p w:rsidRPr="003127E4" w:rsidR="007E2EEB" w:rsidRDefault="007E2EEB">
      <w:pPr>
        <w:rPr>
          <w:rFonts w:ascii="Calibri" w:hAnsi="Calibri"/>
          <w:sz w:val="22"/>
          <w:szCs w:val="22"/>
        </w:rPr>
      </w:pPr>
    </w:p>
    <w:p w:rsidRPr="003127E4" w:rsidR="007E2EEB" w:rsidRDefault="007E2EEB">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pPr>
        <w:rPr>
          <w:rFonts w:ascii="Calibri" w:hAnsi="Calibri"/>
          <w:sz w:val="22"/>
          <w:szCs w:val="22"/>
        </w:rPr>
      </w:pPr>
    </w:p>
    <w:p w:rsidR="007E2EEB" w:rsidP="00336BA4" w:rsidRDefault="00473D0D">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pPr>
        <w:rPr>
          <w:rFonts w:ascii="Calibri" w:hAnsi="Calibri"/>
          <w:sz w:val="22"/>
          <w:szCs w:val="22"/>
        </w:rPr>
      </w:pPr>
    </w:p>
    <w:p w:rsidRPr="003127E4" w:rsidR="007E2EEB" w:rsidP="00AF1AEA" w:rsidRDefault="00F26675">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sidR="007E2EEB">
        <w:rPr>
          <w:rFonts w:ascii="Calibri" w:hAnsi="Calibri"/>
          <w:b/>
          <w:sz w:val="22"/>
          <w:szCs w:val="22"/>
          <w:u w:val="single"/>
        </w:rPr>
        <w:t>C</w:t>
      </w:r>
      <w:r w:rsidRPr="00242885" w:rsidR="007E2EEB">
        <w:rPr>
          <w:rFonts w:ascii="Calibri" w:hAnsi="Calibri"/>
          <w:b/>
          <w:sz w:val="22"/>
          <w:szCs w:val="22"/>
          <w:u w:val="single"/>
        </w:rPr>
        <w:t>ONSULTA</w:t>
      </w:r>
      <w:r w:rsidRPr="00F26675" w:rsidR="007E2EEB">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pPr>
        <w:rPr>
          <w:rFonts w:ascii="Calibri" w:hAnsi="Calibri"/>
          <w:sz w:val="22"/>
          <w:szCs w:val="22"/>
        </w:rPr>
      </w:pPr>
    </w:p>
    <w:p w:rsidRPr="003127E4" w:rsidR="007E2EEB" w:rsidRDefault="00044F37">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182F0D">
        <w:rPr>
          <w:rFonts w:ascii="Calibri" w:hAnsi="Calibri"/>
          <w:sz w:val="22"/>
          <w:szCs w:val="22"/>
        </w:rPr>
        <w:t xml:space="preserve">October </w:t>
      </w:r>
      <w:r w:rsidR="00354235">
        <w:rPr>
          <w:rFonts w:ascii="Calibri" w:hAnsi="Calibri"/>
          <w:sz w:val="22"/>
          <w:szCs w:val="22"/>
        </w:rPr>
        <w:t>2</w:t>
      </w:r>
      <w:r w:rsidR="00182F0D">
        <w:rPr>
          <w:rFonts w:ascii="Calibri" w:hAnsi="Calibri"/>
          <w:sz w:val="22"/>
          <w:szCs w:val="22"/>
        </w:rPr>
        <w:t>2</w:t>
      </w:r>
      <w:r w:rsidRPr="00120003" w:rsidR="00DE00E7">
        <w:rPr>
          <w:rFonts w:ascii="Calibri" w:hAnsi="Calibri"/>
          <w:sz w:val="22"/>
          <w:szCs w:val="22"/>
        </w:rPr>
        <w:t>, 2019</w:t>
      </w:r>
      <w:r w:rsidRPr="00120003" w:rsidR="00D71370">
        <w:rPr>
          <w:rFonts w:ascii="Calibri" w:hAnsi="Calibri"/>
          <w:sz w:val="22"/>
          <w:szCs w:val="22"/>
        </w:rPr>
        <w:t xml:space="preserve"> </w:t>
      </w:r>
      <w:r w:rsidRPr="00120003">
        <w:rPr>
          <w:rFonts w:ascii="Calibri" w:hAnsi="Calibri"/>
          <w:sz w:val="22"/>
          <w:szCs w:val="22"/>
        </w:rPr>
        <w:t>(8</w:t>
      </w:r>
      <w:r w:rsidRPr="00120003" w:rsidR="00DE00E7">
        <w:rPr>
          <w:rFonts w:ascii="Calibri" w:hAnsi="Calibri"/>
          <w:sz w:val="22"/>
          <w:szCs w:val="22"/>
        </w:rPr>
        <w:t>4</w:t>
      </w:r>
      <w:r w:rsidRPr="00120003">
        <w:rPr>
          <w:rFonts w:ascii="Calibri" w:hAnsi="Calibri"/>
          <w:sz w:val="22"/>
          <w:szCs w:val="22"/>
        </w:rPr>
        <w:t xml:space="preserve"> FR</w:t>
      </w:r>
      <w:r w:rsidRPr="00120003" w:rsidR="00120003">
        <w:rPr>
          <w:rFonts w:ascii="Calibri" w:hAnsi="Calibri"/>
          <w:sz w:val="22"/>
          <w:szCs w:val="22"/>
        </w:rPr>
        <w:t xml:space="preserve"> </w:t>
      </w:r>
      <w:r w:rsidRPr="00182F0D" w:rsidR="00182F0D">
        <w:rPr>
          <w:rFonts w:ascii="Calibri" w:hAnsi="Calibri"/>
          <w:sz w:val="22"/>
          <w:szCs w:val="22"/>
        </w:rPr>
        <w:t>5</w:t>
      </w:r>
      <w:r w:rsidR="00354235">
        <w:rPr>
          <w:rFonts w:ascii="Calibri" w:hAnsi="Calibri"/>
          <w:sz w:val="22"/>
          <w:szCs w:val="22"/>
        </w:rPr>
        <w:t>6534</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pPr>
        <w:tabs>
          <w:tab w:val="center" w:pos="4680"/>
        </w:tabs>
        <w:rPr>
          <w:rFonts w:ascii="Calibri" w:hAnsi="Calibri"/>
          <w:sz w:val="22"/>
          <w:szCs w:val="22"/>
        </w:rPr>
      </w:pPr>
    </w:p>
    <w:p w:rsidRPr="003127E4" w:rsidR="007E2EEB" w:rsidP="00AF1AEA" w:rsidRDefault="007E2EEB">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pPr>
        <w:rPr>
          <w:rFonts w:ascii="Calibri" w:hAnsi="Calibri"/>
          <w:sz w:val="22"/>
          <w:szCs w:val="22"/>
        </w:rPr>
      </w:pPr>
    </w:p>
    <w:p w:rsidRPr="002A31A5" w:rsidR="006E6E53" w:rsidP="006E6E53" w:rsidRDefault="006E6E53">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pPr>
        <w:rPr>
          <w:rFonts w:ascii="Calibri" w:hAnsi="Calibri" w:cs="Calibri"/>
          <w:sz w:val="22"/>
          <w:szCs w:val="22"/>
        </w:rPr>
      </w:pPr>
    </w:p>
    <w:p w:rsidRPr="003127E4" w:rsidR="007E2EEB" w:rsidP="00AF1AEA" w:rsidRDefault="007E2EEB">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pPr>
        <w:rPr>
          <w:rFonts w:ascii="Calibri" w:hAnsi="Calibri"/>
          <w:sz w:val="22"/>
          <w:szCs w:val="22"/>
        </w:rPr>
      </w:pPr>
    </w:p>
    <w:p w:rsidRPr="003127E4" w:rsidR="007E2EEB" w:rsidRDefault="007E2EEB">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pPr>
        <w:rPr>
          <w:rFonts w:ascii="Calibri" w:hAnsi="Calibri"/>
          <w:sz w:val="22"/>
          <w:szCs w:val="22"/>
        </w:rPr>
      </w:pPr>
    </w:p>
    <w:p w:rsidRPr="003127E4" w:rsidR="007E2EEB" w:rsidP="00AF1AEA" w:rsidRDefault="007E2EEB">
      <w:pPr>
        <w:pStyle w:val="Level1"/>
        <w:numPr>
          <w:ilvl w:val="0"/>
          <w:numId w:val="4"/>
        </w:numPr>
        <w:tabs>
          <w:tab w:val="left" w:pos="-1440"/>
        </w:tabs>
        <w:rPr>
          <w:rFonts w:ascii="Calibri" w:hAnsi="Calibri"/>
          <w:b/>
          <w:sz w:val="22"/>
          <w:szCs w:val="22"/>
          <w:u w:val="single"/>
        </w:rPr>
      </w:pPr>
      <w:r w:rsidRPr="00295A3A">
        <w:rPr>
          <w:rFonts w:ascii="Calibri" w:hAnsi="Calibri"/>
          <w:b/>
          <w:sz w:val="22"/>
          <w:szCs w:val="22"/>
          <w:u w:val="single"/>
        </w:rPr>
        <w:t>JUSTIFICATION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pPr>
        <w:rPr>
          <w:rFonts w:ascii="Calibri" w:hAnsi="Calibri"/>
          <w:sz w:val="22"/>
          <w:szCs w:val="22"/>
          <w:u w:val="single"/>
        </w:rPr>
      </w:pPr>
    </w:p>
    <w:p w:rsidRPr="00354235" w:rsidR="00354235" w:rsidP="00354235" w:rsidRDefault="00354235">
      <w:pPr>
        <w:ind w:left="720"/>
        <w:rPr>
          <w:rFonts w:ascii="Calibri" w:hAnsi="Calibri"/>
          <w:sz w:val="22"/>
          <w:szCs w:val="22"/>
        </w:rPr>
      </w:pPr>
      <w:bookmarkStart w:name="_Hlk504987468" w:id="3"/>
      <w:r w:rsidRPr="00354235">
        <w:rPr>
          <w:rFonts w:ascii="Calibri" w:hAnsi="Calibri"/>
          <w:sz w:val="22"/>
          <w:szCs w:val="22"/>
        </w:rPr>
        <w:t>A privacy impact assessment (PIA) has been conducted for information collected under this request as part of the “Business Master File, BMF” system and a Privacy Act System of Records notice (SORN) has been issued for this system under: Treas/IRS 24.046 BMF, Treas/IRS 34.047 Audit trail and security records system.</w:t>
      </w:r>
    </w:p>
    <w:p w:rsidRPr="00354235" w:rsidR="00354235" w:rsidP="00354235" w:rsidRDefault="00354235">
      <w:pPr>
        <w:ind w:left="720"/>
        <w:rPr>
          <w:rFonts w:ascii="Calibri" w:hAnsi="Calibri"/>
          <w:sz w:val="22"/>
          <w:szCs w:val="22"/>
        </w:rPr>
      </w:pPr>
    </w:p>
    <w:p w:rsidRPr="00354235" w:rsidR="00354235" w:rsidP="00354235" w:rsidRDefault="00354235">
      <w:pPr>
        <w:ind w:left="720"/>
        <w:rPr>
          <w:rFonts w:ascii="Calibri" w:hAnsi="Calibri"/>
          <w:sz w:val="22"/>
          <w:szCs w:val="22"/>
        </w:rPr>
      </w:pPr>
      <w:r w:rsidRPr="00354235">
        <w:rPr>
          <w:rFonts w:ascii="Calibri" w:hAnsi="Calibri"/>
          <w:sz w:val="22"/>
          <w:szCs w:val="22"/>
        </w:rPr>
        <w:t>The Internal Revenue Service PIA’s can be found a</w:t>
      </w:r>
    </w:p>
    <w:p w:rsidRPr="00354235" w:rsidR="00354235" w:rsidP="00354235" w:rsidRDefault="00354235">
      <w:pPr>
        <w:ind w:left="720"/>
        <w:rPr>
          <w:rFonts w:ascii="Calibri" w:hAnsi="Calibri"/>
          <w:sz w:val="22"/>
          <w:szCs w:val="22"/>
        </w:rPr>
      </w:pPr>
      <w:hyperlink w:history="1" r:id="rId7">
        <w:r w:rsidRPr="007C08DC">
          <w:rPr>
            <w:rStyle w:val="Hyperlink"/>
            <w:rFonts w:ascii="Calibri" w:hAnsi="Calibri"/>
            <w:sz w:val="22"/>
            <w:szCs w:val="22"/>
          </w:rPr>
          <w:t>https://www.irs.gov/uac/Privacy-Impact-Assessments-PIA</w:t>
        </w:r>
      </w:hyperlink>
      <w:r>
        <w:rPr>
          <w:rFonts w:ascii="Calibri" w:hAnsi="Calibri"/>
          <w:sz w:val="22"/>
          <w:szCs w:val="22"/>
        </w:rPr>
        <w:t xml:space="preserve"> </w:t>
      </w:r>
      <w:r w:rsidRPr="00354235">
        <w:rPr>
          <w:rFonts w:ascii="Calibri" w:hAnsi="Calibri"/>
          <w:sz w:val="22"/>
          <w:szCs w:val="22"/>
        </w:rPr>
        <w:t xml:space="preserve"> .        </w:t>
      </w:r>
    </w:p>
    <w:p w:rsidRPr="00354235" w:rsidR="00354235" w:rsidP="00354235" w:rsidRDefault="00354235">
      <w:pPr>
        <w:ind w:left="720"/>
        <w:rPr>
          <w:rFonts w:ascii="Calibri" w:hAnsi="Calibri"/>
          <w:sz w:val="22"/>
          <w:szCs w:val="22"/>
        </w:rPr>
      </w:pPr>
    </w:p>
    <w:p w:rsidRPr="00354235" w:rsidR="00354235" w:rsidP="00354235" w:rsidRDefault="00354235">
      <w:pPr>
        <w:ind w:left="720"/>
        <w:rPr>
          <w:rFonts w:ascii="Calibri" w:hAnsi="Calibri"/>
          <w:sz w:val="22"/>
          <w:szCs w:val="22"/>
        </w:rPr>
      </w:pPr>
      <w:r w:rsidRPr="00354235">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003A5A1A" w:rsidP="00044F37" w:rsidRDefault="003A5A1A">
      <w:pPr>
        <w:ind w:left="720"/>
        <w:rPr>
          <w:rFonts w:ascii="Calibri" w:hAnsi="Calibri"/>
          <w:sz w:val="22"/>
          <w:szCs w:val="22"/>
        </w:rPr>
      </w:pPr>
    </w:p>
    <w:p w:rsidR="007E2EEB" w:rsidP="00AF1AEA" w:rsidRDefault="007E2EEB">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pPr>
        <w:pStyle w:val="Level1"/>
        <w:numPr>
          <w:ilvl w:val="0"/>
          <w:numId w:val="0"/>
        </w:numPr>
        <w:tabs>
          <w:tab w:val="left" w:pos="-1440"/>
        </w:tabs>
        <w:ind w:left="720" w:hanging="720"/>
        <w:rPr>
          <w:rFonts w:ascii="Calibri" w:hAnsi="Calibri"/>
          <w:b/>
          <w:sz w:val="22"/>
          <w:szCs w:val="22"/>
          <w:u w:val="single"/>
        </w:rPr>
      </w:pPr>
    </w:p>
    <w:p w:rsidRPr="005C1382" w:rsidR="00354235" w:rsidP="00354235" w:rsidRDefault="00354235">
      <w:pPr>
        <w:widowControl/>
        <w:ind w:left="720"/>
        <w:rPr>
          <w:rFonts w:ascii="Calibri" w:hAnsi="Calibri" w:cs="Calibri"/>
          <w:sz w:val="22"/>
          <w:szCs w:val="22"/>
        </w:rPr>
      </w:pPr>
      <w:r w:rsidRPr="005C1382">
        <w:rPr>
          <w:rFonts w:ascii="Calibri" w:hAnsi="Calibri" w:cs="Calibri"/>
          <w:sz w:val="22"/>
          <w:szCs w:val="22"/>
        </w:rPr>
        <w:t>Section 142(f)(4) permits a person engaged in the local furnishing of electric energy or gas that uses facilities financed with exempt facility bonds under section 142(a)(8) and that expands its service area in a manner inconsistent with the requirements of sections 142(a)(8) and 142(f) to make an election to ensure that those bonds will continue to be treated as tax-exempt bonds.  The final regulations provide that the election shall be submitted in writing to the IRS and must contain the following information--</w:t>
      </w:r>
    </w:p>
    <w:p w:rsidRPr="00354235" w:rsidR="00354235" w:rsidP="00354235" w:rsidRDefault="00354235">
      <w:pPr>
        <w:widowControl/>
        <w:ind w:left="720"/>
        <w:rPr>
          <w:rFonts w:ascii="Arial" w:hAnsi="Arial" w:cs="Arial"/>
        </w:rPr>
        <w:sectPr w:rsidRPr="00354235" w:rsidR="00354235">
          <w:type w:val="continuous"/>
          <w:pgSz w:w="12240" w:h="15840"/>
          <w:pgMar w:top="1440" w:right="1440" w:bottom="1440" w:left="1440" w:header="1440" w:footer="1440" w:gutter="0"/>
          <w:cols w:space="720"/>
          <w:noEndnote/>
        </w:sectPr>
      </w:pPr>
    </w:p>
    <w:p w:rsidRPr="005C1382" w:rsidR="00354235" w:rsidP="00354235" w:rsidRDefault="00354235">
      <w:pPr>
        <w:widowControl/>
        <w:ind w:firstLine="2160"/>
        <w:rPr>
          <w:rFonts w:ascii="Calibri" w:hAnsi="Calibri" w:cs="Calibri"/>
          <w:sz w:val="22"/>
          <w:szCs w:val="22"/>
        </w:rPr>
      </w:pPr>
      <w:r w:rsidRPr="005C1382">
        <w:rPr>
          <w:rFonts w:ascii="Calibri" w:hAnsi="Calibri" w:cs="Calibri"/>
          <w:sz w:val="22"/>
          <w:szCs w:val="22"/>
        </w:rPr>
        <w:t>(1) The name of the local furnisher;</w:t>
      </w:r>
    </w:p>
    <w:p w:rsidRPr="005C1382" w:rsidR="00354235" w:rsidP="00354235" w:rsidRDefault="00354235">
      <w:pPr>
        <w:widowControl/>
        <w:ind w:firstLine="2160"/>
        <w:rPr>
          <w:rFonts w:ascii="Calibri" w:hAnsi="Calibri" w:cs="Calibri"/>
          <w:sz w:val="22"/>
          <w:szCs w:val="22"/>
        </w:rPr>
      </w:pPr>
      <w:r w:rsidRPr="005C1382">
        <w:rPr>
          <w:rFonts w:ascii="Calibri" w:hAnsi="Calibri" w:cs="Calibri"/>
          <w:sz w:val="22"/>
          <w:szCs w:val="22"/>
        </w:rPr>
        <w:lastRenderedPageBreak/>
        <w:t>(2) The tax identification number of the local furnisher;</w:t>
      </w:r>
    </w:p>
    <w:p w:rsidRPr="005C1382" w:rsidR="00354235" w:rsidP="00354235" w:rsidRDefault="00354235">
      <w:pPr>
        <w:widowControl/>
        <w:ind w:firstLine="2160"/>
        <w:rPr>
          <w:rFonts w:ascii="Calibri" w:hAnsi="Calibri" w:cs="Calibri"/>
          <w:sz w:val="22"/>
          <w:szCs w:val="22"/>
        </w:rPr>
      </w:pPr>
      <w:r w:rsidRPr="005C1382">
        <w:rPr>
          <w:rFonts w:ascii="Calibri" w:hAnsi="Calibri" w:cs="Calibri"/>
          <w:sz w:val="22"/>
          <w:szCs w:val="22"/>
        </w:rPr>
        <w:t>(3) The complete address of the local furnisher;</w:t>
      </w:r>
    </w:p>
    <w:p w:rsidRPr="005C1382" w:rsidR="00354235" w:rsidP="00354235" w:rsidRDefault="00354235">
      <w:pPr>
        <w:widowControl/>
        <w:ind w:firstLine="2160"/>
        <w:rPr>
          <w:rFonts w:ascii="Calibri" w:hAnsi="Calibri" w:cs="Calibri"/>
          <w:sz w:val="22"/>
          <w:szCs w:val="22"/>
        </w:rPr>
      </w:pPr>
      <w:r w:rsidRPr="005C1382">
        <w:rPr>
          <w:rFonts w:ascii="Calibri" w:hAnsi="Calibri" w:cs="Calibri"/>
          <w:sz w:val="22"/>
          <w:szCs w:val="22"/>
        </w:rPr>
        <w:t>(4) The date of the service area expansion;</w:t>
      </w:r>
    </w:p>
    <w:p w:rsidRPr="005C1382" w:rsidR="00354235" w:rsidP="00354235" w:rsidRDefault="00354235">
      <w:pPr>
        <w:widowControl/>
        <w:ind w:left="2160"/>
        <w:rPr>
          <w:rFonts w:ascii="Calibri" w:hAnsi="Calibri" w:cs="Calibri"/>
          <w:sz w:val="22"/>
          <w:szCs w:val="22"/>
        </w:rPr>
      </w:pPr>
      <w:r w:rsidRPr="005C1382">
        <w:rPr>
          <w:rFonts w:ascii="Calibri" w:hAnsi="Calibri" w:cs="Calibri"/>
          <w:sz w:val="22"/>
          <w:szCs w:val="22"/>
        </w:rPr>
        <w:t>(5) Identification of each bond issue subject to the election, including the complete name of each issue, the tax identification number of each issuer, the report number of the information return filed under section 149(e) for each issue, the issue date of each issue, the CUSIP number (if any) of the bond with the latest maturity of each issue, the issue price of each issue, the adjusted issue price of each issue as of the date of the election, the earliest date on which the bonds of each issue may be redeemed, and the principal amount of bonds of each issue to be redeemed on the earliest redemption date;</w:t>
      </w:r>
    </w:p>
    <w:p w:rsidRPr="005C1382" w:rsidR="00354235" w:rsidP="00354235" w:rsidRDefault="00354235">
      <w:pPr>
        <w:widowControl/>
        <w:ind w:left="2160"/>
        <w:rPr>
          <w:rFonts w:ascii="Calibri" w:hAnsi="Calibri" w:cs="Calibri"/>
          <w:sz w:val="22"/>
          <w:szCs w:val="22"/>
        </w:rPr>
      </w:pPr>
      <w:r w:rsidRPr="005C1382">
        <w:rPr>
          <w:rFonts w:ascii="Calibri" w:hAnsi="Calibri" w:cs="Calibri"/>
          <w:sz w:val="22"/>
          <w:szCs w:val="22"/>
        </w:rPr>
        <w:t>(6) A statement that the local furnisher making the election agrees to the conditions stated in section 142(f)(4)(B); and</w:t>
      </w:r>
    </w:p>
    <w:p w:rsidRPr="005C1382" w:rsidR="00354235" w:rsidP="00354235" w:rsidRDefault="00354235">
      <w:pPr>
        <w:widowControl/>
        <w:ind w:left="2160"/>
        <w:rPr>
          <w:rFonts w:ascii="Calibri" w:hAnsi="Calibri" w:cs="Calibri"/>
          <w:sz w:val="22"/>
          <w:szCs w:val="22"/>
        </w:rPr>
      </w:pPr>
      <w:r w:rsidRPr="005C1382">
        <w:rPr>
          <w:rFonts w:ascii="Calibri" w:hAnsi="Calibri" w:cs="Calibri"/>
          <w:sz w:val="22"/>
          <w:szCs w:val="22"/>
        </w:rPr>
        <w:t>(7) A statement that each issuer of the bonds subject to the election has received written notice of the election.</w:t>
      </w:r>
    </w:p>
    <w:p w:rsidRPr="00354235" w:rsidR="00354235" w:rsidP="00354235" w:rsidRDefault="00354235">
      <w:pPr>
        <w:widowControl/>
        <w:rPr>
          <w:rFonts w:ascii="Arial" w:hAnsi="Arial" w:cs="Arial"/>
        </w:rPr>
      </w:pPr>
    </w:p>
    <w:p w:rsidR="00CB0D14" w:rsidP="00CB0D14" w:rsidRDefault="00832AE8">
      <w:pPr>
        <w:pStyle w:val="Level1"/>
        <w:numPr>
          <w:ilvl w:val="0"/>
          <w:numId w:val="0"/>
        </w:numPr>
        <w:tabs>
          <w:tab w:val="left" w:pos="-1440"/>
        </w:tabs>
        <w:ind w:left="720" w:hanging="720"/>
        <w:rPr>
          <w:rFonts w:ascii="Calibri" w:hAnsi="Calibri"/>
          <w:b/>
          <w:sz w:val="22"/>
          <w:szCs w:val="22"/>
          <w:u w:val="single"/>
        </w:rPr>
      </w:pPr>
      <w:r>
        <w:rPr>
          <w:rFonts w:ascii="Calibri" w:hAnsi="Calibri"/>
          <w:sz w:val="22"/>
          <w:szCs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CB0D14" w:rsidTr="00CB0D14">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CB0D14">
            <w:pPr>
              <w:keepNext/>
              <w:keepLines/>
              <w:autoSpaceDE/>
              <w:adjustRightInd/>
              <w:jc w:val="center"/>
              <w:rPr>
                <w:rFonts w:ascii="Arial Narrow" w:hAnsi="Arial Narrow" w:cs="Calibri"/>
                <w:color w:val="000000"/>
                <w:sz w:val="20"/>
                <w:szCs w:val="20"/>
              </w:rPr>
            </w:pP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C723A3" w:rsidR="00F669A8" w:rsidTr="00AF1AEA">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FB13EB" w:rsidRDefault="00036EC2">
            <w:pPr>
              <w:keepNext/>
              <w:keepLines/>
              <w:autoSpaceDE/>
              <w:autoSpaceDN/>
              <w:adjustRightInd/>
              <w:jc w:val="center"/>
              <w:rPr>
                <w:rFonts w:ascii="Arial Narrow" w:hAnsi="Arial Narrow" w:cs="Calibri"/>
                <w:color w:val="000000"/>
                <w:sz w:val="20"/>
                <w:szCs w:val="20"/>
              </w:rPr>
            </w:pPr>
            <w:r w:rsidRPr="00036EC2">
              <w:rPr>
                <w:rFonts w:ascii="Arial Narrow" w:hAnsi="Arial Narrow" w:cs="Calibri"/>
                <w:color w:val="000000"/>
                <w:sz w:val="20"/>
                <w:szCs w:val="20"/>
              </w:rPr>
              <w:t>1.142(f)(4)-1</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036EC2" w:rsidR="00036EC2" w:rsidP="00036EC2" w:rsidRDefault="00036EC2">
            <w:pPr>
              <w:keepNext/>
              <w:keepLines/>
              <w:autoSpaceDE/>
              <w:autoSpaceDN/>
              <w:adjustRightInd/>
              <w:rPr>
                <w:rFonts w:ascii="Arial Narrow" w:hAnsi="Arial Narrow" w:cs="Calibri"/>
                <w:color w:val="000000"/>
                <w:sz w:val="20"/>
                <w:szCs w:val="20"/>
              </w:rPr>
            </w:pPr>
            <w:r w:rsidRPr="00036EC2">
              <w:rPr>
                <w:rFonts w:ascii="Arial Narrow" w:hAnsi="Arial Narrow" w:cs="Calibri"/>
                <w:color w:val="000000"/>
                <w:sz w:val="20"/>
                <w:szCs w:val="20"/>
              </w:rPr>
              <w:t>Manner of making election to terminate tax-exempt bond financing</w:t>
            </w:r>
          </w:p>
          <w:p w:rsidRPr="008533C4" w:rsidR="00F669A8" w:rsidP="00036EC2" w:rsidRDefault="00036EC2">
            <w:pPr>
              <w:keepNext/>
              <w:keepLines/>
              <w:autoSpaceDE/>
              <w:autoSpaceDN/>
              <w:adjustRightInd/>
              <w:rPr>
                <w:rFonts w:ascii="Arial Narrow" w:hAnsi="Arial Narrow" w:cs="Calibri"/>
                <w:color w:val="000000"/>
                <w:sz w:val="20"/>
                <w:szCs w:val="20"/>
              </w:rPr>
            </w:pPr>
            <w:r w:rsidRPr="00036EC2">
              <w:rPr>
                <w:rFonts w:ascii="Arial Narrow" w:hAnsi="Arial Narrow" w:cs="Calibri"/>
                <w:color w:val="000000"/>
                <w:sz w:val="20"/>
                <w:szCs w:val="20"/>
              </w:rPr>
              <w:t>Obligations of States and Political Subdivisions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7B1C01">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r>
      <w:tr w:rsidRPr="00C723A3" w:rsidR="00D46069" w:rsidTr="00406C96">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7B1C01">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036E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r>
    </w:tbl>
    <w:p w:rsidRPr="003127E4" w:rsidR="007E2EEB" w:rsidP="00832AE8" w:rsidRDefault="00D46069">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pPr>
        <w:rPr>
          <w:rFonts w:ascii="Calibri" w:hAnsi="Calibri"/>
          <w:b/>
          <w:sz w:val="22"/>
          <w:szCs w:val="22"/>
        </w:rPr>
      </w:pPr>
    </w:p>
    <w:p w:rsidR="00F26675" w:rsidP="00F26675" w:rsidRDefault="00F26675">
      <w:pPr>
        <w:ind w:left="720"/>
        <w:rPr>
          <w:rFonts w:ascii="Calibri" w:hAnsi="Calibri"/>
          <w:sz w:val="22"/>
          <w:szCs w:val="22"/>
        </w:rPr>
      </w:pPr>
      <w:bookmarkStart w:name="_Hlk31371832" w:id="4"/>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4"/>
    <w:p w:rsidRPr="003127E4" w:rsidR="00D46069" w:rsidP="00F26675" w:rsidRDefault="00D46069">
      <w:pPr>
        <w:ind w:left="720"/>
        <w:rPr>
          <w:rFonts w:ascii="Calibri" w:hAnsi="Calibri"/>
          <w:sz w:val="22"/>
          <w:szCs w:val="22"/>
        </w:rPr>
      </w:pPr>
    </w:p>
    <w:p w:rsidR="007E2EEB" w:rsidP="00242885" w:rsidRDefault="007E2EEB">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rsidRDefault="00242885">
      <w:pPr>
        <w:tabs>
          <w:tab w:val="left" w:pos="-1440"/>
        </w:tabs>
        <w:rPr>
          <w:rFonts w:ascii="Calibri" w:hAnsi="Calibri"/>
          <w:b/>
          <w:sz w:val="22"/>
          <w:szCs w:val="22"/>
          <w:u w:val="single"/>
        </w:rPr>
      </w:pPr>
    </w:p>
    <w:p w:rsidRPr="00832AE8" w:rsidR="00832AE8" w:rsidP="00832AE8" w:rsidRDefault="00036EC2">
      <w:pPr>
        <w:ind w:left="720"/>
        <w:rPr>
          <w:rFonts w:ascii="Calibri" w:hAnsi="Calibri"/>
          <w:sz w:val="22"/>
          <w:szCs w:val="22"/>
        </w:rPr>
      </w:pPr>
      <w:r w:rsidRPr="00036EC2">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7E2EEB" w:rsidP="00242885" w:rsidRDefault="00242885">
      <w:pPr>
        <w:tabs>
          <w:tab w:val="left" w:pos="-1440"/>
        </w:tabs>
        <w:rPr>
          <w:rFonts w:ascii="Calibri" w:hAnsi="Calibri"/>
          <w:sz w:val="22"/>
          <w:szCs w:val="22"/>
        </w:rPr>
      </w:pPr>
      <w:r>
        <w:rPr>
          <w:rFonts w:ascii="Calibri" w:hAnsi="Calibri"/>
          <w:sz w:val="22"/>
          <w:szCs w:val="22"/>
        </w:rPr>
        <w:t xml:space="preserve"> </w:t>
      </w:r>
    </w:p>
    <w:p w:rsidRPr="003127E4" w:rsidR="007E2EEB" w:rsidRDefault="007E2EEB">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rsidRDefault="007E2EEB">
      <w:pPr>
        <w:rPr>
          <w:rFonts w:ascii="Calibri" w:hAnsi="Calibri"/>
          <w:sz w:val="22"/>
          <w:szCs w:val="22"/>
        </w:rPr>
      </w:pPr>
    </w:p>
    <w:p w:rsidRPr="003127E4" w:rsidR="006971E1" w:rsidP="006971E1" w:rsidRDefault="00242885">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Pr>
          <w:rFonts w:ascii="Calibri" w:hAnsi="Calibri"/>
          <w:sz w:val="22"/>
          <w:szCs w:val="22"/>
        </w:rPr>
        <w:t>The agency 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rsidRDefault="00CB0D14">
      <w:pPr>
        <w:ind w:left="720"/>
        <w:rPr>
          <w:rFonts w:ascii="Calibri" w:hAnsi="Calibri"/>
          <w:sz w:val="22"/>
          <w:szCs w:val="22"/>
        </w:rPr>
      </w:pPr>
    </w:p>
    <w:p w:rsidRPr="003127E4" w:rsidR="007E2EEB" w:rsidP="006971E1" w:rsidRDefault="006971E1">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pPr>
        <w:rPr>
          <w:rFonts w:ascii="Calibri" w:hAnsi="Calibri"/>
          <w:sz w:val="22"/>
          <w:szCs w:val="22"/>
        </w:rPr>
      </w:pPr>
    </w:p>
    <w:p w:rsidR="00D46069" w:rsidP="006971E1" w:rsidRDefault="006971E1">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pPr>
        <w:rPr>
          <w:rFonts w:ascii="Calibri" w:hAnsi="Calibri" w:cs="Calibri"/>
          <w:sz w:val="22"/>
          <w:szCs w:val="22"/>
        </w:rPr>
      </w:pPr>
    </w:p>
    <w:p w:rsidRPr="003127E4" w:rsidR="006971E1" w:rsidP="00D60DD4" w:rsidRDefault="00D60DD4">
      <w:pPr>
        <w:rPr>
          <w:rFonts w:ascii="Calibri" w:hAnsi="Calibri"/>
          <w:b/>
          <w:sz w:val="22"/>
          <w:szCs w:val="22"/>
        </w:rPr>
      </w:pPr>
      <w:r w:rsidRPr="00D60DD4">
        <w:rPr>
          <w:rFonts w:ascii="Calibri" w:hAnsi="Calibri" w:cs="Calibri"/>
          <w:b/>
          <w:sz w:val="22"/>
          <w:szCs w:val="22"/>
        </w:rPr>
        <w:lastRenderedPageBreak/>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pPr>
        <w:rPr>
          <w:rFonts w:ascii="Calibri" w:hAnsi="Calibri"/>
          <w:sz w:val="22"/>
          <w:szCs w:val="22"/>
        </w:rPr>
      </w:pPr>
    </w:p>
    <w:p w:rsidR="00D60DD4" w:rsidP="00242885" w:rsidRDefault="00D60DD4">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approval and obtain a new expiration date before the old one </w:t>
      </w:r>
      <w:proofErr w:type="gramStart"/>
      <w:r w:rsidRPr="003127E4" w:rsidR="006971E1">
        <w:rPr>
          <w:rFonts w:ascii="Calibri" w:hAnsi="Calibri"/>
          <w:sz w:val="22"/>
          <w:szCs w:val="22"/>
        </w:rPr>
        <w:t>expires</w:t>
      </w:r>
      <w:proofErr w:type="gramEnd"/>
      <w:r w:rsidRPr="003127E4" w:rsidR="006971E1">
        <w:rPr>
          <w:rFonts w:ascii="Calibri" w:hAnsi="Calibri"/>
          <w:sz w:val="22"/>
          <w:szCs w:val="22"/>
        </w:rPr>
        <w:t>.</w:t>
      </w:r>
    </w:p>
    <w:p w:rsidRPr="003127E4" w:rsidR="00D60DD4" w:rsidP="006971E1" w:rsidRDefault="00D60DD4">
      <w:pPr>
        <w:ind w:left="720"/>
        <w:rPr>
          <w:rFonts w:ascii="Calibri" w:hAnsi="Calibri"/>
          <w:sz w:val="22"/>
          <w:szCs w:val="22"/>
        </w:rPr>
      </w:pPr>
    </w:p>
    <w:p w:rsidRPr="003127E4" w:rsidR="007E2EEB" w:rsidP="00D60DD4" w:rsidRDefault="00D60DD4">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pPr>
        <w:rPr>
          <w:rFonts w:ascii="Calibri" w:hAnsi="Calibri"/>
          <w:b/>
          <w:sz w:val="22"/>
          <w:szCs w:val="22"/>
        </w:rPr>
      </w:pPr>
    </w:p>
    <w:p w:rsidR="007E2EEB" w:rsidP="006C2B4A" w:rsidRDefault="006C2B4A">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pPr>
        <w:rPr>
          <w:rFonts w:ascii="Calibri" w:hAnsi="Calibri"/>
          <w:sz w:val="22"/>
          <w:szCs w:val="22"/>
        </w:rPr>
      </w:pPr>
    </w:p>
    <w:p w:rsidRPr="003127E4" w:rsidR="007E2EEB" w:rsidRDefault="007E2EEB">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pPr>
        <w:rPr>
          <w:rFonts w:ascii="Calibri" w:hAnsi="Calibri"/>
          <w:sz w:val="22"/>
          <w:szCs w:val="22"/>
        </w:rPr>
      </w:pPr>
    </w:p>
    <w:p w:rsidRPr="003127E4" w:rsidR="007E2EEB" w:rsidRDefault="007E2EEB">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127E4">
        <w:rPr>
          <w:rFonts w:ascii="Calibri" w:hAnsi="Calibri"/>
          <w:sz w:val="22"/>
          <w:szCs w:val="22"/>
        </w:rPr>
        <w:t>as long as</w:t>
      </w:r>
      <w:proofErr w:type="gramEnd"/>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82" w:rsidRDefault="005C1382">
      <w:r>
        <w:separator/>
      </w:r>
    </w:p>
  </w:endnote>
  <w:endnote w:type="continuationSeparator" w:id="0">
    <w:p w:rsidR="005C1382" w:rsidRDefault="005C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82" w:rsidRDefault="005C1382">
      <w:r>
        <w:separator/>
      </w:r>
    </w:p>
  </w:footnote>
  <w:footnote w:type="continuationSeparator" w:id="0">
    <w:p w:rsidR="005C1382" w:rsidRDefault="005C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4573A2">
      <w:rPr>
        <w:rFonts w:cs="Courier"/>
        <w:b/>
        <w:bCs/>
        <w:noProof/>
      </w:rPr>
      <w:t>1</w:t>
    </w:r>
    <w:r>
      <w:rPr>
        <w:rFonts w:cs="Courier"/>
        <w:b/>
        <w:bCs/>
      </w:rPr>
      <w:fldChar w:fldCharType="end"/>
    </w:r>
  </w:p>
  <w:p w:rsidR="005C66C6" w:rsidRDefault="005C66C6"/>
  <w:p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15FCA"/>
    <w:rsid w:val="00017836"/>
    <w:rsid w:val="000220F9"/>
    <w:rsid w:val="00036EC2"/>
    <w:rsid w:val="00044F37"/>
    <w:rsid w:val="00066407"/>
    <w:rsid w:val="000A05E9"/>
    <w:rsid w:val="000A1091"/>
    <w:rsid w:val="000A4339"/>
    <w:rsid w:val="000A7FC1"/>
    <w:rsid w:val="000F3A8B"/>
    <w:rsid w:val="000F67CB"/>
    <w:rsid w:val="00102DBB"/>
    <w:rsid w:val="001135E3"/>
    <w:rsid w:val="00120003"/>
    <w:rsid w:val="0012358F"/>
    <w:rsid w:val="00132AF5"/>
    <w:rsid w:val="001337C1"/>
    <w:rsid w:val="00141203"/>
    <w:rsid w:val="00161268"/>
    <w:rsid w:val="00166349"/>
    <w:rsid w:val="00182F0D"/>
    <w:rsid w:val="001A6F7B"/>
    <w:rsid w:val="001B24BC"/>
    <w:rsid w:val="001B629F"/>
    <w:rsid w:val="001C3D05"/>
    <w:rsid w:val="001F321D"/>
    <w:rsid w:val="00224418"/>
    <w:rsid w:val="0023566C"/>
    <w:rsid w:val="00242885"/>
    <w:rsid w:val="00246391"/>
    <w:rsid w:val="00251ED2"/>
    <w:rsid w:val="00282B0F"/>
    <w:rsid w:val="00293354"/>
    <w:rsid w:val="00295A3A"/>
    <w:rsid w:val="002A243C"/>
    <w:rsid w:val="002B177C"/>
    <w:rsid w:val="002B499E"/>
    <w:rsid w:val="002D4886"/>
    <w:rsid w:val="002E56B9"/>
    <w:rsid w:val="002F1933"/>
    <w:rsid w:val="002F1976"/>
    <w:rsid w:val="002F79AA"/>
    <w:rsid w:val="00305112"/>
    <w:rsid w:val="00305478"/>
    <w:rsid w:val="003127E4"/>
    <w:rsid w:val="00312E36"/>
    <w:rsid w:val="00336BA4"/>
    <w:rsid w:val="00353997"/>
    <w:rsid w:val="00354235"/>
    <w:rsid w:val="00394E4C"/>
    <w:rsid w:val="003A5A1A"/>
    <w:rsid w:val="003F58BB"/>
    <w:rsid w:val="0040164F"/>
    <w:rsid w:val="00406C96"/>
    <w:rsid w:val="00427C16"/>
    <w:rsid w:val="00435CFA"/>
    <w:rsid w:val="004573A2"/>
    <w:rsid w:val="004631BE"/>
    <w:rsid w:val="00463A04"/>
    <w:rsid w:val="0047289C"/>
    <w:rsid w:val="00473D0D"/>
    <w:rsid w:val="004B6E0C"/>
    <w:rsid w:val="004D3707"/>
    <w:rsid w:val="004E2ABF"/>
    <w:rsid w:val="004E668F"/>
    <w:rsid w:val="004F12D2"/>
    <w:rsid w:val="005011E6"/>
    <w:rsid w:val="0051280C"/>
    <w:rsid w:val="00517DF7"/>
    <w:rsid w:val="00520AF6"/>
    <w:rsid w:val="005235D0"/>
    <w:rsid w:val="00525980"/>
    <w:rsid w:val="005649AE"/>
    <w:rsid w:val="005B3EEF"/>
    <w:rsid w:val="005C1382"/>
    <w:rsid w:val="005C66C6"/>
    <w:rsid w:val="005D3DAB"/>
    <w:rsid w:val="005D6094"/>
    <w:rsid w:val="005D7415"/>
    <w:rsid w:val="00603FC5"/>
    <w:rsid w:val="00630912"/>
    <w:rsid w:val="006368E6"/>
    <w:rsid w:val="00644338"/>
    <w:rsid w:val="00651559"/>
    <w:rsid w:val="006726A1"/>
    <w:rsid w:val="00680557"/>
    <w:rsid w:val="00681206"/>
    <w:rsid w:val="00681569"/>
    <w:rsid w:val="006971E1"/>
    <w:rsid w:val="006A21C2"/>
    <w:rsid w:val="006C2B4A"/>
    <w:rsid w:val="006E6E53"/>
    <w:rsid w:val="006E71BC"/>
    <w:rsid w:val="00710044"/>
    <w:rsid w:val="00715FFF"/>
    <w:rsid w:val="00720A3B"/>
    <w:rsid w:val="00733C60"/>
    <w:rsid w:val="007369BD"/>
    <w:rsid w:val="00763B45"/>
    <w:rsid w:val="00764B48"/>
    <w:rsid w:val="007B041B"/>
    <w:rsid w:val="007B1B8F"/>
    <w:rsid w:val="007B1C01"/>
    <w:rsid w:val="007E0010"/>
    <w:rsid w:val="007E2EEB"/>
    <w:rsid w:val="007E36EA"/>
    <w:rsid w:val="007F12A5"/>
    <w:rsid w:val="00800AAD"/>
    <w:rsid w:val="008018A9"/>
    <w:rsid w:val="00801A34"/>
    <w:rsid w:val="00802986"/>
    <w:rsid w:val="00817D9B"/>
    <w:rsid w:val="00821550"/>
    <w:rsid w:val="0083118D"/>
    <w:rsid w:val="00832AE8"/>
    <w:rsid w:val="00833904"/>
    <w:rsid w:val="008533C4"/>
    <w:rsid w:val="00853C81"/>
    <w:rsid w:val="008723DC"/>
    <w:rsid w:val="00876C56"/>
    <w:rsid w:val="00894004"/>
    <w:rsid w:val="008A1CD6"/>
    <w:rsid w:val="008A38A4"/>
    <w:rsid w:val="008A5F74"/>
    <w:rsid w:val="008B0A5D"/>
    <w:rsid w:val="008D1E10"/>
    <w:rsid w:val="00902FB3"/>
    <w:rsid w:val="00914A87"/>
    <w:rsid w:val="00917F24"/>
    <w:rsid w:val="0092310A"/>
    <w:rsid w:val="0092632D"/>
    <w:rsid w:val="00933CA2"/>
    <w:rsid w:val="009501AC"/>
    <w:rsid w:val="009545DF"/>
    <w:rsid w:val="00972A93"/>
    <w:rsid w:val="00974429"/>
    <w:rsid w:val="009846A4"/>
    <w:rsid w:val="00995E2E"/>
    <w:rsid w:val="00997416"/>
    <w:rsid w:val="009978F9"/>
    <w:rsid w:val="009B6400"/>
    <w:rsid w:val="009D61D4"/>
    <w:rsid w:val="009E0FD6"/>
    <w:rsid w:val="009E5544"/>
    <w:rsid w:val="009F31F3"/>
    <w:rsid w:val="00A0207E"/>
    <w:rsid w:val="00A134E4"/>
    <w:rsid w:val="00A14E91"/>
    <w:rsid w:val="00A24082"/>
    <w:rsid w:val="00A64D3A"/>
    <w:rsid w:val="00A66296"/>
    <w:rsid w:val="00A70809"/>
    <w:rsid w:val="00A70A0A"/>
    <w:rsid w:val="00A7743D"/>
    <w:rsid w:val="00A90218"/>
    <w:rsid w:val="00AF1AEA"/>
    <w:rsid w:val="00AF5681"/>
    <w:rsid w:val="00B07E63"/>
    <w:rsid w:val="00B1530E"/>
    <w:rsid w:val="00B318A4"/>
    <w:rsid w:val="00B34FA0"/>
    <w:rsid w:val="00B50ECF"/>
    <w:rsid w:val="00B5635A"/>
    <w:rsid w:val="00B65514"/>
    <w:rsid w:val="00B91A50"/>
    <w:rsid w:val="00BA436D"/>
    <w:rsid w:val="00BC0691"/>
    <w:rsid w:val="00BC73AA"/>
    <w:rsid w:val="00BD70F0"/>
    <w:rsid w:val="00C10AC8"/>
    <w:rsid w:val="00C24DD0"/>
    <w:rsid w:val="00C40223"/>
    <w:rsid w:val="00C47A0C"/>
    <w:rsid w:val="00C608BC"/>
    <w:rsid w:val="00C94ED3"/>
    <w:rsid w:val="00CA1998"/>
    <w:rsid w:val="00CA19B0"/>
    <w:rsid w:val="00CA721C"/>
    <w:rsid w:val="00CB0D14"/>
    <w:rsid w:val="00CB4537"/>
    <w:rsid w:val="00CD283E"/>
    <w:rsid w:val="00CD6429"/>
    <w:rsid w:val="00D1793A"/>
    <w:rsid w:val="00D35256"/>
    <w:rsid w:val="00D357EB"/>
    <w:rsid w:val="00D46069"/>
    <w:rsid w:val="00D5592C"/>
    <w:rsid w:val="00D60DD4"/>
    <w:rsid w:val="00D64B87"/>
    <w:rsid w:val="00D71370"/>
    <w:rsid w:val="00DA38BF"/>
    <w:rsid w:val="00DC0C44"/>
    <w:rsid w:val="00DE00E7"/>
    <w:rsid w:val="00E11D2D"/>
    <w:rsid w:val="00E6142C"/>
    <w:rsid w:val="00E67DB8"/>
    <w:rsid w:val="00E9076D"/>
    <w:rsid w:val="00EC045C"/>
    <w:rsid w:val="00EC668E"/>
    <w:rsid w:val="00ED51E5"/>
    <w:rsid w:val="00ED6812"/>
    <w:rsid w:val="00F00DD1"/>
    <w:rsid w:val="00F10C03"/>
    <w:rsid w:val="00F2284A"/>
    <w:rsid w:val="00F23C20"/>
    <w:rsid w:val="00F26675"/>
    <w:rsid w:val="00F436AC"/>
    <w:rsid w:val="00F4647C"/>
    <w:rsid w:val="00F63BDE"/>
    <w:rsid w:val="00F669A8"/>
    <w:rsid w:val="00F820B4"/>
    <w:rsid w:val="00FA1F7C"/>
    <w:rsid w:val="00FB13EB"/>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UnresolvedMention">
    <w:name w:val="Unresolved Mention"/>
    <w:uiPriority w:val="99"/>
    <w:semiHidden/>
    <w:unhideWhenUsed/>
    <w:rsid w:val="003F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8865</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2020-02-04T01:28:00Z</dcterms:created>
  <dcterms:modified xsi:type="dcterms:W3CDTF">2020-02-04T01:28:00Z</dcterms:modified>
</cp:coreProperties>
</file>