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07" w:rsidRPr="004C3255" w:rsidRDefault="00903BF4" w:rsidP="00903BF4">
      <w:pPr>
        <w:jc w:val="center"/>
        <w:rPr>
          <w:sz w:val="24"/>
          <w:szCs w:val="24"/>
        </w:rPr>
      </w:pPr>
      <w:bookmarkStart w:id="0" w:name="_GoBack"/>
      <w:bookmarkEnd w:id="0"/>
      <w:r w:rsidRPr="004C3255">
        <w:rPr>
          <w:sz w:val="24"/>
          <w:szCs w:val="24"/>
        </w:rPr>
        <w:t>Department of the Treasury</w:t>
      </w:r>
    </w:p>
    <w:p w:rsidR="00903BF4" w:rsidRPr="004C3255" w:rsidRDefault="00903BF4" w:rsidP="00903BF4">
      <w:pPr>
        <w:jc w:val="center"/>
        <w:rPr>
          <w:sz w:val="24"/>
          <w:szCs w:val="24"/>
        </w:rPr>
      </w:pPr>
      <w:r w:rsidRPr="004C3255">
        <w:rPr>
          <w:sz w:val="24"/>
          <w:szCs w:val="24"/>
        </w:rPr>
        <w:t>Departmental Offices</w:t>
      </w:r>
    </w:p>
    <w:p w:rsidR="00903BF4" w:rsidRDefault="00796E7F" w:rsidP="00903BF4">
      <w:pPr>
        <w:jc w:val="center"/>
        <w:rPr>
          <w:b/>
          <w:sz w:val="24"/>
          <w:szCs w:val="24"/>
        </w:rPr>
      </w:pPr>
      <w:r w:rsidRPr="004C3255">
        <w:rPr>
          <w:b/>
          <w:sz w:val="24"/>
          <w:szCs w:val="24"/>
        </w:rPr>
        <w:t xml:space="preserve">Annual Performance Report and Certification for Section 1603: </w:t>
      </w:r>
      <w:r w:rsidR="00903BF4" w:rsidRPr="004C3255">
        <w:rPr>
          <w:b/>
          <w:sz w:val="24"/>
          <w:szCs w:val="24"/>
        </w:rPr>
        <w:t>Payments for Specified Renewable Energy Property in Lieu of Tax Credits</w:t>
      </w:r>
    </w:p>
    <w:p w:rsidR="00474E1C" w:rsidRDefault="00474E1C" w:rsidP="00903BF4">
      <w:pPr>
        <w:jc w:val="center"/>
        <w:rPr>
          <w:b/>
          <w:sz w:val="24"/>
          <w:szCs w:val="24"/>
        </w:rPr>
      </w:pPr>
    </w:p>
    <w:p w:rsidR="00474E1C" w:rsidRPr="004C3255" w:rsidRDefault="00474E1C" w:rsidP="00903B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Control Number 1505-0221</w:t>
      </w:r>
    </w:p>
    <w:p w:rsidR="00903BF4" w:rsidRPr="004C3255" w:rsidRDefault="00903BF4" w:rsidP="00903BF4">
      <w:pPr>
        <w:jc w:val="center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Circumstances necessitating the collection of information</w:t>
      </w:r>
    </w:p>
    <w:p w:rsidR="00903BF4" w:rsidRPr="004C3255" w:rsidRDefault="00903BF4" w:rsidP="00474E1C">
      <w:pPr>
        <w:ind w:left="540" w:hanging="540"/>
        <w:rPr>
          <w:sz w:val="24"/>
          <w:szCs w:val="24"/>
        </w:rPr>
      </w:pPr>
    </w:p>
    <w:p w:rsidR="004C3255" w:rsidRPr="004C3255" w:rsidRDefault="004C3255" w:rsidP="00474E1C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4C3255">
        <w:rPr>
          <w:sz w:val="24"/>
          <w:szCs w:val="24"/>
        </w:rPr>
        <w:t>Authorized under the American Recovery and Reinvestment Act (ARRA), of 2009 (Pub. L. 111-5), t</w:t>
      </w:r>
      <w:r w:rsidR="00A261D6">
        <w:rPr>
          <w:sz w:val="24"/>
          <w:szCs w:val="24"/>
        </w:rPr>
        <w:t>he Department of the Treasury has implemented</w:t>
      </w:r>
      <w:r w:rsidRPr="004C3255">
        <w:rPr>
          <w:sz w:val="24"/>
          <w:szCs w:val="24"/>
        </w:rPr>
        <w:t xml:space="preserve"> several provisions of the Ac</w:t>
      </w:r>
      <w:r>
        <w:rPr>
          <w:sz w:val="24"/>
          <w:szCs w:val="24"/>
        </w:rPr>
        <w:t>t, more specifically Division B-</w:t>
      </w:r>
      <w:r w:rsidRPr="004C3255">
        <w:rPr>
          <w:sz w:val="24"/>
          <w:szCs w:val="24"/>
        </w:rPr>
        <w:t>Tax, Unemployment, Health, State Fiscal Relief, and Other Provisions.  Among these components is a program which requires Treasury, in lieu of a tax credit, to reimburse persons who place in service certain specified energy properties. The collection of information is necessary to properly monitor compliance with program requirements.  Applicants for Secti</w:t>
      </w:r>
      <w:r w:rsidR="0017446E">
        <w:rPr>
          <w:sz w:val="24"/>
          <w:szCs w:val="24"/>
        </w:rPr>
        <w:t>on 1603 payments commit in the terms and c</w:t>
      </w:r>
      <w:r w:rsidRPr="004C3255">
        <w:rPr>
          <w:sz w:val="24"/>
          <w:szCs w:val="24"/>
        </w:rPr>
        <w:t xml:space="preserve">onditions that are part of the application to submitting an annual report for five years from the date the energy property is placed in service.  </w:t>
      </w:r>
    </w:p>
    <w:p w:rsidR="004C3255" w:rsidRPr="004C3255" w:rsidRDefault="004C3255" w:rsidP="004C3255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Use of the data</w:t>
      </w:r>
    </w:p>
    <w:p w:rsidR="005D757D" w:rsidRPr="004C3255" w:rsidRDefault="005D757D" w:rsidP="00A261D6">
      <w:pPr>
        <w:rPr>
          <w:sz w:val="24"/>
          <w:szCs w:val="24"/>
        </w:rPr>
      </w:pPr>
    </w:p>
    <w:p w:rsidR="0007698D" w:rsidRPr="004C3255" w:rsidRDefault="00FF0FD3" w:rsidP="0007698D">
      <w:pPr>
        <w:tabs>
          <w:tab w:val="left" w:pos="540"/>
        </w:tabs>
        <w:autoSpaceDE w:val="0"/>
        <w:autoSpaceDN w:val="0"/>
        <w:adjustRightInd w:val="0"/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07698D" w:rsidRPr="004C3255">
        <w:rPr>
          <w:sz w:val="24"/>
          <w:szCs w:val="24"/>
        </w:rPr>
        <w:t xml:space="preserve">The information </w:t>
      </w:r>
      <w:r w:rsidR="00A261D6">
        <w:rPr>
          <w:sz w:val="24"/>
          <w:szCs w:val="24"/>
        </w:rPr>
        <w:t xml:space="preserve">collected </w:t>
      </w:r>
      <w:r w:rsidR="0007698D" w:rsidRPr="004C3255">
        <w:rPr>
          <w:sz w:val="24"/>
          <w:szCs w:val="24"/>
        </w:rPr>
        <w:t>will be used to:</w:t>
      </w:r>
    </w:p>
    <w:p w:rsidR="0007698D" w:rsidRPr="004C3255" w:rsidRDefault="0007698D" w:rsidP="0007698D">
      <w:pPr>
        <w:tabs>
          <w:tab w:val="left" w:pos="1080"/>
        </w:tabs>
        <w:autoSpaceDE w:val="0"/>
        <w:autoSpaceDN w:val="0"/>
        <w:adjustRightInd w:val="0"/>
        <w:ind w:left="1080" w:hanging="540"/>
        <w:rPr>
          <w:sz w:val="24"/>
          <w:szCs w:val="24"/>
        </w:rPr>
      </w:pPr>
      <w:r w:rsidRPr="004C3255"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Pr="004C3255">
        <w:rPr>
          <w:sz w:val="24"/>
          <w:szCs w:val="24"/>
        </w:rPr>
        <w:t xml:space="preserve">determine whether payment recipients remain eligible, </w:t>
      </w:r>
    </w:p>
    <w:p w:rsidR="0007698D" w:rsidRPr="004C3255" w:rsidRDefault="0007698D" w:rsidP="0007698D">
      <w:pPr>
        <w:tabs>
          <w:tab w:val="left" w:pos="1080"/>
        </w:tabs>
        <w:autoSpaceDE w:val="0"/>
        <w:autoSpaceDN w:val="0"/>
        <w:adjustRightInd w:val="0"/>
        <w:ind w:left="1080" w:hanging="540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</w:r>
      <w:r w:rsidRPr="004C3255">
        <w:rPr>
          <w:sz w:val="24"/>
          <w:szCs w:val="24"/>
        </w:rPr>
        <w:t xml:space="preserve">determine that the amount of the 1603 payment remains allowable under applicable laws, </w:t>
      </w:r>
    </w:p>
    <w:p w:rsidR="0007698D" w:rsidRPr="004C3255" w:rsidRDefault="0007698D" w:rsidP="0007698D">
      <w:pPr>
        <w:tabs>
          <w:tab w:val="left" w:pos="1080"/>
        </w:tabs>
        <w:autoSpaceDE w:val="0"/>
        <w:autoSpaceDN w:val="0"/>
        <w:adjustRightInd w:val="0"/>
        <w:ind w:left="1080" w:hanging="540"/>
        <w:rPr>
          <w:sz w:val="24"/>
          <w:szCs w:val="24"/>
        </w:rPr>
      </w:pPr>
      <w:r w:rsidRPr="004C3255">
        <w:rPr>
          <w:sz w:val="24"/>
          <w:szCs w:val="24"/>
        </w:rPr>
        <w:t>(3)</w:t>
      </w:r>
      <w:r>
        <w:rPr>
          <w:sz w:val="24"/>
          <w:szCs w:val="24"/>
        </w:rPr>
        <w:tab/>
      </w:r>
      <w:r w:rsidRPr="004C3255">
        <w:rPr>
          <w:sz w:val="24"/>
          <w:szCs w:val="24"/>
        </w:rPr>
        <w:t xml:space="preserve">assess compliance with applicable laws, and </w:t>
      </w:r>
    </w:p>
    <w:p w:rsidR="0007698D" w:rsidRPr="004C3255" w:rsidRDefault="0007698D" w:rsidP="0007698D">
      <w:pPr>
        <w:tabs>
          <w:tab w:val="left" w:pos="1080"/>
        </w:tabs>
        <w:autoSpaceDE w:val="0"/>
        <w:autoSpaceDN w:val="0"/>
        <w:adjustRightInd w:val="0"/>
        <w:ind w:left="1080" w:hanging="540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</w:r>
      <w:r w:rsidRPr="004C3255">
        <w:rPr>
          <w:sz w:val="24"/>
          <w:szCs w:val="24"/>
        </w:rPr>
        <w:t>report on the effectiveness of the program.</w:t>
      </w:r>
    </w:p>
    <w:p w:rsidR="005D757D" w:rsidRPr="00A261D6" w:rsidRDefault="005D757D" w:rsidP="00A261D6">
      <w:pPr>
        <w:tabs>
          <w:tab w:val="left" w:pos="0"/>
          <w:tab w:val="left" w:pos="540"/>
        </w:tabs>
        <w:rPr>
          <w:b/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Use of information technology</w:t>
      </w:r>
    </w:p>
    <w:p w:rsidR="005D757D" w:rsidRPr="004C3255" w:rsidRDefault="005D757D" w:rsidP="00A261D6">
      <w:pPr>
        <w:rPr>
          <w:sz w:val="24"/>
          <w:szCs w:val="24"/>
        </w:rPr>
      </w:pPr>
    </w:p>
    <w:p w:rsidR="005D757D" w:rsidRPr="004C3255" w:rsidRDefault="005D757D" w:rsidP="00474E1C">
      <w:pPr>
        <w:tabs>
          <w:tab w:val="left" w:pos="540"/>
        </w:tabs>
        <w:autoSpaceDE w:val="0"/>
        <w:autoSpaceDN w:val="0"/>
        <w:adjustRightInd w:val="0"/>
        <w:ind w:left="720"/>
        <w:rPr>
          <w:sz w:val="24"/>
          <w:szCs w:val="24"/>
        </w:rPr>
      </w:pPr>
      <w:r w:rsidRPr="004C3255">
        <w:rPr>
          <w:sz w:val="24"/>
          <w:szCs w:val="24"/>
        </w:rPr>
        <w:t xml:space="preserve">Awardees will complete </w:t>
      </w:r>
      <w:r w:rsidR="0017446E">
        <w:rPr>
          <w:sz w:val="24"/>
          <w:szCs w:val="24"/>
        </w:rPr>
        <w:t>the annual report and certification via an online system</w:t>
      </w:r>
      <w:r w:rsidRPr="004C3255">
        <w:rPr>
          <w:sz w:val="24"/>
          <w:szCs w:val="24"/>
        </w:rPr>
        <w:t xml:space="preserve">. </w:t>
      </w:r>
      <w:r w:rsidR="0040688F">
        <w:rPr>
          <w:sz w:val="24"/>
          <w:szCs w:val="24"/>
        </w:rPr>
        <w:t xml:space="preserve"> </w:t>
      </w:r>
      <w:r w:rsidR="0017446E">
        <w:rPr>
          <w:sz w:val="24"/>
          <w:szCs w:val="24"/>
        </w:rPr>
        <w:t xml:space="preserve">Supporting documentation can be uploaded with the report data.  </w:t>
      </w:r>
      <w:r w:rsidRPr="004C3255">
        <w:rPr>
          <w:sz w:val="24"/>
          <w:szCs w:val="24"/>
        </w:rPr>
        <w:t>Data from reports will be stored electronically.</w:t>
      </w:r>
    </w:p>
    <w:p w:rsidR="005D757D" w:rsidRPr="004C3255" w:rsidRDefault="005D757D" w:rsidP="00A261D6">
      <w:pPr>
        <w:rPr>
          <w:b/>
          <w:i/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Efforts to identify duplication</w:t>
      </w:r>
    </w:p>
    <w:p w:rsidR="005D757D" w:rsidRPr="004C3255" w:rsidRDefault="005D757D" w:rsidP="00A261D6">
      <w:pPr>
        <w:rPr>
          <w:sz w:val="24"/>
          <w:szCs w:val="24"/>
        </w:rPr>
      </w:pPr>
    </w:p>
    <w:p w:rsidR="005D757D" w:rsidRPr="004C3255" w:rsidRDefault="005D757D" w:rsidP="00A261D6">
      <w:pPr>
        <w:ind w:left="720"/>
        <w:rPr>
          <w:sz w:val="24"/>
          <w:szCs w:val="24"/>
        </w:rPr>
      </w:pPr>
      <w:r w:rsidRPr="004C3255">
        <w:rPr>
          <w:sz w:val="24"/>
          <w:szCs w:val="24"/>
        </w:rPr>
        <w:t xml:space="preserve">The information that will be collected may have some overlap with similar data collected under previously approved information collections for </w:t>
      </w:r>
      <w:r w:rsidR="00D03096" w:rsidRPr="004C3255">
        <w:rPr>
          <w:sz w:val="24"/>
          <w:szCs w:val="24"/>
        </w:rPr>
        <w:t>applications</w:t>
      </w:r>
      <w:r w:rsidRPr="004C3255">
        <w:rPr>
          <w:sz w:val="24"/>
          <w:szCs w:val="24"/>
        </w:rPr>
        <w:t>.</w:t>
      </w:r>
      <w:r w:rsidR="00D03096" w:rsidRPr="004C3255">
        <w:rPr>
          <w:sz w:val="24"/>
          <w:szCs w:val="24"/>
        </w:rPr>
        <w:t xml:space="preserve"> </w:t>
      </w:r>
      <w:r w:rsidRPr="004C3255">
        <w:rPr>
          <w:sz w:val="24"/>
          <w:szCs w:val="24"/>
        </w:rPr>
        <w:t xml:space="preserve"> </w:t>
      </w:r>
      <w:r w:rsidR="00463205" w:rsidRPr="004C3255">
        <w:rPr>
          <w:sz w:val="24"/>
          <w:szCs w:val="24"/>
        </w:rPr>
        <w:t>However, p</w:t>
      </w:r>
      <w:r w:rsidRPr="004C3255">
        <w:rPr>
          <w:sz w:val="24"/>
          <w:szCs w:val="24"/>
        </w:rPr>
        <w:t xml:space="preserve">reviously approved </w:t>
      </w:r>
      <w:r w:rsidR="00D03096" w:rsidRPr="004C3255">
        <w:rPr>
          <w:sz w:val="24"/>
          <w:szCs w:val="24"/>
        </w:rPr>
        <w:t>information is shown in the fillable form</w:t>
      </w:r>
      <w:r w:rsidR="00463205" w:rsidRPr="004C3255">
        <w:rPr>
          <w:sz w:val="24"/>
          <w:szCs w:val="24"/>
        </w:rPr>
        <w:t xml:space="preserve"> and respondents update the information if there is a change in the circumstances</w:t>
      </w:r>
      <w:r w:rsidR="00D03096" w:rsidRPr="004C3255">
        <w:rPr>
          <w:sz w:val="24"/>
          <w:szCs w:val="24"/>
        </w:rPr>
        <w:t>.</w:t>
      </w:r>
    </w:p>
    <w:p w:rsidR="005D757D" w:rsidRPr="004C3255" w:rsidRDefault="005D757D" w:rsidP="00A261D6">
      <w:pPr>
        <w:rPr>
          <w:b/>
          <w:i/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Impact on small entities</w:t>
      </w:r>
    </w:p>
    <w:p w:rsidR="005D757D" w:rsidRPr="004C3255" w:rsidRDefault="005D757D" w:rsidP="005D757D">
      <w:pPr>
        <w:rPr>
          <w:sz w:val="24"/>
          <w:szCs w:val="24"/>
        </w:rPr>
      </w:pPr>
    </w:p>
    <w:p w:rsidR="005D757D" w:rsidRPr="004C3255" w:rsidRDefault="005D757D" w:rsidP="00A261D6">
      <w:pPr>
        <w:ind w:left="720"/>
        <w:rPr>
          <w:sz w:val="24"/>
          <w:szCs w:val="24"/>
        </w:rPr>
      </w:pPr>
      <w:r w:rsidRPr="004C3255">
        <w:rPr>
          <w:sz w:val="24"/>
          <w:szCs w:val="24"/>
        </w:rPr>
        <w:t>Since this is a voluntary program, we anticipate no undue impact on small entities.</w:t>
      </w:r>
    </w:p>
    <w:p w:rsidR="005D757D" w:rsidRPr="004C3255" w:rsidRDefault="005D757D" w:rsidP="005D757D">
      <w:pPr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Consequences of less frequent collection and obstacles to burden reduction</w:t>
      </w:r>
    </w:p>
    <w:p w:rsidR="005D757D" w:rsidRPr="004C3255" w:rsidRDefault="005D757D" w:rsidP="005D757D">
      <w:pPr>
        <w:rPr>
          <w:sz w:val="24"/>
          <w:szCs w:val="24"/>
        </w:rPr>
      </w:pPr>
    </w:p>
    <w:p w:rsidR="005D757D" w:rsidRPr="004C3255" w:rsidRDefault="0040688F" w:rsidP="0040688F">
      <w:pPr>
        <w:tabs>
          <w:tab w:val="left" w:pos="540"/>
        </w:tabs>
        <w:ind w:left="540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B5FF4">
        <w:rPr>
          <w:sz w:val="24"/>
          <w:szCs w:val="24"/>
        </w:rPr>
        <w:t xml:space="preserve">The terms and conditions of the Section 1603 program require that reports be filed annually, thus the information cannot be collected less frequently. Failure to submit </w:t>
      </w:r>
      <w:r w:rsidR="004437C7">
        <w:rPr>
          <w:sz w:val="24"/>
          <w:szCs w:val="24"/>
        </w:rPr>
        <w:t>this information annually would impair Treasury’s ability to oversee and ensure compliance with the program’s rules.</w:t>
      </w:r>
    </w:p>
    <w:p w:rsidR="005D757D" w:rsidRPr="004C3255" w:rsidRDefault="005D757D" w:rsidP="005D757D">
      <w:pPr>
        <w:rPr>
          <w:sz w:val="24"/>
          <w:szCs w:val="24"/>
        </w:rPr>
      </w:pPr>
    </w:p>
    <w:p w:rsidR="00903BF4" w:rsidRPr="004C3255" w:rsidRDefault="00903BF4" w:rsidP="00A261D6">
      <w:pPr>
        <w:pStyle w:val="Heading1"/>
      </w:pPr>
      <w:r w:rsidRPr="004C3255">
        <w:t>Circumstances requiring special information collection</w:t>
      </w:r>
    </w:p>
    <w:p w:rsidR="005D757D" w:rsidRPr="004C3255" w:rsidRDefault="005D757D" w:rsidP="00A261D6">
      <w:pPr>
        <w:ind w:left="540" w:hanging="540"/>
        <w:rPr>
          <w:sz w:val="24"/>
          <w:szCs w:val="24"/>
        </w:rPr>
      </w:pPr>
    </w:p>
    <w:p w:rsidR="005D757D" w:rsidRPr="004C3255" w:rsidRDefault="00496C28" w:rsidP="00474E1C">
      <w:pPr>
        <w:tabs>
          <w:tab w:val="left" w:pos="540"/>
        </w:tabs>
        <w:ind w:left="720"/>
        <w:rPr>
          <w:sz w:val="24"/>
          <w:szCs w:val="24"/>
        </w:rPr>
      </w:pPr>
      <w:r w:rsidRPr="00496C28">
        <w:rPr>
          <w:sz w:val="24"/>
          <w:szCs w:val="24"/>
        </w:rPr>
        <w:t>There are no special circumstances that would cause this information collection to be conducted in a manner inconsistent with 5 CFR 1320.5</w:t>
      </w:r>
      <w:r w:rsidR="005D757D" w:rsidRPr="004C3255">
        <w:rPr>
          <w:sz w:val="24"/>
          <w:szCs w:val="24"/>
        </w:rPr>
        <w:t>.</w:t>
      </w:r>
    </w:p>
    <w:p w:rsidR="005D757D" w:rsidRPr="004C3255" w:rsidRDefault="005D757D" w:rsidP="00A261D6">
      <w:pPr>
        <w:ind w:left="540" w:hanging="540"/>
        <w:rPr>
          <w:b/>
          <w:i/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Solicitation of comments on information collection</w:t>
      </w:r>
    </w:p>
    <w:p w:rsidR="005D757D" w:rsidRPr="004C3255" w:rsidRDefault="005D757D" w:rsidP="005D757D">
      <w:pPr>
        <w:rPr>
          <w:sz w:val="24"/>
          <w:szCs w:val="24"/>
        </w:rPr>
      </w:pPr>
    </w:p>
    <w:p w:rsidR="00A95BF1" w:rsidRDefault="00496C28" w:rsidP="00474E1C">
      <w:pPr>
        <w:ind w:left="720"/>
        <w:rPr>
          <w:sz w:val="24"/>
          <w:szCs w:val="24"/>
        </w:rPr>
      </w:pPr>
      <w:r>
        <w:rPr>
          <w:sz w:val="24"/>
          <w:szCs w:val="24"/>
        </w:rPr>
        <w:t>Treasury published a</w:t>
      </w:r>
      <w:r w:rsidR="00A95BF1" w:rsidRPr="004C3255">
        <w:rPr>
          <w:sz w:val="24"/>
          <w:szCs w:val="24"/>
        </w:rPr>
        <w:t xml:space="preserve"> notice in the </w:t>
      </w:r>
      <w:r w:rsidR="00A95BF1" w:rsidRPr="004C3255">
        <w:rPr>
          <w:i/>
          <w:sz w:val="24"/>
          <w:szCs w:val="24"/>
        </w:rPr>
        <w:t xml:space="preserve">Federal Register </w:t>
      </w:r>
      <w:r w:rsidR="00A95BF1" w:rsidRPr="004C3255">
        <w:rPr>
          <w:sz w:val="24"/>
          <w:szCs w:val="24"/>
        </w:rPr>
        <w:t xml:space="preserve">soliciting comments from the public on </w:t>
      </w:r>
      <w:r w:rsidR="008A1F36">
        <w:rPr>
          <w:sz w:val="24"/>
          <w:szCs w:val="24"/>
        </w:rPr>
        <w:t>October 28, 2019</w:t>
      </w:r>
      <w:r w:rsidR="0007698D">
        <w:rPr>
          <w:sz w:val="24"/>
          <w:szCs w:val="24"/>
        </w:rPr>
        <w:t xml:space="preserve"> at </w:t>
      </w:r>
      <w:r w:rsidR="008A1F36" w:rsidRPr="008A1F36">
        <w:rPr>
          <w:sz w:val="24"/>
          <w:szCs w:val="24"/>
        </w:rPr>
        <w:t>84 FR 57809</w:t>
      </w:r>
      <w:r w:rsidR="0007698D">
        <w:rPr>
          <w:sz w:val="24"/>
          <w:szCs w:val="24"/>
        </w:rPr>
        <w:t xml:space="preserve">. </w:t>
      </w:r>
      <w:r w:rsidR="00A95BF1" w:rsidRPr="004C3255">
        <w:rPr>
          <w:sz w:val="24"/>
          <w:szCs w:val="24"/>
        </w:rPr>
        <w:t xml:space="preserve"> The notice requested comments on practical utility; accuracy in estimates, enhancement of collected information, burden reduction, and capital </w:t>
      </w:r>
      <w:r w:rsidR="0007698D">
        <w:rPr>
          <w:sz w:val="24"/>
          <w:szCs w:val="24"/>
        </w:rPr>
        <w:t>start-up costs associated with the compliance reporting.</w:t>
      </w:r>
      <w:r w:rsidR="00D03096" w:rsidRPr="004C3255">
        <w:rPr>
          <w:sz w:val="24"/>
          <w:szCs w:val="24"/>
        </w:rPr>
        <w:t xml:space="preserve">  </w:t>
      </w:r>
      <w:r>
        <w:rPr>
          <w:sz w:val="24"/>
          <w:szCs w:val="24"/>
        </w:rPr>
        <w:t>No public comments were received.</w:t>
      </w:r>
    </w:p>
    <w:p w:rsidR="00496C28" w:rsidRPr="004C3255" w:rsidRDefault="00496C28" w:rsidP="00496C28">
      <w:pPr>
        <w:ind w:left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Provision of payments to recordkeepers</w:t>
      </w:r>
    </w:p>
    <w:p w:rsidR="005D757D" w:rsidRPr="004C3255" w:rsidRDefault="005D757D" w:rsidP="00A261D6">
      <w:pPr>
        <w:ind w:left="540" w:hanging="540"/>
        <w:rPr>
          <w:sz w:val="24"/>
          <w:szCs w:val="24"/>
        </w:rPr>
      </w:pPr>
    </w:p>
    <w:p w:rsidR="005D757D" w:rsidRPr="004C3255" w:rsidRDefault="00496C28" w:rsidP="00A261D6">
      <w:pPr>
        <w:ind w:left="720"/>
        <w:rPr>
          <w:sz w:val="24"/>
          <w:szCs w:val="24"/>
        </w:rPr>
      </w:pPr>
      <w:r>
        <w:rPr>
          <w:sz w:val="24"/>
          <w:szCs w:val="24"/>
        </w:rPr>
        <w:t>No payments or gifts are provided to respondents</w:t>
      </w:r>
      <w:r w:rsidR="005D757D" w:rsidRPr="004C3255">
        <w:rPr>
          <w:sz w:val="24"/>
          <w:szCs w:val="24"/>
        </w:rPr>
        <w:t>.</w:t>
      </w:r>
    </w:p>
    <w:p w:rsidR="005D757D" w:rsidRPr="004C3255" w:rsidRDefault="005D757D" w:rsidP="00A261D6">
      <w:pPr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Assurance of confidentiality</w:t>
      </w:r>
    </w:p>
    <w:p w:rsidR="005D757D" w:rsidRPr="004C3255" w:rsidRDefault="005D757D" w:rsidP="00A261D6">
      <w:pPr>
        <w:ind w:left="540" w:hanging="540"/>
        <w:rPr>
          <w:sz w:val="24"/>
          <w:szCs w:val="24"/>
        </w:rPr>
      </w:pPr>
    </w:p>
    <w:p w:rsidR="00796E7F" w:rsidRPr="004C3255" w:rsidRDefault="00796E7F" w:rsidP="00A261D6">
      <w:pPr>
        <w:ind w:left="720"/>
        <w:rPr>
          <w:sz w:val="24"/>
          <w:szCs w:val="24"/>
        </w:rPr>
      </w:pPr>
      <w:r w:rsidRPr="004C3255">
        <w:rPr>
          <w:sz w:val="24"/>
          <w:szCs w:val="24"/>
        </w:rPr>
        <w:t xml:space="preserve">The information collected will not </w:t>
      </w:r>
      <w:r w:rsidR="00D03096" w:rsidRPr="004C3255">
        <w:rPr>
          <w:sz w:val="24"/>
          <w:szCs w:val="24"/>
        </w:rPr>
        <w:t>be shared</w:t>
      </w:r>
      <w:r w:rsidR="00223116" w:rsidRPr="004C3255">
        <w:rPr>
          <w:sz w:val="24"/>
          <w:szCs w:val="24"/>
        </w:rPr>
        <w:t xml:space="preserve"> except as required by law</w:t>
      </w:r>
      <w:r w:rsidRPr="004C3255">
        <w:rPr>
          <w:sz w:val="24"/>
          <w:szCs w:val="24"/>
        </w:rPr>
        <w:t>.</w:t>
      </w:r>
    </w:p>
    <w:p w:rsidR="005D757D" w:rsidRPr="004C3255" w:rsidRDefault="005D757D" w:rsidP="00A261D6">
      <w:pPr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Justification of sensitive questions</w:t>
      </w:r>
    </w:p>
    <w:p w:rsidR="00796E7F" w:rsidRPr="004C3255" w:rsidRDefault="00796E7F" w:rsidP="00A261D6">
      <w:pPr>
        <w:rPr>
          <w:sz w:val="24"/>
          <w:szCs w:val="24"/>
        </w:rPr>
      </w:pPr>
    </w:p>
    <w:p w:rsidR="00796E7F" w:rsidRPr="004C3255" w:rsidRDefault="00496C28" w:rsidP="00A261D6">
      <w:pPr>
        <w:ind w:left="720"/>
        <w:rPr>
          <w:sz w:val="24"/>
          <w:szCs w:val="24"/>
        </w:rPr>
      </w:pPr>
      <w:r>
        <w:rPr>
          <w:sz w:val="24"/>
          <w:szCs w:val="24"/>
        </w:rPr>
        <w:t>Personally identifiable information (PII) is not collected</w:t>
      </w:r>
      <w:r w:rsidR="00796E7F" w:rsidRPr="004C3255">
        <w:rPr>
          <w:sz w:val="24"/>
          <w:szCs w:val="24"/>
        </w:rPr>
        <w:t>.</w:t>
      </w:r>
    </w:p>
    <w:p w:rsidR="00796E7F" w:rsidRPr="004C3255" w:rsidRDefault="00796E7F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Estimated burden of information collection</w:t>
      </w:r>
    </w:p>
    <w:p w:rsidR="00796E7F" w:rsidRPr="004C3255" w:rsidRDefault="00796E7F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796E7F" w:rsidRDefault="00796E7F" w:rsidP="00634E5D">
      <w:pPr>
        <w:tabs>
          <w:tab w:val="left" w:pos="720"/>
        </w:tabs>
        <w:ind w:left="720"/>
        <w:rPr>
          <w:sz w:val="24"/>
          <w:szCs w:val="24"/>
        </w:rPr>
      </w:pPr>
      <w:r w:rsidRPr="004C3255">
        <w:rPr>
          <w:sz w:val="24"/>
          <w:szCs w:val="24"/>
        </w:rPr>
        <w:t xml:space="preserve">The number of respondents </w:t>
      </w:r>
      <w:r w:rsidR="00A261D6">
        <w:rPr>
          <w:sz w:val="24"/>
          <w:szCs w:val="24"/>
        </w:rPr>
        <w:t xml:space="preserve">is </w:t>
      </w:r>
      <w:r w:rsidRPr="004C3255">
        <w:rPr>
          <w:sz w:val="24"/>
          <w:szCs w:val="24"/>
        </w:rPr>
        <w:t xml:space="preserve">the </w:t>
      </w:r>
      <w:r w:rsidR="00A261D6">
        <w:rPr>
          <w:sz w:val="24"/>
          <w:szCs w:val="24"/>
        </w:rPr>
        <w:t xml:space="preserve">estimated </w:t>
      </w:r>
      <w:r w:rsidRPr="004C3255">
        <w:rPr>
          <w:sz w:val="24"/>
          <w:szCs w:val="24"/>
        </w:rPr>
        <w:t xml:space="preserve">150,000 applicants who </w:t>
      </w:r>
      <w:r w:rsidR="00463205" w:rsidRPr="004C3255">
        <w:rPr>
          <w:sz w:val="24"/>
          <w:szCs w:val="24"/>
        </w:rPr>
        <w:t>become</w:t>
      </w:r>
      <w:r w:rsidRPr="004C3255">
        <w:rPr>
          <w:sz w:val="24"/>
          <w:szCs w:val="24"/>
        </w:rPr>
        <w:t xml:space="preserve"> awardees in the </w:t>
      </w:r>
      <w:r w:rsidR="00D03096" w:rsidRPr="004C3255">
        <w:rPr>
          <w:sz w:val="24"/>
          <w:szCs w:val="24"/>
        </w:rPr>
        <w:t xml:space="preserve">1603 </w:t>
      </w:r>
      <w:r w:rsidRPr="004C3255">
        <w:rPr>
          <w:sz w:val="24"/>
          <w:szCs w:val="24"/>
        </w:rPr>
        <w:t xml:space="preserve">program. </w:t>
      </w:r>
      <w:r w:rsidR="00D60D13">
        <w:rPr>
          <w:sz w:val="24"/>
          <w:szCs w:val="24"/>
        </w:rPr>
        <w:t xml:space="preserve"> </w:t>
      </w:r>
      <w:r w:rsidRPr="004C3255">
        <w:rPr>
          <w:sz w:val="24"/>
          <w:szCs w:val="24"/>
        </w:rPr>
        <w:t xml:space="preserve">It will take approximately 15 minutes to complete the </w:t>
      </w:r>
      <w:r w:rsidRPr="004C3255">
        <w:rPr>
          <w:i/>
          <w:sz w:val="24"/>
          <w:szCs w:val="24"/>
        </w:rPr>
        <w:t>Annual Performance Report and Certification</w:t>
      </w:r>
      <w:r w:rsidRPr="004C3255">
        <w:rPr>
          <w:sz w:val="24"/>
          <w:szCs w:val="24"/>
        </w:rPr>
        <w:t xml:space="preserve">. </w:t>
      </w:r>
      <w:r w:rsidR="00DF618E">
        <w:rPr>
          <w:sz w:val="24"/>
          <w:szCs w:val="24"/>
        </w:rPr>
        <w:t xml:space="preserve"> </w:t>
      </w:r>
      <w:r w:rsidRPr="004C3255">
        <w:rPr>
          <w:sz w:val="24"/>
          <w:szCs w:val="24"/>
        </w:rPr>
        <w:t>The estimated annual burden is 37,500 hours.</w:t>
      </w:r>
      <w:r w:rsidR="00D03096" w:rsidRPr="004C3255">
        <w:rPr>
          <w:sz w:val="24"/>
          <w:szCs w:val="24"/>
        </w:rPr>
        <w:t xml:space="preserve">  The respondents report annually for five years.</w:t>
      </w:r>
    </w:p>
    <w:p w:rsidR="00937117" w:rsidRPr="004C3255" w:rsidRDefault="00937117" w:rsidP="00474E1C">
      <w:pPr>
        <w:tabs>
          <w:tab w:val="left" w:pos="540"/>
        </w:tabs>
        <w:ind w:left="720"/>
        <w:rPr>
          <w:sz w:val="24"/>
          <w:szCs w:val="24"/>
        </w:rPr>
      </w:pPr>
    </w:p>
    <w:tbl>
      <w:tblPr>
        <w:tblW w:w="939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00"/>
        <w:gridCol w:w="1530"/>
        <w:gridCol w:w="1440"/>
        <w:gridCol w:w="1592"/>
        <w:gridCol w:w="1501"/>
      </w:tblGrid>
      <w:tr w:rsidR="005B6B2B" w:rsidRPr="00EF5ACF" w:rsidTr="00EF5ACF">
        <w:trPr>
          <w:trHeight w:val="311"/>
        </w:trPr>
        <w:tc>
          <w:tcPr>
            <w:tcW w:w="1530" w:type="dxa"/>
            <w:shd w:val="clear" w:color="auto" w:fill="auto"/>
          </w:tcPr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No. of Respondents</w:t>
            </w:r>
          </w:p>
        </w:tc>
        <w:tc>
          <w:tcPr>
            <w:tcW w:w="1800" w:type="dxa"/>
            <w:shd w:val="clear" w:color="auto" w:fill="auto"/>
          </w:tcPr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No. Responses</w:t>
            </w:r>
          </w:p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Per Respondent</w:t>
            </w:r>
          </w:p>
        </w:tc>
        <w:tc>
          <w:tcPr>
            <w:tcW w:w="1530" w:type="dxa"/>
            <w:shd w:val="clear" w:color="auto" w:fill="auto"/>
          </w:tcPr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Total Annual Responses</w:t>
            </w:r>
          </w:p>
        </w:tc>
        <w:tc>
          <w:tcPr>
            <w:tcW w:w="1440" w:type="dxa"/>
            <w:shd w:val="clear" w:color="auto" w:fill="auto"/>
          </w:tcPr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Hours per Response</w:t>
            </w:r>
          </w:p>
        </w:tc>
        <w:tc>
          <w:tcPr>
            <w:tcW w:w="1592" w:type="dxa"/>
            <w:shd w:val="clear" w:color="auto" w:fill="auto"/>
          </w:tcPr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Total Annual Burden</w:t>
            </w:r>
          </w:p>
        </w:tc>
        <w:tc>
          <w:tcPr>
            <w:tcW w:w="1501" w:type="dxa"/>
            <w:shd w:val="clear" w:color="auto" w:fill="auto"/>
          </w:tcPr>
          <w:p w:rsidR="005B6B2B" w:rsidRPr="005B6B2B" w:rsidRDefault="005B6B2B" w:rsidP="00EF5ACF">
            <w:pPr>
              <w:tabs>
                <w:tab w:val="left" w:pos="540"/>
              </w:tabs>
              <w:jc w:val="center"/>
            </w:pPr>
            <w:r w:rsidRPr="005B6B2B">
              <w:t>Total Annual Labor Cost</w:t>
            </w:r>
            <w:r w:rsidR="00C67C04">
              <w:rPr>
                <w:sz w:val="24"/>
                <w:szCs w:val="24"/>
              </w:rPr>
              <w:t xml:space="preserve"> </w:t>
            </w:r>
            <w:r w:rsidR="00C67C04">
              <w:rPr>
                <w:rStyle w:val="FootnoteReference"/>
                <w:sz w:val="24"/>
                <w:szCs w:val="24"/>
              </w:rPr>
              <w:footnoteReference w:id="1"/>
            </w:r>
          </w:p>
        </w:tc>
      </w:tr>
      <w:tr w:rsidR="005B6B2B" w:rsidRPr="00EF5ACF" w:rsidTr="00EF5ACF">
        <w:trPr>
          <w:trHeight w:val="155"/>
        </w:trPr>
        <w:tc>
          <w:tcPr>
            <w:tcW w:w="1530" w:type="dxa"/>
            <w:shd w:val="clear" w:color="auto" w:fill="auto"/>
          </w:tcPr>
          <w:p w:rsidR="005B6B2B" w:rsidRPr="00937117" w:rsidRDefault="005B6B2B" w:rsidP="00EF5ACF">
            <w:pPr>
              <w:tabs>
                <w:tab w:val="left" w:pos="540"/>
              </w:tabs>
              <w:jc w:val="center"/>
            </w:pPr>
            <w:r w:rsidRPr="00937117">
              <w:t>15</w:t>
            </w:r>
            <w:r>
              <w:t>0</w:t>
            </w:r>
            <w:r w:rsidRPr="00937117">
              <w:t>,000</w:t>
            </w:r>
          </w:p>
        </w:tc>
        <w:tc>
          <w:tcPr>
            <w:tcW w:w="1800" w:type="dxa"/>
            <w:shd w:val="clear" w:color="auto" w:fill="auto"/>
          </w:tcPr>
          <w:p w:rsidR="005B6B2B" w:rsidRPr="00937117" w:rsidRDefault="005B6B2B" w:rsidP="00EF5ACF">
            <w:pPr>
              <w:tabs>
                <w:tab w:val="left" w:pos="540"/>
              </w:tabs>
              <w:jc w:val="center"/>
            </w:pPr>
            <w:r w:rsidRPr="00937117">
              <w:t>1</w:t>
            </w:r>
          </w:p>
        </w:tc>
        <w:tc>
          <w:tcPr>
            <w:tcW w:w="1530" w:type="dxa"/>
            <w:shd w:val="clear" w:color="auto" w:fill="auto"/>
          </w:tcPr>
          <w:p w:rsidR="005B6B2B" w:rsidRPr="00937117" w:rsidRDefault="005B6B2B" w:rsidP="00EF5ACF">
            <w:pPr>
              <w:tabs>
                <w:tab w:val="left" w:pos="540"/>
              </w:tabs>
              <w:jc w:val="center"/>
            </w:pPr>
            <w:r w:rsidRPr="00937117">
              <w:t>150,000</w:t>
            </w:r>
          </w:p>
        </w:tc>
        <w:tc>
          <w:tcPr>
            <w:tcW w:w="1440" w:type="dxa"/>
            <w:shd w:val="clear" w:color="auto" w:fill="auto"/>
          </w:tcPr>
          <w:p w:rsidR="005B6B2B" w:rsidRPr="00937117" w:rsidRDefault="005B6B2B" w:rsidP="00EF5ACF">
            <w:pPr>
              <w:tabs>
                <w:tab w:val="left" w:pos="540"/>
              </w:tabs>
              <w:jc w:val="center"/>
            </w:pPr>
            <w:r w:rsidRPr="00937117">
              <w:t>0.25</w:t>
            </w:r>
          </w:p>
        </w:tc>
        <w:tc>
          <w:tcPr>
            <w:tcW w:w="1592" w:type="dxa"/>
            <w:shd w:val="clear" w:color="auto" w:fill="auto"/>
          </w:tcPr>
          <w:p w:rsidR="005B6B2B" w:rsidRPr="00937117" w:rsidRDefault="008A1F36" w:rsidP="00EF5ACF">
            <w:pPr>
              <w:tabs>
                <w:tab w:val="left" w:pos="540"/>
              </w:tabs>
              <w:jc w:val="center"/>
            </w:pPr>
            <w:r>
              <w:t>37,5</w:t>
            </w:r>
            <w:r w:rsidR="005B6B2B" w:rsidRPr="00937117">
              <w:t>00</w:t>
            </w:r>
          </w:p>
        </w:tc>
        <w:tc>
          <w:tcPr>
            <w:tcW w:w="1501" w:type="dxa"/>
            <w:shd w:val="clear" w:color="auto" w:fill="auto"/>
          </w:tcPr>
          <w:p w:rsidR="005B6B2B" w:rsidRDefault="00C67C04" w:rsidP="008A1F36">
            <w:pPr>
              <w:tabs>
                <w:tab w:val="left" w:pos="540"/>
              </w:tabs>
              <w:jc w:val="center"/>
            </w:pPr>
            <w:r>
              <w:t>$</w:t>
            </w:r>
            <w:r w:rsidR="005B6B2B">
              <w:t>1,3</w:t>
            </w:r>
            <w:r w:rsidR="008A1F36">
              <w:t>39</w:t>
            </w:r>
            <w:r w:rsidR="005B6B2B">
              <w:t>,</w:t>
            </w:r>
            <w:r w:rsidR="008A1F36">
              <w:t>500</w:t>
            </w:r>
          </w:p>
        </w:tc>
      </w:tr>
    </w:tbl>
    <w:p w:rsidR="00937117" w:rsidRPr="004C3255" w:rsidRDefault="00937117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Estimated total annual cost burden to respondents</w:t>
      </w:r>
    </w:p>
    <w:p w:rsidR="00634E5D" w:rsidRDefault="00634E5D" w:rsidP="00634E5D">
      <w:pPr>
        <w:tabs>
          <w:tab w:val="left" w:pos="540"/>
        </w:tabs>
        <w:rPr>
          <w:sz w:val="24"/>
          <w:szCs w:val="24"/>
        </w:rPr>
      </w:pPr>
    </w:p>
    <w:p w:rsidR="003632B0" w:rsidRPr="004C3255" w:rsidRDefault="008A1F36" w:rsidP="00634E5D">
      <w:pPr>
        <w:tabs>
          <w:tab w:val="left" w:pos="540"/>
        </w:tabs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There are no estimated non-labor costs to respondents</w:t>
      </w:r>
      <w:r w:rsidR="003632B0" w:rsidRPr="004C3255">
        <w:rPr>
          <w:sz w:val="24"/>
          <w:szCs w:val="24"/>
        </w:rPr>
        <w:t>.</w:t>
      </w:r>
      <w:r w:rsidR="00463205" w:rsidRPr="004C3255">
        <w:rPr>
          <w:sz w:val="24"/>
          <w:szCs w:val="24"/>
        </w:rPr>
        <w:t xml:space="preserve"> </w:t>
      </w:r>
      <w:r w:rsidR="001C68B4" w:rsidRPr="004C3255">
        <w:rPr>
          <w:sz w:val="24"/>
          <w:szCs w:val="24"/>
        </w:rPr>
        <w:t>The respondent will check prefilled information (from the application) in the</w:t>
      </w:r>
      <w:r>
        <w:rPr>
          <w:sz w:val="24"/>
          <w:szCs w:val="24"/>
        </w:rPr>
        <w:t xml:space="preserve"> </w:t>
      </w:r>
      <w:r w:rsidR="001C68B4" w:rsidRPr="004C3255">
        <w:rPr>
          <w:sz w:val="24"/>
          <w:szCs w:val="24"/>
        </w:rPr>
        <w:t>annual report and will upload a document showing continued production from the energy property.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Estimated cost to the federal government</w:t>
      </w:r>
    </w:p>
    <w:p w:rsidR="003632B0" w:rsidRPr="004C3255" w:rsidRDefault="003632B0" w:rsidP="003632B0">
      <w:pPr>
        <w:rPr>
          <w:sz w:val="24"/>
          <w:szCs w:val="24"/>
        </w:rPr>
      </w:pPr>
    </w:p>
    <w:p w:rsidR="00634E5D" w:rsidRDefault="00634E5D" w:rsidP="00634E5D">
      <w:pPr>
        <w:ind w:left="720"/>
        <w:rPr>
          <w:sz w:val="24"/>
          <w:szCs w:val="24"/>
        </w:rPr>
      </w:pPr>
      <w:r>
        <w:rPr>
          <w:sz w:val="24"/>
          <w:szCs w:val="24"/>
        </w:rPr>
        <w:t>The cost to the federal government is estimated to be $78,278 for staff time to review post-award reports, follow up with respondents and monitor compliance with program requirements. The cost is the annual salary of a GS-13, Step 8 employee ($122,310) at forty percent time ($48</w:t>
      </w:r>
      <w:r w:rsidR="008A1F36">
        <w:rPr>
          <w:sz w:val="24"/>
          <w:szCs w:val="24"/>
        </w:rPr>
        <w:t>,92</w:t>
      </w:r>
      <w:r>
        <w:rPr>
          <w:sz w:val="24"/>
          <w:szCs w:val="24"/>
        </w:rPr>
        <w:t>4), plus an additional sixty percent to account for benefits and overhead, for a fully-loaded total cost of $78,278.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Reasons for change in burden</w:t>
      </w:r>
    </w:p>
    <w:p w:rsidR="00AC3D5B" w:rsidRPr="004C3255" w:rsidRDefault="00AC3D5B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3632B0" w:rsidRDefault="00A261D6" w:rsidP="00A261D6">
      <w:pPr>
        <w:tabs>
          <w:tab w:val="left" w:pos="54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There is no change or adjustment to this burden previously approved by OMB.</w:t>
      </w:r>
    </w:p>
    <w:p w:rsidR="009968CE" w:rsidRPr="004C3255" w:rsidRDefault="009968CE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Plans for tabulation, statistical analysis and publication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3632B0" w:rsidRPr="004C3255" w:rsidRDefault="003632B0" w:rsidP="00A261D6">
      <w:pPr>
        <w:tabs>
          <w:tab w:val="left" w:pos="540"/>
        </w:tabs>
        <w:ind w:left="720"/>
        <w:rPr>
          <w:sz w:val="24"/>
          <w:szCs w:val="24"/>
        </w:rPr>
      </w:pPr>
      <w:r w:rsidRPr="004C3255">
        <w:rPr>
          <w:sz w:val="24"/>
          <w:szCs w:val="24"/>
        </w:rPr>
        <w:t xml:space="preserve">The Treasury Department will conduct </w:t>
      </w:r>
      <w:r w:rsidR="00463205" w:rsidRPr="004C3255">
        <w:rPr>
          <w:sz w:val="24"/>
          <w:szCs w:val="24"/>
        </w:rPr>
        <w:t>co</w:t>
      </w:r>
      <w:r w:rsidRPr="004C3255">
        <w:rPr>
          <w:sz w:val="24"/>
          <w:szCs w:val="24"/>
        </w:rPr>
        <w:t xml:space="preserve">mpliance checks. </w:t>
      </w:r>
      <w:r w:rsidR="009968CE">
        <w:rPr>
          <w:sz w:val="24"/>
          <w:szCs w:val="24"/>
        </w:rPr>
        <w:t xml:space="preserve"> </w:t>
      </w:r>
      <w:r w:rsidR="00463205" w:rsidRPr="004C3255">
        <w:rPr>
          <w:sz w:val="24"/>
          <w:szCs w:val="24"/>
        </w:rPr>
        <w:t>There is no plan for tabulation, statistical analysis, or publication.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Reasons why displaying the OMB expiration date is inappropriate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3632B0" w:rsidRPr="004C3255" w:rsidRDefault="003632B0" w:rsidP="00A261D6">
      <w:pPr>
        <w:tabs>
          <w:tab w:val="left" w:pos="540"/>
        </w:tabs>
        <w:ind w:left="720"/>
        <w:rPr>
          <w:sz w:val="24"/>
          <w:szCs w:val="24"/>
        </w:rPr>
      </w:pPr>
      <w:r w:rsidRPr="004C3255">
        <w:rPr>
          <w:sz w:val="24"/>
          <w:szCs w:val="24"/>
        </w:rPr>
        <w:t>Display of the OMB expiration date will create confusion because this program has a limited duration.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903BF4" w:rsidP="00474E1C">
      <w:pPr>
        <w:pStyle w:val="Heading1"/>
      </w:pPr>
      <w:r w:rsidRPr="004C3255">
        <w:t>Exceptions to certification requirement of OMB Form 83-1</w:t>
      </w:r>
    </w:p>
    <w:p w:rsidR="003632B0" w:rsidRPr="004C3255" w:rsidRDefault="003632B0" w:rsidP="003A36DA">
      <w:pPr>
        <w:tabs>
          <w:tab w:val="left" w:pos="540"/>
        </w:tabs>
        <w:ind w:left="540" w:hanging="540"/>
        <w:rPr>
          <w:sz w:val="24"/>
          <w:szCs w:val="24"/>
        </w:rPr>
      </w:pPr>
    </w:p>
    <w:p w:rsidR="00903BF4" w:rsidRPr="004C3255" w:rsidRDefault="003632B0" w:rsidP="00A261D6">
      <w:pPr>
        <w:tabs>
          <w:tab w:val="left" w:pos="540"/>
        </w:tabs>
        <w:ind w:left="720"/>
        <w:rPr>
          <w:b/>
          <w:i/>
          <w:sz w:val="24"/>
          <w:szCs w:val="24"/>
        </w:rPr>
      </w:pPr>
      <w:r w:rsidRPr="004C3255">
        <w:rPr>
          <w:sz w:val="24"/>
          <w:szCs w:val="24"/>
        </w:rPr>
        <w:t xml:space="preserve">Regarding this request for OMB approval, there are no exceptions to the certification </w:t>
      </w:r>
      <w:r w:rsidR="00474E1C">
        <w:rPr>
          <w:sz w:val="24"/>
          <w:szCs w:val="24"/>
        </w:rPr>
        <w:t>under 5 CFR 1320.9</w:t>
      </w:r>
      <w:r w:rsidRPr="004C3255">
        <w:rPr>
          <w:sz w:val="24"/>
          <w:szCs w:val="24"/>
        </w:rPr>
        <w:t>.</w:t>
      </w:r>
    </w:p>
    <w:sectPr w:rsidR="00903BF4" w:rsidRPr="004C3255" w:rsidSect="00474E1C">
      <w:footerReference w:type="default" r:id="rId9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CF" w:rsidRDefault="00EF5ACF" w:rsidP="0040688F">
      <w:r>
        <w:separator/>
      </w:r>
    </w:p>
  </w:endnote>
  <w:endnote w:type="continuationSeparator" w:id="0">
    <w:p w:rsidR="00EF5ACF" w:rsidRDefault="00EF5ACF" w:rsidP="0040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13" w:rsidRDefault="00D60D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353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CF" w:rsidRDefault="00EF5ACF" w:rsidP="0040688F">
      <w:r>
        <w:separator/>
      </w:r>
    </w:p>
  </w:footnote>
  <w:footnote w:type="continuationSeparator" w:id="0">
    <w:p w:rsidR="00EF5ACF" w:rsidRDefault="00EF5ACF" w:rsidP="0040688F">
      <w:r>
        <w:continuationSeparator/>
      </w:r>
    </w:p>
  </w:footnote>
  <w:footnote w:id="1">
    <w:p w:rsidR="00C67C04" w:rsidRDefault="00C67C04" w:rsidP="00C67C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1F36">
        <w:t xml:space="preserve">Wage rate calculated by taking the mean wage for all occupations of $24.98/hour and increasing it by 43% to account for the total employer cost of compensation (incl. benefits, taxes and overhead). The resulting fully-loaded wage rate is $35.72. Wage data taken from the </w:t>
      </w:r>
      <w:r w:rsidR="008A1F36" w:rsidRPr="00A40F1A">
        <w:t>Bureau of Labor Statistics</w:t>
      </w:r>
      <w:r w:rsidR="008A1F36">
        <w:t xml:space="preserve">, “Occupational Employment Statistics, May 2018.” </w:t>
      </w:r>
      <w:hyperlink r:id="rId1" w:history="1">
        <w:r w:rsidR="008A1F36">
          <w:rPr>
            <w:rStyle w:val="Hyperlink"/>
          </w:rPr>
          <w:t>https://www.bls.gov/oes/current/oes_nat.htm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5DDC"/>
    <w:multiLevelType w:val="hybridMultilevel"/>
    <w:tmpl w:val="0638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B44"/>
    <w:multiLevelType w:val="hybridMultilevel"/>
    <w:tmpl w:val="888CF2FE"/>
    <w:lvl w:ilvl="0" w:tplc="BCE8826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F4"/>
    <w:rsid w:val="00060384"/>
    <w:rsid w:val="0007698D"/>
    <w:rsid w:val="00160C5F"/>
    <w:rsid w:val="0017446E"/>
    <w:rsid w:val="001C68B4"/>
    <w:rsid w:val="00210607"/>
    <w:rsid w:val="00223116"/>
    <w:rsid w:val="00243EFA"/>
    <w:rsid w:val="0035758D"/>
    <w:rsid w:val="003632B0"/>
    <w:rsid w:val="003A36DA"/>
    <w:rsid w:val="0040688F"/>
    <w:rsid w:val="00415F6B"/>
    <w:rsid w:val="004235C1"/>
    <w:rsid w:val="004437C7"/>
    <w:rsid w:val="00463205"/>
    <w:rsid w:val="00474E1C"/>
    <w:rsid w:val="00496C28"/>
    <w:rsid w:val="004C3255"/>
    <w:rsid w:val="00522482"/>
    <w:rsid w:val="005A67F5"/>
    <w:rsid w:val="005B6B2B"/>
    <w:rsid w:val="005D757D"/>
    <w:rsid w:val="00634E5D"/>
    <w:rsid w:val="00740DB5"/>
    <w:rsid w:val="00770747"/>
    <w:rsid w:val="00796E7F"/>
    <w:rsid w:val="008A1F36"/>
    <w:rsid w:val="00903BF4"/>
    <w:rsid w:val="00937117"/>
    <w:rsid w:val="009968CE"/>
    <w:rsid w:val="00A247A9"/>
    <w:rsid w:val="00A261D6"/>
    <w:rsid w:val="00A46555"/>
    <w:rsid w:val="00A8035E"/>
    <w:rsid w:val="00A95BF1"/>
    <w:rsid w:val="00AC3D5B"/>
    <w:rsid w:val="00BB6694"/>
    <w:rsid w:val="00C67C04"/>
    <w:rsid w:val="00D03096"/>
    <w:rsid w:val="00D60D13"/>
    <w:rsid w:val="00DB5FF4"/>
    <w:rsid w:val="00DF618E"/>
    <w:rsid w:val="00E15F48"/>
    <w:rsid w:val="00E9353E"/>
    <w:rsid w:val="00E93A80"/>
    <w:rsid w:val="00EF5ACF"/>
    <w:rsid w:val="00F87F89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1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E1C"/>
    <w:pPr>
      <w:keepNext/>
      <w:numPr>
        <w:numId w:val="2"/>
      </w:numPr>
      <w:ind w:hanging="720"/>
      <w:outlineLvl w:val="0"/>
    </w:pPr>
    <w:rPr>
      <w:rFonts w:eastAsia="Times New Roman"/>
      <w:bCs/>
      <w:kern w:val="32"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BF4"/>
    <w:pPr>
      <w:ind w:left="720"/>
    </w:pPr>
  </w:style>
  <w:style w:type="table" w:styleId="TableGrid">
    <w:name w:val="Table Grid"/>
    <w:basedOn w:val="TableNormal"/>
    <w:uiPriority w:val="59"/>
    <w:rsid w:val="0079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8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68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68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688F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698D"/>
    <w:rPr>
      <w:rFonts w:ascii="Calibri" w:eastAsia="Times New Roman" w:hAnsi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07698D"/>
    <w:rPr>
      <w:rFonts w:ascii="Calibri" w:eastAsia="Times New Roman" w:hAnsi="Calibri"/>
      <w:sz w:val="22"/>
      <w:szCs w:val="21"/>
    </w:rPr>
  </w:style>
  <w:style w:type="character" w:customStyle="1" w:styleId="Heading1Char">
    <w:name w:val="Heading 1 Char"/>
    <w:link w:val="Heading1"/>
    <w:uiPriority w:val="9"/>
    <w:rsid w:val="00474E1C"/>
    <w:rPr>
      <w:rFonts w:eastAsia="Times New Roman" w:cs="Times New Roman"/>
      <w:bCs/>
      <w:kern w:val="32"/>
      <w:sz w:val="24"/>
      <w:szCs w:val="3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1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117"/>
  </w:style>
  <w:style w:type="character" w:styleId="FootnoteReference">
    <w:name w:val="footnote reference"/>
    <w:uiPriority w:val="99"/>
    <w:semiHidden/>
    <w:unhideWhenUsed/>
    <w:rsid w:val="00937117"/>
    <w:rPr>
      <w:vertAlign w:val="superscript"/>
    </w:rPr>
  </w:style>
  <w:style w:type="character" w:styleId="Hyperlink">
    <w:name w:val="Hyperlink"/>
    <w:uiPriority w:val="99"/>
    <w:semiHidden/>
    <w:unhideWhenUsed/>
    <w:rsid w:val="009371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C0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1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E1C"/>
    <w:pPr>
      <w:keepNext/>
      <w:numPr>
        <w:numId w:val="2"/>
      </w:numPr>
      <w:ind w:hanging="720"/>
      <w:outlineLvl w:val="0"/>
    </w:pPr>
    <w:rPr>
      <w:rFonts w:eastAsia="Times New Roman"/>
      <w:bCs/>
      <w:kern w:val="32"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BF4"/>
    <w:pPr>
      <w:ind w:left="720"/>
    </w:pPr>
  </w:style>
  <w:style w:type="table" w:styleId="TableGrid">
    <w:name w:val="Table Grid"/>
    <w:basedOn w:val="TableNormal"/>
    <w:uiPriority w:val="59"/>
    <w:rsid w:val="0079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8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68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68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688F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698D"/>
    <w:rPr>
      <w:rFonts w:ascii="Calibri" w:eastAsia="Times New Roman" w:hAnsi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07698D"/>
    <w:rPr>
      <w:rFonts w:ascii="Calibri" w:eastAsia="Times New Roman" w:hAnsi="Calibri"/>
      <w:sz w:val="22"/>
      <w:szCs w:val="21"/>
    </w:rPr>
  </w:style>
  <w:style w:type="character" w:customStyle="1" w:styleId="Heading1Char">
    <w:name w:val="Heading 1 Char"/>
    <w:link w:val="Heading1"/>
    <w:uiPriority w:val="9"/>
    <w:rsid w:val="00474E1C"/>
    <w:rPr>
      <w:rFonts w:eastAsia="Times New Roman" w:cs="Times New Roman"/>
      <w:bCs/>
      <w:kern w:val="32"/>
      <w:sz w:val="24"/>
      <w:szCs w:val="3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1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117"/>
  </w:style>
  <w:style w:type="character" w:styleId="FootnoteReference">
    <w:name w:val="footnote reference"/>
    <w:uiPriority w:val="99"/>
    <w:semiHidden/>
    <w:unhideWhenUsed/>
    <w:rsid w:val="00937117"/>
    <w:rPr>
      <w:vertAlign w:val="superscript"/>
    </w:rPr>
  </w:style>
  <w:style w:type="character" w:styleId="Hyperlink">
    <w:name w:val="Hyperlink"/>
    <w:uiPriority w:val="99"/>
    <w:semiHidden/>
    <w:unhideWhenUsed/>
    <w:rsid w:val="009371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A770-E870-469C-AE50-CC68BCAE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#1505-0221 supporting statement:  2016</vt:lpstr>
    </vt:vector>
  </TitlesOfParts>
  <Company>The U.S. Department of the Treasury</Company>
  <LinksUpToDate>false</LinksUpToDate>
  <CharactersWithSpaces>5144</CharactersWithSpaces>
  <SharedDoc>false</SharedDoc>
  <HLinks>
    <vt:vector size="6" baseType="variant">
      <vt:variant>
        <vt:i4>7864347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https://www.bls.gov/oes/current/oes_stru.htm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#1505-0221 supporting statement:  2016</dc:title>
  <dc:subject/>
  <dc:creator>Gladden, Sustanchia</dc:creator>
  <cp:keywords/>
  <cp:lastModifiedBy>SYSTEM</cp:lastModifiedBy>
  <cp:revision>2</cp:revision>
  <dcterms:created xsi:type="dcterms:W3CDTF">2019-12-31T16:46:00Z</dcterms:created>
  <dcterms:modified xsi:type="dcterms:W3CDTF">2019-12-31T16:46:00Z</dcterms:modified>
</cp:coreProperties>
</file>