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BD0B0" w14:textId="0A6C15F9" w:rsidR="008E440D" w:rsidRPr="008E440D" w:rsidRDefault="0094528E" w:rsidP="008E440D">
      <w:pPr>
        <w:jc w:val="center"/>
        <w:rPr>
          <w:b/>
          <w:szCs w:val="24"/>
        </w:rPr>
      </w:pPr>
      <w:bookmarkStart w:id="0" w:name="_GoBack"/>
      <w:bookmarkEnd w:id="0"/>
      <w:r>
        <w:rPr>
          <w:b/>
          <w:szCs w:val="24"/>
        </w:rPr>
        <w:t>ADULT PROTECTIVE SERVICES OUTCOMES STUDY</w:t>
      </w:r>
      <w:r w:rsidR="008E440D" w:rsidRPr="008E440D">
        <w:rPr>
          <w:b/>
          <w:szCs w:val="24"/>
        </w:rPr>
        <w:t xml:space="preserve"> </w:t>
      </w:r>
    </w:p>
    <w:p w14:paraId="3C11A7AF" w14:textId="77777777" w:rsidR="00376379" w:rsidRPr="00622A73" w:rsidRDefault="00376379">
      <w:pPr>
        <w:jc w:val="center"/>
        <w:rPr>
          <w:b/>
          <w:szCs w:val="24"/>
        </w:rPr>
      </w:pPr>
    </w:p>
    <w:p w14:paraId="0C5AC3D0" w14:textId="0484119C" w:rsidR="005B16FE" w:rsidRPr="00622A73" w:rsidRDefault="00C64850">
      <w:pPr>
        <w:jc w:val="center"/>
        <w:rPr>
          <w:b/>
          <w:szCs w:val="24"/>
        </w:rPr>
      </w:pPr>
      <w:r w:rsidRPr="00622A73">
        <w:rPr>
          <w:b/>
          <w:szCs w:val="24"/>
        </w:rPr>
        <w:t>Supporting Statement for Paperwork Reduction Act</w:t>
      </w:r>
      <w:r w:rsidR="00B3329F">
        <w:rPr>
          <w:b/>
          <w:szCs w:val="24"/>
        </w:rPr>
        <w:t xml:space="preserve"> - Part A</w:t>
      </w:r>
    </w:p>
    <w:p w14:paraId="1116B0DF" w14:textId="77777777" w:rsidR="00D85F90" w:rsidRPr="00622A73" w:rsidRDefault="00C64850" w:rsidP="00D85F90">
      <w:pPr>
        <w:jc w:val="center"/>
        <w:rPr>
          <w:b/>
          <w:szCs w:val="24"/>
        </w:rPr>
      </w:pPr>
      <w:r w:rsidRPr="00622A73">
        <w:rPr>
          <w:b/>
          <w:szCs w:val="24"/>
        </w:rPr>
        <w:t>Information Collection Request</w:t>
      </w:r>
    </w:p>
    <w:p w14:paraId="4F8A5245" w14:textId="77777777" w:rsidR="00C64850" w:rsidRPr="00622A73" w:rsidRDefault="00C64850" w:rsidP="005B16FE">
      <w:pPr>
        <w:jc w:val="center"/>
        <w:rPr>
          <w:b/>
          <w:szCs w:val="24"/>
        </w:rPr>
      </w:pPr>
    </w:p>
    <w:p w14:paraId="2402E667" w14:textId="77777777" w:rsidR="00EF1A48" w:rsidRPr="00E8577C" w:rsidRDefault="00EF1A48"/>
    <w:p w14:paraId="0C08F037" w14:textId="77777777" w:rsidR="00221F17" w:rsidRDefault="00221F17">
      <w:pPr>
        <w:pStyle w:val="Heading1"/>
      </w:pPr>
      <w:r>
        <w:t>BACKGROUND</w:t>
      </w:r>
    </w:p>
    <w:p w14:paraId="64F26E38" w14:textId="77777777" w:rsidR="00221F17" w:rsidRDefault="00221F17" w:rsidP="00221F17"/>
    <w:p w14:paraId="6DE04371" w14:textId="7EBF89E7" w:rsidR="00221F17" w:rsidRPr="00221F17" w:rsidRDefault="00221F17" w:rsidP="000D0A11">
      <w:pPr>
        <w:rPr>
          <w:szCs w:val="22"/>
        </w:rPr>
      </w:pPr>
      <w:r w:rsidRPr="00221F17">
        <w:rPr>
          <w:szCs w:val="22"/>
        </w:rPr>
        <w:t xml:space="preserve">The </w:t>
      </w:r>
      <w:r w:rsidR="004D67F5" w:rsidRPr="00221F17">
        <w:rPr>
          <w:szCs w:val="22"/>
        </w:rPr>
        <w:t>U.S. Department of Health and Human Services (HHS)</w:t>
      </w:r>
      <w:r w:rsidR="004D67F5">
        <w:rPr>
          <w:b/>
          <w:szCs w:val="22"/>
        </w:rPr>
        <w:t xml:space="preserve">, </w:t>
      </w:r>
      <w:r w:rsidRPr="00221F17">
        <w:rPr>
          <w:szCs w:val="22"/>
        </w:rPr>
        <w:t xml:space="preserve">Administration for Community Living (ACL) is seeking OMB approval to collect data using new information collection tools that examine if and how </w:t>
      </w:r>
      <w:r w:rsidR="0094528E">
        <w:rPr>
          <w:szCs w:val="22"/>
        </w:rPr>
        <w:t>Adult Protective Services (</w:t>
      </w:r>
      <w:r w:rsidRPr="00221F17">
        <w:rPr>
          <w:szCs w:val="22"/>
        </w:rPr>
        <w:t>APS</w:t>
      </w:r>
      <w:r w:rsidR="0094528E">
        <w:rPr>
          <w:szCs w:val="22"/>
        </w:rPr>
        <w:t>)</w:t>
      </w:r>
      <w:r w:rsidRPr="00221F17">
        <w:rPr>
          <w:szCs w:val="22"/>
        </w:rPr>
        <w:t xml:space="preserve"> programs make a difference in the lives of APS clients. </w:t>
      </w:r>
    </w:p>
    <w:p w14:paraId="4F8848F3" w14:textId="77777777" w:rsidR="00221F17" w:rsidRPr="00221F17" w:rsidRDefault="00221F17" w:rsidP="000D0A11">
      <w:pPr>
        <w:rPr>
          <w:szCs w:val="22"/>
        </w:rPr>
      </w:pPr>
    </w:p>
    <w:p w14:paraId="19DD3EE8" w14:textId="77777777" w:rsidR="009E0772" w:rsidRDefault="00221F17" w:rsidP="000D0A11">
      <w:pPr>
        <w:rPr>
          <w:szCs w:val="22"/>
        </w:rPr>
      </w:pPr>
      <w:r w:rsidRPr="00221F17">
        <w:rPr>
          <w:szCs w:val="22"/>
        </w:rPr>
        <w:t xml:space="preserve">APS programs are provided by state and local governments nationwide and serve older adults and adults with disabilities in need of assistance due to maltreatment, which can include: physical, emotional, and sexual abuse; financial exploitation; neglect; and self-neglect. APS is an important avenue through which maltreatment is reported to law enforcement or other agencies. </w:t>
      </w:r>
      <w:r w:rsidR="009E0772">
        <w:rPr>
          <w:szCs w:val="22"/>
        </w:rPr>
        <w:t xml:space="preserve"> </w:t>
      </w:r>
      <w:r w:rsidRPr="00221F17">
        <w:rPr>
          <w:szCs w:val="22"/>
        </w:rPr>
        <w:t xml:space="preserve">Additionally, APS programs are often the gateway for adults who experience maltreatment to access additional community, social, health, behavioral health, and legal services to maintain independence in the settings in which they prefer to live. </w:t>
      </w:r>
    </w:p>
    <w:p w14:paraId="6FC71F0D" w14:textId="77777777" w:rsidR="009E0772" w:rsidRDefault="009E0772" w:rsidP="000D0A11">
      <w:pPr>
        <w:rPr>
          <w:szCs w:val="22"/>
        </w:rPr>
      </w:pPr>
    </w:p>
    <w:p w14:paraId="2F2C2BAD" w14:textId="77777777" w:rsidR="009E0772" w:rsidRPr="00BC2E67" w:rsidRDefault="00221F17" w:rsidP="000D0A11">
      <w:r w:rsidRPr="00221F17">
        <w:rPr>
          <w:szCs w:val="22"/>
        </w:rPr>
        <w:t xml:space="preserve">APS programs work closely with clients and a wide variety of allied professionals to maximize safety and independence, while respecting each client’s right to self-determination. </w:t>
      </w:r>
      <w:r w:rsidR="009E0772" w:rsidRPr="00BC2E67">
        <w:t>APS programs provide a range of services to the clients they serve, including:</w:t>
      </w:r>
    </w:p>
    <w:p w14:paraId="4C946935" w14:textId="77777777" w:rsidR="009E0772" w:rsidRDefault="009E0772" w:rsidP="000D0A11">
      <w:pPr>
        <w:pStyle w:val="ListParagraph"/>
        <w:numPr>
          <w:ilvl w:val="0"/>
          <w:numId w:val="25"/>
        </w:numPr>
        <w:spacing w:after="160" w:line="259" w:lineRule="auto"/>
        <w:ind w:left="720"/>
      </w:pPr>
      <w:r w:rsidRPr="00BC2E67">
        <w:t>investigating reports of adult maltreatment;</w:t>
      </w:r>
    </w:p>
    <w:p w14:paraId="63389116" w14:textId="77777777" w:rsidR="009E0772" w:rsidRDefault="009E0772" w:rsidP="000D0A11">
      <w:pPr>
        <w:pStyle w:val="ListParagraph"/>
        <w:numPr>
          <w:ilvl w:val="0"/>
          <w:numId w:val="25"/>
        </w:numPr>
        <w:spacing w:after="160" w:line="259" w:lineRule="auto"/>
        <w:ind w:left="720"/>
      </w:pPr>
      <w:r w:rsidRPr="00BC2E67">
        <w:t>case planning, monitoring, evaluating, and other casework; and</w:t>
      </w:r>
    </w:p>
    <w:p w14:paraId="1AB43C46" w14:textId="12FBDC21" w:rsidR="00221F17" w:rsidRPr="009E0772" w:rsidRDefault="009E0772" w:rsidP="000D0A11">
      <w:pPr>
        <w:pStyle w:val="ListParagraph"/>
        <w:numPr>
          <w:ilvl w:val="0"/>
          <w:numId w:val="25"/>
        </w:numPr>
        <w:spacing w:after="160" w:line="259" w:lineRule="auto"/>
        <w:ind w:left="720"/>
      </w:pPr>
      <w:r w:rsidRPr="00BC2E67">
        <w:t>providing, arranging for, or facilitating the provision of medical, social service, economic, legal, housing, law enforcement, or other protective, emergency, or support services.</w:t>
      </w:r>
    </w:p>
    <w:p w14:paraId="62FE5DA5" w14:textId="77777777" w:rsidR="00925B62" w:rsidRDefault="009B5DCF" w:rsidP="000D0A11">
      <w:pPr>
        <w:rPr>
          <w:szCs w:val="22"/>
        </w:rPr>
      </w:pPr>
      <w:r w:rsidRPr="009B5DCF">
        <w:rPr>
          <w:szCs w:val="22"/>
        </w:rPr>
        <w:t xml:space="preserve">The purpose of </w:t>
      </w:r>
      <w:r>
        <w:rPr>
          <w:szCs w:val="22"/>
        </w:rPr>
        <w:t>this new</w:t>
      </w:r>
      <w:r w:rsidR="000424A2">
        <w:rPr>
          <w:szCs w:val="22"/>
        </w:rPr>
        <w:t xml:space="preserve"> information</w:t>
      </w:r>
      <w:r>
        <w:rPr>
          <w:szCs w:val="22"/>
        </w:rPr>
        <w:t xml:space="preserve"> collection (“the study”)</w:t>
      </w:r>
      <w:r w:rsidRPr="009B5DCF">
        <w:rPr>
          <w:szCs w:val="22"/>
        </w:rPr>
        <w:t xml:space="preserve"> is to examine if and how APS programs make a difference in the lives of APS clients with regard to their self-determination, safety, well-being, and satisfaction with services. The design of the study </w:t>
      </w:r>
      <w:r w:rsidR="00DE692C">
        <w:rPr>
          <w:szCs w:val="22"/>
        </w:rPr>
        <w:t>was</w:t>
      </w:r>
      <w:r w:rsidRPr="009B5DCF">
        <w:rPr>
          <w:szCs w:val="22"/>
        </w:rPr>
        <w:t xml:space="preserve"> informed by key foundational activities, including a review of the literature and existing datasets, the development of a logic model and a theoretical framework, and guidance from ACL content experts and a technical expert panel (TEP), consisting of researchers, practitioners, and program leaders within APS.</w:t>
      </w:r>
      <w:r>
        <w:rPr>
          <w:szCs w:val="22"/>
        </w:rPr>
        <w:t xml:space="preserve"> </w:t>
      </w:r>
    </w:p>
    <w:p w14:paraId="4A3B0E5F" w14:textId="77777777" w:rsidR="00925B62" w:rsidRDefault="00925B62" w:rsidP="000D0A11">
      <w:pPr>
        <w:rPr>
          <w:szCs w:val="22"/>
        </w:rPr>
      </w:pPr>
    </w:p>
    <w:p w14:paraId="0DF4C8AA" w14:textId="212CAECF" w:rsidR="0072671F" w:rsidRDefault="00097B85" w:rsidP="000D0A11">
      <w:pPr>
        <w:rPr>
          <w:szCs w:val="22"/>
        </w:rPr>
      </w:pPr>
      <w:r w:rsidRPr="00221F17">
        <w:rPr>
          <w:szCs w:val="22"/>
        </w:rPr>
        <w:t xml:space="preserve">The </w:t>
      </w:r>
      <w:r w:rsidR="00D44C57">
        <w:rPr>
          <w:szCs w:val="22"/>
        </w:rPr>
        <w:t>study</w:t>
      </w:r>
      <w:r w:rsidRPr="00221F17">
        <w:rPr>
          <w:szCs w:val="22"/>
        </w:rPr>
        <w:t xml:space="preserve"> will be conducted with three target populations: (1) APS clients, (2) APS caseworkers, and (3) APS leaders. APS leaders will consist of APS state and APS county leaders. Data collection with these three target populations will </w:t>
      </w:r>
      <w:r w:rsidR="0072671F">
        <w:rPr>
          <w:szCs w:val="22"/>
        </w:rPr>
        <w:t xml:space="preserve">be conducted using five new data collection </w:t>
      </w:r>
      <w:r w:rsidR="00D44C57">
        <w:rPr>
          <w:szCs w:val="22"/>
        </w:rPr>
        <w:t>instruments</w:t>
      </w:r>
      <w:r w:rsidR="0072671F">
        <w:rPr>
          <w:szCs w:val="22"/>
        </w:rPr>
        <w:t>:</w:t>
      </w:r>
    </w:p>
    <w:p w14:paraId="551DA9F1" w14:textId="7AD8F140" w:rsidR="0072671F" w:rsidRDefault="0072671F" w:rsidP="000D0A11">
      <w:pPr>
        <w:pStyle w:val="ListParagraph"/>
        <w:numPr>
          <w:ilvl w:val="0"/>
          <w:numId w:val="36"/>
        </w:numPr>
        <w:rPr>
          <w:szCs w:val="22"/>
        </w:rPr>
      </w:pPr>
      <w:r>
        <w:rPr>
          <w:szCs w:val="22"/>
        </w:rPr>
        <w:t>B</w:t>
      </w:r>
      <w:r w:rsidR="00097B85" w:rsidRPr="0072671F">
        <w:rPr>
          <w:szCs w:val="22"/>
        </w:rPr>
        <w:t>rief, anonymous APS client questionnaire</w:t>
      </w:r>
      <w:r>
        <w:rPr>
          <w:szCs w:val="22"/>
        </w:rPr>
        <w:t xml:space="preserve"> – to be completed by APS clients</w:t>
      </w:r>
    </w:p>
    <w:p w14:paraId="6A78C479" w14:textId="36AC6E2B" w:rsidR="0072671F" w:rsidRDefault="0072671F" w:rsidP="000D0A11">
      <w:pPr>
        <w:pStyle w:val="ListParagraph"/>
        <w:numPr>
          <w:ilvl w:val="0"/>
          <w:numId w:val="36"/>
        </w:numPr>
        <w:rPr>
          <w:szCs w:val="22"/>
        </w:rPr>
      </w:pPr>
      <w:r>
        <w:rPr>
          <w:szCs w:val="22"/>
        </w:rPr>
        <w:t>D</w:t>
      </w:r>
      <w:r w:rsidR="00097B85" w:rsidRPr="00AE412E">
        <w:rPr>
          <w:szCs w:val="22"/>
        </w:rPr>
        <w:t>e-identified client data form</w:t>
      </w:r>
      <w:r>
        <w:rPr>
          <w:szCs w:val="22"/>
        </w:rPr>
        <w:t xml:space="preserve"> – to be completed by APS caseworkers</w:t>
      </w:r>
    </w:p>
    <w:p w14:paraId="7430EB35" w14:textId="3906AFA9" w:rsidR="0072671F" w:rsidRDefault="0072671F" w:rsidP="0072671F">
      <w:pPr>
        <w:pStyle w:val="ListParagraph"/>
        <w:numPr>
          <w:ilvl w:val="0"/>
          <w:numId w:val="36"/>
        </w:numPr>
        <w:rPr>
          <w:szCs w:val="22"/>
        </w:rPr>
      </w:pPr>
      <w:r>
        <w:rPr>
          <w:szCs w:val="22"/>
        </w:rPr>
        <w:t>S</w:t>
      </w:r>
      <w:r w:rsidR="00097B85" w:rsidRPr="00AE412E">
        <w:rPr>
          <w:szCs w:val="22"/>
        </w:rPr>
        <w:t xml:space="preserve">emi-structured in-person interview </w:t>
      </w:r>
      <w:r>
        <w:rPr>
          <w:szCs w:val="22"/>
        </w:rPr>
        <w:t xml:space="preserve">guide – to be used with </w:t>
      </w:r>
      <w:r w:rsidR="00097B85" w:rsidRPr="00AE412E">
        <w:rPr>
          <w:szCs w:val="22"/>
        </w:rPr>
        <w:t>APS clients</w:t>
      </w:r>
    </w:p>
    <w:p w14:paraId="6D6D7B31" w14:textId="69AA08BE" w:rsidR="0072671F" w:rsidRDefault="0072671F" w:rsidP="0072671F">
      <w:pPr>
        <w:pStyle w:val="ListParagraph"/>
        <w:numPr>
          <w:ilvl w:val="0"/>
          <w:numId w:val="36"/>
        </w:numPr>
        <w:rPr>
          <w:szCs w:val="22"/>
        </w:rPr>
      </w:pPr>
      <w:r>
        <w:rPr>
          <w:szCs w:val="22"/>
        </w:rPr>
        <w:t>S</w:t>
      </w:r>
      <w:r w:rsidR="00097B85" w:rsidRPr="00AE412E">
        <w:rPr>
          <w:szCs w:val="22"/>
        </w:rPr>
        <w:t xml:space="preserve">emi-structured in-person focus group </w:t>
      </w:r>
      <w:r>
        <w:rPr>
          <w:szCs w:val="22"/>
        </w:rPr>
        <w:t xml:space="preserve">guide – to be used </w:t>
      </w:r>
      <w:r w:rsidR="00097B85" w:rsidRPr="0072671F">
        <w:rPr>
          <w:szCs w:val="22"/>
        </w:rPr>
        <w:t xml:space="preserve">with APS caseworkers; </w:t>
      </w:r>
      <w:r w:rsidR="00097B85" w:rsidRPr="00AE412E">
        <w:rPr>
          <w:szCs w:val="22"/>
        </w:rPr>
        <w:t xml:space="preserve">and </w:t>
      </w:r>
    </w:p>
    <w:p w14:paraId="40C8BE74" w14:textId="3B1E4A4C" w:rsidR="00097B85" w:rsidRPr="00AE412E" w:rsidRDefault="0072671F" w:rsidP="000424A2">
      <w:pPr>
        <w:pStyle w:val="ListParagraph"/>
        <w:numPr>
          <w:ilvl w:val="0"/>
          <w:numId w:val="36"/>
        </w:numPr>
        <w:rPr>
          <w:szCs w:val="22"/>
        </w:rPr>
      </w:pPr>
      <w:r>
        <w:rPr>
          <w:szCs w:val="22"/>
        </w:rPr>
        <w:lastRenderedPageBreak/>
        <w:t>S</w:t>
      </w:r>
      <w:r w:rsidR="00097B85" w:rsidRPr="00AE412E">
        <w:rPr>
          <w:szCs w:val="22"/>
        </w:rPr>
        <w:t xml:space="preserve">emi-structured interview </w:t>
      </w:r>
      <w:r>
        <w:rPr>
          <w:szCs w:val="22"/>
        </w:rPr>
        <w:t xml:space="preserve">guide – to be used </w:t>
      </w:r>
      <w:r w:rsidR="00097B85" w:rsidRPr="0072671F">
        <w:rPr>
          <w:szCs w:val="22"/>
        </w:rPr>
        <w:t>with APS leaders.</w:t>
      </w:r>
    </w:p>
    <w:p w14:paraId="2D045107" w14:textId="77777777" w:rsidR="00221F17" w:rsidRPr="00221F17" w:rsidRDefault="00221F17" w:rsidP="00221F17"/>
    <w:p w14:paraId="1E4DCBB8" w14:textId="4DF4378F" w:rsidR="003C4ED0" w:rsidRDefault="003F0D36">
      <w:pPr>
        <w:pStyle w:val="Heading1"/>
      </w:pPr>
      <w:r>
        <w:t>JUSTIFICATION</w:t>
      </w:r>
    </w:p>
    <w:p w14:paraId="298D2491" w14:textId="77777777" w:rsidR="003C4ED0" w:rsidRDefault="003C4ED0">
      <w:pPr>
        <w:pStyle w:val="Footer"/>
        <w:widowControl/>
        <w:tabs>
          <w:tab w:val="clear" w:pos="4320"/>
          <w:tab w:val="clear" w:pos="8640"/>
        </w:tabs>
        <w:rPr>
          <w:rFonts w:ascii="Times New Roman" w:hAnsi="Times New Roman"/>
          <w:snapToGrid/>
        </w:rPr>
      </w:pPr>
    </w:p>
    <w:p w14:paraId="26C09689" w14:textId="77777777" w:rsidR="003C4ED0" w:rsidRPr="00661A92" w:rsidRDefault="00B155E2" w:rsidP="00F631A3">
      <w:pPr>
        <w:pStyle w:val="ListParagraph"/>
        <w:numPr>
          <w:ilvl w:val="0"/>
          <w:numId w:val="9"/>
        </w:numPr>
        <w:rPr>
          <w:b/>
        </w:rPr>
      </w:pPr>
      <w:r w:rsidRPr="00661A92">
        <w:rPr>
          <w:b/>
        </w:rPr>
        <w:t>Circumstances Making the Collection of Information Necessary</w:t>
      </w:r>
      <w:r w:rsidR="00B80592" w:rsidRPr="00661A92">
        <w:rPr>
          <w:b/>
        </w:rPr>
        <w:t xml:space="preserve"> </w:t>
      </w:r>
    </w:p>
    <w:p w14:paraId="455BC0AA" w14:textId="77777777" w:rsidR="00EC7C46" w:rsidRPr="001D6447" w:rsidRDefault="00EC7C46" w:rsidP="00EC7C46">
      <w:pPr>
        <w:ind w:left="360"/>
        <w:rPr>
          <w:rFonts w:ascii="NewCenturySchlbk-Roman" w:hAnsi="NewCenturySchlbk-Roman" w:cs="NewCenturySchlbk-Roman"/>
          <w:szCs w:val="28"/>
        </w:rPr>
      </w:pPr>
    </w:p>
    <w:p w14:paraId="76F94BF9" w14:textId="2D129655" w:rsidR="0062052C" w:rsidRPr="00482BA3" w:rsidRDefault="0062052C" w:rsidP="000D0A11">
      <w:r w:rsidRPr="008D5780">
        <w:t>At this time, there is no single set of rules and regulations that APS programs must follow</w:t>
      </w:r>
      <w:r>
        <w:t>, and there is limited research examining the impact of APS programs on client outcomes. Thus, b</w:t>
      </w:r>
      <w:r w:rsidRPr="00BC2E67">
        <w:t>uilding the evidence</w:t>
      </w:r>
      <w:r>
        <w:t xml:space="preserve"> </w:t>
      </w:r>
      <w:r w:rsidRPr="00BC2E67">
        <w:t xml:space="preserve">base for APS programs and practices, </w:t>
      </w:r>
      <w:r>
        <w:t xml:space="preserve">identifying and </w:t>
      </w:r>
      <w:r w:rsidRPr="00BC2E67">
        <w:t xml:space="preserve">promoting the use of evidence-based and promising practices, and developing guiding standards are key needs </w:t>
      </w:r>
      <w:r>
        <w:t>of</w:t>
      </w:r>
      <w:r w:rsidRPr="00BC2E67">
        <w:t xml:space="preserve"> the APS </w:t>
      </w:r>
      <w:r w:rsidRPr="00177299">
        <w:t xml:space="preserve">field and reflect the ongoing commitment of ACL to the </w:t>
      </w:r>
      <w:r>
        <w:t>APS</w:t>
      </w:r>
      <w:r w:rsidRPr="00177299">
        <w:t xml:space="preserve"> field.</w:t>
      </w:r>
    </w:p>
    <w:p w14:paraId="62EA20C2" w14:textId="77777777" w:rsidR="0062052C" w:rsidRDefault="0062052C" w:rsidP="000D0A11">
      <w:pPr>
        <w:rPr>
          <w:szCs w:val="22"/>
        </w:rPr>
      </w:pPr>
    </w:p>
    <w:p w14:paraId="0A33EE92" w14:textId="3D74C00D" w:rsidR="0062052C" w:rsidRDefault="0062052C" w:rsidP="000D0A11">
      <w:pPr>
        <w:rPr>
          <w:szCs w:val="22"/>
        </w:rPr>
      </w:pPr>
      <w:r w:rsidRPr="00221F17">
        <w:rPr>
          <w:szCs w:val="22"/>
        </w:rPr>
        <w:t xml:space="preserve">The proposed new </w:t>
      </w:r>
      <w:r w:rsidR="000424A2">
        <w:rPr>
          <w:szCs w:val="22"/>
        </w:rPr>
        <w:t>information</w:t>
      </w:r>
      <w:r w:rsidRPr="00221F17">
        <w:rPr>
          <w:szCs w:val="22"/>
        </w:rPr>
        <w:t xml:space="preserve"> collection is an important component for building the evidence</w:t>
      </w:r>
      <w:r w:rsidR="005665A3">
        <w:rPr>
          <w:szCs w:val="22"/>
        </w:rPr>
        <w:t xml:space="preserve"> </w:t>
      </w:r>
      <w:r w:rsidRPr="00221F17">
        <w:rPr>
          <w:szCs w:val="22"/>
        </w:rPr>
        <w:t>base for APS programs and practices in improving client outcomes</w:t>
      </w:r>
      <w:r w:rsidR="00DE692C">
        <w:rPr>
          <w:szCs w:val="22"/>
        </w:rPr>
        <w:t>, and to support the ongoing evaluation of APS programs</w:t>
      </w:r>
      <w:r w:rsidRPr="00221F17">
        <w:rPr>
          <w:szCs w:val="22"/>
        </w:rPr>
        <w:t>.</w:t>
      </w:r>
      <w:r w:rsidR="00D11A7F">
        <w:rPr>
          <w:szCs w:val="22"/>
        </w:rPr>
        <w:t xml:space="preserve"> </w:t>
      </w:r>
      <w:r w:rsidRPr="00221F17">
        <w:rPr>
          <w:szCs w:val="22"/>
        </w:rPr>
        <w:t xml:space="preserve">Specifically, the </w:t>
      </w:r>
      <w:r w:rsidR="00D40F30">
        <w:rPr>
          <w:szCs w:val="22"/>
        </w:rPr>
        <w:t>study</w:t>
      </w:r>
      <w:r w:rsidRPr="00221F17">
        <w:rPr>
          <w:szCs w:val="22"/>
        </w:rPr>
        <w:t xml:space="preserve"> will help</w:t>
      </w:r>
      <w:r w:rsidR="00925B62">
        <w:rPr>
          <w:szCs w:val="22"/>
        </w:rPr>
        <w:t xml:space="preserve"> to</w:t>
      </w:r>
      <w:r w:rsidRPr="00221F17">
        <w:rPr>
          <w:szCs w:val="22"/>
        </w:rPr>
        <w:t xml:space="preserve"> examine</w:t>
      </w:r>
      <w:r>
        <w:rPr>
          <w:szCs w:val="22"/>
        </w:rPr>
        <w:t>:</w:t>
      </w:r>
    </w:p>
    <w:p w14:paraId="05541DB3" w14:textId="77777777" w:rsidR="0062052C" w:rsidRDefault="0062052C" w:rsidP="00654F66">
      <w:pPr>
        <w:ind w:left="720" w:hanging="360"/>
        <w:rPr>
          <w:szCs w:val="22"/>
        </w:rPr>
      </w:pPr>
      <w:r w:rsidRPr="00221F17">
        <w:rPr>
          <w:szCs w:val="22"/>
        </w:rPr>
        <w:t xml:space="preserve">(1) what changes clients report as a result of receiving APS services; </w:t>
      </w:r>
    </w:p>
    <w:p w14:paraId="07041A85" w14:textId="77777777" w:rsidR="0062052C" w:rsidRDefault="0062052C" w:rsidP="00654F66">
      <w:pPr>
        <w:ind w:left="720" w:hanging="360"/>
        <w:rPr>
          <w:szCs w:val="22"/>
        </w:rPr>
      </w:pPr>
      <w:r w:rsidRPr="00221F17">
        <w:rPr>
          <w:szCs w:val="22"/>
        </w:rPr>
        <w:t xml:space="preserve">(2) how satisfied clients are with the APS services they receive; </w:t>
      </w:r>
    </w:p>
    <w:p w14:paraId="437A2686" w14:textId="77777777" w:rsidR="0062052C" w:rsidRDefault="0062052C" w:rsidP="00654F66">
      <w:pPr>
        <w:ind w:left="720" w:hanging="360"/>
        <w:rPr>
          <w:szCs w:val="22"/>
        </w:rPr>
      </w:pPr>
      <w:r w:rsidRPr="00221F17">
        <w:rPr>
          <w:szCs w:val="22"/>
        </w:rPr>
        <w:t xml:space="preserve">(3) to what extent clients report APS helps them achieve their goals; </w:t>
      </w:r>
    </w:p>
    <w:p w14:paraId="4024C416" w14:textId="77777777" w:rsidR="0062052C" w:rsidRDefault="0062052C" w:rsidP="00654F66">
      <w:pPr>
        <w:ind w:left="720" w:hanging="360"/>
        <w:rPr>
          <w:szCs w:val="22"/>
        </w:rPr>
      </w:pPr>
      <w:r w:rsidRPr="00221F17">
        <w:rPr>
          <w:szCs w:val="22"/>
        </w:rPr>
        <w:t xml:space="preserve">(4) to what extent clients report APS supports their right to self-determination; </w:t>
      </w:r>
    </w:p>
    <w:p w14:paraId="5D835EED" w14:textId="77777777" w:rsidR="0062052C" w:rsidRDefault="0062052C" w:rsidP="00654F66">
      <w:pPr>
        <w:ind w:left="720" w:hanging="360"/>
        <w:rPr>
          <w:szCs w:val="22"/>
        </w:rPr>
      </w:pPr>
      <w:r w:rsidRPr="00221F17">
        <w:rPr>
          <w:szCs w:val="22"/>
        </w:rPr>
        <w:t xml:space="preserve">(5) to what extent APS programs affect client safety (risk of maltreatment); </w:t>
      </w:r>
    </w:p>
    <w:p w14:paraId="13DD8942" w14:textId="5F42DE2D" w:rsidR="0062052C" w:rsidRDefault="0062052C" w:rsidP="00654F66">
      <w:pPr>
        <w:ind w:left="720" w:hanging="360"/>
        <w:rPr>
          <w:szCs w:val="22"/>
        </w:rPr>
      </w:pPr>
      <w:r w:rsidRPr="00221F17">
        <w:rPr>
          <w:szCs w:val="22"/>
        </w:rPr>
        <w:t>(6) how APS program</w:t>
      </w:r>
      <w:r w:rsidR="00D11A7F">
        <w:rPr>
          <w:szCs w:val="22"/>
        </w:rPr>
        <w:t>s</w:t>
      </w:r>
      <w:r w:rsidRPr="00221F17">
        <w:rPr>
          <w:szCs w:val="22"/>
        </w:rPr>
        <w:t xml:space="preserve"> intervene to reduce client risk of maltreatment; </w:t>
      </w:r>
    </w:p>
    <w:p w14:paraId="34E776AE" w14:textId="77777777" w:rsidR="0062052C" w:rsidRDefault="0062052C" w:rsidP="00654F66">
      <w:pPr>
        <w:ind w:left="720" w:hanging="360"/>
        <w:rPr>
          <w:szCs w:val="22"/>
        </w:rPr>
      </w:pPr>
      <w:r w:rsidRPr="00221F17">
        <w:rPr>
          <w:szCs w:val="22"/>
        </w:rPr>
        <w:t xml:space="preserve">(7) what factors help or hinder APS efforts to reduce risk of maltreatment; </w:t>
      </w:r>
    </w:p>
    <w:p w14:paraId="2EC0B28D" w14:textId="77777777" w:rsidR="0062052C" w:rsidRDefault="0062052C" w:rsidP="00654F66">
      <w:pPr>
        <w:ind w:left="720" w:hanging="360"/>
        <w:rPr>
          <w:szCs w:val="22"/>
        </w:rPr>
      </w:pPr>
      <w:r w:rsidRPr="00221F17">
        <w:rPr>
          <w:szCs w:val="22"/>
        </w:rPr>
        <w:t xml:space="preserve">(8) to what extent APS programs affect client well-being (e.g., quality of life, financial, physical health, etc.); </w:t>
      </w:r>
    </w:p>
    <w:p w14:paraId="318E8DAF" w14:textId="77777777" w:rsidR="0062052C" w:rsidRPr="00D51602" w:rsidRDefault="0062052C" w:rsidP="00654F66">
      <w:pPr>
        <w:ind w:left="720" w:hanging="360"/>
        <w:rPr>
          <w:szCs w:val="22"/>
        </w:rPr>
      </w:pPr>
      <w:r w:rsidRPr="00221F17">
        <w:rPr>
          <w:szCs w:val="22"/>
        </w:rPr>
        <w:t xml:space="preserve">(9) how </w:t>
      </w:r>
      <w:r w:rsidRPr="00D51602">
        <w:rPr>
          <w:szCs w:val="22"/>
        </w:rPr>
        <w:t xml:space="preserve">APS programs intervene to improve client-well-being; and </w:t>
      </w:r>
    </w:p>
    <w:p w14:paraId="44DE50D6" w14:textId="77777777" w:rsidR="0062052C" w:rsidRPr="00D51602" w:rsidRDefault="0062052C" w:rsidP="00654F66">
      <w:pPr>
        <w:ind w:left="720" w:hanging="360"/>
        <w:rPr>
          <w:szCs w:val="22"/>
        </w:rPr>
      </w:pPr>
      <w:r w:rsidRPr="00D51602">
        <w:rPr>
          <w:szCs w:val="22"/>
        </w:rPr>
        <w:t xml:space="preserve">(10) what factors help or hinder APS efforts to improve client well-being. </w:t>
      </w:r>
    </w:p>
    <w:p w14:paraId="5D8810E1" w14:textId="418A6F0B" w:rsidR="00221F17" w:rsidRPr="00D51602" w:rsidRDefault="00221F17" w:rsidP="000D0A11">
      <w:pPr>
        <w:rPr>
          <w:szCs w:val="22"/>
        </w:rPr>
      </w:pPr>
    </w:p>
    <w:p w14:paraId="6312B944" w14:textId="6DA42F99" w:rsidR="00444A59" w:rsidRDefault="00D40F30" w:rsidP="000D0A11">
      <w:r>
        <w:rPr>
          <w:szCs w:val="22"/>
        </w:rPr>
        <w:t xml:space="preserve">Legal support for the study stems primarily from </w:t>
      </w:r>
      <w:r w:rsidR="000D0A11">
        <w:rPr>
          <w:szCs w:val="22"/>
        </w:rPr>
        <w:t>t</w:t>
      </w:r>
      <w:r w:rsidR="00034608" w:rsidRPr="00D51602">
        <w:rPr>
          <w:szCs w:val="22"/>
        </w:rPr>
        <w:t>he Elder Justice Act of 2009</w:t>
      </w:r>
      <w:r w:rsidR="00C4132C" w:rsidRPr="00D51602">
        <w:rPr>
          <w:szCs w:val="22"/>
        </w:rPr>
        <w:t xml:space="preserve"> (“the Act”)</w:t>
      </w:r>
      <w:r>
        <w:rPr>
          <w:szCs w:val="22"/>
        </w:rPr>
        <w:t xml:space="preserve">. </w:t>
      </w:r>
      <w:r w:rsidR="00D51602" w:rsidRPr="00D51602">
        <w:rPr>
          <w:szCs w:val="22"/>
        </w:rPr>
        <w:t>The Act requires</w:t>
      </w:r>
      <w:r w:rsidR="004D3270">
        <w:rPr>
          <w:szCs w:val="22"/>
        </w:rPr>
        <w:t xml:space="preserve"> </w:t>
      </w:r>
      <w:r w:rsidR="00D51602" w:rsidRPr="00D51602">
        <w:rPr>
          <w:szCs w:val="22"/>
        </w:rPr>
        <w:t>that the Secretary of HHS</w:t>
      </w:r>
      <w:r w:rsidR="00A21DB1" w:rsidRPr="00D51602">
        <w:rPr>
          <w:szCs w:val="22"/>
        </w:rPr>
        <w:t xml:space="preserve"> </w:t>
      </w:r>
      <w:r w:rsidR="00D51602" w:rsidRPr="00D51602">
        <w:rPr>
          <w:szCs w:val="22"/>
        </w:rPr>
        <w:t>ensures that HHS “</w:t>
      </w:r>
      <w:r w:rsidR="00D51602" w:rsidRPr="00D51602">
        <w:t>conducts research related to the provision of adult protective services”</w:t>
      </w:r>
      <w:r w:rsidR="004D3270">
        <w:t xml:space="preserve"> (S</w:t>
      </w:r>
      <w:r w:rsidR="00FA4745">
        <w:t>ection</w:t>
      </w:r>
      <w:r w:rsidR="004D3270">
        <w:t xml:space="preserve"> 2042(a)(1)(D)).</w:t>
      </w:r>
      <w:r w:rsidR="00FA4745">
        <w:t xml:space="preserve"> </w:t>
      </w:r>
      <w:r w:rsidR="00444A59">
        <w:t xml:space="preserve">The following weblink provides the full-text of this provision: </w:t>
      </w:r>
      <w:hyperlink r:id="rId9" w:history="1">
        <w:r w:rsidR="000E5F05" w:rsidRPr="00C4063F">
          <w:rPr>
            <w:rStyle w:val="Hyperlink"/>
          </w:rPr>
          <w:t>https://www.ssa.gov/OP_Home/ssact/title20/2042.htm</w:t>
        </w:r>
      </w:hyperlink>
    </w:p>
    <w:p w14:paraId="030D949C" w14:textId="77777777" w:rsidR="00444A59" w:rsidRDefault="00444A59" w:rsidP="000D0A11"/>
    <w:p w14:paraId="0CEE5BB8" w14:textId="589E2D76" w:rsidR="00FA4745" w:rsidRPr="00D51602" w:rsidRDefault="00FA4745" w:rsidP="000D0A11">
      <w:pPr>
        <w:rPr>
          <w:szCs w:val="22"/>
        </w:rPr>
      </w:pPr>
      <w:r>
        <w:rPr>
          <w:szCs w:val="22"/>
        </w:rPr>
        <w:t xml:space="preserve">Additionally, the Act established the Elder Justice Coordinating Council (EJCC) to </w:t>
      </w:r>
      <w:r w:rsidRPr="00FA4745">
        <w:rPr>
          <w:szCs w:val="22"/>
        </w:rPr>
        <w:t>coordinate activities related to elder abuse, neglect, and exploitation across the federal government.</w:t>
      </w:r>
      <w:r>
        <w:rPr>
          <w:szCs w:val="22"/>
        </w:rPr>
        <w:t xml:space="preserve"> In 2014, the EJCC adopted a set of eight recommendations to increase federal involvement in addressing elder abuse, neglect, and exploitation. Recommendation </w:t>
      </w:r>
      <w:r w:rsidR="00444A59">
        <w:rPr>
          <w:szCs w:val="22"/>
        </w:rPr>
        <w:t>four</w:t>
      </w:r>
      <w:r>
        <w:rPr>
          <w:szCs w:val="22"/>
        </w:rPr>
        <w:t xml:space="preserve"> </w:t>
      </w:r>
      <w:r w:rsidR="009C2114">
        <w:rPr>
          <w:szCs w:val="22"/>
        </w:rPr>
        <w:t xml:space="preserve">states that the federal government should “establish </w:t>
      </w:r>
      <w:r w:rsidR="009C2114">
        <w:t>a coordinated research agenda across federal agencies to identify best practices for prevention of and intervention in elder abuse and elder financial exploitation.”</w:t>
      </w:r>
      <w:r w:rsidR="00444A59">
        <w:t xml:space="preserve"> The following weblink provides the full-text of the recommendations: </w:t>
      </w:r>
      <w:hyperlink r:id="rId10" w:history="1">
        <w:r w:rsidR="000E5F05" w:rsidRPr="00C4063F">
          <w:rPr>
            <w:rStyle w:val="Hyperlink"/>
          </w:rPr>
          <w:t>https://acl.gov/sites/default/files/programs/2016-09/Eight_Recommendations_for_Increased_Federal_Involvement.pdf</w:t>
        </w:r>
      </w:hyperlink>
    </w:p>
    <w:p w14:paraId="7972BB5A" w14:textId="77777777" w:rsidR="00D11A7F" w:rsidRDefault="00D11A7F" w:rsidP="00221F17">
      <w:pPr>
        <w:jc w:val="both"/>
        <w:rPr>
          <w:szCs w:val="22"/>
        </w:rPr>
      </w:pPr>
    </w:p>
    <w:p w14:paraId="1CB85100" w14:textId="77777777" w:rsidR="00194812" w:rsidRDefault="00194812" w:rsidP="00194812">
      <w:pPr>
        <w:pStyle w:val="ListParagraph"/>
        <w:rPr>
          <w:b/>
        </w:rPr>
      </w:pPr>
    </w:p>
    <w:p w14:paraId="4AC5179F" w14:textId="77777777" w:rsidR="00194812" w:rsidRDefault="00194812" w:rsidP="00194812">
      <w:pPr>
        <w:pStyle w:val="ListParagraph"/>
        <w:rPr>
          <w:b/>
        </w:rPr>
      </w:pPr>
    </w:p>
    <w:p w14:paraId="120A1EDA" w14:textId="77777777" w:rsidR="00194812" w:rsidRDefault="00194812" w:rsidP="00194812">
      <w:pPr>
        <w:pStyle w:val="ListParagraph"/>
        <w:rPr>
          <w:b/>
        </w:rPr>
      </w:pPr>
    </w:p>
    <w:p w14:paraId="63AF2139" w14:textId="77777777" w:rsidR="00194812" w:rsidRDefault="00194812" w:rsidP="00194812">
      <w:pPr>
        <w:pStyle w:val="ListParagraph"/>
        <w:rPr>
          <w:b/>
        </w:rPr>
      </w:pPr>
    </w:p>
    <w:p w14:paraId="0463941A" w14:textId="36EAAB01" w:rsidR="004922E1" w:rsidRDefault="00F00BFE" w:rsidP="00F631A3">
      <w:pPr>
        <w:pStyle w:val="ListParagraph"/>
        <w:numPr>
          <w:ilvl w:val="0"/>
          <w:numId w:val="9"/>
        </w:numPr>
        <w:rPr>
          <w:b/>
        </w:rPr>
      </w:pPr>
      <w:r w:rsidRPr="005B6AC8">
        <w:rPr>
          <w:b/>
        </w:rPr>
        <w:lastRenderedPageBreak/>
        <w:t>Purpose and Use of the Information Collection</w:t>
      </w:r>
      <w:r w:rsidR="00B80592" w:rsidRPr="005B6AC8">
        <w:rPr>
          <w:b/>
        </w:rPr>
        <w:t xml:space="preserve"> </w:t>
      </w:r>
    </w:p>
    <w:p w14:paraId="1AA48CEA" w14:textId="77777777" w:rsidR="00EF68AA" w:rsidRPr="001D6447" w:rsidRDefault="00EF68AA" w:rsidP="00EF68AA">
      <w:pPr>
        <w:ind w:left="360"/>
        <w:rPr>
          <w:b/>
        </w:rPr>
      </w:pPr>
    </w:p>
    <w:p w14:paraId="1FCFE88D" w14:textId="60EBEAA7" w:rsidR="0062052C" w:rsidRDefault="004E0A43" w:rsidP="0062052C">
      <w:r>
        <w:t xml:space="preserve">The </w:t>
      </w:r>
      <w:r w:rsidR="0072671F">
        <w:t xml:space="preserve">new </w:t>
      </w:r>
      <w:r>
        <w:t xml:space="preserve">information </w:t>
      </w:r>
      <w:r w:rsidR="000424A2">
        <w:t xml:space="preserve">collection </w:t>
      </w:r>
      <w:r>
        <w:t xml:space="preserve">will be used by ACL to understand </w:t>
      </w:r>
      <w:r w:rsidRPr="009B5DCF">
        <w:rPr>
          <w:szCs w:val="22"/>
        </w:rPr>
        <w:t>if and how APS programs make a difference in the lives of APS clients with regard to their self-determination, safety, well-being, and satisfaction with services</w:t>
      </w:r>
      <w:r>
        <w:rPr>
          <w:szCs w:val="22"/>
        </w:rPr>
        <w:t xml:space="preserve">. The findings from the study will help inform federal </w:t>
      </w:r>
      <w:r w:rsidR="009B5DCF" w:rsidRPr="00177299">
        <w:t>decision-making around funding priorities and other support for APS programs.</w:t>
      </w:r>
      <w:r>
        <w:t xml:space="preserve"> Additionally, the study findings will be broadly disseminated to the public</w:t>
      </w:r>
      <w:r w:rsidR="00A43225">
        <w:t>, and may be used for a variety of other purposes</w:t>
      </w:r>
      <w:r>
        <w:t>.</w:t>
      </w:r>
      <w:r w:rsidR="00A43225">
        <w:t xml:space="preserve"> For example,</w:t>
      </w:r>
      <w:r>
        <w:t xml:space="preserve"> </w:t>
      </w:r>
      <w:r w:rsidR="00A43225">
        <w:t>s</w:t>
      </w:r>
      <w:r>
        <w:t>tate and county APS program leaders may use the information to inform APS program planning, policy-making, or resource allocation</w:t>
      </w:r>
      <w:r w:rsidR="002236EB">
        <w:t xml:space="preserve"> decisions</w:t>
      </w:r>
      <w:r>
        <w:t>.</w:t>
      </w:r>
      <w:r w:rsidR="00A43225">
        <w:t xml:space="preserve"> Additionally, researchers may use the information to inform research efforts to</w:t>
      </w:r>
      <w:r w:rsidR="00BA1E93">
        <w:t xml:space="preserve"> further</w:t>
      </w:r>
      <w:r w:rsidR="00A43225">
        <w:t xml:space="preserve"> advance the e</w:t>
      </w:r>
      <w:r w:rsidR="00A43225" w:rsidRPr="00BC2E67">
        <w:t>vidence</w:t>
      </w:r>
      <w:r w:rsidR="00A43225">
        <w:t xml:space="preserve"> </w:t>
      </w:r>
      <w:r w:rsidR="00A43225" w:rsidRPr="00BC2E67">
        <w:t>base for APS programs and practices</w:t>
      </w:r>
      <w:r w:rsidR="00A43225">
        <w:t xml:space="preserve">. </w:t>
      </w:r>
    </w:p>
    <w:p w14:paraId="0114742A" w14:textId="77777777" w:rsidR="009B5DCF" w:rsidRPr="002A581A" w:rsidRDefault="009B5DCF" w:rsidP="0062052C"/>
    <w:p w14:paraId="3014A77D" w14:textId="77777777" w:rsidR="00140A03" w:rsidRPr="00996BD5" w:rsidRDefault="00140A03" w:rsidP="00F631A3">
      <w:pPr>
        <w:pStyle w:val="BodyText"/>
        <w:numPr>
          <w:ilvl w:val="0"/>
          <w:numId w:val="9"/>
        </w:numPr>
        <w:spacing w:line="240" w:lineRule="auto"/>
        <w:rPr>
          <w:rFonts w:ascii="Times New Roman" w:hAnsi="Times New Roman"/>
          <w:sz w:val="24"/>
        </w:rPr>
      </w:pPr>
      <w:r w:rsidRPr="009E1F12">
        <w:rPr>
          <w:rFonts w:ascii="Times New Roman" w:hAnsi="Times New Roman"/>
          <w:b/>
          <w:sz w:val="24"/>
        </w:rPr>
        <w:t>Use of Improved Information Technology and Burden Reduction</w:t>
      </w:r>
      <w:r>
        <w:rPr>
          <w:rFonts w:ascii="Times New Roman" w:hAnsi="Times New Roman"/>
          <w:b/>
          <w:sz w:val="24"/>
        </w:rPr>
        <w:t xml:space="preserve"> </w:t>
      </w:r>
    </w:p>
    <w:p w14:paraId="23AB1130" w14:textId="77777777" w:rsidR="00996BD5" w:rsidRPr="001D6447" w:rsidRDefault="00996BD5" w:rsidP="00996BD5">
      <w:pPr>
        <w:pStyle w:val="BodyText"/>
        <w:spacing w:line="240" w:lineRule="auto"/>
        <w:ind w:left="720"/>
        <w:rPr>
          <w:rFonts w:ascii="Times New Roman" w:hAnsi="Times New Roman"/>
          <w:sz w:val="24"/>
        </w:rPr>
      </w:pPr>
    </w:p>
    <w:p w14:paraId="11106C5A" w14:textId="77777777" w:rsidR="00CB0390" w:rsidRDefault="00AD1C01" w:rsidP="00CF6BEF">
      <w:pPr>
        <w:pStyle w:val="ListParagraph"/>
        <w:ind w:left="0"/>
      </w:pPr>
      <w:r>
        <w:t>Among the five data collection instruments to be used in the study,</w:t>
      </w:r>
      <w:r w:rsidR="00097B85">
        <w:t xml:space="preserve"> the client questionnaire and the client data form</w:t>
      </w:r>
      <w:r>
        <w:t xml:space="preserve"> will be completed by written/typed response</w:t>
      </w:r>
      <w:r w:rsidR="00097B85">
        <w:t xml:space="preserve">. </w:t>
      </w:r>
    </w:p>
    <w:p w14:paraId="7162F9A0" w14:textId="77777777" w:rsidR="00CB0390" w:rsidRDefault="00CB0390" w:rsidP="00CF6BEF">
      <w:pPr>
        <w:pStyle w:val="ListParagraph"/>
        <w:ind w:left="0"/>
      </w:pPr>
    </w:p>
    <w:p w14:paraId="51CF6F2D" w14:textId="540049BC" w:rsidR="00CB0390" w:rsidRDefault="006E4106" w:rsidP="00CF6BEF">
      <w:pPr>
        <w:pStyle w:val="ListParagraph"/>
        <w:ind w:left="0"/>
      </w:pPr>
      <w:r>
        <w:t xml:space="preserve">The client questionnaire </w:t>
      </w:r>
      <w:r w:rsidR="00AD1C01">
        <w:t xml:space="preserve">will be completed by </w:t>
      </w:r>
      <w:r w:rsidR="0072671F">
        <w:t xml:space="preserve">APS clients (or their proxy) using </w:t>
      </w:r>
      <w:r w:rsidR="00AD1C01">
        <w:t xml:space="preserve">pencil and paper </w:t>
      </w:r>
      <w:r w:rsidR="00CB0390">
        <w:t>and returned by</w:t>
      </w:r>
      <w:r w:rsidR="0072671F">
        <w:t xml:space="preserve"> the client/proxy via</w:t>
      </w:r>
      <w:r w:rsidR="00CB0390">
        <w:t xml:space="preserve"> mail using a prepaid envelope. </w:t>
      </w:r>
      <w:r w:rsidR="00AE412E">
        <w:t>This method will help protect the privacy of APS clients a</w:t>
      </w:r>
      <w:r w:rsidR="000424A2">
        <w:t>nd</w:t>
      </w:r>
      <w:r w:rsidR="00AE412E">
        <w:t xml:space="preserve"> will allow them to submit the questionnaire anonymously. </w:t>
      </w:r>
      <w:r w:rsidR="000424A2">
        <w:t>It</w:t>
      </w:r>
      <w:r w:rsidR="00AE412E">
        <w:t xml:space="preserve"> will also allow clients </w:t>
      </w:r>
      <w:r w:rsidR="000424A2">
        <w:t>with limited access to technology (e.g., computer, internet connection) to participate</w:t>
      </w:r>
      <w:r w:rsidR="00AE412E">
        <w:t>.</w:t>
      </w:r>
      <w:r w:rsidR="00CB0390">
        <w:t xml:space="preserve"> </w:t>
      </w:r>
    </w:p>
    <w:p w14:paraId="0E3CA376" w14:textId="77777777" w:rsidR="00CB0390" w:rsidRDefault="00CB0390" w:rsidP="00CF6BEF">
      <w:pPr>
        <w:pStyle w:val="ListParagraph"/>
        <w:ind w:left="0"/>
      </w:pPr>
    </w:p>
    <w:p w14:paraId="21C78C56" w14:textId="2A198C7C" w:rsidR="00323163" w:rsidRDefault="00CB0390" w:rsidP="00CF6BEF">
      <w:pPr>
        <w:pStyle w:val="ListParagraph"/>
        <w:ind w:left="0"/>
      </w:pPr>
      <w:r>
        <w:t>In order to limit burden on clients, the client questionnaire</w:t>
      </w:r>
      <w:r w:rsidR="00AD1C01">
        <w:t xml:space="preserve"> </w:t>
      </w:r>
      <w:r w:rsidR="006E4106">
        <w:t xml:space="preserve">does not </w:t>
      </w:r>
      <w:r w:rsidR="00AE412E">
        <w:t xml:space="preserve">collect </w:t>
      </w:r>
      <w:r w:rsidR="006E4106">
        <w:t xml:space="preserve">basic demographic information or additional details about APS clients. However, this information is important for analysis, since responses to the client questionnaire are expected to vary by key client characteristics. We </w:t>
      </w:r>
      <w:r>
        <w:t>will</w:t>
      </w:r>
      <w:r w:rsidR="006E4106">
        <w:t xml:space="preserve"> capture this additional information about clients through a separate client data form to be completed by the APS caseworker. The client data form will be linked to the client questionnaire using the pre-populated, eight-digit form number. </w:t>
      </w:r>
    </w:p>
    <w:p w14:paraId="0EFFA026" w14:textId="77777777" w:rsidR="00323163" w:rsidRDefault="00323163" w:rsidP="00CF6BEF">
      <w:pPr>
        <w:pStyle w:val="ListParagraph"/>
        <w:ind w:left="0"/>
      </w:pPr>
    </w:p>
    <w:p w14:paraId="2403E093" w14:textId="312F4D0F" w:rsidR="006E4106" w:rsidRDefault="00323163" w:rsidP="00CF6BEF">
      <w:pPr>
        <w:pStyle w:val="ListParagraph"/>
        <w:ind w:left="0"/>
      </w:pPr>
      <w:r>
        <w:t>In order to limit burden on caseworkers, the client data form is brief and collects information readily available from client case records. Additionally, c</w:t>
      </w:r>
      <w:r w:rsidR="006E4106">
        <w:t>aseworkers will submit the responses for the client data form using Survey Monkey</w:t>
      </w:r>
      <w:r>
        <w:t>, an online platform for data collection</w:t>
      </w:r>
      <w:r w:rsidR="006E4106">
        <w:t xml:space="preserve">. If this submission method does not work </w:t>
      </w:r>
      <w:r>
        <w:t xml:space="preserve">well for </w:t>
      </w:r>
      <w:r w:rsidR="00AE412E">
        <w:t xml:space="preserve">participating </w:t>
      </w:r>
      <w:r>
        <w:t>caseworkers</w:t>
      </w:r>
      <w:r w:rsidR="006E4106">
        <w:t xml:space="preserve">, we will work </w:t>
      </w:r>
      <w:r>
        <w:t>with them to</w:t>
      </w:r>
      <w:r w:rsidR="006E4106">
        <w:t xml:space="preserve"> choose an alternative approach</w:t>
      </w:r>
      <w:r>
        <w:t xml:space="preserve"> to submitting data for the client data form</w:t>
      </w:r>
      <w:r w:rsidR="006E4106">
        <w:t xml:space="preserve"> (e.g., mail, scan</w:t>
      </w:r>
      <w:r>
        <w:t xml:space="preserve"> and </w:t>
      </w:r>
      <w:r w:rsidR="006E4106">
        <w:t xml:space="preserve">e-mail, </w:t>
      </w:r>
      <w:r w:rsidR="00166735">
        <w:t>phone</w:t>
      </w:r>
      <w:r w:rsidR="006E4106">
        <w:t>).</w:t>
      </w:r>
    </w:p>
    <w:p w14:paraId="4A083ACC" w14:textId="38C49195" w:rsidR="00323163" w:rsidRDefault="00323163" w:rsidP="00CF6BEF">
      <w:pPr>
        <w:pStyle w:val="ListParagraph"/>
        <w:ind w:left="0"/>
      </w:pPr>
    </w:p>
    <w:p w14:paraId="6811C310" w14:textId="5D17E923" w:rsidR="00323163" w:rsidRDefault="00323163" w:rsidP="00CF6BEF">
      <w:pPr>
        <w:pStyle w:val="ListParagraph"/>
        <w:ind w:left="0"/>
      </w:pPr>
      <w:r>
        <w:t xml:space="preserve">The three semi-structured interview </w:t>
      </w:r>
      <w:r w:rsidR="00AE412E">
        <w:t xml:space="preserve">and </w:t>
      </w:r>
      <w:r>
        <w:t>focus group guides will be administered at a</w:t>
      </w:r>
      <w:r w:rsidR="003B2097">
        <w:t xml:space="preserve"> time and</w:t>
      </w:r>
      <w:r>
        <w:t xml:space="preserve"> location convenient </w:t>
      </w:r>
      <w:r w:rsidR="007F57F0">
        <w:t>for</w:t>
      </w:r>
      <w:r>
        <w:t xml:space="preserve"> participants. For example, </w:t>
      </w:r>
      <w:r w:rsidR="00AE412E">
        <w:t xml:space="preserve">individual </w:t>
      </w:r>
      <w:r w:rsidR="003B2097">
        <w:t xml:space="preserve">in-person </w:t>
      </w:r>
      <w:r>
        <w:t xml:space="preserve">client interviews may be conducted in the client’s home, if they choose. Also, interviews with state APS leaders may be conducted via </w:t>
      </w:r>
      <w:r w:rsidR="003B2097">
        <w:t>phone.</w:t>
      </w:r>
    </w:p>
    <w:p w14:paraId="67423CD0" w14:textId="77777777" w:rsidR="006E4106" w:rsidRDefault="006E4106" w:rsidP="006E4106">
      <w:pPr>
        <w:pStyle w:val="ListParagraph"/>
      </w:pPr>
    </w:p>
    <w:p w14:paraId="13309FB2" w14:textId="43CB3F25" w:rsidR="00960B39" w:rsidRPr="006E4106" w:rsidRDefault="009E1F12" w:rsidP="006E4106">
      <w:pPr>
        <w:pStyle w:val="BodyText"/>
        <w:numPr>
          <w:ilvl w:val="0"/>
          <w:numId w:val="9"/>
        </w:numPr>
        <w:spacing w:line="240" w:lineRule="auto"/>
        <w:rPr>
          <w:rFonts w:ascii="Times New Roman" w:hAnsi="Times New Roman"/>
          <w:b/>
          <w:sz w:val="24"/>
        </w:rPr>
      </w:pPr>
      <w:r w:rsidRPr="006E4106">
        <w:rPr>
          <w:rFonts w:ascii="Times New Roman" w:hAnsi="Times New Roman"/>
          <w:b/>
          <w:sz w:val="24"/>
        </w:rPr>
        <w:t>Efforts to Identify Duplication and Use of Similar Information</w:t>
      </w:r>
    </w:p>
    <w:p w14:paraId="059A58D5" w14:textId="77777777" w:rsidR="00FC7674" w:rsidRPr="001D6447" w:rsidRDefault="00FC7674" w:rsidP="00FC7674">
      <w:pPr>
        <w:pStyle w:val="ListParagraph"/>
      </w:pPr>
    </w:p>
    <w:p w14:paraId="4B6B1A99" w14:textId="2317A254" w:rsidR="007F4163" w:rsidRDefault="00673392" w:rsidP="007F57F0">
      <w:pPr>
        <w:pStyle w:val="BodyText"/>
        <w:spacing w:line="240" w:lineRule="auto"/>
        <w:rPr>
          <w:rFonts w:ascii="Times New Roman" w:hAnsi="Times New Roman"/>
          <w:sz w:val="24"/>
        </w:rPr>
      </w:pPr>
      <w:r w:rsidRPr="0062052C">
        <w:rPr>
          <w:rFonts w:ascii="Times New Roman" w:hAnsi="Times New Roman"/>
          <w:sz w:val="24"/>
        </w:rPr>
        <w:t xml:space="preserve">There </w:t>
      </w:r>
      <w:r w:rsidR="007F57F0">
        <w:rPr>
          <w:rFonts w:ascii="Times New Roman" w:hAnsi="Times New Roman"/>
          <w:sz w:val="24"/>
        </w:rPr>
        <w:t>are currently no</w:t>
      </w:r>
      <w:r w:rsidRPr="0062052C">
        <w:rPr>
          <w:rFonts w:ascii="Times New Roman" w:hAnsi="Times New Roman"/>
          <w:sz w:val="24"/>
        </w:rPr>
        <w:t xml:space="preserve"> other governmental or </w:t>
      </w:r>
      <w:r w:rsidR="00166BEF" w:rsidRPr="0062052C">
        <w:rPr>
          <w:rFonts w:ascii="Times New Roman" w:hAnsi="Times New Roman"/>
          <w:sz w:val="24"/>
        </w:rPr>
        <w:t>non</w:t>
      </w:r>
      <w:r w:rsidR="007F57F0">
        <w:rPr>
          <w:rFonts w:ascii="Times New Roman" w:hAnsi="Times New Roman"/>
          <w:sz w:val="24"/>
        </w:rPr>
        <w:t>-</w:t>
      </w:r>
      <w:r w:rsidRPr="0062052C">
        <w:rPr>
          <w:rFonts w:ascii="Times New Roman" w:hAnsi="Times New Roman"/>
          <w:sz w:val="24"/>
        </w:rPr>
        <w:t>governmental</w:t>
      </w:r>
      <w:r w:rsidR="007F57F0">
        <w:rPr>
          <w:rFonts w:ascii="Times New Roman" w:hAnsi="Times New Roman"/>
          <w:sz w:val="24"/>
        </w:rPr>
        <w:t>, multi-state</w:t>
      </w:r>
      <w:r w:rsidRPr="0062052C">
        <w:rPr>
          <w:rFonts w:ascii="Times New Roman" w:hAnsi="Times New Roman"/>
          <w:sz w:val="24"/>
        </w:rPr>
        <w:t xml:space="preserve"> </w:t>
      </w:r>
      <w:r w:rsidR="0062052C" w:rsidRPr="0062052C">
        <w:rPr>
          <w:rFonts w:ascii="Times New Roman" w:hAnsi="Times New Roman"/>
          <w:sz w:val="24"/>
        </w:rPr>
        <w:t>effort</w:t>
      </w:r>
      <w:r w:rsidR="007F57F0">
        <w:rPr>
          <w:rFonts w:ascii="Times New Roman" w:hAnsi="Times New Roman"/>
          <w:sz w:val="24"/>
        </w:rPr>
        <w:t>s</w:t>
      </w:r>
      <w:r w:rsidR="001D17E2" w:rsidRPr="0062052C">
        <w:rPr>
          <w:rFonts w:ascii="Times New Roman" w:hAnsi="Times New Roman"/>
          <w:sz w:val="24"/>
        </w:rPr>
        <w:t xml:space="preserve"> </w:t>
      </w:r>
      <w:r w:rsidRPr="0062052C">
        <w:rPr>
          <w:rFonts w:ascii="Times New Roman" w:hAnsi="Times New Roman"/>
          <w:sz w:val="24"/>
        </w:rPr>
        <w:t xml:space="preserve">to </w:t>
      </w:r>
      <w:r w:rsidR="007F57F0">
        <w:rPr>
          <w:rFonts w:ascii="Times New Roman" w:hAnsi="Times New Roman"/>
          <w:sz w:val="24"/>
        </w:rPr>
        <w:t xml:space="preserve">systematically </w:t>
      </w:r>
      <w:r w:rsidRPr="0062052C">
        <w:rPr>
          <w:rFonts w:ascii="Times New Roman" w:hAnsi="Times New Roman"/>
          <w:sz w:val="24"/>
        </w:rPr>
        <w:t xml:space="preserve">collect </w:t>
      </w:r>
      <w:r w:rsidR="0062052C" w:rsidRPr="0062052C">
        <w:rPr>
          <w:rFonts w:ascii="Times New Roman" w:hAnsi="Times New Roman"/>
          <w:sz w:val="24"/>
        </w:rPr>
        <w:t xml:space="preserve">feedback from APS clients or </w:t>
      </w:r>
      <w:r w:rsidR="00AE412E">
        <w:rPr>
          <w:rFonts w:ascii="Times New Roman" w:hAnsi="Times New Roman"/>
          <w:sz w:val="24"/>
        </w:rPr>
        <w:t xml:space="preserve">to </w:t>
      </w:r>
      <w:r w:rsidR="0062052C" w:rsidRPr="0062052C">
        <w:rPr>
          <w:rFonts w:ascii="Times New Roman" w:hAnsi="Times New Roman"/>
          <w:sz w:val="24"/>
        </w:rPr>
        <w:t>measure</w:t>
      </w:r>
      <w:r w:rsidR="00AE412E">
        <w:rPr>
          <w:rFonts w:ascii="Times New Roman" w:hAnsi="Times New Roman"/>
          <w:sz w:val="24"/>
        </w:rPr>
        <w:t xml:space="preserve"> </w:t>
      </w:r>
      <w:r w:rsidR="0062052C" w:rsidRPr="0062052C">
        <w:rPr>
          <w:rFonts w:ascii="Times New Roman" w:hAnsi="Times New Roman"/>
          <w:sz w:val="24"/>
        </w:rPr>
        <w:t xml:space="preserve">the impact of </w:t>
      </w:r>
      <w:r w:rsidR="007F57F0">
        <w:rPr>
          <w:rFonts w:ascii="Times New Roman" w:hAnsi="Times New Roman"/>
          <w:sz w:val="24"/>
        </w:rPr>
        <w:t>APS on their lives</w:t>
      </w:r>
      <w:r w:rsidR="0062052C" w:rsidRPr="0062052C">
        <w:rPr>
          <w:rFonts w:ascii="Times New Roman" w:hAnsi="Times New Roman"/>
          <w:sz w:val="24"/>
        </w:rPr>
        <w:t xml:space="preserve">. </w:t>
      </w:r>
    </w:p>
    <w:p w14:paraId="4DC87A7A" w14:textId="77777777" w:rsidR="0062052C" w:rsidRDefault="0062052C" w:rsidP="007F57F0">
      <w:pPr>
        <w:pStyle w:val="BodyText"/>
        <w:spacing w:line="240" w:lineRule="auto"/>
        <w:rPr>
          <w:rFonts w:ascii="Times New Roman" w:hAnsi="Times New Roman"/>
          <w:sz w:val="24"/>
        </w:rPr>
      </w:pPr>
    </w:p>
    <w:p w14:paraId="327471B3" w14:textId="76820B35" w:rsidR="0062052C" w:rsidRDefault="00AE412E" w:rsidP="007F57F0">
      <w:r>
        <w:t>To avoid duplication and use of similar information, we first conducted a review of the literature and existing data sets.</w:t>
      </w:r>
      <w:r w:rsidR="00563A42">
        <w:t xml:space="preserve"> </w:t>
      </w:r>
      <w:r w:rsidR="007F57F0">
        <w:t>In our</w:t>
      </w:r>
      <w:r w:rsidR="0062052C">
        <w:t xml:space="preserve"> review of existing </w:t>
      </w:r>
      <w:r w:rsidR="007F57F0">
        <w:t xml:space="preserve">APS </w:t>
      </w:r>
      <w:r w:rsidR="0062052C">
        <w:t>literature</w:t>
      </w:r>
      <w:r w:rsidR="007F57F0">
        <w:t>, we</w:t>
      </w:r>
      <w:r w:rsidR="0062052C">
        <w:t xml:space="preserve"> found that there </w:t>
      </w:r>
      <w:r w:rsidR="0062052C" w:rsidRPr="00BC2E67">
        <w:t>are few existing</w:t>
      </w:r>
      <w:r w:rsidR="0062052C">
        <w:t xml:space="preserve"> studies of</w:t>
      </w:r>
      <w:r w:rsidR="0062052C" w:rsidRPr="00BC2E67">
        <w:t xml:space="preserve"> APS client outcomes. Among the 17 studies that we identified in our </w:t>
      </w:r>
      <w:r w:rsidR="0062052C">
        <w:t xml:space="preserve">literature </w:t>
      </w:r>
      <w:r w:rsidR="0062052C" w:rsidRPr="00BC2E67">
        <w:t>review, most had one or more characteristics of a new or underdeveloped</w:t>
      </w:r>
      <w:r w:rsidR="0062052C">
        <w:t xml:space="preserve"> body of</w:t>
      </w:r>
      <w:r w:rsidR="0062052C" w:rsidRPr="00BC2E67">
        <w:t xml:space="preserve"> literature. In particular, most of the articles used small sample sizes selected from small geographic areas</w:t>
      </w:r>
      <w:r w:rsidR="0062052C">
        <w:t>;</w:t>
      </w:r>
      <w:r w:rsidR="0062052C" w:rsidRPr="00BC2E67">
        <w:t xml:space="preserve"> relied on case record review methods using state/local administrative data sources</w:t>
      </w:r>
      <w:r w:rsidR="0062052C">
        <w:t xml:space="preserve">; </w:t>
      </w:r>
      <w:r w:rsidR="0062052C" w:rsidRPr="00BC2E67">
        <w:t>and/or used simple</w:t>
      </w:r>
      <w:r w:rsidR="0062052C">
        <w:t>,</w:t>
      </w:r>
      <w:r w:rsidR="0062052C" w:rsidRPr="00BC2E67">
        <w:t xml:space="preserve"> </w:t>
      </w:r>
      <w:r w:rsidR="0062052C">
        <w:t>descriptive statistical</w:t>
      </w:r>
      <w:r w:rsidR="0062052C" w:rsidRPr="00BC2E67">
        <w:t xml:space="preserve"> approaches to address research questions. </w:t>
      </w:r>
      <w:r w:rsidR="000C33F8">
        <w:t>These</w:t>
      </w:r>
      <w:r w:rsidR="0062052C" w:rsidRPr="00BC2E67">
        <w:t xml:space="preserve"> limitations may be explained in part by the decentralized nature of APS and the wide variation in APS programs across states and counties. They may also be explained by </w:t>
      </w:r>
      <w:r w:rsidR="0062052C">
        <w:t>a</w:t>
      </w:r>
      <w:r w:rsidR="0062052C" w:rsidRPr="00BC2E67">
        <w:t xml:space="preserve"> lack of data collection </w:t>
      </w:r>
      <w:r w:rsidR="0062052C">
        <w:t xml:space="preserve">about APS </w:t>
      </w:r>
      <w:r w:rsidR="0062052C" w:rsidRPr="00BC2E67">
        <w:t xml:space="preserve">in national surveys </w:t>
      </w:r>
      <w:r w:rsidR="000C33F8">
        <w:t>and</w:t>
      </w:r>
      <w:r w:rsidR="0062052C" w:rsidRPr="00BC2E67">
        <w:t xml:space="preserve"> surveillance systems.</w:t>
      </w:r>
    </w:p>
    <w:p w14:paraId="630312FA" w14:textId="77777777" w:rsidR="000C33F8" w:rsidRPr="00BC2E67" w:rsidRDefault="000C33F8" w:rsidP="007F57F0"/>
    <w:p w14:paraId="69C03EAC" w14:textId="7CB5E508" w:rsidR="00D008CD" w:rsidRDefault="00D008CD" w:rsidP="007F57F0">
      <w:r>
        <w:t>To assess the availability of national data relevant to this study, w</w:t>
      </w:r>
      <w:r w:rsidRPr="00BC2E67">
        <w:t xml:space="preserve">e identified a total of 17 relevant datasets </w:t>
      </w:r>
      <w:r>
        <w:t>containing</w:t>
      </w:r>
      <w:r w:rsidRPr="00BC2E67">
        <w:t xml:space="preserve"> information on </w:t>
      </w:r>
      <w:r w:rsidR="00D44C57">
        <w:t>adult</w:t>
      </w:r>
      <w:r w:rsidRPr="00BC2E67">
        <w:t xml:space="preserve"> maltreatment and/or APS. Although many national-level, federal datasets collect information related to </w:t>
      </w:r>
      <w:r w:rsidR="00D44C57">
        <w:t>adult</w:t>
      </w:r>
      <w:r w:rsidRPr="00BC2E67">
        <w:t xml:space="preserve"> maltreatment, the N</w:t>
      </w:r>
      <w:r>
        <w:t xml:space="preserve">ational </w:t>
      </w:r>
      <w:r w:rsidRPr="00BC2E67">
        <w:t>A</w:t>
      </w:r>
      <w:r>
        <w:t xml:space="preserve">dult </w:t>
      </w:r>
      <w:r w:rsidRPr="00BC2E67">
        <w:t>M</w:t>
      </w:r>
      <w:r>
        <w:t xml:space="preserve">altreatment </w:t>
      </w:r>
      <w:r w:rsidRPr="00BC2E67">
        <w:t>R</w:t>
      </w:r>
      <w:r>
        <w:t xml:space="preserve">eporting </w:t>
      </w:r>
      <w:r w:rsidRPr="00BC2E67">
        <w:t>S</w:t>
      </w:r>
      <w:r>
        <w:t>ystem (NAMRS)</w:t>
      </w:r>
      <w:r>
        <w:rPr>
          <w:rStyle w:val="FootnoteReference"/>
        </w:rPr>
        <w:footnoteReference w:id="1"/>
      </w:r>
      <w:r w:rsidRPr="00BC2E67">
        <w:t xml:space="preserve"> represents the only dataset that captures information on both </w:t>
      </w:r>
      <w:r w:rsidR="00D44C57">
        <w:t>adult</w:t>
      </w:r>
      <w:r w:rsidRPr="00BC2E67">
        <w:t xml:space="preserve"> maltreatment and APS.</w:t>
      </w:r>
    </w:p>
    <w:p w14:paraId="37ED6A2F" w14:textId="77777777" w:rsidR="00BF6E60" w:rsidRDefault="00BF6E60" w:rsidP="007F57F0"/>
    <w:p w14:paraId="2BB55323" w14:textId="52B3CCB1" w:rsidR="00BF6E60" w:rsidRDefault="00BF6E60" w:rsidP="007F57F0">
      <w:r>
        <w:t>NAMRS is the national reporting system for state APS data. It is divided into three components: (1) the Agency Component, submitted by all states about their APS policies and practices; (2) the Case Component, submitted by states with case-level tracking systems that capture detailed information on clients, services, and perpetrators; (3) the Key Indicators Component, an alternative to the Case Component, submitted by states that can provide aggregated state-level data on key APS statistics but do not have the case-level tracking systems necessary to submit Case Component data. NAMRS is currently in its third federal fiscal year of data collection (FFY16-FFY18 available). In FFY 2017, 56 states submitted NAMRS data. A total of 26 states submitted Agency and Case Component data, 21 states submitted Agency and Key Indicators Component data, 8 states submitted Agency Component data only, and one state did not participate. In FFY18, the number of states that submitted Agency and Case Component data, increased to 31.</w:t>
      </w:r>
    </w:p>
    <w:p w14:paraId="6D9F7DB9" w14:textId="77777777" w:rsidR="00BF6E60" w:rsidRDefault="00BF6E60" w:rsidP="007F57F0"/>
    <w:p w14:paraId="664340AD" w14:textId="7FE8DAC6" w:rsidR="00BF6E60" w:rsidRDefault="00BF6E60" w:rsidP="007F57F0">
      <w:r>
        <w:t xml:space="preserve">NAMRS has several key limitations. Given that it is only </w:t>
      </w:r>
      <w:r w:rsidR="000C33F8">
        <w:t xml:space="preserve">in </w:t>
      </w:r>
      <w:r>
        <w:t xml:space="preserve">the third year of data collection, states are still becoming accustomed to submitting data to NAMRS. No states currently report all of the data fields included in the three components of NAMRS. Additionally, NAMRS is a voluntary reporting system. States have the option to submit as much or as little data as they choose. This means the quality and completeness of NAMRS data vary greatly across states and across years. </w:t>
      </w:r>
      <w:r w:rsidR="0093751B">
        <w:t xml:space="preserve">NAMRS does not collect </w:t>
      </w:r>
      <w:r w:rsidR="0093751B">
        <w:rPr>
          <w:szCs w:val="22"/>
        </w:rPr>
        <w:t>feedback from APS</w:t>
      </w:r>
      <w:r w:rsidR="0093751B" w:rsidRPr="009B5DCF">
        <w:rPr>
          <w:szCs w:val="22"/>
        </w:rPr>
        <w:t xml:space="preserve"> clients with regard to their self-determination, safety, well-being, and satisfaction with services.</w:t>
      </w:r>
      <w:r w:rsidR="00AF2A50" w:rsidRPr="00AF2A50">
        <w:rPr>
          <w:szCs w:val="22"/>
        </w:rPr>
        <w:t xml:space="preserve"> Nevertheless, NAMRS has value as a source of population data for </w:t>
      </w:r>
      <w:r w:rsidR="00AF2A50">
        <w:rPr>
          <w:szCs w:val="22"/>
        </w:rPr>
        <w:t xml:space="preserve">studying </w:t>
      </w:r>
      <w:r w:rsidR="00AF2A50" w:rsidRPr="00AF2A50">
        <w:rPr>
          <w:szCs w:val="22"/>
        </w:rPr>
        <w:t xml:space="preserve">APS if </w:t>
      </w:r>
      <w:r w:rsidR="00AF2A50">
        <w:rPr>
          <w:szCs w:val="22"/>
        </w:rPr>
        <w:t>these limitations are properly addressed in the study design</w:t>
      </w:r>
      <w:r w:rsidR="00AF2A50" w:rsidRPr="00AF2A50">
        <w:rPr>
          <w:szCs w:val="22"/>
        </w:rPr>
        <w:t>.</w:t>
      </w:r>
    </w:p>
    <w:p w14:paraId="3D151A52" w14:textId="77777777" w:rsidR="00BF6E60" w:rsidRPr="0040020F" w:rsidRDefault="00BF6E60" w:rsidP="007F57F0">
      <w:pPr>
        <w:ind w:left="360"/>
      </w:pPr>
    </w:p>
    <w:p w14:paraId="021FDA6A" w14:textId="77777777" w:rsidR="00B52101" w:rsidRDefault="00B52101" w:rsidP="007F57F0"/>
    <w:p w14:paraId="40F4C8CC" w14:textId="4B2268EB" w:rsidR="00D008CD" w:rsidRDefault="00D008CD" w:rsidP="007F57F0">
      <w:r w:rsidRPr="002A581A">
        <w:t>Based on the</w:t>
      </w:r>
      <w:r w:rsidR="00CA7BE4">
        <w:t>se</w:t>
      </w:r>
      <w:r w:rsidR="0093751B">
        <w:t xml:space="preserve"> findings from our</w:t>
      </w:r>
      <w:r w:rsidR="00CA7BE4">
        <w:t xml:space="preserve"> literature and dataset review, we determined</w:t>
      </w:r>
      <w:r w:rsidRPr="002A581A">
        <w:t xml:space="preserve"> </w:t>
      </w:r>
      <w:r w:rsidR="00CA7BE4">
        <w:t xml:space="preserve">that existing information already available cannot be used or modified to fully achieve the purpose of the study. </w:t>
      </w:r>
      <w:r w:rsidR="003C2A3E">
        <w:t>Therefore, w</w:t>
      </w:r>
      <w:r w:rsidR="00C344F2">
        <w:t xml:space="preserve">e developed </w:t>
      </w:r>
      <w:r w:rsidR="00AF2A50">
        <w:t>this</w:t>
      </w:r>
      <w:r w:rsidR="0093751B">
        <w:t xml:space="preserve"> study design</w:t>
      </w:r>
      <w:r w:rsidRPr="002A581A">
        <w:t xml:space="preserve"> </w:t>
      </w:r>
      <w:r w:rsidR="00C344F2">
        <w:t>to</w:t>
      </w:r>
      <w:r w:rsidRPr="002A581A">
        <w:t xml:space="preserve"> </w:t>
      </w:r>
      <w:r w:rsidR="00C344F2">
        <w:t>use</w:t>
      </w:r>
      <w:r w:rsidRPr="002A581A">
        <w:t xml:space="preserve"> </w:t>
      </w:r>
      <w:r w:rsidR="00CA7BE4">
        <w:t>existing information</w:t>
      </w:r>
      <w:r w:rsidRPr="002A581A">
        <w:t xml:space="preserve">, </w:t>
      </w:r>
      <w:r w:rsidR="00AF2A50">
        <w:t>including</w:t>
      </w:r>
      <w:r w:rsidRPr="002A581A">
        <w:t xml:space="preserve"> secondary data analysis</w:t>
      </w:r>
      <w:r w:rsidR="0093751B">
        <w:t xml:space="preserve"> of NAMRS</w:t>
      </w:r>
      <w:r w:rsidR="00CA7BE4">
        <w:t>, but also to collect new information where data gaps exist</w:t>
      </w:r>
      <w:r w:rsidRPr="002A581A">
        <w:t xml:space="preserve">. </w:t>
      </w:r>
    </w:p>
    <w:p w14:paraId="1DEE8935" w14:textId="77777777" w:rsidR="00BF6E60" w:rsidRDefault="00BF6E60" w:rsidP="00D008CD">
      <w:pPr>
        <w:ind w:left="360"/>
      </w:pPr>
    </w:p>
    <w:p w14:paraId="7665909A" w14:textId="77777777" w:rsidR="003C4ED0" w:rsidRDefault="003C4ED0" w:rsidP="00287E47">
      <w:pPr>
        <w:pStyle w:val="BodyText"/>
        <w:numPr>
          <w:ilvl w:val="0"/>
          <w:numId w:val="9"/>
        </w:numPr>
        <w:spacing w:line="240" w:lineRule="auto"/>
        <w:rPr>
          <w:rFonts w:ascii="Times New Roman" w:hAnsi="Times New Roman"/>
          <w:b/>
          <w:sz w:val="24"/>
        </w:rPr>
      </w:pPr>
      <w:r w:rsidRPr="009013DE">
        <w:rPr>
          <w:rFonts w:ascii="Times New Roman" w:hAnsi="Times New Roman"/>
          <w:b/>
          <w:sz w:val="24"/>
        </w:rPr>
        <w:t xml:space="preserve">Impact </w:t>
      </w:r>
      <w:r w:rsidR="00FF14B6" w:rsidRPr="009013DE">
        <w:rPr>
          <w:rFonts w:ascii="Times New Roman" w:hAnsi="Times New Roman"/>
          <w:b/>
          <w:sz w:val="24"/>
        </w:rPr>
        <w:t>u</w:t>
      </w:r>
      <w:r w:rsidRPr="009013DE">
        <w:rPr>
          <w:rFonts w:ascii="Times New Roman" w:hAnsi="Times New Roman"/>
          <w:b/>
          <w:sz w:val="24"/>
        </w:rPr>
        <w:t xml:space="preserve">pon Small Businesses </w:t>
      </w:r>
      <w:r w:rsidR="00A95F05" w:rsidRPr="009013DE">
        <w:rPr>
          <w:rFonts w:ascii="Times New Roman" w:hAnsi="Times New Roman"/>
          <w:b/>
          <w:sz w:val="24"/>
        </w:rPr>
        <w:t>or</w:t>
      </w:r>
      <w:r w:rsidRPr="009013DE">
        <w:rPr>
          <w:rFonts w:ascii="Times New Roman" w:hAnsi="Times New Roman"/>
          <w:b/>
          <w:sz w:val="24"/>
        </w:rPr>
        <w:t xml:space="preserve"> Other Small Entities</w:t>
      </w:r>
    </w:p>
    <w:p w14:paraId="0D4E967C" w14:textId="77777777" w:rsidR="00FC7674" w:rsidRPr="001D6447" w:rsidRDefault="00FC7674" w:rsidP="00FC7674">
      <w:pPr>
        <w:pStyle w:val="BodyText"/>
        <w:spacing w:line="240" w:lineRule="auto"/>
        <w:ind w:left="720"/>
        <w:rPr>
          <w:rFonts w:ascii="Times New Roman" w:hAnsi="Times New Roman"/>
          <w:b/>
          <w:sz w:val="24"/>
        </w:rPr>
      </w:pPr>
    </w:p>
    <w:p w14:paraId="30CF932D" w14:textId="000B5665" w:rsidR="00444935" w:rsidRDefault="0070192D" w:rsidP="00C15EB4">
      <w:pPr>
        <w:pStyle w:val="BodyText"/>
        <w:spacing w:line="240" w:lineRule="auto"/>
        <w:rPr>
          <w:rFonts w:ascii="Times New Roman" w:hAnsi="Times New Roman"/>
          <w:sz w:val="24"/>
        </w:rPr>
      </w:pPr>
      <w:r>
        <w:rPr>
          <w:rFonts w:ascii="Times New Roman" w:hAnsi="Times New Roman"/>
          <w:sz w:val="24"/>
        </w:rPr>
        <w:t xml:space="preserve">APS programs in </w:t>
      </w:r>
      <w:r w:rsidR="003C2A3E">
        <w:rPr>
          <w:rFonts w:ascii="Times New Roman" w:hAnsi="Times New Roman"/>
          <w:sz w:val="24"/>
        </w:rPr>
        <w:t>27</w:t>
      </w:r>
      <w:r>
        <w:rPr>
          <w:rFonts w:ascii="Times New Roman" w:hAnsi="Times New Roman"/>
          <w:sz w:val="24"/>
        </w:rPr>
        <w:t xml:space="preserve"> counties </w:t>
      </w:r>
      <w:r w:rsidR="00D048A1">
        <w:rPr>
          <w:rFonts w:ascii="Times New Roman" w:hAnsi="Times New Roman"/>
          <w:sz w:val="24"/>
        </w:rPr>
        <w:t xml:space="preserve">will </w:t>
      </w:r>
      <w:r w:rsidR="001A72AD">
        <w:rPr>
          <w:rFonts w:ascii="Times New Roman" w:hAnsi="Times New Roman"/>
          <w:sz w:val="24"/>
        </w:rPr>
        <w:t xml:space="preserve">be asked to participate in this study on a voluntary basis. </w:t>
      </w:r>
      <w:r w:rsidR="0016416F">
        <w:rPr>
          <w:rFonts w:ascii="Times New Roman" w:hAnsi="Times New Roman"/>
          <w:sz w:val="24"/>
        </w:rPr>
        <w:t>The size of participating counties will</w:t>
      </w:r>
      <w:r w:rsidR="00D048A1">
        <w:rPr>
          <w:rFonts w:ascii="Times New Roman" w:hAnsi="Times New Roman"/>
          <w:sz w:val="24"/>
        </w:rPr>
        <w:t xml:space="preserve"> range considerably in </w:t>
      </w:r>
      <w:r w:rsidR="00F200A4">
        <w:rPr>
          <w:rFonts w:ascii="Times New Roman" w:hAnsi="Times New Roman"/>
          <w:sz w:val="24"/>
        </w:rPr>
        <w:t>population</w:t>
      </w:r>
      <w:r w:rsidR="00D048A1">
        <w:rPr>
          <w:rFonts w:ascii="Times New Roman" w:hAnsi="Times New Roman"/>
          <w:sz w:val="24"/>
        </w:rPr>
        <w:t xml:space="preserve"> across the country. </w:t>
      </w:r>
      <w:r w:rsidR="001A72AD">
        <w:rPr>
          <w:rFonts w:ascii="Times New Roman" w:hAnsi="Times New Roman"/>
          <w:sz w:val="24"/>
        </w:rPr>
        <w:t>S</w:t>
      </w:r>
      <w:r w:rsidR="00D008CD" w:rsidRPr="00D008CD">
        <w:rPr>
          <w:rFonts w:ascii="Times New Roman" w:hAnsi="Times New Roman"/>
          <w:sz w:val="24"/>
        </w:rPr>
        <w:t xml:space="preserve">tate APS </w:t>
      </w:r>
      <w:r w:rsidR="001A72AD">
        <w:rPr>
          <w:rFonts w:ascii="Times New Roman" w:hAnsi="Times New Roman"/>
          <w:sz w:val="24"/>
        </w:rPr>
        <w:t xml:space="preserve">program </w:t>
      </w:r>
      <w:r>
        <w:rPr>
          <w:rFonts w:ascii="Times New Roman" w:hAnsi="Times New Roman"/>
          <w:sz w:val="24"/>
        </w:rPr>
        <w:t xml:space="preserve">leaders </w:t>
      </w:r>
      <w:r w:rsidR="00D008CD" w:rsidRPr="00D008CD">
        <w:rPr>
          <w:rFonts w:ascii="Times New Roman" w:hAnsi="Times New Roman"/>
          <w:sz w:val="24"/>
        </w:rPr>
        <w:t>will facilitate recruitment by providing the appropriate contact</w:t>
      </w:r>
      <w:r>
        <w:rPr>
          <w:rFonts w:ascii="Times New Roman" w:hAnsi="Times New Roman"/>
          <w:sz w:val="24"/>
        </w:rPr>
        <w:t>s at the APS county programs</w:t>
      </w:r>
      <w:r w:rsidR="00D008CD" w:rsidRPr="00D008CD">
        <w:rPr>
          <w:rFonts w:ascii="Times New Roman" w:hAnsi="Times New Roman"/>
          <w:sz w:val="24"/>
        </w:rPr>
        <w:t xml:space="preserve">, making virtual introductions between </w:t>
      </w:r>
      <w:r>
        <w:rPr>
          <w:rFonts w:ascii="Times New Roman" w:hAnsi="Times New Roman"/>
          <w:sz w:val="24"/>
        </w:rPr>
        <w:t>the contacts</w:t>
      </w:r>
      <w:r w:rsidR="00D008CD" w:rsidRPr="00D008CD">
        <w:rPr>
          <w:rFonts w:ascii="Times New Roman" w:hAnsi="Times New Roman"/>
          <w:sz w:val="24"/>
        </w:rPr>
        <w:t xml:space="preserve"> and the study team, and </w:t>
      </w:r>
      <w:r w:rsidR="003C2A3E">
        <w:rPr>
          <w:rFonts w:ascii="Times New Roman" w:hAnsi="Times New Roman"/>
          <w:sz w:val="24"/>
        </w:rPr>
        <w:t xml:space="preserve">responding to </w:t>
      </w:r>
      <w:r w:rsidR="00D008CD" w:rsidRPr="00D008CD">
        <w:rPr>
          <w:rFonts w:ascii="Times New Roman" w:hAnsi="Times New Roman"/>
          <w:sz w:val="24"/>
        </w:rPr>
        <w:t xml:space="preserve">county questions or needs related to </w:t>
      </w:r>
      <w:r w:rsidR="003C2A3E">
        <w:rPr>
          <w:rFonts w:ascii="Times New Roman" w:hAnsi="Times New Roman"/>
          <w:sz w:val="24"/>
        </w:rPr>
        <w:t>applicable state approval processes</w:t>
      </w:r>
      <w:r w:rsidR="00D008CD" w:rsidRPr="00D008CD">
        <w:rPr>
          <w:rFonts w:ascii="Times New Roman" w:hAnsi="Times New Roman"/>
          <w:sz w:val="24"/>
        </w:rPr>
        <w:t xml:space="preserve"> </w:t>
      </w:r>
      <w:r w:rsidR="003C2A3E">
        <w:rPr>
          <w:rFonts w:ascii="Times New Roman" w:hAnsi="Times New Roman"/>
          <w:sz w:val="24"/>
        </w:rPr>
        <w:t>for</w:t>
      </w:r>
      <w:r w:rsidR="00D008CD" w:rsidRPr="00D008CD">
        <w:rPr>
          <w:rFonts w:ascii="Times New Roman" w:hAnsi="Times New Roman"/>
          <w:sz w:val="24"/>
        </w:rPr>
        <w:t xml:space="preserve"> participat</w:t>
      </w:r>
      <w:r w:rsidR="003C2A3E">
        <w:rPr>
          <w:rFonts w:ascii="Times New Roman" w:hAnsi="Times New Roman"/>
          <w:sz w:val="24"/>
        </w:rPr>
        <w:t>ing</w:t>
      </w:r>
      <w:r w:rsidR="00D008CD" w:rsidRPr="00D008CD">
        <w:rPr>
          <w:rFonts w:ascii="Times New Roman" w:hAnsi="Times New Roman"/>
          <w:sz w:val="24"/>
        </w:rPr>
        <w:t xml:space="preserve"> in the study.</w:t>
      </w:r>
      <w:r w:rsidR="001A72AD">
        <w:rPr>
          <w:rFonts w:ascii="Times New Roman" w:hAnsi="Times New Roman"/>
          <w:sz w:val="24"/>
        </w:rPr>
        <w:t xml:space="preserve"> The </w:t>
      </w:r>
      <w:r w:rsidR="0094528E">
        <w:rPr>
          <w:rFonts w:ascii="Times New Roman" w:hAnsi="Times New Roman"/>
          <w:sz w:val="24"/>
        </w:rPr>
        <w:t>study</w:t>
      </w:r>
      <w:r w:rsidR="001A72AD">
        <w:rPr>
          <w:rFonts w:ascii="Times New Roman" w:hAnsi="Times New Roman"/>
          <w:sz w:val="24"/>
        </w:rPr>
        <w:t xml:space="preserve"> team will </w:t>
      </w:r>
      <w:r w:rsidR="0016416F">
        <w:rPr>
          <w:rFonts w:ascii="Times New Roman" w:hAnsi="Times New Roman"/>
          <w:sz w:val="24"/>
        </w:rPr>
        <w:t xml:space="preserve">provide each </w:t>
      </w:r>
      <w:r>
        <w:rPr>
          <w:rFonts w:ascii="Times New Roman" w:hAnsi="Times New Roman"/>
          <w:sz w:val="24"/>
        </w:rPr>
        <w:t xml:space="preserve">participating APS program </w:t>
      </w:r>
      <w:r w:rsidR="001A72AD">
        <w:rPr>
          <w:rFonts w:ascii="Times New Roman" w:hAnsi="Times New Roman"/>
          <w:sz w:val="24"/>
        </w:rPr>
        <w:t>with extensive administrative support and training to ease the burden of their participation.</w:t>
      </w:r>
      <w:r w:rsidR="00BD482A">
        <w:rPr>
          <w:rFonts w:ascii="Times New Roman" w:hAnsi="Times New Roman"/>
          <w:sz w:val="24"/>
        </w:rPr>
        <w:t xml:space="preserve"> For example, the study team will provide regular check-in meetings, a live and recorded webinar training covering all aspects of the </w:t>
      </w:r>
      <w:r w:rsidR="00D44C57">
        <w:rPr>
          <w:rFonts w:ascii="Times New Roman" w:hAnsi="Times New Roman"/>
          <w:sz w:val="24"/>
        </w:rPr>
        <w:t>information</w:t>
      </w:r>
      <w:r w:rsidR="00BD482A">
        <w:rPr>
          <w:rFonts w:ascii="Times New Roman" w:hAnsi="Times New Roman"/>
          <w:sz w:val="24"/>
        </w:rPr>
        <w:t xml:space="preserve"> collection, pre-populated data collection forms and pre-paid and addressed envelopes, and a one-page quick reference sheet with tips, instructions, and contact information for any questions.</w:t>
      </w:r>
      <w:r w:rsidR="00C15EB4" w:rsidRPr="00C15EB4">
        <w:rPr>
          <w:rFonts w:ascii="Times New Roman" w:hAnsi="Times New Roman"/>
          <w:snapToGrid/>
          <w:sz w:val="24"/>
        </w:rPr>
        <w:t xml:space="preserve"> </w:t>
      </w:r>
      <w:r w:rsidR="00C15EB4" w:rsidRPr="00C15EB4">
        <w:rPr>
          <w:rFonts w:ascii="Times New Roman" w:hAnsi="Times New Roman"/>
          <w:sz w:val="24"/>
        </w:rPr>
        <w:t>The study team will also provide a written guide (“APS Evaluation Site Visits: A Guide for State and County Leaders”) that includes all the information and materials counties will need to help plan and carry out a site visit.</w:t>
      </w:r>
    </w:p>
    <w:p w14:paraId="23CC6DF9" w14:textId="77777777" w:rsidR="00D008CD" w:rsidRDefault="00D008CD" w:rsidP="00C15EB4">
      <w:pPr>
        <w:pStyle w:val="BodyText"/>
        <w:spacing w:line="240" w:lineRule="auto"/>
        <w:ind w:hanging="360"/>
        <w:rPr>
          <w:rFonts w:ascii="Times New Roman" w:hAnsi="Times New Roman"/>
          <w:sz w:val="24"/>
        </w:rPr>
      </w:pPr>
    </w:p>
    <w:p w14:paraId="264DE1BE" w14:textId="77777777" w:rsidR="00870B38" w:rsidRDefault="003C4ED0" w:rsidP="00287E47">
      <w:pPr>
        <w:pStyle w:val="BodyText"/>
        <w:numPr>
          <w:ilvl w:val="0"/>
          <w:numId w:val="9"/>
        </w:numPr>
        <w:spacing w:line="240" w:lineRule="auto"/>
        <w:rPr>
          <w:rFonts w:ascii="Times New Roman" w:hAnsi="Times New Roman"/>
          <w:b/>
          <w:sz w:val="24"/>
        </w:rPr>
      </w:pPr>
      <w:r w:rsidRPr="00D355C3">
        <w:rPr>
          <w:rFonts w:ascii="Times New Roman" w:hAnsi="Times New Roman"/>
          <w:b/>
          <w:sz w:val="24"/>
        </w:rPr>
        <w:t xml:space="preserve">Consequences </w:t>
      </w:r>
      <w:r w:rsidR="00A95F05" w:rsidRPr="00D355C3">
        <w:rPr>
          <w:rFonts w:ascii="Times New Roman" w:hAnsi="Times New Roman"/>
          <w:b/>
          <w:sz w:val="24"/>
        </w:rPr>
        <w:t>of Collecting the Information Less Frequently</w:t>
      </w:r>
    </w:p>
    <w:p w14:paraId="1AEFC1E1" w14:textId="77777777" w:rsidR="00FC7674" w:rsidRPr="001D6447" w:rsidRDefault="00FC7674" w:rsidP="00FC7674">
      <w:pPr>
        <w:pStyle w:val="BodyText"/>
        <w:spacing w:line="240" w:lineRule="auto"/>
        <w:ind w:left="720"/>
        <w:rPr>
          <w:rFonts w:ascii="Times New Roman" w:hAnsi="Times New Roman"/>
          <w:b/>
          <w:sz w:val="24"/>
        </w:rPr>
      </w:pPr>
    </w:p>
    <w:p w14:paraId="2E90815A" w14:textId="603F02CA" w:rsidR="001A72AD" w:rsidRDefault="00D008CD" w:rsidP="00CF6BEF">
      <w:r w:rsidRPr="00D008CD">
        <w:t xml:space="preserve">This is a one-time </w:t>
      </w:r>
      <w:r w:rsidR="00D44C57">
        <w:t>information</w:t>
      </w:r>
      <w:r w:rsidRPr="00D008CD">
        <w:t xml:space="preserve"> collection activity. </w:t>
      </w:r>
      <w:r w:rsidR="00556B7A">
        <w:t xml:space="preserve">If the collection is not conducted, the study will not </w:t>
      </w:r>
      <w:r w:rsidR="006326E7">
        <w:t xml:space="preserve">be able to </w:t>
      </w:r>
      <w:r w:rsidR="00556B7A">
        <w:t>achieve its intended purpose</w:t>
      </w:r>
      <w:r w:rsidR="006326E7">
        <w:t xml:space="preserve"> (as specified by ACL)</w:t>
      </w:r>
      <w:r w:rsidR="00556B7A">
        <w:t xml:space="preserve">, </w:t>
      </w:r>
      <w:r w:rsidR="006326E7">
        <w:t>nor address existing gaps in knowledge of APS client outcomes, nor further APS research as instructed by</w:t>
      </w:r>
      <w:r w:rsidR="006326E7">
        <w:rPr>
          <w:szCs w:val="22"/>
        </w:rPr>
        <w:t xml:space="preserve"> t</w:t>
      </w:r>
      <w:r w:rsidR="006326E7" w:rsidRPr="00D51602">
        <w:rPr>
          <w:szCs w:val="22"/>
        </w:rPr>
        <w:t>he Elder Justice Act of 2009</w:t>
      </w:r>
      <w:r w:rsidR="006326E7">
        <w:rPr>
          <w:szCs w:val="22"/>
        </w:rPr>
        <w:t xml:space="preserve"> and the EJCC</w:t>
      </w:r>
      <w:r w:rsidR="00556B7A">
        <w:t>.</w:t>
      </w:r>
    </w:p>
    <w:p w14:paraId="33C62721" w14:textId="77777777" w:rsidR="00D008CD" w:rsidRPr="001D6447" w:rsidRDefault="00D008CD" w:rsidP="000B64B8">
      <w:pPr>
        <w:pStyle w:val="BodyText"/>
        <w:spacing w:line="240" w:lineRule="auto"/>
        <w:ind w:left="720"/>
        <w:rPr>
          <w:rFonts w:ascii="Times New Roman" w:hAnsi="Times New Roman"/>
          <w:b/>
          <w:sz w:val="24"/>
        </w:rPr>
      </w:pPr>
    </w:p>
    <w:p w14:paraId="189BBE37" w14:textId="0894B4DE" w:rsidR="003C4ED0" w:rsidRDefault="009E1F12" w:rsidP="00287E47">
      <w:pPr>
        <w:pStyle w:val="BodyText"/>
        <w:numPr>
          <w:ilvl w:val="0"/>
          <w:numId w:val="9"/>
        </w:numPr>
        <w:spacing w:line="240" w:lineRule="auto"/>
        <w:rPr>
          <w:rFonts w:ascii="Times New Roman" w:hAnsi="Times New Roman"/>
          <w:b/>
          <w:sz w:val="24"/>
        </w:rPr>
      </w:pPr>
      <w:r w:rsidRPr="009E1F12">
        <w:rPr>
          <w:rFonts w:ascii="Times New Roman" w:hAnsi="Times New Roman"/>
          <w:b/>
          <w:sz w:val="24"/>
        </w:rPr>
        <w:t>Special Circumstances Relating to the Guidelines of 5 CFR 1320.5</w:t>
      </w:r>
    </w:p>
    <w:p w14:paraId="7AED9C5E" w14:textId="77777777" w:rsidR="00FC7674" w:rsidRPr="001D6447" w:rsidRDefault="00FC7674" w:rsidP="00FC7674">
      <w:pPr>
        <w:pStyle w:val="BodyText"/>
        <w:spacing w:line="240" w:lineRule="auto"/>
        <w:ind w:left="720"/>
        <w:rPr>
          <w:rFonts w:ascii="Times New Roman" w:hAnsi="Times New Roman"/>
          <w:sz w:val="24"/>
        </w:rPr>
      </w:pPr>
    </w:p>
    <w:p w14:paraId="29DCF73C" w14:textId="5DD89FE6" w:rsidR="00AB7936" w:rsidRPr="001A72AD" w:rsidRDefault="00AB7936" w:rsidP="007D6B0E">
      <w:pPr>
        <w:pStyle w:val="BodyText"/>
        <w:spacing w:line="240" w:lineRule="auto"/>
        <w:rPr>
          <w:rFonts w:ascii="Times New Roman" w:hAnsi="Times New Roman"/>
          <w:sz w:val="24"/>
          <w:szCs w:val="24"/>
        </w:rPr>
      </w:pPr>
      <w:r w:rsidRPr="001A72AD">
        <w:rPr>
          <w:rFonts w:ascii="Times New Roman" w:hAnsi="Times New Roman"/>
          <w:sz w:val="24"/>
          <w:szCs w:val="24"/>
        </w:rPr>
        <w:t>There are no special circumstances required for the collection of information in this data collection.</w:t>
      </w:r>
    </w:p>
    <w:p w14:paraId="1D057591" w14:textId="77777777" w:rsidR="008E6961" w:rsidRPr="001A72AD" w:rsidRDefault="008E6961" w:rsidP="007D6B0E">
      <w:pPr>
        <w:pStyle w:val="BodyText"/>
        <w:spacing w:line="240" w:lineRule="auto"/>
        <w:rPr>
          <w:rFonts w:ascii="Times New Roman" w:hAnsi="Times New Roman"/>
          <w:sz w:val="24"/>
          <w:szCs w:val="24"/>
        </w:rPr>
      </w:pPr>
    </w:p>
    <w:p w14:paraId="305B8847" w14:textId="2BB8DC08" w:rsidR="003C4ED0" w:rsidRPr="001A72AD"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i/>
          <w:sz w:val="24"/>
        </w:rPr>
        <w:t xml:space="preserve">Report </w:t>
      </w:r>
      <w:r w:rsidR="000910BD" w:rsidRPr="001A72AD">
        <w:rPr>
          <w:rFonts w:ascii="Times New Roman" w:hAnsi="Times New Roman"/>
          <w:i/>
          <w:sz w:val="24"/>
        </w:rPr>
        <w:t xml:space="preserve">Information </w:t>
      </w:r>
      <w:r w:rsidRPr="001A72AD">
        <w:rPr>
          <w:rFonts w:ascii="Times New Roman" w:hAnsi="Times New Roman"/>
          <w:i/>
          <w:sz w:val="24"/>
        </w:rPr>
        <w:t xml:space="preserve">More Often than </w:t>
      </w:r>
      <w:r w:rsidR="008D2F85" w:rsidRPr="001A72AD">
        <w:rPr>
          <w:rFonts w:ascii="Times New Roman" w:hAnsi="Times New Roman"/>
          <w:i/>
          <w:sz w:val="24"/>
        </w:rPr>
        <w:t>Quarterly</w:t>
      </w:r>
      <w:r w:rsidR="0043417B" w:rsidRPr="001A72AD">
        <w:rPr>
          <w:rFonts w:ascii="Times New Roman" w:hAnsi="Times New Roman"/>
          <w:sz w:val="24"/>
        </w:rPr>
        <w:t xml:space="preserve">. </w:t>
      </w:r>
      <w:r w:rsidRPr="001A72AD">
        <w:rPr>
          <w:rFonts w:ascii="Times New Roman" w:hAnsi="Times New Roman"/>
          <w:sz w:val="24"/>
        </w:rPr>
        <w:t xml:space="preserve">There are no circumstances that could result in the data needing to be collected more frequently than quarterly. </w:t>
      </w:r>
      <w:r w:rsidR="001A72AD">
        <w:rPr>
          <w:rFonts w:ascii="Times New Roman" w:hAnsi="Times New Roman"/>
          <w:sz w:val="24"/>
        </w:rPr>
        <w:t xml:space="preserve">This is a </w:t>
      </w:r>
      <w:r w:rsidR="00166735">
        <w:rPr>
          <w:rFonts w:ascii="Times New Roman" w:hAnsi="Times New Roman"/>
          <w:sz w:val="24"/>
        </w:rPr>
        <w:t>one-time</w:t>
      </w:r>
      <w:r w:rsidR="001A72AD">
        <w:rPr>
          <w:rFonts w:ascii="Times New Roman" w:hAnsi="Times New Roman"/>
          <w:sz w:val="24"/>
        </w:rPr>
        <w:t xml:space="preserve"> </w:t>
      </w:r>
      <w:r w:rsidR="00D44C57">
        <w:rPr>
          <w:rFonts w:ascii="Times New Roman" w:hAnsi="Times New Roman"/>
          <w:sz w:val="24"/>
        </w:rPr>
        <w:t>information</w:t>
      </w:r>
      <w:r w:rsidR="001A72AD">
        <w:rPr>
          <w:rFonts w:ascii="Times New Roman" w:hAnsi="Times New Roman"/>
          <w:sz w:val="24"/>
        </w:rPr>
        <w:t xml:space="preserve"> collection effort</w:t>
      </w:r>
      <w:r w:rsidRPr="001A72AD">
        <w:rPr>
          <w:rFonts w:ascii="Times New Roman" w:hAnsi="Times New Roman"/>
          <w:sz w:val="24"/>
        </w:rPr>
        <w:t>.</w:t>
      </w:r>
    </w:p>
    <w:p w14:paraId="4287E22F" w14:textId="4DB45608" w:rsidR="003C4ED0" w:rsidRPr="001A72AD"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i/>
          <w:sz w:val="24"/>
        </w:rPr>
        <w:t>Requiring Response in Less than 30 Days</w:t>
      </w:r>
      <w:r w:rsidRPr="001A72AD">
        <w:rPr>
          <w:rFonts w:ascii="Times New Roman" w:hAnsi="Times New Roman"/>
          <w:sz w:val="24"/>
        </w:rPr>
        <w:t xml:space="preserve">. There are no circumstances that could result in </w:t>
      </w:r>
      <w:r w:rsidR="001A72AD">
        <w:rPr>
          <w:rFonts w:ascii="Times New Roman" w:hAnsi="Times New Roman"/>
          <w:sz w:val="24"/>
        </w:rPr>
        <w:t>participants</w:t>
      </w:r>
      <w:r w:rsidRPr="001A72AD">
        <w:rPr>
          <w:rFonts w:ascii="Times New Roman" w:hAnsi="Times New Roman"/>
          <w:sz w:val="24"/>
        </w:rPr>
        <w:t xml:space="preserve"> needing to respond</w:t>
      </w:r>
      <w:r w:rsidR="001A72AD">
        <w:rPr>
          <w:rFonts w:ascii="Times New Roman" w:hAnsi="Times New Roman"/>
          <w:sz w:val="24"/>
        </w:rPr>
        <w:t xml:space="preserve"> to the written questionnaire</w:t>
      </w:r>
      <w:r w:rsidRPr="001A72AD">
        <w:rPr>
          <w:rFonts w:ascii="Times New Roman" w:hAnsi="Times New Roman"/>
          <w:sz w:val="24"/>
        </w:rPr>
        <w:t xml:space="preserve"> in less than 30</w:t>
      </w:r>
      <w:r w:rsidR="006C7B25" w:rsidRPr="001A72AD">
        <w:rPr>
          <w:rFonts w:ascii="Times New Roman" w:hAnsi="Times New Roman"/>
          <w:sz w:val="24"/>
        </w:rPr>
        <w:t xml:space="preserve"> </w:t>
      </w:r>
      <w:r w:rsidRPr="001A72AD">
        <w:rPr>
          <w:rFonts w:ascii="Times New Roman" w:hAnsi="Times New Roman"/>
          <w:sz w:val="24"/>
        </w:rPr>
        <w:t xml:space="preserve">days. </w:t>
      </w:r>
    </w:p>
    <w:p w14:paraId="14476C1A" w14:textId="2B1C43B0" w:rsidR="003C4ED0" w:rsidRPr="001A72AD"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i/>
          <w:sz w:val="24"/>
        </w:rPr>
        <w:t xml:space="preserve">Requiring Respondents to Submit More </w:t>
      </w:r>
      <w:r w:rsidR="00FF14B6" w:rsidRPr="001A72AD">
        <w:rPr>
          <w:rFonts w:ascii="Times New Roman" w:hAnsi="Times New Roman"/>
          <w:i/>
          <w:sz w:val="24"/>
        </w:rPr>
        <w:t>t</w:t>
      </w:r>
      <w:r w:rsidRPr="001A72AD">
        <w:rPr>
          <w:rFonts w:ascii="Times New Roman" w:hAnsi="Times New Roman"/>
          <w:i/>
          <w:sz w:val="24"/>
        </w:rPr>
        <w:t>han One Original and Two Copies.</w:t>
      </w:r>
      <w:r w:rsidRPr="001A72AD">
        <w:rPr>
          <w:rFonts w:ascii="Times New Roman" w:hAnsi="Times New Roman"/>
          <w:sz w:val="24"/>
        </w:rPr>
        <w:t xml:space="preserve"> </w:t>
      </w:r>
      <w:r w:rsidR="001A72AD">
        <w:rPr>
          <w:rFonts w:ascii="Times New Roman" w:hAnsi="Times New Roman"/>
          <w:sz w:val="24"/>
        </w:rPr>
        <w:t>No respondents will need to provide copies of their responses.</w:t>
      </w:r>
      <w:r w:rsidR="000910BD" w:rsidRPr="001A72AD">
        <w:rPr>
          <w:rFonts w:ascii="Times New Roman" w:hAnsi="Times New Roman"/>
          <w:sz w:val="24"/>
        </w:rPr>
        <w:t xml:space="preserve"> </w:t>
      </w:r>
    </w:p>
    <w:p w14:paraId="1A24C66C" w14:textId="292CDF4B" w:rsidR="001A6BE8" w:rsidRPr="001A6BE8" w:rsidRDefault="007D6B0E" w:rsidP="00654F66">
      <w:pPr>
        <w:pStyle w:val="BodyText"/>
        <w:numPr>
          <w:ilvl w:val="0"/>
          <w:numId w:val="4"/>
        </w:numPr>
        <w:tabs>
          <w:tab w:val="clear" w:pos="1080"/>
        </w:tabs>
        <w:spacing w:line="240" w:lineRule="auto"/>
        <w:ind w:left="720"/>
        <w:rPr>
          <w:rFonts w:ascii="Times New Roman" w:hAnsi="Times New Roman"/>
          <w:sz w:val="24"/>
        </w:rPr>
      </w:pPr>
      <w:r w:rsidRPr="007D6B0E">
        <w:rPr>
          <w:rFonts w:ascii="Times New Roman" w:hAnsi="Times New Roman"/>
          <w:i/>
          <w:sz w:val="24"/>
        </w:rPr>
        <w:t>Requiring Respondents to Retain Records for More Than Three Years</w:t>
      </w:r>
      <w:r>
        <w:rPr>
          <w:rFonts w:ascii="Times New Roman" w:hAnsi="Times New Roman"/>
          <w:sz w:val="24"/>
        </w:rPr>
        <w:t>. No respondents will need to retain any records.</w:t>
      </w:r>
    </w:p>
    <w:p w14:paraId="130ADE84" w14:textId="617D2C99" w:rsidR="003C4ED0" w:rsidRPr="001A72AD"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i/>
          <w:sz w:val="24"/>
        </w:rPr>
        <w:t>In Connection with a Statistical Survey.</w:t>
      </w:r>
      <w:r w:rsidRPr="001A72AD">
        <w:rPr>
          <w:rFonts w:ascii="Times New Roman" w:hAnsi="Times New Roman"/>
          <w:sz w:val="24"/>
        </w:rPr>
        <w:t xml:space="preserve"> These data are not collected as part of a statistical survey.</w:t>
      </w:r>
    </w:p>
    <w:p w14:paraId="59C7C8A4" w14:textId="77777777" w:rsidR="00B52101"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i/>
          <w:sz w:val="24"/>
        </w:rPr>
        <w:t xml:space="preserve">Use of a Statistical Data Classification </w:t>
      </w:r>
      <w:r w:rsidR="00FF14B6" w:rsidRPr="001A72AD">
        <w:rPr>
          <w:rFonts w:ascii="Times New Roman" w:hAnsi="Times New Roman"/>
          <w:i/>
          <w:sz w:val="24"/>
        </w:rPr>
        <w:t>t</w:t>
      </w:r>
      <w:r w:rsidRPr="001A72AD">
        <w:rPr>
          <w:rFonts w:ascii="Times New Roman" w:hAnsi="Times New Roman"/>
          <w:i/>
          <w:sz w:val="24"/>
        </w:rPr>
        <w:t>hat Has Not Been Approved by OMB.</w:t>
      </w:r>
      <w:r w:rsidRPr="001A72AD">
        <w:rPr>
          <w:rFonts w:ascii="Times New Roman" w:hAnsi="Times New Roman"/>
          <w:sz w:val="24"/>
        </w:rPr>
        <w:t xml:space="preserve"> </w:t>
      </w:r>
    </w:p>
    <w:p w14:paraId="230722DB" w14:textId="0F6CBE28" w:rsidR="003C4ED0" w:rsidRPr="001A72AD"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sz w:val="24"/>
        </w:rPr>
        <w:t xml:space="preserve">This </w:t>
      </w:r>
      <w:r w:rsidR="00D44C57">
        <w:rPr>
          <w:rFonts w:ascii="Times New Roman" w:hAnsi="Times New Roman"/>
          <w:sz w:val="24"/>
        </w:rPr>
        <w:t>information</w:t>
      </w:r>
      <w:r w:rsidRPr="001A72AD">
        <w:rPr>
          <w:rFonts w:ascii="Times New Roman" w:hAnsi="Times New Roman"/>
          <w:sz w:val="24"/>
        </w:rPr>
        <w:t xml:space="preserve"> collection </w:t>
      </w:r>
      <w:r w:rsidR="001A72AD">
        <w:rPr>
          <w:rFonts w:ascii="Times New Roman" w:hAnsi="Times New Roman"/>
          <w:sz w:val="24"/>
        </w:rPr>
        <w:t>will be approved by OMB before commencing.</w:t>
      </w:r>
    </w:p>
    <w:p w14:paraId="63D0E82C" w14:textId="014C4FAF" w:rsidR="00133F7F" w:rsidRPr="001A72AD"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i/>
          <w:sz w:val="24"/>
        </w:rPr>
        <w:t>Pledge of Confidentiality.</w:t>
      </w:r>
      <w:r w:rsidRPr="001A72AD">
        <w:rPr>
          <w:rFonts w:ascii="Times New Roman" w:hAnsi="Times New Roman"/>
          <w:sz w:val="24"/>
        </w:rPr>
        <w:t xml:space="preserve"> </w:t>
      </w:r>
      <w:r w:rsidR="007D6B0E" w:rsidRPr="001A72AD">
        <w:rPr>
          <w:rFonts w:ascii="Times New Roman" w:hAnsi="Times New Roman"/>
          <w:sz w:val="24"/>
        </w:rPr>
        <w:t xml:space="preserve">This </w:t>
      </w:r>
      <w:r w:rsidR="00D44C57">
        <w:rPr>
          <w:rFonts w:ascii="Times New Roman" w:hAnsi="Times New Roman"/>
          <w:sz w:val="24"/>
        </w:rPr>
        <w:t>information</w:t>
      </w:r>
      <w:r w:rsidR="007D6B0E" w:rsidRPr="001A72AD">
        <w:rPr>
          <w:rFonts w:ascii="Times New Roman" w:hAnsi="Times New Roman"/>
          <w:sz w:val="24"/>
        </w:rPr>
        <w:t xml:space="preserve"> collection </w:t>
      </w:r>
      <w:r w:rsidR="007D6B0E">
        <w:rPr>
          <w:rFonts w:ascii="Times New Roman" w:hAnsi="Times New Roman"/>
          <w:sz w:val="24"/>
        </w:rPr>
        <w:t xml:space="preserve">will not include a pledge of confidentiality that is not supported by various authorities, regulations, or policies. The </w:t>
      </w:r>
      <w:r w:rsidR="00D44C57">
        <w:rPr>
          <w:rFonts w:ascii="Times New Roman" w:hAnsi="Times New Roman"/>
          <w:sz w:val="24"/>
        </w:rPr>
        <w:t>information</w:t>
      </w:r>
      <w:r w:rsidR="007D6B0E">
        <w:rPr>
          <w:rFonts w:ascii="Times New Roman" w:hAnsi="Times New Roman"/>
          <w:sz w:val="24"/>
        </w:rPr>
        <w:t xml:space="preserve"> collection will be performed following an approved informed consent process</w:t>
      </w:r>
      <w:r w:rsidR="001430EC" w:rsidRPr="001A72AD">
        <w:rPr>
          <w:rFonts w:ascii="Times New Roman" w:hAnsi="Times New Roman"/>
          <w:sz w:val="24"/>
        </w:rPr>
        <w:t xml:space="preserve">. </w:t>
      </w:r>
    </w:p>
    <w:p w14:paraId="6067DE29" w14:textId="397F0734" w:rsidR="003C4ED0" w:rsidRPr="001A72AD" w:rsidRDefault="003C4ED0" w:rsidP="00654F66">
      <w:pPr>
        <w:pStyle w:val="BodyText"/>
        <w:numPr>
          <w:ilvl w:val="0"/>
          <w:numId w:val="4"/>
        </w:numPr>
        <w:tabs>
          <w:tab w:val="clear" w:pos="1080"/>
        </w:tabs>
        <w:spacing w:line="240" w:lineRule="auto"/>
        <w:ind w:left="720"/>
        <w:rPr>
          <w:rFonts w:ascii="Times New Roman" w:hAnsi="Times New Roman"/>
          <w:sz w:val="24"/>
        </w:rPr>
      </w:pPr>
      <w:r w:rsidRPr="001A72AD">
        <w:rPr>
          <w:rFonts w:ascii="Times New Roman" w:hAnsi="Times New Roman"/>
          <w:i/>
          <w:sz w:val="24"/>
        </w:rPr>
        <w:t>Requiring Respondents to Submit Trade Secrets or Other Confidential Information.</w:t>
      </w:r>
      <w:r w:rsidR="001A72AD" w:rsidRPr="001A72AD">
        <w:rPr>
          <w:rFonts w:ascii="Times New Roman" w:hAnsi="Times New Roman"/>
          <w:sz w:val="24"/>
        </w:rPr>
        <w:t xml:space="preserve"> This study </w:t>
      </w:r>
      <w:r w:rsidR="00133F7F" w:rsidRPr="001A72AD">
        <w:rPr>
          <w:rFonts w:ascii="Times New Roman" w:hAnsi="Times New Roman"/>
          <w:sz w:val="24"/>
        </w:rPr>
        <w:t xml:space="preserve">will not </w:t>
      </w:r>
      <w:r w:rsidR="001A72AD" w:rsidRPr="001A72AD">
        <w:rPr>
          <w:rFonts w:ascii="Times New Roman" w:hAnsi="Times New Roman"/>
          <w:sz w:val="24"/>
        </w:rPr>
        <w:t>involve collection</w:t>
      </w:r>
      <w:r w:rsidRPr="001A72AD">
        <w:rPr>
          <w:rFonts w:ascii="Times New Roman" w:hAnsi="Times New Roman"/>
          <w:sz w:val="24"/>
        </w:rPr>
        <w:t xml:space="preserve"> any data related to trade secrets. No identifying data </w:t>
      </w:r>
      <w:r w:rsidR="00133F7F" w:rsidRPr="001A72AD">
        <w:rPr>
          <w:rFonts w:ascii="Times New Roman" w:hAnsi="Times New Roman"/>
          <w:sz w:val="24"/>
        </w:rPr>
        <w:t>will be</w:t>
      </w:r>
      <w:r w:rsidRPr="001A72AD">
        <w:rPr>
          <w:rFonts w:ascii="Times New Roman" w:hAnsi="Times New Roman"/>
          <w:sz w:val="24"/>
        </w:rPr>
        <w:t xml:space="preserve"> collected. </w:t>
      </w:r>
    </w:p>
    <w:p w14:paraId="0DDDA711" w14:textId="587F7105" w:rsidR="00C06990" w:rsidRPr="001D6447" w:rsidRDefault="00C06990" w:rsidP="00C06990"/>
    <w:p w14:paraId="0B5EEEED" w14:textId="3BF77160" w:rsidR="00FC2675" w:rsidRPr="007D6B0E" w:rsidRDefault="009E1F12" w:rsidP="007D6B0E">
      <w:pPr>
        <w:pStyle w:val="ListParagraph"/>
        <w:numPr>
          <w:ilvl w:val="0"/>
          <w:numId w:val="9"/>
        </w:numPr>
        <w:rPr>
          <w:b/>
        </w:rPr>
      </w:pPr>
      <w:r w:rsidRPr="007D6B0E">
        <w:rPr>
          <w:b/>
        </w:rPr>
        <w:t>Comments in Response to the Federal Register Notice</w:t>
      </w:r>
    </w:p>
    <w:p w14:paraId="3CAA0DA9" w14:textId="77777777" w:rsidR="0092785B" w:rsidRDefault="0092785B" w:rsidP="007D6B0E">
      <w:pPr>
        <w:rPr>
          <w:b/>
          <w:szCs w:val="24"/>
        </w:rPr>
      </w:pPr>
    </w:p>
    <w:p w14:paraId="6B04227A" w14:textId="6DF9502D" w:rsidR="00C33017" w:rsidRDefault="00C33017" w:rsidP="007D6B0E">
      <w:pPr>
        <w:rPr>
          <w:szCs w:val="24"/>
        </w:rPr>
      </w:pPr>
      <w:r>
        <w:rPr>
          <w:szCs w:val="24"/>
        </w:rPr>
        <w:t xml:space="preserve">We gathered input on this proposed </w:t>
      </w:r>
      <w:r w:rsidR="00563A42">
        <w:rPr>
          <w:szCs w:val="24"/>
        </w:rPr>
        <w:t>information</w:t>
      </w:r>
      <w:r>
        <w:rPr>
          <w:szCs w:val="24"/>
        </w:rPr>
        <w:t xml:space="preserve"> collection effort from three main sources outside of ACL: (1) public comments submitted through the 60-day Federal Register notice, </w:t>
      </w:r>
      <w:r w:rsidR="002C789C">
        <w:rPr>
          <w:szCs w:val="24"/>
        </w:rPr>
        <w:t xml:space="preserve">(2) pilot testing, and </w:t>
      </w:r>
      <w:r>
        <w:rPr>
          <w:szCs w:val="24"/>
        </w:rPr>
        <w:t>(</w:t>
      </w:r>
      <w:r w:rsidR="002C789C">
        <w:rPr>
          <w:szCs w:val="24"/>
        </w:rPr>
        <w:t>3</w:t>
      </w:r>
      <w:r>
        <w:rPr>
          <w:szCs w:val="24"/>
        </w:rPr>
        <w:t xml:space="preserve">) a Technical Expert Panel (TEP). </w:t>
      </w:r>
    </w:p>
    <w:p w14:paraId="0BDCFC8D" w14:textId="77777777" w:rsidR="00C33017" w:rsidRDefault="00C33017" w:rsidP="007D6B0E">
      <w:pPr>
        <w:rPr>
          <w:szCs w:val="24"/>
        </w:rPr>
      </w:pPr>
    </w:p>
    <w:p w14:paraId="7501C6E4" w14:textId="4F492D15" w:rsidR="00B52101" w:rsidRDefault="00B52101" w:rsidP="007D6B0E">
      <w:pPr>
        <w:rPr>
          <w:szCs w:val="24"/>
        </w:rPr>
      </w:pPr>
      <w:r>
        <w:rPr>
          <w:szCs w:val="24"/>
        </w:rPr>
        <w:t xml:space="preserve">A 60-day Federal Register Notice published in 84 FR 43137 on August 20, 2019. A 30-day Federal Register Notice published in 84 FR 66426 on December 4, 2019. </w:t>
      </w:r>
    </w:p>
    <w:p w14:paraId="45534F1A" w14:textId="77777777" w:rsidR="00B52101" w:rsidRDefault="00B52101" w:rsidP="007D6B0E">
      <w:pPr>
        <w:rPr>
          <w:szCs w:val="24"/>
        </w:rPr>
      </w:pPr>
    </w:p>
    <w:p w14:paraId="03A59803" w14:textId="4953B3BE" w:rsidR="002C789C" w:rsidRDefault="00B52101" w:rsidP="007D6B0E">
      <w:pPr>
        <w:rPr>
          <w:szCs w:val="24"/>
        </w:rPr>
      </w:pPr>
      <w:r>
        <w:rPr>
          <w:szCs w:val="24"/>
        </w:rPr>
        <w:t>Three</w:t>
      </w:r>
      <w:r w:rsidR="00D52C85">
        <w:rPr>
          <w:szCs w:val="24"/>
        </w:rPr>
        <w:t xml:space="preserve"> </w:t>
      </w:r>
      <w:r w:rsidR="00AD49C9" w:rsidRPr="00D52C85">
        <w:rPr>
          <w:szCs w:val="24"/>
        </w:rPr>
        <w:t xml:space="preserve">individuals provided written </w:t>
      </w:r>
      <w:r w:rsidR="00E41D9D">
        <w:rPr>
          <w:szCs w:val="24"/>
        </w:rPr>
        <w:t>responses</w:t>
      </w:r>
      <w:r w:rsidR="00AD49C9" w:rsidRPr="00D52C85">
        <w:rPr>
          <w:szCs w:val="24"/>
        </w:rPr>
        <w:t xml:space="preserve"> to the </w:t>
      </w:r>
      <w:r w:rsidR="00D52C85">
        <w:rPr>
          <w:szCs w:val="24"/>
        </w:rPr>
        <w:t>60-Day F</w:t>
      </w:r>
      <w:r w:rsidR="00AD49C9" w:rsidRPr="00D52C85">
        <w:rPr>
          <w:szCs w:val="24"/>
        </w:rPr>
        <w:t xml:space="preserve">ederal </w:t>
      </w:r>
      <w:r w:rsidR="00D52C85">
        <w:rPr>
          <w:szCs w:val="24"/>
        </w:rPr>
        <w:t>R</w:t>
      </w:r>
      <w:r w:rsidR="00AD49C9" w:rsidRPr="00D52C85">
        <w:rPr>
          <w:szCs w:val="24"/>
        </w:rPr>
        <w:t xml:space="preserve">egister </w:t>
      </w:r>
      <w:r w:rsidR="00D52C85">
        <w:rPr>
          <w:szCs w:val="24"/>
        </w:rPr>
        <w:t>n</w:t>
      </w:r>
      <w:r w:rsidR="00AD49C9" w:rsidRPr="00D52C85">
        <w:rPr>
          <w:szCs w:val="24"/>
        </w:rPr>
        <w:t xml:space="preserve">otice containing the </w:t>
      </w:r>
      <w:r w:rsidR="00FF4F4C" w:rsidRPr="00D52C85">
        <w:rPr>
          <w:szCs w:val="24"/>
        </w:rPr>
        <w:t xml:space="preserve">original </w:t>
      </w:r>
      <w:r w:rsidR="00AD49C9" w:rsidRPr="00D52C85">
        <w:rPr>
          <w:szCs w:val="24"/>
        </w:rPr>
        <w:t xml:space="preserve">proposed </w:t>
      </w:r>
      <w:r w:rsidR="00221F17" w:rsidRPr="00D52C85">
        <w:rPr>
          <w:szCs w:val="24"/>
        </w:rPr>
        <w:t>data collection instruments</w:t>
      </w:r>
      <w:r w:rsidR="00AD49C9" w:rsidRPr="00D52C85">
        <w:rPr>
          <w:szCs w:val="24"/>
        </w:rPr>
        <w:t xml:space="preserve">. </w:t>
      </w:r>
    </w:p>
    <w:p w14:paraId="6AFD18FF" w14:textId="77777777" w:rsidR="002C789C" w:rsidRDefault="002C789C" w:rsidP="007D6B0E">
      <w:pPr>
        <w:rPr>
          <w:szCs w:val="24"/>
        </w:rPr>
      </w:pPr>
    </w:p>
    <w:p w14:paraId="60EEFF09" w14:textId="66F7E4A5" w:rsidR="002C789C" w:rsidRDefault="00D52C85" w:rsidP="007D6B0E">
      <w:pPr>
        <w:rPr>
          <w:szCs w:val="24"/>
        </w:rPr>
      </w:pPr>
      <w:r>
        <w:rPr>
          <w:szCs w:val="24"/>
        </w:rPr>
        <w:t>Additionally</w:t>
      </w:r>
      <w:r w:rsidRPr="00D52C85">
        <w:rPr>
          <w:szCs w:val="24"/>
        </w:rPr>
        <w:t xml:space="preserve">, </w:t>
      </w:r>
      <w:r w:rsidR="00C7183D">
        <w:rPr>
          <w:szCs w:val="24"/>
        </w:rPr>
        <w:t xml:space="preserve">we </w:t>
      </w:r>
      <w:r w:rsidRPr="00D52C85">
        <w:rPr>
          <w:szCs w:val="24"/>
        </w:rPr>
        <w:t>conducted p</w:t>
      </w:r>
      <w:r w:rsidR="00C7183D">
        <w:rPr>
          <w:szCs w:val="24"/>
        </w:rPr>
        <w:t>ilot testing</w:t>
      </w:r>
      <w:r w:rsidRPr="00D52C85">
        <w:rPr>
          <w:szCs w:val="24"/>
        </w:rPr>
        <w:t xml:space="preserve"> of </w:t>
      </w:r>
      <w:r w:rsidR="001D6447">
        <w:rPr>
          <w:szCs w:val="24"/>
        </w:rPr>
        <w:t>all</w:t>
      </w:r>
      <w:r w:rsidR="00C7183D">
        <w:rPr>
          <w:szCs w:val="24"/>
        </w:rPr>
        <w:t xml:space="preserve"> data collection</w:t>
      </w:r>
      <w:r w:rsidRPr="00D52C85">
        <w:rPr>
          <w:szCs w:val="24"/>
        </w:rPr>
        <w:t xml:space="preserve"> instruments with </w:t>
      </w:r>
      <w:r w:rsidR="00C7183D">
        <w:rPr>
          <w:szCs w:val="24"/>
        </w:rPr>
        <w:t xml:space="preserve">a total of </w:t>
      </w:r>
      <w:r w:rsidR="002C789C">
        <w:rPr>
          <w:szCs w:val="24"/>
        </w:rPr>
        <w:t xml:space="preserve">16 </w:t>
      </w:r>
      <w:r w:rsidRPr="00D52C85">
        <w:rPr>
          <w:szCs w:val="24"/>
        </w:rPr>
        <w:t>individuals</w:t>
      </w:r>
      <w:r w:rsidR="00C7183D">
        <w:rPr>
          <w:szCs w:val="24"/>
        </w:rPr>
        <w:t xml:space="preserve"> from across three states.</w:t>
      </w:r>
      <w:r w:rsidR="00C60066" w:rsidRPr="00C60066">
        <w:rPr>
          <w:szCs w:val="24"/>
        </w:rPr>
        <w:t xml:space="preserve"> </w:t>
      </w:r>
      <w:r w:rsidR="00C60066">
        <w:rPr>
          <w:szCs w:val="24"/>
        </w:rPr>
        <w:t>The purpose of the p</w:t>
      </w:r>
      <w:r w:rsidR="00C60066" w:rsidRPr="00C60066">
        <w:rPr>
          <w:szCs w:val="24"/>
        </w:rPr>
        <w:t xml:space="preserve">ilot test </w:t>
      </w:r>
      <w:r w:rsidR="00C60066">
        <w:rPr>
          <w:szCs w:val="24"/>
        </w:rPr>
        <w:t>was to</w:t>
      </w:r>
      <w:r w:rsidR="00C60066" w:rsidRPr="00C60066">
        <w:rPr>
          <w:szCs w:val="24"/>
        </w:rPr>
        <w:t xml:space="preserve"> collect feedback about the clarity of the items and instructions, appropriateness of the administration procedures, and accuracy of the burden estimates</w:t>
      </w:r>
      <w:r w:rsidR="00C60066">
        <w:rPr>
          <w:szCs w:val="24"/>
        </w:rPr>
        <w:t xml:space="preserve"> before ful</w:t>
      </w:r>
      <w:r w:rsidR="00E83E8E">
        <w:rPr>
          <w:szCs w:val="24"/>
        </w:rPr>
        <w:t>l</w:t>
      </w:r>
      <w:r w:rsidR="00C60066">
        <w:rPr>
          <w:szCs w:val="24"/>
        </w:rPr>
        <w:t xml:space="preserve"> implement</w:t>
      </w:r>
      <w:r w:rsidR="00E83E8E">
        <w:rPr>
          <w:szCs w:val="24"/>
        </w:rPr>
        <w:t>ation of</w:t>
      </w:r>
      <w:r w:rsidR="00C60066">
        <w:rPr>
          <w:szCs w:val="24"/>
        </w:rPr>
        <w:t xml:space="preserve"> the tools</w:t>
      </w:r>
      <w:r w:rsidR="00C60066" w:rsidRPr="00C60066">
        <w:rPr>
          <w:szCs w:val="24"/>
        </w:rPr>
        <w:t xml:space="preserve">. </w:t>
      </w:r>
      <w:r w:rsidR="00E41D9D">
        <w:rPr>
          <w:szCs w:val="24"/>
        </w:rPr>
        <w:t xml:space="preserve">Pilot testing </w:t>
      </w:r>
      <w:r w:rsidR="00C7183D">
        <w:rPr>
          <w:szCs w:val="24"/>
        </w:rPr>
        <w:t xml:space="preserve">included </w:t>
      </w:r>
      <w:r w:rsidR="002C789C">
        <w:rPr>
          <w:szCs w:val="24"/>
        </w:rPr>
        <w:t>three</w:t>
      </w:r>
      <w:r w:rsidR="00C7183D">
        <w:rPr>
          <w:szCs w:val="24"/>
        </w:rPr>
        <w:t xml:space="preserve"> state or county APS leaders, </w:t>
      </w:r>
      <w:r w:rsidR="002C789C">
        <w:rPr>
          <w:szCs w:val="24"/>
        </w:rPr>
        <w:t>eight</w:t>
      </w:r>
      <w:r w:rsidR="00C7183D">
        <w:rPr>
          <w:szCs w:val="24"/>
        </w:rPr>
        <w:t xml:space="preserve"> APS caseworkers, and </w:t>
      </w:r>
      <w:r w:rsidR="002C789C">
        <w:rPr>
          <w:szCs w:val="24"/>
        </w:rPr>
        <w:t>five</w:t>
      </w:r>
      <w:r w:rsidR="00C7183D">
        <w:rPr>
          <w:szCs w:val="24"/>
        </w:rPr>
        <w:t xml:space="preserve"> APS clients.</w:t>
      </w:r>
      <w:r w:rsidR="00E41D9D">
        <w:rPr>
          <w:szCs w:val="24"/>
        </w:rPr>
        <w:t xml:space="preserve"> We limited the number of pilot test respondents and varied the specific questions asked of each respondent type in order to avoid OMB rules that would require approval of the pilot testing </w:t>
      </w:r>
      <w:r w:rsidR="002D275E">
        <w:rPr>
          <w:szCs w:val="24"/>
        </w:rPr>
        <w:t>under</w:t>
      </w:r>
      <w:r w:rsidR="00E41D9D">
        <w:rPr>
          <w:szCs w:val="24"/>
        </w:rPr>
        <w:t xml:space="preserve"> a separate information collection request. APS </w:t>
      </w:r>
      <w:r w:rsidR="002D275E">
        <w:rPr>
          <w:szCs w:val="24"/>
        </w:rPr>
        <w:t xml:space="preserve">state </w:t>
      </w:r>
      <w:r w:rsidR="00E41D9D">
        <w:rPr>
          <w:szCs w:val="24"/>
        </w:rPr>
        <w:t>leaders served as the point of contact for coordinating pilot test</w:t>
      </w:r>
      <w:r w:rsidR="002D275E">
        <w:rPr>
          <w:szCs w:val="24"/>
        </w:rPr>
        <w:t>ing</w:t>
      </w:r>
      <w:r w:rsidR="00E41D9D">
        <w:rPr>
          <w:szCs w:val="24"/>
        </w:rPr>
        <w:t xml:space="preserve"> </w:t>
      </w:r>
      <w:r w:rsidR="002D275E">
        <w:rPr>
          <w:szCs w:val="24"/>
        </w:rPr>
        <w:t>in their state</w:t>
      </w:r>
      <w:r w:rsidR="00E41D9D">
        <w:rPr>
          <w:szCs w:val="24"/>
        </w:rPr>
        <w:t>,</w:t>
      </w:r>
      <w:r w:rsidR="002D275E">
        <w:rPr>
          <w:szCs w:val="24"/>
        </w:rPr>
        <w:t xml:space="preserve"> including recruiting respondents to participate,</w:t>
      </w:r>
      <w:r w:rsidR="00E41D9D">
        <w:rPr>
          <w:szCs w:val="24"/>
        </w:rPr>
        <w:t xml:space="preserve"> </w:t>
      </w:r>
      <w:r w:rsidR="002D275E">
        <w:rPr>
          <w:szCs w:val="24"/>
        </w:rPr>
        <w:t>collecting and de-identifying</w:t>
      </w:r>
      <w:r w:rsidR="00E41D9D">
        <w:rPr>
          <w:szCs w:val="24"/>
        </w:rPr>
        <w:t xml:space="preserve"> </w:t>
      </w:r>
      <w:r w:rsidR="002D275E">
        <w:rPr>
          <w:szCs w:val="24"/>
        </w:rPr>
        <w:t xml:space="preserve">their </w:t>
      </w:r>
      <w:r w:rsidR="00E41D9D">
        <w:rPr>
          <w:szCs w:val="24"/>
        </w:rPr>
        <w:t>feedbac</w:t>
      </w:r>
      <w:r w:rsidR="002D275E">
        <w:rPr>
          <w:szCs w:val="24"/>
        </w:rPr>
        <w:t>k, then submitting their feedback to the study team. The study team did not</w:t>
      </w:r>
      <w:r w:rsidR="00E83E8E">
        <w:rPr>
          <w:szCs w:val="24"/>
        </w:rPr>
        <w:t xml:space="preserve"> </w:t>
      </w:r>
      <w:r w:rsidR="002D275E">
        <w:rPr>
          <w:szCs w:val="24"/>
        </w:rPr>
        <w:t>interact</w:t>
      </w:r>
      <w:r w:rsidR="00E83E8E">
        <w:rPr>
          <w:szCs w:val="24"/>
        </w:rPr>
        <w:t xml:space="preserve"> in any way</w:t>
      </w:r>
      <w:r w:rsidR="002D275E">
        <w:rPr>
          <w:szCs w:val="24"/>
        </w:rPr>
        <w:t xml:space="preserve"> with APS county leaders, caseworkers, or clients in order to ensure the feedback was entirely anonymous.</w:t>
      </w:r>
      <w:r w:rsidR="002C789C">
        <w:rPr>
          <w:szCs w:val="24"/>
        </w:rPr>
        <w:t xml:space="preserve"> </w:t>
      </w:r>
    </w:p>
    <w:p w14:paraId="5E04902E" w14:textId="77777777" w:rsidR="002C789C" w:rsidRDefault="002C789C" w:rsidP="007D6B0E">
      <w:pPr>
        <w:rPr>
          <w:szCs w:val="24"/>
        </w:rPr>
      </w:pPr>
    </w:p>
    <w:p w14:paraId="4E83A707" w14:textId="54D2D7E9" w:rsidR="00D52C85" w:rsidRDefault="002C789C" w:rsidP="007D6B0E">
      <w:pPr>
        <w:rPr>
          <w:szCs w:val="24"/>
        </w:rPr>
      </w:pPr>
      <w:r>
        <w:rPr>
          <w:szCs w:val="24"/>
        </w:rPr>
        <w:t xml:space="preserve">Lastly, we shared the data collection instruments with </w:t>
      </w:r>
      <w:r>
        <w:t xml:space="preserve">10 experts in the APS field, including federal experts in other agencies, </w:t>
      </w:r>
      <w:r w:rsidRPr="00FF37E5">
        <w:t>researchers</w:t>
      </w:r>
      <w:r>
        <w:t xml:space="preserve">, practitioners, and </w:t>
      </w:r>
      <w:r w:rsidRPr="002A581A">
        <w:t xml:space="preserve">program </w:t>
      </w:r>
      <w:r>
        <w:t>leaders</w:t>
      </w:r>
      <w:r w:rsidRPr="002A581A">
        <w:t xml:space="preserve"> within APS</w:t>
      </w:r>
      <w:r>
        <w:t>. Th</w:t>
      </w:r>
      <w:r w:rsidR="001D6447">
        <w:t>e</w:t>
      </w:r>
      <w:r>
        <w:t xml:space="preserve"> TEP helped shape the study design and provided detailed review and feedback on the</w:t>
      </w:r>
      <w:r w:rsidR="001D6447">
        <w:t xml:space="preserve"> data collection</w:t>
      </w:r>
      <w:r>
        <w:t xml:space="preserve"> instruments.</w:t>
      </w:r>
    </w:p>
    <w:p w14:paraId="71B59A19" w14:textId="77777777" w:rsidR="00D52C85" w:rsidRDefault="00D52C85" w:rsidP="007D6B0E">
      <w:pPr>
        <w:rPr>
          <w:szCs w:val="24"/>
        </w:rPr>
      </w:pPr>
    </w:p>
    <w:p w14:paraId="746BB90B" w14:textId="57FD583E" w:rsidR="00AD49C9" w:rsidRPr="00D52C85" w:rsidRDefault="002C789C" w:rsidP="007D6B0E">
      <w:pPr>
        <w:rPr>
          <w:b/>
          <w:szCs w:val="24"/>
        </w:rPr>
      </w:pPr>
      <w:r>
        <w:rPr>
          <w:szCs w:val="24"/>
        </w:rPr>
        <w:t>Across the three sources of input</w:t>
      </w:r>
      <w:r w:rsidR="00C7183D">
        <w:rPr>
          <w:szCs w:val="24"/>
        </w:rPr>
        <w:t xml:space="preserve">, we received </w:t>
      </w:r>
      <w:r w:rsidR="001D6447">
        <w:rPr>
          <w:szCs w:val="24"/>
        </w:rPr>
        <w:t xml:space="preserve">a total of </w:t>
      </w:r>
      <w:r w:rsidR="00013DAA">
        <w:rPr>
          <w:szCs w:val="24"/>
        </w:rPr>
        <w:t>14</w:t>
      </w:r>
      <w:r w:rsidR="00713D5B">
        <w:rPr>
          <w:szCs w:val="24"/>
        </w:rPr>
        <w:t>7</w:t>
      </w:r>
      <w:r w:rsidR="00C7183D">
        <w:rPr>
          <w:szCs w:val="24"/>
        </w:rPr>
        <w:t xml:space="preserve"> separate comments</w:t>
      </w:r>
      <w:r w:rsidR="001D6447">
        <w:rPr>
          <w:szCs w:val="24"/>
        </w:rPr>
        <w:t>. These comments tended to fall</w:t>
      </w:r>
      <w:r w:rsidR="00C7183D">
        <w:rPr>
          <w:szCs w:val="24"/>
        </w:rPr>
        <w:t xml:space="preserve"> into </w:t>
      </w:r>
      <w:r w:rsidR="001D6447">
        <w:rPr>
          <w:szCs w:val="24"/>
        </w:rPr>
        <w:t>one of three</w:t>
      </w:r>
      <w:r w:rsidR="00C7183D">
        <w:rPr>
          <w:szCs w:val="24"/>
        </w:rPr>
        <w:t xml:space="preserve"> categories:</w:t>
      </w:r>
    </w:p>
    <w:p w14:paraId="63A6C505" w14:textId="03CD288C" w:rsidR="00AD49C9" w:rsidRPr="00D52C85" w:rsidRDefault="00013DAA" w:rsidP="00654F66">
      <w:pPr>
        <w:pStyle w:val="ListParagraph"/>
        <w:numPr>
          <w:ilvl w:val="0"/>
          <w:numId w:val="32"/>
        </w:numPr>
        <w:ind w:left="720"/>
        <w:rPr>
          <w:b/>
          <w:szCs w:val="24"/>
        </w:rPr>
      </w:pPr>
      <w:r>
        <w:rPr>
          <w:szCs w:val="24"/>
        </w:rPr>
        <w:t>7</w:t>
      </w:r>
      <w:r w:rsidR="00713D5B">
        <w:rPr>
          <w:szCs w:val="24"/>
        </w:rPr>
        <w:t>8</w:t>
      </w:r>
      <w:r w:rsidR="00AD49C9" w:rsidRPr="00D52C85">
        <w:rPr>
          <w:szCs w:val="24"/>
        </w:rPr>
        <w:t xml:space="preserve"> separate comments were made about one or more specific </w:t>
      </w:r>
      <w:r w:rsidR="000C70DA">
        <w:rPr>
          <w:szCs w:val="24"/>
        </w:rPr>
        <w:t xml:space="preserve">items </w:t>
      </w:r>
      <w:r>
        <w:rPr>
          <w:szCs w:val="24"/>
        </w:rPr>
        <w:t>in a</w:t>
      </w:r>
      <w:r w:rsidR="000C70DA">
        <w:rPr>
          <w:szCs w:val="24"/>
        </w:rPr>
        <w:t xml:space="preserve"> data collection </w:t>
      </w:r>
      <w:r>
        <w:rPr>
          <w:szCs w:val="24"/>
        </w:rPr>
        <w:t>instrument</w:t>
      </w:r>
      <w:r w:rsidR="00AD49C9" w:rsidRPr="00D52C85">
        <w:rPr>
          <w:szCs w:val="24"/>
        </w:rPr>
        <w:t xml:space="preserve">. </w:t>
      </w:r>
    </w:p>
    <w:p w14:paraId="0FE12B8F" w14:textId="7B457674" w:rsidR="00AD49C9" w:rsidRPr="00D52C85" w:rsidRDefault="00013DAA" w:rsidP="00654F66">
      <w:pPr>
        <w:pStyle w:val="ListParagraph"/>
        <w:numPr>
          <w:ilvl w:val="0"/>
          <w:numId w:val="32"/>
        </w:numPr>
        <w:ind w:left="720"/>
        <w:rPr>
          <w:szCs w:val="24"/>
        </w:rPr>
      </w:pPr>
      <w:r>
        <w:rPr>
          <w:szCs w:val="24"/>
        </w:rPr>
        <w:t>36</w:t>
      </w:r>
      <w:r w:rsidR="00AD49C9" w:rsidRPr="00D52C85">
        <w:rPr>
          <w:szCs w:val="24"/>
        </w:rPr>
        <w:t xml:space="preserve"> separate comments </w:t>
      </w:r>
      <w:r w:rsidR="003F660F">
        <w:rPr>
          <w:szCs w:val="24"/>
        </w:rPr>
        <w:t>were made abou</w:t>
      </w:r>
      <w:r>
        <w:rPr>
          <w:szCs w:val="24"/>
        </w:rPr>
        <w:t>t the study design or procedures for administering the data collection instrument</w:t>
      </w:r>
      <w:r w:rsidR="003908D7">
        <w:rPr>
          <w:szCs w:val="24"/>
        </w:rPr>
        <w:t>.</w:t>
      </w:r>
    </w:p>
    <w:p w14:paraId="26D01091" w14:textId="32DE27C5" w:rsidR="00FF4F4C" w:rsidRPr="00D52C85" w:rsidRDefault="00013DAA" w:rsidP="00654F66">
      <w:pPr>
        <w:pStyle w:val="ListParagraph"/>
        <w:numPr>
          <w:ilvl w:val="0"/>
          <w:numId w:val="32"/>
        </w:numPr>
        <w:ind w:left="720"/>
        <w:rPr>
          <w:szCs w:val="24"/>
        </w:rPr>
      </w:pPr>
      <w:r>
        <w:rPr>
          <w:szCs w:val="24"/>
        </w:rPr>
        <w:t>33</w:t>
      </w:r>
      <w:r w:rsidR="00AD49C9" w:rsidRPr="00D52C85">
        <w:rPr>
          <w:szCs w:val="24"/>
        </w:rPr>
        <w:t xml:space="preserve"> </w:t>
      </w:r>
      <w:r w:rsidR="00E41D9D">
        <w:rPr>
          <w:szCs w:val="24"/>
        </w:rPr>
        <w:t>separate</w:t>
      </w:r>
      <w:r>
        <w:rPr>
          <w:szCs w:val="24"/>
        </w:rPr>
        <w:t xml:space="preserve">, </w:t>
      </w:r>
      <w:bookmarkStart w:id="1" w:name="_Hlk22566839"/>
      <w:r>
        <w:rPr>
          <w:szCs w:val="24"/>
        </w:rPr>
        <w:t>general</w:t>
      </w:r>
      <w:r w:rsidR="00E41D9D">
        <w:rPr>
          <w:szCs w:val="24"/>
        </w:rPr>
        <w:t xml:space="preserve"> </w:t>
      </w:r>
      <w:r w:rsidR="00AD49C9" w:rsidRPr="00D52C85">
        <w:rPr>
          <w:szCs w:val="24"/>
        </w:rPr>
        <w:t xml:space="preserve">comments </w:t>
      </w:r>
      <w:r w:rsidR="003F660F">
        <w:rPr>
          <w:szCs w:val="24"/>
        </w:rPr>
        <w:t xml:space="preserve">were made </w:t>
      </w:r>
      <w:r>
        <w:rPr>
          <w:szCs w:val="24"/>
        </w:rPr>
        <w:t>in support of the study and/or the data collection instruments</w:t>
      </w:r>
      <w:bookmarkEnd w:id="1"/>
      <w:r w:rsidR="003908D7">
        <w:rPr>
          <w:szCs w:val="24"/>
        </w:rPr>
        <w:t>.</w:t>
      </w:r>
    </w:p>
    <w:p w14:paraId="4C50BF27" w14:textId="1ADB2FE6" w:rsidR="00AD49C9" w:rsidRPr="00D52C85" w:rsidRDefault="00AD49C9" w:rsidP="00634A46">
      <w:pPr>
        <w:rPr>
          <w:b/>
          <w:szCs w:val="24"/>
        </w:rPr>
      </w:pPr>
    </w:p>
    <w:p w14:paraId="3DBE2123" w14:textId="136A9816" w:rsidR="006E49B2" w:rsidRDefault="006E49B2" w:rsidP="00634A46">
      <w:pPr>
        <w:rPr>
          <w:szCs w:val="24"/>
        </w:rPr>
      </w:pPr>
      <w:r w:rsidRPr="006E49B2">
        <w:rPr>
          <w:szCs w:val="24"/>
        </w:rPr>
        <w:t xml:space="preserve">The table below provides </w:t>
      </w:r>
      <w:r w:rsidR="00247FA0">
        <w:rPr>
          <w:szCs w:val="24"/>
        </w:rPr>
        <w:t>a</w:t>
      </w:r>
      <w:r w:rsidRPr="006E49B2">
        <w:rPr>
          <w:szCs w:val="24"/>
        </w:rPr>
        <w:t xml:space="preserve"> cross tabulation of all comments received by comment type and comment source, with cell values expressed as numbers and percentages.</w:t>
      </w:r>
    </w:p>
    <w:p w14:paraId="7B593DD5" w14:textId="29A61D46" w:rsidR="00247FA0" w:rsidRDefault="00247FA0" w:rsidP="00634A46">
      <w:pPr>
        <w:rPr>
          <w:szCs w:val="24"/>
        </w:rPr>
      </w:pPr>
    </w:p>
    <w:tbl>
      <w:tblPr>
        <w:tblStyle w:val="LightGrid"/>
        <w:tblW w:w="0" w:type="auto"/>
        <w:tblLayout w:type="fixed"/>
        <w:tblLook w:val="04A0" w:firstRow="1" w:lastRow="0" w:firstColumn="1" w:lastColumn="0" w:noHBand="0" w:noVBand="1"/>
      </w:tblPr>
      <w:tblGrid>
        <w:gridCol w:w="3090"/>
        <w:gridCol w:w="1555"/>
        <w:gridCol w:w="1555"/>
        <w:gridCol w:w="1846"/>
        <w:gridCol w:w="1294"/>
      </w:tblGrid>
      <w:tr w:rsidR="00247FA0" w:rsidRPr="00247FA0" w14:paraId="2AF7EDA5" w14:textId="77777777" w:rsidTr="00C93E7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0" w:type="dxa"/>
            <w:noWrap/>
            <w:hideMark/>
          </w:tcPr>
          <w:p w14:paraId="3986A203" w14:textId="77777777" w:rsidR="00247FA0" w:rsidRPr="00C93E75" w:rsidRDefault="00247FA0" w:rsidP="00C93E75">
            <w:pPr>
              <w:pStyle w:val="SL-FlLftSgl"/>
              <w:keepNext/>
              <w:keepLines/>
              <w:spacing w:line="240" w:lineRule="auto"/>
              <w:jc w:val="left"/>
              <w:rPr>
                <w:rFonts w:ascii="Times New Roman" w:hAnsi="Times New Roman" w:cs="Times New Roman"/>
                <w:color w:val="000000" w:themeColor="text1"/>
              </w:rPr>
            </w:pPr>
          </w:p>
        </w:tc>
        <w:tc>
          <w:tcPr>
            <w:tcW w:w="1555" w:type="dxa"/>
            <w:noWrap/>
            <w:hideMark/>
          </w:tcPr>
          <w:p w14:paraId="7D022880" w14:textId="77777777" w:rsidR="00247FA0" w:rsidRPr="00C93E75" w:rsidRDefault="00247FA0" w:rsidP="00C93E75">
            <w:pPr>
              <w:pStyle w:val="SL-FlLftSgl"/>
              <w:keepNext/>
              <w:keepLines/>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93E75">
              <w:rPr>
                <w:rFonts w:ascii="Times New Roman" w:hAnsi="Times New Roman" w:cs="Times New Roman"/>
                <w:color w:val="000000" w:themeColor="text1"/>
              </w:rPr>
              <w:t>TEP</w:t>
            </w:r>
          </w:p>
        </w:tc>
        <w:tc>
          <w:tcPr>
            <w:tcW w:w="1555" w:type="dxa"/>
            <w:noWrap/>
            <w:hideMark/>
          </w:tcPr>
          <w:p w14:paraId="56D8A76A" w14:textId="77777777" w:rsidR="00247FA0" w:rsidRPr="00C93E75" w:rsidRDefault="00247FA0" w:rsidP="00C93E75">
            <w:pPr>
              <w:pStyle w:val="SL-FlLftSgl"/>
              <w:keepNext/>
              <w:keepLines/>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93E75">
              <w:rPr>
                <w:rFonts w:ascii="Times New Roman" w:hAnsi="Times New Roman" w:cs="Times New Roman"/>
                <w:color w:val="000000" w:themeColor="text1"/>
              </w:rPr>
              <w:t>Pilot Testing</w:t>
            </w:r>
          </w:p>
        </w:tc>
        <w:tc>
          <w:tcPr>
            <w:tcW w:w="1846" w:type="dxa"/>
            <w:noWrap/>
            <w:hideMark/>
          </w:tcPr>
          <w:p w14:paraId="509B8385" w14:textId="77777777" w:rsidR="00247FA0" w:rsidRPr="00C93E75" w:rsidRDefault="00247FA0" w:rsidP="00C93E75">
            <w:pPr>
              <w:pStyle w:val="SL-FlLftSgl"/>
              <w:keepNext/>
              <w:keepLines/>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93E75">
              <w:rPr>
                <w:rFonts w:ascii="Times New Roman" w:hAnsi="Times New Roman" w:cs="Times New Roman"/>
                <w:color w:val="000000" w:themeColor="text1"/>
              </w:rPr>
              <w:t>Public Comment</w:t>
            </w:r>
          </w:p>
        </w:tc>
        <w:tc>
          <w:tcPr>
            <w:tcW w:w="1294" w:type="dxa"/>
            <w:noWrap/>
            <w:hideMark/>
          </w:tcPr>
          <w:p w14:paraId="79116260" w14:textId="77777777" w:rsidR="00247FA0" w:rsidRPr="00C93E75" w:rsidRDefault="00247FA0" w:rsidP="00C93E75">
            <w:pPr>
              <w:pStyle w:val="SL-FlLftSgl"/>
              <w:keepNext/>
              <w:keepLine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C93E75">
              <w:rPr>
                <w:rFonts w:ascii="Times New Roman" w:hAnsi="Times New Roman" w:cs="Times New Roman"/>
                <w:color w:val="000000" w:themeColor="text1"/>
              </w:rPr>
              <w:t>TOTAL</w:t>
            </w:r>
          </w:p>
        </w:tc>
      </w:tr>
      <w:tr w:rsidR="00247FA0" w:rsidRPr="00247FA0" w14:paraId="04C2A24A" w14:textId="77777777" w:rsidTr="00C93E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0" w:type="dxa"/>
            <w:noWrap/>
            <w:hideMark/>
          </w:tcPr>
          <w:p w14:paraId="046494A8" w14:textId="77777777" w:rsidR="00247FA0" w:rsidRPr="00C93E75" w:rsidRDefault="00247FA0" w:rsidP="00C93E75">
            <w:pPr>
              <w:pStyle w:val="SL-FlLftSgl"/>
              <w:keepNext/>
              <w:keepLines/>
              <w:spacing w:line="240" w:lineRule="auto"/>
              <w:jc w:val="left"/>
              <w:rPr>
                <w:rFonts w:ascii="Times New Roman" w:hAnsi="Times New Roman" w:cs="Times New Roman"/>
                <w:color w:val="000000" w:themeColor="text1"/>
              </w:rPr>
            </w:pPr>
            <w:r w:rsidRPr="00C93E75">
              <w:rPr>
                <w:rFonts w:ascii="Times New Roman" w:hAnsi="Times New Roman" w:cs="Times New Roman"/>
                <w:color w:val="000000" w:themeColor="text1"/>
              </w:rPr>
              <w:t>Instrument Feedback</w:t>
            </w:r>
          </w:p>
        </w:tc>
        <w:tc>
          <w:tcPr>
            <w:tcW w:w="1555" w:type="dxa"/>
            <w:noWrap/>
            <w:hideMark/>
          </w:tcPr>
          <w:p w14:paraId="21A7AFF9"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26 (18%)</w:t>
            </w:r>
          </w:p>
        </w:tc>
        <w:tc>
          <w:tcPr>
            <w:tcW w:w="1555" w:type="dxa"/>
            <w:noWrap/>
            <w:hideMark/>
          </w:tcPr>
          <w:p w14:paraId="3916AD1D"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50 (34%)</w:t>
            </w:r>
          </w:p>
        </w:tc>
        <w:tc>
          <w:tcPr>
            <w:tcW w:w="1846" w:type="dxa"/>
            <w:noWrap/>
            <w:hideMark/>
          </w:tcPr>
          <w:p w14:paraId="35FBFA37"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2 (1%)</w:t>
            </w:r>
          </w:p>
        </w:tc>
        <w:tc>
          <w:tcPr>
            <w:tcW w:w="1294" w:type="dxa"/>
            <w:noWrap/>
            <w:hideMark/>
          </w:tcPr>
          <w:p w14:paraId="1EBAF12A"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78 (53%)</w:t>
            </w:r>
          </w:p>
        </w:tc>
      </w:tr>
      <w:tr w:rsidR="00247FA0" w:rsidRPr="00247FA0" w14:paraId="546D5C18" w14:textId="77777777" w:rsidTr="00C93E7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0" w:type="dxa"/>
            <w:noWrap/>
            <w:hideMark/>
          </w:tcPr>
          <w:p w14:paraId="39D8B60B" w14:textId="77777777" w:rsidR="00247FA0" w:rsidRPr="00C93E75" w:rsidRDefault="00247FA0" w:rsidP="00C93E75">
            <w:pPr>
              <w:pStyle w:val="SL-FlLftSgl"/>
              <w:keepNext/>
              <w:keepLines/>
              <w:spacing w:line="240" w:lineRule="auto"/>
              <w:jc w:val="left"/>
              <w:rPr>
                <w:rFonts w:ascii="Times New Roman" w:hAnsi="Times New Roman" w:cs="Times New Roman"/>
                <w:color w:val="000000" w:themeColor="text1"/>
              </w:rPr>
            </w:pPr>
            <w:r w:rsidRPr="00C93E75">
              <w:rPr>
                <w:rFonts w:ascii="Times New Roman" w:hAnsi="Times New Roman" w:cs="Times New Roman"/>
                <w:color w:val="000000" w:themeColor="text1"/>
              </w:rPr>
              <w:t>Design and Process Feedback</w:t>
            </w:r>
          </w:p>
        </w:tc>
        <w:tc>
          <w:tcPr>
            <w:tcW w:w="1555" w:type="dxa"/>
            <w:noWrap/>
            <w:hideMark/>
          </w:tcPr>
          <w:p w14:paraId="49CC9093"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2 (1%)</w:t>
            </w:r>
          </w:p>
        </w:tc>
        <w:tc>
          <w:tcPr>
            <w:tcW w:w="1555" w:type="dxa"/>
            <w:noWrap/>
            <w:hideMark/>
          </w:tcPr>
          <w:p w14:paraId="47D3234E"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33 (22%)</w:t>
            </w:r>
          </w:p>
        </w:tc>
        <w:tc>
          <w:tcPr>
            <w:tcW w:w="1846" w:type="dxa"/>
            <w:noWrap/>
            <w:hideMark/>
          </w:tcPr>
          <w:p w14:paraId="09FE4141"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1 (1%)</w:t>
            </w:r>
          </w:p>
        </w:tc>
        <w:tc>
          <w:tcPr>
            <w:tcW w:w="1294" w:type="dxa"/>
            <w:noWrap/>
            <w:hideMark/>
          </w:tcPr>
          <w:p w14:paraId="7A1A0CE3"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36 (24%)</w:t>
            </w:r>
          </w:p>
        </w:tc>
      </w:tr>
      <w:tr w:rsidR="00247FA0" w:rsidRPr="00247FA0" w14:paraId="412F21EB" w14:textId="77777777" w:rsidTr="00C93E7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0" w:type="dxa"/>
            <w:noWrap/>
            <w:hideMark/>
          </w:tcPr>
          <w:p w14:paraId="0272F9D6" w14:textId="22270FDD" w:rsidR="00247FA0" w:rsidRPr="00C93E75" w:rsidRDefault="00247FA0" w:rsidP="00C93E75">
            <w:pPr>
              <w:pStyle w:val="SL-FlLftSgl"/>
              <w:keepNext/>
              <w:keepLines/>
              <w:spacing w:line="240" w:lineRule="auto"/>
              <w:jc w:val="left"/>
              <w:rPr>
                <w:rFonts w:ascii="Times New Roman" w:hAnsi="Times New Roman" w:cs="Times New Roman"/>
                <w:color w:val="000000" w:themeColor="text1"/>
              </w:rPr>
            </w:pPr>
            <w:r w:rsidRPr="00C93E75">
              <w:rPr>
                <w:rFonts w:ascii="Times New Roman" w:hAnsi="Times New Roman" w:cs="Times New Roman"/>
                <w:color w:val="000000" w:themeColor="text1"/>
              </w:rPr>
              <w:t>General (Positive</w:t>
            </w:r>
            <w:r>
              <w:rPr>
                <w:rFonts w:ascii="Times New Roman" w:hAnsi="Times New Roman" w:cs="Times New Roman"/>
                <w:color w:val="000000" w:themeColor="text1"/>
              </w:rPr>
              <w:t xml:space="preserve">) </w:t>
            </w:r>
            <w:r w:rsidRPr="00C93E75">
              <w:rPr>
                <w:rFonts w:ascii="Times New Roman" w:hAnsi="Times New Roman" w:cs="Times New Roman"/>
                <w:color w:val="000000" w:themeColor="text1"/>
              </w:rPr>
              <w:t>Comments</w:t>
            </w:r>
          </w:p>
        </w:tc>
        <w:tc>
          <w:tcPr>
            <w:tcW w:w="1555" w:type="dxa"/>
            <w:noWrap/>
            <w:hideMark/>
          </w:tcPr>
          <w:p w14:paraId="0FE7368D"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1 (1%)</w:t>
            </w:r>
          </w:p>
        </w:tc>
        <w:tc>
          <w:tcPr>
            <w:tcW w:w="1555" w:type="dxa"/>
            <w:noWrap/>
            <w:hideMark/>
          </w:tcPr>
          <w:p w14:paraId="34246E5B"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30 (20%)</w:t>
            </w:r>
          </w:p>
        </w:tc>
        <w:tc>
          <w:tcPr>
            <w:tcW w:w="1846" w:type="dxa"/>
            <w:noWrap/>
            <w:hideMark/>
          </w:tcPr>
          <w:p w14:paraId="74AA6D33"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2 (1%)</w:t>
            </w:r>
          </w:p>
        </w:tc>
        <w:tc>
          <w:tcPr>
            <w:tcW w:w="1294" w:type="dxa"/>
            <w:noWrap/>
            <w:hideMark/>
          </w:tcPr>
          <w:p w14:paraId="492C3D0E" w14:textId="77777777" w:rsidR="00247FA0" w:rsidRPr="00C93E75" w:rsidRDefault="00247FA0" w:rsidP="00C93E75">
            <w:pPr>
              <w:pStyle w:val="SL-FlLftSgl"/>
              <w:keepNext/>
              <w:keepLines/>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00C93E75">
              <w:rPr>
                <w:color w:val="000000" w:themeColor="text1"/>
              </w:rPr>
              <w:t>33 (22%)</w:t>
            </w:r>
          </w:p>
        </w:tc>
      </w:tr>
      <w:tr w:rsidR="00247FA0" w:rsidRPr="00247FA0" w14:paraId="24BA5EC0" w14:textId="77777777" w:rsidTr="00C93E75">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90" w:type="dxa"/>
            <w:noWrap/>
            <w:hideMark/>
          </w:tcPr>
          <w:p w14:paraId="48351A6C" w14:textId="77777777" w:rsidR="00247FA0" w:rsidRPr="00C93E75" w:rsidRDefault="00247FA0" w:rsidP="00C93E75">
            <w:pPr>
              <w:pStyle w:val="SL-FlLftSgl"/>
              <w:keepNext/>
              <w:keepLines/>
              <w:spacing w:line="240" w:lineRule="auto"/>
              <w:jc w:val="center"/>
              <w:rPr>
                <w:rFonts w:ascii="Times New Roman" w:hAnsi="Times New Roman" w:cs="Times New Roman"/>
                <w:color w:val="000000" w:themeColor="text1"/>
              </w:rPr>
            </w:pPr>
            <w:r w:rsidRPr="00C93E75">
              <w:rPr>
                <w:rFonts w:ascii="Times New Roman" w:hAnsi="Times New Roman" w:cs="Times New Roman"/>
                <w:color w:val="000000" w:themeColor="text1"/>
              </w:rPr>
              <w:t>TOTAL</w:t>
            </w:r>
          </w:p>
        </w:tc>
        <w:tc>
          <w:tcPr>
            <w:tcW w:w="1555" w:type="dxa"/>
            <w:noWrap/>
            <w:hideMark/>
          </w:tcPr>
          <w:p w14:paraId="38438A36"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29 (20%)</w:t>
            </w:r>
          </w:p>
        </w:tc>
        <w:tc>
          <w:tcPr>
            <w:tcW w:w="1555" w:type="dxa"/>
            <w:noWrap/>
            <w:hideMark/>
          </w:tcPr>
          <w:p w14:paraId="1219FF74"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113 (77%)</w:t>
            </w:r>
          </w:p>
        </w:tc>
        <w:tc>
          <w:tcPr>
            <w:tcW w:w="1846" w:type="dxa"/>
            <w:noWrap/>
            <w:hideMark/>
          </w:tcPr>
          <w:p w14:paraId="0A69C3B6"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5 (3%)</w:t>
            </w:r>
          </w:p>
        </w:tc>
        <w:tc>
          <w:tcPr>
            <w:tcW w:w="1294" w:type="dxa"/>
            <w:noWrap/>
            <w:hideMark/>
          </w:tcPr>
          <w:p w14:paraId="1685C3EF" w14:textId="77777777" w:rsidR="00247FA0" w:rsidRPr="00C93E75" w:rsidRDefault="00247FA0" w:rsidP="00C93E75">
            <w:pPr>
              <w:pStyle w:val="SL-FlLftSgl"/>
              <w:keepNext/>
              <w:keepLines/>
              <w:spacing w:line="240" w:lineRule="auto"/>
              <w:jc w:val="left"/>
              <w:cnfStyle w:val="000000010000" w:firstRow="0" w:lastRow="0" w:firstColumn="0" w:lastColumn="0" w:oddVBand="0" w:evenVBand="0" w:oddHBand="0" w:evenHBand="1" w:firstRowFirstColumn="0" w:firstRowLastColumn="0" w:lastRowFirstColumn="0" w:lastRowLastColumn="0"/>
              <w:rPr>
                <w:color w:val="000000" w:themeColor="text1"/>
              </w:rPr>
            </w:pPr>
            <w:r w:rsidRPr="00C93E75">
              <w:rPr>
                <w:color w:val="000000" w:themeColor="text1"/>
              </w:rPr>
              <w:t>147 (100%)</w:t>
            </w:r>
          </w:p>
        </w:tc>
      </w:tr>
    </w:tbl>
    <w:p w14:paraId="176B3FF3" w14:textId="77777777" w:rsidR="006E49B2" w:rsidRDefault="006E49B2" w:rsidP="00634A46">
      <w:pPr>
        <w:rPr>
          <w:szCs w:val="24"/>
        </w:rPr>
      </w:pPr>
    </w:p>
    <w:p w14:paraId="3EF21351" w14:textId="420A1242" w:rsidR="00AD49C9" w:rsidRDefault="00865F14" w:rsidP="00634A46">
      <w:pPr>
        <w:rPr>
          <w:b/>
          <w:szCs w:val="24"/>
        </w:rPr>
      </w:pPr>
      <w:r>
        <w:rPr>
          <w:szCs w:val="24"/>
        </w:rPr>
        <w:t xml:space="preserve">Below, we provide </w:t>
      </w:r>
      <w:r w:rsidR="001D6447">
        <w:rPr>
          <w:szCs w:val="24"/>
        </w:rPr>
        <w:t xml:space="preserve">a </w:t>
      </w:r>
      <w:r>
        <w:rPr>
          <w:szCs w:val="24"/>
        </w:rPr>
        <w:t>summary</w:t>
      </w:r>
      <w:r w:rsidR="00C7183D">
        <w:rPr>
          <w:szCs w:val="24"/>
        </w:rPr>
        <w:t xml:space="preserve"> </w:t>
      </w:r>
      <w:r w:rsidR="001D6447">
        <w:rPr>
          <w:szCs w:val="24"/>
        </w:rPr>
        <w:t xml:space="preserve">of the comments by </w:t>
      </w:r>
      <w:r>
        <w:rPr>
          <w:szCs w:val="24"/>
        </w:rPr>
        <w:t xml:space="preserve">type and list all changes </w:t>
      </w:r>
      <w:r w:rsidR="001D6447">
        <w:rPr>
          <w:szCs w:val="24"/>
        </w:rPr>
        <w:t xml:space="preserve">that we propose </w:t>
      </w:r>
      <w:r>
        <w:rPr>
          <w:szCs w:val="24"/>
        </w:rPr>
        <w:t xml:space="preserve">to </w:t>
      </w:r>
      <w:r w:rsidR="001D6447">
        <w:rPr>
          <w:szCs w:val="24"/>
        </w:rPr>
        <w:t xml:space="preserve">the </w:t>
      </w:r>
      <w:r>
        <w:rPr>
          <w:szCs w:val="24"/>
        </w:rPr>
        <w:t xml:space="preserve">data collection </w:t>
      </w:r>
      <w:r w:rsidR="001D6447">
        <w:rPr>
          <w:szCs w:val="24"/>
        </w:rPr>
        <w:t>instruments</w:t>
      </w:r>
      <w:r>
        <w:rPr>
          <w:szCs w:val="24"/>
        </w:rPr>
        <w:t xml:space="preserve"> and</w:t>
      </w:r>
      <w:r w:rsidR="001D6447">
        <w:rPr>
          <w:szCs w:val="24"/>
        </w:rPr>
        <w:t xml:space="preserve"> study</w:t>
      </w:r>
      <w:r>
        <w:rPr>
          <w:szCs w:val="24"/>
        </w:rPr>
        <w:t xml:space="preserve"> procedures</w:t>
      </w:r>
      <w:r w:rsidR="00221F17" w:rsidRPr="00D52C85">
        <w:rPr>
          <w:szCs w:val="24"/>
        </w:rPr>
        <w:t xml:space="preserve"> </w:t>
      </w:r>
      <w:r>
        <w:rPr>
          <w:szCs w:val="24"/>
        </w:rPr>
        <w:t>as a result of the comments</w:t>
      </w:r>
      <w:r w:rsidR="00AD49C9" w:rsidRPr="00D52C85">
        <w:rPr>
          <w:szCs w:val="24"/>
        </w:rPr>
        <w:t>:</w:t>
      </w:r>
    </w:p>
    <w:p w14:paraId="358BA5A7" w14:textId="77777777" w:rsidR="00AD49C9" w:rsidRPr="0092785B" w:rsidRDefault="00AD49C9" w:rsidP="00634A46">
      <w:pPr>
        <w:rPr>
          <w:rFonts w:eastAsia="Calibri"/>
        </w:rPr>
      </w:pPr>
    </w:p>
    <w:p w14:paraId="1261349F" w14:textId="151EF949" w:rsidR="002B10FF" w:rsidRDefault="008B4023" w:rsidP="00447029">
      <w:pPr>
        <w:pStyle w:val="ListParagraph"/>
        <w:numPr>
          <w:ilvl w:val="0"/>
          <w:numId w:val="35"/>
        </w:numPr>
        <w:spacing w:after="160" w:line="259" w:lineRule="auto"/>
        <w:rPr>
          <w:rFonts w:eastAsia="Calibri"/>
          <w:szCs w:val="22"/>
        </w:rPr>
      </w:pPr>
      <w:r>
        <w:rPr>
          <w:rFonts w:eastAsia="Calibri"/>
          <w:szCs w:val="22"/>
          <w:u w:val="single"/>
        </w:rPr>
        <w:t>Summary response to comments about changes to specific item</w:t>
      </w:r>
      <w:r w:rsidR="00CC3E88">
        <w:rPr>
          <w:rFonts w:eastAsia="Calibri"/>
          <w:szCs w:val="22"/>
          <w:u w:val="single"/>
        </w:rPr>
        <w:t>(</w:t>
      </w:r>
      <w:r>
        <w:rPr>
          <w:rFonts w:eastAsia="Calibri"/>
          <w:szCs w:val="22"/>
          <w:u w:val="single"/>
        </w:rPr>
        <w:t>s</w:t>
      </w:r>
      <w:r w:rsidR="00CC3E88">
        <w:rPr>
          <w:rFonts w:eastAsia="Calibri"/>
          <w:szCs w:val="22"/>
          <w:u w:val="single"/>
        </w:rPr>
        <w:t>)</w:t>
      </w:r>
      <w:r w:rsidR="002B10FF">
        <w:rPr>
          <w:rFonts w:eastAsia="Calibri"/>
          <w:szCs w:val="22"/>
        </w:rPr>
        <w:t>:</w:t>
      </w:r>
      <w:r w:rsidR="00865F14">
        <w:rPr>
          <w:rFonts w:eastAsia="Calibri"/>
          <w:szCs w:val="22"/>
        </w:rPr>
        <w:t xml:space="preserve"> </w:t>
      </w:r>
      <w:r w:rsidR="00CC3E88">
        <w:rPr>
          <w:rFonts w:eastAsia="Calibri"/>
          <w:szCs w:val="22"/>
        </w:rPr>
        <w:t>These comments included suggested edits to wording (</w:t>
      </w:r>
      <w:r w:rsidR="00C53D96">
        <w:rPr>
          <w:rFonts w:eastAsia="Calibri"/>
          <w:szCs w:val="22"/>
        </w:rPr>
        <w:t>e.g.,</w:t>
      </w:r>
      <w:r w:rsidR="00CC3E88">
        <w:rPr>
          <w:rFonts w:eastAsia="Calibri"/>
          <w:szCs w:val="22"/>
        </w:rPr>
        <w:t xml:space="preserve"> grammar/spelling errors, plain language, reducing length, combining items), adding details to focus the question (</w:t>
      </w:r>
      <w:r w:rsidR="00C53D96">
        <w:rPr>
          <w:rFonts w:eastAsia="Calibri"/>
          <w:szCs w:val="22"/>
        </w:rPr>
        <w:t>e.g.,</w:t>
      </w:r>
      <w:r w:rsidR="00CC3E88">
        <w:rPr>
          <w:rFonts w:eastAsia="Calibri"/>
          <w:szCs w:val="22"/>
        </w:rPr>
        <w:t xml:space="preserve"> specifying timeframes, adding example</w:t>
      </w:r>
      <w:r w:rsidR="00C53D96">
        <w:rPr>
          <w:rFonts w:eastAsia="Calibri"/>
          <w:szCs w:val="22"/>
        </w:rPr>
        <w:t xml:space="preserve"> answers to probes in case respondents need clarification</w:t>
      </w:r>
      <w:r w:rsidR="00CC3E88">
        <w:rPr>
          <w:rFonts w:eastAsia="Calibri"/>
          <w:szCs w:val="22"/>
        </w:rPr>
        <w:t xml:space="preserve">), and adding </w:t>
      </w:r>
      <w:r w:rsidR="00C53D96">
        <w:rPr>
          <w:rFonts w:eastAsia="Calibri"/>
          <w:szCs w:val="22"/>
        </w:rPr>
        <w:t xml:space="preserve">new items or </w:t>
      </w:r>
      <w:r w:rsidR="00CC3E88">
        <w:rPr>
          <w:rFonts w:eastAsia="Calibri"/>
          <w:szCs w:val="22"/>
        </w:rPr>
        <w:t>probes</w:t>
      </w:r>
      <w:r w:rsidR="00C53D96">
        <w:rPr>
          <w:rFonts w:eastAsia="Calibri"/>
          <w:szCs w:val="22"/>
        </w:rPr>
        <w:t xml:space="preserve"> (e.g., how clients qualify for APS, caseworker safety, legal interventions)</w:t>
      </w:r>
      <w:r w:rsidR="00CC3E88">
        <w:rPr>
          <w:rFonts w:eastAsia="Calibri"/>
          <w:szCs w:val="22"/>
        </w:rPr>
        <w:t>.</w:t>
      </w:r>
    </w:p>
    <w:p w14:paraId="34A66A54" w14:textId="5E98CFAB" w:rsidR="00C53D96" w:rsidRDefault="00AD49C9" w:rsidP="002B10FF">
      <w:pPr>
        <w:pStyle w:val="ListParagraph"/>
        <w:numPr>
          <w:ilvl w:val="1"/>
          <w:numId w:val="35"/>
        </w:numPr>
        <w:spacing w:after="160" w:line="259" w:lineRule="auto"/>
        <w:rPr>
          <w:rFonts w:eastAsia="Calibri"/>
          <w:szCs w:val="22"/>
        </w:rPr>
      </w:pPr>
      <w:r w:rsidRPr="00C53D96">
        <w:rPr>
          <w:rFonts w:eastAsia="Calibri"/>
          <w:szCs w:val="22"/>
        </w:rPr>
        <w:t>Change</w:t>
      </w:r>
      <w:r w:rsidR="00865F14" w:rsidRPr="00C53D96">
        <w:rPr>
          <w:rFonts w:eastAsia="Calibri"/>
          <w:szCs w:val="22"/>
        </w:rPr>
        <w:t>s</w:t>
      </w:r>
      <w:r w:rsidRPr="00C53D96">
        <w:rPr>
          <w:rFonts w:eastAsia="Calibri"/>
          <w:szCs w:val="22"/>
        </w:rPr>
        <w:t xml:space="preserve"> to</w:t>
      </w:r>
      <w:r w:rsidRPr="002B10FF">
        <w:rPr>
          <w:rFonts w:eastAsia="Calibri"/>
          <w:szCs w:val="22"/>
          <w:u w:val="single"/>
        </w:rPr>
        <w:t xml:space="preserve"> </w:t>
      </w:r>
      <w:r w:rsidR="00C53D96">
        <w:rPr>
          <w:rFonts w:eastAsia="Calibri"/>
          <w:szCs w:val="22"/>
          <w:u w:val="single"/>
        </w:rPr>
        <w:t>APS Caseworker Focus Group Guide</w:t>
      </w:r>
    </w:p>
    <w:p w14:paraId="5F14A92F" w14:textId="62F289AA" w:rsidR="00C53D96" w:rsidRDefault="00C53D96" w:rsidP="00C53D96">
      <w:pPr>
        <w:pStyle w:val="ListParagraph"/>
        <w:numPr>
          <w:ilvl w:val="2"/>
          <w:numId w:val="35"/>
        </w:numPr>
        <w:spacing w:after="160" w:line="259" w:lineRule="auto"/>
        <w:rPr>
          <w:rFonts w:eastAsia="Calibri"/>
          <w:szCs w:val="22"/>
        </w:rPr>
      </w:pPr>
      <w:r w:rsidRPr="00C53D96">
        <w:rPr>
          <w:rFonts w:eastAsia="Calibri"/>
          <w:szCs w:val="22"/>
        </w:rPr>
        <w:t>Introduction and Case Initiation, Item B, Probe 3</w:t>
      </w:r>
      <w:r>
        <w:rPr>
          <w:rFonts w:eastAsia="Calibri"/>
          <w:szCs w:val="22"/>
        </w:rPr>
        <w:t>:</w:t>
      </w:r>
      <w:r w:rsidRPr="00C53D96">
        <w:rPr>
          <w:rFonts w:eastAsia="Calibri"/>
          <w:szCs w:val="22"/>
        </w:rPr>
        <w:t xml:space="preserve"> Revise</w:t>
      </w:r>
      <w:r>
        <w:rPr>
          <w:rFonts w:eastAsia="Calibri"/>
          <w:szCs w:val="22"/>
        </w:rPr>
        <w:t xml:space="preserve"> to read: “How do you build relationships with clients?”</w:t>
      </w:r>
    </w:p>
    <w:p w14:paraId="0D982D81" w14:textId="31924015" w:rsidR="006957C4" w:rsidRPr="006957C4" w:rsidRDefault="006957C4" w:rsidP="006957C4">
      <w:pPr>
        <w:pStyle w:val="ListParagraph"/>
        <w:numPr>
          <w:ilvl w:val="1"/>
          <w:numId w:val="35"/>
        </w:numPr>
        <w:spacing w:after="160" w:line="259" w:lineRule="auto"/>
        <w:rPr>
          <w:rFonts w:eastAsia="Calibri"/>
          <w:szCs w:val="22"/>
        </w:rPr>
      </w:pPr>
      <w:r>
        <w:rPr>
          <w:rFonts w:eastAsia="Calibri"/>
          <w:szCs w:val="22"/>
        </w:rPr>
        <w:t xml:space="preserve">Changes to </w:t>
      </w:r>
      <w:r w:rsidRPr="006957C4">
        <w:rPr>
          <w:rFonts w:eastAsia="Calibri"/>
          <w:szCs w:val="22"/>
          <w:u w:val="single"/>
        </w:rPr>
        <w:t>APS Client Interview Guide</w:t>
      </w:r>
    </w:p>
    <w:p w14:paraId="52B12AB6" w14:textId="3D234C49" w:rsidR="006957C4" w:rsidRDefault="006957C4" w:rsidP="006957C4">
      <w:pPr>
        <w:pStyle w:val="ListParagraph"/>
        <w:numPr>
          <w:ilvl w:val="2"/>
          <w:numId w:val="35"/>
        </w:numPr>
        <w:spacing w:after="160" w:line="259" w:lineRule="auto"/>
        <w:rPr>
          <w:rFonts w:eastAsia="Calibri"/>
          <w:szCs w:val="22"/>
        </w:rPr>
      </w:pPr>
      <w:r>
        <w:rPr>
          <w:rFonts w:eastAsia="Calibri"/>
          <w:szCs w:val="22"/>
        </w:rPr>
        <w:t xml:space="preserve">Introduction and Case Initiation, Item C: </w:t>
      </w:r>
      <w:r w:rsidRPr="006957C4">
        <w:rPr>
          <w:rFonts w:eastAsia="Calibri"/>
          <w:szCs w:val="22"/>
        </w:rPr>
        <w:t>Add the following text to the "Instructions to Interviewers": "If the client reports multiple instances of using APS services, allow the client to consider/compare all of their experiences in their responses to questions."</w:t>
      </w:r>
      <w:r>
        <w:rPr>
          <w:rFonts w:eastAsia="Calibri"/>
          <w:szCs w:val="22"/>
        </w:rPr>
        <w:t xml:space="preserve"> Also, m</w:t>
      </w:r>
      <w:r w:rsidRPr="006957C4">
        <w:rPr>
          <w:rFonts w:eastAsia="Calibri"/>
          <w:szCs w:val="22"/>
        </w:rPr>
        <w:t>ove the current Item F to occur after current Item B. Move current Item C to become Probe 2 under current Item F.</w:t>
      </w:r>
    </w:p>
    <w:p w14:paraId="0E326A2F" w14:textId="226CB2B8" w:rsidR="006957C4" w:rsidRDefault="006957C4" w:rsidP="006957C4">
      <w:pPr>
        <w:pStyle w:val="ListParagraph"/>
        <w:numPr>
          <w:ilvl w:val="2"/>
          <w:numId w:val="35"/>
        </w:numPr>
        <w:spacing w:after="160" w:line="259" w:lineRule="auto"/>
        <w:rPr>
          <w:rFonts w:eastAsia="Calibri"/>
          <w:szCs w:val="22"/>
        </w:rPr>
      </w:pPr>
      <w:r>
        <w:rPr>
          <w:rFonts w:eastAsia="Calibri"/>
          <w:szCs w:val="22"/>
        </w:rPr>
        <w:t>Self-Determination, Item D, Probe 1: Add</w:t>
      </w:r>
      <w:r w:rsidRPr="006957C4">
        <w:rPr>
          <w:rFonts w:eastAsia="Calibri"/>
          <w:szCs w:val="22"/>
        </w:rPr>
        <w:t xml:space="preserve"> the following text to the end of the current probe: "If not, how could have the caseworker done a better job of involving you in planning and decision-making."</w:t>
      </w:r>
    </w:p>
    <w:p w14:paraId="3F10F138" w14:textId="4856D636" w:rsidR="006957C4" w:rsidRDefault="006957C4" w:rsidP="006957C4">
      <w:pPr>
        <w:pStyle w:val="ListParagraph"/>
        <w:numPr>
          <w:ilvl w:val="2"/>
          <w:numId w:val="35"/>
        </w:numPr>
        <w:spacing w:after="160" w:line="259" w:lineRule="auto"/>
        <w:rPr>
          <w:rFonts w:eastAsia="Calibri"/>
          <w:szCs w:val="22"/>
        </w:rPr>
      </w:pPr>
      <w:r>
        <w:rPr>
          <w:rFonts w:eastAsia="Calibri"/>
          <w:szCs w:val="22"/>
        </w:rPr>
        <w:t xml:space="preserve">Satisfaction, Item C: </w:t>
      </w:r>
      <w:r w:rsidRPr="006957C4">
        <w:rPr>
          <w:rFonts w:eastAsia="Calibri"/>
          <w:szCs w:val="22"/>
        </w:rPr>
        <w:t>Revise to read: "Are you satisfied with the services that [</w:t>
      </w:r>
      <w:r w:rsidRPr="006957C4">
        <w:rPr>
          <w:rFonts w:eastAsia="Calibri"/>
          <w:i/>
          <w:szCs w:val="22"/>
        </w:rPr>
        <w:t>name of APS program</w:t>
      </w:r>
      <w:r w:rsidRPr="006957C4">
        <w:rPr>
          <w:rFonts w:eastAsia="Calibri"/>
          <w:szCs w:val="22"/>
        </w:rPr>
        <w:t>] referred you to?"</w:t>
      </w:r>
    </w:p>
    <w:p w14:paraId="4664A5DE" w14:textId="161ED9F8" w:rsidR="006957C4" w:rsidRDefault="006957C4" w:rsidP="006957C4">
      <w:pPr>
        <w:pStyle w:val="ListParagraph"/>
        <w:numPr>
          <w:ilvl w:val="2"/>
          <w:numId w:val="35"/>
        </w:numPr>
        <w:spacing w:after="160" w:line="259" w:lineRule="auto"/>
        <w:rPr>
          <w:rFonts w:eastAsia="Calibri"/>
          <w:szCs w:val="22"/>
        </w:rPr>
      </w:pPr>
      <w:r>
        <w:rPr>
          <w:rFonts w:eastAsia="Calibri"/>
          <w:szCs w:val="22"/>
        </w:rPr>
        <w:t>Self-Determination, Item E</w:t>
      </w:r>
      <w:r w:rsidR="009766C6">
        <w:rPr>
          <w:rFonts w:eastAsia="Calibri"/>
          <w:szCs w:val="22"/>
        </w:rPr>
        <w:t xml:space="preserve">: </w:t>
      </w:r>
      <w:r w:rsidR="009766C6" w:rsidRPr="009766C6">
        <w:rPr>
          <w:rFonts w:eastAsia="Calibri"/>
          <w:szCs w:val="22"/>
        </w:rPr>
        <w:t>Revise the text to read: "If so, which one(s)?"</w:t>
      </w:r>
    </w:p>
    <w:p w14:paraId="3955DA9D" w14:textId="19731C20" w:rsidR="00803588" w:rsidRPr="00803588" w:rsidRDefault="00803588" w:rsidP="006957C4">
      <w:pPr>
        <w:pStyle w:val="ListParagraph"/>
        <w:numPr>
          <w:ilvl w:val="1"/>
          <w:numId w:val="35"/>
        </w:numPr>
        <w:spacing w:after="160" w:line="259" w:lineRule="auto"/>
        <w:rPr>
          <w:rFonts w:eastAsia="Calibri"/>
          <w:szCs w:val="22"/>
        </w:rPr>
      </w:pPr>
      <w:r>
        <w:rPr>
          <w:rFonts w:eastAsia="Calibri"/>
          <w:szCs w:val="22"/>
        </w:rPr>
        <w:t xml:space="preserve">Changes to </w:t>
      </w:r>
      <w:r w:rsidRPr="006957C4">
        <w:rPr>
          <w:rFonts w:eastAsia="Calibri"/>
          <w:szCs w:val="22"/>
          <w:u w:val="single"/>
        </w:rPr>
        <w:t xml:space="preserve">APS </w:t>
      </w:r>
      <w:r>
        <w:rPr>
          <w:rFonts w:eastAsia="Calibri"/>
          <w:szCs w:val="22"/>
          <w:u w:val="single"/>
        </w:rPr>
        <w:t>Leader</w:t>
      </w:r>
      <w:r w:rsidRPr="006957C4">
        <w:rPr>
          <w:rFonts w:eastAsia="Calibri"/>
          <w:szCs w:val="22"/>
          <w:u w:val="single"/>
        </w:rPr>
        <w:t xml:space="preserve"> Interview Guide</w:t>
      </w:r>
    </w:p>
    <w:p w14:paraId="700AB450" w14:textId="6E955490" w:rsidR="00803588" w:rsidRDefault="00803588" w:rsidP="00803588">
      <w:pPr>
        <w:pStyle w:val="ListParagraph"/>
        <w:numPr>
          <w:ilvl w:val="2"/>
          <w:numId w:val="35"/>
        </w:numPr>
        <w:spacing w:after="160" w:line="259" w:lineRule="auto"/>
        <w:rPr>
          <w:rFonts w:eastAsia="Calibri"/>
          <w:szCs w:val="22"/>
        </w:rPr>
      </w:pPr>
      <w:r w:rsidRPr="00803588">
        <w:rPr>
          <w:rFonts w:eastAsia="Calibri"/>
          <w:szCs w:val="22"/>
        </w:rPr>
        <w:t>Information Sheet: Remove the following sentence: "Participants will be advised not to share anything they heard from other participants with other staff in their programs."</w:t>
      </w:r>
    </w:p>
    <w:p w14:paraId="71DA13B7" w14:textId="04913CF4" w:rsidR="00803588" w:rsidRDefault="00803588" w:rsidP="00803588">
      <w:pPr>
        <w:pStyle w:val="ListParagraph"/>
        <w:numPr>
          <w:ilvl w:val="2"/>
          <w:numId w:val="35"/>
        </w:numPr>
        <w:spacing w:after="160" w:line="259" w:lineRule="auto"/>
        <w:rPr>
          <w:rFonts w:eastAsia="Calibri"/>
          <w:szCs w:val="22"/>
        </w:rPr>
      </w:pPr>
      <w:r>
        <w:rPr>
          <w:rFonts w:eastAsia="Calibri"/>
          <w:szCs w:val="22"/>
        </w:rPr>
        <w:t xml:space="preserve">Collaboration/Partnership, Item A: </w:t>
      </w:r>
      <w:r w:rsidRPr="00803588">
        <w:rPr>
          <w:rFonts w:eastAsia="Calibri"/>
          <w:szCs w:val="22"/>
        </w:rPr>
        <w:t>Revise to be: "...(2) memorandum of understanding/memorandum of agreement…".</w:t>
      </w:r>
    </w:p>
    <w:p w14:paraId="52DC1DFA" w14:textId="3F5E41F4" w:rsidR="00803588" w:rsidRDefault="00803588" w:rsidP="00803588">
      <w:pPr>
        <w:pStyle w:val="ListParagraph"/>
        <w:numPr>
          <w:ilvl w:val="2"/>
          <w:numId w:val="35"/>
        </w:numPr>
        <w:spacing w:after="160" w:line="259" w:lineRule="auto"/>
        <w:rPr>
          <w:rFonts w:eastAsia="Calibri"/>
          <w:szCs w:val="22"/>
        </w:rPr>
      </w:pPr>
      <w:r w:rsidRPr="00803588">
        <w:rPr>
          <w:rFonts w:eastAsia="Calibri"/>
          <w:szCs w:val="22"/>
        </w:rPr>
        <w:t xml:space="preserve">Policies, Practices, and Procedures, </w:t>
      </w:r>
      <w:r>
        <w:rPr>
          <w:rFonts w:eastAsia="Calibri"/>
          <w:szCs w:val="22"/>
        </w:rPr>
        <w:t xml:space="preserve">Item </w:t>
      </w:r>
      <w:r w:rsidRPr="00803588">
        <w:rPr>
          <w:rFonts w:eastAsia="Calibri"/>
          <w:szCs w:val="22"/>
        </w:rPr>
        <w:t>A, Probe 2:</w:t>
      </w:r>
      <w:r w:rsidRPr="00803588">
        <w:t xml:space="preserve"> </w:t>
      </w:r>
      <w:r w:rsidRPr="00803588">
        <w:rPr>
          <w:rFonts w:eastAsia="Calibri"/>
          <w:szCs w:val="22"/>
        </w:rPr>
        <w:t>Revise to be: "Have there been any significant changes to [State/County] APS policies, practices, and procedures in recent years."</w:t>
      </w:r>
    </w:p>
    <w:p w14:paraId="1E150DC7" w14:textId="49FFD9B2" w:rsidR="00803588" w:rsidRDefault="00803588" w:rsidP="00803588">
      <w:pPr>
        <w:pStyle w:val="ListParagraph"/>
        <w:numPr>
          <w:ilvl w:val="2"/>
          <w:numId w:val="35"/>
        </w:numPr>
        <w:spacing w:after="160" w:line="259" w:lineRule="auto"/>
        <w:rPr>
          <w:rFonts w:eastAsia="Calibri"/>
          <w:szCs w:val="22"/>
        </w:rPr>
      </w:pPr>
      <w:r>
        <w:rPr>
          <w:rFonts w:eastAsia="Calibri"/>
          <w:szCs w:val="22"/>
        </w:rPr>
        <w:t xml:space="preserve">Self-Determination: </w:t>
      </w:r>
      <w:r w:rsidRPr="00803588">
        <w:rPr>
          <w:rFonts w:eastAsia="Calibri"/>
          <w:szCs w:val="22"/>
        </w:rPr>
        <w:t>Add the following lead-in description: "Now we'd like to talk a little about the role the client plays in planning and making decisions around the help and services they are offered by [</w:t>
      </w:r>
      <w:r w:rsidRPr="00803588">
        <w:rPr>
          <w:rFonts w:eastAsia="Calibri"/>
          <w:i/>
          <w:szCs w:val="22"/>
        </w:rPr>
        <w:t>name of APS program</w:t>
      </w:r>
      <w:r w:rsidRPr="00803588">
        <w:rPr>
          <w:rFonts w:eastAsia="Calibri"/>
          <w:szCs w:val="22"/>
        </w:rPr>
        <w:t>]."</w:t>
      </w:r>
    </w:p>
    <w:p w14:paraId="774F6744" w14:textId="07785B06" w:rsidR="00803588" w:rsidRPr="00803588" w:rsidRDefault="00803588" w:rsidP="00803588">
      <w:pPr>
        <w:pStyle w:val="ListParagraph"/>
        <w:numPr>
          <w:ilvl w:val="1"/>
          <w:numId w:val="35"/>
        </w:numPr>
        <w:spacing w:after="160" w:line="259" w:lineRule="auto"/>
        <w:rPr>
          <w:rFonts w:eastAsia="Calibri"/>
          <w:szCs w:val="22"/>
        </w:rPr>
      </w:pPr>
      <w:r>
        <w:rPr>
          <w:rFonts w:eastAsia="Calibri"/>
          <w:szCs w:val="22"/>
        </w:rPr>
        <w:t xml:space="preserve">Changes to </w:t>
      </w:r>
      <w:r w:rsidRPr="00803588">
        <w:rPr>
          <w:rFonts w:eastAsia="Calibri"/>
          <w:szCs w:val="22"/>
          <w:u w:val="single"/>
        </w:rPr>
        <w:t>Client Data Form</w:t>
      </w:r>
    </w:p>
    <w:p w14:paraId="2F48B22C" w14:textId="694C6FCA" w:rsidR="00803588" w:rsidRDefault="00803588" w:rsidP="00803588">
      <w:pPr>
        <w:pStyle w:val="ListParagraph"/>
        <w:numPr>
          <w:ilvl w:val="2"/>
          <w:numId w:val="35"/>
        </w:numPr>
        <w:spacing w:after="160" w:line="259" w:lineRule="auto"/>
        <w:rPr>
          <w:rFonts w:eastAsia="Calibri"/>
          <w:szCs w:val="22"/>
        </w:rPr>
      </w:pPr>
      <w:r w:rsidRPr="00803588">
        <w:rPr>
          <w:rFonts w:eastAsia="Calibri"/>
          <w:szCs w:val="22"/>
        </w:rPr>
        <w:t>Add new item: "How did the client qualify to receive APS services (check all that apply)?" with check boxes for two response options: 1) On the basis of old age; 2) On the basis of disability/vulnerability/etc.</w:t>
      </w:r>
    </w:p>
    <w:p w14:paraId="36DBB4E2" w14:textId="4374C3F9" w:rsidR="00E410A6" w:rsidRPr="00E410A6" w:rsidRDefault="00713D5B" w:rsidP="00E410A6">
      <w:pPr>
        <w:pStyle w:val="ListParagraph"/>
        <w:numPr>
          <w:ilvl w:val="2"/>
          <w:numId w:val="35"/>
        </w:numPr>
        <w:spacing w:after="160" w:line="259" w:lineRule="auto"/>
        <w:rPr>
          <w:rFonts w:eastAsia="Calibri"/>
          <w:szCs w:val="22"/>
        </w:rPr>
      </w:pPr>
      <w:r>
        <w:rPr>
          <w:rFonts w:eastAsia="Calibri"/>
          <w:szCs w:val="22"/>
        </w:rPr>
        <w:t xml:space="preserve">Level of Client Engagement: </w:t>
      </w:r>
      <w:r w:rsidR="00E410A6" w:rsidRPr="00E410A6">
        <w:rPr>
          <w:rFonts w:eastAsia="Calibri"/>
          <w:szCs w:val="22"/>
        </w:rPr>
        <w:t xml:space="preserve">Revise the item to read: "Level of Client Engagement with APS:" </w:t>
      </w:r>
    </w:p>
    <w:p w14:paraId="403C591F" w14:textId="70FAB642" w:rsidR="00713D5B" w:rsidRDefault="00E410A6" w:rsidP="00E410A6">
      <w:pPr>
        <w:pStyle w:val="ListParagraph"/>
        <w:numPr>
          <w:ilvl w:val="2"/>
          <w:numId w:val="35"/>
        </w:numPr>
        <w:spacing w:after="160" w:line="259" w:lineRule="auto"/>
        <w:rPr>
          <w:rFonts w:eastAsia="Calibri"/>
          <w:szCs w:val="22"/>
        </w:rPr>
      </w:pPr>
      <w:r>
        <w:rPr>
          <w:rFonts w:eastAsia="Calibri"/>
          <w:szCs w:val="22"/>
        </w:rPr>
        <w:t>Level of Client Engagement:</w:t>
      </w:r>
      <w:r w:rsidRPr="00E410A6">
        <w:rPr>
          <w:rFonts w:eastAsia="Calibri"/>
          <w:szCs w:val="22"/>
        </w:rPr>
        <w:t xml:space="preserve"> Create table (similar to the item for type of maltreatment) or other revised formatting to capture level of client engagement with two separate aspects of APS: (a) the investigation, (b) services. No revisions to the response options.</w:t>
      </w:r>
    </w:p>
    <w:p w14:paraId="34698987" w14:textId="709932BC" w:rsidR="00803588" w:rsidRDefault="00803588" w:rsidP="00803588">
      <w:pPr>
        <w:pStyle w:val="ListParagraph"/>
        <w:numPr>
          <w:ilvl w:val="2"/>
          <w:numId w:val="35"/>
        </w:numPr>
        <w:spacing w:after="160" w:line="259" w:lineRule="auto"/>
        <w:rPr>
          <w:rFonts w:eastAsia="Calibri"/>
          <w:szCs w:val="22"/>
        </w:rPr>
      </w:pPr>
      <w:r>
        <w:rPr>
          <w:rFonts w:eastAsia="Calibri"/>
          <w:szCs w:val="22"/>
        </w:rPr>
        <w:t>Number all items.</w:t>
      </w:r>
    </w:p>
    <w:p w14:paraId="50EF8F53" w14:textId="58E52AF4" w:rsidR="00803588" w:rsidRDefault="00803588" w:rsidP="00803588">
      <w:pPr>
        <w:pStyle w:val="ListParagraph"/>
        <w:numPr>
          <w:ilvl w:val="2"/>
          <w:numId w:val="35"/>
        </w:numPr>
        <w:spacing w:after="160" w:line="259" w:lineRule="auto"/>
        <w:rPr>
          <w:rFonts w:eastAsia="Calibri"/>
          <w:szCs w:val="22"/>
        </w:rPr>
      </w:pPr>
      <w:r>
        <w:rPr>
          <w:rFonts w:eastAsia="Calibri"/>
          <w:szCs w:val="22"/>
        </w:rPr>
        <w:t>Maximize the font and spacing, while keeping the items all on a single page.</w:t>
      </w:r>
    </w:p>
    <w:p w14:paraId="6AADB40C" w14:textId="5758A329" w:rsidR="00803588" w:rsidRDefault="00803588" w:rsidP="00803588">
      <w:pPr>
        <w:pStyle w:val="ListParagraph"/>
        <w:numPr>
          <w:ilvl w:val="1"/>
          <w:numId w:val="35"/>
        </w:numPr>
        <w:spacing w:after="160" w:line="259" w:lineRule="auto"/>
        <w:rPr>
          <w:rFonts w:eastAsia="Calibri"/>
          <w:szCs w:val="22"/>
        </w:rPr>
      </w:pPr>
      <w:r>
        <w:rPr>
          <w:rFonts w:eastAsia="Calibri"/>
          <w:szCs w:val="22"/>
        </w:rPr>
        <w:t xml:space="preserve">Changes to </w:t>
      </w:r>
      <w:r w:rsidRPr="00803588">
        <w:rPr>
          <w:rFonts w:eastAsia="Calibri"/>
          <w:szCs w:val="22"/>
          <w:u w:val="single"/>
        </w:rPr>
        <w:t>Client Questionnaire</w:t>
      </w:r>
    </w:p>
    <w:p w14:paraId="7E783B46" w14:textId="761034AF" w:rsidR="00803588" w:rsidRDefault="00835E14" w:rsidP="00803588">
      <w:pPr>
        <w:pStyle w:val="ListParagraph"/>
        <w:numPr>
          <w:ilvl w:val="2"/>
          <w:numId w:val="35"/>
        </w:numPr>
        <w:spacing w:after="160" w:line="259" w:lineRule="auto"/>
        <w:rPr>
          <w:rFonts w:eastAsia="Calibri"/>
          <w:szCs w:val="22"/>
        </w:rPr>
      </w:pPr>
      <w:r>
        <w:rPr>
          <w:rFonts w:eastAsia="Calibri"/>
          <w:szCs w:val="22"/>
        </w:rPr>
        <w:t>Instructions</w:t>
      </w:r>
      <w:r w:rsidR="004C58D6">
        <w:rPr>
          <w:rFonts w:eastAsia="Calibri"/>
          <w:szCs w:val="22"/>
        </w:rPr>
        <w:t>, second paragraph, first sentence: Delete the word “from”.</w:t>
      </w:r>
    </w:p>
    <w:p w14:paraId="1BE7D613" w14:textId="30B5EDD5" w:rsidR="00835E14" w:rsidRDefault="004C58D6" w:rsidP="00803588">
      <w:pPr>
        <w:pStyle w:val="ListParagraph"/>
        <w:numPr>
          <w:ilvl w:val="2"/>
          <w:numId w:val="35"/>
        </w:numPr>
        <w:spacing w:after="160" w:line="259" w:lineRule="auto"/>
        <w:rPr>
          <w:rFonts w:eastAsia="Calibri"/>
          <w:szCs w:val="22"/>
        </w:rPr>
      </w:pPr>
      <w:r>
        <w:rPr>
          <w:rFonts w:eastAsia="Calibri"/>
          <w:szCs w:val="22"/>
        </w:rPr>
        <w:t xml:space="preserve">Item 2: </w:t>
      </w:r>
      <w:r w:rsidRPr="004C58D6">
        <w:rPr>
          <w:rFonts w:eastAsia="Calibri"/>
          <w:szCs w:val="22"/>
        </w:rPr>
        <w:t>Revise the item to read as follows: "When I first met the worker from [name of APS Program], I thought I needed their help."</w:t>
      </w:r>
    </w:p>
    <w:p w14:paraId="49645C31" w14:textId="5A3FF7B8" w:rsidR="004C58D6" w:rsidRDefault="004C58D6" w:rsidP="00803588">
      <w:pPr>
        <w:pStyle w:val="ListParagraph"/>
        <w:numPr>
          <w:ilvl w:val="2"/>
          <w:numId w:val="35"/>
        </w:numPr>
        <w:spacing w:after="160" w:line="259" w:lineRule="auto"/>
        <w:rPr>
          <w:rFonts w:eastAsia="Calibri"/>
          <w:szCs w:val="22"/>
        </w:rPr>
      </w:pPr>
      <w:r>
        <w:rPr>
          <w:rFonts w:eastAsia="Calibri"/>
          <w:szCs w:val="22"/>
        </w:rPr>
        <w:t xml:space="preserve">Item 4: </w:t>
      </w:r>
      <w:r w:rsidRPr="004C58D6">
        <w:rPr>
          <w:rFonts w:eastAsia="Calibri"/>
          <w:szCs w:val="22"/>
        </w:rPr>
        <w:t xml:space="preserve">Revise </w:t>
      </w:r>
      <w:r>
        <w:rPr>
          <w:rFonts w:eastAsia="Calibri"/>
          <w:szCs w:val="22"/>
        </w:rPr>
        <w:t>to read</w:t>
      </w:r>
      <w:r w:rsidRPr="004C58D6">
        <w:rPr>
          <w:rFonts w:eastAsia="Calibri"/>
          <w:szCs w:val="22"/>
        </w:rPr>
        <w:t>: "The worker respected my wishes."</w:t>
      </w:r>
    </w:p>
    <w:p w14:paraId="4E71D7EC" w14:textId="164753BE" w:rsidR="004C58D6" w:rsidRDefault="004C58D6" w:rsidP="00803588">
      <w:pPr>
        <w:pStyle w:val="ListParagraph"/>
        <w:numPr>
          <w:ilvl w:val="2"/>
          <w:numId w:val="35"/>
        </w:numPr>
        <w:spacing w:after="160" w:line="259" w:lineRule="auto"/>
        <w:rPr>
          <w:rFonts w:eastAsia="Calibri"/>
          <w:szCs w:val="22"/>
        </w:rPr>
      </w:pPr>
      <w:r>
        <w:rPr>
          <w:rFonts w:eastAsia="Calibri"/>
          <w:szCs w:val="22"/>
        </w:rPr>
        <w:t xml:space="preserve">Item 9: </w:t>
      </w:r>
      <w:r w:rsidRPr="004C58D6">
        <w:rPr>
          <w:rFonts w:eastAsia="Calibri"/>
          <w:szCs w:val="22"/>
        </w:rPr>
        <w:t>Replace the single line with a large empty box that fits the available space, while keeping the items all on a single page.</w:t>
      </w:r>
    </w:p>
    <w:p w14:paraId="3BDCABF8" w14:textId="7296559C" w:rsidR="00835E14" w:rsidRDefault="00835E14" w:rsidP="00803588">
      <w:pPr>
        <w:pStyle w:val="ListParagraph"/>
        <w:numPr>
          <w:ilvl w:val="2"/>
          <w:numId w:val="35"/>
        </w:numPr>
        <w:spacing w:after="160" w:line="259" w:lineRule="auto"/>
        <w:rPr>
          <w:rFonts w:eastAsia="Calibri"/>
          <w:szCs w:val="22"/>
        </w:rPr>
      </w:pPr>
      <w:r>
        <w:rPr>
          <w:rFonts w:eastAsia="Calibri"/>
          <w:szCs w:val="22"/>
        </w:rPr>
        <w:t>Maximize the font and spacing, while keeping the items all on a single page.</w:t>
      </w:r>
    </w:p>
    <w:p w14:paraId="06EB8D77" w14:textId="7E759A2B" w:rsidR="006957C4" w:rsidRDefault="006957C4" w:rsidP="006957C4">
      <w:pPr>
        <w:pStyle w:val="ListParagraph"/>
        <w:numPr>
          <w:ilvl w:val="1"/>
          <w:numId w:val="35"/>
        </w:numPr>
        <w:spacing w:after="160" w:line="259" w:lineRule="auto"/>
        <w:rPr>
          <w:rFonts w:eastAsia="Calibri"/>
          <w:szCs w:val="22"/>
        </w:rPr>
      </w:pPr>
      <w:r>
        <w:rPr>
          <w:rFonts w:eastAsia="Calibri"/>
          <w:szCs w:val="22"/>
        </w:rPr>
        <w:t xml:space="preserve">Changes to </w:t>
      </w:r>
      <w:r w:rsidRPr="006957C4">
        <w:rPr>
          <w:rFonts w:eastAsia="Calibri"/>
          <w:szCs w:val="22"/>
          <w:u w:val="single"/>
        </w:rPr>
        <w:t xml:space="preserve">all data collection </w:t>
      </w:r>
      <w:r w:rsidR="00E31872">
        <w:rPr>
          <w:rFonts w:eastAsia="Calibri"/>
          <w:szCs w:val="22"/>
          <w:u w:val="single"/>
        </w:rPr>
        <w:t>instruments</w:t>
      </w:r>
    </w:p>
    <w:p w14:paraId="4D402F81" w14:textId="7A797140" w:rsidR="006957C4" w:rsidRPr="006957C4" w:rsidRDefault="00C919ED" w:rsidP="006957C4">
      <w:pPr>
        <w:pStyle w:val="ListParagraph"/>
        <w:numPr>
          <w:ilvl w:val="2"/>
          <w:numId w:val="35"/>
        </w:numPr>
        <w:spacing w:after="160" w:line="259" w:lineRule="auto"/>
        <w:rPr>
          <w:rFonts w:eastAsia="Calibri"/>
          <w:szCs w:val="22"/>
        </w:rPr>
      </w:pPr>
      <w:r w:rsidRPr="00C919ED">
        <w:rPr>
          <w:rFonts w:eastAsia="Calibri"/>
          <w:szCs w:val="22"/>
        </w:rPr>
        <w:t>Revise all instances of "elder maltreatment" in all study tools to be "adult maltreatment" and provide the definition/description given in the APS Guidelines</w:t>
      </w:r>
      <w:r w:rsidR="006957C4" w:rsidRPr="006957C4">
        <w:rPr>
          <w:rFonts w:eastAsia="Calibri"/>
          <w:szCs w:val="22"/>
        </w:rPr>
        <w:t>.</w:t>
      </w:r>
    </w:p>
    <w:p w14:paraId="4D3D4670" w14:textId="1A8D1042" w:rsidR="002B10FF" w:rsidRDefault="00865F14" w:rsidP="002B10FF">
      <w:pPr>
        <w:pStyle w:val="ListParagraph"/>
        <w:numPr>
          <w:ilvl w:val="0"/>
          <w:numId w:val="35"/>
        </w:numPr>
        <w:spacing w:after="160" w:line="259" w:lineRule="auto"/>
        <w:rPr>
          <w:rFonts w:eastAsia="Calibri"/>
          <w:szCs w:val="22"/>
        </w:rPr>
      </w:pPr>
      <w:r>
        <w:rPr>
          <w:rFonts w:eastAsia="Calibri"/>
          <w:szCs w:val="22"/>
          <w:u w:val="single"/>
        </w:rPr>
        <w:t>Summary response to co</w:t>
      </w:r>
      <w:r w:rsidRPr="003908D7">
        <w:rPr>
          <w:rFonts w:eastAsia="Calibri"/>
          <w:szCs w:val="22"/>
          <w:u w:val="single"/>
        </w:rPr>
        <w:t>mments about</w:t>
      </w:r>
      <w:r w:rsidR="003908D7" w:rsidRPr="003908D7">
        <w:rPr>
          <w:rFonts w:eastAsia="Calibri"/>
          <w:szCs w:val="22"/>
          <w:u w:val="single"/>
        </w:rPr>
        <w:t xml:space="preserve"> </w:t>
      </w:r>
      <w:r w:rsidR="003908D7" w:rsidRPr="003908D7">
        <w:rPr>
          <w:szCs w:val="24"/>
          <w:u w:val="single"/>
        </w:rPr>
        <w:t>the study design or procedures</w:t>
      </w:r>
      <w:r w:rsidR="002B10FF">
        <w:rPr>
          <w:rFonts w:eastAsia="Calibri"/>
          <w:szCs w:val="22"/>
        </w:rPr>
        <w:t>:</w:t>
      </w:r>
      <w:r w:rsidR="00447029">
        <w:rPr>
          <w:rFonts w:eastAsia="Calibri"/>
          <w:szCs w:val="22"/>
        </w:rPr>
        <w:t xml:space="preserve"> </w:t>
      </w:r>
      <w:r w:rsidR="003908D7">
        <w:rPr>
          <w:rFonts w:eastAsia="Calibri"/>
          <w:szCs w:val="22"/>
        </w:rPr>
        <w:t xml:space="preserve">These comments included suggested modifications to time estimates for administering data collection instruments (e.g., more time), amount of incentives (e.g., larger amount), </w:t>
      </w:r>
      <w:r w:rsidR="00077A68">
        <w:rPr>
          <w:rFonts w:eastAsia="Calibri"/>
          <w:szCs w:val="22"/>
        </w:rPr>
        <w:t xml:space="preserve">and </w:t>
      </w:r>
      <w:r w:rsidR="003908D7">
        <w:rPr>
          <w:rFonts w:eastAsia="Calibri"/>
          <w:szCs w:val="22"/>
        </w:rPr>
        <w:t>method of administration (e.g., shift from by phone to in-person</w:t>
      </w:r>
      <w:r w:rsidR="00077A68">
        <w:rPr>
          <w:rFonts w:eastAsia="Calibri"/>
          <w:szCs w:val="22"/>
        </w:rPr>
        <w:t>). They also included clarification questions (e.g., client inclusion criteria for participation in the study, determining if the client or proxy should participate, choosing a suitable proxy).</w:t>
      </w:r>
    </w:p>
    <w:p w14:paraId="21D6767A" w14:textId="77777777" w:rsidR="00C53D96" w:rsidRDefault="00C53D96" w:rsidP="00C53D96">
      <w:pPr>
        <w:pStyle w:val="ListParagraph"/>
        <w:numPr>
          <w:ilvl w:val="1"/>
          <w:numId w:val="35"/>
        </w:numPr>
        <w:spacing w:after="160" w:line="259" w:lineRule="auto"/>
        <w:rPr>
          <w:rFonts w:eastAsia="Calibri"/>
          <w:szCs w:val="22"/>
        </w:rPr>
      </w:pPr>
      <w:r w:rsidRPr="00C53D96">
        <w:rPr>
          <w:rFonts w:eastAsia="Calibri"/>
          <w:szCs w:val="22"/>
        </w:rPr>
        <w:t>Changes to</w:t>
      </w:r>
      <w:r w:rsidRPr="002B10FF">
        <w:rPr>
          <w:rFonts w:eastAsia="Calibri"/>
          <w:szCs w:val="22"/>
          <w:u w:val="single"/>
        </w:rPr>
        <w:t xml:space="preserve"> </w:t>
      </w:r>
      <w:r>
        <w:rPr>
          <w:rFonts w:eastAsia="Calibri"/>
          <w:szCs w:val="22"/>
          <w:u w:val="single"/>
        </w:rPr>
        <w:t>APS Caseworker Focus Group Guide</w:t>
      </w:r>
    </w:p>
    <w:p w14:paraId="072AA612" w14:textId="1C2F2D21" w:rsidR="002B10FF" w:rsidRDefault="00C53D96" w:rsidP="00C53D96">
      <w:pPr>
        <w:pStyle w:val="ListParagraph"/>
        <w:numPr>
          <w:ilvl w:val="2"/>
          <w:numId w:val="35"/>
        </w:numPr>
        <w:spacing w:after="160" w:line="259" w:lineRule="auto"/>
        <w:rPr>
          <w:rFonts w:eastAsia="Calibri"/>
          <w:szCs w:val="22"/>
        </w:rPr>
      </w:pPr>
      <w:r>
        <w:rPr>
          <w:rFonts w:eastAsia="Calibri"/>
          <w:szCs w:val="22"/>
        </w:rPr>
        <w:t>Increase the</w:t>
      </w:r>
      <w:r w:rsidR="00803588">
        <w:rPr>
          <w:rFonts w:eastAsia="Calibri"/>
          <w:szCs w:val="22"/>
        </w:rPr>
        <w:t xml:space="preserve"> amount of the</w:t>
      </w:r>
      <w:r>
        <w:rPr>
          <w:rFonts w:eastAsia="Calibri"/>
          <w:szCs w:val="22"/>
        </w:rPr>
        <w:t xml:space="preserve"> incentive from $30 to $40</w:t>
      </w:r>
      <w:r w:rsidR="00803588">
        <w:rPr>
          <w:rFonts w:eastAsia="Calibri"/>
          <w:szCs w:val="22"/>
        </w:rPr>
        <w:t xml:space="preserve"> per caseworker for participating in a focus group</w:t>
      </w:r>
      <w:r>
        <w:rPr>
          <w:rFonts w:eastAsia="Calibri"/>
          <w:szCs w:val="22"/>
        </w:rPr>
        <w:t>.</w:t>
      </w:r>
    </w:p>
    <w:p w14:paraId="6BAFD0C3" w14:textId="31B20126" w:rsidR="002B10FF" w:rsidRPr="00CD5C80" w:rsidRDefault="003F660F" w:rsidP="00CD5C80">
      <w:pPr>
        <w:pStyle w:val="ListParagraph"/>
        <w:numPr>
          <w:ilvl w:val="0"/>
          <w:numId w:val="35"/>
        </w:numPr>
        <w:spacing w:after="160" w:line="259" w:lineRule="auto"/>
        <w:rPr>
          <w:rFonts w:eastAsia="Calibri"/>
          <w:szCs w:val="22"/>
        </w:rPr>
      </w:pPr>
      <w:r>
        <w:rPr>
          <w:rFonts w:eastAsia="Calibri"/>
          <w:szCs w:val="22"/>
          <w:u w:val="single"/>
        </w:rPr>
        <w:t xml:space="preserve">Summary response to </w:t>
      </w:r>
      <w:r w:rsidR="00C53D96" w:rsidRPr="00C53D96">
        <w:rPr>
          <w:rFonts w:eastAsia="Calibri"/>
          <w:szCs w:val="22"/>
          <w:u w:val="single"/>
        </w:rPr>
        <w:t>general</w:t>
      </w:r>
      <w:r w:rsidR="006957C4">
        <w:rPr>
          <w:rFonts w:eastAsia="Calibri"/>
          <w:szCs w:val="22"/>
          <w:u w:val="single"/>
        </w:rPr>
        <w:t>, supportive</w:t>
      </w:r>
      <w:r w:rsidR="00C53D96" w:rsidRPr="00C53D96">
        <w:rPr>
          <w:rFonts w:eastAsia="Calibri"/>
          <w:szCs w:val="22"/>
          <w:u w:val="single"/>
        </w:rPr>
        <w:t xml:space="preserve"> comments</w:t>
      </w:r>
      <w:r w:rsidR="002B10FF">
        <w:rPr>
          <w:rFonts w:eastAsia="Calibri"/>
          <w:szCs w:val="22"/>
        </w:rPr>
        <w:t>:</w:t>
      </w:r>
      <w:r w:rsidR="00EB5E8D">
        <w:rPr>
          <w:rFonts w:eastAsia="Calibri"/>
          <w:szCs w:val="22"/>
        </w:rPr>
        <w:t xml:space="preserve"> </w:t>
      </w:r>
      <w:r w:rsidR="00A753DE">
        <w:rPr>
          <w:rFonts w:eastAsia="Calibri"/>
          <w:szCs w:val="22"/>
        </w:rPr>
        <w:t>These comments provided agreement with the wording of items and procedures for administering the data collection instruments. They also provided support for ACL in conducting the study and cited benefits to the field of APS.</w:t>
      </w:r>
    </w:p>
    <w:p w14:paraId="65D920A3" w14:textId="3BD55599" w:rsidR="002B10FF" w:rsidRPr="00C53D96" w:rsidRDefault="00C53D96" w:rsidP="003F660F">
      <w:pPr>
        <w:pStyle w:val="ListParagraph"/>
        <w:numPr>
          <w:ilvl w:val="1"/>
          <w:numId w:val="35"/>
        </w:numPr>
        <w:spacing w:after="160" w:line="259" w:lineRule="auto"/>
        <w:rPr>
          <w:rFonts w:eastAsia="Calibri"/>
          <w:szCs w:val="22"/>
        </w:rPr>
      </w:pPr>
      <w:r>
        <w:rPr>
          <w:rFonts w:eastAsia="Calibri"/>
          <w:szCs w:val="22"/>
        </w:rPr>
        <w:t>No proposed changes as a result of these comments.</w:t>
      </w:r>
    </w:p>
    <w:p w14:paraId="39DEA8C3" w14:textId="66D4FA01" w:rsidR="0052305B" w:rsidRDefault="00CC3E88" w:rsidP="001D6447">
      <w:pPr>
        <w:spacing w:after="160"/>
        <w:contextualSpacing/>
        <w:rPr>
          <w:szCs w:val="24"/>
        </w:rPr>
      </w:pPr>
      <w:r>
        <w:rPr>
          <w:szCs w:val="24"/>
        </w:rPr>
        <w:t>For comment-level details</w:t>
      </w:r>
      <w:r w:rsidR="001D6447">
        <w:rPr>
          <w:szCs w:val="24"/>
        </w:rPr>
        <w:t>,</w:t>
      </w:r>
      <w:r>
        <w:rPr>
          <w:szCs w:val="24"/>
        </w:rPr>
        <w:t xml:space="preserve"> including our</w:t>
      </w:r>
      <w:r w:rsidR="001D6447">
        <w:rPr>
          <w:szCs w:val="24"/>
        </w:rPr>
        <w:t xml:space="preserve"> responses</w:t>
      </w:r>
      <w:r w:rsidR="00A753DE">
        <w:rPr>
          <w:szCs w:val="24"/>
        </w:rPr>
        <w:t xml:space="preserve"> to comments</w:t>
      </w:r>
      <w:r w:rsidR="001D6447">
        <w:rPr>
          <w:szCs w:val="24"/>
        </w:rPr>
        <w:t xml:space="preserve"> and proposed changes to the data collection instruments, </w:t>
      </w:r>
      <w:r>
        <w:rPr>
          <w:szCs w:val="24"/>
        </w:rPr>
        <w:t>please see</w:t>
      </w:r>
      <w:r w:rsidR="001D6447">
        <w:rPr>
          <w:szCs w:val="24"/>
        </w:rPr>
        <w:t xml:space="preserve"> Appendix A</w:t>
      </w:r>
      <w:r w:rsidR="00A753DE">
        <w:rPr>
          <w:szCs w:val="24"/>
        </w:rPr>
        <w:t xml:space="preserve"> – APS Client Outcomes Study Feedback Tracking Sheet</w:t>
      </w:r>
      <w:r w:rsidR="001D6447">
        <w:rPr>
          <w:szCs w:val="24"/>
        </w:rPr>
        <w:t>.</w:t>
      </w:r>
    </w:p>
    <w:p w14:paraId="00E93BFD" w14:textId="77777777" w:rsidR="001D6447" w:rsidRPr="001D6447" w:rsidRDefault="001D6447" w:rsidP="001D6447">
      <w:pPr>
        <w:contextualSpacing/>
        <w:rPr>
          <w:rFonts w:eastAsia="Calibri"/>
          <w:szCs w:val="22"/>
        </w:rPr>
      </w:pPr>
    </w:p>
    <w:p w14:paraId="2DFD246C" w14:textId="3DB75CC0" w:rsidR="003C4ED0" w:rsidRDefault="009E1F12" w:rsidP="00654F66">
      <w:pPr>
        <w:pStyle w:val="BodyText"/>
        <w:numPr>
          <w:ilvl w:val="0"/>
          <w:numId w:val="9"/>
        </w:numPr>
        <w:spacing w:line="240" w:lineRule="auto"/>
        <w:rPr>
          <w:rFonts w:ascii="Times New Roman" w:hAnsi="Times New Roman"/>
          <w:b/>
          <w:snapToGrid/>
          <w:sz w:val="24"/>
        </w:rPr>
      </w:pPr>
      <w:r w:rsidRPr="00600269">
        <w:rPr>
          <w:rFonts w:ascii="Times New Roman" w:hAnsi="Times New Roman"/>
          <w:b/>
          <w:snapToGrid/>
          <w:sz w:val="24"/>
        </w:rPr>
        <w:t>Explanation of Any Payment or Gift to Respondents</w:t>
      </w:r>
    </w:p>
    <w:p w14:paraId="588F1FA9" w14:textId="77777777" w:rsidR="001D6447" w:rsidRDefault="001D6447" w:rsidP="004E303A"/>
    <w:p w14:paraId="10B6429B" w14:textId="5218ECD3" w:rsidR="00150A2D" w:rsidRDefault="00150A2D" w:rsidP="004E303A">
      <w:r>
        <w:t xml:space="preserve">Incentives will be offered at several levels of participation in the study. </w:t>
      </w:r>
      <w:r w:rsidR="00D44C57">
        <w:t>The c</w:t>
      </w:r>
      <w:r>
        <w:t>ount</w:t>
      </w:r>
      <w:r w:rsidR="00D44C57">
        <w:t xml:space="preserve">y APS program </w:t>
      </w:r>
      <w:r>
        <w:t xml:space="preserve">will be offered a one-time, administrative stipend for their participation. </w:t>
      </w:r>
      <w:r w:rsidR="005E3002">
        <w:t>APS c</w:t>
      </w:r>
      <w:r>
        <w:t xml:space="preserve">lients will be offered a gift card for participating in a client interview. </w:t>
      </w:r>
      <w:r w:rsidR="005E3002">
        <w:t>APS c</w:t>
      </w:r>
      <w:r>
        <w:t>aseworkers will also be offered a gift card for participating in a caseworker focus group. No other incentives will be offered as part of the study.</w:t>
      </w:r>
      <w:r w:rsidR="00CA4223" w:rsidRPr="00CA4223">
        <w:rPr>
          <w:snapToGrid w:val="0"/>
        </w:rPr>
        <w:t xml:space="preserve"> </w:t>
      </w:r>
      <w:r w:rsidR="00CA4223" w:rsidRPr="00CA4223">
        <w:t>Incentives will not be provided where they are prohibited, for example, where caseworker union rules prohibit this kind of compensation.</w:t>
      </w:r>
    </w:p>
    <w:p w14:paraId="1080881A" w14:textId="77777777" w:rsidR="00150A2D" w:rsidRDefault="00150A2D" w:rsidP="004E303A"/>
    <w:p w14:paraId="70F355A2" w14:textId="43249A82" w:rsidR="004E303A" w:rsidRDefault="00D44C57" w:rsidP="004E303A">
      <w:r>
        <w:t>The</w:t>
      </w:r>
      <w:r w:rsidR="00150A2D">
        <w:t xml:space="preserve"> participating</w:t>
      </w:r>
      <w:r>
        <w:t xml:space="preserve"> county</w:t>
      </w:r>
      <w:r w:rsidR="004E303A">
        <w:t xml:space="preserve"> </w:t>
      </w:r>
      <w:r>
        <w:t>APS program</w:t>
      </w:r>
      <w:r w:rsidR="004E303A">
        <w:t xml:space="preserve"> will be offered a</w:t>
      </w:r>
      <w:r w:rsidR="00150A2D">
        <w:t xml:space="preserve"> one-time,</w:t>
      </w:r>
      <w:r w:rsidR="004E303A">
        <w:t xml:space="preserve"> $1,000 administrative stipend for their participation in the study. The stipend is intended as an acknowledgement and thank-you to APS leaders and caseworkers within each participating county for their time and contributions to the study. Each county may use the funds however they see fit. The administrative stipend will be offered to participating counties only. No financial incentives will be offered to states where participating counties are located.</w:t>
      </w:r>
    </w:p>
    <w:p w14:paraId="46736C54" w14:textId="77777777" w:rsidR="004E303A" w:rsidRPr="0095255C" w:rsidRDefault="004E303A" w:rsidP="004E303A"/>
    <w:p w14:paraId="1595322E" w14:textId="6E4845DD" w:rsidR="00D048A1" w:rsidRDefault="00890F05" w:rsidP="005E3002">
      <w:pPr>
        <w:pStyle w:val="BodyText"/>
        <w:spacing w:line="240" w:lineRule="auto"/>
      </w:pPr>
      <w:r w:rsidRPr="00150A2D">
        <w:rPr>
          <w:rFonts w:ascii="Times New Roman" w:hAnsi="Times New Roman"/>
          <w:sz w:val="24"/>
        </w:rPr>
        <w:t xml:space="preserve">Older adults and adults with disabilities </w:t>
      </w:r>
      <w:r w:rsidR="00D77B4D">
        <w:rPr>
          <w:rFonts w:ascii="Times New Roman" w:hAnsi="Times New Roman"/>
          <w:sz w:val="24"/>
        </w:rPr>
        <w:t>can be</w:t>
      </w:r>
      <w:r w:rsidRPr="00150A2D">
        <w:rPr>
          <w:rFonts w:ascii="Times New Roman" w:hAnsi="Times New Roman"/>
          <w:sz w:val="24"/>
        </w:rPr>
        <w:t xml:space="preserve"> difficult to </w:t>
      </w:r>
      <w:r w:rsidR="005E3002">
        <w:rPr>
          <w:rFonts w:ascii="Times New Roman" w:hAnsi="Times New Roman"/>
          <w:sz w:val="24"/>
        </w:rPr>
        <w:t>reach for research purposes. Some</w:t>
      </w:r>
      <w:r w:rsidR="005040F5" w:rsidRPr="00150A2D">
        <w:rPr>
          <w:rFonts w:ascii="Times New Roman" w:hAnsi="Times New Roman"/>
          <w:sz w:val="24"/>
        </w:rPr>
        <w:t xml:space="preserve"> studies have found that</w:t>
      </w:r>
      <w:r w:rsidR="005E3002">
        <w:rPr>
          <w:rFonts w:ascii="Times New Roman" w:hAnsi="Times New Roman"/>
          <w:sz w:val="24"/>
        </w:rPr>
        <w:t xml:space="preserve"> survey</w:t>
      </w:r>
      <w:r w:rsidR="005040F5" w:rsidRPr="00150A2D">
        <w:rPr>
          <w:rFonts w:ascii="Times New Roman" w:hAnsi="Times New Roman"/>
          <w:sz w:val="24"/>
        </w:rPr>
        <w:t xml:space="preserve"> </w:t>
      </w:r>
      <w:r w:rsidRPr="00150A2D">
        <w:rPr>
          <w:rFonts w:ascii="Times New Roman" w:hAnsi="Times New Roman"/>
          <w:sz w:val="24"/>
        </w:rPr>
        <w:t xml:space="preserve">response </w:t>
      </w:r>
      <w:r w:rsidR="005040F5" w:rsidRPr="00150A2D">
        <w:rPr>
          <w:rFonts w:ascii="Times New Roman" w:hAnsi="Times New Roman"/>
          <w:sz w:val="24"/>
        </w:rPr>
        <w:t xml:space="preserve">rates tend to </w:t>
      </w:r>
      <w:r w:rsidRPr="00150A2D">
        <w:rPr>
          <w:rFonts w:ascii="Times New Roman" w:hAnsi="Times New Roman"/>
          <w:sz w:val="24"/>
        </w:rPr>
        <w:t xml:space="preserve">decline </w:t>
      </w:r>
      <w:r w:rsidR="00D77B4D">
        <w:rPr>
          <w:rFonts w:ascii="Times New Roman" w:hAnsi="Times New Roman"/>
          <w:sz w:val="24"/>
        </w:rPr>
        <w:t>as age</w:t>
      </w:r>
      <w:r w:rsidRPr="00150A2D">
        <w:rPr>
          <w:rFonts w:ascii="Times New Roman" w:hAnsi="Times New Roman"/>
          <w:sz w:val="24"/>
        </w:rPr>
        <w:t xml:space="preserve"> increas</w:t>
      </w:r>
      <w:r w:rsidR="00D77B4D">
        <w:rPr>
          <w:rFonts w:ascii="Times New Roman" w:hAnsi="Times New Roman"/>
          <w:sz w:val="24"/>
        </w:rPr>
        <w:t>es</w:t>
      </w:r>
      <w:r w:rsidRPr="00150A2D">
        <w:rPr>
          <w:rFonts w:ascii="Times New Roman" w:hAnsi="Times New Roman"/>
          <w:sz w:val="24"/>
        </w:rPr>
        <w:t xml:space="preserve">. </w:t>
      </w:r>
      <w:r w:rsidR="00D77B4D">
        <w:rPr>
          <w:rFonts w:ascii="Times New Roman" w:hAnsi="Times New Roman"/>
          <w:sz w:val="24"/>
        </w:rPr>
        <w:t>Factors that can contribute to low response rates</w:t>
      </w:r>
      <w:r w:rsidR="00D77B4D" w:rsidRPr="00D77B4D">
        <w:rPr>
          <w:rFonts w:ascii="Times New Roman" w:hAnsi="Times New Roman"/>
          <w:snapToGrid/>
          <w:sz w:val="24"/>
        </w:rPr>
        <w:t xml:space="preserve"> </w:t>
      </w:r>
      <w:r w:rsidR="00D77B4D" w:rsidRPr="00D77B4D">
        <w:rPr>
          <w:rFonts w:ascii="Times New Roman" w:hAnsi="Times New Roman"/>
          <w:sz w:val="24"/>
        </w:rPr>
        <w:t>among these populations</w:t>
      </w:r>
      <w:r w:rsidR="00D77B4D">
        <w:rPr>
          <w:rFonts w:ascii="Times New Roman" w:hAnsi="Times New Roman"/>
          <w:sz w:val="24"/>
        </w:rPr>
        <w:t xml:space="preserve"> include</w:t>
      </w:r>
      <w:r w:rsidRPr="00150A2D">
        <w:rPr>
          <w:rFonts w:ascii="Times New Roman" w:hAnsi="Times New Roman"/>
          <w:sz w:val="24"/>
        </w:rPr>
        <w:t xml:space="preserve">: low-income, </w:t>
      </w:r>
      <w:r w:rsidR="00D77B4D">
        <w:rPr>
          <w:rFonts w:ascii="Times New Roman" w:hAnsi="Times New Roman"/>
          <w:sz w:val="24"/>
        </w:rPr>
        <w:t>limited English proficiency</w:t>
      </w:r>
      <w:r w:rsidRPr="00150A2D">
        <w:rPr>
          <w:rFonts w:ascii="Times New Roman" w:hAnsi="Times New Roman"/>
          <w:sz w:val="24"/>
        </w:rPr>
        <w:t xml:space="preserve"> and/or low levels of literacy, </w:t>
      </w:r>
      <w:r w:rsidR="005040F5" w:rsidRPr="00150A2D">
        <w:rPr>
          <w:rFonts w:ascii="Times New Roman" w:hAnsi="Times New Roman"/>
          <w:sz w:val="24"/>
        </w:rPr>
        <w:t>communication challenges</w:t>
      </w:r>
      <w:r w:rsidR="00D77B4D">
        <w:rPr>
          <w:rFonts w:ascii="Times New Roman" w:hAnsi="Times New Roman"/>
          <w:sz w:val="24"/>
        </w:rPr>
        <w:t xml:space="preserve"> requiring support from a proxy/caregiver</w:t>
      </w:r>
      <w:r w:rsidRPr="00150A2D">
        <w:rPr>
          <w:rFonts w:ascii="Times New Roman" w:hAnsi="Times New Roman"/>
          <w:sz w:val="24"/>
        </w:rPr>
        <w:t xml:space="preserve">. </w:t>
      </w:r>
      <w:r w:rsidR="005E3002">
        <w:rPr>
          <w:rFonts w:ascii="Times New Roman" w:hAnsi="Times New Roman"/>
          <w:sz w:val="24"/>
        </w:rPr>
        <w:t xml:space="preserve">Clients </w:t>
      </w:r>
      <w:r w:rsidR="005E3002" w:rsidRPr="00890F05">
        <w:rPr>
          <w:rFonts w:ascii="Times New Roman" w:hAnsi="Times New Roman"/>
          <w:sz w:val="24"/>
        </w:rPr>
        <w:t>will be incentivized to participate</w:t>
      </w:r>
      <w:r w:rsidR="005E3002">
        <w:rPr>
          <w:rFonts w:ascii="Times New Roman" w:hAnsi="Times New Roman"/>
          <w:sz w:val="24"/>
        </w:rPr>
        <w:t xml:space="preserve"> in a client interview</w:t>
      </w:r>
      <w:r w:rsidR="005E3002" w:rsidRPr="00890F05">
        <w:rPr>
          <w:rFonts w:ascii="Times New Roman" w:hAnsi="Times New Roman"/>
          <w:sz w:val="24"/>
        </w:rPr>
        <w:t xml:space="preserve"> with a $20 gift card (retailer-specific gift card selected in consultation with the local program staff about what would be most desirable).</w:t>
      </w:r>
      <w:r w:rsidR="005E3002">
        <w:rPr>
          <w:rFonts w:ascii="Times New Roman" w:hAnsi="Times New Roman"/>
          <w:sz w:val="24"/>
        </w:rPr>
        <w:t xml:space="preserve"> </w:t>
      </w:r>
      <w:r w:rsidR="00CA4223">
        <w:rPr>
          <w:rFonts w:ascii="Times New Roman" w:hAnsi="Times New Roman"/>
          <w:sz w:val="24"/>
        </w:rPr>
        <w:t>The incentive was</w:t>
      </w:r>
      <w:r w:rsidR="005E3002">
        <w:rPr>
          <w:rFonts w:ascii="Times New Roman" w:hAnsi="Times New Roman"/>
          <w:sz w:val="24"/>
        </w:rPr>
        <w:t xml:space="preserve"> chosen as</w:t>
      </w:r>
      <w:r w:rsidR="00CA4223">
        <w:rPr>
          <w:rFonts w:ascii="Times New Roman" w:hAnsi="Times New Roman"/>
          <w:sz w:val="24"/>
        </w:rPr>
        <w:t xml:space="preserve"> an</w:t>
      </w:r>
      <w:r w:rsidR="005E3002">
        <w:rPr>
          <w:rFonts w:ascii="Times New Roman" w:hAnsi="Times New Roman"/>
          <w:sz w:val="24"/>
        </w:rPr>
        <w:t xml:space="preserve"> appropriate </w:t>
      </w:r>
      <w:r w:rsidR="00CA4223">
        <w:rPr>
          <w:rFonts w:ascii="Times New Roman" w:hAnsi="Times New Roman"/>
          <w:sz w:val="24"/>
        </w:rPr>
        <w:t xml:space="preserve">amount of </w:t>
      </w:r>
      <w:r w:rsidR="005E3002">
        <w:rPr>
          <w:rFonts w:ascii="Times New Roman" w:hAnsi="Times New Roman"/>
          <w:sz w:val="24"/>
        </w:rPr>
        <w:t>compensation for</w:t>
      </w:r>
      <w:r w:rsidR="00CA4223">
        <w:rPr>
          <w:rFonts w:ascii="Times New Roman" w:hAnsi="Times New Roman"/>
          <w:sz w:val="24"/>
        </w:rPr>
        <w:t xml:space="preserve"> the</w:t>
      </w:r>
      <w:r w:rsidR="005E3002">
        <w:rPr>
          <w:rFonts w:ascii="Times New Roman" w:hAnsi="Times New Roman"/>
          <w:sz w:val="24"/>
        </w:rPr>
        <w:t xml:space="preserve"> time required to participate (i.e.,</w:t>
      </w:r>
      <w:r w:rsidR="009D4823">
        <w:rPr>
          <w:rFonts w:ascii="Times New Roman" w:hAnsi="Times New Roman"/>
          <w:sz w:val="24"/>
        </w:rPr>
        <w:t xml:space="preserve"> 45 minutes</w:t>
      </w:r>
      <w:r w:rsidR="005E3002">
        <w:rPr>
          <w:rFonts w:ascii="Times New Roman" w:hAnsi="Times New Roman"/>
          <w:sz w:val="24"/>
        </w:rPr>
        <w:t>)</w:t>
      </w:r>
      <w:r w:rsidR="00CA4223">
        <w:rPr>
          <w:rFonts w:ascii="Times New Roman" w:hAnsi="Times New Roman"/>
          <w:sz w:val="24"/>
        </w:rPr>
        <w:t>, without being so large an amount that the client feels like they must participate for the financial benefit</w:t>
      </w:r>
      <w:r w:rsidR="009D4823">
        <w:rPr>
          <w:rFonts w:ascii="Times New Roman" w:hAnsi="Times New Roman"/>
          <w:sz w:val="24"/>
        </w:rPr>
        <w:t>.</w:t>
      </w:r>
      <w:r w:rsidR="005E3002">
        <w:rPr>
          <w:rFonts w:ascii="Times New Roman" w:hAnsi="Times New Roman"/>
          <w:sz w:val="24"/>
        </w:rPr>
        <w:t xml:space="preserve"> Additionally, clients</w:t>
      </w:r>
      <w:r w:rsidR="00D048A1" w:rsidRPr="005E3002">
        <w:rPr>
          <w:rFonts w:ascii="Times New Roman" w:hAnsi="Times New Roman"/>
          <w:sz w:val="24"/>
        </w:rPr>
        <w:t xml:space="preserve"> m</w:t>
      </w:r>
      <w:r w:rsidRPr="005E3002">
        <w:rPr>
          <w:rFonts w:ascii="Times New Roman" w:hAnsi="Times New Roman"/>
          <w:sz w:val="24"/>
        </w:rPr>
        <w:t xml:space="preserve">ay have concerns about </w:t>
      </w:r>
      <w:r w:rsidR="005E3002">
        <w:rPr>
          <w:rFonts w:ascii="Times New Roman" w:hAnsi="Times New Roman"/>
          <w:sz w:val="24"/>
        </w:rPr>
        <w:t xml:space="preserve">participating in an interview </w:t>
      </w:r>
      <w:r w:rsidRPr="005E3002">
        <w:rPr>
          <w:rFonts w:ascii="Times New Roman" w:hAnsi="Times New Roman"/>
          <w:sz w:val="24"/>
        </w:rPr>
        <w:t xml:space="preserve">about their experiences with APS </w:t>
      </w:r>
      <w:r w:rsidR="005E3002">
        <w:rPr>
          <w:rFonts w:ascii="Times New Roman" w:hAnsi="Times New Roman"/>
          <w:sz w:val="24"/>
        </w:rPr>
        <w:t xml:space="preserve">given the sensitive nature of </w:t>
      </w:r>
      <w:r w:rsidR="00554930">
        <w:rPr>
          <w:rFonts w:ascii="Times New Roman" w:hAnsi="Times New Roman"/>
          <w:sz w:val="24"/>
        </w:rPr>
        <w:t xml:space="preserve">adult </w:t>
      </w:r>
      <w:r w:rsidR="005E3002">
        <w:rPr>
          <w:rFonts w:ascii="Times New Roman" w:hAnsi="Times New Roman"/>
          <w:sz w:val="24"/>
        </w:rPr>
        <w:t>maltreatment</w:t>
      </w:r>
      <w:r w:rsidRPr="005E3002">
        <w:rPr>
          <w:rFonts w:ascii="Times New Roman" w:hAnsi="Times New Roman"/>
          <w:sz w:val="24"/>
        </w:rPr>
        <w:t>.</w:t>
      </w:r>
      <w:r w:rsidR="005E3002">
        <w:rPr>
          <w:rFonts w:ascii="Times New Roman" w:hAnsi="Times New Roman"/>
          <w:sz w:val="24"/>
        </w:rPr>
        <w:t xml:space="preserve"> Although the client interview guide includes questions that </w:t>
      </w:r>
      <w:r w:rsidR="00CA4223">
        <w:rPr>
          <w:rFonts w:ascii="Times New Roman" w:hAnsi="Times New Roman"/>
          <w:sz w:val="24"/>
        </w:rPr>
        <w:t xml:space="preserve">only </w:t>
      </w:r>
      <w:r w:rsidR="005E3002">
        <w:rPr>
          <w:rFonts w:ascii="Times New Roman" w:hAnsi="Times New Roman"/>
          <w:sz w:val="24"/>
        </w:rPr>
        <w:t xml:space="preserve">ask about experiences with APS, and not about the client’s maltreatment, </w:t>
      </w:r>
      <w:r w:rsidR="00420B72">
        <w:rPr>
          <w:rFonts w:ascii="Times New Roman" w:hAnsi="Times New Roman"/>
          <w:sz w:val="24"/>
        </w:rPr>
        <w:t>this</w:t>
      </w:r>
      <w:r w:rsidR="005E3002">
        <w:rPr>
          <w:rFonts w:ascii="Times New Roman" w:hAnsi="Times New Roman"/>
          <w:sz w:val="24"/>
        </w:rPr>
        <w:t xml:space="preserve"> </w:t>
      </w:r>
      <w:r w:rsidRPr="005E3002">
        <w:rPr>
          <w:rFonts w:ascii="Times New Roman" w:hAnsi="Times New Roman"/>
          <w:sz w:val="24"/>
        </w:rPr>
        <w:t>incentive</w:t>
      </w:r>
      <w:r w:rsidR="005E3002">
        <w:rPr>
          <w:rFonts w:ascii="Times New Roman" w:hAnsi="Times New Roman"/>
          <w:sz w:val="24"/>
        </w:rPr>
        <w:t xml:space="preserve"> may </w:t>
      </w:r>
      <w:r w:rsidR="008A304A">
        <w:rPr>
          <w:rFonts w:ascii="Times New Roman" w:hAnsi="Times New Roman"/>
          <w:sz w:val="24"/>
        </w:rPr>
        <w:t>help ease potential concerns</w:t>
      </w:r>
      <w:r w:rsidR="00CA4223">
        <w:rPr>
          <w:rFonts w:ascii="Times New Roman" w:hAnsi="Times New Roman"/>
          <w:sz w:val="24"/>
        </w:rPr>
        <w:t xml:space="preserve"> they client may have</w:t>
      </w:r>
      <w:r w:rsidR="008A304A">
        <w:rPr>
          <w:rFonts w:ascii="Times New Roman" w:hAnsi="Times New Roman"/>
          <w:sz w:val="24"/>
        </w:rPr>
        <w:t>.</w:t>
      </w:r>
      <w:r w:rsidR="005040F5">
        <w:t xml:space="preserve"> </w:t>
      </w:r>
    </w:p>
    <w:p w14:paraId="752F19A1" w14:textId="77777777" w:rsidR="00D048A1" w:rsidRDefault="00D048A1" w:rsidP="00654F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F8A1ED" w14:textId="77777777" w:rsidR="00B52101" w:rsidRDefault="00CA4223" w:rsidP="00654F66">
      <w:pPr>
        <w:rPr>
          <w:snapToGrid w:val="0"/>
        </w:rPr>
      </w:pPr>
      <w:r>
        <w:rPr>
          <w:snapToGrid w:val="0"/>
        </w:rPr>
        <w:t>Similarly, c</w:t>
      </w:r>
      <w:r w:rsidR="00D048A1" w:rsidRPr="00D048A1">
        <w:rPr>
          <w:snapToGrid w:val="0"/>
        </w:rPr>
        <w:t>aseworkers will be incentivized to participate with a $</w:t>
      </w:r>
      <w:r w:rsidR="0057691F">
        <w:rPr>
          <w:snapToGrid w:val="0"/>
        </w:rPr>
        <w:t>4</w:t>
      </w:r>
      <w:r w:rsidR="00D048A1" w:rsidRPr="00D048A1">
        <w:rPr>
          <w:snapToGrid w:val="0"/>
        </w:rPr>
        <w:t>0 gift card (either cash card or a retailer-specific gift card selected in consultation with the local program staff about what would</w:t>
      </w:r>
      <w:r w:rsidR="00D048A1">
        <w:rPr>
          <w:rFonts w:ascii="Calibri" w:hAnsi="Calibri" w:cs="Calibri"/>
          <w:color w:val="000000"/>
          <w:szCs w:val="24"/>
        </w:rPr>
        <w:t xml:space="preserve"> </w:t>
      </w:r>
      <w:r w:rsidR="00D048A1" w:rsidRPr="00890F05">
        <w:rPr>
          <w:snapToGrid w:val="0"/>
        </w:rPr>
        <w:t xml:space="preserve">be most desirable). </w:t>
      </w:r>
      <w:r>
        <w:rPr>
          <w:snapToGrid w:val="0"/>
        </w:rPr>
        <w:t xml:space="preserve">The incentive was chosen as an appropriate amount for the time required to participate (i.e., 90 minutes) and acknowledges that caseworkers should be compensated for sharing their professional opinions, while participating in a professional capacity. </w:t>
      </w:r>
    </w:p>
    <w:p w14:paraId="69B98EB3" w14:textId="0B328A84" w:rsidR="00D048A1" w:rsidRDefault="00D048A1" w:rsidP="00654F66">
      <w:pPr>
        <w:rPr>
          <w:szCs w:val="24"/>
        </w:rPr>
      </w:pPr>
      <w:r w:rsidRPr="00890F05">
        <w:rPr>
          <w:snapToGrid w:val="0"/>
        </w:rPr>
        <w:t>The caseworker incentive is greater than the client incentive since caseworker focus groups are longer than client interviews.</w:t>
      </w:r>
    </w:p>
    <w:p w14:paraId="2AF73BB0" w14:textId="77777777" w:rsidR="00D048A1" w:rsidRDefault="00D048A1" w:rsidP="00D048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216B5C" w14:textId="77777777" w:rsidR="003C4ED0" w:rsidRPr="00FC7674" w:rsidRDefault="009E1F12" w:rsidP="00F631A3">
      <w:pPr>
        <w:pStyle w:val="BodyText"/>
        <w:numPr>
          <w:ilvl w:val="0"/>
          <w:numId w:val="5"/>
        </w:numPr>
        <w:spacing w:line="240" w:lineRule="auto"/>
        <w:ind w:left="720"/>
        <w:rPr>
          <w:rFonts w:ascii="Times New Roman" w:hAnsi="Times New Roman"/>
          <w:b/>
          <w:sz w:val="24"/>
        </w:rPr>
      </w:pPr>
      <w:r w:rsidRPr="00F73FF1">
        <w:rPr>
          <w:rFonts w:ascii="Times New Roman" w:hAnsi="Times New Roman"/>
          <w:b/>
          <w:snapToGrid/>
          <w:sz w:val="24"/>
        </w:rPr>
        <w:t>Assurance of Confidentiality Provided to Respondents</w:t>
      </w:r>
    </w:p>
    <w:p w14:paraId="3E6E11F5" w14:textId="77777777" w:rsidR="00FC7674" w:rsidRPr="001D6447" w:rsidRDefault="00FC7674" w:rsidP="00FC7674">
      <w:pPr>
        <w:pStyle w:val="BodyText"/>
        <w:spacing w:line="240" w:lineRule="auto"/>
        <w:ind w:left="720"/>
        <w:rPr>
          <w:rFonts w:ascii="Times New Roman" w:hAnsi="Times New Roman"/>
          <w:b/>
          <w:sz w:val="24"/>
        </w:rPr>
      </w:pPr>
    </w:p>
    <w:p w14:paraId="2988F829" w14:textId="77777777" w:rsidR="00251B57" w:rsidRDefault="000E6C28" w:rsidP="00251B57">
      <w:pPr>
        <w:pStyle w:val="BodyText"/>
        <w:spacing w:line="240" w:lineRule="auto"/>
        <w:rPr>
          <w:rFonts w:ascii="Times New Roman" w:hAnsi="Times New Roman"/>
          <w:sz w:val="24"/>
        </w:rPr>
      </w:pPr>
      <w:r>
        <w:rPr>
          <w:rFonts w:ascii="Times New Roman" w:hAnsi="Times New Roman"/>
          <w:sz w:val="24"/>
        </w:rPr>
        <w:t>Personally identifiable information (PII) is not being collected as part of the study</w:t>
      </w:r>
      <w:r w:rsidR="00E211CB">
        <w:rPr>
          <w:rFonts w:ascii="Times New Roman" w:hAnsi="Times New Roman"/>
          <w:sz w:val="24"/>
        </w:rPr>
        <w:t xml:space="preserve"> and we</w:t>
      </w:r>
      <w:r w:rsidR="000E1456" w:rsidRPr="000E1456">
        <w:rPr>
          <w:rFonts w:ascii="Times New Roman" w:hAnsi="Times New Roman"/>
          <w:sz w:val="24"/>
        </w:rPr>
        <w:t xml:space="preserve"> make</w:t>
      </w:r>
      <w:r w:rsidR="000E1456">
        <w:rPr>
          <w:rFonts w:ascii="Times New Roman" w:hAnsi="Times New Roman"/>
          <w:sz w:val="24"/>
        </w:rPr>
        <w:t xml:space="preserve"> </w:t>
      </w:r>
      <w:r w:rsidR="000E1456" w:rsidRPr="000E1456">
        <w:rPr>
          <w:rFonts w:ascii="Times New Roman" w:hAnsi="Times New Roman"/>
          <w:sz w:val="24"/>
        </w:rPr>
        <w:t>no pledge about the confidentially of the data</w:t>
      </w:r>
      <w:r w:rsidR="00E211CB">
        <w:rPr>
          <w:rFonts w:ascii="Times New Roman" w:hAnsi="Times New Roman"/>
          <w:sz w:val="24"/>
        </w:rPr>
        <w:t>.</w:t>
      </w:r>
      <w:r w:rsidR="00251B57">
        <w:rPr>
          <w:rFonts w:ascii="Times New Roman" w:hAnsi="Times New Roman"/>
          <w:sz w:val="24"/>
        </w:rPr>
        <w:t xml:space="preserve"> </w:t>
      </w:r>
      <w:r w:rsidR="00E211CB">
        <w:rPr>
          <w:rFonts w:ascii="Times New Roman" w:hAnsi="Times New Roman"/>
          <w:sz w:val="24"/>
        </w:rPr>
        <w:t>However, the data collection instruments</w:t>
      </w:r>
      <w:r>
        <w:rPr>
          <w:rFonts w:ascii="Times New Roman" w:hAnsi="Times New Roman"/>
          <w:sz w:val="24"/>
        </w:rPr>
        <w:t xml:space="preserve"> include</w:t>
      </w:r>
      <w:r w:rsidR="00E211CB">
        <w:rPr>
          <w:rFonts w:ascii="Times New Roman" w:hAnsi="Times New Roman"/>
          <w:sz w:val="24"/>
        </w:rPr>
        <w:t xml:space="preserve"> </w:t>
      </w:r>
      <w:r>
        <w:rPr>
          <w:rFonts w:ascii="Times New Roman" w:hAnsi="Times New Roman"/>
          <w:sz w:val="24"/>
        </w:rPr>
        <w:t>an informed consent process.</w:t>
      </w:r>
      <w:r w:rsidR="009364E6">
        <w:rPr>
          <w:rFonts w:ascii="Times New Roman" w:hAnsi="Times New Roman"/>
          <w:sz w:val="24"/>
        </w:rPr>
        <w:t xml:space="preserve"> </w:t>
      </w:r>
    </w:p>
    <w:p w14:paraId="04803D55" w14:textId="77777777" w:rsidR="00251B57" w:rsidRDefault="00251B57" w:rsidP="00251B57">
      <w:pPr>
        <w:pStyle w:val="BodyText"/>
        <w:spacing w:line="240" w:lineRule="auto"/>
        <w:rPr>
          <w:rFonts w:ascii="Times New Roman" w:hAnsi="Times New Roman"/>
          <w:sz w:val="24"/>
        </w:rPr>
      </w:pPr>
    </w:p>
    <w:p w14:paraId="1E9C7917" w14:textId="196E1C14" w:rsidR="00251B57" w:rsidRDefault="00830B9F" w:rsidP="00251B57">
      <w:pPr>
        <w:pStyle w:val="BodyText"/>
        <w:spacing w:line="240" w:lineRule="auto"/>
        <w:rPr>
          <w:rFonts w:ascii="Times New Roman" w:hAnsi="Times New Roman"/>
          <w:sz w:val="24"/>
        </w:rPr>
      </w:pPr>
      <w:r>
        <w:rPr>
          <w:rFonts w:ascii="Times New Roman" w:hAnsi="Times New Roman"/>
          <w:sz w:val="24"/>
        </w:rPr>
        <w:t xml:space="preserve">Given </w:t>
      </w:r>
      <w:r w:rsidR="00554930">
        <w:rPr>
          <w:rFonts w:ascii="Times New Roman" w:hAnsi="Times New Roman"/>
          <w:sz w:val="24"/>
        </w:rPr>
        <w:t xml:space="preserve">that </w:t>
      </w:r>
      <w:r>
        <w:rPr>
          <w:rFonts w:ascii="Times New Roman" w:hAnsi="Times New Roman"/>
          <w:sz w:val="24"/>
        </w:rPr>
        <w:t xml:space="preserve">the </w:t>
      </w:r>
      <w:r w:rsidR="009364E6">
        <w:rPr>
          <w:rFonts w:ascii="Times New Roman" w:hAnsi="Times New Roman"/>
          <w:sz w:val="24"/>
        </w:rPr>
        <w:t xml:space="preserve">client questionnaire </w:t>
      </w:r>
      <w:r>
        <w:rPr>
          <w:rFonts w:ascii="Times New Roman" w:hAnsi="Times New Roman"/>
          <w:sz w:val="24"/>
        </w:rPr>
        <w:t xml:space="preserve">is brief and completed anonymously, the informed consent process </w:t>
      </w:r>
      <w:r w:rsidR="00E211CB">
        <w:rPr>
          <w:rFonts w:ascii="Times New Roman" w:hAnsi="Times New Roman"/>
          <w:sz w:val="24"/>
        </w:rPr>
        <w:t xml:space="preserve">for this instrument </w:t>
      </w:r>
      <w:r>
        <w:rPr>
          <w:rFonts w:ascii="Times New Roman" w:hAnsi="Times New Roman"/>
          <w:sz w:val="24"/>
        </w:rPr>
        <w:t>is</w:t>
      </w:r>
      <w:r w:rsidR="00E211CB">
        <w:rPr>
          <w:rFonts w:ascii="Times New Roman" w:hAnsi="Times New Roman"/>
          <w:sz w:val="24"/>
        </w:rPr>
        <w:t xml:space="preserve"> </w:t>
      </w:r>
      <w:r>
        <w:rPr>
          <w:rFonts w:ascii="Times New Roman" w:hAnsi="Times New Roman"/>
          <w:sz w:val="24"/>
        </w:rPr>
        <w:t>built into the instructions. These instructions inform the respondent that by submitting the form, they are</w:t>
      </w:r>
      <w:r w:rsidR="00E211CB">
        <w:rPr>
          <w:rFonts w:ascii="Times New Roman" w:hAnsi="Times New Roman"/>
          <w:sz w:val="24"/>
        </w:rPr>
        <w:t xml:space="preserve"> </w:t>
      </w:r>
      <w:r>
        <w:rPr>
          <w:rFonts w:ascii="Times New Roman" w:hAnsi="Times New Roman"/>
          <w:sz w:val="24"/>
        </w:rPr>
        <w:t>giving consent for their answers to become a part of the study.</w:t>
      </w:r>
      <w:r w:rsidR="00251B57">
        <w:rPr>
          <w:rFonts w:ascii="Times New Roman" w:hAnsi="Times New Roman"/>
          <w:sz w:val="24"/>
        </w:rPr>
        <w:t xml:space="preserve"> Again, </w:t>
      </w:r>
      <w:r w:rsidR="00554930">
        <w:rPr>
          <w:rFonts w:ascii="Times New Roman" w:hAnsi="Times New Roman"/>
          <w:sz w:val="24"/>
        </w:rPr>
        <w:t>the information collected from these respondents</w:t>
      </w:r>
      <w:r w:rsidR="00251B57">
        <w:rPr>
          <w:rFonts w:ascii="Times New Roman" w:hAnsi="Times New Roman"/>
          <w:sz w:val="24"/>
        </w:rPr>
        <w:t xml:space="preserve"> does not include PII.</w:t>
      </w:r>
    </w:p>
    <w:p w14:paraId="6FF51938" w14:textId="28D56BFC" w:rsidR="00251B57" w:rsidRDefault="00830B9F" w:rsidP="00251B57">
      <w:pPr>
        <w:pStyle w:val="BodyText"/>
        <w:spacing w:line="240" w:lineRule="auto"/>
        <w:rPr>
          <w:rFonts w:ascii="Times New Roman" w:hAnsi="Times New Roman"/>
          <w:sz w:val="24"/>
        </w:rPr>
      </w:pPr>
      <w:r>
        <w:rPr>
          <w:rFonts w:ascii="Times New Roman" w:hAnsi="Times New Roman"/>
          <w:sz w:val="24"/>
        </w:rPr>
        <w:t xml:space="preserve"> </w:t>
      </w:r>
    </w:p>
    <w:p w14:paraId="079ADB73" w14:textId="3037EFFA" w:rsidR="000E6C28" w:rsidRDefault="00830B9F" w:rsidP="00251B57">
      <w:pPr>
        <w:pStyle w:val="BodyText"/>
        <w:spacing w:line="240" w:lineRule="auto"/>
        <w:rPr>
          <w:rFonts w:ascii="Times New Roman" w:hAnsi="Times New Roman"/>
          <w:sz w:val="24"/>
        </w:rPr>
      </w:pPr>
      <w:r>
        <w:rPr>
          <w:rFonts w:ascii="Times New Roman" w:hAnsi="Times New Roman"/>
          <w:sz w:val="24"/>
        </w:rPr>
        <w:t xml:space="preserve">Prior to beginning an interview or focus group, the </w:t>
      </w:r>
      <w:r w:rsidR="00E211CB">
        <w:rPr>
          <w:rFonts w:ascii="Times New Roman" w:hAnsi="Times New Roman"/>
          <w:sz w:val="24"/>
        </w:rPr>
        <w:t>study team moderator fully reviews the informed consent form with each participant. This form explains the purpose/background of the study, procedures and duration, voluntary participation, risks and benefits, incentives, privacy, and contact information for any questions/concerns. The form concludes with a certificate of consent where participants acknowledge</w:t>
      </w:r>
      <w:r w:rsidR="000E1456">
        <w:rPr>
          <w:rFonts w:ascii="Times New Roman" w:hAnsi="Times New Roman"/>
          <w:sz w:val="24"/>
        </w:rPr>
        <w:t xml:space="preserve"> that they fully understand the terms of participating and agree to take part in the study.</w:t>
      </w:r>
    </w:p>
    <w:p w14:paraId="15203308" w14:textId="77777777" w:rsidR="000E6C28" w:rsidRDefault="000E6C28" w:rsidP="00251B57">
      <w:pPr>
        <w:pStyle w:val="BodyText"/>
        <w:spacing w:line="240" w:lineRule="auto"/>
        <w:rPr>
          <w:rFonts w:ascii="Times New Roman" w:hAnsi="Times New Roman"/>
          <w:sz w:val="24"/>
        </w:rPr>
      </w:pPr>
    </w:p>
    <w:p w14:paraId="6453D511" w14:textId="7BEDDB03" w:rsidR="00AD1E65" w:rsidRDefault="00251B57" w:rsidP="00251B57">
      <w:pPr>
        <w:pStyle w:val="BodyText"/>
        <w:spacing w:line="240" w:lineRule="auto"/>
        <w:rPr>
          <w:rFonts w:ascii="Times New Roman" w:hAnsi="Times New Roman"/>
          <w:sz w:val="24"/>
        </w:rPr>
      </w:pPr>
      <w:r>
        <w:rPr>
          <w:rFonts w:ascii="Times New Roman" w:hAnsi="Times New Roman"/>
          <w:sz w:val="24"/>
        </w:rPr>
        <w:t xml:space="preserve">The study team will protect the privacy of all participants. </w:t>
      </w:r>
      <w:r w:rsidR="00097B85">
        <w:rPr>
          <w:rFonts w:ascii="Times New Roman" w:hAnsi="Times New Roman"/>
          <w:sz w:val="24"/>
        </w:rPr>
        <w:t xml:space="preserve">Participants will </w:t>
      </w:r>
      <w:r w:rsidR="00097B85" w:rsidRPr="00097B85">
        <w:rPr>
          <w:rFonts w:ascii="Times New Roman" w:hAnsi="Times New Roman"/>
          <w:sz w:val="24"/>
        </w:rPr>
        <w:t xml:space="preserve">not be identified in </w:t>
      </w:r>
      <w:r>
        <w:rPr>
          <w:rFonts w:ascii="Times New Roman" w:hAnsi="Times New Roman"/>
          <w:sz w:val="24"/>
        </w:rPr>
        <w:t>any</w:t>
      </w:r>
      <w:r w:rsidR="00097B85" w:rsidRPr="00097B85">
        <w:rPr>
          <w:rFonts w:ascii="Times New Roman" w:hAnsi="Times New Roman"/>
          <w:sz w:val="24"/>
        </w:rPr>
        <w:t xml:space="preserve"> reports and nothing </w:t>
      </w:r>
      <w:r w:rsidR="00097B85">
        <w:rPr>
          <w:rFonts w:ascii="Times New Roman" w:hAnsi="Times New Roman"/>
          <w:sz w:val="24"/>
        </w:rPr>
        <w:t>they</w:t>
      </w:r>
      <w:r w:rsidR="00097B85" w:rsidRPr="00097B85">
        <w:rPr>
          <w:rFonts w:ascii="Times New Roman" w:hAnsi="Times New Roman"/>
          <w:sz w:val="24"/>
        </w:rPr>
        <w:t xml:space="preserve"> say will be personally attributed to </w:t>
      </w:r>
      <w:r w:rsidR="00097B85">
        <w:rPr>
          <w:rFonts w:ascii="Times New Roman" w:hAnsi="Times New Roman"/>
          <w:sz w:val="24"/>
        </w:rPr>
        <w:t>them</w:t>
      </w:r>
      <w:r w:rsidR="00097B85" w:rsidRPr="00097B85">
        <w:rPr>
          <w:rFonts w:ascii="Times New Roman" w:hAnsi="Times New Roman"/>
          <w:sz w:val="24"/>
        </w:rPr>
        <w:t xml:space="preserve"> or </w:t>
      </w:r>
      <w:r w:rsidR="00097B85">
        <w:rPr>
          <w:rFonts w:ascii="Times New Roman" w:hAnsi="Times New Roman"/>
          <w:sz w:val="24"/>
        </w:rPr>
        <w:t>their</w:t>
      </w:r>
      <w:r w:rsidR="00097B85" w:rsidRPr="00097B85">
        <w:rPr>
          <w:rFonts w:ascii="Times New Roman" w:hAnsi="Times New Roman"/>
          <w:sz w:val="24"/>
        </w:rPr>
        <w:t xml:space="preserve"> APS program</w:t>
      </w:r>
      <w:r w:rsidR="00097B85">
        <w:rPr>
          <w:rFonts w:ascii="Times New Roman" w:hAnsi="Times New Roman"/>
          <w:sz w:val="24"/>
        </w:rPr>
        <w:t>s</w:t>
      </w:r>
      <w:r w:rsidR="00097B85" w:rsidRPr="00097B85">
        <w:rPr>
          <w:rFonts w:ascii="Times New Roman" w:hAnsi="Times New Roman"/>
          <w:sz w:val="24"/>
        </w:rPr>
        <w:t>.</w:t>
      </w:r>
    </w:p>
    <w:p w14:paraId="381B8FFF" w14:textId="77777777" w:rsidR="00251B57" w:rsidRDefault="00AD1E65" w:rsidP="00251B57">
      <w:r w:rsidRPr="00B37A8D">
        <w:t xml:space="preserve">All data collected as part of the study will be stored on New Editions Consulting, Inc. secured drive and be accessed only by members of the study team through password protected, New Editions computers. </w:t>
      </w:r>
      <w:r w:rsidRPr="00B37A8D">
        <w:rPr>
          <w:iCs/>
        </w:rPr>
        <w:t>The secured drive is hosted by a third-party data center that leverages an Information Technology Infrastructure Library (ITIL)-based control environment validated for compliance against Health Insurance Portability and Accountability Act (HIPAA), Payment Card Industry Security Data Standards (PCI DSS) and Service Organization Controls (SOC (formerly SAS 70)) frameworks. The data centers are also fully compliant against U.S. Department of Health and Human Services Office for Civil Rights (OCR) and Payment Card Industry (PCI) Audit Protocols. The folder on the secured drive where the data will be stored will be restricted so that only study team members have permissions to access the folder content. Similarly, d</w:t>
      </w:r>
      <w:r w:rsidRPr="00B37A8D">
        <w:t xml:space="preserve">ata submitted through Survey Monkey will only be accessible to the study team through a password protected, New Editions user account. We will migrate the data from Survey Monkey to the New Editions secured drive on a weekly basis. </w:t>
      </w:r>
    </w:p>
    <w:p w14:paraId="267645B0" w14:textId="77777777" w:rsidR="00251B57" w:rsidRDefault="00251B57" w:rsidP="00251B57"/>
    <w:p w14:paraId="4E021471" w14:textId="229EF3EC" w:rsidR="00AD1E65" w:rsidRDefault="00AD1E65" w:rsidP="00251B57">
      <w:r w:rsidRPr="00B37A8D">
        <w:t xml:space="preserve">Although the study instruments will not collect </w:t>
      </w:r>
      <w:r w:rsidR="00251B57">
        <w:t>PII</w:t>
      </w:r>
      <w:r w:rsidRPr="00B37A8D">
        <w:t xml:space="preserve">, we will have paper record consent forms for interview and focus group participants. These forms constitute human subjects records and will be stored at New Editions offices, in locked cabinet files accessible only to key members of the study team. All consent forms will be maintained as long as the IRB requires (e.g., three years after closure of the project). Following the mandatory retention period, we will shred all consent forms. </w:t>
      </w:r>
    </w:p>
    <w:p w14:paraId="647769ED" w14:textId="45C20DCD" w:rsidR="00C84721" w:rsidRPr="001D6447" w:rsidRDefault="00C84721" w:rsidP="00C84721">
      <w:pPr>
        <w:pStyle w:val="BodyText"/>
        <w:spacing w:line="240" w:lineRule="auto"/>
        <w:ind w:left="720"/>
        <w:rPr>
          <w:rFonts w:ascii="Times New Roman" w:hAnsi="Times New Roman"/>
          <w:b/>
          <w:sz w:val="24"/>
        </w:rPr>
      </w:pPr>
    </w:p>
    <w:p w14:paraId="7E61AF9B" w14:textId="77777777" w:rsidR="00B52101" w:rsidRPr="00B52101" w:rsidRDefault="00B52101" w:rsidP="00B52101">
      <w:pPr>
        <w:pStyle w:val="BodyText"/>
        <w:spacing w:line="240" w:lineRule="auto"/>
        <w:ind w:left="720"/>
        <w:rPr>
          <w:rFonts w:ascii="Times New Roman" w:hAnsi="Times New Roman"/>
          <w:b/>
          <w:sz w:val="24"/>
        </w:rPr>
      </w:pPr>
    </w:p>
    <w:p w14:paraId="081A83FE" w14:textId="77777777" w:rsidR="00B52101" w:rsidRPr="00B52101" w:rsidRDefault="00B52101" w:rsidP="00B52101">
      <w:pPr>
        <w:pStyle w:val="BodyText"/>
        <w:spacing w:line="240" w:lineRule="auto"/>
        <w:ind w:left="720"/>
        <w:rPr>
          <w:rFonts w:ascii="Times New Roman" w:hAnsi="Times New Roman"/>
          <w:b/>
          <w:sz w:val="24"/>
        </w:rPr>
      </w:pPr>
    </w:p>
    <w:p w14:paraId="54279751" w14:textId="7F1FF582" w:rsidR="00E75601" w:rsidRPr="00FC7674" w:rsidRDefault="009E1F12" w:rsidP="00F631A3">
      <w:pPr>
        <w:pStyle w:val="BodyText"/>
        <w:numPr>
          <w:ilvl w:val="0"/>
          <w:numId w:val="5"/>
        </w:numPr>
        <w:spacing w:line="240" w:lineRule="auto"/>
        <w:ind w:left="720"/>
        <w:rPr>
          <w:rFonts w:ascii="Times New Roman" w:hAnsi="Times New Roman"/>
          <w:b/>
          <w:sz w:val="24"/>
        </w:rPr>
      </w:pPr>
      <w:r w:rsidRPr="00F73FF1">
        <w:rPr>
          <w:rFonts w:ascii="Times New Roman" w:hAnsi="Times New Roman"/>
          <w:b/>
          <w:snapToGrid/>
          <w:sz w:val="24"/>
        </w:rPr>
        <w:t>Justification for Sensitive Questions</w:t>
      </w:r>
    </w:p>
    <w:p w14:paraId="1FB3C689" w14:textId="77777777" w:rsidR="00FC7674" w:rsidRPr="001D6447" w:rsidRDefault="00FC7674" w:rsidP="00FC7674">
      <w:pPr>
        <w:pStyle w:val="BodyText"/>
        <w:spacing w:line="240" w:lineRule="auto"/>
        <w:ind w:left="720"/>
        <w:rPr>
          <w:rFonts w:ascii="Times New Roman" w:hAnsi="Times New Roman"/>
          <w:b/>
          <w:sz w:val="24"/>
        </w:rPr>
      </w:pPr>
    </w:p>
    <w:p w14:paraId="0DE4DFB0" w14:textId="07250C2A" w:rsidR="005A3300" w:rsidRPr="00BF6E60" w:rsidRDefault="00B45CA4" w:rsidP="00A61111">
      <w:r>
        <w:t>Some</w:t>
      </w:r>
      <w:r w:rsidR="00CF6BEF">
        <w:t xml:space="preserve"> questions in the client questionnaire and </w:t>
      </w:r>
      <w:r w:rsidR="00A135D8">
        <w:t xml:space="preserve">client </w:t>
      </w:r>
      <w:r w:rsidR="00CF6BEF">
        <w:t xml:space="preserve">interview </w:t>
      </w:r>
      <w:r>
        <w:t>guide</w:t>
      </w:r>
      <w:r w:rsidR="00CF6BEF">
        <w:t xml:space="preserve"> may be sensitive for respondents. </w:t>
      </w:r>
      <w:r w:rsidR="00BF6E60">
        <w:t xml:space="preserve">APS clients typically interact with APS based on suspected or confirmed abuse, neglect or </w:t>
      </w:r>
      <w:r>
        <w:t xml:space="preserve">other </w:t>
      </w:r>
      <w:r w:rsidR="00BF6E60">
        <w:t xml:space="preserve">maltreatment. </w:t>
      </w:r>
      <w:r>
        <w:t>In</w:t>
      </w:r>
      <w:r w:rsidR="00DC771A">
        <w:t xml:space="preserve"> order to</w:t>
      </w:r>
      <w:r w:rsidR="00BF6E60">
        <w:t xml:space="preserve"> determine the impact of the APS program on client outc</w:t>
      </w:r>
      <w:r w:rsidR="00DC771A">
        <w:t xml:space="preserve">omes, including personal outcomes like </w:t>
      </w:r>
      <w:r w:rsidRPr="009B5DCF">
        <w:rPr>
          <w:szCs w:val="22"/>
        </w:rPr>
        <w:t>self-determination, safety, well-being, and satisfaction with services</w:t>
      </w:r>
      <w:r>
        <w:t>,</w:t>
      </w:r>
      <w:r w:rsidR="00DC771A">
        <w:t xml:space="preserve"> clients will be asked about their experiences with APS and how the program has impac</w:t>
      </w:r>
      <w:r w:rsidR="006E4106">
        <w:t>ted their lives. T</w:t>
      </w:r>
      <w:r w:rsidR="00DA0C17">
        <w:t>hus, t</w:t>
      </w:r>
      <w:r w:rsidR="006E4106">
        <w:t xml:space="preserve">he questionnaire and interview </w:t>
      </w:r>
      <w:r w:rsidR="00DC771A">
        <w:t xml:space="preserve">may consequentially bring to mind negative experiences. </w:t>
      </w:r>
      <w:bookmarkStart w:id="2" w:name="_Hlk11019805"/>
      <w:r w:rsidR="00DC771A">
        <w:t xml:space="preserve">To lessen respondents’ </w:t>
      </w:r>
      <w:r w:rsidR="00BF6E60">
        <w:t xml:space="preserve">discomfort, the instruments are carefully designed to </w:t>
      </w:r>
      <w:r>
        <w:t xml:space="preserve">only </w:t>
      </w:r>
      <w:r w:rsidR="00BF6E60">
        <w:t xml:space="preserve">ask </w:t>
      </w:r>
      <w:r w:rsidR="00BF6E60" w:rsidRPr="00BF6E60">
        <w:t>questions about client experiences with APS, not about their maltreatment.</w:t>
      </w:r>
      <w:r w:rsidR="00DC771A" w:rsidRPr="00DC771A">
        <w:t xml:space="preserve"> </w:t>
      </w:r>
      <w:r w:rsidR="00DC771A">
        <w:t>No questions will be asked about what happened in their lives to prompt APS intervention. Respondents will be informed and reminded as needed that their participation is entirely</w:t>
      </w:r>
      <w:r w:rsidR="00A61111">
        <w:t xml:space="preserve"> voluntary</w:t>
      </w:r>
      <w:r w:rsidR="00747782">
        <w:t xml:space="preserve"> and that they may withdraw at any time</w:t>
      </w:r>
      <w:r w:rsidR="00DC771A">
        <w:t xml:space="preserve">. </w:t>
      </w:r>
      <w:r w:rsidR="00A61111">
        <w:t>Additionally, f</w:t>
      </w:r>
      <w:r w:rsidR="006E4106">
        <w:t>or interviews, w</w:t>
      </w:r>
      <w:r w:rsidR="00DC771A">
        <w:t>e will arrange</w:t>
      </w:r>
      <w:r w:rsidR="00BF6E60" w:rsidRPr="00BF6E60">
        <w:t xml:space="preserve"> for </w:t>
      </w:r>
      <w:r w:rsidR="00DC771A">
        <w:t xml:space="preserve">a </w:t>
      </w:r>
      <w:r w:rsidR="00BF6E60" w:rsidRPr="00BF6E60">
        <w:t xml:space="preserve">caseworker </w:t>
      </w:r>
      <w:r w:rsidR="00DC771A">
        <w:t>to be available</w:t>
      </w:r>
      <w:r w:rsidR="00BF6E60" w:rsidRPr="00BF6E60">
        <w:t xml:space="preserve"> in-person or by phone</w:t>
      </w:r>
      <w:r w:rsidR="00A61111">
        <w:t xml:space="preserve"> to provide assistance</w:t>
      </w:r>
      <w:r w:rsidR="00BF6E60" w:rsidRPr="00BF6E60">
        <w:t xml:space="preserve"> if </w:t>
      </w:r>
      <w:r w:rsidR="00DC771A">
        <w:t xml:space="preserve">a </w:t>
      </w:r>
      <w:r w:rsidR="00BF6E60" w:rsidRPr="00BF6E60">
        <w:t xml:space="preserve">client </w:t>
      </w:r>
      <w:r w:rsidR="00DC771A">
        <w:t>becomes distressed</w:t>
      </w:r>
      <w:r w:rsidR="00A61111">
        <w:t xml:space="preserve"> while participating</w:t>
      </w:r>
      <w:r w:rsidR="00BF6E60" w:rsidRPr="00BF6E60">
        <w:t xml:space="preserve">. </w:t>
      </w:r>
      <w:bookmarkEnd w:id="2"/>
    </w:p>
    <w:p w14:paraId="20660D93" w14:textId="49A23308" w:rsidR="005A3300" w:rsidRPr="001D6447" w:rsidRDefault="005A3300" w:rsidP="005A3300"/>
    <w:p w14:paraId="06238172" w14:textId="35CE5F4C" w:rsidR="00CF1937" w:rsidRDefault="00C97A70" w:rsidP="004B1462">
      <w:pPr>
        <w:ind w:left="360"/>
        <w:rPr>
          <w:b/>
        </w:rPr>
      </w:pPr>
      <w:r w:rsidRPr="00F73FF1">
        <w:rPr>
          <w:b/>
        </w:rPr>
        <w:t>12.</w:t>
      </w:r>
      <w:r w:rsidR="00A90DD1">
        <w:rPr>
          <w:b/>
        </w:rPr>
        <w:t xml:space="preserve"> </w:t>
      </w:r>
      <w:r w:rsidR="009E1F12" w:rsidRPr="00F73FF1">
        <w:rPr>
          <w:b/>
        </w:rPr>
        <w:t>Estimates of Annualized Burden Hours and Costs</w:t>
      </w:r>
    </w:p>
    <w:p w14:paraId="4ED44A23" w14:textId="77777777" w:rsidR="00FC7674" w:rsidRPr="001D6447" w:rsidRDefault="00FC7674" w:rsidP="00C753D9">
      <w:pPr>
        <w:ind w:left="360"/>
        <w:rPr>
          <w:b/>
        </w:rPr>
      </w:pPr>
    </w:p>
    <w:p w14:paraId="1B299901" w14:textId="246EDC58" w:rsidR="00133F7F" w:rsidRDefault="00CF1937" w:rsidP="00523928">
      <w:pPr>
        <w:pStyle w:val="BodyText"/>
        <w:spacing w:after="120" w:line="240" w:lineRule="auto"/>
        <w:rPr>
          <w:rFonts w:ascii="Times New Roman" w:hAnsi="Times New Roman"/>
          <w:sz w:val="24"/>
        </w:rPr>
      </w:pPr>
      <w:r>
        <w:rPr>
          <w:rFonts w:ascii="Times New Roman" w:hAnsi="Times New Roman"/>
          <w:sz w:val="24"/>
        </w:rPr>
        <w:t>The annua</w:t>
      </w:r>
      <w:r w:rsidR="00F51139">
        <w:rPr>
          <w:rFonts w:ascii="Times New Roman" w:hAnsi="Times New Roman"/>
          <w:sz w:val="24"/>
        </w:rPr>
        <w:t>l burden estimate</w:t>
      </w:r>
      <w:r w:rsidR="00133F7F">
        <w:rPr>
          <w:rFonts w:ascii="Times New Roman" w:hAnsi="Times New Roman"/>
          <w:sz w:val="24"/>
        </w:rPr>
        <w:t xml:space="preserve">s are </w:t>
      </w:r>
      <w:r w:rsidR="004E0EBF">
        <w:rPr>
          <w:rFonts w:ascii="Times New Roman" w:hAnsi="Times New Roman"/>
          <w:sz w:val="24"/>
        </w:rPr>
        <w:t>shown below</w:t>
      </w:r>
      <w:r w:rsidR="00F226DF">
        <w:rPr>
          <w:rFonts w:ascii="Times New Roman" w:hAnsi="Times New Roman"/>
          <w:sz w:val="24"/>
        </w:rPr>
        <w:t xml:space="preserve">. The estimates for the client questionnaire and </w:t>
      </w:r>
      <w:r w:rsidR="00523928">
        <w:rPr>
          <w:rFonts w:ascii="Times New Roman" w:hAnsi="Times New Roman"/>
          <w:sz w:val="24"/>
        </w:rPr>
        <w:t xml:space="preserve">client </w:t>
      </w:r>
      <w:r w:rsidR="00F226DF">
        <w:rPr>
          <w:rFonts w:ascii="Times New Roman" w:hAnsi="Times New Roman"/>
          <w:sz w:val="24"/>
        </w:rPr>
        <w:t>data form are based on plans to invite 6,000 clients to complete the questionnaire</w:t>
      </w:r>
      <w:r w:rsidR="00185961">
        <w:rPr>
          <w:rFonts w:ascii="Times New Roman" w:hAnsi="Times New Roman"/>
          <w:sz w:val="24"/>
        </w:rPr>
        <w:t>.</w:t>
      </w:r>
      <w:r w:rsidR="004E0EBF">
        <w:rPr>
          <w:rFonts w:ascii="Times New Roman" w:hAnsi="Times New Roman"/>
          <w:sz w:val="24"/>
        </w:rPr>
        <w:t xml:space="preserve"> </w:t>
      </w:r>
    </w:p>
    <w:tbl>
      <w:tblPr>
        <w:tblStyle w:val="LightGrid"/>
        <w:tblW w:w="9360" w:type="dxa"/>
        <w:tblInd w:w="-10" w:type="dxa"/>
        <w:tblLayout w:type="fixed"/>
        <w:tblLook w:val="04A0" w:firstRow="1" w:lastRow="0" w:firstColumn="1" w:lastColumn="0" w:noHBand="0" w:noVBand="1"/>
      </w:tblPr>
      <w:tblGrid>
        <w:gridCol w:w="2070"/>
        <w:gridCol w:w="1620"/>
        <w:gridCol w:w="1417"/>
        <w:gridCol w:w="1418"/>
        <w:gridCol w:w="1417"/>
        <w:gridCol w:w="1418"/>
      </w:tblGrid>
      <w:tr w:rsidR="00523928" w:rsidRPr="00B65A2B" w14:paraId="4949D334" w14:textId="77777777" w:rsidTr="00033AC5">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070" w:type="dxa"/>
          </w:tcPr>
          <w:p w14:paraId="0AA30D12" w14:textId="77777777" w:rsidR="00523928" w:rsidRPr="00B65A2B" w:rsidRDefault="00523928" w:rsidP="00F226DF">
            <w:pPr>
              <w:pStyle w:val="SL-FlLftSgl"/>
              <w:keepNext/>
              <w:keepLines/>
              <w:spacing w:line="240" w:lineRule="auto"/>
              <w:jc w:val="left"/>
              <w:rPr>
                <w:rFonts w:ascii="Times New Roman" w:hAnsi="Times New Roman" w:cs="Times New Roman"/>
                <w:b w:val="0"/>
                <w:color w:val="000000" w:themeColor="text1"/>
              </w:rPr>
            </w:pPr>
            <w:r w:rsidRPr="00B65A2B">
              <w:rPr>
                <w:rFonts w:ascii="Times New Roman" w:hAnsi="Times New Roman" w:cs="Times New Roman"/>
                <w:color w:val="000000" w:themeColor="text1"/>
              </w:rPr>
              <w:t>Respondent/Data Collection Activity</w:t>
            </w:r>
          </w:p>
        </w:tc>
        <w:tc>
          <w:tcPr>
            <w:tcW w:w="1620" w:type="dxa"/>
          </w:tcPr>
          <w:p w14:paraId="08D4B9C2" w14:textId="378A666C" w:rsidR="00523928" w:rsidRPr="00B65A2B" w:rsidRDefault="00033AC5" w:rsidP="00F226DF">
            <w:pPr>
              <w:pStyle w:val="SL-FlLftSgl"/>
              <w:keepNext/>
              <w:keepLines/>
              <w:spacing w:line="240"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033AC5">
              <w:rPr>
                <w:rFonts w:ascii="Times New Roman" w:hAnsi="Times New Roman" w:cs="Times New Roman"/>
                <w:color w:val="000000" w:themeColor="text1"/>
              </w:rPr>
              <w:t>Respondent Type</w:t>
            </w:r>
          </w:p>
        </w:tc>
        <w:tc>
          <w:tcPr>
            <w:tcW w:w="1417" w:type="dxa"/>
          </w:tcPr>
          <w:p w14:paraId="2C3934F9" w14:textId="632E7894" w:rsidR="00523928" w:rsidRPr="00B65A2B" w:rsidRDefault="00523928" w:rsidP="00F226DF">
            <w:pPr>
              <w:pStyle w:val="SL-FlLftSgl"/>
              <w:keepNext/>
              <w:keepLine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B65A2B">
              <w:rPr>
                <w:rFonts w:ascii="Times New Roman" w:hAnsi="Times New Roman" w:cs="Times New Roman"/>
                <w:color w:val="000000" w:themeColor="text1"/>
              </w:rPr>
              <w:t>No. of Respondents</w:t>
            </w:r>
          </w:p>
        </w:tc>
        <w:tc>
          <w:tcPr>
            <w:tcW w:w="1418" w:type="dxa"/>
          </w:tcPr>
          <w:p w14:paraId="29B1F3BC" w14:textId="77777777" w:rsidR="00523928" w:rsidRPr="00B65A2B" w:rsidRDefault="00523928" w:rsidP="00F226DF">
            <w:pPr>
              <w:pStyle w:val="SL-FlLftSgl"/>
              <w:keepNext/>
              <w:keepLine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B65A2B">
              <w:rPr>
                <w:rFonts w:ascii="Times New Roman" w:hAnsi="Times New Roman" w:cs="Times New Roman"/>
                <w:color w:val="000000" w:themeColor="text1"/>
              </w:rPr>
              <w:t>Responses Per Respondent</w:t>
            </w:r>
          </w:p>
        </w:tc>
        <w:tc>
          <w:tcPr>
            <w:tcW w:w="1417" w:type="dxa"/>
          </w:tcPr>
          <w:p w14:paraId="2AE04921" w14:textId="77777777" w:rsidR="00523928" w:rsidRPr="00B65A2B" w:rsidRDefault="00523928" w:rsidP="00F226DF">
            <w:pPr>
              <w:pStyle w:val="SL-FlLftSgl"/>
              <w:keepNext/>
              <w:keepLine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B65A2B">
              <w:rPr>
                <w:rFonts w:ascii="Times New Roman" w:hAnsi="Times New Roman" w:cs="Times New Roman"/>
                <w:color w:val="000000" w:themeColor="text1"/>
              </w:rPr>
              <w:t>Hours Per Response</w:t>
            </w:r>
          </w:p>
        </w:tc>
        <w:tc>
          <w:tcPr>
            <w:tcW w:w="1418" w:type="dxa"/>
          </w:tcPr>
          <w:p w14:paraId="7962404D" w14:textId="77777777" w:rsidR="00523928" w:rsidRPr="00B65A2B" w:rsidRDefault="00523928" w:rsidP="00F226DF">
            <w:pPr>
              <w:pStyle w:val="SL-FlLftSgl"/>
              <w:keepNext/>
              <w:keepLine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rPr>
            </w:pPr>
            <w:r w:rsidRPr="00B65A2B">
              <w:rPr>
                <w:rFonts w:ascii="Times New Roman" w:hAnsi="Times New Roman" w:cs="Times New Roman"/>
                <w:color w:val="000000" w:themeColor="text1"/>
              </w:rPr>
              <w:t>Annual Burden Hours</w:t>
            </w:r>
          </w:p>
        </w:tc>
      </w:tr>
      <w:tr w:rsidR="00523928" w:rsidRPr="00B65A2B" w14:paraId="2F6B5499" w14:textId="77777777" w:rsidTr="00033AC5">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070" w:type="dxa"/>
          </w:tcPr>
          <w:p w14:paraId="30385279" w14:textId="77777777" w:rsidR="00523928" w:rsidRPr="00B65A2B" w:rsidRDefault="00523928" w:rsidP="00523928">
            <w:pPr>
              <w:pStyle w:val="SL-FlLftSgl"/>
              <w:keepNext/>
              <w:keepLines/>
              <w:spacing w:line="240" w:lineRule="auto"/>
              <w:rPr>
                <w:rFonts w:ascii="Times New Roman" w:hAnsi="Times New Roman" w:cs="Times New Roman"/>
                <w:color w:val="000000" w:themeColor="text1"/>
              </w:rPr>
            </w:pPr>
            <w:r w:rsidRPr="00B65A2B">
              <w:rPr>
                <w:rFonts w:ascii="Times New Roman" w:hAnsi="Times New Roman" w:cs="Times New Roman"/>
                <w:color w:val="000000" w:themeColor="text1"/>
              </w:rPr>
              <w:t>Client Questionnaire</w:t>
            </w:r>
          </w:p>
        </w:tc>
        <w:tc>
          <w:tcPr>
            <w:tcW w:w="1620" w:type="dxa"/>
          </w:tcPr>
          <w:p w14:paraId="303EA86A" w14:textId="5B8618CD" w:rsidR="00523928" w:rsidRPr="00B65A2B" w:rsidRDefault="00033AC5"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Individual</w:t>
            </w:r>
          </w:p>
        </w:tc>
        <w:tc>
          <w:tcPr>
            <w:tcW w:w="1417" w:type="dxa"/>
          </w:tcPr>
          <w:p w14:paraId="7BC0CAF6" w14:textId="4C07D2AA" w:rsidR="00523928" w:rsidRPr="00B65A2B" w:rsidRDefault="00185961"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w:t>
            </w:r>
            <w:r w:rsidR="00523928" w:rsidRPr="00B65A2B">
              <w:rPr>
                <w:color w:val="000000" w:themeColor="text1"/>
              </w:rPr>
              <w:t>,000</w:t>
            </w:r>
          </w:p>
        </w:tc>
        <w:tc>
          <w:tcPr>
            <w:tcW w:w="1418" w:type="dxa"/>
          </w:tcPr>
          <w:p w14:paraId="2E374BDC"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1</w:t>
            </w:r>
          </w:p>
        </w:tc>
        <w:tc>
          <w:tcPr>
            <w:tcW w:w="1417" w:type="dxa"/>
          </w:tcPr>
          <w:p w14:paraId="1A660094"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0.167</w:t>
            </w:r>
          </w:p>
        </w:tc>
        <w:tc>
          <w:tcPr>
            <w:tcW w:w="1418" w:type="dxa"/>
          </w:tcPr>
          <w:p w14:paraId="5630F672" w14:textId="6329B486" w:rsidR="00523928" w:rsidRPr="00B65A2B" w:rsidRDefault="00185961"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1,002</w:t>
            </w:r>
          </w:p>
        </w:tc>
      </w:tr>
      <w:tr w:rsidR="00523928" w:rsidRPr="00B65A2B" w14:paraId="08C8F2BC" w14:textId="77777777" w:rsidTr="00033AC5">
        <w:trPr>
          <w:cnfStyle w:val="000000010000" w:firstRow="0" w:lastRow="0" w:firstColumn="0" w:lastColumn="0" w:oddVBand="0" w:evenVBand="0" w:oddHBand="0" w:evenHBand="1"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070" w:type="dxa"/>
          </w:tcPr>
          <w:p w14:paraId="43993B9C" w14:textId="77777777" w:rsidR="00523928" w:rsidRPr="00B65A2B" w:rsidRDefault="00523928" w:rsidP="00F226DF">
            <w:pPr>
              <w:pStyle w:val="SL-FlLftSgl"/>
              <w:keepNext/>
              <w:keepLines/>
              <w:spacing w:line="240" w:lineRule="auto"/>
              <w:jc w:val="left"/>
              <w:rPr>
                <w:rFonts w:ascii="Times New Roman" w:hAnsi="Times New Roman" w:cs="Times New Roman"/>
                <w:color w:val="000000" w:themeColor="text1"/>
              </w:rPr>
            </w:pPr>
            <w:r w:rsidRPr="00B65A2B">
              <w:rPr>
                <w:rFonts w:ascii="Times New Roman" w:hAnsi="Times New Roman" w:cs="Times New Roman"/>
                <w:color w:val="000000" w:themeColor="text1"/>
              </w:rPr>
              <w:t>Client Data Form</w:t>
            </w:r>
          </w:p>
        </w:tc>
        <w:tc>
          <w:tcPr>
            <w:tcW w:w="1620" w:type="dxa"/>
          </w:tcPr>
          <w:p w14:paraId="34479505" w14:textId="1A60B046" w:rsidR="00523928" w:rsidRPr="00B65A2B" w:rsidRDefault="00033AC5"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Local Government</w:t>
            </w:r>
          </w:p>
        </w:tc>
        <w:tc>
          <w:tcPr>
            <w:tcW w:w="1417" w:type="dxa"/>
          </w:tcPr>
          <w:p w14:paraId="6890BB31" w14:textId="51FF60AE"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w:t>
            </w:r>
            <w:r w:rsidR="00185961">
              <w:rPr>
                <w:color w:val="000000" w:themeColor="text1"/>
              </w:rPr>
              <w:t>6</w:t>
            </w:r>
            <w:r w:rsidRPr="00B65A2B">
              <w:rPr>
                <w:color w:val="000000" w:themeColor="text1"/>
              </w:rPr>
              <w:t>,000</w:t>
            </w:r>
          </w:p>
        </w:tc>
        <w:tc>
          <w:tcPr>
            <w:tcW w:w="1418" w:type="dxa"/>
          </w:tcPr>
          <w:p w14:paraId="136A39BE"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1</w:t>
            </w:r>
          </w:p>
        </w:tc>
        <w:tc>
          <w:tcPr>
            <w:tcW w:w="1417" w:type="dxa"/>
          </w:tcPr>
          <w:p w14:paraId="6D35F9EC"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0.167</w:t>
            </w:r>
          </w:p>
        </w:tc>
        <w:tc>
          <w:tcPr>
            <w:tcW w:w="1418" w:type="dxa"/>
          </w:tcPr>
          <w:p w14:paraId="4AC1D303" w14:textId="4D2CD18C" w:rsidR="00523928" w:rsidRPr="00B65A2B" w:rsidRDefault="00185961"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1,002</w:t>
            </w:r>
          </w:p>
        </w:tc>
      </w:tr>
      <w:tr w:rsidR="00523928" w:rsidRPr="00B65A2B" w14:paraId="7EFE4383" w14:textId="77777777" w:rsidTr="00033AC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0" w:type="dxa"/>
          </w:tcPr>
          <w:p w14:paraId="2014C534" w14:textId="77777777" w:rsidR="00523928" w:rsidRPr="00B65A2B" w:rsidRDefault="00523928" w:rsidP="00F226DF">
            <w:pPr>
              <w:pStyle w:val="SL-FlLftSgl"/>
              <w:keepNext/>
              <w:keepLines/>
              <w:spacing w:line="240" w:lineRule="auto"/>
              <w:jc w:val="left"/>
              <w:rPr>
                <w:rFonts w:ascii="Times New Roman" w:hAnsi="Times New Roman" w:cs="Times New Roman"/>
                <w:color w:val="000000" w:themeColor="text1"/>
              </w:rPr>
            </w:pPr>
            <w:r w:rsidRPr="00B65A2B">
              <w:rPr>
                <w:rFonts w:ascii="Times New Roman" w:hAnsi="Times New Roman" w:cs="Times New Roman"/>
                <w:color w:val="000000" w:themeColor="text1"/>
              </w:rPr>
              <w:t>Client Interview</w:t>
            </w:r>
          </w:p>
        </w:tc>
        <w:tc>
          <w:tcPr>
            <w:tcW w:w="1620" w:type="dxa"/>
          </w:tcPr>
          <w:p w14:paraId="0515844B" w14:textId="33AFE819" w:rsidR="00523928" w:rsidRPr="00B65A2B" w:rsidRDefault="00033AC5"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Individual</w:t>
            </w:r>
          </w:p>
        </w:tc>
        <w:tc>
          <w:tcPr>
            <w:tcW w:w="1417" w:type="dxa"/>
          </w:tcPr>
          <w:p w14:paraId="57DE2A7D" w14:textId="392CC1D9"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24</w:t>
            </w:r>
          </w:p>
        </w:tc>
        <w:tc>
          <w:tcPr>
            <w:tcW w:w="1418" w:type="dxa"/>
          </w:tcPr>
          <w:p w14:paraId="0110EC02"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1</w:t>
            </w:r>
          </w:p>
        </w:tc>
        <w:tc>
          <w:tcPr>
            <w:tcW w:w="1417" w:type="dxa"/>
          </w:tcPr>
          <w:p w14:paraId="013AC01A"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0.75</w:t>
            </w:r>
          </w:p>
        </w:tc>
        <w:tc>
          <w:tcPr>
            <w:tcW w:w="1418" w:type="dxa"/>
          </w:tcPr>
          <w:p w14:paraId="45E861D7"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18</w:t>
            </w:r>
          </w:p>
        </w:tc>
      </w:tr>
      <w:tr w:rsidR="00523928" w:rsidRPr="00B65A2B" w14:paraId="1828F326" w14:textId="77777777" w:rsidTr="00033AC5">
        <w:trPr>
          <w:cnfStyle w:val="000000010000" w:firstRow="0" w:lastRow="0" w:firstColumn="0" w:lastColumn="0" w:oddVBand="0" w:evenVBand="0" w:oddHBand="0" w:evenHBand="1"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070" w:type="dxa"/>
          </w:tcPr>
          <w:p w14:paraId="7B70F857" w14:textId="63015F40" w:rsidR="00523928" w:rsidRPr="00B65A2B" w:rsidRDefault="00523928" w:rsidP="00F226DF">
            <w:pPr>
              <w:pStyle w:val="SL-FlLftSgl"/>
              <w:keepNext/>
              <w:keepLines/>
              <w:spacing w:line="240" w:lineRule="auto"/>
              <w:jc w:val="left"/>
              <w:rPr>
                <w:rFonts w:ascii="Times New Roman" w:hAnsi="Times New Roman" w:cs="Times New Roman"/>
                <w:color w:val="000000" w:themeColor="text1"/>
              </w:rPr>
            </w:pPr>
            <w:r w:rsidRPr="00B65A2B">
              <w:rPr>
                <w:rFonts w:ascii="Times New Roman" w:hAnsi="Times New Roman" w:cs="Times New Roman"/>
                <w:color w:val="000000" w:themeColor="text1"/>
              </w:rPr>
              <w:t>Caseworker Focus Group</w:t>
            </w:r>
          </w:p>
        </w:tc>
        <w:tc>
          <w:tcPr>
            <w:tcW w:w="1620" w:type="dxa"/>
          </w:tcPr>
          <w:p w14:paraId="5AF63458" w14:textId="1C9ABC34" w:rsidR="00523928" w:rsidRPr="00B65A2B" w:rsidRDefault="00033AC5"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Local Government</w:t>
            </w:r>
          </w:p>
        </w:tc>
        <w:tc>
          <w:tcPr>
            <w:tcW w:w="1417" w:type="dxa"/>
          </w:tcPr>
          <w:p w14:paraId="37F41645" w14:textId="2580D849"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84</w:t>
            </w:r>
          </w:p>
        </w:tc>
        <w:tc>
          <w:tcPr>
            <w:tcW w:w="1418" w:type="dxa"/>
          </w:tcPr>
          <w:p w14:paraId="2A0727DD"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1</w:t>
            </w:r>
          </w:p>
        </w:tc>
        <w:tc>
          <w:tcPr>
            <w:tcW w:w="1417" w:type="dxa"/>
          </w:tcPr>
          <w:p w14:paraId="6F91181B"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1.5</w:t>
            </w:r>
          </w:p>
        </w:tc>
        <w:tc>
          <w:tcPr>
            <w:tcW w:w="1418" w:type="dxa"/>
          </w:tcPr>
          <w:p w14:paraId="2C56C74F"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126</w:t>
            </w:r>
          </w:p>
        </w:tc>
      </w:tr>
      <w:tr w:rsidR="00523928" w:rsidRPr="00B65A2B" w14:paraId="251DF7A1" w14:textId="77777777" w:rsidTr="00033AC5">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070" w:type="dxa"/>
          </w:tcPr>
          <w:p w14:paraId="7604BD49" w14:textId="46B002DA" w:rsidR="00523928" w:rsidRPr="00B65A2B" w:rsidRDefault="00523928" w:rsidP="00F226DF">
            <w:pPr>
              <w:pStyle w:val="SL-FlLftSgl"/>
              <w:keepNext/>
              <w:keepLines/>
              <w:spacing w:line="240" w:lineRule="auto"/>
              <w:jc w:val="left"/>
              <w:rPr>
                <w:rFonts w:ascii="Times New Roman" w:hAnsi="Times New Roman" w:cs="Times New Roman"/>
                <w:color w:val="000000" w:themeColor="text1"/>
              </w:rPr>
            </w:pPr>
            <w:r w:rsidRPr="00B65A2B">
              <w:rPr>
                <w:rFonts w:ascii="Times New Roman" w:hAnsi="Times New Roman" w:cs="Times New Roman"/>
                <w:color w:val="000000" w:themeColor="text1"/>
              </w:rPr>
              <w:t>Leaders Interview</w:t>
            </w:r>
          </w:p>
        </w:tc>
        <w:tc>
          <w:tcPr>
            <w:tcW w:w="1620" w:type="dxa"/>
          </w:tcPr>
          <w:p w14:paraId="5161398E" w14:textId="66E05A64" w:rsidR="00523928" w:rsidRPr="00B65A2B" w:rsidRDefault="00033AC5"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State and Local Government</w:t>
            </w:r>
          </w:p>
        </w:tc>
        <w:tc>
          <w:tcPr>
            <w:tcW w:w="1417" w:type="dxa"/>
          </w:tcPr>
          <w:p w14:paraId="2EDE9A79" w14:textId="32430D4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16</w:t>
            </w:r>
          </w:p>
        </w:tc>
        <w:tc>
          <w:tcPr>
            <w:tcW w:w="1418" w:type="dxa"/>
          </w:tcPr>
          <w:p w14:paraId="2CD8DEA9"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1</w:t>
            </w:r>
          </w:p>
        </w:tc>
        <w:tc>
          <w:tcPr>
            <w:tcW w:w="1417" w:type="dxa"/>
          </w:tcPr>
          <w:p w14:paraId="16E2D6E8"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1</w:t>
            </w:r>
          </w:p>
        </w:tc>
        <w:tc>
          <w:tcPr>
            <w:tcW w:w="1418" w:type="dxa"/>
          </w:tcPr>
          <w:p w14:paraId="175B5022" w14:textId="77777777" w:rsidR="00523928" w:rsidRPr="00B65A2B" w:rsidRDefault="00523928" w:rsidP="00F226DF">
            <w:pPr>
              <w:pStyle w:val="SL-FlLftSgl"/>
              <w:keepNext/>
              <w:keepLines/>
              <w:tabs>
                <w:tab w:val="decimal" w:pos="0"/>
              </w:tabs>
              <w:spacing w:line="240"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B65A2B">
              <w:rPr>
                <w:color w:val="000000" w:themeColor="text1"/>
              </w:rPr>
              <w:t>16</w:t>
            </w:r>
          </w:p>
        </w:tc>
      </w:tr>
      <w:tr w:rsidR="00523928" w:rsidRPr="00B65A2B" w14:paraId="00D6A326" w14:textId="77777777" w:rsidTr="00184E00">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2070" w:type="dxa"/>
          </w:tcPr>
          <w:p w14:paraId="09B195B6" w14:textId="0EC0C485" w:rsidR="00523928" w:rsidRPr="00184E00" w:rsidRDefault="00523928" w:rsidP="00184E00">
            <w:pPr>
              <w:pStyle w:val="SL-FlLftSgl"/>
              <w:keepNext/>
              <w:keepLines/>
              <w:spacing w:line="240" w:lineRule="auto"/>
              <w:rPr>
                <w:rFonts w:ascii="Times New Roman" w:hAnsi="Times New Roman" w:cs="Times New Roman"/>
                <w:b w:val="0"/>
                <w:color w:val="000000" w:themeColor="text1"/>
              </w:rPr>
            </w:pPr>
            <w:r w:rsidRPr="00184E00">
              <w:rPr>
                <w:rFonts w:ascii="Times New Roman" w:hAnsi="Times New Roman" w:cs="Times New Roman"/>
                <w:b w:val="0"/>
                <w:color w:val="000000" w:themeColor="text1"/>
              </w:rPr>
              <w:t>T</w:t>
            </w:r>
            <w:r w:rsidR="00184E00">
              <w:rPr>
                <w:rFonts w:ascii="Times New Roman" w:hAnsi="Times New Roman" w:cs="Times New Roman"/>
                <w:b w:val="0"/>
                <w:color w:val="000000" w:themeColor="text1"/>
              </w:rPr>
              <w:t>OTAL</w:t>
            </w:r>
          </w:p>
        </w:tc>
        <w:tc>
          <w:tcPr>
            <w:tcW w:w="1620" w:type="dxa"/>
          </w:tcPr>
          <w:p w14:paraId="3A162DCE"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p>
        </w:tc>
        <w:tc>
          <w:tcPr>
            <w:tcW w:w="1417" w:type="dxa"/>
          </w:tcPr>
          <w:p w14:paraId="7CC91FC2" w14:textId="4B6FB5A2" w:rsidR="00523928" w:rsidRPr="00B65A2B" w:rsidRDefault="00185961"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12,124</w:t>
            </w:r>
          </w:p>
        </w:tc>
        <w:tc>
          <w:tcPr>
            <w:tcW w:w="1418" w:type="dxa"/>
          </w:tcPr>
          <w:p w14:paraId="4AD461F7"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p>
        </w:tc>
        <w:tc>
          <w:tcPr>
            <w:tcW w:w="1417" w:type="dxa"/>
          </w:tcPr>
          <w:p w14:paraId="50BF30BF" w14:textId="77777777" w:rsidR="00523928" w:rsidRPr="00B65A2B" w:rsidRDefault="00523928"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B65A2B">
              <w:rPr>
                <w:color w:val="000000" w:themeColor="text1"/>
              </w:rPr>
              <w:t>3.58</w:t>
            </w:r>
          </w:p>
        </w:tc>
        <w:tc>
          <w:tcPr>
            <w:tcW w:w="1418" w:type="dxa"/>
          </w:tcPr>
          <w:p w14:paraId="51BDFE6E" w14:textId="1797F686" w:rsidR="00523928" w:rsidRPr="00B65A2B" w:rsidRDefault="00185961" w:rsidP="00F226DF">
            <w:pPr>
              <w:pStyle w:val="SL-FlLftSgl"/>
              <w:keepNext/>
              <w:keepLines/>
              <w:tabs>
                <w:tab w:val="decimal" w:pos="0"/>
              </w:tabs>
              <w:spacing w:line="240" w:lineRule="auto"/>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2,164</w:t>
            </w:r>
          </w:p>
        </w:tc>
      </w:tr>
    </w:tbl>
    <w:p w14:paraId="7BCADFF7" w14:textId="163A6B74" w:rsidR="00C12C28" w:rsidRDefault="00F226DF" w:rsidP="00033AC5">
      <w:pPr>
        <w:pStyle w:val="BodyText"/>
        <w:spacing w:line="240" w:lineRule="auto"/>
        <w:rPr>
          <w:rFonts w:ascii="Times New Roman" w:hAnsi="Times New Roman"/>
          <w:sz w:val="24"/>
        </w:rPr>
      </w:pPr>
      <w:r w:rsidRPr="00F226DF">
        <w:rPr>
          <w:rFonts w:ascii="Times New Roman" w:hAnsi="Times New Roman"/>
          <w:sz w:val="24"/>
        </w:rPr>
        <w:t>*</w:t>
      </w:r>
      <w:r w:rsidRPr="00882A06">
        <w:rPr>
          <w:rFonts w:ascii="Times New Roman" w:hAnsi="Times New Roman"/>
          <w:i/>
          <w:sz w:val="24"/>
        </w:rPr>
        <w:t xml:space="preserve">It is likely that one APS caseworker will submit client forms for more than one client. This will depend on which clients respond to the questionnaire. While this number is likely to be smaller than </w:t>
      </w:r>
      <w:r w:rsidR="00185961">
        <w:rPr>
          <w:rFonts w:ascii="Times New Roman" w:hAnsi="Times New Roman"/>
          <w:i/>
          <w:sz w:val="24"/>
        </w:rPr>
        <w:t>6</w:t>
      </w:r>
      <w:r w:rsidRPr="00882A06">
        <w:rPr>
          <w:rFonts w:ascii="Times New Roman" w:hAnsi="Times New Roman"/>
          <w:i/>
          <w:sz w:val="24"/>
        </w:rPr>
        <w:t xml:space="preserve">,000, we are using </w:t>
      </w:r>
      <w:r w:rsidR="00185961">
        <w:rPr>
          <w:rFonts w:ascii="Times New Roman" w:hAnsi="Times New Roman"/>
          <w:i/>
          <w:sz w:val="24"/>
        </w:rPr>
        <w:t>6</w:t>
      </w:r>
      <w:r w:rsidRPr="00882A06">
        <w:rPr>
          <w:rFonts w:ascii="Times New Roman" w:hAnsi="Times New Roman"/>
          <w:i/>
          <w:sz w:val="24"/>
        </w:rPr>
        <w:t>,000 as the maximum possible number of caseworkers to participate in completing client forms</w:t>
      </w:r>
      <w:r w:rsidRPr="00F226DF">
        <w:rPr>
          <w:rFonts w:ascii="Times New Roman" w:hAnsi="Times New Roman"/>
          <w:sz w:val="24"/>
        </w:rPr>
        <w:t>.</w:t>
      </w:r>
    </w:p>
    <w:p w14:paraId="367FA3B5" w14:textId="59B824E7" w:rsidR="00534C7C" w:rsidRDefault="00534C7C" w:rsidP="00033AC5">
      <w:pPr>
        <w:pStyle w:val="BodyText"/>
        <w:spacing w:line="240" w:lineRule="auto"/>
        <w:rPr>
          <w:rFonts w:ascii="Times New Roman" w:hAnsi="Times New Roman"/>
          <w:sz w:val="24"/>
        </w:rPr>
      </w:pPr>
    </w:p>
    <w:p w14:paraId="49D26546" w14:textId="351089DC" w:rsidR="00534C7C" w:rsidRDefault="00534C7C" w:rsidP="00534C7C">
      <w:pPr>
        <w:pStyle w:val="BodyText"/>
        <w:spacing w:line="240" w:lineRule="auto"/>
        <w:rPr>
          <w:rFonts w:ascii="Times New Roman" w:hAnsi="Times New Roman"/>
          <w:sz w:val="24"/>
        </w:rPr>
      </w:pPr>
      <w:r w:rsidRPr="00736E93">
        <w:rPr>
          <w:rFonts w:ascii="Times New Roman" w:hAnsi="Times New Roman"/>
          <w:sz w:val="24"/>
        </w:rPr>
        <w:t>The annual</w:t>
      </w:r>
      <w:r>
        <w:rPr>
          <w:rFonts w:ascii="Times New Roman" w:hAnsi="Times New Roman"/>
          <w:sz w:val="24"/>
        </w:rPr>
        <w:t>ized cost</w:t>
      </w:r>
      <w:r w:rsidR="00747782">
        <w:rPr>
          <w:rFonts w:ascii="Times New Roman" w:hAnsi="Times New Roman"/>
          <w:sz w:val="24"/>
        </w:rPr>
        <w:t xml:space="preserve"> estimates</w:t>
      </w:r>
      <w:r>
        <w:rPr>
          <w:rFonts w:ascii="Times New Roman" w:hAnsi="Times New Roman"/>
          <w:sz w:val="24"/>
        </w:rPr>
        <w:t xml:space="preserve"> </w:t>
      </w:r>
      <w:r w:rsidR="00747782">
        <w:rPr>
          <w:rFonts w:ascii="Times New Roman" w:hAnsi="Times New Roman"/>
          <w:sz w:val="24"/>
        </w:rPr>
        <w:t>associated with</w:t>
      </w:r>
      <w:r>
        <w:rPr>
          <w:rFonts w:ascii="Times New Roman" w:hAnsi="Times New Roman"/>
          <w:sz w:val="24"/>
        </w:rPr>
        <w:t xml:space="preserve"> respondents</w:t>
      </w:r>
      <w:r w:rsidRPr="00736E93">
        <w:rPr>
          <w:rFonts w:ascii="Times New Roman" w:hAnsi="Times New Roman"/>
          <w:sz w:val="24"/>
        </w:rPr>
        <w:t xml:space="preserve"> </w:t>
      </w:r>
      <w:r w:rsidR="00747782">
        <w:rPr>
          <w:rFonts w:ascii="Times New Roman" w:hAnsi="Times New Roman"/>
          <w:sz w:val="24"/>
        </w:rPr>
        <w:t xml:space="preserve">participation </w:t>
      </w:r>
      <w:r>
        <w:rPr>
          <w:rFonts w:ascii="Times New Roman" w:hAnsi="Times New Roman"/>
          <w:sz w:val="24"/>
        </w:rPr>
        <w:t>are shown below. These estimates are</w:t>
      </w:r>
      <w:r w:rsidRPr="00736E93">
        <w:rPr>
          <w:rFonts w:ascii="Times New Roman" w:hAnsi="Times New Roman"/>
          <w:sz w:val="24"/>
        </w:rPr>
        <w:t xml:space="preserve"> based </w:t>
      </w:r>
      <w:r>
        <w:rPr>
          <w:rFonts w:ascii="Times New Roman" w:hAnsi="Times New Roman"/>
          <w:sz w:val="24"/>
        </w:rPr>
        <w:t>on</w:t>
      </w:r>
      <w:r w:rsidRPr="00736E93">
        <w:rPr>
          <w:rFonts w:ascii="Times New Roman" w:hAnsi="Times New Roman"/>
          <w:sz w:val="24"/>
        </w:rPr>
        <w:t xml:space="preserve"> an average hourly salary of $</w:t>
      </w:r>
      <w:r>
        <w:rPr>
          <w:rFonts w:ascii="Times New Roman" w:hAnsi="Times New Roman"/>
          <w:sz w:val="24"/>
        </w:rPr>
        <w:t xml:space="preserve">7.25 for APS clients, an estimated average across a group that will include many retires, some part-time workers and some full-time workers across a variety of fields. For APS caseworkers and APS program leaders we are using the average hourly rate for Social Workers and Social and Community Managers, respectively. </w:t>
      </w:r>
      <w:r w:rsidRPr="004F0FE4">
        <w:rPr>
          <w:rFonts w:ascii="Times New Roman" w:hAnsi="Times New Roman"/>
          <w:sz w:val="24"/>
        </w:rPr>
        <w:t xml:space="preserve">Across all respondents, the total </w:t>
      </w:r>
      <w:r>
        <w:rPr>
          <w:rFonts w:ascii="Times New Roman" w:hAnsi="Times New Roman"/>
          <w:sz w:val="24"/>
        </w:rPr>
        <w:t>estimated</w:t>
      </w:r>
      <w:r w:rsidRPr="004F0FE4">
        <w:rPr>
          <w:rFonts w:ascii="Times New Roman" w:hAnsi="Times New Roman"/>
          <w:sz w:val="24"/>
        </w:rPr>
        <w:t xml:space="preserve"> burden is </w:t>
      </w:r>
      <w:r>
        <w:rPr>
          <w:rFonts w:ascii="Times New Roman" w:hAnsi="Times New Roman"/>
          <w:sz w:val="24"/>
        </w:rPr>
        <w:t>equal to</w:t>
      </w:r>
      <w:r w:rsidRPr="004F0FE4">
        <w:rPr>
          <w:rFonts w:ascii="Times New Roman" w:hAnsi="Times New Roman"/>
          <w:sz w:val="24"/>
        </w:rPr>
        <w:t xml:space="preserve"> </w:t>
      </w:r>
      <w:r w:rsidR="00185961">
        <w:rPr>
          <w:rFonts w:ascii="Times New Roman" w:hAnsi="Times New Roman"/>
          <w:sz w:val="24"/>
        </w:rPr>
        <w:t>2,164</w:t>
      </w:r>
      <w:r>
        <w:rPr>
          <w:rFonts w:ascii="Times New Roman" w:hAnsi="Times New Roman"/>
          <w:sz w:val="24"/>
        </w:rPr>
        <w:t xml:space="preserve"> </w:t>
      </w:r>
      <w:r w:rsidRPr="004F0FE4">
        <w:rPr>
          <w:rFonts w:ascii="Times New Roman" w:hAnsi="Times New Roman"/>
          <w:sz w:val="24"/>
        </w:rPr>
        <w:t xml:space="preserve">hours </w:t>
      </w:r>
      <w:r>
        <w:rPr>
          <w:rFonts w:ascii="Times New Roman" w:hAnsi="Times New Roman"/>
          <w:sz w:val="24"/>
        </w:rPr>
        <w:t>or</w:t>
      </w:r>
      <w:r w:rsidRPr="004F0FE4">
        <w:rPr>
          <w:rFonts w:ascii="Times New Roman" w:hAnsi="Times New Roman"/>
          <w:sz w:val="24"/>
        </w:rPr>
        <w:t xml:space="preserve"> </w:t>
      </w:r>
      <w:r w:rsidR="001450E9">
        <w:rPr>
          <w:rFonts w:ascii="Times New Roman" w:hAnsi="Times New Roman"/>
          <w:sz w:val="24"/>
        </w:rPr>
        <w:t>$36,721.64</w:t>
      </w:r>
      <w:r w:rsidRPr="004F0FE4">
        <w:rPr>
          <w:rFonts w:ascii="Times New Roman" w:hAnsi="Times New Roman"/>
          <w:sz w:val="24"/>
        </w:rPr>
        <w:t xml:space="preserve">. </w:t>
      </w:r>
    </w:p>
    <w:p w14:paraId="086C9D12" w14:textId="77777777" w:rsidR="00534C7C" w:rsidRDefault="00534C7C" w:rsidP="00534C7C">
      <w:pPr>
        <w:pStyle w:val="BodyText"/>
        <w:spacing w:line="240" w:lineRule="auto"/>
        <w:rPr>
          <w:rFonts w:ascii="Times New Roman" w:hAnsi="Times New Roman"/>
          <w:sz w:val="24"/>
        </w:rPr>
      </w:pPr>
    </w:p>
    <w:tbl>
      <w:tblPr>
        <w:tblW w:w="9352" w:type="dxa"/>
        <w:tblLayout w:type="fixed"/>
        <w:tblCellMar>
          <w:left w:w="100" w:type="dxa"/>
          <w:right w:w="100" w:type="dxa"/>
        </w:tblCellMar>
        <w:tblLook w:val="0000" w:firstRow="0" w:lastRow="0" w:firstColumn="0" w:lastColumn="0" w:noHBand="0" w:noVBand="0"/>
      </w:tblPr>
      <w:tblGrid>
        <w:gridCol w:w="1882"/>
        <w:gridCol w:w="810"/>
        <w:gridCol w:w="1170"/>
        <w:gridCol w:w="1170"/>
        <w:gridCol w:w="990"/>
        <w:gridCol w:w="2070"/>
        <w:gridCol w:w="1260"/>
      </w:tblGrid>
      <w:tr w:rsidR="00F226DF" w:rsidRPr="00B65A2B" w14:paraId="544EBE10" w14:textId="77777777" w:rsidTr="00BD07ED">
        <w:trPr>
          <w:tblHeader/>
        </w:trPr>
        <w:tc>
          <w:tcPr>
            <w:tcW w:w="1882" w:type="dxa"/>
            <w:tcBorders>
              <w:top w:val="single" w:sz="6" w:space="0" w:color="000000"/>
              <w:left w:val="single" w:sz="6" w:space="0" w:color="000000"/>
            </w:tcBorders>
          </w:tcPr>
          <w:p w14:paraId="66B92E9F" w14:textId="61BA83F0" w:rsidR="00F226DF" w:rsidRPr="00B65A2B" w:rsidRDefault="0090245A" w:rsidP="00B65A2B">
            <w:pPr>
              <w:pStyle w:val="SL-FlLftSgl"/>
              <w:keepNext/>
              <w:keepLines/>
              <w:spacing w:line="240" w:lineRule="auto"/>
              <w:jc w:val="left"/>
              <w:rPr>
                <w:b/>
                <w:color w:val="000000" w:themeColor="text1"/>
              </w:rPr>
            </w:pPr>
            <w:r>
              <w:rPr>
                <w:b/>
                <w:color w:val="000000" w:themeColor="text1"/>
              </w:rPr>
              <w:t xml:space="preserve">Data Collection </w:t>
            </w:r>
            <w:r w:rsidR="00F226DF" w:rsidRPr="00B65A2B">
              <w:rPr>
                <w:b/>
                <w:color w:val="000000" w:themeColor="text1"/>
              </w:rPr>
              <w:t>Activity</w:t>
            </w:r>
            <w:r w:rsidR="00534C7C">
              <w:rPr>
                <w:b/>
                <w:color w:val="000000" w:themeColor="text1"/>
              </w:rPr>
              <w:t xml:space="preserve"> (Respondent Type)</w:t>
            </w:r>
          </w:p>
        </w:tc>
        <w:tc>
          <w:tcPr>
            <w:tcW w:w="810" w:type="dxa"/>
            <w:tcBorders>
              <w:top w:val="single" w:sz="6" w:space="0" w:color="000000"/>
              <w:left w:val="single" w:sz="6" w:space="0" w:color="000000"/>
            </w:tcBorders>
          </w:tcPr>
          <w:p w14:paraId="693E7BCD" w14:textId="6AF09880" w:rsidR="00F226DF" w:rsidRPr="00B65A2B" w:rsidRDefault="00F226DF" w:rsidP="00B65A2B">
            <w:pPr>
              <w:pStyle w:val="SL-FlLftSgl"/>
              <w:keepNext/>
              <w:keepLines/>
              <w:spacing w:line="240" w:lineRule="auto"/>
              <w:jc w:val="left"/>
              <w:rPr>
                <w:b/>
                <w:color w:val="000000" w:themeColor="text1"/>
              </w:rPr>
            </w:pPr>
            <w:r w:rsidRPr="00B65A2B">
              <w:rPr>
                <w:b/>
                <w:color w:val="000000" w:themeColor="text1"/>
              </w:rPr>
              <w:t>No. of Resp</w:t>
            </w:r>
            <w:r w:rsidR="00534C7C">
              <w:rPr>
                <w:b/>
                <w:color w:val="000000" w:themeColor="text1"/>
              </w:rPr>
              <w:t>.</w:t>
            </w:r>
          </w:p>
        </w:tc>
        <w:tc>
          <w:tcPr>
            <w:tcW w:w="1170" w:type="dxa"/>
            <w:tcBorders>
              <w:top w:val="single" w:sz="6" w:space="0" w:color="000000"/>
              <w:left w:val="single" w:sz="6" w:space="0" w:color="000000"/>
              <w:right w:val="single" w:sz="6" w:space="0" w:color="000000"/>
            </w:tcBorders>
          </w:tcPr>
          <w:p w14:paraId="1D2052D9" w14:textId="534934ED" w:rsidR="00F226DF" w:rsidRPr="00B65A2B" w:rsidRDefault="00B65A2B" w:rsidP="00B65A2B">
            <w:pPr>
              <w:pStyle w:val="SL-FlLftSgl"/>
              <w:keepNext/>
              <w:keepLines/>
              <w:spacing w:line="240" w:lineRule="auto"/>
              <w:jc w:val="left"/>
              <w:rPr>
                <w:b/>
                <w:color w:val="000000" w:themeColor="text1"/>
              </w:rPr>
            </w:pPr>
            <w:r w:rsidRPr="00B65A2B">
              <w:rPr>
                <w:b/>
                <w:color w:val="000000" w:themeColor="text1"/>
              </w:rPr>
              <w:t>Responses per Resp</w:t>
            </w:r>
            <w:r w:rsidR="00534C7C">
              <w:rPr>
                <w:b/>
                <w:color w:val="000000" w:themeColor="text1"/>
              </w:rPr>
              <w:t>.</w:t>
            </w:r>
          </w:p>
        </w:tc>
        <w:tc>
          <w:tcPr>
            <w:tcW w:w="1170" w:type="dxa"/>
            <w:tcBorders>
              <w:top w:val="single" w:sz="6" w:space="0" w:color="000000"/>
              <w:left w:val="single" w:sz="6" w:space="0" w:color="000000"/>
            </w:tcBorders>
          </w:tcPr>
          <w:p w14:paraId="7C170D78" w14:textId="77777777" w:rsidR="00F226DF" w:rsidRPr="00B65A2B" w:rsidRDefault="00F226DF" w:rsidP="00B65A2B">
            <w:pPr>
              <w:pStyle w:val="SL-FlLftSgl"/>
              <w:keepNext/>
              <w:keepLines/>
              <w:spacing w:line="240" w:lineRule="auto"/>
              <w:jc w:val="left"/>
              <w:rPr>
                <w:b/>
                <w:color w:val="000000" w:themeColor="text1"/>
              </w:rPr>
            </w:pPr>
            <w:r w:rsidRPr="00B65A2B">
              <w:rPr>
                <w:b/>
                <w:color w:val="000000" w:themeColor="text1"/>
              </w:rPr>
              <w:t>Hours per Response</w:t>
            </w:r>
          </w:p>
        </w:tc>
        <w:tc>
          <w:tcPr>
            <w:tcW w:w="990" w:type="dxa"/>
            <w:tcBorders>
              <w:top w:val="single" w:sz="6" w:space="0" w:color="000000"/>
              <w:left w:val="single" w:sz="6" w:space="0" w:color="000000"/>
            </w:tcBorders>
          </w:tcPr>
          <w:p w14:paraId="1B6CAF1B" w14:textId="77777777" w:rsidR="00F226DF" w:rsidRPr="00B65A2B" w:rsidRDefault="00F226DF" w:rsidP="00B65A2B">
            <w:pPr>
              <w:pStyle w:val="SL-FlLftSgl"/>
              <w:keepNext/>
              <w:keepLines/>
              <w:spacing w:line="240" w:lineRule="auto"/>
              <w:jc w:val="left"/>
              <w:rPr>
                <w:b/>
                <w:color w:val="000000" w:themeColor="text1"/>
              </w:rPr>
            </w:pPr>
            <w:r w:rsidRPr="00B65A2B">
              <w:rPr>
                <w:b/>
                <w:color w:val="000000" w:themeColor="text1"/>
              </w:rPr>
              <w:t>Total Hour Burden</w:t>
            </w:r>
          </w:p>
        </w:tc>
        <w:tc>
          <w:tcPr>
            <w:tcW w:w="2070" w:type="dxa"/>
            <w:tcBorders>
              <w:top w:val="single" w:sz="6" w:space="0" w:color="000000"/>
              <w:left w:val="single" w:sz="6" w:space="0" w:color="000000"/>
            </w:tcBorders>
          </w:tcPr>
          <w:p w14:paraId="338651B0" w14:textId="77777777" w:rsidR="00F226DF" w:rsidRPr="00B65A2B" w:rsidRDefault="00F226DF" w:rsidP="00B65A2B">
            <w:pPr>
              <w:pStyle w:val="SL-FlLftSgl"/>
              <w:keepNext/>
              <w:keepLines/>
              <w:spacing w:line="240" w:lineRule="auto"/>
              <w:jc w:val="left"/>
              <w:rPr>
                <w:b/>
                <w:color w:val="000000" w:themeColor="text1"/>
              </w:rPr>
            </w:pPr>
            <w:r w:rsidRPr="00B65A2B">
              <w:rPr>
                <w:b/>
                <w:color w:val="000000" w:themeColor="text1"/>
              </w:rPr>
              <w:t>Hourly Wage Cost</w:t>
            </w:r>
          </w:p>
        </w:tc>
        <w:tc>
          <w:tcPr>
            <w:tcW w:w="1260" w:type="dxa"/>
            <w:tcBorders>
              <w:top w:val="single" w:sz="6" w:space="0" w:color="000000"/>
              <w:left w:val="single" w:sz="6" w:space="0" w:color="000000"/>
              <w:right w:val="single" w:sz="6" w:space="0" w:color="000000"/>
            </w:tcBorders>
          </w:tcPr>
          <w:p w14:paraId="42F88D3A" w14:textId="77777777" w:rsidR="00F226DF" w:rsidRPr="00B65A2B" w:rsidRDefault="00F226DF" w:rsidP="00B65A2B">
            <w:pPr>
              <w:pStyle w:val="SL-FlLftSgl"/>
              <w:keepNext/>
              <w:keepLines/>
              <w:spacing w:line="240" w:lineRule="auto"/>
              <w:jc w:val="left"/>
              <w:rPr>
                <w:b/>
                <w:color w:val="000000" w:themeColor="text1"/>
              </w:rPr>
            </w:pPr>
            <w:r w:rsidRPr="00B65A2B">
              <w:rPr>
                <w:b/>
                <w:color w:val="000000" w:themeColor="text1"/>
              </w:rPr>
              <w:t xml:space="preserve">Total Hour Cost </w:t>
            </w:r>
          </w:p>
        </w:tc>
      </w:tr>
      <w:tr w:rsidR="00F226DF" w:rsidRPr="00B65A2B" w14:paraId="17F9D0A3" w14:textId="77777777" w:rsidTr="00BD07ED">
        <w:trPr>
          <w:trHeight w:val="678"/>
          <w:tblHeader/>
        </w:trPr>
        <w:tc>
          <w:tcPr>
            <w:tcW w:w="1882" w:type="dxa"/>
            <w:tcBorders>
              <w:top w:val="single" w:sz="6" w:space="0" w:color="000000"/>
              <w:left w:val="single" w:sz="6" w:space="0" w:color="000000"/>
            </w:tcBorders>
            <w:shd w:val="clear" w:color="auto" w:fill="BFBFBF" w:themeFill="background1" w:themeFillShade="BF"/>
          </w:tcPr>
          <w:p w14:paraId="6BDE5D67" w14:textId="5B979031" w:rsidR="00F226DF" w:rsidRPr="00B65A2B" w:rsidRDefault="00F226DF" w:rsidP="00B65A2B">
            <w:pPr>
              <w:pStyle w:val="SL-FlLftSgl"/>
              <w:keepNext/>
              <w:keepLines/>
              <w:spacing w:line="240" w:lineRule="auto"/>
              <w:jc w:val="left"/>
              <w:rPr>
                <w:b/>
                <w:color w:val="000000" w:themeColor="text1"/>
              </w:rPr>
            </w:pPr>
            <w:r w:rsidRPr="00B65A2B">
              <w:rPr>
                <w:b/>
                <w:color w:val="000000" w:themeColor="text1"/>
              </w:rPr>
              <w:t xml:space="preserve">Client </w:t>
            </w:r>
            <w:r w:rsidR="00534C7C">
              <w:rPr>
                <w:b/>
                <w:color w:val="000000" w:themeColor="text1"/>
              </w:rPr>
              <w:t>Q</w:t>
            </w:r>
            <w:r w:rsidRPr="00B65A2B">
              <w:rPr>
                <w:b/>
                <w:color w:val="000000" w:themeColor="text1"/>
              </w:rPr>
              <w:t>uestionnaire</w:t>
            </w:r>
            <w:r w:rsidR="00534C7C">
              <w:rPr>
                <w:b/>
                <w:color w:val="000000" w:themeColor="text1"/>
              </w:rPr>
              <w:t xml:space="preserve"> (</w:t>
            </w:r>
            <w:r w:rsidRPr="00B65A2B">
              <w:rPr>
                <w:b/>
                <w:color w:val="000000" w:themeColor="text1"/>
              </w:rPr>
              <w:t xml:space="preserve">APS </w:t>
            </w:r>
            <w:r w:rsidR="00534C7C">
              <w:rPr>
                <w:b/>
                <w:color w:val="000000" w:themeColor="text1"/>
              </w:rPr>
              <w:t>c</w:t>
            </w:r>
            <w:r w:rsidRPr="00B65A2B">
              <w:rPr>
                <w:b/>
                <w:color w:val="000000" w:themeColor="text1"/>
              </w:rPr>
              <w:t>lients</w:t>
            </w:r>
            <w:r w:rsidR="00534C7C">
              <w:rPr>
                <w:b/>
                <w:color w:val="000000" w:themeColor="text1"/>
              </w:rPr>
              <w:t>)</w:t>
            </w:r>
          </w:p>
        </w:tc>
        <w:tc>
          <w:tcPr>
            <w:tcW w:w="810" w:type="dxa"/>
            <w:tcBorders>
              <w:top w:val="single" w:sz="6" w:space="0" w:color="000000"/>
              <w:left w:val="single" w:sz="6" w:space="0" w:color="000000"/>
            </w:tcBorders>
            <w:shd w:val="clear" w:color="auto" w:fill="BFBFBF" w:themeFill="background1" w:themeFillShade="BF"/>
          </w:tcPr>
          <w:p w14:paraId="4CB22058" w14:textId="56858D78" w:rsidR="00F226DF" w:rsidRPr="00B65A2B" w:rsidRDefault="00C93E75" w:rsidP="00B65A2B">
            <w:pPr>
              <w:pStyle w:val="SL-FlLftSgl"/>
              <w:keepNext/>
              <w:keepLines/>
              <w:spacing w:line="240" w:lineRule="auto"/>
              <w:jc w:val="left"/>
              <w:rPr>
                <w:color w:val="000000" w:themeColor="text1"/>
              </w:rPr>
            </w:pPr>
            <w:r>
              <w:rPr>
                <w:color w:val="000000" w:themeColor="text1"/>
              </w:rPr>
              <w:t>6</w:t>
            </w:r>
            <w:r w:rsidR="00F226DF" w:rsidRPr="00B65A2B">
              <w:rPr>
                <w:color w:val="000000" w:themeColor="text1"/>
              </w:rPr>
              <w:t>,000</w:t>
            </w:r>
          </w:p>
        </w:tc>
        <w:tc>
          <w:tcPr>
            <w:tcW w:w="1170" w:type="dxa"/>
            <w:tcBorders>
              <w:top w:val="single" w:sz="6" w:space="0" w:color="000000"/>
              <w:left w:val="single" w:sz="6" w:space="0" w:color="000000"/>
              <w:right w:val="single" w:sz="6" w:space="0" w:color="000000"/>
            </w:tcBorders>
            <w:shd w:val="clear" w:color="auto" w:fill="BFBFBF" w:themeFill="background1" w:themeFillShade="BF"/>
          </w:tcPr>
          <w:p w14:paraId="688FA768"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w:t>
            </w:r>
          </w:p>
        </w:tc>
        <w:tc>
          <w:tcPr>
            <w:tcW w:w="1170" w:type="dxa"/>
            <w:tcBorders>
              <w:top w:val="single" w:sz="6" w:space="0" w:color="000000"/>
              <w:left w:val="single" w:sz="6" w:space="0" w:color="000000"/>
            </w:tcBorders>
            <w:shd w:val="clear" w:color="auto" w:fill="BFBFBF" w:themeFill="background1" w:themeFillShade="BF"/>
          </w:tcPr>
          <w:p w14:paraId="6A164002" w14:textId="67F8163E" w:rsidR="00F226DF" w:rsidRPr="00B65A2B" w:rsidRDefault="0090245A" w:rsidP="00B65A2B">
            <w:pPr>
              <w:pStyle w:val="SL-FlLftSgl"/>
              <w:keepNext/>
              <w:keepLines/>
              <w:spacing w:line="240" w:lineRule="auto"/>
              <w:jc w:val="left"/>
              <w:rPr>
                <w:color w:val="000000" w:themeColor="text1"/>
              </w:rPr>
            </w:pPr>
            <w:r>
              <w:rPr>
                <w:color w:val="000000" w:themeColor="text1"/>
              </w:rPr>
              <w:t>0.167</w:t>
            </w:r>
          </w:p>
        </w:tc>
        <w:tc>
          <w:tcPr>
            <w:tcW w:w="990" w:type="dxa"/>
            <w:tcBorders>
              <w:top w:val="single" w:sz="6" w:space="0" w:color="000000"/>
              <w:left w:val="single" w:sz="6" w:space="0" w:color="000000"/>
            </w:tcBorders>
            <w:shd w:val="clear" w:color="auto" w:fill="BFBFBF" w:themeFill="background1" w:themeFillShade="BF"/>
          </w:tcPr>
          <w:p w14:paraId="72A276E6" w14:textId="3C9B9286" w:rsidR="00F226DF" w:rsidRPr="00B65A2B" w:rsidRDefault="00EA3FE2" w:rsidP="00B65A2B">
            <w:pPr>
              <w:pStyle w:val="SL-FlLftSgl"/>
              <w:keepNext/>
              <w:keepLines/>
              <w:spacing w:line="240" w:lineRule="auto"/>
              <w:jc w:val="left"/>
              <w:rPr>
                <w:color w:val="000000" w:themeColor="text1"/>
              </w:rPr>
            </w:pPr>
            <w:r>
              <w:rPr>
                <w:color w:val="000000" w:themeColor="text1"/>
              </w:rPr>
              <w:t>1,002</w:t>
            </w:r>
          </w:p>
        </w:tc>
        <w:tc>
          <w:tcPr>
            <w:tcW w:w="2070" w:type="dxa"/>
            <w:tcBorders>
              <w:top w:val="single" w:sz="6" w:space="0" w:color="000000"/>
              <w:left w:val="single" w:sz="6" w:space="0" w:color="000000"/>
            </w:tcBorders>
            <w:shd w:val="clear" w:color="auto" w:fill="BFBFBF" w:themeFill="background1" w:themeFillShade="BF"/>
          </w:tcPr>
          <w:p w14:paraId="5DB83E27" w14:textId="3AD85B90"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$7.25</w:t>
            </w:r>
            <w:r w:rsidR="00B65A2B" w:rsidRPr="00B65A2B">
              <w:rPr>
                <w:color w:val="000000" w:themeColor="text1"/>
              </w:rPr>
              <w:t xml:space="preserve"> (Federal minimum wage)</w:t>
            </w:r>
          </w:p>
        </w:tc>
        <w:tc>
          <w:tcPr>
            <w:tcW w:w="1260" w:type="dxa"/>
            <w:tcBorders>
              <w:top w:val="single" w:sz="6" w:space="0" w:color="000000"/>
              <w:left w:val="single" w:sz="6" w:space="0" w:color="000000"/>
              <w:right w:val="single" w:sz="6" w:space="0" w:color="000000"/>
            </w:tcBorders>
            <w:shd w:val="clear" w:color="auto" w:fill="BFBFBF" w:themeFill="background1" w:themeFillShade="BF"/>
          </w:tcPr>
          <w:p w14:paraId="00354DE4" w14:textId="3253AC44" w:rsidR="00F226DF" w:rsidRPr="00B65A2B" w:rsidRDefault="00185961" w:rsidP="00B65A2B">
            <w:pPr>
              <w:pStyle w:val="SL-FlLftSgl"/>
              <w:keepNext/>
              <w:keepLines/>
              <w:spacing w:line="240" w:lineRule="auto"/>
              <w:jc w:val="left"/>
              <w:rPr>
                <w:color w:val="000000" w:themeColor="text1"/>
              </w:rPr>
            </w:pPr>
            <w:r>
              <w:rPr>
                <w:color w:val="000000" w:themeColor="text1"/>
              </w:rPr>
              <w:t>$7,264.50</w:t>
            </w:r>
          </w:p>
        </w:tc>
      </w:tr>
      <w:tr w:rsidR="00F226DF" w:rsidRPr="00B65A2B" w14:paraId="29DDA6C3" w14:textId="77777777" w:rsidTr="00BD07ED">
        <w:trPr>
          <w:trHeight w:val="678"/>
          <w:tblHeader/>
        </w:trPr>
        <w:tc>
          <w:tcPr>
            <w:tcW w:w="1882" w:type="dxa"/>
            <w:tcBorders>
              <w:top w:val="single" w:sz="6" w:space="0" w:color="000000"/>
              <w:left w:val="single" w:sz="6" w:space="0" w:color="000000"/>
            </w:tcBorders>
          </w:tcPr>
          <w:p w14:paraId="65C5C884" w14:textId="388C7BD1" w:rsidR="00F226DF" w:rsidRPr="00B65A2B" w:rsidRDefault="00F226DF" w:rsidP="00B65A2B">
            <w:pPr>
              <w:pStyle w:val="SL-FlLftSgl"/>
              <w:keepNext/>
              <w:keepLines/>
              <w:spacing w:line="240" w:lineRule="auto"/>
              <w:jc w:val="left"/>
              <w:rPr>
                <w:b/>
                <w:color w:val="000000" w:themeColor="text1"/>
              </w:rPr>
            </w:pPr>
            <w:r w:rsidRPr="00B65A2B">
              <w:rPr>
                <w:b/>
                <w:color w:val="000000" w:themeColor="text1"/>
              </w:rPr>
              <w:t xml:space="preserve">Client </w:t>
            </w:r>
            <w:r w:rsidR="00534C7C">
              <w:rPr>
                <w:b/>
                <w:color w:val="000000" w:themeColor="text1"/>
              </w:rPr>
              <w:t>D</w:t>
            </w:r>
            <w:r w:rsidRPr="00B65A2B">
              <w:rPr>
                <w:b/>
                <w:color w:val="000000" w:themeColor="text1"/>
              </w:rPr>
              <w:t xml:space="preserve">ata </w:t>
            </w:r>
            <w:r w:rsidR="00534C7C">
              <w:rPr>
                <w:b/>
                <w:color w:val="000000" w:themeColor="text1"/>
              </w:rPr>
              <w:t>F</w:t>
            </w:r>
            <w:r w:rsidRPr="00B65A2B">
              <w:rPr>
                <w:b/>
                <w:color w:val="000000" w:themeColor="text1"/>
              </w:rPr>
              <w:t>orm</w:t>
            </w:r>
            <w:r w:rsidR="00534C7C">
              <w:rPr>
                <w:b/>
                <w:color w:val="000000" w:themeColor="text1"/>
              </w:rPr>
              <w:t xml:space="preserve"> (</w:t>
            </w:r>
            <w:r w:rsidRPr="00B65A2B">
              <w:rPr>
                <w:b/>
                <w:color w:val="000000" w:themeColor="text1"/>
              </w:rPr>
              <w:t xml:space="preserve">APS </w:t>
            </w:r>
            <w:r w:rsidR="00534C7C">
              <w:rPr>
                <w:b/>
                <w:color w:val="000000" w:themeColor="text1"/>
              </w:rPr>
              <w:t>c</w:t>
            </w:r>
            <w:r w:rsidRPr="00B65A2B">
              <w:rPr>
                <w:b/>
                <w:color w:val="000000" w:themeColor="text1"/>
              </w:rPr>
              <w:t>aseworkers</w:t>
            </w:r>
            <w:r w:rsidR="00534C7C">
              <w:rPr>
                <w:b/>
                <w:color w:val="000000" w:themeColor="text1"/>
              </w:rPr>
              <w:t>)</w:t>
            </w:r>
          </w:p>
        </w:tc>
        <w:tc>
          <w:tcPr>
            <w:tcW w:w="810" w:type="dxa"/>
            <w:tcBorders>
              <w:top w:val="single" w:sz="6" w:space="0" w:color="000000"/>
              <w:left w:val="single" w:sz="6" w:space="0" w:color="000000"/>
            </w:tcBorders>
          </w:tcPr>
          <w:p w14:paraId="6FAA6D36" w14:textId="4F048724" w:rsidR="00F226DF" w:rsidRPr="00B65A2B" w:rsidRDefault="00B65A2B" w:rsidP="00B65A2B">
            <w:pPr>
              <w:pStyle w:val="SL-FlLftSgl"/>
              <w:keepNext/>
              <w:keepLines/>
              <w:spacing w:line="240" w:lineRule="auto"/>
              <w:jc w:val="left"/>
              <w:rPr>
                <w:color w:val="000000" w:themeColor="text1"/>
              </w:rPr>
            </w:pPr>
            <w:r w:rsidRPr="00B65A2B">
              <w:rPr>
                <w:color w:val="000000" w:themeColor="text1"/>
              </w:rPr>
              <w:t>*</w:t>
            </w:r>
            <w:r w:rsidR="00C93E75">
              <w:rPr>
                <w:color w:val="000000" w:themeColor="text1"/>
              </w:rPr>
              <w:t>6</w:t>
            </w:r>
            <w:r w:rsidRPr="00B65A2B">
              <w:rPr>
                <w:color w:val="000000" w:themeColor="text1"/>
              </w:rPr>
              <w:t>,000</w:t>
            </w:r>
          </w:p>
        </w:tc>
        <w:tc>
          <w:tcPr>
            <w:tcW w:w="1170" w:type="dxa"/>
            <w:tcBorders>
              <w:top w:val="single" w:sz="6" w:space="0" w:color="000000"/>
              <w:left w:val="single" w:sz="6" w:space="0" w:color="000000"/>
              <w:right w:val="single" w:sz="6" w:space="0" w:color="000000"/>
            </w:tcBorders>
          </w:tcPr>
          <w:p w14:paraId="782CAD4B"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w:t>
            </w:r>
          </w:p>
        </w:tc>
        <w:tc>
          <w:tcPr>
            <w:tcW w:w="1170" w:type="dxa"/>
            <w:tcBorders>
              <w:top w:val="single" w:sz="6" w:space="0" w:color="000000"/>
              <w:left w:val="single" w:sz="6" w:space="0" w:color="000000"/>
            </w:tcBorders>
          </w:tcPr>
          <w:p w14:paraId="6501200A" w14:textId="7000B5E5" w:rsidR="00F226DF" w:rsidRPr="00B65A2B" w:rsidRDefault="0090245A" w:rsidP="00B65A2B">
            <w:pPr>
              <w:pStyle w:val="SL-FlLftSgl"/>
              <w:keepNext/>
              <w:keepLines/>
              <w:spacing w:line="240" w:lineRule="auto"/>
              <w:jc w:val="left"/>
              <w:rPr>
                <w:color w:val="000000" w:themeColor="text1"/>
              </w:rPr>
            </w:pPr>
            <w:r>
              <w:rPr>
                <w:color w:val="000000" w:themeColor="text1"/>
              </w:rPr>
              <w:t>0.167</w:t>
            </w:r>
          </w:p>
        </w:tc>
        <w:tc>
          <w:tcPr>
            <w:tcW w:w="990" w:type="dxa"/>
            <w:tcBorders>
              <w:top w:val="single" w:sz="6" w:space="0" w:color="000000"/>
              <w:left w:val="single" w:sz="6" w:space="0" w:color="000000"/>
            </w:tcBorders>
          </w:tcPr>
          <w:p w14:paraId="7736FAF8" w14:textId="335A7F0E" w:rsidR="00F226DF" w:rsidRPr="00B65A2B" w:rsidRDefault="00EA3FE2" w:rsidP="00B65A2B">
            <w:pPr>
              <w:pStyle w:val="SL-FlLftSgl"/>
              <w:keepNext/>
              <w:keepLines/>
              <w:spacing w:line="240" w:lineRule="auto"/>
              <w:jc w:val="left"/>
              <w:rPr>
                <w:color w:val="000000" w:themeColor="text1"/>
              </w:rPr>
            </w:pPr>
            <w:r>
              <w:rPr>
                <w:color w:val="000000" w:themeColor="text1"/>
              </w:rPr>
              <w:t>1,002</w:t>
            </w:r>
          </w:p>
        </w:tc>
        <w:tc>
          <w:tcPr>
            <w:tcW w:w="2070" w:type="dxa"/>
            <w:tcBorders>
              <w:top w:val="single" w:sz="6" w:space="0" w:color="000000"/>
              <w:left w:val="single" w:sz="6" w:space="0" w:color="000000"/>
            </w:tcBorders>
          </w:tcPr>
          <w:p w14:paraId="1346E60C" w14:textId="6A574EB4" w:rsidR="00F226DF" w:rsidRPr="00B65A2B" w:rsidRDefault="00F226DF" w:rsidP="00B65A2B">
            <w:pPr>
              <w:pStyle w:val="SL-FlLftSgl"/>
              <w:keepNext/>
              <w:keepLines/>
              <w:spacing w:line="240" w:lineRule="auto"/>
              <w:jc w:val="left"/>
              <w:rPr>
                <w:b/>
              </w:rPr>
            </w:pPr>
            <w:r w:rsidRPr="00B65A2B">
              <w:rPr>
                <w:color w:val="000000" w:themeColor="text1"/>
              </w:rPr>
              <w:t>$25.51</w:t>
            </w:r>
            <w:r w:rsidR="00B65A2B" w:rsidRPr="00B65A2B">
              <w:rPr>
                <w:color w:val="000000" w:themeColor="text1"/>
              </w:rPr>
              <w:t xml:space="preserve"> (BLS Occupational data Social Workers</w:t>
            </w:r>
            <w:r w:rsidR="00184E00" w:rsidRPr="00B65A2B">
              <w:rPr>
                <w:rStyle w:val="FootnoteReference"/>
                <w:color w:val="000000" w:themeColor="text1"/>
              </w:rPr>
              <w:footnoteReference w:id="2"/>
            </w:r>
            <w:r w:rsidR="00B65A2B" w:rsidRPr="00B65A2B">
              <w:rPr>
                <w:color w:val="000000" w:themeColor="text1"/>
              </w:rPr>
              <w:t>)</w:t>
            </w:r>
          </w:p>
        </w:tc>
        <w:tc>
          <w:tcPr>
            <w:tcW w:w="1260" w:type="dxa"/>
            <w:tcBorders>
              <w:top w:val="single" w:sz="6" w:space="0" w:color="000000"/>
              <w:left w:val="single" w:sz="6" w:space="0" w:color="000000"/>
              <w:right w:val="single" w:sz="6" w:space="0" w:color="000000"/>
            </w:tcBorders>
          </w:tcPr>
          <w:p w14:paraId="21F407D8" w14:textId="7BC15321" w:rsidR="00F226DF" w:rsidRPr="00B65A2B" w:rsidRDefault="00185961" w:rsidP="00B65A2B">
            <w:pPr>
              <w:pStyle w:val="SL-FlLftSgl"/>
              <w:keepNext/>
              <w:keepLines/>
              <w:spacing w:line="240" w:lineRule="auto"/>
              <w:jc w:val="left"/>
              <w:rPr>
                <w:color w:val="000000" w:themeColor="text1"/>
              </w:rPr>
            </w:pPr>
            <w:r>
              <w:rPr>
                <w:color w:val="000000" w:themeColor="text1"/>
              </w:rPr>
              <w:t>$25,561.02</w:t>
            </w:r>
          </w:p>
        </w:tc>
      </w:tr>
      <w:tr w:rsidR="00F226DF" w:rsidRPr="00B65A2B" w14:paraId="14824023" w14:textId="77777777" w:rsidTr="00BD07ED">
        <w:trPr>
          <w:trHeight w:val="678"/>
          <w:tblHeader/>
        </w:trPr>
        <w:tc>
          <w:tcPr>
            <w:tcW w:w="1882" w:type="dxa"/>
            <w:tcBorders>
              <w:top w:val="single" w:sz="6" w:space="0" w:color="000000"/>
              <w:left w:val="single" w:sz="6" w:space="0" w:color="000000"/>
            </w:tcBorders>
            <w:shd w:val="clear" w:color="auto" w:fill="BFBFBF" w:themeFill="background1" w:themeFillShade="BF"/>
          </w:tcPr>
          <w:p w14:paraId="375350A5" w14:textId="18B69F90" w:rsidR="00F226DF" w:rsidRPr="00B65A2B" w:rsidRDefault="00534C7C" w:rsidP="00B65A2B">
            <w:pPr>
              <w:pStyle w:val="SL-FlLftSgl"/>
              <w:keepNext/>
              <w:keepLines/>
              <w:spacing w:line="240" w:lineRule="auto"/>
              <w:jc w:val="left"/>
              <w:rPr>
                <w:b/>
                <w:color w:val="000000" w:themeColor="text1"/>
              </w:rPr>
            </w:pPr>
            <w:r>
              <w:rPr>
                <w:b/>
                <w:color w:val="000000" w:themeColor="text1"/>
              </w:rPr>
              <w:t>Client interview (</w:t>
            </w:r>
            <w:r w:rsidR="00F226DF" w:rsidRPr="00B65A2B">
              <w:rPr>
                <w:b/>
                <w:color w:val="000000" w:themeColor="text1"/>
              </w:rPr>
              <w:t>APS clients</w:t>
            </w:r>
            <w:r>
              <w:rPr>
                <w:b/>
                <w:color w:val="000000" w:themeColor="text1"/>
              </w:rPr>
              <w:t>)</w:t>
            </w:r>
          </w:p>
        </w:tc>
        <w:tc>
          <w:tcPr>
            <w:tcW w:w="810" w:type="dxa"/>
            <w:tcBorders>
              <w:top w:val="single" w:sz="6" w:space="0" w:color="000000"/>
              <w:left w:val="single" w:sz="6" w:space="0" w:color="000000"/>
            </w:tcBorders>
            <w:shd w:val="clear" w:color="auto" w:fill="BFBFBF" w:themeFill="background1" w:themeFillShade="BF"/>
          </w:tcPr>
          <w:p w14:paraId="1249A090"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24</w:t>
            </w:r>
          </w:p>
        </w:tc>
        <w:tc>
          <w:tcPr>
            <w:tcW w:w="1170" w:type="dxa"/>
            <w:tcBorders>
              <w:top w:val="single" w:sz="6" w:space="0" w:color="000000"/>
              <w:left w:val="single" w:sz="6" w:space="0" w:color="000000"/>
              <w:right w:val="single" w:sz="6" w:space="0" w:color="000000"/>
            </w:tcBorders>
            <w:shd w:val="clear" w:color="auto" w:fill="BFBFBF" w:themeFill="background1" w:themeFillShade="BF"/>
          </w:tcPr>
          <w:p w14:paraId="2DA166E4"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w:t>
            </w:r>
          </w:p>
        </w:tc>
        <w:tc>
          <w:tcPr>
            <w:tcW w:w="1170" w:type="dxa"/>
            <w:tcBorders>
              <w:top w:val="single" w:sz="6" w:space="0" w:color="000000"/>
              <w:left w:val="single" w:sz="6" w:space="0" w:color="000000"/>
            </w:tcBorders>
            <w:shd w:val="clear" w:color="auto" w:fill="BFBFBF" w:themeFill="background1" w:themeFillShade="BF"/>
          </w:tcPr>
          <w:p w14:paraId="23F5039C"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0.75</w:t>
            </w:r>
          </w:p>
        </w:tc>
        <w:tc>
          <w:tcPr>
            <w:tcW w:w="990" w:type="dxa"/>
            <w:tcBorders>
              <w:top w:val="single" w:sz="6" w:space="0" w:color="000000"/>
              <w:left w:val="single" w:sz="6" w:space="0" w:color="000000"/>
            </w:tcBorders>
            <w:shd w:val="clear" w:color="auto" w:fill="BFBFBF" w:themeFill="background1" w:themeFillShade="BF"/>
          </w:tcPr>
          <w:p w14:paraId="099835CB"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18</w:t>
            </w:r>
          </w:p>
        </w:tc>
        <w:tc>
          <w:tcPr>
            <w:tcW w:w="2070" w:type="dxa"/>
            <w:tcBorders>
              <w:top w:val="single" w:sz="6" w:space="0" w:color="000000"/>
              <w:left w:val="single" w:sz="6" w:space="0" w:color="000000"/>
            </w:tcBorders>
            <w:shd w:val="clear" w:color="auto" w:fill="BFBFBF" w:themeFill="background1" w:themeFillShade="BF"/>
          </w:tcPr>
          <w:p w14:paraId="2F54501D" w14:textId="6FF36D56" w:rsidR="00F226DF" w:rsidRPr="00B65A2B" w:rsidRDefault="00B65A2B" w:rsidP="00B65A2B">
            <w:pPr>
              <w:pStyle w:val="SL-FlLftSgl"/>
              <w:keepNext/>
              <w:keepLines/>
              <w:spacing w:line="240" w:lineRule="auto"/>
              <w:jc w:val="left"/>
              <w:rPr>
                <w:color w:val="000000" w:themeColor="text1"/>
              </w:rPr>
            </w:pPr>
            <w:r w:rsidRPr="00B65A2B">
              <w:rPr>
                <w:color w:val="000000" w:themeColor="text1"/>
              </w:rPr>
              <w:t>$7.25 (Federal minimum wage)</w:t>
            </w:r>
          </w:p>
        </w:tc>
        <w:tc>
          <w:tcPr>
            <w:tcW w:w="1260" w:type="dxa"/>
            <w:tcBorders>
              <w:top w:val="single" w:sz="6" w:space="0" w:color="000000"/>
              <w:left w:val="single" w:sz="6" w:space="0" w:color="000000"/>
              <w:right w:val="single" w:sz="6" w:space="0" w:color="000000"/>
            </w:tcBorders>
            <w:shd w:val="clear" w:color="auto" w:fill="BFBFBF" w:themeFill="background1" w:themeFillShade="BF"/>
          </w:tcPr>
          <w:p w14:paraId="5092382F"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$130.50</w:t>
            </w:r>
          </w:p>
        </w:tc>
      </w:tr>
      <w:tr w:rsidR="00F226DF" w:rsidRPr="00B65A2B" w14:paraId="524D1CE5" w14:textId="77777777" w:rsidTr="00BD07ED">
        <w:trPr>
          <w:trHeight w:val="723"/>
          <w:tblHeader/>
        </w:trPr>
        <w:tc>
          <w:tcPr>
            <w:tcW w:w="1882" w:type="dxa"/>
            <w:tcBorders>
              <w:top w:val="single" w:sz="6" w:space="0" w:color="000000"/>
              <w:left w:val="single" w:sz="6" w:space="0" w:color="000000"/>
            </w:tcBorders>
          </w:tcPr>
          <w:p w14:paraId="63E3491E" w14:textId="7F17E3D9" w:rsidR="00F226DF" w:rsidRPr="00B65A2B" w:rsidRDefault="00534C7C" w:rsidP="00B65A2B">
            <w:pPr>
              <w:pStyle w:val="SL-FlLftSgl"/>
              <w:keepNext/>
              <w:keepLines/>
              <w:spacing w:line="240" w:lineRule="auto"/>
              <w:jc w:val="left"/>
              <w:rPr>
                <w:b/>
                <w:color w:val="000000" w:themeColor="text1"/>
              </w:rPr>
            </w:pPr>
            <w:bookmarkStart w:id="3" w:name="_Hlk493658284"/>
            <w:r>
              <w:rPr>
                <w:b/>
                <w:color w:val="000000" w:themeColor="text1"/>
              </w:rPr>
              <w:t>Caseworker f</w:t>
            </w:r>
            <w:r w:rsidR="00F226DF" w:rsidRPr="00B65A2B">
              <w:rPr>
                <w:b/>
                <w:color w:val="000000" w:themeColor="text1"/>
              </w:rPr>
              <w:t xml:space="preserve">ocus </w:t>
            </w:r>
            <w:r>
              <w:rPr>
                <w:b/>
                <w:color w:val="000000" w:themeColor="text1"/>
              </w:rPr>
              <w:t>g</w:t>
            </w:r>
            <w:r w:rsidR="00F226DF" w:rsidRPr="00B65A2B">
              <w:rPr>
                <w:b/>
                <w:color w:val="000000" w:themeColor="text1"/>
              </w:rPr>
              <w:t>roup</w:t>
            </w:r>
            <w:r>
              <w:rPr>
                <w:b/>
                <w:color w:val="000000" w:themeColor="text1"/>
              </w:rPr>
              <w:t xml:space="preserve"> (</w:t>
            </w:r>
            <w:r w:rsidR="00F226DF" w:rsidRPr="00B65A2B">
              <w:rPr>
                <w:b/>
                <w:color w:val="000000" w:themeColor="text1"/>
              </w:rPr>
              <w:t>APS case</w:t>
            </w:r>
            <w:r>
              <w:rPr>
                <w:b/>
                <w:color w:val="000000" w:themeColor="text1"/>
              </w:rPr>
              <w:t>workers</w:t>
            </w:r>
            <w:bookmarkEnd w:id="3"/>
            <w:r>
              <w:rPr>
                <w:b/>
                <w:color w:val="000000" w:themeColor="text1"/>
              </w:rPr>
              <w:t>)</w:t>
            </w:r>
          </w:p>
        </w:tc>
        <w:tc>
          <w:tcPr>
            <w:tcW w:w="810" w:type="dxa"/>
            <w:tcBorders>
              <w:top w:val="single" w:sz="6" w:space="0" w:color="000000"/>
              <w:left w:val="single" w:sz="6" w:space="0" w:color="000000"/>
            </w:tcBorders>
          </w:tcPr>
          <w:p w14:paraId="2178EBE7"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84</w:t>
            </w:r>
          </w:p>
        </w:tc>
        <w:tc>
          <w:tcPr>
            <w:tcW w:w="1170" w:type="dxa"/>
            <w:tcBorders>
              <w:top w:val="single" w:sz="6" w:space="0" w:color="000000"/>
              <w:left w:val="single" w:sz="6" w:space="0" w:color="000000"/>
              <w:right w:val="single" w:sz="6" w:space="0" w:color="000000"/>
            </w:tcBorders>
          </w:tcPr>
          <w:p w14:paraId="36FEB4E4"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w:t>
            </w:r>
          </w:p>
        </w:tc>
        <w:tc>
          <w:tcPr>
            <w:tcW w:w="1170" w:type="dxa"/>
            <w:tcBorders>
              <w:top w:val="single" w:sz="6" w:space="0" w:color="000000"/>
              <w:left w:val="single" w:sz="6" w:space="0" w:color="000000"/>
            </w:tcBorders>
          </w:tcPr>
          <w:p w14:paraId="646E5C9A"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1.5</w:t>
            </w:r>
          </w:p>
        </w:tc>
        <w:tc>
          <w:tcPr>
            <w:tcW w:w="990" w:type="dxa"/>
            <w:tcBorders>
              <w:top w:val="single" w:sz="6" w:space="0" w:color="000000"/>
              <w:left w:val="single" w:sz="6" w:space="0" w:color="000000"/>
            </w:tcBorders>
          </w:tcPr>
          <w:p w14:paraId="78E36E9C"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126</w:t>
            </w:r>
          </w:p>
        </w:tc>
        <w:tc>
          <w:tcPr>
            <w:tcW w:w="2070" w:type="dxa"/>
            <w:tcBorders>
              <w:top w:val="single" w:sz="6" w:space="0" w:color="000000"/>
              <w:left w:val="single" w:sz="6" w:space="0" w:color="000000"/>
            </w:tcBorders>
          </w:tcPr>
          <w:p w14:paraId="481761BD" w14:textId="4AE5BB82" w:rsidR="00F226DF" w:rsidRPr="00B65A2B" w:rsidRDefault="00B65A2B" w:rsidP="00B65A2B">
            <w:pPr>
              <w:pStyle w:val="SL-FlLftSgl"/>
              <w:keepNext/>
              <w:keepLines/>
              <w:spacing w:line="240" w:lineRule="auto"/>
              <w:jc w:val="left"/>
              <w:rPr>
                <w:color w:val="000000" w:themeColor="text1"/>
              </w:rPr>
            </w:pPr>
            <w:r w:rsidRPr="00B65A2B">
              <w:rPr>
                <w:color w:val="000000" w:themeColor="text1"/>
              </w:rPr>
              <w:t>$25.51 (BLS Occupational data Social Workers)</w:t>
            </w:r>
          </w:p>
        </w:tc>
        <w:tc>
          <w:tcPr>
            <w:tcW w:w="1260" w:type="dxa"/>
            <w:tcBorders>
              <w:top w:val="single" w:sz="6" w:space="0" w:color="000000"/>
              <w:left w:val="single" w:sz="6" w:space="0" w:color="000000"/>
              <w:right w:val="single" w:sz="6" w:space="0" w:color="000000"/>
            </w:tcBorders>
          </w:tcPr>
          <w:p w14:paraId="440D6E4B" w14:textId="66C13944"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$3</w:t>
            </w:r>
            <w:r w:rsidR="00184E00">
              <w:rPr>
                <w:color w:val="000000" w:themeColor="text1"/>
              </w:rPr>
              <w:t>,</w:t>
            </w:r>
            <w:r w:rsidRPr="00B65A2B">
              <w:rPr>
                <w:color w:val="000000" w:themeColor="text1"/>
              </w:rPr>
              <w:t>214.26</w:t>
            </w:r>
          </w:p>
        </w:tc>
      </w:tr>
      <w:tr w:rsidR="00F226DF" w:rsidRPr="00B65A2B" w14:paraId="0562CDFA" w14:textId="77777777" w:rsidTr="00BD07ED">
        <w:trPr>
          <w:tblHeader/>
        </w:trPr>
        <w:tc>
          <w:tcPr>
            <w:tcW w:w="1882" w:type="dxa"/>
            <w:tcBorders>
              <w:top w:val="single" w:sz="6" w:space="0" w:color="000000"/>
              <w:left w:val="single" w:sz="6" w:space="0" w:color="000000"/>
              <w:bottom w:val="single" w:sz="6" w:space="0" w:color="000000"/>
            </w:tcBorders>
            <w:shd w:val="clear" w:color="auto" w:fill="BFBFBF" w:themeFill="background1" w:themeFillShade="BF"/>
          </w:tcPr>
          <w:p w14:paraId="735A5B60" w14:textId="4790BF6D" w:rsidR="00F226DF" w:rsidRPr="00B65A2B" w:rsidRDefault="00534C7C" w:rsidP="00B65A2B">
            <w:pPr>
              <w:pStyle w:val="SL-FlLftSgl"/>
              <w:keepNext/>
              <w:keepLines/>
              <w:spacing w:line="240" w:lineRule="auto"/>
              <w:jc w:val="left"/>
              <w:rPr>
                <w:b/>
                <w:color w:val="000000" w:themeColor="text1"/>
              </w:rPr>
            </w:pPr>
            <w:bookmarkStart w:id="4" w:name="_Hlk493658255"/>
            <w:r>
              <w:rPr>
                <w:b/>
                <w:color w:val="000000" w:themeColor="text1"/>
              </w:rPr>
              <w:t xml:space="preserve">Leader </w:t>
            </w:r>
            <w:r w:rsidR="00F226DF" w:rsidRPr="00B65A2B">
              <w:rPr>
                <w:b/>
                <w:color w:val="000000" w:themeColor="text1"/>
              </w:rPr>
              <w:t>Interview (</w:t>
            </w:r>
            <w:bookmarkEnd w:id="4"/>
            <w:r>
              <w:rPr>
                <w:b/>
                <w:color w:val="000000" w:themeColor="text1"/>
              </w:rPr>
              <w:t>APS leaders)</w:t>
            </w:r>
          </w:p>
        </w:tc>
        <w:tc>
          <w:tcPr>
            <w:tcW w:w="810" w:type="dxa"/>
            <w:tcBorders>
              <w:top w:val="single" w:sz="6" w:space="0" w:color="000000"/>
              <w:left w:val="single" w:sz="6" w:space="0" w:color="000000"/>
              <w:bottom w:val="single" w:sz="6" w:space="0" w:color="000000"/>
            </w:tcBorders>
            <w:shd w:val="clear" w:color="auto" w:fill="BFBFBF" w:themeFill="background1" w:themeFillShade="BF"/>
          </w:tcPr>
          <w:p w14:paraId="6C705813"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16</w:t>
            </w:r>
          </w:p>
        </w:tc>
        <w:tc>
          <w:tcPr>
            <w:tcW w:w="11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CEFC7D1"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w:t>
            </w:r>
          </w:p>
        </w:tc>
        <w:tc>
          <w:tcPr>
            <w:tcW w:w="1170" w:type="dxa"/>
            <w:tcBorders>
              <w:top w:val="single" w:sz="6" w:space="0" w:color="000000"/>
              <w:left w:val="single" w:sz="6" w:space="0" w:color="000000"/>
              <w:bottom w:val="single" w:sz="6" w:space="0" w:color="000000"/>
            </w:tcBorders>
            <w:shd w:val="clear" w:color="auto" w:fill="BFBFBF" w:themeFill="background1" w:themeFillShade="BF"/>
          </w:tcPr>
          <w:p w14:paraId="05D15A98"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w:t>
            </w:r>
          </w:p>
        </w:tc>
        <w:tc>
          <w:tcPr>
            <w:tcW w:w="990" w:type="dxa"/>
            <w:tcBorders>
              <w:top w:val="single" w:sz="6" w:space="0" w:color="000000"/>
              <w:left w:val="single" w:sz="6" w:space="0" w:color="000000"/>
              <w:bottom w:val="single" w:sz="6" w:space="0" w:color="000000"/>
            </w:tcBorders>
            <w:shd w:val="clear" w:color="auto" w:fill="BFBFBF" w:themeFill="background1" w:themeFillShade="BF"/>
          </w:tcPr>
          <w:p w14:paraId="4B8D3F80"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16</w:t>
            </w:r>
          </w:p>
        </w:tc>
        <w:tc>
          <w:tcPr>
            <w:tcW w:w="2070" w:type="dxa"/>
            <w:tcBorders>
              <w:top w:val="single" w:sz="6" w:space="0" w:color="000000"/>
              <w:left w:val="single" w:sz="6" w:space="0" w:color="000000"/>
              <w:bottom w:val="single" w:sz="6" w:space="0" w:color="000000"/>
            </w:tcBorders>
            <w:shd w:val="clear" w:color="auto" w:fill="BFBFBF" w:themeFill="background1" w:themeFillShade="BF"/>
          </w:tcPr>
          <w:p w14:paraId="04C9F9E1" w14:textId="15078821"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$34.46</w:t>
            </w:r>
            <w:r w:rsidR="00B65A2B" w:rsidRPr="00B65A2B">
              <w:rPr>
                <w:color w:val="000000" w:themeColor="text1"/>
              </w:rPr>
              <w:t xml:space="preserve"> (BLS Occupational data Social and Community Managers</w:t>
            </w:r>
            <w:r w:rsidR="00B65A2B" w:rsidRPr="00B65A2B">
              <w:rPr>
                <w:rStyle w:val="FootnoteReference"/>
                <w:color w:val="000000" w:themeColor="text1"/>
              </w:rPr>
              <w:footnoteReference w:id="3"/>
            </w:r>
            <w:r w:rsidR="00B65A2B" w:rsidRPr="00B65A2B">
              <w:rPr>
                <w:color w:val="000000" w:themeColor="text1"/>
              </w:rPr>
              <w:t>)</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383E130"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$551.36</w:t>
            </w:r>
          </w:p>
        </w:tc>
      </w:tr>
      <w:tr w:rsidR="00F226DF" w:rsidRPr="00B65A2B" w14:paraId="22B629EB" w14:textId="77777777" w:rsidTr="00BD07ED">
        <w:trPr>
          <w:tblHeader/>
        </w:trPr>
        <w:tc>
          <w:tcPr>
            <w:tcW w:w="1882" w:type="dxa"/>
            <w:tcBorders>
              <w:top w:val="single" w:sz="6" w:space="0" w:color="000000"/>
              <w:left w:val="single" w:sz="6" w:space="0" w:color="000000"/>
              <w:bottom w:val="single" w:sz="6" w:space="0" w:color="000000"/>
            </w:tcBorders>
          </w:tcPr>
          <w:p w14:paraId="3A8493A3" w14:textId="77777777" w:rsidR="00F226DF" w:rsidRPr="00B65A2B" w:rsidRDefault="00F226DF" w:rsidP="00B65A2B">
            <w:pPr>
              <w:pStyle w:val="SL-FlLftSgl"/>
              <w:keepNext/>
              <w:keepLines/>
              <w:spacing w:line="240" w:lineRule="auto"/>
              <w:jc w:val="left"/>
              <w:rPr>
                <w:color w:val="000000" w:themeColor="text1"/>
              </w:rPr>
            </w:pPr>
            <w:r w:rsidRPr="00B65A2B">
              <w:rPr>
                <w:color w:val="000000" w:themeColor="text1"/>
              </w:rPr>
              <w:t>TOTAL</w:t>
            </w:r>
          </w:p>
        </w:tc>
        <w:tc>
          <w:tcPr>
            <w:tcW w:w="810" w:type="dxa"/>
            <w:tcBorders>
              <w:top w:val="single" w:sz="6" w:space="0" w:color="000000"/>
              <w:left w:val="single" w:sz="6" w:space="0" w:color="000000"/>
              <w:bottom w:val="single" w:sz="6" w:space="0" w:color="000000"/>
            </w:tcBorders>
          </w:tcPr>
          <w:p w14:paraId="0B20A750" w14:textId="429F1E23" w:rsidR="00F226DF" w:rsidRPr="00B65A2B" w:rsidRDefault="00185961" w:rsidP="00B65A2B">
            <w:pPr>
              <w:pStyle w:val="SL-FlLftSgl"/>
              <w:keepNext/>
              <w:keepLines/>
              <w:spacing w:line="240" w:lineRule="auto"/>
              <w:jc w:val="left"/>
              <w:rPr>
                <w:color w:val="000000" w:themeColor="text1"/>
              </w:rPr>
            </w:pPr>
            <w:r>
              <w:rPr>
                <w:color w:val="000000" w:themeColor="text1"/>
              </w:rPr>
              <w:t>12,124</w:t>
            </w:r>
          </w:p>
        </w:tc>
        <w:tc>
          <w:tcPr>
            <w:tcW w:w="1170" w:type="dxa"/>
            <w:tcBorders>
              <w:top w:val="single" w:sz="6" w:space="0" w:color="000000"/>
              <w:left w:val="single" w:sz="6" w:space="0" w:color="000000"/>
              <w:bottom w:val="single" w:sz="6" w:space="0" w:color="000000"/>
              <w:right w:val="single" w:sz="6" w:space="0" w:color="000000"/>
            </w:tcBorders>
          </w:tcPr>
          <w:p w14:paraId="7EBF6C65" w14:textId="77777777" w:rsidR="00F226DF" w:rsidRPr="00B65A2B" w:rsidRDefault="00F226DF" w:rsidP="00B65A2B">
            <w:pPr>
              <w:pStyle w:val="SL-FlLftSgl"/>
              <w:keepNext/>
              <w:keepLines/>
              <w:spacing w:line="240" w:lineRule="auto"/>
              <w:jc w:val="left"/>
              <w:rPr>
                <w:color w:val="000000" w:themeColor="text1"/>
              </w:rPr>
            </w:pPr>
          </w:p>
        </w:tc>
        <w:tc>
          <w:tcPr>
            <w:tcW w:w="1170" w:type="dxa"/>
            <w:tcBorders>
              <w:top w:val="single" w:sz="6" w:space="0" w:color="000000"/>
              <w:left w:val="single" w:sz="6" w:space="0" w:color="000000"/>
              <w:bottom w:val="single" w:sz="6" w:space="0" w:color="000000"/>
            </w:tcBorders>
          </w:tcPr>
          <w:p w14:paraId="10AE51B6" w14:textId="3763AE91" w:rsidR="00F226DF" w:rsidRPr="00B65A2B" w:rsidRDefault="00F226DF" w:rsidP="00B65A2B">
            <w:pPr>
              <w:pStyle w:val="SL-FlLftSgl"/>
              <w:keepNext/>
              <w:keepLines/>
              <w:spacing w:line="240" w:lineRule="auto"/>
              <w:jc w:val="left"/>
              <w:rPr>
                <w:color w:val="000000" w:themeColor="text1"/>
              </w:rPr>
            </w:pPr>
          </w:p>
        </w:tc>
        <w:tc>
          <w:tcPr>
            <w:tcW w:w="990" w:type="dxa"/>
            <w:tcBorders>
              <w:top w:val="single" w:sz="6" w:space="0" w:color="000000"/>
              <w:left w:val="single" w:sz="6" w:space="0" w:color="000000"/>
              <w:bottom w:val="single" w:sz="6" w:space="0" w:color="000000"/>
            </w:tcBorders>
          </w:tcPr>
          <w:p w14:paraId="0A815FB4" w14:textId="4F3E9182" w:rsidR="00F226DF" w:rsidRPr="00B65A2B" w:rsidRDefault="00B65A2B" w:rsidP="00B65A2B">
            <w:pPr>
              <w:pStyle w:val="SL-FlLftSgl"/>
              <w:keepNext/>
              <w:keepLines/>
              <w:spacing w:line="240" w:lineRule="auto"/>
              <w:jc w:val="left"/>
              <w:rPr>
                <w:color w:val="000000" w:themeColor="text1"/>
              </w:rPr>
            </w:pPr>
            <w:r w:rsidRPr="00B65A2B">
              <w:rPr>
                <w:color w:val="000000" w:themeColor="text1"/>
              </w:rPr>
              <w:t>82</w:t>
            </w:r>
            <w:r w:rsidR="0090245A">
              <w:rPr>
                <w:color w:val="000000" w:themeColor="text1"/>
              </w:rPr>
              <w:t>8</w:t>
            </w:r>
          </w:p>
        </w:tc>
        <w:tc>
          <w:tcPr>
            <w:tcW w:w="2070" w:type="dxa"/>
            <w:tcBorders>
              <w:top w:val="single" w:sz="6" w:space="0" w:color="000000"/>
              <w:left w:val="single" w:sz="6" w:space="0" w:color="000000"/>
              <w:bottom w:val="single" w:sz="6" w:space="0" w:color="000000"/>
            </w:tcBorders>
          </w:tcPr>
          <w:p w14:paraId="204132CA" w14:textId="77777777" w:rsidR="00F226DF" w:rsidRPr="00B65A2B" w:rsidRDefault="00F226DF" w:rsidP="00B65A2B">
            <w:pPr>
              <w:pStyle w:val="SL-FlLftSgl"/>
              <w:keepNext/>
              <w:keepLines/>
              <w:spacing w:line="240" w:lineRule="auto"/>
              <w:jc w:val="left"/>
              <w:rPr>
                <w:color w:val="000000" w:themeColor="text1"/>
              </w:rPr>
            </w:pPr>
          </w:p>
        </w:tc>
        <w:tc>
          <w:tcPr>
            <w:tcW w:w="1260" w:type="dxa"/>
            <w:tcBorders>
              <w:top w:val="single" w:sz="6" w:space="0" w:color="000000"/>
              <w:left w:val="single" w:sz="6" w:space="0" w:color="000000"/>
              <w:bottom w:val="single" w:sz="6" w:space="0" w:color="000000"/>
              <w:right w:val="single" w:sz="6" w:space="0" w:color="000000"/>
            </w:tcBorders>
          </w:tcPr>
          <w:p w14:paraId="00464448" w14:textId="6D53F602" w:rsidR="00F226DF" w:rsidRPr="00B65A2B" w:rsidRDefault="00185961" w:rsidP="00B65A2B">
            <w:pPr>
              <w:pStyle w:val="SL-FlLftSgl"/>
              <w:keepNext/>
              <w:keepLines/>
              <w:spacing w:line="240" w:lineRule="auto"/>
              <w:jc w:val="left"/>
              <w:rPr>
                <w:color w:val="000000" w:themeColor="text1"/>
              </w:rPr>
            </w:pPr>
            <w:r>
              <w:rPr>
                <w:color w:val="000000" w:themeColor="text1"/>
              </w:rPr>
              <w:t>$36,721.64</w:t>
            </w:r>
          </w:p>
        </w:tc>
      </w:tr>
    </w:tbl>
    <w:p w14:paraId="565FF8CB" w14:textId="464D18D5" w:rsidR="00B65A2B" w:rsidRDefault="00B65A2B" w:rsidP="00534C7C">
      <w:pPr>
        <w:pStyle w:val="BodyText"/>
        <w:spacing w:line="240" w:lineRule="auto"/>
        <w:jc w:val="both"/>
        <w:rPr>
          <w:rFonts w:ascii="Times New Roman" w:hAnsi="Times New Roman"/>
          <w:sz w:val="24"/>
        </w:rPr>
      </w:pPr>
      <w:r w:rsidRPr="00F226DF">
        <w:rPr>
          <w:rFonts w:ascii="Times New Roman" w:hAnsi="Times New Roman"/>
          <w:sz w:val="24"/>
        </w:rPr>
        <w:t>*</w:t>
      </w:r>
      <w:r w:rsidR="00882A06" w:rsidRPr="00882A06">
        <w:rPr>
          <w:rFonts w:ascii="Times New Roman" w:hAnsi="Times New Roman"/>
          <w:i/>
          <w:sz w:val="24"/>
        </w:rPr>
        <w:t xml:space="preserve">It is likely that one APS caseworker will submit client forms for more than one client. This will depend on which clients respond to the questionnaire. While this number is likely to be smaller than </w:t>
      </w:r>
      <w:r w:rsidR="00C93E75">
        <w:rPr>
          <w:rFonts w:ascii="Times New Roman" w:hAnsi="Times New Roman"/>
          <w:i/>
          <w:sz w:val="24"/>
        </w:rPr>
        <w:t>6</w:t>
      </w:r>
      <w:r w:rsidR="00882A06" w:rsidRPr="00882A06">
        <w:rPr>
          <w:rFonts w:ascii="Times New Roman" w:hAnsi="Times New Roman"/>
          <w:i/>
          <w:sz w:val="24"/>
        </w:rPr>
        <w:t xml:space="preserve">,000, we are using </w:t>
      </w:r>
      <w:r w:rsidR="00C93E75">
        <w:rPr>
          <w:rFonts w:ascii="Times New Roman" w:hAnsi="Times New Roman"/>
          <w:i/>
          <w:sz w:val="24"/>
        </w:rPr>
        <w:t>6</w:t>
      </w:r>
      <w:r w:rsidR="00882A06" w:rsidRPr="00882A06">
        <w:rPr>
          <w:rFonts w:ascii="Times New Roman" w:hAnsi="Times New Roman"/>
          <w:i/>
          <w:sz w:val="24"/>
        </w:rPr>
        <w:t>,000 as the maximum possible number of caseworkers to participate in completing client forms</w:t>
      </w:r>
      <w:r w:rsidRPr="00F226DF">
        <w:rPr>
          <w:rFonts w:ascii="Times New Roman" w:hAnsi="Times New Roman"/>
          <w:sz w:val="24"/>
        </w:rPr>
        <w:t>.</w:t>
      </w:r>
    </w:p>
    <w:p w14:paraId="4343BAAC" w14:textId="445070AA" w:rsidR="00AB7936" w:rsidRPr="001D6447" w:rsidRDefault="00AB7936" w:rsidP="00534C7C">
      <w:pPr>
        <w:pStyle w:val="BodyText"/>
        <w:spacing w:line="240" w:lineRule="auto"/>
        <w:rPr>
          <w:rFonts w:ascii="Times New Roman" w:hAnsi="Times New Roman"/>
          <w:sz w:val="24"/>
        </w:rPr>
      </w:pPr>
    </w:p>
    <w:p w14:paraId="2522FC44" w14:textId="77777777" w:rsidR="00CF1937" w:rsidRDefault="00C97A70" w:rsidP="00134604">
      <w:pPr>
        <w:pStyle w:val="BodyText"/>
        <w:spacing w:line="240" w:lineRule="auto"/>
        <w:ind w:left="720" w:hanging="360"/>
        <w:rPr>
          <w:rFonts w:ascii="Times New Roman" w:hAnsi="Times New Roman"/>
          <w:b/>
          <w:sz w:val="24"/>
        </w:rPr>
      </w:pPr>
      <w:r w:rsidRPr="0070450C">
        <w:rPr>
          <w:rFonts w:ascii="Times New Roman" w:hAnsi="Times New Roman"/>
          <w:b/>
          <w:sz w:val="24"/>
        </w:rPr>
        <w:t>13.</w:t>
      </w:r>
      <w:r w:rsidR="00A90DD1">
        <w:rPr>
          <w:rFonts w:ascii="Times New Roman" w:hAnsi="Times New Roman"/>
          <w:b/>
          <w:sz w:val="24"/>
        </w:rPr>
        <w:t xml:space="preserve"> </w:t>
      </w:r>
      <w:r w:rsidRPr="0070450C">
        <w:rPr>
          <w:rFonts w:ascii="Times New Roman" w:hAnsi="Times New Roman"/>
          <w:b/>
          <w:sz w:val="24"/>
        </w:rPr>
        <w:t>Estimates of Other Total Annual Cost Burden to Respondents and Record Keepers</w:t>
      </w:r>
    </w:p>
    <w:p w14:paraId="328C6296" w14:textId="77777777" w:rsidR="000D0E74" w:rsidRPr="001D6447" w:rsidRDefault="000D0E74" w:rsidP="00134604">
      <w:pPr>
        <w:pStyle w:val="BodyText"/>
        <w:spacing w:line="240" w:lineRule="auto"/>
        <w:ind w:left="720" w:hanging="360"/>
        <w:rPr>
          <w:rFonts w:ascii="Times New Roman" w:hAnsi="Times New Roman"/>
          <w:b/>
          <w:sz w:val="24"/>
        </w:rPr>
      </w:pPr>
    </w:p>
    <w:p w14:paraId="0B8A20FB" w14:textId="62606708" w:rsidR="00DA3562" w:rsidRDefault="00DA3562" w:rsidP="00DA3562">
      <w:pPr>
        <w:keepNext/>
        <w:tabs>
          <w:tab w:val="left" w:pos="90"/>
        </w:tabs>
        <w:spacing w:after="160"/>
      </w:pPr>
      <w:r>
        <w:rPr>
          <w:rFonts w:eastAsiaTheme="minorHAnsi"/>
        </w:rPr>
        <w:t xml:space="preserve">The collection of this information does not have any capital and startup costs, nor operational and maintenance costs. </w:t>
      </w:r>
      <w:r>
        <w:t xml:space="preserve">APS leaders and caseworkers in each county </w:t>
      </w:r>
      <w:r w:rsidR="00E31872">
        <w:t xml:space="preserve">APS program </w:t>
      </w:r>
      <w:r>
        <w:t xml:space="preserve">enrolled in the study will participate in a training prior to starting data collection. </w:t>
      </w:r>
      <w:r w:rsidR="00295C1C">
        <w:t>They</w:t>
      </w:r>
      <w:r>
        <w:t xml:space="preserve"> will</w:t>
      </w:r>
      <w:r w:rsidR="00295C1C">
        <w:t xml:space="preserve"> also</w:t>
      </w:r>
      <w:r>
        <w:t xml:space="preserve"> help</w:t>
      </w:r>
      <w:r w:rsidR="00844360">
        <w:t xml:space="preserve"> with coordinating site visit logistics</w:t>
      </w:r>
      <w:r w:rsidR="00295C1C">
        <w:t xml:space="preserve"> and recruiting participants for focus groups and interviews</w:t>
      </w:r>
      <w:r w:rsidR="00844360">
        <w:t>.</w:t>
      </w:r>
      <w:r w:rsidR="00295C1C">
        <w:t xml:space="preserve"> The size of APS programs will vary by county. For the purpose of these estimates, we use an average number of</w:t>
      </w:r>
      <w:r w:rsidR="002E59A2">
        <w:t xml:space="preserve"> five APS caseworkers per county</w:t>
      </w:r>
      <w:r w:rsidR="00BD07ED">
        <w:t>.</w:t>
      </w:r>
      <w:r w:rsidR="00844360">
        <w:t xml:space="preserve"> </w:t>
      </w:r>
      <w:r>
        <w:t xml:space="preserve">The </w:t>
      </w:r>
      <w:r w:rsidR="00844360">
        <w:t xml:space="preserve">total </w:t>
      </w:r>
      <w:r>
        <w:t xml:space="preserve">estimated cost burden </w:t>
      </w:r>
      <w:r w:rsidR="00844360">
        <w:t xml:space="preserve">for these activities </w:t>
      </w:r>
      <w:r>
        <w:t>is $</w:t>
      </w:r>
      <w:r w:rsidR="002E59A2">
        <w:rPr>
          <w:color w:val="000000" w:themeColor="text1"/>
        </w:rPr>
        <w:t>17,352.06</w:t>
      </w:r>
      <w:r>
        <w:t xml:space="preserve">. </w:t>
      </w:r>
      <w:r w:rsidR="00844360">
        <w:t>Details of the cost estimate are shown in the table below.</w:t>
      </w:r>
    </w:p>
    <w:p w14:paraId="4D1FEB0A" w14:textId="58CCBD47" w:rsidR="00DA3562" w:rsidRPr="003025DC" w:rsidRDefault="00DA3562" w:rsidP="00DA3562"/>
    <w:tbl>
      <w:tblPr>
        <w:tblW w:w="9360" w:type="dxa"/>
        <w:tblInd w:w="-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2160"/>
        <w:gridCol w:w="900"/>
        <w:gridCol w:w="1170"/>
        <w:gridCol w:w="1530"/>
        <w:gridCol w:w="2340"/>
        <w:gridCol w:w="1260"/>
      </w:tblGrid>
      <w:tr w:rsidR="00BD07ED" w:rsidRPr="000625A3" w14:paraId="70BB692F" w14:textId="77777777" w:rsidTr="00BD07ED">
        <w:trPr>
          <w:cantSplit/>
        </w:trPr>
        <w:tc>
          <w:tcPr>
            <w:tcW w:w="2160" w:type="dxa"/>
          </w:tcPr>
          <w:p w14:paraId="4C644C29" w14:textId="77777777" w:rsidR="00DA3562" w:rsidRDefault="00DA3562" w:rsidP="00DA3562">
            <w:pPr>
              <w:pStyle w:val="SL-FlLftSgl"/>
              <w:keepNext/>
              <w:keepLines/>
              <w:spacing w:line="240" w:lineRule="auto"/>
              <w:jc w:val="left"/>
              <w:rPr>
                <w:b/>
                <w:color w:val="000000" w:themeColor="text1"/>
              </w:rPr>
            </w:pPr>
            <w:r w:rsidRPr="00DA3562">
              <w:rPr>
                <w:b/>
                <w:color w:val="000000" w:themeColor="text1"/>
              </w:rPr>
              <w:t>Activity</w:t>
            </w:r>
          </w:p>
          <w:p w14:paraId="5C88BEC4" w14:textId="69B86303" w:rsidR="00184E00" w:rsidRPr="00DA3562" w:rsidRDefault="00184E00" w:rsidP="00DA3562">
            <w:pPr>
              <w:pStyle w:val="SL-FlLftSgl"/>
              <w:keepNext/>
              <w:keepLines/>
              <w:spacing w:line="240" w:lineRule="auto"/>
              <w:jc w:val="left"/>
              <w:rPr>
                <w:b/>
                <w:color w:val="000000" w:themeColor="text1"/>
              </w:rPr>
            </w:pPr>
            <w:r>
              <w:rPr>
                <w:b/>
                <w:color w:val="000000" w:themeColor="text1"/>
              </w:rPr>
              <w:t>(Respondent Type)</w:t>
            </w:r>
          </w:p>
        </w:tc>
        <w:tc>
          <w:tcPr>
            <w:tcW w:w="900" w:type="dxa"/>
          </w:tcPr>
          <w:p w14:paraId="050B40C5" w14:textId="77777777" w:rsidR="00DA3562" w:rsidRPr="00DA3562" w:rsidRDefault="00DA3562" w:rsidP="00DA3562">
            <w:pPr>
              <w:pStyle w:val="SL-FlLftSgl"/>
              <w:keepNext/>
              <w:keepLines/>
              <w:spacing w:line="240" w:lineRule="auto"/>
              <w:jc w:val="left"/>
              <w:rPr>
                <w:b/>
                <w:color w:val="000000" w:themeColor="text1"/>
              </w:rPr>
            </w:pPr>
            <w:r w:rsidRPr="00DA3562">
              <w:rPr>
                <w:b/>
                <w:color w:val="000000" w:themeColor="text1"/>
              </w:rPr>
              <w:t>No. of staff</w:t>
            </w:r>
          </w:p>
        </w:tc>
        <w:tc>
          <w:tcPr>
            <w:tcW w:w="1170" w:type="dxa"/>
          </w:tcPr>
          <w:p w14:paraId="1BC077B2" w14:textId="77777777" w:rsidR="00DA3562" w:rsidRPr="00DA3562" w:rsidRDefault="00DA3562" w:rsidP="00DA3562">
            <w:pPr>
              <w:pStyle w:val="SL-FlLftSgl"/>
              <w:keepNext/>
              <w:keepLines/>
              <w:spacing w:line="240" w:lineRule="auto"/>
              <w:jc w:val="left"/>
              <w:rPr>
                <w:b/>
                <w:color w:val="000000" w:themeColor="text1"/>
              </w:rPr>
            </w:pPr>
            <w:r w:rsidRPr="00DA3562">
              <w:rPr>
                <w:b/>
                <w:color w:val="000000" w:themeColor="text1"/>
              </w:rPr>
              <w:t>Hours per staff</w:t>
            </w:r>
          </w:p>
        </w:tc>
        <w:tc>
          <w:tcPr>
            <w:tcW w:w="1530" w:type="dxa"/>
          </w:tcPr>
          <w:p w14:paraId="41BCAEFF" w14:textId="77777777" w:rsidR="00DA3562" w:rsidRPr="00DA3562" w:rsidRDefault="00DA3562" w:rsidP="00DA3562">
            <w:pPr>
              <w:pStyle w:val="SL-FlLftSgl"/>
              <w:keepNext/>
              <w:keepLines/>
              <w:spacing w:line="240" w:lineRule="auto"/>
              <w:jc w:val="left"/>
              <w:rPr>
                <w:b/>
                <w:color w:val="000000" w:themeColor="text1"/>
              </w:rPr>
            </w:pPr>
            <w:r w:rsidRPr="00DA3562">
              <w:rPr>
                <w:b/>
                <w:color w:val="000000" w:themeColor="text1"/>
              </w:rPr>
              <w:t>Total Hour Burden</w:t>
            </w:r>
          </w:p>
        </w:tc>
        <w:tc>
          <w:tcPr>
            <w:tcW w:w="2340" w:type="dxa"/>
          </w:tcPr>
          <w:p w14:paraId="7E92437A" w14:textId="77777777" w:rsidR="00DA3562" w:rsidRPr="00DA3562" w:rsidRDefault="00DA3562" w:rsidP="00DA3562">
            <w:pPr>
              <w:pStyle w:val="SL-FlLftSgl"/>
              <w:keepNext/>
              <w:keepLines/>
              <w:spacing w:line="240" w:lineRule="auto"/>
              <w:jc w:val="left"/>
              <w:rPr>
                <w:b/>
                <w:color w:val="000000" w:themeColor="text1"/>
              </w:rPr>
            </w:pPr>
            <w:r w:rsidRPr="00DA3562">
              <w:rPr>
                <w:b/>
                <w:color w:val="000000" w:themeColor="text1"/>
              </w:rPr>
              <w:t>Hourly Wage Cost</w:t>
            </w:r>
          </w:p>
        </w:tc>
        <w:tc>
          <w:tcPr>
            <w:tcW w:w="1260" w:type="dxa"/>
          </w:tcPr>
          <w:p w14:paraId="4C338D2A" w14:textId="77777777" w:rsidR="00DA3562" w:rsidRPr="00DA3562" w:rsidRDefault="00DA3562" w:rsidP="00DA3562">
            <w:pPr>
              <w:pStyle w:val="SL-FlLftSgl"/>
              <w:keepNext/>
              <w:keepLines/>
              <w:spacing w:line="240" w:lineRule="auto"/>
              <w:jc w:val="left"/>
              <w:rPr>
                <w:b/>
                <w:color w:val="000000" w:themeColor="text1"/>
              </w:rPr>
            </w:pPr>
            <w:r w:rsidRPr="00DA3562">
              <w:rPr>
                <w:b/>
                <w:color w:val="000000" w:themeColor="text1"/>
              </w:rPr>
              <w:t xml:space="preserve">Total Hour Cost </w:t>
            </w:r>
          </w:p>
        </w:tc>
      </w:tr>
      <w:tr w:rsidR="00BD07ED" w:rsidRPr="000625A3" w14:paraId="55CD8ECE" w14:textId="77777777" w:rsidTr="00BD07ED">
        <w:trPr>
          <w:cantSplit/>
        </w:trPr>
        <w:tc>
          <w:tcPr>
            <w:tcW w:w="2160" w:type="dxa"/>
            <w:shd w:val="clear" w:color="auto" w:fill="BFBFBF" w:themeFill="background1" w:themeFillShade="BF"/>
          </w:tcPr>
          <w:p w14:paraId="78EF2E39" w14:textId="77777777" w:rsidR="00844360" w:rsidRPr="00DF1352" w:rsidRDefault="00844360" w:rsidP="00DA3562">
            <w:pPr>
              <w:pStyle w:val="SL-FlLftSgl"/>
              <w:keepNext/>
              <w:keepLines/>
              <w:spacing w:line="240" w:lineRule="auto"/>
              <w:jc w:val="left"/>
              <w:rPr>
                <w:b/>
                <w:color w:val="000000" w:themeColor="text1"/>
              </w:rPr>
            </w:pPr>
            <w:r w:rsidRPr="00DF1352">
              <w:rPr>
                <w:b/>
                <w:color w:val="000000" w:themeColor="text1"/>
              </w:rPr>
              <w:t>Data Collection Training</w:t>
            </w:r>
          </w:p>
          <w:p w14:paraId="28117088" w14:textId="2A027622" w:rsidR="00844360" w:rsidRPr="00DF1352" w:rsidRDefault="00844360" w:rsidP="00DA3562">
            <w:pPr>
              <w:pStyle w:val="SL-FlLftSgl"/>
              <w:keepNext/>
              <w:keepLines/>
              <w:spacing w:line="240" w:lineRule="auto"/>
              <w:jc w:val="left"/>
              <w:rPr>
                <w:b/>
                <w:color w:val="000000" w:themeColor="text1"/>
              </w:rPr>
            </w:pPr>
            <w:r w:rsidRPr="00DF1352">
              <w:rPr>
                <w:b/>
                <w:color w:val="000000" w:themeColor="text1"/>
              </w:rPr>
              <w:t>(APS leaders)</w:t>
            </w:r>
          </w:p>
        </w:tc>
        <w:tc>
          <w:tcPr>
            <w:tcW w:w="900" w:type="dxa"/>
            <w:shd w:val="clear" w:color="auto" w:fill="BFBFBF" w:themeFill="background1" w:themeFillShade="BF"/>
          </w:tcPr>
          <w:p w14:paraId="4016CC3A" w14:textId="3538626B" w:rsidR="00844360" w:rsidRPr="00DF1352" w:rsidRDefault="00DF1352" w:rsidP="00DA3562">
            <w:pPr>
              <w:pStyle w:val="SL-FlLftSgl"/>
              <w:keepNext/>
              <w:keepLines/>
              <w:spacing w:line="240" w:lineRule="auto"/>
              <w:jc w:val="left"/>
              <w:rPr>
                <w:color w:val="000000" w:themeColor="text1"/>
              </w:rPr>
            </w:pPr>
            <w:r w:rsidRPr="00DF1352">
              <w:rPr>
                <w:color w:val="000000" w:themeColor="text1"/>
              </w:rPr>
              <w:t>27</w:t>
            </w:r>
          </w:p>
        </w:tc>
        <w:tc>
          <w:tcPr>
            <w:tcW w:w="1170" w:type="dxa"/>
            <w:shd w:val="clear" w:color="auto" w:fill="BFBFBF" w:themeFill="background1" w:themeFillShade="BF"/>
          </w:tcPr>
          <w:p w14:paraId="45A59719" w14:textId="549FA84A" w:rsidR="00844360" w:rsidRPr="00DF1352" w:rsidRDefault="00295C1C" w:rsidP="00DA3562">
            <w:pPr>
              <w:pStyle w:val="SL-FlLftSgl"/>
              <w:keepNext/>
              <w:keepLines/>
              <w:spacing w:line="240" w:lineRule="auto"/>
              <w:jc w:val="left"/>
              <w:rPr>
                <w:color w:val="000000" w:themeColor="text1"/>
              </w:rPr>
            </w:pPr>
            <w:r w:rsidRPr="00DF1352">
              <w:rPr>
                <w:color w:val="000000" w:themeColor="text1"/>
              </w:rPr>
              <w:t>2</w:t>
            </w:r>
          </w:p>
        </w:tc>
        <w:tc>
          <w:tcPr>
            <w:tcW w:w="1530" w:type="dxa"/>
            <w:shd w:val="clear" w:color="auto" w:fill="BFBFBF" w:themeFill="background1" w:themeFillShade="BF"/>
          </w:tcPr>
          <w:p w14:paraId="7CA2859A" w14:textId="6ACABC80" w:rsidR="00844360" w:rsidRPr="00DF1352" w:rsidRDefault="00DF1352" w:rsidP="00DA3562">
            <w:pPr>
              <w:pStyle w:val="SL-FlLftSgl"/>
              <w:keepNext/>
              <w:keepLines/>
              <w:spacing w:line="240" w:lineRule="auto"/>
              <w:jc w:val="left"/>
              <w:rPr>
                <w:color w:val="000000" w:themeColor="text1"/>
              </w:rPr>
            </w:pPr>
            <w:r>
              <w:rPr>
                <w:color w:val="000000" w:themeColor="text1"/>
              </w:rPr>
              <w:t>5</w:t>
            </w:r>
            <w:r w:rsidR="00184E00" w:rsidRPr="00DF1352">
              <w:rPr>
                <w:color w:val="000000" w:themeColor="text1"/>
              </w:rPr>
              <w:t>4</w:t>
            </w:r>
          </w:p>
        </w:tc>
        <w:tc>
          <w:tcPr>
            <w:tcW w:w="2340" w:type="dxa"/>
            <w:shd w:val="clear" w:color="auto" w:fill="BFBFBF" w:themeFill="background1" w:themeFillShade="BF"/>
          </w:tcPr>
          <w:p w14:paraId="01EC57E4" w14:textId="0A5747B3" w:rsidR="00844360" w:rsidRPr="00DF1352" w:rsidRDefault="00184E00" w:rsidP="00DA3562">
            <w:pPr>
              <w:pStyle w:val="SL-FlLftSgl"/>
              <w:keepNext/>
              <w:keepLines/>
              <w:spacing w:line="240" w:lineRule="auto"/>
              <w:jc w:val="left"/>
              <w:rPr>
                <w:color w:val="000000" w:themeColor="text1"/>
              </w:rPr>
            </w:pPr>
            <w:r w:rsidRPr="00DF1352">
              <w:rPr>
                <w:color w:val="000000" w:themeColor="text1"/>
              </w:rPr>
              <w:t>$34.46 (BLS Occupational data Social and Community Managers)</w:t>
            </w:r>
          </w:p>
        </w:tc>
        <w:tc>
          <w:tcPr>
            <w:tcW w:w="1260" w:type="dxa"/>
            <w:shd w:val="clear" w:color="auto" w:fill="BFBFBF" w:themeFill="background1" w:themeFillShade="BF"/>
          </w:tcPr>
          <w:p w14:paraId="62F46B84" w14:textId="451790B5" w:rsidR="00844360" w:rsidRPr="00DF1352" w:rsidRDefault="00184E00" w:rsidP="00DA3562">
            <w:pPr>
              <w:pStyle w:val="SL-FlLftSgl"/>
              <w:keepNext/>
              <w:keepLines/>
              <w:spacing w:line="240" w:lineRule="auto"/>
              <w:jc w:val="left"/>
              <w:rPr>
                <w:color w:val="000000" w:themeColor="text1"/>
              </w:rPr>
            </w:pPr>
            <w:r w:rsidRPr="00DF1352">
              <w:rPr>
                <w:color w:val="000000" w:themeColor="text1"/>
              </w:rPr>
              <w:t>$</w:t>
            </w:r>
            <w:r w:rsidR="00DF1352">
              <w:rPr>
                <w:color w:val="000000" w:themeColor="text1"/>
              </w:rPr>
              <w:t>1,860.84</w:t>
            </w:r>
          </w:p>
        </w:tc>
      </w:tr>
      <w:tr w:rsidR="00844360" w:rsidRPr="000625A3" w14:paraId="42D44EDD" w14:textId="77777777" w:rsidTr="00BD07ED">
        <w:trPr>
          <w:cantSplit/>
        </w:trPr>
        <w:tc>
          <w:tcPr>
            <w:tcW w:w="2160" w:type="dxa"/>
            <w:shd w:val="clear" w:color="auto" w:fill="auto"/>
          </w:tcPr>
          <w:p w14:paraId="1A8B44C4" w14:textId="77777777" w:rsidR="00844360" w:rsidRPr="00DF1352" w:rsidRDefault="00844360" w:rsidP="00DA3562">
            <w:pPr>
              <w:pStyle w:val="SL-FlLftSgl"/>
              <w:keepNext/>
              <w:keepLines/>
              <w:spacing w:line="240" w:lineRule="auto"/>
              <w:jc w:val="left"/>
              <w:rPr>
                <w:b/>
                <w:color w:val="000000" w:themeColor="text1"/>
              </w:rPr>
            </w:pPr>
            <w:r w:rsidRPr="00DF1352">
              <w:rPr>
                <w:b/>
                <w:color w:val="000000" w:themeColor="text1"/>
              </w:rPr>
              <w:t>Data Collection Training</w:t>
            </w:r>
          </w:p>
          <w:p w14:paraId="5D35BCF0" w14:textId="3EFDD6E3" w:rsidR="00844360" w:rsidRPr="00DF1352" w:rsidRDefault="00844360" w:rsidP="00DA3562">
            <w:pPr>
              <w:pStyle w:val="SL-FlLftSgl"/>
              <w:keepNext/>
              <w:keepLines/>
              <w:spacing w:line="240" w:lineRule="auto"/>
              <w:jc w:val="left"/>
              <w:rPr>
                <w:b/>
                <w:color w:val="000000" w:themeColor="text1"/>
              </w:rPr>
            </w:pPr>
            <w:r w:rsidRPr="00DF1352">
              <w:rPr>
                <w:b/>
                <w:color w:val="000000" w:themeColor="text1"/>
              </w:rPr>
              <w:t>(APS caseworkers)</w:t>
            </w:r>
          </w:p>
        </w:tc>
        <w:tc>
          <w:tcPr>
            <w:tcW w:w="900" w:type="dxa"/>
            <w:shd w:val="clear" w:color="auto" w:fill="auto"/>
          </w:tcPr>
          <w:p w14:paraId="719E3659" w14:textId="4E684DA8" w:rsidR="00844360" w:rsidRPr="00DF1352" w:rsidRDefault="00DF1352" w:rsidP="00DA3562">
            <w:pPr>
              <w:pStyle w:val="SL-FlLftSgl"/>
              <w:keepNext/>
              <w:keepLines/>
              <w:spacing w:line="240" w:lineRule="auto"/>
              <w:jc w:val="left"/>
              <w:rPr>
                <w:color w:val="000000" w:themeColor="text1"/>
              </w:rPr>
            </w:pPr>
            <w:r w:rsidRPr="00DF1352">
              <w:rPr>
                <w:color w:val="000000" w:themeColor="text1"/>
              </w:rPr>
              <w:t>135</w:t>
            </w:r>
          </w:p>
        </w:tc>
        <w:tc>
          <w:tcPr>
            <w:tcW w:w="1170" w:type="dxa"/>
            <w:shd w:val="clear" w:color="auto" w:fill="auto"/>
          </w:tcPr>
          <w:p w14:paraId="5D97FB80" w14:textId="34D5B1F6" w:rsidR="00844360" w:rsidRPr="00DF1352" w:rsidRDefault="00184E00" w:rsidP="00DA3562">
            <w:pPr>
              <w:pStyle w:val="SL-FlLftSgl"/>
              <w:keepNext/>
              <w:keepLines/>
              <w:spacing w:line="240" w:lineRule="auto"/>
              <w:jc w:val="left"/>
              <w:rPr>
                <w:color w:val="000000" w:themeColor="text1"/>
              </w:rPr>
            </w:pPr>
            <w:r w:rsidRPr="00DF1352">
              <w:rPr>
                <w:color w:val="000000" w:themeColor="text1"/>
              </w:rPr>
              <w:t>2</w:t>
            </w:r>
          </w:p>
        </w:tc>
        <w:tc>
          <w:tcPr>
            <w:tcW w:w="1530" w:type="dxa"/>
            <w:shd w:val="clear" w:color="auto" w:fill="auto"/>
          </w:tcPr>
          <w:p w14:paraId="2A98516A" w14:textId="79CFACF2" w:rsidR="00844360" w:rsidRPr="00DF1352" w:rsidRDefault="00DF1352" w:rsidP="00DA3562">
            <w:pPr>
              <w:pStyle w:val="SL-FlLftSgl"/>
              <w:keepNext/>
              <w:keepLines/>
              <w:spacing w:line="240" w:lineRule="auto"/>
              <w:jc w:val="left"/>
              <w:rPr>
                <w:color w:val="000000" w:themeColor="text1"/>
              </w:rPr>
            </w:pPr>
            <w:r>
              <w:rPr>
                <w:color w:val="000000" w:themeColor="text1"/>
              </w:rPr>
              <w:t>270</w:t>
            </w:r>
          </w:p>
        </w:tc>
        <w:tc>
          <w:tcPr>
            <w:tcW w:w="2340" w:type="dxa"/>
            <w:shd w:val="clear" w:color="auto" w:fill="auto"/>
          </w:tcPr>
          <w:p w14:paraId="30782946" w14:textId="654BECE1" w:rsidR="00844360" w:rsidRPr="00DF1352" w:rsidRDefault="00184E00" w:rsidP="00DA3562">
            <w:pPr>
              <w:pStyle w:val="SL-FlLftSgl"/>
              <w:keepNext/>
              <w:keepLines/>
              <w:spacing w:line="240" w:lineRule="auto"/>
              <w:jc w:val="left"/>
              <w:rPr>
                <w:color w:val="000000" w:themeColor="text1"/>
              </w:rPr>
            </w:pPr>
            <w:r w:rsidRPr="00DF1352">
              <w:rPr>
                <w:color w:val="000000" w:themeColor="text1"/>
              </w:rPr>
              <w:t>$25.51 (BLS Occupational data Social Workers)</w:t>
            </w:r>
          </w:p>
        </w:tc>
        <w:tc>
          <w:tcPr>
            <w:tcW w:w="1260" w:type="dxa"/>
            <w:shd w:val="clear" w:color="auto" w:fill="auto"/>
          </w:tcPr>
          <w:p w14:paraId="0CD42D23" w14:textId="2D913B46" w:rsidR="00844360" w:rsidRPr="00DF1352" w:rsidRDefault="00DF1352" w:rsidP="00DA3562">
            <w:pPr>
              <w:pStyle w:val="SL-FlLftSgl"/>
              <w:keepNext/>
              <w:keepLines/>
              <w:spacing w:line="240" w:lineRule="auto"/>
              <w:jc w:val="left"/>
              <w:rPr>
                <w:color w:val="000000" w:themeColor="text1"/>
              </w:rPr>
            </w:pPr>
            <w:r>
              <w:rPr>
                <w:color w:val="000000" w:themeColor="text1"/>
              </w:rPr>
              <w:t>$6,887.70</w:t>
            </w:r>
          </w:p>
        </w:tc>
      </w:tr>
      <w:tr w:rsidR="00BD07ED" w:rsidRPr="000625A3" w14:paraId="00ABF015" w14:textId="77777777" w:rsidTr="00BD07ED">
        <w:trPr>
          <w:cantSplit/>
        </w:trPr>
        <w:tc>
          <w:tcPr>
            <w:tcW w:w="2160" w:type="dxa"/>
            <w:shd w:val="clear" w:color="auto" w:fill="BFBFBF" w:themeFill="background1" w:themeFillShade="BF"/>
          </w:tcPr>
          <w:p w14:paraId="6DA52791" w14:textId="77777777" w:rsidR="00BD07ED" w:rsidRDefault="00295C1C" w:rsidP="00DA3562">
            <w:pPr>
              <w:pStyle w:val="SL-FlLftSgl"/>
              <w:keepNext/>
              <w:keepLines/>
              <w:spacing w:line="240" w:lineRule="auto"/>
              <w:jc w:val="left"/>
              <w:rPr>
                <w:b/>
                <w:color w:val="000000" w:themeColor="text1"/>
              </w:rPr>
            </w:pPr>
            <w:r>
              <w:rPr>
                <w:b/>
                <w:color w:val="000000" w:themeColor="text1"/>
              </w:rPr>
              <w:t xml:space="preserve">Site Visit Logistics and Recruitment </w:t>
            </w:r>
          </w:p>
          <w:p w14:paraId="1AA6C34C" w14:textId="70FE7A42" w:rsidR="00844360" w:rsidRPr="00DA3562" w:rsidRDefault="00295C1C" w:rsidP="00DA3562">
            <w:pPr>
              <w:pStyle w:val="SL-FlLftSgl"/>
              <w:keepNext/>
              <w:keepLines/>
              <w:spacing w:line="240" w:lineRule="auto"/>
              <w:jc w:val="left"/>
              <w:rPr>
                <w:b/>
                <w:color w:val="000000" w:themeColor="text1"/>
              </w:rPr>
            </w:pPr>
            <w:r>
              <w:rPr>
                <w:b/>
                <w:color w:val="000000" w:themeColor="text1"/>
              </w:rPr>
              <w:t>(APS leaders)</w:t>
            </w:r>
          </w:p>
        </w:tc>
        <w:tc>
          <w:tcPr>
            <w:tcW w:w="900" w:type="dxa"/>
            <w:shd w:val="clear" w:color="auto" w:fill="BFBFBF" w:themeFill="background1" w:themeFillShade="BF"/>
          </w:tcPr>
          <w:p w14:paraId="0A9EF0C9" w14:textId="013F1760" w:rsidR="00844360" w:rsidRPr="00DA3562" w:rsidRDefault="00991AED" w:rsidP="00DA3562">
            <w:pPr>
              <w:pStyle w:val="SL-FlLftSgl"/>
              <w:keepNext/>
              <w:keepLines/>
              <w:spacing w:line="240" w:lineRule="auto"/>
              <w:jc w:val="left"/>
              <w:rPr>
                <w:color w:val="000000" w:themeColor="text1"/>
              </w:rPr>
            </w:pPr>
            <w:r>
              <w:rPr>
                <w:color w:val="000000" w:themeColor="text1"/>
              </w:rPr>
              <w:t>12</w:t>
            </w:r>
          </w:p>
        </w:tc>
        <w:tc>
          <w:tcPr>
            <w:tcW w:w="1170" w:type="dxa"/>
            <w:shd w:val="clear" w:color="auto" w:fill="BFBFBF" w:themeFill="background1" w:themeFillShade="BF"/>
          </w:tcPr>
          <w:p w14:paraId="0E880F03" w14:textId="78D1B670" w:rsidR="00844360" w:rsidRPr="00DA3562" w:rsidRDefault="00AC5CAC" w:rsidP="00DA3562">
            <w:pPr>
              <w:pStyle w:val="SL-FlLftSgl"/>
              <w:keepNext/>
              <w:keepLines/>
              <w:spacing w:line="240" w:lineRule="auto"/>
              <w:jc w:val="left"/>
              <w:rPr>
                <w:color w:val="000000" w:themeColor="text1"/>
              </w:rPr>
            </w:pPr>
            <w:r>
              <w:rPr>
                <w:color w:val="000000" w:themeColor="text1"/>
              </w:rPr>
              <w:t>6</w:t>
            </w:r>
          </w:p>
        </w:tc>
        <w:tc>
          <w:tcPr>
            <w:tcW w:w="1530" w:type="dxa"/>
            <w:shd w:val="clear" w:color="auto" w:fill="BFBFBF" w:themeFill="background1" w:themeFillShade="BF"/>
          </w:tcPr>
          <w:p w14:paraId="14B49E37" w14:textId="5AA7680B" w:rsidR="00844360" w:rsidRPr="00DA3562" w:rsidRDefault="00AC5CAC" w:rsidP="00DA3562">
            <w:pPr>
              <w:pStyle w:val="SL-FlLftSgl"/>
              <w:keepNext/>
              <w:keepLines/>
              <w:spacing w:line="240" w:lineRule="auto"/>
              <w:jc w:val="left"/>
              <w:rPr>
                <w:color w:val="000000" w:themeColor="text1"/>
              </w:rPr>
            </w:pPr>
            <w:r>
              <w:rPr>
                <w:color w:val="000000" w:themeColor="text1"/>
              </w:rPr>
              <w:t>72</w:t>
            </w:r>
          </w:p>
        </w:tc>
        <w:tc>
          <w:tcPr>
            <w:tcW w:w="2340" w:type="dxa"/>
            <w:shd w:val="clear" w:color="auto" w:fill="BFBFBF" w:themeFill="background1" w:themeFillShade="BF"/>
          </w:tcPr>
          <w:p w14:paraId="70265954" w14:textId="2CCB6269" w:rsidR="00844360" w:rsidRPr="00DA3562" w:rsidRDefault="00184E00" w:rsidP="00DA3562">
            <w:pPr>
              <w:pStyle w:val="SL-FlLftSgl"/>
              <w:keepNext/>
              <w:keepLines/>
              <w:spacing w:line="240" w:lineRule="auto"/>
              <w:jc w:val="left"/>
              <w:rPr>
                <w:color w:val="000000" w:themeColor="text1"/>
              </w:rPr>
            </w:pPr>
            <w:r w:rsidRPr="00B65A2B">
              <w:rPr>
                <w:color w:val="000000" w:themeColor="text1"/>
              </w:rPr>
              <w:t>$34.46 (BLS Occupational data Social and Community Managers)</w:t>
            </w:r>
          </w:p>
        </w:tc>
        <w:tc>
          <w:tcPr>
            <w:tcW w:w="1260" w:type="dxa"/>
            <w:shd w:val="clear" w:color="auto" w:fill="BFBFBF" w:themeFill="background1" w:themeFillShade="BF"/>
          </w:tcPr>
          <w:p w14:paraId="0A3DD1F2" w14:textId="50C6EBD4" w:rsidR="00844360" w:rsidRPr="00DA3562" w:rsidRDefault="00AC5CAC" w:rsidP="00DA3562">
            <w:pPr>
              <w:pStyle w:val="SL-FlLftSgl"/>
              <w:keepNext/>
              <w:keepLines/>
              <w:spacing w:line="240" w:lineRule="auto"/>
              <w:jc w:val="left"/>
              <w:rPr>
                <w:color w:val="000000" w:themeColor="text1"/>
              </w:rPr>
            </w:pPr>
            <w:r>
              <w:rPr>
                <w:color w:val="000000" w:themeColor="text1"/>
              </w:rPr>
              <w:t>$2,481.12</w:t>
            </w:r>
          </w:p>
        </w:tc>
      </w:tr>
      <w:tr w:rsidR="00844360" w:rsidRPr="000625A3" w14:paraId="7ADCA9BC" w14:textId="77777777" w:rsidTr="00BD07ED">
        <w:trPr>
          <w:cantSplit/>
        </w:trPr>
        <w:tc>
          <w:tcPr>
            <w:tcW w:w="2160" w:type="dxa"/>
            <w:shd w:val="clear" w:color="auto" w:fill="auto"/>
          </w:tcPr>
          <w:p w14:paraId="383B6463" w14:textId="77777777" w:rsidR="00BD07ED" w:rsidRPr="00DF1352" w:rsidRDefault="00295C1C" w:rsidP="00DA3562">
            <w:pPr>
              <w:pStyle w:val="SL-FlLftSgl"/>
              <w:keepNext/>
              <w:keepLines/>
              <w:spacing w:line="240" w:lineRule="auto"/>
              <w:jc w:val="left"/>
              <w:rPr>
                <w:b/>
                <w:color w:val="000000" w:themeColor="text1"/>
              </w:rPr>
            </w:pPr>
            <w:r w:rsidRPr="00DF1352">
              <w:rPr>
                <w:b/>
                <w:color w:val="000000" w:themeColor="text1"/>
              </w:rPr>
              <w:t xml:space="preserve">Site Visit Logistics and Recruitment </w:t>
            </w:r>
          </w:p>
          <w:p w14:paraId="74E392BC" w14:textId="73EBCD99" w:rsidR="00844360" w:rsidRPr="00DF1352" w:rsidRDefault="00295C1C" w:rsidP="00DA3562">
            <w:pPr>
              <w:pStyle w:val="SL-FlLftSgl"/>
              <w:keepNext/>
              <w:keepLines/>
              <w:spacing w:line="240" w:lineRule="auto"/>
              <w:jc w:val="left"/>
              <w:rPr>
                <w:b/>
                <w:color w:val="000000" w:themeColor="text1"/>
              </w:rPr>
            </w:pPr>
            <w:r w:rsidRPr="00DF1352">
              <w:rPr>
                <w:b/>
                <w:color w:val="000000" w:themeColor="text1"/>
              </w:rPr>
              <w:t xml:space="preserve">(APS </w:t>
            </w:r>
            <w:r w:rsidR="00184E00" w:rsidRPr="00DF1352">
              <w:rPr>
                <w:b/>
                <w:color w:val="000000" w:themeColor="text1"/>
              </w:rPr>
              <w:t>caseworkers</w:t>
            </w:r>
            <w:r w:rsidRPr="00DF1352">
              <w:rPr>
                <w:b/>
                <w:color w:val="000000" w:themeColor="text1"/>
              </w:rPr>
              <w:t>)</w:t>
            </w:r>
          </w:p>
        </w:tc>
        <w:tc>
          <w:tcPr>
            <w:tcW w:w="900" w:type="dxa"/>
            <w:shd w:val="clear" w:color="auto" w:fill="auto"/>
          </w:tcPr>
          <w:p w14:paraId="5981329A" w14:textId="426AE487" w:rsidR="00844360" w:rsidRPr="00DF1352" w:rsidRDefault="00DF1352" w:rsidP="00DA3562">
            <w:pPr>
              <w:pStyle w:val="SL-FlLftSgl"/>
              <w:keepNext/>
              <w:keepLines/>
              <w:spacing w:line="240" w:lineRule="auto"/>
              <w:jc w:val="left"/>
              <w:rPr>
                <w:color w:val="000000" w:themeColor="text1"/>
              </w:rPr>
            </w:pPr>
            <w:r w:rsidRPr="00DF1352">
              <w:rPr>
                <w:color w:val="000000" w:themeColor="text1"/>
              </w:rPr>
              <w:t>60</w:t>
            </w:r>
          </w:p>
        </w:tc>
        <w:tc>
          <w:tcPr>
            <w:tcW w:w="1170" w:type="dxa"/>
            <w:shd w:val="clear" w:color="auto" w:fill="auto"/>
          </w:tcPr>
          <w:p w14:paraId="4C7F24F9" w14:textId="23D4C6A7" w:rsidR="00844360" w:rsidRPr="00DF1352" w:rsidRDefault="00184E00" w:rsidP="00DA3562">
            <w:pPr>
              <w:pStyle w:val="SL-FlLftSgl"/>
              <w:keepNext/>
              <w:keepLines/>
              <w:spacing w:line="240" w:lineRule="auto"/>
              <w:jc w:val="left"/>
              <w:rPr>
                <w:color w:val="000000" w:themeColor="text1"/>
              </w:rPr>
            </w:pPr>
            <w:r w:rsidRPr="00DF1352">
              <w:rPr>
                <w:color w:val="000000" w:themeColor="text1"/>
              </w:rPr>
              <w:t>4</w:t>
            </w:r>
          </w:p>
        </w:tc>
        <w:tc>
          <w:tcPr>
            <w:tcW w:w="1530" w:type="dxa"/>
            <w:shd w:val="clear" w:color="auto" w:fill="auto"/>
          </w:tcPr>
          <w:p w14:paraId="44BA34EE" w14:textId="6F4E34AA" w:rsidR="00844360" w:rsidRPr="00DF1352" w:rsidRDefault="00DF1352" w:rsidP="00DA3562">
            <w:pPr>
              <w:pStyle w:val="SL-FlLftSgl"/>
              <w:keepNext/>
              <w:keepLines/>
              <w:spacing w:line="240" w:lineRule="auto"/>
              <w:jc w:val="left"/>
              <w:rPr>
                <w:color w:val="000000" w:themeColor="text1"/>
              </w:rPr>
            </w:pPr>
            <w:r w:rsidRPr="00DF1352">
              <w:rPr>
                <w:color w:val="000000" w:themeColor="text1"/>
              </w:rPr>
              <w:t>240</w:t>
            </w:r>
          </w:p>
        </w:tc>
        <w:tc>
          <w:tcPr>
            <w:tcW w:w="2340" w:type="dxa"/>
            <w:shd w:val="clear" w:color="auto" w:fill="auto"/>
          </w:tcPr>
          <w:p w14:paraId="368D6B73" w14:textId="118B147D" w:rsidR="00844360" w:rsidRPr="00DF1352" w:rsidRDefault="00184E00" w:rsidP="00DA3562">
            <w:pPr>
              <w:pStyle w:val="SL-FlLftSgl"/>
              <w:keepNext/>
              <w:keepLines/>
              <w:spacing w:line="240" w:lineRule="auto"/>
              <w:jc w:val="left"/>
              <w:rPr>
                <w:color w:val="000000" w:themeColor="text1"/>
              </w:rPr>
            </w:pPr>
            <w:r w:rsidRPr="00DF1352">
              <w:rPr>
                <w:color w:val="000000" w:themeColor="text1"/>
              </w:rPr>
              <w:t>$25.51 (BLS Occupational data Social Workers)</w:t>
            </w:r>
          </w:p>
        </w:tc>
        <w:tc>
          <w:tcPr>
            <w:tcW w:w="1260" w:type="dxa"/>
            <w:shd w:val="clear" w:color="auto" w:fill="auto"/>
          </w:tcPr>
          <w:p w14:paraId="6A5FDE36" w14:textId="1E74EF50" w:rsidR="00844360" w:rsidRPr="00DF1352" w:rsidRDefault="00DF1352" w:rsidP="00DA3562">
            <w:pPr>
              <w:pStyle w:val="SL-FlLftSgl"/>
              <w:keepNext/>
              <w:keepLines/>
              <w:spacing w:line="240" w:lineRule="auto"/>
              <w:jc w:val="left"/>
              <w:rPr>
                <w:color w:val="000000" w:themeColor="text1"/>
              </w:rPr>
            </w:pPr>
            <w:r w:rsidRPr="00DF1352">
              <w:rPr>
                <w:color w:val="000000" w:themeColor="text1"/>
              </w:rPr>
              <w:t>$6,122.40</w:t>
            </w:r>
          </w:p>
        </w:tc>
      </w:tr>
      <w:tr w:rsidR="00295C1C" w:rsidRPr="000625A3" w14:paraId="73F8E9BA" w14:textId="77777777" w:rsidTr="00BD07ED">
        <w:trPr>
          <w:cantSplit/>
        </w:trPr>
        <w:tc>
          <w:tcPr>
            <w:tcW w:w="2160" w:type="dxa"/>
            <w:shd w:val="clear" w:color="auto" w:fill="auto"/>
          </w:tcPr>
          <w:p w14:paraId="0F8BEB3F" w14:textId="2A2E78E3" w:rsidR="00295C1C" w:rsidRPr="00DF1352" w:rsidRDefault="00184E00" w:rsidP="00DA3562">
            <w:pPr>
              <w:pStyle w:val="SL-FlLftSgl"/>
              <w:keepNext/>
              <w:keepLines/>
              <w:spacing w:line="240" w:lineRule="auto"/>
              <w:jc w:val="left"/>
              <w:rPr>
                <w:color w:val="000000" w:themeColor="text1"/>
              </w:rPr>
            </w:pPr>
            <w:r w:rsidRPr="00DF1352">
              <w:rPr>
                <w:color w:val="000000" w:themeColor="text1"/>
              </w:rPr>
              <w:t>TOTAL</w:t>
            </w:r>
          </w:p>
        </w:tc>
        <w:tc>
          <w:tcPr>
            <w:tcW w:w="900" w:type="dxa"/>
            <w:shd w:val="clear" w:color="auto" w:fill="auto"/>
          </w:tcPr>
          <w:p w14:paraId="05CC83AB" w14:textId="1A76707A" w:rsidR="00295C1C" w:rsidRPr="00DF1352" w:rsidRDefault="00DF1352" w:rsidP="00DA3562">
            <w:pPr>
              <w:pStyle w:val="SL-FlLftSgl"/>
              <w:keepNext/>
              <w:keepLines/>
              <w:spacing w:line="240" w:lineRule="auto"/>
              <w:jc w:val="left"/>
              <w:rPr>
                <w:color w:val="000000" w:themeColor="text1"/>
              </w:rPr>
            </w:pPr>
            <w:r>
              <w:rPr>
                <w:color w:val="000000" w:themeColor="text1"/>
              </w:rPr>
              <w:t>234</w:t>
            </w:r>
          </w:p>
        </w:tc>
        <w:tc>
          <w:tcPr>
            <w:tcW w:w="1170" w:type="dxa"/>
            <w:shd w:val="clear" w:color="auto" w:fill="auto"/>
          </w:tcPr>
          <w:p w14:paraId="11E3D7F1" w14:textId="77777777" w:rsidR="00295C1C" w:rsidRPr="00DF1352" w:rsidRDefault="00295C1C" w:rsidP="00DA3562">
            <w:pPr>
              <w:pStyle w:val="SL-FlLftSgl"/>
              <w:keepNext/>
              <w:keepLines/>
              <w:spacing w:line="240" w:lineRule="auto"/>
              <w:jc w:val="left"/>
              <w:rPr>
                <w:color w:val="000000" w:themeColor="text1"/>
              </w:rPr>
            </w:pPr>
          </w:p>
        </w:tc>
        <w:tc>
          <w:tcPr>
            <w:tcW w:w="1530" w:type="dxa"/>
            <w:shd w:val="clear" w:color="auto" w:fill="auto"/>
          </w:tcPr>
          <w:p w14:paraId="6CE00174" w14:textId="2FFB728D" w:rsidR="00295C1C" w:rsidRPr="00DF1352" w:rsidRDefault="00DF1352" w:rsidP="00DA3562">
            <w:pPr>
              <w:pStyle w:val="SL-FlLftSgl"/>
              <w:keepNext/>
              <w:keepLines/>
              <w:spacing w:line="240" w:lineRule="auto"/>
              <w:jc w:val="left"/>
              <w:rPr>
                <w:color w:val="000000" w:themeColor="text1"/>
              </w:rPr>
            </w:pPr>
            <w:r>
              <w:rPr>
                <w:color w:val="000000" w:themeColor="text1"/>
              </w:rPr>
              <w:t>636</w:t>
            </w:r>
          </w:p>
        </w:tc>
        <w:tc>
          <w:tcPr>
            <w:tcW w:w="2340" w:type="dxa"/>
            <w:shd w:val="clear" w:color="auto" w:fill="auto"/>
          </w:tcPr>
          <w:p w14:paraId="68A4B53A" w14:textId="77777777" w:rsidR="00295C1C" w:rsidRPr="00DF1352" w:rsidRDefault="00295C1C" w:rsidP="00DA3562">
            <w:pPr>
              <w:pStyle w:val="SL-FlLftSgl"/>
              <w:keepNext/>
              <w:keepLines/>
              <w:spacing w:line="240" w:lineRule="auto"/>
              <w:jc w:val="left"/>
              <w:rPr>
                <w:color w:val="000000" w:themeColor="text1"/>
              </w:rPr>
            </w:pPr>
          </w:p>
        </w:tc>
        <w:tc>
          <w:tcPr>
            <w:tcW w:w="1260" w:type="dxa"/>
            <w:shd w:val="clear" w:color="auto" w:fill="auto"/>
          </w:tcPr>
          <w:p w14:paraId="11C9561A" w14:textId="7D03934A" w:rsidR="00295C1C" w:rsidRPr="00DF1352" w:rsidRDefault="00DF1352" w:rsidP="00DA3562">
            <w:pPr>
              <w:pStyle w:val="SL-FlLftSgl"/>
              <w:keepNext/>
              <w:keepLines/>
              <w:spacing w:line="240" w:lineRule="auto"/>
              <w:jc w:val="left"/>
              <w:rPr>
                <w:color w:val="000000" w:themeColor="text1"/>
              </w:rPr>
            </w:pPr>
            <w:r>
              <w:rPr>
                <w:color w:val="000000" w:themeColor="text1"/>
              </w:rPr>
              <w:t>$17,352.06</w:t>
            </w:r>
          </w:p>
        </w:tc>
      </w:tr>
    </w:tbl>
    <w:p w14:paraId="5A7DF256" w14:textId="493899C5" w:rsidR="00CF1937" w:rsidRPr="006D6920" w:rsidRDefault="0070450C" w:rsidP="006D6920">
      <w:pPr>
        <w:pStyle w:val="BodyText"/>
        <w:spacing w:line="240" w:lineRule="auto"/>
        <w:rPr>
          <w:rFonts w:ascii="Times New Roman" w:hAnsi="Times New Roman"/>
          <w:sz w:val="24"/>
        </w:rPr>
      </w:pPr>
      <w:r>
        <w:rPr>
          <w:rFonts w:ascii="Times New Roman" w:hAnsi="Times New Roman"/>
          <w:sz w:val="24"/>
        </w:rPr>
        <w:t xml:space="preserve"> </w:t>
      </w:r>
    </w:p>
    <w:p w14:paraId="2CC6B40C" w14:textId="77777777" w:rsidR="00CF1937" w:rsidRDefault="00CF1937" w:rsidP="00134604">
      <w:pPr>
        <w:pStyle w:val="BodyText"/>
        <w:spacing w:line="240" w:lineRule="auto"/>
        <w:ind w:left="720" w:hanging="360"/>
        <w:rPr>
          <w:rFonts w:ascii="Times New Roman" w:hAnsi="Times New Roman"/>
          <w:b/>
          <w:sz w:val="24"/>
        </w:rPr>
      </w:pPr>
      <w:r w:rsidRPr="0070450C">
        <w:rPr>
          <w:rFonts w:ascii="Times New Roman" w:hAnsi="Times New Roman"/>
          <w:b/>
          <w:sz w:val="24"/>
        </w:rPr>
        <w:t>14.</w:t>
      </w:r>
      <w:r w:rsidR="00A90DD1">
        <w:rPr>
          <w:rFonts w:ascii="Times New Roman" w:hAnsi="Times New Roman"/>
          <w:b/>
          <w:sz w:val="24"/>
        </w:rPr>
        <w:t xml:space="preserve"> </w:t>
      </w:r>
      <w:r w:rsidRPr="0070450C">
        <w:rPr>
          <w:rFonts w:ascii="Times New Roman" w:hAnsi="Times New Roman"/>
          <w:b/>
          <w:sz w:val="24"/>
        </w:rPr>
        <w:t>Annual</w:t>
      </w:r>
      <w:r w:rsidR="00C97A70" w:rsidRPr="0070450C">
        <w:rPr>
          <w:rFonts w:ascii="Times New Roman" w:hAnsi="Times New Roman"/>
          <w:b/>
          <w:sz w:val="24"/>
        </w:rPr>
        <w:t>ized</w:t>
      </w:r>
      <w:r w:rsidRPr="0070450C">
        <w:rPr>
          <w:rFonts w:ascii="Times New Roman" w:hAnsi="Times New Roman"/>
          <w:b/>
          <w:sz w:val="24"/>
        </w:rPr>
        <w:t xml:space="preserve"> Cost to the Federal Government</w:t>
      </w:r>
    </w:p>
    <w:p w14:paraId="6D848753" w14:textId="77777777" w:rsidR="00A95C79" w:rsidRPr="001D6447" w:rsidRDefault="00A95C79" w:rsidP="00134604">
      <w:pPr>
        <w:pStyle w:val="BodyText"/>
        <w:spacing w:line="240" w:lineRule="auto"/>
        <w:ind w:left="720" w:hanging="360"/>
        <w:rPr>
          <w:rFonts w:ascii="Times New Roman" w:hAnsi="Times New Roman"/>
          <w:b/>
          <w:sz w:val="24"/>
        </w:rPr>
      </w:pPr>
    </w:p>
    <w:p w14:paraId="5DF5EBED" w14:textId="6DD2A6D1" w:rsidR="00CF1937" w:rsidRDefault="00CF1937" w:rsidP="00AA6D6C">
      <w:pPr>
        <w:pStyle w:val="BodyText"/>
        <w:spacing w:line="240" w:lineRule="auto"/>
        <w:rPr>
          <w:rFonts w:ascii="Times New Roman" w:hAnsi="Times New Roman"/>
          <w:sz w:val="24"/>
        </w:rPr>
      </w:pPr>
      <w:r>
        <w:rPr>
          <w:rFonts w:ascii="Times New Roman" w:hAnsi="Times New Roman"/>
          <w:sz w:val="24"/>
        </w:rPr>
        <w:t xml:space="preserve">The </w:t>
      </w:r>
      <w:r w:rsidR="00AE2A76">
        <w:rPr>
          <w:rFonts w:ascii="Times New Roman" w:hAnsi="Times New Roman"/>
          <w:sz w:val="24"/>
        </w:rPr>
        <w:t xml:space="preserve">estimated </w:t>
      </w:r>
      <w:r>
        <w:rPr>
          <w:rFonts w:ascii="Times New Roman" w:hAnsi="Times New Roman"/>
          <w:sz w:val="24"/>
        </w:rPr>
        <w:t>annual cost to the</w:t>
      </w:r>
      <w:r w:rsidR="00417B79">
        <w:rPr>
          <w:rFonts w:ascii="Times New Roman" w:hAnsi="Times New Roman"/>
          <w:sz w:val="24"/>
        </w:rPr>
        <w:t xml:space="preserve"> federal government</w:t>
      </w:r>
      <w:r w:rsidR="00AE2A76">
        <w:rPr>
          <w:rFonts w:ascii="Times New Roman" w:hAnsi="Times New Roman"/>
          <w:sz w:val="24"/>
        </w:rPr>
        <w:t xml:space="preserve"> for the three-year study period</w:t>
      </w:r>
      <w:r w:rsidR="00417B79">
        <w:rPr>
          <w:rFonts w:ascii="Times New Roman" w:hAnsi="Times New Roman"/>
          <w:sz w:val="24"/>
        </w:rPr>
        <w:t xml:space="preserve"> </w:t>
      </w:r>
      <w:r>
        <w:rPr>
          <w:rFonts w:ascii="Times New Roman" w:hAnsi="Times New Roman"/>
          <w:sz w:val="24"/>
        </w:rPr>
        <w:t xml:space="preserve">is shown in the </w:t>
      </w:r>
      <w:r w:rsidR="00AE2A76">
        <w:rPr>
          <w:rFonts w:ascii="Times New Roman" w:hAnsi="Times New Roman"/>
          <w:sz w:val="24"/>
        </w:rPr>
        <w:t>table below.</w:t>
      </w:r>
    </w:p>
    <w:p w14:paraId="3E68CC72" w14:textId="77777777" w:rsidR="00CF1937" w:rsidRDefault="00CF1937" w:rsidP="00CF1937">
      <w:pPr>
        <w:pStyle w:val="BodyText"/>
        <w:spacing w:line="240" w:lineRule="auto"/>
        <w:rPr>
          <w:rFonts w:ascii="Times New Roman" w:hAnsi="Times New Roman"/>
          <w:sz w:val="24"/>
        </w:rPr>
      </w:pPr>
    </w:p>
    <w:tbl>
      <w:tblPr>
        <w:tblStyle w:val="LightGrid"/>
        <w:tblW w:w="7550" w:type="dxa"/>
        <w:jc w:val="center"/>
        <w:tblLayout w:type="fixed"/>
        <w:tblLook w:val="06E0" w:firstRow="1" w:lastRow="1" w:firstColumn="1" w:lastColumn="0" w:noHBand="1" w:noVBand="1"/>
      </w:tblPr>
      <w:tblGrid>
        <w:gridCol w:w="1888"/>
        <w:gridCol w:w="1346"/>
        <w:gridCol w:w="1346"/>
        <w:gridCol w:w="1435"/>
        <w:gridCol w:w="1535"/>
      </w:tblGrid>
      <w:tr w:rsidR="00097B85" w:rsidRPr="00FF2C5B" w14:paraId="3A4E458C" w14:textId="77777777" w:rsidTr="007910A6">
        <w:trPr>
          <w:cnfStyle w:val="100000000000" w:firstRow="1" w:lastRow="0" w:firstColumn="0" w:lastColumn="0" w:oddVBand="0" w:evenVBand="0" w:oddHBand="0"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888" w:type="dxa"/>
          </w:tcPr>
          <w:p w14:paraId="55781A17" w14:textId="6977DA2F" w:rsidR="00097B85" w:rsidRPr="00AA6D6C" w:rsidRDefault="00550F4F" w:rsidP="00097B85">
            <w:pPr>
              <w:pStyle w:val="BodyText"/>
              <w:spacing w:line="240" w:lineRule="auto"/>
              <w:jc w:val="center"/>
              <w:rPr>
                <w:rFonts w:ascii="Times New Roman" w:hAnsi="Times New Roman" w:cs="Times New Roman"/>
                <w:sz w:val="22"/>
                <w:szCs w:val="22"/>
              </w:rPr>
            </w:pPr>
            <w:r>
              <w:rPr>
                <w:rFonts w:ascii="Times New Roman" w:hAnsi="Times New Roman" w:cs="Times New Roman"/>
                <w:sz w:val="22"/>
                <w:szCs w:val="22"/>
              </w:rPr>
              <w:t>Type</w:t>
            </w:r>
          </w:p>
        </w:tc>
        <w:tc>
          <w:tcPr>
            <w:tcW w:w="1346" w:type="dxa"/>
          </w:tcPr>
          <w:p w14:paraId="7B8DB4AD" w14:textId="4A0354E2" w:rsidR="00097B85" w:rsidRPr="00AA6D6C" w:rsidRDefault="00AA6D6C" w:rsidP="00097B85">
            <w:pPr>
              <w:pStyle w:val="BodyText"/>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6D6C">
              <w:rPr>
                <w:rFonts w:ascii="Times New Roman" w:hAnsi="Times New Roman" w:cs="Times New Roman"/>
                <w:sz w:val="22"/>
                <w:szCs w:val="22"/>
              </w:rPr>
              <w:t xml:space="preserve">Year </w:t>
            </w:r>
            <w:r w:rsidR="00097B85" w:rsidRPr="00AA6D6C">
              <w:rPr>
                <w:rFonts w:ascii="Times New Roman" w:hAnsi="Times New Roman" w:cs="Times New Roman"/>
                <w:sz w:val="22"/>
                <w:szCs w:val="22"/>
              </w:rPr>
              <w:t>1</w:t>
            </w:r>
          </w:p>
        </w:tc>
        <w:tc>
          <w:tcPr>
            <w:tcW w:w="1346" w:type="dxa"/>
          </w:tcPr>
          <w:p w14:paraId="06594644" w14:textId="268D0E64" w:rsidR="00097B85" w:rsidRPr="00AA6D6C" w:rsidRDefault="00AA6D6C" w:rsidP="00097B85">
            <w:pPr>
              <w:pStyle w:val="BodyText"/>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6D6C">
              <w:rPr>
                <w:rFonts w:ascii="Times New Roman" w:hAnsi="Times New Roman" w:cs="Times New Roman"/>
                <w:sz w:val="22"/>
                <w:szCs w:val="22"/>
              </w:rPr>
              <w:t xml:space="preserve">Year </w:t>
            </w:r>
            <w:r w:rsidR="00097B85" w:rsidRPr="00AA6D6C">
              <w:rPr>
                <w:rFonts w:ascii="Times New Roman" w:hAnsi="Times New Roman" w:cs="Times New Roman"/>
                <w:sz w:val="22"/>
                <w:szCs w:val="22"/>
              </w:rPr>
              <w:t>2</w:t>
            </w:r>
          </w:p>
        </w:tc>
        <w:tc>
          <w:tcPr>
            <w:tcW w:w="1435" w:type="dxa"/>
          </w:tcPr>
          <w:p w14:paraId="5EC82C83" w14:textId="6CB165D4" w:rsidR="00097B85" w:rsidRPr="00AA6D6C" w:rsidRDefault="00AA6D6C" w:rsidP="00097B85">
            <w:pPr>
              <w:pStyle w:val="BodyText"/>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AA6D6C">
              <w:rPr>
                <w:rFonts w:ascii="Times New Roman" w:hAnsi="Times New Roman" w:cs="Times New Roman"/>
                <w:sz w:val="22"/>
                <w:szCs w:val="22"/>
              </w:rPr>
              <w:t xml:space="preserve">Year </w:t>
            </w:r>
            <w:r w:rsidR="00097B85" w:rsidRPr="00AA6D6C">
              <w:rPr>
                <w:rFonts w:ascii="Times New Roman" w:hAnsi="Times New Roman" w:cs="Times New Roman"/>
                <w:sz w:val="22"/>
                <w:szCs w:val="22"/>
              </w:rPr>
              <w:t>3</w:t>
            </w:r>
          </w:p>
        </w:tc>
        <w:tc>
          <w:tcPr>
            <w:tcW w:w="1535" w:type="dxa"/>
          </w:tcPr>
          <w:p w14:paraId="74E618B1" w14:textId="66411FAF" w:rsidR="00097B85" w:rsidRPr="00AA6D6C" w:rsidRDefault="007910A6" w:rsidP="00097B85">
            <w:pPr>
              <w:pStyle w:val="BodyText"/>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Total Cost</w:t>
            </w:r>
          </w:p>
        </w:tc>
      </w:tr>
      <w:tr w:rsidR="00097B85" w:rsidRPr="00FF2C5B" w14:paraId="17D171B4" w14:textId="77777777" w:rsidTr="007910A6">
        <w:trPr>
          <w:trHeight w:val="260"/>
          <w:jc w:val="center"/>
        </w:trPr>
        <w:tc>
          <w:tcPr>
            <w:cnfStyle w:val="001000000000" w:firstRow="0" w:lastRow="0" w:firstColumn="1" w:lastColumn="0" w:oddVBand="0" w:evenVBand="0" w:oddHBand="0" w:evenHBand="0" w:firstRowFirstColumn="0" w:firstRowLastColumn="0" w:lastRowFirstColumn="0" w:lastRowLastColumn="0"/>
            <w:tcW w:w="1888" w:type="dxa"/>
            <w:shd w:val="clear" w:color="auto" w:fill="BFBFBF" w:themeFill="background1" w:themeFillShade="BF"/>
          </w:tcPr>
          <w:p w14:paraId="42CE430A" w14:textId="44C50844" w:rsidR="00097B85" w:rsidRPr="00AA6D6C" w:rsidRDefault="00097B85" w:rsidP="00097B85">
            <w:pPr>
              <w:pStyle w:val="BodyText"/>
              <w:spacing w:line="240" w:lineRule="auto"/>
              <w:jc w:val="center"/>
              <w:rPr>
                <w:rFonts w:ascii="Times New Roman" w:hAnsi="Times New Roman"/>
                <w:sz w:val="22"/>
                <w:szCs w:val="22"/>
              </w:rPr>
            </w:pPr>
            <w:r w:rsidRPr="00AA6D6C">
              <w:rPr>
                <w:rFonts w:ascii="Times New Roman" w:hAnsi="Times New Roman"/>
                <w:sz w:val="22"/>
                <w:szCs w:val="22"/>
              </w:rPr>
              <w:t>Respondents</w:t>
            </w:r>
          </w:p>
        </w:tc>
        <w:tc>
          <w:tcPr>
            <w:tcW w:w="1346" w:type="dxa"/>
            <w:shd w:val="clear" w:color="auto" w:fill="BFBFBF" w:themeFill="background1" w:themeFillShade="BF"/>
          </w:tcPr>
          <w:p w14:paraId="7DEEAAA0" w14:textId="64A1977A" w:rsidR="00097B85" w:rsidRPr="009C09F8" w:rsidRDefault="00AA6D6C" w:rsidP="00097B85">
            <w:pPr>
              <w:jc w:val="center"/>
              <w:cnfStyle w:val="000000000000" w:firstRow="0" w:lastRow="0" w:firstColumn="0" w:lastColumn="0" w:oddVBand="0" w:evenVBand="0" w:oddHBand="0" w:evenHBand="0" w:firstRowFirstColumn="0" w:firstRowLastColumn="0" w:lastRowFirstColumn="0" w:lastRowLastColumn="0"/>
              <w:rPr>
                <w:sz w:val="22"/>
                <w:szCs w:val="22"/>
              </w:rPr>
            </w:pPr>
            <w:r w:rsidRPr="009C09F8">
              <w:rPr>
                <w:sz w:val="22"/>
                <w:szCs w:val="22"/>
              </w:rPr>
              <w:t>$</w:t>
            </w:r>
            <w:r w:rsidR="002A6BF9" w:rsidRPr="009C09F8">
              <w:rPr>
                <w:sz w:val="22"/>
                <w:szCs w:val="22"/>
              </w:rPr>
              <w:t>0</w:t>
            </w:r>
          </w:p>
        </w:tc>
        <w:tc>
          <w:tcPr>
            <w:tcW w:w="1346" w:type="dxa"/>
            <w:shd w:val="clear" w:color="auto" w:fill="BFBFBF" w:themeFill="background1" w:themeFillShade="BF"/>
          </w:tcPr>
          <w:p w14:paraId="4814ADB7" w14:textId="22725A90" w:rsidR="00097B85" w:rsidRPr="009C09F8" w:rsidRDefault="001450E9" w:rsidP="002A6BF9">
            <w:pPr>
              <w:jc w:val="center"/>
              <w:cnfStyle w:val="000000000000" w:firstRow="0" w:lastRow="0" w:firstColumn="0" w:lastColumn="0" w:oddVBand="0" w:evenVBand="0" w:oddHBand="0" w:evenHBand="0" w:firstRowFirstColumn="0" w:firstRowLastColumn="0" w:lastRowFirstColumn="0" w:lastRowLastColumn="0"/>
              <w:rPr>
                <w:sz w:val="22"/>
                <w:szCs w:val="22"/>
              </w:rPr>
            </w:pPr>
            <w:r>
              <w:rPr>
                <w:color w:val="000000" w:themeColor="text1"/>
                <w:sz w:val="22"/>
                <w:szCs w:val="22"/>
              </w:rPr>
              <w:t>$27,036.85</w:t>
            </w:r>
          </w:p>
        </w:tc>
        <w:tc>
          <w:tcPr>
            <w:tcW w:w="1435" w:type="dxa"/>
            <w:shd w:val="clear" w:color="auto" w:fill="BFBFBF" w:themeFill="background1" w:themeFillShade="BF"/>
            <w:vAlign w:val="center"/>
          </w:tcPr>
          <w:p w14:paraId="52D7C5D8" w14:textId="3062B282" w:rsidR="00097B85" w:rsidRPr="009C09F8" w:rsidRDefault="001450E9" w:rsidP="00097B85">
            <w:pPr>
              <w:jc w:val="cente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$27,036.85</w:t>
            </w:r>
          </w:p>
        </w:tc>
        <w:tc>
          <w:tcPr>
            <w:tcW w:w="1535" w:type="dxa"/>
            <w:shd w:val="clear" w:color="auto" w:fill="BFBFBF" w:themeFill="background1" w:themeFillShade="BF"/>
            <w:vAlign w:val="center"/>
          </w:tcPr>
          <w:p w14:paraId="642FC625" w14:textId="2029DA61" w:rsidR="00097B85" w:rsidRPr="00AA6D6C" w:rsidRDefault="001450E9" w:rsidP="00097B85">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Pr>
                <w:color w:val="000000" w:themeColor="text1"/>
                <w:sz w:val="22"/>
                <w:szCs w:val="22"/>
              </w:rPr>
              <w:t>$54,073.70</w:t>
            </w:r>
          </w:p>
        </w:tc>
      </w:tr>
      <w:tr w:rsidR="009C09F8" w:rsidRPr="00FF2C5B" w14:paraId="2F49C445" w14:textId="77777777" w:rsidTr="007910A6">
        <w:trPr>
          <w:trHeight w:val="260"/>
          <w:jc w:val="center"/>
        </w:trPr>
        <w:tc>
          <w:tcPr>
            <w:cnfStyle w:val="001000000000" w:firstRow="0" w:lastRow="0" w:firstColumn="1" w:lastColumn="0" w:oddVBand="0" w:evenVBand="0" w:oddHBand="0" w:evenHBand="0" w:firstRowFirstColumn="0" w:firstRowLastColumn="0" w:lastRowFirstColumn="0" w:lastRowLastColumn="0"/>
            <w:tcW w:w="1888" w:type="dxa"/>
          </w:tcPr>
          <w:p w14:paraId="67CEE074" w14:textId="4314A815" w:rsidR="009C09F8" w:rsidRPr="00AA6D6C" w:rsidRDefault="009C09F8" w:rsidP="009C09F8">
            <w:pPr>
              <w:pStyle w:val="BodyText"/>
              <w:spacing w:line="240" w:lineRule="auto"/>
              <w:jc w:val="center"/>
              <w:rPr>
                <w:rFonts w:ascii="Times New Roman" w:hAnsi="Times New Roman" w:cs="Times New Roman"/>
                <w:sz w:val="22"/>
                <w:szCs w:val="22"/>
              </w:rPr>
            </w:pPr>
            <w:r w:rsidRPr="00AA6D6C">
              <w:rPr>
                <w:rFonts w:ascii="Times New Roman" w:hAnsi="Times New Roman" w:cs="Times New Roman"/>
                <w:sz w:val="22"/>
                <w:szCs w:val="22"/>
              </w:rPr>
              <w:t>ACL</w:t>
            </w:r>
            <w:r w:rsidR="00550F4F">
              <w:rPr>
                <w:rFonts w:ascii="Times New Roman" w:hAnsi="Times New Roman" w:cs="Times New Roman"/>
                <w:sz w:val="22"/>
                <w:szCs w:val="22"/>
              </w:rPr>
              <w:t xml:space="preserve"> Staff</w:t>
            </w:r>
          </w:p>
        </w:tc>
        <w:tc>
          <w:tcPr>
            <w:tcW w:w="1346" w:type="dxa"/>
            <w:vAlign w:val="center"/>
          </w:tcPr>
          <w:p w14:paraId="06859EC1" w14:textId="7A71F53A" w:rsidR="009C09F8" w:rsidRPr="009C09F8" w:rsidRDefault="009C09F8" w:rsidP="009C09F8">
            <w:pPr>
              <w:jc w:val="center"/>
              <w:cnfStyle w:val="000000000000" w:firstRow="0" w:lastRow="0" w:firstColumn="0" w:lastColumn="0" w:oddVBand="0" w:evenVBand="0" w:oddHBand="0" w:evenHBand="0" w:firstRowFirstColumn="0" w:firstRowLastColumn="0" w:lastRowFirstColumn="0" w:lastRowLastColumn="0"/>
              <w:rPr>
                <w:sz w:val="22"/>
                <w:szCs w:val="22"/>
              </w:rPr>
            </w:pPr>
            <w:r w:rsidRPr="009C09F8">
              <w:rPr>
                <w:sz w:val="22"/>
                <w:szCs w:val="22"/>
              </w:rPr>
              <w:t>$</w:t>
            </w:r>
            <w:r>
              <w:rPr>
                <w:sz w:val="22"/>
                <w:szCs w:val="22"/>
              </w:rPr>
              <w:t>9</w:t>
            </w:r>
            <w:r w:rsidRPr="009C09F8">
              <w:rPr>
                <w:sz w:val="22"/>
                <w:szCs w:val="22"/>
              </w:rPr>
              <w:t>,</w:t>
            </w:r>
            <w:r>
              <w:rPr>
                <w:sz w:val="22"/>
                <w:szCs w:val="22"/>
              </w:rPr>
              <w:t>452.00</w:t>
            </w:r>
          </w:p>
        </w:tc>
        <w:tc>
          <w:tcPr>
            <w:tcW w:w="1346" w:type="dxa"/>
          </w:tcPr>
          <w:p w14:paraId="4F281912" w14:textId="00D99B33" w:rsidR="009C09F8" w:rsidRPr="009C09F8" w:rsidRDefault="009C09F8" w:rsidP="009C09F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D58AF">
              <w:rPr>
                <w:sz w:val="22"/>
                <w:szCs w:val="22"/>
              </w:rPr>
              <w:t>$9,452.00</w:t>
            </w:r>
          </w:p>
        </w:tc>
        <w:tc>
          <w:tcPr>
            <w:tcW w:w="1435" w:type="dxa"/>
          </w:tcPr>
          <w:p w14:paraId="0437C74C" w14:textId="3723A102" w:rsidR="009C09F8" w:rsidRPr="009C09F8" w:rsidRDefault="009C09F8" w:rsidP="009C09F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D58AF">
              <w:rPr>
                <w:sz w:val="22"/>
                <w:szCs w:val="22"/>
              </w:rPr>
              <w:t>$9,452.00</w:t>
            </w:r>
          </w:p>
        </w:tc>
        <w:tc>
          <w:tcPr>
            <w:tcW w:w="1535" w:type="dxa"/>
          </w:tcPr>
          <w:p w14:paraId="268DF702" w14:textId="3FEE4DCD" w:rsidR="009C09F8" w:rsidRPr="009C09F8" w:rsidRDefault="009C09F8" w:rsidP="009C09F8">
            <w:pPr>
              <w:jc w:val="center"/>
              <w:cnfStyle w:val="000000000000" w:firstRow="0" w:lastRow="0" w:firstColumn="0" w:lastColumn="0" w:oddVBand="0" w:evenVBand="0" w:oddHBand="0" w:evenHBand="0" w:firstRowFirstColumn="0" w:firstRowLastColumn="0" w:lastRowFirstColumn="0" w:lastRowLastColumn="0"/>
              <w:rPr>
                <w:sz w:val="22"/>
                <w:szCs w:val="22"/>
              </w:rPr>
            </w:pPr>
            <w:r w:rsidRPr="00FD58AF">
              <w:rPr>
                <w:sz w:val="22"/>
                <w:szCs w:val="22"/>
              </w:rPr>
              <w:t>$</w:t>
            </w:r>
            <w:r w:rsidR="007910A6">
              <w:rPr>
                <w:sz w:val="22"/>
                <w:szCs w:val="22"/>
              </w:rPr>
              <w:t>28,356.00</w:t>
            </w:r>
          </w:p>
        </w:tc>
      </w:tr>
      <w:tr w:rsidR="00097B85" w:rsidRPr="00FF2C5B" w14:paraId="10F36304" w14:textId="77777777" w:rsidTr="007910A6">
        <w:trPr>
          <w:trHeight w:val="251"/>
          <w:jc w:val="center"/>
        </w:trPr>
        <w:tc>
          <w:tcPr>
            <w:cnfStyle w:val="001000000000" w:firstRow="0" w:lastRow="0" w:firstColumn="1" w:lastColumn="0" w:oddVBand="0" w:evenVBand="0" w:oddHBand="0" w:evenHBand="0" w:firstRowFirstColumn="0" w:firstRowLastColumn="0" w:lastRowFirstColumn="0" w:lastRowLastColumn="0"/>
            <w:tcW w:w="1888" w:type="dxa"/>
            <w:shd w:val="clear" w:color="auto" w:fill="BFBFBF" w:themeFill="background1" w:themeFillShade="BF"/>
          </w:tcPr>
          <w:p w14:paraId="3BFB5BEA" w14:textId="77777777" w:rsidR="00097B85" w:rsidRPr="00AA6D6C" w:rsidRDefault="00097B85" w:rsidP="00097B85">
            <w:pPr>
              <w:pStyle w:val="BodyText"/>
              <w:spacing w:line="240" w:lineRule="auto"/>
              <w:jc w:val="center"/>
              <w:rPr>
                <w:rFonts w:ascii="Times New Roman" w:hAnsi="Times New Roman" w:cs="Times New Roman"/>
                <w:sz w:val="22"/>
                <w:szCs w:val="22"/>
              </w:rPr>
            </w:pPr>
            <w:r w:rsidRPr="00AA6D6C">
              <w:rPr>
                <w:rFonts w:ascii="Times New Roman" w:hAnsi="Times New Roman" w:cs="Times New Roman"/>
                <w:sz w:val="22"/>
                <w:szCs w:val="22"/>
              </w:rPr>
              <w:t>Contractor Staff</w:t>
            </w:r>
          </w:p>
        </w:tc>
        <w:tc>
          <w:tcPr>
            <w:tcW w:w="1346" w:type="dxa"/>
            <w:shd w:val="clear" w:color="auto" w:fill="BFBFBF" w:themeFill="background1" w:themeFillShade="BF"/>
            <w:vAlign w:val="center"/>
          </w:tcPr>
          <w:p w14:paraId="3501F979" w14:textId="6F4FEF16" w:rsidR="00097B85" w:rsidRPr="00AA6D6C" w:rsidRDefault="00097B85" w:rsidP="00097B85">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6D6C">
              <w:rPr>
                <w:sz w:val="22"/>
                <w:szCs w:val="22"/>
              </w:rPr>
              <w:t>$</w:t>
            </w:r>
            <w:r w:rsidR="007910A6">
              <w:rPr>
                <w:sz w:val="22"/>
                <w:szCs w:val="22"/>
              </w:rPr>
              <w:t>278</w:t>
            </w:r>
            <w:r w:rsidRPr="00AA6D6C">
              <w:rPr>
                <w:sz w:val="22"/>
                <w:szCs w:val="22"/>
              </w:rPr>
              <w:t>,000</w:t>
            </w:r>
            <w:r w:rsidR="009C09F8">
              <w:rPr>
                <w:sz w:val="22"/>
                <w:szCs w:val="22"/>
              </w:rPr>
              <w:t>.00</w:t>
            </w:r>
          </w:p>
        </w:tc>
        <w:tc>
          <w:tcPr>
            <w:tcW w:w="1346" w:type="dxa"/>
            <w:shd w:val="clear" w:color="auto" w:fill="BFBFBF" w:themeFill="background1" w:themeFillShade="BF"/>
            <w:vAlign w:val="center"/>
          </w:tcPr>
          <w:p w14:paraId="27CC6C27" w14:textId="4512D7A1" w:rsidR="00097B85" w:rsidRPr="00AA6D6C" w:rsidRDefault="00097B85" w:rsidP="00097B85">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6D6C">
              <w:rPr>
                <w:sz w:val="22"/>
                <w:szCs w:val="22"/>
              </w:rPr>
              <w:t>$</w:t>
            </w:r>
            <w:r w:rsidR="00CA7D34">
              <w:rPr>
                <w:sz w:val="22"/>
                <w:szCs w:val="22"/>
              </w:rPr>
              <w:t>4</w:t>
            </w:r>
            <w:r w:rsidR="00AA6D6C">
              <w:rPr>
                <w:sz w:val="22"/>
                <w:szCs w:val="22"/>
              </w:rPr>
              <w:t>00</w:t>
            </w:r>
            <w:r w:rsidRPr="00AA6D6C">
              <w:rPr>
                <w:sz w:val="22"/>
                <w:szCs w:val="22"/>
              </w:rPr>
              <w:t>,000</w:t>
            </w:r>
            <w:r w:rsidR="009C09F8">
              <w:rPr>
                <w:sz w:val="22"/>
                <w:szCs w:val="22"/>
              </w:rPr>
              <w:t>.00</w:t>
            </w:r>
          </w:p>
        </w:tc>
        <w:tc>
          <w:tcPr>
            <w:tcW w:w="1435" w:type="dxa"/>
            <w:shd w:val="clear" w:color="auto" w:fill="BFBFBF" w:themeFill="background1" w:themeFillShade="BF"/>
            <w:vAlign w:val="center"/>
          </w:tcPr>
          <w:p w14:paraId="7C979BAB" w14:textId="66ECFE6A" w:rsidR="00097B85" w:rsidRPr="00AA6D6C" w:rsidRDefault="00097B85" w:rsidP="00097B85">
            <w:pPr>
              <w:jc w:val="center"/>
              <w:cnfStyle w:val="000000000000" w:firstRow="0" w:lastRow="0" w:firstColumn="0" w:lastColumn="0" w:oddVBand="0" w:evenVBand="0" w:oddHBand="0" w:evenHBand="0" w:firstRowFirstColumn="0" w:firstRowLastColumn="0" w:lastRowFirstColumn="0" w:lastRowLastColumn="0"/>
              <w:rPr>
                <w:sz w:val="22"/>
                <w:szCs w:val="22"/>
              </w:rPr>
            </w:pPr>
            <w:r w:rsidRPr="00AA6D6C">
              <w:rPr>
                <w:sz w:val="22"/>
                <w:szCs w:val="22"/>
              </w:rPr>
              <w:t>$</w:t>
            </w:r>
            <w:r w:rsidR="00CA7D34">
              <w:rPr>
                <w:sz w:val="22"/>
                <w:szCs w:val="22"/>
              </w:rPr>
              <w:t>250</w:t>
            </w:r>
            <w:r w:rsidRPr="00AA6D6C">
              <w:rPr>
                <w:sz w:val="22"/>
                <w:szCs w:val="22"/>
              </w:rPr>
              <w:t>,000</w:t>
            </w:r>
            <w:r w:rsidR="009C09F8">
              <w:rPr>
                <w:sz w:val="22"/>
                <w:szCs w:val="22"/>
              </w:rPr>
              <w:t>.00</w:t>
            </w:r>
          </w:p>
        </w:tc>
        <w:tc>
          <w:tcPr>
            <w:tcW w:w="1535" w:type="dxa"/>
            <w:shd w:val="clear" w:color="auto" w:fill="BFBFBF" w:themeFill="background1" w:themeFillShade="BF"/>
            <w:vAlign w:val="center"/>
          </w:tcPr>
          <w:p w14:paraId="73C613D2" w14:textId="4B8C1B7C" w:rsidR="00097B85" w:rsidRPr="00AA6D6C" w:rsidRDefault="00097B85" w:rsidP="00097B85">
            <w:pPr>
              <w:jc w:val="center"/>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9C09F8">
              <w:rPr>
                <w:sz w:val="22"/>
                <w:szCs w:val="22"/>
              </w:rPr>
              <w:t>$</w:t>
            </w:r>
            <w:r w:rsidR="007910A6">
              <w:rPr>
                <w:sz w:val="22"/>
                <w:szCs w:val="22"/>
              </w:rPr>
              <w:t>9</w:t>
            </w:r>
            <w:r w:rsidR="00AE2A76">
              <w:rPr>
                <w:sz w:val="22"/>
                <w:szCs w:val="22"/>
              </w:rPr>
              <w:t>28</w:t>
            </w:r>
            <w:r w:rsidR="009C09F8" w:rsidRPr="009C09F8">
              <w:rPr>
                <w:sz w:val="22"/>
                <w:szCs w:val="22"/>
              </w:rPr>
              <w:t>,</w:t>
            </w:r>
            <w:r w:rsidR="007910A6">
              <w:rPr>
                <w:sz w:val="22"/>
                <w:szCs w:val="22"/>
              </w:rPr>
              <w:t>000</w:t>
            </w:r>
            <w:r w:rsidR="009C09F8" w:rsidRPr="009C09F8">
              <w:rPr>
                <w:sz w:val="22"/>
                <w:szCs w:val="22"/>
              </w:rPr>
              <w:t>.</w:t>
            </w:r>
            <w:r w:rsidR="007910A6">
              <w:rPr>
                <w:sz w:val="22"/>
                <w:szCs w:val="22"/>
              </w:rPr>
              <w:t>00</w:t>
            </w:r>
          </w:p>
        </w:tc>
      </w:tr>
      <w:tr w:rsidR="00550F4F" w:rsidRPr="00FF2C5B" w14:paraId="3F3F889F" w14:textId="77777777" w:rsidTr="007910A6">
        <w:trPr>
          <w:cnfStyle w:val="010000000000" w:firstRow="0" w:lastRow="1"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888" w:type="dxa"/>
          </w:tcPr>
          <w:p w14:paraId="642A5084" w14:textId="429A9164" w:rsidR="00550F4F" w:rsidRPr="00550F4F" w:rsidRDefault="00550F4F" w:rsidP="00550F4F">
            <w:pPr>
              <w:pStyle w:val="BodyText"/>
              <w:spacing w:line="240" w:lineRule="auto"/>
              <w:jc w:val="center"/>
              <w:rPr>
                <w:rFonts w:ascii="Times New Roman" w:eastAsia="Times New Roman" w:hAnsi="Times New Roman" w:cs="Times New Roman"/>
                <w:b w:val="0"/>
                <w:bCs w:val="0"/>
                <w:snapToGrid/>
                <w:sz w:val="22"/>
                <w:szCs w:val="22"/>
              </w:rPr>
            </w:pPr>
            <w:r>
              <w:rPr>
                <w:rFonts w:ascii="Times New Roman" w:eastAsia="Times New Roman" w:hAnsi="Times New Roman" w:cs="Times New Roman"/>
                <w:b w:val="0"/>
                <w:bCs w:val="0"/>
                <w:snapToGrid/>
                <w:sz w:val="22"/>
                <w:szCs w:val="22"/>
              </w:rPr>
              <w:t>TOTAL</w:t>
            </w:r>
          </w:p>
        </w:tc>
        <w:tc>
          <w:tcPr>
            <w:tcW w:w="1346" w:type="dxa"/>
            <w:vAlign w:val="bottom"/>
          </w:tcPr>
          <w:p w14:paraId="465FBD68" w14:textId="2DCEF376" w:rsidR="00550F4F" w:rsidRPr="00550F4F" w:rsidRDefault="00550F4F" w:rsidP="00550F4F">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550F4F">
              <w:rPr>
                <w:rFonts w:ascii="Times New Roman" w:eastAsia="Times New Roman" w:hAnsi="Times New Roman" w:cs="Times New Roman"/>
                <w:b w:val="0"/>
                <w:bCs w:val="0"/>
                <w:sz w:val="22"/>
                <w:szCs w:val="22"/>
              </w:rPr>
              <w:t>$</w:t>
            </w:r>
            <w:r w:rsidR="007910A6">
              <w:rPr>
                <w:rFonts w:ascii="Times New Roman" w:eastAsia="Times New Roman" w:hAnsi="Times New Roman" w:cs="Times New Roman"/>
                <w:b w:val="0"/>
                <w:bCs w:val="0"/>
                <w:sz w:val="22"/>
                <w:szCs w:val="22"/>
              </w:rPr>
              <w:t>287</w:t>
            </w:r>
            <w:r w:rsidRPr="00550F4F">
              <w:rPr>
                <w:rFonts w:ascii="Times New Roman" w:eastAsia="Times New Roman" w:hAnsi="Times New Roman" w:cs="Times New Roman"/>
                <w:b w:val="0"/>
                <w:bCs w:val="0"/>
                <w:sz w:val="22"/>
                <w:szCs w:val="22"/>
              </w:rPr>
              <w:t xml:space="preserve">,452.00 </w:t>
            </w:r>
          </w:p>
        </w:tc>
        <w:tc>
          <w:tcPr>
            <w:tcW w:w="1346" w:type="dxa"/>
            <w:vAlign w:val="bottom"/>
          </w:tcPr>
          <w:p w14:paraId="61F2165F" w14:textId="3427E348" w:rsidR="00550F4F" w:rsidRPr="00550F4F" w:rsidRDefault="00550F4F" w:rsidP="00550F4F">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550F4F">
              <w:rPr>
                <w:rFonts w:ascii="Times New Roman" w:eastAsia="Times New Roman" w:hAnsi="Times New Roman" w:cs="Times New Roman"/>
                <w:b w:val="0"/>
                <w:bCs w:val="0"/>
                <w:sz w:val="22"/>
                <w:szCs w:val="22"/>
              </w:rPr>
              <w:t xml:space="preserve">$425,547.01 </w:t>
            </w:r>
          </w:p>
        </w:tc>
        <w:tc>
          <w:tcPr>
            <w:tcW w:w="1435" w:type="dxa"/>
            <w:vAlign w:val="bottom"/>
          </w:tcPr>
          <w:p w14:paraId="1B307FB1" w14:textId="35907514" w:rsidR="00550F4F" w:rsidRPr="00550F4F" w:rsidRDefault="00550F4F" w:rsidP="00550F4F">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sidRPr="00550F4F">
              <w:rPr>
                <w:rFonts w:ascii="Times New Roman" w:eastAsia="Times New Roman" w:hAnsi="Times New Roman" w:cs="Times New Roman"/>
                <w:b w:val="0"/>
                <w:bCs w:val="0"/>
                <w:sz w:val="22"/>
                <w:szCs w:val="22"/>
              </w:rPr>
              <w:t xml:space="preserve">$275,547.01 </w:t>
            </w:r>
          </w:p>
        </w:tc>
        <w:tc>
          <w:tcPr>
            <w:tcW w:w="1535" w:type="dxa"/>
            <w:vAlign w:val="bottom"/>
          </w:tcPr>
          <w:p w14:paraId="0677DBFF" w14:textId="336E2A64" w:rsidR="00550F4F" w:rsidRPr="00550F4F" w:rsidRDefault="001450E9" w:rsidP="00550F4F">
            <w:pPr>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2"/>
                <w:szCs w:val="22"/>
              </w:rPr>
            </w:pPr>
            <w:r>
              <w:rPr>
                <w:rFonts w:ascii="Times New Roman" w:eastAsia="Times New Roman" w:hAnsi="Times New Roman" w:cs="Times New Roman"/>
                <w:b w:val="0"/>
                <w:bCs w:val="0"/>
                <w:sz w:val="22"/>
                <w:szCs w:val="22"/>
              </w:rPr>
              <w:t>$1,010,429.70</w:t>
            </w:r>
            <w:r w:rsidR="00550F4F" w:rsidRPr="00550F4F">
              <w:rPr>
                <w:rFonts w:ascii="Times New Roman" w:eastAsia="Times New Roman" w:hAnsi="Times New Roman" w:cs="Times New Roman"/>
                <w:b w:val="0"/>
                <w:bCs w:val="0"/>
                <w:sz w:val="22"/>
                <w:szCs w:val="22"/>
              </w:rPr>
              <w:t xml:space="preserve"> </w:t>
            </w:r>
          </w:p>
        </w:tc>
      </w:tr>
    </w:tbl>
    <w:p w14:paraId="03692471" w14:textId="77777777" w:rsidR="00EC13E3" w:rsidRDefault="00EC13E3" w:rsidP="002520F5">
      <w:pPr>
        <w:pStyle w:val="BodyText"/>
        <w:spacing w:line="240" w:lineRule="auto"/>
        <w:ind w:left="360"/>
        <w:rPr>
          <w:rFonts w:ascii="Times New Roman" w:hAnsi="Times New Roman"/>
          <w:sz w:val="24"/>
        </w:rPr>
      </w:pPr>
    </w:p>
    <w:p w14:paraId="73A7AD02" w14:textId="43E901A6" w:rsidR="00AB7936" w:rsidRDefault="00CF1937" w:rsidP="00AA6D6C">
      <w:pPr>
        <w:pStyle w:val="BodyText"/>
        <w:spacing w:after="240" w:line="240" w:lineRule="auto"/>
        <w:rPr>
          <w:rFonts w:ascii="Times New Roman" w:hAnsi="Times New Roman"/>
          <w:sz w:val="24"/>
        </w:rPr>
      </w:pPr>
      <w:r>
        <w:rPr>
          <w:rFonts w:ascii="Times New Roman" w:hAnsi="Times New Roman"/>
          <w:sz w:val="24"/>
        </w:rPr>
        <w:t xml:space="preserve">The above </w:t>
      </w:r>
      <w:r w:rsidR="00AE2A76">
        <w:rPr>
          <w:rFonts w:ascii="Times New Roman" w:hAnsi="Times New Roman"/>
          <w:sz w:val="24"/>
        </w:rPr>
        <w:t xml:space="preserve">estimated </w:t>
      </w:r>
      <w:r>
        <w:rPr>
          <w:rFonts w:ascii="Times New Roman" w:hAnsi="Times New Roman"/>
          <w:sz w:val="24"/>
        </w:rPr>
        <w:t xml:space="preserve">costs are based </w:t>
      </w:r>
      <w:r w:rsidR="00AE2A76">
        <w:rPr>
          <w:rFonts w:ascii="Times New Roman" w:hAnsi="Times New Roman"/>
          <w:sz w:val="24"/>
        </w:rPr>
        <w:t>on the following</w:t>
      </w:r>
      <w:r w:rsidR="00AB7936">
        <w:rPr>
          <w:rFonts w:ascii="Times New Roman" w:hAnsi="Times New Roman"/>
          <w:sz w:val="24"/>
        </w:rPr>
        <w:t>:</w:t>
      </w:r>
    </w:p>
    <w:p w14:paraId="55DAF89C" w14:textId="74D6E395" w:rsidR="0090245A" w:rsidRDefault="002A6BF9" w:rsidP="00AA6D6C">
      <w:pPr>
        <w:pStyle w:val="BodyText"/>
        <w:numPr>
          <w:ilvl w:val="0"/>
          <w:numId w:val="29"/>
        </w:numPr>
        <w:spacing w:line="240" w:lineRule="auto"/>
        <w:ind w:left="1260" w:hanging="270"/>
        <w:rPr>
          <w:rFonts w:ascii="Times New Roman" w:hAnsi="Times New Roman"/>
          <w:sz w:val="24"/>
        </w:rPr>
      </w:pPr>
      <w:r>
        <w:rPr>
          <w:rFonts w:ascii="Times New Roman" w:hAnsi="Times New Roman"/>
          <w:sz w:val="24"/>
        </w:rPr>
        <w:t xml:space="preserve">Total </w:t>
      </w:r>
      <w:r w:rsidR="00AE2A76">
        <w:rPr>
          <w:rFonts w:ascii="Times New Roman" w:hAnsi="Times New Roman"/>
          <w:sz w:val="24"/>
        </w:rPr>
        <w:t xml:space="preserve">estimated </w:t>
      </w:r>
      <w:r>
        <w:rPr>
          <w:rFonts w:ascii="Times New Roman" w:hAnsi="Times New Roman"/>
          <w:sz w:val="24"/>
        </w:rPr>
        <w:t>respondent</w:t>
      </w:r>
      <w:r w:rsidR="0090245A">
        <w:rPr>
          <w:rFonts w:ascii="Times New Roman" w:hAnsi="Times New Roman"/>
          <w:sz w:val="24"/>
        </w:rPr>
        <w:t xml:space="preserve"> burden </w:t>
      </w:r>
      <w:r>
        <w:rPr>
          <w:rFonts w:ascii="Times New Roman" w:hAnsi="Times New Roman"/>
          <w:sz w:val="24"/>
        </w:rPr>
        <w:t xml:space="preserve">cost of </w:t>
      </w:r>
      <w:r w:rsidR="001450E9">
        <w:rPr>
          <w:rFonts w:ascii="Times New Roman" w:hAnsi="Times New Roman"/>
          <w:sz w:val="24"/>
        </w:rPr>
        <w:t>$54,073.70</w:t>
      </w:r>
      <w:r w:rsidRPr="002E59A2">
        <w:rPr>
          <w:rFonts w:ascii="Times New Roman" w:hAnsi="Times New Roman"/>
          <w:sz w:val="24"/>
        </w:rPr>
        <w:t xml:space="preserve"> </w:t>
      </w:r>
      <w:r w:rsidR="0090245A" w:rsidRPr="002E59A2">
        <w:rPr>
          <w:rFonts w:ascii="Times New Roman" w:hAnsi="Times New Roman"/>
          <w:sz w:val="24"/>
        </w:rPr>
        <w:t>calculated</w:t>
      </w:r>
      <w:r w:rsidR="0090245A" w:rsidRPr="00D26C8E">
        <w:rPr>
          <w:rFonts w:ascii="Times New Roman" w:hAnsi="Times New Roman"/>
          <w:sz w:val="24"/>
        </w:rPr>
        <w:t xml:space="preserve"> in Section 1</w:t>
      </w:r>
      <w:r w:rsidR="00CA7D34" w:rsidRPr="00D26C8E">
        <w:rPr>
          <w:rFonts w:ascii="Times New Roman" w:hAnsi="Times New Roman"/>
          <w:sz w:val="24"/>
        </w:rPr>
        <w:t>2 and Section 13</w:t>
      </w:r>
      <w:r w:rsidR="0090245A" w:rsidRPr="00D26C8E">
        <w:rPr>
          <w:rFonts w:ascii="Times New Roman" w:hAnsi="Times New Roman"/>
          <w:sz w:val="24"/>
        </w:rPr>
        <w:t xml:space="preserve"> above,</w:t>
      </w:r>
      <w:r w:rsidR="0090245A">
        <w:rPr>
          <w:rFonts w:ascii="Times New Roman" w:hAnsi="Times New Roman"/>
          <w:sz w:val="24"/>
        </w:rPr>
        <w:t xml:space="preserve"> spread</w:t>
      </w:r>
      <w:r w:rsidR="00AE2A76">
        <w:rPr>
          <w:rFonts w:ascii="Times New Roman" w:hAnsi="Times New Roman"/>
          <w:sz w:val="24"/>
        </w:rPr>
        <w:t xml:space="preserve"> evenly</w:t>
      </w:r>
      <w:r w:rsidR="0090245A">
        <w:rPr>
          <w:rFonts w:ascii="Times New Roman" w:hAnsi="Times New Roman"/>
          <w:sz w:val="24"/>
        </w:rPr>
        <w:t xml:space="preserve"> across </w:t>
      </w:r>
      <w:r>
        <w:rPr>
          <w:rFonts w:ascii="Times New Roman" w:hAnsi="Times New Roman"/>
          <w:sz w:val="24"/>
        </w:rPr>
        <w:t xml:space="preserve">year </w:t>
      </w:r>
      <w:r w:rsidR="00AA6D6C">
        <w:rPr>
          <w:rFonts w:ascii="Times New Roman" w:hAnsi="Times New Roman"/>
          <w:sz w:val="24"/>
        </w:rPr>
        <w:t>two</w:t>
      </w:r>
      <w:r>
        <w:rPr>
          <w:rFonts w:ascii="Times New Roman" w:hAnsi="Times New Roman"/>
          <w:sz w:val="24"/>
        </w:rPr>
        <w:t xml:space="preserve"> and </w:t>
      </w:r>
      <w:r w:rsidR="00550F4F">
        <w:rPr>
          <w:rFonts w:ascii="Times New Roman" w:hAnsi="Times New Roman"/>
          <w:sz w:val="24"/>
        </w:rPr>
        <w:t xml:space="preserve">year </w:t>
      </w:r>
      <w:r w:rsidR="00AA6D6C">
        <w:rPr>
          <w:rFonts w:ascii="Times New Roman" w:hAnsi="Times New Roman"/>
          <w:sz w:val="24"/>
        </w:rPr>
        <w:t>three</w:t>
      </w:r>
      <w:r>
        <w:rPr>
          <w:rFonts w:ascii="Times New Roman" w:hAnsi="Times New Roman"/>
          <w:sz w:val="24"/>
        </w:rPr>
        <w:t xml:space="preserve"> </w:t>
      </w:r>
      <w:r w:rsidR="00AE2A76">
        <w:rPr>
          <w:rFonts w:ascii="Times New Roman" w:hAnsi="Times New Roman"/>
          <w:sz w:val="24"/>
        </w:rPr>
        <w:t xml:space="preserve">of the study </w:t>
      </w:r>
      <w:r>
        <w:rPr>
          <w:rFonts w:ascii="Times New Roman" w:hAnsi="Times New Roman"/>
          <w:sz w:val="24"/>
        </w:rPr>
        <w:t>when data collection will occur</w:t>
      </w:r>
      <w:r w:rsidR="0090245A">
        <w:rPr>
          <w:rFonts w:ascii="Times New Roman" w:hAnsi="Times New Roman"/>
          <w:sz w:val="24"/>
        </w:rPr>
        <w:t>.</w:t>
      </w:r>
    </w:p>
    <w:p w14:paraId="02A51B25" w14:textId="453971F7" w:rsidR="00AB7936" w:rsidRDefault="009C09F8" w:rsidP="00AA6D6C">
      <w:pPr>
        <w:pStyle w:val="BodyText"/>
        <w:numPr>
          <w:ilvl w:val="0"/>
          <w:numId w:val="29"/>
        </w:numPr>
        <w:spacing w:line="240" w:lineRule="auto"/>
        <w:ind w:left="1260" w:hanging="270"/>
        <w:rPr>
          <w:rFonts w:ascii="Times New Roman" w:hAnsi="Times New Roman"/>
          <w:sz w:val="24"/>
        </w:rPr>
      </w:pPr>
      <w:r>
        <w:rPr>
          <w:rFonts w:ascii="Times New Roman" w:hAnsi="Times New Roman"/>
          <w:sz w:val="24"/>
        </w:rPr>
        <w:t>ACL o</w:t>
      </w:r>
      <w:r w:rsidR="00AB7936">
        <w:rPr>
          <w:rFonts w:ascii="Times New Roman" w:hAnsi="Times New Roman"/>
          <w:sz w:val="24"/>
        </w:rPr>
        <w:t xml:space="preserve">versight </w:t>
      </w:r>
      <w:r w:rsidR="00D26C8E" w:rsidRPr="009C09F8">
        <w:rPr>
          <w:rFonts w:ascii="Times New Roman" w:hAnsi="Times New Roman"/>
          <w:sz w:val="24"/>
        </w:rPr>
        <w:t>at a</w:t>
      </w:r>
      <w:r w:rsidR="00AB7936" w:rsidRPr="009C09F8">
        <w:rPr>
          <w:rFonts w:ascii="Times New Roman" w:hAnsi="Times New Roman"/>
          <w:sz w:val="24"/>
        </w:rPr>
        <w:t xml:space="preserve"> </w:t>
      </w:r>
      <w:r w:rsidR="00CA7D34" w:rsidRPr="009C09F8">
        <w:rPr>
          <w:rFonts w:ascii="Times New Roman" w:hAnsi="Times New Roman"/>
          <w:sz w:val="24"/>
        </w:rPr>
        <w:t>10 percent full-</w:t>
      </w:r>
      <w:r w:rsidR="00AB7936" w:rsidRPr="009C09F8">
        <w:rPr>
          <w:rFonts w:ascii="Times New Roman" w:hAnsi="Times New Roman"/>
          <w:sz w:val="24"/>
        </w:rPr>
        <w:t>time</w:t>
      </w:r>
      <w:r w:rsidR="00CA7D34" w:rsidRPr="009C09F8">
        <w:rPr>
          <w:rFonts w:ascii="Times New Roman" w:hAnsi="Times New Roman"/>
          <w:sz w:val="24"/>
        </w:rPr>
        <w:t xml:space="preserve"> equivalent</w:t>
      </w:r>
      <w:r w:rsidR="00AB7936" w:rsidRPr="009C09F8">
        <w:rPr>
          <w:rFonts w:ascii="Times New Roman" w:hAnsi="Times New Roman"/>
          <w:sz w:val="24"/>
        </w:rPr>
        <w:t xml:space="preserve"> </w:t>
      </w:r>
      <w:r w:rsidR="00D26C8E" w:rsidRPr="009C09F8">
        <w:rPr>
          <w:rFonts w:ascii="Times New Roman" w:hAnsi="Times New Roman"/>
          <w:sz w:val="24"/>
        </w:rPr>
        <w:t xml:space="preserve">level </w:t>
      </w:r>
      <w:r w:rsidR="00AB7936" w:rsidRPr="009C09F8">
        <w:rPr>
          <w:rFonts w:ascii="Times New Roman" w:hAnsi="Times New Roman"/>
          <w:sz w:val="24"/>
        </w:rPr>
        <w:t xml:space="preserve">for </w:t>
      </w:r>
      <w:r w:rsidR="007910A6">
        <w:rPr>
          <w:rFonts w:ascii="Times New Roman" w:hAnsi="Times New Roman"/>
          <w:sz w:val="24"/>
        </w:rPr>
        <w:t>one</w:t>
      </w:r>
      <w:r w:rsidR="00AB7936" w:rsidRPr="009C09F8">
        <w:rPr>
          <w:rFonts w:ascii="Times New Roman" w:hAnsi="Times New Roman"/>
          <w:sz w:val="24"/>
        </w:rPr>
        <w:t xml:space="preserve"> </w:t>
      </w:r>
      <w:r w:rsidRPr="009C09F8">
        <w:rPr>
          <w:rFonts w:ascii="Times New Roman" w:hAnsi="Times New Roman"/>
          <w:sz w:val="24"/>
        </w:rPr>
        <w:t xml:space="preserve">staff member earning a </w:t>
      </w:r>
      <w:r w:rsidR="00D26C8E" w:rsidRPr="009C09F8">
        <w:rPr>
          <w:rFonts w:ascii="Times New Roman" w:hAnsi="Times New Roman"/>
          <w:sz w:val="24"/>
        </w:rPr>
        <w:t>Grade</w:t>
      </w:r>
      <w:r w:rsidR="00AB7936" w:rsidRPr="009C09F8">
        <w:rPr>
          <w:rFonts w:ascii="Times New Roman" w:hAnsi="Times New Roman"/>
          <w:sz w:val="24"/>
        </w:rPr>
        <w:t xml:space="preserve"> 12</w:t>
      </w:r>
      <w:r w:rsidR="00D26C8E" w:rsidRPr="009C09F8">
        <w:rPr>
          <w:rFonts w:ascii="Times New Roman" w:hAnsi="Times New Roman"/>
          <w:sz w:val="24"/>
        </w:rPr>
        <w:t>,</w:t>
      </w:r>
      <w:r w:rsidR="006653E8" w:rsidRPr="009C09F8">
        <w:rPr>
          <w:rFonts w:ascii="Times New Roman" w:hAnsi="Times New Roman"/>
          <w:sz w:val="24"/>
        </w:rPr>
        <w:t xml:space="preserve"> Step 5</w:t>
      </w:r>
      <w:r w:rsidRPr="009C09F8">
        <w:rPr>
          <w:rFonts w:ascii="Times New Roman" w:hAnsi="Times New Roman"/>
          <w:sz w:val="24"/>
        </w:rPr>
        <w:t xml:space="preserve"> annual salary for the locality pay area of Washington-Baltimore-Arlington, DC-MD-VA-WV-PA</w:t>
      </w:r>
      <w:r>
        <w:rPr>
          <w:rFonts w:ascii="Times New Roman" w:hAnsi="Times New Roman"/>
          <w:sz w:val="24"/>
        </w:rPr>
        <w:t>.</w:t>
      </w:r>
    </w:p>
    <w:p w14:paraId="130EFFD5" w14:textId="413426EC" w:rsidR="00CF1937" w:rsidRDefault="00AB7936" w:rsidP="00AA6D6C">
      <w:pPr>
        <w:pStyle w:val="BodyText"/>
        <w:numPr>
          <w:ilvl w:val="0"/>
          <w:numId w:val="29"/>
        </w:numPr>
        <w:spacing w:line="240" w:lineRule="auto"/>
        <w:ind w:left="1260" w:hanging="270"/>
        <w:rPr>
          <w:rFonts w:ascii="Times New Roman" w:hAnsi="Times New Roman"/>
          <w:sz w:val="24"/>
        </w:rPr>
      </w:pPr>
      <w:r>
        <w:rPr>
          <w:rFonts w:ascii="Times New Roman" w:hAnsi="Times New Roman"/>
          <w:sz w:val="24"/>
        </w:rPr>
        <w:t>T</w:t>
      </w:r>
      <w:r w:rsidR="00CF1937">
        <w:rPr>
          <w:rFonts w:ascii="Times New Roman" w:hAnsi="Times New Roman"/>
          <w:sz w:val="24"/>
        </w:rPr>
        <w:t xml:space="preserve">he use of contractor staff to </w:t>
      </w:r>
      <w:r w:rsidR="00AA6D6C">
        <w:rPr>
          <w:rFonts w:ascii="Times New Roman" w:hAnsi="Times New Roman"/>
          <w:sz w:val="24"/>
        </w:rPr>
        <w:t xml:space="preserve">design the </w:t>
      </w:r>
      <w:r w:rsidR="00CA7D34">
        <w:rPr>
          <w:rFonts w:ascii="Times New Roman" w:hAnsi="Times New Roman"/>
          <w:sz w:val="24"/>
        </w:rPr>
        <w:t>collection of information</w:t>
      </w:r>
      <w:r w:rsidR="00AA6D6C">
        <w:rPr>
          <w:rFonts w:ascii="Times New Roman" w:hAnsi="Times New Roman"/>
          <w:sz w:val="24"/>
        </w:rPr>
        <w:t xml:space="preserve">, </w:t>
      </w:r>
      <w:r w:rsidR="00AB510B">
        <w:rPr>
          <w:rFonts w:ascii="Times New Roman" w:hAnsi="Times New Roman"/>
          <w:sz w:val="24"/>
        </w:rPr>
        <w:t xml:space="preserve">compile, </w:t>
      </w:r>
      <w:r w:rsidR="00CF1937">
        <w:rPr>
          <w:rFonts w:ascii="Times New Roman" w:hAnsi="Times New Roman"/>
          <w:sz w:val="24"/>
        </w:rPr>
        <w:t xml:space="preserve">process, and analyze the </w:t>
      </w:r>
      <w:r w:rsidR="006E4106">
        <w:rPr>
          <w:rFonts w:ascii="Times New Roman" w:hAnsi="Times New Roman"/>
          <w:sz w:val="24"/>
        </w:rPr>
        <w:t xml:space="preserve">primary data to be collected; this </w:t>
      </w:r>
      <w:r w:rsidR="00AE2A76">
        <w:rPr>
          <w:rFonts w:ascii="Times New Roman" w:hAnsi="Times New Roman"/>
          <w:sz w:val="24"/>
        </w:rPr>
        <w:t>estimate</w:t>
      </w:r>
      <w:r w:rsidR="006E4106">
        <w:rPr>
          <w:rFonts w:ascii="Times New Roman" w:hAnsi="Times New Roman"/>
          <w:sz w:val="24"/>
        </w:rPr>
        <w:t xml:space="preserve"> does not include contractor costs for other components of the overall </w:t>
      </w:r>
      <w:r w:rsidR="0094528E">
        <w:rPr>
          <w:rFonts w:ascii="Times New Roman" w:hAnsi="Times New Roman"/>
          <w:sz w:val="24"/>
        </w:rPr>
        <w:t>study</w:t>
      </w:r>
      <w:r w:rsidR="006E4106">
        <w:rPr>
          <w:rFonts w:ascii="Times New Roman" w:hAnsi="Times New Roman"/>
          <w:sz w:val="24"/>
        </w:rPr>
        <w:t xml:space="preserve"> (e.g. secondary data analysis</w:t>
      </w:r>
      <w:r w:rsidR="00AE2A76">
        <w:rPr>
          <w:rFonts w:ascii="Times New Roman" w:hAnsi="Times New Roman"/>
          <w:sz w:val="24"/>
        </w:rPr>
        <w:t xml:space="preserve"> of NAMRS</w:t>
      </w:r>
      <w:r w:rsidR="006E4106">
        <w:rPr>
          <w:rFonts w:ascii="Times New Roman" w:hAnsi="Times New Roman"/>
          <w:sz w:val="24"/>
        </w:rPr>
        <w:t>)</w:t>
      </w:r>
      <w:r w:rsidR="003F3653">
        <w:rPr>
          <w:rFonts w:ascii="Times New Roman" w:hAnsi="Times New Roman"/>
          <w:sz w:val="24"/>
        </w:rPr>
        <w:t>.</w:t>
      </w:r>
    </w:p>
    <w:p w14:paraId="41795A5C" w14:textId="77777777" w:rsidR="008D599B" w:rsidRPr="001D6447" w:rsidRDefault="008D599B" w:rsidP="008D599B">
      <w:pPr>
        <w:pStyle w:val="BodyText"/>
        <w:spacing w:line="240" w:lineRule="auto"/>
        <w:ind w:left="720"/>
        <w:rPr>
          <w:rFonts w:ascii="Times New Roman" w:hAnsi="Times New Roman"/>
          <w:b/>
          <w:sz w:val="24"/>
        </w:rPr>
      </w:pPr>
    </w:p>
    <w:p w14:paraId="250709B0" w14:textId="77777777" w:rsidR="00B52101" w:rsidRDefault="00B52101" w:rsidP="00B52101">
      <w:pPr>
        <w:pStyle w:val="BodyText"/>
        <w:spacing w:line="240" w:lineRule="auto"/>
        <w:ind w:left="720"/>
        <w:rPr>
          <w:rFonts w:ascii="Times New Roman" w:hAnsi="Times New Roman"/>
          <w:b/>
          <w:sz w:val="24"/>
        </w:rPr>
      </w:pPr>
    </w:p>
    <w:p w14:paraId="71E2426E" w14:textId="77777777" w:rsidR="00B52101" w:rsidRDefault="00B52101" w:rsidP="00B52101">
      <w:pPr>
        <w:pStyle w:val="BodyText"/>
        <w:spacing w:line="240" w:lineRule="auto"/>
        <w:ind w:left="720"/>
        <w:rPr>
          <w:rFonts w:ascii="Times New Roman" w:hAnsi="Times New Roman"/>
          <w:b/>
          <w:sz w:val="24"/>
        </w:rPr>
      </w:pPr>
    </w:p>
    <w:p w14:paraId="35D38DFF" w14:textId="77777777" w:rsidR="00B52101" w:rsidRDefault="00B52101" w:rsidP="00B52101">
      <w:pPr>
        <w:pStyle w:val="BodyText"/>
        <w:spacing w:line="240" w:lineRule="auto"/>
        <w:ind w:left="720"/>
        <w:rPr>
          <w:rFonts w:ascii="Times New Roman" w:hAnsi="Times New Roman"/>
          <w:b/>
          <w:sz w:val="24"/>
        </w:rPr>
      </w:pPr>
    </w:p>
    <w:p w14:paraId="6BF3AB1F" w14:textId="77777777" w:rsidR="00B52101" w:rsidRDefault="00B52101" w:rsidP="00B52101">
      <w:pPr>
        <w:pStyle w:val="BodyText"/>
        <w:spacing w:line="240" w:lineRule="auto"/>
        <w:ind w:left="720"/>
        <w:rPr>
          <w:rFonts w:ascii="Times New Roman" w:hAnsi="Times New Roman"/>
          <w:b/>
          <w:sz w:val="24"/>
        </w:rPr>
      </w:pPr>
    </w:p>
    <w:p w14:paraId="29FD6A46" w14:textId="77777777" w:rsidR="00B52101" w:rsidRDefault="00B52101" w:rsidP="00B52101">
      <w:pPr>
        <w:pStyle w:val="BodyText"/>
        <w:spacing w:line="240" w:lineRule="auto"/>
        <w:ind w:left="720"/>
        <w:rPr>
          <w:rFonts w:ascii="Times New Roman" w:hAnsi="Times New Roman"/>
          <w:b/>
          <w:sz w:val="24"/>
        </w:rPr>
      </w:pPr>
    </w:p>
    <w:p w14:paraId="678C4CF1" w14:textId="700FD223" w:rsidR="00CF1937" w:rsidRDefault="00C97A70" w:rsidP="00F631A3">
      <w:pPr>
        <w:pStyle w:val="BodyText"/>
        <w:numPr>
          <w:ilvl w:val="0"/>
          <w:numId w:val="6"/>
        </w:numPr>
        <w:tabs>
          <w:tab w:val="clear" w:pos="1140"/>
        </w:tabs>
        <w:spacing w:line="240" w:lineRule="auto"/>
        <w:ind w:left="720" w:hanging="360"/>
        <w:rPr>
          <w:rFonts w:ascii="Times New Roman" w:hAnsi="Times New Roman"/>
          <w:b/>
          <w:sz w:val="24"/>
        </w:rPr>
      </w:pPr>
      <w:r w:rsidRPr="002520F5">
        <w:rPr>
          <w:rFonts w:ascii="Times New Roman" w:hAnsi="Times New Roman"/>
          <w:b/>
          <w:sz w:val="24"/>
        </w:rPr>
        <w:t>Explanation for Program Changes or Adjustments</w:t>
      </w:r>
      <w:r w:rsidR="00E17C2D">
        <w:rPr>
          <w:rFonts w:ascii="Times New Roman" w:hAnsi="Times New Roman"/>
          <w:b/>
          <w:sz w:val="24"/>
        </w:rPr>
        <w:t xml:space="preserve"> </w:t>
      </w:r>
    </w:p>
    <w:p w14:paraId="6DCECAC0" w14:textId="77777777" w:rsidR="00577067" w:rsidRPr="001D6447" w:rsidRDefault="00577067" w:rsidP="00577067">
      <w:pPr>
        <w:pStyle w:val="BodyText"/>
        <w:spacing w:line="240" w:lineRule="auto"/>
        <w:ind w:left="720"/>
        <w:rPr>
          <w:rFonts w:ascii="Times New Roman" w:hAnsi="Times New Roman"/>
          <w:b/>
          <w:sz w:val="24"/>
        </w:rPr>
      </w:pPr>
    </w:p>
    <w:p w14:paraId="0C70AB5F" w14:textId="5B006D54" w:rsidR="008E6961" w:rsidRDefault="00B52101" w:rsidP="00001C86">
      <w:pPr>
        <w:pStyle w:val="BodyText"/>
        <w:spacing w:line="240" w:lineRule="auto"/>
        <w:rPr>
          <w:rFonts w:ascii="Times New Roman" w:hAnsi="Times New Roman"/>
          <w:sz w:val="24"/>
        </w:rPr>
      </w:pPr>
      <w:r>
        <w:rPr>
          <w:rFonts w:ascii="Times New Roman" w:hAnsi="Times New Roman"/>
          <w:sz w:val="24"/>
          <w:szCs w:val="24"/>
        </w:rPr>
        <w:t xml:space="preserve">This is a new information collection; there is a program change increase of 2,164 annual burden hours. </w:t>
      </w:r>
      <w:r w:rsidR="005114A7">
        <w:rPr>
          <w:rFonts w:ascii="Times New Roman" w:hAnsi="Times New Roman"/>
          <w:sz w:val="24"/>
          <w:szCs w:val="24"/>
        </w:rPr>
        <w:t>The</w:t>
      </w:r>
      <w:r w:rsidR="00001C86">
        <w:rPr>
          <w:rFonts w:ascii="Times New Roman" w:hAnsi="Times New Roman"/>
          <w:sz w:val="24"/>
          <w:szCs w:val="24"/>
        </w:rPr>
        <w:t>re are no changes or adjustments that materially affect the collection of information or alter the</w:t>
      </w:r>
      <w:r w:rsidR="005114A7">
        <w:rPr>
          <w:rFonts w:ascii="Times New Roman" w:hAnsi="Times New Roman"/>
          <w:sz w:val="24"/>
          <w:szCs w:val="24"/>
        </w:rPr>
        <w:t xml:space="preserve"> burden </w:t>
      </w:r>
      <w:r w:rsidR="005114A7" w:rsidRPr="00EC7F9A">
        <w:rPr>
          <w:rFonts w:ascii="Times New Roman" w:hAnsi="Times New Roman"/>
          <w:sz w:val="24"/>
          <w:szCs w:val="24"/>
        </w:rPr>
        <w:t xml:space="preserve">estimates </w:t>
      </w:r>
      <w:r w:rsidR="006E4106" w:rsidRPr="00EC7F9A">
        <w:rPr>
          <w:rFonts w:ascii="Times New Roman" w:hAnsi="Times New Roman"/>
          <w:sz w:val="24"/>
          <w:szCs w:val="24"/>
        </w:rPr>
        <w:t>from</w:t>
      </w:r>
      <w:r w:rsidR="00001C86">
        <w:rPr>
          <w:rFonts w:ascii="Times New Roman" w:hAnsi="Times New Roman"/>
          <w:sz w:val="24"/>
          <w:szCs w:val="24"/>
        </w:rPr>
        <w:t xml:space="preserve"> what was described in the</w:t>
      </w:r>
      <w:r w:rsidR="006E4106" w:rsidRPr="00EC7F9A">
        <w:rPr>
          <w:rFonts w:ascii="Times New Roman" w:hAnsi="Times New Roman"/>
          <w:sz w:val="24"/>
          <w:szCs w:val="24"/>
        </w:rPr>
        <w:t xml:space="preserve"> 60-day </w:t>
      </w:r>
      <w:r w:rsidR="00001C86">
        <w:rPr>
          <w:rFonts w:ascii="Times New Roman" w:hAnsi="Times New Roman"/>
          <w:sz w:val="24"/>
          <w:szCs w:val="24"/>
        </w:rPr>
        <w:t>Federal Register notice</w:t>
      </w:r>
      <w:r w:rsidR="005114A7" w:rsidRPr="00EC7F9A">
        <w:rPr>
          <w:rFonts w:ascii="Times New Roman" w:hAnsi="Times New Roman"/>
          <w:sz w:val="24"/>
          <w:szCs w:val="24"/>
        </w:rPr>
        <w:t>.</w:t>
      </w:r>
    </w:p>
    <w:p w14:paraId="20CDB3FC" w14:textId="77777777" w:rsidR="0077654C" w:rsidRPr="00577067" w:rsidRDefault="0077654C" w:rsidP="0077654C">
      <w:pPr>
        <w:pStyle w:val="BodyText"/>
        <w:spacing w:line="240" w:lineRule="auto"/>
        <w:ind w:left="360"/>
        <w:rPr>
          <w:rFonts w:ascii="Times New Roman" w:hAnsi="Times New Roman"/>
          <w:sz w:val="28"/>
        </w:rPr>
      </w:pPr>
    </w:p>
    <w:p w14:paraId="52567D70" w14:textId="218985B2" w:rsidR="003C4ED0" w:rsidRDefault="003C4ED0" w:rsidP="00577067">
      <w:pPr>
        <w:pStyle w:val="BodyText"/>
        <w:numPr>
          <w:ilvl w:val="0"/>
          <w:numId w:val="6"/>
        </w:numPr>
        <w:tabs>
          <w:tab w:val="clear" w:pos="1140"/>
          <w:tab w:val="num" w:pos="720"/>
        </w:tabs>
        <w:spacing w:line="240" w:lineRule="auto"/>
        <w:ind w:left="720" w:hanging="360"/>
        <w:rPr>
          <w:rFonts w:ascii="Times New Roman" w:hAnsi="Times New Roman"/>
          <w:b/>
          <w:sz w:val="24"/>
        </w:rPr>
      </w:pPr>
      <w:r w:rsidRPr="00F469DF">
        <w:rPr>
          <w:rFonts w:ascii="Times New Roman" w:hAnsi="Times New Roman"/>
          <w:b/>
          <w:sz w:val="24"/>
        </w:rPr>
        <w:t>Plans for Ta</w:t>
      </w:r>
      <w:r w:rsidR="00C97A70" w:rsidRPr="00F469DF">
        <w:rPr>
          <w:rFonts w:ascii="Times New Roman" w:hAnsi="Times New Roman"/>
          <w:b/>
          <w:sz w:val="24"/>
        </w:rPr>
        <w:t xml:space="preserve">bulation and </w:t>
      </w:r>
      <w:r w:rsidRPr="00F469DF">
        <w:rPr>
          <w:rFonts w:ascii="Times New Roman" w:hAnsi="Times New Roman"/>
          <w:b/>
          <w:sz w:val="24"/>
        </w:rPr>
        <w:t>Publication</w:t>
      </w:r>
    </w:p>
    <w:p w14:paraId="3145172B" w14:textId="77777777" w:rsidR="00577067" w:rsidRPr="001D6447" w:rsidRDefault="00577067" w:rsidP="00DC4BA2">
      <w:pPr>
        <w:pStyle w:val="BodyText"/>
        <w:spacing w:line="240" w:lineRule="auto"/>
        <w:ind w:left="1140"/>
        <w:rPr>
          <w:rFonts w:ascii="Times New Roman" w:hAnsi="Times New Roman"/>
          <w:b/>
          <w:sz w:val="24"/>
        </w:rPr>
      </w:pPr>
    </w:p>
    <w:p w14:paraId="364D1C26" w14:textId="5581F797" w:rsidR="00DC4BA2" w:rsidRDefault="00E853EC" w:rsidP="00DC4BA2">
      <w:pPr>
        <w:rPr>
          <w:snapToGrid w:val="0"/>
        </w:rPr>
      </w:pPr>
      <w:r>
        <w:rPr>
          <w:snapToGrid w:val="0"/>
        </w:rPr>
        <w:t xml:space="preserve">The study will follow a stepped, data analysis plan that includes a range of statistical techniques of varying complexity. We will use univariate statistics (e.g., counts, percentages) to summarize the data, bivariate statistics (e.g., correlation, tests of group differences) to examine the relationship between variables and differences between subgroups of interest, and multivariate statistics (e.g., </w:t>
      </w:r>
      <w:r w:rsidRPr="00E853EC">
        <w:rPr>
          <w:snapToGrid w:val="0"/>
        </w:rPr>
        <w:t>mixed effects multilevel regression models</w:t>
      </w:r>
      <w:r>
        <w:rPr>
          <w:snapToGrid w:val="0"/>
        </w:rPr>
        <w:t>) to examine independent associations between variables and the outcomes of interest. See Supporting Statement Part B for a full explanation of the statistical techniques that will be used.</w:t>
      </w:r>
    </w:p>
    <w:p w14:paraId="218AD6DB" w14:textId="77777777" w:rsidR="00DC4BA2" w:rsidRDefault="00DC4BA2" w:rsidP="00DC4BA2">
      <w:pPr>
        <w:rPr>
          <w:snapToGrid w:val="0"/>
        </w:rPr>
      </w:pPr>
    </w:p>
    <w:p w14:paraId="15A3623C" w14:textId="691BF77C" w:rsidR="00AD1E65" w:rsidRPr="00AD1E65" w:rsidRDefault="00AD1E65" w:rsidP="00DC4BA2">
      <w:pPr>
        <w:rPr>
          <w:snapToGrid w:val="0"/>
        </w:rPr>
      </w:pPr>
      <w:r w:rsidRPr="00AD1E65">
        <w:rPr>
          <w:snapToGrid w:val="0"/>
        </w:rPr>
        <w:t xml:space="preserve">The reporting and dissemination strategy </w:t>
      </w:r>
      <w:r w:rsidR="009C1EC6">
        <w:rPr>
          <w:snapToGrid w:val="0"/>
        </w:rPr>
        <w:t>will likely</w:t>
      </w:r>
      <w:r w:rsidRPr="00AD1E65">
        <w:rPr>
          <w:snapToGrid w:val="0"/>
        </w:rPr>
        <w:t xml:space="preserve"> include several approaches to sharing final results for the APS client outcomes study. Each of the approaches described below is designed to inform various audiences in the field of APS about the study through tailored communication channels and formats. The target audiences for the reporting and dissemination strategy include APS researchers; practitioners; federal, state, and county authorities; and policy/decision-makers</w:t>
      </w:r>
      <w:r w:rsidR="00375DEE">
        <w:rPr>
          <w:snapToGrid w:val="0"/>
        </w:rPr>
        <w:t>.</w:t>
      </w:r>
    </w:p>
    <w:p w14:paraId="5A2883A9" w14:textId="70F248E7" w:rsidR="00DC4BA2" w:rsidRPr="00DC4BA2" w:rsidRDefault="00DC4BA2" w:rsidP="00DC4BA2">
      <w:pPr>
        <w:numPr>
          <w:ilvl w:val="0"/>
          <w:numId w:val="30"/>
        </w:numPr>
        <w:rPr>
          <w:rFonts w:eastAsia="Calibri"/>
        </w:rPr>
      </w:pPr>
      <w:r w:rsidRPr="00DC4BA2">
        <w:rPr>
          <w:rFonts w:eastAsia="Calibri"/>
          <w:i/>
        </w:rPr>
        <w:t>Final Report</w:t>
      </w:r>
      <w:r w:rsidRPr="00DC4BA2">
        <w:rPr>
          <w:rFonts w:eastAsia="Calibri"/>
          <w:b/>
        </w:rPr>
        <w:t>.</w:t>
      </w:r>
      <w:r w:rsidRPr="00DC4BA2">
        <w:rPr>
          <w:rFonts w:eastAsia="Calibri"/>
        </w:rPr>
        <w:t xml:space="preserve"> The final report for the APS client outcomes study will provide a comprehensive description of the study</w:t>
      </w:r>
      <w:r>
        <w:rPr>
          <w:rFonts w:eastAsia="Calibri"/>
        </w:rPr>
        <w:t>, including the following sections</w:t>
      </w:r>
      <w:r w:rsidRPr="00DC4BA2">
        <w:rPr>
          <w:rFonts w:eastAsia="Calibri"/>
        </w:rPr>
        <w:t>: introduction, background, conceptual framework, methods, sample, data, analysis, results, discussion, and implications sections.</w:t>
      </w:r>
      <w:r>
        <w:rPr>
          <w:rFonts w:eastAsia="Calibri"/>
        </w:rPr>
        <w:t xml:space="preserve"> The final report will be shared externally at ACL’s discretion (e.g., posted to the ACL.gov website for public access).</w:t>
      </w:r>
    </w:p>
    <w:p w14:paraId="68A39730" w14:textId="745774CB" w:rsidR="00AD1E65" w:rsidRPr="00DC4BA2" w:rsidRDefault="00AD1E65" w:rsidP="00DC4BA2">
      <w:pPr>
        <w:numPr>
          <w:ilvl w:val="0"/>
          <w:numId w:val="30"/>
        </w:numPr>
        <w:rPr>
          <w:rFonts w:eastAsia="Calibri"/>
        </w:rPr>
      </w:pPr>
      <w:r w:rsidRPr="00DC4BA2">
        <w:rPr>
          <w:rFonts w:eastAsia="Calibri"/>
          <w:i/>
        </w:rPr>
        <w:t>Manuscript for Journal Publication</w:t>
      </w:r>
      <w:r w:rsidRPr="00DC4BA2">
        <w:rPr>
          <w:rFonts w:eastAsia="Calibri"/>
        </w:rPr>
        <w:t>. We may adapt the final report into a manuscript for submission to an academic journal that publishes on topics related to APS. Journals that we may submit to include the Journal of Elder Abuse and Neglect, The Gerontologist, Journal of Interpersonal Violence, Journal of Gerontological Social Work, and the Journal of Aging and Health. This method of dissemination would add the study to the formal literature on APS and reach an interested research audience.</w:t>
      </w:r>
    </w:p>
    <w:p w14:paraId="66EBFD0D" w14:textId="19D732B1" w:rsidR="00AD1E65" w:rsidRPr="00DC4BA2" w:rsidRDefault="00AD1E65" w:rsidP="00DC4BA2">
      <w:pPr>
        <w:numPr>
          <w:ilvl w:val="0"/>
          <w:numId w:val="30"/>
        </w:numPr>
        <w:rPr>
          <w:rFonts w:eastAsia="Calibri"/>
        </w:rPr>
      </w:pPr>
      <w:r w:rsidRPr="00DC4BA2">
        <w:rPr>
          <w:rFonts w:eastAsia="Calibri"/>
          <w:i/>
        </w:rPr>
        <w:t>Research Briefs</w:t>
      </w:r>
      <w:r w:rsidRPr="00DC4BA2">
        <w:rPr>
          <w:rFonts w:eastAsia="Calibri"/>
        </w:rPr>
        <w:t>. We may also adapt the final report into a short research brief. This research brief could follow a similar format and style to ACL research briefs on the performance of Older Americans Act programs (</w:t>
      </w:r>
      <w:hyperlink r:id="rId11" w:history="1">
        <w:r w:rsidRPr="00DC4BA2">
          <w:rPr>
            <w:rFonts w:eastAsia="Calibri"/>
            <w:color w:val="0000FF" w:themeColor="hyperlink"/>
            <w:u w:val="single"/>
          </w:rPr>
          <w:t>https://acl.gov/programs/performance-older-americans-act-programs</w:t>
        </w:r>
      </w:hyperlink>
      <w:r w:rsidRPr="00DC4BA2">
        <w:rPr>
          <w:rFonts w:eastAsia="Calibri"/>
        </w:rPr>
        <w:t>). This method of dissemination would add the study to the gray literature on APS and reach a broad range of APS audiences.</w:t>
      </w:r>
    </w:p>
    <w:p w14:paraId="738AE52D" w14:textId="77777777" w:rsidR="00B52101" w:rsidRDefault="00AD1E65" w:rsidP="00DC4BA2">
      <w:pPr>
        <w:numPr>
          <w:ilvl w:val="0"/>
          <w:numId w:val="30"/>
        </w:numPr>
        <w:rPr>
          <w:rFonts w:eastAsia="Calibri"/>
        </w:rPr>
      </w:pPr>
      <w:r w:rsidRPr="00DC4BA2">
        <w:rPr>
          <w:rFonts w:eastAsia="Calibri"/>
          <w:i/>
        </w:rPr>
        <w:t>Conference/Webinar Presentations</w:t>
      </w:r>
      <w:r w:rsidRPr="00DC4BA2">
        <w:rPr>
          <w:rFonts w:eastAsia="Calibri"/>
        </w:rPr>
        <w:t>. We may adapt the final report into an oral presentation with slide deck to be delivered via in-person conference and/or webinar. These methods of dissemination would provide an opportunity for the study team to directly discuss questions, feedback, and other input about the APS client outcomes study with a broad range of APS audiences. Webinar presentation(s) could follow a similar format and style to the ACL webinar on the Nutrition Services Program Outcomes Evaluation (</w:t>
      </w:r>
      <w:hyperlink r:id="rId12" w:history="1">
        <w:r w:rsidRPr="00DC4BA2">
          <w:rPr>
            <w:rFonts w:eastAsia="Calibri"/>
            <w:color w:val="0000FF" w:themeColor="hyperlink"/>
            <w:u w:val="single"/>
          </w:rPr>
          <w:t>https://acl.gov/news-and-events/announcements/webinar-1030-nutrition-services-program-outcomes-evaluation</w:t>
        </w:r>
      </w:hyperlink>
      <w:r w:rsidRPr="00DC4BA2">
        <w:rPr>
          <w:rFonts w:eastAsia="Calibri"/>
        </w:rPr>
        <w:t xml:space="preserve">). </w:t>
      </w:r>
    </w:p>
    <w:p w14:paraId="0657DC27" w14:textId="23078BCC" w:rsidR="00AD1E65" w:rsidRPr="00DC4BA2" w:rsidRDefault="00AD1E65" w:rsidP="00DC4BA2">
      <w:pPr>
        <w:numPr>
          <w:ilvl w:val="0"/>
          <w:numId w:val="30"/>
        </w:numPr>
        <w:rPr>
          <w:rFonts w:eastAsia="Calibri"/>
        </w:rPr>
      </w:pPr>
      <w:r w:rsidRPr="00DC4BA2">
        <w:rPr>
          <w:rFonts w:eastAsia="Calibri"/>
        </w:rPr>
        <w:t>The priority choice for conference presentation would be the Annual NAPSA Conference, but the presentations could also be tailored to other audiences that intersect with APS programs, including conferences on abuse and neglect, services to older Americans, public health officials, among others.</w:t>
      </w:r>
    </w:p>
    <w:p w14:paraId="73A58461" w14:textId="77777777" w:rsidR="00AD1E65" w:rsidRPr="00DC4BA2" w:rsidRDefault="00AD1E65" w:rsidP="00DC4BA2">
      <w:pPr>
        <w:numPr>
          <w:ilvl w:val="0"/>
          <w:numId w:val="30"/>
        </w:numPr>
        <w:rPr>
          <w:rFonts w:eastAsia="Calibri"/>
        </w:rPr>
      </w:pPr>
      <w:r w:rsidRPr="00DC4BA2">
        <w:rPr>
          <w:rFonts w:eastAsia="Calibri"/>
          <w:i/>
        </w:rPr>
        <w:t>Infographics</w:t>
      </w:r>
      <w:r w:rsidRPr="00DC4BA2">
        <w:rPr>
          <w:rFonts w:eastAsia="Calibri"/>
        </w:rPr>
        <w:t>.</w:t>
      </w:r>
      <w:r w:rsidRPr="00DC4BA2">
        <w:rPr>
          <w:rFonts w:eastAsia="Calibri"/>
          <w:bCs/>
        </w:rPr>
        <w:t xml:space="preserve"> Finally, we may adapt the findings into infographics</w:t>
      </w:r>
      <w:r w:rsidRPr="00DC4BA2">
        <w:t xml:space="preserve"> </w:t>
      </w:r>
      <w:r w:rsidRPr="00DC4BA2">
        <w:rPr>
          <w:rFonts w:eastAsia="Calibri"/>
          <w:bCs/>
        </w:rPr>
        <w:t>to visually represent data, key findings, and implications. Using this format would enable us to present the information clearly and make it more appealing visually for key stakeholders, including the public, legislators, and program leaders.</w:t>
      </w:r>
    </w:p>
    <w:p w14:paraId="35E640E6" w14:textId="77777777" w:rsidR="00B212CE" w:rsidRDefault="00B212CE" w:rsidP="00DC4BA2">
      <w:pPr>
        <w:pStyle w:val="BodyText"/>
        <w:spacing w:line="240" w:lineRule="auto"/>
        <w:rPr>
          <w:rFonts w:ascii="Times New Roman" w:hAnsi="Times New Roman"/>
          <w:b/>
          <w:sz w:val="24"/>
        </w:rPr>
      </w:pPr>
    </w:p>
    <w:p w14:paraId="39759DEE" w14:textId="357BCCEB" w:rsidR="00B212CE" w:rsidRDefault="00B212CE" w:rsidP="00B212CE">
      <w:pPr>
        <w:pStyle w:val="BodyText"/>
        <w:numPr>
          <w:ilvl w:val="0"/>
          <w:numId w:val="6"/>
        </w:numPr>
        <w:tabs>
          <w:tab w:val="clear" w:pos="1140"/>
        </w:tabs>
        <w:spacing w:line="240" w:lineRule="auto"/>
        <w:ind w:left="720" w:hanging="360"/>
        <w:rPr>
          <w:rFonts w:ascii="Times New Roman" w:hAnsi="Times New Roman"/>
          <w:b/>
          <w:sz w:val="24"/>
        </w:rPr>
      </w:pPr>
      <w:r w:rsidRPr="00F469DF">
        <w:rPr>
          <w:rFonts w:ascii="Times New Roman" w:hAnsi="Times New Roman"/>
          <w:b/>
          <w:sz w:val="24"/>
        </w:rPr>
        <w:t>Project Time Schedule</w:t>
      </w:r>
    </w:p>
    <w:p w14:paraId="703896F7" w14:textId="77777777" w:rsidR="00B212CE" w:rsidRPr="001D6447" w:rsidRDefault="00B212CE" w:rsidP="00E31B56">
      <w:pPr>
        <w:pStyle w:val="BodyText"/>
        <w:spacing w:line="240" w:lineRule="auto"/>
        <w:ind w:left="1140"/>
        <w:rPr>
          <w:rFonts w:ascii="Times New Roman" w:hAnsi="Times New Roman"/>
          <w:b/>
          <w:sz w:val="24"/>
        </w:rPr>
      </w:pPr>
    </w:p>
    <w:p w14:paraId="460463F6" w14:textId="01741479" w:rsidR="00B212CE" w:rsidRDefault="00FC2F48" w:rsidP="00E31B56">
      <w:pPr>
        <w:pStyle w:val="BodyText"/>
        <w:spacing w:line="240" w:lineRule="auto"/>
        <w:rPr>
          <w:rFonts w:ascii="Times New Roman" w:hAnsi="Times New Roman"/>
          <w:sz w:val="24"/>
        </w:rPr>
      </w:pPr>
      <w:r>
        <w:rPr>
          <w:rFonts w:ascii="Times New Roman" w:hAnsi="Times New Roman"/>
          <w:sz w:val="24"/>
        </w:rPr>
        <w:t>We</w:t>
      </w:r>
      <w:r w:rsidR="00B212CE" w:rsidRPr="00AD1E65">
        <w:rPr>
          <w:rFonts w:ascii="Times New Roman" w:hAnsi="Times New Roman"/>
          <w:sz w:val="24"/>
        </w:rPr>
        <w:t xml:space="preserve"> will perform the </w:t>
      </w:r>
      <w:r w:rsidR="00E31B56">
        <w:rPr>
          <w:rFonts w:ascii="Times New Roman" w:hAnsi="Times New Roman"/>
          <w:sz w:val="24"/>
        </w:rPr>
        <w:t xml:space="preserve">major </w:t>
      </w:r>
      <w:r w:rsidR="00B212CE" w:rsidRPr="00AD1E65">
        <w:rPr>
          <w:rFonts w:ascii="Times New Roman" w:hAnsi="Times New Roman"/>
          <w:sz w:val="24"/>
        </w:rPr>
        <w:t xml:space="preserve">study activities described below </w:t>
      </w:r>
      <w:r w:rsidR="00E31B56">
        <w:rPr>
          <w:rFonts w:ascii="Times New Roman" w:hAnsi="Times New Roman"/>
          <w:sz w:val="24"/>
        </w:rPr>
        <w:t xml:space="preserve">according to the </w:t>
      </w:r>
      <w:r>
        <w:rPr>
          <w:rFonts w:ascii="Times New Roman" w:hAnsi="Times New Roman"/>
          <w:sz w:val="24"/>
        </w:rPr>
        <w:t>given</w:t>
      </w:r>
      <w:r w:rsidR="00B212CE" w:rsidRPr="00AD1E65">
        <w:rPr>
          <w:rFonts w:ascii="Times New Roman" w:hAnsi="Times New Roman"/>
          <w:sz w:val="24"/>
        </w:rPr>
        <w:t xml:space="preserve"> timeframes. It is important to note that some activities will overlap, and that start and end points may shift based </w:t>
      </w:r>
      <w:r w:rsidR="00B212CE">
        <w:rPr>
          <w:rFonts w:ascii="Times New Roman" w:hAnsi="Times New Roman"/>
          <w:sz w:val="24"/>
        </w:rPr>
        <w:t>on the status of other steps</w:t>
      </w:r>
      <w:r w:rsidR="00B212CE" w:rsidRPr="00AD1E65">
        <w:rPr>
          <w:rFonts w:ascii="Times New Roman" w:hAnsi="Times New Roman"/>
          <w:sz w:val="24"/>
        </w:rPr>
        <w:t>.</w:t>
      </w:r>
    </w:p>
    <w:p w14:paraId="317BB34D" w14:textId="77777777" w:rsidR="00B212CE" w:rsidRPr="00AD1E65" w:rsidRDefault="00B212CE" w:rsidP="00E31B56">
      <w:pPr>
        <w:pStyle w:val="BodyText"/>
        <w:spacing w:line="240" w:lineRule="auto"/>
        <w:ind w:left="360"/>
        <w:rPr>
          <w:rFonts w:ascii="Times New Roman" w:hAnsi="Times New Roman"/>
          <w:sz w:val="24"/>
        </w:rPr>
      </w:pPr>
    </w:p>
    <w:tbl>
      <w:tblPr>
        <w:tblStyle w:val="TableGrid"/>
        <w:tblW w:w="9350" w:type="dxa"/>
        <w:tblLook w:val="0420" w:firstRow="1" w:lastRow="0" w:firstColumn="0" w:lastColumn="0" w:noHBand="0" w:noVBand="1"/>
      </w:tblPr>
      <w:tblGrid>
        <w:gridCol w:w="5210"/>
        <w:gridCol w:w="4140"/>
      </w:tblGrid>
      <w:tr w:rsidR="006B420C" w:rsidRPr="006B420C" w14:paraId="21DDC2E6" w14:textId="77777777" w:rsidTr="00786CF1">
        <w:trPr>
          <w:trHeight w:val="350"/>
        </w:trPr>
        <w:tc>
          <w:tcPr>
            <w:tcW w:w="5210" w:type="dxa"/>
            <w:hideMark/>
          </w:tcPr>
          <w:p w14:paraId="7C0C8E4A" w14:textId="1B90C696" w:rsidR="006B420C" w:rsidRPr="006B420C" w:rsidRDefault="006B420C" w:rsidP="00E31B56">
            <w:pPr>
              <w:rPr>
                <w:rFonts w:cstheme="minorHAnsi"/>
              </w:rPr>
            </w:pPr>
            <w:r>
              <w:rPr>
                <w:rFonts w:cstheme="minorHAnsi"/>
                <w:b/>
                <w:bCs/>
                <w:kern w:val="24"/>
              </w:rPr>
              <w:t>Project Activities</w:t>
            </w:r>
          </w:p>
        </w:tc>
        <w:tc>
          <w:tcPr>
            <w:tcW w:w="4140" w:type="dxa"/>
            <w:hideMark/>
          </w:tcPr>
          <w:p w14:paraId="08BBA60C" w14:textId="77777777" w:rsidR="006B420C" w:rsidRPr="006B420C" w:rsidRDefault="006B420C" w:rsidP="00E31B56">
            <w:pPr>
              <w:rPr>
                <w:rFonts w:cstheme="minorHAnsi"/>
              </w:rPr>
            </w:pPr>
            <w:r w:rsidRPr="006B420C">
              <w:rPr>
                <w:rFonts w:cstheme="minorHAnsi"/>
                <w:b/>
                <w:bCs/>
                <w:kern w:val="24"/>
              </w:rPr>
              <w:t>Timeline</w:t>
            </w:r>
          </w:p>
        </w:tc>
      </w:tr>
      <w:tr w:rsidR="006B420C" w:rsidRPr="006B420C" w14:paraId="162DB32E" w14:textId="77777777" w:rsidTr="006B420C">
        <w:trPr>
          <w:trHeight w:val="196"/>
        </w:trPr>
        <w:tc>
          <w:tcPr>
            <w:tcW w:w="5210" w:type="dxa"/>
          </w:tcPr>
          <w:p w14:paraId="538AAF4B" w14:textId="77777777" w:rsidR="006B420C" w:rsidRPr="006B420C" w:rsidRDefault="006B420C" w:rsidP="00E31B56">
            <w:pPr>
              <w:rPr>
                <w:rFonts w:cstheme="minorHAnsi"/>
              </w:rPr>
            </w:pPr>
            <w:r w:rsidRPr="006B420C">
              <w:t>OMB/PRA Application, Review, and Approval</w:t>
            </w:r>
          </w:p>
        </w:tc>
        <w:tc>
          <w:tcPr>
            <w:tcW w:w="4140" w:type="dxa"/>
          </w:tcPr>
          <w:p w14:paraId="0A73C3DD" w14:textId="561B1CAA" w:rsidR="006B420C" w:rsidRPr="006B420C" w:rsidRDefault="006B420C" w:rsidP="00E31B56">
            <w:pPr>
              <w:ind w:left="42"/>
              <w:rPr>
                <w:rFonts w:cstheme="minorHAnsi"/>
              </w:rPr>
            </w:pPr>
            <w:r w:rsidRPr="006B420C">
              <w:t xml:space="preserve">June, 2019 – </w:t>
            </w:r>
            <w:r w:rsidR="00786CF1">
              <w:t>February</w:t>
            </w:r>
            <w:r w:rsidRPr="006B420C">
              <w:t>, 2020</w:t>
            </w:r>
          </w:p>
        </w:tc>
      </w:tr>
      <w:tr w:rsidR="006B420C" w:rsidRPr="006B420C" w14:paraId="78126B97" w14:textId="77777777" w:rsidTr="006B420C">
        <w:trPr>
          <w:trHeight w:val="241"/>
        </w:trPr>
        <w:tc>
          <w:tcPr>
            <w:tcW w:w="5210" w:type="dxa"/>
          </w:tcPr>
          <w:p w14:paraId="723FA088" w14:textId="72B8B320" w:rsidR="006B420C" w:rsidRPr="006B420C" w:rsidRDefault="006B420C" w:rsidP="00E31B56">
            <w:pPr>
              <w:rPr>
                <w:rFonts w:cstheme="minorHAnsi"/>
              </w:rPr>
            </w:pPr>
            <w:r w:rsidRPr="006B420C">
              <w:t>Analysis of Quantitative Data</w:t>
            </w:r>
            <w:r w:rsidR="00E31B56">
              <w:rPr>
                <w:rStyle w:val="FootnoteReference"/>
              </w:rPr>
              <w:footnoteReference w:id="4"/>
            </w:r>
          </w:p>
        </w:tc>
        <w:tc>
          <w:tcPr>
            <w:tcW w:w="4140" w:type="dxa"/>
          </w:tcPr>
          <w:p w14:paraId="0DFE83C9" w14:textId="2C25F2D5" w:rsidR="006B420C" w:rsidRPr="006B420C" w:rsidRDefault="00786CF1" w:rsidP="00E31B56">
            <w:pPr>
              <w:ind w:left="42"/>
              <w:rPr>
                <w:rFonts w:cstheme="minorHAnsi"/>
              </w:rPr>
            </w:pPr>
            <w:r>
              <w:t>October</w:t>
            </w:r>
            <w:r w:rsidR="006B420C" w:rsidRPr="006B420C">
              <w:t>, 2019 – January, 2021</w:t>
            </w:r>
          </w:p>
        </w:tc>
      </w:tr>
      <w:tr w:rsidR="006B420C" w:rsidRPr="006B420C" w14:paraId="55000893" w14:textId="77777777" w:rsidTr="006B420C">
        <w:trPr>
          <w:trHeight w:val="260"/>
        </w:trPr>
        <w:tc>
          <w:tcPr>
            <w:tcW w:w="5210" w:type="dxa"/>
          </w:tcPr>
          <w:p w14:paraId="75B67B2F" w14:textId="7E913DE2" w:rsidR="006B420C" w:rsidRPr="006B420C" w:rsidRDefault="006B420C" w:rsidP="00E31B56">
            <w:pPr>
              <w:rPr>
                <w:rFonts w:cstheme="minorHAnsi"/>
              </w:rPr>
            </w:pPr>
            <w:r w:rsidRPr="006B420C">
              <w:t>APS Program Recruitment and Enrollment</w:t>
            </w:r>
          </w:p>
        </w:tc>
        <w:tc>
          <w:tcPr>
            <w:tcW w:w="4140" w:type="dxa"/>
          </w:tcPr>
          <w:p w14:paraId="74A0B9AD" w14:textId="77777777" w:rsidR="006B420C" w:rsidRPr="006B420C" w:rsidRDefault="006B420C" w:rsidP="00E31B56">
            <w:pPr>
              <w:ind w:left="42"/>
              <w:rPr>
                <w:rFonts w:cstheme="minorHAnsi"/>
              </w:rPr>
            </w:pPr>
            <w:r w:rsidRPr="006B420C">
              <w:t>February, 2020 – April, 2020</w:t>
            </w:r>
          </w:p>
        </w:tc>
      </w:tr>
      <w:tr w:rsidR="006B420C" w:rsidRPr="006B420C" w14:paraId="536AF2F4" w14:textId="77777777" w:rsidTr="006B420C">
        <w:trPr>
          <w:trHeight w:val="313"/>
        </w:trPr>
        <w:tc>
          <w:tcPr>
            <w:tcW w:w="5210" w:type="dxa"/>
          </w:tcPr>
          <w:p w14:paraId="7D55CA70" w14:textId="6C89AEDE" w:rsidR="006B420C" w:rsidRPr="006B420C" w:rsidRDefault="006B420C" w:rsidP="00E31B56">
            <w:pPr>
              <w:rPr>
                <w:rFonts w:cstheme="minorHAnsi"/>
              </w:rPr>
            </w:pPr>
            <w:r w:rsidRPr="006B420C">
              <w:t xml:space="preserve">Data Collection (Client Questionnaire, </w:t>
            </w:r>
            <w:r>
              <w:t>Client Da</w:t>
            </w:r>
            <w:r w:rsidR="00786CF1">
              <w:t xml:space="preserve">ta Form, </w:t>
            </w:r>
            <w:r w:rsidRPr="006B420C">
              <w:t>Site Visits)</w:t>
            </w:r>
          </w:p>
        </w:tc>
        <w:tc>
          <w:tcPr>
            <w:tcW w:w="4140" w:type="dxa"/>
          </w:tcPr>
          <w:p w14:paraId="5F441F20" w14:textId="77777777" w:rsidR="006B420C" w:rsidRPr="006B420C" w:rsidRDefault="006B420C" w:rsidP="00E31B56">
            <w:pPr>
              <w:ind w:left="42"/>
              <w:rPr>
                <w:rFonts w:cstheme="minorHAnsi"/>
              </w:rPr>
            </w:pPr>
            <w:r w:rsidRPr="006B420C">
              <w:t>April, 2020 – November, 2020</w:t>
            </w:r>
          </w:p>
        </w:tc>
      </w:tr>
      <w:tr w:rsidR="006B420C" w:rsidRPr="006B420C" w14:paraId="78B19A4F" w14:textId="77777777" w:rsidTr="006B420C">
        <w:trPr>
          <w:trHeight w:val="313"/>
        </w:trPr>
        <w:tc>
          <w:tcPr>
            <w:tcW w:w="5210" w:type="dxa"/>
          </w:tcPr>
          <w:p w14:paraId="48F75CCC" w14:textId="7B852D70" w:rsidR="006B420C" w:rsidRPr="006B420C" w:rsidRDefault="006B420C" w:rsidP="00E31B56">
            <w:pPr>
              <w:rPr>
                <w:rFonts w:cstheme="minorHAnsi"/>
              </w:rPr>
            </w:pPr>
            <w:r w:rsidRPr="006B420C">
              <w:t>Analysis of Qualitative Data</w:t>
            </w:r>
          </w:p>
        </w:tc>
        <w:tc>
          <w:tcPr>
            <w:tcW w:w="4140" w:type="dxa"/>
          </w:tcPr>
          <w:p w14:paraId="54AFD600" w14:textId="77777777" w:rsidR="006B420C" w:rsidRPr="006B420C" w:rsidRDefault="006B420C" w:rsidP="00E31B56">
            <w:pPr>
              <w:ind w:left="42"/>
              <w:rPr>
                <w:rFonts w:cstheme="minorHAnsi"/>
              </w:rPr>
            </w:pPr>
            <w:r w:rsidRPr="006B420C">
              <w:t>May, 2020 – January, 2021</w:t>
            </w:r>
          </w:p>
        </w:tc>
      </w:tr>
      <w:tr w:rsidR="006B420C" w:rsidRPr="006B420C" w14:paraId="1753615D" w14:textId="77777777" w:rsidTr="006B420C">
        <w:trPr>
          <w:trHeight w:val="340"/>
        </w:trPr>
        <w:tc>
          <w:tcPr>
            <w:tcW w:w="5210" w:type="dxa"/>
          </w:tcPr>
          <w:p w14:paraId="5079C082" w14:textId="3AF44490" w:rsidR="006B420C" w:rsidRPr="006B420C" w:rsidRDefault="006B420C" w:rsidP="00E31B56">
            <w:pPr>
              <w:rPr>
                <w:rFonts w:cstheme="minorHAnsi"/>
              </w:rPr>
            </w:pPr>
            <w:r w:rsidRPr="006B420C">
              <w:t>Reporting and Dissemination</w:t>
            </w:r>
            <w:r w:rsidR="00E31B56">
              <w:rPr>
                <w:rStyle w:val="FootnoteReference"/>
              </w:rPr>
              <w:footnoteReference w:id="5"/>
            </w:r>
          </w:p>
        </w:tc>
        <w:tc>
          <w:tcPr>
            <w:tcW w:w="4140" w:type="dxa"/>
          </w:tcPr>
          <w:p w14:paraId="69DB2626" w14:textId="77777777" w:rsidR="006B420C" w:rsidRPr="006B420C" w:rsidRDefault="006B420C" w:rsidP="00E31B56">
            <w:pPr>
              <w:ind w:left="30"/>
              <w:rPr>
                <w:rFonts w:cstheme="minorHAnsi"/>
              </w:rPr>
            </w:pPr>
            <w:r w:rsidRPr="006B420C">
              <w:t>November, 2020 – September, 2021</w:t>
            </w:r>
          </w:p>
        </w:tc>
      </w:tr>
    </w:tbl>
    <w:p w14:paraId="1F4BE441" w14:textId="77777777" w:rsidR="00793A7D" w:rsidRDefault="00793A7D" w:rsidP="00E31B56">
      <w:pPr>
        <w:pStyle w:val="BodyText"/>
        <w:spacing w:line="240" w:lineRule="auto"/>
        <w:ind w:left="360"/>
        <w:rPr>
          <w:rFonts w:ascii="Times New Roman" w:hAnsi="Times New Roman"/>
          <w:sz w:val="24"/>
        </w:rPr>
      </w:pPr>
    </w:p>
    <w:p w14:paraId="7EE493DF" w14:textId="5330F3AC" w:rsidR="00793A7D" w:rsidRDefault="00793A7D" w:rsidP="00793A7D">
      <w:pPr>
        <w:pStyle w:val="BodyText"/>
        <w:numPr>
          <w:ilvl w:val="0"/>
          <w:numId w:val="6"/>
        </w:numPr>
        <w:tabs>
          <w:tab w:val="clear" w:pos="1140"/>
          <w:tab w:val="num" w:pos="720"/>
        </w:tabs>
        <w:spacing w:line="240" w:lineRule="auto"/>
        <w:ind w:left="720" w:hanging="360"/>
        <w:rPr>
          <w:rFonts w:ascii="Times New Roman" w:hAnsi="Times New Roman"/>
          <w:b/>
          <w:sz w:val="24"/>
        </w:rPr>
      </w:pPr>
      <w:r w:rsidRPr="00F469DF">
        <w:rPr>
          <w:rFonts w:ascii="Times New Roman" w:hAnsi="Times New Roman"/>
          <w:b/>
          <w:sz w:val="24"/>
        </w:rPr>
        <w:t xml:space="preserve">Reason(s) </w:t>
      </w:r>
      <w:r>
        <w:rPr>
          <w:rFonts w:ascii="Times New Roman" w:hAnsi="Times New Roman"/>
          <w:b/>
          <w:sz w:val="24"/>
        </w:rPr>
        <w:t xml:space="preserve">not to </w:t>
      </w:r>
      <w:r w:rsidRPr="00F469DF">
        <w:rPr>
          <w:rFonts w:ascii="Times New Roman" w:hAnsi="Times New Roman"/>
          <w:b/>
          <w:sz w:val="24"/>
        </w:rPr>
        <w:t xml:space="preserve">Display </w:t>
      </w:r>
      <w:r>
        <w:rPr>
          <w:rFonts w:ascii="Times New Roman" w:hAnsi="Times New Roman"/>
          <w:b/>
          <w:sz w:val="24"/>
        </w:rPr>
        <w:t>E</w:t>
      </w:r>
      <w:r w:rsidRPr="00F469DF">
        <w:rPr>
          <w:rFonts w:ascii="Times New Roman" w:hAnsi="Times New Roman"/>
          <w:b/>
          <w:sz w:val="24"/>
        </w:rPr>
        <w:t>xpiration Date</w:t>
      </w:r>
      <w:r>
        <w:rPr>
          <w:rFonts w:ascii="Times New Roman" w:hAnsi="Times New Roman"/>
          <w:b/>
          <w:sz w:val="24"/>
        </w:rPr>
        <w:t xml:space="preserve"> for OMB Approval</w:t>
      </w:r>
    </w:p>
    <w:p w14:paraId="2209BEE2" w14:textId="77777777" w:rsidR="00793A7D" w:rsidRPr="001D6447" w:rsidRDefault="00793A7D" w:rsidP="00793A7D">
      <w:pPr>
        <w:pStyle w:val="BodyText"/>
        <w:spacing w:line="240" w:lineRule="auto"/>
        <w:ind w:left="1140"/>
        <w:rPr>
          <w:rFonts w:ascii="Times New Roman" w:hAnsi="Times New Roman"/>
          <w:b/>
          <w:sz w:val="24"/>
        </w:rPr>
      </w:pPr>
    </w:p>
    <w:p w14:paraId="73324C32" w14:textId="7B6F53FA" w:rsidR="003C4ED0" w:rsidRPr="00001C86" w:rsidRDefault="00793A7D" w:rsidP="007910A6">
      <w:pPr>
        <w:pStyle w:val="BodyText"/>
        <w:spacing w:line="240" w:lineRule="auto"/>
        <w:jc w:val="both"/>
        <w:rPr>
          <w:rFonts w:ascii="Times New Roman" w:hAnsi="Times New Roman"/>
          <w:sz w:val="24"/>
        </w:rPr>
      </w:pPr>
      <w:r>
        <w:rPr>
          <w:rFonts w:ascii="Times New Roman" w:hAnsi="Times New Roman"/>
          <w:sz w:val="24"/>
        </w:rPr>
        <w:t>The expiration date for OMB approval will be displayed on all data collection instruments.</w:t>
      </w:r>
    </w:p>
    <w:p w14:paraId="376E5228" w14:textId="77777777" w:rsidR="0062052C" w:rsidRDefault="0062052C">
      <w:pPr>
        <w:pStyle w:val="BodyText"/>
        <w:spacing w:line="240" w:lineRule="auto"/>
        <w:rPr>
          <w:rFonts w:ascii="Times New Roman" w:hAnsi="Times New Roman"/>
          <w:sz w:val="28"/>
        </w:rPr>
      </w:pPr>
    </w:p>
    <w:p w14:paraId="1E52994E" w14:textId="77777777" w:rsidR="0062052C" w:rsidRDefault="0062052C">
      <w:pPr>
        <w:pStyle w:val="BodyText"/>
        <w:spacing w:line="240" w:lineRule="auto"/>
        <w:rPr>
          <w:rFonts w:ascii="Times New Roman" w:hAnsi="Times New Roman"/>
          <w:sz w:val="28"/>
        </w:rPr>
      </w:pPr>
    </w:p>
    <w:p w14:paraId="35DFB6EC" w14:textId="77777777" w:rsidR="0062052C" w:rsidRPr="00221F17" w:rsidRDefault="0062052C" w:rsidP="0062052C">
      <w:pPr>
        <w:jc w:val="both"/>
        <w:rPr>
          <w:szCs w:val="22"/>
        </w:rPr>
      </w:pPr>
    </w:p>
    <w:p w14:paraId="61D017D5" w14:textId="77777777" w:rsidR="0062052C" w:rsidRPr="00D77CA8" w:rsidRDefault="0062052C">
      <w:pPr>
        <w:pStyle w:val="BodyText"/>
        <w:spacing w:line="240" w:lineRule="auto"/>
        <w:rPr>
          <w:rFonts w:ascii="Times New Roman" w:hAnsi="Times New Roman"/>
          <w:sz w:val="28"/>
        </w:rPr>
      </w:pPr>
    </w:p>
    <w:sectPr w:rsidR="0062052C" w:rsidRPr="00D77CA8" w:rsidSect="004371CA">
      <w:footerReference w:type="even"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CF3F7" w14:textId="77777777" w:rsidR="008A0C29" w:rsidRDefault="008A0C29">
      <w:r>
        <w:separator/>
      </w:r>
    </w:p>
  </w:endnote>
  <w:endnote w:type="continuationSeparator" w:id="0">
    <w:p w14:paraId="6E2E877C" w14:textId="77777777" w:rsidR="008A0C29" w:rsidRDefault="008A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7E50A" w14:textId="77777777" w:rsidR="00D44C57" w:rsidRDefault="00D44C57">
    <w:pPr>
      <w:pStyle w:val="Footer"/>
      <w:framePr w:wrap="around" w:vAnchor="text" w:hAnchor="margin" w:xAlign="center" w:y="1"/>
      <w:rPr>
        <w:rStyle w:val="PageNumber"/>
        <w:rFonts w:ascii="Times New Roman" w:hAnsi="Times New Roman"/>
        <w:snapToGrid/>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FFA7531" w14:textId="77777777" w:rsidR="00D44C57" w:rsidRDefault="00D44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95E1E" w14:textId="6D2E03BE" w:rsidR="00D44C57" w:rsidRPr="007B36A6" w:rsidRDefault="00D44C57">
    <w:pPr>
      <w:pStyle w:val="Footer"/>
      <w:framePr w:wrap="around" w:vAnchor="text" w:hAnchor="page" w:x="6049" w:y="81"/>
      <w:rPr>
        <w:rStyle w:val="PageNumber"/>
        <w:rFonts w:ascii="Times New Roman" w:hAnsi="Times New Roman"/>
        <w:snapToGrid/>
        <w:sz w:val="22"/>
      </w:rPr>
    </w:pPr>
    <w:r w:rsidRPr="007B36A6">
      <w:rPr>
        <w:rStyle w:val="PageNumber"/>
        <w:rFonts w:ascii="Times New Roman" w:hAnsi="Times New Roman"/>
        <w:sz w:val="22"/>
      </w:rPr>
      <w:fldChar w:fldCharType="begin"/>
    </w:r>
    <w:r w:rsidRPr="007B36A6">
      <w:rPr>
        <w:rStyle w:val="PageNumber"/>
        <w:rFonts w:ascii="Times New Roman" w:hAnsi="Times New Roman"/>
        <w:sz w:val="22"/>
      </w:rPr>
      <w:instrText xml:space="preserve">PAGE  </w:instrText>
    </w:r>
    <w:r w:rsidRPr="007B36A6">
      <w:rPr>
        <w:rStyle w:val="PageNumber"/>
        <w:rFonts w:ascii="Times New Roman" w:hAnsi="Times New Roman"/>
        <w:sz w:val="22"/>
      </w:rPr>
      <w:fldChar w:fldCharType="separate"/>
    </w:r>
    <w:r w:rsidR="00AE5429">
      <w:rPr>
        <w:rStyle w:val="PageNumber"/>
        <w:rFonts w:ascii="Times New Roman" w:hAnsi="Times New Roman"/>
        <w:noProof/>
        <w:sz w:val="22"/>
      </w:rPr>
      <w:t>1</w:t>
    </w:r>
    <w:r w:rsidRPr="007B36A6">
      <w:rPr>
        <w:rStyle w:val="PageNumber"/>
        <w:rFonts w:ascii="Times New Roman" w:hAnsi="Times New Roman"/>
        <w:sz w:val="22"/>
      </w:rPr>
      <w:fldChar w:fldCharType="end"/>
    </w:r>
  </w:p>
  <w:p w14:paraId="568C6C87" w14:textId="77777777" w:rsidR="00D44C57" w:rsidRDefault="00D44C57">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8CEE7" w14:textId="77777777" w:rsidR="008A0C29" w:rsidRDefault="008A0C29">
      <w:r>
        <w:separator/>
      </w:r>
    </w:p>
  </w:footnote>
  <w:footnote w:type="continuationSeparator" w:id="0">
    <w:p w14:paraId="219943B1" w14:textId="77777777" w:rsidR="008A0C29" w:rsidRDefault="008A0C29">
      <w:r>
        <w:continuationSeparator/>
      </w:r>
    </w:p>
  </w:footnote>
  <w:footnote w:id="1">
    <w:p w14:paraId="0F313730" w14:textId="77777777" w:rsidR="00D44C57" w:rsidRDefault="00D44C57" w:rsidP="00D008CD">
      <w:pPr>
        <w:pStyle w:val="FootnoteText"/>
        <w:ind w:left="90" w:hanging="90"/>
      </w:pPr>
      <w:r w:rsidRPr="00C94952">
        <w:rPr>
          <w:rStyle w:val="FootnoteReference"/>
          <w:sz w:val="18"/>
          <w:szCs w:val="18"/>
        </w:rPr>
        <w:footnoteRef/>
      </w:r>
      <w:r w:rsidRPr="00C94952">
        <w:rPr>
          <w:sz w:val="18"/>
          <w:szCs w:val="18"/>
        </w:rPr>
        <w:t xml:space="preserve"> NAMRS </w:t>
      </w:r>
      <w:r w:rsidRPr="00BC3E73">
        <w:t xml:space="preserve">is the national reporting system for state APS data. </w:t>
      </w:r>
      <w:r>
        <w:t xml:space="preserve">It is a voluntary surveillance system, but 55 out of 56 states and territories provide some level of data to NAMRS. The dataset is relatively new, with three fiscal years of data collected (FFY16-FFY18). NAMRS </w:t>
      </w:r>
      <w:r w:rsidRPr="00C94952">
        <w:rPr>
          <w:sz w:val="18"/>
          <w:szCs w:val="18"/>
        </w:rPr>
        <w:t>was developed with funding and support from ACL.</w:t>
      </w:r>
    </w:p>
  </w:footnote>
  <w:footnote w:id="2">
    <w:p w14:paraId="32733F7C" w14:textId="77777777" w:rsidR="00D44C57" w:rsidRDefault="00D44C57" w:rsidP="00184E00">
      <w:pPr>
        <w:pStyle w:val="FootnoteText"/>
      </w:pPr>
      <w:r>
        <w:rPr>
          <w:rStyle w:val="FootnoteReference"/>
        </w:rPr>
        <w:footnoteRef/>
      </w:r>
      <w:r>
        <w:t xml:space="preserve"> </w:t>
      </w:r>
      <w:hyperlink r:id="rId1" w:anchor="21-0000" w:history="1">
        <w:r w:rsidRPr="00CE08D0">
          <w:rPr>
            <w:rStyle w:val="Hyperlink"/>
          </w:rPr>
          <w:t>https://www.bls.gov/oes/current/oes_nat.htm#21-0000</w:t>
        </w:r>
      </w:hyperlink>
    </w:p>
  </w:footnote>
  <w:footnote w:id="3">
    <w:p w14:paraId="5CFE16AE" w14:textId="6467FFDD" w:rsidR="00D44C57" w:rsidRDefault="00D44C57">
      <w:pPr>
        <w:pStyle w:val="FootnoteText"/>
      </w:pPr>
      <w:r>
        <w:rPr>
          <w:rStyle w:val="FootnoteReference"/>
        </w:rPr>
        <w:footnoteRef/>
      </w:r>
      <w:r>
        <w:t xml:space="preserve"> </w:t>
      </w:r>
      <w:hyperlink r:id="rId2" w:history="1">
        <w:r w:rsidRPr="00CE08D0">
          <w:rPr>
            <w:rStyle w:val="Hyperlink"/>
          </w:rPr>
          <w:t>https://www.bls.gov/oes/current/oes119151.htm</w:t>
        </w:r>
      </w:hyperlink>
    </w:p>
  </w:footnote>
  <w:footnote w:id="4">
    <w:p w14:paraId="32BCCA5D" w14:textId="75457A06" w:rsidR="00D44C57" w:rsidRDefault="00D44C57">
      <w:pPr>
        <w:pStyle w:val="FootnoteText"/>
      </w:pPr>
      <w:r>
        <w:rPr>
          <w:rStyle w:val="FootnoteReference"/>
        </w:rPr>
        <w:footnoteRef/>
      </w:r>
      <w:r>
        <w:t xml:space="preserve"> </w:t>
      </w:r>
      <w:r>
        <w:rPr>
          <w:sz w:val="18"/>
          <w:szCs w:val="18"/>
        </w:rPr>
        <w:t>Secondary a</w:t>
      </w:r>
      <w:r w:rsidRPr="00062F24">
        <w:rPr>
          <w:sz w:val="18"/>
          <w:szCs w:val="18"/>
        </w:rPr>
        <w:t xml:space="preserve">nalysis of </w:t>
      </w:r>
      <w:r>
        <w:rPr>
          <w:sz w:val="18"/>
          <w:szCs w:val="18"/>
        </w:rPr>
        <w:t xml:space="preserve">NAMRS does not require OMB/PRA approval and </w:t>
      </w:r>
      <w:r w:rsidRPr="00062F24">
        <w:rPr>
          <w:sz w:val="18"/>
          <w:szCs w:val="18"/>
        </w:rPr>
        <w:t xml:space="preserve">will </w:t>
      </w:r>
      <w:r>
        <w:rPr>
          <w:sz w:val="18"/>
          <w:szCs w:val="18"/>
        </w:rPr>
        <w:t>begin immediately. Quantitative analysis of primary data collected using the client questionnaire and client data form will not begin until the end of primary data collection in November, 2020.</w:t>
      </w:r>
    </w:p>
  </w:footnote>
  <w:footnote w:id="5">
    <w:p w14:paraId="47F72B98" w14:textId="0B6FA9EF" w:rsidR="00D44C57" w:rsidRDefault="00D44C57">
      <w:pPr>
        <w:pStyle w:val="FootnoteText"/>
      </w:pPr>
      <w:r>
        <w:rPr>
          <w:rStyle w:val="FootnoteReference"/>
        </w:rPr>
        <w:footnoteRef/>
      </w:r>
      <w:r>
        <w:t xml:space="preserve"> Reporting and dissemination includes submitting a journal manuscript for publication (expected July, 2021), presenting findings at one or more professional conferences (expected August, 2021), and completing the final report and other products (expected September,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D297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B3740"/>
    <w:multiLevelType w:val="hybridMultilevel"/>
    <w:tmpl w:val="9C2243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63646"/>
    <w:multiLevelType w:val="hybridMultilevel"/>
    <w:tmpl w:val="D51A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F3D07"/>
    <w:multiLevelType w:val="hybridMultilevel"/>
    <w:tmpl w:val="01A0B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E80C24"/>
    <w:multiLevelType w:val="hybridMultilevel"/>
    <w:tmpl w:val="965A644C"/>
    <w:lvl w:ilvl="0" w:tplc="4CCA41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E7556"/>
    <w:multiLevelType w:val="hybridMultilevel"/>
    <w:tmpl w:val="4C5259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933012"/>
    <w:multiLevelType w:val="hybridMultilevel"/>
    <w:tmpl w:val="ACDC0496"/>
    <w:lvl w:ilvl="0" w:tplc="04090001">
      <w:start w:val="1"/>
      <w:numFmt w:val="bullet"/>
      <w:lvlText w:val=""/>
      <w:lvlJc w:val="left"/>
      <w:pPr>
        <w:tabs>
          <w:tab w:val="num" w:pos="720"/>
        </w:tabs>
        <w:ind w:left="720" w:hanging="360"/>
      </w:pPr>
      <w:rPr>
        <w:rFonts w:ascii="Symbol" w:hAnsi="Symbol" w:hint="default"/>
      </w:rPr>
    </w:lvl>
    <w:lvl w:ilvl="1" w:tplc="0F4C5A86" w:tentative="1">
      <w:start w:val="1"/>
      <w:numFmt w:val="bullet"/>
      <w:lvlText w:val="•"/>
      <w:lvlJc w:val="left"/>
      <w:pPr>
        <w:tabs>
          <w:tab w:val="num" w:pos="1440"/>
        </w:tabs>
        <w:ind w:left="1440" w:hanging="360"/>
      </w:pPr>
      <w:rPr>
        <w:rFonts w:ascii="Arial" w:hAnsi="Arial" w:hint="default"/>
      </w:rPr>
    </w:lvl>
    <w:lvl w:ilvl="2" w:tplc="5E7E6456" w:tentative="1">
      <w:start w:val="1"/>
      <w:numFmt w:val="bullet"/>
      <w:lvlText w:val="•"/>
      <w:lvlJc w:val="left"/>
      <w:pPr>
        <w:tabs>
          <w:tab w:val="num" w:pos="2160"/>
        </w:tabs>
        <w:ind w:left="2160" w:hanging="360"/>
      </w:pPr>
      <w:rPr>
        <w:rFonts w:ascii="Arial" w:hAnsi="Arial" w:hint="default"/>
      </w:rPr>
    </w:lvl>
    <w:lvl w:ilvl="3" w:tplc="D4D8E22E" w:tentative="1">
      <w:start w:val="1"/>
      <w:numFmt w:val="bullet"/>
      <w:lvlText w:val="•"/>
      <w:lvlJc w:val="left"/>
      <w:pPr>
        <w:tabs>
          <w:tab w:val="num" w:pos="2880"/>
        </w:tabs>
        <w:ind w:left="2880" w:hanging="360"/>
      </w:pPr>
      <w:rPr>
        <w:rFonts w:ascii="Arial" w:hAnsi="Arial" w:hint="default"/>
      </w:rPr>
    </w:lvl>
    <w:lvl w:ilvl="4" w:tplc="9C10B816" w:tentative="1">
      <w:start w:val="1"/>
      <w:numFmt w:val="bullet"/>
      <w:lvlText w:val="•"/>
      <w:lvlJc w:val="left"/>
      <w:pPr>
        <w:tabs>
          <w:tab w:val="num" w:pos="3600"/>
        </w:tabs>
        <w:ind w:left="3600" w:hanging="360"/>
      </w:pPr>
      <w:rPr>
        <w:rFonts w:ascii="Arial" w:hAnsi="Arial" w:hint="default"/>
      </w:rPr>
    </w:lvl>
    <w:lvl w:ilvl="5" w:tplc="CA2A4354" w:tentative="1">
      <w:start w:val="1"/>
      <w:numFmt w:val="bullet"/>
      <w:lvlText w:val="•"/>
      <w:lvlJc w:val="left"/>
      <w:pPr>
        <w:tabs>
          <w:tab w:val="num" w:pos="4320"/>
        </w:tabs>
        <w:ind w:left="4320" w:hanging="360"/>
      </w:pPr>
      <w:rPr>
        <w:rFonts w:ascii="Arial" w:hAnsi="Arial" w:hint="default"/>
      </w:rPr>
    </w:lvl>
    <w:lvl w:ilvl="6" w:tplc="577CB832" w:tentative="1">
      <w:start w:val="1"/>
      <w:numFmt w:val="bullet"/>
      <w:lvlText w:val="•"/>
      <w:lvlJc w:val="left"/>
      <w:pPr>
        <w:tabs>
          <w:tab w:val="num" w:pos="5040"/>
        </w:tabs>
        <w:ind w:left="5040" w:hanging="360"/>
      </w:pPr>
      <w:rPr>
        <w:rFonts w:ascii="Arial" w:hAnsi="Arial" w:hint="default"/>
      </w:rPr>
    </w:lvl>
    <w:lvl w:ilvl="7" w:tplc="ECDC5FF0" w:tentative="1">
      <w:start w:val="1"/>
      <w:numFmt w:val="bullet"/>
      <w:lvlText w:val="•"/>
      <w:lvlJc w:val="left"/>
      <w:pPr>
        <w:tabs>
          <w:tab w:val="num" w:pos="5760"/>
        </w:tabs>
        <w:ind w:left="5760" w:hanging="360"/>
      </w:pPr>
      <w:rPr>
        <w:rFonts w:ascii="Arial" w:hAnsi="Arial" w:hint="default"/>
      </w:rPr>
    </w:lvl>
    <w:lvl w:ilvl="8" w:tplc="F3BAEE54" w:tentative="1">
      <w:start w:val="1"/>
      <w:numFmt w:val="bullet"/>
      <w:lvlText w:val="•"/>
      <w:lvlJc w:val="left"/>
      <w:pPr>
        <w:tabs>
          <w:tab w:val="num" w:pos="6480"/>
        </w:tabs>
        <w:ind w:left="6480" w:hanging="360"/>
      </w:pPr>
      <w:rPr>
        <w:rFonts w:ascii="Arial" w:hAnsi="Arial" w:hint="default"/>
      </w:rPr>
    </w:lvl>
  </w:abstractNum>
  <w:abstractNum w:abstractNumId="7">
    <w:nsid w:val="160036CA"/>
    <w:multiLevelType w:val="hybridMultilevel"/>
    <w:tmpl w:val="4E74201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nsid w:val="1A2359D2"/>
    <w:multiLevelType w:val="hybridMultilevel"/>
    <w:tmpl w:val="14B6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F360C"/>
    <w:multiLevelType w:val="hybridMultilevel"/>
    <w:tmpl w:val="00DA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D57426"/>
    <w:multiLevelType w:val="hybridMultilevel"/>
    <w:tmpl w:val="3D5AF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F51C09"/>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2">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3">
    <w:nsid w:val="33AB6F5A"/>
    <w:multiLevelType w:val="hybridMultilevel"/>
    <w:tmpl w:val="5BCE4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9D230C"/>
    <w:multiLevelType w:val="hybridMultilevel"/>
    <w:tmpl w:val="7F92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E3661"/>
    <w:multiLevelType w:val="hybridMultilevel"/>
    <w:tmpl w:val="FC06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F46F8"/>
    <w:multiLevelType w:val="hybridMultilevel"/>
    <w:tmpl w:val="B51EDCB8"/>
    <w:lvl w:ilvl="0" w:tplc="9846292A">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9D1383"/>
    <w:multiLevelType w:val="hybridMultilevel"/>
    <w:tmpl w:val="6EA64F10"/>
    <w:lvl w:ilvl="0" w:tplc="0409000F">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8">
    <w:nsid w:val="49520995"/>
    <w:multiLevelType w:val="hybridMultilevel"/>
    <w:tmpl w:val="7B0AC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5F16EC"/>
    <w:multiLevelType w:val="hybridMultilevel"/>
    <w:tmpl w:val="BDD2CE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4C162545"/>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21">
    <w:nsid w:val="50006362"/>
    <w:multiLevelType w:val="hybridMultilevel"/>
    <w:tmpl w:val="E90C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4640B1"/>
    <w:multiLevelType w:val="hybridMultilevel"/>
    <w:tmpl w:val="E5A0C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F6C0709"/>
    <w:multiLevelType w:val="hybridMultilevel"/>
    <w:tmpl w:val="13A2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08178BB"/>
    <w:multiLevelType w:val="hybridMultilevel"/>
    <w:tmpl w:val="5706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9424AC"/>
    <w:multiLevelType w:val="hybridMultilevel"/>
    <w:tmpl w:val="429271B0"/>
    <w:lvl w:ilvl="0" w:tplc="F06E3A08">
      <w:start w:val="10"/>
      <w:numFmt w:val="decimal"/>
      <w:lvlText w:val="%1."/>
      <w:lvlJc w:val="left"/>
      <w:pPr>
        <w:tabs>
          <w:tab w:val="num" w:pos="2880"/>
        </w:tabs>
        <w:ind w:left="2880" w:hanging="360"/>
      </w:pPr>
      <w:rPr>
        <w:rFonts w:hint="default"/>
        <w:b/>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6">
    <w:nsid w:val="61FC563C"/>
    <w:multiLevelType w:val="hybridMultilevel"/>
    <w:tmpl w:val="228E0098"/>
    <w:lvl w:ilvl="0" w:tplc="04090001">
      <w:start w:val="1"/>
      <w:numFmt w:val="bullet"/>
      <w:lvlText w:val=""/>
      <w:lvlJc w:val="left"/>
      <w:pPr>
        <w:ind w:left="1855" w:hanging="360"/>
      </w:pPr>
      <w:rPr>
        <w:rFonts w:ascii="Symbol" w:hAnsi="Symbol"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7">
    <w:nsid w:val="621B6154"/>
    <w:multiLevelType w:val="hybridMultilevel"/>
    <w:tmpl w:val="CD0E2270"/>
    <w:lvl w:ilvl="0" w:tplc="21B6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0D2089"/>
    <w:multiLevelType w:val="hybridMultilevel"/>
    <w:tmpl w:val="24CACCC6"/>
    <w:lvl w:ilvl="0" w:tplc="36E8C466">
      <w:start w:val="1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4765F05"/>
    <w:multiLevelType w:val="singleLevel"/>
    <w:tmpl w:val="A8429CB6"/>
    <w:lvl w:ilvl="0">
      <w:start w:val="1"/>
      <w:numFmt w:val="upperLetter"/>
      <w:pStyle w:val="Heading1"/>
      <w:lvlText w:val="%1."/>
      <w:lvlJc w:val="left"/>
      <w:pPr>
        <w:tabs>
          <w:tab w:val="num" w:pos="360"/>
        </w:tabs>
        <w:ind w:left="360" w:hanging="360"/>
      </w:pPr>
      <w:rPr>
        <w:rFonts w:hint="default"/>
      </w:rPr>
    </w:lvl>
  </w:abstractNum>
  <w:abstractNum w:abstractNumId="30">
    <w:nsid w:val="66DA0CAD"/>
    <w:multiLevelType w:val="hybridMultilevel"/>
    <w:tmpl w:val="C21C2B7E"/>
    <w:lvl w:ilvl="0" w:tplc="F508C50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91278A"/>
    <w:multiLevelType w:val="hybridMultilevel"/>
    <w:tmpl w:val="D4D0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FC40033"/>
    <w:multiLevelType w:val="hybridMultilevel"/>
    <w:tmpl w:val="30602CEC"/>
    <w:lvl w:ilvl="0" w:tplc="53B6CDB4">
      <w:start w:val="8"/>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F43F56"/>
    <w:multiLevelType w:val="hybridMultilevel"/>
    <w:tmpl w:val="F21A9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DC4D4D"/>
    <w:multiLevelType w:val="hybridMultilevel"/>
    <w:tmpl w:val="72BAD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E060787"/>
    <w:multiLevelType w:val="hybridMultilevel"/>
    <w:tmpl w:val="B0CACA1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9"/>
  </w:num>
  <w:num w:numId="2">
    <w:abstractNumId w:val="11"/>
  </w:num>
  <w:num w:numId="3">
    <w:abstractNumId w:val="20"/>
  </w:num>
  <w:num w:numId="4">
    <w:abstractNumId w:val="12"/>
  </w:num>
  <w:num w:numId="5">
    <w:abstractNumId w:val="25"/>
  </w:num>
  <w:num w:numId="6">
    <w:abstractNumId w:val="28"/>
  </w:num>
  <w:num w:numId="7">
    <w:abstractNumId w:val="27"/>
  </w:num>
  <w:num w:numId="8">
    <w:abstractNumId w:val="21"/>
  </w:num>
  <w:num w:numId="9">
    <w:abstractNumId w:val="4"/>
  </w:num>
  <w:num w:numId="10">
    <w:abstractNumId w:val="34"/>
  </w:num>
  <w:num w:numId="11">
    <w:abstractNumId w:val="7"/>
  </w:num>
  <w:num w:numId="12">
    <w:abstractNumId w:val="1"/>
  </w:num>
  <w:num w:numId="13">
    <w:abstractNumId w:val="30"/>
  </w:num>
  <w:num w:numId="14">
    <w:abstractNumId w:val="32"/>
  </w:num>
  <w:num w:numId="15">
    <w:abstractNumId w:val="24"/>
  </w:num>
  <w:num w:numId="16">
    <w:abstractNumId w:val="16"/>
  </w:num>
  <w:num w:numId="17">
    <w:abstractNumId w:val="5"/>
  </w:num>
  <w:num w:numId="18">
    <w:abstractNumId w:val="9"/>
  </w:num>
  <w:num w:numId="19">
    <w:abstractNumId w:val="15"/>
  </w:num>
  <w:num w:numId="20">
    <w:abstractNumId w:val="8"/>
  </w:num>
  <w:num w:numId="21">
    <w:abstractNumId w:val="31"/>
  </w:num>
  <w:num w:numId="22">
    <w:abstractNumId w:val="17"/>
  </w:num>
  <w:num w:numId="23">
    <w:abstractNumId w:val="22"/>
  </w:num>
  <w:num w:numId="24">
    <w:abstractNumId w:val="13"/>
  </w:num>
  <w:num w:numId="25">
    <w:abstractNumId w:val="19"/>
  </w:num>
  <w:num w:numId="26">
    <w:abstractNumId w:val="2"/>
  </w:num>
  <w:num w:numId="27">
    <w:abstractNumId w:val="6"/>
  </w:num>
  <w:num w:numId="28">
    <w:abstractNumId w:val="0"/>
  </w:num>
  <w:num w:numId="29">
    <w:abstractNumId w:val="26"/>
  </w:num>
  <w:num w:numId="30">
    <w:abstractNumId w:val="23"/>
  </w:num>
  <w:num w:numId="31">
    <w:abstractNumId w:val="14"/>
  </w:num>
  <w:num w:numId="32">
    <w:abstractNumId w:val="3"/>
  </w:num>
  <w:num w:numId="33">
    <w:abstractNumId w:val="35"/>
  </w:num>
  <w:num w:numId="34">
    <w:abstractNumId w:val="10"/>
  </w:num>
  <w:num w:numId="35">
    <w:abstractNumId w:val="33"/>
  </w:num>
  <w:num w:numId="3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rZ2dvZ/XRnsr0zye9t708OZtvZwd797Qeze+f3dqaze9ks/2j00eu8aYpqiVd2f8n/EwAA///T7URtQwAAAA=="/>
  </w:docVars>
  <w:rsids>
    <w:rsidRoot w:val="00A25FC3"/>
    <w:rsid w:val="00001C86"/>
    <w:rsid w:val="00007762"/>
    <w:rsid w:val="000119AD"/>
    <w:rsid w:val="00013DAA"/>
    <w:rsid w:val="00015DF6"/>
    <w:rsid w:val="000224A3"/>
    <w:rsid w:val="00023D7B"/>
    <w:rsid w:val="0002509B"/>
    <w:rsid w:val="00027C9D"/>
    <w:rsid w:val="000319DC"/>
    <w:rsid w:val="00033AC5"/>
    <w:rsid w:val="00034608"/>
    <w:rsid w:val="000424A2"/>
    <w:rsid w:val="00046FFC"/>
    <w:rsid w:val="0005538D"/>
    <w:rsid w:val="00056C10"/>
    <w:rsid w:val="000674D8"/>
    <w:rsid w:val="00072B90"/>
    <w:rsid w:val="00077A68"/>
    <w:rsid w:val="00082F48"/>
    <w:rsid w:val="00084CFC"/>
    <w:rsid w:val="00087664"/>
    <w:rsid w:val="000910BD"/>
    <w:rsid w:val="000916CB"/>
    <w:rsid w:val="00097B85"/>
    <w:rsid w:val="000A0007"/>
    <w:rsid w:val="000A4846"/>
    <w:rsid w:val="000A7786"/>
    <w:rsid w:val="000B01BD"/>
    <w:rsid w:val="000B1C91"/>
    <w:rsid w:val="000B2FCA"/>
    <w:rsid w:val="000B63CD"/>
    <w:rsid w:val="000B64B8"/>
    <w:rsid w:val="000B6CE8"/>
    <w:rsid w:val="000C09FF"/>
    <w:rsid w:val="000C168C"/>
    <w:rsid w:val="000C33F8"/>
    <w:rsid w:val="000C6DF4"/>
    <w:rsid w:val="000C70DA"/>
    <w:rsid w:val="000D0A11"/>
    <w:rsid w:val="000D0E74"/>
    <w:rsid w:val="000D46CD"/>
    <w:rsid w:val="000E1456"/>
    <w:rsid w:val="000E167B"/>
    <w:rsid w:val="000E2FB3"/>
    <w:rsid w:val="000E35DC"/>
    <w:rsid w:val="000E5EE9"/>
    <w:rsid w:val="000E5F05"/>
    <w:rsid w:val="000E6C28"/>
    <w:rsid w:val="000E6CAB"/>
    <w:rsid w:val="000E7022"/>
    <w:rsid w:val="000F00FC"/>
    <w:rsid w:val="000F67AC"/>
    <w:rsid w:val="000F7373"/>
    <w:rsid w:val="00107F4E"/>
    <w:rsid w:val="00113736"/>
    <w:rsid w:val="001217C0"/>
    <w:rsid w:val="00127CDE"/>
    <w:rsid w:val="0013252D"/>
    <w:rsid w:val="00133F7F"/>
    <w:rsid w:val="00134604"/>
    <w:rsid w:val="00134CD0"/>
    <w:rsid w:val="00140007"/>
    <w:rsid w:val="00140A03"/>
    <w:rsid w:val="0014269D"/>
    <w:rsid w:val="001430EC"/>
    <w:rsid w:val="001450E9"/>
    <w:rsid w:val="00150A2D"/>
    <w:rsid w:val="00156515"/>
    <w:rsid w:val="001600A1"/>
    <w:rsid w:val="00160F50"/>
    <w:rsid w:val="00162F98"/>
    <w:rsid w:val="0016416F"/>
    <w:rsid w:val="001656ED"/>
    <w:rsid w:val="00166735"/>
    <w:rsid w:val="00166BEF"/>
    <w:rsid w:val="00167669"/>
    <w:rsid w:val="001732CC"/>
    <w:rsid w:val="00177D19"/>
    <w:rsid w:val="00180E1C"/>
    <w:rsid w:val="001821FE"/>
    <w:rsid w:val="00184E00"/>
    <w:rsid w:val="00185961"/>
    <w:rsid w:val="00194812"/>
    <w:rsid w:val="0019589B"/>
    <w:rsid w:val="001A2507"/>
    <w:rsid w:val="001A26CC"/>
    <w:rsid w:val="001A2BA9"/>
    <w:rsid w:val="001A3979"/>
    <w:rsid w:val="001A6B92"/>
    <w:rsid w:val="001A6BE8"/>
    <w:rsid w:val="001A71F4"/>
    <w:rsid w:val="001A72AD"/>
    <w:rsid w:val="001B1D96"/>
    <w:rsid w:val="001B550B"/>
    <w:rsid w:val="001B6705"/>
    <w:rsid w:val="001C0CBE"/>
    <w:rsid w:val="001C2223"/>
    <w:rsid w:val="001C4728"/>
    <w:rsid w:val="001D09DC"/>
    <w:rsid w:val="001D17E2"/>
    <w:rsid w:val="001D1E2E"/>
    <w:rsid w:val="001D28F0"/>
    <w:rsid w:val="001D6447"/>
    <w:rsid w:val="001D6781"/>
    <w:rsid w:val="001D6B5E"/>
    <w:rsid w:val="001D7B55"/>
    <w:rsid w:val="001E4D4B"/>
    <w:rsid w:val="001F4AE4"/>
    <w:rsid w:val="001F607A"/>
    <w:rsid w:val="001F71AA"/>
    <w:rsid w:val="00211C82"/>
    <w:rsid w:val="00221F17"/>
    <w:rsid w:val="002236EB"/>
    <w:rsid w:val="00223F30"/>
    <w:rsid w:val="0023074C"/>
    <w:rsid w:val="00234757"/>
    <w:rsid w:val="00235498"/>
    <w:rsid w:val="002363E3"/>
    <w:rsid w:val="00247FA0"/>
    <w:rsid w:val="002511DE"/>
    <w:rsid w:val="00251B57"/>
    <w:rsid w:val="002520F5"/>
    <w:rsid w:val="0025283B"/>
    <w:rsid w:val="002545E4"/>
    <w:rsid w:val="00261E1C"/>
    <w:rsid w:val="00263B40"/>
    <w:rsid w:val="0027250F"/>
    <w:rsid w:val="002737A9"/>
    <w:rsid w:val="002749D7"/>
    <w:rsid w:val="00275B8F"/>
    <w:rsid w:val="00287E47"/>
    <w:rsid w:val="00295C1C"/>
    <w:rsid w:val="00295D75"/>
    <w:rsid w:val="002A6933"/>
    <w:rsid w:val="002A6BF9"/>
    <w:rsid w:val="002A6F01"/>
    <w:rsid w:val="002B10FF"/>
    <w:rsid w:val="002B18ED"/>
    <w:rsid w:val="002B64B4"/>
    <w:rsid w:val="002C3547"/>
    <w:rsid w:val="002C37D9"/>
    <w:rsid w:val="002C789C"/>
    <w:rsid w:val="002D15AB"/>
    <w:rsid w:val="002D23F7"/>
    <w:rsid w:val="002D275E"/>
    <w:rsid w:val="002D28B0"/>
    <w:rsid w:val="002D3981"/>
    <w:rsid w:val="002E0E71"/>
    <w:rsid w:val="002E1D80"/>
    <w:rsid w:val="002E59A2"/>
    <w:rsid w:val="002F59F7"/>
    <w:rsid w:val="00307E46"/>
    <w:rsid w:val="00311618"/>
    <w:rsid w:val="0032072A"/>
    <w:rsid w:val="00322F01"/>
    <w:rsid w:val="00323163"/>
    <w:rsid w:val="003329AB"/>
    <w:rsid w:val="003333A8"/>
    <w:rsid w:val="00335B1E"/>
    <w:rsid w:val="00341860"/>
    <w:rsid w:val="00343891"/>
    <w:rsid w:val="00344704"/>
    <w:rsid w:val="0035484E"/>
    <w:rsid w:val="00364948"/>
    <w:rsid w:val="00374D98"/>
    <w:rsid w:val="00375A52"/>
    <w:rsid w:val="00375DEE"/>
    <w:rsid w:val="00376379"/>
    <w:rsid w:val="00376980"/>
    <w:rsid w:val="00383359"/>
    <w:rsid w:val="00387893"/>
    <w:rsid w:val="003908D7"/>
    <w:rsid w:val="003911FE"/>
    <w:rsid w:val="00394A3E"/>
    <w:rsid w:val="003972AF"/>
    <w:rsid w:val="003A08CB"/>
    <w:rsid w:val="003B2097"/>
    <w:rsid w:val="003B2A16"/>
    <w:rsid w:val="003B31C6"/>
    <w:rsid w:val="003B757D"/>
    <w:rsid w:val="003C0344"/>
    <w:rsid w:val="003C10A0"/>
    <w:rsid w:val="003C2A3E"/>
    <w:rsid w:val="003C3873"/>
    <w:rsid w:val="003C4ED0"/>
    <w:rsid w:val="003C5066"/>
    <w:rsid w:val="003C632F"/>
    <w:rsid w:val="003D276E"/>
    <w:rsid w:val="003D396A"/>
    <w:rsid w:val="003D4C0D"/>
    <w:rsid w:val="003D7645"/>
    <w:rsid w:val="003F0CD2"/>
    <w:rsid w:val="003F0D36"/>
    <w:rsid w:val="003F1071"/>
    <w:rsid w:val="003F205D"/>
    <w:rsid w:val="003F26F4"/>
    <w:rsid w:val="003F3653"/>
    <w:rsid w:val="003F660F"/>
    <w:rsid w:val="00402D56"/>
    <w:rsid w:val="00402E64"/>
    <w:rsid w:val="00407F32"/>
    <w:rsid w:val="00410CC1"/>
    <w:rsid w:val="004112DF"/>
    <w:rsid w:val="00417B79"/>
    <w:rsid w:val="00420B72"/>
    <w:rsid w:val="00420F78"/>
    <w:rsid w:val="0042607C"/>
    <w:rsid w:val="004310C0"/>
    <w:rsid w:val="004315A8"/>
    <w:rsid w:val="0043417B"/>
    <w:rsid w:val="0043472B"/>
    <w:rsid w:val="004371CA"/>
    <w:rsid w:val="00440603"/>
    <w:rsid w:val="00441FF6"/>
    <w:rsid w:val="00444935"/>
    <w:rsid w:val="00444A59"/>
    <w:rsid w:val="00447029"/>
    <w:rsid w:val="0045206A"/>
    <w:rsid w:val="004602F4"/>
    <w:rsid w:val="00461E29"/>
    <w:rsid w:val="00471391"/>
    <w:rsid w:val="00473921"/>
    <w:rsid w:val="00474981"/>
    <w:rsid w:val="00476520"/>
    <w:rsid w:val="00476C04"/>
    <w:rsid w:val="00484861"/>
    <w:rsid w:val="00486A61"/>
    <w:rsid w:val="004922E1"/>
    <w:rsid w:val="0049415F"/>
    <w:rsid w:val="0049504A"/>
    <w:rsid w:val="004A3079"/>
    <w:rsid w:val="004A77FA"/>
    <w:rsid w:val="004B013F"/>
    <w:rsid w:val="004B1462"/>
    <w:rsid w:val="004B6012"/>
    <w:rsid w:val="004B740C"/>
    <w:rsid w:val="004C2E6F"/>
    <w:rsid w:val="004C3172"/>
    <w:rsid w:val="004C5871"/>
    <w:rsid w:val="004C58D6"/>
    <w:rsid w:val="004D3270"/>
    <w:rsid w:val="004D3776"/>
    <w:rsid w:val="004D67F5"/>
    <w:rsid w:val="004D7F6A"/>
    <w:rsid w:val="004E0A43"/>
    <w:rsid w:val="004E0A9E"/>
    <w:rsid w:val="004E0EBF"/>
    <w:rsid w:val="004E16BE"/>
    <w:rsid w:val="004E303A"/>
    <w:rsid w:val="004E57A1"/>
    <w:rsid w:val="004E77A7"/>
    <w:rsid w:val="004F0544"/>
    <w:rsid w:val="004F0FE4"/>
    <w:rsid w:val="004F30D9"/>
    <w:rsid w:val="004F4E19"/>
    <w:rsid w:val="004F4EE5"/>
    <w:rsid w:val="004F64BA"/>
    <w:rsid w:val="004F6F7E"/>
    <w:rsid w:val="00500502"/>
    <w:rsid w:val="00503F7F"/>
    <w:rsid w:val="005040F5"/>
    <w:rsid w:val="005049EB"/>
    <w:rsid w:val="00505331"/>
    <w:rsid w:val="005109F9"/>
    <w:rsid w:val="005114A7"/>
    <w:rsid w:val="0052305B"/>
    <w:rsid w:val="00523928"/>
    <w:rsid w:val="00524034"/>
    <w:rsid w:val="00525576"/>
    <w:rsid w:val="005256FD"/>
    <w:rsid w:val="00534C7C"/>
    <w:rsid w:val="005352BA"/>
    <w:rsid w:val="005356AA"/>
    <w:rsid w:val="005371FF"/>
    <w:rsid w:val="00537B53"/>
    <w:rsid w:val="0054134B"/>
    <w:rsid w:val="00541CCE"/>
    <w:rsid w:val="005470C9"/>
    <w:rsid w:val="00550F4F"/>
    <w:rsid w:val="005517C7"/>
    <w:rsid w:val="005533D5"/>
    <w:rsid w:val="0055402F"/>
    <w:rsid w:val="00554930"/>
    <w:rsid w:val="00556B7A"/>
    <w:rsid w:val="00563A42"/>
    <w:rsid w:val="00564CDC"/>
    <w:rsid w:val="00565D25"/>
    <w:rsid w:val="005665A3"/>
    <w:rsid w:val="00566C00"/>
    <w:rsid w:val="005703AC"/>
    <w:rsid w:val="00574142"/>
    <w:rsid w:val="0057691F"/>
    <w:rsid w:val="00577067"/>
    <w:rsid w:val="005771A8"/>
    <w:rsid w:val="00577979"/>
    <w:rsid w:val="00580276"/>
    <w:rsid w:val="00586FE2"/>
    <w:rsid w:val="00590153"/>
    <w:rsid w:val="00591D78"/>
    <w:rsid w:val="00592E66"/>
    <w:rsid w:val="005A0692"/>
    <w:rsid w:val="005A3300"/>
    <w:rsid w:val="005B16FE"/>
    <w:rsid w:val="005B6AC8"/>
    <w:rsid w:val="005B740F"/>
    <w:rsid w:val="005C236F"/>
    <w:rsid w:val="005C4C05"/>
    <w:rsid w:val="005C7CD3"/>
    <w:rsid w:val="005D5D92"/>
    <w:rsid w:val="005E3002"/>
    <w:rsid w:val="005F04CE"/>
    <w:rsid w:val="005F3386"/>
    <w:rsid w:val="005F345B"/>
    <w:rsid w:val="005F4410"/>
    <w:rsid w:val="00600269"/>
    <w:rsid w:val="00602758"/>
    <w:rsid w:val="00603D6B"/>
    <w:rsid w:val="006060BB"/>
    <w:rsid w:val="00606A30"/>
    <w:rsid w:val="00611495"/>
    <w:rsid w:val="0061338A"/>
    <w:rsid w:val="00614DD6"/>
    <w:rsid w:val="00616B1A"/>
    <w:rsid w:val="0062052C"/>
    <w:rsid w:val="00622A73"/>
    <w:rsid w:val="00630C6B"/>
    <w:rsid w:val="006326E7"/>
    <w:rsid w:val="00632E76"/>
    <w:rsid w:val="006346A1"/>
    <w:rsid w:val="00634A46"/>
    <w:rsid w:val="00634B2A"/>
    <w:rsid w:val="00654F66"/>
    <w:rsid w:val="0065694D"/>
    <w:rsid w:val="00660160"/>
    <w:rsid w:val="006601C7"/>
    <w:rsid w:val="00661A92"/>
    <w:rsid w:val="00661C24"/>
    <w:rsid w:val="0066227F"/>
    <w:rsid w:val="0066468C"/>
    <w:rsid w:val="006653E8"/>
    <w:rsid w:val="0067064F"/>
    <w:rsid w:val="00673392"/>
    <w:rsid w:val="00683FC7"/>
    <w:rsid w:val="00684B03"/>
    <w:rsid w:val="006913FC"/>
    <w:rsid w:val="006957C4"/>
    <w:rsid w:val="0069610B"/>
    <w:rsid w:val="006A2E1D"/>
    <w:rsid w:val="006A4799"/>
    <w:rsid w:val="006A7D5F"/>
    <w:rsid w:val="006B420C"/>
    <w:rsid w:val="006B68EE"/>
    <w:rsid w:val="006C59DA"/>
    <w:rsid w:val="006C6797"/>
    <w:rsid w:val="006C7B25"/>
    <w:rsid w:val="006D1516"/>
    <w:rsid w:val="006D2226"/>
    <w:rsid w:val="006D40A6"/>
    <w:rsid w:val="006D506F"/>
    <w:rsid w:val="006D61B9"/>
    <w:rsid w:val="006D64CA"/>
    <w:rsid w:val="006D6920"/>
    <w:rsid w:val="006D705F"/>
    <w:rsid w:val="006E3AC6"/>
    <w:rsid w:val="006E3D1E"/>
    <w:rsid w:val="006E4106"/>
    <w:rsid w:val="006E49B2"/>
    <w:rsid w:val="006F07AD"/>
    <w:rsid w:val="006F4A21"/>
    <w:rsid w:val="0070192D"/>
    <w:rsid w:val="00701F00"/>
    <w:rsid w:val="00703513"/>
    <w:rsid w:val="00703FF2"/>
    <w:rsid w:val="0070450C"/>
    <w:rsid w:val="007045F7"/>
    <w:rsid w:val="00713D5B"/>
    <w:rsid w:val="00714B3D"/>
    <w:rsid w:val="00716B0B"/>
    <w:rsid w:val="00720D2F"/>
    <w:rsid w:val="0072671F"/>
    <w:rsid w:val="0073432E"/>
    <w:rsid w:val="00736E93"/>
    <w:rsid w:val="00742AC3"/>
    <w:rsid w:val="007456FD"/>
    <w:rsid w:val="00747782"/>
    <w:rsid w:val="00751FD2"/>
    <w:rsid w:val="0075225A"/>
    <w:rsid w:val="007541FE"/>
    <w:rsid w:val="00756F1B"/>
    <w:rsid w:val="00767CCB"/>
    <w:rsid w:val="00773D42"/>
    <w:rsid w:val="0077654C"/>
    <w:rsid w:val="007812D4"/>
    <w:rsid w:val="007832C8"/>
    <w:rsid w:val="00783F2F"/>
    <w:rsid w:val="0078458F"/>
    <w:rsid w:val="0078496C"/>
    <w:rsid w:val="007851AE"/>
    <w:rsid w:val="00786CF1"/>
    <w:rsid w:val="00790AD0"/>
    <w:rsid w:val="007910A6"/>
    <w:rsid w:val="00793A7D"/>
    <w:rsid w:val="00795090"/>
    <w:rsid w:val="007A2154"/>
    <w:rsid w:val="007A346B"/>
    <w:rsid w:val="007A79A1"/>
    <w:rsid w:val="007B05A2"/>
    <w:rsid w:val="007B0F2A"/>
    <w:rsid w:val="007B328C"/>
    <w:rsid w:val="007B36A6"/>
    <w:rsid w:val="007B3706"/>
    <w:rsid w:val="007B44C6"/>
    <w:rsid w:val="007C0B8E"/>
    <w:rsid w:val="007C297D"/>
    <w:rsid w:val="007C66EC"/>
    <w:rsid w:val="007C796B"/>
    <w:rsid w:val="007D0D0B"/>
    <w:rsid w:val="007D195B"/>
    <w:rsid w:val="007D3BA0"/>
    <w:rsid w:val="007D6B0E"/>
    <w:rsid w:val="007E488C"/>
    <w:rsid w:val="007E5CEF"/>
    <w:rsid w:val="007F4163"/>
    <w:rsid w:val="007F57F0"/>
    <w:rsid w:val="007F59A2"/>
    <w:rsid w:val="007F7F2E"/>
    <w:rsid w:val="00803588"/>
    <w:rsid w:val="00806325"/>
    <w:rsid w:val="0081574A"/>
    <w:rsid w:val="00816D17"/>
    <w:rsid w:val="00816E52"/>
    <w:rsid w:val="00820163"/>
    <w:rsid w:val="0082108E"/>
    <w:rsid w:val="00822C74"/>
    <w:rsid w:val="00823962"/>
    <w:rsid w:val="0082613C"/>
    <w:rsid w:val="00830B9F"/>
    <w:rsid w:val="00834FCC"/>
    <w:rsid w:val="00835E14"/>
    <w:rsid w:val="0084121E"/>
    <w:rsid w:val="00844360"/>
    <w:rsid w:val="008455E7"/>
    <w:rsid w:val="00850D6B"/>
    <w:rsid w:val="00852AF6"/>
    <w:rsid w:val="008603D2"/>
    <w:rsid w:val="00865F14"/>
    <w:rsid w:val="00866752"/>
    <w:rsid w:val="008673BA"/>
    <w:rsid w:val="00867D79"/>
    <w:rsid w:val="00870B38"/>
    <w:rsid w:val="00871C9C"/>
    <w:rsid w:val="008748F3"/>
    <w:rsid w:val="00874EBE"/>
    <w:rsid w:val="0087721E"/>
    <w:rsid w:val="00882A06"/>
    <w:rsid w:val="00882FD1"/>
    <w:rsid w:val="008830E6"/>
    <w:rsid w:val="00884197"/>
    <w:rsid w:val="00886970"/>
    <w:rsid w:val="00890F05"/>
    <w:rsid w:val="008914A8"/>
    <w:rsid w:val="00893873"/>
    <w:rsid w:val="00894A52"/>
    <w:rsid w:val="00897A5B"/>
    <w:rsid w:val="008A0C29"/>
    <w:rsid w:val="008A1796"/>
    <w:rsid w:val="008A1FA8"/>
    <w:rsid w:val="008A304A"/>
    <w:rsid w:val="008A36BC"/>
    <w:rsid w:val="008A59F6"/>
    <w:rsid w:val="008B016A"/>
    <w:rsid w:val="008B4023"/>
    <w:rsid w:val="008C58C9"/>
    <w:rsid w:val="008D0DEC"/>
    <w:rsid w:val="008D2F85"/>
    <w:rsid w:val="008D599B"/>
    <w:rsid w:val="008E2F8D"/>
    <w:rsid w:val="008E3B98"/>
    <w:rsid w:val="008E440D"/>
    <w:rsid w:val="008E6961"/>
    <w:rsid w:val="008F414A"/>
    <w:rsid w:val="008F6B73"/>
    <w:rsid w:val="009013DE"/>
    <w:rsid w:val="0090245A"/>
    <w:rsid w:val="00902CD8"/>
    <w:rsid w:val="009042C4"/>
    <w:rsid w:val="009042FA"/>
    <w:rsid w:val="009073C2"/>
    <w:rsid w:val="00910FF1"/>
    <w:rsid w:val="00912679"/>
    <w:rsid w:val="00914CFC"/>
    <w:rsid w:val="00920CB6"/>
    <w:rsid w:val="00925B62"/>
    <w:rsid w:val="00926D1A"/>
    <w:rsid w:val="0092785B"/>
    <w:rsid w:val="00933481"/>
    <w:rsid w:val="00934DA0"/>
    <w:rsid w:val="009364E6"/>
    <w:rsid w:val="0093751B"/>
    <w:rsid w:val="00940633"/>
    <w:rsid w:val="009444F9"/>
    <w:rsid w:val="0094528E"/>
    <w:rsid w:val="0094600D"/>
    <w:rsid w:val="0095043D"/>
    <w:rsid w:val="00951327"/>
    <w:rsid w:val="00951BB9"/>
    <w:rsid w:val="00960861"/>
    <w:rsid w:val="00960B39"/>
    <w:rsid w:val="00962F70"/>
    <w:rsid w:val="00965C42"/>
    <w:rsid w:val="009669A6"/>
    <w:rsid w:val="00967840"/>
    <w:rsid w:val="009766C6"/>
    <w:rsid w:val="00976C4E"/>
    <w:rsid w:val="0098071C"/>
    <w:rsid w:val="009838DC"/>
    <w:rsid w:val="009868F3"/>
    <w:rsid w:val="00990883"/>
    <w:rsid w:val="009916C2"/>
    <w:rsid w:val="00991AED"/>
    <w:rsid w:val="00994B28"/>
    <w:rsid w:val="00996BD5"/>
    <w:rsid w:val="00997462"/>
    <w:rsid w:val="009A6504"/>
    <w:rsid w:val="009B2329"/>
    <w:rsid w:val="009B2FF1"/>
    <w:rsid w:val="009B5DCF"/>
    <w:rsid w:val="009C09F8"/>
    <w:rsid w:val="009C16BF"/>
    <w:rsid w:val="009C1EC6"/>
    <w:rsid w:val="009C2114"/>
    <w:rsid w:val="009C379E"/>
    <w:rsid w:val="009C4736"/>
    <w:rsid w:val="009D2B53"/>
    <w:rsid w:val="009D4823"/>
    <w:rsid w:val="009D7714"/>
    <w:rsid w:val="009E0772"/>
    <w:rsid w:val="009E1F10"/>
    <w:rsid w:val="009E1F12"/>
    <w:rsid w:val="009F11FF"/>
    <w:rsid w:val="009F68B8"/>
    <w:rsid w:val="00A002AE"/>
    <w:rsid w:val="00A11802"/>
    <w:rsid w:val="00A11FA2"/>
    <w:rsid w:val="00A135D8"/>
    <w:rsid w:val="00A1573B"/>
    <w:rsid w:val="00A21DB1"/>
    <w:rsid w:val="00A22DDB"/>
    <w:rsid w:val="00A240C0"/>
    <w:rsid w:val="00A25FC3"/>
    <w:rsid w:val="00A27E5A"/>
    <w:rsid w:val="00A27F22"/>
    <w:rsid w:val="00A30017"/>
    <w:rsid w:val="00A31262"/>
    <w:rsid w:val="00A37F5D"/>
    <w:rsid w:val="00A41FD4"/>
    <w:rsid w:val="00A43225"/>
    <w:rsid w:val="00A53AA1"/>
    <w:rsid w:val="00A54C6F"/>
    <w:rsid w:val="00A55E68"/>
    <w:rsid w:val="00A61111"/>
    <w:rsid w:val="00A62C82"/>
    <w:rsid w:val="00A64F27"/>
    <w:rsid w:val="00A6736E"/>
    <w:rsid w:val="00A72211"/>
    <w:rsid w:val="00A73855"/>
    <w:rsid w:val="00A753DE"/>
    <w:rsid w:val="00A77AB7"/>
    <w:rsid w:val="00A80B42"/>
    <w:rsid w:val="00A812EB"/>
    <w:rsid w:val="00A84F82"/>
    <w:rsid w:val="00A87B17"/>
    <w:rsid w:val="00A902EB"/>
    <w:rsid w:val="00A90DD1"/>
    <w:rsid w:val="00A95C79"/>
    <w:rsid w:val="00A95F05"/>
    <w:rsid w:val="00AA21F8"/>
    <w:rsid w:val="00AA3CB2"/>
    <w:rsid w:val="00AA64FE"/>
    <w:rsid w:val="00AA65B5"/>
    <w:rsid w:val="00AA6D6C"/>
    <w:rsid w:val="00AA7771"/>
    <w:rsid w:val="00AB087B"/>
    <w:rsid w:val="00AB510B"/>
    <w:rsid w:val="00AB5293"/>
    <w:rsid w:val="00AB7936"/>
    <w:rsid w:val="00AC260D"/>
    <w:rsid w:val="00AC2821"/>
    <w:rsid w:val="00AC3A3C"/>
    <w:rsid w:val="00AC5CAC"/>
    <w:rsid w:val="00AC67EB"/>
    <w:rsid w:val="00AD0F5C"/>
    <w:rsid w:val="00AD1741"/>
    <w:rsid w:val="00AD1C01"/>
    <w:rsid w:val="00AD1E65"/>
    <w:rsid w:val="00AD431B"/>
    <w:rsid w:val="00AD49C9"/>
    <w:rsid w:val="00AE2A76"/>
    <w:rsid w:val="00AE412E"/>
    <w:rsid w:val="00AE5429"/>
    <w:rsid w:val="00AE649D"/>
    <w:rsid w:val="00AE7D67"/>
    <w:rsid w:val="00AF29B5"/>
    <w:rsid w:val="00AF2A50"/>
    <w:rsid w:val="00AF4893"/>
    <w:rsid w:val="00B002BE"/>
    <w:rsid w:val="00B02FC4"/>
    <w:rsid w:val="00B07E0A"/>
    <w:rsid w:val="00B11561"/>
    <w:rsid w:val="00B119F1"/>
    <w:rsid w:val="00B13927"/>
    <w:rsid w:val="00B14563"/>
    <w:rsid w:val="00B155E2"/>
    <w:rsid w:val="00B162E3"/>
    <w:rsid w:val="00B16F55"/>
    <w:rsid w:val="00B212CE"/>
    <w:rsid w:val="00B21AB5"/>
    <w:rsid w:val="00B24211"/>
    <w:rsid w:val="00B24B36"/>
    <w:rsid w:val="00B25D2D"/>
    <w:rsid w:val="00B276BE"/>
    <w:rsid w:val="00B308F9"/>
    <w:rsid w:val="00B3329F"/>
    <w:rsid w:val="00B352B3"/>
    <w:rsid w:val="00B37B47"/>
    <w:rsid w:val="00B413E0"/>
    <w:rsid w:val="00B4241F"/>
    <w:rsid w:val="00B43327"/>
    <w:rsid w:val="00B45CA4"/>
    <w:rsid w:val="00B52101"/>
    <w:rsid w:val="00B6267D"/>
    <w:rsid w:val="00B63061"/>
    <w:rsid w:val="00B65A2B"/>
    <w:rsid w:val="00B67188"/>
    <w:rsid w:val="00B67360"/>
    <w:rsid w:val="00B71A6A"/>
    <w:rsid w:val="00B71BE3"/>
    <w:rsid w:val="00B72704"/>
    <w:rsid w:val="00B752F1"/>
    <w:rsid w:val="00B75F21"/>
    <w:rsid w:val="00B80592"/>
    <w:rsid w:val="00B826DA"/>
    <w:rsid w:val="00B834BB"/>
    <w:rsid w:val="00B8375A"/>
    <w:rsid w:val="00B876A2"/>
    <w:rsid w:val="00B90808"/>
    <w:rsid w:val="00B92BD2"/>
    <w:rsid w:val="00B933CA"/>
    <w:rsid w:val="00BA1E93"/>
    <w:rsid w:val="00BA46D1"/>
    <w:rsid w:val="00BA4D15"/>
    <w:rsid w:val="00BA6E3F"/>
    <w:rsid w:val="00BB2094"/>
    <w:rsid w:val="00BB2262"/>
    <w:rsid w:val="00BB5016"/>
    <w:rsid w:val="00BB5EFD"/>
    <w:rsid w:val="00BB6DFC"/>
    <w:rsid w:val="00BB7618"/>
    <w:rsid w:val="00BC0A61"/>
    <w:rsid w:val="00BC72D6"/>
    <w:rsid w:val="00BD07ED"/>
    <w:rsid w:val="00BD12C6"/>
    <w:rsid w:val="00BD3D30"/>
    <w:rsid w:val="00BD482A"/>
    <w:rsid w:val="00BE3B41"/>
    <w:rsid w:val="00BE4FD2"/>
    <w:rsid w:val="00BE53CB"/>
    <w:rsid w:val="00BF343D"/>
    <w:rsid w:val="00BF6E60"/>
    <w:rsid w:val="00C00986"/>
    <w:rsid w:val="00C017C1"/>
    <w:rsid w:val="00C02B78"/>
    <w:rsid w:val="00C06990"/>
    <w:rsid w:val="00C0762F"/>
    <w:rsid w:val="00C11B38"/>
    <w:rsid w:val="00C129F2"/>
    <w:rsid w:val="00C12C28"/>
    <w:rsid w:val="00C138ED"/>
    <w:rsid w:val="00C15EB4"/>
    <w:rsid w:val="00C16466"/>
    <w:rsid w:val="00C267CC"/>
    <w:rsid w:val="00C33017"/>
    <w:rsid w:val="00C335AA"/>
    <w:rsid w:val="00C33C3D"/>
    <w:rsid w:val="00C344F2"/>
    <w:rsid w:val="00C4132C"/>
    <w:rsid w:val="00C53D96"/>
    <w:rsid w:val="00C60066"/>
    <w:rsid w:val="00C62B8D"/>
    <w:rsid w:val="00C64850"/>
    <w:rsid w:val="00C70D44"/>
    <w:rsid w:val="00C7183D"/>
    <w:rsid w:val="00C73E92"/>
    <w:rsid w:val="00C753D9"/>
    <w:rsid w:val="00C77DA8"/>
    <w:rsid w:val="00C812B7"/>
    <w:rsid w:val="00C81414"/>
    <w:rsid w:val="00C82EF7"/>
    <w:rsid w:val="00C8353C"/>
    <w:rsid w:val="00C84605"/>
    <w:rsid w:val="00C84721"/>
    <w:rsid w:val="00C90C64"/>
    <w:rsid w:val="00C919ED"/>
    <w:rsid w:val="00C93E75"/>
    <w:rsid w:val="00C94175"/>
    <w:rsid w:val="00C95C6A"/>
    <w:rsid w:val="00C967F1"/>
    <w:rsid w:val="00C97A70"/>
    <w:rsid w:val="00CA0F4D"/>
    <w:rsid w:val="00CA38CB"/>
    <w:rsid w:val="00CA4223"/>
    <w:rsid w:val="00CA49B8"/>
    <w:rsid w:val="00CA5991"/>
    <w:rsid w:val="00CA7BE4"/>
    <w:rsid w:val="00CA7D34"/>
    <w:rsid w:val="00CB0390"/>
    <w:rsid w:val="00CB39E3"/>
    <w:rsid w:val="00CC39FB"/>
    <w:rsid w:val="00CC3E88"/>
    <w:rsid w:val="00CC6734"/>
    <w:rsid w:val="00CC7983"/>
    <w:rsid w:val="00CD5C80"/>
    <w:rsid w:val="00CE0169"/>
    <w:rsid w:val="00CE30A8"/>
    <w:rsid w:val="00CF1937"/>
    <w:rsid w:val="00CF2CD1"/>
    <w:rsid w:val="00CF531E"/>
    <w:rsid w:val="00CF5A26"/>
    <w:rsid w:val="00CF6BEF"/>
    <w:rsid w:val="00D001BF"/>
    <w:rsid w:val="00D008CD"/>
    <w:rsid w:val="00D00FC9"/>
    <w:rsid w:val="00D048A1"/>
    <w:rsid w:val="00D075BA"/>
    <w:rsid w:val="00D115DE"/>
    <w:rsid w:val="00D11A7F"/>
    <w:rsid w:val="00D122BD"/>
    <w:rsid w:val="00D217A7"/>
    <w:rsid w:val="00D236CC"/>
    <w:rsid w:val="00D25439"/>
    <w:rsid w:val="00D25FC7"/>
    <w:rsid w:val="00D26C8E"/>
    <w:rsid w:val="00D354E9"/>
    <w:rsid w:val="00D355C3"/>
    <w:rsid w:val="00D4033F"/>
    <w:rsid w:val="00D4096D"/>
    <w:rsid w:val="00D40F30"/>
    <w:rsid w:val="00D42915"/>
    <w:rsid w:val="00D42BDA"/>
    <w:rsid w:val="00D44C57"/>
    <w:rsid w:val="00D51602"/>
    <w:rsid w:val="00D52393"/>
    <w:rsid w:val="00D52C85"/>
    <w:rsid w:val="00D52C8F"/>
    <w:rsid w:val="00D53E3E"/>
    <w:rsid w:val="00D545EA"/>
    <w:rsid w:val="00D67411"/>
    <w:rsid w:val="00D74A90"/>
    <w:rsid w:val="00D77B4D"/>
    <w:rsid w:val="00D77CA8"/>
    <w:rsid w:val="00D856E8"/>
    <w:rsid w:val="00D85F90"/>
    <w:rsid w:val="00D86FC9"/>
    <w:rsid w:val="00D97C4C"/>
    <w:rsid w:val="00DA0C17"/>
    <w:rsid w:val="00DA0DF6"/>
    <w:rsid w:val="00DA3562"/>
    <w:rsid w:val="00DA4174"/>
    <w:rsid w:val="00DB1A94"/>
    <w:rsid w:val="00DC2C0D"/>
    <w:rsid w:val="00DC4BA2"/>
    <w:rsid w:val="00DC51E7"/>
    <w:rsid w:val="00DC69FF"/>
    <w:rsid w:val="00DC771A"/>
    <w:rsid w:val="00DD12B1"/>
    <w:rsid w:val="00DD620A"/>
    <w:rsid w:val="00DD6F1C"/>
    <w:rsid w:val="00DE13A4"/>
    <w:rsid w:val="00DE2272"/>
    <w:rsid w:val="00DE3456"/>
    <w:rsid w:val="00DE692C"/>
    <w:rsid w:val="00DF1352"/>
    <w:rsid w:val="00DF242B"/>
    <w:rsid w:val="00DF5C6F"/>
    <w:rsid w:val="00E02224"/>
    <w:rsid w:val="00E02968"/>
    <w:rsid w:val="00E02979"/>
    <w:rsid w:val="00E149FE"/>
    <w:rsid w:val="00E17C2D"/>
    <w:rsid w:val="00E211CB"/>
    <w:rsid w:val="00E256E5"/>
    <w:rsid w:val="00E27925"/>
    <w:rsid w:val="00E27CD5"/>
    <w:rsid w:val="00E31872"/>
    <w:rsid w:val="00E31B56"/>
    <w:rsid w:val="00E37AAC"/>
    <w:rsid w:val="00E410A6"/>
    <w:rsid w:val="00E41D9D"/>
    <w:rsid w:val="00E42443"/>
    <w:rsid w:val="00E465B3"/>
    <w:rsid w:val="00E50218"/>
    <w:rsid w:val="00E52F6F"/>
    <w:rsid w:val="00E6198B"/>
    <w:rsid w:val="00E707B2"/>
    <w:rsid w:val="00E75601"/>
    <w:rsid w:val="00E81346"/>
    <w:rsid w:val="00E83E8E"/>
    <w:rsid w:val="00E84A26"/>
    <w:rsid w:val="00E853EC"/>
    <w:rsid w:val="00E8577C"/>
    <w:rsid w:val="00E94A5A"/>
    <w:rsid w:val="00EA3FE2"/>
    <w:rsid w:val="00EA419C"/>
    <w:rsid w:val="00EA70EC"/>
    <w:rsid w:val="00EB5E8D"/>
    <w:rsid w:val="00EB61BB"/>
    <w:rsid w:val="00EC1327"/>
    <w:rsid w:val="00EC13E3"/>
    <w:rsid w:val="00EC7C46"/>
    <w:rsid w:val="00EC7F9A"/>
    <w:rsid w:val="00ED177F"/>
    <w:rsid w:val="00EE2ADD"/>
    <w:rsid w:val="00EE3090"/>
    <w:rsid w:val="00EF1A48"/>
    <w:rsid w:val="00EF4A56"/>
    <w:rsid w:val="00EF582A"/>
    <w:rsid w:val="00EF68AA"/>
    <w:rsid w:val="00F0074E"/>
    <w:rsid w:val="00F00BFE"/>
    <w:rsid w:val="00F029FE"/>
    <w:rsid w:val="00F03058"/>
    <w:rsid w:val="00F030D1"/>
    <w:rsid w:val="00F05FAD"/>
    <w:rsid w:val="00F1288F"/>
    <w:rsid w:val="00F14747"/>
    <w:rsid w:val="00F16194"/>
    <w:rsid w:val="00F179DF"/>
    <w:rsid w:val="00F17A49"/>
    <w:rsid w:val="00F200A4"/>
    <w:rsid w:val="00F226DF"/>
    <w:rsid w:val="00F259EC"/>
    <w:rsid w:val="00F25BE2"/>
    <w:rsid w:val="00F27E43"/>
    <w:rsid w:val="00F3029E"/>
    <w:rsid w:val="00F3293C"/>
    <w:rsid w:val="00F401BF"/>
    <w:rsid w:val="00F432E3"/>
    <w:rsid w:val="00F45D39"/>
    <w:rsid w:val="00F469DF"/>
    <w:rsid w:val="00F46E73"/>
    <w:rsid w:val="00F504D2"/>
    <w:rsid w:val="00F50E5A"/>
    <w:rsid w:val="00F51139"/>
    <w:rsid w:val="00F568DC"/>
    <w:rsid w:val="00F574CF"/>
    <w:rsid w:val="00F60072"/>
    <w:rsid w:val="00F620BF"/>
    <w:rsid w:val="00F631A3"/>
    <w:rsid w:val="00F63B88"/>
    <w:rsid w:val="00F653CD"/>
    <w:rsid w:val="00F73FF1"/>
    <w:rsid w:val="00F770EA"/>
    <w:rsid w:val="00F81B29"/>
    <w:rsid w:val="00F82956"/>
    <w:rsid w:val="00F83102"/>
    <w:rsid w:val="00F90B4B"/>
    <w:rsid w:val="00F92B8A"/>
    <w:rsid w:val="00F94845"/>
    <w:rsid w:val="00F953D9"/>
    <w:rsid w:val="00FA2978"/>
    <w:rsid w:val="00FA4745"/>
    <w:rsid w:val="00FB46B0"/>
    <w:rsid w:val="00FB5746"/>
    <w:rsid w:val="00FB6A30"/>
    <w:rsid w:val="00FB6BAF"/>
    <w:rsid w:val="00FC061F"/>
    <w:rsid w:val="00FC2675"/>
    <w:rsid w:val="00FC2BDB"/>
    <w:rsid w:val="00FC2F48"/>
    <w:rsid w:val="00FC4719"/>
    <w:rsid w:val="00FC5348"/>
    <w:rsid w:val="00FC7674"/>
    <w:rsid w:val="00FC7E53"/>
    <w:rsid w:val="00FD1330"/>
    <w:rsid w:val="00FD47BE"/>
    <w:rsid w:val="00FE4FF9"/>
    <w:rsid w:val="00FE515A"/>
    <w:rsid w:val="00FF14B6"/>
    <w:rsid w:val="00FF2C5B"/>
    <w:rsid w:val="00FF4F41"/>
    <w:rsid w:val="00FF4F4C"/>
    <w:rsid w:val="00FF6339"/>
    <w:rsid w:val="00FF6B61"/>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0E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1"/>
      </w:numPr>
      <w:outlineLvl w:val="0"/>
    </w:pPr>
    <w:rPr>
      <w:b/>
    </w:rPr>
  </w:style>
  <w:style w:type="paragraph" w:styleId="Heading2">
    <w:name w:val="heading 2"/>
    <w:basedOn w:val="Normal"/>
    <w:next w:val="Normal"/>
    <w:link w:val="Heading2Char"/>
    <w:uiPriority w:val="9"/>
    <w:unhideWhenUsed/>
    <w:qFormat/>
    <w:rsid w:val="00BF6E6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link w:val="BodyTextChar"/>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 w:type="character" w:customStyle="1" w:styleId="tgc">
    <w:name w:val="_tgc"/>
    <w:basedOn w:val="DefaultParagraphFont"/>
    <w:rsid w:val="00FD1330"/>
  </w:style>
  <w:style w:type="character" w:customStyle="1" w:styleId="d8e">
    <w:name w:val="_d8e"/>
    <w:basedOn w:val="DefaultParagraphFont"/>
    <w:rsid w:val="00FD1330"/>
  </w:style>
  <w:style w:type="paragraph" w:styleId="FootnoteText">
    <w:name w:val="footnote text"/>
    <w:aliases w:val="F1"/>
    <w:basedOn w:val="Normal"/>
    <w:link w:val="FootnoteTextChar"/>
    <w:uiPriority w:val="99"/>
    <w:unhideWhenUsed/>
    <w:rsid w:val="00590153"/>
    <w:rPr>
      <w:sz w:val="20"/>
    </w:rPr>
  </w:style>
  <w:style w:type="character" w:customStyle="1" w:styleId="FootnoteTextChar">
    <w:name w:val="Footnote Text Char"/>
    <w:aliases w:val="F1 Char"/>
    <w:basedOn w:val="DefaultParagraphFont"/>
    <w:link w:val="FootnoteText"/>
    <w:uiPriority w:val="99"/>
    <w:rsid w:val="00590153"/>
  </w:style>
  <w:style w:type="character" w:styleId="FootnoteReference">
    <w:name w:val="footnote reference"/>
    <w:basedOn w:val="DefaultParagraphFont"/>
    <w:uiPriority w:val="99"/>
    <w:semiHidden/>
    <w:unhideWhenUsed/>
    <w:rsid w:val="00590153"/>
    <w:rPr>
      <w:vertAlign w:val="superscript"/>
    </w:rPr>
  </w:style>
  <w:style w:type="paragraph" w:customStyle="1" w:styleId="SL-FlLftSgl">
    <w:name w:val="SL-Fl Lft Sgl"/>
    <w:basedOn w:val="Normal"/>
    <w:rsid w:val="007F4163"/>
    <w:pPr>
      <w:spacing w:line="240" w:lineRule="atLeast"/>
      <w:jc w:val="both"/>
    </w:pPr>
    <w:rPr>
      <w:rFonts w:eastAsiaTheme="minorHAnsi"/>
      <w:sz w:val="22"/>
      <w:szCs w:val="22"/>
    </w:rPr>
  </w:style>
  <w:style w:type="character" w:styleId="CommentReference">
    <w:name w:val="annotation reference"/>
    <w:basedOn w:val="DefaultParagraphFont"/>
    <w:uiPriority w:val="99"/>
    <w:semiHidden/>
    <w:unhideWhenUsed/>
    <w:rsid w:val="00BB5016"/>
    <w:rPr>
      <w:sz w:val="16"/>
      <w:szCs w:val="16"/>
    </w:rPr>
  </w:style>
  <w:style w:type="paragraph" w:styleId="CommentText">
    <w:name w:val="annotation text"/>
    <w:basedOn w:val="Normal"/>
    <w:link w:val="CommentTextChar"/>
    <w:uiPriority w:val="99"/>
    <w:semiHidden/>
    <w:unhideWhenUsed/>
    <w:rsid w:val="00BB5016"/>
    <w:rPr>
      <w:sz w:val="20"/>
    </w:rPr>
  </w:style>
  <w:style w:type="character" w:customStyle="1" w:styleId="CommentTextChar">
    <w:name w:val="Comment Text Char"/>
    <w:basedOn w:val="DefaultParagraphFont"/>
    <w:link w:val="CommentText"/>
    <w:uiPriority w:val="99"/>
    <w:semiHidden/>
    <w:rsid w:val="00BB5016"/>
  </w:style>
  <w:style w:type="paragraph" w:styleId="CommentSubject">
    <w:name w:val="annotation subject"/>
    <w:basedOn w:val="CommentText"/>
    <w:next w:val="CommentText"/>
    <w:link w:val="CommentSubjectChar"/>
    <w:semiHidden/>
    <w:unhideWhenUsed/>
    <w:rsid w:val="00BB5016"/>
    <w:rPr>
      <w:b/>
      <w:bCs/>
    </w:rPr>
  </w:style>
  <w:style w:type="character" w:customStyle="1" w:styleId="CommentSubjectChar">
    <w:name w:val="Comment Subject Char"/>
    <w:basedOn w:val="CommentTextChar"/>
    <w:link w:val="CommentSubject"/>
    <w:semiHidden/>
    <w:rsid w:val="00BB5016"/>
    <w:rPr>
      <w:b/>
      <w:bCs/>
    </w:rPr>
  </w:style>
  <w:style w:type="table" w:styleId="LightGrid">
    <w:name w:val="Light Grid"/>
    <w:basedOn w:val="TableNormal"/>
    <w:uiPriority w:val="62"/>
    <w:rsid w:val="001D1E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semiHidden/>
    <w:unhideWhenUsed/>
    <w:rsid w:val="005040F5"/>
    <w:rPr>
      <w:sz w:val="20"/>
    </w:rPr>
  </w:style>
  <w:style w:type="character" w:customStyle="1" w:styleId="EndnoteTextChar">
    <w:name w:val="Endnote Text Char"/>
    <w:basedOn w:val="DefaultParagraphFont"/>
    <w:link w:val="EndnoteText"/>
    <w:semiHidden/>
    <w:rsid w:val="005040F5"/>
  </w:style>
  <w:style w:type="character" w:styleId="EndnoteReference">
    <w:name w:val="endnote reference"/>
    <w:basedOn w:val="DefaultParagraphFont"/>
    <w:semiHidden/>
    <w:unhideWhenUsed/>
    <w:rsid w:val="005040F5"/>
    <w:rPr>
      <w:vertAlign w:val="superscript"/>
    </w:rPr>
  </w:style>
  <w:style w:type="character" w:customStyle="1" w:styleId="Heading2Char">
    <w:name w:val="Heading 2 Char"/>
    <w:basedOn w:val="DefaultParagraphFont"/>
    <w:link w:val="Heading2"/>
    <w:uiPriority w:val="9"/>
    <w:rsid w:val="00BF6E60"/>
    <w:rPr>
      <w:rFonts w:asciiTheme="majorHAnsi" w:eastAsiaTheme="majorEastAsia" w:hAnsiTheme="majorHAnsi" w:cstheme="majorBidi"/>
      <w:color w:val="365F91" w:themeColor="accent1" w:themeShade="BF"/>
      <w:sz w:val="26"/>
      <w:szCs w:val="26"/>
    </w:rPr>
  </w:style>
  <w:style w:type="paragraph" w:styleId="ListBullet">
    <w:name w:val="List Bullet"/>
    <w:basedOn w:val="Normal"/>
    <w:unhideWhenUsed/>
    <w:rsid w:val="00B65A2B"/>
    <w:pPr>
      <w:numPr>
        <w:numId w:val="28"/>
      </w:numPr>
      <w:contextualSpacing/>
    </w:pPr>
  </w:style>
  <w:style w:type="character" w:customStyle="1" w:styleId="UnresolvedMention1">
    <w:name w:val="Unresolved Mention1"/>
    <w:basedOn w:val="DefaultParagraphFont"/>
    <w:uiPriority w:val="99"/>
    <w:semiHidden/>
    <w:unhideWhenUsed/>
    <w:rsid w:val="00FA4745"/>
    <w:rPr>
      <w:color w:val="605E5C"/>
      <w:shd w:val="clear" w:color="auto" w:fill="E1DFDD"/>
    </w:rPr>
  </w:style>
  <w:style w:type="character" w:customStyle="1" w:styleId="BodyTextChar">
    <w:name w:val="Body Text Char"/>
    <w:basedOn w:val="DefaultParagraphFont"/>
    <w:link w:val="BodyText"/>
    <w:rsid w:val="00B212CE"/>
    <w:rPr>
      <w:rFonts w:ascii="Courier New" w:hAnsi="Courier New"/>
      <w:snapToGrid w:val="0"/>
    </w:rPr>
  </w:style>
  <w:style w:type="table" w:styleId="TableGrid">
    <w:name w:val="Table Grid"/>
    <w:basedOn w:val="TableNormal"/>
    <w:rsid w:val="006B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50E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1"/>
      </w:numPr>
      <w:outlineLvl w:val="0"/>
    </w:pPr>
    <w:rPr>
      <w:b/>
    </w:rPr>
  </w:style>
  <w:style w:type="paragraph" w:styleId="Heading2">
    <w:name w:val="heading 2"/>
    <w:basedOn w:val="Normal"/>
    <w:next w:val="Normal"/>
    <w:link w:val="Heading2Char"/>
    <w:uiPriority w:val="9"/>
    <w:unhideWhenUsed/>
    <w:qFormat/>
    <w:rsid w:val="00BF6E6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link w:val="BodyTextChar"/>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 w:type="character" w:customStyle="1" w:styleId="tgc">
    <w:name w:val="_tgc"/>
    <w:basedOn w:val="DefaultParagraphFont"/>
    <w:rsid w:val="00FD1330"/>
  </w:style>
  <w:style w:type="character" w:customStyle="1" w:styleId="d8e">
    <w:name w:val="_d8e"/>
    <w:basedOn w:val="DefaultParagraphFont"/>
    <w:rsid w:val="00FD1330"/>
  </w:style>
  <w:style w:type="paragraph" w:styleId="FootnoteText">
    <w:name w:val="footnote text"/>
    <w:aliases w:val="F1"/>
    <w:basedOn w:val="Normal"/>
    <w:link w:val="FootnoteTextChar"/>
    <w:uiPriority w:val="99"/>
    <w:unhideWhenUsed/>
    <w:rsid w:val="00590153"/>
    <w:rPr>
      <w:sz w:val="20"/>
    </w:rPr>
  </w:style>
  <w:style w:type="character" w:customStyle="1" w:styleId="FootnoteTextChar">
    <w:name w:val="Footnote Text Char"/>
    <w:aliases w:val="F1 Char"/>
    <w:basedOn w:val="DefaultParagraphFont"/>
    <w:link w:val="FootnoteText"/>
    <w:uiPriority w:val="99"/>
    <w:rsid w:val="00590153"/>
  </w:style>
  <w:style w:type="character" w:styleId="FootnoteReference">
    <w:name w:val="footnote reference"/>
    <w:basedOn w:val="DefaultParagraphFont"/>
    <w:uiPriority w:val="99"/>
    <w:semiHidden/>
    <w:unhideWhenUsed/>
    <w:rsid w:val="00590153"/>
    <w:rPr>
      <w:vertAlign w:val="superscript"/>
    </w:rPr>
  </w:style>
  <w:style w:type="paragraph" w:customStyle="1" w:styleId="SL-FlLftSgl">
    <w:name w:val="SL-Fl Lft Sgl"/>
    <w:basedOn w:val="Normal"/>
    <w:rsid w:val="007F4163"/>
    <w:pPr>
      <w:spacing w:line="240" w:lineRule="atLeast"/>
      <w:jc w:val="both"/>
    </w:pPr>
    <w:rPr>
      <w:rFonts w:eastAsiaTheme="minorHAnsi"/>
      <w:sz w:val="22"/>
      <w:szCs w:val="22"/>
    </w:rPr>
  </w:style>
  <w:style w:type="character" w:styleId="CommentReference">
    <w:name w:val="annotation reference"/>
    <w:basedOn w:val="DefaultParagraphFont"/>
    <w:uiPriority w:val="99"/>
    <w:semiHidden/>
    <w:unhideWhenUsed/>
    <w:rsid w:val="00BB5016"/>
    <w:rPr>
      <w:sz w:val="16"/>
      <w:szCs w:val="16"/>
    </w:rPr>
  </w:style>
  <w:style w:type="paragraph" w:styleId="CommentText">
    <w:name w:val="annotation text"/>
    <w:basedOn w:val="Normal"/>
    <w:link w:val="CommentTextChar"/>
    <w:uiPriority w:val="99"/>
    <w:semiHidden/>
    <w:unhideWhenUsed/>
    <w:rsid w:val="00BB5016"/>
    <w:rPr>
      <w:sz w:val="20"/>
    </w:rPr>
  </w:style>
  <w:style w:type="character" w:customStyle="1" w:styleId="CommentTextChar">
    <w:name w:val="Comment Text Char"/>
    <w:basedOn w:val="DefaultParagraphFont"/>
    <w:link w:val="CommentText"/>
    <w:uiPriority w:val="99"/>
    <w:semiHidden/>
    <w:rsid w:val="00BB5016"/>
  </w:style>
  <w:style w:type="paragraph" w:styleId="CommentSubject">
    <w:name w:val="annotation subject"/>
    <w:basedOn w:val="CommentText"/>
    <w:next w:val="CommentText"/>
    <w:link w:val="CommentSubjectChar"/>
    <w:semiHidden/>
    <w:unhideWhenUsed/>
    <w:rsid w:val="00BB5016"/>
    <w:rPr>
      <w:b/>
      <w:bCs/>
    </w:rPr>
  </w:style>
  <w:style w:type="character" w:customStyle="1" w:styleId="CommentSubjectChar">
    <w:name w:val="Comment Subject Char"/>
    <w:basedOn w:val="CommentTextChar"/>
    <w:link w:val="CommentSubject"/>
    <w:semiHidden/>
    <w:rsid w:val="00BB5016"/>
    <w:rPr>
      <w:b/>
      <w:bCs/>
    </w:rPr>
  </w:style>
  <w:style w:type="table" w:styleId="LightGrid">
    <w:name w:val="Light Grid"/>
    <w:basedOn w:val="TableNormal"/>
    <w:uiPriority w:val="62"/>
    <w:rsid w:val="001D1E2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semiHidden/>
    <w:unhideWhenUsed/>
    <w:rsid w:val="005040F5"/>
    <w:rPr>
      <w:sz w:val="20"/>
    </w:rPr>
  </w:style>
  <w:style w:type="character" w:customStyle="1" w:styleId="EndnoteTextChar">
    <w:name w:val="Endnote Text Char"/>
    <w:basedOn w:val="DefaultParagraphFont"/>
    <w:link w:val="EndnoteText"/>
    <w:semiHidden/>
    <w:rsid w:val="005040F5"/>
  </w:style>
  <w:style w:type="character" w:styleId="EndnoteReference">
    <w:name w:val="endnote reference"/>
    <w:basedOn w:val="DefaultParagraphFont"/>
    <w:semiHidden/>
    <w:unhideWhenUsed/>
    <w:rsid w:val="005040F5"/>
    <w:rPr>
      <w:vertAlign w:val="superscript"/>
    </w:rPr>
  </w:style>
  <w:style w:type="character" w:customStyle="1" w:styleId="Heading2Char">
    <w:name w:val="Heading 2 Char"/>
    <w:basedOn w:val="DefaultParagraphFont"/>
    <w:link w:val="Heading2"/>
    <w:uiPriority w:val="9"/>
    <w:rsid w:val="00BF6E60"/>
    <w:rPr>
      <w:rFonts w:asciiTheme="majorHAnsi" w:eastAsiaTheme="majorEastAsia" w:hAnsiTheme="majorHAnsi" w:cstheme="majorBidi"/>
      <w:color w:val="365F91" w:themeColor="accent1" w:themeShade="BF"/>
      <w:sz w:val="26"/>
      <w:szCs w:val="26"/>
    </w:rPr>
  </w:style>
  <w:style w:type="paragraph" w:styleId="ListBullet">
    <w:name w:val="List Bullet"/>
    <w:basedOn w:val="Normal"/>
    <w:unhideWhenUsed/>
    <w:rsid w:val="00B65A2B"/>
    <w:pPr>
      <w:numPr>
        <w:numId w:val="28"/>
      </w:numPr>
      <w:contextualSpacing/>
    </w:pPr>
  </w:style>
  <w:style w:type="character" w:customStyle="1" w:styleId="UnresolvedMention1">
    <w:name w:val="Unresolved Mention1"/>
    <w:basedOn w:val="DefaultParagraphFont"/>
    <w:uiPriority w:val="99"/>
    <w:semiHidden/>
    <w:unhideWhenUsed/>
    <w:rsid w:val="00FA4745"/>
    <w:rPr>
      <w:color w:val="605E5C"/>
      <w:shd w:val="clear" w:color="auto" w:fill="E1DFDD"/>
    </w:rPr>
  </w:style>
  <w:style w:type="character" w:customStyle="1" w:styleId="BodyTextChar">
    <w:name w:val="Body Text Char"/>
    <w:basedOn w:val="DefaultParagraphFont"/>
    <w:link w:val="BodyText"/>
    <w:rsid w:val="00B212CE"/>
    <w:rPr>
      <w:rFonts w:ascii="Courier New" w:hAnsi="Courier New"/>
      <w:snapToGrid w:val="0"/>
    </w:rPr>
  </w:style>
  <w:style w:type="table" w:styleId="TableGrid">
    <w:name w:val="Table Grid"/>
    <w:basedOn w:val="TableNormal"/>
    <w:rsid w:val="006B4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50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36311">
      <w:bodyDiv w:val="1"/>
      <w:marLeft w:val="0"/>
      <w:marRight w:val="0"/>
      <w:marTop w:val="0"/>
      <w:marBottom w:val="0"/>
      <w:divBdr>
        <w:top w:val="none" w:sz="0" w:space="0" w:color="auto"/>
        <w:left w:val="none" w:sz="0" w:space="0" w:color="auto"/>
        <w:bottom w:val="none" w:sz="0" w:space="0" w:color="auto"/>
        <w:right w:val="none" w:sz="0" w:space="0" w:color="auto"/>
      </w:divBdr>
    </w:div>
    <w:div w:id="312560882">
      <w:bodyDiv w:val="1"/>
      <w:marLeft w:val="0"/>
      <w:marRight w:val="0"/>
      <w:marTop w:val="0"/>
      <w:marBottom w:val="0"/>
      <w:divBdr>
        <w:top w:val="none" w:sz="0" w:space="0" w:color="auto"/>
        <w:left w:val="none" w:sz="0" w:space="0" w:color="auto"/>
        <w:bottom w:val="none" w:sz="0" w:space="0" w:color="auto"/>
        <w:right w:val="none" w:sz="0" w:space="0" w:color="auto"/>
      </w:divBdr>
    </w:div>
    <w:div w:id="632178934">
      <w:bodyDiv w:val="1"/>
      <w:marLeft w:val="0"/>
      <w:marRight w:val="0"/>
      <w:marTop w:val="0"/>
      <w:marBottom w:val="0"/>
      <w:divBdr>
        <w:top w:val="none" w:sz="0" w:space="0" w:color="auto"/>
        <w:left w:val="none" w:sz="0" w:space="0" w:color="auto"/>
        <w:bottom w:val="none" w:sz="0" w:space="0" w:color="auto"/>
        <w:right w:val="none" w:sz="0" w:space="0" w:color="auto"/>
      </w:divBdr>
    </w:div>
    <w:div w:id="804615225">
      <w:bodyDiv w:val="1"/>
      <w:marLeft w:val="0"/>
      <w:marRight w:val="0"/>
      <w:marTop w:val="0"/>
      <w:marBottom w:val="0"/>
      <w:divBdr>
        <w:top w:val="none" w:sz="0" w:space="0" w:color="auto"/>
        <w:left w:val="none" w:sz="0" w:space="0" w:color="auto"/>
        <w:bottom w:val="none" w:sz="0" w:space="0" w:color="auto"/>
        <w:right w:val="none" w:sz="0" w:space="0" w:color="auto"/>
      </w:divBdr>
    </w:div>
    <w:div w:id="1257833523">
      <w:bodyDiv w:val="1"/>
      <w:marLeft w:val="0"/>
      <w:marRight w:val="0"/>
      <w:marTop w:val="0"/>
      <w:marBottom w:val="0"/>
      <w:divBdr>
        <w:top w:val="none" w:sz="0" w:space="0" w:color="auto"/>
        <w:left w:val="none" w:sz="0" w:space="0" w:color="auto"/>
        <w:bottom w:val="none" w:sz="0" w:space="0" w:color="auto"/>
        <w:right w:val="none" w:sz="0" w:space="0" w:color="auto"/>
      </w:divBdr>
    </w:div>
    <w:div w:id="1417093966">
      <w:bodyDiv w:val="1"/>
      <w:marLeft w:val="0"/>
      <w:marRight w:val="0"/>
      <w:marTop w:val="0"/>
      <w:marBottom w:val="0"/>
      <w:divBdr>
        <w:top w:val="none" w:sz="0" w:space="0" w:color="auto"/>
        <w:left w:val="none" w:sz="0" w:space="0" w:color="auto"/>
        <w:bottom w:val="none" w:sz="0" w:space="0" w:color="auto"/>
        <w:right w:val="none" w:sz="0" w:space="0" w:color="auto"/>
      </w:divBdr>
    </w:div>
    <w:div w:id="1531066962">
      <w:bodyDiv w:val="1"/>
      <w:marLeft w:val="0"/>
      <w:marRight w:val="0"/>
      <w:marTop w:val="0"/>
      <w:marBottom w:val="0"/>
      <w:divBdr>
        <w:top w:val="none" w:sz="0" w:space="0" w:color="auto"/>
        <w:left w:val="none" w:sz="0" w:space="0" w:color="auto"/>
        <w:bottom w:val="none" w:sz="0" w:space="0" w:color="auto"/>
        <w:right w:val="none" w:sz="0" w:space="0" w:color="auto"/>
      </w:divBdr>
      <w:divsChild>
        <w:div w:id="1812794768">
          <w:marLeft w:val="0"/>
          <w:marRight w:val="0"/>
          <w:marTop w:val="0"/>
          <w:marBottom w:val="0"/>
          <w:divBdr>
            <w:top w:val="none" w:sz="0" w:space="0" w:color="auto"/>
            <w:left w:val="none" w:sz="0" w:space="0" w:color="auto"/>
            <w:bottom w:val="none" w:sz="0" w:space="0" w:color="auto"/>
            <w:right w:val="none" w:sz="0" w:space="0" w:color="auto"/>
          </w:divBdr>
          <w:divsChild>
            <w:div w:id="490951161">
              <w:marLeft w:val="0"/>
              <w:marRight w:val="0"/>
              <w:marTop w:val="0"/>
              <w:marBottom w:val="0"/>
              <w:divBdr>
                <w:top w:val="none" w:sz="0" w:space="0" w:color="auto"/>
                <w:left w:val="none" w:sz="0" w:space="0" w:color="auto"/>
                <w:bottom w:val="none" w:sz="0" w:space="0" w:color="auto"/>
                <w:right w:val="none" w:sz="0" w:space="0" w:color="auto"/>
              </w:divBdr>
              <w:divsChild>
                <w:div w:id="1678190575">
                  <w:marLeft w:val="0"/>
                  <w:marRight w:val="0"/>
                  <w:marTop w:val="0"/>
                  <w:marBottom w:val="0"/>
                  <w:divBdr>
                    <w:top w:val="none" w:sz="0" w:space="0" w:color="auto"/>
                    <w:left w:val="none" w:sz="0" w:space="0" w:color="auto"/>
                    <w:bottom w:val="none" w:sz="0" w:space="0" w:color="auto"/>
                    <w:right w:val="none" w:sz="0" w:space="0" w:color="auto"/>
                  </w:divBdr>
                  <w:divsChild>
                    <w:div w:id="99377201">
                      <w:marLeft w:val="0"/>
                      <w:marRight w:val="0"/>
                      <w:marTop w:val="0"/>
                      <w:marBottom w:val="0"/>
                      <w:divBdr>
                        <w:top w:val="none" w:sz="0" w:space="0" w:color="auto"/>
                        <w:left w:val="none" w:sz="0" w:space="0" w:color="auto"/>
                        <w:bottom w:val="none" w:sz="0" w:space="0" w:color="auto"/>
                        <w:right w:val="none" w:sz="0" w:space="0" w:color="auto"/>
                      </w:divBdr>
                      <w:divsChild>
                        <w:div w:id="2043171215">
                          <w:marLeft w:val="0"/>
                          <w:marRight w:val="0"/>
                          <w:marTop w:val="0"/>
                          <w:marBottom w:val="0"/>
                          <w:divBdr>
                            <w:top w:val="none" w:sz="0" w:space="0" w:color="auto"/>
                            <w:left w:val="none" w:sz="0" w:space="0" w:color="auto"/>
                            <w:bottom w:val="none" w:sz="0" w:space="0" w:color="auto"/>
                            <w:right w:val="none" w:sz="0" w:space="0" w:color="auto"/>
                          </w:divBdr>
                          <w:divsChild>
                            <w:div w:id="1583830705">
                              <w:marLeft w:val="0"/>
                              <w:marRight w:val="0"/>
                              <w:marTop w:val="0"/>
                              <w:marBottom w:val="150"/>
                              <w:divBdr>
                                <w:top w:val="none" w:sz="0" w:space="0" w:color="auto"/>
                                <w:left w:val="none" w:sz="0" w:space="0" w:color="auto"/>
                                <w:bottom w:val="none" w:sz="0" w:space="0" w:color="auto"/>
                                <w:right w:val="none" w:sz="0" w:space="0" w:color="auto"/>
                              </w:divBdr>
                              <w:divsChild>
                                <w:div w:id="842355891">
                                  <w:marLeft w:val="0"/>
                                  <w:marRight w:val="0"/>
                                  <w:marTop w:val="0"/>
                                  <w:marBottom w:val="0"/>
                                  <w:divBdr>
                                    <w:top w:val="none" w:sz="0" w:space="0" w:color="auto"/>
                                    <w:left w:val="none" w:sz="0" w:space="0" w:color="auto"/>
                                    <w:bottom w:val="none" w:sz="0" w:space="0" w:color="auto"/>
                                    <w:right w:val="none" w:sz="0" w:space="0" w:color="auto"/>
                                  </w:divBdr>
                                  <w:divsChild>
                                    <w:div w:id="691883405">
                                      <w:marLeft w:val="0"/>
                                      <w:marRight w:val="0"/>
                                      <w:marTop w:val="0"/>
                                      <w:marBottom w:val="0"/>
                                      <w:divBdr>
                                        <w:top w:val="none" w:sz="0" w:space="0" w:color="auto"/>
                                        <w:left w:val="none" w:sz="0" w:space="0" w:color="auto"/>
                                        <w:bottom w:val="none" w:sz="0" w:space="0" w:color="auto"/>
                                        <w:right w:val="none" w:sz="0" w:space="0" w:color="auto"/>
                                      </w:divBdr>
                                      <w:divsChild>
                                        <w:div w:id="1257903541">
                                          <w:marLeft w:val="0"/>
                                          <w:marRight w:val="0"/>
                                          <w:marTop w:val="0"/>
                                          <w:marBottom w:val="0"/>
                                          <w:divBdr>
                                            <w:top w:val="none" w:sz="0" w:space="0" w:color="auto"/>
                                            <w:left w:val="none" w:sz="0" w:space="0" w:color="auto"/>
                                            <w:bottom w:val="none" w:sz="0" w:space="0" w:color="auto"/>
                                            <w:right w:val="none" w:sz="0" w:space="0" w:color="auto"/>
                                          </w:divBdr>
                                        </w:div>
                                        <w:div w:id="1630474285">
                                          <w:marLeft w:val="0"/>
                                          <w:marRight w:val="0"/>
                                          <w:marTop w:val="0"/>
                                          <w:marBottom w:val="0"/>
                                          <w:divBdr>
                                            <w:top w:val="none" w:sz="0" w:space="0" w:color="auto"/>
                                            <w:left w:val="none" w:sz="0" w:space="0" w:color="auto"/>
                                            <w:bottom w:val="none" w:sz="0" w:space="0" w:color="auto"/>
                                            <w:right w:val="none" w:sz="0" w:space="0" w:color="auto"/>
                                          </w:divBdr>
                                        </w:div>
                                        <w:div w:id="151944359">
                                          <w:marLeft w:val="0"/>
                                          <w:marRight w:val="0"/>
                                          <w:marTop w:val="0"/>
                                          <w:marBottom w:val="0"/>
                                          <w:divBdr>
                                            <w:top w:val="none" w:sz="0" w:space="0" w:color="auto"/>
                                            <w:left w:val="none" w:sz="0" w:space="0" w:color="auto"/>
                                            <w:bottom w:val="none" w:sz="0" w:space="0" w:color="auto"/>
                                            <w:right w:val="none" w:sz="0" w:space="0" w:color="auto"/>
                                          </w:divBdr>
                                          <w:divsChild>
                                            <w:div w:id="1221867697">
                                              <w:marLeft w:val="0"/>
                                              <w:marRight w:val="0"/>
                                              <w:marTop w:val="0"/>
                                              <w:marBottom w:val="0"/>
                                              <w:divBdr>
                                                <w:top w:val="none" w:sz="0" w:space="0" w:color="auto"/>
                                                <w:left w:val="none" w:sz="0" w:space="0" w:color="auto"/>
                                                <w:bottom w:val="none" w:sz="0" w:space="0" w:color="auto"/>
                                                <w:right w:val="none" w:sz="0" w:space="0" w:color="auto"/>
                                              </w:divBdr>
                                              <w:divsChild>
                                                <w:div w:id="302276732">
                                                  <w:marLeft w:val="0"/>
                                                  <w:marRight w:val="0"/>
                                                  <w:marTop w:val="0"/>
                                                  <w:marBottom w:val="0"/>
                                                  <w:divBdr>
                                                    <w:top w:val="none" w:sz="0" w:space="0" w:color="auto"/>
                                                    <w:left w:val="none" w:sz="0" w:space="0" w:color="auto"/>
                                                    <w:bottom w:val="none" w:sz="0" w:space="0" w:color="auto"/>
                                                    <w:right w:val="none" w:sz="0" w:space="0" w:color="auto"/>
                                                  </w:divBdr>
                                                </w:div>
                                                <w:div w:id="3614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9687">
                                          <w:marLeft w:val="0"/>
                                          <w:marRight w:val="0"/>
                                          <w:marTop w:val="0"/>
                                          <w:marBottom w:val="0"/>
                                          <w:divBdr>
                                            <w:top w:val="none" w:sz="0" w:space="0" w:color="auto"/>
                                            <w:left w:val="none" w:sz="0" w:space="0" w:color="auto"/>
                                            <w:bottom w:val="none" w:sz="0" w:space="0" w:color="auto"/>
                                            <w:right w:val="none" w:sz="0" w:space="0" w:color="auto"/>
                                          </w:divBdr>
                                        </w:div>
                                        <w:div w:id="170490366">
                                          <w:marLeft w:val="0"/>
                                          <w:marRight w:val="0"/>
                                          <w:marTop w:val="0"/>
                                          <w:marBottom w:val="0"/>
                                          <w:divBdr>
                                            <w:top w:val="none" w:sz="0" w:space="0" w:color="auto"/>
                                            <w:left w:val="none" w:sz="0" w:space="0" w:color="auto"/>
                                            <w:bottom w:val="none" w:sz="0" w:space="0" w:color="auto"/>
                                            <w:right w:val="none" w:sz="0" w:space="0" w:color="auto"/>
                                          </w:divBdr>
                                        </w:div>
                                        <w:div w:id="375928550">
                                          <w:marLeft w:val="0"/>
                                          <w:marRight w:val="0"/>
                                          <w:marTop w:val="0"/>
                                          <w:marBottom w:val="0"/>
                                          <w:divBdr>
                                            <w:top w:val="none" w:sz="0" w:space="0" w:color="auto"/>
                                            <w:left w:val="none" w:sz="0" w:space="0" w:color="auto"/>
                                            <w:bottom w:val="none" w:sz="0" w:space="0" w:color="auto"/>
                                            <w:right w:val="none" w:sz="0" w:space="0" w:color="auto"/>
                                          </w:divBdr>
                                        </w:div>
                                        <w:div w:id="365640533">
                                          <w:marLeft w:val="0"/>
                                          <w:marRight w:val="0"/>
                                          <w:marTop w:val="0"/>
                                          <w:marBottom w:val="0"/>
                                          <w:divBdr>
                                            <w:top w:val="none" w:sz="0" w:space="0" w:color="auto"/>
                                            <w:left w:val="none" w:sz="0" w:space="0" w:color="auto"/>
                                            <w:bottom w:val="none" w:sz="0" w:space="0" w:color="auto"/>
                                            <w:right w:val="none" w:sz="0" w:space="0" w:color="auto"/>
                                          </w:divBdr>
                                        </w:div>
                                        <w:div w:id="196700151">
                                          <w:marLeft w:val="0"/>
                                          <w:marRight w:val="0"/>
                                          <w:marTop w:val="0"/>
                                          <w:marBottom w:val="0"/>
                                          <w:divBdr>
                                            <w:top w:val="none" w:sz="0" w:space="0" w:color="auto"/>
                                            <w:left w:val="none" w:sz="0" w:space="0" w:color="auto"/>
                                            <w:bottom w:val="none" w:sz="0" w:space="0" w:color="auto"/>
                                            <w:right w:val="none" w:sz="0" w:space="0" w:color="auto"/>
                                          </w:divBdr>
                                        </w:div>
                                        <w:div w:id="35858124">
                                          <w:marLeft w:val="0"/>
                                          <w:marRight w:val="0"/>
                                          <w:marTop w:val="0"/>
                                          <w:marBottom w:val="0"/>
                                          <w:divBdr>
                                            <w:top w:val="none" w:sz="0" w:space="0" w:color="auto"/>
                                            <w:left w:val="none" w:sz="0" w:space="0" w:color="auto"/>
                                            <w:bottom w:val="none" w:sz="0" w:space="0" w:color="auto"/>
                                            <w:right w:val="none" w:sz="0" w:space="0" w:color="auto"/>
                                          </w:divBdr>
                                        </w:div>
                                        <w:div w:id="303588482">
                                          <w:marLeft w:val="0"/>
                                          <w:marRight w:val="0"/>
                                          <w:marTop w:val="0"/>
                                          <w:marBottom w:val="0"/>
                                          <w:divBdr>
                                            <w:top w:val="none" w:sz="0" w:space="0" w:color="auto"/>
                                            <w:left w:val="none" w:sz="0" w:space="0" w:color="auto"/>
                                            <w:bottom w:val="none" w:sz="0" w:space="0" w:color="auto"/>
                                            <w:right w:val="none" w:sz="0" w:space="0" w:color="auto"/>
                                          </w:divBdr>
                                        </w:div>
                                        <w:div w:id="925723088">
                                          <w:marLeft w:val="0"/>
                                          <w:marRight w:val="0"/>
                                          <w:marTop w:val="0"/>
                                          <w:marBottom w:val="0"/>
                                          <w:divBdr>
                                            <w:top w:val="none" w:sz="0" w:space="0" w:color="auto"/>
                                            <w:left w:val="none" w:sz="0" w:space="0" w:color="auto"/>
                                            <w:bottom w:val="none" w:sz="0" w:space="0" w:color="auto"/>
                                            <w:right w:val="none" w:sz="0" w:space="0" w:color="auto"/>
                                          </w:divBdr>
                                        </w:div>
                                        <w:div w:id="718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969577">
      <w:bodyDiv w:val="1"/>
      <w:marLeft w:val="0"/>
      <w:marRight w:val="0"/>
      <w:marTop w:val="0"/>
      <w:marBottom w:val="0"/>
      <w:divBdr>
        <w:top w:val="none" w:sz="0" w:space="0" w:color="auto"/>
        <w:left w:val="none" w:sz="0" w:space="0" w:color="auto"/>
        <w:bottom w:val="none" w:sz="0" w:space="0" w:color="auto"/>
        <w:right w:val="none" w:sz="0" w:space="0" w:color="auto"/>
      </w:divBdr>
    </w:div>
    <w:div w:id="1709141569">
      <w:bodyDiv w:val="1"/>
      <w:marLeft w:val="0"/>
      <w:marRight w:val="0"/>
      <w:marTop w:val="0"/>
      <w:marBottom w:val="0"/>
      <w:divBdr>
        <w:top w:val="none" w:sz="0" w:space="0" w:color="auto"/>
        <w:left w:val="none" w:sz="0" w:space="0" w:color="auto"/>
        <w:bottom w:val="none" w:sz="0" w:space="0" w:color="auto"/>
        <w:right w:val="none" w:sz="0" w:space="0" w:color="auto"/>
      </w:divBdr>
    </w:div>
    <w:div w:id="1794013985">
      <w:bodyDiv w:val="1"/>
      <w:marLeft w:val="0"/>
      <w:marRight w:val="0"/>
      <w:marTop w:val="0"/>
      <w:marBottom w:val="0"/>
      <w:divBdr>
        <w:top w:val="none" w:sz="0" w:space="0" w:color="auto"/>
        <w:left w:val="none" w:sz="0" w:space="0" w:color="auto"/>
        <w:bottom w:val="none" w:sz="0" w:space="0" w:color="auto"/>
        <w:right w:val="none" w:sz="0" w:space="0" w:color="auto"/>
      </w:divBdr>
    </w:div>
    <w:div w:id="18401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cl.gov/news-and-events/announcements/webinar-1030-nutrition-services-program-outcomes-evalu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l.gov/programs/performance-older-americans-act-program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cl.gov/sites/default/files/programs/2016-09/Eight_Recommendations_for_Increased_Federal_Involvement.pdf" TargetMode="External"/><Relationship Id="rId4" Type="http://schemas.microsoft.com/office/2007/relationships/stylesWithEffects" Target="stylesWithEffects.xml"/><Relationship Id="rId9" Type="http://schemas.openxmlformats.org/officeDocument/2006/relationships/hyperlink" Target="https://www.ssa.gov/OP_Home/ssact/title20/2042.ht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19151.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EF672-6AAF-40C0-9C52-B800596D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6044</Words>
  <Characters>34453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40417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Ying-Ying T. Yuan</dc:creator>
  <cp:lastModifiedBy>SYSTEM</cp:lastModifiedBy>
  <cp:revision>2</cp:revision>
  <cp:lastPrinted>2015-08-01T19:52:00Z</cp:lastPrinted>
  <dcterms:created xsi:type="dcterms:W3CDTF">2019-12-05T21:06:00Z</dcterms:created>
  <dcterms:modified xsi:type="dcterms:W3CDTF">2019-12-05T21:06:00Z</dcterms:modified>
</cp:coreProperties>
</file>