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B895BE" w14:textId="77777777" w:rsidR="009D5393" w:rsidRDefault="00B21480">
      <w:pPr>
        <w:pStyle w:val="Heading1"/>
        <w:spacing w:before="78"/>
        <w:ind w:left="2607" w:right="2587" w:firstLine="0"/>
        <w:jc w:val="center"/>
      </w:pPr>
      <w:bookmarkStart w:id="0" w:name="_GoBack"/>
      <w:bookmarkEnd w:id="0"/>
      <w:r>
        <w:t>Supporting Statement – Part A Hospital Notices: IM / DND</w:t>
      </w:r>
    </w:p>
    <w:p w14:paraId="7955750F" w14:textId="77777777" w:rsidR="009D5393" w:rsidRDefault="00B21480">
      <w:pPr>
        <w:spacing w:line="271" w:lineRule="exact"/>
        <w:ind w:left="2607" w:right="2588"/>
        <w:jc w:val="center"/>
        <w:rPr>
          <w:b/>
          <w:sz w:val="24"/>
        </w:rPr>
      </w:pPr>
      <w:r>
        <w:rPr>
          <w:b/>
          <w:sz w:val="24"/>
        </w:rPr>
        <w:t>(CMS-10065/66; OMB #0938-1019)</w:t>
      </w:r>
    </w:p>
    <w:p w14:paraId="5E78B4E3" w14:textId="77777777" w:rsidR="009D5393" w:rsidRDefault="009D5393">
      <w:pPr>
        <w:pStyle w:val="BodyText"/>
        <w:rPr>
          <w:b/>
          <w:sz w:val="26"/>
        </w:rPr>
      </w:pPr>
    </w:p>
    <w:p w14:paraId="57C04CCB" w14:textId="77777777" w:rsidR="009D5393" w:rsidRDefault="009D5393">
      <w:pPr>
        <w:pStyle w:val="BodyText"/>
        <w:rPr>
          <w:b/>
          <w:sz w:val="22"/>
        </w:rPr>
      </w:pPr>
    </w:p>
    <w:p w14:paraId="074EE9E8" w14:textId="77777777" w:rsidR="009D5393" w:rsidRDefault="00B21480">
      <w:pPr>
        <w:ind w:left="119"/>
        <w:rPr>
          <w:b/>
          <w:sz w:val="24"/>
        </w:rPr>
      </w:pPr>
      <w:r>
        <w:rPr>
          <w:b/>
          <w:sz w:val="24"/>
        </w:rPr>
        <w:t>Introduction</w:t>
      </w:r>
    </w:p>
    <w:p w14:paraId="79701ACE" w14:textId="77777777" w:rsidR="009D5393" w:rsidRDefault="009D5393">
      <w:pPr>
        <w:pStyle w:val="BodyText"/>
        <w:spacing w:before="10"/>
        <w:rPr>
          <w:b/>
          <w:sz w:val="23"/>
        </w:rPr>
      </w:pPr>
    </w:p>
    <w:p w14:paraId="5CC15382" w14:textId="77777777" w:rsidR="009D5393" w:rsidRDefault="00B21480">
      <w:pPr>
        <w:pStyle w:val="BodyText"/>
        <w:ind w:left="119" w:right="270"/>
      </w:pPr>
      <w:r>
        <w:t>This collection was formerly entitled “Detailed Notice of Discharge (DND) and Supporting Regulations in 42 CFR 405.1206 and 422.622” and has been changed to “Hospital Notices: Important Message from Medicare (IM) and Detailed Notice of Discharge (DND)”. This title change is to display the merger of two collections into one collection going forward.</w:t>
      </w:r>
    </w:p>
    <w:p w14:paraId="7FAD9A09" w14:textId="77777777" w:rsidR="009D5393" w:rsidRDefault="009D5393">
      <w:pPr>
        <w:pStyle w:val="BodyText"/>
        <w:spacing w:before="10"/>
        <w:rPr>
          <w:sz w:val="23"/>
        </w:rPr>
      </w:pPr>
    </w:p>
    <w:p w14:paraId="41FB361E" w14:textId="77777777" w:rsidR="009D5393" w:rsidRDefault="00B21480">
      <w:pPr>
        <w:pStyle w:val="BodyText"/>
        <w:ind w:left="119" w:right="143"/>
      </w:pPr>
      <w:r>
        <w:t>The Centers for Medicare &amp; Medicaid Services (CMS) requests the renewal of two Office of Management and Budget (OMB) currently approved Medicare notices: the Important Message from Medicare (IM) and the Detailed Notice of Discharge (DND). For the purposes of recognition, we are requesting to combine both currently approved collections (CMS-R-193 and CMS-10066) within this collection as CMS-10065/10066. We will utilize CMS-10065 to represent IM and CMS-10066 to represent DND. Combining the two existing collections into one package will streamline the review process for hospitals, industry, and other interested parties, when reviewing PRA renewals of these notices. The IM and DND are companion notices only ever used in conjunction with one another.</w:t>
      </w:r>
    </w:p>
    <w:p w14:paraId="5D57F7A3" w14:textId="77777777" w:rsidR="009D5393" w:rsidRDefault="009D5393">
      <w:pPr>
        <w:pStyle w:val="BodyText"/>
        <w:spacing w:before="10"/>
        <w:rPr>
          <w:sz w:val="23"/>
        </w:rPr>
      </w:pPr>
    </w:p>
    <w:p w14:paraId="12C400C8" w14:textId="77777777" w:rsidR="009D5393" w:rsidRDefault="00B21480">
      <w:pPr>
        <w:pStyle w:val="BodyText"/>
        <w:ind w:left="119" w:right="150"/>
      </w:pPr>
      <w:r>
        <w:t>As part of this consolidation to associate CMS-10065 with the IM collection, we would like to mention that CMS-10065 was previously utilized and approved under OMB- 0938-0879. This collection is currently inactive and was discontinued October 31,</w:t>
      </w:r>
      <w:r>
        <w:rPr>
          <w:spacing w:val="-30"/>
        </w:rPr>
        <w:t xml:space="preserve"> </w:t>
      </w:r>
      <w:r>
        <w:t>2005. We also plan to discontinue CMS R-193 (OMB-0938-0692) upon OMBs approval on this</w:t>
      </w:r>
      <w:r>
        <w:rPr>
          <w:spacing w:val="-5"/>
        </w:rPr>
        <w:t xml:space="preserve"> </w:t>
      </w:r>
      <w:r>
        <w:t>package.</w:t>
      </w:r>
    </w:p>
    <w:p w14:paraId="045EC6F6" w14:textId="77777777" w:rsidR="009D5393" w:rsidRDefault="009D5393">
      <w:pPr>
        <w:pStyle w:val="BodyText"/>
        <w:spacing w:before="1"/>
      </w:pPr>
    </w:p>
    <w:p w14:paraId="430377BA" w14:textId="77777777" w:rsidR="009D5393" w:rsidRDefault="00B21480">
      <w:pPr>
        <w:pStyle w:val="BodyText"/>
        <w:ind w:left="119" w:right="85"/>
      </w:pPr>
      <w:r>
        <w:t>This information collection applies to beneficiaries in Original Medicare and enrollees in Medicare health plans.</w:t>
      </w:r>
    </w:p>
    <w:p w14:paraId="7714E26C" w14:textId="77777777" w:rsidR="009D5393" w:rsidRDefault="009D5393">
      <w:pPr>
        <w:pStyle w:val="BodyText"/>
        <w:spacing w:before="1"/>
      </w:pPr>
    </w:p>
    <w:p w14:paraId="773F50DA" w14:textId="77777777" w:rsidR="009D5393" w:rsidRDefault="00B21480">
      <w:pPr>
        <w:pStyle w:val="BodyText"/>
        <w:ind w:left="119"/>
      </w:pPr>
      <w:r>
        <w:t>For purposes of these provisions;</w:t>
      </w:r>
    </w:p>
    <w:p w14:paraId="530DB2B5" w14:textId="77777777" w:rsidR="009D5393" w:rsidRDefault="009D5393">
      <w:pPr>
        <w:pStyle w:val="BodyText"/>
        <w:spacing w:before="10"/>
        <w:rPr>
          <w:sz w:val="23"/>
        </w:rPr>
      </w:pPr>
    </w:p>
    <w:p w14:paraId="4F8D98CD" w14:textId="77777777" w:rsidR="009D5393" w:rsidRDefault="00B21480">
      <w:pPr>
        <w:pStyle w:val="ListParagraph"/>
        <w:numPr>
          <w:ilvl w:val="0"/>
          <w:numId w:val="3"/>
        </w:numPr>
        <w:tabs>
          <w:tab w:val="left" w:pos="1631"/>
          <w:tab w:val="left" w:pos="1632"/>
        </w:tabs>
        <w:ind w:right="116"/>
        <w:rPr>
          <w:sz w:val="24"/>
        </w:rPr>
      </w:pPr>
      <w:r>
        <w:rPr>
          <w:sz w:val="24"/>
        </w:rPr>
        <w:t>The term “Medicare health plans” includes Medicare Advantage plans</w:t>
      </w:r>
      <w:r>
        <w:rPr>
          <w:spacing w:val="-26"/>
          <w:sz w:val="24"/>
        </w:rPr>
        <w:t xml:space="preserve"> </w:t>
      </w:r>
      <w:r>
        <w:rPr>
          <w:sz w:val="24"/>
        </w:rPr>
        <w:t>and cost plans,</w:t>
      </w:r>
      <w:r>
        <w:rPr>
          <w:spacing w:val="-7"/>
          <w:sz w:val="24"/>
        </w:rPr>
        <w:t xml:space="preserve"> </w:t>
      </w:r>
      <w:r>
        <w:rPr>
          <w:sz w:val="24"/>
        </w:rPr>
        <w:t>and</w:t>
      </w:r>
    </w:p>
    <w:p w14:paraId="062BE284" w14:textId="77777777" w:rsidR="009D5393" w:rsidRDefault="00B21480">
      <w:pPr>
        <w:pStyle w:val="ListParagraph"/>
        <w:numPr>
          <w:ilvl w:val="0"/>
          <w:numId w:val="3"/>
        </w:numPr>
        <w:tabs>
          <w:tab w:val="left" w:pos="1631"/>
          <w:tab w:val="left" w:pos="1632"/>
        </w:tabs>
        <w:ind w:right="286"/>
        <w:rPr>
          <w:sz w:val="24"/>
        </w:rPr>
      </w:pPr>
      <w:r>
        <w:rPr>
          <w:sz w:val="24"/>
        </w:rPr>
        <w:t>“Beneficiaries” refers to Medicare beneficiaries in Original Medicare</w:t>
      </w:r>
      <w:r>
        <w:rPr>
          <w:spacing w:val="-22"/>
          <w:sz w:val="24"/>
        </w:rPr>
        <w:t xml:space="preserve"> </w:t>
      </w:r>
      <w:r>
        <w:rPr>
          <w:sz w:val="24"/>
        </w:rPr>
        <w:t>and “enrollees” refers to Medicare beneficiaries enrolled in Medicare health plans.</w:t>
      </w:r>
    </w:p>
    <w:p w14:paraId="5C9DA6F6" w14:textId="77777777" w:rsidR="009D5393" w:rsidRDefault="009D5393">
      <w:pPr>
        <w:pStyle w:val="BodyText"/>
        <w:spacing w:before="3"/>
      </w:pPr>
    </w:p>
    <w:p w14:paraId="271B105F" w14:textId="77777777" w:rsidR="009D5393" w:rsidRDefault="00B21480">
      <w:pPr>
        <w:pStyle w:val="Heading1"/>
        <w:numPr>
          <w:ilvl w:val="0"/>
          <w:numId w:val="2"/>
        </w:numPr>
        <w:tabs>
          <w:tab w:val="left" w:pos="839"/>
          <w:tab w:val="left" w:pos="840"/>
        </w:tabs>
        <w:spacing w:before="1"/>
      </w:pPr>
      <w:r>
        <w:t>Background</w:t>
      </w:r>
    </w:p>
    <w:p w14:paraId="544FE0A8" w14:textId="77777777" w:rsidR="009D5393" w:rsidRDefault="009D5393">
      <w:pPr>
        <w:pStyle w:val="BodyText"/>
        <w:spacing w:before="10"/>
        <w:rPr>
          <w:b/>
          <w:sz w:val="23"/>
        </w:rPr>
      </w:pPr>
    </w:p>
    <w:p w14:paraId="176A6633" w14:textId="77777777" w:rsidR="009D5393" w:rsidRDefault="00B21480">
      <w:pPr>
        <w:pStyle w:val="BodyText"/>
        <w:spacing w:before="1"/>
        <w:ind w:left="120" w:right="85"/>
      </w:pPr>
      <w:r>
        <w:t>The Office of Management and Budget (OMB) previously approved the IM under 0938- 0692 and the DND under 0938-1019. The purpose of the IM is to inform beneficiaries and enrollees of their rights as hospital inpatients and how to request a discharge appeal by a Quality Improvement Organization (QIO) and how to file a request. Consistent</w:t>
      </w:r>
    </w:p>
    <w:p w14:paraId="67DF6BD8" w14:textId="77777777" w:rsidR="009D5393" w:rsidRDefault="009D5393">
      <w:pPr>
        <w:sectPr w:rsidR="009D5393">
          <w:type w:val="continuous"/>
          <w:pgSz w:w="12240" w:h="15840"/>
          <w:pgMar w:top="1360" w:right="1340" w:bottom="280" w:left="1320" w:header="720" w:footer="720" w:gutter="0"/>
          <w:cols w:space="720"/>
        </w:sectPr>
      </w:pPr>
    </w:p>
    <w:p w14:paraId="01393BF4" w14:textId="77777777" w:rsidR="009D5393" w:rsidRDefault="00B21480">
      <w:pPr>
        <w:pStyle w:val="BodyText"/>
        <w:spacing w:before="78"/>
        <w:ind w:left="100" w:right="236"/>
        <w:rPr>
          <w:rFonts w:ascii="Arial"/>
        </w:rPr>
      </w:pPr>
      <w:r>
        <w:lastRenderedPageBreak/>
        <w:t>with 42 CFR 405.1205 for Original Medicare and 422.620 for Medicare health plans, hospitals must provide the initial IM within 2 calendar days of admission. A follow-up copy of the signed IM is given no more than 2 calendar days before discharge. The follow-up copy is not required if the first IM is provided within 2 calendar days of discharge</w:t>
      </w:r>
      <w:r>
        <w:rPr>
          <w:rFonts w:ascii="Arial"/>
        </w:rPr>
        <w:t>.</w:t>
      </w:r>
    </w:p>
    <w:p w14:paraId="0BBDA422" w14:textId="77777777" w:rsidR="009D5393" w:rsidRDefault="009D5393">
      <w:pPr>
        <w:pStyle w:val="BodyText"/>
        <w:spacing w:before="9"/>
        <w:rPr>
          <w:rFonts w:ascii="Arial"/>
          <w:sz w:val="23"/>
        </w:rPr>
      </w:pPr>
    </w:p>
    <w:p w14:paraId="054E7171" w14:textId="77777777" w:rsidR="009D5393" w:rsidRDefault="00B21480">
      <w:pPr>
        <w:pStyle w:val="BodyText"/>
        <w:ind w:left="100" w:right="300"/>
      </w:pPr>
      <w:r>
        <w:t>In accordance with 42 CFR 405.1206 for Original Medicare and 422.622 for Medicare health plans, if a beneficiary/enrollee appeals the discharge decision, the beneficiary/enrollee and the QIO must receive a detailed explanation of the reasons services should end. This detailed explanation is provided to the beneficiary/enrollee using the DND, the second notice included in this renewal package.</w:t>
      </w:r>
    </w:p>
    <w:p w14:paraId="2D62A6CD" w14:textId="77777777" w:rsidR="009D5393" w:rsidRDefault="009D5393">
      <w:pPr>
        <w:pStyle w:val="BodyText"/>
        <w:spacing w:before="1"/>
      </w:pPr>
    </w:p>
    <w:p w14:paraId="3CA5BEC8" w14:textId="77777777" w:rsidR="009D5393" w:rsidRDefault="00B21480">
      <w:pPr>
        <w:pStyle w:val="Heading1"/>
        <w:numPr>
          <w:ilvl w:val="0"/>
          <w:numId w:val="2"/>
        </w:numPr>
        <w:tabs>
          <w:tab w:val="left" w:pos="819"/>
          <w:tab w:val="left" w:pos="820"/>
        </w:tabs>
        <w:ind w:left="820"/>
      </w:pPr>
      <w:r>
        <w:t>Justification</w:t>
      </w:r>
    </w:p>
    <w:p w14:paraId="3D94D89C" w14:textId="77777777" w:rsidR="009D5393" w:rsidRDefault="009D5393">
      <w:pPr>
        <w:pStyle w:val="BodyText"/>
        <w:spacing w:before="10"/>
        <w:rPr>
          <w:b/>
          <w:sz w:val="23"/>
        </w:rPr>
      </w:pPr>
    </w:p>
    <w:p w14:paraId="1246A1A8" w14:textId="77777777" w:rsidR="009D5393" w:rsidRDefault="00B21480">
      <w:pPr>
        <w:pStyle w:val="ListParagraph"/>
        <w:numPr>
          <w:ilvl w:val="1"/>
          <w:numId w:val="2"/>
        </w:numPr>
        <w:tabs>
          <w:tab w:val="left" w:pos="819"/>
          <w:tab w:val="left" w:pos="820"/>
        </w:tabs>
        <w:jc w:val="left"/>
        <w:rPr>
          <w:b/>
          <w:sz w:val="24"/>
        </w:rPr>
      </w:pPr>
      <w:r>
        <w:rPr>
          <w:b/>
          <w:sz w:val="24"/>
        </w:rPr>
        <w:t>Need and Legal</w:t>
      </w:r>
      <w:r>
        <w:rPr>
          <w:b/>
          <w:spacing w:val="-6"/>
          <w:sz w:val="24"/>
        </w:rPr>
        <w:t xml:space="preserve"> </w:t>
      </w:r>
      <w:r>
        <w:rPr>
          <w:b/>
          <w:sz w:val="24"/>
        </w:rPr>
        <w:t>Basis</w:t>
      </w:r>
    </w:p>
    <w:p w14:paraId="3AB45A5C" w14:textId="77777777" w:rsidR="009D5393" w:rsidRDefault="009D5393">
      <w:pPr>
        <w:pStyle w:val="BodyText"/>
        <w:spacing w:before="10"/>
        <w:rPr>
          <w:b/>
          <w:sz w:val="23"/>
        </w:rPr>
      </w:pPr>
    </w:p>
    <w:p w14:paraId="33FB5B55" w14:textId="77777777" w:rsidR="009D5393" w:rsidRDefault="00B21480">
      <w:pPr>
        <w:pStyle w:val="BodyText"/>
        <w:ind w:left="100" w:right="83"/>
      </w:pPr>
      <w:r>
        <w:t>Section 1866(a)(1)(M) of the Social Security Act (the Act) sets forth the requirements that hospitals notify beneficiaries in inpatient hospital settings of their rights, including their right to appeal a discharge. The authority for the right to an discharge appeal is set forth at Sections 1869(c)(3)(C)(iii)(III) and 1154(a)of the Act.</w:t>
      </w:r>
    </w:p>
    <w:p w14:paraId="4CEB9289" w14:textId="77777777" w:rsidR="009D5393" w:rsidRDefault="009D5393">
      <w:pPr>
        <w:pStyle w:val="BodyText"/>
        <w:spacing w:before="9"/>
        <w:rPr>
          <w:sz w:val="25"/>
        </w:rPr>
      </w:pPr>
    </w:p>
    <w:p w14:paraId="046176A1" w14:textId="77777777" w:rsidR="009D5393" w:rsidRDefault="00B21480">
      <w:pPr>
        <w:pStyle w:val="BodyText"/>
        <w:ind w:left="100"/>
      </w:pPr>
      <w:r>
        <w:t>The IM and DND fulfil the following regulatory requirements:</w:t>
      </w:r>
    </w:p>
    <w:p w14:paraId="2A109E56" w14:textId="77777777" w:rsidR="009D5393" w:rsidRDefault="009D5393">
      <w:pPr>
        <w:pStyle w:val="BodyText"/>
        <w:spacing w:before="10"/>
        <w:rPr>
          <w:sz w:val="23"/>
        </w:rPr>
      </w:pPr>
    </w:p>
    <w:p w14:paraId="5A970449" w14:textId="77777777" w:rsidR="009D5393" w:rsidRDefault="00B21480">
      <w:pPr>
        <w:pStyle w:val="ListParagraph"/>
        <w:numPr>
          <w:ilvl w:val="2"/>
          <w:numId w:val="2"/>
        </w:numPr>
        <w:tabs>
          <w:tab w:val="left" w:pos="1611"/>
          <w:tab w:val="left" w:pos="1612"/>
        </w:tabs>
        <w:ind w:right="297"/>
        <w:rPr>
          <w:sz w:val="24"/>
        </w:rPr>
      </w:pPr>
      <w:r>
        <w:rPr>
          <w:sz w:val="24"/>
        </w:rPr>
        <w:t>§405.1205 (b) – For all Medicare beneficiaries, hospitals must deliver valid, written notice of a beneficiary's rights as a hospital inpatient, including discharge appeal rights. The hospital must use a standardized notice, as specified by CMS. This is satisfied by IM</w:t>
      </w:r>
      <w:r>
        <w:rPr>
          <w:spacing w:val="-21"/>
          <w:sz w:val="24"/>
        </w:rPr>
        <w:t xml:space="preserve"> </w:t>
      </w:r>
      <w:r>
        <w:rPr>
          <w:sz w:val="24"/>
        </w:rPr>
        <w:t>delivery.</w:t>
      </w:r>
    </w:p>
    <w:p w14:paraId="6E8C4373" w14:textId="77777777" w:rsidR="009D5393" w:rsidRDefault="00B21480">
      <w:pPr>
        <w:pStyle w:val="ListParagraph"/>
        <w:numPr>
          <w:ilvl w:val="2"/>
          <w:numId w:val="2"/>
        </w:numPr>
        <w:tabs>
          <w:tab w:val="left" w:pos="1611"/>
          <w:tab w:val="left" w:pos="1612"/>
        </w:tabs>
        <w:ind w:right="175"/>
        <w:rPr>
          <w:sz w:val="24"/>
        </w:rPr>
      </w:pPr>
      <w:r>
        <w:rPr>
          <w:sz w:val="24"/>
        </w:rPr>
        <w:t>§405.1206(e)(1) – When a QIO notifies a hospital that a beneficiary has requested an expedited discharge, the hospital must deliver a detailed notice to the beneficiary as soon as possible but no later than noon of the day after the QIO's notification.  This is satisfied by DND</w:t>
      </w:r>
      <w:r>
        <w:rPr>
          <w:spacing w:val="-23"/>
          <w:sz w:val="24"/>
        </w:rPr>
        <w:t xml:space="preserve"> </w:t>
      </w:r>
      <w:r>
        <w:rPr>
          <w:sz w:val="24"/>
        </w:rPr>
        <w:t>delivery.</w:t>
      </w:r>
    </w:p>
    <w:p w14:paraId="1604984D" w14:textId="77777777" w:rsidR="009D5393" w:rsidRDefault="009D5393">
      <w:pPr>
        <w:pStyle w:val="BodyText"/>
        <w:spacing w:before="10"/>
        <w:rPr>
          <w:sz w:val="23"/>
        </w:rPr>
      </w:pPr>
    </w:p>
    <w:p w14:paraId="49538FD3" w14:textId="77777777" w:rsidR="009D5393" w:rsidRDefault="00B21480">
      <w:pPr>
        <w:pStyle w:val="BodyText"/>
        <w:ind w:left="100" w:right="131"/>
      </w:pPr>
      <w:r>
        <w:t>Additionally, 42 CFR 417.600(b) provides that Medicare health plans must follow these same discharge appeal notification procedures for their enrollees in the covered hospitals:</w:t>
      </w:r>
    </w:p>
    <w:p w14:paraId="25C160EE" w14:textId="77777777" w:rsidR="009D5393" w:rsidRDefault="009D5393">
      <w:pPr>
        <w:pStyle w:val="BodyText"/>
        <w:spacing w:before="1"/>
      </w:pPr>
    </w:p>
    <w:p w14:paraId="06B044AF" w14:textId="77777777" w:rsidR="009D5393" w:rsidRDefault="00B21480">
      <w:pPr>
        <w:pStyle w:val="ListParagraph"/>
        <w:numPr>
          <w:ilvl w:val="2"/>
          <w:numId w:val="2"/>
        </w:numPr>
        <w:tabs>
          <w:tab w:val="left" w:pos="1611"/>
          <w:tab w:val="left" w:pos="1612"/>
        </w:tabs>
        <w:ind w:right="244"/>
        <w:rPr>
          <w:sz w:val="24"/>
        </w:rPr>
      </w:pPr>
      <w:r>
        <w:rPr>
          <w:sz w:val="24"/>
        </w:rPr>
        <w:t>§422.620(b) – For all Medicare Advantage enrollees, hospitals must deliver valid, written notice of an enrollee's rights as a hospital</w:t>
      </w:r>
      <w:r>
        <w:rPr>
          <w:spacing w:val="-26"/>
          <w:sz w:val="24"/>
        </w:rPr>
        <w:t xml:space="preserve"> </w:t>
      </w:r>
      <w:r>
        <w:rPr>
          <w:sz w:val="24"/>
        </w:rPr>
        <w:t>inpatient including discharge appeal rights. The hospital must use a standardized notice, as specified by CMS.  This is satisfied by IM</w:t>
      </w:r>
      <w:r>
        <w:rPr>
          <w:spacing w:val="-22"/>
          <w:sz w:val="24"/>
        </w:rPr>
        <w:t xml:space="preserve"> </w:t>
      </w:r>
      <w:r>
        <w:rPr>
          <w:sz w:val="24"/>
        </w:rPr>
        <w:t>delivery.</w:t>
      </w:r>
    </w:p>
    <w:p w14:paraId="3347A639" w14:textId="77777777" w:rsidR="009D5393" w:rsidRDefault="00B21480">
      <w:pPr>
        <w:pStyle w:val="ListParagraph"/>
        <w:numPr>
          <w:ilvl w:val="2"/>
          <w:numId w:val="2"/>
        </w:numPr>
        <w:tabs>
          <w:tab w:val="left" w:pos="1611"/>
          <w:tab w:val="left" w:pos="1612"/>
        </w:tabs>
        <w:ind w:right="142"/>
        <w:rPr>
          <w:sz w:val="24"/>
        </w:rPr>
      </w:pPr>
      <w:r>
        <w:rPr>
          <w:sz w:val="24"/>
        </w:rPr>
        <w:t>§422.622(e)(1) – When the QIO notifies an MA organization that an enrollee has requested an immediate QIO review, the MA organization must, directly or by delegation, deliver a detailed notice to the enrollee</w:t>
      </w:r>
      <w:r>
        <w:rPr>
          <w:spacing w:val="-25"/>
          <w:sz w:val="24"/>
        </w:rPr>
        <w:t xml:space="preserve"> </w:t>
      </w:r>
      <w:r>
        <w:rPr>
          <w:sz w:val="24"/>
        </w:rPr>
        <w:t>as soon as possible, but no later than noon of the day after the QIO's notification.  This is satisfied by DND</w:t>
      </w:r>
      <w:r>
        <w:rPr>
          <w:spacing w:val="-18"/>
          <w:sz w:val="24"/>
        </w:rPr>
        <w:t xml:space="preserve"> </w:t>
      </w:r>
      <w:r>
        <w:rPr>
          <w:sz w:val="24"/>
        </w:rPr>
        <w:t>delivery.</w:t>
      </w:r>
    </w:p>
    <w:p w14:paraId="5EC09878" w14:textId="77777777" w:rsidR="009D5393" w:rsidRDefault="009D5393">
      <w:pPr>
        <w:pStyle w:val="BodyText"/>
        <w:spacing w:before="1"/>
      </w:pPr>
    </w:p>
    <w:p w14:paraId="1DA6238A" w14:textId="77777777" w:rsidR="009D5393" w:rsidRDefault="00B21480">
      <w:pPr>
        <w:pStyle w:val="Heading1"/>
        <w:numPr>
          <w:ilvl w:val="1"/>
          <w:numId w:val="2"/>
        </w:numPr>
        <w:tabs>
          <w:tab w:val="left" w:pos="819"/>
          <w:tab w:val="left" w:pos="820"/>
        </w:tabs>
        <w:jc w:val="left"/>
      </w:pPr>
      <w:r>
        <w:t>Information</w:t>
      </w:r>
      <w:r>
        <w:rPr>
          <w:spacing w:val="-5"/>
        </w:rPr>
        <w:t xml:space="preserve"> </w:t>
      </w:r>
      <w:r>
        <w:t>Users</w:t>
      </w:r>
    </w:p>
    <w:p w14:paraId="09AE26D9" w14:textId="77777777" w:rsidR="009D5393" w:rsidRDefault="009D5393">
      <w:pPr>
        <w:sectPr w:rsidR="009D5393">
          <w:footerReference w:type="default" r:id="rId8"/>
          <w:pgSz w:w="12240" w:h="15840"/>
          <w:pgMar w:top="1360" w:right="1420" w:bottom="1260" w:left="1340" w:header="0" w:footer="1070" w:gutter="0"/>
          <w:pgNumType w:start="2"/>
          <w:cols w:space="720"/>
        </w:sectPr>
      </w:pPr>
    </w:p>
    <w:p w14:paraId="791511C5" w14:textId="77777777" w:rsidR="009D5393" w:rsidRDefault="009D5393">
      <w:pPr>
        <w:pStyle w:val="BodyText"/>
        <w:spacing w:before="9"/>
        <w:rPr>
          <w:b/>
          <w:sz w:val="9"/>
        </w:rPr>
      </w:pPr>
    </w:p>
    <w:p w14:paraId="3857A296" w14:textId="77777777" w:rsidR="009D5393" w:rsidRDefault="00B21480">
      <w:pPr>
        <w:pStyle w:val="BodyText"/>
        <w:spacing w:before="100"/>
        <w:ind w:left="120" w:right="94"/>
      </w:pPr>
      <w:r>
        <w:t>Hospitals must deliver a hard copy of the IM to beneficiaries/enrollees at the time of admission, and a follow-up copy of the signed IM must be delivered at or near the time of discharge depending on the length of the hospital stay and timing of first IM delivery.</w:t>
      </w:r>
    </w:p>
    <w:p w14:paraId="15051D40" w14:textId="77777777" w:rsidR="009D5393" w:rsidRDefault="009D5393">
      <w:pPr>
        <w:pStyle w:val="BodyText"/>
        <w:spacing w:before="10"/>
        <w:rPr>
          <w:sz w:val="23"/>
        </w:rPr>
      </w:pPr>
    </w:p>
    <w:p w14:paraId="003FE20B" w14:textId="77777777" w:rsidR="009D5393" w:rsidRDefault="00B21480">
      <w:pPr>
        <w:pStyle w:val="BodyText"/>
        <w:ind w:left="119" w:right="189"/>
      </w:pPr>
      <w:r>
        <w:t>The beneficiary must be given a paper copy of the signed IM to keep, regardless of whether a paper or electronic version is delivered and whether the signature is digitally captured or manually signed.</w:t>
      </w:r>
    </w:p>
    <w:p w14:paraId="2DCF5F8B" w14:textId="77777777" w:rsidR="009D5393" w:rsidRDefault="009D5393">
      <w:pPr>
        <w:pStyle w:val="BodyText"/>
        <w:spacing w:before="1"/>
      </w:pPr>
    </w:p>
    <w:p w14:paraId="07911D09" w14:textId="77777777" w:rsidR="009D5393" w:rsidRDefault="00B21480">
      <w:pPr>
        <w:pStyle w:val="BodyText"/>
        <w:ind w:left="119" w:right="183"/>
      </w:pPr>
      <w:r>
        <w:t>If the beneficiary/enrollee decides to appeal, the hospital will deliver a DND to the QIO and beneficiary/enrollee, detailing the rationale for the discharge decision.</w:t>
      </w:r>
    </w:p>
    <w:p w14:paraId="65139358" w14:textId="77777777" w:rsidR="009D5393" w:rsidRDefault="009D5393">
      <w:pPr>
        <w:pStyle w:val="BodyText"/>
        <w:spacing w:before="10"/>
        <w:rPr>
          <w:sz w:val="23"/>
        </w:rPr>
      </w:pPr>
    </w:p>
    <w:p w14:paraId="3B089633" w14:textId="77777777" w:rsidR="009D5393" w:rsidRDefault="00B21480">
      <w:pPr>
        <w:pStyle w:val="Heading1"/>
        <w:numPr>
          <w:ilvl w:val="1"/>
          <w:numId w:val="2"/>
        </w:numPr>
        <w:tabs>
          <w:tab w:val="left" w:pos="835"/>
          <w:tab w:val="left" w:pos="836"/>
        </w:tabs>
        <w:ind w:left="835" w:hanging="715"/>
        <w:jc w:val="left"/>
      </w:pPr>
      <w:r>
        <w:t>Use of Information</w:t>
      </w:r>
      <w:r>
        <w:rPr>
          <w:spacing w:val="-3"/>
        </w:rPr>
        <w:t xml:space="preserve"> </w:t>
      </w:r>
      <w:r>
        <w:t>Technology</w:t>
      </w:r>
    </w:p>
    <w:p w14:paraId="5376E656" w14:textId="77777777" w:rsidR="009D5393" w:rsidRDefault="009D5393">
      <w:pPr>
        <w:pStyle w:val="BodyText"/>
        <w:spacing w:before="1"/>
        <w:rPr>
          <w:b/>
        </w:rPr>
      </w:pPr>
    </w:p>
    <w:p w14:paraId="136F59D8" w14:textId="77777777" w:rsidR="009D5393" w:rsidRDefault="00B21480">
      <w:pPr>
        <w:pStyle w:val="BodyText"/>
        <w:ind w:left="119" w:right="162"/>
      </w:pPr>
      <w:r>
        <w:t>A hospital may deliver an IM that is viewed on an electronic screen before signing. A beneficiary/enrollee must be given the option of requesting paper rather than electronic issuance if that is what the beneficiary/enrollee prefers. Regardless of whether</w:t>
      </w:r>
      <w:r>
        <w:rPr>
          <w:spacing w:val="-3"/>
        </w:rPr>
        <w:t xml:space="preserve"> </w:t>
      </w:r>
      <w:r>
        <w:t>a</w:t>
      </w:r>
      <w:r>
        <w:rPr>
          <w:spacing w:val="-21"/>
        </w:rPr>
        <w:t xml:space="preserve"> </w:t>
      </w:r>
      <w:r>
        <w:t>paper</w:t>
      </w:r>
      <w:r>
        <w:rPr>
          <w:spacing w:val="-1"/>
        </w:rPr>
        <w:t xml:space="preserve"> </w:t>
      </w:r>
      <w:r>
        <w:t>or</w:t>
      </w:r>
      <w:r>
        <w:rPr>
          <w:spacing w:val="-3"/>
        </w:rPr>
        <w:t xml:space="preserve"> </w:t>
      </w:r>
      <w:r>
        <w:t>electronic</w:t>
      </w:r>
      <w:r>
        <w:rPr>
          <w:spacing w:val="-4"/>
        </w:rPr>
        <w:t xml:space="preserve"> </w:t>
      </w:r>
      <w:r>
        <w:t>version</w:t>
      </w:r>
      <w:r>
        <w:rPr>
          <w:spacing w:val="-3"/>
        </w:rPr>
        <w:t xml:space="preserve"> </w:t>
      </w:r>
      <w:r>
        <w:t>is</w:t>
      </w:r>
      <w:r>
        <w:rPr>
          <w:spacing w:val="-1"/>
        </w:rPr>
        <w:t xml:space="preserve"> </w:t>
      </w:r>
      <w:r>
        <w:t>delivered,</w:t>
      </w:r>
      <w:r>
        <w:rPr>
          <w:spacing w:val="-3"/>
        </w:rPr>
        <w:t xml:space="preserve"> </w:t>
      </w:r>
      <w:r>
        <w:t>and</w:t>
      </w:r>
      <w:r>
        <w:rPr>
          <w:spacing w:val="-4"/>
        </w:rPr>
        <w:t xml:space="preserve"> </w:t>
      </w:r>
      <w:r>
        <w:t>whether</w:t>
      </w:r>
      <w:r>
        <w:rPr>
          <w:spacing w:val="-3"/>
        </w:rPr>
        <w:t xml:space="preserve"> </w:t>
      </w:r>
      <w:r>
        <w:t>the</w:t>
      </w:r>
      <w:r>
        <w:rPr>
          <w:spacing w:val="-1"/>
        </w:rPr>
        <w:t xml:space="preserve"> </w:t>
      </w:r>
      <w:r>
        <w:t>signature</w:t>
      </w:r>
      <w:r>
        <w:rPr>
          <w:spacing w:val="-3"/>
        </w:rPr>
        <w:t xml:space="preserve"> </w:t>
      </w:r>
      <w:r>
        <w:t>is</w:t>
      </w:r>
      <w:r>
        <w:rPr>
          <w:spacing w:val="-3"/>
        </w:rPr>
        <w:t xml:space="preserve"> </w:t>
      </w:r>
      <w:r>
        <w:t>digitally captured or manually penned, the beneficiary/enrollee must be given a paper copy of the signed IM to</w:t>
      </w:r>
      <w:r>
        <w:rPr>
          <w:spacing w:val="-22"/>
        </w:rPr>
        <w:t xml:space="preserve"> </w:t>
      </w:r>
      <w:r>
        <w:t>keep.</w:t>
      </w:r>
    </w:p>
    <w:p w14:paraId="31D67CD3" w14:textId="77777777" w:rsidR="009D5393" w:rsidRDefault="009D5393">
      <w:pPr>
        <w:pStyle w:val="BodyText"/>
        <w:spacing w:before="10"/>
        <w:rPr>
          <w:sz w:val="23"/>
        </w:rPr>
      </w:pPr>
    </w:p>
    <w:p w14:paraId="0C7F7DD4" w14:textId="77777777" w:rsidR="009D5393" w:rsidRDefault="00B21480">
      <w:pPr>
        <w:pStyle w:val="BodyText"/>
        <w:ind w:left="119" w:right="945"/>
      </w:pPr>
      <w:r>
        <w:t>In cases where the beneficiary/enrollee has a representative who is not physically present, hospitals are permitted to deliver the IM by telephone as long as a hard copy is delivered to the representative.</w:t>
      </w:r>
    </w:p>
    <w:p w14:paraId="120AD2F5" w14:textId="77777777" w:rsidR="009D5393" w:rsidRDefault="009D5393">
      <w:pPr>
        <w:pStyle w:val="BodyText"/>
        <w:spacing w:before="4"/>
      </w:pPr>
    </w:p>
    <w:p w14:paraId="444BC989" w14:textId="77777777" w:rsidR="009D5393" w:rsidRDefault="00B21480">
      <w:pPr>
        <w:pStyle w:val="Heading1"/>
        <w:numPr>
          <w:ilvl w:val="1"/>
          <w:numId w:val="2"/>
        </w:numPr>
        <w:tabs>
          <w:tab w:val="left" w:pos="839"/>
          <w:tab w:val="left" w:pos="840"/>
        </w:tabs>
        <w:ind w:left="840"/>
        <w:jc w:val="left"/>
      </w:pPr>
      <w:r>
        <w:t>Duplication of</w:t>
      </w:r>
      <w:r>
        <w:rPr>
          <w:spacing w:val="-6"/>
        </w:rPr>
        <w:t xml:space="preserve"> </w:t>
      </w:r>
      <w:r>
        <w:t>Efforts</w:t>
      </w:r>
    </w:p>
    <w:p w14:paraId="2A7F6004" w14:textId="77777777" w:rsidR="009D5393" w:rsidRDefault="009D5393">
      <w:pPr>
        <w:pStyle w:val="BodyText"/>
        <w:spacing w:before="10"/>
        <w:rPr>
          <w:b/>
          <w:sz w:val="23"/>
        </w:rPr>
      </w:pPr>
    </w:p>
    <w:p w14:paraId="73934BB9" w14:textId="77777777" w:rsidR="009D5393" w:rsidRDefault="00B21480">
      <w:pPr>
        <w:pStyle w:val="BodyText"/>
        <w:ind w:left="119" w:right="126"/>
      </w:pPr>
      <w:r>
        <w:t>The requirement that hospitals supply beneficiaries/enrollees in hospitals with advance notice of service discharges does not duplicate any other effort and the information cannot be obtained from any other source.</w:t>
      </w:r>
    </w:p>
    <w:p w14:paraId="74CCE2FA" w14:textId="77777777" w:rsidR="009D5393" w:rsidRDefault="009D5393">
      <w:pPr>
        <w:pStyle w:val="BodyText"/>
        <w:spacing w:before="1"/>
      </w:pPr>
    </w:p>
    <w:p w14:paraId="732C8AE0" w14:textId="77777777" w:rsidR="009D5393" w:rsidRDefault="00B21480">
      <w:pPr>
        <w:pStyle w:val="Heading1"/>
        <w:numPr>
          <w:ilvl w:val="1"/>
          <w:numId w:val="2"/>
        </w:numPr>
        <w:tabs>
          <w:tab w:val="left" w:pos="839"/>
          <w:tab w:val="left" w:pos="840"/>
        </w:tabs>
        <w:ind w:left="840"/>
        <w:jc w:val="left"/>
      </w:pPr>
      <w:r>
        <w:t>Small</w:t>
      </w:r>
      <w:r>
        <w:rPr>
          <w:spacing w:val="-5"/>
        </w:rPr>
        <w:t xml:space="preserve"> </w:t>
      </w:r>
      <w:r>
        <w:t>Businesses</w:t>
      </w:r>
    </w:p>
    <w:p w14:paraId="0ED8AF89" w14:textId="77777777" w:rsidR="009D5393" w:rsidRDefault="009D5393">
      <w:pPr>
        <w:pStyle w:val="BodyText"/>
        <w:spacing w:before="10"/>
        <w:rPr>
          <w:b/>
          <w:sz w:val="23"/>
        </w:rPr>
      </w:pPr>
    </w:p>
    <w:p w14:paraId="29D2CD7F" w14:textId="77777777" w:rsidR="009D5393" w:rsidRDefault="00B21480">
      <w:pPr>
        <w:pStyle w:val="BodyText"/>
        <w:ind w:left="119"/>
      </w:pPr>
      <w:r>
        <w:t>These requirements will not adversely affect small businesses.</w:t>
      </w:r>
    </w:p>
    <w:p w14:paraId="172259DB" w14:textId="77777777" w:rsidR="009D5393" w:rsidRDefault="009D5393">
      <w:pPr>
        <w:pStyle w:val="BodyText"/>
        <w:spacing w:before="10"/>
        <w:rPr>
          <w:sz w:val="23"/>
        </w:rPr>
      </w:pPr>
    </w:p>
    <w:p w14:paraId="1BDDDC6F" w14:textId="77777777" w:rsidR="009D5393" w:rsidRDefault="00B21480">
      <w:pPr>
        <w:pStyle w:val="Heading1"/>
        <w:numPr>
          <w:ilvl w:val="1"/>
          <w:numId w:val="2"/>
        </w:numPr>
        <w:tabs>
          <w:tab w:val="left" w:pos="839"/>
          <w:tab w:val="left" w:pos="840"/>
        </w:tabs>
        <w:ind w:left="840"/>
        <w:jc w:val="left"/>
      </w:pPr>
      <w:r>
        <w:t>Less Frequent</w:t>
      </w:r>
      <w:r>
        <w:rPr>
          <w:spacing w:val="-8"/>
        </w:rPr>
        <w:t xml:space="preserve"> </w:t>
      </w:r>
      <w:r>
        <w:t>Collection</w:t>
      </w:r>
    </w:p>
    <w:p w14:paraId="295E58CE" w14:textId="77777777" w:rsidR="009D5393" w:rsidRDefault="009D5393">
      <w:pPr>
        <w:pStyle w:val="BodyText"/>
        <w:spacing w:before="10"/>
        <w:rPr>
          <w:b/>
          <w:sz w:val="23"/>
        </w:rPr>
      </w:pPr>
    </w:p>
    <w:p w14:paraId="23819F72" w14:textId="77777777" w:rsidR="009D5393" w:rsidRDefault="00B21480">
      <w:pPr>
        <w:pStyle w:val="BodyText"/>
        <w:ind w:left="119" w:right="98"/>
      </w:pPr>
      <w:r>
        <w:t>Consumer research supports providing information close to the time an individual needs to make a decision. In the case of an individual receiving hospital services, he or she needs to decide whether the services continue to be medically necessary. (Providing the information other than during the receipt of services would significantly reduce the effectiveness.) In addition, providing the notice two days in advance of coverage ending decreases potential financial liability in the event the beneficiary/enrollee wants to appeal. Providing advance notices to less than 100% of all individuals who are facing service discharges would not afford all beneficiaries/enrollees equal protection of their rights.</w:t>
      </w:r>
    </w:p>
    <w:p w14:paraId="3ECE8C44" w14:textId="77777777" w:rsidR="009D5393" w:rsidRDefault="009D5393">
      <w:pPr>
        <w:sectPr w:rsidR="009D5393">
          <w:pgSz w:w="12240" w:h="15840"/>
          <w:pgMar w:top="1500" w:right="1400" w:bottom="1260" w:left="1320" w:header="0" w:footer="1070" w:gutter="0"/>
          <w:cols w:space="720"/>
        </w:sectPr>
      </w:pPr>
    </w:p>
    <w:p w14:paraId="14E7DADB" w14:textId="77777777" w:rsidR="009D5393" w:rsidRDefault="009D5393">
      <w:pPr>
        <w:pStyle w:val="BodyText"/>
        <w:spacing w:before="9"/>
        <w:rPr>
          <w:sz w:val="9"/>
        </w:rPr>
      </w:pPr>
    </w:p>
    <w:p w14:paraId="1DC3C858" w14:textId="77777777" w:rsidR="009D5393" w:rsidRDefault="00B21480">
      <w:pPr>
        <w:pStyle w:val="Heading1"/>
        <w:numPr>
          <w:ilvl w:val="1"/>
          <w:numId w:val="2"/>
        </w:numPr>
        <w:tabs>
          <w:tab w:val="left" w:pos="839"/>
          <w:tab w:val="left" w:pos="840"/>
        </w:tabs>
        <w:spacing w:before="100"/>
        <w:ind w:left="840"/>
        <w:jc w:val="left"/>
      </w:pPr>
      <w:r>
        <w:t>Special</w:t>
      </w:r>
      <w:r>
        <w:rPr>
          <w:spacing w:val="-7"/>
        </w:rPr>
        <w:t xml:space="preserve"> </w:t>
      </w:r>
      <w:r>
        <w:t>Circumstances</w:t>
      </w:r>
    </w:p>
    <w:p w14:paraId="7AE9A810" w14:textId="77777777" w:rsidR="009D5393" w:rsidRDefault="009D5393">
      <w:pPr>
        <w:pStyle w:val="BodyText"/>
        <w:spacing w:before="10"/>
        <w:rPr>
          <w:b/>
          <w:sz w:val="23"/>
        </w:rPr>
      </w:pPr>
    </w:p>
    <w:p w14:paraId="70E174AE" w14:textId="77777777" w:rsidR="009D5393" w:rsidRDefault="00B21480">
      <w:pPr>
        <w:pStyle w:val="BodyText"/>
        <w:ind w:left="119" w:right="127"/>
      </w:pPr>
      <w:r>
        <w:t>There are no special circumstances to report. No statistical methods will be employed. The regulations at §422.1202(b) and §422.624(c) require that the completed IMs be timely delivered to beneficiaries/enrollees or their representatives. For Medicare enrollees, hospitals are required to deliver the IM on behalf of the plan. Note: CMS holds the Medicare health plan responsible for delivery of all notices, and compliance with the regulations governing this activity.</w:t>
      </w:r>
    </w:p>
    <w:p w14:paraId="1446359E" w14:textId="77777777" w:rsidR="009D5393" w:rsidRDefault="009D5393">
      <w:pPr>
        <w:pStyle w:val="BodyText"/>
        <w:spacing w:before="10"/>
        <w:rPr>
          <w:sz w:val="23"/>
        </w:rPr>
      </w:pPr>
    </w:p>
    <w:p w14:paraId="6483B25B" w14:textId="77777777" w:rsidR="009D5393" w:rsidRDefault="00B21480">
      <w:pPr>
        <w:pStyle w:val="Heading1"/>
        <w:numPr>
          <w:ilvl w:val="1"/>
          <w:numId w:val="2"/>
        </w:numPr>
        <w:tabs>
          <w:tab w:val="left" w:pos="839"/>
          <w:tab w:val="left" w:pos="840"/>
        </w:tabs>
        <w:ind w:left="840"/>
        <w:jc w:val="left"/>
      </w:pPr>
      <w:r>
        <w:t>Federal Register Notice/Outside</w:t>
      </w:r>
      <w:r>
        <w:rPr>
          <w:spacing w:val="-14"/>
        </w:rPr>
        <w:t xml:space="preserve"> </w:t>
      </w:r>
      <w:r>
        <w:t>Consultation</w:t>
      </w:r>
    </w:p>
    <w:p w14:paraId="2B5E4399" w14:textId="77777777" w:rsidR="009D5393" w:rsidRDefault="009D5393">
      <w:pPr>
        <w:pStyle w:val="BodyText"/>
        <w:spacing w:before="10"/>
        <w:rPr>
          <w:b/>
          <w:sz w:val="23"/>
        </w:rPr>
      </w:pPr>
    </w:p>
    <w:p w14:paraId="5A5405B2" w14:textId="77777777" w:rsidR="009D5393" w:rsidRDefault="00B21480">
      <w:pPr>
        <w:pStyle w:val="BodyText"/>
        <w:ind w:left="119"/>
      </w:pPr>
      <w:r>
        <w:t>The 60-day notice published in the Federal Register on 2/22/2019 (84 FR 5690).</w:t>
      </w:r>
    </w:p>
    <w:p w14:paraId="646B5195" w14:textId="2705BB62" w:rsidR="00B21480" w:rsidRDefault="00B21480">
      <w:pPr>
        <w:pStyle w:val="BodyText"/>
        <w:ind w:left="119"/>
      </w:pPr>
      <w:r>
        <w:t>No comments were received</w:t>
      </w:r>
    </w:p>
    <w:p w14:paraId="21F267CF" w14:textId="760FAC1C" w:rsidR="005E23D9" w:rsidRDefault="005E23D9">
      <w:pPr>
        <w:pStyle w:val="BodyText"/>
        <w:ind w:left="119"/>
      </w:pPr>
    </w:p>
    <w:p w14:paraId="3E063347" w14:textId="7F9DC52B" w:rsidR="005E23D9" w:rsidRDefault="005E23D9" w:rsidP="005E23D9">
      <w:pPr>
        <w:pStyle w:val="BodyText"/>
        <w:ind w:left="119"/>
      </w:pPr>
      <w:r>
        <w:t>The 30-day notice published in the Federal Register on 8/26/2019 (</w:t>
      </w:r>
      <w:r w:rsidRPr="005E23D9">
        <w:t>84 FR 44622</w:t>
      </w:r>
      <w:r>
        <w:t>).</w:t>
      </w:r>
    </w:p>
    <w:p w14:paraId="524A92A6" w14:textId="77777777" w:rsidR="005E23D9" w:rsidRDefault="005E23D9">
      <w:pPr>
        <w:pStyle w:val="BodyText"/>
        <w:ind w:left="119"/>
      </w:pPr>
    </w:p>
    <w:p w14:paraId="0425ABC1" w14:textId="77777777" w:rsidR="009D5393" w:rsidRDefault="009D5393">
      <w:pPr>
        <w:pStyle w:val="BodyText"/>
        <w:spacing w:before="1"/>
      </w:pPr>
    </w:p>
    <w:p w14:paraId="343AD0CC" w14:textId="77777777" w:rsidR="009D5393" w:rsidRDefault="00B21480">
      <w:pPr>
        <w:pStyle w:val="Heading1"/>
        <w:numPr>
          <w:ilvl w:val="1"/>
          <w:numId w:val="2"/>
        </w:numPr>
        <w:tabs>
          <w:tab w:val="left" w:pos="839"/>
          <w:tab w:val="left" w:pos="840"/>
        </w:tabs>
        <w:ind w:left="840"/>
        <w:jc w:val="left"/>
      </w:pPr>
      <w:r>
        <w:t>Payments/Gifts to</w:t>
      </w:r>
      <w:r>
        <w:rPr>
          <w:spacing w:val="-11"/>
        </w:rPr>
        <w:t xml:space="preserve"> </w:t>
      </w:r>
      <w:r>
        <w:t>Respondent</w:t>
      </w:r>
    </w:p>
    <w:p w14:paraId="4F68F91A" w14:textId="77777777" w:rsidR="009D5393" w:rsidRDefault="009D5393">
      <w:pPr>
        <w:pStyle w:val="BodyText"/>
        <w:spacing w:before="10"/>
        <w:rPr>
          <w:b/>
          <w:sz w:val="23"/>
        </w:rPr>
      </w:pPr>
    </w:p>
    <w:p w14:paraId="09292FDE" w14:textId="77777777" w:rsidR="009D5393" w:rsidRDefault="00B21480">
      <w:pPr>
        <w:pStyle w:val="BodyText"/>
        <w:ind w:left="119" w:right="306"/>
      </w:pPr>
      <w:r>
        <w:t>No payments or gifts is provided to respondents for their participation or involvement within the collection of information.</w:t>
      </w:r>
    </w:p>
    <w:p w14:paraId="0C1E0DD3" w14:textId="77777777" w:rsidR="009D5393" w:rsidRDefault="009D5393">
      <w:pPr>
        <w:pStyle w:val="BodyText"/>
        <w:spacing w:before="10"/>
        <w:rPr>
          <w:sz w:val="23"/>
        </w:rPr>
      </w:pPr>
    </w:p>
    <w:p w14:paraId="780517A3" w14:textId="77777777" w:rsidR="009D5393" w:rsidRDefault="00B21480">
      <w:pPr>
        <w:pStyle w:val="Heading1"/>
        <w:numPr>
          <w:ilvl w:val="1"/>
          <w:numId w:val="2"/>
        </w:numPr>
        <w:tabs>
          <w:tab w:val="left" w:pos="839"/>
          <w:tab w:val="left" w:pos="840"/>
        </w:tabs>
        <w:ind w:left="840"/>
        <w:jc w:val="left"/>
      </w:pPr>
      <w:r>
        <w:t>Confidentiality</w:t>
      </w:r>
    </w:p>
    <w:p w14:paraId="7668CD0F" w14:textId="77777777" w:rsidR="009D5393" w:rsidRDefault="009D5393">
      <w:pPr>
        <w:pStyle w:val="BodyText"/>
        <w:spacing w:before="10"/>
        <w:rPr>
          <w:b/>
          <w:sz w:val="23"/>
        </w:rPr>
      </w:pPr>
    </w:p>
    <w:p w14:paraId="2D8FBA9A" w14:textId="77777777" w:rsidR="009D5393" w:rsidRDefault="00B21480">
      <w:pPr>
        <w:pStyle w:val="BodyText"/>
        <w:ind w:left="119" w:right="127"/>
      </w:pPr>
      <w:r>
        <w:t>Not applicable; CMS does not collect information. The hospital and plan will maintain records of the notices, but those records do not become part of a federal system of records.</w:t>
      </w:r>
    </w:p>
    <w:p w14:paraId="7DF66D0C" w14:textId="77777777" w:rsidR="009D5393" w:rsidRDefault="009D5393">
      <w:pPr>
        <w:pStyle w:val="BodyText"/>
        <w:spacing w:before="1"/>
      </w:pPr>
    </w:p>
    <w:p w14:paraId="71C27405" w14:textId="77777777" w:rsidR="009D5393" w:rsidRDefault="00B21480">
      <w:pPr>
        <w:pStyle w:val="Heading1"/>
        <w:numPr>
          <w:ilvl w:val="1"/>
          <w:numId w:val="2"/>
        </w:numPr>
        <w:tabs>
          <w:tab w:val="left" w:pos="839"/>
          <w:tab w:val="left" w:pos="840"/>
        </w:tabs>
        <w:ind w:left="840"/>
        <w:jc w:val="left"/>
      </w:pPr>
      <w:r>
        <w:t>Sensitive</w:t>
      </w:r>
      <w:r>
        <w:rPr>
          <w:spacing w:val="-9"/>
        </w:rPr>
        <w:t xml:space="preserve"> </w:t>
      </w:r>
      <w:r>
        <w:t>Questions</w:t>
      </w:r>
    </w:p>
    <w:p w14:paraId="4BE9DE06" w14:textId="77777777" w:rsidR="009D5393" w:rsidRDefault="009D5393">
      <w:pPr>
        <w:pStyle w:val="BodyText"/>
        <w:spacing w:before="10"/>
        <w:rPr>
          <w:b/>
          <w:sz w:val="23"/>
        </w:rPr>
      </w:pPr>
    </w:p>
    <w:p w14:paraId="65F76FE8" w14:textId="77777777" w:rsidR="009D5393" w:rsidRDefault="00B21480">
      <w:pPr>
        <w:pStyle w:val="BodyText"/>
        <w:ind w:left="119"/>
      </w:pPr>
      <w:r>
        <w:t>Not applicable.  We do not ask any question of the enrollee.</w:t>
      </w:r>
    </w:p>
    <w:p w14:paraId="608D0E6A" w14:textId="77777777" w:rsidR="009D5393" w:rsidRDefault="009D5393">
      <w:pPr>
        <w:pStyle w:val="BodyText"/>
        <w:spacing w:before="10"/>
        <w:rPr>
          <w:sz w:val="23"/>
        </w:rPr>
      </w:pPr>
    </w:p>
    <w:p w14:paraId="1E6EF15F" w14:textId="77777777" w:rsidR="009D5393" w:rsidRDefault="00B21480">
      <w:pPr>
        <w:pStyle w:val="Heading1"/>
        <w:numPr>
          <w:ilvl w:val="1"/>
          <w:numId w:val="2"/>
        </w:numPr>
        <w:tabs>
          <w:tab w:val="left" w:pos="767"/>
          <w:tab w:val="left" w:pos="768"/>
        </w:tabs>
        <w:ind w:left="768" w:hanging="648"/>
        <w:jc w:val="left"/>
      </w:pPr>
      <w:r>
        <w:t>Burden</w:t>
      </w:r>
      <w:r>
        <w:rPr>
          <w:spacing w:val="-2"/>
        </w:rPr>
        <w:t xml:space="preserve"> </w:t>
      </w:r>
      <w:r>
        <w:t>Estimates</w:t>
      </w:r>
    </w:p>
    <w:p w14:paraId="212E7C77" w14:textId="77777777" w:rsidR="009D5393" w:rsidRDefault="009D5393">
      <w:pPr>
        <w:pStyle w:val="BodyText"/>
        <w:spacing w:before="10"/>
        <w:rPr>
          <w:b/>
          <w:sz w:val="23"/>
        </w:rPr>
      </w:pPr>
    </w:p>
    <w:p w14:paraId="0F69A87E" w14:textId="77777777" w:rsidR="009D5393" w:rsidRDefault="00B21480">
      <w:pPr>
        <w:pStyle w:val="BodyText"/>
        <w:ind w:left="120"/>
      </w:pPr>
      <w:r>
        <w:rPr>
          <w:u w:val="single"/>
        </w:rPr>
        <w:t>Annual Burden Estimates</w:t>
      </w:r>
    </w:p>
    <w:p w14:paraId="63719348" w14:textId="77777777" w:rsidR="009D5393" w:rsidRDefault="009D5393">
      <w:pPr>
        <w:pStyle w:val="BodyText"/>
        <w:spacing w:before="2"/>
      </w:pPr>
    </w:p>
    <w:p w14:paraId="172C2320" w14:textId="77777777" w:rsidR="009D5393" w:rsidRDefault="00B21480">
      <w:pPr>
        <w:pStyle w:val="ListParagraph"/>
        <w:numPr>
          <w:ilvl w:val="0"/>
          <w:numId w:val="1"/>
        </w:numPr>
        <w:tabs>
          <w:tab w:val="left" w:pos="839"/>
          <w:tab w:val="left" w:pos="840"/>
        </w:tabs>
        <w:spacing w:line="293" w:lineRule="exact"/>
        <w:rPr>
          <w:b/>
          <w:sz w:val="24"/>
        </w:rPr>
      </w:pPr>
      <w:r>
        <w:rPr>
          <w:sz w:val="24"/>
        </w:rPr>
        <w:t xml:space="preserve">The total hourly burden for the IM is: </w:t>
      </w:r>
      <w:r>
        <w:rPr>
          <w:b/>
          <w:sz w:val="24"/>
        </w:rPr>
        <w:t>2,950,417</w:t>
      </w:r>
      <w:r>
        <w:rPr>
          <w:b/>
          <w:spacing w:val="-15"/>
          <w:sz w:val="24"/>
        </w:rPr>
        <w:t xml:space="preserve"> </w:t>
      </w:r>
      <w:r>
        <w:rPr>
          <w:b/>
          <w:sz w:val="24"/>
        </w:rPr>
        <w:t>hours</w:t>
      </w:r>
    </w:p>
    <w:p w14:paraId="134C40AB" w14:textId="77777777" w:rsidR="009D5393" w:rsidRDefault="00B21480">
      <w:pPr>
        <w:pStyle w:val="ListParagraph"/>
        <w:numPr>
          <w:ilvl w:val="0"/>
          <w:numId w:val="1"/>
        </w:numPr>
        <w:tabs>
          <w:tab w:val="left" w:pos="839"/>
          <w:tab w:val="left" w:pos="840"/>
        </w:tabs>
        <w:spacing w:line="293" w:lineRule="exact"/>
        <w:rPr>
          <w:b/>
          <w:sz w:val="24"/>
        </w:rPr>
      </w:pPr>
      <w:r>
        <w:rPr>
          <w:sz w:val="24"/>
        </w:rPr>
        <w:t xml:space="preserve">The total hourly burden for the DND is: </w:t>
      </w:r>
      <w:r>
        <w:rPr>
          <w:b/>
          <w:sz w:val="24"/>
        </w:rPr>
        <w:t>40,303</w:t>
      </w:r>
      <w:r>
        <w:rPr>
          <w:b/>
          <w:spacing w:val="-16"/>
          <w:sz w:val="24"/>
        </w:rPr>
        <w:t xml:space="preserve"> </w:t>
      </w:r>
      <w:r>
        <w:rPr>
          <w:b/>
          <w:sz w:val="24"/>
        </w:rPr>
        <w:t>hours</w:t>
      </w:r>
    </w:p>
    <w:p w14:paraId="6F59A2E1" w14:textId="503E9E76" w:rsidR="009D5393" w:rsidRDefault="00B21480">
      <w:pPr>
        <w:pStyle w:val="ListParagraph"/>
        <w:numPr>
          <w:ilvl w:val="0"/>
          <w:numId w:val="1"/>
        </w:numPr>
        <w:tabs>
          <w:tab w:val="left" w:pos="839"/>
          <w:tab w:val="left" w:pos="840"/>
        </w:tabs>
        <w:spacing w:line="293" w:lineRule="exact"/>
        <w:rPr>
          <w:b/>
          <w:sz w:val="24"/>
        </w:rPr>
      </w:pPr>
      <w:r>
        <w:rPr>
          <w:sz w:val="24"/>
        </w:rPr>
        <w:t>The total wage burden for the IM is:</w:t>
      </w:r>
      <w:r>
        <w:rPr>
          <w:spacing w:val="-14"/>
          <w:sz w:val="24"/>
        </w:rPr>
        <w:t xml:space="preserve"> </w:t>
      </w:r>
      <w:r>
        <w:rPr>
          <w:b/>
          <w:sz w:val="24"/>
        </w:rPr>
        <w:t>$</w:t>
      </w:r>
      <w:r w:rsidR="00434001">
        <w:rPr>
          <w:b/>
          <w:sz w:val="24"/>
        </w:rPr>
        <w:t>213,315,125</w:t>
      </w:r>
    </w:p>
    <w:p w14:paraId="5CCA8BDF" w14:textId="72879EAB" w:rsidR="009D5393" w:rsidRDefault="00B21480">
      <w:pPr>
        <w:pStyle w:val="ListParagraph"/>
        <w:numPr>
          <w:ilvl w:val="0"/>
          <w:numId w:val="1"/>
        </w:numPr>
        <w:tabs>
          <w:tab w:val="left" w:pos="839"/>
          <w:tab w:val="left" w:pos="840"/>
        </w:tabs>
        <w:spacing w:before="1"/>
        <w:rPr>
          <w:b/>
          <w:sz w:val="24"/>
        </w:rPr>
      </w:pPr>
      <w:r>
        <w:rPr>
          <w:sz w:val="24"/>
        </w:rPr>
        <w:t>The total wage burden for the DND is:</w:t>
      </w:r>
      <w:r>
        <w:rPr>
          <w:spacing w:val="-16"/>
          <w:sz w:val="24"/>
        </w:rPr>
        <w:t xml:space="preserve"> </w:t>
      </w:r>
      <w:r w:rsidR="00434001">
        <w:rPr>
          <w:b/>
          <w:sz w:val="24"/>
        </w:rPr>
        <w:t>$2,913,907</w:t>
      </w:r>
    </w:p>
    <w:p w14:paraId="6164C6D9" w14:textId="77777777" w:rsidR="009D5393" w:rsidRDefault="009D5393">
      <w:pPr>
        <w:pStyle w:val="BodyText"/>
        <w:spacing w:before="10"/>
        <w:rPr>
          <w:b/>
          <w:sz w:val="23"/>
        </w:rPr>
      </w:pPr>
    </w:p>
    <w:p w14:paraId="722D4EB1" w14:textId="77777777" w:rsidR="009D5393" w:rsidRDefault="00B21480">
      <w:pPr>
        <w:pStyle w:val="BodyText"/>
        <w:ind w:left="120" w:right="854"/>
      </w:pPr>
      <w:r>
        <w:t>In CY 2016, there were 11,064,063 discharges from Medicare inpatient hospitals. Accordingly, we estimate that 11,064,063 initial IMs were delivered that year.</w:t>
      </w:r>
    </w:p>
    <w:p w14:paraId="4F30D0AA" w14:textId="77777777" w:rsidR="009D5393" w:rsidRDefault="009D5393">
      <w:pPr>
        <w:pStyle w:val="BodyText"/>
        <w:spacing w:before="10"/>
        <w:rPr>
          <w:sz w:val="23"/>
        </w:rPr>
      </w:pPr>
    </w:p>
    <w:p w14:paraId="1EC1E70C" w14:textId="77777777" w:rsidR="009D5393" w:rsidRDefault="00B21480">
      <w:pPr>
        <w:pStyle w:val="BodyText"/>
        <w:ind w:left="120" w:right="368"/>
        <w:rPr>
          <w:sz w:val="16"/>
        </w:rPr>
      </w:pPr>
      <w:r>
        <w:t>We estimate that approximately 60%, or 6,638,438 of these beneficiaries, would have also received the follow-up copy of the initial IM.</w:t>
      </w:r>
      <w:hyperlink w:anchor="_bookmark0" w:history="1">
        <w:r>
          <w:rPr>
            <w:position w:val="6"/>
            <w:sz w:val="16"/>
          </w:rPr>
          <w:t>1</w:t>
        </w:r>
      </w:hyperlink>
    </w:p>
    <w:p w14:paraId="0FC9704F" w14:textId="77777777" w:rsidR="009D5393" w:rsidRDefault="009D5393">
      <w:pPr>
        <w:pStyle w:val="BodyText"/>
        <w:rPr>
          <w:sz w:val="20"/>
        </w:rPr>
      </w:pPr>
    </w:p>
    <w:p w14:paraId="3DE63BF9" w14:textId="6CF3AB8C" w:rsidR="009D5393" w:rsidRDefault="00156630">
      <w:pPr>
        <w:pStyle w:val="BodyText"/>
        <w:spacing w:before="7"/>
        <w:rPr>
          <w:sz w:val="12"/>
        </w:rPr>
      </w:pPr>
      <w:r>
        <w:rPr>
          <w:noProof/>
        </w:rPr>
        <mc:AlternateContent>
          <mc:Choice Requires="wps">
            <w:drawing>
              <wp:anchor distT="0" distB="0" distL="0" distR="0" simplePos="0" relativeHeight="251656704" behindDoc="0" locked="0" layoutInCell="1" allowOverlap="1" wp14:anchorId="6531F2C0" wp14:editId="26F5A0B9">
                <wp:simplePos x="0" y="0"/>
                <wp:positionH relativeFrom="page">
                  <wp:posOffset>914400</wp:posOffset>
                </wp:positionH>
                <wp:positionV relativeFrom="paragraph">
                  <wp:posOffset>120015</wp:posOffset>
                </wp:positionV>
                <wp:extent cx="1828800" cy="0"/>
                <wp:effectExtent l="9525" t="13335" r="9525" b="5715"/>
                <wp:wrapTopAndBottom/>
                <wp:docPr id="4" name="Line 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15FD940" id="Line 4" o:spid="_x0000_s1026" alt="Title: line"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45pt" to="3in,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" strokeweight=".6pt">
                <w10:wrap type="topAndBottom" anchorx="page"/>
              </v:line>
            </w:pict>
          </mc:Fallback>
        </mc:AlternateContent>
      </w:r>
    </w:p>
    <w:p w14:paraId="44979EEA" w14:textId="77777777" w:rsidR="009D5393" w:rsidRDefault="00B21480" w:rsidP="00B21480">
      <w:pPr>
        <w:spacing w:before="74"/>
        <w:ind w:left="120" w:hanging="1"/>
        <w:rPr>
          <w:sz w:val="10"/>
        </w:rPr>
      </w:pPr>
      <w:bookmarkStart w:id="1" w:name="_bookmark0"/>
      <w:bookmarkEnd w:id="1"/>
      <w:r>
        <w:rPr>
          <w:rFonts w:ascii="Arial"/>
          <w:position w:val="6"/>
          <w:sz w:val="12"/>
        </w:rPr>
        <w:t xml:space="preserve">1 </w:t>
      </w:r>
      <w:r>
        <w:rPr>
          <w:sz w:val="18"/>
        </w:rPr>
        <w:t>There are no quantifiable data on follow-up IM delivery. With prior PRA submissions, we estimated that the follow- up IM was likely delivered to 60% of beneficiaries/enrollees receiving an initial copy of the IM. The public has been invited to comment on this approach and the resulting estimate, in prior PRA comment periods. However, no</w:t>
      </w:r>
    </w:p>
    <w:p w14:paraId="07B86096" w14:textId="77777777" w:rsidR="009D5393" w:rsidRDefault="00B21480">
      <w:pPr>
        <w:pStyle w:val="BodyText"/>
        <w:spacing w:before="100"/>
        <w:ind w:left="119" w:right="491"/>
      </w:pPr>
      <w:r>
        <w:t>Consequently, we estimate that hospitals delivered a total of 17,702,500 initial and follow-up IMs to Medicare beneficiaries/enrollees (11,064,063 + 6,638,438) in 2016.</w:t>
      </w:r>
    </w:p>
    <w:p w14:paraId="475E0B58" w14:textId="77777777" w:rsidR="009D5393" w:rsidRDefault="009D5393">
      <w:pPr>
        <w:pStyle w:val="BodyText"/>
        <w:spacing w:before="1"/>
      </w:pPr>
    </w:p>
    <w:p w14:paraId="7DE6194A" w14:textId="77777777" w:rsidR="009D5393" w:rsidRDefault="00B21480">
      <w:pPr>
        <w:pStyle w:val="BodyText"/>
        <w:ind w:left="119"/>
      </w:pPr>
      <w:r>
        <w:t>In 2017, Medicare beneficiaries/enrollees</w:t>
      </w:r>
      <w:hyperlink w:anchor="_bookmark1" w:history="1">
        <w:r>
          <w:rPr>
            <w:position w:val="6"/>
            <w:sz w:val="16"/>
          </w:rPr>
          <w:t>2</w:t>
        </w:r>
      </w:hyperlink>
      <w:r>
        <w:rPr>
          <w:position w:val="6"/>
          <w:sz w:val="16"/>
        </w:rPr>
        <w:t xml:space="preserve"> </w:t>
      </w:r>
      <w:r>
        <w:t>requested 40,303 discharge appeals</w:t>
      </w:r>
      <w:hyperlink w:anchor="_bookmark2" w:history="1">
        <w:r>
          <w:rPr>
            <w:position w:val="6"/>
            <w:sz w:val="16"/>
          </w:rPr>
          <w:t>3</w:t>
        </w:r>
      </w:hyperlink>
      <w:r>
        <w:t>.</w:t>
      </w:r>
    </w:p>
    <w:p w14:paraId="7F65226A" w14:textId="77777777" w:rsidR="009D5393" w:rsidRDefault="009D5393">
      <w:pPr>
        <w:pStyle w:val="BodyText"/>
        <w:spacing w:before="10"/>
        <w:rPr>
          <w:sz w:val="23"/>
        </w:rPr>
      </w:pPr>
    </w:p>
    <w:p w14:paraId="65E64A7F" w14:textId="77777777" w:rsidR="009D5393" w:rsidRDefault="00B21480">
      <w:pPr>
        <w:pStyle w:val="BodyText"/>
        <w:ind w:left="120" w:right="771"/>
      </w:pPr>
      <w:r>
        <w:t>Because the DND is only required for beneficiaries/enrollees requesting discharge appeal, we know that in 2017, 40,303 DNDs were delivered.</w:t>
      </w:r>
    </w:p>
    <w:p w14:paraId="4EC4CC11" w14:textId="77777777" w:rsidR="009D5393" w:rsidRDefault="009D5393">
      <w:pPr>
        <w:pStyle w:val="BodyText"/>
        <w:spacing w:before="10"/>
        <w:rPr>
          <w:sz w:val="23"/>
        </w:rPr>
      </w:pPr>
    </w:p>
    <w:p w14:paraId="6ED59186" w14:textId="77777777" w:rsidR="009D5393" w:rsidRDefault="00B21480">
      <w:pPr>
        <w:pStyle w:val="BodyText"/>
        <w:ind w:left="120"/>
      </w:pPr>
      <w:r>
        <w:t>To arrive at the hourly and wage burdens we made the following assumptions and calculations for the individual notices:</w:t>
      </w:r>
    </w:p>
    <w:p w14:paraId="123CAA5C" w14:textId="77777777" w:rsidR="009D5393" w:rsidRDefault="009D5393">
      <w:pPr>
        <w:pStyle w:val="BodyText"/>
        <w:spacing w:before="10"/>
        <w:rPr>
          <w:sz w:val="23"/>
        </w:rPr>
      </w:pPr>
    </w:p>
    <w:p w14:paraId="3C603575" w14:textId="77777777" w:rsidR="009D5393" w:rsidRDefault="00B21480">
      <w:pPr>
        <w:pStyle w:val="BodyText"/>
        <w:ind w:left="120"/>
      </w:pPr>
      <w:r>
        <w:rPr>
          <w:u w:val="single"/>
        </w:rPr>
        <w:t>IM hourly burden</w:t>
      </w:r>
    </w:p>
    <w:p w14:paraId="51EF9F85" w14:textId="77777777" w:rsidR="009D5393" w:rsidRDefault="009D5393">
      <w:pPr>
        <w:pStyle w:val="BodyText"/>
        <w:spacing w:before="10"/>
        <w:rPr>
          <w:sz w:val="23"/>
        </w:rPr>
      </w:pPr>
    </w:p>
    <w:p w14:paraId="70C79F3C" w14:textId="77777777" w:rsidR="009D5393" w:rsidRDefault="00B21480">
      <w:pPr>
        <w:pStyle w:val="BodyText"/>
        <w:ind w:left="120" w:right="503"/>
      </w:pPr>
      <w:r>
        <w:t xml:space="preserve">Delivering the 17,702,500 IMs to beneficiaries/enrollees results in a total annualized burden of </w:t>
      </w:r>
      <w:r>
        <w:rPr>
          <w:b/>
        </w:rPr>
        <w:t xml:space="preserve">2,950,417 hours </w:t>
      </w:r>
      <w:r>
        <w:t>(10 minutes x 17,702,500 IMs/60 minutes).</w:t>
      </w:r>
    </w:p>
    <w:p w14:paraId="3534AC8B" w14:textId="77777777" w:rsidR="009D5393" w:rsidRDefault="009D5393">
      <w:pPr>
        <w:pStyle w:val="BodyText"/>
        <w:spacing w:before="10"/>
        <w:rPr>
          <w:sz w:val="23"/>
        </w:rPr>
      </w:pPr>
    </w:p>
    <w:p w14:paraId="40CC3221" w14:textId="77777777" w:rsidR="009D5393" w:rsidRDefault="00B21480">
      <w:pPr>
        <w:pStyle w:val="BodyText"/>
        <w:ind w:left="120"/>
      </w:pPr>
      <w:r>
        <w:rPr>
          <w:u w:val="single"/>
        </w:rPr>
        <w:t>DND hourly burden</w:t>
      </w:r>
    </w:p>
    <w:p w14:paraId="74ABE976" w14:textId="77777777" w:rsidR="009D5393" w:rsidRDefault="009D5393">
      <w:pPr>
        <w:pStyle w:val="BodyText"/>
        <w:spacing w:before="3"/>
        <w:rPr>
          <w:sz w:val="15"/>
        </w:rPr>
      </w:pPr>
    </w:p>
    <w:p w14:paraId="02284D08" w14:textId="77777777" w:rsidR="009D5393" w:rsidRDefault="00B21480">
      <w:pPr>
        <w:pStyle w:val="BodyText"/>
        <w:spacing w:before="100"/>
        <w:ind w:left="120" w:right="692"/>
      </w:pPr>
      <w:r>
        <w:t xml:space="preserve">Delivering the 40,303 DNDs to beneficiaries/enrollees results in a total annualized burden of </w:t>
      </w:r>
      <w:r>
        <w:rPr>
          <w:b/>
        </w:rPr>
        <w:t xml:space="preserve">40,303 hours </w:t>
      </w:r>
      <w:r>
        <w:t>(1 hour x 40,303 DNDs).</w:t>
      </w:r>
    </w:p>
    <w:p w14:paraId="5F1FD471" w14:textId="77777777" w:rsidR="009D5393" w:rsidRDefault="009D5393">
      <w:pPr>
        <w:pStyle w:val="BodyText"/>
        <w:spacing w:before="10"/>
        <w:rPr>
          <w:sz w:val="23"/>
        </w:rPr>
      </w:pPr>
    </w:p>
    <w:p w14:paraId="6325D728" w14:textId="77777777" w:rsidR="009D5393" w:rsidRDefault="00B21480">
      <w:pPr>
        <w:pStyle w:val="BodyText"/>
        <w:ind w:left="120"/>
      </w:pPr>
      <w:r>
        <w:rPr>
          <w:u w:val="single"/>
        </w:rPr>
        <w:t>Wages</w:t>
      </w:r>
    </w:p>
    <w:p w14:paraId="3DBBFDC9" w14:textId="77777777" w:rsidR="009D5393" w:rsidRDefault="009D5393">
      <w:pPr>
        <w:pStyle w:val="BodyText"/>
        <w:spacing w:before="3"/>
        <w:rPr>
          <w:sz w:val="15"/>
        </w:rPr>
      </w:pPr>
    </w:p>
    <w:p w14:paraId="7003E334" w14:textId="77777777" w:rsidR="009D5393" w:rsidRDefault="00B21480">
      <w:pPr>
        <w:pStyle w:val="BodyText"/>
        <w:spacing w:before="100"/>
        <w:ind w:left="119" w:right="92"/>
      </w:pPr>
      <w:r>
        <w:t>To derive average costs, we used data from the U.S. Bureau of Labor Statistics’ May 2018 National Occupational Employment and Wage Estimates for all salary estimates (</w:t>
      </w:r>
      <w:hyperlink r:id="rId9">
        <w:r>
          <w:rPr>
            <w:color w:val="800080"/>
            <w:u w:val="single" w:color="800080"/>
          </w:rPr>
          <w:t>http://www.bls.gov/oes/current/oes_nat.htm</w:t>
        </w:r>
      </w:hyperlink>
      <w:r>
        <w:t>). In this regard, the following table presents the mean hourly wage, the cost of fringe benefits (calculated at 100 percent of salary), and the adjusted hourly wage.</w:t>
      </w:r>
    </w:p>
    <w:p w14:paraId="60304444" w14:textId="77777777" w:rsidR="009D5393" w:rsidRDefault="009D5393">
      <w:pPr>
        <w:pStyle w:val="BodyText"/>
        <w:spacing w:before="1"/>
      </w:pPr>
    </w:p>
    <w:p w14:paraId="36B7C0A4" w14:textId="77777777" w:rsidR="009D5393" w:rsidRDefault="00B21480">
      <w:pPr>
        <w:pStyle w:val="Heading1"/>
        <w:ind w:left="120" w:firstLine="0"/>
      </w:pPr>
      <w:r>
        <w:t>Table 1: Cost Estimates</w:t>
      </w:r>
    </w:p>
    <w:p w14:paraId="4266288C" w14:textId="77777777" w:rsidR="009D5393" w:rsidRDefault="009D5393">
      <w:pPr>
        <w:pStyle w:val="BodyText"/>
        <w:spacing w:before="5"/>
        <w:rPr>
          <w:b/>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7"/>
        <w:gridCol w:w="1570"/>
        <w:gridCol w:w="1733"/>
        <w:gridCol w:w="1740"/>
        <w:gridCol w:w="1766"/>
      </w:tblGrid>
      <w:tr w:rsidR="009D5393" w14:paraId="6CEE9F10" w14:textId="77777777">
        <w:trPr>
          <w:trHeight w:hRule="exact" w:val="797"/>
        </w:trPr>
        <w:tc>
          <w:tcPr>
            <w:tcW w:w="2047" w:type="dxa"/>
          </w:tcPr>
          <w:p w14:paraId="642E5BF2" w14:textId="77777777" w:rsidR="009D5393" w:rsidRDefault="009D5393">
            <w:pPr>
              <w:pStyle w:val="TableParagraph"/>
              <w:spacing w:before="11"/>
              <w:rPr>
                <w:b/>
                <w:sz w:val="20"/>
              </w:rPr>
            </w:pPr>
          </w:p>
          <w:p w14:paraId="618A51FE" w14:textId="77777777" w:rsidR="009D5393" w:rsidRDefault="00B21480">
            <w:pPr>
              <w:pStyle w:val="TableParagraph"/>
              <w:ind w:left="-1"/>
              <w:rPr>
                <w:sz w:val="24"/>
              </w:rPr>
            </w:pPr>
            <w:bookmarkStart w:id="2" w:name="Occupation_Title"/>
            <w:bookmarkEnd w:id="2"/>
            <w:r>
              <w:rPr>
                <w:sz w:val="24"/>
              </w:rPr>
              <w:t>Occupation Title</w:t>
            </w:r>
          </w:p>
        </w:tc>
        <w:tc>
          <w:tcPr>
            <w:tcW w:w="1570" w:type="dxa"/>
          </w:tcPr>
          <w:p w14:paraId="12785983" w14:textId="77777777" w:rsidR="009D5393" w:rsidRDefault="009D5393">
            <w:pPr>
              <w:pStyle w:val="TableParagraph"/>
              <w:spacing w:before="11"/>
              <w:rPr>
                <w:b/>
                <w:sz w:val="20"/>
              </w:rPr>
            </w:pPr>
          </w:p>
          <w:p w14:paraId="2E0EC112" w14:textId="77777777" w:rsidR="009D5393" w:rsidRDefault="00B21480">
            <w:pPr>
              <w:pStyle w:val="TableParagraph"/>
              <w:ind w:left="-1" w:right="324"/>
              <w:rPr>
                <w:sz w:val="24"/>
              </w:rPr>
            </w:pPr>
            <w:bookmarkStart w:id="3" w:name="Occupation_Code"/>
            <w:bookmarkEnd w:id="3"/>
            <w:r>
              <w:rPr>
                <w:sz w:val="24"/>
              </w:rPr>
              <w:t>Occupation Code</w:t>
            </w:r>
          </w:p>
        </w:tc>
        <w:tc>
          <w:tcPr>
            <w:tcW w:w="1733" w:type="dxa"/>
          </w:tcPr>
          <w:p w14:paraId="07119826" w14:textId="77777777" w:rsidR="009D5393" w:rsidRDefault="009D5393">
            <w:pPr>
              <w:pStyle w:val="TableParagraph"/>
              <w:spacing w:before="11"/>
              <w:rPr>
                <w:b/>
                <w:sz w:val="20"/>
              </w:rPr>
            </w:pPr>
          </w:p>
          <w:p w14:paraId="49069DA8" w14:textId="77777777" w:rsidR="009D5393" w:rsidRDefault="00B21480">
            <w:pPr>
              <w:pStyle w:val="TableParagraph"/>
              <w:ind w:left="-1" w:right="296"/>
              <w:rPr>
                <w:sz w:val="24"/>
              </w:rPr>
            </w:pPr>
            <w:bookmarkStart w:id="4" w:name="Mean_Hourly_Wage_($/hr)"/>
            <w:bookmarkEnd w:id="4"/>
            <w:r>
              <w:rPr>
                <w:sz w:val="24"/>
              </w:rPr>
              <w:t>Mean Hourly Wage ($/hr)</w:t>
            </w:r>
          </w:p>
        </w:tc>
        <w:tc>
          <w:tcPr>
            <w:tcW w:w="1740" w:type="dxa"/>
          </w:tcPr>
          <w:p w14:paraId="1DDB042F" w14:textId="77777777" w:rsidR="009D5393" w:rsidRDefault="009D5393">
            <w:pPr>
              <w:pStyle w:val="TableParagraph"/>
              <w:spacing w:before="11"/>
              <w:rPr>
                <w:b/>
                <w:sz w:val="20"/>
              </w:rPr>
            </w:pPr>
          </w:p>
          <w:p w14:paraId="763C43DB" w14:textId="77777777" w:rsidR="009D5393" w:rsidRDefault="00B21480">
            <w:pPr>
              <w:pStyle w:val="TableParagraph"/>
              <w:rPr>
                <w:sz w:val="24"/>
              </w:rPr>
            </w:pPr>
            <w:bookmarkStart w:id="5" w:name="Fringe_Benefit_($/hr)"/>
            <w:bookmarkEnd w:id="5"/>
            <w:r>
              <w:rPr>
                <w:sz w:val="24"/>
              </w:rPr>
              <w:t>Fringe Benefit ($/hr)</w:t>
            </w:r>
          </w:p>
        </w:tc>
        <w:tc>
          <w:tcPr>
            <w:tcW w:w="1766" w:type="dxa"/>
          </w:tcPr>
          <w:p w14:paraId="01041F06" w14:textId="77777777" w:rsidR="009D5393" w:rsidRDefault="009D5393">
            <w:pPr>
              <w:pStyle w:val="TableParagraph"/>
              <w:spacing w:before="11"/>
              <w:rPr>
                <w:b/>
                <w:sz w:val="20"/>
              </w:rPr>
            </w:pPr>
          </w:p>
          <w:p w14:paraId="1626E367" w14:textId="77777777" w:rsidR="009D5393" w:rsidRDefault="00B21480">
            <w:pPr>
              <w:pStyle w:val="TableParagraph"/>
              <w:ind w:right="-17"/>
              <w:rPr>
                <w:sz w:val="24"/>
              </w:rPr>
            </w:pPr>
            <w:bookmarkStart w:id="6" w:name="Adjusted_Hourly_Wage_($/hr)"/>
            <w:bookmarkEnd w:id="6"/>
            <w:r>
              <w:rPr>
                <w:sz w:val="24"/>
              </w:rPr>
              <w:t>Adjusted Hourly Wage ($/hr)</w:t>
            </w:r>
          </w:p>
        </w:tc>
      </w:tr>
      <w:tr w:rsidR="009D5393" w14:paraId="3C002B54" w14:textId="77777777">
        <w:trPr>
          <w:trHeight w:hRule="exact" w:val="554"/>
        </w:trPr>
        <w:tc>
          <w:tcPr>
            <w:tcW w:w="2047" w:type="dxa"/>
          </w:tcPr>
          <w:p w14:paraId="19591A72" w14:textId="77777777" w:rsidR="009D5393" w:rsidRDefault="00B21480">
            <w:pPr>
              <w:pStyle w:val="TableParagraph"/>
              <w:ind w:left="103" w:right="782"/>
              <w:rPr>
                <w:sz w:val="24"/>
              </w:rPr>
            </w:pPr>
            <w:r>
              <w:rPr>
                <w:sz w:val="24"/>
              </w:rPr>
              <w:t>Registered</w:t>
            </w:r>
            <w:r>
              <w:rPr>
                <w:w w:val="99"/>
                <w:sz w:val="24"/>
              </w:rPr>
              <w:t xml:space="preserve"> </w:t>
            </w:r>
            <w:r>
              <w:rPr>
                <w:sz w:val="24"/>
              </w:rPr>
              <w:t>nurse</w:t>
            </w:r>
          </w:p>
        </w:tc>
        <w:tc>
          <w:tcPr>
            <w:tcW w:w="1570" w:type="dxa"/>
          </w:tcPr>
          <w:p w14:paraId="0A583965" w14:textId="77777777" w:rsidR="009D5393" w:rsidRDefault="00B21480">
            <w:pPr>
              <w:pStyle w:val="TableParagraph"/>
              <w:spacing w:line="271" w:lineRule="exact"/>
              <w:ind w:left="100"/>
              <w:rPr>
                <w:sz w:val="24"/>
              </w:rPr>
            </w:pPr>
            <w:r>
              <w:rPr>
                <w:sz w:val="24"/>
              </w:rPr>
              <w:t>29-1141</w:t>
            </w:r>
          </w:p>
        </w:tc>
        <w:tc>
          <w:tcPr>
            <w:tcW w:w="1733" w:type="dxa"/>
          </w:tcPr>
          <w:p w14:paraId="759E9115" w14:textId="001A53C8" w:rsidR="009D5393" w:rsidRDefault="00B21480">
            <w:pPr>
              <w:pStyle w:val="TableParagraph"/>
              <w:spacing w:line="271" w:lineRule="exact"/>
              <w:ind w:left="103"/>
              <w:rPr>
                <w:sz w:val="24"/>
              </w:rPr>
            </w:pPr>
            <w:r>
              <w:rPr>
                <w:sz w:val="24"/>
              </w:rPr>
              <w:t>$36.30</w:t>
            </w:r>
          </w:p>
        </w:tc>
        <w:tc>
          <w:tcPr>
            <w:tcW w:w="1740" w:type="dxa"/>
          </w:tcPr>
          <w:p w14:paraId="5F30D813" w14:textId="4126445A" w:rsidR="009D5393" w:rsidRDefault="00B21480">
            <w:pPr>
              <w:pStyle w:val="TableParagraph"/>
              <w:spacing w:line="271" w:lineRule="exact"/>
              <w:ind w:left="103"/>
              <w:rPr>
                <w:sz w:val="24"/>
              </w:rPr>
            </w:pPr>
            <w:r>
              <w:rPr>
                <w:sz w:val="24"/>
              </w:rPr>
              <w:t>$36.30</w:t>
            </w:r>
          </w:p>
        </w:tc>
        <w:tc>
          <w:tcPr>
            <w:tcW w:w="1766" w:type="dxa"/>
          </w:tcPr>
          <w:p w14:paraId="6FDE3E12" w14:textId="7EC42A4A" w:rsidR="009D5393" w:rsidRDefault="00B21480">
            <w:pPr>
              <w:pStyle w:val="TableParagraph"/>
              <w:spacing w:line="271" w:lineRule="exact"/>
              <w:ind w:left="103"/>
              <w:rPr>
                <w:sz w:val="24"/>
              </w:rPr>
            </w:pPr>
            <w:r>
              <w:rPr>
                <w:sz w:val="24"/>
              </w:rPr>
              <w:t>$72.60</w:t>
            </w:r>
          </w:p>
        </w:tc>
      </w:tr>
    </w:tbl>
    <w:p w14:paraId="6D8B19D8" w14:textId="77777777" w:rsidR="009D5393" w:rsidRDefault="009D5393">
      <w:pPr>
        <w:pStyle w:val="BodyText"/>
        <w:rPr>
          <w:b/>
          <w:sz w:val="30"/>
        </w:rPr>
      </w:pPr>
    </w:p>
    <w:p w14:paraId="0C6B55A1" w14:textId="77777777" w:rsidR="009D5393" w:rsidRDefault="00B21480">
      <w:pPr>
        <w:pStyle w:val="BodyText"/>
        <w:ind w:left="119"/>
      </w:pPr>
      <w:r>
        <w:t>As indicated, we are adjusting our employee hourly wage estimates by a factor of 100 percent. This is necessarily a rough adjustment, both because fringe benefits and overhead costs vary significantly from employer to employer, and because methods of</w:t>
      </w:r>
    </w:p>
    <w:p w14:paraId="0CC0B32B" w14:textId="549EE477" w:rsidR="009D5393" w:rsidRDefault="00156630">
      <w:pPr>
        <w:pStyle w:val="BodyText"/>
        <w:spacing w:before="9"/>
        <w:rPr>
          <w:sz w:val="20"/>
        </w:rPr>
      </w:pPr>
      <w:r>
        <w:rPr>
          <w:noProof/>
        </w:rPr>
        <mc:AlternateContent>
          <mc:Choice Requires="wps">
            <w:drawing>
              <wp:anchor distT="0" distB="0" distL="0" distR="0" simplePos="0" relativeHeight="251657728" behindDoc="0" locked="0" layoutInCell="1" allowOverlap="1" wp14:anchorId="483A9953" wp14:editId="5C48051E">
                <wp:simplePos x="0" y="0"/>
                <wp:positionH relativeFrom="page">
                  <wp:posOffset>914400</wp:posOffset>
                </wp:positionH>
                <wp:positionV relativeFrom="paragraph">
                  <wp:posOffset>179070</wp:posOffset>
                </wp:positionV>
                <wp:extent cx="1828800" cy="0"/>
                <wp:effectExtent l="9525" t="6350" r="9525" b="12700"/>
                <wp:wrapTopAndBottom/>
                <wp:docPr id="3"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84BB80" id="Line 3" o:spid="_x0000_s1026" alt="Title: line"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1pt" to="3in,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" strokeweight=".6pt">
                <w10:wrap type="topAndBottom" anchorx="page"/>
              </v:line>
            </w:pict>
          </mc:Fallback>
        </mc:AlternateContent>
      </w:r>
    </w:p>
    <w:p w14:paraId="57A63C81" w14:textId="77777777" w:rsidR="009D5393" w:rsidRDefault="00B21480">
      <w:pPr>
        <w:spacing w:before="79"/>
        <w:ind w:left="119" w:right="270"/>
        <w:rPr>
          <w:sz w:val="18"/>
        </w:rPr>
      </w:pPr>
      <w:r>
        <w:rPr>
          <w:sz w:val="18"/>
        </w:rPr>
        <w:t>comments were received on the assumption, and we have never received any suggested alternative estimates. Thus, we will continue to use this methodology with this package submission.</w:t>
      </w:r>
    </w:p>
    <w:p w14:paraId="1F6C106F" w14:textId="77777777" w:rsidR="009D5393" w:rsidRDefault="009D5393">
      <w:pPr>
        <w:pStyle w:val="BodyText"/>
        <w:spacing w:before="4"/>
        <w:rPr>
          <w:sz w:val="19"/>
        </w:rPr>
      </w:pPr>
    </w:p>
    <w:p w14:paraId="0FBF3790" w14:textId="77777777" w:rsidR="009D5393" w:rsidRDefault="00B21480">
      <w:pPr>
        <w:ind w:left="120"/>
        <w:rPr>
          <w:sz w:val="18"/>
        </w:rPr>
      </w:pPr>
      <w:bookmarkStart w:id="7" w:name="_bookmark1"/>
      <w:bookmarkEnd w:id="7"/>
      <w:r>
        <w:rPr>
          <w:rFonts w:ascii="Times New Roman"/>
          <w:position w:val="7"/>
          <w:sz w:val="13"/>
        </w:rPr>
        <w:t xml:space="preserve">2 </w:t>
      </w:r>
      <w:r>
        <w:rPr>
          <w:sz w:val="18"/>
        </w:rPr>
        <w:t>CMS Fast Facts, July 2018 version.</w:t>
      </w:r>
    </w:p>
    <w:p w14:paraId="35C33C7F" w14:textId="77777777" w:rsidR="009D5393" w:rsidRDefault="009D5393">
      <w:pPr>
        <w:pStyle w:val="BodyText"/>
        <w:spacing w:before="10"/>
        <w:rPr>
          <w:sz w:val="17"/>
        </w:rPr>
      </w:pPr>
    </w:p>
    <w:p w14:paraId="1DF49BEC" w14:textId="77777777" w:rsidR="009D5393" w:rsidRDefault="00B21480">
      <w:pPr>
        <w:ind w:left="120"/>
        <w:rPr>
          <w:sz w:val="18"/>
        </w:rPr>
      </w:pPr>
      <w:bookmarkStart w:id="8" w:name="_bookmark2"/>
      <w:bookmarkEnd w:id="8"/>
      <w:r>
        <w:rPr>
          <w:rFonts w:ascii="Times New Roman"/>
          <w:position w:val="7"/>
          <w:sz w:val="13"/>
        </w:rPr>
        <w:t xml:space="preserve">3 </w:t>
      </w:r>
      <w:r>
        <w:rPr>
          <w:sz w:val="18"/>
        </w:rPr>
        <w:t>For QIO contract year spanning from August 1, 2017 to July 31, 2018.</w:t>
      </w:r>
    </w:p>
    <w:p w14:paraId="4C0E60A9" w14:textId="77777777" w:rsidR="009D5393" w:rsidRDefault="009D5393">
      <w:pPr>
        <w:rPr>
          <w:sz w:val="18"/>
        </w:rPr>
        <w:sectPr w:rsidR="009D5393">
          <w:pgSz w:w="12240" w:h="15840"/>
          <w:pgMar w:top="1500" w:right="1340" w:bottom="1260" w:left="1320" w:header="0" w:footer="1070" w:gutter="0"/>
          <w:cols w:space="720"/>
        </w:sectPr>
      </w:pPr>
    </w:p>
    <w:p w14:paraId="5E9F0883" w14:textId="77777777" w:rsidR="009D5393" w:rsidRDefault="00B21480">
      <w:pPr>
        <w:pStyle w:val="BodyText"/>
        <w:spacing w:before="78"/>
        <w:ind w:left="820"/>
      </w:pPr>
      <w:r>
        <w:t>estimating these costs vary widely from study to study. Nonetheless, there is no practical alternative, and we believe that doubling the hourly wage to estimate total cost is a reasonably accurate estimation method.</w:t>
      </w:r>
    </w:p>
    <w:p w14:paraId="1616709E" w14:textId="77777777" w:rsidR="009D5393" w:rsidRDefault="009D5393">
      <w:pPr>
        <w:pStyle w:val="BodyText"/>
        <w:spacing w:before="10"/>
        <w:rPr>
          <w:sz w:val="23"/>
        </w:rPr>
      </w:pPr>
    </w:p>
    <w:p w14:paraId="75EB2DDE" w14:textId="77777777" w:rsidR="009D5393" w:rsidRDefault="00B21480">
      <w:pPr>
        <w:pStyle w:val="BodyText"/>
        <w:ind w:left="820"/>
      </w:pPr>
      <w:r>
        <w:rPr>
          <w:u w:val="single"/>
        </w:rPr>
        <w:t>IM wage burden</w:t>
      </w:r>
    </w:p>
    <w:p w14:paraId="5A4BA0FF" w14:textId="77777777" w:rsidR="009D5393" w:rsidRDefault="009D5393">
      <w:pPr>
        <w:pStyle w:val="BodyText"/>
        <w:spacing w:before="3"/>
        <w:rPr>
          <w:sz w:val="15"/>
        </w:rPr>
      </w:pPr>
    </w:p>
    <w:p w14:paraId="226C4083" w14:textId="470BB11B" w:rsidR="009D5393" w:rsidRDefault="00B21480">
      <w:pPr>
        <w:pStyle w:val="BodyText"/>
        <w:spacing w:before="100"/>
        <w:ind w:left="820" w:right="124"/>
      </w:pPr>
      <w:r>
        <w:t>The cost of IM delivery is $</w:t>
      </w:r>
      <w:r w:rsidR="002D4CE5">
        <w:t>12.05</w:t>
      </w:r>
      <w:r>
        <w:t xml:space="preserve"> per notice ($</w:t>
      </w:r>
      <w:r w:rsidR="002D4CE5">
        <w:t>72.30</w:t>
      </w:r>
      <w:r>
        <w:t xml:space="preserve"> x 10 minutes/60 minutes). Thus, we estimate a total wage burden of </w:t>
      </w:r>
      <w:r>
        <w:rPr>
          <w:b/>
        </w:rPr>
        <w:t>$</w:t>
      </w:r>
      <w:r w:rsidR="002D4CE5">
        <w:rPr>
          <w:b/>
        </w:rPr>
        <w:t>213,315,125</w:t>
      </w:r>
      <w:r>
        <w:rPr>
          <w:b/>
        </w:rPr>
        <w:t xml:space="preserve"> </w:t>
      </w:r>
      <w:r>
        <w:t>for the IM ($</w:t>
      </w:r>
      <w:r w:rsidR="002D4CE5">
        <w:t>12.05</w:t>
      </w:r>
      <w:r>
        <w:t xml:space="preserve"> x 17,702,500 IMs).</w:t>
      </w:r>
    </w:p>
    <w:p w14:paraId="2DF3AE51" w14:textId="77777777" w:rsidR="009D5393" w:rsidRDefault="009D5393">
      <w:pPr>
        <w:pStyle w:val="BodyText"/>
        <w:spacing w:before="1"/>
      </w:pPr>
    </w:p>
    <w:p w14:paraId="78733343" w14:textId="77777777" w:rsidR="009D5393" w:rsidRDefault="00B21480">
      <w:pPr>
        <w:pStyle w:val="BodyText"/>
        <w:ind w:left="820"/>
      </w:pPr>
      <w:r>
        <w:rPr>
          <w:u w:val="single"/>
        </w:rPr>
        <w:t>DND wage burden</w:t>
      </w:r>
    </w:p>
    <w:p w14:paraId="7682895F" w14:textId="77777777" w:rsidR="009D5393" w:rsidRDefault="009D5393">
      <w:pPr>
        <w:pStyle w:val="BodyText"/>
        <w:spacing w:before="10"/>
        <w:rPr>
          <w:sz w:val="23"/>
        </w:rPr>
      </w:pPr>
    </w:p>
    <w:p w14:paraId="08DD016B" w14:textId="2BCAA294" w:rsidR="009D5393" w:rsidRDefault="00B21480">
      <w:pPr>
        <w:pStyle w:val="BodyText"/>
        <w:ind w:left="820" w:right="179"/>
      </w:pPr>
      <w:r>
        <w:t>The cost of DND delivery is $</w:t>
      </w:r>
      <w:r w:rsidR="002D4CE5">
        <w:t>72.30</w:t>
      </w:r>
      <w:r>
        <w:t xml:space="preserve"> per notice ($</w:t>
      </w:r>
      <w:r w:rsidR="002D4CE5">
        <w:t>72.30</w:t>
      </w:r>
      <w:r>
        <w:t xml:space="preserve"> x 1 hour). Thus we estimate a total wage burden of </w:t>
      </w:r>
      <w:r>
        <w:rPr>
          <w:b/>
        </w:rPr>
        <w:t>$</w:t>
      </w:r>
      <w:r w:rsidR="002D4CE5">
        <w:rPr>
          <w:b/>
        </w:rPr>
        <w:t>2,913,907</w:t>
      </w:r>
      <w:r>
        <w:rPr>
          <w:b/>
        </w:rPr>
        <w:t xml:space="preserve"> </w:t>
      </w:r>
      <w:r>
        <w:t>for the DND ($</w:t>
      </w:r>
      <w:r w:rsidR="002D4CE5">
        <w:t>72.30</w:t>
      </w:r>
      <w:r>
        <w:t xml:space="preserve"> x 40,303 DNDs).</w:t>
      </w:r>
    </w:p>
    <w:p w14:paraId="218C1BBF" w14:textId="77777777" w:rsidR="009D5393" w:rsidRDefault="009D5393">
      <w:pPr>
        <w:pStyle w:val="BodyText"/>
        <w:spacing w:before="1"/>
      </w:pPr>
    </w:p>
    <w:p w14:paraId="171138DE" w14:textId="77777777" w:rsidR="009D5393" w:rsidRDefault="00B21480">
      <w:pPr>
        <w:pStyle w:val="Heading1"/>
        <w:numPr>
          <w:ilvl w:val="1"/>
          <w:numId w:val="2"/>
        </w:numPr>
        <w:tabs>
          <w:tab w:val="left" w:pos="1539"/>
          <w:tab w:val="left" w:pos="1540"/>
        </w:tabs>
        <w:ind w:left="1540"/>
        <w:jc w:val="left"/>
      </w:pPr>
      <w:r>
        <w:t>Capital Costs</w:t>
      </w:r>
    </w:p>
    <w:p w14:paraId="0ABF6542" w14:textId="77777777" w:rsidR="009D5393" w:rsidRDefault="009D5393">
      <w:pPr>
        <w:pStyle w:val="BodyText"/>
        <w:spacing w:before="10"/>
        <w:rPr>
          <w:b/>
          <w:sz w:val="23"/>
        </w:rPr>
      </w:pPr>
    </w:p>
    <w:p w14:paraId="6B9C48D3" w14:textId="77777777" w:rsidR="009D5393" w:rsidRDefault="00B21480">
      <w:pPr>
        <w:pStyle w:val="BodyText"/>
        <w:ind w:left="820"/>
      </w:pPr>
      <w:r>
        <w:t>There are no capital costs associated with this collection.</w:t>
      </w:r>
    </w:p>
    <w:p w14:paraId="65A2BB2A" w14:textId="77777777" w:rsidR="009D5393" w:rsidRDefault="009D5393">
      <w:pPr>
        <w:pStyle w:val="BodyText"/>
        <w:spacing w:before="10"/>
        <w:rPr>
          <w:sz w:val="23"/>
        </w:rPr>
      </w:pPr>
    </w:p>
    <w:p w14:paraId="2EF3257B" w14:textId="77777777" w:rsidR="009D5393" w:rsidRDefault="00B21480">
      <w:pPr>
        <w:pStyle w:val="Heading1"/>
        <w:numPr>
          <w:ilvl w:val="1"/>
          <w:numId w:val="2"/>
        </w:numPr>
        <w:tabs>
          <w:tab w:val="left" w:pos="1535"/>
          <w:tab w:val="left" w:pos="1536"/>
        </w:tabs>
        <w:ind w:left="1535" w:hanging="715"/>
        <w:jc w:val="left"/>
      </w:pPr>
      <w:r>
        <w:t>Cost to Federal</w:t>
      </w:r>
      <w:r>
        <w:rPr>
          <w:spacing w:val="-4"/>
        </w:rPr>
        <w:t xml:space="preserve"> </w:t>
      </w:r>
      <w:r>
        <w:t>Government</w:t>
      </w:r>
    </w:p>
    <w:p w14:paraId="40F1B6C0" w14:textId="77777777" w:rsidR="009D5393" w:rsidRDefault="009D5393">
      <w:pPr>
        <w:pStyle w:val="BodyText"/>
        <w:spacing w:before="10"/>
        <w:rPr>
          <w:b/>
          <w:sz w:val="23"/>
        </w:rPr>
      </w:pPr>
    </w:p>
    <w:p w14:paraId="13FCC024" w14:textId="77777777" w:rsidR="009D5393" w:rsidRDefault="00B21480">
      <w:pPr>
        <w:pStyle w:val="BodyText"/>
        <w:ind w:left="820"/>
      </w:pPr>
      <w:r>
        <w:t>There is no cost to the Federal Government for this collection.</w:t>
      </w:r>
    </w:p>
    <w:p w14:paraId="6263D721" w14:textId="77777777" w:rsidR="009D5393" w:rsidRDefault="009D5393">
      <w:pPr>
        <w:pStyle w:val="BodyText"/>
        <w:spacing w:before="1"/>
      </w:pPr>
    </w:p>
    <w:p w14:paraId="2B40F3B7" w14:textId="77777777" w:rsidR="009D5393" w:rsidRDefault="00B21480">
      <w:pPr>
        <w:pStyle w:val="Heading1"/>
        <w:numPr>
          <w:ilvl w:val="1"/>
          <w:numId w:val="2"/>
        </w:numPr>
        <w:tabs>
          <w:tab w:val="left" w:pos="1539"/>
          <w:tab w:val="left" w:pos="1540"/>
        </w:tabs>
        <w:ind w:left="1540"/>
        <w:jc w:val="left"/>
      </w:pPr>
      <w:r>
        <w:t>Changes to</w:t>
      </w:r>
      <w:r>
        <w:rPr>
          <w:spacing w:val="-4"/>
        </w:rPr>
        <w:t xml:space="preserve"> </w:t>
      </w:r>
      <w:r>
        <w:t>Burden</w:t>
      </w:r>
    </w:p>
    <w:p w14:paraId="75D28E71" w14:textId="77777777" w:rsidR="009D5393" w:rsidRDefault="009D5393">
      <w:pPr>
        <w:pStyle w:val="BodyText"/>
        <w:spacing w:before="10"/>
        <w:rPr>
          <w:b/>
          <w:sz w:val="23"/>
        </w:rPr>
      </w:pPr>
    </w:p>
    <w:p w14:paraId="29AF7286" w14:textId="35BE9A1D" w:rsidR="009D5393" w:rsidRDefault="00B21480">
      <w:pPr>
        <w:pStyle w:val="BodyText"/>
        <w:ind w:left="820" w:right="179"/>
      </w:pPr>
      <w:r>
        <w:t xml:space="preserve">An increased number of discharge appeal requests is responsible for the increase in our estimated burden of the DND. Reasons for the increases have been attributed </w:t>
      </w:r>
      <w:r w:rsidR="00C548EA">
        <w:t xml:space="preserve">to </w:t>
      </w:r>
      <w:r>
        <w:t>more accurate reporting of the number of discharge appeals requested by beneficiaries and enrollees.</w:t>
      </w:r>
    </w:p>
    <w:p w14:paraId="4AC940B1" w14:textId="77777777" w:rsidR="009D5393" w:rsidRDefault="009D5393">
      <w:pPr>
        <w:pStyle w:val="BodyText"/>
        <w:spacing w:before="10"/>
        <w:rPr>
          <w:sz w:val="23"/>
        </w:rPr>
      </w:pPr>
    </w:p>
    <w:p w14:paraId="25C3A11E" w14:textId="77777777" w:rsidR="009D5393" w:rsidRDefault="00B21480">
      <w:pPr>
        <w:pStyle w:val="Heading1"/>
        <w:numPr>
          <w:ilvl w:val="1"/>
          <w:numId w:val="2"/>
        </w:numPr>
        <w:tabs>
          <w:tab w:val="left" w:pos="1539"/>
          <w:tab w:val="left" w:pos="1540"/>
        </w:tabs>
        <w:ind w:left="1540"/>
        <w:jc w:val="left"/>
      </w:pPr>
      <w:r>
        <w:t>Publication and Tabulation</w:t>
      </w:r>
      <w:r>
        <w:rPr>
          <w:spacing w:val="-6"/>
        </w:rPr>
        <w:t xml:space="preserve"> </w:t>
      </w:r>
      <w:r>
        <w:t>Dates</w:t>
      </w:r>
    </w:p>
    <w:p w14:paraId="5D08B511" w14:textId="77777777" w:rsidR="009D5393" w:rsidRDefault="009D5393">
      <w:pPr>
        <w:pStyle w:val="BodyText"/>
        <w:spacing w:before="10"/>
        <w:rPr>
          <w:b/>
          <w:sz w:val="23"/>
        </w:rPr>
      </w:pPr>
    </w:p>
    <w:p w14:paraId="32173DB8" w14:textId="77777777" w:rsidR="009D5393" w:rsidRDefault="00B21480">
      <w:pPr>
        <w:pStyle w:val="BodyText"/>
        <w:ind w:left="820"/>
      </w:pPr>
      <w:r>
        <w:t>CMS does not intend to publish data related to the notices.</w:t>
      </w:r>
    </w:p>
    <w:p w14:paraId="40A78EF1" w14:textId="77777777" w:rsidR="009D5393" w:rsidRDefault="009D5393">
      <w:pPr>
        <w:pStyle w:val="BodyText"/>
        <w:spacing w:before="1"/>
      </w:pPr>
    </w:p>
    <w:p w14:paraId="772377E2" w14:textId="77777777" w:rsidR="009D5393" w:rsidRDefault="00B21480">
      <w:pPr>
        <w:pStyle w:val="Heading1"/>
        <w:numPr>
          <w:ilvl w:val="1"/>
          <w:numId w:val="2"/>
        </w:numPr>
        <w:tabs>
          <w:tab w:val="left" w:pos="1539"/>
          <w:tab w:val="left" w:pos="1540"/>
        </w:tabs>
        <w:ind w:left="1540"/>
        <w:jc w:val="left"/>
      </w:pPr>
      <w:r>
        <w:t>Expiration</w:t>
      </w:r>
      <w:r>
        <w:rPr>
          <w:spacing w:val="-3"/>
        </w:rPr>
        <w:t xml:space="preserve"> </w:t>
      </w:r>
      <w:r>
        <w:t>Date</w:t>
      </w:r>
    </w:p>
    <w:p w14:paraId="26BB0C1E" w14:textId="77777777" w:rsidR="009D5393" w:rsidRDefault="009D5393">
      <w:pPr>
        <w:pStyle w:val="BodyText"/>
        <w:spacing w:before="10"/>
        <w:rPr>
          <w:b/>
          <w:sz w:val="23"/>
        </w:rPr>
      </w:pPr>
    </w:p>
    <w:p w14:paraId="70CCADD7" w14:textId="77777777" w:rsidR="009D5393" w:rsidRDefault="00B21480">
      <w:pPr>
        <w:pStyle w:val="BodyText"/>
        <w:ind w:left="819" w:right="717"/>
      </w:pPr>
      <w:r>
        <w:t>CMS will display the expiration date and OMB control number at the bottom of all forms and instructions.</w:t>
      </w:r>
    </w:p>
    <w:p w14:paraId="7736143A" w14:textId="77777777" w:rsidR="009D5393" w:rsidRDefault="009D5393">
      <w:pPr>
        <w:pStyle w:val="BodyText"/>
        <w:spacing w:before="1"/>
      </w:pPr>
    </w:p>
    <w:p w14:paraId="70B2F079" w14:textId="77777777" w:rsidR="009D5393" w:rsidRDefault="00B21480">
      <w:pPr>
        <w:pStyle w:val="Heading1"/>
        <w:numPr>
          <w:ilvl w:val="1"/>
          <w:numId w:val="2"/>
        </w:numPr>
        <w:tabs>
          <w:tab w:val="left" w:pos="1539"/>
          <w:tab w:val="left" w:pos="1540"/>
        </w:tabs>
        <w:ind w:left="1540"/>
        <w:jc w:val="left"/>
      </w:pPr>
      <w:r>
        <w:t>Certification</w:t>
      </w:r>
      <w:r>
        <w:rPr>
          <w:spacing w:val="-7"/>
        </w:rPr>
        <w:t xml:space="preserve"> </w:t>
      </w:r>
      <w:r>
        <w:t>Statement</w:t>
      </w:r>
    </w:p>
    <w:p w14:paraId="1BC05875" w14:textId="77777777" w:rsidR="009D5393" w:rsidRDefault="009D5393">
      <w:pPr>
        <w:pStyle w:val="BodyText"/>
        <w:spacing w:before="10"/>
        <w:rPr>
          <w:b/>
          <w:sz w:val="23"/>
        </w:rPr>
      </w:pPr>
    </w:p>
    <w:p w14:paraId="3D0E35C7" w14:textId="77777777" w:rsidR="009D5393" w:rsidRDefault="00B21480">
      <w:pPr>
        <w:pStyle w:val="BodyText"/>
        <w:ind w:left="820"/>
      </w:pPr>
      <w:r>
        <w:t>No exception to any section of the I-83 is requested.</w:t>
      </w:r>
    </w:p>
    <w:sectPr w:rsidR="009D5393">
      <w:pgSz w:w="12240" w:h="15840"/>
      <w:pgMar w:top="1360" w:right="1380" w:bottom="1260" w:left="620" w:header="0" w:footer="10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B2383" w14:textId="77777777" w:rsidR="00B84DCE" w:rsidRDefault="00B84DCE">
      <w:r>
        <w:separator/>
      </w:r>
    </w:p>
  </w:endnote>
  <w:endnote w:type="continuationSeparator" w:id="0">
    <w:p w14:paraId="1BB5566A" w14:textId="77777777" w:rsidR="00B84DCE" w:rsidRDefault="00B8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4C7F4" w14:textId="6337607B" w:rsidR="009D5393" w:rsidRDefault="0015663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2336E71" wp14:editId="162D4EDE">
              <wp:simplePos x="0" y="0"/>
              <wp:positionH relativeFrom="page">
                <wp:posOffset>3822700</wp:posOffset>
              </wp:positionH>
              <wp:positionV relativeFrom="page">
                <wp:posOffset>9239250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0B812" w14:textId="66B8AB5E" w:rsidR="009D5393" w:rsidRDefault="00B21480">
                          <w:pPr>
                            <w:pStyle w:val="BodyText"/>
                            <w:spacing w:before="10"/>
                            <w:ind w:left="40"/>
                            <w:rPr>
                              <w:rFonts w:ascii="Times New Roman"/>
                            </w:rPr>
                          </w:pPr>
                          <w:r>
                            <w:fldChar w:fldCharType="begin"/>
                          </w:r>
                          <w:r>
                            <w:rPr>
                              <w:rFonts w:ascii="Times New Roman"/>
                            </w:rPr>
                            <w:instrText xml:space="preserve"> PAGE </w:instrText>
                          </w:r>
                          <w:r>
                            <w:fldChar w:fldCharType="separate"/>
                          </w:r>
                          <w:r w:rsidR="0044439E">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" filled="f" stroked="f">
              <v:textbox inset="0,0,0,0">
                <w:txbxContent>
                  <w:p w14:paraId="4A20B812" w14:textId="66B8AB5E" w:rsidR="009D5393" w:rsidRDefault="00B21480">
                    <w:pPr>
                      <w:pStyle w:val="BodyText"/>
                      <w:spacing w:before="10"/>
                      <w:ind w:left="40"/>
                      <w:rPr>
                        <w:rFonts w:ascii="Times New Roman"/>
                      </w:rPr>
                    </w:pPr>
                    <w:r>
                      <w:fldChar w:fldCharType="begin"/>
                    </w:r>
                    <w:r>
                      <w:rPr>
                        <w:rFonts w:ascii="Times New Roman"/>
                      </w:rPr>
                      <w:instrText xml:space="preserve"> PAGE </w:instrText>
                    </w:r>
                    <w:r>
                      <w:fldChar w:fldCharType="separate"/>
                    </w:r>
                    <w:r w:rsidR="0044439E">
                      <w:rPr>
                        <w:rFonts w:ascii="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9B3E9" w14:textId="77777777" w:rsidR="00B84DCE" w:rsidRDefault="00B84DCE">
      <w:r>
        <w:separator/>
      </w:r>
    </w:p>
  </w:footnote>
  <w:footnote w:type="continuationSeparator" w:id="0">
    <w:p w14:paraId="659299B5" w14:textId="77777777" w:rsidR="00B84DCE" w:rsidRDefault="00B84D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67F09"/>
    <w:multiLevelType w:val="hybridMultilevel"/>
    <w:tmpl w:val="91F01CCE"/>
    <w:lvl w:ilvl="0" w:tplc="8B129372">
      <w:start w:val="1"/>
      <w:numFmt w:val="upperLetter"/>
      <w:lvlText w:val="%1."/>
      <w:lvlJc w:val="left"/>
      <w:pPr>
        <w:ind w:left="840" w:hanging="720"/>
        <w:jc w:val="left"/>
      </w:pPr>
      <w:rPr>
        <w:rFonts w:ascii="Georgia" w:eastAsia="Georgia" w:hAnsi="Georgia" w:cs="Georgia" w:hint="default"/>
        <w:b/>
        <w:bCs/>
        <w:w w:val="99"/>
        <w:sz w:val="24"/>
        <w:szCs w:val="24"/>
      </w:rPr>
    </w:lvl>
    <w:lvl w:ilvl="1" w:tplc="01C08C9A">
      <w:start w:val="1"/>
      <w:numFmt w:val="decimal"/>
      <w:lvlText w:val="%2."/>
      <w:lvlJc w:val="left"/>
      <w:pPr>
        <w:ind w:left="820" w:hanging="720"/>
        <w:jc w:val="right"/>
      </w:pPr>
      <w:rPr>
        <w:rFonts w:ascii="Georgia" w:eastAsia="Georgia" w:hAnsi="Georgia" w:cs="Georgia" w:hint="default"/>
        <w:b/>
        <w:bCs/>
        <w:w w:val="99"/>
        <w:sz w:val="24"/>
        <w:szCs w:val="24"/>
      </w:rPr>
    </w:lvl>
    <w:lvl w:ilvl="2" w:tplc="9B5A603C">
      <w:numFmt w:val="bullet"/>
      <w:lvlText w:val="•"/>
      <w:lvlJc w:val="left"/>
      <w:pPr>
        <w:ind w:left="1612" w:hanging="360"/>
      </w:pPr>
      <w:rPr>
        <w:rFonts w:ascii="Arial" w:eastAsia="Arial" w:hAnsi="Arial" w:cs="Arial" w:hint="default"/>
        <w:w w:val="99"/>
        <w:sz w:val="24"/>
        <w:szCs w:val="24"/>
      </w:rPr>
    </w:lvl>
    <w:lvl w:ilvl="3" w:tplc="410CD09E">
      <w:numFmt w:val="bullet"/>
      <w:lvlText w:val="•"/>
      <w:lvlJc w:val="left"/>
      <w:pPr>
        <w:ind w:left="2602" w:hanging="360"/>
      </w:pPr>
      <w:rPr>
        <w:rFonts w:hint="default"/>
      </w:rPr>
    </w:lvl>
    <w:lvl w:ilvl="4" w:tplc="BEAEC8D4">
      <w:numFmt w:val="bullet"/>
      <w:lvlText w:val="•"/>
      <w:lvlJc w:val="left"/>
      <w:pPr>
        <w:ind w:left="3585" w:hanging="360"/>
      </w:pPr>
      <w:rPr>
        <w:rFonts w:hint="default"/>
      </w:rPr>
    </w:lvl>
    <w:lvl w:ilvl="5" w:tplc="0CB4B06C">
      <w:numFmt w:val="bullet"/>
      <w:lvlText w:val="•"/>
      <w:lvlJc w:val="left"/>
      <w:pPr>
        <w:ind w:left="4567" w:hanging="360"/>
      </w:pPr>
      <w:rPr>
        <w:rFonts w:hint="default"/>
      </w:rPr>
    </w:lvl>
    <w:lvl w:ilvl="6" w:tplc="C4FA4FE4">
      <w:numFmt w:val="bullet"/>
      <w:lvlText w:val="•"/>
      <w:lvlJc w:val="left"/>
      <w:pPr>
        <w:ind w:left="5550" w:hanging="360"/>
      </w:pPr>
      <w:rPr>
        <w:rFonts w:hint="default"/>
      </w:rPr>
    </w:lvl>
    <w:lvl w:ilvl="7" w:tplc="58786F64">
      <w:numFmt w:val="bullet"/>
      <w:lvlText w:val="•"/>
      <w:lvlJc w:val="left"/>
      <w:pPr>
        <w:ind w:left="6532" w:hanging="360"/>
      </w:pPr>
      <w:rPr>
        <w:rFonts w:hint="default"/>
      </w:rPr>
    </w:lvl>
    <w:lvl w:ilvl="8" w:tplc="C98ED726">
      <w:numFmt w:val="bullet"/>
      <w:lvlText w:val="•"/>
      <w:lvlJc w:val="left"/>
      <w:pPr>
        <w:ind w:left="7515" w:hanging="360"/>
      </w:pPr>
      <w:rPr>
        <w:rFonts w:hint="default"/>
      </w:rPr>
    </w:lvl>
  </w:abstractNum>
  <w:abstractNum w:abstractNumId="1">
    <w:nsid w:val="45DE1DBF"/>
    <w:multiLevelType w:val="hybridMultilevel"/>
    <w:tmpl w:val="D3ECBD5E"/>
    <w:lvl w:ilvl="0" w:tplc="6B0E6A40">
      <w:numFmt w:val="bullet"/>
      <w:lvlText w:val="•"/>
      <w:lvlJc w:val="left"/>
      <w:pPr>
        <w:ind w:left="1632" w:hanging="360"/>
      </w:pPr>
      <w:rPr>
        <w:rFonts w:ascii="Arial" w:eastAsia="Arial" w:hAnsi="Arial" w:cs="Arial" w:hint="default"/>
        <w:w w:val="99"/>
        <w:sz w:val="24"/>
        <w:szCs w:val="24"/>
      </w:rPr>
    </w:lvl>
    <w:lvl w:ilvl="1" w:tplc="B72A620C">
      <w:numFmt w:val="bullet"/>
      <w:lvlText w:val="•"/>
      <w:lvlJc w:val="left"/>
      <w:pPr>
        <w:ind w:left="2434" w:hanging="360"/>
      </w:pPr>
      <w:rPr>
        <w:rFonts w:hint="default"/>
      </w:rPr>
    </w:lvl>
    <w:lvl w:ilvl="2" w:tplc="BD063E20">
      <w:numFmt w:val="bullet"/>
      <w:lvlText w:val="•"/>
      <w:lvlJc w:val="left"/>
      <w:pPr>
        <w:ind w:left="3228" w:hanging="360"/>
      </w:pPr>
      <w:rPr>
        <w:rFonts w:hint="default"/>
      </w:rPr>
    </w:lvl>
    <w:lvl w:ilvl="3" w:tplc="C6B243E4">
      <w:numFmt w:val="bullet"/>
      <w:lvlText w:val="•"/>
      <w:lvlJc w:val="left"/>
      <w:pPr>
        <w:ind w:left="4022" w:hanging="360"/>
      </w:pPr>
      <w:rPr>
        <w:rFonts w:hint="default"/>
      </w:rPr>
    </w:lvl>
    <w:lvl w:ilvl="4" w:tplc="0E4CBB72">
      <w:numFmt w:val="bullet"/>
      <w:lvlText w:val="•"/>
      <w:lvlJc w:val="left"/>
      <w:pPr>
        <w:ind w:left="4816" w:hanging="360"/>
      </w:pPr>
      <w:rPr>
        <w:rFonts w:hint="default"/>
      </w:rPr>
    </w:lvl>
    <w:lvl w:ilvl="5" w:tplc="7B62F16A">
      <w:numFmt w:val="bullet"/>
      <w:lvlText w:val="•"/>
      <w:lvlJc w:val="left"/>
      <w:pPr>
        <w:ind w:left="5610" w:hanging="360"/>
      </w:pPr>
      <w:rPr>
        <w:rFonts w:hint="default"/>
      </w:rPr>
    </w:lvl>
    <w:lvl w:ilvl="6" w:tplc="290875E6">
      <w:numFmt w:val="bullet"/>
      <w:lvlText w:val="•"/>
      <w:lvlJc w:val="left"/>
      <w:pPr>
        <w:ind w:left="6404" w:hanging="360"/>
      </w:pPr>
      <w:rPr>
        <w:rFonts w:hint="default"/>
      </w:rPr>
    </w:lvl>
    <w:lvl w:ilvl="7" w:tplc="737CE904">
      <w:numFmt w:val="bullet"/>
      <w:lvlText w:val="•"/>
      <w:lvlJc w:val="left"/>
      <w:pPr>
        <w:ind w:left="7198" w:hanging="360"/>
      </w:pPr>
      <w:rPr>
        <w:rFonts w:hint="default"/>
      </w:rPr>
    </w:lvl>
    <w:lvl w:ilvl="8" w:tplc="D5989E9A">
      <w:numFmt w:val="bullet"/>
      <w:lvlText w:val="•"/>
      <w:lvlJc w:val="left"/>
      <w:pPr>
        <w:ind w:left="7992" w:hanging="360"/>
      </w:pPr>
      <w:rPr>
        <w:rFonts w:hint="default"/>
      </w:rPr>
    </w:lvl>
  </w:abstractNum>
  <w:abstractNum w:abstractNumId="2">
    <w:nsid w:val="59E86B6D"/>
    <w:multiLevelType w:val="hybridMultilevel"/>
    <w:tmpl w:val="E1CC1462"/>
    <w:lvl w:ilvl="0" w:tplc="443648CE">
      <w:numFmt w:val="bullet"/>
      <w:lvlText w:val=""/>
      <w:lvlJc w:val="left"/>
      <w:pPr>
        <w:ind w:left="840" w:hanging="360"/>
      </w:pPr>
      <w:rPr>
        <w:rFonts w:ascii="Symbol" w:eastAsia="Symbol" w:hAnsi="Symbol" w:cs="Symbol" w:hint="default"/>
        <w:w w:val="100"/>
        <w:sz w:val="24"/>
        <w:szCs w:val="24"/>
      </w:rPr>
    </w:lvl>
    <w:lvl w:ilvl="1" w:tplc="73866C30">
      <w:numFmt w:val="bullet"/>
      <w:lvlText w:val="•"/>
      <w:lvlJc w:val="left"/>
      <w:pPr>
        <w:ind w:left="1710" w:hanging="360"/>
      </w:pPr>
      <w:rPr>
        <w:rFonts w:hint="default"/>
      </w:rPr>
    </w:lvl>
    <w:lvl w:ilvl="2" w:tplc="E0E42B8E">
      <w:numFmt w:val="bullet"/>
      <w:lvlText w:val="•"/>
      <w:lvlJc w:val="left"/>
      <w:pPr>
        <w:ind w:left="2580" w:hanging="360"/>
      </w:pPr>
      <w:rPr>
        <w:rFonts w:hint="default"/>
      </w:rPr>
    </w:lvl>
    <w:lvl w:ilvl="3" w:tplc="40FA1632">
      <w:numFmt w:val="bullet"/>
      <w:lvlText w:val="•"/>
      <w:lvlJc w:val="left"/>
      <w:pPr>
        <w:ind w:left="3450" w:hanging="360"/>
      </w:pPr>
      <w:rPr>
        <w:rFonts w:hint="default"/>
      </w:rPr>
    </w:lvl>
    <w:lvl w:ilvl="4" w:tplc="D3B8C0A6">
      <w:numFmt w:val="bullet"/>
      <w:lvlText w:val="•"/>
      <w:lvlJc w:val="left"/>
      <w:pPr>
        <w:ind w:left="4320" w:hanging="360"/>
      </w:pPr>
      <w:rPr>
        <w:rFonts w:hint="default"/>
      </w:rPr>
    </w:lvl>
    <w:lvl w:ilvl="5" w:tplc="167E63B4">
      <w:numFmt w:val="bullet"/>
      <w:lvlText w:val="•"/>
      <w:lvlJc w:val="left"/>
      <w:pPr>
        <w:ind w:left="5190" w:hanging="360"/>
      </w:pPr>
      <w:rPr>
        <w:rFonts w:hint="default"/>
      </w:rPr>
    </w:lvl>
    <w:lvl w:ilvl="6" w:tplc="74EE3334">
      <w:numFmt w:val="bullet"/>
      <w:lvlText w:val="•"/>
      <w:lvlJc w:val="left"/>
      <w:pPr>
        <w:ind w:left="6060" w:hanging="360"/>
      </w:pPr>
      <w:rPr>
        <w:rFonts w:hint="default"/>
      </w:rPr>
    </w:lvl>
    <w:lvl w:ilvl="7" w:tplc="C6F2AB7E">
      <w:numFmt w:val="bullet"/>
      <w:lvlText w:val="•"/>
      <w:lvlJc w:val="left"/>
      <w:pPr>
        <w:ind w:left="6930" w:hanging="360"/>
      </w:pPr>
      <w:rPr>
        <w:rFonts w:hint="default"/>
      </w:rPr>
    </w:lvl>
    <w:lvl w:ilvl="8" w:tplc="857A1FD4">
      <w:numFmt w:val="bullet"/>
      <w:lvlText w:val="•"/>
      <w:lvlJc w:val="left"/>
      <w:pPr>
        <w:ind w:left="780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393"/>
    <w:rsid w:val="00156630"/>
    <w:rsid w:val="002D4CE5"/>
    <w:rsid w:val="00434001"/>
    <w:rsid w:val="0044439E"/>
    <w:rsid w:val="005E23D9"/>
    <w:rsid w:val="006564B5"/>
    <w:rsid w:val="009D5393"/>
    <w:rsid w:val="00A521E5"/>
    <w:rsid w:val="00B21480"/>
    <w:rsid w:val="00B84DCE"/>
    <w:rsid w:val="00C5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7A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1480"/>
    <w:rPr>
      <w:sz w:val="16"/>
      <w:szCs w:val="16"/>
    </w:rPr>
  </w:style>
  <w:style w:type="paragraph" w:styleId="CommentText">
    <w:name w:val="annotation text"/>
    <w:basedOn w:val="Normal"/>
    <w:link w:val="CommentTextChar"/>
    <w:uiPriority w:val="99"/>
    <w:semiHidden/>
    <w:unhideWhenUsed/>
    <w:rsid w:val="00B21480"/>
    <w:rPr>
      <w:sz w:val="20"/>
      <w:szCs w:val="20"/>
    </w:rPr>
  </w:style>
  <w:style w:type="character" w:customStyle="1" w:styleId="CommentTextChar">
    <w:name w:val="Comment Text Char"/>
    <w:basedOn w:val="DefaultParagraphFont"/>
    <w:link w:val="CommentText"/>
    <w:uiPriority w:val="99"/>
    <w:semiHidden/>
    <w:rsid w:val="00B21480"/>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B21480"/>
    <w:rPr>
      <w:b/>
      <w:bCs/>
    </w:rPr>
  </w:style>
  <w:style w:type="character" w:customStyle="1" w:styleId="CommentSubjectChar">
    <w:name w:val="Comment Subject Char"/>
    <w:basedOn w:val="CommentTextChar"/>
    <w:link w:val="CommentSubject"/>
    <w:uiPriority w:val="99"/>
    <w:semiHidden/>
    <w:rsid w:val="00B21480"/>
    <w:rPr>
      <w:rFonts w:ascii="Georgia" w:eastAsia="Georgia" w:hAnsi="Georgia" w:cs="Georgia"/>
      <w:b/>
      <w:bCs/>
      <w:sz w:val="20"/>
      <w:szCs w:val="20"/>
    </w:rPr>
  </w:style>
  <w:style w:type="paragraph" w:styleId="BalloonText">
    <w:name w:val="Balloon Text"/>
    <w:basedOn w:val="Normal"/>
    <w:link w:val="BalloonTextChar"/>
    <w:uiPriority w:val="99"/>
    <w:semiHidden/>
    <w:unhideWhenUsed/>
    <w:rsid w:val="00B21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480"/>
    <w:rPr>
      <w:rFonts w:ascii="Segoe UI" w:eastAsia="Georg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84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21480"/>
    <w:rPr>
      <w:sz w:val="16"/>
      <w:szCs w:val="16"/>
    </w:rPr>
  </w:style>
  <w:style w:type="paragraph" w:styleId="CommentText">
    <w:name w:val="annotation text"/>
    <w:basedOn w:val="Normal"/>
    <w:link w:val="CommentTextChar"/>
    <w:uiPriority w:val="99"/>
    <w:semiHidden/>
    <w:unhideWhenUsed/>
    <w:rsid w:val="00B21480"/>
    <w:rPr>
      <w:sz w:val="20"/>
      <w:szCs w:val="20"/>
    </w:rPr>
  </w:style>
  <w:style w:type="character" w:customStyle="1" w:styleId="CommentTextChar">
    <w:name w:val="Comment Text Char"/>
    <w:basedOn w:val="DefaultParagraphFont"/>
    <w:link w:val="CommentText"/>
    <w:uiPriority w:val="99"/>
    <w:semiHidden/>
    <w:rsid w:val="00B21480"/>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B21480"/>
    <w:rPr>
      <w:b/>
      <w:bCs/>
    </w:rPr>
  </w:style>
  <w:style w:type="character" w:customStyle="1" w:styleId="CommentSubjectChar">
    <w:name w:val="Comment Subject Char"/>
    <w:basedOn w:val="CommentTextChar"/>
    <w:link w:val="CommentSubject"/>
    <w:uiPriority w:val="99"/>
    <w:semiHidden/>
    <w:rsid w:val="00B21480"/>
    <w:rPr>
      <w:rFonts w:ascii="Georgia" w:eastAsia="Georgia" w:hAnsi="Georgia" w:cs="Georgia"/>
      <w:b/>
      <w:bCs/>
      <w:sz w:val="20"/>
      <w:szCs w:val="20"/>
    </w:rPr>
  </w:style>
  <w:style w:type="paragraph" w:styleId="BalloonText">
    <w:name w:val="Balloon Text"/>
    <w:basedOn w:val="Normal"/>
    <w:link w:val="BalloonTextChar"/>
    <w:uiPriority w:val="99"/>
    <w:semiHidden/>
    <w:unhideWhenUsed/>
    <w:rsid w:val="00B21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480"/>
    <w:rPr>
      <w:rFonts w:ascii="Segoe UI" w:eastAsia="Georg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NOMNC and DENC</vt:lpstr>
    </vt:vector>
  </TitlesOfParts>
  <Company>CMS</Company>
  <LinksUpToDate>false</LinksUpToDate>
  <CharactersWithSpaces>12712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NOMNC and DENC</dc:title>
  <dc:subject>Supporting Statement NOMNC and DENC</dc:subject>
  <dc:creator>CMS/CPC/MEAG/DAP</dc:creator>
  <cp:keywords>Fast track appeals notices, supporting statement, NOMNC, DENC</cp:keywords>
  <cp:lastModifiedBy>SYSTEM</cp:lastModifiedBy>
  <cp:revision>2</cp:revision>
  <dcterms:created xsi:type="dcterms:W3CDTF">2019-09-03T18:27:00Z</dcterms:created>
  <dcterms:modified xsi:type="dcterms:W3CDTF">2019-09-03T18:27:00Z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Creator">
    <vt:lpwstr>Acrobat PDFMaker 15 for Word</vt:lpwstr>
  </property>
  <property fmtid="{D5CDD505-2E9C-101B-9397-08002B2CF9AE}" pid="4" name="LastSaved">
    <vt:filetime>2019-04-24T00:00:00Z</vt:filetime>
  </property>
  <property fmtid="{D5CDD505-2E9C-101B-9397-08002B2CF9AE}" pid="5" name="_NewReviewCycle">
    <vt:lpwstr/>
  </property>
</Properties>
</file>