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02A6F" w14:textId="77777777" w:rsidR="00E318A2" w:rsidRDefault="00E318A2" w:rsidP="00784374">
      <w:pPr>
        <w:spacing w:after="0" w:line="360" w:lineRule="auto"/>
        <w:ind w:left="2880" w:firstLine="720"/>
        <w:rPr>
          <w:rFonts w:cstheme="minorHAnsi"/>
          <w:sz w:val="24"/>
          <w:szCs w:val="24"/>
        </w:rPr>
      </w:pPr>
      <w:bookmarkStart w:id="0" w:name="_GoBack"/>
      <w:bookmarkEnd w:id="0"/>
    </w:p>
    <w:p w14:paraId="68BA36D6" w14:textId="5720B442" w:rsidR="00E35DD1" w:rsidRPr="00E9498D" w:rsidRDefault="00E35DD1" w:rsidP="00784374">
      <w:pPr>
        <w:spacing w:after="0" w:line="360" w:lineRule="auto"/>
        <w:ind w:left="2880" w:firstLine="720"/>
        <w:rPr>
          <w:rFonts w:eastAsia="Times New Roman" w:cstheme="minorHAnsi"/>
          <w:sz w:val="24"/>
          <w:szCs w:val="24"/>
        </w:rPr>
      </w:pPr>
      <w:r w:rsidRPr="00E9498D">
        <w:rPr>
          <w:rFonts w:cstheme="minorHAnsi"/>
          <w:sz w:val="24"/>
          <w:szCs w:val="24"/>
        </w:rPr>
        <w:t>Supporting Statement A for</w:t>
      </w:r>
    </w:p>
    <w:p w14:paraId="4AD68EFA" w14:textId="77777777" w:rsidR="00E35DD1" w:rsidRPr="00E9498D" w:rsidRDefault="00E35DD1"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 xml:space="preserve">                    </w:t>
      </w:r>
    </w:p>
    <w:p w14:paraId="4B7885CB" w14:textId="2DA33480" w:rsidR="00E10085" w:rsidRPr="00E9498D" w:rsidRDefault="00E10085" w:rsidP="00784374">
      <w:pPr>
        <w:pStyle w:val="P1-StandPara"/>
        <w:tabs>
          <w:tab w:val="left" w:pos="720"/>
          <w:tab w:val="right" w:leader="dot" w:pos="9504"/>
        </w:tabs>
        <w:spacing w:line="360" w:lineRule="auto"/>
        <w:ind w:firstLine="0"/>
        <w:jc w:val="center"/>
        <w:rPr>
          <w:rFonts w:asciiTheme="minorHAnsi" w:hAnsiTheme="minorHAnsi" w:cstheme="minorHAnsi"/>
          <w:sz w:val="24"/>
          <w:szCs w:val="24"/>
        </w:rPr>
      </w:pPr>
      <w:bookmarkStart w:id="1" w:name="_Hlk19691978"/>
      <w:r w:rsidRPr="00E9498D">
        <w:rPr>
          <w:rFonts w:asciiTheme="minorHAnsi" w:hAnsiTheme="minorHAnsi" w:cstheme="minorHAnsi"/>
          <w:sz w:val="24"/>
          <w:szCs w:val="24"/>
        </w:rPr>
        <w:t>Autism Spectrum Disorder (ASD) Research Portfolio Analysis, NIMH</w:t>
      </w:r>
    </w:p>
    <w:bookmarkEnd w:id="1"/>
    <w:p w14:paraId="680B9135" w14:textId="104C3883" w:rsidR="00024899" w:rsidRPr="00E9498D" w:rsidRDefault="00E10085" w:rsidP="00784374">
      <w:pPr>
        <w:pStyle w:val="P1-StandPara"/>
        <w:tabs>
          <w:tab w:val="left" w:pos="720"/>
          <w:tab w:val="right" w:leader="dot" w:pos="9504"/>
        </w:tabs>
        <w:spacing w:line="360" w:lineRule="auto"/>
        <w:ind w:firstLine="0"/>
        <w:jc w:val="center"/>
        <w:rPr>
          <w:rFonts w:asciiTheme="minorHAnsi" w:hAnsiTheme="minorHAnsi" w:cstheme="minorHAnsi"/>
          <w:sz w:val="24"/>
          <w:szCs w:val="24"/>
        </w:rPr>
      </w:pPr>
      <w:r w:rsidRPr="00E9498D">
        <w:rPr>
          <w:rFonts w:asciiTheme="minorHAnsi" w:hAnsiTheme="minorHAnsi" w:cstheme="minorHAnsi"/>
          <w:sz w:val="24"/>
          <w:szCs w:val="24"/>
        </w:rPr>
        <w:t>OMB Control No. 0925-0682</w:t>
      </w:r>
      <w:r w:rsidR="00E318A2">
        <w:rPr>
          <w:rFonts w:asciiTheme="minorHAnsi" w:hAnsiTheme="minorHAnsi" w:cstheme="minorHAnsi"/>
          <w:sz w:val="24"/>
          <w:szCs w:val="24"/>
        </w:rPr>
        <w:t xml:space="preserve">, </w:t>
      </w:r>
      <w:r w:rsidRPr="00E9498D">
        <w:rPr>
          <w:rFonts w:asciiTheme="minorHAnsi" w:hAnsiTheme="minorHAnsi" w:cstheme="minorHAnsi"/>
          <w:sz w:val="24"/>
          <w:szCs w:val="24"/>
        </w:rPr>
        <w:t>Exp</w:t>
      </w:r>
      <w:r w:rsidR="00E318A2">
        <w:rPr>
          <w:rFonts w:asciiTheme="minorHAnsi" w:hAnsiTheme="minorHAnsi" w:cstheme="minorHAnsi"/>
          <w:sz w:val="24"/>
          <w:szCs w:val="24"/>
        </w:rPr>
        <w:t>.,</w:t>
      </w:r>
      <w:r w:rsidRPr="00E9498D">
        <w:rPr>
          <w:rFonts w:asciiTheme="minorHAnsi" w:hAnsiTheme="minorHAnsi" w:cstheme="minorHAnsi"/>
          <w:sz w:val="24"/>
          <w:szCs w:val="24"/>
        </w:rPr>
        <w:t xml:space="preserve"> Date December 31, 2019</w:t>
      </w:r>
    </w:p>
    <w:p w14:paraId="27C26FEE" w14:textId="77777777" w:rsidR="00013D7D" w:rsidRPr="00E9498D" w:rsidRDefault="00013D7D" w:rsidP="00784374">
      <w:pPr>
        <w:pStyle w:val="P1-StandPara"/>
        <w:tabs>
          <w:tab w:val="left" w:pos="720"/>
          <w:tab w:val="right" w:leader="dot" w:pos="9504"/>
        </w:tabs>
        <w:spacing w:line="360" w:lineRule="auto"/>
        <w:ind w:firstLine="0"/>
        <w:jc w:val="center"/>
        <w:rPr>
          <w:rFonts w:asciiTheme="minorHAnsi" w:hAnsiTheme="minorHAnsi" w:cstheme="minorHAnsi"/>
          <w:sz w:val="24"/>
          <w:szCs w:val="24"/>
        </w:rPr>
      </w:pPr>
    </w:p>
    <w:p w14:paraId="1ECE92EB" w14:textId="16457B14" w:rsidR="00E35DD1" w:rsidRPr="00E9498D" w:rsidRDefault="00E35DD1"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Date</w:t>
      </w:r>
      <w:r w:rsidR="00BE76A7" w:rsidRPr="00E9498D">
        <w:rPr>
          <w:rFonts w:asciiTheme="minorHAnsi" w:hAnsiTheme="minorHAnsi" w:cstheme="minorHAnsi"/>
          <w:sz w:val="24"/>
          <w:szCs w:val="24"/>
        </w:rPr>
        <w:t xml:space="preserve">: </w:t>
      </w:r>
      <w:r w:rsidR="00013D7D" w:rsidRPr="00E9498D">
        <w:rPr>
          <w:rFonts w:asciiTheme="minorHAnsi" w:hAnsiTheme="minorHAnsi" w:cstheme="minorHAnsi"/>
          <w:sz w:val="24"/>
          <w:szCs w:val="24"/>
        </w:rPr>
        <w:tab/>
      </w:r>
      <w:r w:rsidR="00470E81">
        <w:rPr>
          <w:rFonts w:asciiTheme="minorHAnsi" w:hAnsiTheme="minorHAnsi" w:cstheme="minorHAnsi"/>
          <w:sz w:val="24"/>
          <w:szCs w:val="24"/>
        </w:rPr>
        <w:t>December 2, 20</w:t>
      </w:r>
      <w:r w:rsidR="00013D7D" w:rsidRPr="00E9498D">
        <w:rPr>
          <w:rFonts w:asciiTheme="minorHAnsi" w:hAnsiTheme="minorHAnsi" w:cstheme="minorHAnsi"/>
          <w:sz w:val="24"/>
          <w:szCs w:val="24"/>
        </w:rPr>
        <w:t>19</w:t>
      </w:r>
      <w:r w:rsidRPr="00E9498D">
        <w:rPr>
          <w:rFonts w:asciiTheme="minorHAnsi" w:hAnsiTheme="minorHAnsi" w:cstheme="minorHAnsi"/>
          <w:sz w:val="24"/>
          <w:szCs w:val="24"/>
        </w:rPr>
        <w:t xml:space="preserve"> </w:t>
      </w:r>
    </w:p>
    <w:p w14:paraId="5FEFB1D1" w14:textId="77777777"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p>
    <w:p w14:paraId="72879FE9" w14:textId="77777777" w:rsidR="00FF30CE" w:rsidRPr="00E9498D" w:rsidRDefault="00FF30CE"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Check off which applies:</w:t>
      </w:r>
    </w:p>
    <w:p w14:paraId="580EAAC6" w14:textId="2BA54810" w:rsidR="00FF30CE" w:rsidRPr="00E9498D" w:rsidRDefault="00FF30CE" w:rsidP="00784374">
      <w:pPr>
        <w:pStyle w:val="ListParagraph"/>
        <w:numPr>
          <w:ilvl w:val="0"/>
          <w:numId w:val="11"/>
        </w:numPr>
        <w:spacing w:after="0" w:line="360" w:lineRule="auto"/>
        <w:rPr>
          <w:rFonts w:cstheme="minorHAnsi"/>
          <w:sz w:val="24"/>
          <w:szCs w:val="24"/>
        </w:rPr>
      </w:pPr>
      <w:r w:rsidRPr="00E9498D">
        <w:rPr>
          <w:rFonts w:cstheme="minorHAnsi"/>
          <w:sz w:val="24"/>
          <w:szCs w:val="24"/>
        </w:rPr>
        <w:t xml:space="preserve">New </w:t>
      </w:r>
    </w:p>
    <w:p w14:paraId="45BA54F5" w14:textId="77777777" w:rsidR="00FF30CE" w:rsidRPr="00E9498D" w:rsidRDefault="00FF30CE" w:rsidP="00784374">
      <w:pPr>
        <w:numPr>
          <w:ilvl w:val="0"/>
          <w:numId w:val="11"/>
        </w:numPr>
        <w:spacing w:after="0" w:line="360" w:lineRule="auto"/>
        <w:rPr>
          <w:rFonts w:cstheme="minorHAnsi"/>
          <w:sz w:val="24"/>
          <w:szCs w:val="24"/>
        </w:rPr>
      </w:pPr>
      <w:r w:rsidRPr="00E9498D">
        <w:rPr>
          <w:rFonts w:cstheme="minorHAnsi"/>
          <w:sz w:val="24"/>
          <w:szCs w:val="24"/>
        </w:rPr>
        <w:t>Revision</w:t>
      </w:r>
      <w:r w:rsidRPr="00E9498D">
        <w:rPr>
          <w:rFonts w:cstheme="minorHAnsi"/>
          <w:sz w:val="24"/>
          <w:szCs w:val="24"/>
        </w:rPr>
        <w:tab/>
      </w:r>
      <w:r w:rsidRPr="00E9498D">
        <w:rPr>
          <w:rFonts w:cstheme="minorHAnsi"/>
          <w:sz w:val="24"/>
          <w:szCs w:val="24"/>
        </w:rPr>
        <w:tab/>
      </w:r>
      <w:r w:rsidRPr="00E9498D">
        <w:rPr>
          <w:rFonts w:cstheme="minorHAnsi"/>
          <w:sz w:val="24"/>
          <w:szCs w:val="24"/>
        </w:rPr>
        <w:tab/>
      </w:r>
    </w:p>
    <w:p w14:paraId="185A0B7B" w14:textId="77777777" w:rsidR="00FF30CE" w:rsidRPr="00E9498D" w:rsidRDefault="00FF30CE" w:rsidP="00784374">
      <w:pPr>
        <w:numPr>
          <w:ilvl w:val="0"/>
          <w:numId w:val="11"/>
        </w:numPr>
        <w:spacing w:after="0" w:line="360" w:lineRule="auto"/>
        <w:rPr>
          <w:rFonts w:cstheme="minorHAnsi"/>
          <w:sz w:val="24"/>
          <w:szCs w:val="24"/>
        </w:rPr>
      </w:pPr>
      <w:r w:rsidRPr="00E9498D">
        <w:rPr>
          <w:rFonts w:cstheme="minorHAnsi"/>
          <w:sz w:val="24"/>
          <w:szCs w:val="24"/>
        </w:rPr>
        <w:t>Reinstatement with Change</w:t>
      </w:r>
    </w:p>
    <w:p w14:paraId="5177244E" w14:textId="579D1F8C" w:rsidR="00FF30CE" w:rsidRPr="00E9498D" w:rsidRDefault="00FF30CE" w:rsidP="00784374">
      <w:pPr>
        <w:numPr>
          <w:ilvl w:val="0"/>
          <w:numId w:val="11"/>
        </w:numPr>
        <w:spacing w:after="0" w:line="360" w:lineRule="auto"/>
        <w:rPr>
          <w:rFonts w:cstheme="minorHAnsi"/>
          <w:sz w:val="24"/>
          <w:szCs w:val="24"/>
        </w:rPr>
      </w:pPr>
      <w:r w:rsidRPr="00E9498D">
        <w:rPr>
          <w:rFonts w:cstheme="minorHAnsi"/>
          <w:sz w:val="24"/>
          <w:szCs w:val="24"/>
        </w:rPr>
        <w:t>Reinstatement without Change</w:t>
      </w:r>
    </w:p>
    <w:p w14:paraId="62B8AE22" w14:textId="777D5CD9" w:rsidR="00FF30CE" w:rsidRPr="00E9498D" w:rsidRDefault="00E10085" w:rsidP="00784374">
      <w:pPr>
        <w:spacing w:after="0" w:line="360" w:lineRule="auto"/>
        <w:ind w:left="360"/>
        <w:rPr>
          <w:rFonts w:cstheme="minorHAnsi"/>
          <w:sz w:val="24"/>
          <w:szCs w:val="24"/>
        </w:rPr>
      </w:pPr>
      <w:r w:rsidRPr="00E9498D">
        <w:rPr>
          <w:rFonts w:cstheme="minorHAnsi"/>
          <w:sz w:val="24"/>
          <w:szCs w:val="24"/>
        </w:rPr>
        <w:t>X</w:t>
      </w:r>
      <w:r w:rsidRPr="00E9498D">
        <w:rPr>
          <w:rFonts w:cstheme="minorHAnsi"/>
          <w:sz w:val="24"/>
          <w:szCs w:val="24"/>
        </w:rPr>
        <w:tab/>
      </w:r>
      <w:r w:rsidR="00FF30CE" w:rsidRPr="00E9498D">
        <w:rPr>
          <w:rFonts w:cstheme="minorHAnsi"/>
          <w:sz w:val="24"/>
          <w:szCs w:val="24"/>
        </w:rPr>
        <w:t>Extension</w:t>
      </w:r>
    </w:p>
    <w:p w14:paraId="61FD3A79" w14:textId="77777777" w:rsidR="00FF30CE" w:rsidRPr="00E9498D" w:rsidRDefault="00FF30CE" w:rsidP="00784374">
      <w:pPr>
        <w:numPr>
          <w:ilvl w:val="0"/>
          <w:numId w:val="11"/>
        </w:numPr>
        <w:spacing w:after="0" w:line="360" w:lineRule="auto"/>
        <w:rPr>
          <w:rFonts w:cstheme="minorHAnsi"/>
          <w:sz w:val="24"/>
          <w:szCs w:val="24"/>
        </w:rPr>
      </w:pPr>
      <w:r w:rsidRPr="00E9498D">
        <w:rPr>
          <w:rFonts w:cstheme="minorHAnsi"/>
          <w:sz w:val="24"/>
          <w:szCs w:val="24"/>
        </w:rPr>
        <w:t>Emergency</w:t>
      </w:r>
    </w:p>
    <w:p w14:paraId="1744E0C1" w14:textId="77777777" w:rsidR="00E10085" w:rsidRPr="00E9498D" w:rsidRDefault="00FF30CE" w:rsidP="00784374">
      <w:pPr>
        <w:numPr>
          <w:ilvl w:val="0"/>
          <w:numId w:val="11"/>
        </w:numPr>
        <w:spacing w:after="0" w:line="360" w:lineRule="auto"/>
        <w:rPr>
          <w:rFonts w:cstheme="minorHAnsi"/>
          <w:sz w:val="24"/>
          <w:szCs w:val="24"/>
        </w:rPr>
      </w:pPr>
      <w:r w:rsidRPr="00E9498D">
        <w:rPr>
          <w:rFonts w:cstheme="minorHAnsi"/>
          <w:sz w:val="24"/>
          <w:szCs w:val="24"/>
        </w:rPr>
        <w:t>Existing</w:t>
      </w:r>
      <w:r w:rsidR="000A139A" w:rsidRPr="00E9498D">
        <w:rPr>
          <w:rFonts w:cstheme="minorHAnsi"/>
          <w:sz w:val="24"/>
          <w:szCs w:val="24"/>
        </w:rPr>
        <w:t xml:space="preserve"> w/o OMB approva</w:t>
      </w:r>
      <w:r w:rsidR="00E10085" w:rsidRPr="00E9498D">
        <w:rPr>
          <w:rFonts w:cstheme="minorHAnsi"/>
          <w:sz w:val="24"/>
          <w:szCs w:val="24"/>
        </w:rPr>
        <w:t>l</w:t>
      </w:r>
    </w:p>
    <w:p w14:paraId="75E71417" w14:textId="59785C3D" w:rsidR="00E35DD1" w:rsidRPr="00E9498D" w:rsidRDefault="00E35DD1" w:rsidP="00784374">
      <w:pPr>
        <w:tabs>
          <w:tab w:val="left" w:pos="720"/>
        </w:tabs>
        <w:spacing w:after="0" w:line="360" w:lineRule="auto"/>
        <w:ind w:left="720"/>
        <w:rPr>
          <w:rFonts w:cstheme="minorHAnsi"/>
          <w:sz w:val="24"/>
          <w:szCs w:val="24"/>
        </w:rPr>
      </w:pPr>
      <w:r w:rsidRPr="00E9498D">
        <w:rPr>
          <w:rFonts w:cstheme="minorHAnsi"/>
          <w:sz w:val="24"/>
          <w:szCs w:val="24"/>
        </w:rPr>
        <w:t xml:space="preserve">                 </w:t>
      </w:r>
    </w:p>
    <w:p w14:paraId="79777B87" w14:textId="77777777" w:rsidR="004E574C" w:rsidRPr="00E9498D" w:rsidRDefault="004E574C" w:rsidP="00784374">
      <w:pPr>
        <w:tabs>
          <w:tab w:val="left" w:pos="720"/>
        </w:tabs>
        <w:spacing w:after="0" w:line="360" w:lineRule="auto"/>
        <w:ind w:left="720"/>
        <w:rPr>
          <w:rFonts w:cstheme="minorHAnsi"/>
          <w:sz w:val="24"/>
          <w:szCs w:val="24"/>
        </w:rPr>
      </w:pPr>
    </w:p>
    <w:p w14:paraId="09DB1823" w14:textId="7F9ECD49"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Name</w:t>
      </w:r>
      <w:r w:rsidR="00784374" w:rsidRPr="00E9498D">
        <w:rPr>
          <w:rFonts w:asciiTheme="minorHAnsi" w:hAnsiTheme="minorHAnsi" w:cstheme="minorHAnsi"/>
          <w:sz w:val="24"/>
          <w:szCs w:val="24"/>
        </w:rPr>
        <w:t>:</w:t>
      </w:r>
      <w:r w:rsidR="00784374" w:rsidRPr="00E9498D">
        <w:rPr>
          <w:rFonts w:asciiTheme="minorHAnsi" w:hAnsiTheme="minorHAnsi" w:cstheme="minorHAnsi"/>
          <w:sz w:val="24"/>
          <w:szCs w:val="24"/>
        </w:rPr>
        <w:tab/>
        <w:t xml:space="preserve">       </w:t>
      </w:r>
      <w:r w:rsidRPr="00E9498D">
        <w:rPr>
          <w:rFonts w:asciiTheme="minorHAnsi" w:hAnsiTheme="minorHAnsi" w:cstheme="minorHAnsi"/>
          <w:sz w:val="24"/>
          <w:szCs w:val="24"/>
        </w:rPr>
        <w:t>Susan Daniels, Ph.D.</w:t>
      </w:r>
    </w:p>
    <w:p w14:paraId="3539B2E2" w14:textId="3563BFAB"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Address:</w:t>
      </w:r>
      <w:r w:rsidR="00784374" w:rsidRPr="00E9498D">
        <w:rPr>
          <w:rFonts w:asciiTheme="minorHAnsi" w:hAnsiTheme="minorHAnsi" w:cstheme="minorHAnsi"/>
          <w:sz w:val="24"/>
          <w:szCs w:val="24"/>
        </w:rPr>
        <w:t xml:space="preserve">    </w:t>
      </w:r>
      <w:r w:rsidRPr="00E9498D">
        <w:rPr>
          <w:rFonts w:asciiTheme="minorHAnsi" w:hAnsiTheme="minorHAnsi" w:cstheme="minorHAnsi"/>
          <w:sz w:val="24"/>
          <w:szCs w:val="24"/>
        </w:rPr>
        <w:t>Office of Autism Research Coordination</w:t>
      </w:r>
    </w:p>
    <w:p w14:paraId="01905C7A" w14:textId="77777777"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ab/>
        <w:t xml:space="preserve">       National Institute of Mental Health</w:t>
      </w:r>
    </w:p>
    <w:p w14:paraId="1A3855AB" w14:textId="77777777"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ab/>
        <w:t xml:space="preserve">       6001 Executive Boulevard, MSC 9663</w:t>
      </w:r>
    </w:p>
    <w:p w14:paraId="7E3B2E13" w14:textId="4B3729BC"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ab/>
        <w:t xml:space="preserve">       Neuroscience Center, Room </w:t>
      </w:r>
      <w:r w:rsidR="001107DC" w:rsidRPr="00E9498D">
        <w:rPr>
          <w:rFonts w:asciiTheme="minorHAnsi" w:hAnsiTheme="minorHAnsi" w:cstheme="minorHAnsi"/>
          <w:sz w:val="24"/>
          <w:szCs w:val="24"/>
        </w:rPr>
        <w:t>7220</w:t>
      </w:r>
    </w:p>
    <w:p w14:paraId="3F639A02" w14:textId="77777777"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ab/>
        <w:t xml:space="preserve">       Bethesda, Maryland 20892</w:t>
      </w:r>
    </w:p>
    <w:p w14:paraId="6B180DC6" w14:textId="5E3E7D18" w:rsidR="00E10085" w:rsidRPr="00E9498D" w:rsidRDefault="00784374"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Phone:</w:t>
      </w:r>
      <w:r w:rsidR="00013D7D" w:rsidRPr="00E9498D">
        <w:rPr>
          <w:rFonts w:asciiTheme="minorHAnsi" w:hAnsiTheme="minorHAnsi" w:cstheme="minorHAnsi"/>
          <w:sz w:val="24"/>
          <w:szCs w:val="24"/>
        </w:rPr>
        <w:t xml:space="preserve">      (</w:t>
      </w:r>
      <w:r w:rsidR="00E10085" w:rsidRPr="00E9498D">
        <w:rPr>
          <w:rFonts w:asciiTheme="minorHAnsi" w:hAnsiTheme="minorHAnsi" w:cstheme="minorHAnsi"/>
          <w:sz w:val="24"/>
          <w:szCs w:val="24"/>
        </w:rPr>
        <w:t>301) 443-2756</w:t>
      </w:r>
    </w:p>
    <w:p w14:paraId="14D556F9" w14:textId="38DFFFDE"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 xml:space="preserve">Fax:         </w:t>
      </w:r>
      <w:r w:rsidR="00784374" w:rsidRPr="00E9498D">
        <w:rPr>
          <w:rFonts w:asciiTheme="minorHAnsi" w:hAnsiTheme="minorHAnsi" w:cstheme="minorHAnsi"/>
          <w:sz w:val="24"/>
          <w:szCs w:val="24"/>
        </w:rPr>
        <w:t xml:space="preserve">  (</w:t>
      </w:r>
      <w:r w:rsidRPr="00E9498D">
        <w:rPr>
          <w:rFonts w:asciiTheme="minorHAnsi" w:hAnsiTheme="minorHAnsi" w:cstheme="minorHAnsi"/>
          <w:sz w:val="24"/>
          <w:szCs w:val="24"/>
        </w:rPr>
        <w:t xml:space="preserve">301) 480-1014 </w:t>
      </w:r>
    </w:p>
    <w:p w14:paraId="5776539D" w14:textId="4F67A107" w:rsidR="00E10085" w:rsidRPr="00E9498D" w:rsidRDefault="00E10085" w:rsidP="00784374">
      <w:pPr>
        <w:pStyle w:val="P1-StandPara"/>
        <w:tabs>
          <w:tab w:val="left" w:pos="720"/>
          <w:tab w:val="right" w:leader="dot" w:pos="9504"/>
        </w:tabs>
        <w:spacing w:line="360" w:lineRule="auto"/>
        <w:ind w:firstLine="0"/>
        <w:rPr>
          <w:rFonts w:asciiTheme="minorHAnsi" w:hAnsiTheme="minorHAnsi" w:cstheme="minorHAnsi"/>
          <w:sz w:val="24"/>
          <w:szCs w:val="24"/>
        </w:rPr>
      </w:pPr>
      <w:r w:rsidRPr="00E9498D">
        <w:rPr>
          <w:rFonts w:asciiTheme="minorHAnsi" w:hAnsiTheme="minorHAnsi" w:cstheme="minorHAnsi"/>
          <w:sz w:val="24"/>
          <w:szCs w:val="24"/>
        </w:rPr>
        <w:t xml:space="preserve">Email:        </w:t>
      </w:r>
      <w:r w:rsidR="00784374" w:rsidRPr="00E9498D">
        <w:rPr>
          <w:rFonts w:asciiTheme="minorHAnsi" w:hAnsiTheme="minorHAnsi" w:cstheme="minorHAnsi"/>
          <w:sz w:val="24"/>
          <w:szCs w:val="24"/>
        </w:rPr>
        <w:t xml:space="preserve"> </w:t>
      </w:r>
      <w:hyperlink r:id="rId9" w:history="1">
        <w:r w:rsidR="00784374" w:rsidRPr="00E9498D">
          <w:rPr>
            <w:rStyle w:val="Hyperlink"/>
            <w:rFonts w:asciiTheme="minorHAnsi" w:hAnsiTheme="minorHAnsi" w:cstheme="minorHAnsi"/>
            <w:sz w:val="24"/>
            <w:szCs w:val="24"/>
          </w:rPr>
          <w:t>sdaniels@mail.nih.gov</w:t>
        </w:r>
      </w:hyperlink>
      <w:r w:rsidRPr="00E9498D">
        <w:rPr>
          <w:rFonts w:asciiTheme="minorHAnsi" w:hAnsiTheme="minorHAnsi" w:cstheme="minorHAnsi"/>
          <w:sz w:val="24"/>
          <w:szCs w:val="24"/>
        </w:rPr>
        <w:t xml:space="preserve"> </w:t>
      </w:r>
    </w:p>
    <w:p w14:paraId="148A7CA5" w14:textId="6982C63C" w:rsidR="00E10085" w:rsidRPr="00E9498D" w:rsidRDefault="00E10085" w:rsidP="00784374">
      <w:pPr>
        <w:pStyle w:val="P1-StandPara"/>
        <w:tabs>
          <w:tab w:val="left" w:pos="720"/>
          <w:tab w:val="right" w:leader="dot" w:pos="9504"/>
        </w:tabs>
        <w:rPr>
          <w:rFonts w:asciiTheme="minorHAnsi" w:hAnsiTheme="minorHAnsi" w:cstheme="minorHAnsi"/>
          <w:b/>
          <w:sz w:val="24"/>
          <w:szCs w:val="24"/>
          <w:u w:val="single"/>
        </w:rPr>
      </w:pPr>
    </w:p>
    <w:p w14:paraId="245B699E" w14:textId="3DD44C93" w:rsidR="00E35DD1" w:rsidRPr="00E9498D" w:rsidRDefault="00E10085" w:rsidP="00784374">
      <w:pPr>
        <w:pStyle w:val="P1-StandPara"/>
        <w:tabs>
          <w:tab w:val="left" w:pos="720"/>
          <w:tab w:val="right" w:leader="dot" w:pos="9504"/>
        </w:tabs>
        <w:rPr>
          <w:rFonts w:asciiTheme="minorHAnsi" w:hAnsiTheme="minorHAnsi" w:cstheme="minorHAnsi"/>
          <w:b/>
          <w:sz w:val="24"/>
          <w:szCs w:val="24"/>
          <w:u w:val="single"/>
        </w:rPr>
      </w:pPr>
      <w:r w:rsidRPr="00E9498D">
        <w:rPr>
          <w:rFonts w:asciiTheme="minorHAnsi" w:hAnsiTheme="minorHAnsi" w:cstheme="minorHAnsi"/>
          <w:b/>
          <w:sz w:val="24"/>
          <w:szCs w:val="24"/>
          <w:u w:val="single"/>
        </w:rPr>
        <w:lastRenderedPageBreak/>
        <w:t>T</w:t>
      </w:r>
      <w:r w:rsidR="00E35DD1" w:rsidRPr="00E9498D">
        <w:rPr>
          <w:rFonts w:asciiTheme="minorHAnsi" w:hAnsiTheme="minorHAnsi" w:cstheme="minorHAnsi"/>
          <w:b/>
          <w:sz w:val="24"/>
          <w:szCs w:val="24"/>
          <w:u w:val="single"/>
        </w:rPr>
        <w:t>able of contents</w:t>
      </w:r>
    </w:p>
    <w:p w14:paraId="61EF9CBA" w14:textId="18795893" w:rsidR="00E35DD1" w:rsidRPr="00E9498D" w:rsidRDefault="00E35DD1" w:rsidP="00784374">
      <w:pPr>
        <w:pStyle w:val="P1-StandPara"/>
        <w:tabs>
          <w:tab w:val="left" w:pos="720"/>
        </w:tabs>
        <w:ind w:firstLine="0"/>
        <w:rPr>
          <w:rFonts w:asciiTheme="minorHAnsi" w:hAnsiTheme="minorHAnsi" w:cstheme="minorHAnsi"/>
          <w:sz w:val="24"/>
          <w:szCs w:val="24"/>
        </w:rPr>
      </w:pPr>
      <w:r w:rsidRPr="00E9498D">
        <w:rPr>
          <w:rFonts w:asciiTheme="minorHAnsi" w:hAnsiTheme="minorHAnsi" w:cstheme="minorHAnsi"/>
          <w:sz w:val="24"/>
          <w:szCs w:val="24"/>
        </w:rPr>
        <w:fldChar w:fldCharType="begin"/>
      </w:r>
      <w:r w:rsidRPr="00E9498D">
        <w:rPr>
          <w:rFonts w:asciiTheme="minorHAnsi" w:hAnsiTheme="minorHAnsi" w:cstheme="minorHAnsi"/>
          <w:sz w:val="24"/>
          <w:szCs w:val="24"/>
        </w:rPr>
        <w:instrText xml:space="preserve"> TOC \o "1-2" \u </w:instrText>
      </w:r>
      <w:r w:rsidRPr="00E9498D">
        <w:rPr>
          <w:rFonts w:asciiTheme="minorHAnsi" w:hAnsiTheme="minorHAnsi" w:cstheme="minorHAnsi"/>
          <w:sz w:val="24"/>
          <w:szCs w:val="24"/>
        </w:rPr>
        <w:fldChar w:fldCharType="separate"/>
      </w:r>
      <w:r w:rsidRPr="00E9498D">
        <w:rPr>
          <w:rFonts w:asciiTheme="minorHAnsi" w:hAnsiTheme="minorHAnsi" w:cstheme="minorHAnsi"/>
          <w:sz w:val="24"/>
          <w:szCs w:val="24"/>
        </w:rPr>
        <w:t>A.</w:t>
      </w:r>
      <w:r w:rsidRPr="00E9498D">
        <w:rPr>
          <w:rFonts w:asciiTheme="minorHAnsi" w:hAnsiTheme="minorHAnsi" w:cstheme="minorHAnsi"/>
          <w:sz w:val="24"/>
          <w:szCs w:val="24"/>
        </w:rPr>
        <w:tab/>
      </w:r>
      <w:r w:rsidR="00641209" w:rsidRPr="00E9498D">
        <w:rPr>
          <w:rFonts w:asciiTheme="minorHAnsi" w:hAnsiTheme="minorHAnsi" w:cstheme="minorHAnsi"/>
          <w:sz w:val="24"/>
          <w:szCs w:val="24"/>
        </w:rPr>
        <w:t>ABSTRACT</w:t>
      </w:r>
      <w:r w:rsidRPr="00E9498D">
        <w:rPr>
          <w:rFonts w:asciiTheme="minorHAnsi" w:hAnsiTheme="minorHAnsi" w:cstheme="minorHAnsi"/>
          <w:sz w:val="24"/>
          <w:szCs w:val="24"/>
        </w:rPr>
        <w:tab/>
      </w:r>
    </w:p>
    <w:p w14:paraId="405C6C9A"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w:t>
      </w:r>
      <w:r w:rsidRPr="00E9498D">
        <w:rPr>
          <w:rFonts w:asciiTheme="minorHAnsi" w:hAnsiTheme="minorHAnsi" w:cstheme="minorHAnsi"/>
          <w:sz w:val="24"/>
          <w:szCs w:val="24"/>
        </w:rPr>
        <w:tab/>
        <w:t>Circumstances Making the Collection of Information Necessary</w:t>
      </w:r>
      <w:r w:rsidRPr="00E9498D">
        <w:rPr>
          <w:rFonts w:asciiTheme="minorHAnsi" w:hAnsiTheme="minorHAnsi" w:cstheme="minorHAnsi"/>
          <w:sz w:val="24"/>
          <w:szCs w:val="24"/>
        </w:rPr>
        <w:tab/>
      </w:r>
    </w:p>
    <w:p w14:paraId="34BF3267" w14:textId="5CD11FDD"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A.2.</w:t>
      </w:r>
      <w:r w:rsidRPr="00E9498D">
        <w:rPr>
          <w:rFonts w:asciiTheme="minorHAnsi" w:hAnsiTheme="minorHAnsi" w:cstheme="minorHAnsi"/>
          <w:sz w:val="24"/>
          <w:szCs w:val="24"/>
        </w:rPr>
        <w:tab/>
        <w:t>Purpose and Use of the Information C</w:t>
      </w:r>
      <w:r w:rsidR="007C32E5" w:rsidRPr="00E9498D">
        <w:rPr>
          <w:rFonts w:asciiTheme="minorHAnsi" w:hAnsiTheme="minorHAnsi" w:cstheme="minorHAnsi"/>
          <w:sz w:val="24"/>
          <w:szCs w:val="24"/>
        </w:rPr>
        <w:t>ollection</w:t>
      </w:r>
      <w:r w:rsidRPr="00E9498D">
        <w:rPr>
          <w:rFonts w:asciiTheme="minorHAnsi" w:hAnsiTheme="minorHAnsi" w:cstheme="minorHAnsi"/>
          <w:sz w:val="24"/>
          <w:szCs w:val="24"/>
        </w:rPr>
        <w:tab/>
      </w:r>
    </w:p>
    <w:p w14:paraId="25FD66D2"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A.3</w:t>
      </w:r>
      <w:r w:rsidRPr="00E9498D">
        <w:rPr>
          <w:rFonts w:asciiTheme="minorHAnsi" w:hAnsiTheme="minorHAnsi" w:cstheme="minorHAnsi"/>
          <w:sz w:val="24"/>
          <w:szCs w:val="24"/>
        </w:rPr>
        <w:tab/>
        <w:t>Use of Information Technology and Burden Reduction</w:t>
      </w:r>
      <w:r w:rsidRPr="00E9498D">
        <w:rPr>
          <w:rFonts w:asciiTheme="minorHAnsi" w:hAnsiTheme="minorHAnsi" w:cstheme="minorHAnsi"/>
          <w:sz w:val="24"/>
          <w:szCs w:val="24"/>
        </w:rPr>
        <w:tab/>
      </w:r>
    </w:p>
    <w:p w14:paraId="055E521F"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A.4</w:t>
      </w:r>
      <w:r w:rsidRPr="00E9498D">
        <w:rPr>
          <w:rFonts w:asciiTheme="minorHAnsi" w:hAnsiTheme="minorHAnsi" w:cstheme="minorHAnsi"/>
          <w:sz w:val="24"/>
          <w:szCs w:val="24"/>
        </w:rPr>
        <w:tab/>
        <w:t>Efforts to Identify Duplication and Use of Similar Information</w:t>
      </w:r>
      <w:r w:rsidRPr="00E9498D">
        <w:rPr>
          <w:rFonts w:asciiTheme="minorHAnsi" w:hAnsiTheme="minorHAnsi" w:cstheme="minorHAnsi"/>
          <w:sz w:val="24"/>
          <w:szCs w:val="24"/>
        </w:rPr>
        <w:tab/>
      </w:r>
    </w:p>
    <w:p w14:paraId="0E811BD9"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A.5</w:t>
      </w:r>
      <w:r w:rsidRPr="00E9498D">
        <w:rPr>
          <w:rFonts w:asciiTheme="minorHAnsi" w:hAnsiTheme="minorHAnsi" w:cstheme="minorHAnsi"/>
          <w:sz w:val="24"/>
          <w:szCs w:val="24"/>
        </w:rPr>
        <w:tab/>
        <w:t>Impact on Small Businesses or Other Small Entities</w:t>
      </w:r>
      <w:r w:rsidRPr="00E9498D">
        <w:rPr>
          <w:rFonts w:asciiTheme="minorHAnsi" w:hAnsiTheme="minorHAnsi" w:cstheme="minorHAnsi"/>
          <w:sz w:val="24"/>
          <w:szCs w:val="24"/>
        </w:rPr>
        <w:tab/>
      </w:r>
    </w:p>
    <w:p w14:paraId="0A160A3C"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A.6</w:t>
      </w:r>
      <w:r w:rsidRPr="00E9498D">
        <w:rPr>
          <w:rFonts w:asciiTheme="minorHAnsi" w:hAnsiTheme="minorHAnsi" w:cstheme="minorHAnsi"/>
          <w:sz w:val="24"/>
          <w:szCs w:val="24"/>
        </w:rPr>
        <w:tab/>
        <w:t>Consequences of Collecting the Information Less Frequently</w:t>
      </w:r>
      <w:r w:rsidRPr="00E9498D">
        <w:rPr>
          <w:rFonts w:asciiTheme="minorHAnsi" w:hAnsiTheme="minorHAnsi" w:cstheme="minorHAnsi"/>
          <w:sz w:val="24"/>
          <w:szCs w:val="24"/>
        </w:rPr>
        <w:tab/>
      </w:r>
    </w:p>
    <w:p w14:paraId="0A934E55"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A.7</w:t>
      </w:r>
      <w:r w:rsidRPr="00E9498D">
        <w:rPr>
          <w:rFonts w:asciiTheme="minorHAnsi" w:hAnsiTheme="minorHAnsi" w:cstheme="minorHAnsi"/>
          <w:sz w:val="24"/>
          <w:szCs w:val="24"/>
        </w:rPr>
        <w:tab/>
        <w:t>Special Circumstances Relating to the Guidelines of 5 CFR 1320.5</w:t>
      </w:r>
      <w:r w:rsidRPr="00E9498D">
        <w:rPr>
          <w:rFonts w:asciiTheme="minorHAnsi" w:hAnsiTheme="minorHAnsi" w:cstheme="minorHAnsi"/>
          <w:sz w:val="24"/>
          <w:szCs w:val="24"/>
        </w:rPr>
        <w:tab/>
      </w:r>
    </w:p>
    <w:p w14:paraId="5030BEA3"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A.8</w:t>
      </w:r>
      <w:r w:rsidRPr="00E9498D">
        <w:rPr>
          <w:rFonts w:asciiTheme="minorHAnsi" w:hAnsiTheme="minorHAnsi" w:cstheme="minorHAnsi"/>
          <w:sz w:val="24"/>
          <w:szCs w:val="24"/>
        </w:rPr>
        <w:tab/>
        <w:t>Comments in Response to the Federal Register Notice and Efforts to Consult Outside Agency</w:t>
      </w:r>
      <w:r w:rsidRPr="00E9498D">
        <w:rPr>
          <w:rFonts w:asciiTheme="minorHAnsi" w:hAnsiTheme="minorHAnsi" w:cstheme="minorHAnsi"/>
          <w:sz w:val="24"/>
          <w:szCs w:val="24"/>
        </w:rPr>
        <w:tab/>
      </w:r>
    </w:p>
    <w:p w14:paraId="790E500C"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A.9</w:t>
      </w:r>
      <w:r w:rsidRPr="00E9498D">
        <w:rPr>
          <w:rFonts w:asciiTheme="minorHAnsi" w:hAnsiTheme="minorHAnsi" w:cstheme="minorHAnsi"/>
          <w:sz w:val="24"/>
          <w:szCs w:val="24"/>
        </w:rPr>
        <w:tab/>
        <w:t>Explanation of Any Payment of Gift to Respondents</w:t>
      </w:r>
      <w:r w:rsidRPr="00E9498D">
        <w:rPr>
          <w:rFonts w:asciiTheme="minorHAnsi" w:hAnsiTheme="minorHAnsi" w:cstheme="minorHAnsi"/>
          <w:sz w:val="24"/>
          <w:szCs w:val="24"/>
        </w:rPr>
        <w:tab/>
      </w:r>
    </w:p>
    <w:p w14:paraId="3521DE96"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A.10</w:t>
      </w:r>
      <w:r w:rsidRPr="00E9498D">
        <w:rPr>
          <w:rFonts w:asciiTheme="minorHAnsi" w:hAnsiTheme="minorHAnsi" w:cstheme="minorHAnsi"/>
          <w:sz w:val="24"/>
          <w:szCs w:val="24"/>
        </w:rPr>
        <w:tab/>
        <w:t>Assurance of Confidentiality Provided to Respondents</w:t>
      </w:r>
      <w:r w:rsidRPr="00E9498D">
        <w:rPr>
          <w:rFonts w:asciiTheme="minorHAnsi" w:hAnsiTheme="minorHAnsi" w:cstheme="minorHAnsi"/>
          <w:sz w:val="24"/>
          <w:szCs w:val="24"/>
        </w:rPr>
        <w:tab/>
      </w:r>
    </w:p>
    <w:p w14:paraId="6F64EEA4"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A.11</w:t>
      </w:r>
      <w:r w:rsidRPr="00E9498D">
        <w:rPr>
          <w:rFonts w:asciiTheme="minorHAnsi" w:hAnsiTheme="minorHAnsi" w:cstheme="minorHAnsi"/>
          <w:sz w:val="24"/>
          <w:szCs w:val="24"/>
        </w:rPr>
        <w:tab/>
        <w:t>Justification for Sensitive Questions</w:t>
      </w:r>
      <w:r w:rsidRPr="00E9498D">
        <w:rPr>
          <w:rFonts w:asciiTheme="minorHAnsi" w:hAnsiTheme="minorHAnsi" w:cstheme="minorHAnsi"/>
          <w:sz w:val="24"/>
          <w:szCs w:val="24"/>
        </w:rPr>
        <w:tab/>
      </w:r>
    </w:p>
    <w:p w14:paraId="0E23F4BB"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A.12</w:t>
      </w:r>
      <w:r w:rsidRPr="00E9498D">
        <w:rPr>
          <w:rFonts w:asciiTheme="minorHAnsi" w:hAnsiTheme="minorHAnsi" w:cstheme="minorHAnsi"/>
          <w:sz w:val="24"/>
          <w:szCs w:val="24"/>
        </w:rPr>
        <w:tab/>
        <w:t>Estimates of Hour Burden Including Annualized Hourly Costs</w:t>
      </w:r>
      <w:r w:rsidRPr="00E9498D">
        <w:rPr>
          <w:rFonts w:asciiTheme="minorHAnsi" w:hAnsiTheme="minorHAnsi" w:cstheme="minorHAnsi"/>
          <w:sz w:val="24"/>
          <w:szCs w:val="24"/>
        </w:rPr>
        <w:tab/>
      </w:r>
    </w:p>
    <w:p w14:paraId="147053D2" w14:textId="7E8B3745"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A.13</w:t>
      </w:r>
      <w:r w:rsidRPr="00E9498D">
        <w:rPr>
          <w:rFonts w:asciiTheme="minorHAnsi" w:hAnsiTheme="minorHAnsi" w:cstheme="minorHAnsi"/>
          <w:sz w:val="24"/>
          <w:szCs w:val="24"/>
        </w:rPr>
        <w:tab/>
        <w:t xml:space="preserve">Estimate of Other Total Annual Cost Burden to Respondents or </w:t>
      </w:r>
      <w:r w:rsidR="00E10085" w:rsidRPr="00E9498D">
        <w:rPr>
          <w:rFonts w:asciiTheme="minorHAnsi" w:hAnsiTheme="minorHAnsi" w:cstheme="minorHAnsi"/>
          <w:sz w:val="24"/>
          <w:szCs w:val="24"/>
        </w:rPr>
        <w:t>Record keepers</w:t>
      </w:r>
      <w:r w:rsidRPr="00E9498D">
        <w:rPr>
          <w:rFonts w:asciiTheme="minorHAnsi" w:hAnsiTheme="minorHAnsi" w:cstheme="minorHAnsi"/>
          <w:sz w:val="24"/>
          <w:szCs w:val="24"/>
        </w:rPr>
        <w:tab/>
      </w:r>
    </w:p>
    <w:p w14:paraId="344C675F"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A.14</w:t>
      </w:r>
      <w:r w:rsidRPr="00E9498D">
        <w:rPr>
          <w:rFonts w:asciiTheme="minorHAnsi" w:hAnsiTheme="minorHAnsi" w:cstheme="minorHAnsi"/>
          <w:sz w:val="24"/>
          <w:szCs w:val="24"/>
        </w:rPr>
        <w:tab/>
        <w:t>Annualized Cost to the Federal Government</w:t>
      </w:r>
      <w:r w:rsidRPr="00E9498D">
        <w:rPr>
          <w:rFonts w:asciiTheme="minorHAnsi" w:hAnsiTheme="minorHAnsi" w:cstheme="minorHAnsi"/>
          <w:sz w:val="24"/>
          <w:szCs w:val="24"/>
        </w:rPr>
        <w:tab/>
      </w:r>
    </w:p>
    <w:p w14:paraId="7226774F"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A.15</w:t>
      </w:r>
      <w:r w:rsidRPr="00E9498D">
        <w:rPr>
          <w:rFonts w:asciiTheme="minorHAnsi" w:hAnsiTheme="minorHAnsi" w:cstheme="minorHAnsi"/>
          <w:sz w:val="24"/>
          <w:szCs w:val="24"/>
        </w:rPr>
        <w:tab/>
        <w:t>Explanation for Program Changes or Adjustments</w:t>
      </w:r>
      <w:r w:rsidRPr="00E9498D">
        <w:rPr>
          <w:rFonts w:asciiTheme="minorHAnsi" w:hAnsiTheme="minorHAnsi" w:cstheme="minorHAnsi"/>
          <w:sz w:val="24"/>
          <w:szCs w:val="24"/>
        </w:rPr>
        <w:tab/>
      </w:r>
    </w:p>
    <w:p w14:paraId="48BBFCB2"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A.16</w:t>
      </w:r>
      <w:r w:rsidRPr="00E9498D">
        <w:rPr>
          <w:rFonts w:asciiTheme="minorHAnsi" w:hAnsiTheme="minorHAnsi" w:cstheme="minorHAnsi"/>
          <w:sz w:val="24"/>
          <w:szCs w:val="24"/>
        </w:rPr>
        <w:tab/>
        <w:t>Plans for Tabulation and Publication and Project Time Schedule</w:t>
      </w:r>
      <w:r w:rsidRPr="00E9498D">
        <w:rPr>
          <w:rFonts w:asciiTheme="minorHAnsi" w:hAnsiTheme="minorHAnsi" w:cstheme="minorHAnsi"/>
          <w:sz w:val="24"/>
          <w:szCs w:val="24"/>
        </w:rPr>
        <w:tab/>
      </w:r>
    </w:p>
    <w:p w14:paraId="6EDA2130"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A.17</w:t>
      </w:r>
      <w:r w:rsidRPr="00E9498D">
        <w:rPr>
          <w:rFonts w:asciiTheme="minorHAnsi" w:hAnsiTheme="minorHAnsi" w:cstheme="minorHAnsi"/>
          <w:sz w:val="24"/>
          <w:szCs w:val="24"/>
        </w:rPr>
        <w:tab/>
        <w:t>Reason(s) Display of OMB Expiration Date is Inappropriate</w:t>
      </w:r>
      <w:r w:rsidRPr="00E9498D">
        <w:rPr>
          <w:rFonts w:asciiTheme="minorHAnsi" w:hAnsiTheme="minorHAnsi" w:cstheme="minorHAnsi"/>
          <w:sz w:val="24"/>
          <w:szCs w:val="24"/>
        </w:rPr>
        <w:tab/>
      </w:r>
    </w:p>
    <w:p w14:paraId="41381730" w14:textId="77777777" w:rsidR="00E35DD1" w:rsidRPr="00E9498D" w:rsidRDefault="00E35DD1" w:rsidP="00784374">
      <w:pPr>
        <w:pStyle w:val="P1-StandPara"/>
        <w:ind w:firstLine="0"/>
        <w:rPr>
          <w:rFonts w:asciiTheme="minorHAnsi" w:hAnsiTheme="minorHAnsi" w:cstheme="minorHAnsi"/>
          <w:sz w:val="24"/>
          <w:szCs w:val="24"/>
        </w:rPr>
      </w:pPr>
      <w:r w:rsidRPr="00E9498D">
        <w:rPr>
          <w:rFonts w:asciiTheme="minorHAnsi" w:hAnsiTheme="minorHAnsi" w:cstheme="minorHAnsi"/>
          <w:sz w:val="24"/>
          <w:szCs w:val="24"/>
        </w:rPr>
        <w:t>A.18</w:t>
      </w:r>
      <w:r w:rsidRPr="00E9498D">
        <w:rPr>
          <w:rFonts w:asciiTheme="minorHAnsi" w:hAnsiTheme="minorHAnsi" w:cstheme="minorHAnsi"/>
          <w:sz w:val="24"/>
          <w:szCs w:val="24"/>
        </w:rPr>
        <w:tab/>
        <w:t>Exceptions to Certification for Paperwork Reduction Act Submissions</w:t>
      </w:r>
      <w:r w:rsidRPr="00E9498D">
        <w:rPr>
          <w:rFonts w:asciiTheme="minorHAnsi" w:hAnsiTheme="minorHAnsi" w:cstheme="minorHAnsi"/>
          <w:sz w:val="24"/>
          <w:szCs w:val="24"/>
        </w:rPr>
        <w:tab/>
      </w:r>
    </w:p>
    <w:p w14:paraId="1C7AB3E2" w14:textId="77777777" w:rsidR="008875CF" w:rsidRPr="00E9498D" w:rsidRDefault="008875CF" w:rsidP="00784374">
      <w:pPr>
        <w:pStyle w:val="P1-StandPara"/>
        <w:ind w:firstLine="0"/>
        <w:rPr>
          <w:rFonts w:asciiTheme="minorHAnsi" w:hAnsiTheme="minorHAnsi" w:cstheme="minorHAnsi"/>
          <w:b/>
          <w:i/>
          <w:sz w:val="24"/>
          <w:szCs w:val="24"/>
        </w:rPr>
      </w:pPr>
    </w:p>
    <w:p w14:paraId="64A6B0B6" w14:textId="77777777" w:rsidR="008875CF" w:rsidRPr="00E9498D" w:rsidRDefault="008875CF" w:rsidP="00784374">
      <w:pPr>
        <w:pStyle w:val="P1-StandPara"/>
        <w:ind w:firstLine="0"/>
        <w:rPr>
          <w:rFonts w:asciiTheme="minorHAnsi" w:hAnsiTheme="minorHAnsi" w:cstheme="minorHAnsi"/>
          <w:b/>
          <w:i/>
          <w:sz w:val="24"/>
          <w:szCs w:val="24"/>
        </w:rPr>
      </w:pPr>
    </w:p>
    <w:p w14:paraId="567F2109" w14:textId="77777777" w:rsidR="008875CF" w:rsidRPr="00E9498D" w:rsidRDefault="008875CF" w:rsidP="00784374">
      <w:pPr>
        <w:pStyle w:val="P1-StandPara"/>
        <w:ind w:firstLine="0"/>
        <w:rPr>
          <w:rFonts w:asciiTheme="minorHAnsi" w:hAnsiTheme="minorHAnsi" w:cstheme="minorHAnsi"/>
          <w:b/>
          <w:i/>
          <w:sz w:val="24"/>
          <w:szCs w:val="24"/>
        </w:rPr>
      </w:pPr>
    </w:p>
    <w:p w14:paraId="1FDE63E2" w14:textId="69D61F64" w:rsidR="006A45F9" w:rsidRPr="00E9498D" w:rsidRDefault="006A45F9" w:rsidP="00784374">
      <w:pPr>
        <w:pStyle w:val="P1-StandPara"/>
        <w:ind w:firstLine="0"/>
        <w:rPr>
          <w:rFonts w:asciiTheme="minorHAnsi" w:hAnsiTheme="minorHAnsi" w:cstheme="minorHAnsi"/>
          <w:b/>
          <w:i/>
          <w:sz w:val="24"/>
          <w:szCs w:val="24"/>
        </w:rPr>
      </w:pPr>
      <w:r w:rsidRPr="00E9498D">
        <w:rPr>
          <w:rFonts w:asciiTheme="minorHAnsi" w:hAnsiTheme="minorHAnsi" w:cstheme="minorHAnsi"/>
          <w:b/>
          <w:i/>
          <w:sz w:val="24"/>
          <w:szCs w:val="24"/>
        </w:rPr>
        <w:t xml:space="preserve">Attachments </w:t>
      </w:r>
    </w:p>
    <w:p w14:paraId="0D0BEDE2" w14:textId="77777777" w:rsidR="00E10085" w:rsidRPr="00E9498D" w:rsidRDefault="00E10085" w:rsidP="00784374">
      <w:pPr>
        <w:pStyle w:val="P1-StandPara"/>
        <w:numPr>
          <w:ilvl w:val="0"/>
          <w:numId w:val="13"/>
        </w:numPr>
        <w:ind w:right="-216"/>
        <w:rPr>
          <w:rFonts w:asciiTheme="minorHAnsi" w:hAnsiTheme="minorHAnsi" w:cstheme="minorHAnsi"/>
          <w:sz w:val="24"/>
          <w:szCs w:val="24"/>
        </w:rPr>
      </w:pPr>
      <w:r w:rsidRPr="00E9498D">
        <w:rPr>
          <w:rFonts w:asciiTheme="minorHAnsi" w:hAnsiTheme="minorHAnsi" w:cstheme="minorHAnsi"/>
          <w:sz w:val="24"/>
          <w:szCs w:val="24"/>
        </w:rPr>
        <w:t>NIMH Privacy Impact Assessment (PIA)</w:t>
      </w:r>
    </w:p>
    <w:p w14:paraId="1DB1AF13" w14:textId="77777777" w:rsidR="00E10085" w:rsidRPr="00E9498D" w:rsidRDefault="00E10085" w:rsidP="00784374">
      <w:pPr>
        <w:pStyle w:val="P1-StandPara"/>
        <w:numPr>
          <w:ilvl w:val="0"/>
          <w:numId w:val="13"/>
        </w:numPr>
        <w:ind w:right="-216"/>
        <w:rPr>
          <w:rFonts w:asciiTheme="minorHAnsi" w:hAnsiTheme="minorHAnsi" w:cstheme="minorHAnsi"/>
          <w:sz w:val="24"/>
          <w:szCs w:val="24"/>
        </w:rPr>
      </w:pPr>
      <w:r w:rsidRPr="00E9498D">
        <w:rPr>
          <w:rFonts w:asciiTheme="minorHAnsi" w:hAnsiTheme="minorHAnsi" w:cstheme="minorHAnsi"/>
          <w:sz w:val="24"/>
          <w:szCs w:val="24"/>
        </w:rPr>
        <w:t>List of ASD Research Funders</w:t>
      </w:r>
    </w:p>
    <w:p w14:paraId="449639AE" w14:textId="77777777" w:rsidR="00E10085" w:rsidRPr="00E9498D" w:rsidRDefault="00E10085" w:rsidP="00784374">
      <w:pPr>
        <w:pStyle w:val="P1-StandPara"/>
        <w:numPr>
          <w:ilvl w:val="0"/>
          <w:numId w:val="13"/>
        </w:numPr>
        <w:ind w:right="-216"/>
        <w:rPr>
          <w:rFonts w:asciiTheme="minorHAnsi" w:hAnsiTheme="minorHAnsi" w:cstheme="minorHAnsi"/>
          <w:sz w:val="24"/>
          <w:szCs w:val="24"/>
        </w:rPr>
      </w:pPr>
      <w:r w:rsidRPr="00E9498D">
        <w:rPr>
          <w:rFonts w:asciiTheme="minorHAnsi" w:hAnsiTheme="minorHAnsi" w:cstheme="minorHAnsi"/>
          <w:sz w:val="24"/>
          <w:szCs w:val="24"/>
        </w:rPr>
        <w:t>ASD Research Funding Data Collection Guidance</w:t>
      </w:r>
    </w:p>
    <w:p w14:paraId="522F9084" w14:textId="77777777" w:rsidR="00E10085" w:rsidRPr="00E9498D" w:rsidRDefault="00E10085" w:rsidP="00784374">
      <w:pPr>
        <w:pStyle w:val="P1-StandPara"/>
        <w:numPr>
          <w:ilvl w:val="0"/>
          <w:numId w:val="13"/>
        </w:numPr>
        <w:ind w:right="-216"/>
        <w:rPr>
          <w:rFonts w:asciiTheme="minorHAnsi" w:hAnsiTheme="minorHAnsi" w:cstheme="minorHAnsi"/>
          <w:sz w:val="24"/>
          <w:szCs w:val="24"/>
        </w:rPr>
      </w:pPr>
      <w:r w:rsidRPr="00E9498D">
        <w:rPr>
          <w:rFonts w:asciiTheme="minorHAnsi" w:hAnsiTheme="minorHAnsi" w:cstheme="minorHAnsi"/>
          <w:sz w:val="24"/>
          <w:szCs w:val="24"/>
        </w:rPr>
        <w:t>ASD Research Data Collection Spreadsheet</w:t>
      </w:r>
    </w:p>
    <w:p w14:paraId="6C67AC7F" w14:textId="4217AADD" w:rsidR="00976490" w:rsidRPr="00E9498D" w:rsidRDefault="00E35DD1" w:rsidP="00784374">
      <w:pPr>
        <w:pStyle w:val="P1-StandPara"/>
        <w:tabs>
          <w:tab w:val="left" w:pos="720"/>
          <w:tab w:val="right" w:leader="dot" w:pos="9504"/>
        </w:tabs>
        <w:rPr>
          <w:rFonts w:asciiTheme="minorHAnsi" w:hAnsiTheme="minorHAnsi" w:cstheme="minorHAnsi"/>
          <w:b/>
          <w:sz w:val="24"/>
          <w:szCs w:val="24"/>
        </w:rPr>
      </w:pPr>
      <w:r w:rsidRPr="00E9498D">
        <w:rPr>
          <w:rFonts w:asciiTheme="minorHAnsi" w:hAnsiTheme="minorHAnsi" w:cstheme="minorHAnsi"/>
          <w:sz w:val="24"/>
          <w:szCs w:val="24"/>
        </w:rPr>
        <w:fldChar w:fldCharType="end"/>
      </w:r>
    </w:p>
    <w:p w14:paraId="6E2A7D27"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5C107D9F"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23D2876D"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0E3048D0"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01BAF32F"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0CB4CF48"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574445AD"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23C4233A"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2221F2AB"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12F22569"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70FADC0C"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2CF9D769"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5B22588F"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21BE3007"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31C01C72"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2DCA4B9B"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14A746FD" w14:textId="77777777" w:rsidR="008875CF" w:rsidRPr="00E9498D" w:rsidRDefault="008875CF" w:rsidP="00784374">
      <w:pPr>
        <w:pStyle w:val="P1-StandPara"/>
        <w:tabs>
          <w:tab w:val="left" w:pos="720"/>
          <w:tab w:val="right" w:leader="dot" w:pos="9504"/>
        </w:tabs>
        <w:ind w:firstLine="0"/>
        <w:rPr>
          <w:rFonts w:asciiTheme="minorHAnsi" w:hAnsiTheme="minorHAnsi" w:cstheme="minorHAnsi"/>
          <w:b/>
          <w:sz w:val="24"/>
          <w:szCs w:val="24"/>
        </w:rPr>
      </w:pPr>
    </w:p>
    <w:p w14:paraId="605173DA" w14:textId="705B0EC1" w:rsidR="006A45F9" w:rsidRPr="00E9498D" w:rsidRDefault="006A45F9" w:rsidP="00784374">
      <w:pPr>
        <w:pStyle w:val="P1-StandPara"/>
        <w:tabs>
          <w:tab w:val="left" w:pos="720"/>
          <w:tab w:val="right" w:leader="dot" w:pos="9504"/>
        </w:tabs>
        <w:ind w:firstLine="0"/>
        <w:rPr>
          <w:rFonts w:asciiTheme="minorHAnsi" w:hAnsiTheme="minorHAnsi" w:cstheme="minorHAnsi"/>
          <w:sz w:val="24"/>
          <w:szCs w:val="24"/>
        </w:rPr>
      </w:pPr>
      <w:r w:rsidRPr="00E9498D">
        <w:rPr>
          <w:rFonts w:asciiTheme="minorHAnsi" w:hAnsiTheme="minorHAnsi" w:cstheme="minorHAnsi"/>
          <w:b/>
          <w:sz w:val="24"/>
          <w:szCs w:val="24"/>
        </w:rPr>
        <w:t xml:space="preserve">A. </w:t>
      </w:r>
      <w:r w:rsidR="00BE76A7" w:rsidRPr="00E9498D">
        <w:rPr>
          <w:rFonts w:asciiTheme="minorHAnsi" w:hAnsiTheme="minorHAnsi" w:cstheme="minorHAnsi"/>
          <w:b/>
          <w:sz w:val="24"/>
          <w:szCs w:val="24"/>
        </w:rPr>
        <w:t>Justification</w:t>
      </w:r>
    </w:p>
    <w:p w14:paraId="4FF2901B" w14:textId="1BCEC1FA" w:rsidR="00976490" w:rsidRPr="00E9498D" w:rsidRDefault="00004655" w:rsidP="00784374">
      <w:pPr>
        <w:pStyle w:val="P1-StandPara"/>
        <w:tabs>
          <w:tab w:val="left" w:pos="720"/>
          <w:tab w:val="right" w:leader="dot" w:pos="9504"/>
        </w:tabs>
        <w:ind w:firstLine="0"/>
        <w:rPr>
          <w:rFonts w:asciiTheme="minorHAnsi" w:hAnsiTheme="minorHAnsi" w:cstheme="minorHAnsi"/>
          <w:b/>
          <w:sz w:val="24"/>
          <w:szCs w:val="24"/>
        </w:rPr>
      </w:pPr>
      <w:r w:rsidRPr="00E9498D">
        <w:rPr>
          <w:rFonts w:asciiTheme="minorHAnsi" w:hAnsiTheme="minorHAnsi" w:cstheme="minorHAnsi"/>
          <w:color w:val="000000"/>
          <w:sz w:val="24"/>
          <w:szCs w:val="24"/>
        </w:rPr>
        <w:tab/>
      </w:r>
      <w:r w:rsidR="00E10085" w:rsidRPr="00E9498D">
        <w:rPr>
          <w:rFonts w:asciiTheme="minorHAnsi" w:hAnsiTheme="minorHAnsi" w:cstheme="minorHAnsi"/>
          <w:color w:val="000000"/>
          <w:sz w:val="24"/>
          <w:szCs w:val="24"/>
        </w:rPr>
        <w:t>The National Institute of Mental Health (NIMH) Office of Autism Research Coordination (OARC), on behalf of the Interagency Autism Coordinating Committee (IACC), plans to continue conducting comprehensive portfolio analyses of major autism spectrum disorder (ASD) research funders. The purpose of the</w:t>
      </w:r>
      <w:r w:rsidR="00D34B95" w:rsidRPr="00E9498D">
        <w:rPr>
          <w:rFonts w:asciiTheme="minorHAnsi" w:hAnsiTheme="minorHAnsi" w:cstheme="minorHAnsi"/>
          <w:color w:val="000000"/>
          <w:sz w:val="24"/>
          <w:szCs w:val="24"/>
        </w:rPr>
        <w:t xml:space="preserve"> annual</w:t>
      </w:r>
      <w:r w:rsidR="00E10085" w:rsidRPr="00E9498D">
        <w:rPr>
          <w:rFonts w:asciiTheme="minorHAnsi" w:hAnsiTheme="minorHAnsi" w:cstheme="minorHAnsi"/>
          <w:color w:val="000000"/>
          <w:sz w:val="24"/>
          <w:szCs w:val="24"/>
        </w:rPr>
        <w:t xml:space="preserve"> ASD research portfolio analysis is to collect research funding data from U.S. and international ASD research funders, to assist the IACC in fulfilling the requirements of the</w:t>
      </w:r>
      <w:r w:rsidR="00ED75A5" w:rsidRPr="00E9498D">
        <w:rPr>
          <w:rFonts w:asciiTheme="minorHAnsi" w:hAnsiTheme="minorHAnsi" w:cstheme="minorHAnsi"/>
          <w:color w:val="000000"/>
          <w:sz w:val="24"/>
          <w:szCs w:val="24"/>
        </w:rPr>
        <w:t xml:space="preserve"> </w:t>
      </w:r>
      <w:r w:rsidR="00ED75A5" w:rsidRPr="00E9498D">
        <w:rPr>
          <w:rFonts w:asciiTheme="minorHAnsi" w:hAnsiTheme="minorHAnsi" w:cstheme="minorHAnsi"/>
          <w:color w:val="000000"/>
          <w:sz w:val="24"/>
          <w:szCs w:val="24"/>
          <w:shd w:val="clear" w:color="auto" w:fill="FFFFFF"/>
        </w:rPr>
        <w:t>Autism Collaboration, Accountability, Research, Education and Support (CARES) Act of 2019</w:t>
      </w:r>
      <w:r w:rsidR="00E10085" w:rsidRPr="00E9498D">
        <w:rPr>
          <w:rFonts w:asciiTheme="minorHAnsi" w:hAnsiTheme="minorHAnsi" w:cstheme="minorHAnsi"/>
          <w:color w:val="000000"/>
          <w:sz w:val="24"/>
          <w:szCs w:val="24"/>
        </w:rPr>
        <w:t xml:space="preserve">, and to inform stakeholders of the funding landscape and current directions for ASD research. These analyses will continue to examine the extent to which current funding and research topics align with the </w:t>
      </w:r>
      <w:r w:rsidR="00E10085" w:rsidRPr="00E9498D">
        <w:rPr>
          <w:rFonts w:asciiTheme="minorHAnsi" w:hAnsiTheme="minorHAnsi" w:cstheme="minorHAnsi"/>
          <w:i/>
          <w:color w:val="000000"/>
          <w:sz w:val="24"/>
          <w:szCs w:val="24"/>
        </w:rPr>
        <w:t>IACC Strategic Plan for ASD</w:t>
      </w:r>
      <w:r w:rsidR="009539AE" w:rsidRPr="00E9498D">
        <w:rPr>
          <w:rFonts w:asciiTheme="minorHAnsi" w:hAnsiTheme="minorHAnsi" w:cstheme="minorHAnsi"/>
          <w:color w:val="000000"/>
          <w:sz w:val="24"/>
          <w:szCs w:val="24"/>
        </w:rPr>
        <w:t>.</w:t>
      </w:r>
      <w:r w:rsidR="0086065C" w:rsidRPr="00E9498D">
        <w:rPr>
          <w:rFonts w:asciiTheme="minorHAnsi" w:hAnsiTheme="minorHAnsi" w:cstheme="minorHAnsi"/>
          <w:color w:val="000000"/>
          <w:sz w:val="24"/>
          <w:szCs w:val="24"/>
        </w:rPr>
        <w:t xml:space="preserve">  </w:t>
      </w:r>
      <w:r w:rsidR="009539AE" w:rsidRPr="00E9498D">
        <w:rPr>
          <w:rFonts w:asciiTheme="minorHAnsi" w:hAnsiTheme="minorHAnsi" w:cstheme="minorHAnsi"/>
          <w:color w:val="000000"/>
          <w:sz w:val="24"/>
          <w:szCs w:val="24"/>
        </w:rPr>
        <w:t>T</w:t>
      </w:r>
      <w:r w:rsidR="00E10085" w:rsidRPr="00E9498D">
        <w:rPr>
          <w:rFonts w:asciiTheme="minorHAnsi" w:hAnsiTheme="minorHAnsi" w:cstheme="minorHAnsi"/>
          <w:color w:val="000000"/>
          <w:sz w:val="24"/>
          <w:szCs w:val="24"/>
        </w:rPr>
        <w:t xml:space="preserve">he findings will </w:t>
      </w:r>
      <w:r w:rsidR="009539AE" w:rsidRPr="00E9498D">
        <w:rPr>
          <w:rFonts w:asciiTheme="minorHAnsi" w:hAnsiTheme="minorHAnsi" w:cstheme="minorHAnsi"/>
          <w:color w:val="000000"/>
          <w:sz w:val="24"/>
          <w:szCs w:val="24"/>
        </w:rPr>
        <w:t xml:space="preserve">also </w:t>
      </w:r>
      <w:r w:rsidR="00E10085" w:rsidRPr="00E9498D">
        <w:rPr>
          <w:rFonts w:asciiTheme="minorHAnsi" w:hAnsiTheme="minorHAnsi" w:cstheme="minorHAnsi"/>
          <w:color w:val="000000"/>
          <w:sz w:val="24"/>
          <w:szCs w:val="24"/>
        </w:rPr>
        <w:t>help</w:t>
      </w:r>
      <w:r w:rsidR="009539AE" w:rsidRPr="00E9498D">
        <w:rPr>
          <w:rFonts w:asciiTheme="minorHAnsi" w:hAnsiTheme="minorHAnsi" w:cstheme="minorHAnsi"/>
          <w:color w:val="000000"/>
          <w:sz w:val="24"/>
          <w:szCs w:val="24"/>
        </w:rPr>
        <w:t xml:space="preserve"> to </w:t>
      </w:r>
      <w:r w:rsidR="00E10085" w:rsidRPr="00E9498D">
        <w:rPr>
          <w:rFonts w:asciiTheme="minorHAnsi" w:hAnsiTheme="minorHAnsi" w:cstheme="minorHAnsi"/>
          <w:color w:val="000000"/>
          <w:sz w:val="24"/>
          <w:szCs w:val="24"/>
        </w:rPr>
        <w:t>guide future funding priorities by outlining current gaps and opportunities in ASD research as well as serving to highlight annual activities and research progress.</w:t>
      </w:r>
    </w:p>
    <w:p w14:paraId="278F4695" w14:textId="77777777" w:rsidR="000F3043" w:rsidRPr="00E9498D" w:rsidRDefault="000F3043" w:rsidP="00784374">
      <w:pPr>
        <w:pStyle w:val="P1-StandPara"/>
        <w:tabs>
          <w:tab w:val="left" w:pos="720"/>
          <w:tab w:val="right" w:leader="dot" w:pos="9504"/>
        </w:tabs>
        <w:ind w:firstLine="0"/>
        <w:rPr>
          <w:rFonts w:asciiTheme="minorHAnsi" w:hAnsiTheme="minorHAnsi" w:cstheme="minorHAnsi"/>
          <w:b/>
          <w:sz w:val="24"/>
          <w:szCs w:val="24"/>
        </w:rPr>
      </w:pPr>
      <w:r w:rsidRPr="00E9498D">
        <w:rPr>
          <w:rFonts w:asciiTheme="minorHAnsi" w:hAnsiTheme="minorHAnsi" w:cstheme="minorHAnsi"/>
          <w:b/>
          <w:sz w:val="24"/>
          <w:szCs w:val="24"/>
        </w:rPr>
        <w:t>A.1</w:t>
      </w:r>
      <w:r w:rsidRPr="00E9498D">
        <w:rPr>
          <w:rFonts w:asciiTheme="minorHAnsi" w:hAnsiTheme="minorHAnsi" w:cstheme="minorHAnsi"/>
          <w:b/>
          <w:sz w:val="24"/>
          <w:szCs w:val="24"/>
        </w:rPr>
        <w:tab/>
        <w:t>Circumstances Making the Collection of Information Necessary</w:t>
      </w:r>
    </w:p>
    <w:p w14:paraId="37D2CE0D" w14:textId="1238E2A8" w:rsidR="00E10085" w:rsidRPr="00E9498D" w:rsidRDefault="00E10085" w:rsidP="00784374">
      <w:pPr>
        <w:spacing w:after="0" w:line="480" w:lineRule="auto"/>
        <w:ind w:firstLine="720"/>
        <w:rPr>
          <w:rFonts w:cstheme="minorHAnsi"/>
          <w:color w:val="000000"/>
          <w:kern w:val="24"/>
          <w:sz w:val="24"/>
          <w:szCs w:val="24"/>
        </w:rPr>
      </w:pPr>
      <w:bookmarkStart w:id="2" w:name="_Toc443881743"/>
      <w:bookmarkStart w:id="3" w:name="_Toc451592232"/>
      <w:bookmarkStart w:id="4" w:name="_Toc5610273"/>
      <w:bookmarkStart w:id="5" w:name="_Toc99178779"/>
      <w:r w:rsidRPr="00E9498D">
        <w:rPr>
          <w:rFonts w:cstheme="minorHAnsi"/>
          <w:color w:val="000000"/>
          <w:sz w:val="24"/>
          <w:szCs w:val="24"/>
        </w:rPr>
        <w:t xml:space="preserve">The </w:t>
      </w:r>
      <w:hyperlink r:id="rId10" w:history="1">
        <w:r w:rsidRPr="00E9498D">
          <w:rPr>
            <w:rStyle w:val="Hyperlink"/>
            <w:rFonts w:cstheme="minorHAnsi"/>
            <w:sz w:val="24"/>
            <w:szCs w:val="24"/>
          </w:rPr>
          <w:t>IACC</w:t>
        </w:r>
      </w:hyperlink>
      <w:r w:rsidRPr="00E9498D">
        <w:rPr>
          <w:rFonts w:cstheme="minorHAnsi"/>
          <w:color w:val="000000"/>
          <w:sz w:val="24"/>
          <w:szCs w:val="24"/>
        </w:rPr>
        <w:t xml:space="preserve"> is a Federal advisory committee convened by the Department of Health and Human Services (HHS) consisting of Federal and public members (</w:t>
      </w:r>
      <w:r w:rsidRPr="00E9498D">
        <w:rPr>
          <w:rFonts w:cstheme="minorHAnsi"/>
          <w:sz w:val="24"/>
          <w:szCs w:val="24"/>
        </w:rPr>
        <w:t xml:space="preserve">governed by the provisions of the Federal Advisory Committee Act, as amended [5 </w:t>
      </w:r>
      <w:r w:rsidRPr="00E9498D">
        <w:rPr>
          <w:rStyle w:val="HTMLAcronym"/>
          <w:rFonts w:cstheme="minorHAnsi"/>
          <w:sz w:val="24"/>
          <w:szCs w:val="24"/>
        </w:rPr>
        <w:t>U.S.C.</w:t>
      </w:r>
      <w:r w:rsidRPr="00E9498D">
        <w:rPr>
          <w:rFonts w:cstheme="minorHAnsi"/>
          <w:sz w:val="24"/>
          <w:szCs w:val="24"/>
        </w:rPr>
        <w:t xml:space="preserve"> Appendix 2])</w:t>
      </w:r>
      <w:r w:rsidRPr="00E9498D">
        <w:rPr>
          <w:rFonts w:cstheme="minorHAnsi"/>
          <w:color w:val="000000"/>
          <w:sz w:val="24"/>
          <w:szCs w:val="24"/>
        </w:rPr>
        <w:t xml:space="preserve"> that coordinates all efforts within HHS concerning ASD.  The IACC was established under the Combating Autism Act (CAA) of 2006 (</w:t>
      </w:r>
      <w:hyperlink r:id="rId11" w:history="1">
        <w:r w:rsidRPr="00E9498D">
          <w:rPr>
            <w:rStyle w:val="Hyperlink"/>
            <w:rFonts w:cstheme="minorHAnsi"/>
            <w:sz w:val="24"/>
            <w:szCs w:val="24"/>
          </w:rPr>
          <w:t>Public Law 109-416</w:t>
        </w:r>
      </w:hyperlink>
      <w:r w:rsidRPr="00E9498D">
        <w:rPr>
          <w:rFonts w:cstheme="minorHAnsi"/>
          <w:color w:val="000000"/>
          <w:sz w:val="24"/>
          <w:szCs w:val="24"/>
        </w:rPr>
        <w:t xml:space="preserve">) and </w:t>
      </w:r>
      <w:r w:rsidRPr="00E9498D">
        <w:rPr>
          <w:rFonts w:cstheme="minorHAnsi"/>
          <w:color w:val="000000"/>
          <w:sz w:val="24"/>
          <w:szCs w:val="24"/>
          <w:shd w:val="clear" w:color="auto" w:fill="FFFFFF"/>
        </w:rPr>
        <w:t xml:space="preserve">reauthorized </w:t>
      </w:r>
      <w:r w:rsidR="00B06C9B" w:rsidRPr="00E9498D">
        <w:rPr>
          <w:rFonts w:cstheme="minorHAnsi"/>
          <w:color w:val="000000"/>
          <w:sz w:val="24"/>
          <w:szCs w:val="24"/>
          <w:shd w:val="clear" w:color="auto" w:fill="FFFFFF"/>
        </w:rPr>
        <w:t xml:space="preserve">most recently </w:t>
      </w:r>
      <w:r w:rsidRPr="00E9498D">
        <w:rPr>
          <w:rFonts w:cstheme="minorHAnsi"/>
          <w:color w:val="000000"/>
          <w:sz w:val="24"/>
          <w:szCs w:val="24"/>
          <w:shd w:val="clear" w:color="auto" w:fill="FFFFFF"/>
        </w:rPr>
        <w:t>under the CARES Act of 201</w:t>
      </w:r>
      <w:r w:rsidR="00ED75A5" w:rsidRPr="00E9498D">
        <w:rPr>
          <w:rFonts w:cstheme="minorHAnsi"/>
          <w:color w:val="000000"/>
          <w:sz w:val="24"/>
          <w:szCs w:val="24"/>
          <w:shd w:val="clear" w:color="auto" w:fill="FFFFFF"/>
        </w:rPr>
        <w:t>9</w:t>
      </w:r>
      <w:r w:rsidRPr="00E9498D">
        <w:rPr>
          <w:rFonts w:cstheme="minorHAnsi"/>
          <w:color w:val="000000"/>
          <w:sz w:val="24"/>
          <w:szCs w:val="24"/>
          <w:shd w:val="clear" w:color="auto" w:fill="FFFFFF"/>
        </w:rPr>
        <w:t xml:space="preserve"> </w:t>
      </w:r>
      <w:r w:rsidRPr="00E9498D">
        <w:rPr>
          <w:rFonts w:cstheme="minorHAnsi"/>
          <w:color w:val="000000"/>
          <w:sz w:val="24"/>
          <w:szCs w:val="24"/>
        </w:rPr>
        <w:t>(</w:t>
      </w:r>
      <w:hyperlink r:id="rId12" w:history="1">
        <w:r w:rsidR="00ED75A5" w:rsidRPr="00E9498D">
          <w:rPr>
            <w:rStyle w:val="Hyperlink"/>
            <w:rFonts w:cstheme="minorHAnsi"/>
            <w:sz w:val="24"/>
            <w:szCs w:val="24"/>
          </w:rPr>
          <w:t>Public Law 116-60</w:t>
        </w:r>
      </w:hyperlink>
      <w:r w:rsidRPr="00E9498D">
        <w:rPr>
          <w:rFonts w:cstheme="minorHAnsi"/>
          <w:color w:val="000000"/>
          <w:sz w:val="24"/>
          <w:szCs w:val="24"/>
        </w:rPr>
        <w:t>).  As mandated by the CAA, one of the statutory responsibilities of the IACC is to m</w:t>
      </w:r>
      <w:r w:rsidRPr="00E9498D">
        <w:rPr>
          <w:rFonts w:cstheme="minorHAnsi"/>
          <w:color w:val="000000"/>
          <w:kern w:val="24"/>
          <w:sz w:val="24"/>
          <w:szCs w:val="24"/>
        </w:rPr>
        <w:t xml:space="preserve">onitor Federal activities with respect to ASD.  The Committee is also charged with advising the Secretary of HHS regarding appropriate changes to ASD activities, as well as developing and annually updating a </w:t>
      </w:r>
      <w:r w:rsidR="00B06C9B" w:rsidRPr="00E9498D">
        <w:rPr>
          <w:rFonts w:cstheme="minorHAnsi"/>
          <w:color w:val="000000"/>
          <w:kern w:val="24"/>
          <w:sz w:val="24"/>
          <w:szCs w:val="24"/>
        </w:rPr>
        <w:t>s</w:t>
      </w:r>
      <w:r w:rsidRPr="00E9498D">
        <w:rPr>
          <w:rFonts w:cstheme="minorHAnsi"/>
          <w:color w:val="000000"/>
          <w:kern w:val="24"/>
          <w:sz w:val="24"/>
          <w:szCs w:val="24"/>
        </w:rPr>
        <w:t xml:space="preserve">trategic </w:t>
      </w:r>
      <w:r w:rsidR="00B06C9B" w:rsidRPr="00E9498D">
        <w:rPr>
          <w:rFonts w:cstheme="minorHAnsi"/>
          <w:color w:val="000000"/>
          <w:kern w:val="24"/>
          <w:sz w:val="24"/>
          <w:szCs w:val="24"/>
        </w:rPr>
        <w:t>p</w:t>
      </w:r>
      <w:r w:rsidRPr="00E9498D">
        <w:rPr>
          <w:rFonts w:cstheme="minorHAnsi"/>
          <w:color w:val="000000"/>
          <w:kern w:val="24"/>
          <w:sz w:val="24"/>
          <w:szCs w:val="24"/>
        </w:rPr>
        <w:t>lan for ASD</w:t>
      </w:r>
      <w:r w:rsidR="002F7592" w:rsidRPr="00E9498D">
        <w:rPr>
          <w:rFonts w:cstheme="minorHAnsi"/>
          <w:color w:val="000000"/>
          <w:kern w:val="24"/>
          <w:sz w:val="24"/>
          <w:szCs w:val="24"/>
        </w:rPr>
        <w:t xml:space="preserve"> research and related activities</w:t>
      </w:r>
      <w:r w:rsidRPr="00E9498D">
        <w:rPr>
          <w:rFonts w:cstheme="minorHAnsi"/>
          <w:color w:val="000000"/>
          <w:kern w:val="24"/>
          <w:sz w:val="24"/>
          <w:szCs w:val="24"/>
        </w:rPr>
        <w:t xml:space="preserve">. </w:t>
      </w:r>
    </w:p>
    <w:p w14:paraId="6713C5AA" w14:textId="77777777" w:rsidR="000F3043" w:rsidRPr="00E9498D" w:rsidRDefault="000F3043" w:rsidP="00784374">
      <w:pPr>
        <w:pStyle w:val="Heading2"/>
        <w:spacing w:before="0" w:line="480" w:lineRule="auto"/>
        <w:rPr>
          <w:rFonts w:asciiTheme="minorHAnsi" w:hAnsiTheme="minorHAnsi" w:cstheme="minorHAnsi"/>
          <w:b/>
          <w:color w:val="auto"/>
          <w:sz w:val="24"/>
          <w:szCs w:val="24"/>
        </w:rPr>
      </w:pPr>
      <w:r w:rsidRPr="00E9498D">
        <w:rPr>
          <w:rFonts w:asciiTheme="minorHAnsi" w:hAnsiTheme="minorHAnsi" w:cstheme="minorHAnsi"/>
          <w:b/>
          <w:color w:val="auto"/>
          <w:sz w:val="24"/>
          <w:szCs w:val="24"/>
        </w:rPr>
        <w:t>A.2    Purpose and Use of the Information</w:t>
      </w:r>
      <w:bookmarkEnd w:id="2"/>
      <w:bookmarkEnd w:id="3"/>
      <w:bookmarkEnd w:id="4"/>
      <w:bookmarkEnd w:id="5"/>
      <w:r w:rsidRPr="00E9498D">
        <w:rPr>
          <w:rFonts w:asciiTheme="minorHAnsi" w:hAnsiTheme="minorHAnsi" w:cstheme="minorHAnsi"/>
          <w:b/>
          <w:color w:val="auto"/>
          <w:sz w:val="24"/>
          <w:szCs w:val="24"/>
        </w:rPr>
        <w:t xml:space="preserve"> Collection</w:t>
      </w:r>
    </w:p>
    <w:p w14:paraId="3F4675FB" w14:textId="6786ADB3" w:rsidR="00E10085" w:rsidRPr="00E9498D" w:rsidRDefault="00E10085" w:rsidP="00784374">
      <w:pPr>
        <w:spacing w:after="0" w:line="480" w:lineRule="auto"/>
        <w:ind w:firstLine="720"/>
        <w:rPr>
          <w:rFonts w:cstheme="minorHAnsi"/>
          <w:color w:val="000000"/>
          <w:sz w:val="24"/>
          <w:szCs w:val="24"/>
        </w:rPr>
      </w:pPr>
      <w:r w:rsidRPr="00E9498D">
        <w:rPr>
          <w:rFonts w:cstheme="minorHAnsi"/>
          <w:color w:val="000000"/>
          <w:sz w:val="24"/>
          <w:szCs w:val="24"/>
        </w:rPr>
        <w:t xml:space="preserve">The purpose of the ASD portfolio analysis is to collect data on nationally- and internationally-funded ASD research.  The ASD research funding data includes Federal agencies and private organizations and will be analyzed by OARC staff in separate </w:t>
      </w:r>
      <w:r w:rsidRPr="00E9498D">
        <w:rPr>
          <w:rFonts w:cstheme="minorHAnsi"/>
          <w:i/>
          <w:color w:val="000000"/>
          <w:sz w:val="24"/>
          <w:szCs w:val="24"/>
        </w:rPr>
        <w:t xml:space="preserve">Portfolio Analysis Reports </w:t>
      </w:r>
      <w:r w:rsidRPr="00E9498D">
        <w:rPr>
          <w:rFonts w:cstheme="minorHAnsi"/>
          <w:color w:val="000000"/>
          <w:sz w:val="24"/>
          <w:szCs w:val="24"/>
        </w:rPr>
        <w:t xml:space="preserve">for each year.  OARC has conducted previous U.S. data collections to be used as the basis of the </w:t>
      </w:r>
      <w:r w:rsidRPr="00E9498D">
        <w:rPr>
          <w:rFonts w:cstheme="minorHAnsi"/>
          <w:i/>
          <w:color w:val="000000"/>
          <w:sz w:val="24"/>
          <w:szCs w:val="24"/>
        </w:rPr>
        <w:t>2010-201</w:t>
      </w:r>
      <w:r w:rsidR="001107DC" w:rsidRPr="00E9498D">
        <w:rPr>
          <w:rFonts w:cstheme="minorHAnsi"/>
          <w:i/>
          <w:color w:val="000000"/>
          <w:sz w:val="24"/>
          <w:szCs w:val="24"/>
        </w:rPr>
        <w:t>6</w:t>
      </w:r>
      <w:r w:rsidRPr="00E9498D">
        <w:rPr>
          <w:rFonts w:cstheme="minorHAnsi"/>
          <w:color w:val="000000"/>
          <w:sz w:val="24"/>
          <w:szCs w:val="24"/>
        </w:rPr>
        <w:t xml:space="preserve"> </w:t>
      </w:r>
      <w:r w:rsidRPr="00E9498D">
        <w:rPr>
          <w:rFonts w:cstheme="minorHAnsi"/>
          <w:i/>
          <w:color w:val="000000"/>
          <w:sz w:val="24"/>
          <w:szCs w:val="24"/>
        </w:rPr>
        <w:t>IACC</w:t>
      </w:r>
      <w:r w:rsidRPr="00E9498D">
        <w:rPr>
          <w:rFonts w:cstheme="minorHAnsi"/>
          <w:color w:val="000000"/>
          <w:sz w:val="24"/>
          <w:szCs w:val="24"/>
        </w:rPr>
        <w:t xml:space="preserve"> </w:t>
      </w:r>
      <w:r w:rsidRPr="00E9498D">
        <w:rPr>
          <w:rFonts w:cstheme="minorHAnsi"/>
          <w:i/>
          <w:color w:val="000000"/>
          <w:sz w:val="24"/>
          <w:szCs w:val="24"/>
        </w:rPr>
        <w:t xml:space="preserve">ASD Portfolio Analysis Reports, </w:t>
      </w:r>
      <w:r w:rsidRPr="00E9498D">
        <w:rPr>
          <w:rFonts w:cstheme="minorHAnsi"/>
          <w:color w:val="000000"/>
          <w:sz w:val="24"/>
          <w:szCs w:val="24"/>
        </w:rPr>
        <w:t xml:space="preserve">which are made publicly available on the IACC website at </w:t>
      </w:r>
      <w:hyperlink r:id="rId13" w:history="1">
        <w:r w:rsidR="001107DC" w:rsidRPr="00E9498D">
          <w:rPr>
            <w:rStyle w:val="Hyperlink"/>
            <w:rFonts w:cstheme="minorHAnsi"/>
            <w:sz w:val="24"/>
            <w:szCs w:val="24"/>
            <w:highlight w:val="yellow"/>
          </w:rPr>
          <w:t>https://iacc.hhs.gov/publications/portfolio-analysis/2016/</w:t>
        </w:r>
      </w:hyperlink>
      <w:r w:rsidRPr="00E9498D">
        <w:rPr>
          <w:rFonts w:cstheme="minorHAnsi"/>
          <w:color w:val="000000"/>
          <w:sz w:val="24"/>
          <w:szCs w:val="24"/>
        </w:rPr>
        <w:t xml:space="preserve">.  The intent of these analyses is to assist the IACC in fulfilling the requirements of the CARES Act and to better inform the IACC and interested stakeholders about the funding landscape and current directions for ASD research.  Specifically, these analyses examine the extent to which current funding and research topics align with </w:t>
      </w:r>
      <w:r w:rsidRPr="00E9498D">
        <w:rPr>
          <w:rFonts w:cstheme="minorHAnsi"/>
          <w:sz w:val="24"/>
          <w:szCs w:val="24"/>
        </w:rPr>
        <w:t xml:space="preserve">the </w:t>
      </w:r>
      <w:r w:rsidRPr="00E9498D">
        <w:rPr>
          <w:rStyle w:val="Emphasis"/>
          <w:rFonts w:cstheme="minorHAnsi"/>
          <w:sz w:val="24"/>
          <w:szCs w:val="24"/>
        </w:rPr>
        <w:t>IACC Strategic Plan for ASD</w:t>
      </w:r>
      <w:r w:rsidRPr="00E9498D">
        <w:rPr>
          <w:rFonts w:cstheme="minorHAnsi"/>
          <w:sz w:val="24"/>
          <w:szCs w:val="24"/>
        </w:rPr>
        <w:t xml:space="preserve">.  This will </w:t>
      </w:r>
      <w:r w:rsidRPr="00E9498D">
        <w:rPr>
          <w:rFonts w:cstheme="minorHAnsi"/>
          <w:color w:val="000000"/>
          <w:sz w:val="24"/>
          <w:szCs w:val="24"/>
        </w:rPr>
        <w:t xml:space="preserve">help guide future funding priorities by outlining current gaps and opportunities in ASD research as well as serving to highlight current activities and research progress.  In addition, this information is used to help the IACC in their annual update of the </w:t>
      </w:r>
      <w:r w:rsidRPr="00E9498D">
        <w:rPr>
          <w:rStyle w:val="Emphasis"/>
          <w:rFonts w:cstheme="minorHAnsi"/>
          <w:sz w:val="24"/>
          <w:szCs w:val="24"/>
        </w:rPr>
        <w:t xml:space="preserve">Strategic Plan. </w:t>
      </w:r>
      <w:r w:rsidRPr="00E9498D">
        <w:rPr>
          <w:rFonts w:cstheme="minorHAnsi"/>
          <w:color w:val="000000"/>
          <w:sz w:val="24"/>
          <w:szCs w:val="24"/>
        </w:rPr>
        <w:t xml:space="preserve">Funding organizations will be asked to provide specific data on individual research projects that they support.  Each funder will receive a spreadsheet (see Attachment 4 - </w:t>
      </w:r>
      <w:r w:rsidRPr="00E9498D">
        <w:rPr>
          <w:rFonts w:cstheme="minorHAnsi"/>
          <w:i/>
          <w:sz w:val="24"/>
          <w:szCs w:val="24"/>
        </w:rPr>
        <w:t>ASD Research Data Collection Spreadsheet</w:t>
      </w:r>
      <w:r w:rsidRPr="00E9498D">
        <w:rPr>
          <w:rFonts w:cstheme="minorHAnsi"/>
          <w:color w:val="000000"/>
          <w:sz w:val="24"/>
          <w:szCs w:val="24"/>
        </w:rPr>
        <w:t xml:space="preserve">) along with instructions </w:t>
      </w:r>
      <w:r w:rsidR="009C5797" w:rsidRPr="00E9498D">
        <w:rPr>
          <w:rFonts w:cstheme="minorHAnsi"/>
          <w:color w:val="000000"/>
          <w:sz w:val="24"/>
          <w:szCs w:val="24"/>
        </w:rPr>
        <w:t xml:space="preserve">to fill in several data columns for each project </w:t>
      </w:r>
      <w:r w:rsidRPr="00E9498D">
        <w:rPr>
          <w:rFonts w:cstheme="minorHAnsi"/>
          <w:color w:val="000000"/>
          <w:sz w:val="24"/>
          <w:szCs w:val="24"/>
        </w:rPr>
        <w:t xml:space="preserve">(see Attachment 3 - </w:t>
      </w:r>
      <w:r w:rsidRPr="00E9498D">
        <w:rPr>
          <w:rFonts w:cstheme="minorHAnsi"/>
          <w:i/>
          <w:sz w:val="24"/>
          <w:szCs w:val="24"/>
        </w:rPr>
        <w:t>ASD Research Funding Data Collection Guidance)</w:t>
      </w:r>
      <w:r w:rsidRPr="00E9498D">
        <w:rPr>
          <w:rFonts w:cstheme="minorHAnsi"/>
          <w:color w:val="000000"/>
          <w:sz w:val="24"/>
          <w:szCs w:val="24"/>
        </w:rPr>
        <w:t>.  The type of information collected will include project title, princip</w:t>
      </w:r>
      <w:r w:rsidR="001655A0" w:rsidRPr="00E9498D">
        <w:rPr>
          <w:rFonts w:cstheme="minorHAnsi"/>
          <w:color w:val="000000"/>
          <w:sz w:val="24"/>
          <w:szCs w:val="24"/>
        </w:rPr>
        <w:t>al</w:t>
      </w:r>
      <w:r w:rsidRPr="00E9498D">
        <w:rPr>
          <w:rFonts w:cstheme="minorHAnsi"/>
          <w:color w:val="000000"/>
          <w:sz w:val="24"/>
          <w:szCs w:val="24"/>
        </w:rPr>
        <w:t xml:space="preserve"> investigator, research institution, state or country, annual funding, award period, project description, web link (if available), project number (if applicable), and project status (new or ongoing).  In addition, funders will be asked to categorize (or approve OARC categorization for) each project according to the </w:t>
      </w:r>
      <w:r w:rsidRPr="00E9498D">
        <w:rPr>
          <w:rFonts w:cstheme="minorHAnsi"/>
          <w:i/>
          <w:color w:val="000000"/>
          <w:sz w:val="24"/>
          <w:szCs w:val="24"/>
        </w:rPr>
        <w:t>IACC Strategic Plan</w:t>
      </w:r>
      <w:r w:rsidRPr="00E9498D">
        <w:rPr>
          <w:rFonts w:cstheme="minorHAnsi"/>
          <w:color w:val="000000"/>
          <w:sz w:val="24"/>
          <w:szCs w:val="24"/>
        </w:rPr>
        <w:t xml:space="preserve"> Question and Objective with which it best aligns.  Once the data are received by OARC, the office will ensure that all data entries are complete by following up with funders to collect missing information as needed.  OARC will review all coding to ensure data consistency across all funders.  </w:t>
      </w:r>
    </w:p>
    <w:p w14:paraId="382113C3" w14:textId="31A6C26F" w:rsidR="008875CF" w:rsidRPr="00E9498D" w:rsidRDefault="008875CF" w:rsidP="008875CF">
      <w:pPr>
        <w:spacing w:after="0" w:line="480" w:lineRule="auto"/>
        <w:ind w:firstLine="720"/>
        <w:rPr>
          <w:rFonts w:cstheme="minorHAnsi"/>
          <w:color w:val="000000"/>
          <w:kern w:val="24"/>
          <w:sz w:val="24"/>
          <w:szCs w:val="24"/>
        </w:rPr>
      </w:pPr>
      <w:r w:rsidRPr="00E9498D">
        <w:rPr>
          <w:rFonts w:cstheme="minorHAnsi"/>
          <w:color w:val="000000"/>
          <w:kern w:val="24"/>
          <w:sz w:val="24"/>
          <w:szCs w:val="24"/>
        </w:rPr>
        <w:t xml:space="preserve">OARC provides management and support to the IACC to assist them in carrying out these responsibilities. To help the IACC fulfill its requirement to monitor Federal activities, OARC produces an annual </w:t>
      </w:r>
      <w:hyperlink r:id="rId14" w:history="1">
        <w:r w:rsidRPr="00E9498D">
          <w:rPr>
            <w:rStyle w:val="Hyperlink"/>
            <w:rFonts w:cstheme="minorHAnsi"/>
            <w:i/>
            <w:kern w:val="24"/>
            <w:sz w:val="24"/>
            <w:szCs w:val="24"/>
          </w:rPr>
          <w:t>ASD Research Portfolio Analysis Report</w:t>
        </w:r>
      </w:hyperlink>
      <w:r w:rsidRPr="00E9498D">
        <w:rPr>
          <w:rFonts w:cstheme="minorHAnsi"/>
          <w:color w:val="000000"/>
          <w:kern w:val="24"/>
          <w:sz w:val="24"/>
          <w:szCs w:val="24"/>
        </w:rPr>
        <w:t xml:space="preserve"> based on data provided by Federal funders about ASD research projects that they support.  In addition, based on the committee’s interest in gaining a fuller understanding of the research landscape, the IACC also has requested that the report annually include funding data from private organizations.  Each funder provides a list of funded projects in a particular year, along with project descriptions and dollar amounts.  These collected data are then analyzed to provide information on the level to which various objectives in the </w:t>
      </w:r>
      <w:hyperlink r:id="rId15" w:history="1">
        <w:r w:rsidRPr="00E9498D">
          <w:rPr>
            <w:rStyle w:val="Hyperlink"/>
            <w:rFonts w:cstheme="minorHAnsi"/>
            <w:i/>
            <w:kern w:val="24"/>
            <w:sz w:val="24"/>
            <w:szCs w:val="24"/>
          </w:rPr>
          <w:t>IACC Strategic Plan for Autism Spectrum Disorder</w:t>
        </w:r>
      </w:hyperlink>
      <w:r w:rsidRPr="00E9498D">
        <w:rPr>
          <w:rFonts w:cstheme="minorHAnsi"/>
          <w:i/>
          <w:color w:val="000000"/>
          <w:kern w:val="24"/>
          <w:sz w:val="24"/>
          <w:szCs w:val="24"/>
        </w:rPr>
        <w:t xml:space="preserve"> </w:t>
      </w:r>
      <w:r w:rsidRPr="00E9498D">
        <w:rPr>
          <w:rFonts w:cstheme="minorHAnsi"/>
          <w:color w:val="000000"/>
          <w:kern w:val="24"/>
          <w:sz w:val="24"/>
          <w:szCs w:val="24"/>
        </w:rPr>
        <w:t xml:space="preserve">correlate with Federally- and privately-funded research projects. The IACC uses the results of the analyses when developing and updating subsequent iterations of the </w:t>
      </w:r>
      <w:r w:rsidRPr="00E9498D">
        <w:rPr>
          <w:rFonts w:cstheme="minorHAnsi"/>
          <w:i/>
          <w:color w:val="000000"/>
          <w:kern w:val="24"/>
          <w:sz w:val="24"/>
          <w:szCs w:val="24"/>
        </w:rPr>
        <w:t>Strategic Plan</w:t>
      </w:r>
      <w:r w:rsidRPr="00E9498D">
        <w:rPr>
          <w:rFonts w:cstheme="minorHAnsi"/>
          <w:color w:val="000000"/>
          <w:kern w:val="24"/>
          <w:sz w:val="24"/>
          <w:szCs w:val="24"/>
        </w:rPr>
        <w:t>, which in turn informs government policymakers, advocacy organizations, and the public about the critical areas of need for autism research.</w:t>
      </w:r>
    </w:p>
    <w:p w14:paraId="67FFE200" w14:textId="77777777" w:rsidR="008875CF" w:rsidRPr="00E9498D" w:rsidRDefault="008875CF" w:rsidP="008875CF">
      <w:pPr>
        <w:spacing w:after="0" w:line="480" w:lineRule="auto"/>
        <w:ind w:firstLine="720"/>
        <w:rPr>
          <w:rFonts w:cstheme="minorHAnsi"/>
          <w:color w:val="000000"/>
          <w:kern w:val="24"/>
          <w:sz w:val="24"/>
          <w:szCs w:val="24"/>
        </w:rPr>
      </w:pPr>
      <w:r w:rsidRPr="00E9498D">
        <w:rPr>
          <w:rFonts w:cstheme="minorHAnsi"/>
          <w:color w:val="000000"/>
          <w:kern w:val="24"/>
          <w:sz w:val="24"/>
          <w:szCs w:val="24"/>
        </w:rPr>
        <w:t xml:space="preserve">Previous analyses (conducted on data from 2010-2016) have been limited to U.S. Federal agencies and nine U.S. private organizations.  For future analyses, the IACC would like to include data from a larger number of U.S. private funders in order to obtain a broader understanding of the ASD funding landscape in this country. </w:t>
      </w:r>
      <w:r w:rsidRPr="00E9498D">
        <w:rPr>
          <w:rFonts w:cstheme="minorHAnsi"/>
          <w:sz w:val="24"/>
          <w:szCs w:val="24"/>
          <w:highlight w:val="yellow"/>
        </w:rPr>
        <w:t>Furthermore, because biomedical research is an international enterprise, it is valuable to conduct additional portfolio analyses including international funders of ASD research. OARC completed its first International Portfolio Analysis in 2019, in collaboration with organizations in the United Kingdom, Australia, and Canada. In the future, OARC plans to conduct this international analysis triennially.</w:t>
      </w:r>
      <w:r w:rsidRPr="00E9498D">
        <w:rPr>
          <w:rFonts w:cstheme="minorHAnsi"/>
          <w:sz w:val="24"/>
          <w:szCs w:val="24"/>
        </w:rPr>
        <w:t xml:space="preserve"> </w:t>
      </w:r>
      <w:r w:rsidRPr="00E9498D">
        <w:rPr>
          <w:rFonts w:cstheme="minorHAnsi"/>
          <w:color w:val="000000"/>
          <w:kern w:val="24"/>
          <w:sz w:val="24"/>
          <w:szCs w:val="24"/>
        </w:rPr>
        <w:t>Collectively, this information will continue to enable the IACC to provide advice to the Secretary of HHS from a more comprehensive knowledge base.</w:t>
      </w:r>
    </w:p>
    <w:p w14:paraId="0D28FE8B" w14:textId="39740BED" w:rsidR="00E10085" w:rsidRPr="00E9498D" w:rsidRDefault="008875CF" w:rsidP="00013D7D">
      <w:pPr>
        <w:pStyle w:val="P1-StandPara"/>
        <w:tabs>
          <w:tab w:val="left" w:pos="720"/>
          <w:tab w:val="right" w:leader="dot" w:pos="9504"/>
        </w:tabs>
        <w:ind w:firstLine="0"/>
        <w:rPr>
          <w:rFonts w:asciiTheme="minorHAnsi" w:hAnsiTheme="minorHAnsi" w:cstheme="minorHAnsi"/>
          <w:b/>
          <w:sz w:val="24"/>
          <w:szCs w:val="24"/>
        </w:rPr>
      </w:pPr>
      <w:r w:rsidRPr="00E9498D">
        <w:rPr>
          <w:rFonts w:asciiTheme="minorHAnsi" w:hAnsiTheme="minorHAnsi" w:cstheme="minorHAnsi"/>
          <w:color w:val="000000"/>
          <w:sz w:val="24"/>
          <w:szCs w:val="24"/>
        </w:rPr>
        <w:tab/>
        <w:t>Based on previous portfolio analysis</w:t>
      </w:r>
      <w:r w:rsidRPr="00E9498D">
        <w:rPr>
          <w:rFonts w:asciiTheme="minorHAnsi" w:hAnsiTheme="minorHAnsi" w:cstheme="minorHAnsi"/>
          <w:i/>
          <w:color w:val="000000"/>
          <w:sz w:val="24"/>
          <w:szCs w:val="24"/>
        </w:rPr>
        <w:t xml:space="preserve"> </w:t>
      </w:r>
      <w:r w:rsidRPr="00E9498D">
        <w:rPr>
          <w:rFonts w:asciiTheme="minorHAnsi" w:hAnsiTheme="minorHAnsi" w:cstheme="minorHAnsi"/>
          <w:color w:val="000000"/>
          <w:sz w:val="24"/>
          <w:szCs w:val="24"/>
        </w:rPr>
        <w:t xml:space="preserve">data collection, it is estimated that in the future at least 11 Federal and nine private funders will be included in every U.S. portfolio analysis and approximately the same number for every international portfolio analysis.  In general, each funder equates to one respondent.  The only deviation from this concerns the National Institutes of Health (NIH), which is the largest funder in the U.S. analysis.  NIH Institutes or Centers allocate and manage project funding independent of one another, and therefore their data are collected separately for the purposes of the portfolio analysis.  OARC predicts that future NIH data collections will be comprised of approximately 14 respondents based on the number from the 2016 analysis.  Thus, OARC anticipates a total of 25 Federal respondents and nine private respondents in each U.S. portfolio analysis.  Each respondent will be asked to fill out the data request once per portfolio analysis, which equates to once per year for U.S. funders and approximately once every 3 years for non-U.S. funders. </w:t>
      </w:r>
      <w:r w:rsidR="00E10085" w:rsidRPr="00E9498D">
        <w:rPr>
          <w:rFonts w:asciiTheme="minorHAnsi" w:hAnsiTheme="minorHAnsi" w:cstheme="minorHAnsi"/>
          <w:color w:val="000000"/>
          <w:sz w:val="24"/>
          <w:szCs w:val="24"/>
        </w:rPr>
        <w:t xml:space="preserve">Collection of data from funders is essential </w:t>
      </w:r>
      <w:r w:rsidR="001655A0" w:rsidRPr="00E9498D">
        <w:rPr>
          <w:rFonts w:asciiTheme="minorHAnsi" w:hAnsiTheme="minorHAnsi" w:cstheme="minorHAnsi"/>
          <w:color w:val="000000"/>
          <w:sz w:val="24"/>
          <w:szCs w:val="24"/>
        </w:rPr>
        <w:t xml:space="preserve">for </w:t>
      </w:r>
      <w:r w:rsidR="00E10085" w:rsidRPr="00E9498D">
        <w:rPr>
          <w:rFonts w:asciiTheme="minorHAnsi" w:hAnsiTheme="minorHAnsi" w:cstheme="minorHAnsi"/>
          <w:color w:val="000000"/>
          <w:sz w:val="24"/>
          <w:szCs w:val="24"/>
        </w:rPr>
        <w:t>the IACC to carry out its ASD research monitoring activities.  Requesting information directly from the funders is the most accurate and efficient way of compiling these records for the Committee to use in their decision-making processes.  Without these data, the IACC’s ability to advise the Secretary of HHS is significantly diminished.</w:t>
      </w:r>
    </w:p>
    <w:p w14:paraId="771476A4" w14:textId="77777777" w:rsidR="00A00CF8" w:rsidRPr="00E9498D" w:rsidRDefault="00A00CF8" w:rsidP="00784374">
      <w:pPr>
        <w:spacing w:after="0" w:line="480" w:lineRule="auto"/>
        <w:rPr>
          <w:rFonts w:cstheme="minorHAnsi"/>
          <w:b/>
          <w:color w:val="000000" w:themeColor="text1"/>
          <w:sz w:val="24"/>
          <w:szCs w:val="24"/>
        </w:rPr>
      </w:pPr>
      <w:r w:rsidRPr="00E9498D">
        <w:rPr>
          <w:rFonts w:cstheme="minorHAnsi"/>
          <w:b/>
          <w:color w:val="000000" w:themeColor="text1"/>
          <w:sz w:val="24"/>
          <w:szCs w:val="24"/>
        </w:rPr>
        <w:t>A.3     Use of Information Technology and Burden Reduction</w:t>
      </w:r>
    </w:p>
    <w:p w14:paraId="2F929A40" w14:textId="3CA5E022" w:rsidR="000F3043" w:rsidRPr="00E9498D" w:rsidRDefault="00E10085" w:rsidP="00105443">
      <w:pPr>
        <w:spacing w:after="0" w:line="480" w:lineRule="auto"/>
        <w:ind w:firstLine="720"/>
        <w:rPr>
          <w:rFonts w:cstheme="minorHAnsi"/>
          <w:color w:val="000000" w:themeColor="text1"/>
          <w:sz w:val="24"/>
          <w:szCs w:val="24"/>
        </w:rPr>
      </w:pPr>
      <w:r w:rsidRPr="00E9498D">
        <w:rPr>
          <w:rFonts w:cstheme="minorHAnsi"/>
          <w:color w:val="000000"/>
          <w:sz w:val="24"/>
          <w:szCs w:val="24"/>
        </w:rPr>
        <w:t xml:space="preserve">All data will be collected via electronic submission, thereby reducing both hours of effort and financial costs.  Specifically, each funder will receive an email along with a spreadsheet for data collection.  The information collected in the spreadsheet will be stored on the National Institutes of Mental Health (NIMH) network, which is covered by a Privacy Impact Assessment for all NIMH hosted Web applications (see Attachment 1).  Once analyzed, the data will be summarized in the </w:t>
      </w:r>
      <w:r w:rsidRPr="00E9498D">
        <w:rPr>
          <w:rFonts w:cstheme="minorHAnsi"/>
          <w:i/>
          <w:color w:val="000000"/>
          <w:sz w:val="24"/>
          <w:szCs w:val="24"/>
        </w:rPr>
        <w:t>IACC ASD Research Portfolio Analysis Reports</w:t>
      </w:r>
      <w:r w:rsidRPr="00E9498D">
        <w:rPr>
          <w:rFonts w:cstheme="minorHAnsi"/>
          <w:color w:val="000000"/>
          <w:sz w:val="24"/>
          <w:szCs w:val="24"/>
        </w:rPr>
        <w:t xml:space="preserve"> and made publicly accessible via </w:t>
      </w:r>
      <w:r w:rsidR="001655A0" w:rsidRPr="00E9498D">
        <w:rPr>
          <w:rFonts w:cstheme="minorHAnsi"/>
          <w:color w:val="000000"/>
          <w:sz w:val="24"/>
          <w:szCs w:val="24"/>
        </w:rPr>
        <w:t>the</w:t>
      </w:r>
      <w:r w:rsidRPr="00E9498D">
        <w:rPr>
          <w:rFonts w:cstheme="minorHAnsi"/>
          <w:color w:val="000000"/>
          <w:sz w:val="24"/>
          <w:szCs w:val="24"/>
        </w:rPr>
        <w:t xml:space="preserve"> online </w:t>
      </w:r>
      <w:r w:rsidR="00112488" w:rsidRPr="00E9498D">
        <w:rPr>
          <w:rFonts w:cstheme="minorHAnsi"/>
          <w:i/>
          <w:color w:val="000000"/>
          <w:sz w:val="24"/>
          <w:szCs w:val="24"/>
          <w:highlight w:val="yellow"/>
        </w:rPr>
        <w:t>Autism Research Database (ARD)</w:t>
      </w:r>
      <w:r w:rsidRPr="00E9498D">
        <w:rPr>
          <w:rFonts w:cstheme="minorHAnsi"/>
          <w:color w:val="000000"/>
          <w:sz w:val="24"/>
          <w:szCs w:val="24"/>
        </w:rPr>
        <w:t xml:space="preserve"> on the IACC website</w:t>
      </w:r>
      <w:r w:rsidR="007C32E5" w:rsidRPr="00E9498D">
        <w:rPr>
          <w:rFonts w:cstheme="minorHAnsi"/>
          <w:color w:val="000000"/>
          <w:sz w:val="24"/>
          <w:szCs w:val="24"/>
        </w:rPr>
        <w:t xml:space="preserve"> at </w:t>
      </w:r>
      <w:hyperlink r:id="rId16" w:history="1">
        <w:r w:rsidR="007C32E5" w:rsidRPr="00E9498D">
          <w:rPr>
            <w:rStyle w:val="Hyperlink"/>
            <w:rFonts w:cstheme="minorHAnsi"/>
            <w:sz w:val="24"/>
            <w:szCs w:val="24"/>
          </w:rPr>
          <w:t>https://iacc.hhs.gov/funding/data/</w:t>
        </w:r>
      </w:hyperlink>
      <w:r w:rsidRPr="00E9498D">
        <w:rPr>
          <w:rFonts w:cstheme="minorHAnsi"/>
          <w:color w:val="000000"/>
          <w:sz w:val="24"/>
          <w:szCs w:val="24"/>
        </w:rPr>
        <w:t xml:space="preserve">.  </w:t>
      </w:r>
    </w:p>
    <w:p w14:paraId="2634512F" w14:textId="77777777" w:rsidR="00685B30" w:rsidRPr="00E9498D" w:rsidRDefault="00685B30" w:rsidP="00784374">
      <w:pPr>
        <w:pStyle w:val="Heading2"/>
        <w:spacing w:before="0" w:line="480" w:lineRule="auto"/>
        <w:ind w:left="720" w:hanging="720"/>
        <w:rPr>
          <w:rFonts w:asciiTheme="minorHAnsi" w:hAnsiTheme="minorHAnsi" w:cstheme="minorHAnsi"/>
          <w:b/>
          <w:color w:val="auto"/>
          <w:sz w:val="24"/>
          <w:szCs w:val="24"/>
        </w:rPr>
      </w:pPr>
      <w:bookmarkStart w:id="6" w:name="_Toc443881745"/>
      <w:bookmarkStart w:id="7" w:name="_Toc451592234"/>
      <w:bookmarkStart w:id="8" w:name="_Toc5610275"/>
      <w:bookmarkStart w:id="9" w:name="_Toc99178781"/>
      <w:r w:rsidRPr="00E9498D">
        <w:rPr>
          <w:rFonts w:asciiTheme="minorHAnsi" w:hAnsiTheme="minorHAnsi" w:cstheme="minorHAnsi"/>
          <w:b/>
          <w:color w:val="auto"/>
          <w:sz w:val="24"/>
          <w:szCs w:val="24"/>
        </w:rPr>
        <w:t>A.4</w:t>
      </w:r>
      <w:r w:rsidRPr="00E9498D">
        <w:rPr>
          <w:rFonts w:asciiTheme="minorHAnsi" w:hAnsiTheme="minorHAnsi" w:cstheme="minorHAnsi"/>
          <w:b/>
          <w:color w:val="auto"/>
          <w:sz w:val="24"/>
          <w:szCs w:val="24"/>
        </w:rPr>
        <w:tab/>
        <w:t>Efforts to Identify Duplication and Use of Similar Information</w:t>
      </w:r>
      <w:bookmarkEnd w:id="6"/>
      <w:bookmarkEnd w:id="7"/>
      <w:bookmarkEnd w:id="8"/>
      <w:bookmarkEnd w:id="9"/>
    </w:p>
    <w:p w14:paraId="62B8AB34" w14:textId="4D8139F1" w:rsidR="00E10085" w:rsidRPr="00E9498D" w:rsidRDefault="00E10085" w:rsidP="00784374">
      <w:pPr>
        <w:spacing w:after="0" w:line="480" w:lineRule="auto"/>
        <w:ind w:firstLine="720"/>
        <w:rPr>
          <w:rFonts w:cstheme="minorHAnsi"/>
          <w:color w:val="000000"/>
          <w:sz w:val="24"/>
          <w:szCs w:val="24"/>
        </w:rPr>
      </w:pPr>
      <w:bookmarkStart w:id="10" w:name="_Toc443881746"/>
      <w:bookmarkStart w:id="11" w:name="_Toc451592235"/>
      <w:bookmarkStart w:id="12" w:name="_Toc5610276"/>
      <w:bookmarkStart w:id="13" w:name="_Toc99178782"/>
      <w:r w:rsidRPr="00E9498D">
        <w:rPr>
          <w:rFonts w:cstheme="minorHAnsi"/>
          <w:color w:val="000000"/>
          <w:sz w:val="24"/>
          <w:szCs w:val="24"/>
        </w:rPr>
        <w:t>This data collection continues to be unique in that it is the only place where information from numerous funders of ASD research is compiled into a single report or database for comprehensive analysis.</w:t>
      </w:r>
      <w:r w:rsidR="009C5797" w:rsidRPr="00E9498D">
        <w:rPr>
          <w:rFonts w:cstheme="minorHAnsi"/>
          <w:color w:val="000000"/>
          <w:sz w:val="24"/>
          <w:szCs w:val="24"/>
        </w:rPr>
        <w:t xml:space="preserve"> </w:t>
      </w:r>
      <w:r w:rsidRPr="00E9498D">
        <w:rPr>
          <w:rFonts w:cstheme="minorHAnsi"/>
          <w:color w:val="000000"/>
          <w:sz w:val="24"/>
          <w:szCs w:val="24"/>
        </w:rPr>
        <w:t xml:space="preserve"> There is no similar information available for use.  While some funders post limited information about their funded projects online, the data gathered through this process is more extensive than what is available through any other single database or website.  For example, the information collected through this activity aligns research projects with objectives of the </w:t>
      </w:r>
      <w:r w:rsidRPr="00E9498D">
        <w:rPr>
          <w:rFonts w:cstheme="minorHAnsi"/>
          <w:i/>
          <w:color w:val="000000"/>
          <w:sz w:val="24"/>
          <w:szCs w:val="24"/>
        </w:rPr>
        <w:t xml:space="preserve">IACC </w:t>
      </w:r>
      <w:r w:rsidR="00A802D0" w:rsidRPr="00E9498D">
        <w:rPr>
          <w:rFonts w:cstheme="minorHAnsi"/>
          <w:i/>
          <w:color w:val="000000"/>
          <w:sz w:val="24"/>
          <w:szCs w:val="24"/>
        </w:rPr>
        <w:t>S</w:t>
      </w:r>
      <w:r w:rsidRPr="00E9498D">
        <w:rPr>
          <w:rFonts w:cstheme="minorHAnsi"/>
          <w:i/>
          <w:color w:val="000000"/>
          <w:sz w:val="24"/>
          <w:szCs w:val="24"/>
        </w:rPr>
        <w:t xml:space="preserve">trategic </w:t>
      </w:r>
      <w:r w:rsidR="00A802D0" w:rsidRPr="00E9498D">
        <w:rPr>
          <w:rFonts w:cstheme="minorHAnsi"/>
          <w:i/>
          <w:color w:val="000000"/>
          <w:sz w:val="24"/>
          <w:szCs w:val="24"/>
        </w:rPr>
        <w:t>P</w:t>
      </w:r>
      <w:r w:rsidRPr="00E9498D">
        <w:rPr>
          <w:rFonts w:cstheme="minorHAnsi"/>
          <w:i/>
          <w:color w:val="000000"/>
          <w:sz w:val="24"/>
          <w:szCs w:val="24"/>
        </w:rPr>
        <w:t>lan</w:t>
      </w:r>
      <w:r w:rsidRPr="00E9498D">
        <w:rPr>
          <w:rFonts w:cstheme="minorHAnsi"/>
          <w:color w:val="000000"/>
          <w:sz w:val="24"/>
          <w:szCs w:val="24"/>
        </w:rPr>
        <w:t xml:space="preserve">, and this information is not available elsewhere.  Also, many funders do not include the funding amount for a grant or the duration of the project activity.  Both of these data are requested from funders and included in this analysis for all projects.  The funding amount is particularly crucial information, as it is one of several measures used to assess research progress by the IACC. </w:t>
      </w:r>
    </w:p>
    <w:p w14:paraId="618CC9CC" w14:textId="070F218B" w:rsidR="00E10085" w:rsidRPr="00E9498D" w:rsidRDefault="00E10085" w:rsidP="00784374">
      <w:pPr>
        <w:spacing w:after="0" w:line="480" w:lineRule="auto"/>
        <w:ind w:firstLine="720"/>
        <w:rPr>
          <w:rFonts w:cstheme="minorHAnsi"/>
          <w:color w:val="000000"/>
          <w:sz w:val="24"/>
          <w:szCs w:val="24"/>
        </w:rPr>
      </w:pPr>
      <w:r w:rsidRPr="00E9498D">
        <w:rPr>
          <w:rFonts w:cstheme="minorHAnsi"/>
          <w:color w:val="000000"/>
          <w:sz w:val="24"/>
          <w:szCs w:val="24"/>
        </w:rPr>
        <w:t>No other agencies, organizations, or entities are carrying out data collection for autism research projects with the same expansive scale or scope as OARC.  Furthermore, because these data and reports are made publicly accessible on the IACC website, the portfolio analysis may be used to help reduce duplication in the ASD field by providing a tool to make scientists and funders aware of similar research efforts.  Additionally, no known portfolio analysis has been conducted on worldwide ASD research funding, so the international data collection represent</w:t>
      </w:r>
      <w:r w:rsidR="009C5797" w:rsidRPr="00E9498D">
        <w:rPr>
          <w:rFonts w:cstheme="minorHAnsi"/>
          <w:color w:val="000000"/>
          <w:sz w:val="24"/>
          <w:szCs w:val="24"/>
        </w:rPr>
        <w:t>s</w:t>
      </w:r>
      <w:r w:rsidRPr="00E9498D">
        <w:rPr>
          <w:rFonts w:cstheme="minorHAnsi"/>
          <w:color w:val="000000"/>
          <w:sz w:val="24"/>
          <w:szCs w:val="24"/>
        </w:rPr>
        <w:t xml:space="preserve"> the only source of this type of information.</w:t>
      </w:r>
    </w:p>
    <w:p w14:paraId="2E534297" w14:textId="0B471C38" w:rsidR="00685B30" w:rsidRPr="00E9498D" w:rsidRDefault="00685B30" w:rsidP="00784374">
      <w:pPr>
        <w:pStyle w:val="Heading2"/>
        <w:spacing w:before="0" w:line="480" w:lineRule="auto"/>
        <w:ind w:left="720" w:hanging="720"/>
        <w:rPr>
          <w:rFonts w:asciiTheme="minorHAnsi" w:hAnsiTheme="minorHAnsi" w:cstheme="minorHAnsi"/>
          <w:b/>
          <w:color w:val="auto"/>
          <w:sz w:val="24"/>
          <w:szCs w:val="24"/>
        </w:rPr>
      </w:pPr>
      <w:r w:rsidRPr="00E9498D">
        <w:rPr>
          <w:rFonts w:asciiTheme="minorHAnsi" w:hAnsiTheme="minorHAnsi" w:cstheme="minorHAnsi"/>
          <w:b/>
          <w:color w:val="auto"/>
          <w:sz w:val="24"/>
          <w:szCs w:val="24"/>
        </w:rPr>
        <w:t>A.5</w:t>
      </w:r>
      <w:r w:rsidRPr="00E9498D">
        <w:rPr>
          <w:rFonts w:asciiTheme="minorHAnsi" w:hAnsiTheme="minorHAnsi" w:cstheme="minorHAnsi"/>
          <w:b/>
          <w:color w:val="auto"/>
          <w:sz w:val="24"/>
          <w:szCs w:val="24"/>
        </w:rPr>
        <w:tab/>
        <w:t>Impact on Small Businesses or Other Small Entities</w:t>
      </w:r>
      <w:bookmarkEnd w:id="10"/>
      <w:bookmarkEnd w:id="11"/>
      <w:bookmarkEnd w:id="12"/>
      <w:bookmarkEnd w:id="13"/>
    </w:p>
    <w:p w14:paraId="421248C4" w14:textId="07C34A3E" w:rsidR="00E10085" w:rsidRPr="00E9498D" w:rsidRDefault="00E10085" w:rsidP="00105443">
      <w:pPr>
        <w:spacing w:after="0" w:line="480" w:lineRule="auto"/>
        <w:ind w:firstLine="720"/>
        <w:rPr>
          <w:rFonts w:cstheme="minorHAnsi"/>
          <w:sz w:val="24"/>
          <w:szCs w:val="24"/>
        </w:rPr>
      </w:pPr>
      <w:r w:rsidRPr="00E9498D">
        <w:rPr>
          <w:rFonts w:cstheme="minorHAnsi"/>
          <w:sz w:val="24"/>
          <w:szCs w:val="24"/>
        </w:rPr>
        <w:t>Small entities are invited to continue participating in this data collection without creating additional unreasonable burden.</w:t>
      </w:r>
      <w:r w:rsidR="008D5628" w:rsidRPr="00E9498D">
        <w:rPr>
          <w:rFonts w:cstheme="minorHAnsi"/>
          <w:sz w:val="24"/>
          <w:szCs w:val="24"/>
        </w:rPr>
        <w:t xml:space="preserve"> </w:t>
      </w:r>
      <w:r w:rsidRPr="00E9498D">
        <w:rPr>
          <w:rFonts w:cstheme="minorHAnsi"/>
          <w:sz w:val="24"/>
          <w:szCs w:val="24"/>
        </w:rPr>
        <w:t xml:space="preserve"> The feedback from private organizations about the most recent data collection was positive, particularly since OARC offers to assist organizations with coding projects to reduce the effort required from them to submit the data.  Every effort has been made to keep the information requested from all funders to the minimum amount required for the intended use.  Although the type of information collected for smaller and larger entities will be the same, the smaller entities generally have fewer projects for which to provide data and thus their burden of time and effort will be significantly less than that for larger organizations with extensive investments in autism research projects.</w:t>
      </w:r>
    </w:p>
    <w:p w14:paraId="4DCCFE87" w14:textId="12D4A749" w:rsidR="00685B30" w:rsidRPr="00E9498D" w:rsidRDefault="00685B30" w:rsidP="00784374">
      <w:pPr>
        <w:pStyle w:val="Heading2"/>
        <w:spacing w:before="0" w:line="480" w:lineRule="auto"/>
        <w:ind w:left="720" w:hanging="720"/>
        <w:rPr>
          <w:rFonts w:asciiTheme="minorHAnsi" w:hAnsiTheme="minorHAnsi" w:cstheme="minorHAnsi"/>
          <w:b/>
          <w:color w:val="auto"/>
          <w:sz w:val="24"/>
          <w:szCs w:val="24"/>
        </w:rPr>
      </w:pPr>
      <w:bookmarkStart w:id="14" w:name="_Toc443881747"/>
      <w:bookmarkStart w:id="15" w:name="_Toc451592236"/>
      <w:bookmarkStart w:id="16" w:name="_Toc5610277"/>
      <w:bookmarkStart w:id="17" w:name="_Toc99178783"/>
      <w:r w:rsidRPr="00E9498D">
        <w:rPr>
          <w:rFonts w:asciiTheme="minorHAnsi" w:hAnsiTheme="minorHAnsi" w:cstheme="minorHAnsi"/>
          <w:b/>
          <w:color w:val="auto"/>
          <w:sz w:val="24"/>
          <w:szCs w:val="24"/>
        </w:rPr>
        <w:t>A.6</w:t>
      </w:r>
      <w:r w:rsidRPr="00E9498D">
        <w:rPr>
          <w:rFonts w:asciiTheme="minorHAnsi" w:hAnsiTheme="minorHAnsi" w:cstheme="minorHAnsi"/>
          <w:b/>
          <w:color w:val="auto"/>
          <w:sz w:val="24"/>
          <w:szCs w:val="24"/>
        </w:rPr>
        <w:tab/>
        <w:t>Consequences of Collecting the Information Less Frequently</w:t>
      </w:r>
      <w:bookmarkEnd w:id="14"/>
      <w:bookmarkEnd w:id="15"/>
      <w:bookmarkEnd w:id="16"/>
      <w:bookmarkEnd w:id="17"/>
    </w:p>
    <w:p w14:paraId="03224DCD" w14:textId="6A867349" w:rsidR="00E10085" w:rsidRPr="00E9498D" w:rsidRDefault="00E10085" w:rsidP="00105443">
      <w:pPr>
        <w:spacing w:after="0" w:line="480" w:lineRule="auto"/>
        <w:ind w:firstLine="720"/>
        <w:rPr>
          <w:rFonts w:cstheme="minorHAnsi"/>
          <w:sz w:val="24"/>
          <w:szCs w:val="24"/>
        </w:rPr>
      </w:pPr>
      <w:r w:rsidRPr="00E9498D">
        <w:rPr>
          <w:rFonts w:cstheme="minorHAnsi"/>
          <w:sz w:val="24"/>
          <w:szCs w:val="24"/>
        </w:rPr>
        <w:t xml:space="preserve">By law, the IACC is responsible for updating the </w:t>
      </w:r>
      <w:r w:rsidRPr="00E9498D">
        <w:rPr>
          <w:rStyle w:val="Emphasis"/>
          <w:rFonts w:cstheme="minorHAnsi"/>
          <w:sz w:val="24"/>
          <w:szCs w:val="24"/>
        </w:rPr>
        <w:t xml:space="preserve">IACC Strategic Plan for ASD Research </w:t>
      </w:r>
      <w:r w:rsidRPr="00E9498D">
        <w:rPr>
          <w:rStyle w:val="Emphasis"/>
          <w:rFonts w:cstheme="minorHAnsi"/>
          <w:i w:val="0"/>
          <w:sz w:val="24"/>
          <w:szCs w:val="24"/>
        </w:rPr>
        <w:t>on an annual basis</w:t>
      </w:r>
      <w:r w:rsidRPr="00E9498D">
        <w:rPr>
          <w:rFonts w:cstheme="minorHAnsi"/>
          <w:sz w:val="24"/>
          <w:szCs w:val="24"/>
        </w:rPr>
        <w:t xml:space="preserve">.  In order to do this, they require up-to-date information concerning U.S. ASD research funding to identify where the areas of progress, gaps, and opportunities lie.  To this end, the portfolio analysis of U.S. ASD research funders is conducted annually.  Conducting the portfolio analysis less frequently would limit the availability of timely funding data and therefore inhibit the IACC’s ability to update the </w:t>
      </w:r>
      <w:r w:rsidRPr="00E9498D">
        <w:rPr>
          <w:rFonts w:cstheme="minorHAnsi"/>
          <w:i/>
          <w:sz w:val="24"/>
          <w:szCs w:val="24"/>
        </w:rPr>
        <w:t>IACC Strategic Plan</w:t>
      </w:r>
      <w:r w:rsidRPr="00E9498D">
        <w:rPr>
          <w:rFonts w:cstheme="minorHAnsi"/>
          <w:sz w:val="24"/>
          <w:szCs w:val="24"/>
        </w:rPr>
        <w:t>.</w:t>
      </w:r>
    </w:p>
    <w:p w14:paraId="50FA46DF" w14:textId="77777777" w:rsidR="00685B30" w:rsidRPr="00E9498D" w:rsidRDefault="00E67B10" w:rsidP="00784374">
      <w:pPr>
        <w:pStyle w:val="Heading2"/>
        <w:spacing w:before="0" w:line="480" w:lineRule="auto"/>
        <w:rPr>
          <w:rFonts w:asciiTheme="minorHAnsi" w:hAnsiTheme="minorHAnsi" w:cstheme="minorHAnsi"/>
          <w:b/>
          <w:color w:val="auto"/>
          <w:sz w:val="24"/>
          <w:szCs w:val="24"/>
        </w:rPr>
      </w:pPr>
      <w:bookmarkStart w:id="18" w:name="_Toc443881748"/>
      <w:bookmarkStart w:id="19" w:name="_Toc451592237"/>
      <w:bookmarkStart w:id="20" w:name="_Toc5610278"/>
      <w:bookmarkStart w:id="21" w:name="_Toc99178784"/>
      <w:r w:rsidRPr="00E9498D">
        <w:rPr>
          <w:rFonts w:asciiTheme="minorHAnsi" w:hAnsiTheme="minorHAnsi" w:cstheme="minorHAnsi"/>
          <w:b/>
          <w:color w:val="auto"/>
          <w:sz w:val="24"/>
          <w:szCs w:val="24"/>
        </w:rPr>
        <w:t>A.7</w:t>
      </w:r>
      <w:r w:rsidRPr="00E9498D">
        <w:rPr>
          <w:rFonts w:asciiTheme="minorHAnsi" w:hAnsiTheme="minorHAnsi" w:cstheme="minorHAnsi"/>
          <w:b/>
          <w:color w:val="auto"/>
          <w:sz w:val="24"/>
          <w:szCs w:val="24"/>
        </w:rPr>
        <w:tab/>
      </w:r>
      <w:r w:rsidR="00685B30" w:rsidRPr="00E9498D">
        <w:rPr>
          <w:rFonts w:asciiTheme="minorHAnsi" w:hAnsiTheme="minorHAnsi" w:cstheme="minorHAnsi"/>
          <w:b/>
          <w:color w:val="auto"/>
          <w:sz w:val="24"/>
          <w:szCs w:val="24"/>
        </w:rPr>
        <w:t xml:space="preserve">Special Circumstances Relating to the Guidelines of 5 </w:t>
      </w:r>
      <w:smartTag w:uri="urn:schemas-microsoft-com:office:smarttags" w:element="stockticker">
        <w:r w:rsidR="00685B30" w:rsidRPr="00E9498D">
          <w:rPr>
            <w:rFonts w:asciiTheme="minorHAnsi" w:hAnsiTheme="minorHAnsi" w:cstheme="minorHAnsi"/>
            <w:b/>
            <w:color w:val="auto"/>
            <w:sz w:val="24"/>
            <w:szCs w:val="24"/>
          </w:rPr>
          <w:t>CFR</w:t>
        </w:r>
      </w:smartTag>
      <w:r w:rsidR="00685B30" w:rsidRPr="00E9498D">
        <w:rPr>
          <w:rFonts w:asciiTheme="minorHAnsi" w:hAnsiTheme="minorHAnsi" w:cstheme="minorHAnsi"/>
          <w:b/>
          <w:color w:val="auto"/>
          <w:sz w:val="24"/>
          <w:szCs w:val="24"/>
        </w:rPr>
        <w:t xml:space="preserve"> 1320.5</w:t>
      </w:r>
      <w:bookmarkEnd w:id="18"/>
      <w:bookmarkEnd w:id="19"/>
      <w:bookmarkEnd w:id="20"/>
      <w:bookmarkEnd w:id="21"/>
    </w:p>
    <w:p w14:paraId="64ECBE89" w14:textId="77777777" w:rsidR="00164857" w:rsidRDefault="00B613D4" w:rsidP="00164857">
      <w:pPr>
        <w:spacing w:after="0" w:line="480" w:lineRule="auto"/>
        <w:ind w:firstLine="720"/>
        <w:rPr>
          <w:rFonts w:cstheme="minorHAnsi"/>
          <w:sz w:val="24"/>
          <w:szCs w:val="24"/>
        </w:rPr>
      </w:pPr>
      <w:r w:rsidRPr="00E9498D">
        <w:rPr>
          <w:rFonts w:cstheme="minorHAnsi"/>
          <w:sz w:val="24"/>
          <w:szCs w:val="24"/>
        </w:rPr>
        <w:t>No special circumstances are anticipated. This project fully complies with the guidelines of 5 CFR 1320.5.</w:t>
      </w:r>
      <w:bookmarkStart w:id="22" w:name="_Toc443881749"/>
      <w:bookmarkStart w:id="23" w:name="_Toc451592238"/>
      <w:bookmarkStart w:id="24" w:name="_Toc5610279"/>
      <w:bookmarkStart w:id="25" w:name="_Toc99178785"/>
    </w:p>
    <w:p w14:paraId="42BE9D3A" w14:textId="27D657A3" w:rsidR="0036208F" w:rsidRPr="00164857" w:rsidRDefault="00685B30" w:rsidP="00164857">
      <w:pPr>
        <w:spacing w:after="0" w:line="480" w:lineRule="auto"/>
        <w:ind w:firstLine="720"/>
        <w:rPr>
          <w:rFonts w:cstheme="minorHAnsi"/>
          <w:sz w:val="24"/>
          <w:szCs w:val="24"/>
        </w:rPr>
      </w:pPr>
      <w:r w:rsidRPr="00E9498D">
        <w:rPr>
          <w:rFonts w:cstheme="minorHAnsi"/>
          <w:b/>
          <w:sz w:val="24"/>
          <w:szCs w:val="24"/>
        </w:rPr>
        <w:t>A.8</w:t>
      </w:r>
      <w:r w:rsidR="0036208F" w:rsidRPr="00E9498D">
        <w:rPr>
          <w:rFonts w:cstheme="minorHAnsi"/>
          <w:b/>
          <w:sz w:val="24"/>
          <w:szCs w:val="24"/>
        </w:rPr>
        <w:t>.1</w:t>
      </w:r>
      <w:r w:rsidRPr="00E9498D">
        <w:rPr>
          <w:rFonts w:cstheme="minorHAnsi"/>
          <w:b/>
          <w:sz w:val="24"/>
          <w:szCs w:val="24"/>
        </w:rPr>
        <w:tab/>
        <w:t xml:space="preserve">Comments in Response to the Federal Register Notice </w:t>
      </w:r>
    </w:p>
    <w:bookmarkEnd w:id="22"/>
    <w:bookmarkEnd w:id="23"/>
    <w:bookmarkEnd w:id="24"/>
    <w:bookmarkEnd w:id="25"/>
    <w:p w14:paraId="3EB9024A" w14:textId="657DEBAC" w:rsidR="00B613D4" w:rsidRPr="00E9498D" w:rsidRDefault="00B613D4" w:rsidP="00784374">
      <w:pPr>
        <w:spacing w:after="0" w:line="480" w:lineRule="auto"/>
        <w:ind w:firstLine="720"/>
        <w:rPr>
          <w:rFonts w:cstheme="minorHAnsi"/>
          <w:sz w:val="24"/>
          <w:szCs w:val="24"/>
        </w:rPr>
      </w:pPr>
      <w:r w:rsidRPr="00E9498D">
        <w:rPr>
          <w:rFonts w:cstheme="minorHAnsi"/>
          <w:sz w:val="24"/>
          <w:szCs w:val="24"/>
        </w:rPr>
        <w:t xml:space="preserve">As required by 5 CFR 1320, a 60-day notice of this proposed data collection was published in the Federal Register on </w:t>
      </w:r>
      <w:r w:rsidR="00105443" w:rsidRPr="00E9498D">
        <w:rPr>
          <w:rFonts w:cstheme="minorHAnsi"/>
          <w:sz w:val="24"/>
          <w:szCs w:val="24"/>
        </w:rPr>
        <w:t>October 3, 2019</w:t>
      </w:r>
      <w:r w:rsidR="00963BC6" w:rsidRPr="00E9498D">
        <w:rPr>
          <w:rFonts w:cstheme="minorHAnsi"/>
          <w:sz w:val="24"/>
          <w:szCs w:val="24"/>
        </w:rPr>
        <w:t>, Vol 84 FR 52888</w:t>
      </w:r>
      <w:r w:rsidRPr="00E9498D">
        <w:rPr>
          <w:rFonts w:cstheme="minorHAnsi"/>
          <w:sz w:val="24"/>
          <w:szCs w:val="24"/>
        </w:rPr>
        <w:t xml:space="preserve"> and allowed 60 days for public comment.  </w:t>
      </w:r>
      <w:r w:rsidR="00963BC6" w:rsidRPr="00E9498D">
        <w:rPr>
          <w:rFonts w:cstheme="minorHAnsi"/>
          <w:sz w:val="24"/>
          <w:szCs w:val="24"/>
        </w:rPr>
        <w:t>No public comments were received.</w:t>
      </w:r>
    </w:p>
    <w:p w14:paraId="51C2EE07" w14:textId="77777777" w:rsidR="0036208F" w:rsidRPr="00E9498D" w:rsidRDefault="0036208F" w:rsidP="00784374">
      <w:pPr>
        <w:pStyle w:val="Heading2"/>
        <w:spacing w:before="0" w:line="480" w:lineRule="auto"/>
        <w:ind w:left="720" w:hanging="720"/>
        <w:rPr>
          <w:rFonts w:asciiTheme="minorHAnsi" w:hAnsiTheme="minorHAnsi" w:cstheme="minorHAnsi"/>
          <w:b/>
          <w:color w:val="auto"/>
          <w:sz w:val="24"/>
          <w:szCs w:val="24"/>
        </w:rPr>
      </w:pPr>
      <w:r w:rsidRPr="00E9498D">
        <w:rPr>
          <w:rFonts w:asciiTheme="minorHAnsi" w:hAnsiTheme="minorHAnsi" w:cstheme="minorHAnsi"/>
          <w:b/>
          <w:color w:val="auto"/>
          <w:sz w:val="24"/>
          <w:szCs w:val="24"/>
        </w:rPr>
        <w:t>A.8.2</w:t>
      </w:r>
      <w:r w:rsidRPr="00E9498D">
        <w:rPr>
          <w:rFonts w:asciiTheme="minorHAnsi" w:hAnsiTheme="minorHAnsi" w:cstheme="minorHAnsi"/>
          <w:b/>
          <w:color w:val="auto"/>
          <w:sz w:val="24"/>
          <w:szCs w:val="24"/>
        </w:rPr>
        <w:tab/>
        <w:t>Efforts to Consult Outside Agency</w:t>
      </w:r>
    </w:p>
    <w:p w14:paraId="2F8470F4" w14:textId="049DC2F7" w:rsidR="00717158" w:rsidRPr="00E9498D" w:rsidRDefault="00B613D4" w:rsidP="00013D7D">
      <w:pPr>
        <w:spacing w:after="0" w:line="480" w:lineRule="auto"/>
        <w:ind w:firstLine="720"/>
        <w:rPr>
          <w:rFonts w:cstheme="minorHAnsi"/>
          <w:sz w:val="24"/>
          <w:szCs w:val="24"/>
        </w:rPr>
      </w:pPr>
      <w:r w:rsidRPr="00E9498D">
        <w:rPr>
          <w:rFonts w:cstheme="minorHAnsi"/>
          <w:sz w:val="24"/>
          <w:szCs w:val="24"/>
        </w:rPr>
        <w:t xml:space="preserve">OARC receives input from the IACC regarding the need for data collection, the frequency of data collection, and other issues related to the data collection. OARC </w:t>
      </w:r>
      <w:r w:rsidR="00B8425B" w:rsidRPr="00E9498D">
        <w:rPr>
          <w:rFonts w:cstheme="minorHAnsi"/>
          <w:sz w:val="24"/>
          <w:szCs w:val="24"/>
        </w:rPr>
        <w:t xml:space="preserve">annually </w:t>
      </w:r>
      <w:r w:rsidRPr="00E9498D">
        <w:rPr>
          <w:rFonts w:cstheme="minorHAnsi"/>
          <w:sz w:val="24"/>
          <w:szCs w:val="24"/>
        </w:rPr>
        <w:t xml:space="preserve">consults with representative funders during the data collection </w:t>
      </w:r>
      <w:r w:rsidRPr="00E9498D">
        <w:rPr>
          <w:rFonts w:cstheme="minorHAnsi"/>
          <w:color w:val="000000"/>
          <w:sz w:val="24"/>
          <w:szCs w:val="24"/>
        </w:rPr>
        <w:t xml:space="preserve">process (see Attachment 2 for a list of funders who were contacted during the collection of data included in the </w:t>
      </w:r>
      <w:r w:rsidRPr="00E9498D">
        <w:rPr>
          <w:rFonts w:cstheme="minorHAnsi"/>
          <w:i/>
          <w:color w:val="000000"/>
          <w:sz w:val="24"/>
          <w:szCs w:val="24"/>
        </w:rPr>
        <w:t>201</w:t>
      </w:r>
      <w:r w:rsidR="00AA6614" w:rsidRPr="00E9498D">
        <w:rPr>
          <w:rFonts w:cstheme="minorHAnsi"/>
          <w:i/>
          <w:color w:val="000000"/>
          <w:sz w:val="24"/>
          <w:szCs w:val="24"/>
        </w:rPr>
        <w:t>6</w:t>
      </w:r>
      <w:r w:rsidRPr="00E9498D">
        <w:rPr>
          <w:rFonts w:cstheme="minorHAnsi"/>
          <w:i/>
          <w:color w:val="000000"/>
          <w:sz w:val="24"/>
          <w:szCs w:val="24"/>
        </w:rPr>
        <w:t xml:space="preserve"> ASD Research Portfolio Analysis</w:t>
      </w:r>
      <w:r w:rsidRPr="00E9498D">
        <w:rPr>
          <w:rFonts w:cstheme="minorHAnsi"/>
          <w:color w:val="000000"/>
          <w:sz w:val="24"/>
          <w:szCs w:val="24"/>
        </w:rPr>
        <w:t>).  The f</w:t>
      </w:r>
      <w:r w:rsidRPr="00E9498D">
        <w:rPr>
          <w:rFonts w:cstheme="minorHAnsi"/>
          <w:sz w:val="24"/>
          <w:szCs w:val="24"/>
        </w:rPr>
        <w:t xml:space="preserve">unders provide informal feedback regarding the information gathering process, including examples where additional instructions could be useful to help them complete their task.  OARC is responsive to these suggestions in subsequent data collections in an effort to streamline the process and reduce burden on the participants. </w:t>
      </w:r>
      <w:r w:rsidRPr="00E9498D">
        <w:rPr>
          <w:rFonts w:cstheme="minorHAnsi"/>
          <w:b/>
          <w:sz w:val="24"/>
          <w:szCs w:val="24"/>
        </w:rPr>
        <w:t xml:space="preserve"> </w:t>
      </w:r>
      <w:r w:rsidRPr="00E9498D">
        <w:rPr>
          <w:rFonts w:cstheme="minorHAnsi"/>
          <w:sz w:val="24"/>
          <w:szCs w:val="24"/>
        </w:rPr>
        <w:t>Many of the U.S. Federal agencies and private organizations that fund research also are represented on the IACC, thus providing another route by which funders provide input into the portfolio analysis process.  OARC also made some changes to the recent iteration</w:t>
      </w:r>
      <w:r w:rsidR="00AA6614" w:rsidRPr="00E9498D">
        <w:rPr>
          <w:rFonts w:cstheme="minorHAnsi"/>
          <w:sz w:val="24"/>
          <w:szCs w:val="24"/>
        </w:rPr>
        <w:t>s</w:t>
      </w:r>
      <w:r w:rsidRPr="00E9498D">
        <w:rPr>
          <w:rFonts w:cstheme="minorHAnsi"/>
          <w:sz w:val="24"/>
          <w:szCs w:val="24"/>
        </w:rPr>
        <w:t xml:space="preserve"> of the portfolio analysis data call in response to specific remarks from funders; some funders indicated that coding their projects with respect to the </w:t>
      </w:r>
      <w:r w:rsidRPr="00E9498D">
        <w:rPr>
          <w:rFonts w:cstheme="minorHAnsi"/>
          <w:i/>
          <w:sz w:val="24"/>
          <w:szCs w:val="24"/>
        </w:rPr>
        <w:t>IACC Strategic Plan</w:t>
      </w:r>
      <w:r w:rsidRPr="00E9498D">
        <w:rPr>
          <w:rFonts w:cstheme="minorHAnsi"/>
          <w:sz w:val="24"/>
          <w:szCs w:val="24"/>
        </w:rPr>
        <w:t xml:space="preserve"> was difficult and time consuming.  OARC offers to preliminarily code projects for the funders to verify, which helps reduce the funders’ burden.</w:t>
      </w:r>
    </w:p>
    <w:p w14:paraId="06EE05E1" w14:textId="77777777" w:rsidR="00685B30" w:rsidRPr="00E9498D" w:rsidRDefault="00685B30" w:rsidP="00784374">
      <w:pPr>
        <w:pStyle w:val="P1-StandPara"/>
        <w:ind w:firstLine="0"/>
        <w:rPr>
          <w:rFonts w:asciiTheme="minorHAnsi" w:hAnsiTheme="minorHAnsi" w:cstheme="minorHAnsi"/>
          <w:b/>
          <w:sz w:val="24"/>
          <w:szCs w:val="24"/>
        </w:rPr>
      </w:pPr>
      <w:r w:rsidRPr="00E9498D">
        <w:rPr>
          <w:rFonts w:asciiTheme="minorHAnsi" w:hAnsiTheme="minorHAnsi" w:cstheme="minorHAnsi"/>
          <w:b/>
          <w:sz w:val="24"/>
          <w:szCs w:val="24"/>
        </w:rPr>
        <w:t>A.9</w:t>
      </w:r>
      <w:r w:rsidRPr="00E9498D">
        <w:rPr>
          <w:rFonts w:asciiTheme="minorHAnsi" w:hAnsiTheme="minorHAnsi" w:cstheme="minorHAnsi"/>
          <w:b/>
          <w:sz w:val="24"/>
          <w:szCs w:val="24"/>
        </w:rPr>
        <w:tab/>
        <w:t>Explanation of Any Payment of Gift to Respondents</w:t>
      </w:r>
    </w:p>
    <w:p w14:paraId="746435EB" w14:textId="0606790B" w:rsidR="00685B30" w:rsidRPr="00E9498D" w:rsidRDefault="00B613D4" w:rsidP="008166CB">
      <w:pPr>
        <w:spacing w:after="0" w:line="480" w:lineRule="auto"/>
        <w:ind w:firstLine="720"/>
        <w:rPr>
          <w:rFonts w:cstheme="minorHAnsi"/>
          <w:sz w:val="24"/>
          <w:szCs w:val="24"/>
        </w:rPr>
      </w:pPr>
      <w:r w:rsidRPr="00E9498D">
        <w:rPr>
          <w:rFonts w:cstheme="minorHAnsi"/>
          <w:sz w:val="24"/>
          <w:szCs w:val="24"/>
        </w:rPr>
        <w:t>No payment or gift will be given to respondents</w:t>
      </w:r>
      <w:r w:rsidR="00B96691" w:rsidRPr="00E9498D">
        <w:rPr>
          <w:rFonts w:cstheme="minorHAnsi"/>
          <w:sz w:val="24"/>
          <w:szCs w:val="24"/>
        </w:rPr>
        <w:t>.</w:t>
      </w:r>
    </w:p>
    <w:p w14:paraId="43756684" w14:textId="77777777" w:rsidR="00685B30" w:rsidRPr="00E9498D" w:rsidRDefault="00685B30" w:rsidP="00784374">
      <w:pPr>
        <w:pStyle w:val="P1-StandPara"/>
        <w:ind w:firstLine="0"/>
        <w:rPr>
          <w:rFonts w:asciiTheme="minorHAnsi" w:hAnsiTheme="minorHAnsi" w:cstheme="minorHAnsi"/>
          <w:b/>
          <w:sz w:val="24"/>
          <w:szCs w:val="24"/>
        </w:rPr>
      </w:pPr>
      <w:r w:rsidRPr="00E9498D">
        <w:rPr>
          <w:rFonts w:asciiTheme="minorHAnsi" w:hAnsiTheme="minorHAnsi" w:cstheme="minorHAnsi"/>
          <w:b/>
          <w:sz w:val="24"/>
          <w:szCs w:val="24"/>
        </w:rPr>
        <w:t>A.10</w:t>
      </w:r>
      <w:r w:rsidRPr="00E9498D">
        <w:rPr>
          <w:rFonts w:asciiTheme="minorHAnsi" w:hAnsiTheme="minorHAnsi" w:cstheme="minorHAnsi"/>
          <w:b/>
          <w:sz w:val="24"/>
          <w:szCs w:val="24"/>
        </w:rPr>
        <w:tab/>
        <w:t>Assurance of Confidentiality Provided to Respondents</w:t>
      </w:r>
    </w:p>
    <w:p w14:paraId="7489C162" w14:textId="37F54319" w:rsidR="0036208F" w:rsidRPr="00E9498D" w:rsidRDefault="00B613D4" w:rsidP="008166CB">
      <w:pPr>
        <w:pStyle w:val="P1-StandPara"/>
        <w:rPr>
          <w:rFonts w:asciiTheme="minorHAnsi" w:hAnsiTheme="minorHAnsi" w:cstheme="minorHAnsi"/>
          <w:sz w:val="24"/>
          <w:szCs w:val="24"/>
        </w:rPr>
      </w:pPr>
      <w:r w:rsidRPr="00E9498D">
        <w:rPr>
          <w:rFonts w:asciiTheme="minorHAnsi" w:hAnsiTheme="minorHAnsi" w:cstheme="minorHAnsi"/>
          <w:sz w:val="24"/>
          <w:szCs w:val="24"/>
        </w:rPr>
        <w:t>This data collection is carried out on behalf of the IACC, a federal advisory committee whose process and products are to be transparent to the public in accordance with the Federal Advisory Committee Act.  Participation is entirely voluntary, and public disclosure of any information that the funder provides is explained to participants at the outset of the process.</w:t>
      </w:r>
      <w:r w:rsidR="00845E82" w:rsidRPr="00E9498D">
        <w:rPr>
          <w:rFonts w:asciiTheme="minorHAnsi" w:hAnsiTheme="minorHAnsi" w:cstheme="minorHAnsi"/>
          <w:sz w:val="24"/>
          <w:szCs w:val="24"/>
        </w:rPr>
        <w:t xml:space="preserve"> </w:t>
      </w:r>
      <w:r w:rsidRPr="00E9498D">
        <w:rPr>
          <w:rFonts w:asciiTheme="minorHAnsi" w:hAnsiTheme="minorHAnsi" w:cstheme="minorHAnsi"/>
          <w:sz w:val="24"/>
          <w:szCs w:val="24"/>
        </w:rPr>
        <w:t xml:space="preserve"> The data call invitation states that data submitted in response to the data call will become a part of the public record and will be released to the public as a part of specified IACC research monitoring and reporting activities. </w:t>
      </w:r>
      <w:r w:rsidR="00845E82" w:rsidRPr="00E9498D">
        <w:rPr>
          <w:rFonts w:asciiTheme="minorHAnsi" w:hAnsiTheme="minorHAnsi" w:cstheme="minorHAnsi"/>
          <w:sz w:val="24"/>
          <w:szCs w:val="24"/>
        </w:rPr>
        <w:t xml:space="preserve"> </w:t>
      </w:r>
      <w:r w:rsidRPr="00E9498D">
        <w:rPr>
          <w:rFonts w:asciiTheme="minorHAnsi" w:hAnsiTheme="minorHAnsi" w:cstheme="minorHAnsi"/>
          <w:sz w:val="24"/>
          <w:szCs w:val="24"/>
        </w:rPr>
        <w:t xml:space="preserve">Following collection, the original data will be stored on a secure NIMH network and only accessed by OARC staff.  The data is </w:t>
      </w:r>
      <w:r w:rsidR="00E9498D" w:rsidRPr="00E9498D">
        <w:rPr>
          <w:rFonts w:asciiTheme="minorHAnsi" w:hAnsiTheme="minorHAnsi" w:cstheme="minorHAnsi"/>
          <w:sz w:val="24"/>
          <w:szCs w:val="24"/>
        </w:rPr>
        <w:t>analyzed,</w:t>
      </w:r>
      <w:r w:rsidRPr="00E9498D">
        <w:rPr>
          <w:rFonts w:asciiTheme="minorHAnsi" w:hAnsiTheme="minorHAnsi" w:cstheme="minorHAnsi"/>
          <w:sz w:val="24"/>
          <w:szCs w:val="24"/>
        </w:rPr>
        <w:t xml:space="preserve"> and the analyses are made available to the public in a written report posted on the IACC website.  The verified data, related summaries, and analyses conducted using the data will continue to be made accessible to the public in a secure database called the </w:t>
      </w:r>
      <w:r w:rsidRPr="00E9498D">
        <w:rPr>
          <w:rFonts w:asciiTheme="minorHAnsi" w:hAnsiTheme="minorHAnsi" w:cstheme="minorHAnsi"/>
          <w:i/>
          <w:sz w:val="24"/>
          <w:szCs w:val="24"/>
        </w:rPr>
        <w:t>IACC</w:t>
      </w:r>
      <w:r w:rsidR="006840A1" w:rsidRPr="00E9498D">
        <w:rPr>
          <w:rFonts w:asciiTheme="minorHAnsi" w:hAnsiTheme="minorHAnsi" w:cstheme="minorHAnsi"/>
          <w:i/>
          <w:sz w:val="24"/>
          <w:szCs w:val="24"/>
          <w:highlight w:val="yellow"/>
        </w:rPr>
        <w:t>/OARC Autism Research Database</w:t>
      </w:r>
      <w:r w:rsidRPr="00E9498D">
        <w:rPr>
          <w:rFonts w:asciiTheme="minorHAnsi" w:hAnsiTheme="minorHAnsi" w:cstheme="minorHAnsi"/>
          <w:sz w:val="24"/>
          <w:szCs w:val="24"/>
        </w:rPr>
        <w:t xml:space="preserve">.  In the </w:t>
      </w:r>
      <w:r w:rsidR="006840A1" w:rsidRPr="00E9498D">
        <w:rPr>
          <w:rFonts w:asciiTheme="minorHAnsi" w:hAnsiTheme="minorHAnsi" w:cstheme="minorHAnsi"/>
          <w:i/>
          <w:sz w:val="24"/>
          <w:szCs w:val="24"/>
          <w:highlight w:val="yellow"/>
        </w:rPr>
        <w:t>Autism Research Database</w:t>
      </w:r>
      <w:r w:rsidRPr="00E9498D">
        <w:rPr>
          <w:rFonts w:asciiTheme="minorHAnsi" w:hAnsiTheme="minorHAnsi" w:cstheme="minorHAnsi"/>
          <w:sz w:val="24"/>
          <w:szCs w:val="24"/>
        </w:rPr>
        <w:t>, the funding amounts for individual projects will be attributed to specific funders but not to individuals within the funding agency/organization that reported the data.</w:t>
      </w:r>
      <w:r w:rsidR="0036208F" w:rsidRPr="00E9498D">
        <w:rPr>
          <w:rFonts w:asciiTheme="minorHAnsi" w:hAnsiTheme="minorHAnsi" w:cstheme="minorHAnsi"/>
          <w:sz w:val="24"/>
          <w:szCs w:val="24"/>
        </w:rPr>
        <w:t xml:space="preserve"> </w:t>
      </w:r>
    </w:p>
    <w:p w14:paraId="418F3B61" w14:textId="77777777" w:rsidR="00685B30" w:rsidRPr="00E9498D" w:rsidRDefault="00685B30" w:rsidP="00784374">
      <w:pPr>
        <w:pStyle w:val="P1-StandPara"/>
        <w:ind w:firstLine="0"/>
        <w:rPr>
          <w:rFonts w:asciiTheme="minorHAnsi" w:hAnsiTheme="minorHAnsi" w:cstheme="minorHAnsi"/>
          <w:b/>
          <w:sz w:val="24"/>
          <w:szCs w:val="24"/>
        </w:rPr>
      </w:pPr>
      <w:r w:rsidRPr="00E9498D">
        <w:rPr>
          <w:rFonts w:asciiTheme="minorHAnsi" w:hAnsiTheme="minorHAnsi" w:cstheme="minorHAnsi"/>
          <w:b/>
          <w:sz w:val="24"/>
          <w:szCs w:val="24"/>
        </w:rPr>
        <w:t>A.11</w:t>
      </w:r>
      <w:r w:rsidRPr="00E9498D">
        <w:rPr>
          <w:rFonts w:asciiTheme="minorHAnsi" w:hAnsiTheme="minorHAnsi" w:cstheme="minorHAnsi"/>
          <w:b/>
          <w:sz w:val="24"/>
          <w:szCs w:val="24"/>
        </w:rPr>
        <w:tab/>
        <w:t>Justification for Sensitive Questions</w:t>
      </w:r>
    </w:p>
    <w:p w14:paraId="2EE5DF31" w14:textId="076FAA45" w:rsidR="00685B30" w:rsidRPr="00E9498D" w:rsidRDefault="00B613D4" w:rsidP="008166CB">
      <w:pPr>
        <w:pStyle w:val="P1-StandPara"/>
        <w:rPr>
          <w:rFonts w:asciiTheme="minorHAnsi" w:hAnsiTheme="minorHAnsi" w:cstheme="minorHAnsi"/>
          <w:sz w:val="24"/>
          <w:szCs w:val="24"/>
        </w:rPr>
      </w:pPr>
      <w:r w:rsidRPr="00E9498D">
        <w:rPr>
          <w:rFonts w:asciiTheme="minorHAnsi" w:hAnsiTheme="minorHAnsi" w:cstheme="minorHAnsi"/>
          <w:sz w:val="24"/>
          <w:szCs w:val="24"/>
        </w:rPr>
        <w:t>No questions of a sensitive nature will be asked.  Questions are of a general nature and disclosure would not create harm to individuals.  All respondents have the right not to answer particular data categories or stop their participation at any time without consequence</w:t>
      </w:r>
      <w:r w:rsidR="00685B30" w:rsidRPr="00E9498D">
        <w:rPr>
          <w:rFonts w:asciiTheme="minorHAnsi" w:hAnsiTheme="minorHAnsi" w:cstheme="minorHAnsi"/>
          <w:sz w:val="24"/>
          <w:szCs w:val="24"/>
        </w:rPr>
        <w:t xml:space="preserve">. </w:t>
      </w:r>
    </w:p>
    <w:p w14:paraId="2470C97A" w14:textId="77777777" w:rsidR="00685B30" w:rsidRPr="00E9498D" w:rsidRDefault="00685B30" w:rsidP="00784374">
      <w:pPr>
        <w:spacing w:after="0" w:line="480" w:lineRule="auto"/>
        <w:rPr>
          <w:rFonts w:cstheme="minorHAnsi"/>
          <w:b/>
          <w:sz w:val="24"/>
          <w:szCs w:val="24"/>
        </w:rPr>
      </w:pPr>
      <w:r w:rsidRPr="00E9498D">
        <w:rPr>
          <w:rFonts w:cstheme="minorHAnsi"/>
          <w:b/>
          <w:sz w:val="24"/>
          <w:szCs w:val="24"/>
        </w:rPr>
        <w:t>A.12</w:t>
      </w:r>
      <w:r w:rsidR="00BF491C" w:rsidRPr="00E9498D">
        <w:rPr>
          <w:rFonts w:cstheme="minorHAnsi"/>
          <w:b/>
          <w:sz w:val="24"/>
          <w:szCs w:val="24"/>
        </w:rPr>
        <w:t>.1</w:t>
      </w:r>
      <w:r w:rsidRPr="00E9498D">
        <w:rPr>
          <w:rFonts w:cstheme="minorHAnsi"/>
          <w:b/>
          <w:sz w:val="24"/>
          <w:szCs w:val="24"/>
        </w:rPr>
        <w:tab/>
        <w:t>Estimates of Hour Burden Including Annualized Hourly Costs</w:t>
      </w:r>
    </w:p>
    <w:p w14:paraId="63DECA64" w14:textId="717B00FF" w:rsidR="00B613D4" w:rsidRPr="00E9498D" w:rsidRDefault="00B613D4" w:rsidP="00784374">
      <w:pPr>
        <w:pStyle w:val="P1-StandPara"/>
        <w:ind w:right="-216"/>
        <w:rPr>
          <w:rFonts w:asciiTheme="minorHAnsi" w:hAnsiTheme="minorHAnsi" w:cstheme="minorHAnsi"/>
          <w:color w:val="000000"/>
          <w:sz w:val="24"/>
          <w:szCs w:val="24"/>
        </w:rPr>
      </w:pPr>
      <w:r w:rsidRPr="00E9498D">
        <w:rPr>
          <w:rFonts w:asciiTheme="minorHAnsi" w:hAnsiTheme="minorHAnsi" w:cstheme="minorHAnsi"/>
          <w:color w:val="000000"/>
          <w:sz w:val="24"/>
          <w:szCs w:val="24"/>
        </w:rPr>
        <w:t xml:space="preserve">U.S. Federal and private funders and international government and private funders will be asked to provide information about the ASD-related research grants, contracts and other types of relevant projects awarded within a </w:t>
      </w:r>
      <w:r w:rsidR="008166CB" w:rsidRPr="00E9498D">
        <w:rPr>
          <w:rFonts w:asciiTheme="minorHAnsi" w:hAnsiTheme="minorHAnsi" w:cstheme="minorHAnsi"/>
          <w:color w:val="000000"/>
          <w:sz w:val="24"/>
          <w:szCs w:val="24"/>
        </w:rPr>
        <w:t>one-year</w:t>
      </w:r>
      <w:r w:rsidRPr="00E9498D">
        <w:rPr>
          <w:rFonts w:asciiTheme="minorHAnsi" w:hAnsiTheme="minorHAnsi" w:cstheme="minorHAnsi"/>
          <w:color w:val="000000"/>
          <w:sz w:val="24"/>
          <w:szCs w:val="24"/>
        </w:rPr>
        <w:t xml:space="preserve"> period.  The information requested includes project title, principle investigator, institution, and annual funding amount.  Attachment 3 (the </w:t>
      </w:r>
      <w:r w:rsidRPr="00E9498D">
        <w:rPr>
          <w:rFonts w:asciiTheme="minorHAnsi" w:hAnsiTheme="minorHAnsi" w:cstheme="minorHAnsi"/>
          <w:i/>
          <w:sz w:val="24"/>
          <w:szCs w:val="24"/>
        </w:rPr>
        <w:t>ASD Research Funding Data Collection Guidance</w:t>
      </w:r>
      <w:r w:rsidRPr="00E9498D">
        <w:rPr>
          <w:rFonts w:asciiTheme="minorHAnsi" w:hAnsiTheme="minorHAnsi" w:cstheme="minorHAnsi"/>
          <w:sz w:val="24"/>
          <w:szCs w:val="24"/>
        </w:rPr>
        <w:t xml:space="preserve"> document) </w:t>
      </w:r>
      <w:r w:rsidRPr="00E9498D">
        <w:rPr>
          <w:rFonts w:asciiTheme="minorHAnsi" w:hAnsiTheme="minorHAnsi" w:cstheme="minorHAnsi"/>
          <w:color w:val="000000"/>
          <w:sz w:val="24"/>
          <w:szCs w:val="24"/>
        </w:rPr>
        <w:t xml:space="preserve">provides a full description of requested information and guidance to funders on data submission and how to use the spreadsheet data entry instrument.  </w:t>
      </w:r>
    </w:p>
    <w:p w14:paraId="29430ED6" w14:textId="79271189" w:rsidR="00C02C97" w:rsidRPr="00E9498D" w:rsidRDefault="00B613D4" w:rsidP="00A90EFA">
      <w:pPr>
        <w:spacing w:after="0" w:line="480" w:lineRule="auto"/>
        <w:ind w:firstLine="720"/>
        <w:rPr>
          <w:rFonts w:cstheme="minorHAnsi"/>
          <w:sz w:val="24"/>
          <w:szCs w:val="24"/>
        </w:rPr>
      </w:pPr>
      <w:r w:rsidRPr="00E9498D">
        <w:rPr>
          <w:rFonts w:cstheme="minorHAnsi"/>
          <w:color w:val="000000"/>
          <w:sz w:val="24"/>
          <w:szCs w:val="24"/>
        </w:rPr>
        <w:t xml:space="preserve">Response burden estimates are shown in Table A.12-1.  Based on collections conducted since 2010, OARC estimates that the data collection tool takes approximately 15 minutes per project to complete. </w:t>
      </w:r>
      <w:r w:rsidR="00845E82" w:rsidRPr="00E9498D">
        <w:rPr>
          <w:rFonts w:cstheme="minorHAnsi"/>
          <w:color w:val="000000"/>
          <w:sz w:val="24"/>
          <w:szCs w:val="24"/>
        </w:rPr>
        <w:t xml:space="preserve"> </w:t>
      </w:r>
      <w:r w:rsidRPr="00E9498D">
        <w:rPr>
          <w:rFonts w:cstheme="minorHAnsi"/>
          <w:color w:val="000000"/>
          <w:sz w:val="24"/>
          <w:szCs w:val="24"/>
        </w:rPr>
        <w:t xml:space="preserve">This figure was derived from conversations between OARC staff and funders who participated in previous portfolio analyses (see Attachment 2 for a list of funders who were contacted during the collection of data included in the </w:t>
      </w:r>
      <w:r w:rsidR="00A802D0" w:rsidRPr="00E9498D">
        <w:rPr>
          <w:rFonts w:cstheme="minorHAnsi"/>
          <w:i/>
          <w:color w:val="000000"/>
          <w:sz w:val="24"/>
          <w:szCs w:val="24"/>
          <w:highlight w:val="yellow"/>
        </w:rPr>
        <w:t>2016</w:t>
      </w:r>
      <w:r w:rsidR="00A802D0" w:rsidRPr="00E9498D">
        <w:rPr>
          <w:rFonts w:cstheme="minorHAnsi"/>
          <w:i/>
          <w:color w:val="000000"/>
          <w:sz w:val="24"/>
          <w:szCs w:val="24"/>
        </w:rPr>
        <w:t xml:space="preserve"> </w:t>
      </w:r>
      <w:r w:rsidRPr="00E9498D">
        <w:rPr>
          <w:rFonts w:cstheme="minorHAnsi"/>
          <w:i/>
          <w:color w:val="000000"/>
          <w:sz w:val="24"/>
          <w:szCs w:val="24"/>
        </w:rPr>
        <w:t>ASD Research Portfolio Analysis</w:t>
      </w:r>
      <w:r w:rsidRPr="00E9498D">
        <w:rPr>
          <w:rFonts w:cstheme="minorHAnsi"/>
          <w:color w:val="000000"/>
          <w:sz w:val="24"/>
          <w:szCs w:val="24"/>
        </w:rPr>
        <w:t xml:space="preserve">). The number of projects in the table below was estimated based on the data available as of the last data collection conducted in </w:t>
      </w:r>
      <w:r w:rsidRPr="00E9498D">
        <w:rPr>
          <w:rFonts w:cstheme="minorHAnsi"/>
          <w:color w:val="000000"/>
          <w:sz w:val="24"/>
          <w:szCs w:val="24"/>
          <w:highlight w:val="yellow"/>
        </w:rPr>
        <w:t>201</w:t>
      </w:r>
      <w:r w:rsidR="00CC3228" w:rsidRPr="00E9498D">
        <w:rPr>
          <w:rFonts w:cstheme="minorHAnsi"/>
          <w:color w:val="000000"/>
          <w:sz w:val="24"/>
          <w:szCs w:val="24"/>
          <w:highlight w:val="yellow"/>
        </w:rPr>
        <w:t>6</w:t>
      </w:r>
      <w:r w:rsidRPr="00E9498D">
        <w:rPr>
          <w:rFonts w:cstheme="minorHAnsi"/>
          <w:color w:val="000000"/>
          <w:sz w:val="24"/>
          <w:szCs w:val="24"/>
        </w:rPr>
        <w:t xml:space="preserve">. </w:t>
      </w:r>
      <w:r w:rsidR="00845E82" w:rsidRPr="00E9498D">
        <w:rPr>
          <w:rFonts w:cstheme="minorHAnsi"/>
          <w:color w:val="000000"/>
          <w:sz w:val="24"/>
          <w:szCs w:val="24"/>
        </w:rPr>
        <w:t xml:space="preserve"> </w:t>
      </w:r>
    </w:p>
    <w:p w14:paraId="69E5DE25" w14:textId="3BF4104C" w:rsidR="00C24877" w:rsidRPr="00E9498D" w:rsidRDefault="00C76FE2" w:rsidP="00784374">
      <w:pPr>
        <w:spacing w:after="0" w:line="480" w:lineRule="auto"/>
        <w:jc w:val="center"/>
        <w:rPr>
          <w:rFonts w:cstheme="minorHAnsi"/>
          <w:sz w:val="24"/>
          <w:szCs w:val="24"/>
          <w:u w:val="single"/>
        </w:rPr>
      </w:pPr>
      <w:r w:rsidRPr="00E9498D">
        <w:rPr>
          <w:rFonts w:cstheme="minorHAnsi"/>
          <w:sz w:val="24"/>
          <w:szCs w:val="24"/>
          <w:u w:val="single"/>
        </w:rPr>
        <w:t xml:space="preserve">Table </w:t>
      </w:r>
      <w:r w:rsidR="00C519B1" w:rsidRPr="00E9498D">
        <w:rPr>
          <w:rFonts w:cstheme="minorHAnsi"/>
          <w:sz w:val="24"/>
          <w:szCs w:val="24"/>
          <w:u w:val="single"/>
        </w:rPr>
        <w:t>A.</w:t>
      </w:r>
      <w:r w:rsidRPr="00E9498D">
        <w:rPr>
          <w:rFonts w:cstheme="minorHAnsi"/>
          <w:sz w:val="24"/>
          <w:szCs w:val="24"/>
          <w:u w:val="single"/>
        </w:rPr>
        <w:t>12-1 Estimated Annualized Burden Hours</w:t>
      </w:r>
    </w:p>
    <w:tbl>
      <w:tblPr>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869"/>
        <w:gridCol w:w="1493"/>
        <w:gridCol w:w="1967"/>
        <w:gridCol w:w="1870"/>
        <w:gridCol w:w="1665"/>
      </w:tblGrid>
      <w:tr w:rsidR="00E9498D" w:rsidRPr="00E9498D" w14:paraId="76A89AD6" w14:textId="77777777" w:rsidTr="00013D7D">
        <w:trPr>
          <w:trHeight w:val="1176"/>
        </w:trPr>
        <w:tc>
          <w:tcPr>
            <w:tcW w:w="1454" w:type="pct"/>
            <w:tcBorders>
              <w:top w:val="single" w:sz="12" w:space="0" w:color="auto"/>
              <w:left w:val="single" w:sz="12" w:space="0" w:color="auto"/>
              <w:bottom w:val="single" w:sz="8" w:space="0" w:color="auto"/>
              <w:right w:val="single" w:sz="8" w:space="0" w:color="auto"/>
            </w:tcBorders>
            <w:shd w:val="clear" w:color="auto" w:fill="D9D9D9"/>
            <w:vAlign w:val="center"/>
            <w:hideMark/>
          </w:tcPr>
          <w:p w14:paraId="6CEE6584" w14:textId="2AC70D09" w:rsidR="00B613D4" w:rsidRPr="00E9498D" w:rsidRDefault="00B613D4" w:rsidP="00013D7D">
            <w:pPr>
              <w:keepNext/>
              <w:spacing w:after="0" w:line="240" w:lineRule="auto"/>
              <w:jc w:val="center"/>
              <w:rPr>
                <w:rFonts w:cstheme="minorHAnsi"/>
              </w:rPr>
            </w:pPr>
            <w:r w:rsidRPr="00E9498D">
              <w:rPr>
                <w:rFonts w:cstheme="minorHAnsi"/>
              </w:rPr>
              <w:t xml:space="preserve">Type of Respondents </w:t>
            </w:r>
          </w:p>
        </w:tc>
        <w:tc>
          <w:tcPr>
            <w:tcW w:w="757" w:type="pct"/>
            <w:tcBorders>
              <w:top w:val="single" w:sz="12" w:space="0" w:color="auto"/>
              <w:left w:val="single" w:sz="8" w:space="0" w:color="auto"/>
              <w:bottom w:val="single" w:sz="8" w:space="0" w:color="auto"/>
              <w:right w:val="single" w:sz="8" w:space="0" w:color="auto"/>
            </w:tcBorders>
            <w:shd w:val="clear" w:color="auto" w:fill="D9D9D9"/>
            <w:vAlign w:val="center"/>
            <w:hideMark/>
          </w:tcPr>
          <w:p w14:paraId="10B9598A" w14:textId="77777777" w:rsidR="00B613D4" w:rsidRPr="00E9498D" w:rsidRDefault="00B613D4" w:rsidP="00013D7D">
            <w:pPr>
              <w:keepNext/>
              <w:spacing w:after="0" w:line="240" w:lineRule="auto"/>
              <w:jc w:val="center"/>
              <w:rPr>
                <w:rFonts w:cstheme="minorHAnsi"/>
              </w:rPr>
            </w:pPr>
            <w:r w:rsidRPr="00E9498D">
              <w:rPr>
                <w:rFonts w:cstheme="minorHAnsi"/>
              </w:rPr>
              <w:t>Number of Respondents</w:t>
            </w:r>
          </w:p>
        </w:tc>
        <w:tc>
          <w:tcPr>
            <w:tcW w:w="997" w:type="pct"/>
            <w:tcBorders>
              <w:top w:val="single" w:sz="12" w:space="0" w:color="auto"/>
              <w:left w:val="single" w:sz="8" w:space="0" w:color="auto"/>
              <w:bottom w:val="single" w:sz="8" w:space="0" w:color="auto"/>
              <w:right w:val="single" w:sz="8" w:space="0" w:color="auto"/>
            </w:tcBorders>
            <w:shd w:val="clear" w:color="auto" w:fill="D9D9D9"/>
            <w:vAlign w:val="center"/>
            <w:hideMark/>
          </w:tcPr>
          <w:p w14:paraId="31ACBBDB" w14:textId="16D9E3AF" w:rsidR="00B613D4" w:rsidRPr="00E9498D" w:rsidRDefault="00B613D4" w:rsidP="00013D7D">
            <w:pPr>
              <w:keepNext/>
              <w:spacing w:after="0" w:line="240" w:lineRule="auto"/>
              <w:jc w:val="center"/>
              <w:rPr>
                <w:rFonts w:cstheme="minorHAnsi"/>
              </w:rPr>
            </w:pPr>
            <w:r w:rsidRPr="00E9498D">
              <w:rPr>
                <w:rFonts w:cstheme="minorHAnsi"/>
              </w:rPr>
              <w:t>Number of Projects per Respondent</w:t>
            </w:r>
          </w:p>
        </w:tc>
        <w:tc>
          <w:tcPr>
            <w:tcW w:w="948" w:type="pct"/>
            <w:tcBorders>
              <w:top w:val="single" w:sz="12" w:space="0" w:color="auto"/>
              <w:left w:val="single" w:sz="8" w:space="0" w:color="auto"/>
              <w:bottom w:val="single" w:sz="8" w:space="0" w:color="auto"/>
              <w:right w:val="single" w:sz="8" w:space="0" w:color="auto"/>
            </w:tcBorders>
            <w:shd w:val="clear" w:color="auto" w:fill="D9D9D9"/>
            <w:vAlign w:val="center"/>
            <w:hideMark/>
          </w:tcPr>
          <w:p w14:paraId="4AAF874A" w14:textId="77777777" w:rsidR="00B613D4" w:rsidRPr="00E9498D" w:rsidRDefault="00B613D4" w:rsidP="00013D7D">
            <w:pPr>
              <w:keepNext/>
              <w:spacing w:after="0" w:line="240" w:lineRule="auto"/>
              <w:jc w:val="center"/>
              <w:rPr>
                <w:rFonts w:cstheme="minorHAnsi"/>
              </w:rPr>
            </w:pPr>
            <w:r w:rsidRPr="00E9498D">
              <w:rPr>
                <w:rFonts w:cstheme="minorHAnsi"/>
              </w:rPr>
              <w:t>Average Time per Response (in hours)</w:t>
            </w:r>
          </w:p>
        </w:tc>
        <w:tc>
          <w:tcPr>
            <w:tcW w:w="844" w:type="pct"/>
            <w:tcBorders>
              <w:top w:val="single" w:sz="12" w:space="0" w:color="auto"/>
              <w:left w:val="single" w:sz="8" w:space="0" w:color="auto"/>
              <w:bottom w:val="single" w:sz="8" w:space="0" w:color="auto"/>
              <w:right w:val="single" w:sz="12" w:space="0" w:color="auto"/>
            </w:tcBorders>
            <w:shd w:val="clear" w:color="auto" w:fill="D9D9D9"/>
            <w:vAlign w:val="center"/>
            <w:hideMark/>
          </w:tcPr>
          <w:p w14:paraId="4AE60DB4" w14:textId="314BED29" w:rsidR="00B613D4" w:rsidRPr="00E9498D" w:rsidRDefault="00013D7D" w:rsidP="00013D7D">
            <w:pPr>
              <w:keepNext/>
              <w:spacing w:after="0" w:line="240" w:lineRule="auto"/>
              <w:jc w:val="center"/>
              <w:rPr>
                <w:rFonts w:cstheme="minorHAnsi"/>
              </w:rPr>
            </w:pPr>
            <w:r w:rsidRPr="00E9498D">
              <w:rPr>
                <w:rFonts w:cstheme="minorHAnsi"/>
              </w:rPr>
              <w:t>Total Burden</w:t>
            </w:r>
            <w:r w:rsidR="00B613D4" w:rsidRPr="00E9498D">
              <w:rPr>
                <w:rFonts w:cstheme="minorHAnsi"/>
              </w:rPr>
              <w:t xml:space="preserve"> Hours</w:t>
            </w:r>
          </w:p>
        </w:tc>
      </w:tr>
      <w:tr w:rsidR="008875CF" w:rsidRPr="00E9498D" w14:paraId="5A4EDFA5" w14:textId="77777777" w:rsidTr="00013D7D">
        <w:tc>
          <w:tcPr>
            <w:tcW w:w="1454" w:type="pct"/>
            <w:tcBorders>
              <w:top w:val="single" w:sz="8" w:space="0" w:color="auto"/>
              <w:left w:val="single" w:sz="12" w:space="0" w:color="auto"/>
              <w:bottom w:val="single" w:sz="8" w:space="0" w:color="auto"/>
              <w:right w:val="single" w:sz="8" w:space="0" w:color="auto"/>
            </w:tcBorders>
            <w:vAlign w:val="center"/>
            <w:hideMark/>
          </w:tcPr>
          <w:p w14:paraId="3D490BE3" w14:textId="77777777" w:rsidR="00B613D4" w:rsidRPr="00E9498D" w:rsidRDefault="00B613D4" w:rsidP="00013D7D">
            <w:pPr>
              <w:spacing w:after="0" w:line="240" w:lineRule="auto"/>
              <w:rPr>
                <w:rFonts w:cstheme="minorHAnsi"/>
              </w:rPr>
            </w:pPr>
            <w:r w:rsidRPr="00E9498D">
              <w:rPr>
                <w:rFonts w:cstheme="minorHAnsi"/>
              </w:rPr>
              <w:t>U.S. Federal</w:t>
            </w:r>
          </w:p>
        </w:tc>
        <w:tc>
          <w:tcPr>
            <w:tcW w:w="757" w:type="pct"/>
            <w:tcBorders>
              <w:top w:val="single" w:sz="8" w:space="0" w:color="auto"/>
              <w:left w:val="single" w:sz="8" w:space="0" w:color="auto"/>
              <w:bottom w:val="single" w:sz="8" w:space="0" w:color="auto"/>
              <w:right w:val="single" w:sz="8" w:space="0" w:color="auto"/>
            </w:tcBorders>
            <w:vAlign w:val="center"/>
            <w:hideMark/>
          </w:tcPr>
          <w:p w14:paraId="3659DEF4" w14:textId="3587B75B" w:rsidR="00B613D4" w:rsidRPr="00E9498D" w:rsidRDefault="00CC3228" w:rsidP="00013D7D">
            <w:pPr>
              <w:spacing w:after="0" w:line="240" w:lineRule="auto"/>
              <w:jc w:val="center"/>
              <w:rPr>
                <w:rFonts w:cstheme="minorHAnsi"/>
              </w:rPr>
            </w:pPr>
            <w:r w:rsidRPr="00E9498D">
              <w:rPr>
                <w:rFonts w:cstheme="minorHAnsi"/>
              </w:rPr>
              <w:t>2</w:t>
            </w:r>
            <w:r w:rsidR="00FE7DCD" w:rsidRPr="00E9498D">
              <w:rPr>
                <w:rFonts w:cstheme="minorHAnsi"/>
              </w:rPr>
              <w:t>5</w:t>
            </w:r>
          </w:p>
        </w:tc>
        <w:tc>
          <w:tcPr>
            <w:tcW w:w="997" w:type="pct"/>
            <w:tcBorders>
              <w:top w:val="single" w:sz="8" w:space="0" w:color="auto"/>
              <w:left w:val="single" w:sz="8" w:space="0" w:color="auto"/>
              <w:bottom w:val="single" w:sz="8" w:space="0" w:color="auto"/>
              <w:right w:val="single" w:sz="8" w:space="0" w:color="auto"/>
            </w:tcBorders>
            <w:vAlign w:val="center"/>
            <w:hideMark/>
          </w:tcPr>
          <w:p w14:paraId="30CB082A" w14:textId="3291E7B7" w:rsidR="00B613D4" w:rsidRPr="00E9498D" w:rsidRDefault="006F6698" w:rsidP="00013D7D">
            <w:pPr>
              <w:spacing w:after="0" w:line="240" w:lineRule="auto"/>
              <w:jc w:val="center"/>
              <w:rPr>
                <w:rFonts w:cstheme="minorHAnsi"/>
              </w:rPr>
            </w:pPr>
            <w:r w:rsidRPr="00E9498D">
              <w:rPr>
                <w:rFonts w:cstheme="minorHAnsi"/>
              </w:rPr>
              <w:t>88</w:t>
            </w:r>
          </w:p>
        </w:tc>
        <w:tc>
          <w:tcPr>
            <w:tcW w:w="948" w:type="pct"/>
            <w:tcBorders>
              <w:top w:val="single" w:sz="8" w:space="0" w:color="auto"/>
              <w:left w:val="single" w:sz="8" w:space="0" w:color="auto"/>
              <w:bottom w:val="single" w:sz="8" w:space="0" w:color="auto"/>
              <w:right w:val="single" w:sz="8" w:space="0" w:color="auto"/>
            </w:tcBorders>
            <w:vAlign w:val="center"/>
            <w:hideMark/>
          </w:tcPr>
          <w:p w14:paraId="7804FEB5" w14:textId="77777777" w:rsidR="00B613D4" w:rsidRPr="00E9498D" w:rsidRDefault="00B613D4" w:rsidP="00013D7D">
            <w:pPr>
              <w:spacing w:after="0" w:line="240" w:lineRule="auto"/>
              <w:jc w:val="center"/>
              <w:rPr>
                <w:rFonts w:cstheme="minorHAnsi"/>
              </w:rPr>
            </w:pPr>
            <w:r w:rsidRPr="00E9498D">
              <w:rPr>
                <w:rFonts w:cstheme="minorHAnsi"/>
              </w:rPr>
              <w:t>15/60</w:t>
            </w:r>
          </w:p>
        </w:tc>
        <w:tc>
          <w:tcPr>
            <w:tcW w:w="844" w:type="pct"/>
            <w:tcBorders>
              <w:top w:val="single" w:sz="8" w:space="0" w:color="auto"/>
              <w:left w:val="single" w:sz="8" w:space="0" w:color="auto"/>
              <w:bottom w:val="single" w:sz="8" w:space="0" w:color="auto"/>
              <w:right w:val="single" w:sz="12" w:space="0" w:color="auto"/>
            </w:tcBorders>
            <w:vAlign w:val="center"/>
            <w:hideMark/>
          </w:tcPr>
          <w:p w14:paraId="72AC6295" w14:textId="2E96E925" w:rsidR="00B613D4" w:rsidRPr="00E9498D" w:rsidRDefault="006F6698" w:rsidP="00013D7D">
            <w:pPr>
              <w:spacing w:after="0" w:line="240" w:lineRule="auto"/>
              <w:jc w:val="center"/>
              <w:rPr>
                <w:rFonts w:cstheme="minorHAnsi"/>
              </w:rPr>
            </w:pPr>
            <w:r w:rsidRPr="00E9498D">
              <w:rPr>
                <w:rFonts w:cstheme="minorHAnsi"/>
              </w:rPr>
              <w:t>5</w:t>
            </w:r>
            <w:r w:rsidR="00FE7DCD" w:rsidRPr="00E9498D">
              <w:rPr>
                <w:rFonts w:cstheme="minorHAnsi"/>
              </w:rPr>
              <w:t>50</w:t>
            </w:r>
          </w:p>
        </w:tc>
      </w:tr>
      <w:tr w:rsidR="008875CF" w:rsidRPr="00E9498D" w14:paraId="39D98341" w14:textId="77777777" w:rsidTr="00013D7D">
        <w:tc>
          <w:tcPr>
            <w:tcW w:w="1454" w:type="pct"/>
            <w:tcBorders>
              <w:top w:val="single" w:sz="8" w:space="0" w:color="auto"/>
              <w:left w:val="single" w:sz="12" w:space="0" w:color="auto"/>
              <w:bottom w:val="single" w:sz="8" w:space="0" w:color="auto"/>
              <w:right w:val="single" w:sz="8" w:space="0" w:color="auto"/>
            </w:tcBorders>
            <w:vAlign w:val="center"/>
            <w:hideMark/>
          </w:tcPr>
          <w:p w14:paraId="1EE69DFA" w14:textId="77777777" w:rsidR="00B613D4" w:rsidRPr="00E9498D" w:rsidRDefault="00B613D4" w:rsidP="00013D7D">
            <w:pPr>
              <w:spacing w:after="0" w:line="240" w:lineRule="auto"/>
              <w:rPr>
                <w:rFonts w:cstheme="minorHAnsi"/>
              </w:rPr>
            </w:pPr>
            <w:r w:rsidRPr="00E9498D">
              <w:rPr>
                <w:rFonts w:cstheme="minorHAnsi"/>
              </w:rPr>
              <w:t>U.S. Private</w:t>
            </w:r>
          </w:p>
        </w:tc>
        <w:tc>
          <w:tcPr>
            <w:tcW w:w="757" w:type="pct"/>
            <w:tcBorders>
              <w:top w:val="single" w:sz="8" w:space="0" w:color="auto"/>
              <w:left w:val="single" w:sz="8" w:space="0" w:color="auto"/>
              <w:bottom w:val="single" w:sz="8" w:space="0" w:color="auto"/>
              <w:right w:val="single" w:sz="8" w:space="0" w:color="auto"/>
            </w:tcBorders>
            <w:vAlign w:val="center"/>
            <w:hideMark/>
          </w:tcPr>
          <w:p w14:paraId="10473BEB" w14:textId="6E7AFC57" w:rsidR="00B613D4" w:rsidRPr="00E9498D" w:rsidRDefault="00CC3228" w:rsidP="00013D7D">
            <w:pPr>
              <w:spacing w:after="0" w:line="240" w:lineRule="auto"/>
              <w:jc w:val="center"/>
              <w:rPr>
                <w:rFonts w:cstheme="minorHAnsi"/>
              </w:rPr>
            </w:pPr>
            <w:r w:rsidRPr="00E9498D">
              <w:rPr>
                <w:rFonts w:cstheme="minorHAnsi"/>
              </w:rPr>
              <w:t>9</w:t>
            </w:r>
          </w:p>
        </w:tc>
        <w:tc>
          <w:tcPr>
            <w:tcW w:w="997" w:type="pct"/>
            <w:tcBorders>
              <w:top w:val="single" w:sz="8" w:space="0" w:color="auto"/>
              <w:left w:val="single" w:sz="8" w:space="0" w:color="auto"/>
              <w:bottom w:val="single" w:sz="8" w:space="0" w:color="auto"/>
              <w:right w:val="single" w:sz="8" w:space="0" w:color="auto"/>
            </w:tcBorders>
            <w:vAlign w:val="center"/>
            <w:hideMark/>
          </w:tcPr>
          <w:p w14:paraId="17D24D69" w14:textId="7F2F95E1" w:rsidR="00B613D4" w:rsidRPr="00E9498D" w:rsidRDefault="006F6698" w:rsidP="00013D7D">
            <w:pPr>
              <w:spacing w:after="0" w:line="240" w:lineRule="auto"/>
              <w:jc w:val="center"/>
              <w:rPr>
                <w:rFonts w:cstheme="minorHAnsi"/>
              </w:rPr>
            </w:pPr>
            <w:r w:rsidRPr="00E9498D">
              <w:rPr>
                <w:rFonts w:cstheme="minorHAnsi"/>
              </w:rPr>
              <w:t>63</w:t>
            </w:r>
          </w:p>
        </w:tc>
        <w:tc>
          <w:tcPr>
            <w:tcW w:w="948" w:type="pct"/>
            <w:tcBorders>
              <w:top w:val="single" w:sz="8" w:space="0" w:color="auto"/>
              <w:left w:val="single" w:sz="8" w:space="0" w:color="auto"/>
              <w:bottom w:val="single" w:sz="8" w:space="0" w:color="auto"/>
              <w:right w:val="single" w:sz="8" w:space="0" w:color="auto"/>
            </w:tcBorders>
            <w:vAlign w:val="center"/>
            <w:hideMark/>
          </w:tcPr>
          <w:p w14:paraId="79F080F8" w14:textId="77777777" w:rsidR="00B613D4" w:rsidRPr="00E9498D" w:rsidRDefault="00B613D4" w:rsidP="00013D7D">
            <w:pPr>
              <w:spacing w:after="0" w:line="240" w:lineRule="auto"/>
              <w:jc w:val="center"/>
              <w:rPr>
                <w:rFonts w:cstheme="minorHAnsi"/>
              </w:rPr>
            </w:pPr>
            <w:r w:rsidRPr="00E9498D">
              <w:rPr>
                <w:rFonts w:cstheme="minorHAnsi"/>
              </w:rPr>
              <w:t>15/60</w:t>
            </w:r>
          </w:p>
        </w:tc>
        <w:tc>
          <w:tcPr>
            <w:tcW w:w="844" w:type="pct"/>
            <w:tcBorders>
              <w:top w:val="single" w:sz="8" w:space="0" w:color="auto"/>
              <w:left w:val="single" w:sz="8" w:space="0" w:color="auto"/>
              <w:bottom w:val="single" w:sz="8" w:space="0" w:color="auto"/>
              <w:right w:val="single" w:sz="12" w:space="0" w:color="auto"/>
            </w:tcBorders>
            <w:vAlign w:val="center"/>
            <w:hideMark/>
          </w:tcPr>
          <w:p w14:paraId="1A90A368" w14:textId="5F95D7BD" w:rsidR="00B613D4" w:rsidRPr="00E9498D" w:rsidRDefault="006F6698" w:rsidP="00013D7D">
            <w:pPr>
              <w:spacing w:after="0" w:line="240" w:lineRule="auto"/>
              <w:jc w:val="center"/>
              <w:rPr>
                <w:rFonts w:cstheme="minorHAnsi"/>
              </w:rPr>
            </w:pPr>
            <w:r w:rsidRPr="00E9498D">
              <w:rPr>
                <w:rFonts w:cstheme="minorHAnsi"/>
              </w:rPr>
              <w:t>142</w:t>
            </w:r>
          </w:p>
        </w:tc>
      </w:tr>
      <w:tr w:rsidR="008875CF" w:rsidRPr="00E9498D" w14:paraId="7FCE34DE" w14:textId="77777777" w:rsidTr="00013D7D">
        <w:tc>
          <w:tcPr>
            <w:tcW w:w="1454" w:type="pct"/>
            <w:tcBorders>
              <w:top w:val="single" w:sz="8" w:space="0" w:color="auto"/>
              <w:left w:val="single" w:sz="12" w:space="0" w:color="auto"/>
              <w:bottom w:val="single" w:sz="8" w:space="0" w:color="auto"/>
              <w:right w:val="single" w:sz="8" w:space="0" w:color="auto"/>
            </w:tcBorders>
            <w:vAlign w:val="center"/>
            <w:hideMark/>
          </w:tcPr>
          <w:p w14:paraId="688D3079" w14:textId="55A2D1CF" w:rsidR="00B613D4" w:rsidRPr="00E9498D" w:rsidRDefault="008875CF" w:rsidP="00013D7D">
            <w:pPr>
              <w:spacing w:after="0" w:line="240" w:lineRule="auto"/>
              <w:rPr>
                <w:rFonts w:cstheme="minorHAnsi"/>
              </w:rPr>
            </w:pPr>
            <w:r w:rsidRPr="00E9498D">
              <w:rPr>
                <w:rFonts w:cstheme="minorHAnsi"/>
              </w:rPr>
              <w:t xml:space="preserve">Individuals/households - </w:t>
            </w:r>
            <w:r w:rsidR="00EC63FB" w:rsidRPr="00E9498D">
              <w:rPr>
                <w:rFonts w:cstheme="minorHAnsi"/>
              </w:rPr>
              <w:t>International Government</w:t>
            </w:r>
          </w:p>
        </w:tc>
        <w:tc>
          <w:tcPr>
            <w:tcW w:w="757" w:type="pct"/>
            <w:tcBorders>
              <w:top w:val="single" w:sz="8" w:space="0" w:color="auto"/>
              <w:left w:val="single" w:sz="8" w:space="0" w:color="auto"/>
              <w:bottom w:val="single" w:sz="8" w:space="0" w:color="auto"/>
              <w:right w:val="single" w:sz="8" w:space="0" w:color="auto"/>
            </w:tcBorders>
            <w:vAlign w:val="center"/>
            <w:hideMark/>
          </w:tcPr>
          <w:p w14:paraId="0B898653" w14:textId="1282695F" w:rsidR="00B613D4" w:rsidRPr="00E9498D" w:rsidRDefault="00CC3228" w:rsidP="00013D7D">
            <w:pPr>
              <w:spacing w:after="0" w:line="240" w:lineRule="auto"/>
              <w:jc w:val="center"/>
              <w:rPr>
                <w:rFonts w:cstheme="minorHAnsi"/>
              </w:rPr>
            </w:pPr>
            <w:r w:rsidRPr="00E9498D">
              <w:rPr>
                <w:rFonts w:cstheme="minorHAnsi"/>
              </w:rPr>
              <w:t>1</w:t>
            </w:r>
          </w:p>
        </w:tc>
        <w:tc>
          <w:tcPr>
            <w:tcW w:w="997" w:type="pct"/>
            <w:tcBorders>
              <w:top w:val="single" w:sz="8" w:space="0" w:color="auto"/>
              <w:left w:val="single" w:sz="8" w:space="0" w:color="auto"/>
              <w:bottom w:val="single" w:sz="8" w:space="0" w:color="auto"/>
              <w:right w:val="single" w:sz="8" w:space="0" w:color="auto"/>
            </w:tcBorders>
            <w:vAlign w:val="center"/>
            <w:hideMark/>
          </w:tcPr>
          <w:p w14:paraId="35F2D500" w14:textId="301110B8" w:rsidR="00B613D4" w:rsidRPr="00E9498D" w:rsidRDefault="006F6698" w:rsidP="00013D7D">
            <w:pPr>
              <w:spacing w:after="0" w:line="240" w:lineRule="auto"/>
              <w:jc w:val="center"/>
              <w:rPr>
                <w:rFonts w:cstheme="minorHAnsi"/>
              </w:rPr>
            </w:pPr>
            <w:r w:rsidRPr="00E9498D">
              <w:rPr>
                <w:rFonts w:cstheme="minorHAnsi"/>
              </w:rPr>
              <w:t>61</w:t>
            </w:r>
          </w:p>
        </w:tc>
        <w:tc>
          <w:tcPr>
            <w:tcW w:w="948" w:type="pct"/>
            <w:tcBorders>
              <w:top w:val="single" w:sz="8" w:space="0" w:color="auto"/>
              <w:left w:val="single" w:sz="8" w:space="0" w:color="auto"/>
              <w:bottom w:val="single" w:sz="8" w:space="0" w:color="auto"/>
              <w:right w:val="single" w:sz="8" w:space="0" w:color="auto"/>
            </w:tcBorders>
            <w:vAlign w:val="center"/>
            <w:hideMark/>
          </w:tcPr>
          <w:p w14:paraId="3FE23957" w14:textId="77777777" w:rsidR="00B613D4" w:rsidRPr="00E9498D" w:rsidRDefault="00B613D4" w:rsidP="00013D7D">
            <w:pPr>
              <w:spacing w:after="0" w:line="240" w:lineRule="auto"/>
              <w:jc w:val="center"/>
              <w:rPr>
                <w:rFonts w:cstheme="minorHAnsi"/>
              </w:rPr>
            </w:pPr>
            <w:r w:rsidRPr="00E9498D">
              <w:rPr>
                <w:rFonts w:cstheme="minorHAnsi"/>
              </w:rPr>
              <w:t>15/60</w:t>
            </w:r>
          </w:p>
        </w:tc>
        <w:tc>
          <w:tcPr>
            <w:tcW w:w="844" w:type="pct"/>
            <w:tcBorders>
              <w:top w:val="single" w:sz="8" w:space="0" w:color="auto"/>
              <w:left w:val="single" w:sz="8" w:space="0" w:color="auto"/>
              <w:bottom w:val="single" w:sz="8" w:space="0" w:color="auto"/>
              <w:right w:val="single" w:sz="12" w:space="0" w:color="auto"/>
            </w:tcBorders>
            <w:vAlign w:val="center"/>
            <w:hideMark/>
          </w:tcPr>
          <w:p w14:paraId="64BE9E5D" w14:textId="19BB26F5" w:rsidR="00B613D4" w:rsidRPr="00E9498D" w:rsidRDefault="006F6698" w:rsidP="00013D7D">
            <w:pPr>
              <w:spacing w:after="0" w:line="240" w:lineRule="auto"/>
              <w:jc w:val="center"/>
              <w:rPr>
                <w:rFonts w:cstheme="minorHAnsi"/>
              </w:rPr>
            </w:pPr>
            <w:r w:rsidRPr="00E9498D">
              <w:rPr>
                <w:rFonts w:cstheme="minorHAnsi"/>
              </w:rPr>
              <w:t>15</w:t>
            </w:r>
          </w:p>
        </w:tc>
      </w:tr>
      <w:tr w:rsidR="008875CF" w:rsidRPr="00E9498D" w14:paraId="137439B0" w14:textId="77777777" w:rsidTr="00013D7D">
        <w:trPr>
          <w:trHeight w:val="844"/>
        </w:trPr>
        <w:tc>
          <w:tcPr>
            <w:tcW w:w="1454" w:type="pct"/>
            <w:tcBorders>
              <w:top w:val="single" w:sz="8" w:space="0" w:color="auto"/>
              <w:left w:val="single" w:sz="12" w:space="0" w:color="auto"/>
              <w:bottom w:val="single" w:sz="8" w:space="0" w:color="auto"/>
              <w:right w:val="single" w:sz="8" w:space="0" w:color="auto"/>
            </w:tcBorders>
            <w:vAlign w:val="center"/>
            <w:hideMark/>
          </w:tcPr>
          <w:p w14:paraId="24CF15BF" w14:textId="696B73A9" w:rsidR="00B613D4" w:rsidRPr="00E9498D" w:rsidRDefault="008875CF" w:rsidP="00013D7D">
            <w:pPr>
              <w:spacing w:after="0" w:line="240" w:lineRule="auto"/>
              <w:rPr>
                <w:rFonts w:cstheme="minorHAnsi"/>
              </w:rPr>
            </w:pPr>
            <w:r w:rsidRPr="00E9498D">
              <w:rPr>
                <w:rFonts w:cstheme="minorHAnsi"/>
              </w:rPr>
              <w:t xml:space="preserve">Individuals/households - </w:t>
            </w:r>
            <w:r w:rsidR="00EC63FB" w:rsidRPr="00E9498D">
              <w:rPr>
                <w:rFonts w:cstheme="minorHAnsi"/>
              </w:rPr>
              <w:t>International Private</w:t>
            </w:r>
          </w:p>
        </w:tc>
        <w:tc>
          <w:tcPr>
            <w:tcW w:w="757" w:type="pct"/>
            <w:tcBorders>
              <w:top w:val="single" w:sz="8" w:space="0" w:color="auto"/>
              <w:left w:val="single" w:sz="8" w:space="0" w:color="auto"/>
              <w:bottom w:val="single" w:sz="8" w:space="0" w:color="auto"/>
              <w:right w:val="single" w:sz="8" w:space="0" w:color="auto"/>
            </w:tcBorders>
            <w:vAlign w:val="center"/>
            <w:hideMark/>
          </w:tcPr>
          <w:p w14:paraId="378205D9" w14:textId="3BD23CC0" w:rsidR="00B613D4" w:rsidRPr="00E9498D" w:rsidRDefault="006F6698" w:rsidP="00013D7D">
            <w:pPr>
              <w:spacing w:after="0" w:line="240" w:lineRule="auto"/>
              <w:jc w:val="center"/>
              <w:rPr>
                <w:rFonts w:cstheme="minorHAnsi"/>
              </w:rPr>
            </w:pPr>
            <w:r w:rsidRPr="00E9498D">
              <w:rPr>
                <w:rFonts w:cstheme="minorHAnsi"/>
              </w:rPr>
              <w:t>2</w:t>
            </w:r>
          </w:p>
        </w:tc>
        <w:tc>
          <w:tcPr>
            <w:tcW w:w="997" w:type="pct"/>
            <w:tcBorders>
              <w:top w:val="single" w:sz="8" w:space="0" w:color="auto"/>
              <w:left w:val="single" w:sz="8" w:space="0" w:color="auto"/>
              <w:bottom w:val="single" w:sz="8" w:space="0" w:color="auto"/>
              <w:right w:val="single" w:sz="8" w:space="0" w:color="auto"/>
            </w:tcBorders>
            <w:vAlign w:val="center"/>
            <w:hideMark/>
          </w:tcPr>
          <w:p w14:paraId="122717EC" w14:textId="0B7170FD" w:rsidR="00B613D4" w:rsidRPr="00E9498D" w:rsidRDefault="006F6698" w:rsidP="00013D7D">
            <w:pPr>
              <w:spacing w:after="0" w:line="240" w:lineRule="auto"/>
              <w:jc w:val="center"/>
              <w:rPr>
                <w:rFonts w:cstheme="minorHAnsi"/>
              </w:rPr>
            </w:pPr>
            <w:r w:rsidRPr="00E9498D">
              <w:rPr>
                <w:rFonts w:cstheme="minorHAnsi"/>
              </w:rPr>
              <w:t>13</w:t>
            </w:r>
          </w:p>
        </w:tc>
        <w:tc>
          <w:tcPr>
            <w:tcW w:w="948" w:type="pct"/>
            <w:tcBorders>
              <w:top w:val="single" w:sz="8" w:space="0" w:color="auto"/>
              <w:left w:val="single" w:sz="8" w:space="0" w:color="auto"/>
              <w:bottom w:val="single" w:sz="8" w:space="0" w:color="auto"/>
              <w:right w:val="single" w:sz="8" w:space="0" w:color="auto"/>
            </w:tcBorders>
            <w:vAlign w:val="center"/>
            <w:hideMark/>
          </w:tcPr>
          <w:p w14:paraId="00CD7428" w14:textId="77777777" w:rsidR="00B613D4" w:rsidRPr="00E9498D" w:rsidRDefault="00B613D4" w:rsidP="00013D7D">
            <w:pPr>
              <w:spacing w:after="0" w:line="240" w:lineRule="auto"/>
              <w:jc w:val="center"/>
              <w:rPr>
                <w:rFonts w:cstheme="minorHAnsi"/>
              </w:rPr>
            </w:pPr>
            <w:r w:rsidRPr="00E9498D">
              <w:rPr>
                <w:rFonts w:cstheme="minorHAnsi"/>
              </w:rPr>
              <w:t>15/60</w:t>
            </w:r>
          </w:p>
        </w:tc>
        <w:tc>
          <w:tcPr>
            <w:tcW w:w="844" w:type="pct"/>
            <w:tcBorders>
              <w:top w:val="single" w:sz="8" w:space="0" w:color="auto"/>
              <w:left w:val="single" w:sz="8" w:space="0" w:color="auto"/>
              <w:bottom w:val="single" w:sz="8" w:space="0" w:color="auto"/>
              <w:right w:val="single" w:sz="12" w:space="0" w:color="auto"/>
            </w:tcBorders>
            <w:vAlign w:val="center"/>
            <w:hideMark/>
          </w:tcPr>
          <w:p w14:paraId="64EDD794" w14:textId="1A084838" w:rsidR="00B613D4" w:rsidRPr="00E9498D" w:rsidRDefault="006F6698" w:rsidP="00013D7D">
            <w:pPr>
              <w:spacing w:after="0" w:line="240" w:lineRule="auto"/>
              <w:jc w:val="center"/>
              <w:rPr>
                <w:rFonts w:cstheme="minorHAnsi"/>
              </w:rPr>
            </w:pPr>
            <w:r w:rsidRPr="00E9498D">
              <w:rPr>
                <w:rFonts w:cstheme="minorHAnsi"/>
              </w:rPr>
              <w:t>7</w:t>
            </w:r>
          </w:p>
        </w:tc>
      </w:tr>
      <w:tr w:rsidR="008875CF" w:rsidRPr="00E9498D" w14:paraId="4D7D260C" w14:textId="77777777" w:rsidTr="00013D7D">
        <w:tc>
          <w:tcPr>
            <w:tcW w:w="1454" w:type="pct"/>
            <w:tcBorders>
              <w:top w:val="single" w:sz="8" w:space="0" w:color="auto"/>
              <w:left w:val="single" w:sz="12" w:space="0" w:color="auto"/>
              <w:bottom w:val="single" w:sz="12" w:space="0" w:color="auto"/>
              <w:right w:val="single" w:sz="8" w:space="0" w:color="auto"/>
            </w:tcBorders>
            <w:vAlign w:val="center"/>
            <w:hideMark/>
          </w:tcPr>
          <w:p w14:paraId="6CD5C99C" w14:textId="4AC7498F" w:rsidR="00B613D4" w:rsidRPr="00E9498D" w:rsidRDefault="00B613D4" w:rsidP="00013D7D">
            <w:pPr>
              <w:spacing w:after="0" w:line="240" w:lineRule="auto"/>
              <w:rPr>
                <w:rFonts w:cstheme="minorHAnsi"/>
              </w:rPr>
            </w:pPr>
            <w:r w:rsidRPr="00E9498D">
              <w:rPr>
                <w:rFonts w:cstheme="minorHAnsi"/>
              </w:rPr>
              <w:t>T</w:t>
            </w:r>
            <w:r w:rsidR="009646E0" w:rsidRPr="00E9498D">
              <w:rPr>
                <w:rFonts w:cstheme="minorHAnsi"/>
              </w:rPr>
              <w:t>OTAL</w:t>
            </w:r>
          </w:p>
        </w:tc>
        <w:tc>
          <w:tcPr>
            <w:tcW w:w="757" w:type="pct"/>
            <w:tcBorders>
              <w:top w:val="single" w:sz="8" w:space="0" w:color="auto"/>
              <w:left w:val="single" w:sz="8" w:space="0" w:color="auto"/>
              <w:bottom w:val="single" w:sz="12" w:space="0" w:color="auto"/>
              <w:right w:val="single" w:sz="8" w:space="0" w:color="auto"/>
            </w:tcBorders>
            <w:vAlign w:val="center"/>
            <w:hideMark/>
          </w:tcPr>
          <w:p w14:paraId="60A45A1C" w14:textId="60659BAD" w:rsidR="00B613D4" w:rsidRPr="00E9498D" w:rsidRDefault="00A90EFA" w:rsidP="00013D7D">
            <w:pPr>
              <w:spacing w:after="0" w:line="240" w:lineRule="auto"/>
              <w:jc w:val="center"/>
              <w:rPr>
                <w:rFonts w:cstheme="minorHAnsi"/>
              </w:rPr>
            </w:pPr>
            <w:r>
              <w:rPr>
                <w:rFonts w:cstheme="minorHAnsi"/>
              </w:rPr>
              <w:t>37</w:t>
            </w:r>
          </w:p>
        </w:tc>
        <w:tc>
          <w:tcPr>
            <w:tcW w:w="997" w:type="pct"/>
            <w:tcBorders>
              <w:top w:val="single" w:sz="8" w:space="0" w:color="auto"/>
              <w:left w:val="single" w:sz="8" w:space="0" w:color="auto"/>
              <w:bottom w:val="single" w:sz="12" w:space="0" w:color="auto"/>
              <w:right w:val="single" w:sz="8" w:space="0" w:color="auto"/>
            </w:tcBorders>
            <w:vAlign w:val="center"/>
            <w:hideMark/>
          </w:tcPr>
          <w:p w14:paraId="1C21C881" w14:textId="6C903538" w:rsidR="00B613D4" w:rsidRPr="00E9498D" w:rsidRDefault="00470E81" w:rsidP="00013D7D">
            <w:pPr>
              <w:spacing w:after="0" w:line="240" w:lineRule="auto"/>
              <w:jc w:val="center"/>
              <w:rPr>
                <w:rFonts w:cstheme="minorHAnsi"/>
              </w:rPr>
            </w:pPr>
            <w:r>
              <w:rPr>
                <w:rFonts w:cstheme="minorHAnsi"/>
              </w:rPr>
              <w:t>2854</w:t>
            </w:r>
          </w:p>
        </w:tc>
        <w:tc>
          <w:tcPr>
            <w:tcW w:w="948" w:type="pct"/>
            <w:tcBorders>
              <w:top w:val="single" w:sz="8" w:space="0" w:color="auto"/>
              <w:left w:val="single" w:sz="8" w:space="0" w:color="auto"/>
              <w:bottom w:val="single" w:sz="12" w:space="0" w:color="auto"/>
              <w:right w:val="single" w:sz="8" w:space="0" w:color="auto"/>
            </w:tcBorders>
            <w:vAlign w:val="center"/>
          </w:tcPr>
          <w:p w14:paraId="5715B8A8" w14:textId="55DEBE18" w:rsidR="00B613D4" w:rsidRPr="00E9498D" w:rsidRDefault="00B613D4" w:rsidP="00013D7D">
            <w:pPr>
              <w:spacing w:after="0" w:line="240" w:lineRule="auto"/>
              <w:jc w:val="center"/>
              <w:rPr>
                <w:rFonts w:cstheme="minorHAnsi"/>
              </w:rPr>
            </w:pPr>
          </w:p>
        </w:tc>
        <w:tc>
          <w:tcPr>
            <w:tcW w:w="844" w:type="pct"/>
            <w:tcBorders>
              <w:top w:val="single" w:sz="8" w:space="0" w:color="auto"/>
              <w:left w:val="single" w:sz="8" w:space="0" w:color="auto"/>
              <w:bottom w:val="single" w:sz="12" w:space="0" w:color="auto"/>
              <w:right w:val="single" w:sz="12" w:space="0" w:color="auto"/>
            </w:tcBorders>
            <w:vAlign w:val="center"/>
            <w:hideMark/>
          </w:tcPr>
          <w:p w14:paraId="7759DCEB" w14:textId="14C44510" w:rsidR="00B613D4" w:rsidRPr="00E9498D" w:rsidRDefault="006F6698" w:rsidP="00013D7D">
            <w:pPr>
              <w:spacing w:after="0" w:line="240" w:lineRule="auto"/>
              <w:jc w:val="center"/>
              <w:rPr>
                <w:rFonts w:cstheme="minorHAnsi"/>
              </w:rPr>
            </w:pPr>
            <w:r w:rsidRPr="00E9498D">
              <w:rPr>
                <w:rFonts w:cstheme="minorHAnsi"/>
              </w:rPr>
              <w:t>7</w:t>
            </w:r>
            <w:r w:rsidR="00FE7DCD" w:rsidRPr="00E9498D">
              <w:rPr>
                <w:rFonts w:cstheme="minorHAnsi"/>
              </w:rPr>
              <w:t>14</w:t>
            </w:r>
          </w:p>
        </w:tc>
      </w:tr>
    </w:tbl>
    <w:p w14:paraId="119F6D2B" w14:textId="4EA9C39E" w:rsidR="00976490" w:rsidRPr="00E9498D" w:rsidRDefault="00976490" w:rsidP="00784374">
      <w:pPr>
        <w:spacing w:after="0" w:line="480" w:lineRule="auto"/>
        <w:rPr>
          <w:rFonts w:cstheme="minorHAnsi"/>
          <w:sz w:val="24"/>
          <w:szCs w:val="24"/>
        </w:rPr>
      </w:pPr>
    </w:p>
    <w:p w14:paraId="4CC3EA16" w14:textId="61C25924" w:rsidR="00EE245F" w:rsidRPr="00E9498D" w:rsidRDefault="005C4013" w:rsidP="00784374">
      <w:pPr>
        <w:spacing w:after="0" w:line="480" w:lineRule="auto"/>
        <w:rPr>
          <w:rFonts w:eastAsia="Times New Roman" w:cstheme="minorHAnsi"/>
          <w:b/>
          <w:color w:val="000000" w:themeColor="text1"/>
          <w:sz w:val="24"/>
          <w:szCs w:val="24"/>
        </w:rPr>
      </w:pPr>
      <w:r w:rsidRPr="00E9498D">
        <w:rPr>
          <w:rFonts w:eastAsia="Times New Roman" w:cstheme="minorHAnsi"/>
          <w:b/>
          <w:color w:val="000000" w:themeColor="text1"/>
          <w:sz w:val="24"/>
          <w:szCs w:val="24"/>
        </w:rPr>
        <w:t xml:space="preserve">A.12-2   </w:t>
      </w:r>
      <w:r w:rsidR="00BF491C" w:rsidRPr="00E9498D">
        <w:rPr>
          <w:rFonts w:eastAsia="Times New Roman" w:cstheme="minorHAnsi"/>
          <w:b/>
          <w:color w:val="000000" w:themeColor="text1"/>
          <w:sz w:val="24"/>
          <w:szCs w:val="24"/>
        </w:rPr>
        <w:t>Annual</w:t>
      </w:r>
      <w:r w:rsidR="00013D7D" w:rsidRPr="00E9498D">
        <w:rPr>
          <w:rFonts w:eastAsia="Times New Roman" w:cstheme="minorHAnsi"/>
          <w:b/>
          <w:color w:val="000000" w:themeColor="text1"/>
          <w:sz w:val="24"/>
          <w:szCs w:val="24"/>
        </w:rPr>
        <w:t>ized</w:t>
      </w:r>
      <w:r w:rsidR="00BF491C" w:rsidRPr="00E9498D">
        <w:rPr>
          <w:rFonts w:eastAsia="Times New Roman" w:cstheme="minorHAnsi"/>
          <w:b/>
          <w:color w:val="000000" w:themeColor="text1"/>
          <w:sz w:val="24"/>
          <w:szCs w:val="24"/>
        </w:rPr>
        <w:t xml:space="preserve"> Cost to </w:t>
      </w:r>
      <w:r w:rsidR="00013D7D" w:rsidRPr="00E9498D">
        <w:rPr>
          <w:rFonts w:eastAsia="Times New Roman" w:cstheme="minorHAnsi"/>
          <w:b/>
          <w:color w:val="000000" w:themeColor="text1"/>
          <w:sz w:val="24"/>
          <w:szCs w:val="24"/>
        </w:rPr>
        <w:t>R</w:t>
      </w:r>
      <w:r w:rsidR="00BF491C" w:rsidRPr="00E9498D">
        <w:rPr>
          <w:rFonts w:eastAsia="Times New Roman" w:cstheme="minorHAnsi"/>
          <w:b/>
          <w:color w:val="000000" w:themeColor="text1"/>
          <w:sz w:val="24"/>
          <w:szCs w:val="24"/>
        </w:rPr>
        <w:t>espondent</w:t>
      </w:r>
    </w:p>
    <w:p w14:paraId="0ED6CB35" w14:textId="77777777" w:rsidR="00B613D4" w:rsidRPr="00E9498D" w:rsidRDefault="00B613D4" w:rsidP="00784374">
      <w:pPr>
        <w:spacing w:after="0" w:line="480" w:lineRule="auto"/>
        <w:ind w:firstLine="720"/>
        <w:rPr>
          <w:rFonts w:cstheme="minorHAnsi"/>
          <w:sz w:val="24"/>
          <w:szCs w:val="24"/>
        </w:rPr>
      </w:pPr>
      <w:r w:rsidRPr="00E9498D">
        <w:rPr>
          <w:rFonts w:cstheme="minorHAnsi"/>
          <w:color w:val="000000"/>
          <w:sz w:val="24"/>
          <w:szCs w:val="24"/>
        </w:rPr>
        <w:t>The response burden estimates in Table A.12-1 were used to calculate the annualized costs to the respondents, which are shown in Table A.12-2 below.</w:t>
      </w:r>
    </w:p>
    <w:p w14:paraId="69B52A05" w14:textId="4E76F360" w:rsidR="00CF36BD" w:rsidRPr="00E9498D" w:rsidRDefault="00B93C77" w:rsidP="008166CB">
      <w:pPr>
        <w:spacing w:after="0" w:line="480" w:lineRule="auto"/>
        <w:jc w:val="center"/>
        <w:rPr>
          <w:rFonts w:cstheme="minorHAnsi"/>
          <w:sz w:val="24"/>
          <w:szCs w:val="24"/>
          <w:u w:val="single"/>
        </w:rPr>
      </w:pPr>
      <w:r w:rsidRPr="00E9498D">
        <w:rPr>
          <w:rFonts w:cstheme="minorHAnsi"/>
          <w:sz w:val="24"/>
          <w:szCs w:val="24"/>
          <w:u w:val="single"/>
        </w:rPr>
        <w:t xml:space="preserve">Table </w:t>
      </w:r>
      <w:r w:rsidR="00C519B1" w:rsidRPr="00E9498D">
        <w:rPr>
          <w:rFonts w:cstheme="minorHAnsi"/>
          <w:sz w:val="24"/>
          <w:szCs w:val="24"/>
          <w:u w:val="single"/>
        </w:rPr>
        <w:t>A.</w:t>
      </w:r>
      <w:r w:rsidRPr="00E9498D">
        <w:rPr>
          <w:rFonts w:cstheme="minorHAnsi"/>
          <w:sz w:val="24"/>
          <w:szCs w:val="24"/>
          <w:u w:val="single"/>
        </w:rPr>
        <w:t>12-2 Annualized Cost to Respondents</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2200"/>
        <w:gridCol w:w="2199"/>
        <w:gridCol w:w="2798"/>
      </w:tblGrid>
      <w:tr w:rsidR="00013D7D" w:rsidRPr="00E9498D" w14:paraId="3F10C616" w14:textId="77777777" w:rsidTr="00013D7D">
        <w:trPr>
          <w:trHeight w:val="1178"/>
        </w:trPr>
        <w:tc>
          <w:tcPr>
            <w:tcW w:w="1439" w:type="pct"/>
            <w:tcBorders>
              <w:top w:val="single" w:sz="4" w:space="0" w:color="auto"/>
              <w:left w:val="single" w:sz="12" w:space="0" w:color="auto"/>
              <w:bottom w:val="single" w:sz="4" w:space="0" w:color="auto"/>
              <w:right w:val="single" w:sz="4" w:space="0" w:color="auto"/>
            </w:tcBorders>
            <w:shd w:val="clear" w:color="auto" w:fill="BFBFBF"/>
            <w:vAlign w:val="center"/>
            <w:hideMark/>
          </w:tcPr>
          <w:p w14:paraId="7D0F2354" w14:textId="409A6D14" w:rsidR="008875CF" w:rsidRPr="00E9498D" w:rsidRDefault="008875CF" w:rsidP="00013D7D">
            <w:pPr>
              <w:keepNext/>
              <w:spacing w:after="0" w:line="240" w:lineRule="auto"/>
              <w:jc w:val="center"/>
              <w:rPr>
                <w:rFonts w:cstheme="minorHAnsi"/>
              </w:rPr>
            </w:pPr>
            <w:r w:rsidRPr="00E9498D">
              <w:rPr>
                <w:rFonts w:cstheme="minorHAnsi"/>
              </w:rPr>
              <w:t xml:space="preserve">Type of Respondents </w:t>
            </w:r>
          </w:p>
        </w:tc>
        <w:tc>
          <w:tcPr>
            <w:tcW w:w="1088" w:type="pct"/>
            <w:tcBorders>
              <w:top w:val="single" w:sz="4" w:space="0" w:color="auto"/>
              <w:left w:val="single" w:sz="4" w:space="0" w:color="auto"/>
              <w:bottom w:val="single" w:sz="4" w:space="0" w:color="auto"/>
              <w:right w:val="single" w:sz="4" w:space="0" w:color="auto"/>
            </w:tcBorders>
            <w:shd w:val="clear" w:color="auto" w:fill="BFBFBF"/>
            <w:vAlign w:val="center"/>
          </w:tcPr>
          <w:p w14:paraId="6E9B88A8" w14:textId="59BF3F43" w:rsidR="008875CF" w:rsidRPr="00E9498D" w:rsidRDefault="00013D7D" w:rsidP="00013D7D">
            <w:pPr>
              <w:keepNext/>
              <w:spacing w:after="0" w:line="240" w:lineRule="auto"/>
              <w:jc w:val="center"/>
              <w:rPr>
                <w:rFonts w:cstheme="minorHAnsi"/>
              </w:rPr>
            </w:pPr>
            <w:r w:rsidRPr="00E9498D">
              <w:rPr>
                <w:rFonts w:cstheme="minorHAnsi"/>
              </w:rPr>
              <w:t>Total Burden</w:t>
            </w:r>
            <w:r w:rsidR="008875CF" w:rsidRPr="00E9498D">
              <w:rPr>
                <w:rFonts w:cstheme="minorHAnsi"/>
              </w:rPr>
              <w:t xml:space="preserve"> Hours</w:t>
            </w:r>
          </w:p>
        </w:tc>
        <w:tc>
          <w:tcPr>
            <w:tcW w:w="108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86FCF5" w14:textId="1C458AA3" w:rsidR="008875CF" w:rsidRPr="00E9498D" w:rsidRDefault="008875CF" w:rsidP="00013D7D">
            <w:pPr>
              <w:keepNext/>
              <w:spacing w:after="0" w:line="240" w:lineRule="auto"/>
              <w:jc w:val="center"/>
              <w:rPr>
                <w:rFonts w:cstheme="minorHAnsi"/>
              </w:rPr>
            </w:pPr>
            <w:r w:rsidRPr="00E9498D">
              <w:rPr>
                <w:rFonts w:cstheme="minorHAnsi"/>
              </w:rPr>
              <w:t>Hourly Wage Rate</w:t>
            </w:r>
            <w:r w:rsidRPr="00E9498D">
              <w:rPr>
                <w:rStyle w:val="FootnoteReference"/>
                <w:rFonts w:cstheme="minorHAnsi"/>
              </w:rPr>
              <w:t>*</w:t>
            </w:r>
          </w:p>
        </w:tc>
        <w:tc>
          <w:tcPr>
            <w:tcW w:w="1384" w:type="pct"/>
            <w:tcBorders>
              <w:top w:val="single" w:sz="4" w:space="0" w:color="auto"/>
              <w:left w:val="single" w:sz="4" w:space="0" w:color="auto"/>
              <w:bottom w:val="single" w:sz="4" w:space="0" w:color="auto"/>
              <w:right w:val="single" w:sz="12" w:space="0" w:color="auto"/>
            </w:tcBorders>
            <w:shd w:val="clear" w:color="auto" w:fill="BFBFBF"/>
            <w:vAlign w:val="center"/>
            <w:hideMark/>
          </w:tcPr>
          <w:p w14:paraId="27A34EBF" w14:textId="77777777" w:rsidR="008875CF" w:rsidRPr="00E9498D" w:rsidRDefault="008875CF" w:rsidP="00013D7D">
            <w:pPr>
              <w:keepNext/>
              <w:spacing w:after="0" w:line="240" w:lineRule="auto"/>
              <w:jc w:val="center"/>
              <w:rPr>
                <w:rFonts w:cstheme="minorHAnsi"/>
              </w:rPr>
            </w:pPr>
            <w:r w:rsidRPr="00E9498D">
              <w:rPr>
                <w:rFonts w:cstheme="minorHAnsi"/>
              </w:rPr>
              <w:t>Total Respondent Cost</w:t>
            </w:r>
          </w:p>
        </w:tc>
      </w:tr>
      <w:tr w:rsidR="00013D7D" w:rsidRPr="00E9498D" w14:paraId="381C1364" w14:textId="77777777" w:rsidTr="00013D7D">
        <w:trPr>
          <w:trHeight w:val="593"/>
        </w:trPr>
        <w:tc>
          <w:tcPr>
            <w:tcW w:w="1439" w:type="pct"/>
            <w:tcBorders>
              <w:top w:val="single" w:sz="4" w:space="0" w:color="auto"/>
              <w:left w:val="single" w:sz="12" w:space="0" w:color="auto"/>
              <w:bottom w:val="single" w:sz="4" w:space="0" w:color="auto"/>
              <w:right w:val="single" w:sz="4" w:space="0" w:color="auto"/>
            </w:tcBorders>
            <w:vAlign w:val="center"/>
            <w:hideMark/>
          </w:tcPr>
          <w:p w14:paraId="018C0586" w14:textId="77777777" w:rsidR="008875CF" w:rsidRPr="00E9498D" w:rsidRDefault="008875CF" w:rsidP="00013D7D">
            <w:pPr>
              <w:spacing w:after="0" w:line="240" w:lineRule="auto"/>
              <w:rPr>
                <w:rFonts w:cstheme="minorHAnsi"/>
              </w:rPr>
            </w:pPr>
            <w:r w:rsidRPr="00E9498D">
              <w:rPr>
                <w:rFonts w:cstheme="minorHAnsi"/>
              </w:rPr>
              <w:t>U.S. Federal</w:t>
            </w:r>
          </w:p>
        </w:tc>
        <w:tc>
          <w:tcPr>
            <w:tcW w:w="1088" w:type="pct"/>
            <w:tcBorders>
              <w:top w:val="single" w:sz="4" w:space="0" w:color="auto"/>
              <w:left w:val="single" w:sz="4" w:space="0" w:color="auto"/>
              <w:bottom w:val="single" w:sz="4" w:space="0" w:color="auto"/>
              <w:right w:val="single" w:sz="4" w:space="0" w:color="auto"/>
            </w:tcBorders>
            <w:vAlign w:val="center"/>
          </w:tcPr>
          <w:p w14:paraId="41A7447A" w14:textId="35869BBE" w:rsidR="008875CF" w:rsidRPr="00E9498D" w:rsidRDefault="008875CF" w:rsidP="00013D7D">
            <w:pPr>
              <w:spacing w:after="0" w:line="240" w:lineRule="auto"/>
              <w:jc w:val="center"/>
              <w:rPr>
                <w:rFonts w:cstheme="minorHAnsi"/>
              </w:rPr>
            </w:pPr>
            <w:r w:rsidRPr="00E9498D">
              <w:rPr>
                <w:rFonts w:cstheme="minorHAnsi"/>
              </w:rPr>
              <w:t>550</w:t>
            </w:r>
          </w:p>
        </w:tc>
        <w:tc>
          <w:tcPr>
            <w:tcW w:w="1088" w:type="pct"/>
            <w:tcBorders>
              <w:top w:val="single" w:sz="4" w:space="0" w:color="auto"/>
              <w:left w:val="single" w:sz="4" w:space="0" w:color="auto"/>
              <w:bottom w:val="single" w:sz="4" w:space="0" w:color="auto"/>
              <w:right w:val="single" w:sz="4" w:space="0" w:color="auto"/>
            </w:tcBorders>
            <w:vAlign w:val="center"/>
            <w:hideMark/>
          </w:tcPr>
          <w:p w14:paraId="0C70853B" w14:textId="7F577446" w:rsidR="008875CF" w:rsidRPr="00E9498D" w:rsidRDefault="008875CF" w:rsidP="00013D7D">
            <w:pPr>
              <w:spacing w:after="0" w:line="240" w:lineRule="auto"/>
              <w:jc w:val="center"/>
              <w:rPr>
                <w:rFonts w:cstheme="minorHAnsi"/>
              </w:rPr>
            </w:pPr>
            <w:r w:rsidRPr="00E9498D">
              <w:rPr>
                <w:rFonts w:cstheme="minorHAnsi"/>
              </w:rPr>
              <w:t>$36.62</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3B3E9C5" w14:textId="1958507E" w:rsidR="008875CF" w:rsidRPr="00E9498D" w:rsidRDefault="008875CF" w:rsidP="00013D7D">
            <w:pPr>
              <w:spacing w:after="0" w:line="240" w:lineRule="auto"/>
              <w:jc w:val="center"/>
              <w:rPr>
                <w:rFonts w:cstheme="minorHAnsi"/>
              </w:rPr>
            </w:pPr>
            <w:r w:rsidRPr="00E9498D">
              <w:rPr>
                <w:rFonts w:cstheme="minorHAnsi"/>
              </w:rPr>
              <w:t>$20,141</w:t>
            </w:r>
          </w:p>
        </w:tc>
      </w:tr>
      <w:tr w:rsidR="00013D7D" w:rsidRPr="00E9498D" w14:paraId="041CD166" w14:textId="77777777" w:rsidTr="00013D7D">
        <w:trPr>
          <w:trHeight w:val="593"/>
        </w:trPr>
        <w:tc>
          <w:tcPr>
            <w:tcW w:w="1439" w:type="pct"/>
            <w:tcBorders>
              <w:top w:val="single" w:sz="4" w:space="0" w:color="auto"/>
              <w:left w:val="single" w:sz="12" w:space="0" w:color="auto"/>
              <w:bottom w:val="single" w:sz="4" w:space="0" w:color="auto"/>
              <w:right w:val="single" w:sz="4" w:space="0" w:color="auto"/>
            </w:tcBorders>
            <w:vAlign w:val="center"/>
            <w:hideMark/>
          </w:tcPr>
          <w:p w14:paraId="2820C197" w14:textId="77777777" w:rsidR="008875CF" w:rsidRPr="00E9498D" w:rsidRDefault="008875CF" w:rsidP="00013D7D">
            <w:pPr>
              <w:spacing w:after="0" w:line="240" w:lineRule="auto"/>
              <w:rPr>
                <w:rFonts w:cstheme="minorHAnsi"/>
              </w:rPr>
            </w:pPr>
            <w:r w:rsidRPr="00E9498D">
              <w:rPr>
                <w:rFonts w:cstheme="minorHAnsi"/>
              </w:rPr>
              <w:t>U.S. Private</w:t>
            </w:r>
          </w:p>
        </w:tc>
        <w:tc>
          <w:tcPr>
            <w:tcW w:w="1088" w:type="pct"/>
            <w:tcBorders>
              <w:top w:val="single" w:sz="4" w:space="0" w:color="auto"/>
              <w:left w:val="single" w:sz="4" w:space="0" w:color="auto"/>
              <w:bottom w:val="single" w:sz="4" w:space="0" w:color="auto"/>
              <w:right w:val="single" w:sz="4" w:space="0" w:color="auto"/>
            </w:tcBorders>
            <w:vAlign w:val="center"/>
          </w:tcPr>
          <w:p w14:paraId="5C6C383E" w14:textId="0811AB28" w:rsidR="008875CF" w:rsidRPr="00E9498D" w:rsidRDefault="008875CF" w:rsidP="00013D7D">
            <w:pPr>
              <w:spacing w:after="0" w:line="240" w:lineRule="auto"/>
              <w:jc w:val="center"/>
              <w:rPr>
                <w:rFonts w:cstheme="minorHAnsi"/>
              </w:rPr>
            </w:pPr>
            <w:r w:rsidRPr="00E9498D">
              <w:rPr>
                <w:rFonts w:cstheme="minorHAnsi"/>
              </w:rPr>
              <w:t>142</w:t>
            </w:r>
          </w:p>
        </w:tc>
        <w:tc>
          <w:tcPr>
            <w:tcW w:w="1088" w:type="pct"/>
            <w:tcBorders>
              <w:top w:val="single" w:sz="4" w:space="0" w:color="auto"/>
              <w:left w:val="single" w:sz="4" w:space="0" w:color="auto"/>
              <w:bottom w:val="single" w:sz="4" w:space="0" w:color="auto"/>
              <w:right w:val="single" w:sz="4" w:space="0" w:color="auto"/>
            </w:tcBorders>
            <w:vAlign w:val="center"/>
            <w:hideMark/>
          </w:tcPr>
          <w:p w14:paraId="3C62154B" w14:textId="6C14B8BA" w:rsidR="008875CF" w:rsidRPr="00E9498D" w:rsidRDefault="008875CF" w:rsidP="00013D7D">
            <w:pPr>
              <w:spacing w:after="0" w:line="240" w:lineRule="auto"/>
              <w:jc w:val="center"/>
              <w:rPr>
                <w:rFonts w:cstheme="minorHAnsi"/>
              </w:rPr>
            </w:pPr>
            <w:r w:rsidRPr="00E9498D">
              <w:rPr>
                <w:rFonts w:cstheme="minorHAnsi"/>
              </w:rPr>
              <w:t>$36.62</w:t>
            </w:r>
          </w:p>
        </w:tc>
        <w:tc>
          <w:tcPr>
            <w:tcW w:w="1384" w:type="pct"/>
            <w:tcBorders>
              <w:top w:val="single" w:sz="4" w:space="0" w:color="auto"/>
              <w:left w:val="single" w:sz="4" w:space="0" w:color="auto"/>
              <w:bottom w:val="single" w:sz="4" w:space="0" w:color="auto"/>
              <w:right w:val="single" w:sz="12" w:space="0" w:color="auto"/>
            </w:tcBorders>
            <w:vAlign w:val="center"/>
            <w:hideMark/>
          </w:tcPr>
          <w:p w14:paraId="19D7BA8F" w14:textId="71FFB84B" w:rsidR="008875CF" w:rsidRPr="00E9498D" w:rsidRDefault="008875CF" w:rsidP="00013D7D">
            <w:pPr>
              <w:spacing w:after="0" w:line="240" w:lineRule="auto"/>
              <w:jc w:val="center"/>
              <w:rPr>
                <w:rFonts w:cstheme="minorHAnsi"/>
              </w:rPr>
            </w:pPr>
            <w:r w:rsidRPr="00E9498D">
              <w:rPr>
                <w:rFonts w:cstheme="minorHAnsi"/>
              </w:rPr>
              <w:t>$5,200</w:t>
            </w:r>
          </w:p>
        </w:tc>
      </w:tr>
      <w:tr w:rsidR="00013D7D" w:rsidRPr="00E9498D" w14:paraId="63D3FEC5" w14:textId="77777777" w:rsidTr="00013D7D">
        <w:trPr>
          <w:trHeight w:val="593"/>
        </w:trPr>
        <w:tc>
          <w:tcPr>
            <w:tcW w:w="1439" w:type="pct"/>
            <w:tcBorders>
              <w:top w:val="single" w:sz="4" w:space="0" w:color="auto"/>
              <w:left w:val="single" w:sz="12" w:space="0" w:color="auto"/>
              <w:bottom w:val="single" w:sz="4" w:space="0" w:color="auto"/>
              <w:right w:val="single" w:sz="4" w:space="0" w:color="auto"/>
            </w:tcBorders>
            <w:vAlign w:val="center"/>
            <w:hideMark/>
          </w:tcPr>
          <w:p w14:paraId="6099FA8A" w14:textId="7248F64F" w:rsidR="008875CF" w:rsidRPr="00E9498D" w:rsidRDefault="008875CF" w:rsidP="00013D7D">
            <w:pPr>
              <w:spacing w:after="0" w:line="240" w:lineRule="auto"/>
              <w:rPr>
                <w:rFonts w:cstheme="minorHAnsi"/>
              </w:rPr>
            </w:pPr>
            <w:r w:rsidRPr="00E9498D">
              <w:rPr>
                <w:rFonts w:cstheme="minorHAnsi"/>
              </w:rPr>
              <w:t>Individuals/households - International Government</w:t>
            </w:r>
          </w:p>
        </w:tc>
        <w:tc>
          <w:tcPr>
            <w:tcW w:w="1088" w:type="pct"/>
            <w:tcBorders>
              <w:top w:val="single" w:sz="4" w:space="0" w:color="auto"/>
              <w:left w:val="single" w:sz="4" w:space="0" w:color="auto"/>
              <w:bottom w:val="single" w:sz="4" w:space="0" w:color="auto"/>
              <w:right w:val="single" w:sz="4" w:space="0" w:color="auto"/>
            </w:tcBorders>
            <w:vAlign w:val="center"/>
          </w:tcPr>
          <w:p w14:paraId="7C770ECE" w14:textId="28DFDCEC" w:rsidR="008875CF" w:rsidRPr="00E9498D" w:rsidRDefault="008875CF" w:rsidP="00013D7D">
            <w:pPr>
              <w:spacing w:after="0" w:line="240" w:lineRule="auto"/>
              <w:jc w:val="center"/>
              <w:rPr>
                <w:rFonts w:cstheme="minorHAnsi"/>
              </w:rPr>
            </w:pPr>
            <w:r w:rsidRPr="00E9498D">
              <w:rPr>
                <w:rFonts w:cstheme="minorHAnsi"/>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8793B8B" w14:textId="7A4E17D8" w:rsidR="008875CF" w:rsidRPr="00E9498D" w:rsidRDefault="008875CF" w:rsidP="00013D7D">
            <w:pPr>
              <w:spacing w:after="0" w:line="240" w:lineRule="auto"/>
              <w:jc w:val="center"/>
              <w:rPr>
                <w:rFonts w:cstheme="minorHAnsi"/>
              </w:rPr>
            </w:pPr>
            <w:r w:rsidRPr="00E9498D">
              <w:rPr>
                <w:rFonts w:cstheme="minorHAnsi"/>
              </w:rPr>
              <w:t>$36.62</w:t>
            </w:r>
          </w:p>
        </w:tc>
        <w:tc>
          <w:tcPr>
            <w:tcW w:w="1384" w:type="pct"/>
            <w:tcBorders>
              <w:top w:val="single" w:sz="4" w:space="0" w:color="auto"/>
              <w:left w:val="single" w:sz="4" w:space="0" w:color="auto"/>
              <w:bottom w:val="single" w:sz="4" w:space="0" w:color="auto"/>
              <w:right w:val="single" w:sz="12" w:space="0" w:color="auto"/>
            </w:tcBorders>
            <w:vAlign w:val="center"/>
            <w:hideMark/>
          </w:tcPr>
          <w:p w14:paraId="6DEE237A" w14:textId="20F5AA63" w:rsidR="008875CF" w:rsidRPr="00E9498D" w:rsidRDefault="008875CF" w:rsidP="00013D7D">
            <w:pPr>
              <w:spacing w:after="0" w:line="240" w:lineRule="auto"/>
              <w:jc w:val="center"/>
              <w:rPr>
                <w:rFonts w:cstheme="minorHAnsi"/>
              </w:rPr>
            </w:pPr>
            <w:r w:rsidRPr="00E9498D">
              <w:rPr>
                <w:rFonts w:cstheme="minorHAnsi"/>
              </w:rPr>
              <w:t>$549</w:t>
            </w:r>
          </w:p>
        </w:tc>
      </w:tr>
      <w:tr w:rsidR="00013D7D" w:rsidRPr="00E9498D" w14:paraId="6B42A488" w14:textId="77777777" w:rsidTr="00013D7D">
        <w:trPr>
          <w:trHeight w:val="593"/>
        </w:trPr>
        <w:tc>
          <w:tcPr>
            <w:tcW w:w="1439" w:type="pct"/>
            <w:tcBorders>
              <w:top w:val="single" w:sz="4" w:space="0" w:color="auto"/>
              <w:left w:val="single" w:sz="12" w:space="0" w:color="auto"/>
              <w:bottom w:val="single" w:sz="4" w:space="0" w:color="auto"/>
              <w:right w:val="single" w:sz="4" w:space="0" w:color="auto"/>
            </w:tcBorders>
            <w:vAlign w:val="center"/>
            <w:hideMark/>
          </w:tcPr>
          <w:p w14:paraId="56E1CAB8" w14:textId="6FA6EFC3" w:rsidR="008875CF" w:rsidRPr="00E9498D" w:rsidRDefault="008875CF" w:rsidP="00013D7D">
            <w:pPr>
              <w:spacing w:after="0" w:line="240" w:lineRule="auto"/>
              <w:rPr>
                <w:rFonts w:cstheme="minorHAnsi"/>
              </w:rPr>
            </w:pPr>
            <w:r w:rsidRPr="00E9498D">
              <w:rPr>
                <w:rFonts w:cstheme="minorHAnsi"/>
              </w:rPr>
              <w:t>Individuals/households -International Private</w:t>
            </w:r>
          </w:p>
        </w:tc>
        <w:tc>
          <w:tcPr>
            <w:tcW w:w="1088" w:type="pct"/>
            <w:tcBorders>
              <w:top w:val="single" w:sz="4" w:space="0" w:color="auto"/>
              <w:left w:val="single" w:sz="4" w:space="0" w:color="auto"/>
              <w:bottom w:val="single" w:sz="4" w:space="0" w:color="auto"/>
              <w:right w:val="single" w:sz="4" w:space="0" w:color="auto"/>
            </w:tcBorders>
            <w:vAlign w:val="center"/>
          </w:tcPr>
          <w:p w14:paraId="0B3391A0" w14:textId="2F2B16D6" w:rsidR="008875CF" w:rsidRPr="00E9498D" w:rsidRDefault="008875CF" w:rsidP="00013D7D">
            <w:pPr>
              <w:spacing w:after="0" w:line="240" w:lineRule="auto"/>
              <w:jc w:val="center"/>
              <w:rPr>
                <w:rFonts w:cstheme="minorHAnsi"/>
              </w:rPr>
            </w:pPr>
            <w:r w:rsidRPr="00E9498D">
              <w:rPr>
                <w:rFonts w:cstheme="minorHAnsi"/>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14:paraId="2D589DC5" w14:textId="0B96679E" w:rsidR="008875CF" w:rsidRPr="00E9498D" w:rsidRDefault="008875CF" w:rsidP="00013D7D">
            <w:pPr>
              <w:spacing w:after="0" w:line="240" w:lineRule="auto"/>
              <w:jc w:val="center"/>
              <w:rPr>
                <w:rFonts w:cstheme="minorHAnsi"/>
              </w:rPr>
            </w:pPr>
            <w:r w:rsidRPr="00E9498D">
              <w:rPr>
                <w:rFonts w:cstheme="minorHAnsi"/>
              </w:rPr>
              <w:t>$36.62</w:t>
            </w:r>
          </w:p>
        </w:tc>
        <w:tc>
          <w:tcPr>
            <w:tcW w:w="1384" w:type="pct"/>
            <w:tcBorders>
              <w:top w:val="single" w:sz="4" w:space="0" w:color="auto"/>
              <w:left w:val="single" w:sz="4" w:space="0" w:color="auto"/>
              <w:bottom w:val="single" w:sz="4" w:space="0" w:color="auto"/>
              <w:right w:val="single" w:sz="12" w:space="0" w:color="auto"/>
            </w:tcBorders>
            <w:vAlign w:val="center"/>
            <w:hideMark/>
          </w:tcPr>
          <w:p w14:paraId="3BA95C31" w14:textId="2411CF19" w:rsidR="008875CF" w:rsidRPr="00E9498D" w:rsidRDefault="008875CF" w:rsidP="00013D7D">
            <w:pPr>
              <w:spacing w:after="0" w:line="240" w:lineRule="auto"/>
              <w:jc w:val="center"/>
              <w:rPr>
                <w:rFonts w:cstheme="minorHAnsi"/>
              </w:rPr>
            </w:pPr>
            <w:r w:rsidRPr="00E9498D">
              <w:rPr>
                <w:rFonts w:cstheme="minorHAnsi"/>
              </w:rPr>
              <w:t>$256</w:t>
            </w:r>
          </w:p>
        </w:tc>
      </w:tr>
      <w:tr w:rsidR="00013D7D" w:rsidRPr="00E9498D" w14:paraId="41E8A12E" w14:textId="77777777" w:rsidTr="00013D7D">
        <w:trPr>
          <w:trHeight w:val="593"/>
        </w:trPr>
        <w:tc>
          <w:tcPr>
            <w:tcW w:w="1439" w:type="pct"/>
            <w:tcBorders>
              <w:top w:val="single" w:sz="4" w:space="0" w:color="auto"/>
              <w:left w:val="single" w:sz="12" w:space="0" w:color="auto"/>
              <w:bottom w:val="single" w:sz="12" w:space="0" w:color="auto"/>
              <w:right w:val="single" w:sz="4" w:space="0" w:color="auto"/>
            </w:tcBorders>
            <w:vAlign w:val="center"/>
            <w:hideMark/>
          </w:tcPr>
          <w:p w14:paraId="76AEE259" w14:textId="5A42BC7C" w:rsidR="008875CF" w:rsidRPr="00E9498D" w:rsidRDefault="00013D7D" w:rsidP="00013D7D">
            <w:pPr>
              <w:spacing w:after="0" w:line="240" w:lineRule="auto"/>
              <w:rPr>
                <w:rFonts w:cstheme="minorHAnsi"/>
              </w:rPr>
            </w:pPr>
            <w:r w:rsidRPr="00E9498D">
              <w:rPr>
                <w:rFonts w:cstheme="minorHAnsi"/>
              </w:rPr>
              <w:t>TOTAL</w:t>
            </w:r>
          </w:p>
        </w:tc>
        <w:tc>
          <w:tcPr>
            <w:tcW w:w="1088" w:type="pct"/>
            <w:tcBorders>
              <w:top w:val="single" w:sz="4" w:space="0" w:color="auto"/>
              <w:left w:val="single" w:sz="4" w:space="0" w:color="auto"/>
              <w:bottom w:val="single" w:sz="12" w:space="0" w:color="auto"/>
              <w:right w:val="single" w:sz="4" w:space="0" w:color="auto"/>
            </w:tcBorders>
            <w:vAlign w:val="center"/>
          </w:tcPr>
          <w:p w14:paraId="77130794" w14:textId="2317E610" w:rsidR="008875CF" w:rsidRPr="00E9498D" w:rsidRDefault="008875CF" w:rsidP="00013D7D">
            <w:pPr>
              <w:spacing w:after="0" w:line="240" w:lineRule="auto"/>
              <w:jc w:val="center"/>
              <w:rPr>
                <w:rFonts w:cstheme="minorHAnsi"/>
              </w:rPr>
            </w:pPr>
            <w:r w:rsidRPr="00E9498D">
              <w:rPr>
                <w:rFonts w:cstheme="minorHAnsi"/>
              </w:rPr>
              <w:t>714</w:t>
            </w:r>
          </w:p>
        </w:tc>
        <w:tc>
          <w:tcPr>
            <w:tcW w:w="1088" w:type="pct"/>
            <w:tcBorders>
              <w:top w:val="single" w:sz="4" w:space="0" w:color="auto"/>
              <w:left w:val="single" w:sz="4" w:space="0" w:color="auto"/>
              <w:bottom w:val="single" w:sz="12" w:space="0" w:color="auto"/>
              <w:right w:val="single" w:sz="4" w:space="0" w:color="auto"/>
            </w:tcBorders>
            <w:vAlign w:val="center"/>
          </w:tcPr>
          <w:p w14:paraId="27A0BA6A" w14:textId="7BEC7F17" w:rsidR="008875CF" w:rsidRPr="00E9498D" w:rsidRDefault="008875CF" w:rsidP="00013D7D">
            <w:pPr>
              <w:spacing w:after="0" w:line="240" w:lineRule="auto"/>
              <w:jc w:val="center"/>
              <w:rPr>
                <w:rFonts w:cstheme="minorHAnsi"/>
              </w:rPr>
            </w:pPr>
          </w:p>
        </w:tc>
        <w:tc>
          <w:tcPr>
            <w:tcW w:w="1384" w:type="pct"/>
            <w:tcBorders>
              <w:top w:val="single" w:sz="4" w:space="0" w:color="auto"/>
              <w:left w:val="single" w:sz="4" w:space="0" w:color="auto"/>
              <w:bottom w:val="single" w:sz="12" w:space="0" w:color="auto"/>
              <w:right w:val="single" w:sz="12" w:space="0" w:color="auto"/>
            </w:tcBorders>
            <w:vAlign w:val="center"/>
            <w:hideMark/>
          </w:tcPr>
          <w:p w14:paraId="5C1C39F7" w14:textId="6EFB705B" w:rsidR="008875CF" w:rsidRPr="00E9498D" w:rsidRDefault="008875CF" w:rsidP="00013D7D">
            <w:pPr>
              <w:spacing w:after="0" w:line="240" w:lineRule="auto"/>
              <w:jc w:val="center"/>
              <w:rPr>
                <w:rFonts w:cstheme="minorHAnsi"/>
              </w:rPr>
            </w:pPr>
            <w:r w:rsidRPr="00E9498D">
              <w:rPr>
                <w:rFonts w:cstheme="minorHAnsi"/>
              </w:rPr>
              <w:t>$26,147</w:t>
            </w:r>
          </w:p>
        </w:tc>
      </w:tr>
    </w:tbl>
    <w:p w14:paraId="147C437F" w14:textId="6A9DDB28" w:rsidR="00B613D4" w:rsidRPr="00E9498D" w:rsidRDefault="00B613D4" w:rsidP="00013D7D">
      <w:pPr>
        <w:spacing w:after="0" w:line="240" w:lineRule="auto"/>
        <w:rPr>
          <w:rFonts w:cstheme="minorHAnsi"/>
          <w:iCs/>
          <w:sz w:val="18"/>
          <w:szCs w:val="18"/>
        </w:rPr>
      </w:pPr>
      <w:r w:rsidRPr="00E9498D">
        <w:rPr>
          <w:rFonts w:cstheme="minorHAnsi"/>
          <w:sz w:val="18"/>
          <w:szCs w:val="18"/>
        </w:rPr>
        <w:t>*The United States Department of Labor Bureau of Labor Statistics (May 201</w:t>
      </w:r>
      <w:r w:rsidR="00763948" w:rsidRPr="00E9498D">
        <w:rPr>
          <w:rFonts w:cstheme="minorHAnsi"/>
          <w:sz w:val="18"/>
          <w:szCs w:val="18"/>
        </w:rPr>
        <w:t>8</w:t>
      </w:r>
      <w:r w:rsidRPr="00E9498D">
        <w:rPr>
          <w:rFonts w:cstheme="minorHAnsi"/>
          <w:sz w:val="18"/>
          <w:szCs w:val="18"/>
        </w:rPr>
        <w:t>) National Occupational Employment and Wages by Major Occupational Group is being referenced (</w:t>
      </w:r>
      <w:r w:rsidRPr="00E9498D">
        <w:rPr>
          <w:rFonts w:cstheme="minorHAnsi"/>
          <w:i/>
          <w:sz w:val="18"/>
          <w:szCs w:val="18"/>
        </w:rPr>
        <w:t>Life, Physical and Social Science Occupations</w:t>
      </w:r>
      <w:r w:rsidRPr="00E9498D">
        <w:rPr>
          <w:rFonts w:cstheme="minorHAnsi"/>
          <w:sz w:val="18"/>
          <w:szCs w:val="18"/>
        </w:rPr>
        <w:t>)</w:t>
      </w:r>
      <w:r w:rsidRPr="00E9498D">
        <w:rPr>
          <w:rFonts w:cstheme="minorHAnsi"/>
          <w:i/>
          <w:iCs/>
          <w:sz w:val="18"/>
          <w:szCs w:val="18"/>
        </w:rPr>
        <w:t xml:space="preserve"> – </w:t>
      </w:r>
      <w:r w:rsidRPr="00E9498D">
        <w:rPr>
          <w:rFonts w:cstheme="minorHAnsi"/>
          <w:iCs/>
          <w:sz w:val="18"/>
          <w:szCs w:val="18"/>
        </w:rPr>
        <w:t xml:space="preserve">see </w:t>
      </w:r>
      <w:hyperlink r:id="rId17" w:history="1">
        <w:r w:rsidRPr="00E9498D">
          <w:rPr>
            <w:rStyle w:val="Hyperlink"/>
            <w:rFonts w:cstheme="minorHAnsi"/>
            <w:iCs/>
            <w:sz w:val="18"/>
            <w:szCs w:val="18"/>
          </w:rPr>
          <w:t>http://www.bls.gov/oes/current/oes190000.htm</w:t>
        </w:r>
      </w:hyperlink>
      <w:r w:rsidRPr="00E9498D">
        <w:rPr>
          <w:rFonts w:cstheme="minorHAnsi"/>
          <w:iCs/>
          <w:sz w:val="18"/>
          <w:szCs w:val="18"/>
        </w:rPr>
        <w:t>.</w:t>
      </w:r>
    </w:p>
    <w:p w14:paraId="48A83348" w14:textId="77777777" w:rsidR="008166CB" w:rsidRPr="00E9498D" w:rsidRDefault="008166CB" w:rsidP="008166CB">
      <w:pPr>
        <w:spacing w:after="0" w:line="240" w:lineRule="auto"/>
        <w:jc w:val="center"/>
        <w:rPr>
          <w:rFonts w:cstheme="minorHAnsi"/>
          <w:i/>
          <w:iCs/>
          <w:sz w:val="20"/>
          <w:szCs w:val="20"/>
        </w:rPr>
      </w:pPr>
    </w:p>
    <w:p w14:paraId="72B19A1F" w14:textId="77777777" w:rsidR="00FF72FC" w:rsidRPr="00E9498D" w:rsidRDefault="00FF72FC" w:rsidP="00784374">
      <w:pPr>
        <w:spacing w:after="0" w:line="480" w:lineRule="auto"/>
        <w:rPr>
          <w:rFonts w:cstheme="minorHAnsi"/>
          <w:b/>
          <w:sz w:val="24"/>
          <w:szCs w:val="24"/>
        </w:rPr>
      </w:pPr>
      <w:r w:rsidRPr="00E9498D">
        <w:rPr>
          <w:rFonts w:cstheme="minorHAnsi"/>
          <w:b/>
          <w:sz w:val="24"/>
          <w:szCs w:val="24"/>
        </w:rPr>
        <w:t>A.13</w:t>
      </w:r>
      <w:r w:rsidRPr="00E9498D">
        <w:rPr>
          <w:rFonts w:cstheme="minorHAnsi"/>
          <w:b/>
          <w:sz w:val="24"/>
          <w:szCs w:val="24"/>
        </w:rPr>
        <w:tab/>
        <w:t>Estimate of Other Total Annual Cost Burden to Respondents or Record Keepers</w:t>
      </w:r>
    </w:p>
    <w:p w14:paraId="21F878AB" w14:textId="586C5464" w:rsidR="00FF72FC" w:rsidRPr="00E9498D" w:rsidRDefault="00B613D4" w:rsidP="00013D7D">
      <w:pPr>
        <w:spacing w:after="0" w:line="480" w:lineRule="auto"/>
        <w:ind w:firstLine="720"/>
        <w:rPr>
          <w:rFonts w:cstheme="minorHAnsi"/>
          <w:sz w:val="24"/>
          <w:szCs w:val="24"/>
        </w:rPr>
      </w:pPr>
      <w:r w:rsidRPr="00E9498D">
        <w:rPr>
          <w:rFonts w:cstheme="minorHAnsi"/>
          <w:sz w:val="24"/>
          <w:szCs w:val="24"/>
        </w:rPr>
        <w:t>There are no capital, start-up, or operation/maintenance costs associated with this data request for any respondents.  In addition, there are no services that will need to be purchased in order to carry out this request</w:t>
      </w:r>
      <w:r w:rsidR="00FF72FC" w:rsidRPr="00E9498D">
        <w:rPr>
          <w:rFonts w:cstheme="minorHAnsi"/>
          <w:sz w:val="24"/>
          <w:szCs w:val="24"/>
        </w:rPr>
        <w:t>.</w:t>
      </w:r>
    </w:p>
    <w:p w14:paraId="5439FC4E" w14:textId="77777777" w:rsidR="00FF72FC" w:rsidRPr="00E9498D" w:rsidRDefault="00FF72FC" w:rsidP="00784374">
      <w:pPr>
        <w:pStyle w:val="Heading2"/>
        <w:tabs>
          <w:tab w:val="left" w:pos="720"/>
        </w:tabs>
        <w:spacing w:before="0" w:line="480" w:lineRule="auto"/>
        <w:rPr>
          <w:rFonts w:asciiTheme="minorHAnsi" w:hAnsiTheme="minorHAnsi" w:cstheme="minorHAnsi"/>
          <w:b/>
          <w:color w:val="auto"/>
          <w:sz w:val="24"/>
          <w:szCs w:val="24"/>
        </w:rPr>
      </w:pPr>
      <w:r w:rsidRPr="00E9498D">
        <w:rPr>
          <w:rFonts w:asciiTheme="minorHAnsi" w:hAnsiTheme="minorHAnsi" w:cstheme="minorHAnsi"/>
          <w:b/>
          <w:color w:val="auto"/>
          <w:sz w:val="24"/>
          <w:szCs w:val="24"/>
        </w:rPr>
        <w:t>A.14</w:t>
      </w:r>
      <w:r w:rsidRPr="00E9498D">
        <w:rPr>
          <w:rFonts w:asciiTheme="minorHAnsi" w:hAnsiTheme="minorHAnsi" w:cstheme="minorHAnsi"/>
          <w:b/>
          <w:color w:val="auto"/>
          <w:sz w:val="24"/>
          <w:szCs w:val="24"/>
        </w:rPr>
        <w:tab/>
        <w:t xml:space="preserve">Annualized Cost to the Federal Government  </w:t>
      </w:r>
    </w:p>
    <w:p w14:paraId="5DDFD510" w14:textId="66A1D8F7" w:rsidR="00B613D4" w:rsidRPr="00E9498D" w:rsidRDefault="00B613D4" w:rsidP="00784374">
      <w:pPr>
        <w:spacing w:after="0" w:line="480" w:lineRule="auto"/>
        <w:ind w:firstLine="720"/>
        <w:rPr>
          <w:rFonts w:cstheme="minorHAnsi"/>
          <w:sz w:val="24"/>
          <w:szCs w:val="24"/>
        </w:rPr>
      </w:pPr>
      <w:r w:rsidRPr="00E9498D">
        <w:rPr>
          <w:rFonts w:cstheme="minorHAnsi"/>
          <w:sz w:val="24"/>
          <w:szCs w:val="24"/>
        </w:rPr>
        <w:t xml:space="preserve">The estimates of the annualized cost to the Federal government </w:t>
      </w:r>
      <w:r w:rsidR="00E9498D" w:rsidRPr="00E9498D">
        <w:rPr>
          <w:rFonts w:cstheme="minorHAnsi"/>
          <w:sz w:val="24"/>
          <w:szCs w:val="24"/>
        </w:rPr>
        <w:t>assume</w:t>
      </w:r>
      <w:r w:rsidRPr="00E9498D">
        <w:rPr>
          <w:rFonts w:cstheme="minorHAnsi"/>
          <w:sz w:val="24"/>
          <w:szCs w:val="24"/>
        </w:rPr>
        <w:t xml:space="preserve"> that for U.S. funders, one portfolio analysis per year will be conducted, and for non-U.S. funders, an analysis will be conducted approximately once every three years.  </w:t>
      </w:r>
    </w:p>
    <w:p w14:paraId="6EFDA24C" w14:textId="500A1F58" w:rsidR="00B613D4" w:rsidRDefault="00B613D4" w:rsidP="00784374">
      <w:pPr>
        <w:spacing w:after="0" w:line="480" w:lineRule="auto"/>
        <w:ind w:firstLine="720"/>
        <w:rPr>
          <w:rFonts w:cstheme="minorHAnsi"/>
          <w:sz w:val="24"/>
          <w:szCs w:val="24"/>
        </w:rPr>
      </w:pPr>
      <w:r w:rsidRPr="00E9498D">
        <w:rPr>
          <w:rFonts w:cstheme="minorHAnsi"/>
          <w:sz w:val="24"/>
          <w:szCs w:val="24"/>
        </w:rPr>
        <w:t xml:space="preserve">The bulk of the annualized cost to the Federal government will be accrued through labor hours by OARC staff and costs associated with publishing the </w:t>
      </w:r>
      <w:r w:rsidRPr="00E9498D">
        <w:rPr>
          <w:rFonts w:cstheme="minorHAnsi"/>
          <w:i/>
          <w:sz w:val="24"/>
          <w:szCs w:val="24"/>
        </w:rPr>
        <w:t>Portfolio Analysis Report</w:t>
      </w:r>
      <w:r w:rsidRPr="00E9498D">
        <w:rPr>
          <w:rFonts w:cstheme="minorHAnsi"/>
          <w:sz w:val="24"/>
          <w:szCs w:val="24"/>
        </w:rPr>
        <w:t xml:space="preserve">, as indicated in </w:t>
      </w:r>
      <w:r w:rsidRPr="00E9498D">
        <w:rPr>
          <w:rFonts w:cstheme="minorHAnsi"/>
          <w:color w:val="000000"/>
          <w:sz w:val="24"/>
          <w:szCs w:val="24"/>
        </w:rPr>
        <w:t>Table A.14-1</w:t>
      </w:r>
      <w:r w:rsidRPr="00E9498D">
        <w:rPr>
          <w:rFonts w:cstheme="minorHAnsi"/>
          <w:sz w:val="24"/>
          <w:szCs w:val="24"/>
        </w:rPr>
        <w:t>.  The efforts of the staff member include developing the data collection materials, e-mailing information to respondents, corresponding with respondents to answer questions about the process, reviewing responses, coding projects, tabulation and analysis of data, writing the final report (and all drafts leading up to the final report), editing and proofreading drafts, arranging to print the final report, and entering the data into the</w:t>
      </w:r>
      <w:r w:rsidR="001655A0" w:rsidRPr="00E9498D">
        <w:rPr>
          <w:rFonts w:cstheme="minorHAnsi"/>
          <w:sz w:val="24"/>
          <w:szCs w:val="24"/>
        </w:rPr>
        <w:t xml:space="preserve"> </w:t>
      </w:r>
      <w:r w:rsidR="001655A0" w:rsidRPr="00E9498D">
        <w:rPr>
          <w:rFonts w:cstheme="minorHAnsi"/>
          <w:sz w:val="24"/>
          <w:szCs w:val="24"/>
          <w:highlight w:val="yellow"/>
        </w:rPr>
        <w:t>online</w:t>
      </w:r>
      <w:r w:rsidRPr="00E9498D">
        <w:rPr>
          <w:rFonts w:cstheme="minorHAnsi"/>
          <w:sz w:val="24"/>
          <w:szCs w:val="24"/>
          <w:highlight w:val="yellow"/>
        </w:rPr>
        <w:t xml:space="preserve"> </w:t>
      </w:r>
      <w:r w:rsidR="001655A0" w:rsidRPr="00E9498D">
        <w:rPr>
          <w:rFonts w:cstheme="minorHAnsi"/>
          <w:i/>
          <w:sz w:val="24"/>
          <w:szCs w:val="24"/>
          <w:highlight w:val="yellow"/>
        </w:rPr>
        <w:t>Autism Research Database</w:t>
      </w:r>
      <w:r w:rsidRPr="00E9498D">
        <w:rPr>
          <w:rFonts w:cstheme="minorHAnsi"/>
          <w:sz w:val="24"/>
          <w:szCs w:val="24"/>
        </w:rPr>
        <w:t>.  The annual cost listed below is based on previous portfolio analyses conducted by OARC</w:t>
      </w:r>
      <w:r w:rsidR="00987ADF" w:rsidRPr="00E9498D">
        <w:rPr>
          <w:rFonts w:cstheme="minorHAnsi"/>
          <w:sz w:val="24"/>
          <w:szCs w:val="24"/>
        </w:rPr>
        <w:t>.</w:t>
      </w:r>
    </w:p>
    <w:p w14:paraId="18993BE1" w14:textId="3AD00FF7" w:rsidR="00987ADF" w:rsidRPr="00E9498D" w:rsidRDefault="00987ADF" w:rsidP="00013D7D">
      <w:pPr>
        <w:spacing w:after="0" w:line="480" w:lineRule="auto"/>
        <w:jc w:val="center"/>
        <w:rPr>
          <w:rFonts w:cstheme="minorHAnsi"/>
          <w:sz w:val="24"/>
          <w:szCs w:val="24"/>
          <w:u w:val="single"/>
        </w:rPr>
      </w:pPr>
      <w:r w:rsidRPr="00E9498D">
        <w:rPr>
          <w:rFonts w:cstheme="minorHAnsi"/>
          <w:color w:val="000000"/>
          <w:sz w:val="24"/>
          <w:szCs w:val="24"/>
          <w:u w:val="single"/>
        </w:rPr>
        <w:t xml:space="preserve">Table </w:t>
      </w:r>
      <w:r w:rsidR="00C519B1" w:rsidRPr="00E9498D">
        <w:rPr>
          <w:rFonts w:cstheme="minorHAnsi"/>
          <w:color w:val="000000"/>
          <w:sz w:val="24"/>
          <w:szCs w:val="24"/>
          <w:u w:val="single"/>
        </w:rPr>
        <w:t>A.</w:t>
      </w:r>
      <w:r w:rsidRPr="00E9498D">
        <w:rPr>
          <w:rFonts w:cstheme="minorHAnsi"/>
          <w:color w:val="000000"/>
          <w:sz w:val="24"/>
          <w:szCs w:val="24"/>
          <w:u w:val="single"/>
        </w:rPr>
        <w:t>14-1 Annualized Cost to the Federal Government</w:t>
      </w:r>
    </w:p>
    <w:tbl>
      <w:tblPr>
        <w:tblW w:w="5000" w:type="pct"/>
        <w:tblCellMar>
          <w:left w:w="0" w:type="dxa"/>
          <w:right w:w="0" w:type="dxa"/>
        </w:tblCellMar>
        <w:tblLook w:val="04A0" w:firstRow="1" w:lastRow="0" w:firstColumn="1" w:lastColumn="0" w:noHBand="0" w:noVBand="1"/>
      </w:tblPr>
      <w:tblGrid>
        <w:gridCol w:w="2237"/>
        <w:gridCol w:w="1598"/>
        <w:gridCol w:w="1397"/>
        <w:gridCol w:w="1512"/>
        <w:gridCol w:w="1512"/>
        <w:gridCol w:w="1510"/>
      </w:tblGrid>
      <w:tr w:rsidR="00013D7D" w:rsidRPr="00E9498D" w14:paraId="3F2AC06A" w14:textId="77777777" w:rsidTr="00013D7D">
        <w:trPr>
          <w:trHeight w:val="900"/>
        </w:trPr>
        <w:tc>
          <w:tcPr>
            <w:tcW w:w="1145"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1348357F" w14:textId="77777777" w:rsidR="00B613D4" w:rsidRPr="00E9498D" w:rsidRDefault="00B613D4" w:rsidP="00013D7D">
            <w:pPr>
              <w:spacing w:after="0" w:line="240" w:lineRule="auto"/>
              <w:jc w:val="center"/>
              <w:rPr>
                <w:rFonts w:eastAsia="Calibri" w:cstheme="minorHAnsi"/>
                <w:bCs/>
                <w:color w:val="000000"/>
              </w:rPr>
            </w:pPr>
            <w:r w:rsidRPr="00E9498D">
              <w:rPr>
                <w:rFonts w:cstheme="minorHAnsi"/>
                <w:bCs/>
                <w:color w:val="000000"/>
              </w:rPr>
              <w:t>Staff</w:t>
            </w:r>
          </w:p>
        </w:tc>
        <w:tc>
          <w:tcPr>
            <w:tcW w:w="818"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4391497" w14:textId="77777777" w:rsidR="00B613D4" w:rsidRPr="00E9498D" w:rsidRDefault="00B613D4" w:rsidP="00013D7D">
            <w:pPr>
              <w:spacing w:after="0" w:line="240" w:lineRule="auto"/>
              <w:jc w:val="center"/>
              <w:rPr>
                <w:rFonts w:eastAsia="Calibri" w:cstheme="minorHAnsi"/>
                <w:bCs/>
                <w:color w:val="000000"/>
              </w:rPr>
            </w:pPr>
            <w:r w:rsidRPr="00E9498D">
              <w:rPr>
                <w:rFonts w:cstheme="minorHAnsi"/>
                <w:bCs/>
                <w:color w:val="000000"/>
              </w:rPr>
              <w:t>Grade/Step</w:t>
            </w:r>
          </w:p>
        </w:tc>
        <w:tc>
          <w:tcPr>
            <w:tcW w:w="715"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CD7BB53" w14:textId="77777777" w:rsidR="00B613D4" w:rsidRPr="00E9498D" w:rsidRDefault="00B613D4" w:rsidP="00013D7D">
            <w:pPr>
              <w:spacing w:after="0" w:line="240" w:lineRule="auto"/>
              <w:jc w:val="center"/>
              <w:rPr>
                <w:rFonts w:eastAsia="Calibri" w:cstheme="minorHAnsi"/>
                <w:bCs/>
              </w:rPr>
            </w:pPr>
            <w:r w:rsidRPr="00E9498D">
              <w:rPr>
                <w:rFonts w:cstheme="minorHAnsi"/>
                <w:bCs/>
              </w:rPr>
              <w:t>Salary</w:t>
            </w:r>
          </w:p>
        </w:tc>
        <w:tc>
          <w:tcPr>
            <w:tcW w:w="77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B3A2A27" w14:textId="77777777" w:rsidR="00B613D4" w:rsidRPr="00E9498D" w:rsidRDefault="00B613D4" w:rsidP="00013D7D">
            <w:pPr>
              <w:spacing w:after="0" w:line="240" w:lineRule="auto"/>
              <w:jc w:val="center"/>
              <w:rPr>
                <w:rFonts w:eastAsia="Calibri" w:cstheme="minorHAnsi"/>
                <w:bCs/>
              </w:rPr>
            </w:pPr>
            <w:r w:rsidRPr="00E9498D">
              <w:rPr>
                <w:rFonts w:cstheme="minorHAnsi"/>
                <w:bCs/>
              </w:rPr>
              <w:t>% of Effort</w:t>
            </w:r>
          </w:p>
        </w:tc>
        <w:tc>
          <w:tcPr>
            <w:tcW w:w="774"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170138E" w14:textId="77777777" w:rsidR="00B613D4" w:rsidRPr="00E9498D" w:rsidRDefault="00B613D4" w:rsidP="00013D7D">
            <w:pPr>
              <w:spacing w:after="0" w:line="240" w:lineRule="auto"/>
              <w:jc w:val="center"/>
              <w:rPr>
                <w:rFonts w:eastAsiaTheme="minorHAnsi" w:cstheme="minorHAnsi"/>
                <w:bCs/>
              </w:rPr>
            </w:pPr>
            <w:r w:rsidRPr="00E9498D">
              <w:rPr>
                <w:rFonts w:cstheme="minorHAnsi"/>
                <w:bCs/>
              </w:rPr>
              <w:t>Fringe (if applicable)</w:t>
            </w:r>
          </w:p>
        </w:tc>
        <w:tc>
          <w:tcPr>
            <w:tcW w:w="773"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3AAEBF4" w14:textId="77777777" w:rsidR="00B613D4" w:rsidRPr="00E9498D" w:rsidRDefault="00B613D4" w:rsidP="00013D7D">
            <w:pPr>
              <w:spacing w:after="0" w:line="240" w:lineRule="auto"/>
              <w:jc w:val="center"/>
              <w:rPr>
                <w:rFonts w:cstheme="minorHAnsi"/>
                <w:bCs/>
              </w:rPr>
            </w:pPr>
            <w:r w:rsidRPr="00E9498D">
              <w:rPr>
                <w:rFonts w:cstheme="minorHAnsi"/>
                <w:bCs/>
              </w:rPr>
              <w:t>Total Cost to Gov’t</w:t>
            </w:r>
          </w:p>
        </w:tc>
      </w:tr>
      <w:tr w:rsidR="00B613D4" w:rsidRPr="00E9498D" w14:paraId="32B6EDCD"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247500" w14:textId="77777777" w:rsidR="00B613D4" w:rsidRPr="00E9498D" w:rsidRDefault="00B613D4" w:rsidP="00013D7D">
            <w:pPr>
              <w:spacing w:after="0" w:line="240" w:lineRule="auto"/>
              <w:rPr>
                <w:rFonts w:eastAsia="Calibri" w:cstheme="minorHAnsi"/>
                <w:b/>
                <w:color w:val="000000"/>
                <w:highlight w:val="yellow"/>
              </w:rPr>
            </w:pPr>
            <w:r w:rsidRPr="00E9498D">
              <w:rPr>
                <w:rFonts w:eastAsia="Calibri" w:cstheme="minorHAnsi"/>
                <w:b/>
                <w:color w:val="000000"/>
              </w:rPr>
              <w:t>Federal Oversight</w:t>
            </w:r>
          </w:p>
        </w:tc>
        <w:tc>
          <w:tcPr>
            <w:tcW w:w="818" w:type="pct"/>
            <w:tcBorders>
              <w:top w:val="nil"/>
              <w:left w:val="nil"/>
              <w:bottom w:val="single" w:sz="8" w:space="0" w:color="auto"/>
              <w:right w:val="single" w:sz="8" w:space="0" w:color="auto"/>
            </w:tcBorders>
            <w:vAlign w:val="center"/>
          </w:tcPr>
          <w:p w14:paraId="1FA980AE" w14:textId="77777777" w:rsidR="00B613D4" w:rsidRPr="00E9498D" w:rsidRDefault="00B613D4" w:rsidP="00013D7D">
            <w:pPr>
              <w:spacing w:after="0" w:line="240" w:lineRule="auto"/>
              <w:jc w:val="center"/>
              <w:rPr>
                <w:rFonts w:eastAsia="Calibri" w:cstheme="minorHAnsi"/>
                <w:color w:val="000000"/>
                <w:highlight w:val="yellow"/>
              </w:rPr>
            </w:pPr>
          </w:p>
        </w:tc>
        <w:tc>
          <w:tcPr>
            <w:tcW w:w="715"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44BA5A78" w14:textId="77777777" w:rsidR="00B613D4" w:rsidRPr="00E9498D" w:rsidRDefault="00B613D4" w:rsidP="00013D7D">
            <w:pPr>
              <w:spacing w:after="0" w:line="240" w:lineRule="auto"/>
              <w:jc w:val="center"/>
              <w:rPr>
                <w:rFonts w:eastAsiaTheme="minorHAnsi" w:cstheme="minorHAnsi"/>
              </w:rPr>
            </w:pPr>
          </w:p>
        </w:tc>
        <w:tc>
          <w:tcPr>
            <w:tcW w:w="77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3C2D7D78" w14:textId="77777777" w:rsidR="00B613D4" w:rsidRPr="00E9498D" w:rsidRDefault="00B613D4" w:rsidP="00013D7D">
            <w:pPr>
              <w:spacing w:after="0" w:line="240" w:lineRule="auto"/>
              <w:jc w:val="center"/>
              <w:rPr>
                <w:rFonts w:cstheme="minorHAnsi"/>
              </w:rPr>
            </w:pPr>
          </w:p>
        </w:tc>
        <w:tc>
          <w:tcPr>
            <w:tcW w:w="774" w:type="pct"/>
            <w:tcBorders>
              <w:top w:val="nil"/>
              <w:left w:val="nil"/>
              <w:bottom w:val="single" w:sz="8" w:space="0" w:color="auto"/>
              <w:right w:val="single" w:sz="8" w:space="0" w:color="auto"/>
            </w:tcBorders>
            <w:shd w:val="clear" w:color="auto" w:fill="BFBFBF" w:themeFill="background1" w:themeFillShade="BF"/>
            <w:vAlign w:val="center"/>
          </w:tcPr>
          <w:p w14:paraId="38333032" w14:textId="77777777" w:rsidR="00B613D4" w:rsidRPr="00E9498D" w:rsidRDefault="00B613D4" w:rsidP="00013D7D">
            <w:pPr>
              <w:spacing w:after="0" w:line="240" w:lineRule="auto"/>
              <w:jc w:val="center"/>
              <w:rPr>
                <w:rFonts w:cstheme="minorHAnsi"/>
              </w:rPr>
            </w:pPr>
          </w:p>
        </w:tc>
        <w:tc>
          <w:tcPr>
            <w:tcW w:w="773" w:type="pct"/>
            <w:tcBorders>
              <w:top w:val="nil"/>
              <w:left w:val="nil"/>
              <w:bottom w:val="single" w:sz="8" w:space="0" w:color="auto"/>
              <w:right w:val="single" w:sz="8" w:space="0" w:color="auto"/>
            </w:tcBorders>
            <w:vAlign w:val="center"/>
          </w:tcPr>
          <w:p w14:paraId="1ECCD292" w14:textId="77777777" w:rsidR="00B613D4" w:rsidRPr="00E9498D" w:rsidRDefault="00B613D4" w:rsidP="00013D7D">
            <w:pPr>
              <w:spacing w:after="0" w:line="240" w:lineRule="auto"/>
              <w:jc w:val="center"/>
              <w:rPr>
                <w:rFonts w:cstheme="minorHAnsi"/>
              </w:rPr>
            </w:pPr>
          </w:p>
        </w:tc>
      </w:tr>
      <w:tr w:rsidR="00B613D4" w:rsidRPr="00E9498D" w14:paraId="2818F68C"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CDA53E" w14:textId="77777777" w:rsidR="00B613D4" w:rsidRPr="00E9498D" w:rsidRDefault="00B613D4" w:rsidP="00013D7D">
            <w:pPr>
              <w:spacing w:after="0" w:line="240" w:lineRule="auto"/>
              <w:rPr>
                <w:rFonts w:eastAsia="Calibri" w:cstheme="minorHAnsi"/>
              </w:rPr>
            </w:pPr>
            <w:r w:rsidRPr="00E9498D">
              <w:rPr>
                <w:rFonts w:eastAsia="Calibri" w:cstheme="minorHAnsi"/>
              </w:rPr>
              <w:t>OARC Policy Analyst</w:t>
            </w:r>
          </w:p>
        </w:tc>
        <w:tc>
          <w:tcPr>
            <w:tcW w:w="818" w:type="pct"/>
            <w:tcBorders>
              <w:top w:val="nil"/>
              <w:left w:val="nil"/>
              <w:bottom w:val="single" w:sz="8" w:space="0" w:color="auto"/>
              <w:right w:val="single" w:sz="8" w:space="0" w:color="auto"/>
            </w:tcBorders>
            <w:vAlign w:val="center"/>
            <w:hideMark/>
          </w:tcPr>
          <w:p w14:paraId="22491836" w14:textId="77777777" w:rsidR="00B613D4" w:rsidRPr="00E9498D" w:rsidRDefault="00B613D4" w:rsidP="00013D7D">
            <w:pPr>
              <w:spacing w:after="0" w:line="240" w:lineRule="auto"/>
              <w:jc w:val="center"/>
              <w:rPr>
                <w:rFonts w:eastAsia="Calibri" w:cstheme="minorHAnsi"/>
              </w:rPr>
            </w:pPr>
            <w:r w:rsidRPr="00E9498D">
              <w:rPr>
                <w:rFonts w:eastAsia="Calibri" w:cstheme="minorHAnsi"/>
              </w:rPr>
              <w:t>GS-12/2</w:t>
            </w:r>
          </w:p>
        </w:tc>
        <w:tc>
          <w:tcPr>
            <w:tcW w:w="71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329D8A" w14:textId="6F99C67D" w:rsidR="00B613D4" w:rsidRPr="00E9498D" w:rsidRDefault="00B613D4" w:rsidP="00013D7D">
            <w:pPr>
              <w:spacing w:after="0" w:line="240" w:lineRule="auto"/>
              <w:jc w:val="center"/>
              <w:rPr>
                <w:rFonts w:eastAsia="Calibri" w:cstheme="minorHAnsi"/>
              </w:rPr>
            </w:pPr>
            <w:r w:rsidRPr="00E9498D">
              <w:rPr>
                <w:rFonts w:eastAsia="Calibri" w:cstheme="minorHAnsi"/>
              </w:rPr>
              <w:t>$</w:t>
            </w:r>
            <w:r w:rsidR="00763948" w:rsidRPr="00E9498D">
              <w:rPr>
                <w:rFonts w:eastAsia="Calibri" w:cstheme="minorHAnsi"/>
              </w:rPr>
              <w:t>86,179</w:t>
            </w:r>
          </w:p>
        </w:tc>
        <w:tc>
          <w:tcPr>
            <w:tcW w:w="7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D2B3BD" w14:textId="77777777" w:rsidR="00B613D4" w:rsidRPr="00E9498D" w:rsidRDefault="00B613D4" w:rsidP="00013D7D">
            <w:pPr>
              <w:spacing w:after="0" w:line="240" w:lineRule="auto"/>
              <w:jc w:val="center"/>
              <w:rPr>
                <w:rFonts w:eastAsia="Calibri" w:cstheme="minorHAnsi"/>
              </w:rPr>
            </w:pPr>
            <w:r w:rsidRPr="00E9498D">
              <w:rPr>
                <w:rFonts w:eastAsia="Calibri" w:cstheme="minorHAnsi"/>
              </w:rPr>
              <w:t>100%</w:t>
            </w:r>
          </w:p>
        </w:tc>
        <w:tc>
          <w:tcPr>
            <w:tcW w:w="774" w:type="pct"/>
            <w:tcBorders>
              <w:top w:val="nil"/>
              <w:left w:val="nil"/>
              <w:bottom w:val="single" w:sz="8" w:space="0" w:color="auto"/>
              <w:right w:val="single" w:sz="8" w:space="0" w:color="auto"/>
            </w:tcBorders>
            <w:shd w:val="clear" w:color="auto" w:fill="BFBFBF" w:themeFill="background1" w:themeFillShade="BF"/>
            <w:vAlign w:val="center"/>
          </w:tcPr>
          <w:p w14:paraId="0F463620" w14:textId="77777777" w:rsidR="00B613D4" w:rsidRPr="00E9498D" w:rsidRDefault="00B613D4" w:rsidP="00013D7D">
            <w:pPr>
              <w:spacing w:after="0" w:line="240" w:lineRule="auto"/>
              <w:jc w:val="center"/>
              <w:rPr>
                <w:rFonts w:eastAsiaTheme="minorHAnsi" w:cstheme="minorHAnsi"/>
              </w:rPr>
            </w:pPr>
          </w:p>
        </w:tc>
        <w:tc>
          <w:tcPr>
            <w:tcW w:w="773" w:type="pct"/>
            <w:tcBorders>
              <w:top w:val="nil"/>
              <w:left w:val="nil"/>
              <w:bottom w:val="single" w:sz="8" w:space="0" w:color="auto"/>
              <w:right w:val="single" w:sz="8" w:space="0" w:color="auto"/>
            </w:tcBorders>
            <w:vAlign w:val="center"/>
            <w:hideMark/>
          </w:tcPr>
          <w:p w14:paraId="139722A6" w14:textId="4C528A99" w:rsidR="00B613D4" w:rsidRPr="00E9498D" w:rsidRDefault="00B613D4" w:rsidP="00013D7D">
            <w:pPr>
              <w:spacing w:after="0" w:line="240" w:lineRule="auto"/>
              <w:jc w:val="center"/>
              <w:rPr>
                <w:rFonts w:cstheme="minorHAnsi"/>
              </w:rPr>
            </w:pPr>
            <w:r w:rsidRPr="00E9498D">
              <w:rPr>
                <w:rFonts w:cstheme="minorHAnsi"/>
              </w:rPr>
              <w:t>$</w:t>
            </w:r>
            <w:r w:rsidR="00763948" w:rsidRPr="00E9498D">
              <w:rPr>
                <w:rFonts w:cstheme="minorHAnsi"/>
              </w:rPr>
              <w:t>86,179</w:t>
            </w:r>
          </w:p>
        </w:tc>
      </w:tr>
      <w:tr w:rsidR="00B613D4" w:rsidRPr="00E9498D" w14:paraId="011928EA"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0B73432" w14:textId="77777777" w:rsidR="00B613D4" w:rsidRPr="00E9498D" w:rsidRDefault="00B613D4" w:rsidP="00013D7D">
            <w:pPr>
              <w:spacing w:after="0" w:line="240" w:lineRule="auto"/>
              <w:rPr>
                <w:rFonts w:eastAsia="Calibri" w:cstheme="minorHAnsi"/>
              </w:rPr>
            </w:pPr>
          </w:p>
        </w:tc>
        <w:tc>
          <w:tcPr>
            <w:tcW w:w="818" w:type="pct"/>
            <w:tcBorders>
              <w:top w:val="nil"/>
              <w:left w:val="nil"/>
              <w:bottom w:val="single" w:sz="8" w:space="0" w:color="auto"/>
              <w:right w:val="single" w:sz="8" w:space="0" w:color="auto"/>
            </w:tcBorders>
            <w:vAlign w:val="center"/>
          </w:tcPr>
          <w:p w14:paraId="6F5A4C1C" w14:textId="77777777" w:rsidR="00B613D4" w:rsidRPr="00E9498D" w:rsidRDefault="00B613D4" w:rsidP="00013D7D">
            <w:pPr>
              <w:spacing w:after="0" w:line="240" w:lineRule="auto"/>
              <w:jc w:val="center"/>
              <w:rPr>
                <w:rFonts w:eastAsia="Calibri" w:cstheme="minorHAnsi"/>
              </w:rPr>
            </w:pPr>
          </w:p>
        </w:tc>
        <w:tc>
          <w:tcPr>
            <w:tcW w:w="715"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7626C83A"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48DC553A"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shd w:val="clear" w:color="auto" w:fill="BFBFBF" w:themeFill="background1" w:themeFillShade="BF"/>
            <w:vAlign w:val="center"/>
          </w:tcPr>
          <w:p w14:paraId="47BE6B29" w14:textId="77777777" w:rsidR="00B613D4" w:rsidRPr="00E9498D" w:rsidRDefault="00B613D4" w:rsidP="00013D7D">
            <w:pPr>
              <w:spacing w:after="0" w:line="240" w:lineRule="auto"/>
              <w:jc w:val="center"/>
              <w:rPr>
                <w:rFonts w:eastAsiaTheme="minorHAnsi" w:cstheme="minorHAnsi"/>
              </w:rPr>
            </w:pPr>
          </w:p>
        </w:tc>
        <w:tc>
          <w:tcPr>
            <w:tcW w:w="773" w:type="pct"/>
            <w:tcBorders>
              <w:top w:val="nil"/>
              <w:left w:val="nil"/>
              <w:bottom w:val="single" w:sz="8" w:space="0" w:color="auto"/>
              <w:right w:val="single" w:sz="8" w:space="0" w:color="auto"/>
            </w:tcBorders>
            <w:vAlign w:val="center"/>
          </w:tcPr>
          <w:p w14:paraId="6F21DC9B" w14:textId="77777777" w:rsidR="00B613D4" w:rsidRPr="00E9498D" w:rsidRDefault="00B613D4" w:rsidP="00013D7D">
            <w:pPr>
              <w:spacing w:after="0" w:line="240" w:lineRule="auto"/>
              <w:jc w:val="center"/>
              <w:rPr>
                <w:rFonts w:cstheme="minorHAnsi"/>
              </w:rPr>
            </w:pPr>
          </w:p>
        </w:tc>
      </w:tr>
      <w:tr w:rsidR="00B613D4" w:rsidRPr="00E9498D" w14:paraId="438DD84D"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433D33" w14:textId="77777777" w:rsidR="00B613D4" w:rsidRPr="00E9498D" w:rsidRDefault="00B613D4" w:rsidP="00013D7D">
            <w:pPr>
              <w:spacing w:after="0" w:line="240" w:lineRule="auto"/>
              <w:rPr>
                <w:rFonts w:eastAsia="Calibri" w:cstheme="minorHAnsi"/>
                <w:b/>
              </w:rPr>
            </w:pPr>
            <w:r w:rsidRPr="00E9498D">
              <w:rPr>
                <w:rFonts w:eastAsia="Calibri" w:cstheme="minorHAnsi"/>
                <w:b/>
              </w:rPr>
              <w:t>Contractor Cost</w:t>
            </w:r>
          </w:p>
        </w:tc>
        <w:tc>
          <w:tcPr>
            <w:tcW w:w="818" w:type="pct"/>
            <w:tcBorders>
              <w:top w:val="nil"/>
              <w:left w:val="nil"/>
              <w:bottom w:val="single" w:sz="8" w:space="0" w:color="auto"/>
              <w:right w:val="single" w:sz="8" w:space="0" w:color="auto"/>
            </w:tcBorders>
            <w:shd w:val="clear" w:color="auto" w:fill="BFBFBF" w:themeFill="background1" w:themeFillShade="BF"/>
            <w:vAlign w:val="center"/>
          </w:tcPr>
          <w:p w14:paraId="578F9D1A" w14:textId="77777777" w:rsidR="00B613D4" w:rsidRPr="00E9498D" w:rsidRDefault="00B613D4" w:rsidP="00013D7D">
            <w:pPr>
              <w:spacing w:after="0" w:line="240" w:lineRule="auto"/>
              <w:jc w:val="center"/>
              <w:rPr>
                <w:rFonts w:eastAsia="Calibri" w:cstheme="minorHAnsi"/>
              </w:rPr>
            </w:pPr>
          </w:p>
        </w:tc>
        <w:tc>
          <w:tcPr>
            <w:tcW w:w="715"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3B8AD001"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575A7CDF"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vAlign w:val="center"/>
          </w:tcPr>
          <w:p w14:paraId="45754DEE" w14:textId="77777777" w:rsidR="00B613D4" w:rsidRPr="00E9498D" w:rsidRDefault="00B613D4" w:rsidP="00013D7D">
            <w:pPr>
              <w:spacing w:after="0" w:line="240" w:lineRule="auto"/>
              <w:jc w:val="center"/>
              <w:rPr>
                <w:rFonts w:eastAsiaTheme="minorHAnsi" w:cstheme="minorHAnsi"/>
              </w:rPr>
            </w:pPr>
          </w:p>
        </w:tc>
        <w:tc>
          <w:tcPr>
            <w:tcW w:w="773" w:type="pct"/>
            <w:tcBorders>
              <w:top w:val="nil"/>
              <w:left w:val="nil"/>
              <w:bottom w:val="single" w:sz="8" w:space="0" w:color="auto"/>
              <w:right w:val="single" w:sz="8" w:space="0" w:color="auto"/>
            </w:tcBorders>
            <w:vAlign w:val="center"/>
          </w:tcPr>
          <w:p w14:paraId="403B71E9" w14:textId="77777777" w:rsidR="00B613D4" w:rsidRPr="00E9498D" w:rsidRDefault="00B613D4" w:rsidP="00013D7D">
            <w:pPr>
              <w:spacing w:after="0" w:line="240" w:lineRule="auto"/>
              <w:jc w:val="center"/>
              <w:rPr>
                <w:rFonts w:cstheme="minorHAnsi"/>
              </w:rPr>
            </w:pPr>
          </w:p>
        </w:tc>
      </w:tr>
      <w:tr w:rsidR="00E9498D" w:rsidRPr="00E9498D" w14:paraId="741668C8"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AFE7F3" w14:textId="77777777" w:rsidR="00B613D4" w:rsidRPr="00E9498D" w:rsidRDefault="00B613D4" w:rsidP="00013D7D">
            <w:pPr>
              <w:spacing w:after="0" w:line="240" w:lineRule="auto"/>
              <w:rPr>
                <w:rFonts w:eastAsia="Calibri" w:cstheme="minorHAnsi"/>
              </w:rPr>
            </w:pPr>
            <w:r w:rsidRPr="00E9498D">
              <w:rPr>
                <w:rFonts w:eastAsia="Calibri" w:cstheme="minorHAnsi"/>
              </w:rPr>
              <w:t>Travel</w:t>
            </w:r>
          </w:p>
        </w:tc>
        <w:tc>
          <w:tcPr>
            <w:tcW w:w="818" w:type="pct"/>
            <w:tcBorders>
              <w:top w:val="nil"/>
              <w:left w:val="nil"/>
              <w:bottom w:val="single" w:sz="8" w:space="0" w:color="auto"/>
              <w:right w:val="single" w:sz="8" w:space="0" w:color="auto"/>
            </w:tcBorders>
            <w:shd w:val="clear" w:color="auto" w:fill="BFBFBF" w:themeFill="background1" w:themeFillShade="BF"/>
            <w:vAlign w:val="center"/>
          </w:tcPr>
          <w:p w14:paraId="7E623748" w14:textId="77777777" w:rsidR="00B613D4" w:rsidRPr="00E9498D" w:rsidRDefault="00B613D4" w:rsidP="00013D7D">
            <w:pPr>
              <w:spacing w:after="0" w:line="240" w:lineRule="auto"/>
              <w:jc w:val="center"/>
              <w:rPr>
                <w:rFonts w:eastAsia="Calibri" w:cstheme="minorHAnsi"/>
              </w:rPr>
            </w:pPr>
          </w:p>
        </w:tc>
        <w:tc>
          <w:tcPr>
            <w:tcW w:w="715"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18EFB57A"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3F11C796"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shd w:val="clear" w:color="auto" w:fill="BFBFBF" w:themeFill="background1" w:themeFillShade="BF"/>
            <w:vAlign w:val="center"/>
          </w:tcPr>
          <w:p w14:paraId="28229D29" w14:textId="77777777" w:rsidR="00B613D4" w:rsidRPr="00E9498D" w:rsidRDefault="00B613D4" w:rsidP="00013D7D">
            <w:pPr>
              <w:spacing w:after="0" w:line="240" w:lineRule="auto"/>
              <w:jc w:val="center"/>
              <w:rPr>
                <w:rFonts w:eastAsiaTheme="minorHAnsi" w:cstheme="minorHAnsi"/>
              </w:rPr>
            </w:pPr>
          </w:p>
        </w:tc>
        <w:tc>
          <w:tcPr>
            <w:tcW w:w="773" w:type="pct"/>
            <w:tcBorders>
              <w:top w:val="nil"/>
              <w:left w:val="nil"/>
              <w:bottom w:val="single" w:sz="8" w:space="0" w:color="auto"/>
              <w:right w:val="single" w:sz="8" w:space="0" w:color="auto"/>
            </w:tcBorders>
            <w:vAlign w:val="center"/>
          </w:tcPr>
          <w:p w14:paraId="52F3F54D" w14:textId="77777777" w:rsidR="00B613D4" w:rsidRPr="00E9498D" w:rsidRDefault="00B613D4" w:rsidP="00013D7D">
            <w:pPr>
              <w:spacing w:after="0" w:line="240" w:lineRule="auto"/>
              <w:jc w:val="center"/>
              <w:rPr>
                <w:rFonts w:cstheme="minorHAnsi"/>
              </w:rPr>
            </w:pPr>
          </w:p>
        </w:tc>
      </w:tr>
      <w:tr w:rsidR="00E9498D" w:rsidRPr="00E9498D" w14:paraId="5387B24C"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BEAA62" w14:textId="77777777" w:rsidR="00B613D4" w:rsidRPr="00E9498D" w:rsidRDefault="00B613D4" w:rsidP="00013D7D">
            <w:pPr>
              <w:spacing w:after="0" w:line="240" w:lineRule="auto"/>
              <w:rPr>
                <w:rFonts w:eastAsia="Calibri" w:cstheme="minorHAnsi"/>
                <w:color w:val="1F497D"/>
                <w:highlight w:val="yellow"/>
              </w:rPr>
            </w:pPr>
            <w:r w:rsidRPr="00E9498D">
              <w:rPr>
                <w:rFonts w:eastAsia="Calibri" w:cstheme="minorHAnsi"/>
              </w:rPr>
              <w:t>Other Cost</w:t>
            </w:r>
          </w:p>
        </w:tc>
        <w:tc>
          <w:tcPr>
            <w:tcW w:w="818" w:type="pct"/>
            <w:tcBorders>
              <w:top w:val="nil"/>
              <w:left w:val="nil"/>
              <w:bottom w:val="single" w:sz="8" w:space="0" w:color="auto"/>
              <w:right w:val="single" w:sz="8" w:space="0" w:color="auto"/>
            </w:tcBorders>
            <w:shd w:val="clear" w:color="auto" w:fill="BFBFBF" w:themeFill="background1" w:themeFillShade="BF"/>
            <w:vAlign w:val="center"/>
          </w:tcPr>
          <w:p w14:paraId="1F9B3078" w14:textId="77777777" w:rsidR="00B613D4" w:rsidRPr="00E9498D" w:rsidRDefault="00B613D4" w:rsidP="00013D7D">
            <w:pPr>
              <w:spacing w:after="0" w:line="240" w:lineRule="auto"/>
              <w:jc w:val="center"/>
              <w:rPr>
                <w:rFonts w:eastAsia="Calibri" w:cstheme="minorHAnsi"/>
                <w:color w:val="000000"/>
              </w:rPr>
            </w:pPr>
          </w:p>
        </w:tc>
        <w:tc>
          <w:tcPr>
            <w:tcW w:w="715"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1F9F2E48"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38BF4CF5"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shd w:val="clear" w:color="auto" w:fill="BFBFBF" w:themeFill="background1" w:themeFillShade="BF"/>
            <w:vAlign w:val="center"/>
          </w:tcPr>
          <w:p w14:paraId="1DF833D0" w14:textId="77777777" w:rsidR="00B613D4" w:rsidRPr="00E9498D" w:rsidRDefault="00B613D4" w:rsidP="00013D7D">
            <w:pPr>
              <w:spacing w:after="0" w:line="240" w:lineRule="auto"/>
              <w:jc w:val="center"/>
              <w:rPr>
                <w:rFonts w:eastAsia="Calibri" w:cstheme="minorHAnsi"/>
              </w:rPr>
            </w:pPr>
          </w:p>
        </w:tc>
        <w:tc>
          <w:tcPr>
            <w:tcW w:w="773" w:type="pct"/>
            <w:tcBorders>
              <w:top w:val="nil"/>
              <w:left w:val="nil"/>
              <w:bottom w:val="single" w:sz="8" w:space="0" w:color="auto"/>
              <w:right w:val="single" w:sz="8" w:space="0" w:color="auto"/>
            </w:tcBorders>
            <w:vAlign w:val="center"/>
          </w:tcPr>
          <w:p w14:paraId="55E8801D" w14:textId="77777777" w:rsidR="00B613D4" w:rsidRPr="00E9498D" w:rsidRDefault="00B613D4" w:rsidP="00013D7D">
            <w:pPr>
              <w:spacing w:after="0" w:line="240" w:lineRule="auto"/>
              <w:jc w:val="center"/>
              <w:rPr>
                <w:rFonts w:eastAsia="Calibri" w:cstheme="minorHAnsi"/>
              </w:rPr>
            </w:pPr>
          </w:p>
        </w:tc>
      </w:tr>
      <w:tr w:rsidR="00E9498D" w:rsidRPr="00E9498D" w14:paraId="359A9624"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CFFEAE" w14:textId="77777777" w:rsidR="00B613D4" w:rsidRPr="00E9498D" w:rsidRDefault="00B613D4" w:rsidP="00013D7D">
            <w:pPr>
              <w:spacing w:after="0" w:line="240" w:lineRule="auto"/>
              <w:rPr>
                <w:rFonts w:eastAsia="Calibri" w:cstheme="minorHAnsi"/>
              </w:rPr>
            </w:pPr>
          </w:p>
        </w:tc>
        <w:tc>
          <w:tcPr>
            <w:tcW w:w="818" w:type="pct"/>
            <w:tcBorders>
              <w:top w:val="nil"/>
              <w:left w:val="nil"/>
              <w:bottom w:val="single" w:sz="8" w:space="0" w:color="auto"/>
              <w:right w:val="single" w:sz="8" w:space="0" w:color="auto"/>
            </w:tcBorders>
            <w:shd w:val="clear" w:color="auto" w:fill="BFBFBF" w:themeFill="background1" w:themeFillShade="BF"/>
            <w:vAlign w:val="center"/>
          </w:tcPr>
          <w:p w14:paraId="216A105C" w14:textId="77777777" w:rsidR="00B613D4" w:rsidRPr="00E9498D" w:rsidRDefault="00B613D4" w:rsidP="00013D7D">
            <w:pPr>
              <w:spacing w:after="0" w:line="240" w:lineRule="auto"/>
              <w:jc w:val="center"/>
              <w:rPr>
                <w:rFonts w:eastAsia="Calibri" w:cstheme="minorHAnsi"/>
              </w:rPr>
            </w:pPr>
          </w:p>
        </w:tc>
        <w:tc>
          <w:tcPr>
            <w:tcW w:w="715"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7D026745"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6040B7B4" w14:textId="77777777" w:rsidR="00B613D4" w:rsidRPr="00E9498D" w:rsidRDefault="00B613D4" w:rsidP="00013D7D">
            <w:pPr>
              <w:spacing w:after="0" w:line="240" w:lineRule="auto"/>
              <w:jc w:val="center"/>
              <w:rPr>
                <w:rFonts w:eastAsia="Calibri" w:cstheme="minorHAnsi"/>
                <w:b/>
              </w:rPr>
            </w:pPr>
          </w:p>
        </w:tc>
        <w:tc>
          <w:tcPr>
            <w:tcW w:w="774" w:type="pct"/>
            <w:tcBorders>
              <w:top w:val="nil"/>
              <w:left w:val="nil"/>
              <w:bottom w:val="single" w:sz="8" w:space="0" w:color="auto"/>
              <w:right w:val="single" w:sz="8" w:space="0" w:color="auto"/>
            </w:tcBorders>
            <w:shd w:val="clear" w:color="auto" w:fill="BFBFBF" w:themeFill="background1" w:themeFillShade="BF"/>
            <w:vAlign w:val="center"/>
          </w:tcPr>
          <w:p w14:paraId="2DD45520" w14:textId="77777777" w:rsidR="00B613D4" w:rsidRPr="00E9498D" w:rsidRDefault="00B613D4" w:rsidP="00013D7D">
            <w:pPr>
              <w:spacing w:after="0" w:line="240" w:lineRule="auto"/>
              <w:jc w:val="center"/>
              <w:rPr>
                <w:rFonts w:eastAsiaTheme="minorHAnsi" w:cstheme="minorHAnsi"/>
                <w:b/>
              </w:rPr>
            </w:pPr>
          </w:p>
        </w:tc>
        <w:tc>
          <w:tcPr>
            <w:tcW w:w="773" w:type="pct"/>
            <w:tcBorders>
              <w:top w:val="nil"/>
              <w:left w:val="nil"/>
              <w:bottom w:val="single" w:sz="8" w:space="0" w:color="auto"/>
              <w:right w:val="single" w:sz="8" w:space="0" w:color="auto"/>
            </w:tcBorders>
            <w:vAlign w:val="center"/>
          </w:tcPr>
          <w:p w14:paraId="45D27335" w14:textId="77777777" w:rsidR="00B613D4" w:rsidRPr="00E9498D" w:rsidRDefault="00B613D4" w:rsidP="00013D7D">
            <w:pPr>
              <w:spacing w:after="0" w:line="240" w:lineRule="auto"/>
              <w:jc w:val="center"/>
              <w:rPr>
                <w:rFonts w:cstheme="minorHAnsi"/>
                <w:b/>
              </w:rPr>
            </w:pPr>
          </w:p>
        </w:tc>
      </w:tr>
      <w:tr w:rsidR="00B613D4" w:rsidRPr="00E9498D" w14:paraId="2C020B39" w14:textId="77777777" w:rsidTr="00013D7D">
        <w:trPr>
          <w:trHeight w:val="300"/>
        </w:trPr>
        <w:tc>
          <w:tcPr>
            <w:tcW w:w="114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7EAD69" w14:textId="77777777" w:rsidR="00B613D4" w:rsidRPr="00E9498D" w:rsidRDefault="00B613D4" w:rsidP="00013D7D">
            <w:pPr>
              <w:spacing w:after="0" w:line="240" w:lineRule="auto"/>
              <w:rPr>
                <w:rFonts w:cstheme="minorHAnsi"/>
              </w:rPr>
            </w:pPr>
            <w:r w:rsidRPr="00E9498D">
              <w:rPr>
                <w:rFonts w:cstheme="minorHAnsi"/>
              </w:rPr>
              <w:t>TOTAL</w:t>
            </w:r>
          </w:p>
        </w:tc>
        <w:tc>
          <w:tcPr>
            <w:tcW w:w="818" w:type="pct"/>
            <w:tcBorders>
              <w:top w:val="nil"/>
              <w:left w:val="nil"/>
              <w:bottom w:val="single" w:sz="8" w:space="0" w:color="auto"/>
              <w:right w:val="single" w:sz="8" w:space="0" w:color="auto"/>
            </w:tcBorders>
            <w:vAlign w:val="center"/>
          </w:tcPr>
          <w:p w14:paraId="44CF4FD0" w14:textId="77777777" w:rsidR="00B613D4" w:rsidRPr="00E9498D" w:rsidRDefault="00B613D4" w:rsidP="00013D7D">
            <w:pPr>
              <w:spacing w:after="0" w:line="240" w:lineRule="auto"/>
              <w:jc w:val="center"/>
              <w:rPr>
                <w:rFonts w:eastAsia="Calibri" w:cstheme="minorHAnsi"/>
              </w:rPr>
            </w:pPr>
          </w:p>
        </w:tc>
        <w:tc>
          <w:tcPr>
            <w:tcW w:w="71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35C104" w14:textId="77777777" w:rsidR="00B613D4" w:rsidRPr="00E9498D" w:rsidRDefault="00B613D4" w:rsidP="00013D7D">
            <w:pPr>
              <w:spacing w:after="0" w:line="240" w:lineRule="auto"/>
              <w:jc w:val="center"/>
              <w:rPr>
                <w:rFonts w:eastAsia="Calibri" w:cstheme="minorHAnsi"/>
              </w:rPr>
            </w:pPr>
          </w:p>
        </w:tc>
        <w:tc>
          <w:tcPr>
            <w:tcW w:w="7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3AAA39" w14:textId="77777777" w:rsidR="00B613D4" w:rsidRPr="00E9498D" w:rsidRDefault="00B613D4" w:rsidP="00013D7D">
            <w:pPr>
              <w:spacing w:after="0" w:line="240" w:lineRule="auto"/>
              <w:jc w:val="center"/>
              <w:rPr>
                <w:rFonts w:cstheme="minorHAnsi"/>
              </w:rPr>
            </w:pPr>
          </w:p>
        </w:tc>
        <w:tc>
          <w:tcPr>
            <w:tcW w:w="774" w:type="pct"/>
            <w:tcBorders>
              <w:top w:val="nil"/>
              <w:left w:val="nil"/>
              <w:bottom w:val="single" w:sz="8" w:space="0" w:color="auto"/>
              <w:right w:val="single" w:sz="8" w:space="0" w:color="auto"/>
            </w:tcBorders>
            <w:vAlign w:val="center"/>
          </w:tcPr>
          <w:p w14:paraId="2AA0F22C" w14:textId="77777777" w:rsidR="00B613D4" w:rsidRPr="00E9498D" w:rsidRDefault="00B613D4" w:rsidP="00013D7D">
            <w:pPr>
              <w:spacing w:after="0" w:line="240" w:lineRule="auto"/>
              <w:jc w:val="center"/>
              <w:rPr>
                <w:rFonts w:cstheme="minorHAnsi"/>
              </w:rPr>
            </w:pPr>
          </w:p>
        </w:tc>
        <w:tc>
          <w:tcPr>
            <w:tcW w:w="773" w:type="pct"/>
            <w:tcBorders>
              <w:top w:val="nil"/>
              <w:left w:val="nil"/>
              <w:bottom w:val="single" w:sz="8" w:space="0" w:color="auto"/>
              <w:right w:val="single" w:sz="8" w:space="0" w:color="auto"/>
            </w:tcBorders>
            <w:vAlign w:val="center"/>
            <w:hideMark/>
          </w:tcPr>
          <w:p w14:paraId="7B7754ED" w14:textId="4E93B7A6" w:rsidR="00B613D4" w:rsidRPr="00E9498D" w:rsidRDefault="00B613D4" w:rsidP="00013D7D">
            <w:pPr>
              <w:spacing w:after="0" w:line="240" w:lineRule="auto"/>
              <w:jc w:val="center"/>
              <w:rPr>
                <w:rFonts w:cstheme="minorHAnsi"/>
              </w:rPr>
            </w:pPr>
            <w:r w:rsidRPr="00E9498D">
              <w:rPr>
                <w:rFonts w:cstheme="minorHAnsi"/>
              </w:rPr>
              <w:t>$</w:t>
            </w:r>
            <w:r w:rsidR="00763948" w:rsidRPr="00E9498D">
              <w:rPr>
                <w:rFonts w:cstheme="minorHAnsi"/>
              </w:rPr>
              <w:t>86,179</w:t>
            </w:r>
          </w:p>
        </w:tc>
      </w:tr>
    </w:tbl>
    <w:p w14:paraId="27799FEF" w14:textId="2F01287F" w:rsidR="006B624F" w:rsidRPr="00E9498D" w:rsidRDefault="009747F4" w:rsidP="00AE20B3">
      <w:pPr>
        <w:spacing w:after="0" w:line="240" w:lineRule="auto"/>
        <w:rPr>
          <w:rFonts w:cstheme="minorHAnsi"/>
          <w:color w:val="002060"/>
          <w:sz w:val="18"/>
          <w:szCs w:val="18"/>
        </w:rPr>
      </w:pPr>
      <w:r w:rsidRPr="00E9498D">
        <w:rPr>
          <w:rFonts w:cstheme="minorHAnsi"/>
          <w:sz w:val="18"/>
          <w:szCs w:val="18"/>
        </w:rPr>
        <w:t>*</w:t>
      </w:r>
      <w:r w:rsidR="00A466BD" w:rsidRPr="00E9498D">
        <w:rPr>
          <w:rFonts w:cstheme="minorHAnsi"/>
          <w:sz w:val="18"/>
          <w:szCs w:val="18"/>
        </w:rPr>
        <w:t>T</w:t>
      </w:r>
      <w:r w:rsidRPr="00E9498D">
        <w:rPr>
          <w:rFonts w:cstheme="minorHAnsi"/>
          <w:sz w:val="18"/>
          <w:szCs w:val="18"/>
        </w:rPr>
        <w:t xml:space="preserve">he </w:t>
      </w:r>
      <w:r w:rsidR="00AF64AC" w:rsidRPr="00E9498D">
        <w:rPr>
          <w:rFonts w:cstheme="minorHAnsi"/>
          <w:sz w:val="18"/>
          <w:szCs w:val="18"/>
        </w:rPr>
        <w:t>s</w:t>
      </w:r>
      <w:r w:rsidRPr="00E9498D">
        <w:rPr>
          <w:rFonts w:cstheme="minorHAnsi"/>
          <w:sz w:val="18"/>
          <w:szCs w:val="18"/>
        </w:rPr>
        <w:t>alary</w:t>
      </w:r>
      <w:r w:rsidR="00AF64AC" w:rsidRPr="00E9498D">
        <w:rPr>
          <w:rFonts w:cstheme="minorHAnsi"/>
          <w:sz w:val="18"/>
          <w:szCs w:val="18"/>
        </w:rPr>
        <w:t xml:space="preserve"> reported in</w:t>
      </w:r>
      <w:r w:rsidRPr="00E9498D">
        <w:rPr>
          <w:rFonts w:cstheme="minorHAnsi"/>
          <w:sz w:val="18"/>
          <w:szCs w:val="18"/>
        </w:rPr>
        <w:t xml:space="preserve"> table </w:t>
      </w:r>
      <w:r w:rsidR="00AF64AC" w:rsidRPr="00E9498D">
        <w:rPr>
          <w:rFonts w:cstheme="minorHAnsi"/>
          <w:sz w:val="18"/>
          <w:szCs w:val="18"/>
        </w:rPr>
        <w:t>A.14-1</w:t>
      </w:r>
      <w:r w:rsidRPr="00E9498D">
        <w:rPr>
          <w:rFonts w:cstheme="minorHAnsi"/>
          <w:sz w:val="18"/>
          <w:szCs w:val="18"/>
        </w:rPr>
        <w:t xml:space="preserve"> is cited from </w:t>
      </w:r>
      <w:hyperlink r:id="rId18" w:history="1">
        <w:r w:rsidR="00763948" w:rsidRPr="00E9498D">
          <w:rPr>
            <w:rStyle w:val="Hyperlink"/>
            <w:rFonts w:cstheme="minorHAnsi"/>
            <w:sz w:val="18"/>
            <w:szCs w:val="18"/>
          </w:rPr>
          <w:t>https://www.opm.gov/policy-data-oversight/pay-leave/salaries-wages/salary-tables/19Tables/html/DCB.aspx</w:t>
        </w:r>
      </w:hyperlink>
      <w:r w:rsidR="00763948" w:rsidRPr="00E9498D">
        <w:rPr>
          <w:rFonts w:cstheme="minorHAnsi"/>
          <w:sz w:val="18"/>
          <w:szCs w:val="18"/>
        </w:rPr>
        <w:t>.</w:t>
      </w:r>
    </w:p>
    <w:p w14:paraId="134E7E5A" w14:textId="77777777" w:rsidR="0037291F" w:rsidRPr="00E9498D" w:rsidRDefault="0037291F" w:rsidP="00784374">
      <w:pPr>
        <w:spacing w:after="0" w:line="480" w:lineRule="auto"/>
        <w:rPr>
          <w:rFonts w:cstheme="minorHAnsi"/>
          <w:sz w:val="24"/>
          <w:szCs w:val="24"/>
        </w:rPr>
      </w:pPr>
    </w:p>
    <w:p w14:paraId="4551EBE8" w14:textId="77777777" w:rsidR="00FF72FC" w:rsidRPr="00E9498D" w:rsidRDefault="00FF72FC" w:rsidP="00784374">
      <w:pPr>
        <w:spacing w:after="0" w:line="480" w:lineRule="auto"/>
        <w:rPr>
          <w:rFonts w:cstheme="minorHAnsi"/>
          <w:b/>
          <w:sz w:val="24"/>
          <w:szCs w:val="24"/>
        </w:rPr>
      </w:pPr>
      <w:r w:rsidRPr="00E9498D">
        <w:rPr>
          <w:rFonts w:cstheme="minorHAnsi"/>
          <w:b/>
          <w:sz w:val="24"/>
          <w:szCs w:val="24"/>
        </w:rPr>
        <w:t>A.15</w:t>
      </w:r>
      <w:r w:rsidRPr="00E9498D">
        <w:rPr>
          <w:rFonts w:cstheme="minorHAnsi"/>
          <w:b/>
          <w:sz w:val="24"/>
          <w:szCs w:val="24"/>
        </w:rPr>
        <w:tab/>
        <w:t>Explanation for Program Changes or Adjustments</w:t>
      </w:r>
    </w:p>
    <w:p w14:paraId="13EEC573" w14:textId="328553D6" w:rsidR="00A90EFA" w:rsidRPr="00164857" w:rsidRDefault="00A90EFA" w:rsidP="00A90EFA">
      <w:pPr>
        <w:spacing w:after="0" w:line="480" w:lineRule="auto"/>
        <w:ind w:firstLine="720"/>
        <w:rPr>
          <w:rFonts w:cstheme="minorHAnsi"/>
          <w:color w:val="000000"/>
          <w:sz w:val="24"/>
          <w:szCs w:val="24"/>
          <w:highlight w:val="yellow"/>
        </w:rPr>
      </w:pPr>
      <w:r w:rsidRPr="00164857">
        <w:rPr>
          <w:rFonts w:cstheme="minorHAnsi"/>
          <w:color w:val="000000"/>
          <w:sz w:val="24"/>
          <w:szCs w:val="24"/>
          <w:highlight w:val="yellow"/>
        </w:rPr>
        <w:t>The slight increase in burden hours relates to an increase in the number of U.S.</w:t>
      </w:r>
      <w:r w:rsidR="00164857" w:rsidRPr="00164857">
        <w:rPr>
          <w:rFonts w:cstheme="minorHAnsi"/>
          <w:color w:val="000000"/>
          <w:sz w:val="24"/>
          <w:szCs w:val="24"/>
          <w:highlight w:val="yellow"/>
        </w:rPr>
        <w:t xml:space="preserve"> </w:t>
      </w:r>
      <w:r w:rsidRPr="00164857">
        <w:rPr>
          <w:rFonts w:cstheme="minorHAnsi"/>
          <w:color w:val="000000"/>
          <w:sz w:val="24"/>
          <w:szCs w:val="24"/>
          <w:highlight w:val="yellow"/>
        </w:rPr>
        <w:t xml:space="preserve">respondents combined with an increase in the number of projects reported by international </w:t>
      </w:r>
      <w:r w:rsidR="00164857" w:rsidRPr="00164857">
        <w:rPr>
          <w:rFonts w:cstheme="minorHAnsi"/>
          <w:color w:val="000000"/>
          <w:sz w:val="24"/>
          <w:szCs w:val="24"/>
          <w:highlight w:val="yellow"/>
        </w:rPr>
        <w:t>respondents</w:t>
      </w:r>
      <w:r w:rsidRPr="00164857">
        <w:rPr>
          <w:rFonts w:cstheme="minorHAnsi"/>
          <w:color w:val="000000"/>
          <w:sz w:val="24"/>
          <w:szCs w:val="24"/>
          <w:highlight w:val="yellow"/>
        </w:rPr>
        <w:t>:</w:t>
      </w:r>
    </w:p>
    <w:p w14:paraId="4A19898B" w14:textId="77777777" w:rsidR="00A90EFA" w:rsidRPr="00164857" w:rsidRDefault="00A90EFA" w:rsidP="00A90EFA">
      <w:pPr>
        <w:numPr>
          <w:ilvl w:val="0"/>
          <w:numId w:val="14"/>
        </w:numPr>
        <w:spacing w:after="0" w:line="480" w:lineRule="auto"/>
        <w:rPr>
          <w:rFonts w:cstheme="minorHAnsi"/>
          <w:color w:val="000000"/>
          <w:sz w:val="24"/>
          <w:szCs w:val="24"/>
          <w:highlight w:val="yellow"/>
        </w:rPr>
      </w:pPr>
      <w:r w:rsidRPr="00164857">
        <w:rPr>
          <w:rFonts w:cstheme="minorHAnsi"/>
          <w:color w:val="000000"/>
          <w:sz w:val="24"/>
          <w:szCs w:val="24"/>
          <w:highlight w:val="yellow"/>
          <w:u w:val="single"/>
        </w:rPr>
        <w:t>U.S. Funders.</w:t>
      </w:r>
      <w:r w:rsidRPr="00164857">
        <w:rPr>
          <w:rFonts w:cstheme="minorHAnsi"/>
          <w:color w:val="000000"/>
          <w:sz w:val="24"/>
          <w:szCs w:val="24"/>
          <w:highlight w:val="yellow"/>
        </w:rPr>
        <w:t xml:space="preserve">  The number of projects for the “Federal” and “Private” categories was estimated based on the number of projects reported by these funders in the </w:t>
      </w:r>
      <w:bookmarkStart w:id="26" w:name="OLE_LINK2"/>
      <w:bookmarkStart w:id="27" w:name="OLE_LINK1"/>
      <w:r w:rsidRPr="00164857">
        <w:rPr>
          <w:rFonts w:cstheme="minorHAnsi"/>
          <w:i/>
          <w:color w:val="000000"/>
          <w:sz w:val="24"/>
          <w:szCs w:val="24"/>
          <w:highlight w:val="yellow"/>
        </w:rPr>
        <w:t>2016 ASD Research Portfolio Analysis</w:t>
      </w:r>
      <w:bookmarkEnd w:id="26"/>
      <w:bookmarkEnd w:id="27"/>
      <w:r w:rsidRPr="00164857">
        <w:rPr>
          <w:rFonts w:cstheme="minorHAnsi"/>
          <w:i/>
          <w:color w:val="000000"/>
          <w:sz w:val="24"/>
          <w:szCs w:val="24"/>
          <w:highlight w:val="yellow"/>
        </w:rPr>
        <w:t xml:space="preserve"> Report,</w:t>
      </w:r>
      <w:r w:rsidRPr="00164857">
        <w:rPr>
          <w:rFonts w:cstheme="minorHAnsi"/>
          <w:color w:val="000000"/>
          <w:sz w:val="24"/>
          <w:szCs w:val="24"/>
          <w:highlight w:val="yellow"/>
        </w:rPr>
        <w:t xml:space="preserve"> since the same funders will be included in OARC’s proposed expanded analyses.  </w:t>
      </w:r>
    </w:p>
    <w:p w14:paraId="50BE7F3F" w14:textId="77777777" w:rsidR="00A90EFA" w:rsidRPr="00E9498D" w:rsidRDefault="00A90EFA" w:rsidP="00A90EFA">
      <w:pPr>
        <w:pStyle w:val="ListParagraph"/>
        <w:numPr>
          <w:ilvl w:val="0"/>
          <w:numId w:val="14"/>
        </w:numPr>
        <w:spacing w:after="0" w:line="480" w:lineRule="auto"/>
        <w:rPr>
          <w:rFonts w:cstheme="minorHAnsi"/>
          <w:sz w:val="24"/>
          <w:szCs w:val="24"/>
        </w:rPr>
      </w:pPr>
      <w:r w:rsidRPr="00164857">
        <w:rPr>
          <w:rFonts w:cstheme="minorHAnsi"/>
          <w:color w:val="000000"/>
          <w:sz w:val="24"/>
          <w:szCs w:val="24"/>
          <w:highlight w:val="yellow"/>
          <w:u w:val="single"/>
        </w:rPr>
        <w:t>International Funders.</w:t>
      </w:r>
      <w:r w:rsidRPr="00164857">
        <w:rPr>
          <w:rFonts w:cstheme="minorHAnsi"/>
          <w:color w:val="000000"/>
          <w:sz w:val="24"/>
          <w:szCs w:val="24"/>
          <w:highlight w:val="yellow"/>
        </w:rPr>
        <w:t xml:space="preserve">  The first international </w:t>
      </w:r>
      <w:r w:rsidRPr="00E9498D">
        <w:rPr>
          <w:rFonts w:cstheme="minorHAnsi"/>
          <w:color w:val="000000"/>
          <w:sz w:val="24"/>
          <w:szCs w:val="24"/>
          <w:highlight w:val="yellow"/>
        </w:rPr>
        <w:t>portfolio analysis was performed using 2016 ASD research project information.  Data was included from the United States, the United Kingdom, Canada, and Australia.  Data collection methods varied among the countries.  For the U.S., data had already been collected for 2016 using current data collection methods and did not require any new requests.  For Canada, OARC used the same data collection method used with U.S. funders; one federal funder and two private funders were included in the international portfolio.  The United Kingdom and Australia gathered funder data from a database that already maintained all the ASD research project information needed, therefore, not burdening funders with additional requests.  Based on the 2016 international portfolio analysis, only 3 additional funders were contacted to provide ASD research project information.</w:t>
      </w:r>
      <w:r w:rsidRPr="00E9498D">
        <w:rPr>
          <w:rFonts w:cstheme="minorHAnsi"/>
          <w:sz w:val="24"/>
          <w:szCs w:val="24"/>
        </w:rPr>
        <w:t xml:space="preserve">     </w:t>
      </w:r>
    </w:p>
    <w:p w14:paraId="4912A666" w14:textId="77777777" w:rsidR="00FF72FC" w:rsidRPr="00E9498D" w:rsidRDefault="00FF72FC" w:rsidP="00784374">
      <w:pPr>
        <w:pStyle w:val="Heading2"/>
        <w:tabs>
          <w:tab w:val="left" w:pos="720"/>
        </w:tabs>
        <w:spacing w:before="0" w:line="480" w:lineRule="auto"/>
        <w:rPr>
          <w:rFonts w:asciiTheme="minorHAnsi" w:hAnsiTheme="minorHAnsi" w:cstheme="minorHAnsi"/>
          <w:b/>
          <w:color w:val="auto"/>
          <w:sz w:val="24"/>
          <w:szCs w:val="24"/>
        </w:rPr>
      </w:pPr>
      <w:bookmarkStart w:id="28" w:name="_Toc443881759"/>
      <w:bookmarkStart w:id="29" w:name="_Toc451592246"/>
      <w:bookmarkStart w:id="30" w:name="_Toc5610287"/>
      <w:bookmarkStart w:id="31" w:name="_Toc99178793"/>
      <w:r w:rsidRPr="00E9498D">
        <w:rPr>
          <w:rFonts w:asciiTheme="minorHAnsi" w:hAnsiTheme="minorHAnsi" w:cstheme="minorHAnsi"/>
          <w:b/>
          <w:color w:val="auto"/>
          <w:sz w:val="24"/>
          <w:szCs w:val="24"/>
        </w:rPr>
        <w:t>A.16</w:t>
      </w:r>
      <w:r w:rsidRPr="00E9498D">
        <w:rPr>
          <w:rFonts w:asciiTheme="minorHAnsi" w:hAnsiTheme="minorHAnsi" w:cstheme="minorHAnsi"/>
          <w:b/>
          <w:color w:val="auto"/>
          <w:sz w:val="24"/>
          <w:szCs w:val="24"/>
        </w:rPr>
        <w:tab/>
        <w:t>Plans for Tabulation and Publication and Project Time Schedule</w:t>
      </w:r>
      <w:bookmarkEnd w:id="28"/>
      <w:bookmarkEnd w:id="29"/>
      <w:bookmarkEnd w:id="30"/>
      <w:bookmarkEnd w:id="31"/>
    </w:p>
    <w:p w14:paraId="3190C2B4" w14:textId="2E7C7823" w:rsidR="00B613D4" w:rsidRPr="00E9498D" w:rsidRDefault="00B613D4" w:rsidP="00784374">
      <w:pPr>
        <w:pStyle w:val="BodyText"/>
        <w:spacing w:before="0" w:after="0" w:line="480" w:lineRule="auto"/>
        <w:ind w:firstLine="720"/>
        <w:rPr>
          <w:rFonts w:asciiTheme="minorHAnsi" w:hAnsiTheme="minorHAnsi" w:cstheme="minorHAnsi"/>
          <w:lang w:val="en-US"/>
        </w:rPr>
      </w:pPr>
      <w:r w:rsidRPr="00E9498D">
        <w:rPr>
          <w:rFonts w:asciiTheme="minorHAnsi" w:hAnsiTheme="minorHAnsi" w:cstheme="minorHAnsi"/>
        </w:rPr>
        <w:t xml:space="preserve">Information collected from ASD research funders will provide the basis for future </w:t>
      </w:r>
      <w:r w:rsidRPr="00E9498D">
        <w:rPr>
          <w:rFonts w:asciiTheme="minorHAnsi" w:hAnsiTheme="minorHAnsi" w:cstheme="minorHAnsi"/>
          <w:i/>
        </w:rPr>
        <w:t>Portfolio Analysis Reports</w:t>
      </w:r>
      <w:r w:rsidRPr="00E9498D">
        <w:rPr>
          <w:rFonts w:asciiTheme="minorHAnsi" w:hAnsiTheme="minorHAnsi" w:cstheme="minorHAnsi"/>
        </w:rPr>
        <w:t xml:space="preserve"> which OARC produces on behalf of the IACC.  Data received from the funders are checked for completeness by OARC staff.  The coding of projects according to the </w:t>
      </w:r>
      <w:r w:rsidRPr="00E9498D">
        <w:rPr>
          <w:rFonts w:asciiTheme="minorHAnsi" w:hAnsiTheme="minorHAnsi" w:cstheme="minorHAnsi"/>
          <w:i/>
        </w:rPr>
        <w:t>IACC Strategic Plan</w:t>
      </w:r>
      <w:r w:rsidRPr="00E9498D">
        <w:rPr>
          <w:rFonts w:asciiTheme="minorHAnsi" w:hAnsiTheme="minorHAnsi" w:cstheme="minorHAnsi"/>
          <w:i/>
          <w:lang w:val="en-US"/>
        </w:rPr>
        <w:t xml:space="preserve"> for ASD </w:t>
      </w:r>
      <w:r w:rsidRPr="00E9498D">
        <w:rPr>
          <w:rFonts w:asciiTheme="minorHAnsi" w:hAnsiTheme="minorHAnsi" w:cstheme="minorHAnsi"/>
        </w:rPr>
        <w:t xml:space="preserve">is also assessed to ensure that the codes have been applied consistently between funders.  The </w:t>
      </w:r>
      <w:r w:rsidRPr="00E9498D">
        <w:rPr>
          <w:rFonts w:asciiTheme="minorHAnsi" w:hAnsiTheme="minorHAnsi" w:cstheme="minorHAnsi"/>
          <w:i/>
        </w:rPr>
        <w:t>IACC Strategic Plan</w:t>
      </w:r>
      <w:r w:rsidRPr="00E9498D">
        <w:rPr>
          <w:rFonts w:asciiTheme="minorHAnsi" w:hAnsiTheme="minorHAnsi" w:cstheme="minorHAnsi"/>
        </w:rPr>
        <w:t xml:space="preserve"> is organized into seven </w:t>
      </w:r>
      <w:r w:rsidR="001655A0" w:rsidRPr="00E9498D">
        <w:rPr>
          <w:rFonts w:asciiTheme="minorHAnsi" w:hAnsiTheme="minorHAnsi" w:cstheme="minorHAnsi"/>
          <w:lang w:val="en-US"/>
        </w:rPr>
        <w:t>community</w:t>
      </w:r>
      <w:r w:rsidRPr="00E9498D">
        <w:rPr>
          <w:rFonts w:asciiTheme="minorHAnsi" w:hAnsiTheme="minorHAnsi" w:cstheme="minorHAnsi"/>
        </w:rPr>
        <w:t xml:space="preserve">-focused research questions. Within each question is a set of specific research objectives, along with a recommended funding amount for each objective.  Once all data are assembled, the total funding amounts for each objective in the </w:t>
      </w:r>
      <w:r w:rsidRPr="00E9498D">
        <w:rPr>
          <w:rFonts w:asciiTheme="minorHAnsi" w:hAnsiTheme="minorHAnsi" w:cstheme="minorHAnsi"/>
          <w:i/>
        </w:rPr>
        <w:t>IACC Strategic Plan</w:t>
      </w:r>
      <w:r w:rsidRPr="00E9498D">
        <w:rPr>
          <w:rFonts w:asciiTheme="minorHAnsi" w:hAnsiTheme="minorHAnsi" w:cstheme="minorHAnsi"/>
        </w:rPr>
        <w:t xml:space="preserve"> are summed and the data are analyzed in terms of the </w:t>
      </w:r>
      <w:r w:rsidRPr="00E9498D">
        <w:rPr>
          <w:rFonts w:asciiTheme="minorHAnsi" w:hAnsiTheme="minorHAnsi" w:cstheme="minorHAnsi"/>
          <w:lang w:val="en-US"/>
        </w:rPr>
        <w:t xml:space="preserve">total projects and </w:t>
      </w:r>
      <w:r w:rsidRPr="00E9498D">
        <w:rPr>
          <w:rFonts w:asciiTheme="minorHAnsi" w:hAnsiTheme="minorHAnsi" w:cstheme="minorHAnsi"/>
        </w:rPr>
        <w:t xml:space="preserve">funding </w:t>
      </w:r>
      <w:r w:rsidRPr="00E9498D">
        <w:rPr>
          <w:rFonts w:asciiTheme="minorHAnsi" w:hAnsiTheme="minorHAnsi" w:cstheme="minorHAnsi"/>
          <w:lang w:val="en-US"/>
        </w:rPr>
        <w:t xml:space="preserve">that correspond with </w:t>
      </w:r>
      <w:r w:rsidRPr="00E9498D">
        <w:rPr>
          <w:rFonts w:asciiTheme="minorHAnsi" w:hAnsiTheme="minorHAnsi" w:cstheme="minorHAnsi"/>
        </w:rPr>
        <w:t xml:space="preserve">each objective.  In the final report, descriptive comparisons to previous years of funding or coverage of objectives are made when applicable.  In an additional layer of analysis, each autism research project is also assigned to a research subcategory that provides a more detailed breakdown of the types and subject matter of the funded research.  </w:t>
      </w:r>
    </w:p>
    <w:p w14:paraId="198A3EFF" w14:textId="3E443A88" w:rsidR="00B613D4" w:rsidRPr="00E9498D" w:rsidRDefault="00B613D4" w:rsidP="00784374">
      <w:pPr>
        <w:spacing w:after="0" w:line="480" w:lineRule="auto"/>
        <w:rPr>
          <w:rFonts w:cstheme="minorHAnsi"/>
          <w:sz w:val="24"/>
          <w:szCs w:val="24"/>
        </w:rPr>
      </w:pPr>
      <w:r w:rsidRPr="00E9498D">
        <w:rPr>
          <w:rFonts w:cstheme="minorHAnsi"/>
          <w:sz w:val="24"/>
          <w:szCs w:val="24"/>
        </w:rPr>
        <w:tab/>
        <w:t>The ASD portfolio analysis will be an ongoing, annual (for U.S funders) and triennial (for international funders) data collection process.  The plan is to begin data collection after OMB approval is received. The project schedule for completing data collection, processing, and data analysis is presented in Table A.16-1.</w:t>
      </w:r>
    </w:p>
    <w:p w14:paraId="5A865483" w14:textId="36C9A248" w:rsidR="00EF2CC8" w:rsidRPr="00E9498D" w:rsidRDefault="00EF2CC8" w:rsidP="00AE20B3">
      <w:pPr>
        <w:spacing w:after="0" w:line="480" w:lineRule="auto"/>
        <w:jc w:val="center"/>
        <w:rPr>
          <w:rFonts w:cstheme="minorHAnsi"/>
          <w:sz w:val="24"/>
          <w:szCs w:val="24"/>
          <w:u w:val="single"/>
        </w:rPr>
      </w:pPr>
      <w:r w:rsidRPr="00E9498D">
        <w:rPr>
          <w:rFonts w:cstheme="minorHAnsi"/>
          <w:sz w:val="24"/>
          <w:szCs w:val="24"/>
          <w:u w:val="single"/>
        </w:rPr>
        <w:t>Table A.16-1 Project Time Schedule</w:t>
      </w:r>
    </w:p>
    <w:tbl>
      <w:tblPr>
        <w:tblW w:w="5000" w:type="pct"/>
        <w:jc w:val="center"/>
        <w:tblCellMar>
          <w:left w:w="120" w:type="dxa"/>
          <w:right w:w="120" w:type="dxa"/>
        </w:tblCellMar>
        <w:tblLook w:val="04A0" w:firstRow="1" w:lastRow="0" w:firstColumn="1" w:lastColumn="0" w:noHBand="0" w:noVBand="1"/>
      </w:tblPr>
      <w:tblGrid>
        <w:gridCol w:w="4386"/>
        <w:gridCol w:w="5502"/>
      </w:tblGrid>
      <w:tr w:rsidR="00B613D4" w:rsidRPr="00E9498D" w14:paraId="5056E025" w14:textId="77777777" w:rsidTr="00013D7D">
        <w:trPr>
          <w:cantSplit/>
          <w:trHeight w:val="403"/>
          <w:jc w:val="center"/>
        </w:trPr>
        <w:tc>
          <w:tcPr>
            <w:tcW w:w="2218" w:type="pct"/>
            <w:tcBorders>
              <w:top w:val="single" w:sz="6" w:space="0" w:color="auto"/>
              <w:left w:val="single" w:sz="4" w:space="0" w:color="auto"/>
              <w:bottom w:val="nil"/>
              <w:right w:val="nil"/>
            </w:tcBorders>
            <w:shd w:val="pct5" w:color="auto" w:fill="FFFFFF"/>
            <w:vAlign w:val="center"/>
            <w:hideMark/>
          </w:tcPr>
          <w:p w14:paraId="5B344F3A"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Activity</w:t>
            </w:r>
          </w:p>
        </w:tc>
        <w:tc>
          <w:tcPr>
            <w:tcW w:w="2782" w:type="pct"/>
            <w:tcBorders>
              <w:top w:val="single" w:sz="6" w:space="0" w:color="auto"/>
              <w:left w:val="single" w:sz="6" w:space="0" w:color="auto"/>
              <w:bottom w:val="nil"/>
              <w:right w:val="single" w:sz="4" w:space="0" w:color="auto"/>
            </w:tcBorders>
            <w:shd w:val="pct5" w:color="auto" w:fill="FFFFFF"/>
            <w:vAlign w:val="center"/>
            <w:hideMark/>
          </w:tcPr>
          <w:p w14:paraId="00D040E9"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Time Schedule</w:t>
            </w:r>
          </w:p>
        </w:tc>
      </w:tr>
      <w:tr w:rsidR="00B613D4" w:rsidRPr="00E9498D" w14:paraId="27B90BE5" w14:textId="77777777" w:rsidTr="00013D7D">
        <w:trPr>
          <w:cantSplit/>
          <w:trHeight w:val="403"/>
          <w:jc w:val="center"/>
        </w:trPr>
        <w:tc>
          <w:tcPr>
            <w:tcW w:w="2218" w:type="pct"/>
            <w:tcBorders>
              <w:top w:val="single" w:sz="6" w:space="0" w:color="auto"/>
              <w:left w:val="single" w:sz="4" w:space="0" w:color="auto"/>
              <w:bottom w:val="nil"/>
              <w:right w:val="nil"/>
            </w:tcBorders>
            <w:shd w:val="clear" w:color="auto" w:fill="FFFFFF"/>
            <w:vAlign w:val="center"/>
            <w:hideMark/>
          </w:tcPr>
          <w:p w14:paraId="2FE1B972" w14:textId="77777777" w:rsidR="00B613D4" w:rsidRPr="00E9498D" w:rsidRDefault="00B613D4" w:rsidP="00013D7D">
            <w:pPr>
              <w:spacing w:after="0" w:line="240" w:lineRule="auto"/>
              <w:rPr>
                <w:rFonts w:eastAsia="Times New Roman" w:cstheme="minorHAnsi"/>
                <w:color w:val="000000" w:themeColor="text1"/>
              </w:rPr>
            </w:pPr>
            <w:r w:rsidRPr="00E9498D">
              <w:rPr>
                <w:rFonts w:cstheme="minorHAnsi"/>
              </w:rPr>
              <w:t>Begin data collection from ASD funders</w:t>
            </w:r>
          </w:p>
        </w:tc>
        <w:tc>
          <w:tcPr>
            <w:tcW w:w="2782" w:type="pct"/>
            <w:tcBorders>
              <w:top w:val="single" w:sz="6" w:space="0" w:color="auto"/>
              <w:left w:val="single" w:sz="6" w:space="0" w:color="auto"/>
              <w:bottom w:val="nil"/>
              <w:right w:val="single" w:sz="4" w:space="0" w:color="auto"/>
            </w:tcBorders>
            <w:shd w:val="clear" w:color="auto" w:fill="FFFFFF"/>
            <w:vAlign w:val="center"/>
            <w:hideMark/>
          </w:tcPr>
          <w:p w14:paraId="01940CBB"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2 - 4 weeks after OMB approval</w:t>
            </w:r>
          </w:p>
        </w:tc>
      </w:tr>
      <w:tr w:rsidR="00B613D4" w:rsidRPr="00E9498D" w14:paraId="25ED210D" w14:textId="77777777" w:rsidTr="00013D7D">
        <w:trPr>
          <w:cantSplit/>
          <w:trHeight w:val="403"/>
          <w:jc w:val="center"/>
        </w:trPr>
        <w:tc>
          <w:tcPr>
            <w:tcW w:w="2218" w:type="pct"/>
            <w:tcBorders>
              <w:top w:val="single" w:sz="6" w:space="0" w:color="auto"/>
              <w:left w:val="single" w:sz="4" w:space="0" w:color="auto"/>
              <w:bottom w:val="nil"/>
              <w:right w:val="nil"/>
            </w:tcBorders>
            <w:shd w:val="clear" w:color="auto" w:fill="FFFFFF"/>
            <w:vAlign w:val="center"/>
            <w:hideMark/>
          </w:tcPr>
          <w:p w14:paraId="010A1F3F" w14:textId="77777777" w:rsidR="00B613D4" w:rsidRPr="00E9498D" w:rsidRDefault="00B613D4" w:rsidP="00013D7D">
            <w:pPr>
              <w:spacing w:after="0" w:line="240" w:lineRule="auto"/>
              <w:rPr>
                <w:rFonts w:eastAsia="Times New Roman" w:cstheme="minorHAnsi"/>
                <w:color w:val="000000" w:themeColor="text1"/>
              </w:rPr>
            </w:pPr>
            <w:r w:rsidRPr="00E9498D">
              <w:rPr>
                <w:rFonts w:cstheme="minorHAnsi"/>
              </w:rPr>
              <w:t>Finish data collection from ASD Funders</w:t>
            </w:r>
          </w:p>
        </w:tc>
        <w:tc>
          <w:tcPr>
            <w:tcW w:w="2782" w:type="pct"/>
            <w:tcBorders>
              <w:top w:val="single" w:sz="6" w:space="0" w:color="auto"/>
              <w:left w:val="single" w:sz="6" w:space="0" w:color="auto"/>
              <w:bottom w:val="nil"/>
              <w:right w:val="single" w:sz="4" w:space="0" w:color="auto"/>
            </w:tcBorders>
            <w:shd w:val="clear" w:color="auto" w:fill="FFFFFF"/>
            <w:vAlign w:val="center"/>
            <w:hideMark/>
          </w:tcPr>
          <w:p w14:paraId="7C5D64B3"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1 – 3 months after OMB approval</w:t>
            </w:r>
          </w:p>
        </w:tc>
      </w:tr>
      <w:tr w:rsidR="00B613D4" w:rsidRPr="00E9498D" w14:paraId="4336BD3E" w14:textId="77777777" w:rsidTr="00013D7D">
        <w:trPr>
          <w:cantSplit/>
          <w:trHeight w:val="403"/>
          <w:jc w:val="center"/>
        </w:trPr>
        <w:tc>
          <w:tcPr>
            <w:tcW w:w="2218" w:type="pct"/>
            <w:tcBorders>
              <w:top w:val="single" w:sz="6" w:space="0" w:color="auto"/>
              <w:left w:val="single" w:sz="4" w:space="0" w:color="auto"/>
              <w:bottom w:val="nil"/>
              <w:right w:val="nil"/>
            </w:tcBorders>
            <w:shd w:val="clear" w:color="auto" w:fill="FFFFFF"/>
            <w:vAlign w:val="center"/>
            <w:hideMark/>
          </w:tcPr>
          <w:p w14:paraId="1519BA47" w14:textId="77777777" w:rsidR="00B613D4" w:rsidRPr="00E9498D" w:rsidRDefault="00B613D4" w:rsidP="00013D7D">
            <w:pPr>
              <w:spacing w:after="0" w:line="240" w:lineRule="auto"/>
              <w:rPr>
                <w:rFonts w:eastAsia="Times New Roman" w:cstheme="minorHAnsi"/>
                <w:color w:val="000000" w:themeColor="text1"/>
              </w:rPr>
            </w:pPr>
            <w:r w:rsidRPr="00E9498D">
              <w:rPr>
                <w:rFonts w:cstheme="minorHAnsi"/>
              </w:rPr>
              <w:t>Data analysis by OARC</w:t>
            </w:r>
          </w:p>
        </w:tc>
        <w:tc>
          <w:tcPr>
            <w:tcW w:w="2782" w:type="pct"/>
            <w:tcBorders>
              <w:top w:val="single" w:sz="6" w:space="0" w:color="auto"/>
              <w:left w:val="single" w:sz="6" w:space="0" w:color="auto"/>
              <w:bottom w:val="nil"/>
              <w:right w:val="single" w:sz="4" w:space="0" w:color="auto"/>
            </w:tcBorders>
            <w:shd w:val="clear" w:color="auto" w:fill="FFFFFF"/>
            <w:vAlign w:val="center"/>
            <w:hideMark/>
          </w:tcPr>
          <w:p w14:paraId="170C055F"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3 - 4 months after OMB approval</w:t>
            </w:r>
          </w:p>
        </w:tc>
      </w:tr>
      <w:tr w:rsidR="00B613D4" w:rsidRPr="00E9498D" w14:paraId="34A3FE67" w14:textId="77777777" w:rsidTr="00013D7D">
        <w:trPr>
          <w:cantSplit/>
          <w:trHeight w:val="403"/>
          <w:jc w:val="center"/>
        </w:trPr>
        <w:tc>
          <w:tcPr>
            <w:tcW w:w="2218" w:type="pct"/>
            <w:tcBorders>
              <w:top w:val="single" w:sz="6" w:space="0" w:color="auto"/>
              <w:left w:val="single" w:sz="4" w:space="0" w:color="auto"/>
              <w:bottom w:val="nil"/>
              <w:right w:val="nil"/>
            </w:tcBorders>
            <w:shd w:val="clear" w:color="auto" w:fill="FFFFFF"/>
            <w:vAlign w:val="center"/>
            <w:hideMark/>
          </w:tcPr>
          <w:p w14:paraId="2606C20D" w14:textId="77777777" w:rsidR="00B613D4" w:rsidRPr="00E9498D" w:rsidRDefault="00B613D4" w:rsidP="00013D7D">
            <w:pPr>
              <w:spacing w:after="0" w:line="240" w:lineRule="auto"/>
              <w:rPr>
                <w:rFonts w:eastAsia="Times New Roman" w:cstheme="minorHAnsi"/>
                <w:color w:val="000000" w:themeColor="text1"/>
              </w:rPr>
            </w:pPr>
            <w:r w:rsidRPr="00E9498D">
              <w:rPr>
                <w:rFonts w:cstheme="minorHAnsi"/>
              </w:rPr>
              <w:t>Writing the Portfolio Analysis Report</w:t>
            </w:r>
          </w:p>
        </w:tc>
        <w:tc>
          <w:tcPr>
            <w:tcW w:w="2782" w:type="pct"/>
            <w:tcBorders>
              <w:top w:val="single" w:sz="6" w:space="0" w:color="auto"/>
              <w:left w:val="single" w:sz="6" w:space="0" w:color="auto"/>
              <w:bottom w:val="nil"/>
              <w:right w:val="single" w:sz="4" w:space="0" w:color="auto"/>
            </w:tcBorders>
            <w:shd w:val="clear" w:color="auto" w:fill="FFFFFF"/>
            <w:vAlign w:val="center"/>
            <w:hideMark/>
          </w:tcPr>
          <w:p w14:paraId="6C4F2DFC"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5 - 6 months after OMB approval</w:t>
            </w:r>
          </w:p>
        </w:tc>
      </w:tr>
      <w:tr w:rsidR="00B613D4" w:rsidRPr="00E9498D" w14:paraId="6AE9BD02" w14:textId="77777777" w:rsidTr="00013D7D">
        <w:trPr>
          <w:cantSplit/>
          <w:trHeight w:val="403"/>
          <w:jc w:val="center"/>
        </w:trPr>
        <w:tc>
          <w:tcPr>
            <w:tcW w:w="2218" w:type="pct"/>
            <w:tcBorders>
              <w:top w:val="single" w:sz="6" w:space="0" w:color="auto"/>
              <w:left w:val="single" w:sz="4" w:space="0" w:color="auto"/>
              <w:bottom w:val="nil"/>
              <w:right w:val="nil"/>
            </w:tcBorders>
            <w:shd w:val="clear" w:color="auto" w:fill="FFFFFF"/>
            <w:vAlign w:val="center"/>
            <w:hideMark/>
          </w:tcPr>
          <w:p w14:paraId="126397F4" w14:textId="77777777" w:rsidR="00B613D4" w:rsidRPr="00E9498D" w:rsidRDefault="00B613D4" w:rsidP="00013D7D">
            <w:pPr>
              <w:spacing w:after="0" w:line="240" w:lineRule="auto"/>
              <w:rPr>
                <w:rFonts w:eastAsia="Times New Roman" w:cstheme="minorHAnsi"/>
                <w:color w:val="000000" w:themeColor="text1"/>
              </w:rPr>
            </w:pPr>
            <w:r w:rsidRPr="00E9498D">
              <w:rPr>
                <w:rFonts w:eastAsia="Times New Roman" w:cstheme="minorHAnsi"/>
                <w:color w:val="000000" w:themeColor="text1"/>
              </w:rPr>
              <w:t>Publication</w:t>
            </w:r>
          </w:p>
        </w:tc>
        <w:tc>
          <w:tcPr>
            <w:tcW w:w="2782" w:type="pct"/>
            <w:tcBorders>
              <w:top w:val="single" w:sz="6" w:space="0" w:color="auto"/>
              <w:left w:val="single" w:sz="6" w:space="0" w:color="auto"/>
              <w:bottom w:val="nil"/>
              <w:right w:val="single" w:sz="4" w:space="0" w:color="auto"/>
            </w:tcBorders>
            <w:shd w:val="clear" w:color="auto" w:fill="FFFFFF"/>
            <w:vAlign w:val="center"/>
            <w:hideMark/>
          </w:tcPr>
          <w:p w14:paraId="11C919A6"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7 months after OMB approval</w:t>
            </w:r>
          </w:p>
        </w:tc>
      </w:tr>
      <w:tr w:rsidR="00B613D4" w:rsidRPr="00E9498D" w14:paraId="6FEE5E40" w14:textId="77777777" w:rsidTr="00013D7D">
        <w:trPr>
          <w:cantSplit/>
          <w:trHeight w:val="403"/>
          <w:jc w:val="center"/>
        </w:trPr>
        <w:tc>
          <w:tcPr>
            <w:tcW w:w="2218" w:type="pct"/>
            <w:tcBorders>
              <w:top w:val="single" w:sz="6" w:space="0" w:color="auto"/>
              <w:left w:val="single" w:sz="4" w:space="0" w:color="auto"/>
              <w:bottom w:val="single" w:sz="4" w:space="0" w:color="auto"/>
              <w:right w:val="nil"/>
            </w:tcBorders>
            <w:shd w:val="clear" w:color="auto" w:fill="FFFFFF"/>
            <w:vAlign w:val="center"/>
            <w:hideMark/>
          </w:tcPr>
          <w:p w14:paraId="2404EF6A" w14:textId="1704F7DA" w:rsidR="00B613D4" w:rsidRPr="00E9498D" w:rsidRDefault="00B613D4" w:rsidP="00013D7D">
            <w:pPr>
              <w:spacing w:after="0" w:line="240" w:lineRule="auto"/>
              <w:rPr>
                <w:rFonts w:eastAsia="Times New Roman" w:cstheme="minorHAnsi"/>
                <w:color w:val="000000" w:themeColor="text1"/>
              </w:rPr>
            </w:pPr>
            <w:r w:rsidRPr="00E9498D">
              <w:rPr>
                <w:rFonts w:cstheme="minorHAnsi"/>
              </w:rPr>
              <w:t xml:space="preserve">Data available online via </w:t>
            </w:r>
            <w:r w:rsidR="004E78B9" w:rsidRPr="00E9498D">
              <w:rPr>
                <w:rFonts w:cstheme="minorHAnsi"/>
                <w:i/>
                <w:highlight w:val="yellow"/>
              </w:rPr>
              <w:t>Autism Research Database</w:t>
            </w:r>
          </w:p>
        </w:tc>
        <w:tc>
          <w:tcPr>
            <w:tcW w:w="2782" w:type="pct"/>
            <w:tcBorders>
              <w:top w:val="single" w:sz="6" w:space="0" w:color="auto"/>
              <w:left w:val="single" w:sz="6" w:space="0" w:color="auto"/>
              <w:bottom w:val="single" w:sz="4" w:space="0" w:color="auto"/>
              <w:right w:val="single" w:sz="4" w:space="0" w:color="auto"/>
            </w:tcBorders>
            <w:shd w:val="clear" w:color="auto" w:fill="FFFFFF"/>
            <w:vAlign w:val="center"/>
            <w:hideMark/>
          </w:tcPr>
          <w:p w14:paraId="6C616862" w14:textId="77777777" w:rsidR="00B613D4" w:rsidRPr="00E9498D" w:rsidRDefault="00B613D4" w:rsidP="00013D7D">
            <w:pPr>
              <w:spacing w:after="0" w:line="240" w:lineRule="auto"/>
              <w:jc w:val="center"/>
              <w:rPr>
                <w:rFonts w:eastAsia="Times New Roman" w:cstheme="minorHAnsi"/>
                <w:color w:val="000000" w:themeColor="text1"/>
              </w:rPr>
            </w:pPr>
            <w:r w:rsidRPr="00E9498D">
              <w:rPr>
                <w:rFonts w:eastAsia="Times New Roman" w:cstheme="minorHAnsi"/>
                <w:color w:val="000000" w:themeColor="text1"/>
              </w:rPr>
              <w:t>7 months after OMB approval</w:t>
            </w:r>
          </w:p>
        </w:tc>
      </w:tr>
    </w:tbl>
    <w:p w14:paraId="7532F7EE" w14:textId="77777777" w:rsidR="00DC7641" w:rsidRPr="00E9498D" w:rsidRDefault="00DC7641" w:rsidP="00784374">
      <w:pPr>
        <w:spacing w:after="0" w:line="480" w:lineRule="auto"/>
        <w:rPr>
          <w:rFonts w:cstheme="minorHAnsi"/>
          <w:sz w:val="24"/>
          <w:szCs w:val="24"/>
          <w:u w:val="single"/>
        </w:rPr>
      </w:pPr>
    </w:p>
    <w:p w14:paraId="26A2B7C2" w14:textId="561EC330" w:rsidR="00B613D4" w:rsidRPr="00E9498D" w:rsidRDefault="00B613D4" w:rsidP="00784374">
      <w:pPr>
        <w:spacing w:after="0" w:line="480" w:lineRule="auto"/>
        <w:rPr>
          <w:rFonts w:eastAsiaTheme="minorHAnsi" w:cstheme="minorHAnsi"/>
          <w:sz w:val="24"/>
          <w:szCs w:val="24"/>
          <w:u w:val="single"/>
        </w:rPr>
      </w:pPr>
      <w:r w:rsidRPr="00E9498D">
        <w:rPr>
          <w:rFonts w:cstheme="minorHAnsi"/>
          <w:sz w:val="24"/>
          <w:szCs w:val="24"/>
          <w:u w:val="single"/>
        </w:rPr>
        <w:t>Analysis Plan</w:t>
      </w:r>
    </w:p>
    <w:p w14:paraId="6B867EAE" w14:textId="7819B19A" w:rsidR="00FF72FC" w:rsidRPr="00E9498D" w:rsidRDefault="00B613D4" w:rsidP="00AE20B3">
      <w:pPr>
        <w:spacing w:after="0" w:line="480" w:lineRule="auto"/>
        <w:ind w:firstLine="720"/>
        <w:rPr>
          <w:rFonts w:cstheme="minorHAnsi"/>
          <w:sz w:val="24"/>
          <w:szCs w:val="24"/>
        </w:rPr>
      </w:pPr>
      <w:r w:rsidRPr="00E9498D">
        <w:rPr>
          <w:rFonts w:cstheme="minorHAnsi"/>
          <w:sz w:val="24"/>
          <w:szCs w:val="24"/>
        </w:rPr>
        <w:t xml:space="preserve">The final published analysis will include a table that lists all ASD research funders that are included in the analysis as well as the total dollar amount of the funding that each contributed.  The full data set will be analyzed using simple descriptive statistics (charts, tables, etc.) to identify trends in ASD funding and how funding aligns with the </w:t>
      </w:r>
      <w:r w:rsidRPr="00E9498D">
        <w:rPr>
          <w:rFonts w:cstheme="minorHAnsi"/>
          <w:i/>
          <w:sz w:val="24"/>
          <w:szCs w:val="24"/>
        </w:rPr>
        <w:t>IACC Strategic Plan for ASD</w:t>
      </w:r>
      <w:r w:rsidRPr="00E9498D">
        <w:rPr>
          <w:rFonts w:cstheme="minorHAnsi"/>
          <w:sz w:val="24"/>
          <w:szCs w:val="24"/>
        </w:rPr>
        <w:t xml:space="preserve">.  No statistical tests will be performed on the data.  The analyses will be published as </w:t>
      </w:r>
      <w:r w:rsidRPr="00E9498D">
        <w:rPr>
          <w:rFonts w:cstheme="minorHAnsi"/>
          <w:i/>
          <w:sz w:val="24"/>
          <w:szCs w:val="24"/>
        </w:rPr>
        <w:t>ASD Research Portfolio Analysis Reports</w:t>
      </w:r>
      <w:r w:rsidRPr="00E9498D">
        <w:rPr>
          <w:rFonts w:cstheme="minorHAnsi"/>
          <w:sz w:val="24"/>
          <w:szCs w:val="24"/>
        </w:rPr>
        <w:t xml:space="preserve"> and included in</w:t>
      </w:r>
      <w:r w:rsidRPr="00E9498D">
        <w:rPr>
          <w:rFonts w:cstheme="minorHAnsi"/>
          <w:sz w:val="24"/>
          <w:szCs w:val="24"/>
          <w:lang w:val="en"/>
        </w:rPr>
        <w:t xml:space="preserve"> a </w:t>
      </w:r>
      <w:r w:rsidRPr="00E9498D">
        <w:rPr>
          <w:rFonts w:cstheme="minorHAnsi"/>
          <w:sz w:val="24"/>
          <w:szCs w:val="24"/>
        </w:rPr>
        <w:t>publicly accessible</w:t>
      </w:r>
      <w:r w:rsidRPr="00E9498D">
        <w:rPr>
          <w:rFonts w:cstheme="minorHAnsi"/>
          <w:sz w:val="24"/>
          <w:szCs w:val="24"/>
          <w:lang w:val="en"/>
        </w:rPr>
        <w:t xml:space="preserve"> companion </w:t>
      </w:r>
      <w:r w:rsidR="00404ED7" w:rsidRPr="00E9498D">
        <w:rPr>
          <w:rFonts w:cstheme="minorHAnsi"/>
          <w:sz w:val="24"/>
          <w:szCs w:val="24"/>
          <w:lang w:val="en"/>
        </w:rPr>
        <w:t xml:space="preserve">online </w:t>
      </w:r>
      <w:r w:rsidRPr="00E9498D">
        <w:rPr>
          <w:rFonts w:cstheme="minorHAnsi"/>
          <w:sz w:val="24"/>
          <w:szCs w:val="24"/>
          <w:lang w:val="en"/>
        </w:rPr>
        <w:t>database (</w:t>
      </w:r>
      <w:r w:rsidR="00404ED7" w:rsidRPr="00E9498D">
        <w:rPr>
          <w:rFonts w:cstheme="minorHAnsi"/>
          <w:sz w:val="24"/>
          <w:szCs w:val="24"/>
          <w:highlight w:val="yellow"/>
          <w:lang w:val="en"/>
        </w:rPr>
        <w:t xml:space="preserve">the </w:t>
      </w:r>
      <w:r w:rsidR="004E78B9" w:rsidRPr="00E9498D">
        <w:rPr>
          <w:rFonts w:cstheme="minorHAnsi"/>
          <w:i/>
          <w:sz w:val="24"/>
          <w:szCs w:val="24"/>
          <w:highlight w:val="yellow"/>
          <w:lang w:val="en"/>
        </w:rPr>
        <w:t>Autism Research Database</w:t>
      </w:r>
      <w:r w:rsidRPr="00E9498D">
        <w:rPr>
          <w:rFonts w:cstheme="minorHAnsi"/>
          <w:sz w:val="24"/>
          <w:szCs w:val="24"/>
          <w:lang w:val="en"/>
        </w:rPr>
        <w:t>).</w:t>
      </w:r>
    </w:p>
    <w:p w14:paraId="216672D1" w14:textId="77777777" w:rsidR="00FF72FC" w:rsidRPr="00E9498D" w:rsidRDefault="00FF72FC" w:rsidP="00784374">
      <w:pPr>
        <w:spacing w:after="0" w:line="480" w:lineRule="auto"/>
        <w:rPr>
          <w:rFonts w:cstheme="minorHAnsi"/>
          <w:b/>
          <w:sz w:val="24"/>
          <w:szCs w:val="24"/>
        </w:rPr>
      </w:pPr>
      <w:r w:rsidRPr="00E9498D">
        <w:rPr>
          <w:rFonts w:cstheme="minorHAnsi"/>
          <w:b/>
          <w:sz w:val="24"/>
          <w:szCs w:val="24"/>
        </w:rPr>
        <w:t>A.17</w:t>
      </w:r>
      <w:r w:rsidRPr="00E9498D">
        <w:rPr>
          <w:rFonts w:cstheme="minorHAnsi"/>
          <w:b/>
          <w:sz w:val="24"/>
          <w:szCs w:val="24"/>
        </w:rPr>
        <w:tab/>
        <w:t>Reason(s) Display of OMB Expiration Date is Inappropriate</w:t>
      </w:r>
    </w:p>
    <w:p w14:paraId="724F9191" w14:textId="6AD6F9FD" w:rsidR="004716CF" w:rsidRPr="00E9498D" w:rsidRDefault="00B613D4" w:rsidP="00AE20B3">
      <w:pPr>
        <w:spacing w:after="0" w:line="480" w:lineRule="auto"/>
        <w:ind w:firstLine="720"/>
        <w:rPr>
          <w:rFonts w:cstheme="minorHAnsi"/>
          <w:sz w:val="24"/>
          <w:szCs w:val="24"/>
        </w:rPr>
      </w:pPr>
      <w:r w:rsidRPr="00E9498D">
        <w:rPr>
          <w:rFonts w:cstheme="minorHAnsi"/>
          <w:sz w:val="24"/>
          <w:szCs w:val="24"/>
        </w:rPr>
        <w:t>The OMB control number 0925-0682 will be displayed appropriately (current expiration date</w:t>
      </w:r>
      <w:r w:rsidR="00842633" w:rsidRPr="00E9498D">
        <w:rPr>
          <w:rFonts w:cstheme="minorHAnsi"/>
          <w:sz w:val="24"/>
          <w:szCs w:val="24"/>
        </w:rPr>
        <w:t>:</w:t>
      </w:r>
      <w:r w:rsidRPr="00E9498D">
        <w:rPr>
          <w:rFonts w:cstheme="minorHAnsi"/>
          <w:sz w:val="24"/>
          <w:szCs w:val="24"/>
        </w:rPr>
        <w:t xml:space="preserve"> 12/31/2019).</w:t>
      </w:r>
    </w:p>
    <w:p w14:paraId="7190591D" w14:textId="77777777" w:rsidR="0057480E" w:rsidRPr="00E9498D" w:rsidRDefault="00FF72FC" w:rsidP="00784374">
      <w:pPr>
        <w:spacing w:after="0" w:line="480" w:lineRule="auto"/>
        <w:rPr>
          <w:rFonts w:cstheme="minorHAnsi"/>
          <w:b/>
          <w:sz w:val="24"/>
          <w:szCs w:val="24"/>
        </w:rPr>
      </w:pPr>
      <w:r w:rsidRPr="00E9498D">
        <w:rPr>
          <w:rFonts w:cstheme="minorHAnsi"/>
          <w:b/>
          <w:sz w:val="24"/>
          <w:szCs w:val="24"/>
        </w:rPr>
        <w:t>A.18</w:t>
      </w:r>
      <w:r w:rsidRPr="00E9498D">
        <w:rPr>
          <w:rFonts w:cstheme="minorHAnsi"/>
          <w:b/>
          <w:sz w:val="24"/>
          <w:szCs w:val="24"/>
        </w:rPr>
        <w:tab/>
        <w:t>Exceptions to Certification for Paperwork Reduction Act Submissions</w:t>
      </w:r>
    </w:p>
    <w:p w14:paraId="49B7AE09" w14:textId="5B3438F0" w:rsidR="00FF72FC" w:rsidRPr="00E9498D" w:rsidRDefault="005F4A54" w:rsidP="00784374">
      <w:pPr>
        <w:spacing w:after="0" w:line="480" w:lineRule="auto"/>
        <w:rPr>
          <w:rFonts w:cstheme="minorHAnsi"/>
          <w:sz w:val="24"/>
          <w:szCs w:val="24"/>
        </w:rPr>
      </w:pPr>
      <w:r w:rsidRPr="00E9498D">
        <w:rPr>
          <w:rFonts w:cstheme="minorHAnsi"/>
          <w:sz w:val="24"/>
          <w:szCs w:val="24"/>
        </w:rPr>
        <w:t xml:space="preserve"> </w:t>
      </w:r>
      <w:r w:rsidR="00842633" w:rsidRPr="00E9498D">
        <w:rPr>
          <w:rFonts w:cstheme="minorHAnsi"/>
          <w:sz w:val="24"/>
          <w:szCs w:val="24"/>
        </w:rPr>
        <w:tab/>
      </w:r>
      <w:r w:rsidRPr="00E9498D">
        <w:rPr>
          <w:rFonts w:cstheme="minorHAnsi"/>
          <w:sz w:val="24"/>
          <w:szCs w:val="24"/>
        </w:rPr>
        <w:t>None</w:t>
      </w:r>
      <w:r w:rsidR="00842633" w:rsidRPr="00E9498D">
        <w:rPr>
          <w:rFonts w:cstheme="minorHAnsi"/>
          <w:sz w:val="24"/>
          <w:szCs w:val="24"/>
        </w:rPr>
        <w:t>.</w:t>
      </w:r>
    </w:p>
    <w:sectPr w:rsidR="00FF72FC" w:rsidRPr="00E9498D" w:rsidSect="00FE6EA5">
      <w:headerReference w:type="even" r:id="rId19"/>
      <w:headerReference w:type="default" r:id="rId20"/>
      <w:footerReference w:type="even" r:id="rId21"/>
      <w:footerReference w:type="default" r:id="rId22"/>
      <w:headerReference w:type="first" r:id="rId23"/>
      <w:footerReference w:type="first" r:id="rId24"/>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C7F7C" w14:textId="77777777" w:rsidR="009F4AB9" w:rsidRDefault="009F4AB9">
      <w:pPr>
        <w:spacing w:after="0" w:line="240" w:lineRule="auto"/>
      </w:pPr>
      <w:r>
        <w:separator/>
      </w:r>
    </w:p>
  </w:endnote>
  <w:endnote w:type="continuationSeparator" w:id="0">
    <w:p w14:paraId="7F6E1FA4" w14:textId="77777777" w:rsidR="009F4AB9" w:rsidRDefault="009F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4B3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35C1">
      <w:rPr>
        <w:rStyle w:val="PageNumber"/>
        <w:noProof/>
      </w:rPr>
      <w:t>1</w:t>
    </w:r>
    <w:r>
      <w:rPr>
        <w:rStyle w:val="PageNumber"/>
      </w:rPr>
      <w:fldChar w:fldCharType="end"/>
    </w:r>
  </w:p>
  <w:p w14:paraId="64873CE1" w14:textId="77777777" w:rsidR="00D23882" w:rsidRDefault="004B35C1" w:rsidP="004A70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69D7" w14:textId="77777777" w:rsidR="00536C12" w:rsidRDefault="0053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74F17" w14:textId="77777777" w:rsidR="009F4AB9" w:rsidRDefault="009F4AB9">
      <w:pPr>
        <w:spacing w:after="0" w:line="240" w:lineRule="auto"/>
      </w:pPr>
      <w:r>
        <w:separator/>
      </w:r>
    </w:p>
  </w:footnote>
  <w:footnote w:type="continuationSeparator" w:id="0">
    <w:p w14:paraId="3F580DCB" w14:textId="77777777" w:rsidR="009F4AB9" w:rsidRDefault="009F4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D5A6" w14:textId="77777777" w:rsidR="00536C12" w:rsidRDefault="00536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633AF3E8" w:rsidR="00536C12" w:rsidRDefault="00536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B41C" w14:textId="4F8145CE" w:rsidR="00536C12" w:rsidRDefault="00536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155DD9"/>
    <w:multiLevelType w:val="hybridMultilevel"/>
    <w:tmpl w:val="A886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73496"/>
    <w:multiLevelType w:val="hybridMultilevel"/>
    <w:tmpl w:val="98D82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0"/>
  </w:num>
  <w:num w:numId="5">
    <w:abstractNumId w:val="6"/>
  </w:num>
  <w:num w:numId="6">
    <w:abstractNumId w:val="4"/>
  </w:num>
  <w:num w:numId="7">
    <w:abstractNumId w:val="7"/>
  </w:num>
  <w:num w:numId="8">
    <w:abstractNumId w:val="9"/>
  </w:num>
  <w:num w:numId="9">
    <w:abstractNumId w:val="8"/>
  </w:num>
  <w:num w:numId="10">
    <w:abstractNumId w:val="11"/>
  </w:num>
  <w:num w:numId="11">
    <w:abstractNumId w:val="1"/>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3C28"/>
    <w:rsid w:val="00004655"/>
    <w:rsid w:val="00013D7D"/>
    <w:rsid w:val="00014D5B"/>
    <w:rsid w:val="0002123E"/>
    <w:rsid w:val="00024899"/>
    <w:rsid w:val="00041CBF"/>
    <w:rsid w:val="00066855"/>
    <w:rsid w:val="00072D68"/>
    <w:rsid w:val="00095C92"/>
    <w:rsid w:val="000A139A"/>
    <w:rsid w:val="000F3043"/>
    <w:rsid w:val="00105443"/>
    <w:rsid w:val="001107DC"/>
    <w:rsid w:val="00112488"/>
    <w:rsid w:val="00114539"/>
    <w:rsid w:val="00164857"/>
    <w:rsid w:val="001655A0"/>
    <w:rsid w:val="00170EC9"/>
    <w:rsid w:val="001729FA"/>
    <w:rsid w:val="0018456F"/>
    <w:rsid w:val="00185340"/>
    <w:rsid w:val="00190C83"/>
    <w:rsid w:val="00195414"/>
    <w:rsid w:val="001A1220"/>
    <w:rsid w:val="001B531A"/>
    <w:rsid w:val="00212603"/>
    <w:rsid w:val="0024781D"/>
    <w:rsid w:val="00255F7C"/>
    <w:rsid w:val="002670CD"/>
    <w:rsid w:val="002770FA"/>
    <w:rsid w:val="00291B8C"/>
    <w:rsid w:val="00296BEC"/>
    <w:rsid w:val="002C5D4F"/>
    <w:rsid w:val="002E5047"/>
    <w:rsid w:val="002E70B8"/>
    <w:rsid w:val="002F4317"/>
    <w:rsid w:val="002F7592"/>
    <w:rsid w:val="00312856"/>
    <w:rsid w:val="00317760"/>
    <w:rsid w:val="003303CE"/>
    <w:rsid w:val="003507B0"/>
    <w:rsid w:val="0036208F"/>
    <w:rsid w:val="0037291F"/>
    <w:rsid w:val="00385CA7"/>
    <w:rsid w:val="00404ED7"/>
    <w:rsid w:val="00442AB0"/>
    <w:rsid w:val="00442B5B"/>
    <w:rsid w:val="00470E81"/>
    <w:rsid w:val="004716CF"/>
    <w:rsid w:val="00497B81"/>
    <w:rsid w:val="004B35C1"/>
    <w:rsid w:val="004C4B9F"/>
    <w:rsid w:val="004E574C"/>
    <w:rsid w:val="004E78B9"/>
    <w:rsid w:val="004F5FDF"/>
    <w:rsid w:val="005150E7"/>
    <w:rsid w:val="00524F4D"/>
    <w:rsid w:val="00536C12"/>
    <w:rsid w:val="0057480E"/>
    <w:rsid w:val="00582389"/>
    <w:rsid w:val="005829A0"/>
    <w:rsid w:val="005C4013"/>
    <w:rsid w:val="005E49CF"/>
    <w:rsid w:val="005F4A54"/>
    <w:rsid w:val="006000FA"/>
    <w:rsid w:val="00641209"/>
    <w:rsid w:val="00644341"/>
    <w:rsid w:val="00647793"/>
    <w:rsid w:val="00681F63"/>
    <w:rsid w:val="006840A1"/>
    <w:rsid w:val="00685B30"/>
    <w:rsid w:val="006A45F9"/>
    <w:rsid w:val="006B624F"/>
    <w:rsid w:val="006F2A15"/>
    <w:rsid w:val="006F6698"/>
    <w:rsid w:val="00703A8B"/>
    <w:rsid w:val="00704E2F"/>
    <w:rsid w:val="007063F8"/>
    <w:rsid w:val="00714BFA"/>
    <w:rsid w:val="00717158"/>
    <w:rsid w:val="00756DDA"/>
    <w:rsid w:val="00763948"/>
    <w:rsid w:val="00767C53"/>
    <w:rsid w:val="00784374"/>
    <w:rsid w:val="007A0CA3"/>
    <w:rsid w:val="007A6EFF"/>
    <w:rsid w:val="007C32E5"/>
    <w:rsid w:val="007D11BF"/>
    <w:rsid w:val="007D402F"/>
    <w:rsid w:val="007F4442"/>
    <w:rsid w:val="008024E0"/>
    <w:rsid w:val="008166CB"/>
    <w:rsid w:val="008359FA"/>
    <w:rsid w:val="00842633"/>
    <w:rsid w:val="00845DEE"/>
    <w:rsid w:val="00845E82"/>
    <w:rsid w:val="0086065C"/>
    <w:rsid w:val="0086248B"/>
    <w:rsid w:val="008875CF"/>
    <w:rsid w:val="00894FF4"/>
    <w:rsid w:val="008D5628"/>
    <w:rsid w:val="00925CA7"/>
    <w:rsid w:val="00941822"/>
    <w:rsid w:val="009429BD"/>
    <w:rsid w:val="009539AE"/>
    <w:rsid w:val="00963BC6"/>
    <w:rsid w:val="009646E0"/>
    <w:rsid w:val="009747F4"/>
    <w:rsid w:val="00976490"/>
    <w:rsid w:val="0097710B"/>
    <w:rsid w:val="00986FBC"/>
    <w:rsid w:val="00987ADF"/>
    <w:rsid w:val="009C3E9D"/>
    <w:rsid w:val="009C5797"/>
    <w:rsid w:val="009F4AB9"/>
    <w:rsid w:val="00A00CF8"/>
    <w:rsid w:val="00A21198"/>
    <w:rsid w:val="00A466BD"/>
    <w:rsid w:val="00A6350F"/>
    <w:rsid w:val="00A802D0"/>
    <w:rsid w:val="00A90EFA"/>
    <w:rsid w:val="00AA6614"/>
    <w:rsid w:val="00AB736C"/>
    <w:rsid w:val="00AE20B3"/>
    <w:rsid w:val="00AF6309"/>
    <w:rsid w:val="00AF64AC"/>
    <w:rsid w:val="00B00EB3"/>
    <w:rsid w:val="00B03736"/>
    <w:rsid w:val="00B06C9B"/>
    <w:rsid w:val="00B2767E"/>
    <w:rsid w:val="00B31022"/>
    <w:rsid w:val="00B613D4"/>
    <w:rsid w:val="00B70C76"/>
    <w:rsid w:val="00B8425B"/>
    <w:rsid w:val="00B93C77"/>
    <w:rsid w:val="00B96691"/>
    <w:rsid w:val="00BE5EFA"/>
    <w:rsid w:val="00BE76A7"/>
    <w:rsid w:val="00BF491C"/>
    <w:rsid w:val="00C02C97"/>
    <w:rsid w:val="00C17E3F"/>
    <w:rsid w:val="00C24877"/>
    <w:rsid w:val="00C24DA1"/>
    <w:rsid w:val="00C355BA"/>
    <w:rsid w:val="00C40F61"/>
    <w:rsid w:val="00C4161B"/>
    <w:rsid w:val="00C519B1"/>
    <w:rsid w:val="00C76797"/>
    <w:rsid w:val="00C76FE2"/>
    <w:rsid w:val="00C77F4F"/>
    <w:rsid w:val="00CC3228"/>
    <w:rsid w:val="00CF36BD"/>
    <w:rsid w:val="00D21A1E"/>
    <w:rsid w:val="00D267B5"/>
    <w:rsid w:val="00D30795"/>
    <w:rsid w:val="00D34B95"/>
    <w:rsid w:val="00D34BE5"/>
    <w:rsid w:val="00D51A70"/>
    <w:rsid w:val="00D7280E"/>
    <w:rsid w:val="00D72826"/>
    <w:rsid w:val="00DB1217"/>
    <w:rsid w:val="00DC7641"/>
    <w:rsid w:val="00DE5570"/>
    <w:rsid w:val="00E03967"/>
    <w:rsid w:val="00E10085"/>
    <w:rsid w:val="00E234AA"/>
    <w:rsid w:val="00E318A2"/>
    <w:rsid w:val="00E35DD1"/>
    <w:rsid w:val="00E50FBC"/>
    <w:rsid w:val="00E51F51"/>
    <w:rsid w:val="00E56374"/>
    <w:rsid w:val="00E67B10"/>
    <w:rsid w:val="00E72390"/>
    <w:rsid w:val="00E77807"/>
    <w:rsid w:val="00E9498D"/>
    <w:rsid w:val="00EA37D2"/>
    <w:rsid w:val="00EB7E3E"/>
    <w:rsid w:val="00EC63FB"/>
    <w:rsid w:val="00EC753B"/>
    <w:rsid w:val="00ED75A5"/>
    <w:rsid w:val="00EE245F"/>
    <w:rsid w:val="00EE5A75"/>
    <w:rsid w:val="00EE771B"/>
    <w:rsid w:val="00EF2CC8"/>
    <w:rsid w:val="00F30872"/>
    <w:rsid w:val="00F33485"/>
    <w:rsid w:val="00F942A6"/>
    <w:rsid w:val="00FB346E"/>
    <w:rsid w:val="00FE6EA5"/>
    <w:rsid w:val="00FE7DCD"/>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styleId="HTMLAcronym">
    <w:name w:val="HTML Acronym"/>
    <w:basedOn w:val="DefaultParagraphFont"/>
    <w:uiPriority w:val="99"/>
    <w:semiHidden/>
    <w:unhideWhenUsed/>
    <w:rsid w:val="00E10085"/>
  </w:style>
  <w:style w:type="character" w:styleId="FootnoteReference">
    <w:name w:val="footnote reference"/>
    <w:semiHidden/>
    <w:unhideWhenUsed/>
    <w:rsid w:val="00B613D4"/>
    <w:rPr>
      <w:vertAlign w:val="superscript"/>
    </w:rPr>
  </w:style>
  <w:style w:type="paragraph" w:styleId="BodyText">
    <w:name w:val="Body Text"/>
    <w:basedOn w:val="Normal"/>
    <w:link w:val="BodyTextChar"/>
    <w:semiHidden/>
    <w:unhideWhenUsed/>
    <w:qFormat/>
    <w:rsid w:val="00B613D4"/>
    <w:pPr>
      <w:spacing w:before="120" w:after="120" w:line="240" w:lineRule="auto"/>
    </w:pPr>
    <w:rPr>
      <w:rFonts w:ascii="Times New Roman" w:eastAsia="MS Mincho" w:hAnsi="Times New Roman" w:cs="Times New Roman"/>
      <w:sz w:val="24"/>
      <w:szCs w:val="24"/>
      <w:lang w:val="x-none" w:eastAsia="ja-JP"/>
    </w:rPr>
  </w:style>
  <w:style w:type="character" w:customStyle="1" w:styleId="BodyTextChar">
    <w:name w:val="Body Text Char"/>
    <w:basedOn w:val="DefaultParagraphFont"/>
    <w:link w:val="BodyText"/>
    <w:semiHidden/>
    <w:rsid w:val="00B613D4"/>
    <w:rPr>
      <w:rFonts w:ascii="Times New Roman" w:eastAsia="MS Mincho" w:hAnsi="Times New Roman" w:cs="Times New Roman"/>
      <w:sz w:val="24"/>
      <w:szCs w:val="24"/>
      <w:lang w:val="x-none" w:eastAsia="ja-JP"/>
    </w:rPr>
  </w:style>
  <w:style w:type="paragraph" w:styleId="Revision">
    <w:name w:val="Revision"/>
    <w:hidden/>
    <w:uiPriority w:val="99"/>
    <w:semiHidden/>
    <w:rsid w:val="001B53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styleId="HTMLAcronym">
    <w:name w:val="HTML Acronym"/>
    <w:basedOn w:val="DefaultParagraphFont"/>
    <w:uiPriority w:val="99"/>
    <w:semiHidden/>
    <w:unhideWhenUsed/>
    <w:rsid w:val="00E10085"/>
  </w:style>
  <w:style w:type="character" w:styleId="FootnoteReference">
    <w:name w:val="footnote reference"/>
    <w:semiHidden/>
    <w:unhideWhenUsed/>
    <w:rsid w:val="00B613D4"/>
    <w:rPr>
      <w:vertAlign w:val="superscript"/>
    </w:rPr>
  </w:style>
  <w:style w:type="paragraph" w:styleId="BodyText">
    <w:name w:val="Body Text"/>
    <w:basedOn w:val="Normal"/>
    <w:link w:val="BodyTextChar"/>
    <w:semiHidden/>
    <w:unhideWhenUsed/>
    <w:qFormat/>
    <w:rsid w:val="00B613D4"/>
    <w:pPr>
      <w:spacing w:before="120" w:after="120" w:line="240" w:lineRule="auto"/>
    </w:pPr>
    <w:rPr>
      <w:rFonts w:ascii="Times New Roman" w:eastAsia="MS Mincho" w:hAnsi="Times New Roman" w:cs="Times New Roman"/>
      <w:sz w:val="24"/>
      <w:szCs w:val="24"/>
      <w:lang w:val="x-none" w:eastAsia="ja-JP"/>
    </w:rPr>
  </w:style>
  <w:style w:type="character" w:customStyle="1" w:styleId="BodyTextChar">
    <w:name w:val="Body Text Char"/>
    <w:basedOn w:val="DefaultParagraphFont"/>
    <w:link w:val="BodyText"/>
    <w:semiHidden/>
    <w:rsid w:val="00B613D4"/>
    <w:rPr>
      <w:rFonts w:ascii="Times New Roman" w:eastAsia="MS Mincho" w:hAnsi="Times New Roman" w:cs="Times New Roman"/>
      <w:sz w:val="24"/>
      <w:szCs w:val="24"/>
      <w:lang w:val="x-none" w:eastAsia="ja-JP"/>
    </w:rPr>
  </w:style>
  <w:style w:type="paragraph" w:styleId="Revision">
    <w:name w:val="Revision"/>
    <w:hidden/>
    <w:uiPriority w:val="99"/>
    <w:semiHidden/>
    <w:rsid w:val="001B5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0900">
      <w:bodyDiv w:val="1"/>
      <w:marLeft w:val="0"/>
      <w:marRight w:val="0"/>
      <w:marTop w:val="0"/>
      <w:marBottom w:val="0"/>
      <w:divBdr>
        <w:top w:val="none" w:sz="0" w:space="0" w:color="auto"/>
        <w:left w:val="none" w:sz="0" w:space="0" w:color="auto"/>
        <w:bottom w:val="none" w:sz="0" w:space="0" w:color="auto"/>
        <w:right w:val="none" w:sz="0" w:space="0" w:color="auto"/>
      </w:divBdr>
    </w:div>
    <w:div w:id="322590449">
      <w:bodyDiv w:val="1"/>
      <w:marLeft w:val="0"/>
      <w:marRight w:val="0"/>
      <w:marTop w:val="0"/>
      <w:marBottom w:val="0"/>
      <w:divBdr>
        <w:top w:val="none" w:sz="0" w:space="0" w:color="auto"/>
        <w:left w:val="none" w:sz="0" w:space="0" w:color="auto"/>
        <w:bottom w:val="none" w:sz="0" w:space="0" w:color="auto"/>
        <w:right w:val="none" w:sz="0" w:space="0" w:color="auto"/>
      </w:divBdr>
    </w:div>
    <w:div w:id="555433945">
      <w:bodyDiv w:val="1"/>
      <w:marLeft w:val="0"/>
      <w:marRight w:val="0"/>
      <w:marTop w:val="0"/>
      <w:marBottom w:val="0"/>
      <w:divBdr>
        <w:top w:val="none" w:sz="0" w:space="0" w:color="auto"/>
        <w:left w:val="none" w:sz="0" w:space="0" w:color="auto"/>
        <w:bottom w:val="none" w:sz="0" w:space="0" w:color="auto"/>
        <w:right w:val="none" w:sz="0" w:space="0" w:color="auto"/>
      </w:divBdr>
    </w:div>
    <w:div w:id="575480651">
      <w:bodyDiv w:val="1"/>
      <w:marLeft w:val="0"/>
      <w:marRight w:val="0"/>
      <w:marTop w:val="0"/>
      <w:marBottom w:val="0"/>
      <w:divBdr>
        <w:top w:val="none" w:sz="0" w:space="0" w:color="auto"/>
        <w:left w:val="none" w:sz="0" w:space="0" w:color="auto"/>
        <w:bottom w:val="none" w:sz="0" w:space="0" w:color="auto"/>
        <w:right w:val="none" w:sz="0" w:space="0" w:color="auto"/>
      </w:divBdr>
    </w:div>
    <w:div w:id="582106780">
      <w:bodyDiv w:val="1"/>
      <w:marLeft w:val="0"/>
      <w:marRight w:val="0"/>
      <w:marTop w:val="0"/>
      <w:marBottom w:val="0"/>
      <w:divBdr>
        <w:top w:val="none" w:sz="0" w:space="0" w:color="auto"/>
        <w:left w:val="none" w:sz="0" w:space="0" w:color="auto"/>
        <w:bottom w:val="none" w:sz="0" w:space="0" w:color="auto"/>
        <w:right w:val="none" w:sz="0" w:space="0" w:color="auto"/>
      </w:divBdr>
    </w:div>
    <w:div w:id="782305392">
      <w:bodyDiv w:val="1"/>
      <w:marLeft w:val="0"/>
      <w:marRight w:val="0"/>
      <w:marTop w:val="0"/>
      <w:marBottom w:val="0"/>
      <w:divBdr>
        <w:top w:val="none" w:sz="0" w:space="0" w:color="auto"/>
        <w:left w:val="none" w:sz="0" w:space="0" w:color="auto"/>
        <w:bottom w:val="none" w:sz="0" w:space="0" w:color="auto"/>
        <w:right w:val="none" w:sz="0" w:space="0" w:color="auto"/>
      </w:divBdr>
    </w:div>
    <w:div w:id="821580214">
      <w:bodyDiv w:val="1"/>
      <w:marLeft w:val="0"/>
      <w:marRight w:val="0"/>
      <w:marTop w:val="0"/>
      <w:marBottom w:val="0"/>
      <w:divBdr>
        <w:top w:val="none" w:sz="0" w:space="0" w:color="auto"/>
        <w:left w:val="none" w:sz="0" w:space="0" w:color="auto"/>
        <w:bottom w:val="none" w:sz="0" w:space="0" w:color="auto"/>
        <w:right w:val="none" w:sz="0" w:space="0" w:color="auto"/>
      </w:divBdr>
    </w:div>
    <w:div w:id="832256455">
      <w:bodyDiv w:val="1"/>
      <w:marLeft w:val="0"/>
      <w:marRight w:val="0"/>
      <w:marTop w:val="0"/>
      <w:marBottom w:val="0"/>
      <w:divBdr>
        <w:top w:val="none" w:sz="0" w:space="0" w:color="auto"/>
        <w:left w:val="none" w:sz="0" w:space="0" w:color="auto"/>
        <w:bottom w:val="none" w:sz="0" w:space="0" w:color="auto"/>
        <w:right w:val="none" w:sz="0" w:space="0" w:color="auto"/>
      </w:divBdr>
    </w:div>
    <w:div w:id="938025863">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017121874">
      <w:bodyDiv w:val="1"/>
      <w:marLeft w:val="0"/>
      <w:marRight w:val="0"/>
      <w:marTop w:val="0"/>
      <w:marBottom w:val="0"/>
      <w:divBdr>
        <w:top w:val="none" w:sz="0" w:space="0" w:color="auto"/>
        <w:left w:val="none" w:sz="0" w:space="0" w:color="auto"/>
        <w:bottom w:val="none" w:sz="0" w:space="0" w:color="auto"/>
        <w:right w:val="none" w:sz="0" w:space="0" w:color="auto"/>
      </w:divBdr>
    </w:div>
    <w:div w:id="1184585958">
      <w:bodyDiv w:val="1"/>
      <w:marLeft w:val="0"/>
      <w:marRight w:val="0"/>
      <w:marTop w:val="0"/>
      <w:marBottom w:val="0"/>
      <w:divBdr>
        <w:top w:val="none" w:sz="0" w:space="0" w:color="auto"/>
        <w:left w:val="none" w:sz="0" w:space="0" w:color="auto"/>
        <w:bottom w:val="none" w:sz="0" w:space="0" w:color="auto"/>
        <w:right w:val="none" w:sz="0" w:space="0" w:color="auto"/>
      </w:divBdr>
    </w:div>
    <w:div w:id="1450010366">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604991111">
      <w:bodyDiv w:val="1"/>
      <w:marLeft w:val="0"/>
      <w:marRight w:val="0"/>
      <w:marTop w:val="0"/>
      <w:marBottom w:val="0"/>
      <w:divBdr>
        <w:top w:val="none" w:sz="0" w:space="0" w:color="auto"/>
        <w:left w:val="none" w:sz="0" w:space="0" w:color="auto"/>
        <w:bottom w:val="none" w:sz="0" w:space="0" w:color="auto"/>
        <w:right w:val="none" w:sz="0" w:space="0" w:color="auto"/>
      </w:divBdr>
    </w:div>
    <w:div w:id="1641691091">
      <w:bodyDiv w:val="1"/>
      <w:marLeft w:val="0"/>
      <w:marRight w:val="0"/>
      <w:marTop w:val="0"/>
      <w:marBottom w:val="0"/>
      <w:divBdr>
        <w:top w:val="none" w:sz="0" w:space="0" w:color="auto"/>
        <w:left w:val="none" w:sz="0" w:space="0" w:color="auto"/>
        <w:bottom w:val="none" w:sz="0" w:space="0" w:color="auto"/>
        <w:right w:val="none" w:sz="0" w:space="0" w:color="auto"/>
      </w:divBdr>
    </w:div>
    <w:div w:id="1671249910">
      <w:bodyDiv w:val="1"/>
      <w:marLeft w:val="0"/>
      <w:marRight w:val="0"/>
      <w:marTop w:val="0"/>
      <w:marBottom w:val="0"/>
      <w:divBdr>
        <w:top w:val="none" w:sz="0" w:space="0" w:color="auto"/>
        <w:left w:val="none" w:sz="0" w:space="0" w:color="auto"/>
        <w:bottom w:val="none" w:sz="0" w:space="0" w:color="auto"/>
        <w:right w:val="none" w:sz="0" w:space="0" w:color="auto"/>
      </w:divBdr>
    </w:div>
    <w:div w:id="20918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acc.hhs.gov/publications/portfolio-analysis/2016/" TargetMode="External"/><Relationship Id="rId18" Type="http://schemas.openxmlformats.org/officeDocument/2006/relationships/hyperlink" Target="https://www.opm.gov/policy-data-oversight/pay-leave/salaries-wages/salary-tables/19Tables/html/DCB.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ongress.gov/116/plaws/publ60/PLAW-116publ60.pdf" TargetMode="External"/><Relationship Id="rId17" Type="http://schemas.openxmlformats.org/officeDocument/2006/relationships/hyperlink" Target="http://www.bls.gov/oes/current/oes190000.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acc.hhs.gov/funding/dat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PLAW-109publ416/pdf/PLAW-109publ416.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iacc.hhs.gov/publications/strategic-plan/2017/" TargetMode="External"/><Relationship Id="rId23" Type="http://schemas.openxmlformats.org/officeDocument/2006/relationships/header" Target="header3.xml"/><Relationship Id="rId10" Type="http://schemas.openxmlformats.org/officeDocument/2006/relationships/hyperlink" Target="https://iacc.hhs.gov/about/charter.s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daniels@mail.nih.gov" TargetMode="External"/><Relationship Id="rId14" Type="http://schemas.openxmlformats.org/officeDocument/2006/relationships/hyperlink" Target="https://iacc.hhs.gov/publications/portfolio-analysis/201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dcterms:created xsi:type="dcterms:W3CDTF">2019-12-03T19:29:00Z</dcterms:created>
  <dcterms:modified xsi:type="dcterms:W3CDTF">2019-12-03T19:29:00Z</dcterms:modified>
</cp:coreProperties>
</file>