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425" w:rsidRDefault="00460425" w14:paraId="2AF40770" w14:textId="77777777">
      <w:pPr>
        <w:jc w:val="center"/>
        <w:rPr>
          <w:b/>
        </w:rPr>
      </w:pPr>
    </w:p>
    <w:p w:rsidR="00460425" w:rsidRDefault="00460425" w14:paraId="0609951C" w14:textId="77777777">
      <w:pPr>
        <w:jc w:val="center"/>
        <w:rPr>
          <w:b/>
        </w:rPr>
      </w:pPr>
    </w:p>
    <w:p w:rsidR="00882B62" w:rsidRDefault="00196914" w14:paraId="7942DE99" w14:textId="69B95548">
      <w:pPr>
        <w:jc w:val="center"/>
        <w:rPr>
          <w:b/>
        </w:rPr>
      </w:pPr>
      <w:r>
        <w:rPr>
          <w:b/>
        </w:rPr>
        <w:t xml:space="preserve"> Performance Monitoring of “Working with Publicly Funded Health Centers to Reduce Teen Pregnancy among Youth from Vulnerable Populations”</w:t>
      </w:r>
    </w:p>
    <w:p w:rsidR="00882B62" w:rsidRDefault="00882B62" w14:paraId="15629B81" w14:textId="77777777">
      <w:pPr>
        <w:jc w:val="center"/>
        <w:rPr>
          <w:b/>
        </w:rPr>
      </w:pPr>
    </w:p>
    <w:p w:rsidR="00882B62" w:rsidRDefault="00882B62" w14:paraId="02F46A86" w14:textId="77777777">
      <w:pPr>
        <w:jc w:val="center"/>
        <w:rPr>
          <w:b/>
        </w:rPr>
      </w:pPr>
    </w:p>
    <w:p w:rsidRPr="004F4A21" w:rsidR="00196914" w:rsidP="00460425" w:rsidRDefault="00196914" w14:paraId="092E22AA" w14:textId="1DD9CA36">
      <w:pPr>
        <w:spacing w:after="0" w:line="240" w:lineRule="auto"/>
        <w:jc w:val="center"/>
        <w:rPr>
          <w:bCs/>
        </w:rPr>
      </w:pPr>
      <w:r w:rsidRPr="004F4A21">
        <w:rPr>
          <w:bCs/>
        </w:rPr>
        <w:t xml:space="preserve">OMB Control Number </w:t>
      </w:r>
      <w:r>
        <w:rPr>
          <w:bCs/>
        </w:rPr>
        <w:t>0920-1156</w:t>
      </w:r>
    </w:p>
    <w:p w:rsidRPr="004F4A21" w:rsidR="00196914" w:rsidP="00196914" w:rsidRDefault="00196914" w14:paraId="49F48B48" w14:textId="77777777">
      <w:pPr>
        <w:tabs>
          <w:tab w:val="left" w:pos="0"/>
          <w:tab w:val="center" w:pos="4680"/>
          <w:tab w:val="left" w:pos="5040"/>
          <w:tab w:val="left" w:pos="5760"/>
          <w:tab w:val="left" w:pos="6480"/>
          <w:tab w:val="left" w:pos="7200"/>
          <w:tab w:val="left" w:pos="7920"/>
          <w:tab w:val="left" w:pos="8640"/>
          <w:tab w:val="left" w:pos="9360"/>
        </w:tabs>
        <w:jc w:val="center"/>
        <w:rPr>
          <w:bCs/>
        </w:rPr>
      </w:pPr>
    </w:p>
    <w:p w:rsidRPr="004F4A21" w:rsidR="00196914" w:rsidP="00196914" w:rsidRDefault="002226B1" w14:paraId="4590137C" w14:textId="2C8D63E2">
      <w:pPr>
        <w:tabs>
          <w:tab w:val="left" w:pos="0"/>
          <w:tab w:val="center" w:pos="4680"/>
          <w:tab w:val="left" w:pos="5040"/>
          <w:tab w:val="left" w:pos="5760"/>
          <w:tab w:val="left" w:pos="6480"/>
          <w:tab w:val="left" w:pos="7200"/>
          <w:tab w:val="left" w:pos="7920"/>
          <w:tab w:val="left" w:pos="8640"/>
          <w:tab w:val="left" w:pos="9360"/>
        </w:tabs>
        <w:jc w:val="center"/>
        <w:rPr>
          <w:bCs/>
        </w:rPr>
      </w:pPr>
      <w:r>
        <w:rPr>
          <w:bCs/>
        </w:rPr>
        <w:t>Revision</w:t>
      </w:r>
      <w:r w:rsidR="00D2513C">
        <w:rPr>
          <w:bCs/>
        </w:rPr>
        <w:t xml:space="preserve"> </w:t>
      </w:r>
      <w:r w:rsidRPr="004F4A21" w:rsidR="00196914">
        <w:rPr>
          <w:bCs/>
        </w:rPr>
        <w:t>Request</w:t>
      </w:r>
    </w:p>
    <w:p w:rsidRPr="00047685" w:rsidR="00196914" w:rsidP="00196914" w:rsidRDefault="00196914" w14:paraId="43485D14" w14:textId="77777777">
      <w:pPr>
        <w:tabs>
          <w:tab w:val="left" w:pos="0"/>
          <w:tab w:val="center" w:pos="4680"/>
          <w:tab w:val="left" w:pos="5040"/>
          <w:tab w:val="left" w:pos="5760"/>
          <w:tab w:val="left" w:pos="6480"/>
          <w:tab w:val="left" w:pos="7200"/>
          <w:tab w:val="left" w:pos="7920"/>
          <w:tab w:val="left" w:pos="8640"/>
          <w:tab w:val="left" w:pos="9360"/>
        </w:tabs>
        <w:jc w:val="center"/>
        <w:rPr>
          <w:b/>
          <w:bCs/>
        </w:rPr>
      </w:pPr>
    </w:p>
    <w:p w:rsidR="00196914" w:rsidP="00196914" w:rsidRDefault="00196914" w14:paraId="4A27AAB9" w14:textId="77777777">
      <w:pPr>
        <w:tabs>
          <w:tab w:val="left" w:pos="0"/>
          <w:tab w:val="center" w:pos="4680"/>
          <w:tab w:val="left" w:pos="5040"/>
          <w:tab w:val="left" w:pos="5760"/>
          <w:tab w:val="left" w:pos="6480"/>
          <w:tab w:val="left" w:pos="7200"/>
          <w:tab w:val="left" w:pos="7920"/>
          <w:tab w:val="left" w:pos="8640"/>
          <w:tab w:val="left" w:pos="9360"/>
        </w:tabs>
        <w:jc w:val="center"/>
        <w:rPr>
          <w:b/>
          <w:bCs/>
        </w:rPr>
      </w:pPr>
    </w:p>
    <w:p w:rsidR="00460425" w:rsidP="00196914" w:rsidRDefault="00196914" w14:paraId="46F90624" w14:textId="77777777">
      <w:pPr>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w:t>
      </w:r>
    </w:p>
    <w:p w:rsidRPr="00047685" w:rsidR="00196914" w:rsidP="00196914" w:rsidRDefault="00196914" w14:paraId="6ECD489B" w14:textId="0FC656B5">
      <w:pPr>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 </w:t>
      </w:r>
      <w:r w:rsidRPr="00047685">
        <w:rPr>
          <w:b/>
          <w:bCs/>
        </w:rPr>
        <w:t>Part A</w:t>
      </w:r>
    </w:p>
    <w:p w:rsidRPr="00047685" w:rsidR="00196914" w:rsidP="00196914" w:rsidRDefault="00196914" w14:paraId="54675480" w14:textId="77777777">
      <w:pPr>
        <w:tabs>
          <w:tab w:val="left" w:pos="0"/>
          <w:tab w:val="center" w:pos="4680"/>
          <w:tab w:val="left" w:pos="5040"/>
          <w:tab w:val="left" w:pos="5760"/>
          <w:tab w:val="left" w:pos="6480"/>
          <w:tab w:val="left" w:pos="7200"/>
          <w:tab w:val="left" w:pos="7920"/>
          <w:tab w:val="left" w:pos="8640"/>
          <w:tab w:val="left" w:pos="9360"/>
        </w:tabs>
        <w:rPr>
          <w:b/>
          <w:bCs/>
        </w:rPr>
      </w:pPr>
    </w:p>
    <w:p w:rsidRPr="008C2A17" w:rsidR="00196914" w:rsidP="00196914" w:rsidRDefault="00196914" w14:paraId="1B218573" w14:textId="77777777">
      <w:pPr>
        <w:tabs>
          <w:tab w:val="left" w:pos="0"/>
          <w:tab w:val="center" w:pos="4680"/>
          <w:tab w:val="left" w:pos="5040"/>
          <w:tab w:val="left" w:pos="5760"/>
          <w:tab w:val="left" w:pos="6480"/>
          <w:tab w:val="left" w:pos="7200"/>
          <w:tab w:val="left" w:pos="7920"/>
          <w:tab w:val="left" w:pos="8640"/>
          <w:tab w:val="left" w:pos="9360"/>
        </w:tabs>
        <w:rPr>
          <w:b/>
          <w:bCs/>
        </w:rPr>
      </w:pPr>
    </w:p>
    <w:p w:rsidRPr="00460425" w:rsidR="00196914" w:rsidP="00196914" w:rsidRDefault="008D5386" w14:paraId="7009432C" w14:textId="33F8E6B0">
      <w:pPr>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rPr>
        <w:t>December 2</w:t>
      </w:r>
      <w:r w:rsidR="00C46E85">
        <w:rPr>
          <w:b/>
          <w:bCs/>
        </w:rPr>
        <w:t>, 2019</w:t>
      </w:r>
    </w:p>
    <w:p w:rsidR="00196914" w:rsidP="00196914" w:rsidRDefault="00196914" w14:paraId="2E62EA3E" w14:textId="77777777">
      <w:pPr>
        <w:tabs>
          <w:tab w:val="left" w:pos="0"/>
          <w:tab w:val="center" w:pos="4680"/>
          <w:tab w:val="left" w:pos="5040"/>
          <w:tab w:val="left" w:pos="5760"/>
          <w:tab w:val="left" w:pos="6480"/>
          <w:tab w:val="left" w:pos="7200"/>
          <w:tab w:val="left" w:pos="7920"/>
          <w:tab w:val="left" w:pos="8640"/>
          <w:tab w:val="left" w:pos="9360"/>
        </w:tabs>
        <w:jc w:val="center"/>
        <w:rPr>
          <w:bCs/>
          <w:lang w:val="fr-FR"/>
        </w:rPr>
      </w:pPr>
    </w:p>
    <w:p w:rsidR="00196914" w:rsidP="00196914" w:rsidRDefault="00196914" w14:paraId="23C11EB9" w14:textId="77777777">
      <w:pPr>
        <w:tabs>
          <w:tab w:val="left" w:pos="0"/>
          <w:tab w:val="center" w:pos="4680"/>
          <w:tab w:val="left" w:pos="5040"/>
          <w:tab w:val="left" w:pos="5760"/>
          <w:tab w:val="left" w:pos="6480"/>
          <w:tab w:val="left" w:pos="7200"/>
          <w:tab w:val="left" w:pos="7920"/>
          <w:tab w:val="left" w:pos="8640"/>
          <w:tab w:val="left" w:pos="9360"/>
        </w:tabs>
        <w:jc w:val="center"/>
        <w:rPr>
          <w:bCs/>
          <w:lang w:val="fr-FR"/>
        </w:rPr>
      </w:pPr>
    </w:p>
    <w:p w:rsidR="00196914" w:rsidP="00196914" w:rsidRDefault="00196914" w14:paraId="42C45CA6" w14:textId="77777777">
      <w:pPr>
        <w:tabs>
          <w:tab w:val="left" w:pos="0"/>
          <w:tab w:val="center" w:pos="4680"/>
          <w:tab w:val="left" w:pos="5040"/>
          <w:tab w:val="left" w:pos="5760"/>
          <w:tab w:val="left" w:pos="6480"/>
          <w:tab w:val="left" w:pos="7200"/>
          <w:tab w:val="left" w:pos="7920"/>
          <w:tab w:val="left" w:pos="8640"/>
          <w:tab w:val="left" w:pos="9360"/>
        </w:tabs>
        <w:jc w:val="center"/>
        <w:rPr>
          <w:bCs/>
          <w:lang w:val="fr-FR"/>
        </w:rPr>
      </w:pPr>
    </w:p>
    <w:p w:rsidR="00196914" w:rsidP="00196914" w:rsidRDefault="00196914" w14:paraId="192AAEBD" w14:textId="77777777">
      <w:pPr>
        <w:tabs>
          <w:tab w:val="left" w:pos="0"/>
          <w:tab w:val="center" w:pos="4680"/>
          <w:tab w:val="left" w:pos="5040"/>
          <w:tab w:val="left" w:pos="5760"/>
          <w:tab w:val="left" w:pos="6480"/>
          <w:tab w:val="left" w:pos="7200"/>
          <w:tab w:val="left" w:pos="7920"/>
          <w:tab w:val="left" w:pos="8640"/>
          <w:tab w:val="left" w:pos="9360"/>
        </w:tabs>
        <w:jc w:val="center"/>
        <w:rPr>
          <w:bCs/>
          <w:lang w:val="fr-FR"/>
        </w:rPr>
      </w:pPr>
    </w:p>
    <w:p w:rsidR="00882B62" w:rsidRDefault="00882B62" w14:paraId="4D511C50" w14:textId="77777777">
      <w:pPr>
        <w:spacing w:after="0" w:line="240" w:lineRule="auto"/>
        <w:jc w:val="right"/>
      </w:pPr>
    </w:p>
    <w:p w:rsidR="00882B62" w:rsidP="00460425" w:rsidRDefault="00460425" w14:paraId="3BB7FBC9" w14:textId="1497FA20">
      <w:pPr>
        <w:spacing w:after="0" w:line="240" w:lineRule="auto"/>
        <w:jc w:val="center"/>
      </w:pPr>
      <w:r>
        <w:t>Contact Person</w:t>
      </w:r>
      <w:r w:rsidR="00196914">
        <w:t>:</w:t>
      </w:r>
    </w:p>
    <w:p w:rsidR="00882B62" w:rsidP="00460425" w:rsidRDefault="00196914" w14:paraId="1C4315E1" w14:textId="5AB754DA">
      <w:pPr>
        <w:spacing w:after="0" w:line="240" w:lineRule="auto"/>
        <w:jc w:val="center"/>
      </w:pPr>
      <w:r>
        <w:t>Heather Tevendale</w:t>
      </w:r>
      <w:r w:rsidR="00460425">
        <w:t>, PhD</w:t>
      </w:r>
    </w:p>
    <w:p w:rsidR="00882B62" w:rsidP="00460425" w:rsidRDefault="00C46E85" w14:paraId="54AB13A2" w14:textId="559F2CAF">
      <w:pPr>
        <w:spacing w:after="0" w:line="240" w:lineRule="auto"/>
        <w:jc w:val="center"/>
      </w:pPr>
      <w:r>
        <w:t>Deputy Associate Director for Science</w:t>
      </w:r>
    </w:p>
    <w:p w:rsidR="00460425" w:rsidP="00460425" w:rsidRDefault="00460425" w14:paraId="3778C77A" w14:textId="77777777">
      <w:pPr>
        <w:spacing w:after="0" w:line="240" w:lineRule="auto"/>
        <w:jc w:val="center"/>
      </w:pPr>
      <w:r>
        <w:t>Telephone: 770-488-6147</w:t>
      </w:r>
    </w:p>
    <w:p w:rsidR="00460425" w:rsidP="00460425" w:rsidRDefault="00460425" w14:paraId="74DF2215" w14:textId="10D1836D">
      <w:pPr>
        <w:spacing w:after="0" w:line="240" w:lineRule="auto"/>
        <w:jc w:val="center"/>
      </w:pPr>
      <w:r>
        <w:t>Fax: 770-488-6291</w:t>
      </w:r>
    </w:p>
    <w:p w:rsidR="00460425" w:rsidP="00460425" w:rsidRDefault="00460425" w14:paraId="672559ED" w14:textId="5805595D">
      <w:pPr>
        <w:spacing w:after="0" w:line="240" w:lineRule="auto"/>
        <w:jc w:val="center"/>
      </w:pPr>
      <w:r>
        <w:t>E-mail: hrx9@cdc.gov</w:t>
      </w:r>
    </w:p>
    <w:p w:rsidR="00882B62" w:rsidP="00460425" w:rsidRDefault="00196914" w14:paraId="421CFED9" w14:textId="1A26F0E0">
      <w:pPr>
        <w:spacing w:after="0" w:line="240" w:lineRule="auto"/>
        <w:jc w:val="center"/>
      </w:pPr>
      <w:r>
        <w:t>Division of Reproductive Health</w:t>
      </w:r>
    </w:p>
    <w:p w:rsidR="00460425" w:rsidP="00460425" w:rsidRDefault="00460425" w14:paraId="62F38149" w14:textId="01AB13E6">
      <w:pPr>
        <w:spacing w:after="0" w:line="240" w:lineRule="auto"/>
        <w:jc w:val="center"/>
      </w:pPr>
      <w:r>
        <w:t>National Center for Chronic Disease Prevention and Health Promotion</w:t>
      </w:r>
    </w:p>
    <w:p w:rsidR="00460425" w:rsidP="00460425" w:rsidRDefault="00460425" w14:paraId="1B271960" w14:textId="705A97F7">
      <w:pPr>
        <w:spacing w:after="0" w:line="240" w:lineRule="auto"/>
        <w:jc w:val="center"/>
      </w:pPr>
      <w:r>
        <w:t>Centers for Disease Control and Prevention</w:t>
      </w:r>
    </w:p>
    <w:p w:rsidR="00460425" w:rsidP="00460425" w:rsidRDefault="00460425" w14:paraId="5E84C4EE" w14:textId="786AD126">
      <w:pPr>
        <w:spacing w:after="0" w:line="240" w:lineRule="auto"/>
        <w:jc w:val="center"/>
      </w:pPr>
      <w:r>
        <w:t>Atlanta, Georgia</w:t>
      </w:r>
    </w:p>
    <w:p w:rsidR="00460425" w:rsidP="00460425" w:rsidRDefault="00460425" w14:paraId="58BC84F8" w14:textId="77777777">
      <w:pPr>
        <w:spacing w:after="0" w:line="240" w:lineRule="auto"/>
        <w:jc w:val="center"/>
      </w:pPr>
    </w:p>
    <w:p w:rsidR="00882B62" w:rsidRDefault="00882B62" w14:paraId="099F1641" w14:textId="77777777">
      <w:pPr>
        <w:spacing w:after="0" w:line="240" w:lineRule="auto"/>
        <w:jc w:val="right"/>
      </w:pPr>
    </w:p>
    <w:p w:rsidR="00882B62" w:rsidRDefault="00882B62" w14:paraId="37256426" w14:textId="77777777">
      <w:pPr>
        <w:jc w:val="right"/>
      </w:pPr>
    </w:p>
    <w:p w:rsidR="00882B62" w:rsidRDefault="00882B62" w14:paraId="307FE9E9" w14:textId="77777777">
      <w:pPr>
        <w:jc w:val="right"/>
      </w:pPr>
    </w:p>
    <w:p w:rsidR="00882B62" w:rsidP="00B46604" w:rsidRDefault="008C2A17" w14:paraId="76E88907" w14:textId="6CEDF4DD">
      <w:pPr>
        <w:rPr>
          <w:rFonts w:cs="Times New Roman"/>
          <w:b/>
        </w:rPr>
      </w:pPr>
      <w:r>
        <w:rPr>
          <w:rFonts w:cs="Times New Roman"/>
          <w:b/>
        </w:rPr>
        <w:t>CONTENTS</w:t>
      </w:r>
    </w:p>
    <w:p w:rsidRPr="00325042" w:rsidR="008C2A17" w:rsidP="00B46604" w:rsidRDefault="008C2A17" w14:paraId="7FD7B0CD" w14:textId="128F252A">
      <w:pPr>
        <w:rPr>
          <w:rFonts w:cs="Times New Roman"/>
          <w:sz w:val="20"/>
          <w:szCs w:val="20"/>
        </w:rPr>
      </w:pPr>
      <w:r w:rsidRPr="00325042">
        <w:rPr>
          <w:rFonts w:cs="Times New Roman"/>
          <w:sz w:val="20"/>
          <w:szCs w:val="20"/>
        </w:rPr>
        <w:t>List of Attachments……………………………………………………………………………………………………………………………………………</w:t>
      </w:r>
      <w:r w:rsidR="00325042">
        <w:rPr>
          <w:rFonts w:cs="Times New Roman"/>
          <w:sz w:val="20"/>
          <w:szCs w:val="20"/>
        </w:rPr>
        <w:t>……………</w:t>
      </w:r>
      <w:r w:rsidRPr="00325042">
        <w:rPr>
          <w:rFonts w:cs="Times New Roman"/>
          <w:sz w:val="20"/>
          <w:szCs w:val="20"/>
        </w:rPr>
        <w:t>…3</w:t>
      </w:r>
    </w:p>
    <w:p w:rsidRPr="00325042" w:rsidR="00882B62" w:rsidRDefault="00196914" w14:paraId="47202E69" w14:textId="0CC5DCB1">
      <w:pPr>
        <w:spacing w:after="0" w:line="240" w:lineRule="auto"/>
        <w:rPr>
          <w:rFonts w:cs="Times New Roman"/>
          <w:sz w:val="20"/>
          <w:szCs w:val="20"/>
        </w:rPr>
      </w:pPr>
      <w:r w:rsidRPr="00325042">
        <w:rPr>
          <w:rFonts w:cs="Times New Roman"/>
          <w:sz w:val="20"/>
          <w:szCs w:val="20"/>
        </w:rPr>
        <w:t xml:space="preserve">A. </w:t>
      </w:r>
      <w:r w:rsidRPr="00325042" w:rsidR="008C2A17">
        <w:rPr>
          <w:rFonts w:cs="Times New Roman"/>
          <w:sz w:val="20"/>
          <w:szCs w:val="20"/>
        </w:rPr>
        <w:tab/>
      </w:r>
      <w:r w:rsidRPr="00325042">
        <w:rPr>
          <w:rFonts w:cs="Times New Roman"/>
          <w:sz w:val="20"/>
          <w:szCs w:val="20"/>
        </w:rPr>
        <w:t>Justification</w:t>
      </w:r>
    </w:p>
    <w:p w:rsidRPr="00325042" w:rsidR="00882B62" w:rsidP="009B4531" w:rsidRDefault="00196914" w14:paraId="38A14B9C" w14:textId="08EB908A">
      <w:pPr>
        <w:spacing w:after="0" w:line="240" w:lineRule="auto"/>
        <w:ind w:left="360"/>
        <w:rPr>
          <w:rFonts w:cs="Times New Roman"/>
          <w:sz w:val="20"/>
          <w:szCs w:val="20"/>
        </w:rPr>
      </w:pPr>
      <w:r w:rsidRPr="00325042">
        <w:rPr>
          <w:rFonts w:cs="Times New Roman"/>
          <w:sz w:val="20"/>
          <w:szCs w:val="20"/>
        </w:rPr>
        <w:t>1</w:t>
      </w:r>
      <w:r w:rsidRPr="00325042" w:rsidR="008C2A17">
        <w:rPr>
          <w:rFonts w:cs="Times New Roman"/>
          <w:sz w:val="20"/>
          <w:szCs w:val="20"/>
        </w:rPr>
        <w:t>.</w:t>
      </w:r>
      <w:r w:rsidRPr="00325042">
        <w:rPr>
          <w:rFonts w:cs="Times New Roman"/>
          <w:sz w:val="20"/>
          <w:szCs w:val="20"/>
        </w:rPr>
        <w:tab/>
      </w:r>
      <w:r w:rsidRPr="00325042">
        <w:rPr>
          <w:rFonts w:cs="Times New Roman"/>
          <w:sz w:val="20"/>
          <w:szCs w:val="20"/>
        </w:rPr>
        <w:tab/>
        <w:t xml:space="preserve">Circumstances </w:t>
      </w:r>
      <w:r w:rsidRPr="00325042" w:rsidR="008C2A17">
        <w:rPr>
          <w:rFonts w:cs="Times New Roman"/>
          <w:sz w:val="20"/>
          <w:szCs w:val="20"/>
        </w:rPr>
        <w:t>M</w:t>
      </w:r>
      <w:r w:rsidRPr="00325042">
        <w:rPr>
          <w:rFonts w:cs="Times New Roman"/>
          <w:sz w:val="20"/>
          <w:szCs w:val="20"/>
        </w:rPr>
        <w:t xml:space="preserve">aking the </w:t>
      </w:r>
      <w:r w:rsidRPr="00325042" w:rsidR="008C2A17">
        <w:rPr>
          <w:rFonts w:cs="Times New Roman"/>
          <w:sz w:val="20"/>
          <w:szCs w:val="20"/>
        </w:rPr>
        <w:t>C</w:t>
      </w:r>
      <w:r w:rsidRPr="00325042">
        <w:rPr>
          <w:rFonts w:cs="Times New Roman"/>
          <w:sz w:val="20"/>
          <w:szCs w:val="20"/>
        </w:rPr>
        <w:t xml:space="preserve">ollection of </w:t>
      </w:r>
      <w:r w:rsidRPr="00325042" w:rsidR="008C2A17">
        <w:rPr>
          <w:rFonts w:cs="Times New Roman"/>
          <w:sz w:val="20"/>
          <w:szCs w:val="20"/>
        </w:rPr>
        <w:t>I</w:t>
      </w:r>
      <w:r w:rsidRPr="00325042">
        <w:rPr>
          <w:rFonts w:cs="Times New Roman"/>
          <w:sz w:val="20"/>
          <w:szCs w:val="20"/>
        </w:rPr>
        <w:t xml:space="preserve">nformation </w:t>
      </w:r>
      <w:r w:rsidRPr="00325042" w:rsidR="008C2A17">
        <w:rPr>
          <w:rFonts w:cs="Times New Roman"/>
          <w:sz w:val="20"/>
          <w:szCs w:val="20"/>
        </w:rPr>
        <w:t>N</w:t>
      </w:r>
      <w:r w:rsidRPr="00325042">
        <w:rPr>
          <w:rFonts w:cs="Times New Roman"/>
          <w:sz w:val="20"/>
          <w:szCs w:val="20"/>
        </w:rPr>
        <w:t>ecessary</w:t>
      </w:r>
      <w:r w:rsidRPr="00325042" w:rsidR="008C2A17">
        <w:rPr>
          <w:rFonts w:cs="Times New Roman"/>
          <w:sz w:val="20"/>
          <w:szCs w:val="20"/>
        </w:rPr>
        <w:t>………………………………………………</w:t>
      </w:r>
      <w:r w:rsidR="00325042">
        <w:rPr>
          <w:rFonts w:cs="Times New Roman"/>
          <w:sz w:val="20"/>
          <w:szCs w:val="20"/>
        </w:rPr>
        <w:t>………….</w:t>
      </w:r>
      <w:r w:rsidRPr="00325042" w:rsidR="008C2A17">
        <w:rPr>
          <w:rFonts w:cs="Times New Roman"/>
          <w:sz w:val="20"/>
          <w:szCs w:val="20"/>
        </w:rPr>
        <w:t>..5</w:t>
      </w:r>
    </w:p>
    <w:p w:rsidRPr="00325042" w:rsidR="00882B62" w:rsidP="009B4531" w:rsidRDefault="00196914" w14:paraId="1EDE74DE" w14:textId="702718C8">
      <w:pPr>
        <w:spacing w:after="0" w:line="240" w:lineRule="auto"/>
        <w:ind w:firstLine="360"/>
        <w:rPr>
          <w:rFonts w:cs="Times New Roman"/>
          <w:sz w:val="20"/>
          <w:szCs w:val="20"/>
        </w:rPr>
      </w:pPr>
      <w:r w:rsidRPr="00325042">
        <w:rPr>
          <w:rFonts w:cs="Times New Roman"/>
          <w:sz w:val="20"/>
          <w:szCs w:val="20"/>
        </w:rPr>
        <w:t>2</w:t>
      </w:r>
      <w:r w:rsidRPr="00325042" w:rsidR="008C2A17">
        <w:rPr>
          <w:rFonts w:cs="Times New Roman"/>
          <w:sz w:val="20"/>
          <w:szCs w:val="20"/>
        </w:rPr>
        <w:t>.</w:t>
      </w:r>
      <w:r w:rsidRPr="00325042">
        <w:rPr>
          <w:rFonts w:cs="Times New Roman"/>
          <w:sz w:val="20"/>
          <w:szCs w:val="20"/>
        </w:rPr>
        <w:tab/>
      </w:r>
      <w:r w:rsidRPr="00325042">
        <w:rPr>
          <w:rFonts w:cs="Times New Roman"/>
          <w:sz w:val="20"/>
          <w:szCs w:val="20"/>
        </w:rPr>
        <w:tab/>
        <w:t xml:space="preserve">Purpose and </w:t>
      </w:r>
      <w:r w:rsidRPr="00325042" w:rsidR="008C2A17">
        <w:rPr>
          <w:rFonts w:cs="Times New Roman"/>
          <w:sz w:val="20"/>
          <w:szCs w:val="20"/>
        </w:rPr>
        <w:t>U</w:t>
      </w:r>
      <w:r w:rsidRPr="00325042">
        <w:rPr>
          <w:rFonts w:cs="Times New Roman"/>
          <w:sz w:val="20"/>
          <w:szCs w:val="20"/>
        </w:rPr>
        <w:t xml:space="preserve">se of the </w:t>
      </w:r>
      <w:r w:rsidRPr="00325042" w:rsidR="008C2A17">
        <w:rPr>
          <w:rFonts w:cs="Times New Roman"/>
          <w:sz w:val="20"/>
          <w:szCs w:val="20"/>
        </w:rPr>
        <w:t>In</w:t>
      </w:r>
      <w:r w:rsidRPr="00325042">
        <w:rPr>
          <w:rFonts w:cs="Times New Roman"/>
          <w:sz w:val="20"/>
          <w:szCs w:val="20"/>
        </w:rPr>
        <w:t xml:space="preserve">formation </w:t>
      </w:r>
      <w:r w:rsidRPr="00325042" w:rsidR="008C2A17">
        <w:rPr>
          <w:rFonts w:cs="Times New Roman"/>
          <w:sz w:val="20"/>
          <w:szCs w:val="20"/>
        </w:rPr>
        <w:t>C</w:t>
      </w:r>
      <w:r w:rsidRPr="00325042">
        <w:rPr>
          <w:rFonts w:cs="Times New Roman"/>
          <w:sz w:val="20"/>
          <w:szCs w:val="20"/>
        </w:rPr>
        <w:t>ollection</w:t>
      </w:r>
      <w:r w:rsidRPr="00325042" w:rsidR="008C2A17">
        <w:rPr>
          <w:rFonts w:cs="Times New Roman"/>
          <w:sz w:val="20"/>
          <w:szCs w:val="20"/>
        </w:rPr>
        <w:t>…………………………………………………………………………</w:t>
      </w:r>
      <w:r w:rsidR="00325042">
        <w:rPr>
          <w:rFonts w:cs="Times New Roman"/>
          <w:sz w:val="20"/>
          <w:szCs w:val="20"/>
        </w:rPr>
        <w:t>………….</w:t>
      </w:r>
      <w:r w:rsidRPr="00325042" w:rsidR="008C2A17">
        <w:rPr>
          <w:rFonts w:cs="Times New Roman"/>
          <w:sz w:val="20"/>
          <w:szCs w:val="20"/>
        </w:rPr>
        <w:t>.7</w:t>
      </w:r>
    </w:p>
    <w:p w:rsidRPr="00325042" w:rsidR="00882B62" w:rsidP="009B4531" w:rsidRDefault="00196914" w14:paraId="57363047" w14:textId="74899699">
      <w:pPr>
        <w:spacing w:after="0" w:line="240" w:lineRule="auto"/>
        <w:ind w:firstLine="360"/>
        <w:rPr>
          <w:rFonts w:cs="Times New Roman"/>
          <w:sz w:val="20"/>
          <w:szCs w:val="20"/>
        </w:rPr>
      </w:pPr>
      <w:r w:rsidRPr="00325042">
        <w:rPr>
          <w:rFonts w:cs="Times New Roman"/>
          <w:sz w:val="20"/>
          <w:szCs w:val="20"/>
        </w:rPr>
        <w:t>3</w:t>
      </w:r>
      <w:r w:rsidRPr="00325042" w:rsidR="008C2A17">
        <w:rPr>
          <w:rFonts w:cs="Times New Roman"/>
          <w:sz w:val="20"/>
          <w:szCs w:val="20"/>
        </w:rPr>
        <w:t>.</w:t>
      </w:r>
      <w:r w:rsidRPr="00325042" w:rsidR="00720F13">
        <w:rPr>
          <w:rFonts w:cs="Times New Roman"/>
          <w:sz w:val="20"/>
          <w:szCs w:val="20"/>
        </w:rPr>
        <w:tab/>
      </w:r>
      <w:r w:rsidRPr="00325042" w:rsidR="00720F13">
        <w:rPr>
          <w:rFonts w:cs="Times New Roman"/>
          <w:sz w:val="20"/>
          <w:szCs w:val="20"/>
        </w:rPr>
        <w:tab/>
        <w:t>Use of Improved Information T</w:t>
      </w:r>
      <w:r w:rsidRPr="00325042">
        <w:rPr>
          <w:rFonts w:cs="Times New Roman"/>
          <w:sz w:val="20"/>
          <w:szCs w:val="20"/>
        </w:rPr>
        <w:t xml:space="preserve">echnology and </w:t>
      </w:r>
      <w:r w:rsidRPr="00325042" w:rsidR="00720F13">
        <w:rPr>
          <w:rFonts w:cs="Times New Roman"/>
          <w:sz w:val="20"/>
          <w:szCs w:val="20"/>
        </w:rPr>
        <w:t>Burden R</w:t>
      </w:r>
      <w:r w:rsidRPr="00325042">
        <w:rPr>
          <w:rFonts w:cs="Times New Roman"/>
          <w:sz w:val="20"/>
          <w:szCs w:val="20"/>
        </w:rPr>
        <w:t>eduction</w:t>
      </w:r>
      <w:r w:rsidRPr="00325042" w:rsidR="00720F13">
        <w:rPr>
          <w:rFonts w:cs="Times New Roman"/>
          <w:sz w:val="20"/>
          <w:szCs w:val="20"/>
        </w:rPr>
        <w:t>……………………………………………</w:t>
      </w:r>
      <w:r w:rsidR="00325042">
        <w:rPr>
          <w:rFonts w:cs="Times New Roman"/>
          <w:sz w:val="20"/>
          <w:szCs w:val="20"/>
        </w:rPr>
        <w:t>………….</w:t>
      </w:r>
      <w:r w:rsidRPr="00325042" w:rsidR="00720F13">
        <w:rPr>
          <w:rFonts w:cs="Times New Roman"/>
          <w:sz w:val="20"/>
          <w:szCs w:val="20"/>
        </w:rPr>
        <w:t>…9</w:t>
      </w:r>
    </w:p>
    <w:p w:rsidRPr="00325042" w:rsidR="00882B62" w:rsidP="009B4531" w:rsidRDefault="00196914" w14:paraId="54E70682" w14:textId="015DB515">
      <w:pPr>
        <w:spacing w:after="0" w:line="240" w:lineRule="auto"/>
        <w:ind w:firstLine="360"/>
        <w:rPr>
          <w:rFonts w:cs="Times New Roman"/>
          <w:sz w:val="20"/>
          <w:szCs w:val="20"/>
        </w:rPr>
      </w:pPr>
      <w:r w:rsidRPr="00325042">
        <w:rPr>
          <w:rFonts w:cs="Times New Roman"/>
          <w:sz w:val="20"/>
          <w:szCs w:val="20"/>
        </w:rPr>
        <w:t>4</w:t>
      </w:r>
      <w:r w:rsidRPr="00325042" w:rsidR="008C2A17">
        <w:rPr>
          <w:rFonts w:cs="Times New Roman"/>
          <w:sz w:val="20"/>
          <w:szCs w:val="20"/>
        </w:rPr>
        <w:t>.</w:t>
      </w:r>
      <w:r w:rsidRPr="00325042">
        <w:rPr>
          <w:rFonts w:cs="Times New Roman"/>
          <w:sz w:val="20"/>
          <w:szCs w:val="20"/>
        </w:rPr>
        <w:tab/>
      </w:r>
      <w:r w:rsidRPr="00325042">
        <w:rPr>
          <w:rFonts w:cs="Times New Roman"/>
          <w:sz w:val="20"/>
          <w:szCs w:val="20"/>
        </w:rPr>
        <w:tab/>
        <w:t xml:space="preserve">Efforts to </w:t>
      </w:r>
      <w:r w:rsidRPr="00325042" w:rsidR="00720F13">
        <w:rPr>
          <w:rFonts w:cs="Times New Roman"/>
          <w:sz w:val="20"/>
          <w:szCs w:val="20"/>
        </w:rPr>
        <w:t>I</w:t>
      </w:r>
      <w:r w:rsidRPr="00325042">
        <w:rPr>
          <w:rFonts w:cs="Times New Roman"/>
          <w:sz w:val="20"/>
          <w:szCs w:val="20"/>
        </w:rPr>
        <w:t xml:space="preserve">dentify </w:t>
      </w:r>
      <w:r w:rsidRPr="00325042" w:rsidR="00720F13">
        <w:rPr>
          <w:rFonts w:cs="Times New Roman"/>
          <w:sz w:val="20"/>
          <w:szCs w:val="20"/>
        </w:rPr>
        <w:t>D</w:t>
      </w:r>
      <w:r w:rsidRPr="00325042">
        <w:rPr>
          <w:rFonts w:cs="Times New Roman"/>
          <w:sz w:val="20"/>
          <w:szCs w:val="20"/>
        </w:rPr>
        <w:t xml:space="preserve">uplication and </w:t>
      </w:r>
      <w:r w:rsidRPr="00325042" w:rsidR="00720F13">
        <w:rPr>
          <w:rFonts w:cs="Times New Roman"/>
          <w:sz w:val="20"/>
          <w:szCs w:val="20"/>
        </w:rPr>
        <w:t>U</w:t>
      </w:r>
      <w:r w:rsidRPr="00325042">
        <w:rPr>
          <w:rFonts w:cs="Times New Roman"/>
          <w:sz w:val="20"/>
          <w:szCs w:val="20"/>
        </w:rPr>
        <w:t xml:space="preserve">se of </w:t>
      </w:r>
      <w:r w:rsidRPr="00325042" w:rsidR="00720F13">
        <w:rPr>
          <w:rFonts w:cs="Times New Roman"/>
          <w:sz w:val="20"/>
          <w:szCs w:val="20"/>
        </w:rPr>
        <w:t>Similar I</w:t>
      </w:r>
      <w:r w:rsidRPr="00325042">
        <w:rPr>
          <w:rFonts w:cs="Times New Roman"/>
          <w:sz w:val="20"/>
          <w:szCs w:val="20"/>
        </w:rPr>
        <w:t>nformation</w:t>
      </w:r>
      <w:r w:rsidRPr="00325042" w:rsidR="00720F13">
        <w:rPr>
          <w:rFonts w:cs="Times New Roman"/>
          <w:sz w:val="20"/>
          <w:szCs w:val="20"/>
        </w:rPr>
        <w:t>………………………</w:t>
      </w:r>
      <w:r w:rsidRPr="00325042" w:rsidR="00325042">
        <w:rPr>
          <w:rFonts w:cs="Times New Roman"/>
          <w:sz w:val="20"/>
          <w:szCs w:val="20"/>
        </w:rPr>
        <w:t>………………………</w:t>
      </w:r>
      <w:r w:rsidR="00325042">
        <w:rPr>
          <w:rFonts w:cs="Times New Roman"/>
          <w:sz w:val="20"/>
          <w:szCs w:val="20"/>
        </w:rPr>
        <w:t>…………..</w:t>
      </w:r>
      <w:r w:rsidRPr="00325042" w:rsidR="00325042">
        <w:rPr>
          <w:rFonts w:cs="Times New Roman"/>
          <w:sz w:val="20"/>
          <w:szCs w:val="20"/>
        </w:rPr>
        <w:t>…10</w:t>
      </w:r>
    </w:p>
    <w:p w:rsidRPr="00325042" w:rsidR="00882B62" w:rsidP="009B4531" w:rsidRDefault="00196914" w14:paraId="3DF18696" w14:textId="04D271A1">
      <w:pPr>
        <w:spacing w:after="0" w:line="240" w:lineRule="auto"/>
        <w:ind w:firstLine="360"/>
        <w:rPr>
          <w:rFonts w:cs="Times New Roman"/>
          <w:sz w:val="20"/>
          <w:szCs w:val="20"/>
        </w:rPr>
      </w:pPr>
      <w:r w:rsidRPr="00325042">
        <w:rPr>
          <w:rFonts w:cs="Times New Roman"/>
          <w:sz w:val="20"/>
          <w:szCs w:val="20"/>
        </w:rPr>
        <w:t>5</w:t>
      </w:r>
      <w:r w:rsidRPr="00325042" w:rsidR="008C2A17">
        <w:rPr>
          <w:rFonts w:cs="Times New Roman"/>
          <w:sz w:val="20"/>
          <w:szCs w:val="20"/>
        </w:rPr>
        <w:t>.</w:t>
      </w:r>
      <w:r w:rsidR="00325042">
        <w:rPr>
          <w:rFonts w:cs="Times New Roman"/>
          <w:sz w:val="20"/>
          <w:szCs w:val="20"/>
        </w:rPr>
        <w:tab/>
      </w:r>
      <w:r w:rsidR="00325042">
        <w:rPr>
          <w:rFonts w:cs="Times New Roman"/>
          <w:sz w:val="20"/>
          <w:szCs w:val="20"/>
        </w:rPr>
        <w:tab/>
        <w:t>Impact on Small Businesses or O</w:t>
      </w:r>
      <w:r w:rsidRPr="00325042">
        <w:rPr>
          <w:rFonts w:cs="Times New Roman"/>
          <w:sz w:val="20"/>
          <w:szCs w:val="20"/>
        </w:rPr>
        <w:t xml:space="preserve">ther </w:t>
      </w:r>
      <w:r w:rsidR="00325042">
        <w:rPr>
          <w:rFonts w:cs="Times New Roman"/>
          <w:sz w:val="20"/>
          <w:szCs w:val="20"/>
        </w:rPr>
        <w:t>Small E</w:t>
      </w:r>
      <w:r w:rsidRPr="00325042">
        <w:rPr>
          <w:rFonts w:cs="Times New Roman"/>
          <w:sz w:val="20"/>
          <w:szCs w:val="20"/>
        </w:rPr>
        <w:t>ntities</w:t>
      </w:r>
      <w:r w:rsidR="00325042">
        <w:rPr>
          <w:rFonts w:cs="Times New Roman"/>
          <w:sz w:val="20"/>
          <w:szCs w:val="20"/>
        </w:rPr>
        <w:t>……………………………………………………………………………..10</w:t>
      </w:r>
    </w:p>
    <w:p w:rsidRPr="00325042" w:rsidR="00882B62" w:rsidP="009B4531" w:rsidRDefault="00196914" w14:paraId="75C50EC4" w14:textId="7E14AC97">
      <w:pPr>
        <w:spacing w:after="0" w:line="240" w:lineRule="auto"/>
        <w:ind w:firstLine="360"/>
        <w:rPr>
          <w:rFonts w:cs="Times New Roman"/>
          <w:sz w:val="20"/>
          <w:szCs w:val="20"/>
        </w:rPr>
      </w:pPr>
      <w:r w:rsidRPr="00325042">
        <w:rPr>
          <w:rFonts w:cs="Times New Roman"/>
          <w:sz w:val="20"/>
          <w:szCs w:val="20"/>
        </w:rPr>
        <w:t>6</w:t>
      </w:r>
      <w:r w:rsidRPr="00325042" w:rsidR="008C2A17">
        <w:rPr>
          <w:rFonts w:cs="Times New Roman"/>
          <w:sz w:val="20"/>
          <w:szCs w:val="20"/>
        </w:rPr>
        <w:t>.</w:t>
      </w:r>
      <w:r w:rsidRPr="00325042">
        <w:rPr>
          <w:rFonts w:cs="Times New Roman"/>
          <w:sz w:val="20"/>
          <w:szCs w:val="20"/>
        </w:rPr>
        <w:tab/>
      </w:r>
      <w:r w:rsidRPr="00325042">
        <w:rPr>
          <w:rFonts w:cs="Times New Roman"/>
          <w:sz w:val="20"/>
          <w:szCs w:val="20"/>
        </w:rPr>
        <w:tab/>
        <w:t xml:space="preserve">Consequences of </w:t>
      </w:r>
      <w:r w:rsidR="00325042">
        <w:rPr>
          <w:rFonts w:cs="Times New Roman"/>
          <w:sz w:val="20"/>
          <w:szCs w:val="20"/>
        </w:rPr>
        <w:t>C</w:t>
      </w:r>
      <w:r w:rsidRPr="00325042">
        <w:rPr>
          <w:rFonts w:cs="Times New Roman"/>
          <w:sz w:val="20"/>
          <w:szCs w:val="20"/>
        </w:rPr>
        <w:t xml:space="preserve">ollecting the </w:t>
      </w:r>
      <w:r w:rsidR="00325042">
        <w:rPr>
          <w:rFonts w:cs="Times New Roman"/>
          <w:sz w:val="20"/>
          <w:szCs w:val="20"/>
        </w:rPr>
        <w:t>Information L</w:t>
      </w:r>
      <w:r w:rsidRPr="00325042">
        <w:rPr>
          <w:rFonts w:cs="Times New Roman"/>
          <w:sz w:val="20"/>
          <w:szCs w:val="20"/>
        </w:rPr>
        <w:t xml:space="preserve">ess </w:t>
      </w:r>
      <w:r w:rsidR="00325042">
        <w:rPr>
          <w:rFonts w:cs="Times New Roman"/>
          <w:sz w:val="20"/>
          <w:szCs w:val="20"/>
        </w:rPr>
        <w:t>F</w:t>
      </w:r>
      <w:r w:rsidRPr="00325042">
        <w:rPr>
          <w:rFonts w:cs="Times New Roman"/>
          <w:sz w:val="20"/>
          <w:szCs w:val="20"/>
        </w:rPr>
        <w:t>requently</w:t>
      </w:r>
      <w:r w:rsidR="00325042">
        <w:rPr>
          <w:rFonts w:cs="Times New Roman"/>
          <w:sz w:val="20"/>
          <w:szCs w:val="20"/>
        </w:rPr>
        <w:t>…………………………………………………………..….10</w:t>
      </w:r>
    </w:p>
    <w:p w:rsidRPr="00325042" w:rsidR="00882B62" w:rsidP="009B4531" w:rsidRDefault="00196914" w14:paraId="23D47316" w14:textId="376F89DA">
      <w:pPr>
        <w:spacing w:after="0" w:line="240" w:lineRule="auto"/>
        <w:ind w:firstLine="360"/>
        <w:rPr>
          <w:rFonts w:cs="Times New Roman"/>
          <w:sz w:val="20"/>
          <w:szCs w:val="20"/>
        </w:rPr>
      </w:pPr>
      <w:r w:rsidRPr="00325042">
        <w:rPr>
          <w:rFonts w:cs="Times New Roman"/>
          <w:sz w:val="20"/>
          <w:szCs w:val="20"/>
        </w:rPr>
        <w:t>7</w:t>
      </w:r>
      <w:r w:rsidRPr="00325042" w:rsidR="008C2A17">
        <w:rPr>
          <w:rFonts w:cs="Times New Roman"/>
          <w:sz w:val="20"/>
          <w:szCs w:val="20"/>
        </w:rPr>
        <w:t>.</w:t>
      </w:r>
      <w:r w:rsidRPr="00325042">
        <w:rPr>
          <w:rFonts w:cs="Times New Roman"/>
          <w:sz w:val="20"/>
          <w:szCs w:val="20"/>
        </w:rPr>
        <w:tab/>
      </w:r>
      <w:r w:rsidRPr="00325042">
        <w:rPr>
          <w:rFonts w:cs="Times New Roman"/>
          <w:sz w:val="20"/>
          <w:szCs w:val="20"/>
        </w:rPr>
        <w:tab/>
        <w:t xml:space="preserve">Special </w:t>
      </w:r>
      <w:r w:rsidR="00325042">
        <w:rPr>
          <w:rFonts w:cs="Times New Roman"/>
          <w:sz w:val="20"/>
          <w:szCs w:val="20"/>
        </w:rPr>
        <w:t>C</w:t>
      </w:r>
      <w:r w:rsidRPr="00325042">
        <w:rPr>
          <w:rFonts w:cs="Times New Roman"/>
          <w:sz w:val="20"/>
          <w:szCs w:val="20"/>
        </w:rPr>
        <w:t xml:space="preserve">ircumstances </w:t>
      </w:r>
      <w:r w:rsidR="00325042">
        <w:rPr>
          <w:rFonts w:cs="Times New Roman"/>
          <w:sz w:val="20"/>
          <w:szCs w:val="20"/>
        </w:rPr>
        <w:t>R</w:t>
      </w:r>
      <w:r w:rsidRPr="00325042">
        <w:rPr>
          <w:rFonts w:cs="Times New Roman"/>
          <w:sz w:val="20"/>
          <w:szCs w:val="20"/>
        </w:rPr>
        <w:t xml:space="preserve">elating to the </w:t>
      </w:r>
      <w:r w:rsidR="00325042">
        <w:rPr>
          <w:rFonts w:cs="Times New Roman"/>
          <w:sz w:val="20"/>
          <w:szCs w:val="20"/>
        </w:rPr>
        <w:t>G</w:t>
      </w:r>
      <w:r w:rsidRPr="00325042">
        <w:rPr>
          <w:rFonts w:cs="Times New Roman"/>
          <w:sz w:val="20"/>
          <w:szCs w:val="20"/>
        </w:rPr>
        <w:t>uidelines of 5 CFR 1320.5</w:t>
      </w:r>
      <w:r w:rsidR="00325042">
        <w:rPr>
          <w:rFonts w:cs="Times New Roman"/>
          <w:sz w:val="20"/>
          <w:szCs w:val="20"/>
        </w:rPr>
        <w:t>……………………………………………………….12</w:t>
      </w:r>
    </w:p>
    <w:p w:rsidRPr="00325042" w:rsidR="00882B62" w:rsidP="009B4531" w:rsidRDefault="00196914" w14:paraId="284FCC77" w14:textId="487AABDD">
      <w:pPr>
        <w:spacing w:after="0" w:line="240" w:lineRule="auto"/>
        <w:ind w:left="1440" w:hanging="1080"/>
        <w:rPr>
          <w:rFonts w:cs="Times New Roman"/>
          <w:sz w:val="20"/>
          <w:szCs w:val="20"/>
        </w:rPr>
      </w:pPr>
      <w:r w:rsidRPr="00325042">
        <w:rPr>
          <w:rFonts w:cs="Times New Roman"/>
          <w:sz w:val="20"/>
          <w:szCs w:val="20"/>
        </w:rPr>
        <w:t>8</w:t>
      </w:r>
      <w:r w:rsidRPr="00325042" w:rsidR="008C2A17">
        <w:rPr>
          <w:rFonts w:cs="Times New Roman"/>
          <w:sz w:val="20"/>
          <w:szCs w:val="20"/>
        </w:rPr>
        <w:t>.</w:t>
      </w:r>
      <w:r w:rsidRPr="00325042">
        <w:rPr>
          <w:rFonts w:cs="Times New Roman"/>
          <w:sz w:val="20"/>
          <w:szCs w:val="20"/>
        </w:rPr>
        <w:tab/>
        <w:t xml:space="preserve">Comments in </w:t>
      </w:r>
      <w:r w:rsidR="00325042">
        <w:rPr>
          <w:rFonts w:cs="Times New Roman"/>
          <w:sz w:val="20"/>
          <w:szCs w:val="20"/>
        </w:rPr>
        <w:t>R</w:t>
      </w:r>
      <w:r w:rsidRPr="00325042">
        <w:rPr>
          <w:rFonts w:cs="Times New Roman"/>
          <w:sz w:val="20"/>
          <w:szCs w:val="20"/>
        </w:rPr>
        <w:t>esponse to th</w:t>
      </w:r>
      <w:r w:rsidR="00325042">
        <w:rPr>
          <w:rFonts w:cs="Times New Roman"/>
          <w:sz w:val="20"/>
          <w:szCs w:val="20"/>
        </w:rPr>
        <w:t>e Federal Registrar Notice and E</w:t>
      </w:r>
      <w:r w:rsidRPr="00325042">
        <w:rPr>
          <w:rFonts w:cs="Times New Roman"/>
          <w:sz w:val="20"/>
          <w:szCs w:val="20"/>
        </w:rPr>
        <w:t xml:space="preserve">fforts to </w:t>
      </w:r>
      <w:r w:rsidR="00325042">
        <w:rPr>
          <w:rFonts w:cs="Times New Roman"/>
          <w:sz w:val="20"/>
          <w:szCs w:val="20"/>
        </w:rPr>
        <w:t>C</w:t>
      </w:r>
      <w:r w:rsidRPr="00325042">
        <w:rPr>
          <w:rFonts w:cs="Times New Roman"/>
          <w:sz w:val="20"/>
          <w:szCs w:val="20"/>
        </w:rPr>
        <w:t xml:space="preserve">onsult </w:t>
      </w:r>
      <w:r w:rsidR="00325042">
        <w:rPr>
          <w:rFonts w:cs="Times New Roman"/>
          <w:sz w:val="20"/>
          <w:szCs w:val="20"/>
        </w:rPr>
        <w:t>O</w:t>
      </w:r>
      <w:r w:rsidRPr="00325042">
        <w:rPr>
          <w:rFonts w:cs="Times New Roman"/>
          <w:sz w:val="20"/>
          <w:szCs w:val="20"/>
        </w:rPr>
        <w:t xml:space="preserve">utside the </w:t>
      </w:r>
      <w:r w:rsidR="00325042">
        <w:rPr>
          <w:rFonts w:cs="Times New Roman"/>
          <w:sz w:val="20"/>
          <w:szCs w:val="20"/>
        </w:rPr>
        <w:t>A</w:t>
      </w:r>
      <w:r w:rsidRPr="00325042">
        <w:rPr>
          <w:rFonts w:cs="Times New Roman"/>
          <w:sz w:val="20"/>
          <w:szCs w:val="20"/>
        </w:rPr>
        <w:t>gency</w:t>
      </w:r>
      <w:r w:rsidR="00325042">
        <w:rPr>
          <w:rFonts w:cs="Times New Roman"/>
          <w:sz w:val="20"/>
          <w:szCs w:val="20"/>
        </w:rPr>
        <w:t>….…</w:t>
      </w:r>
      <w:r w:rsidRPr="00325042" w:rsidR="00325042">
        <w:rPr>
          <w:rFonts w:cs="Times New Roman"/>
          <w:sz w:val="20"/>
          <w:szCs w:val="20"/>
        </w:rPr>
        <w:t>12</w:t>
      </w:r>
    </w:p>
    <w:p w:rsidRPr="00325042" w:rsidR="00882B62" w:rsidP="009B4531" w:rsidRDefault="00196914" w14:paraId="1863B0EC" w14:textId="154C9D68">
      <w:pPr>
        <w:spacing w:after="0" w:line="240" w:lineRule="auto"/>
        <w:ind w:left="1440" w:hanging="1080"/>
        <w:rPr>
          <w:rFonts w:cs="Times New Roman"/>
          <w:sz w:val="20"/>
          <w:szCs w:val="20"/>
        </w:rPr>
      </w:pPr>
      <w:r w:rsidRPr="00325042">
        <w:rPr>
          <w:rFonts w:cs="Times New Roman"/>
          <w:sz w:val="20"/>
          <w:szCs w:val="20"/>
        </w:rPr>
        <w:t>9</w:t>
      </w:r>
      <w:r w:rsidRPr="00325042" w:rsidR="008C2A17">
        <w:rPr>
          <w:rFonts w:cs="Times New Roman"/>
          <w:sz w:val="20"/>
          <w:szCs w:val="20"/>
        </w:rPr>
        <w:t>.</w:t>
      </w:r>
      <w:r w:rsidRPr="00325042">
        <w:rPr>
          <w:rFonts w:cs="Times New Roman"/>
          <w:sz w:val="20"/>
          <w:szCs w:val="20"/>
        </w:rPr>
        <w:tab/>
        <w:t xml:space="preserve">Explanation of any </w:t>
      </w:r>
      <w:r w:rsidR="009B4531">
        <w:rPr>
          <w:rFonts w:cs="Times New Roman"/>
          <w:sz w:val="20"/>
          <w:szCs w:val="20"/>
        </w:rPr>
        <w:t>Payment or G</w:t>
      </w:r>
      <w:r w:rsidRPr="00325042">
        <w:rPr>
          <w:rFonts w:cs="Times New Roman"/>
          <w:sz w:val="20"/>
          <w:szCs w:val="20"/>
        </w:rPr>
        <w:t xml:space="preserve">ift to </w:t>
      </w:r>
      <w:r w:rsidR="009B4531">
        <w:rPr>
          <w:rFonts w:cs="Times New Roman"/>
          <w:sz w:val="20"/>
          <w:szCs w:val="20"/>
        </w:rPr>
        <w:t>Re</w:t>
      </w:r>
      <w:r w:rsidRPr="00325042">
        <w:rPr>
          <w:rFonts w:cs="Times New Roman"/>
          <w:sz w:val="20"/>
          <w:szCs w:val="20"/>
        </w:rPr>
        <w:t>spondents</w:t>
      </w:r>
      <w:r w:rsidR="009B4531">
        <w:rPr>
          <w:rFonts w:cs="Times New Roman"/>
          <w:sz w:val="20"/>
          <w:szCs w:val="20"/>
        </w:rPr>
        <w:t>…………………………………………………………………………….13</w:t>
      </w:r>
    </w:p>
    <w:p w:rsidRPr="00325042" w:rsidR="00882B62" w:rsidP="009B4531" w:rsidRDefault="008C2A17" w14:paraId="43871059" w14:textId="6BC71696">
      <w:pPr>
        <w:spacing w:after="0" w:line="240" w:lineRule="auto"/>
        <w:ind w:left="1440" w:hanging="1080"/>
        <w:rPr>
          <w:rFonts w:cs="Times New Roman"/>
          <w:sz w:val="20"/>
          <w:szCs w:val="20"/>
        </w:rPr>
      </w:pPr>
      <w:r w:rsidRPr="00325042">
        <w:rPr>
          <w:rFonts w:cs="Times New Roman"/>
          <w:sz w:val="20"/>
          <w:szCs w:val="20"/>
        </w:rPr>
        <w:t>1</w:t>
      </w:r>
      <w:r w:rsidRPr="00325042" w:rsidR="00196914">
        <w:rPr>
          <w:rFonts w:cs="Times New Roman"/>
          <w:sz w:val="20"/>
          <w:szCs w:val="20"/>
        </w:rPr>
        <w:t>0</w:t>
      </w:r>
      <w:r w:rsidRPr="00325042">
        <w:rPr>
          <w:rFonts w:cs="Times New Roman"/>
          <w:sz w:val="20"/>
          <w:szCs w:val="20"/>
        </w:rPr>
        <w:t>.</w:t>
      </w:r>
      <w:r w:rsidRPr="00325042" w:rsidR="00196914">
        <w:rPr>
          <w:rFonts w:cs="Times New Roman"/>
          <w:sz w:val="20"/>
          <w:szCs w:val="20"/>
        </w:rPr>
        <w:tab/>
      </w:r>
      <w:r w:rsidRPr="00325042">
        <w:rPr>
          <w:rFonts w:cs="Times New Roman"/>
          <w:sz w:val="20"/>
          <w:szCs w:val="20"/>
        </w:rPr>
        <w:t>Protection of the Privacy and Confidentiality of Information Provided by Respondents</w:t>
      </w:r>
      <w:r w:rsidR="009B4531">
        <w:rPr>
          <w:rFonts w:cs="Times New Roman"/>
          <w:sz w:val="20"/>
          <w:szCs w:val="20"/>
        </w:rPr>
        <w:t>……………………...13</w:t>
      </w:r>
    </w:p>
    <w:p w:rsidRPr="00325042" w:rsidR="00882B62" w:rsidP="009B4531" w:rsidRDefault="00196914" w14:paraId="2F8AEC2B" w14:textId="132FA9B6">
      <w:pPr>
        <w:spacing w:after="0" w:line="240" w:lineRule="auto"/>
        <w:ind w:left="1440" w:hanging="1080"/>
        <w:rPr>
          <w:rFonts w:cs="Times New Roman"/>
          <w:sz w:val="20"/>
          <w:szCs w:val="20"/>
        </w:rPr>
      </w:pPr>
      <w:r w:rsidRPr="00325042">
        <w:rPr>
          <w:rFonts w:cs="Times New Roman"/>
          <w:sz w:val="20"/>
          <w:szCs w:val="20"/>
        </w:rPr>
        <w:t>11</w:t>
      </w:r>
      <w:r w:rsidRPr="00325042" w:rsidR="008C2A17">
        <w:rPr>
          <w:rFonts w:cs="Times New Roman"/>
          <w:sz w:val="20"/>
          <w:szCs w:val="20"/>
        </w:rPr>
        <w:t>.</w:t>
      </w:r>
      <w:r w:rsidRPr="00325042">
        <w:rPr>
          <w:rFonts w:cs="Times New Roman"/>
          <w:sz w:val="20"/>
          <w:szCs w:val="20"/>
        </w:rPr>
        <w:tab/>
      </w:r>
      <w:r w:rsidRPr="00325042" w:rsidR="008C2A17">
        <w:rPr>
          <w:rFonts w:cs="Times New Roman"/>
          <w:sz w:val="20"/>
          <w:szCs w:val="20"/>
        </w:rPr>
        <w:t xml:space="preserve">Institutional Review Board and Justification </w:t>
      </w:r>
      <w:r w:rsidRPr="00325042">
        <w:rPr>
          <w:rFonts w:cs="Times New Roman"/>
          <w:sz w:val="20"/>
          <w:szCs w:val="20"/>
        </w:rPr>
        <w:t>f</w:t>
      </w:r>
      <w:r w:rsidRPr="00325042" w:rsidR="008C2A17">
        <w:rPr>
          <w:rFonts w:cs="Times New Roman"/>
          <w:sz w:val="20"/>
          <w:szCs w:val="20"/>
        </w:rPr>
        <w:t>or S</w:t>
      </w:r>
      <w:r w:rsidRPr="00325042">
        <w:rPr>
          <w:rFonts w:cs="Times New Roman"/>
          <w:sz w:val="20"/>
          <w:szCs w:val="20"/>
        </w:rPr>
        <w:t xml:space="preserve">ensitive </w:t>
      </w:r>
      <w:r w:rsidRPr="00325042" w:rsidR="008C2A17">
        <w:rPr>
          <w:rFonts w:cs="Times New Roman"/>
          <w:sz w:val="20"/>
          <w:szCs w:val="20"/>
        </w:rPr>
        <w:t>Q</w:t>
      </w:r>
      <w:r w:rsidRPr="00325042">
        <w:rPr>
          <w:rFonts w:cs="Times New Roman"/>
          <w:sz w:val="20"/>
          <w:szCs w:val="20"/>
        </w:rPr>
        <w:t>uestions</w:t>
      </w:r>
      <w:r w:rsidR="009B4531">
        <w:rPr>
          <w:rFonts w:cs="Times New Roman"/>
          <w:sz w:val="20"/>
          <w:szCs w:val="20"/>
        </w:rPr>
        <w:t>……………………………………………………16</w:t>
      </w:r>
    </w:p>
    <w:p w:rsidRPr="00325042" w:rsidR="00882B62" w:rsidP="009B4531" w:rsidRDefault="00196914" w14:paraId="7F92EC2F" w14:textId="56A8EC6C">
      <w:pPr>
        <w:spacing w:after="0" w:line="240" w:lineRule="auto"/>
        <w:ind w:left="1440" w:hanging="1080"/>
        <w:rPr>
          <w:rFonts w:cs="Times New Roman"/>
          <w:sz w:val="20"/>
          <w:szCs w:val="20"/>
        </w:rPr>
      </w:pPr>
      <w:r w:rsidRPr="00325042">
        <w:rPr>
          <w:rFonts w:cs="Times New Roman"/>
          <w:sz w:val="20"/>
          <w:szCs w:val="20"/>
        </w:rPr>
        <w:t>12</w:t>
      </w:r>
      <w:r w:rsidRPr="00325042" w:rsidR="008C2A17">
        <w:rPr>
          <w:rFonts w:cs="Times New Roman"/>
          <w:sz w:val="20"/>
          <w:szCs w:val="20"/>
        </w:rPr>
        <w:t>.</w:t>
      </w:r>
      <w:r w:rsidRPr="00325042">
        <w:rPr>
          <w:rFonts w:cs="Times New Roman"/>
          <w:sz w:val="20"/>
          <w:szCs w:val="20"/>
        </w:rPr>
        <w:tab/>
        <w:t xml:space="preserve">Estimates of </w:t>
      </w:r>
      <w:r w:rsidR="009B4531">
        <w:rPr>
          <w:rFonts w:cs="Times New Roman"/>
          <w:sz w:val="20"/>
          <w:szCs w:val="20"/>
        </w:rPr>
        <w:t>A</w:t>
      </w:r>
      <w:r w:rsidRPr="00325042">
        <w:rPr>
          <w:rFonts w:cs="Times New Roman"/>
          <w:sz w:val="20"/>
          <w:szCs w:val="20"/>
        </w:rPr>
        <w:t xml:space="preserve">nnualized </w:t>
      </w:r>
      <w:r w:rsidR="009B4531">
        <w:rPr>
          <w:rFonts w:cs="Times New Roman"/>
          <w:sz w:val="20"/>
          <w:szCs w:val="20"/>
        </w:rPr>
        <w:t>B</w:t>
      </w:r>
      <w:r w:rsidRPr="00325042">
        <w:rPr>
          <w:rFonts w:cs="Times New Roman"/>
          <w:sz w:val="20"/>
          <w:szCs w:val="20"/>
        </w:rPr>
        <w:t xml:space="preserve">urden </w:t>
      </w:r>
      <w:r w:rsidR="009B4531">
        <w:rPr>
          <w:rFonts w:cs="Times New Roman"/>
          <w:sz w:val="20"/>
          <w:szCs w:val="20"/>
        </w:rPr>
        <w:t>H</w:t>
      </w:r>
      <w:r w:rsidRPr="00325042">
        <w:rPr>
          <w:rFonts w:cs="Times New Roman"/>
          <w:sz w:val="20"/>
          <w:szCs w:val="20"/>
        </w:rPr>
        <w:t xml:space="preserve">ours and </w:t>
      </w:r>
      <w:r w:rsidR="009B4531">
        <w:rPr>
          <w:rFonts w:cs="Times New Roman"/>
          <w:sz w:val="20"/>
          <w:szCs w:val="20"/>
        </w:rPr>
        <w:t>C</w:t>
      </w:r>
      <w:r w:rsidRPr="00325042">
        <w:rPr>
          <w:rFonts w:cs="Times New Roman"/>
          <w:sz w:val="20"/>
          <w:szCs w:val="20"/>
        </w:rPr>
        <w:t>osts</w:t>
      </w:r>
      <w:r w:rsidR="009B4531">
        <w:rPr>
          <w:rFonts w:cs="Times New Roman"/>
          <w:sz w:val="20"/>
          <w:szCs w:val="20"/>
        </w:rPr>
        <w:t>………………………………………………………………………………..17</w:t>
      </w:r>
    </w:p>
    <w:p w:rsidRPr="00325042" w:rsidR="00882B62" w:rsidP="009B4531" w:rsidRDefault="00196914" w14:paraId="427BBA9D" w14:textId="59255837">
      <w:pPr>
        <w:spacing w:after="0" w:line="240" w:lineRule="auto"/>
        <w:ind w:left="1440" w:hanging="1080"/>
        <w:rPr>
          <w:rFonts w:cs="Times New Roman"/>
          <w:sz w:val="20"/>
          <w:szCs w:val="20"/>
        </w:rPr>
      </w:pPr>
      <w:r w:rsidRPr="00325042">
        <w:rPr>
          <w:rFonts w:cs="Times New Roman"/>
          <w:sz w:val="20"/>
          <w:szCs w:val="20"/>
        </w:rPr>
        <w:t>13</w:t>
      </w:r>
      <w:r w:rsidRPr="00325042" w:rsidR="008C2A17">
        <w:rPr>
          <w:rFonts w:cs="Times New Roman"/>
          <w:sz w:val="20"/>
          <w:szCs w:val="20"/>
        </w:rPr>
        <w:t>.</w:t>
      </w:r>
      <w:r w:rsidRPr="00325042">
        <w:rPr>
          <w:rFonts w:cs="Times New Roman"/>
          <w:sz w:val="20"/>
          <w:szCs w:val="20"/>
        </w:rPr>
        <w:tab/>
        <w:t xml:space="preserve">Estimates of </w:t>
      </w:r>
      <w:r w:rsidR="009B4531">
        <w:rPr>
          <w:rFonts w:cs="Times New Roman"/>
          <w:sz w:val="20"/>
          <w:szCs w:val="20"/>
        </w:rPr>
        <w:t>O</w:t>
      </w:r>
      <w:r w:rsidRPr="00325042">
        <w:rPr>
          <w:rFonts w:cs="Times New Roman"/>
          <w:sz w:val="20"/>
          <w:szCs w:val="20"/>
        </w:rPr>
        <w:t xml:space="preserve">ther </w:t>
      </w:r>
      <w:r w:rsidR="009B4531">
        <w:rPr>
          <w:rFonts w:cs="Times New Roman"/>
          <w:sz w:val="20"/>
          <w:szCs w:val="20"/>
        </w:rPr>
        <w:t>T</w:t>
      </w:r>
      <w:r w:rsidRPr="00325042">
        <w:rPr>
          <w:rFonts w:cs="Times New Roman"/>
          <w:sz w:val="20"/>
          <w:szCs w:val="20"/>
        </w:rPr>
        <w:t xml:space="preserve">otal </w:t>
      </w:r>
      <w:r w:rsidR="009B4531">
        <w:rPr>
          <w:rFonts w:cs="Times New Roman"/>
          <w:sz w:val="20"/>
          <w:szCs w:val="20"/>
        </w:rPr>
        <w:t>A</w:t>
      </w:r>
      <w:r w:rsidRPr="00325042">
        <w:rPr>
          <w:rFonts w:cs="Times New Roman"/>
          <w:sz w:val="20"/>
          <w:szCs w:val="20"/>
        </w:rPr>
        <w:t xml:space="preserve">nnual </w:t>
      </w:r>
      <w:r w:rsidR="009B4531">
        <w:rPr>
          <w:rFonts w:cs="Times New Roman"/>
          <w:sz w:val="20"/>
          <w:szCs w:val="20"/>
        </w:rPr>
        <w:t>C</w:t>
      </w:r>
      <w:r w:rsidRPr="00325042">
        <w:rPr>
          <w:rFonts w:cs="Times New Roman"/>
          <w:sz w:val="20"/>
          <w:szCs w:val="20"/>
        </w:rPr>
        <w:t xml:space="preserve">ost </w:t>
      </w:r>
      <w:r w:rsidR="009B4531">
        <w:rPr>
          <w:rFonts w:cs="Times New Roman"/>
          <w:sz w:val="20"/>
          <w:szCs w:val="20"/>
        </w:rPr>
        <w:t>B</w:t>
      </w:r>
      <w:r w:rsidRPr="00325042">
        <w:rPr>
          <w:rFonts w:cs="Times New Roman"/>
          <w:sz w:val="20"/>
          <w:szCs w:val="20"/>
        </w:rPr>
        <w:t xml:space="preserve">urden to </w:t>
      </w:r>
      <w:r w:rsidR="009B4531">
        <w:rPr>
          <w:rFonts w:cs="Times New Roman"/>
          <w:sz w:val="20"/>
          <w:szCs w:val="20"/>
        </w:rPr>
        <w:t>R</w:t>
      </w:r>
      <w:r w:rsidRPr="00325042">
        <w:rPr>
          <w:rFonts w:cs="Times New Roman"/>
          <w:sz w:val="20"/>
          <w:szCs w:val="20"/>
        </w:rPr>
        <w:t xml:space="preserve">espondents or </w:t>
      </w:r>
      <w:r w:rsidR="009B4531">
        <w:rPr>
          <w:rFonts w:cs="Times New Roman"/>
          <w:sz w:val="20"/>
          <w:szCs w:val="20"/>
        </w:rPr>
        <w:t>Record K</w:t>
      </w:r>
      <w:r w:rsidRPr="00325042">
        <w:rPr>
          <w:rFonts w:cs="Times New Roman"/>
          <w:sz w:val="20"/>
          <w:szCs w:val="20"/>
        </w:rPr>
        <w:t>eepers</w:t>
      </w:r>
      <w:r w:rsidR="009B4531">
        <w:rPr>
          <w:rFonts w:cs="Times New Roman"/>
          <w:sz w:val="20"/>
          <w:szCs w:val="20"/>
        </w:rPr>
        <w:t>……………………………….20</w:t>
      </w:r>
    </w:p>
    <w:p w:rsidRPr="00325042" w:rsidR="00882B62" w:rsidP="009B4531" w:rsidRDefault="00196914" w14:paraId="1FB2F679" w14:textId="0CC72D25">
      <w:pPr>
        <w:spacing w:after="0" w:line="240" w:lineRule="auto"/>
        <w:ind w:left="1440" w:hanging="1080"/>
        <w:rPr>
          <w:rFonts w:cs="Times New Roman"/>
          <w:sz w:val="20"/>
          <w:szCs w:val="20"/>
        </w:rPr>
      </w:pPr>
      <w:r w:rsidRPr="00325042">
        <w:rPr>
          <w:rFonts w:cs="Times New Roman"/>
          <w:sz w:val="20"/>
          <w:szCs w:val="20"/>
        </w:rPr>
        <w:t>14</w:t>
      </w:r>
      <w:r w:rsidRPr="00325042" w:rsidR="008C2A17">
        <w:rPr>
          <w:rFonts w:cs="Times New Roman"/>
          <w:sz w:val="20"/>
          <w:szCs w:val="20"/>
        </w:rPr>
        <w:t>.</w:t>
      </w:r>
      <w:r w:rsidR="009B4531">
        <w:rPr>
          <w:rFonts w:cs="Times New Roman"/>
          <w:sz w:val="20"/>
          <w:szCs w:val="20"/>
        </w:rPr>
        <w:tab/>
        <w:t>Annualized C</w:t>
      </w:r>
      <w:r w:rsidRPr="00325042">
        <w:rPr>
          <w:rFonts w:cs="Times New Roman"/>
          <w:sz w:val="20"/>
          <w:szCs w:val="20"/>
        </w:rPr>
        <w:t xml:space="preserve">ost to the </w:t>
      </w:r>
      <w:r w:rsidR="009B4531">
        <w:rPr>
          <w:rFonts w:cs="Times New Roman"/>
          <w:sz w:val="20"/>
          <w:szCs w:val="20"/>
        </w:rPr>
        <w:t>G</w:t>
      </w:r>
      <w:r w:rsidRPr="00325042">
        <w:rPr>
          <w:rFonts w:cs="Times New Roman"/>
          <w:sz w:val="20"/>
          <w:szCs w:val="20"/>
        </w:rPr>
        <w:t>overnment</w:t>
      </w:r>
      <w:r w:rsidR="009B4531">
        <w:rPr>
          <w:rFonts w:cs="Times New Roman"/>
          <w:sz w:val="20"/>
          <w:szCs w:val="20"/>
        </w:rPr>
        <w:t>…………………………………………………………………………………………………...20</w:t>
      </w:r>
    </w:p>
    <w:p w:rsidRPr="00325042" w:rsidR="00882B62" w:rsidP="009B4531" w:rsidRDefault="00196914" w14:paraId="2FA646D7" w14:textId="560C4B50">
      <w:pPr>
        <w:spacing w:after="0" w:line="240" w:lineRule="auto"/>
        <w:ind w:left="1440" w:hanging="1080"/>
        <w:rPr>
          <w:rFonts w:cs="Times New Roman"/>
          <w:sz w:val="20"/>
          <w:szCs w:val="20"/>
        </w:rPr>
      </w:pPr>
      <w:r w:rsidRPr="00325042">
        <w:rPr>
          <w:rFonts w:cs="Times New Roman"/>
          <w:sz w:val="20"/>
          <w:szCs w:val="20"/>
        </w:rPr>
        <w:t>15</w:t>
      </w:r>
      <w:r w:rsidRPr="00325042" w:rsidR="008C2A17">
        <w:rPr>
          <w:rFonts w:cs="Times New Roman"/>
          <w:sz w:val="20"/>
          <w:szCs w:val="20"/>
        </w:rPr>
        <w:t>.</w:t>
      </w:r>
      <w:r w:rsidRPr="00325042">
        <w:rPr>
          <w:rFonts w:cs="Times New Roman"/>
          <w:sz w:val="20"/>
          <w:szCs w:val="20"/>
        </w:rPr>
        <w:tab/>
        <w:t xml:space="preserve">Explanation for </w:t>
      </w:r>
      <w:r w:rsidR="009B4531">
        <w:rPr>
          <w:rFonts w:cs="Times New Roman"/>
          <w:sz w:val="20"/>
          <w:szCs w:val="20"/>
        </w:rPr>
        <w:t>P</w:t>
      </w:r>
      <w:r w:rsidRPr="00325042">
        <w:rPr>
          <w:rFonts w:cs="Times New Roman"/>
          <w:sz w:val="20"/>
          <w:szCs w:val="20"/>
        </w:rPr>
        <w:t xml:space="preserve">rogram </w:t>
      </w:r>
      <w:r w:rsidR="009B4531">
        <w:rPr>
          <w:rFonts w:cs="Times New Roman"/>
          <w:sz w:val="20"/>
          <w:szCs w:val="20"/>
        </w:rPr>
        <w:t xml:space="preserve">Changes </w:t>
      </w:r>
      <w:r w:rsidRPr="00325042">
        <w:rPr>
          <w:rFonts w:cs="Times New Roman"/>
          <w:sz w:val="20"/>
          <w:szCs w:val="20"/>
        </w:rPr>
        <w:t>o</w:t>
      </w:r>
      <w:r w:rsidR="009B4531">
        <w:rPr>
          <w:rFonts w:cs="Times New Roman"/>
          <w:sz w:val="20"/>
          <w:szCs w:val="20"/>
        </w:rPr>
        <w:t>r</w:t>
      </w:r>
      <w:r w:rsidRPr="00325042">
        <w:rPr>
          <w:rFonts w:cs="Times New Roman"/>
          <w:sz w:val="20"/>
          <w:szCs w:val="20"/>
        </w:rPr>
        <w:t xml:space="preserve"> </w:t>
      </w:r>
      <w:r w:rsidR="009B4531">
        <w:rPr>
          <w:rFonts w:cs="Times New Roman"/>
          <w:sz w:val="20"/>
          <w:szCs w:val="20"/>
        </w:rPr>
        <w:t>A</w:t>
      </w:r>
      <w:r w:rsidRPr="00325042">
        <w:rPr>
          <w:rFonts w:cs="Times New Roman"/>
          <w:sz w:val="20"/>
          <w:szCs w:val="20"/>
        </w:rPr>
        <w:t>djustments</w:t>
      </w:r>
      <w:r w:rsidR="00FD2682">
        <w:rPr>
          <w:rFonts w:cs="Times New Roman"/>
          <w:sz w:val="20"/>
          <w:szCs w:val="20"/>
        </w:rPr>
        <w:t>……………………………………………………………………………….21</w:t>
      </w:r>
    </w:p>
    <w:p w:rsidRPr="00325042" w:rsidR="00882B62" w:rsidP="009B4531" w:rsidRDefault="00196914" w14:paraId="18F87981" w14:textId="28809C65">
      <w:pPr>
        <w:spacing w:after="0" w:line="240" w:lineRule="auto"/>
        <w:ind w:left="1440" w:hanging="1080"/>
        <w:rPr>
          <w:rFonts w:cs="Times New Roman"/>
          <w:sz w:val="20"/>
          <w:szCs w:val="20"/>
        </w:rPr>
      </w:pPr>
      <w:r w:rsidRPr="00325042">
        <w:rPr>
          <w:rFonts w:cs="Times New Roman"/>
          <w:sz w:val="20"/>
          <w:szCs w:val="20"/>
        </w:rPr>
        <w:t>16</w:t>
      </w:r>
      <w:r w:rsidRPr="00325042" w:rsidR="008C2A17">
        <w:rPr>
          <w:rFonts w:cs="Times New Roman"/>
          <w:sz w:val="20"/>
          <w:szCs w:val="20"/>
        </w:rPr>
        <w:t>.</w:t>
      </w:r>
      <w:r w:rsidRPr="00325042">
        <w:rPr>
          <w:rFonts w:cs="Times New Roman"/>
          <w:sz w:val="20"/>
          <w:szCs w:val="20"/>
        </w:rPr>
        <w:tab/>
        <w:t xml:space="preserve">Plans for </w:t>
      </w:r>
      <w:r w:rsidR="00FD2682">
        <w:rPr>
          <w:rFonts w:cs="Times New Roman"/>
          <w:sz w:val="20"/>
          <w:szCs w:val="20"/>
        </w:rPr>
        <w:t>T</w:t>
      </w:r>
      <w:r w:rsidRPr="00325042">
        <w:rPr>
          <w:rFonts w:cs="Times New Roman"/>
          <w:sz w:val="20"/>
          <w:szCs w:val="20"/>
        </w:rPr>
        <w:t xml:space="preserve">abulation and </w:t>
      </w:r>
      <w:r w:rsidR="00FD2682">
        <w:rPr>
          <w:rFonts w:cs="Times New Roman"/>
          <w:sz w:val="20"/>
          <w:szCs w:val="20"/>
        </w:rPr>
        <w:t>P</w:t>
      </w:r>
      <w:r w:rsidRPr="00325042">
        <w:rPr>
          <w:rFonts w:cs="Times New Roman"/>
          <w:sz w:val="20"/>
          <w:szCs w:val="20"/>
        </w:rPr>
        <w:t xml:space="preserve">ublication and </w:t>
      </w:r>
      <w:r w:rsidR="00FD2682">
        <w:rPr>
          <w:rFonts w:cs="Times New Roman"/>
          <w:sz w:val="20"/>
          <w:szCs w:val="20"/>
        </w:rPr>
        <w:t>Project Ti</w:t>
      </w:r>
      <w:r w:rsidRPr="00325042">
        <w:rPr>
          <w:rFonts w:cs="Times New Roman"/>
          <w:sz w:val="20"/>
          <w:szCs w:val="20"/>
        </w:rPr>
        <w:t xml:space="preserve">me </w:t>
      </w:r>
      <w:r w:rsidR="00FD2682">
        <w:rPr>
          <w:rFonts w:cs="Times New Roman"/>
          <w:sz w:val="20"/>
          <w:szCs w:val="20"/>
        </w:rPr>
        <w:t>S</w:t>
      </w:r>
      <w:r w:rsidRPr="00325042">
        <w:rPr>
          <w:rFonts w:cs="Times New Roman"/>
          <w:sz w:val="20"/>
          <w:szCs w:val="20"/>
        </w:rPr>
        <w:t>chedule</w:t>
      </w:r>
      <w:r w:rsidR="00FD2682">
        <w:rPr>
          <w:rFonts w:cs="Times New Roman"/>
          <w:sz w:val="20"/>
          <w:szCs w:val="20"/>
        </w:rPr>
        <w:t>……….………………………………………………..21</w:t>
      </w:r>
    </w:p>
    <w:p w:rsidRPr="00325042" w:rsidR="00882B62" w:rsidP="009B4531" w:rsidRDefault="00196914" w14:paraId="0F5A03B6" w14:textId="6F575016">
      <w:pPr>
        <w:spacing w:after="0" w:line="240" w:lineRule="auto"/>
        <w:ind w:left="1440" w:hanging="1080"/>
        <w:rPr>
          <w:rFonts w:cs="Times New Roman"/>
          <w:sz w:val="20"/>
          <w:szCs w:val="20"/>
        </w:rPr>
      </w:pPr>
      <w:r w:rsidRPr="00325042">
        <w:rPr>
          <w:rFonts w:cs="Times New Roman"/>
          <w:sz w:val="20"/>
          <w:szCs w:val="20"/>
        </w:rPr>
        <w:t>17</w:t>
      </w:r>
      <w:r w:rsidRPr="00325042" w:rsidR="008C2A17">
        <w:rPr>
          <w:rFonts w:cs="Times New Roman"/>
          <w:sz w:val="20"/>
          <w:szCs w:val="20"/>
        </w:rPr>
        <w:t>.</w:t>
      </w:r>
      <w:r w:rsidRPr="00325042">
        <w:rPr>
          <w:rFonts w:cs="Times New Roman"/>
          <w:sz w:val="20"/>
          <w:szCs w:val="20"/>
        </w:rPr>
        <w:tab/>
        <w:t xml:space="preserve">Reason(s) </w:t>
      </w:r>
      <w:r w:rsidR="00FD2682">
        <w:rPr>
          <w:rFonts w:cs="Times New Roman"/>
          <w:sz w:val="20"/>
          <w:szCs w:val="20"/>
        </w:rPr>
        <w:t>D</w:t>
      </w:r>
      <w:r w:rsidRPr="00325042">
        <w:rPr>
          <w:rFonts w:cs="Times New Roman"/>
          <w:sz w:val="20"/>
          <w:szCs w:val="20"/>
        </w:rPr>
        <w:t xml:space="preserve">isplay of OMB </w:t>
      </w:r>
      <w:r w:rsidR="00FD2682">
        <w:rPr>
          <w:rFonts w:cs="Times New Roman"/>
          <w:sz w:val="20"/>
          <w:szCs w:val="20"/>
        </w:rPr>
        <w:t>E</w:t>
      </w:r>
      <w:r w:rsidRPr="00325042">
        <w:rPr>
          <w:rFonts w:cs="Times New Roman"/>
          <w:sz w:val="20"/>
          <w:szCs w:val="20"/>
        </w:rPr>
        <w:t xml:space="preserve">xpiration </w:t>
      </w:r>
      <w:r w:rsidR="00FD2682">
        <w:rPr>
          <w:rFonts w:cs="Times New Roman"/>
          <w:sz w:val="20"/>
          <w:szCs w:val="20"/>
        </w:rPr>
        <w:t>Date I</w:t>
      </w:r>
      <w:r w:rsidRPr="00325042">
        <w:rPr>
          <w:rFonts w:cs="Times New Roman"/>
          <w:sz w:val="20"/>
          <w:szCs w:val="20"/>
        </w:rPr>
        <w:t xml:space="preserve">s </w:t>
      </w:r>
      <w:r w:rsidR="00FD2682">
        <w:rPr>
          <w:rFonts w:cs="Times New Roman"/>
          <w:sz w:val="20"/>
          <w:szCs w:val="20"/>
        </w:rPr>
        <w:t>I</w:t>
      </w:r>
      <w:r w:rsidRPr="00325042">
        <w:rPr>
          <w:rFonts w:cs="Times New Roman"/>
          <w:sz w:val="20"/>
          <w:szCs w:val="20"/>
        </w:rPr>
        <w:t>nappropriate</w:t>
      </w:r>
      <w:r w:rsidR="00FD2682">
        <w:rPr>
          <w:rFonts w:cs="Times New Roman"/>
          <w:sz w:val="20"/>
          <w:szCs w:val="20"/>
        </w:rPr>
        <w:t>……………………..………………………………………….22</w:t>
      </w:r>
    </w:p>
    <w:p w:rsidRPr="00325042" w:rsidR="00882B62" w:rsidP="009B4531" w:rsidRDefault="00196914" w14:paraId="0B4D194A" w14:textId="7662E4AB">
      <w:pPr>
        <w:spacing w:after="0" w:line="240" w:lineRule="auto"/>
        <w:ind w:left="1440" w:hanging="1080"/>
        <w:rPr>
          <w:rFonts w:cs="Times New Roman"/>
          <w:sz w:val="20"/>
          <w:szCs w:val="20"/>
        </w:rPr>
      </w:pPr>
      <w:r w:rsidRPr="00325042">
        <w:rPr>
          <w:rFonts w:cs="Times New Roman"/>
          <w:sz w:val="20"/>
          <w:szCs w:val="20"/>
        </w:rPr>
        <w:t>18</w:t>
      </w:r>
      <w:r w:rsidRPr="00325042" w:rsidR="008C2A17">
        <w:rPr>
          <w:rFonts w:cs="Times New Roman"/>
          <w:sz w:val="20"/>
          <w:szCs w:val="20"/>
        </w:rPr>
        <w:t>.</w:t>
      </w:r>
      <w:r w:rsidRPr="00325042">
        <w:rPr>
          <w:rFonts w:cs="Times New Roman"/>
          <w:sz w:val="20"/>
          <w:szCs w:val="20"/>
        </w:rPr>
        <w:tab/>
        <w:t xml:space="preserve">Exceptions to </w:t>
      </w:r>
      <w:r w:rsidR="00FD2682">
        <w:rPr>
          <w:rFonts w:cs="Times New Roman"/>
          <w:sz w:val="20"/>
          <w:szCs w:val="20"/>
        </w:rPr>
        <w:t>C</w:t>
      </w:r>
      <w:r w:rsidRPr="00325042">
        <w:rPr>
          <w:rFonts w:cs="Times New Roman"/>
          <w:sz w:val="20"/>
          <w:szCs w:val="20"/>
        </w:rPr>
        <w:t>ertification for Paperwork Reduction Act submissions</w:t>
      </w:r>
      <w:r w:rsidR="00FD2682">
        <w:rPr>
          <w:rFonts w:cs="Times New Roman"/>
          <w:sz w:val="20"/>
          <w:szCs w:val="20"/>
        </w:rPr>
        <w:t>…………………………………………………22</w:t>
      </w:r>
      <w:r w:rsidRPr="00325042">
        <w:rPr>
          <w:rFonts w:cs="Times New Roman"/>
          <w:sz w:val="20"/>
          <w:szCs w:val="20"/>
        </w:rPr>
        <w:t xml:space="preserve"> </w:t>
      </w:r>
    </w:p>
    <w:p w:rsidR="00882B62" w:rsidRDefault="00882B62" w14:paraId="27CFD9E4" w14:textId="77777777">
      <w:pPr>
        <w:spacing w:after="0" w:line="240" w:lineRule="auto"/>
        <w:rPr>
          <w:rFonts w:cs="Times New Roman"/>
          <w:b/>
        </w:rPr>
      </w:pPr>
    </w:p>
    <w:p w:rsidR="00882B62" w:rsidRDefault="00196914" w14:paraId="3B52F673" w14:textId="7BDC4FF4">
      <w:r>
        <w:br w:type="page"/>
      </w:r>
    </w:p>
    <w:p w:rsidR="00882B62" w:rsidRDefault="00196914" w14:paraId="78C564A1" w14:textId="22E2001B">
      <w:pPr>
        <w:rPr>
          <w:b/>
          <w:caps/>
        </w:rPr>
      </w:pPr>
      <w:r>
        <w:rPr>
          <w:b/>
          <w:caps/>
        </w:rPr>
        <w:lastRenderedPageBreak/>
        <w:t>Attachments</w:t>
      </w:r>
    </w:p>
    <w:p w:rsidR="00882B62" w:rsidRDefault="00196914" w14:paraId="47B25FEF" w14:textId="77777777">
      <w:pPr>
        <w:spacing w:after="0" w:line="240" w:lineRule="auto"/>
      </w:pPr>
      <w:r>
        <w:t>Attachment 1.  Section 301 of the Public Health Service Act (42 U.S.C 241)</w:t>
      </w:r>
    </w:p>
    <w:p w:rsidR="00882B62" w:rsidRDefault="00196914" w14:paraId="6CB0D6AB" w14:textId="02D0AC6B">
      <w:pPr>
        <w:spacing w:after="0" w:line="240" w:lineRule="auto"/>
        <w:rPr>
          <w:b/>
          <w:caps/>
        </w:rPr>
      </w:pPr>
      <w:r>
        <w:t>Attachment 2: Crosswalk of Objectives and Data Sources</w:t>
      </w:r>
    </w:p>
    <w:p w:rsidR="00882B62" w:rsidRDefault="00196914" w14:paraId="57286165" w14:textId="67702F3D">
      <w:pPr>
        <w:spacing w:after="0" w:line="240" w:lineRule="auto"/>
      </w:pPr>
      <w:r>
        <w:t xml:space="preserve">Attachment </w:t>
      </w:r>
      <w:r w:rsidR="003357EE">
        <w:t>3</w:t>
      </w:r>
      <w:r w:rsidR="00EE73D0">
        <w:t>a</w:t>
      </w:r>
      <w:r>
        <w:t xml:space="preserve">: Health Center Organizational Assessment, paper </w:t>
      </w:r>
    </w:p>
    <w:p w:rsidR="00882B62" w:rsidRDefault="003357EE" w14:paraId="432D4286" w14:textId="0823F809">
      <w:pPr>
        <w:spacing w:after="0" w:line="240" w:lineRule="auto"/>
        <w:rPr>
          <w:b/>
          <w:caps/>
        </w:rPr>
      </w:pPr>
      <w:r>
        <w:t>Attachment 3</w:t>
      </w:r>
      <w:r w:rsidR="00EE73D0">
        <w:t>b</w:t>
      </w:r>
      <w:r w:rsidR="00196914">
        <w:t xml:space="preserve">: Health Center Organizational Assessment, online </w:t>
      </w:r>
    </w:p>
    <w:p w:rsidR="00882B62" w:rsidRDefault="00196914" w14:paraId="3A5DD88F" w14:textId="7960CD33">
      <w:pPr>
        <w:spacing w:after="0" w:line="240" w:lineRule="auto"/>
      </w:pPr>
      <w:r>
        <w:t xml:space="preserve">Attachment </w:t>
      </w:r>
      <w:r w:rsidR="003357EE">
        <w:t>4</w:t>
      </w:r>
      <w:r w:rsidR="00EE73D0">
        <w:t>a</w:t>
      </w:r>
      <w:r>
        <w:t xml:space="preserve">: Health Center Provider Survey, paper </w:t>
      </w:r>
    </w:p>
    <w:p w:rsidR="00882B62" w:rsidRDefault="00EE73D0" w14:paraId="3D49C389" w14:textId="198AA2DF">
      <w:pPr>
        <w:spacing w:after="0" w:line="240" w:lineRule="auto"/>
      </w:pPr>
      <w:r>
        <w:t xml:space="preserve">Attachment </w:t>
      </w:r>
      <w:r w:rsidR="003357EE">
        <w:t>4</w:t>
      </w:r>
      <w:r>
        <w:t>b</w:t>
      </w:r>
      <w:r w:rsidR="00196914">
        <w:t xml:space="preserve">: Health Center Provider Survey, online </w:t>
      </w:r>
    </w:p>
    <w:p w:rsidR="00882B62" w:rsidRDefault="00196914" w14:paraId="56D974AF" w14:textId="1FA2644C">
      <w:pPr>
        <w:spacing w:after="0" w:line="240" w:lineRule="auto"/>
      </w:pPr>
      <w:r>
        <w:t xml:space="preserve">Attachment </w:t>
      </w:r>
      <w:r w:rsidR="003357EE">
        <w:t>5</w:t>
      </w:r>
      <w:r w:rsidR="00EE73D0">
        <w:t>a</w:t>
      </w:r>
      <w:r>
        <w:t xml:space="preserve">: Quarterly Health Center Performance Measure Reporting Tool, paper </w:t>
      </w:r>
    </w:p>
    <w:p w:rsidR="00882B62" w:rsidRDefault="00196914" w14:paraId="6F5E3935" w14:textId="41E9B710">
      <w:pPr>
        <w:spacing w:after="0" w:line="240" w:lineRule="auto"/>
        <w:rPr>
          <w:b/>
          <w:caps/>
        </w:rPr>
      </w:pPr>
      <w:r>
        <w:t xml:space="preserve">Attachment </w:t>
      </w:r>
      <w:r w:rsidR="003357EE">
        <w:t>5</w:t>
      </w:r>
      <w:r w:rsidR="00EE73D0">
        <w:t>b</w:t>
      </w:r>
      <w:r>
        <w:t xml:space="preserve">: Quarterly Health Center Performance Measure Reporting Tool, online </w:t>
      </w:r>
    </w:p>
    <w:p w:rsidR="00882B62" w:rsidRDefault="00196914" w14:paraId="0CC5AC14" w14:textId="5686E38E">
      <w:pPr>
        <w:spacing w:after="0" w:line="240" w:lineRule="auto"/>
      </w:pPr>
      <w:r>
        <w:t xml:space="preserve">Attachment </w:t>
      </w:r>
      <w:r w:rsidR="003357EE">
        <w:t>6</w:t>
      </w:r>
      <w:r w:rsidR="00EE73D0">
        <w:t>a</w:t>
      </w:r>
      <w:r>
        <w:t xml:space="preserve">: Annual Health Center Performance Measure Reporting Tool, paper </w:t>
      </w:r>
    </w:p>
    <w:p w:rsidR="00882B62" w:rsidRDefault="00196914" w14:paraId="16673EA1" w14:textId="2DF561E0">
      <w:pPr>
        <w:spacing w:after="0" w:line="240" w:lineRule="auto"/>
      </w:pPr>
      <w:r>
        <w:t xml:space="preserve">Attachment </w:t>
      </w:r>
      <w:r w:rsidR="003357EE">
        <w:t>6</w:t>
      </w:r>
      <w:r w:rsidR="00EE73D0">
        <w:t>b</w:t>
      </w:r>
      <w:r>
        <w:t xml:space="preserve">: Annual Health Center Performance Measure Reporting Tool, online </w:t>
      </w:r>
    </w:p>
    <w:p w:rsidR="00882B62" w:rsidRDefault="00196914" w14:paraId="2E78D3CF" w14:textId="267760B2">
      <w:pPr>
        <w:spacing w:after="0" w:line="240" w:lineRule="auto"/>
        <w:rPr>
          <w:b/>
          <w:caps/>
        </w:rPr>
      </w:pPr>
      <w:r>
        <w:t xml:space="preserve">Attachment </w:t>
      </w:r>
      <w:r w:rsidR="003357EE">
        <w:t>7</w:t>
      </w:r>
      <w:r>
        <w:t>: Awardee Training and Technical Assistance Tool, Excel</w:t>
      </w:r>
    </w:p>
    <w:p w:rsidR="00882B62" w:rsidRDefault="00196914" w14:paraId="6C626D76" w14:textId="00740D6A">
      <w:pPr>
        <w:spacing w:after="0" w:line="240" w:lineRule="auto"/>
      </w:pPr>
      <w:r>
        <w:t xml:space="preserve">Attachment </w:t>
      </w:r>
      <w:r w:rsidR="003357EE">
        <w:t>8</w:t>
      </w:r>
      <w:r w:rsidR="00EE73D0">
        <w:t>a</w:t>
      </w:r>
      <w:r>
        <w:t>: Awardee Performance Measure Reporting Tool, paper</w:t>
      </w:r>
    </w:p>
    <w:p w:rsidR="00882B62" w:rsidRDefault="00196914" w14:paraId="170E29BA" w14:textId="78167B59">
      <w:pPr>
        <w:spacing w:after="0" w:line="240" w:lineRule="auto"/>
        <w:rPr>
          <w:b/>
          <w:caps/>
        </w:rPr>
      </w:pPr>
      <w:r>
        <w:t xml:space="preserve">Attachment </w:t>
      </w:r>
      <w:r w:rsidR="003357EE">
        <w:t>8</w:t>
      </w:r>
      <w:r w:rsidR="00EE73D0">
        <w:t>b</w:t>
      </w:r>
      <w:r>
        <w:t>: Awardee Performance Measure Reporting Tool, online</w:t>
      </w:r>
    </w:p>
    <w:p w:rsidR="00882B62" w:rsidRDefault="00196914" w14:paraId="156380BE" w14:textId="4086C0FB">
      <w:pPr>
        <w:spacing w:after="0" w:line="240" w:lineRule="auto"/>
      </w:pPr>
      <w:r>
        <w:t xml:space="preserve">Attachment </w:t>
      </w:r>
      <w:r w:rsidR="003357EE">
        <w:t>9</w:t>
      </w:r>
      <w:r>
        <w:t>: Project Logic Model</w:t>
      </w:r>
    </w:p>
    <w:p w:rsidR="003357EE" w:rsidRDefault="003357EE" w14:paraId="0CA624BE" w14:textId="4B86CECC">
      <w:pPr>
        <w:spacing w:after="0" w:line="240" w:lineRule="auto"/>
      </w:pPr>
      <w:r>
        <w:t>Attachment 10a: 60-Day Federal Register Notice</w:t>
      </w:r>
    </w:p>
    <w:p w:rsidR="003357EE" w:rsidRDefault="003357EE" w14:paraId="0DB84686" w14:textId="3F58B296">
      <w:pPr>
        <w:spacing w:after="0" w:line="240" w:lineRule="auto"/>
        <w:rPr>
          <w:b/>
          <w:caps/>
        </w:rPr>
      </w:pPr>
      <w:r>
        <w:t>Attachment 10b: Response to Public Comments on the 60-Day Federal Register Notice</w:t>
      </w:r>
    </w:p>
    <w:p w:rsidR="00882B62" w:rsidRDefault="00882B62" w14:paraId="254EA708" w14:textId="77777777">
      <w:pPr>
        <w:rPr>
          <w:b/>
          <w:caps/>
        </w:rPr>
      </w:pPr>
    </w:p>
    <w:p w:rsidR="00882B62" w:rsidRDefault="00882B62" w14:paraId="556AA59D" w14:textId="77777777">
      <w:pPr>
        <w:rPr>
          <w:b/>
          <w:caps/>
        </w:rPr>
      </w:pPr>
    </w:p>
    <w:p w:rsidR="00882B62" w:rsidRDefault="00196914" w14:paraId="77604B5A" w14:textId="77777777">
      <w:pPr>
        <w:rPr>
          <w:b/>
          <w:caps/>
        </w:rPr>
      </w:pPr>
      <w:r>
        <w:rPr>
          <w:b/>
          <w:caps/>
        </w:rPr>
        <w:br w:type="page"/>
      </w:r>
    </w:p>
    <w:p w:rsidR="00882B62" w:rsidRDefault="00882B62" w14:paraId="79893E66" w14:textId="5D575678">
      <w:pPr>
        <w:rPr>
          <w:caps/>
        </w:rPr>
      </w:pPr>
    </w:p>
    <w:p w:rsidR="00882B62" w:rsidRDefault="0010006C" w14:paraId="212BC4EB" w14:textId="50838466">
      <w:pPr>
        <w:rPr>
          <w:b/>
          <w:caps/>
        </w:rPr>
      </w:pPr>
      <w:r>
        <w:rPr>
          <w:noProof/>
        </w:rPr>
        <mc:AlternateContent>
          <mc:Choice Requires="wps">
            <w:drawing>
              <wp:anchor distT="0" distB="0" distL="114300" distR="114300" simplePos="0" relativeHeight="251659264" behindDoc="0" locked="0" layoutInCell="1" allowOverlap="1" wp14:editId="71F352E5" wp14:anchorId="6B7DFF76">
                <wp:simplePos x="0" y="0"/>
                <wp:positionH relativeFrom="column">
                  <wp:posOffset>238125</wp:posOffset>
                </wp:positionH>
                <wp:positionV relativeFrom="paragraph">
                  <wp:posOffset>67310</wp:posOffset>
                </wp:positionV>
                <wp:extent cx="5981700" cy="6019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019800"/>
                        </a:xfrm>
                        <a:prstGeom prst="rect">
                          <a:avLst/>
                        </a:prstGeom>
                        <a:solidFill>
                          <a:srgbClr val="FFFFFF"/>
                        </a:solidFill>
                        <a:ln w="9525">
                          <a:solidFill>
                            <a:srgbClr val="000000"/>
                          </a:solidFill>
                          <a:miter lim="800000"/>
                          <a:headEnd/>
                          <a:tailEnd/>
                        </a:ln>
                      </wps:spPr>
                      <wps:txbx>
                        <w:txbxContent>
                          <w:p w:rsidR="002226B1" w:rsidP="0010006C" w:rsidRDefault="002226B1" w14:paraId="0545AACA" w14:textId="77777777">
                            <w:pPr>
                              <w:spacing w:after="0"/>
                              <w:jc w:val="center"/>
                              <w:rPr>
                                <w:b/>
                                <w:sz w:val="24"/>
                                <w:szCs w:val="24"/>
                              </w:rPr>
                            </w:pPr>
                          </w:p>
                          <w:p w:rsidR="002226B1" w:rsidP="0010006C" w:rsidRDefault="002226B1" w14:paraId="5CB5C56C" w14:textId="77777777">
                            <w:pPr>
                              <w:spacing w:after="0"/>
                              <w:jc w:val="center"/>
                              <w:rPr>
                                <w:b/>
                                <w:sz w:val="24"/>
                                <w:szCs w:val="24"/>
                              </w:rPr>
                            </w:pPr>
                          </w:p>
                          <w:p w:rsidR="002226B1" w:rsidRDefault="002226B1" w14:paraId="4463A95C" w14:textId="1E299339">
                            <w:pPr>
                              <w:spacing w:after="0"/>
                            </w:pPr>
                            <w:r>
                              <w:rPr>
                                <w:b/>
                              </w:rPr>
                              <w:t>Goal of the Study:</w:t>
                            </w:r>
                            <w:r>
                              <w:t xml:space="preserve">  To continue to evaluate and improve efforts of three organizations under the cooperative agreement</w:t>
                            </w:r>
                            <w:r>
                              <w:rPr>
                                <w:rFonts w:cs="Courier New"/>
                              </w:rPr>
                              <w:t xml:space="preserve"> </w:t>
                            </w:r>
                            <w:r>
                              <w:t xml:space="preserve">“Working with Publicly Funded Health Centers to Reduce Teen Pregnancy among Vulnerable Populations” </w:t>
                            </w:r>
                            <w:r>
                              <w:rPr>
                                <w:rFonts w:cs="Courier New"/>
                              </w:rPr>
                              <w:t>that work with health centers to enhance implementation of best practices in adolescent reproductive health care. As part of the cooperative agreement, the three organizations also have worked with youth-serving organizations (YSOs) to develop systematic approaches to referring youth at risk for a teen pregnancy to reproductive health care</w:t>
                            </w:r>
                            <w:r>
                              <w:t xml:space="preserve">.  </w:t>
                            </w:r>
                          </w:p>
                          <w:p w:rsidR="002226B1" w:rsidRDefault="002226B1" w14:paraId="3E650231" w14:textId="77777777">
                            <w:pPr>
                              <w:spacing w:after="0"/>
                            </w:pPr>
                          </w:p>
                          <w:p w:rsidR="002226B1" w:rsidRDefault="002226B1" w14:paraId="4411EE7D" w14:textId="66C855E7">
                            <w:pPr>
                              <w:spacing w:after="0"/>
                            </w:pPr>
                            <w:r>
                              <w:rPr>
                                <w:b/>
                              </w:rPr>
                              <w:t>Intended use:</w:t>
                            </w:r>
                            <w:r>
                              <w:t xml:space="preserve">  Information collected will be used to continue monitoring awardee performance and determine training and technical assistance needs to address any performance issues. </w:t>
                            </w:r>
                          </w:p>
                          <w:p w:rsidR="002226B1" w:rsidRDefault="002226B1" w14:paraId="7EF6FF55" w14:textId="77777777">
                            <w:pPr>
                              <w:spacing w:after="0"/>
                            </w:pPr>
                          </w:p>
                          <w:p w:rsidRPr="00AB521B" w:rsidR="002226B1" w:rsidP="00AC350E" w:rsidRDefault="002226B1" w14:paraId="2ECDE6A1" w14:textId="44618674">
                            <w:pPr>
                              <w:spacing w:after="0"/>
                              <w:rPr>
                                <w:rFonts w:cs="Courier New"/>
                                <w:bCs/>
                              </w:rPr>
                            </w:pPr>
                            <w:r>
                              <w:rPr>
                                <w:b/>
                              </w:rPr>
                              <w:t>Methods to Collect:</w:t>
                            </w:r>
                            <w:r>
                              <w:t xml:space="preserve">  The three awardee organizations have been planning, coordinating, and leading efforts to improve access to high quality reproductive health care in collaboration with approximately 25 health centers in total.  Reflecting expected changes in policies and provider practices, awardees will continue to conduct assessments of health center organizations, as well as surveys of providers at the health center partner organizations.   The three awardees also will continue to report on their own activities including training and technical assistance provided to partners.</w:t>
                            </w:r>
                          </w:p>
                          <w:p w:rsidR="002226B1" w:rsidRDefault="002226B1" w14:paraId="101EDD96" w14:textId="109492BC">
                            <w:pPr>
                              <w:spacing w:after="0"/>
                            </w:pPr>
                          </w:p>
                          <w:p w:rsidR="002226B1" w:rsidRDefault="002226B1" w14:paraId="0B27837C" w14:textId="63463D0B">
                            <w:pPr>
                              <w:spacing w:after="0"/>
                            </w:pPr>
                            <w:r>
                              <w:rPr>
                                <w:b/>
                              </w:rPr>
                              <w:t>Subpopulations:</w:t>
                            </w:r>
                            <w:r>
                              <w:t xml:space="preserve">  </w:t>
                            </w:r>
                          </w:p>
                          <w:p w:rsidR="002226B1" w:rsidRDefault="002226B1" w14:paraId="05EBE42C" w14:textId="4AB00030">
                            <w:pPr>
                              <w:spacing w:after="0"/>
                            </w:pPr>
                            <w:r>
                              <w:t>Subpopulations include health center and YSO partner organizations participating in the cooperative agreement</w:t>
                            </w:r>
                            <w:r>
                              <w:rPr>
                                <w:rFonts w:cs="Courier New"/>
                              </w:rPr>
                              <w:t xml:space="preserve"> </w:t>
                            </w:r>
                            <w:r>
                              <w:t>“Working with Publicly Funded Health Centers to Reduce Teen Pregnancy among Vulnerable Populations,” along with their staff members and youth receiving services.</w:t>
                            </w:r>
                          </w:p>
                          <w:p w:rsidR="002226B1" w:rsidRDefault="002226B1" w14:paraId="30615D91" w14:textId="77777777">
                            <w:pPr>
                              <w:spacing w:after="0"/>
                              <w:rPr>
                                <w:b/>
                              </w:rPr>
                            </w:pPr>
                          </w:p>
                          <w:p w:rsidR="002226B1" w:rsidRDefault="002226B1" w14:paraId="459D2155" w14:textId="53B70C58">
                            <w:pPr>
                              <w:spacing w:after="0"/>
                            </w:pPr>
                            <w:r>
                              <w:rPr>
                                <w:b/>
                              </w:rPr>
                              <w:t>How the data will be analyzed:</w:t>
                            </w:r>
                            <w:r>
                              <w:t xml:space="preserve">  Analyses will consist of summary statistics and paired t-tests </w:t>
                            </w:r>
                          </w:p>
                          <w:p w:rsidR="002226B1" w:rsidRDefault="002226B1" w14:paraId="3814A04F" w14:textId="1E15AC2B">
                            <w:pPr>
                              <w:spacing w:after="0"/>
                            </w:pPr>
                            <w:r>
                              <w:t>comparing change from baseline to each annual follow-up assessment.</w:t>
                            </w:r>
                          </w:p>
                          <w:p w:rsidR="002226B1" w:rsidRDefault="002226B1" w14:paraId="0A56B5CB" w14:textId="77777777">
                            <w:pPr>
                              <w:spacing w:after="0"/>
                            </w:pPr>
                          </w:p>
                          <w:p w:rsidRPr="0010006C" w:rsidR="002226B1" w:rsidRDefault="002226B1" w14:paraId="3B88DDF9" w14:textId="20632713">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7DFF76">
                <v:stroke joinstyle="miter"/>
                <v:path gradientshapeok="t" o:connecttype="rect"/>
              </v:shapetype>
              <v:shape id="Text Box 2" style="position:absolute;margin-left:18.75pt;margin-top:5.3pt;width:471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">
                <v:textbox>
                  <w:txbxContent>
                    <w:p w:rsidR="002226B1" w:rsidP="0010006C" w:rsidRDefault="002226B1" w14:paraId="0545AACA" w14:textId="77777777">
                      <w:pPr>
                        <w:spacing w:after="0"/>
                        <w:jc w:val="center"/>
                        <w:rPr>
                          <w:b/>
                          <w:sz w:val="24"/>
                          <w:szCs w:val="24"/>
                        </w:rPr>
                      </w:pPr>
                    </w:p>
                    <w:p w:rsidR="002226B1" w:rsidP="0010006C" w:rsidRDefault="002226B1" w14:paraId="5CB5C56C" w14:textId="77777777">
                      <w:pPr>
                        <w:spacing w:after="0"/>
                        <w:jc w:val="center"/>
                        <w:rPr>
                          <w:b/>
                          <w:sz w:val="24"/>
                          <w:szCs w:val="24"/>
                        </w:rPr>
                      </w:pPr>
                    </w:p>
                    <w:p w:rsidR="002226B1" w:rsidRDefault="002226B1" w14:paraId="4463A95C" w14:textId="1E299339">
                      <w:pPr>
                        <w:spacing w:after="0"/>
                      </w:pPr>
                      <w:r>
                        <w:rPr>
                          <w:b/>
                        </w:rPr>
                        <w:t>Goal of the Study:</w:t>
                      </w:r>
                      <w:r>
                        <w:t xml:space="preserve">  To continue to evaluate and improve efforts of three organizations under the cooperative agreement</w:t>
                      </w:r>
                      <w:r>
                        <w:rPr>
                          <w:rFonts w:cs="Courier New"/>
                        </w:rPr>
                        <w:t xml:space="preserve"> </w:t>
                      </w:r>
                      <w:r>
                        <w:t xml:space="preserve">“Working with Publicly Funded Health Centers to Reduce Teen Pregnancy among Vulnerable Populations” </w:t>
                      </w:r>
                      <w:r>
                        <w:rPr>
                          <w:rFonts w:cs="Courier New"/>
                        </w:rPr>
                        <w:t>that work with health centers to enhance implementation of best practices in adolescent reproductive health care. As part of the cooperative agreement, the three organizations also have worked with youth-serving organizations (YSOs) to develop systematic approaches to referring youth at risk for a teen pregnancy to reproductive health care</w:t>
                      </w:r>
                      <w:r>
                        <w:t xml:space="preserve">.  </w:t>
                      </w:r>
                    </w:p>
                    <w:p w:rsidR="002226B1" w:rsidRDefault="002226B1" w14:paraId="3E650231" w14:textId="77777777">
                      <w:pPr>
                        <w:spacing w:after="0"/>
                      </w:pPr>
                    </w:p>
                    <w:p w:rsidR="002226B1" w:rsidRDefault="002226B1" w14:paraId="4411EE7D" w14:textId="66C855E7">
                      <w:pPr>
                        <w:spacing w:after="0"/>
                      </w:pPr>
                      <w:r>
                        <w:rPr>
                          <w:b/>
                        </w:rPr>
                        <w:t>Intended use:</w:t>
                      </w:r>
                      <w:r>
                        <w:t xml:space="preserve">  Information collected will be used to continue monitoring awardee performance and determine training and technical assistance needs to address any performance issues. </w:t>
                      </w:r>
                    </w:p>
                    <w:p w:rsidR="002226B1" w:rsidRDefault="002226B1" w14:paraId="7EF6FF55" w14:textId="77777777">
                      <w:pPr>
                        <w:spacing w:after="0"/>
                      </w:pPr>
                    </w:p>
                    <w:p w:rsidRPr="00AB521B" w:rsidR="002226B1" w:rsidP="00AC350E" w:rsidRDefault="002226B1" w14:paraId="2ECDE6A1" w14:textId="44618674">
                      <w:pPr>
                        <w:spacing w:after="0"/>
                        <w:rPr>
                          <w:rFonts w:cs="Courier New"/>
                          <w:bCs/>
                        </w:rPr>
                      </w:pPr>
                      <w:r>
                        <w:rPr>
                          <w:b/>
                        </w:rPr>
                        <w:t>Methods to Collect:</w:t>
                      </w:r>
                      <w:r>
                        <w:t xml:space="preserve">  The three awardee organizations have been planning, coordinating, and leading efforts to improve access to high quality reproductive health care in collaboration with approximately 25 health centers in total.  Reflecting expected changes in policies and provider practices, awardees will continue to conduct assessments of health center organizations, as well as surveys of providers at the health center partner organizations.   The three awardees also will continue to report on their own activities including training and technical assistance provided to partners.</w:t>
                      </w:r>
                    </w:p>
                    <w:p w:rsidR="002226B1" w:rsidRDefault="002226B1" w14:paraId="101EDD96" w14:textId="109492BC">
                      <w:pPr>
                        <w:spacing w:after="0"/>
                      </w:pPr>
                    </w:p>
                    <w:p w:rsidR="002226B1" w:rsidRDefault="002226B1" w14:paraId="0B27837C" w14:textId="63463D0B">
                      <w:pPr>
                        <w:spacing w:after="0"/>
                      </w:pPr>
                      <w:r>
                        <w:rPr>
                          <w:b/>
                        </w:rPr>
                        <w:t>Subpopulations:</w:t>
                      </w:r>
                      <w:r>
                        <w:t xml:space="preserve">  </w:t>
                      </w:r>
                    </w:p>
                    <w:p w:rsidR="002226B1" w:rsidRDefault="002226B1" w14:paraId="05EBE42C" w14:textId="4AB00030">
                      <w:pPr>
                        <w:spacing w:after="0"/>
                      </w:pPr>
                      <w:r>
                        <w:t>Subpopulations include health center and YSO partner organizations participating in the cooperative agreement</w:t>
                      </w:r>
                      <w:r>
                        <w:rPr>
                          <w:rFonts w:cs="Courier New"/>
                        </w:rPr>
                        <w:t xml:space="preserve"> </w:t>
                      </w:r>
                      <w:r>
                        <w:t>“Working with Publicly Funded Health Centers to Reduce Teen Pregnancy among Vulnerable Populations,” along with their staff members and youth receiving services.</w:t>
                      </w:r>
                    </w:p>
                    <w:p w:rsidR="002226B1" w:rsidRDefault="002226B1" w14:paraId="30615D91" w14:textId="77777777">
                      <w:pPr>
                        <w:spacing w:after="0"/>
                        <w:rPr>
                          <w:b/>
                        </w:rPr>
                      </w:pPr>
                    </w:p>
                    <w:p w:rsidR="002226B1" w:rsidRDefault="002226B1" w14:paraId="459D2155" w14:textId="53B70C58">
                      <w:pPr>
                        <w:spacing w:after="0"/>
                      </w:pPr>
                      <w:r>
                        <w:rPr>
                          <w:b/>
                        </w:rPr>
                        <w:t>How the data will be analyzed:</w:t>
                      </w:r>
                      <w:r>
                        <w:t xml:space="preserve">  Analyses will consist of summary statistics and paired t-tests </w:t>
                      </w:r>
                    </w:p>
                    <w:p w:rsidR="002226B1" w:rsidRDefault="002226B1" w14:paraId="3814A04F" w14:textId="1E15AC2B">
                      <w:pPr>
                        <w:spacing w:after="0"/>
                      </w:pPr>
                      <w:r>
                        <w:t>comparing change from baseline to each annual follow-up assessment.</w:t>
                      </w:r>
                    </w:p>
                    <w:p w:rsidR="002226B1" w:rsidRDefault="002226B1" w14:paraId="0A56B5CB" w14:textId="77777777">
                      <w:pPr>
                        <w:spacing w:after="0"/>
                      </w:pPr>
                    </w:p>
                    <w:p w:rsidRPr="0010006C" w:rsidR="002226B1" w:rsidRDefault="002226B1" w14:paraId="3B88DDF9" w14:textId="20632713">
                      <w:pPr>
                        <w:spacing w:after="0"/>
                        <w:rPr>
                          <w:b/>
                        </w:rPr>
                      </w:pPr>
                    </w:p>
                  </w:txbxContent>
                </v:textbox>
              </v:shape>
            </w:pict>
          </mc:Fallback>
        </mc:AlternateContent>
      </w:r>
    </w:p>
    <w:p w:rsidR="00882B62" w:rsidRDefault="00196914" w14:paraId="272E3A92" w14:textId="64D9B511">
      <w:pPr>
        <w:rPr>
          <w:b/>
          <w:caps/>
        </w:rPr>
      </w:pPr>
      <w:r>
        <w:rPr>
          <w:b/>
          <w:caps/>
        </w:rPr>
        <w:br w:type="page"/>
      </w:r>
    </w:p>
    <w:p w:rsidR="00882B62" w:rsidRDefault="00196914" w14:paraId="3389CCA8" w14:textId="77777777">
      <w:pPr>
        <w:pStyle w:val="ListParagraph"/>
        <w:numPr>
          <w:ilvl w:val="0"/>
          <w:numId w:val="1"/>
        </w:numPr>
        <w:rPr>
          <w:b/>
          <w:caps/>
        </w:rPr>
      </w:pPr>
      <w:r>
        <w:rPr>
          <w:b/>
          <w:caps/>
        </w:rPr>
        <w:lastRenderedPageBreak/>
        <w:t>Justification</w:t>
      </w:r>
    </w:p>
    <w:p w:rsidR="00882B62" w:rsidRDefault="00196914" w14:paraId="487D05CC" w14:textId="77777777">
      <w:pPr>
        <w:ind w:left="360"/>
        <w:rPr>
          <w:b/>
        </w:rPr>
      </w:pPr>
      <w:r>
        <w:rPr>
          <w:b/>
          <w:caps/>
        </w:rPr>
        <w:t xml:space="preserve">1. </w:t>
      </w:r>
      <w:r>
        <w:rPr>
          <w:b/>
        </w:rPr>
        <w:t>Circumstances Making the Collection of Information Necessary</w:t>
      </w:r>
    </w:p>
    <w:p w:rsidR="006A333D" w:rsidRDefault="00196914" w14:paraId="7013640C" w14:textId="31A33107">
      <w:pPr>
        <w:spacing w:after="0"/>
        <w:ind w:left="360"/>
      </w:pPr>
      <w:r>
        <w:t>The Centers for Disease Control and Prevention (CDC)</w:t>
      </w:r>
      <w:r w:rsidR="00D729CA">
        <w:t>, Division of Reproductive Health (DRH)</w:t>
      </w:r>
      <w:r>
        <w:t xml:space="preserve"> is </w:t>
      </w:r>
      <w:r w:rsidR="00D729CA">
        <w:t>requesting a</w:t>
      </w:r>
      <w:r w:rsidR="002226B1">
        <w:t xml:space="preserve"> Revision</w:t>
      </w:r>
      <w:r w:rsidR="00D729CA">
        <w:t xml:space="preserve"> for the currently approved information collection </w:t>
      </w:r>
      <w:r w:rsidRPr="00CD0B7D" w:rsidR="00427FDC">
        <w:rPr>
          <w:rFonts w:cs="Courier New"/>
          <w:i/>
        </w:rPr>
        <w:t>Performance Monitoring of “Working with Publicly Funded Health Centers to Reduce Teen Pregnancy among Youth from Vulnerable Populations”</w:t>
      </w:r>
      <w:r w:rsidR="00427FDC">
        <w:rPr>
          <w:rFonts w:cs="Courier New"/>
        </w:rPr>
        <w:t xml:space="preserve"> </w:t>
      </w:r>
      <w:r w:rsidR="00D729CA">
        <w:rPr>
          <w:rFonts w:cs="Courier New"/>
        </w:rPr>
        <w:t>(</w:t>
      </w:r>
      <w:r w:rsidR="00427FDC">
        <w:rPr>
          <w:rFonts w:cs="Courier New"/>
        </w:rPr>
        <w:t xml:space="preserve">OMB No. 0920-1156, </w:t>
      </w:r>
      <w:r w:rsidR="00D729CA">
        <w:rPr>
          <w:rFonts w:cs="Courier New"/>
        </w:rPr>
        <w:t>E</w:t>
      </w:r>
      <w:r w:rsidR="00427FDC">
        <w:rPr>
          <w:rFonts w:cs="Courier New"/>
        </w:rPr>
        <w:t>xp. 1/31/2020</w:t>
      </w:r>
      <w:r w:rsidR="00D729CA">
        <w:rPr>
          <w:rFonts w:cs="Courier New"/>
        </w:rPr>
        <w:t>); this submission requests an extension to 9/30/2020</w:t>
      </w:r>
      <w:r w:rsidR="00427FDC">
        <w:rPr>
          <w:rFonts w:cs="Courier New"/>
        </w:rPr>
        <w:t xml:space="preserve">.  </w:t>
      </w:r>
      <w:r>
        <w:t xml:space="preserve">Three awardees </w:t>
      </w:r>
      <w:r w:rsidR="00427FDC">
        <w:t xml:space="preserve">were </w:t>
      </w:r>
      <w:r>
        <w:t xml:space="preserve">funded under </w:t>
      </w:r>
      <w:r w:rsidR="00427FDC">
        <w:t>the “Working with Publicly Funded Health Centers to Reduce Teen Pregnancy among Vulnerable Populations” cooperative agreement</w:t>
      </w:r>
      <w:r w:rsidR="00D729CA">
        <w:t xml:space="preserve"> (DP15-1508)</w:t>
      </w:r>
      <w:r>
        <w:t xml:space="preserve">. </w:t>
      </w:r>
      <w:r w:rsidR="00427FDC">
        <w:t xml:space="preserve"> The information collection has been and will</w:t>
      </w:r>
      <w:r w:rsidR="00D729CA">
        <w:t xml:space="preserve"> continue to</w:t>
      </w:r>
      <w:r w:rsidR="00427FDC">
        <w:t xml:space="preserve"> be used for performance monitoring and improvement of the three funded projects. </w:t>
      </w:r>
      <w:r w:rsidR="006A333D">
        <w:rPr>
          <w:rFonts w:cs="Courier New"/>
        </w:rPr>
        <w:t>An extension is requested in order to allow for information collection through the end of project funding</w:t>
      </w:r>
      <w:r w:rsidR="00D729CA">
        <w:rPr>
          <w:rFonts w:cs="Courier New"/>
        </w:rPr>
        <w:t xml:space="preserve"> (9/30/2020)</w:t>
      </w:r>
      <w:r w:rsidR="006A333D">
        <w:rPr>
          <w:rFonts w:cs="Courier New"/>
        </w:rPr>
        <w:t xml:space="preserve">. </w:t>
      </w:r>
    </w:p>
    <w:p w:rsidR="00882B62" w:rsidRDefault="00882B62" w14:paraId="5F7C1363" w14:textId="77777777">
      <w:pPr>
        <w:spacing w:after="0"/>
        <w:ind w:left="360"/>
      </w:pPr>
    </w:p>
    <w:p w:rsidR="00882B62" w:rsidRDefault="00381CFF" w14:paraId="3600935C" w14:textId="74C3EAE5">
      <w:pPr>
        <w:spacing w:after="0"/>
        <w:ind w:left="360"/>
      </w:pPr>
      <w:r>
        <w:t>Alt</w:t>
      </w:r>
      <w:r w:rsidR="0079144A">
        <w:t xml:space="preserve">hough the 2017 US </w:t>
      </w:r>
      <w:r w:rsidR="00196914">
        <w:t xml:space="preserve">rate of </w:t>
      </w:r>
      <w:r w:rsidR="0079144A">
        <w:t>18.8</w:t>
      </w:r>
      <w:r w:rsidR="00196914">
        <w:t xml:space="preserve"> births per 1,000 female teens aged 15-19 </w:t>
      </w:r>
      <w:r w:rsidR="0079144A">
        <w:t>represents a continued decline [1], the U</w:t>
      </w:r>
      <w:r w:rsidR="001B0B83">
        <w:t xml:space="preserve">nited </w:t>
      </w:r>
      <w:r w:rsidR="0079144A">
        <w:t>S</w:t>
      </w:r>
      <w:r w:rsidR="001B0B83">
        <w:t>tates</w:t>
      </w:r>
      <w:r w:rsidR="0079144A">
        <w:t xml:space="preserve"> has one of t</w:t>
      </w:r>
      <w:r w:rsidR="00196914">
        <w:t xml:space="preserve">he highest </w:t>
      </w:r>
      <w:r w:rsidR="0079144A">
        <w:t xml:space="preserve">teen birth rates </w:t>
      </w:r>
      <w:r w:rsidR="00196914">
        <w:t>of all Western industrialized countries [</w:t>
      </w:r>
      <w:r w:rsidR="0079144A">
        <w:t>2</w:t>
      </w:r>
      <w:r w:rsidR="00196914">
        <w:t>]. Teen pregnancy and childbearing are estimated to cost tax payers</w:t>
      </w:r>
      <w:r w:rsidR="00427FDC">
        <w:t xml:space="preserve"> approximately</w:t>
      </w:r>
      <w:r w:rsidR="00196914">
        <w:t xml:space="preserve"> $11 billion each year [</w:t>
      </w:r>
      <w:r w:rsidR="001459F8">
        <w:t>3</w:t>
      </w:r>
      <w:r w:rsidR="00196914">
        <w:t xml:space="preserve">].  </w:t>
      </w:r>
      <w:r w:rsidR="00427FDC">
        <w:t>Furthermore, si</w:t>
      </w:r>
      <w:r w:rsidR="00196914">
        <w:t xml:space="preserve">gnificant racial/ethnic and geographic disparities in teen birth rates persist. </w:t>
      </w:r>
    </w:p>
    <w:p w:rsidR="00882B62" w:rsidRDefault="00882B62" w14:paraId="4F21F475" w14:textId="77777777">
      <w:pPr>
        <w:spacing w:after="0"/>
        <w:ind w:left="360"/>
      </w:pPr>
    </w:p>
    <w:p w:rsidR="00882B62" w:rsidRDefault="00196914" w14:paraId="64AC03A5" w14:textId="441AE999">
      <w:pPr>
        <w:spacing w:after="0"/>
        <w:ind w:left="360"/>
      </w:pPr>
      <w:r>
        <w:t>Access to reproductive health services and the most effective types of contraception have been shown to reduce the likelihood that teens become pregnant [</w:t>
      </w:r>
      <w:r w:rsidR="001459F8">
        <w:t>4-6</w:t>
      </w:r>
      <w:r>
        <w:t>].  Nevertheless, recent research [</w:t>
      </w:r>
      <w:r w:rsidR="001459F8">
        <w:t>6</w:t>
      </w:r>
      <w:r>
        <w:t xml:space="preserve">] and lessons learned through a previous teen pregnancy prevention project implemented through CDC in partnership with the Office of Adolescent Health (2010-2015; OMB </w:t>
      </w:r>
      <w:r w:rsidR="00381CFF">
        <w:t>N</w:t>
      </w:r>
      <w:r>
        <w:t xml:space="preserve">o. 0920-0952, </w:t>
      </w:r>
      <w:r w:rsidR="00381CFF">
        <w:t>E</w:t>
      </w:r>
      <w:r>
        <w:t xml:space="preserve">xp. Date 12/31/2015) demonstrate that many health centers serving adolescents in communities with high teen birth rates are not engaging in youth friendly best practices that may enhance access to care and to the most effective types of </w:t>
      </w:r>
      <w:r w:rsidR="00932A97">
        <w:t>contraception.</w:t>
      </w:r>
      <w:r>
        <w:t xml:space="preserve">  </w:t>
      </w:r>
      <w:r w:rsidR="00427FDC">
        <w:t>Additionally</w:t>
      </w:r>
      <w:r>
        <w:t>, youth at highest risk of experiencing a teen pregnancy are often not connected to the reproductive health care that they need, even when they are part of a population that has been identified as being at high risk for a teen pregnancy (e.g., youth in foster care)</w:t>
      </w:r>
      <w:r w:rsidR="00B46604">
        <w:t xml:space="preserve"> [7]</w:t>
      </w:r>
      <w:r>
        <w:t>.</w:t>
      </w:r>
    </w:p>
    <w:p w:rsidR="00882B62" w:rsidRDefault="00882B62" w14:paraId="3614B44C" w14:textId="77777777">
      <w:pPr>
        <w:spacing w:after="0"/>
        <w:ind w:left="360"/>
      </w:pPr>
    </w:p>
    <w:p w:rsidR="00882B62" w:rsidRDefault="004F31A7" w14:paraId="53559BE7" w14:textId="0072A11C">
      <w:pPr>
        <w:spacing w:after="0"/>
        <w:ind w:left="360"/>
      </w:pPr>
      <w:proofErr w:type="gramStart"/>
      <w:r>
        <w:rPr>
          <w:rFonts w:cs="Courier New"/>
        </w:rPr>
        <w:t>An</w:t>
      </w:r>
      <w:proofErr w:type="gramEnd"/>
      <w:r>
        <w:rPr>
          <w:rFonts w:cs="Courier New"/>
        </w:rPr>
        <w:t xml:space="preserve"> </w:t>
      </w:r>
      <w:r w:rsidR="002226B1">
        <w:rPr>
          <w:rFonts w:cs="Courier New"/>
        </w:rPr>
        <w:t>revision</w:t>
      </w:r>
      <w:r>
        <w:rPr>
          <w:rFonts w:cs="Courier New"/>
        </w:rPr>
        <w:t xml:space="preserve"> of </w:t>
      </w:r>
      <w:r w:rsidR="003470C5">
        <w:rPr>
          <w:rFonts w:cs="Courier New"/>
        </w:rPr>
        <w:t xml:space="preserve">this </w:t>
      </w:r>
      <w:r>
        <w:rPr>
          <w:rFonts w:cs="Courier New"/>
        </w:rPr>
        <w:t>i</w:t>
      </w:r>
      <w:r w:rsidR="00196914">
        <w:t>nformation collection</w:t>
      </w:r>
      <w:r w:rsidR="003470C5">
        <w:t xml:space="preserve"> (OMB No. 0920-1156, Exp. 01/3</w:t>
      </w:r>
      <w:r w:rsidR="00027EC6">
        <w:t>1</w:t>
      </w:r>
      <w:r w:rsidR="003470C5">
        <w:t>/2020)</w:t>
      </w:r>
      <w:r w:rsidR="00196914">
        <w:t xml:space="preserve"> is </w:t>
      </w:r>
      <w:r w:rsidR="003470C5">
        <w:t>requested to continue</w:t>
      </w:r>
      <w:r w:rsidR="00196914">
        <w:t xml:space="preserve"> program monitoring and management of three funded projects under the cooperative agreement “Working with Publicly Funded Health Centers to Reduce Teen Pregnancy among Vulnerable Populations”</w:t>
      </w:r>
      <w:r w:rsidR="003470C5">
        <w:t xml:space="preserve"> until the end of the funding period.</w:t>
      </w:r>
      <w:r w:rsidR="00196914">
        <w:t xml:space="preserve">  The three funded awardees are Mississippi First, Inc.</w:t>
      </w:r>
      <w:r w:rsidR="003470C5">
        <w:t>;</w:t>
      </w:r>
      <w:r w:rsidR="00196914">
        <w:t xml:space="preserve"> Sexual Health Initiatives </w:t>
      </w:r>
      <w:proofErr w:type="gramStart"/>
      <w:r w:rsidR="00196914">
        <w:t>For</w:t>
      </w:r>
      <w:proofErr w:type="gramEnd"/>
      <w:r w:rsidR="00196914">
        <w:t xml:space="preserve"> Teens North Carolina (SHIFT NC)</w:t>
      </w:r>
      <w:r w:rsidR="003470C5">
        <w:t>;</w:t>
      </w:r>
      <w:r w:rsidR="00196914">
        <w:t xml:space="preserve"> and the Georgia Association for Primary Health Care, Inc. To carry out these projects, each of these three organizations </w:t>
      </w:r>
      <w:r w:rsidR="0079144A">
        <w:t>has worked with 6</w:t>
      </w:r>
      <w:r w:rsidR="009B4E47">
        <w:t>-</w:t>
      </w:r>
      <w:r w:rsidR="0079144A">
        <w:t>9</w:t>
      </w:r>
      <w:r w:rsidR="00196914">
        <w:t xml:space="preserve"> health centers and </w:t>
      </w:r>
      <w:r w:rsidR="009B4E47">
        <w:t>6-13</w:t>
      </w:r>
      <w:r w:rsidR="00196914">
        <w:t xml:space="preserve"> youth serving organizations</w:t>
      </w:r>
      <w:r w:rsidR="003470C5">
        <w:t xml:space="preserve"> (YSO)</w:t>
      </w:r>
      <w:r w:rsidR="00196914">
        <w:t xml:space="preserve"> in their target communities.  Awardees select</w:t>
      </w:r>
      <w:r w:rsidR="009B4E47">
        <w:t>ed</w:t>
      </w:r>
      <w:r w:rsidR="00196914">
        <w:t xml:space="preserve"> these partners during the first year of the project.</w:t>
      </w:r>
    </w:p>
    <w:p w:rsidR="00444EC6" w:rsidRDefault="00444EC6" w14:paraId="16CF270F" w14:textId="77777777">
      <w:pPr>
        <w:spacing w:after="0"/>
        <w:ind w:left="360"/>
      </w:pPr>
    </w:p>
    <w:p w:rsidR="00882B62" w:rsidRDefault="00196914" w14:paraId="164AD406" w14:textId="77777777">
      <w:pPr>
        <w:spacing w:after="0"/>
        <w:ind w:left="360"/>
      </w:pPr>
      <w:r>
        <w:t xml:space="preserve">These projects seek to decrease teen pregnancy by: </w:t>
      </w:r>
    </w:p>
    <w:p w:rsidR="00882B62" w:rsidRDefault="00196914" w14:paraId="4FB49B42" w14:textId="77777777">
      <w:pPr>
        <w:pStyle w:val="ListParagraph"/>
        <w:numPr>
          <w:ilvl w:val="0"/>
          <w:numId w:val="24"/>
        </w:numPr>
        <w:spacing w:after="0"/>
      </w:pPr>
      <w:r>
        <w:t>Improving the quality of adolescent sexual and reproductive health (ASRH) services at partner health centers.</w:t>
      </w:r>
    </w:p>
    <w:p w:rsidR="00882B62" w:rsidRDefault="00196914" w14:paraId="5EB50BD7" w14:textId="77777777">
      <w:pPr>
        <w:pStyle w:val="ListParagraph"/>
        <w:numPr>
          <w:ilvl w:val="0"/>
          <w:numId w:val="24"/>
        </w:numPr>
        <w:spacing w:after="0"/>
      </w:pPr>
      <w:r>
        <w:t>Increasing use of ASRH services among sexually active teens in the target communities.</w:t>
      </w:r>
    </w:p>
    <w:p w:rsidR="00882B62" w:rsidRDefault="00196914" w14:paraId="62942147" w14:textId="77777777">
      <w:pPr>
        <w:pStyle w:val="ListParagraph"/>
        <w:numPr>
          <w:ilvl w:val="0"/>
          <w:numId w:val="24"/>
        </w:numPr>
        <w:spacing w:after="0"/>
      </w:pPr>
      <w:r>
        <w:t>Increasing the number of sexually active teens at partner health centers who receive effective methods of contraception.</w:t>
      </w:r>
    </w:p>
    <w:p w:rsidR="00882B62" w:rsidRDefault="00882B62" w14:paraId="67CD8964" w14:textId="77777777">
      <w:pPr>
        <w:pStyle w:val="ListParagraph"/>
        <w:spacing w:after="0"/>
        <w:ind w:left="1080"/>
      </w:pPr>
    </w:p>
    <w:p w:rsidR="00882B62" w:rsidRDefault="00196914" w14:paraId="531CB10C" w14:textId="27D3ADE0">
      <w:pPr>
        <w:spacing w:after="0"/>
        <w:ind w:left="360"/>
      </w:pPr>
      <w:r>
        <w:t xml:space="preserve">The awardees </w:t>
      </w:r>
      <w:r w:rsidR="009B4E47">
        <w:t>are seeking</w:t>
      </w:r>
      <w:r>
        <w:t xml:space="preserve"> to achieve these aims by engaging in three main activities</w:t>
      </w:r>
      <w:r w:rsidR="003470C5">
        <w:t>:</w:t>
      </w:r>
      <w:r>
        <w:t xml:space="preserve"> </w:t>
      </w:r>
    </w:p>
    <w:p w:rsidR="00882B62" w:rsidRDefault="00196914" w14:paraId="0EC0EC88" w14:textId="72B033C8">
      <w:pPr>
        <w:pStyle w:val="ListParagraph"/>
        <w:numPr>
          <w:ilvl w:val="0"/>
          <w:numId w:val="25"/>
        </w:numPr>
        <w:spacing w:after="0"/>
        <w:ind w:left="1080"/>
      </w:pPr>
      <w:r>
        <w:t xml:space="preserve">They </w:t>
      </w:r>
      <w:r w:rsidR="009B4E47">
        <w:t>are working</w:t>
      </w:r>
      <w:r>
        <w:t xml:space="preserve"> with publicly funded health centers to make organizational changes and engage in clinical provider training to increase health centers</w:t>
      </w:r>
      <w:r w:rsidR="003470C5">
        <w:t>’</w:t>
      </w:r>
      <w:r>
        <w:t xml:space="preserve"> implementation of best practices in adolescent reproductive health care.  The overall goal of these efforts is to improve the quality of and access to youth-friendly reproductive health services.  </w:t>
      </w:r>
    </w:p>
    <w:p w:rsidR="00882B62" w:rsidRDefault="009B4E47" w14:paraId="1A3EE8B6" w14:textId="5C6093DB">
      <w:pPr>
        <w:pStyle w:val="ListParagraph"/>
        <w:numPr>
          <w:ilvl w:val="0"/>
          <w:numId w:val="25"/>
        </w:numPr>
        <w:spacing w:after="0"/>
        <w:ind w:left="1080"/>
      </w:pPr>
      <w:r>
        <w:t>They are working</w:t>
      </w:r>
      <w:r w:rsidR="00196914">
        <w:t xml:space="preserve"> with YSOs that serve youth at risk for a teen pregnancy to make organizational changes and provide staff training so that youth at those agencies are assessed for whether they are at risk for a teen pregnancy (i.e., sexual health assessment) and, when indicated, referred to reproductive health care.  </w:t>
      </w:r>
    </w:p>
    <w:p w:rsidR="00882B62" w:rsidRDefault="00196914" w14:paraId="7A7256A5" w14:textId="0DE2D94F">
      <w:pPr>
        <w:pStyle w:val="ListParagraph"/>
        <w:numPr>
          <w:ilvl w:val="0"/>
          <w:numId w:val="23"/>
        </w:numPr>
        <w:spacing w:after="0"/>
      </w:pPr>
      <w:r>
        <w:t xml:space="preserve">They </w:t>
      </w:r>
      <w:r w:rsidR="009B4E47">
        <w:t xml:space="preserve">have </w:t>
      </w:r>
      <w:r>
        <w:t>develop</w:t>
      </w:r>
      <w:r w:rsidR="001459F8">
        <w:t>ed</w:t>
      </w:r>
      <w:r>
        <w:t xml:space="preserve"> communication campaigns intended to increase awareness of the partner health centers’ services for teens.  </w:t>
      </w:r>
    </w:p>
    <w:p w:rsidR="00882B62" w:rsidRDefault="00882B62" w14:paraId="0F72F18E" w14:textId="77777777">
      <w:pPr>
        <w:spacing w:after="0"/>
        <w:ind w:left="360"/>
      </w:pPr>
    </w:p>
    <w:p w:rsidR="00882B62" w:rsidRDefault="00196914" w14:paraId="47A98092" w14:textId="2C0AC48F">
      <w:pPr>
        <w:spacing w:after="0"/>
        <w:ind w:left="360"/>
      </w:pPr>
      <w:r>
        <w:t>Youth</w:t>
      </w:r>
      <w:r w:rsidR="00FB4E0A">
        <w:t>-</w:t>
      </w:r>
      <w:r>
        <w:t>friendly best practices included in this program are supported by evidence in the literature and recommended by major medical associations</w:t>
      </w:r>
      <w:r w:rsidR="00A35CE4">
        <w:t xml:space="preserve">, such as the </w:t>
      </w:r>
      <w:r w:rsidRPr="00A35CE4" w:rsidR="00A35CE4">
        <w:t>American Academy of Pediatrics</w:t>
      </w:r>
      <w:r w:rsidR="00A35CE4">
        <w:t xml:space="preserve">, </w:t>
      </w:r>
      <w:r w:rsidRPr="00A35CE4" w:rsidR="00A35CE4">
        <w:t xml:space="preserve">the Society for Adolescent Health and Medicine, </w:t>
      </w:r>
      <w:r w:rsidR="00A35CE4">
        <w:t xml:space="preserve">and </w:t>
      </w:r>
      <w:r w:rsidRPr="00A35CE4" w:rsidR="00A35CE4">
        <w:t>the American College of Obstetricians and Gynecologists</w:t>
      </w:r>
      <w:r w:rsidR="00A35CE4">
        <w:t>.</w:t>
      </w:r>
      <w:r>
        <w:t xml:space="preserve"> Each of the components of the current project has been implemented as part of past teen pregnancy prevention efforts. Consistent with CDC’s mission of using evidence to improve public health programs, conducting an evaluation of combined best practices, in concert with community-clinical linkage of youth to services to increase their access to reproductive health care, can provide information that will inform future teen pregnancy prevention efforts. </w:t>
      </w:r>
    </w:p>
    <w:p w:rsidR="00882B62" w:rsidRDefault="00882B62" w14:paraId="4CB62C6B" w14:textId="77777777">
      <w:pPr>
        <w:spacing w:after="0"/>
        <w:ind w:left="360"/>
      </w:pPr>
    </w:p>
    <w:p w:rsidR="00713FD7" w:rsidP="00713FD7" w:rsidRDefault="00196914" w14:paraId="11570687" w14:textId="2B7793C4">
      <w:pPr>
        <w:spacing w:after="0"/>
        <w:ind w:left="360"/>
      </w:pPr>
      <w:r>
        <w:t>The three awardees plan</w:t>
      </w:r>
      <w:r w:rsidR="009B4E47">
        <w:t>ned</w:t>
      </w:r>
      <w:r>
        <w:t>, coordinate</w:t>
      </w:r>
      <w:r w:rsidR="009B4E47">
        <w:t>d</w:t>
      </w:r>
      <w:r>
        <w:t>, and led the efforts in collaboration with 25 health centers (</w:t>
      </w:r>
      <w:r w:rsidR="0079144A">
        <w:t>6</w:t>
      </w:r>
      <w:r>
        <w:t>-</w:t>
      </w:r>
      <w:r w:rsidR="0079144A">
        <w:t>9</w:t>
      </w:r>
      <w:r>
        <w:t xml:space="preserve"> per awardee) and </w:t>
      </w:r>
      <w:r w:rsidR="009B4E47">
        <w:t xml:space="preserve">27 </w:t>
      </w:r>
      <w:r>
        <w:t>youth serving organizations (</w:t>
      </w:r>
      <w:r w:rsidR="009B4E47">
        <w:t>6-13</w:t>
      </w:r>
      <w:r>
        <w:t xml:space="preserve"> per awardee).</w:t>
      </w:r>
      <w:r w:rsidR="00713FD7">
        <w:t xml:space="preserve"> Reflecting expected changes to health center and YSO partners’ policies, to staff practices, and to youth health care seeking behaviors, awardees conducted assessments of health center and YSO partners’ organizational factors, staff members, and youth served by the partner organizations.</w:t>
      </w:r>
    </w:p>
    <w:p w:rsidR="009B4E47" w:rsidRDefault="009B4E47" w14:paraId="47A7C2A3" w14:textId="73A984BD">
      <w:pPr>
        <w:spacing w:after="0"/>
        <w:ind w:left="360"/>
      </w:pPr>
    </w:p>
    <w:p w:rsidR="00FB4E0A" w:rsidRDefault="001D444A" w14:paraId="5A96F657" w14:textId="489B53D0">
      <w:pPr>
        <w:spacing w:after="0"/>
        <w:ind w:left="360"/>
      </w:pPr>
      <w:r>
        <w:t xml:space="preserve">The continuous quality improvement model used by the health center partners suggests that additional changes in health center policies and practices can reasonably be expected, thus supporting continued health center partner assessments. </w:t>
      </w:r>
      <w:r w:rsidR="00DB571E">
        <w:t xml:space="preserve">Given an expectation that additional </w:t>
      </w:r>
      <w:r w:rsidR="00F20E4C">
        <w:t xml:space="preserve">significant </w:t>
      </w:r>
      <w:r w:rsidR="00DB571E">
        <w:t>change to YSO policies and practices would not be found in the final year of the project</w:t>
      </w:r>
      <w:r>
        <w:t xml:space="preserve">, </w:t>
      </w:r>
      <w:r w:rsidR="00DB571E">
        <w:t xml:space="preserve">data collection burden </w:t>
      </w:r>
      <w:r>
        <w:t xml:space="preserve">is reduced </w:t>
      </w:r>
      <w:r w:rsidR="00DB571E">
        <w:t>by not conducting YSO</w:t>
      </w:r>
      <w:r w:rsidR="00C06F80">
        <w:t>-</w:t>
      </w:r>
      <w:r w:rsidR="00DB571E">
        <w:t>related assessments during the final year of the project.</w:t>
      </w:r>
      <w:r w:rsidR="00A1318E">
        <w:t xml:space="preserve">  </w:t>
      </w:r>
      <w:r>
        <w:t xml:space="preserve">The Health Center Youth Survey will be conducted late in 2019 and will not be conducted again during the course of the project. Thus, it also is not included in this information collection </w:t>
      </w:r>
      <w:r w:rsidR="002226B1">
        <w:t>revision</w:t>
      </w:r>
      <w:r>
        <w:t xml:space="preserve"> request.</w:t>
      </w:r>
    </w:p>
    <w:p w:rsidR="00CB05CF" w:rsidRDefault="00CB05CF" w14:paraId="0A1D2FEE" w14:textId="77777777">
      <w:pPr>
        <w:spacing w:after="0"/>
        <w:ind w:left="360"/>
      </w:pPr>
    </w:p>
    <w:p w:rsidRPr="00716269" w:rsidR="00882B62" w:rsidRDefault="00196914" w14:paraId="4AA6B2DC" w14:textId="0C8A8AC6">
      <w:pPr>
        <w:spacing w:after="0"/>
        <w:ind w:left="360"/>
      </w:pPr>
      <w:r>
        <w:t>CDC is authorized to conduct this information collection under Section 301 of the Public Health Service Act (42 U.S.C 241) Authority of the Secretary (</w:t>
      </w:r>
      <w:r>
        <w:rPr>
          <w:b/>
        </w:rPr>
        <w:t>See Attachment 1</w:t>
      </w:r>
      <w:r>
        <w:t>).</w:t>
      </w:r>
      <w:r w:rsidR="00716269">
        <w:t xml:space="preserve"> For the purposes of this information collection request, a “respondent” is a </w:t>
      </w:r>
      <w:r w:rsidR="00716269">
        <w:rPr>
          <w:i/>
        </w:rPr>
        <w:t>“Working with Publicly Funded Health Centers to Reduce Teen Pregnancy among Youth from Vulnerable Populations”</w:t>
      </w:r>
      <w:r w:rsidR="00716269">
        <w:t xml:space="preserve"> awardee</w:t>
      </w:r>
      <w:r w:rsidR="00277EE0">
        <w:t xml:space="preserve"> or </w:t>
      </w:r>
      <w:r w:rsidR="00E14557">
        <w:t>staff at a</w:t>
      </w:r>
      <w:r w:rsidR="00277EE0">
        <w:t xml:space="preserve"> health center partner</w:t>
      </w:r>
      <w:r w:rsidR="00716269">
        <w:t>.</w:t>
      </w:r>
    </w:p>
    <w:p w:rsidR="00882B62" w:rsidRDefault="00882B62" w14:paraId="7828892C" w14:textId="66A6BBF7">
      <w:pPr>
        <w:spacing w:after="0" w:line="240" w:lineRule="auto"/>
        <w:ind w:left="360"/>
      </w:pPr>
    </w:p>
    <w:p w:rsidR="00A01B4A" w:rsidRDefault="00A01B4A" w14:paraId="2585D7A9" w14:textId="33914E83">
      <w:pPr>
        <w:spacing w:after="0" w:line="240" w:lineRule="auto"/>
        <w:ind w:left="360"/>
      </w:pPr>
    </w:p>
    <w:p w:rsidR="00A01B4A" w:rsidRDefault="00A01B4A" w14:paraId="687DCE81" w14:textId="39E46A8D">
      <w:pPr>
        <w:spacing w:after="0" w:line="240" w:lineRule="auto"/>
        <w:ind w:left="360"/>
      </w:pPr>
    </w:p>
    <w:p w:rsidR="00A01B4A" w:rsidRDefault="00A01B4A" w14:paraId="0AD881DC" w14:textId="77777777">
      <w:pPr>
        <w:spacing w:after="0" w:line="240" w:lineRule="auto"/>
        <w:ind w:left="360"/>
      </w:pPr>
    </w:p>
    <w:p w:rsidR="00882B62" w:rsidRDefault="00196914" w14:paraId="4623425D" w14:textId="77777777">
      <w:pPr>
        <w:ind w:left="360"/>
        <w:rPr>
          <w:b/>
        </w:rPr>
      </w:pPr>
      <w:r>
        <w:rPr>
          <w:b/>
        </w:rPr>
        <w:lastRenderedPageBreak/>
        <w:t>2. Purpose and Use of Information Collection</w:t>
      </w:r>
    </w:p>
    <w:p w:rsidR="00882B62" w:rsidRDefault="001F587F" w14:paraId="51B5BA7B" w14:textId="0153F0F9">
      <w:pPr>
        <w:spacing w:after="0"/>
        <w:ind w:left="360"/>
      </w:pPr>
      <w:r>
        <w:t>Information has been requested from awardees, their health center and YSO partners, as well as the staff and youth served by the health center partners</w:t>
      </w:r>
      <w:r w:rsidR="006C42D6">
        <w:t>,</w:t>
      </w:r>
      <w:r>
        <w:t xml:space="preserve"> to evaluate program performance and identify needs for training and technical assistance in support of quality improvement.  </w:t>
      </w:r>
      <w:r w:rsidR="00196914">
        <w:t xml:space="preserve">As part of the grant application process, all awardees were required to propose working in communities with a 2013 teen birth rate above the national average (26.6 births per 1,000 female adolescents ages 15-19) and those communities had to be located in states with a 2013 birth rate above the national average.  To carry out these projects, each of these three organizations </w:t>
      </w:r>
      <w:r>
        <w:t>has worked</w:t>
      </w:r>
      <w:r w:rsidR="00196914">
        <w:t xml:space="preserve"> with </w:t>
      </w:r>
      <w:r>
        <w:t>6-9</w:t>
      </w:r>
      <w:r w:rsidR="00196914">
        <w:t xml:space="preserve"> health centers and </w:t>
      </w:r>
      <w:r>
        <w:t>6-13</w:t>
      </w:r>
      <w:r w:rsidR="00196914">
        <w:t xml:space="preserve"> youth serving organizations in their target communities.  Mississippi First, Inc., a non-profit focused on child well-being and educational achievement, was funded to work in Coahoma, Quitman and Tunica counties in Mississippi.  Sexual Health Initiatives </w:t>
      </w:r>
      <w:proofErr w:type="gramStart"/>
      <w:r w:rsidR="00196914">
        <w:t>For</w:t>
      </w:r>
      <w:proofErr w:type="gramEnd"/>
      <w:r w:rsidR="00196914">
        <w:t xml:space="preserve"> Teens North Carolina (SHIFT NC), a non-profit organization focused on the sexual health of adolescents, was funded to work in Durham County, North Carolina.  The Georgia Association for Primary Health Care, Inc, which represents all of Georgia’s Federally Qualified Health Centers, was funded to work in Chatham County, Georgia. </w:t>
      </w:r>
    </w:p>
    <w:p w:rsidR="00882B62" w:rsidRDefault="00882B62" w14:paraId="43BFF293" w14:textId="77777777">
      <w:pPr>
        <w:spacing w:after="0"/>
        <w:ind w:left="360"/>
      </w:pPr>
    </w:p>
    <w:p w:rsidR="00882B62" w:rsidRDefault="00196914" w14:paraId="4FC19007" w14:textId="53CC8B4F">
      <w:pPr>
        <w:ind w:left="360"/>
      </w:pPr>
      <w:r>
        <w:t xml:space="preserve">To evaluate the progress of awardees and their partner organizations in making structural changes that have been shown to lead to improvements in the quality and use of adolescent sexual and reproductive health (ASRH) services, along with the number of sexually active teens who receive effective methods of contraception, it </w:t>
      </w:r>
      <w:r w:rsidR="006642CE">
        <w:t>has been</w:t>
      </w:r>
      <w:r>
        <w:t xml:space="preserve"> necessary to assess performance on a number of short-term objectives.   These short</w:t>
      </w:r>
      <w:r w:rsidR="006642CE">
        <w:t>-</w:t>
      </w:r>
      <w:r>
        <w:t>term objectives include:</w:t>
      </w:r>
    </w:p>
    <w:p w:rsidR="00882B62" w:rsidRDefault="00196914" w14:paraId="4FBF30E9" w14:textId="77777777">
      <w:pPr>
        <w:ind w:left="900" w:hanging="450"/>
      </w:pPr>
      <w:r>
        <w:t>1.</w:t>
      </w:r>
      <w:r>
        <w:tab/>
        <w:t>Improve health center organizational factors (e.g., financing, clinical policies, protocols, practices, medication formulary, appointment scheduling) that support high quality ASRH services</w:t>
      </w:r>
    </w:p>
    <w:p w:rsidR="00882B62" w:rsidRDefault="00196914" w14:paraId="74C448B6" w14:textId="78B8407C">
      <w:pPr>
        <w:ind w:left="900" w:hanging="450"/>
      </w:pPr>
      <w:r>
        <w:t>2.</w:t>
      </w:r>
      <w:r>
        <w:tab/>
        <w:t>Increase health center staff knowledgeable about and support of implementation of evidence-based guidelines for reproductive health services, youth</w:t>
      </w:r>
      <w:r w:rsidR="006642CE">
        <w:t>-</w:t>
      </w:r>
      <w:r>
        <w:t>friendly best practices, and the provision of the most effective types of contraception to sexually active teens</w:t>
      </w:r>
    </w:p>
    <w:p w:rsidR="00882B62" w:rsidRDefault="00196914" w14:paraId="292667CD" w14:textId="77777777">
      <w:pPr>
        <w:ind w:left="900" w:hanging="450"/>
      </w:pPr>
      <w:r>
        <w:t>3.</w:t>
      </w:r>
      <w:r>
        <w:tab/>
        <w:t>Increase frequency with which sexually active youth are screened for pregnancy intention, counseled on the full range of FDA approved methods of birth control, and provided method that youth selects without delay at partner health centers</w:t>
      </w:r>
    </w:p>
    <w:p w:rsidR="00882B62" w:rsidRDefault="00196914" w14:paraId="4168FCB6" w14:textId="210FBD41">
      <w:pPr>
        <w:ind w:left="900" w:hanging="450"/>
      </w:pPr>
      <w:r>
        <w:t>4.</w:t>
      </w:r>
      <w:r>
        <w:tab/>
        <w:t xml:space="preserve">Increase the extent to which </w:t>
      </w:r>
      <w:r w:rsidR="00A35CE4">
        <w:t>A</w:t>
      </w:r>
      <w:r>
        <w:t>SRH services at partner health centers are provided in a youth-friendly manner</w:t>
      </w:r>
    </w:p>
    <w:p w:rsidR="00882B62" w:rsidP="00A1318E" w:rsidRDefault="00196914" w14:paraId="73B3B8C4" w14:textId="7522B689">
      <w:pPr>
        <w:ind w:left="900" w:hanging="450"/>
      </w:pPr>
      <w:r>
        <w:t>5.</w:t>
      </w:r>
      <w:r>
        <w:tab/>
        <w:t>Increase in implementation of organizational policies at partner YSOs</w:t>
      </w:r>
      <w:r w:rsidR="000E4AED">
        <w:t xml:space="preserve"> </w:t>
      </w:r>
      <w:r>
        <w:t>that support efforts to link youth to SRH services</w:t>
      </w:r>
    </w:p>
    <w:p w:rsidR="00882B62" w:rsidP="00910B3B" w:rsidRDefault="00196914" w14:paraId="50C4318F" w14:textId="12EABB1E">
      <w:pPr>
        <w:ind w:left="900" w:hanging="450"/>
      </w:pPr>
      <w:r>
        <w:t>6.</w:t>
      </w:r>
      <w:r>
        <w:tab/>
        <w:t>Increase in YSO staff support of efforts to link youth to SRH services</w:t>
      </w:r>
    </w:p>
    <w:p w:rsidR="00882B62" w:rsidP="00910B3B" w:rsidRDefault="00196914" w14:paraId="11AE2C9E" w14:textId="46D65B62">
      <w:pPr>
        <w:ind w:left="900" w:hanging="450"/>
      </w:pPr>
      <w:r>
        <w:t>7.</w:t>
      </w:r>
      <w:r>
        <w:tab/>
        <w:t>Increase in YSO staff knowledge about screening youth to determine need for SRH services and provide referrals</w:t>
      </w:r>
    </w:p>
    <w:p w:rsidR="00882B62" w:rsidRDefault="00196914" w14:paraId="61F271ED" w14:textId="13549D82">
      <w:pPr>
        <w:ind w:left="900" w:hanging="450"/>
      </w:pPr>
      <w:r>
        <w:t>8.</w:t>
      </w:r>
      <w:r>
        <w:tab/>
        <w:t>Increase in number of youth at partner YSOs receiving referral to SRH services</w:t>
      </w:r>
    </w:p>
    <w:p w:rsidR="001F587F" w:rsidRDefault="00196914" w14:paraId="134551BB" w14:textId="09EB2596">
      <w:pPr>
        <w:ind w:left="360"/>
      </w:pPr>
      <w:r>
        <w:lastRenderedPageBreak/>
        <w:t xml:space="preserve">These short-term objectives and the intermediate project objectives they may lead to are listed in a table in </w:t>
      </w:r>
      <w:r>
        <w:rPr>
          <w:b/>
        </w:rPr>
        <w:t xml:space="preserve">Attachment </w:t>
      </w:r>
      <w:r w:rsidR="002226B1">
        <w:rPr>
          <w:b/>
        </w:rPr>
        <w:t>2</w:t>
      </w:r>
      <w:r>
        <w:t xml:space="preserve">.  The table also provides a crosswalk demonstrating how each data collection tool </w:t>
      </w:r>
      <w:r w:rsidR="001F587F">
        <w:t>has provided</w:t>
      </w:r>
      <w:r>
        <w:t xml:space="preserve"> the data necessary for judging whether grantees and their partners are meeting project objectives.  </w:t>
      </w:r>
    </w:p>
    <w:p w:rsidR="00294B10" w:rsidP="00294B10" w:rsidRDefault="00294B10" w14:paraId="5C6E8BEE" w14:textId="77777777">
      <w:pPr>
        <w:spacing w:after="0"/>
      </w:pPr>
    </w:p>
    <w:p w:rsidR="00847889" w:rsidP="00847889" w:rsidRDefault="00294B10" w14:paraId="5333D0CF" w14:textId="77777777">
      <w:pPr>
        <w:spacing w:after="0"/>
        <w:ind w:left="360"/>
      </w:pPr>
      <w:r>
        <w:t xml:space="preserve">The information already collected from the tools has been summarized by CDC and reported back to the grantees as part of a process to manage program performance and drive a quality improvement process.  </w:t>
      </w:r>
      <w:r w:rsidR="00847889">
        <w:t xml:space="preserve">A data driven quality improvement process is resulting in high quality projects being conducted that make the best possible use of the funds provided to awardees.  </w:t>
      </w:r>
    </w:p>
    <w:p w:rsidR="00847889" w:rsidP="00294B10" w:rsidRDefault="00847889" w14:paraId="5888C2B5" w14:textId="77777777">
      <w:pPr>
        <w:ind w:left="360"/>
      </w:pPr>
    </w:p>
    <w:p w:rsidR="00294B10" w:rsidP="000324A4" w:rsidRDefault="00294B10" w14:paraId="02F88599" w14:textId="789ECBF6">
      <w:pPr>
        <w:ind w:left="360"/>
      </w:pPr>
      <w:r>
        <w:t xml:space="preserve">For example, in one health center, declines in the number of youth being served were observed in data collected from the Quarterly Performance Measure Reporting Tool.  This led the grantee and health center to work together to examine and address scheduling issues that were contributing to the decline in the number of youth served, as well as consider how to modify the flow of adolescents visits (i.e., the order in which providers were seen and procedures were conducted) to increase efficiency and allow more patients to be seen. </w:t>
      </w:r>
      <w:r w:rsidR="000324A4">
        <w:t>In another example, when data from a Health Center Youth Survey indicated that some youth at a health center were not receiving time alone to speak with their medical provider, the grantee worked with the health center to develop procedures that made time alone more likely while also developing parent education materials about the value of adolescents being able to speak privately with their provider.  Grantees also use their data to motivate change in their communities.  For example, one grantee developed one page data briefs with 4-6 data points on a focused topic that they shared with health center providers when working to improve a specific activity (e.g., reporting percent of teens who were screened for pregnancy risk when working to improve the frequency with which providers engage in screening).</w:t>
      </w:r>
    </w:p>
    <w:p w:rsidR="001513AB" w:rsidP="00294B10" w:rsidRDefault="009304D3" w14:paraId="2951FD04" w14:textId="1D0DB453">
      <w:pPr>
        <w:ind w:left="360"/>
      </w:pPr>
      <w:r>
        <w:t xml:space="preserve">The current </w:t>
      </w:r>
      <w:r w:rsidR="006143F3">
        <w:t>revision</w:t>
      </w:r>
      <w:r>
        <w:t xml:space="preserve"> request will allow us to </w:t>
      </w:r>
      <w:r w:rsidR="00294B10">
        <w:t xml:space="preserve">continue </w:t>
      </w:r>
      <w:r>
        <w:t>measure</w:t>
      </w:r>
      <w:r w:rsidR="00294B10">
        <w:t xml:space="preserve">ment of </w:t>
      </w:r>
      <w:r>
        <w:t xml:space="preserve">expected changes in health center policies and practices, as well monitor </w:t>
      </w:r>
      <w:r w:rsidR="006933C1">
        <w:t xml:space="preserve">the performance of 3 </w:t>
      </w:r>
      <w:r>
        <w:t>grantee</w:t>
      </w:r>
      <w:r w:rsidR="006933C1">
        <w:t>s and approximately 25 health centers (21 private sector and 4 public sector)</w:t>
      </w:r>
      <w:r>
        <w:t xml:space="preserve"> </w:t>
      </w:r>
      <w:r w:rsidR="00196914">
        <w:t xml:space="preserve">The data collection tools </w:t>
      </w:r>
      <w:r w:rsidR="006642CE">
        <w:t xml:space="preserve">that will be used during the extension period </w:t>
      </w:r>
      <w:r w:rsidR="00196914">
        <w:t>include a Health Center Organizational Assessment (</w:t>
      </w:r>
      <w:r w:rsidR="00196914">
        <w:rPr>
          <w:b/>
        </w:rPr>
        <w:t xml:space="preserve">Attachment </w:t>
      </w:r>
      <w:r w:rsidR="001A1B69">
        <w:rPr>
          <w:b/>
        </w:rPr>
        <w:t>3a and 3</w:t>
      </w:r>
      <w:r w:rsidR="00EE73D0">
        <w:rPr>
          <w:b/>
        </w:rPr>
        <w:t>b</w:t>
      </w:r>
      <w:r w:rsidR="00196914">
        <w:t>), Health Center Provider Survey (</w:t>
      </w:r>
      <w:r w:rsidR="001A1B69">
        <w:rPr>
          <w:b/>
        </w:rPr>
        <w:t>Attachment 4a and 4</w:t>
      </w:r>
      <w:r w:rsidR="00EE73D0">
        <w:rPr>
          <w:b/>
        </w:rPr>
        <w:t>b</w:t>
      </w:r>
      <w:r w:rsidR="00196914">
        <w:t>), and Quarterly and Annual Health Center Performance Measurement Tools (</w:t>
      </w:r>
      <w:r w:rsidR="00196914">
        <w:rPr>
          <w:b/>
        </w:rPr>
        <w:t xml:space="preserve">Attachment </w:t>
      </w:r>
      <w:r w:rsidR="001A1B69">
        <w:rPr>
          <w:b/>
        </w:rPr>
        <w:t>5</w:t>
      </w:r>
      <w:r w:rsidR="00EE73D0">
        <w:rPr>
          <w:b/>
        </w:rPr>
        <w:t>a</w:t>
      </w:r>
      <w:r w:rsidR="001A1B69">
        <w:rPr>
          <w:b/>
        </w:rPr>
        <w:t>, 5b, 6a, and 6</w:t>
      </w:r>
      <w:r w:rsidR="00E617DE">
        <w:rPr>
          <w:b/>
        </w:rPr>
        <w:t>b</w:t>
      </w:r>
      <w:r w:rsidR="00AD1063">
        <w:t>)</w:t>
      </w:r>
      <w:r w:rsidR="00196914">
        <w:t>.  Two data collection tools are the responsibility of the three awardees funded to establish partnerships with Health Centers and Youth Serving Organizations:  the Awardee Training and Technical Assistance Tool (</w:t>
      </w:r>
      <w:r w:rsidR="00196914">
        <w:rPr>
          <w:b/>
        </w:rPr>
        <w:t xml:space="preserve">Attachment </w:t>
      </w:r>
      <w:r w:rsidR="001A1B69">
        <w:rPr>
          <w:b/>
        </w:rPr>
        <w:t>7</w:t>
      </w:r>
      <w:r w:rsidR="00196914">
        <w:t>) and the Awardee Performance Measure Reporting Tool (</w:t>
      </w:r>
      <w:r w:rsidR="00196914">
        <w:rPr>
          <w:b/>
        </w:rPr>
        <w:t xml:space="preserve">Attachment </w:t>
      </w:r>
      <w:r w:rsidR="001A1B69">
        <w:rPr>
          <w:b/>
        </w:rPr>
        <w:t>8a and 8</w:t>
      </w:r>
      <w:r w:rsidR="00EE73D0">
        <w:rPr>
          <w:b/>
        </w:rPr>
        <w:t>b</w:t>
      </w:r>
      <w:r w:rsidR="00196914">
        <w:t>).</w:t>
      </w:r>
    </w:p>
    <w:p w:rsidR="009304D3" w:rsidP="001F587F" w:rsidRDefault="009304D3" w14:paraId="1297C36C" w14:textId="77777777">
      <w:pPr>
        <w:spacing w:after="0"/>
        <w:ind w:left="360"/>
      </w:pPr>
    </w:p>
    <w:p w:rsidR="002422FB" w:rsidP="006E2907" w:rsidRDefault="002422FB" w14:paraId="54FA3C32" w14:textId="77777777">
      <w:pPr>
        <w:spacing w:after="0"/>
        <w:ind w:left="360"/>
      </w:pPr>
    </w:p>
    <w:p w:rsidR="002422FB" w:rsidP="006E2907" w:rsidRDefault="002422FB" w14:paraId="381EFE31" w14:textId="77777777">
      <w:pPr>
        <w:spacing w:after="0"/>
        <w:ind w:left="360"/>
      </w:pPr>
    </w:p>
    <w:p w:rsidR="006E2907" w:rsidP="00E94A41" w:rsidRDefault="006E2907" w14:paraId="49DF8A08" w14:textId="3B2255FB">
      <w:pPr>
        <w:spacing w:after="0"/>
        <w:ind w:left="360"/>
      </w:pPr>
    </w:p>
    <w:p w:rsidR="001F587F" w:rsidP="001F587F" w:rsidRDefault="001F587F" w14:paraId="4EF86F7E" w14:textId="6541ABD4">
      <w:pPr>
        <w:spacing w:after="0"/>
        <w:ind w:left="360"/>
      </w:pPr>
    </w:p>
    <w:p w:rsidR="006E2907" w:rsidP="001F587F" w:rsidRDefault="006E2907" w14:paraId="2369DB14" w14:textId="77777777">
      <w:pPr>
        <w:spacing w:after="0"/>
        <w:ind w:left="360"/>
      </w:pPr>
    </w:p>
    <w:p w:rsidR="001F587F" w:rsidP="001F587F" w:rsidRDefault="001F587F" w14:paraId="43A33037" w14:textId="2BDA0999">
      <w:pPr>
        <w:ind w:left="360"/>
        <w:rPr>
          <w:u w:val="single"/>
        </w:rPr>
      </w:pPr>
    </w:p>
    <w:p w:rsidR="00882B62" w:rsidRDefault="00196914" w14:paraId="621B1406" w14:textId="77777777">
      <w:pPr>
        <w:ind w:left="360"/>
        <w:rPr>
          <w:b/>
        </w:rPr>
      </w:pPr>
      <w:r>
        <w:rPr>
          <w:b/>
        </w:rPr>
        <w:t xml:space="preserve">3. Use of Improved Information Technology and Burden Reduction </w:t>
      </w:r>
    </w:p>
    <w:p w:rsidR="00882B62" w:rsidRDefault="00196914" w14:paraId="43DC14F4" w14:textId="7DB540ED">
      <w:pPr>
        <w:ind w:left="360"/>
      </w:pPr>
      <w:r>
        <w:lastRenderedPageBreak/>
        <w:t>The Awardee Training and Technical Assistance Tool (</w:t>
      </w:r>
      <w:r>
        <w:rPr>
          <w:b/>
        </w:rPr>
        <w:t xml:space="preserve">Attachment </w:t>
      </w:r>
      <w:r w:rsidR="001A1B69">
        <w:rPr>
          <w:b/>
        </w:rPr>
        <w:t>7</w:t>
      </w:r>
      <w:r>
        <w:t>) is an Excel file that awardees can complete electronically in Excel each time they provide training or technical assistance to a partner.  At the end of each month, they submit the file via email.</w:t>
      </w:r>
    </w:p>
    <w:p w:rsidR="00882B62" w:rsidRDefault="00196914" w14:paraId="6D1CA842" w14:textId="31CB9CE9">
      <w:pPr>
        <w:spacing w:before="240"/>
        <w:ind w:left="360"/>
      </w:pPr>
      <w:proofErr w:type="gramStart"/>
      <w:r>
        <w:t>All of</w:t>
      </w:r>
      <w:proofErr w:type="gramEnd"/>
      <w:r>
        <w:t xml:space="preserve"> the other </w:t>
      </w:r>
      <w:r w:rsidR="0071704E">
        <w:t xml:space="preserve">data collection instruments </w:t>
      </w:r>
      <w:r>
        <w:t>can be completed though the use of an electronic data collection system</w:t>
      </w:r>
      <w:r w:rsidR="00C62E4F">
        <w:t xml:space="preserve"> and</w:t>
      </w:r>
      <w:r>
        <w:t xml:space="preserve"> have been programed using SPSS Data Collection Author software.  </w:t>
      </w:r>
      <w:r w:rsidR="00C62E4F">
        <w:t xml:space="preserve">These </w:t>
      </w:r>
      <w:r w:rsidR="0071704E">
        <w:t>data collection instruments</w:t>
      </w:r>
      <w:r w:rsidR="00C62E4F">
        <w:t xml:space="preserve"> </w:t>
      </w:r>
      <w:r>
        <w:t xml:space="preserve">are available through a dedicated and secure server managed by CDC information technology staff.  </w:t>
      </w:r>
      <w:r w:rsidR="00C62E4F">
        <w:t xml:space="preserve">The </w:t>
      </w:r>
      <w:r w:rsidR="0071704E">
        <w:t>data collection instruments</w:t>
      </w:r>
      <w:r>
        <w:t xml:space="preserve"> are designed with automatic skip patterns depending on the participant’s responses, thus reducing burden on the respondents.</w:t>
      </w:r>
    </w:p>
    <w:p w:rsidR="00882B62" w:rsidRDefault="00196914" w14:paraId="7F6FE116" w14:textId="5E00603B">
      <w:pPr>
        <w:spacing w:before="240"/>
        <w:ind w:left="360"/>
      </w:pPr>
      <w:r>
        <w:t xml:space="preserve">OMB approved paper versions of </w:t>
      </w:r>
      <w:proofErr w:type="gramStart"/>
      <w:r w:rsidR="000F0A80">
        <w:t>all of</w:t>
      </w:r>
      <w:proofErr w:type="gramEnd"/>
      <w:r w:rsidR="000F0A80">
        <w:t xml:space="preserve"> </w:t>
      </w:r>
      <w:r>
        <w:t xml:space="preserve">the </w:t>
      </w:r>
      <w:r w:rsidR="0071704E">
        <w:t xml:space="preserve">data collection instruments </w:t>
      </w:r>
      <w:r w:rsidR="000F0A80">
        <w:t xml:space="preserve">except the Awardee Training and Technical Assistance Tool (available only in an Excel format) </w:t>
      </w:r>
      <w:r>
        <w:t xml:space="preserve">will be maintained for use by grantees and their partners who feel that paper versions of the </w:t>
      </w:r>
      <w:r w:rsidR="0071704E">
        <w:t xml:space="preserve">data collection instruments </w:t>
      </w:r>
      <w:r>
        <w:t xml:space="preserve">are easier for them to use.  </w:t>
      </w:r>
      <w:r w:rsidR="00E95D9F">
        <w:t xml:space="preserve">In the current project and a similar prior project, </w:t>
      </w:r>
      <w:r>
        <w:t xml:space="preserve">awardees </w:t>
      </w:r>
      <w:r w:rsidR="00E72F41">
        <w:t xml:space="preserve">have found that </w:t>
      </w:r>
      <w:r>
        <w:t xml:space="preserve">completing the </w:t>
      </w:r>
      <w:r w:rsidR="0071704E">
        <w:t xml:space="preserve">data collection instruments </w:t>
      </w:r>
      <w:r>
        <w:t xml:space="preserve">on paper </w:t>
      </w:r>
      <w:r w:rsidR="00E95D9F">
        <w:t xml:space="preserve">to be </w:t>
      </w:r>
      <w:r>
        <w:t xml:space="preserve">more convenient for </w:t>
      </w:r>
      <w:r w:rsidR="00171AF8">
        <w:t xml:space="preserve">many of </w:t>
      </w:r>
      <w:r>
        <w:t>their partners</w:t>
      </w:r>
      <w:r w:rsidR="0071704E">
        <w:t>.</w:t>
      </w:r>
      <w:r>
        <w:t xml:space="preserve">  </w:t>
      </w:r>
    </w:p>
    <w:p w:rsidR="00882B62" w:rsidRDefault="00196914" w14:paraId="021B059A" w14:textId="17FED5F5">
      <w:pPr>
        <w:ind w:left="360"/>
      </w:pPr>
      <w:r>
        <w:t xml:space="preserve">All data collection </w:t>
      </w:r>
      <w:r w:rsidR="0071704E">
        <w:t xml:space="preserve">instruments </w:t>
      </w:r>
      <w:r>
        <w:t xml:space="preserve">were reviewed multiple times by CDC staff to ensure that all possible approaches were taken to minimize respondent burden. Each </w:t>
      </w:r>
      <w:r w:rsidR="0071704E">
        <w:t>data collection instrument</w:t>
      </w:r>
      <w:r>
        <w:t xml:space="preserve"> was designed to be brief, easy to use, and understandable.  </w:t>
      </w:r>
      <w:r w:rsidR="00765B1C">
        <w:t xml:space="preserve">The </w:t>
      </w:r>
      <w:r w:rsidR="0071704E">
        <w:t xml:space="preserve">instruments </w:t>
      </w:r>
      <w:r w:rsidR="00765B1C">
        <w:t>were designed such that q</w:t>
      </w:r>
      <w:r>
        <w:t xml:space="preserve">uestions that are not applicable to a respondent based on an answer to a previous question </w:t>
      </w:r>
      <w:r w:rsidR="000F0A80">
        <w:t>are</w:t>
      </w:r>
      <w:r>
        <w:t xml:space="preserve"> passed over via formatting and skip patterns. CDC staff have carefully considered the content, appropriateness and phrasing of each question.  Furthermore, awardee staff including those implementing programmatic efforts (e.g., project directors, project coordinators, technical assistance providers) and those evaluating the projects from all three awardees have provided feedback on the </w:t>
      </w:r>
      <w:r w:rsidR="0071704E">
        <w:t>data collection instruments</w:t>
      </w:r>
      <w:r>
        <w:t xml:space="preserve">.  Awardee feedback was incorporated into the </w:t>
      </w:r>
      <w:r w:rsidR="0071704E">
        <w:t xml:space="preserve">instruments </w:t>
      </w:r>
      <w:r>
        <w:t xml:space="preserve">to ensure that the </w:t>
      </w:r>
      <w:r w:rsidR="0071704E">
        <w:t xml:space="preserve">instruments </w:t>
      </w:r>
      <w:r>
        <w:t xml:space="preserve">meet the needs of the awardees for determining the technical assistance needs of their health center partners and that the burden of collecting the data is kept to an absolute minimum.  </w:t>
      </w:r>
    </w:p>
    <w:p w:rsidR="00882B62" w:rsidRDefault="00196914" w14:paraId="61B29B1E" w14:textId="77777777">
      <w:pPr>
        <w:ind w:left="360"/>
        <w:rPr>
          <w:b/>
        </w:rPr>
      </w:pPr>
      <w:r>
        <w:rPr>
          <w:b/>
        </w:rPr>
        <w:t>4. Efforts to Identify Duplication and Use of Similar Information</w:t>
      </w:r>
    </w:p>
    <w:p w:rsidR="00882B62" w:rsidRDefault="00196914" w14:paraId="1BF5B441" w14:textId="4D3D5494">
      <w:pPr>
        <w:ind w:left="360"/>
      </w:pPr>
      <w:r>
        <w:t xml:space="preserve">Once every </w:t>
      </w:r>
      <w:r w:rsidR="00E95D9F">
        <w:t>month</w:t>
      </w:r>
      <w:r>
        <w:t xml:space="preserve">, the evaluation lead for the current project participates in a weekly evaluation workgroup conference call with staff from other HHS agencies to discuss federal evaluations of teen pregnancy prevention efforts. This workgroup involves staff from the Office of Adolescent Health, the Office of the Assistant Secretary for Planning and Evaluation (ASPE), and the Administration for Children and Families, who are evaluating other teen pregnancy prevention efforts. This high level of coordination among agencies assures that federal staff engaged in or supporting evaluations of federal teen pregnancy prevention efforts collaborate when appropriate and assures that there is no duplication of efforts.  The proposed evaluation is a unique effort. </w:t>
      </w:r>
    </w:p>
    <w:p w:rsidR="00882B62" w:rsidRDefault="00196914" w14:paraId="3C10F0BD" w14:textId="12E7EEF6">
      <w:pPr>
        <w:ind w:left="360"/>
      </w:pPr>
      <w:r>
        <w:t>A review of the literature indicates singular efforts of evaluating implementation of youth-friendly clinical best practices in reproductive health care</w:t>
      </w:r>
      <w:r w:rsidR="006B130D">
        <w:t>;</w:t>
      </w:r>
      <w:r>
        <w:t xml:space="preserve"> however</w:t>
      </w:r>
      <w:r w:rsidR="006B130D">
        <w:t>,</w:t>
      </w:r>
      <w:r>
        <w:t xml:space="preserve"> this project is unique in its strategy of implementing multiple best practices, in concert with community-clinical linkage of youth from youth-serving organizations to reproductive health care as a strategy to increase access and utilization of services. Thus, we have determined that no similar data is available. Furthermore, given that data </w:t>
      </w:r>
      <w:r w:rsidR="0076620D">
        <w:t>are</w:t>
      </w:r>
      <w:r>
        <w:t xml:space="preserve"> collected to assess the awardees’ performance in implementing a new initiative, previously collected data from other teen </w:t>
      </w:r>
      <w:r>
        <w:lastRenderedPageBreak/>
        <w:t xml:space="preserve">pregnancy prevention projects would not offer information about our awardees or their partners’ performance. </w:t>
      </w:r>
    </w:p>
    <w:p w:rsidR="00882B62" w:rsidRDefault="00196914" w14:paraId="70F0554E" w14:textId="77777777">
      <w:pPr>
        <w:ind w:left="360"/>
        <w:rPr>
          <w:b/>
        </w:rPr>
      </w:pPr>
      <w:r>
        <w:rPr>
          <w:b/>
        </w:rPr>
        <w:t>5. Impact on Small Business or Other Small Entities</w:t>
      </w:r>
    </w:p>
    <w:p w:rsidR="00882B62" w:rsidRDefault="00196914" w14:paraId="4F057896" w14:textId="16BC0DCC">
      <w:pPr>
        <w:ind w:left="360"/>
      </w:pPr>
      <w:r>
        <w:t xml:space="preserve">Data will be collected from awardees and their </w:t>
      </w:r>
      <w:r w:rsidR="00A1318E">
        <w:t>health center</w:t>
      </w:r>
      <w:r>
        <w:t xml:space="preserve"> partners in the public and private sector.</w:t>
      </w:r>
      <w:r w:rsidR="00E95D9F">
        <w:t xml:space="preserve">  Most health center partners are either part of a larger network of health centers (e.g., federally qualified health centers </w:t>
      </w:r>
      <w:r w:rsidR="0076620D">
        <w:t>[</w:t>
      </w:r>
      <w:r w:rsidR="00E95D9F">
        <w:t>FQHC</w:t>
      </w:r>
      <w:r w:rsidR="0076620D">
        <w:t>]</w:t>
      </w:r>
      <w:r w:rsidR="00E95D9F">
        <w:t>) or are local health departments</w:t>
      </w:r>
      <w:r w:rsidR="005C0EC8">
        <w:t>; o</w:t>
      </w:r>
      <w:r w:rsidR="00E95D9F">
        <w:t>ne FQHC has only one site a</w:t>
      </w:r>
      <w:r w:rsidR="00535841">
        <w:t>nd</w:t>
      </w:r>
      <w:r w:rsidR="00E95D9F">
        <w:t xml:space="preserve"> is fairly small. </w:t>
      </w:r>
      <w:r>
        <w:t xml:space="preserve"> </w:t>
      </w:r>
      <w:r w:rsidR="005C0EC8">
        <w:t>However,</w:t>
      </w:r>
      <w:r w:rsidR="00285D36">
        <w:t xml:space="preserve"> </w:t>
      </w:r>
      <w:r w:rsidR="00E95D9F">
        <w:t>t</w:t>
      </w:r>
      <w:r>
        <w:t xml:space="preserve">he questions have been held to the absolute minimum required for the intended use of the data. </w:t>
      </w:r>
    </w:p>
    <w:p w:rsidR="00882B62" w:rsidRDefault="00196914" w14:paraId="1FEFF806" w14:textId="77777777">
      <w:pPr>
        <w:ind w:left="360"/>
        <w:rPr>
          <w:b/>
        </w:rPr>
      </w:pPr>
      <w:r>
        <w:rPr>
          <w:b/>
        </w:rPr>
        <w:t>6. Consequences of Collecting the Information Less Frequently</w:t>
      </w:r>
    </w:p>
    <w:p w:rsidR="00B119D7" w:rsidP="00B119D7" w:rsidRDefault="00196914" w14:paraId="23A97651" w14:textId="4F78A368">
      <w:pPr>
        <w:ind w:left="360"/>
      </w:pPr>
      <w:r>
        <w:t xml:space="preserve">CDC proposes to collect most data on an annual basis.  </w:t>
      </w:r>
      <w:r w:rsidR="00B119D7">
        <w:t xml:space="preserve">Most </w:t>
      </w:r>
      <w:r w:rsidR="00F019EC">
        <w:t xml:space="preserve">data collection instruments </w:t>
      </w:r>
      <w:r w:rsidR="00B119D7">
        <w:t>from partner Health Centers, including the Organizational Assessment (</w:t>
      </w:r>
      <w:r w:rsidR="001A1B69">
        <w:rPr>
          <w:b/>
        </w:rPr>
        <w:t xml:space="preserve">Attachments </w:t>
      </w:r>
      <w:r w:rsidR="009E2DBE">
        <w:rPr>
          <w:b/>
        </w:rPr>
        <w:t>3</w:t>
      </w:r>
      <w:r w:rsidR="001A1B69">
        <w:rPr>
          <w:b/>
        </w:rPr>
        <w:t>a and 3</w:t>
      </w:r>
      <w:r w:rsidRPr="0071704E" w:rsidR="00B119D7">
        <w:rPr>
          <w:b/>
        </w:rPr>
        <w:t>b</w:t>
      </w:r>
      <w:r w:rsidR="00B119D7">
        <w:t>) and Health Center Provider Survey (</w:t>
      </w:r>
      <w:r w:rsidR="001A1B69">
        <w:rPr>
          <w:b/>
        </w:rPr>
        <w:t>Attachments 4a and 4</w:t>
      </w:r>
      <w:r w:rsidRPr="0071704E" w:rsidR="00B119D7">
        <w:rPr>
          <w:b/>
        </w:rPr>
        <w:t>b</w:t>
      </w:r>
      <w:r w:rsidR="00B119D7">
        <w:t>) are completed annually as the</w:t>
      </w:r>
      <w:r w:rsidR="00171AF8">
        <w:t xml:space="preserve"> topics they</w:t>
      </w:r>
      <w:r w:rsidR="00B119D7">
        <w:t xml:space="preserve"> </w:t>
      </w:r>
      <w:proofErr w:type="gramStart"/>
      <w:r w:rsidR="00B119D7">
        <w:t>measures</w:t>
      </w:r>
      <w:proofErr w:type="gramEnd"/>
      <w:r w:rsidR="00B119D7">
        <w:t xml:space="preserve"> are not expected to change as often.  Also data are collected annually from the Awardee Performance Measure Reporting Tool (</w:t>
      </w:r>
      <w:r w:rsidR="001A1B69">
        <w:rPr>
          <w:b/>
        </w:rPr>
        <w:t>Attachment 8a and 8</w:t>
      </w:r>
      <w:r w:rsidRPr="0071704E" w:rsidR="00B119D7">
        <w:rPr>
          <w:b/>
        </w:rPr>
        <w:t>b</w:t>
      </w:r>
      <w:r w:rsidR="00B119D7">
        <w:t xml:space="preserve">). Annual tracking is still important for reaching project goals and collecting this data.  CDC relies on the data to understand project progress, as well as lack of progress.  </w:t>
      </w:r>
    </w:p>
    <w:p w:rsidR="00B119D7" w:rsidP="00B119D7" w:rsidRDefault="00196914" w14:paraId="55746B5B" w14:textId="13A4691F">
      <w:pPr>
        <w:ind w:left="360"/>
      </w:pPr>
      <w:r>
        <w:t>However, data from the Awardee Training and Technical Assistance Tool (</w:t>
      </w:r>
      <w:r>
        <w:rPr>
          <w:b/>
        </w:rPr>
        <w:t xml:space="preserve">Attachment </w:t>
      </w:r>
      <w:r w:rsidR="001A1B69">
        <w:rPr>
          <w:b/>
        </w:rPr>
        <w:t>7</w:t>
      </w:r>
      <w:r>
        <w:t xml:space="preserve">) </w:t>
      </w:r>
      <w:r w:rsidR="00DA6556">
        <w:t>are</w:t>
      </w:r>
      <w:r>
        <w:t xml:space="preserve"> collected monthly.</w:t>
      </w:r>
      <w:r w:rsidR="004021EA">
        <w:t xml:space="preserve">  </w:t>
      </w:r>
      <w:r w:rsidR="00B119D7">
        <w:t xml:space="preserve">Given experience on two prior 5-year projects, completing the tool less often would result in unreliable data given that awardees tend to complete the tool at the time that it is due rather than at the time that training or technical assistance is provided.  Good recall over more than a month is unlikely, thus completing the tool quarterly would result in incomplete and incorrect information. Therefore, the Awardee Training and Technical Assistance Tool is collected monthly for ongoing continuous monitoring. </w:t>
      </w:r>
    </w:p>
    <w:p w:rsidR="00B119D7" w:rsidP="00B119D7" w:rsidRDefault="004021EA" w14:paraId="04C8895F" w14:textId="37DC930A">
      <w:pPr>
        <w:ind w:left="360"/>
      </w:pPr>
      <w:r>
        <w:t xml:space="preserve">Also, </w:t>
      </w:r>
      <w:r w:rsidR="00196914">
        <w:t xml:space="preserve"> health center partners </w:t>
      </w:r>
      <w:r>
        <w:t>have re</w:t>
      </w:r>
      <w:r w:rsidR="00196914">
        <w:t>port</w:t>
      </w:r>
      <w:r>
        <w:t>ed</w:t>
      </w:r>
      <w:r w:rsidR="00196914">
        <w:t xml:space="preserve"> on key performance measures quarterly</w:t>
      </w:r>
      <w:r>
        <w:t xml:space="preserve">, using the </w:t>
      </w:r>
      <w:r w:rsidR="00196914">
        <w:t>Quarterly Health Center Performance Measure Tool (</w:t>
      </w:r>
      <w:r w:rsidR="00196914">
        <w:rPr>
          <w:b/>
        </w:rPr>
        <w:t xml:space="preserve">Attachment </w:t>
      </w:r>
      <w:r w:rsidR="001A1B69">
        <w:rPr>
          <w:b/>
        </w:rPr>
        <w:t>5a and 5</w:t>
      </w:r>
      <w:r w:rsidR="00E617DE">
        <w:rPr>
          <w:b/>
        </w:rPr>
        <w:t>b</w:t>
      </w:r>
      <w:r w:rsidR="00196914">
        <w:t xml:space="preserve">) for the first </w:t>
      </w:r>
      <w:r>
        <w:t xml:space="preserve">three </w:t>
      </w:r>
      <w:r w:rsidR="00196914">
        <w:t>quarters of the yea</w:t>
      </w:r>
      <w:r>
        <w:t>r and the</w:t>
      </w:r>
      <w:r w:rsidR="00535841">
        <w:t xml:space="preserve"> </w:t>
      </w:r>
      <w:r w:rsidR="00196914">
        <w:t>Annual Health Center Performance Measure Tool (</w:t>
      </w:r>
      <w:r w:rsidR="00196914">
        <w:rPr>
          <w:b/>
        </w:rPr>
        <w:t xml:space="preserve">Attachment </w:t>
      </w:r>
      <w:r w:rsidR="001A1B69">
        <w:rPr>
          <w:b/>
        </w:rPr>
        <w:t>6a and 6</w:t>
      </w:r>
      <w:r w:rsidR="00E617DE">
        <w:rPr>
          <w:b/>
        </w:rPr>
        <w:t>b</w:t>
      </w:r>
      <w:r w:rsidR="00196914">
        <w:t>)</w:t>
      </w:r>
      <w:r>
        <w:t xml:space="preserve"> for the fourth quarter (including data on the fourth quarter and the overall fiscal</w:t>
      </w:r>
      <w:r w:rsidR="0040175E">
        <w:t xml:space="preserve"> year</w:t>
      </w:r>
      <w:r>
        <w:t>)</w:t>
      </w:r>
      <w:r w:rsidR="00535841">
        <w:t>. We have found that h</w:t>
      </w:r>
      <w:r w:rsidR="00196914">
        <w:t xml:space="preserve">aving a small number of performance measures collected more than annually </w:t>
      </w:r>
      <w:r w:rsidR="000B2606">
        <w:t xml:space="preserve">has </w:t>
      </w:r>
      <w:r w:rsidR="00196914">
        <w:t>allow</w:t>
      </w:r>
      <w:r>
        <w:t>ed</w:t>
      </w:r>
      <w:r w:rsidR="00196914">
        <w:t xml:space="preserve"> for significant issues to be addressed quickly, as opposed to waiting a year to discover and address problems. </w:t>
      </w:r>
      <w:r w:rsidR="00744DE2">
        <w:t xml:space="preserve">During the </w:t>
      </w:r>
      <w:r w:rsidR="00953EF6">
        <w:t xml:space="preserve">revision </w:t>
      </w:r>
      <w:r w:rsidR="00744DE2">
        <w:t xml:space="preserve">period, we plan to use </w:t>
      </w:r>
      <w:r>
        <w:t>the Quarterly Health Center Performance Measure Tool (</w:t>
      </w:r>
      <w:r w:rsidR="001A1B69">
        <w:rPr>
          <w:b/>
        </w:rPr>
        <w:t>Attachment 5a and 5</w:t>
      </w:r>
      <w:r w:rsidR="00E617DE">
        <w:rPr>
          <w:b/>
        </w:rPr>
        <w:t>b</w:t>
      </w:r>
      <w:r>
        <w:t xml:space="preserve">) to collect data </w:t>
      </w:r>
      <w:r w:rsidR="00C62E4F">
        <w:t>from</w:t>
      </w:r>
      <w:r>
        <w:t xml:space="preserve"> the first and second quarters of the year.  We further </w:t>
      </w:r>
      <w:r w:rsidR="00744DE2">
        <w:t>plan to use</w:t>
      </w:r>
      <w:r>
        <w:t xml:space="preserve"> the Annual Health Center Performance Measure Tool (</w:t>
      </w:r>
      <w:r w:rsidR="001A1B69">
        <w:rPr>
          <w:b/>
        </w:rPr>
        <w:t>Attachment 6a and 6</w:t>
      </w:r>
      <w:r w:rsidR="00E617DE">
        <w:rPr>
          <w:b/>
        </w:rPr>
        <w:t>b</w:t>
      </w:r>
      <w:r>
        <w:t xml:space="preserve">) to collect data on the third quarter which would also include year-to-date data.  </w:t>
      </w:r>
      <w:r w:rsidR="00B0339F">
        <w:t>Alt</w:t>
      </w:r>
      <w:r>
        <w:t>hough we would prefer to have annual data for all of FY 2020, the project ends just prior to the end of the fiscal year and, thus, leaves no time for awardees to work with their partners to collect quarter four or full</w:t>
      </w:r>
      <w:r w:rsidR="008B727C">
        <w:t>-</w:t>
      </w:r>
      <w:r>
        <w:t xml:space="preserve">year data.  </w:t>
      </w:r>
      <w:r w:rsidR="005E2F5B">
        <w:t>The</w:t>
      </w:r>
      <w:r>
        <w:t xml:space="preserve"> Annual Health Center Performance Measure Reporting Tool inclu</w:t>
      </w:r>
      <w:r w:rsidR="00C7670D">
        <w:t>des some unique items (e.g., service provision by race/ethnicity)</w:t>
      </w:r>
      <w:r w:rsidR="003551BC">
        <w:t xml:space="preserve"> that would allow us to estimate some changes over the course of the project (e.g., changes in service provision by race/ethnicity from the start to the end of the project).</w:t>
      </w:r>
      <w:r w:rsidR="005E2F5B">
        <w:t xml:space="preserve"> Having a smaller number of performance measures collected and reported on quarterly has allowed for significant issues to be addressed quickly, while still minimizing the burden on awardees and their partners by limiting more detailed data collection to the Annual Health Center Performance Measure Reporting Tool.</w:t>
      </w:r>
      <w:r w:rsidR="00B119D7">
        <w:t xml:space="preserve"> These tools were designed to be as brief as possible so that the most important indicators of grantee and partner progress are captured, while minimizing the burden on awardees.  We also solicited </w:t>
      </w:r>
      <w:r w:rsidR="00B119D7">
        <w:lastRenderedPageBreak/>
        <w:t xml:space="preserve">input from all of our awardees on how best to reduce burden. As part of this process and to further reduce burden, we identified items that are sufficient to be completed only annually. Most quality improvement efforts involve more frequent data collection (e.g., monthly), but quarterly seemed to be a reasonable compromise. </w:t>
      </w:r>
    </w:p>
    <w:p w:rsidR="00882B62" w:rsidRDefault="00196914" w14:paraId="3A03638E" w14:textId="2401AA25">
      <w:pPr>
        <w:ind w:left="360"/>
      </w:pPr>
      <w:r>
        <w:t xml:space="preserve">The frequency of each </w:t>
      </w:r>
      <w:r w:rsidR="00171AF8">
        <w:t>data collection instrument</w:t>
      </w:r>
      <w:r>
        <w:t xml:space="preserve"> </w:t>
      </w:r>
      <w:r w:rsidR="00B0339F">
        <w:t xml:space="preserve">for the </w:t>
      </w:r>
      <w:r w:rsidR="00953EF6">
        <w:t>revision</w:t>
      </w:r>
      <w:r w:rsidR="00B0339F">
        <w:t xml:space="preserve"> </w:t>
      </w:r>
      <w:r>
        <w:t>is shown in Table A.2.  Without the proposed information collection, CDC’s oversight of activities will be based on anecdotal and nonsystematic information; CDC’s ability to provide technical assistance and recommend corrections will be diminished.   Additionally, the awardees would be unable to carry out one of the key components of the project</w:t>
      </w:r>
      <w:r w:rsidR="004157B4">
        <w:t>,</w:t>
      </w:r>
      <w:r>
        <w:t xml:space="preserve"> which is to engage their partners in a data driven continuous quality improvement process.</w:t>
      </w:r>
    </w:p>
    <w:p w:rsidRPr="004157B4" w:rsidR="00882B62" w:rsidRDefault="00196914" w14:paraId="2F0F20E5" w14:textId="483723FA">
      <w:pPr>
        <w:ind w:left="360"/>
        <w:rPr>
          <w:b/>
        </w:rPr>
      </w:pPr>
      <w:r>
        <w:rPr>
          <w:b/>
        </w:rPr>
        <w:t xml:space="preserve">Table A.2. Frequency of Assessment Tool </w:t>
      </w:r>
      <w:proofErr w:type="spellStart"/>
      <w:r>
        <w:rPr>
          <w:b/>
        </w:rPr>
        <w:t>Use</w:t>
      </w:r>
      <w:r w:rsidR="004157B4">
        <w:rPr>
          <w:b/>
          <w:vertAlign w:val="superscript"/>
        </w:rPr>
        <w:t>a</w:t>
      </w:r>
      <w:proofErr w:type="spellEnd"/>
    </w:p>
    <w:tbl>
      <w:tblPr>
        <w:tblStyle w:val="TableGrid"/>
        <w:tblW w:w="0" w:type="auto"/>
        <w:tblInd w:w="360" w:type="dxa"/>
        <w:tblLayout w:type="fixed"/>
        <w:tblLook w:val="04A0" w:firstRow="1" w:lastRow="0" w:firstColumn="1" w:lastColumn="0" w:noHBand="0" w:noVBand="1"/>
      </w:tblPr>
      <w:tblGrid>
        <w:gridCol w:w="6025"/>
        <w:gridCol w:w="1890"/>
      </w:tblGrid>
      <w:tr w:rsidR="00882B62" w14:paraId="3F1444CB" w14:textId="77777777">
        <w:tc>
          <w:tcPr>
            <w:tcW w:w="6025" w:type="dxa"/>
            <w:shd w:val="clear" w:color="auto" w:fill="A6A6A6" w:themeFill="background1" w:themeFillShade="A6"/>
          </w:tcPr>
          <w:p w:rsidR="00882B62" w:rsidRDefault="00196914" w14:paraId="726DB0A7" w14:textId="77777777">
            <w:pPr>
              <w:jc w:val="center"/>
              <w:rPr>
                <w:b/>
                <w:color w:val="FFFFFF" w:themeColor="background1"/>
              </w:rPr>
            </w:pPr>
            <w:r>
              <w:rPr>
                <w:b/>
                <w:color w:val="FFFFFF" w:themeColor="background1"/>
              </w:rPr>
              <w:t>Assessment Tool</w:t>
            </w:r>
          </w:p>
        </w:tc>
        <w:tc>
          <w:tcPr>
            <w:tcW w:w="1890" w:type="dxa"/>
            <w:shd w:val="clear" w:color="auto" w:fill="A6A6A6" w:themeFill="background1" w:themeFillShade="A6"/>
          </w:tcPr>
          <w:p w:rsidR="00882B62" w:rsidRDefault="00196914" w14:paraId="751EF119" w14:textId="77777777">
            <w:pPr>
              <w:jc w:val="center"/>
              <w:rPr>
                <w:b/>
                <w:color w:val="FFFFFF" w:themeColor="background1"/>
              </w:rPr>
            </w:pPr>
            <w:r>
              <w:rPr>
                <w:b/>
                <w:color w:val="FFFFFF" w:themeColor="background1"/>
              </w:rPr>
              <w:t>Frequency</w:t>
            </w:r>
          </w:p>
        </w:tc>
      </w:tr>
      <w:tr w:rsidR="00882B62" w14:paraId="5DCDD6A3" w14:textId="77777777">
        <w:tc>
          <w:tcPr>
            <w:tcW w:w="6025" w:type="dxa"/>
            <w:shd w:val="clear" w:color="auto" w:fill="FFFFFF" w:themeFill="background1"/>
          </w:tcPr>
          <w:p w:rsidR="00882B62" w:rsidRDefault="00196914" w14:paraId="079FEB34" w14:textId="786484FE">
            <w:pPr>
              <w:rPr>
                <w:b/>
              </w:rPr>
            </w:pPr>
            <w:r>
              <w:rPr>
                <w:b/>
              </w:rPr>
              <w:t>Health Center Organiz</w:t>
            </w:r>
            <w:r w:rsidR="001A1B69">
              <w:rPr>
                <w:b/>
              </w:rPr>
              <w:t>ational Assessment (Attachment 3a and 3</w:t>
            </w:r>
            <w:r w:rsidR="00E617DE">
              <w:rPr>
                <w:b/>
              </w:rPr>
              <w:t>b</w:t>
            </w:r>
            <w:r>
              <w:rPr>
                <w:b/>
              </w:rPr>
              <w:t>)</w:t>
            </w:r>
          </w:p>
        </w:tc>
        <w:tc>
          <w:tcPr>
            <w:tcW w:w="1890" w:type="dxa"/>
            <w:shd w:val="clear" w:color="auto" w:fill="FFFFFF" w:themeFill="background1"/>
          </w:tcPr>
          <w:p w:rsidR="00882B62" w:rsidRDefault="00196914" w14:paraId="1D0ED9FF" w14:textId="77777777">
            <w:r>
              <w:t>Annually</w:t>
            </w:r>
          </w:p>
        </w:tc>
      </w:tr>
      <w:tr w:rsidR="00882B62" w14:paraId="5501FED6" w14:textId="77777777">
        <w:tc>
          <w:tcPr>
            <w:tcW w:w="6025" w:type="dxa"/>
            <w:shd w:val="clear" w:color="auto" w:fill="D9D9D9" w:themeFill="background1" w:themeFillShade="D9"/>
          </w:tcPr>
          <w:p w:rsidR="00882B62" w:rsidRDefault="00196914" w14:paraId="3CB02499" w14:textId="2AAE6D64">
            <w:pPr>
              <w:rPr>
                <w:b/>
              </w:rPr>
            </w:pPr>
            <w:r>
              <w:rPr>
                <w:b/>
              </w:rPr>
              <w:t>Health Center Provider Survey (At</w:t>
            </w:r>
            <w:r w:rsidR="001A1B69">
              <w:rPr>
                <w:b/>
              </w:rPr>
              <w:t>tachment 4a and 4</w:t>
            </w:r>
            <w:r w:rsidR="00E617DE">
              <w:rPr>
                <w:b/>
              </w:rPr>
              <w:t>b</w:t>
            </w:r>
            <w:r>
              <w:rPr>
                <w:b/>
              </w:rPr>
              <w:t>)</w:t>
            </w:r>
          </w:p>
        </w:tc>
        <w:tc>
          <w:tcPr>
            <w:tcW w:w="1890" w:type="dxa"/>
            <w:shd w:val="clear" w:color="auto" w:fill="D9D9D9" w:themeFill="background1" w:themeFillShade="D9"/>
          </w:tcPr>
          <w:p w:rsidR="00882B62" w:rsidRDefault="00196914" w14:paraId="4C78E550" w14:textId="77777777">
            <w:r>
              <w:t>Annually</w:t>
            </w:r>
          </w:p>
        </w:tc>
      </w:tr>
      <w:tr w:rsidR="00882B62" w14:paraId="21A5AB1E" w14:textId="77777777">
        <w:tc>
          <w:tcPr>
            <w:tcW w:w="6025" w:type="dxa"/>
            <w:shd w:val="clear" w:color="auto" w:fill="D9D9D9" w:themeFill="background1" w:themeFillShade="D9"/>
          </w:tcPr>
          <w:p w:rsidR="00882B62" w:rsidRDefault="00196914" w14:paraId="4E84E7A3" w14:textId="17937BF6">
            <w:pPr>
              <w:rPr>
                <w:b/>
              </w:rPr>
            </w:pPr>
            <w:r>
              <w:rPr>
                <w:b/>
              </w:rPr>
              <w:t xml:space="preserve">Quarterly Health Center Performance Measure Reporting Tool (Attachment </w:t>
            </w:r>
            <w:r w:rsidR="001A1B69">
              <w:rPr>
                <w:b/>
              </w:rPr>
              <w:t>5a and 5</w:t>
            </w:r>
            <w:r w:rsidR="00E617DE">
              <w:rPr>
                <w:b/>
              </w:rPr>
              <w:t>b</w:t>
            </w:r>
            <w:r>
              <w:rPr>
                <w:b/>
              </w:rPr>
              <w:t>)</w:t>
            </w:r>
          </w:p>
        </w:tc>
        <w:tc>
          <w:tcPr>
            <w:tcW w:w="1890" w:type="dxa"/>
            <w:shd w:val="clear" w:color="auto" w:fill="D9D9D9" w:themeFill="background1" w:themeFillShade="D9"/>
          </w:tcPr>
          <w:p w:rsidR="00882B62" w:rsidRDefault="00F45F01" w14:paraId="5BB74A2E" w14:textId="1EC6B7EA">
            <w:r>
              <w:t xml:space="preserve">2 </w:t>
            </w:r>
            <w:r w:rsidR="00196914">
              <w:t>times per year</w:t>
            </w:r>
          </w:p>
        </w:tc>
      </w:tr>
      <w:tr w:rsidR="00882B62" w14:paraId="2516B319" w14:textId="77777777">
        <w:tc>
          <w:tcPr>
            <w:tcW w:w="6025" w:type="dxa"/>
            <w:shd w:val="clear" w:color="auto" w:fill="FFFFFF" w:themeFill="background1"/>
          </w:tcPr>
          <w:p w:rsidR="00882B62" w:rsidP="00E617DE" w:rsidRDefault="00196914" w14:paraId="6BA260A8" w14:textId="2B5B3746">
            <w:pPr>
              <w:rPr>
                <w:b/>
              </w:rPr>
            </w:pPr>
            <w:r>
              <w:rPr>
                <w:b/>
              </w:rPr>
              <w:t xml:space="preserve">Annual Health Center Performance Measure Reporting Tool (Attachment </w:t>
            </w:r>
            <w:r w:rsidR="001A1B69">
              <w:rPr>
                <w:b/>
              </w:rPr>
              <w:t>6a and 6</w:t>
            </w:r>
            <w:r w:rsidR="00E617DE">
              <w:rPr>
                <w:b/>
              </w:rPr>
              <w:t>b</w:t>
            </w:r>
            <w:r>
              <w:rPr>
                <w:b/>
              </w:rPr>
              <w:t>)</w:t>
            </w:r>
          </w:p>
        </w:tc>
        <w:tc>
          <w:tcPr>
            <w:tcW w:w="1890" w:type="dxa"/>
            <w:shd w:val="clear" w:color="auto" w:fill="FFFFFF" w:themeFill="background1"/>
          </w:tcPr>
          <w:p w:rsidR="00882B62" w:rsidRDefault="00196914" w14:paraId="4F63072A" w14:textId="77777777">
            <w:r>
              <w:t>Annually</w:t>
            </w:r>
          </w:p>
        </w:tc>
      </w:tr>
      <w:tr w:rsidR="00882B62" w14:paraId="7870C0BC" w14:textId="77777777">
        <w:tc>
          <w:tcPr>
            <w:tcW w:w="6025" w:type="dxa"/>
            <w:shd w:val="clear" w:color="auto" w:fill="D9D9D9" w:themeFill="background1" w:themeFillShade="D9"/>
          </w:tcPr>
          <w:p w:rsidR="00882B62" w:rsidRDefault="00196914" w14:paraId="7BA7ACA0" w14:textId="77777777">
            <w:pPr>
              <w:rPr>
                <w:b/>
              </w:rPr>
            </w:pPr>
            <w:r>
              <w:rPr>
                <w:b/>
              </w:rPr>
              <w:t>Awardee Training and Technical Assistance Tool</w:t>
            </w:r>
          </w:p>
          <w:p w:rsidR="00882B62" w:rsidRDefault="00196914" w14:paraId="6A966F5B" w14:textId="19A8CA1A">
            <w:pPr>
              <w:rPr>
                <w:b/>
              </w:rPr>
            </w:pPr>
            <w:r>
              <w:rPr>
                <w:b/>
              </w:rPr>
              <w:t xml:space="preserve">(Attachment </w:t>
            </w:r>
            <w:r w:rsidR="001A1B69">
              <w:rPr>
                <w:b/>
              </w:rPr>
              <w:t>7</w:t>
            </w:r>
            <w:r>
              <w:rPr>
                <w:b/>
              </w:rPr>
              <w:t>)</w:t>
            </w:r>
          </w:p>
        </w:tc>
        <w:tc>
          <w:tcPr>
            <w:tcW w:w="1890" w:type="dxa"/>
            <w:shd w:val="clear" w:color="auto" w:fill="D9D9D9" w:themeFill="background1" w:themeFillShade="D9"/>
          </w:tcPr>
          <w:p w:rsidR="00882B62" w:rsidRDefault="00196914" w14:paraId="283AF25E" w14:textId="77777777">
            <w:r>
              <w:t>Monthly</w:t>
            </w:r>
          </w:p>
        </w:tc>
      </w:tr>
      <w:tr w:rsidR="00882B62" w14:paraId="06D5F7CB" w14:textId="77777777">
        <w:tc>
          <w:tcPr>
            <w:tcW w:w="6025" w:type="dxa"/>
          </w:tcPr>
          <w:p w:rsidR="00882B62" w:rsidRDefault="00196914" w14:paraId="189EDC2B" w14:textId="77777777">
            <w:pPr>
              <w:rPr>
                <w:b/>
              </w:rPr>
            </w:pPr>
            <w:r>
              <w:rPr>
                <w:b/>
              </w:rPr>
              <w:t>Awardee Performance Measure Reporting Tool</w:t>
            </w:r>
          </w:p>
          <w:p w:rsidR="00882B62" w:rsidP="001A1B69" w:rsidRDefault="00196914" w14:paraId="21711871" w14:textId="3780D8DA">
            <w:pPr>
              <w:rPr>
                <w:b/>
              </w:rPr>
            </w:pPr>
            <w:r>
              <w:rPr>
                <w:b/>
              </w:rPr>
              <w:t xml:space="preserve">(Attachment </w:t>
            </w:r>
            <w:r w:rsidR="001A1B69">
              <w:rPr>
                <w:b/>
              </w:rPr>
              <w:t>8a</w:t>
            </w:r>
            <w:r w:rsidR="00F45F01">
              <w:rPr>
                <w:b/>
              </w:rPr>
              <w:t xml:space="preserve"> and </w:t>
            </w:r>
            <w:r w:rsidR="001A1B69">
              <w:rPr>
                <w:b/>
              </w:rPr>
              <w:t>8b</w:t>
            </w:r>
            <w:r>
              <w:rPr>
                <w:b/>
              </w:rPr>
              <w:t>)</w:t>
            </w:r>
          </w:p>
        </w:tc>
        <w:tc>
          <w:tcPr>
            <w:tcW w:w="1890" w:type="dxa"/>
          </w:tcPr>
          <w:p w:rsidR="00882B62" w:rsidRDefault="00196914" w14:paraId="0AC37115" w14:textId="77777777">
            <w:r>
              <w:t>Annually</w:t>
            </w:r>
          </w:p>
        </w:tc>
      </w:tr>
    </w:tbl>
    <w:p w:rsidRPr="004157B4" w:rsidR="00882B62" w:rsidRDefault="004157B4" w14:paraId="598FCCF5" w14:textId="0C52A4D2">
      <w:pPr>
        <w:ind w:left="360"/>
      </w:pPr>
      <w:proofErr w:type="spellStart"/>
      <w:r>
        <w:rPr>
          <w:vertAlign w:val="superscript"/>
        </w:rPr>
        <w:t>a</w:t>
      </w:r>
      <w:r>
        <w:t>During</w:t>
      </w:r>
      <w:proofErr w:type="spellEnd"/>
      <w:r>
        <w:t xml:space="preserve"> extension period</w:t>
      </w:r>
    </w:p>
    <w:p w:rsidR="00882B62" w:rsidRDefault="00196914" w14:paraId="7CB6C544" w14:textId="24390C6A">
      <w:pPr>
        <w:ind w:left="360"/>
      </w:pPr>
      <w:r>
        <w:t xml:space="preserve">To fully understand performance as well as the outcome of awardee efforts, CDC needs to understand what training and technical assistance was provided to health center and YSO partners, what organizational changes were made once training and technical assistance was provided, </w:t>
      </w:r>
      <w:r w:rsidR="003551BC">
        <w:t xml:space="preserve">and </w:t>
      </w:r>
      <w:r>
        <w:t xml:space="preserve">whether health center providers and YSO staff then change their practices (see </w:t>
      </w:r>
      <w:r>
        <w:rPr>
          <w:b/>
        </w:rPr>
        <w:t>Attachment</w:t>
      </w:r>
      <w:r w:rsidR="003551BC">
        <w:rPr>
          <w:b/>
        </w:rPr>
        <w:t xml:space="preserve"> </w:t>
      </w:r>
      <w:r w:rsidR="001A1B69">
        <w:rPr>
          <w:b/>
        </w:rPr>
        <w:t>9</w:t>
      </w:r>
      <w:r>
        <w:t xml:space="preserve"> for a logic model displaying how the overall program is expected to work).  Tracking change at these multiple levels results in a more complicated data collection than would be necessary if awardees were simply implementing a program with youth and only needed to collect information about the impact on youth.  Limiting assessment to only the impact on youth, however, would not provide any information on whether performance issues need to be addressed at the awardee, health center partner, </w:t>
      </w:r>
      <w:r w:rsidR="00E95D9F">
        <w:t xml:space="preserve">and </w:t>
      </w:r>
      <w:r>
        <w:t>health center provider level</w:t>
      </w:r>
      <w:r w:rsidR="008B727C">
        <w:t>s</w:t>
      </w:r>
      <w:r>
        <w:t xml:space="preserve"> in order to have the biggest positive impact on youth.  </w:t>
      </w:r>
    </w:p>
    <w:p w:rsidR="00882B62" w:rsidRDefault="004157B4" w14:paraId="28D49556" w14:textId="6711DDDA">
      <w:pPr>
        <w:ind w:left="360"/>
      </w:pPr>
      <w:r>
        <w:t xml:space="preserve">In summary, the negative consequences of not </w:t>
      </w:r>
      <w:r w:rsidR="00C62E4F">
        <w:t>collecting</w:t>
      </w:r>
      <w:r>
        <w:t xml:space="preserve"> information as proposed would be the limited ability to understand awardee and partner performance and, thus, the limited ability to help awardees improve performance and ensure that awardee funding is well</w:t>
      </w:r>
      <w:r w:rsidR="002961B3">
        <w:t>-</w:t>
      </w:r>
      <w:r>
        <w:t xml:space="preserve">spent. We also would be unable to examine the extent of changes made by awardees and their partners without collecting follow-up assessment data at the end of the project. </w:t>
      </w:r>
    </w:p>
    <w:p w:rsidR="00882B62" w:rsidRDefault="00196914" w14:paraId="7E71CC78" w14:textId="77777777">
      <w:pPr>
        <w:ind w:left="360"/>
        <w:rPr>
          <w:b/>
        </w:rPr>
      </w:pPr>
      <w:r>
        <w:rPr>
          <w:b/>
        </w:rPr>
        <w:t>7. Special Circumstances Relating to the Guidelines of 5 CFR 1320.5</w:t>
      </w:r>
    </w:p>
    <w:p w:rsidR="00882B62" w:rsidRDefault="002961B3" w14:paraId="6EBE1BB1" w14:textId="7BBDD3D1">
      <w:pPr>
        <w:ind w:left="360"/>
      </w:pPr>
      <w:r>
        <w:t xml:space="preserve">There are no special circumstances. </w:t>
      </w:r>
      <w:r w:rsidR="00196914">
        <w:t>This request complies with the regulation of 5 CFR 1320.5</w:t>
      </w:r>
      <w:r>
        <w:t>.</w:t>
      </w:r>
    </w:p>
    <w:p w:rsidR="00882B62" w:rsidRDefault="00196914" w14:paraId="0E393822" w14:textId="77777777">
      <w:pPr>
        <w:ind w:left="360"/>
        <w:rPr>
          <w:b/>
        </w:rPr>
      </w:pPr>
      <w:r>
        <w:rPr>
          <w:b/>
        </w:rPr>
        <w:lastRenderedPageBreak/>
        <w:t>8. Comments in Response to the Federal Register Notice and Efforts to Consult Outside the Agency</w:t>
      </w:r>
    </w:p>
    <w:p w:rsidR="00B72001" w:rsidRDefault="00C51E18" w14:paraId="707FC5F4" w14:textId="782531DF">
      <w:pPr>
        <w:ind w:left="360"/>
      </w:pPr>
      <w:r>
        <w:t xml:space="preserve"> </w:t>
      </w:r>
      <w:r w:rsidRPr="00013F48" w:rsidR="00B72001">
        <w:t>A 60-day notice was published in the Federal Register on September 5, 2109, Vol. 84, No. 172, pp. 46733-46735 with the title “Performance Monitoring of Working with Publicly Funded Health Centers to Reduce Teen Pregnancy among Youth from Vulnerable Populations” (</w:t>
      </w:r>
      <w:r w:rsidRPr="00013F48" w:rsidR="00B72001">
        <w:rPr>
          <w:b/>
        </w:rPr>
        <w:t>Attachment 10a</w:t>
      </w:r>
      <w:r w:rsidRPr="00013F48" w:rsidR="00B72001">
        <w:t xml:space="preserve">). </w:t>
      </w:r>
      <w:bookmarkStart w:name="_Hlk25233864" w:id="0"/>
      <w:r w:rsidRPr="00013F48" w:rsidR="00B72001">
        <w:t>CDC received three comments related to this notice (</w:t>
      </w:r>
      <w:r w:rsidRPr="00013F48" w:rsidR="00B72001">
        <w:rPr>
          <w:b/>
        </w:rPr>
        <w:t>Attachment 10b</w:t>
      </w:r>
      <w:r w:rsidRPr="00013F48" w:rsidR="00B72001">
        <w:t>).  All three comments were sent by individuals outside of CDC.  CDC has responded to the comments all of which expressed support for the proposed extension of the data collection and the associated programmatic efforts (</w:t>
      </w:r>
      <w:r w:rsidRPr="00013F48" w:rsidR="00B72001">
        <w:rPr>
          <w:b/>
        </w:rPr>
        <w:t>Attachment 10b</w:t>
      </w:r>
      <w:r w:rsidRPr="00013F48" w:rsidR="00B72001">
        <w:t>). No changes in the information collection were made in response to these comments.</w:t>
      </w:r>
    </w:p>
    <w:bookmarkEnd w:id="0"/>
    <w:p w:rsidR="00882B62" w:rsidRDefault="00B72001" w14:paraId="342C8B92" w14:textId="23E0573F">
      <w:pPr>
        <w:ind w:left="360"/>
      </w:pPr>
      <w:r w:rsidRPr="00B72001">
        <w:t xml:space="preserve"> </w:t>
      </w:r>
      <w:r w:rsidR="00196914">
        <w:t xml:space="preserve">CDC </w:t>
      </w:r>
      <w:r w:rsidR="003551BC">
        <w:t>c</w:t>
      </w:r>
      <w:r w:rsidR="00196914">
        <w:t xml:space="preserve">onsulted with the Office of Population Affairs (OPA) on the project framework and the development of </w:t>
      </w:r>
      <w:r w:rsidR="00171AF8">
        <w:t>data collection instruments</w:t>
      </w:r>
      <w:r w:rsidR="00196914">
        <w:t xml:space="preserve">. CDC also consulted partners on a different teen pregnancy prevention initiative for their feedback on the development of </w:t>
      </w:r>
      <w:r w:rsidR="00171AF8">
        <w:t xml:space="preserve">data collection instruments </w:t>
      </w:r>
      <w:r w:rsidR="00196914">
        <w:t>for this project. As noted previously, CDC has consulted closely with the awardees to this project as to the design of the proposed data collection instruments.</w:t>
      </w:r>
    </w:p>
    <w:p w:rsidR="00882B62" w:rsidRDefault="00196914" w14:paraId="2BF33D7A" w14:textId="79329F92">
      <w:pPr>
        <w:ind w:left="360"/>
      </w:pPr>
      <w:r>
        <w:t xml:space="preserve">Where possible, CDC has used previously developed </w:t>
      </w:r>
      <w:r w:rsidR="00171AF8">
        <w:t xml:space="preserve">instruments </w:t>
      </w:r>
      <w:r>
        <w:t>from existing CDC</w:t>
      </w:r>
      <w:r w:rsidR="002961B3">
        <w:t>-</w:t>
      </w:r>
      <w:r>
        <w:t xml:space="preserve"> and OPA</w:t>
      </w:r>
      <w:r w:rsidR="002961B3">
        <w:t>-</w:t>
      </w:r>
      <w:r>
        <w:t xml:space="preserve">developed </w:t>
      </w:r>
      <w:r w:rsidR="00171AF8">
        <w:t>instruments</w:t>
      </w:r>
      <w:r>
        <w:t xml:space="preserve">. Previously developed and tested </w:t>
      </w:r>
      <w:r w:rsidR="00171AF8">
        <w:t>data collection instruments</w:t>
      </w:r>
      <w:r>
        <w:t xml:space="preserve"> from </w:t>
      </w:r>
      <w:r w:rsidR="00580799">
        <w:t>“</w:t>
      </w:r>
      <w:r>
        <w:t>Monitoring Changes in Attitudes and Practices among Family Planning Providers and Clinics</w:t>
      </w:r>
      <w:r w:rsidR="00580799">
        <w:t>”</w:t>
      </w:r>
      <w:r>
        <w:t xml:space="preserve"> (OMB </w:t>
      </w:r>
      <w:r w:rsidR="00580799">
        <w:t>N</w:t>
      </w:r>
      <w:r>
        <w:t>o.</w:t>
      </w:r>
      <w:r w:rsidR="00580799">
        <w:t xml:space="preserve"> </w:t>
      </w:r>
      <w:r>
        <w:t xml:space="preserve">0920-0969, </w:t>
      </w:r>
      <w:r w:rsidR="00580799">
        <w:t>Exp.</w:t>
      </w:r>
      <w:r>
        <w:t xml:space="preserve"> 5/31/2014) were used and incorporated into the Health Center Organizational Assessment (</w:t>
      </w:r>
      <w:r w:rsidR="001A1B69">
        <w:rPr>
          <w:b/>
        </w:rPr>
        <w:t>Attachment3</w:t>
      </w:r>
      <w:r w:rsidR="005312D4">
        <w:rPr>
          <w:b/>
        </w:rPr>
        <w:t>a and 3</w:t>
      </w:r>
      <w:r w:rsidR="00F45F01">
        <w:rPr>
          <w:b/>
        </w:rPr>
        <w:t>b</w:t>
      </w:r>
      <w:r>
        <w:t>) and Health Center Provider Survey (</w:t>
      </w:r>
      <w:r>
        <w:rPr>
          <w:b/>
        </w:rPr>
        <w:t xml:space="preserve">Attachment </w:t>
      </w:r>
      <w:r w:rsidR="005312D4">
        <w:rPr>
          <w:b/>
        </w:rPr>
        <w:t>4</w:t>
      </w:r>
      <w:r w:rsidR="00F45F01">
        <w:rPr>
          <w:b/>
        </w:rPr>
        <w:t xml:space="preserve">a and </w:t>
      </w:r>
      <w:r w:rsidR="005312D4">
        <w:rPr>
          <w:b/>
        </w:rPr>
        <w:t>4</w:t>
      </w:r>
      <w:r w:rsidR="00F45F01">
        <w:rPr>
          <w:b/>
        </w:rPr>
        <w:t>b</w:t>
      </w:r>
      <w:r>
        <w:t>). All data and lessons learned resulting from this project will be shared with OPA and other publicly funded health centers (including FQHCs).</w:t>
      </w:r>
    </w:p>
    <w:p w:rsidR="00882B62" w:rsidRDefault="00882B62" w14:paraId="2D8A3834" w14:textId="77777777">
      <w:pPr>
        <w:ind w:left="360"/>
      </w:pPr>
    </w:p>
    <w:tbl>
      <w:tblPr>
        <w:tblStyle w:val="TableGrid"/>
        <w:tblW w:w="10165" w:type="dxa"/>
        <w:tblInd w:w="360" w:type="dxa"/>
        <w:tblLook w:val="04A0" w:firstRow="1" w:lastRow="0" w:firstColumn="1" w:lastColumn="0" w:noHBand="0" w:noVBand="1"/>
      </w:tblPr>
      <w:tblGrid>
        <w:gridCol w:w="1472"/>
        <w:gridCol w:w="4702"/>
        <w:gridCol w:w="3991"/>
      </w:tblGrid>
      <w:tr w:rsidR="00882B62" w14:paraId="372451D1" w14:textId="77777777">
        <w:tc>
          <w:tcPr>
            <w:tcW w:w="1472" w:type="dxa"/>
            <w:shd w:val="clear" w:color="auto" w:fill="BFBFBF" w:themeFill="background1" w:themeFillShade="BF"/>
          </w:tcPr>
          <w:p w:rsidR="00882B62" w:rsidRDefault="00196914" w14:paraId="2A9AF64A" w14:textId="77777777">
            <w:pPr>
              <w:jc w:val="center"/>
              <w:rPr>
                <w:b/>
              </w:rPr>
            </w:pPr>
            <w:r>
              <w:rPr>
                <w:b/>
              </w:rPr>
              <w:t>Year Consulted</w:t>
            </w:r>
          </w:p>
        </w:tc>
        <w:tc>
          <w:tcPr>
            <w:tcW w:w="4702" w:type="dxa"/>
            <w:shd w:val="clear" w:color="auto" w:fill="BFBFBF" w:themeFill="background1" w:themeFillShade="BF"/>
          </w:tcPr>
          <w:p w:rsidR="00882B62" w:rsidRDefault="00196914" w14:paraId="15E72EBB" w14:textId="77777777">
            <w:pPr>
              <w:jc w:val="center"/>
              <w:rPr>
                <w:b/>
              </w:rPr>
            </w:pPr>
            <w:r>
              <w:rPr>
                <w:b/>
              </w:rPr>
              <w:t>Name, Title, Agency</w:t>
            </w:r>
          </w:p>
        </w:tc>
        <w:tc>
          <w:tcPr>
            <w:tcW w:w="3991" w:type="dxa"/>
            <w:shd w:val="clear" w:color="auto" w:fill="BFBFBF" w:themeFill="background1" w:themeFillShade="BF"/>
          </w:tcPr>
          <w:p w:rsidR="00882B62" w:rsidRDefault="00196914" w14:paraId="60F87819" w14:textId="77777777">
            <w:pPr>
              <w:jc w:val="center"/>
              <w:rPr>
                <w:b/>
              </w:rPr>
            </w:pPr>
            <w:r>
              <w:rPr>
                <w:b/>
              </w:rPr>
              <w:t>Email/Phone #</w:t>
            </w:r>
          </w:p>
        </w:tc>
      </w:tr>
      <w:tr w:rsidR="00882B62" w14:paraId="45E0865C" w14:textId="77777777">
        <w:tc>
          <w:tcPr>
            <w:tcW w:w="1472" w:type="dxa"/>
          </w:tcPr>
          <w:p w:rsidR="00882B62" w:rsidRDefault="00196914" w14:paraId="076386A3" w14:textId="77777777">
            <w:r>
              <w:t>2016</w:t>
            </w:r>
          </w:p>
        </w:tc>
        <w:tc>
          <w:tcPr>
            <w:tcW w:w="4702" w:type="dxa"/>
          </w:tcPr>
          <w:p w:rsidR="00882B62" w:rsidRDefault="00196914" w14:paraId="1030C82D" w14:textId="77777777">
            <w:r>
              <w:t>Emily Feher, MPH, Project Director, Mississippi First</w:t>
            </w:r>
          </w:p>
        </w:tc>
        <w:tc>
          <w:tcPr>
            <w:tcW w:w="3991" w:type="dxa"/>
          </w:tcPr>
          <w:p w:rsidR="00882B62" w:rsidRDefault="00196914" w14:paraId="3A7C193A" w14:textId="77777777">
            <w:r>
              <w:t>emily@mississippifirst.org/(601) 398-9008 x105</w:t>
            </w:r>
          </w:p>
        </w:tc>
      </w:tr>
      <w:tr w:rsidR="00882B62" w14:paraId="6CE6081C" w14:textId="77777777">
        <w:tc>
          <w:tcPr>
            <w:tcW w:w="1472" w:type="dxa"/>
          </w:tcPr>
          <w:p w:rsidR="00882B62" w:rsidRDefault="00196914" w14:paraId="518F4B6A" w14:textId="77777777">
            <w:r>
              <w:t>2016</w:t>
            </w:r>
          </w:p>
        </w:tc>
        <w:tc>
          <w:tcPr>
            <w:tcW w:w="4702" w:type="dxa"/>
          </w:tcPr>
          <w:p w:rsidR="00882B62" w:rsidRDefault="00196914" w14:paraId="014D131A" w14:textId="77777777">
            <w:r>
              <w:t>Kathleen Ragsdale, PhD, Associate Research Professor</w:t>
            </w:r>
          </w:p>
          <w:p w:rsidR="00882B62" w:rsidRDefault="00196914" w14:paraId="04E28E03" w14:textId="77777777">
            <w:r>
              <w:t>Social Science Research Center, Mississippi State University</w:t>
            </w:r>
          </w:p>
        </w:tc>
        <w:tc>
          <w:tcPr>
            <w:tcW w:w="3991" w:type="dxa"/>
          </w:tcPr>
          <w:p w:rsidR="00882B62" w:rsidRDefault="00196914" w14:paraId="026EBA19" w14:textId="77777777">
            <w:r>
              <w:t xml:space="preserve">kathleen.ragsdale@ssrc.msstate.edu/662-325-9168   </w:t>
            </w:r>
          </w:p>
        </w:tc>
      </w:tr>
      <w:tr w:rsidR="00882B62" w14:paraId="2516DC10" w14:textId="77777777">
        <w:tc>
          <w:tcPr>
            <w:tcW w:w="1472" w:type="dxa"/>
          </w:tcPr>
          <w:p w:rsidR="00882B62" w:rsidRDefault="00196914" w14:paraId="4FD20F7D" w14:textId="77777777">
            <w:r>
              <w:t>2016</w:t>
            </w:r>
          </w:p>
        </w:tc>
        <w:tc>
          <w:tcPr>
            <w:tcW w:w="4702" w:type="dxa"/>
          </w:tcPr>
          <w:p w:rsidR="00882B62" w:rsidRDefault="00196914" w14:paraId="48A90A59" w14:textId="77777777">
            <w:r>
              <w:t>Melissa Reams, Project Coordinator, Georgia Association for Primary Health Care</w:t>
            </w:r>
          </w:p>
        </w:tc>
        <w:tc>
          <w:tcPr>
            <w:tcW w:w="3991" w:type="dxa"/>
          </w:tcPr>
          <w:p w:rsidR="00882B62" w:rsidRDefault="002226B1" w14:paraId="17FECD4E" w14:textId="77777777">
            <w:hyperlink w:history="1" r:id="rId8">
              <w:r w:rsidR="00196914">
                <w:rPr>
                  <w:rStyle w:val="Hyperlink"/>
                </w:rPr>
                <w:t>reamsm@gaphc.org</w:t>
              </w:r>
            </w:hyperlink>
            <w:r w:rsidR="00196914">
              <w:rPr>
                <w:rStyle w:val="Hyperlink"/>
              </w:rPr>
              <w:t>/912-527-1011</w:t>
            </w:r>
          </w:p>
        </w:tc>
      </w:tr>
      <w:tr w:rsidR="00882B62" w14:paraId="5A90BAB1" w14:textId="77777777">
        <w:tc>
          <w:tcPr>
            <w:tcW w:w="1472" w:type="dxa"/>
          </w:tcPr>
          <w:p w:rsidR="00882B62" w:rsidRDefault="00196914" w14:paraId="79052A86" w14:textId="77777777">
            <w:r>
              <w:t>2016</w:t>
            </w:r>
          </w:p>
        </w:tc>
        <w:tc>
          <w:tcPr>
            <w:tcW w:w="4702" w:type="dxa"/>
          </w:tcPr>
          <w:p w:rsidR="00882B62" w:rsidRDefault="00196914" w14:paraId="563D5947" w14:textId="77777777">
            <w:r>
              <w:t>Christine Ley, PhD, Evaluator, Georgia Association for Primary Health Care</w:t>
            </w:r>
          </w:p>
        </w:tc>
        <w:tc>
          <w:tcPr>
            <w:tcW w:w="3991" w:type="dxa"/>
          </w:tcPr>
          <w:p w:rsidR="00882B62" w:rsidRDefault="002226B1" w14:paraId="0A96E9B7" w14:textId="44230B8C">
            <w:hyperlink w:history="1" r:id="rId9">
              <w:r w:rsidRPr="00F45F01" w:rsidR="00F45F01">
                <w:rPr>
                  <w:rStyle w:val="Hyperlink"/>
                </w:rPr>
                <w:t>christineley711@gmail.com</w:t>
              </w:r>
              <w:r w:rsidRPr="00F24375" w:rsidR="00F45F01">
                <w:rPr>
                  <w:rStyle w:val="Hyperlink"/>
                </w:rPr>
                <w:t>/412-953-9544</w:t>
              </w:r>
            </w:hyperlink>
          </w:p>
        </w:tc>
      </w:tr>
      <w:tr w:rsidR="00882B62" w14:paraId="54D06C2A" w14:textId="77777777">
        <w:tc>
          <w:tcPr>
            <w:tcW w:w="1472" w:type="dxa"/>
          </w:tcPr>
          <w:p w:rsidR="00882B62" w:rsidRDefault="00196914" w14:paraId="7D56EE64" w14:textId="77777777">
            <w:r>
              <w:t>2016</w:t>
            </w:r>
          </w:p>
        </w:tc>
        <w:tc>
          <w:tcPr>
            <w:tcW w:w="4702" w:type="dxa"/>
          </w:tcPr>
          <w:p w:rsidR="00882B62" w:rsidRDefault="00196914" w14:paraId="0B046738" w14:textId="77777777">
            <w:r>
              <w:t>Cathy Bowden, Information Management Coordinator, Georgia Association for Primary Health Care</w:t>
            </w:r>
          </w:p>
        </w:tc>
        <w:tc>
          <w:tcPr>
            <w:tcW w:w="3991" w:type="dxa"/>
          </w:tcPr>
          <w:p w:rsidR="00882B62" w:rsidRDefault="002226B1" w14:paraId="42F8909B" w14:textId="77777777">
            <w:hyperlink w:history="1" r:id="rId10">
              <w:r w:rsidR="00196914">
                <w:rPr>
                  <w:rStyle w:val="Hyperlink"/>
                </w:rPr>
                <w:t>cbowden@gaphc.org</w:t>
              </w:r>
            </w:hyperlink>
            <w:r w:rsidR="00196914">
              <w:rPr>
                <w:rStyle w:val="Hyperlink"/>
              </w:rPr>
              <w:t>/404-270-2178</w:t>
            </w:r>
          </w:p>
        </w:tc>
      </w:tr>
      <w:tr w:rsidR="00882B62" w14:paraId="66668B2C" w14:textId="77777777">
        <w:tc>
          <w:tcPr>
            <w:tcW w:w="1472" w:type="dxa"/>
          </w:tcPr>
          <w:p w:rsidR="00882B62" w:rsidRDefault="00196914" w14:paraId="5AD269A3" w14:textId="77777777">
            <w:r>
              <w:t>2016</w:t>
            </w:r>
          </w:p>
        </w:tc>
        <w:tc>
          <w:tcPr>
            <w:tcW w:w="4702" w:type="dxa"/>
          </w:tcPr>
          <w:p w:rsidR="00882B62" w:rsidRDefault="00196914" w14:paraId="552B7F02" w14:textId="77777777">
            <w:r>
              <w:t xml:space="preserve">Joy </w:t>
            </w:r>
            <w:proofErr w:type="spellStart"/>
            <w:r>
              <w:t>Sotolongo</w:t>
            </w:r>
            <w:proofErr w:type="spellEnd"/>
            <w:r>
              <w:t>, Director of Evaluation, SHIFT NC</w:t>
            </w:r>
          </w:p>
        </w:tc>
        <w:tc>
          <w:tcPr>
            <w:tcW w:w="3991" w:type="dxa"/>
          </w:tcPr>
          <w:p w:rsidR="00882B62" w:rsidRDefault="00196914" w14:paraId="00B4660B" w14:textId="77777777">
            <w:pPr>
              <w:rPr>
                <w:rFonts w:ascii="Arial" w:hAnsi="Arial" w:cs="Arial"/>
                <w:color w:val="000000"/>
                <w:sz w:val="20"/>
                <w:szCs w:val="20"/>
              </w:rPr>
            </w:pPr>
            <w:r>
              <w:t>jsotolongo@shiftnc.org/</w:t>
            </w:r>
            <w:r>
              <w:rPr>
                <w:rFonts w:ascii="Arial" w:hAnsi="Arial" w:cs="Arial"/>
                <w:color w:val="000000"/>
                <w:sz w:val="20"/>
                <w:szCs w:val="20"/>
              </w:rPr>
              <w:t xml:space="preserve">919-226-1880 </w:t>
            </w:r>
            <w:proofErr w:type="spellStart"/>
            <w:r>
              <w:rPr>
                <w:rFonts w:ascii="Arial" w:hAnsi="Arial" w:cs="Arial"/>
                <w:color w:val="000000"/>
                <w:sz w:val="20"/>
                <w:szCs w:val="20"/>
              </w:rPr>
              <w:t>ext</w:t>
            </w:r>
            <w:proofErr w:type="spellEnd"/>
            <w:r>
              <w:rPr>
                <w:rFonts w:ascii="Arial" w:hAnsi="Arial" w:cs="Arial"/>
                <w:color w:val="000000"/>
                <w:sz w:val="20"/>
                <w:szCs w:val="20"/>
              </w:rPr>
              <w:t xml:space="preserve"> 102</w:t>
            </w:r>
          </w:p>
          <w:p w:rsidR="00882B62" w:rsidRDefault="00882B62" w14:paraId="23BB6035" w14:textId="77777777"/>
        </w:tc>
      </w:tr>
      <w:tr w:rsidR="00882B62" w14:paraId="33752448" w14:textId="77777777">
        <w:tc>
          <w:tcPr>
            <w:tcW w:w="1472" w:type="dxa"/>
          </w:tcPr>
          <w:p w:rsidR="00882B62" w:rsidRDefault="00196914" w14:paraId="06F60BFD" w14:textId="77777777">
            <w:r>
              <w:t>2016</w:t>
            </w:r>
          </w:p>
        </w:tc>
        <w:tc>
          <w:tcPr>
            <w:tcW w:w="4702" w:type="dxa"/>
          </w:tcPr>
          <w:p w:rsidR="00882B62" w:rsidRDefault="00196914" w14:paraId="2836A168" w14:textId="77777777">
            <w:r>
              <w:t>Sally Swanson, MSW, MPH, Chief Program Officer, SHIFT NC</w:t>
            </w:r>
          </w:p>
        </w:tc>
        <w:tc>
          <w:tcPr>
            <w:tcW w:w="3991" w:type="dxa"/>
          </w:tcPr>
          <w:p w:rsidR="00882B62" w:rsidRDefault="00196914" w14:paraId="52DAEAF9" w14:textId="77777777">
            <w:r>
              <w:t>sswanson@shiftnc.org/919-226-1880</w:t>
            </w:r>
          </w:p>
        </w:tc>
      </w:tr>
      <w:tr w:rsidR="00882B62" w14:paraId="52160843" w14:textId="77777777">
        <w:tc>
          <w:tcPr>
            <w:tcW w:w="1472" w:type="dxa"/>
          </w:tcPr>
          <w:p w:rsidR="00882B62" w:rsidRDefault="00196914" w14:paraId="2FFD9F1F" w14:textId="77777777">
            <w:r>
              <w:t>2016</w:t>
            </w:r>
          </w:p>
        </w:tc>
        <w:tc>
          <w:tcPr>
            <w:tcW w:w="4702" w:type="dxa"/>
          </w:tcPr>
          <w:p w:rsidR="00882B62" w:rsidRDefault="00196914" w14:paraId="2FCE2E3F" w14:textId="77777777">
            <w:r>
              <w:t>Sarah Davis, MPH, Senior Technical Advisor, SHIFT NC</w:t>
            </w:r>
          </w:p>
        </w:tc>
        <w:tc>
          <w:tcPr>
            <w:tcW w:w="3991" w:type="dxa"/>
          </w:tcPr>
          <w:p w:rsidR="00882B62" w:rsidRDefault="00196914" w14:paraId="13D0F364" w14:textId="77777777">
            <w:r>
              <w:rPr>
                <w:rFonts w:ascii="Arial" w:hAnsi="Arial" w:cs="Arial"/>
                <w:color w:val="000000"/>
                <w:sz w:val="20"/>
                <w:szCs w:val="20"/>
              </w:rPr>
              <w:t>sdavis@shiftnc.org/919-226-1880 x114</w:t>
            </w:r>
          </w:p>
        </w:tc>
      </w:tr>
      <w:tr w:rsidR="00882B62" w14:paraId="13B3B3DB" w14:textId="77777777">
        <w:tc>
          <w:tcPr>
            <w:tcW w:w="1472" w:type="dxa"/>
          </w:tcPr>
          <w:p w:rsidR="00882B62" w:rsidRDefault="00196914" w14:paraId="3247D060" w14:textId="77777777">
            <w:r>
              <w:t>2016</w:t>
            </w:r>
          </w:p>
        </w:tc>
        <w:tc>
          <w:tcPr>
            <w:tcW w:w="4702" w:type="dxa"/>
          </w:tcPr>
          <w:p w:rsidR="00882B62" w:rsidRDefault="00196914" w14:paraId="0811CB25" w14:textId="77777777">
            <w:r>
              <w:t>Lorrie Gavin, Office of Population Affairs</w:t>
            </w:r>
          </w:p>
        </w:tc>
        <w:tc>
          <w:tcPr>
            <w:tcW w:w="3991" w:type="dxa"/>
          </w:tcPr>
          <w:p w:rsidR="00882B62" w:rsidRDefault="002226B1" w14:paraId="2DAAFCDF" w14:textId="77777777">
            <w:hyperlink w:history="1" r:id="rId11">
              <w:r w:rsidR="00196914">
                <w:rPr>
                  <w:rStyle w:val="Hyperlink"/>
                </w:rPr>
                <w:t>Loretta.gavin@hhs.gov/240-453-2826</w:t>
              </w:r>
            </w:hyperlink>
          </w:p>
        </w:tc>
      </w:tr>
      <w:tr w:rsidR="00882B62" w14:paraId="0249B2B2" w14:textId="77777777">
        <w:tc>
          <w:tcPr>
            <w:tcW w:w="1472" w:type="dxa"/>
          </w:tcPr>
          <w:p w:rsidR="00882B62" w:rsidRDefault="00196914" w14:paraId="70079EEA" w14:textId="77777777">
            <w:r>
              <w:lastRenderedPageBreak/>
              <w:t>2016</w:t>
            </w:r>
          </w:p>
        </w:tc>
        <w:tc>
          <w:tcPr>
            <w:tcW w:w="4702" w:type="dxa"/>
          </w:tcPr>
          <w:p w:rsidR="00882B62" w:rsidRDefault="00196914" w14:paraId="6F686659" w14:textId="77777777">
            <w:r>
              <w:t xml:space="preserve">Dawn Middleton, </w:t>
            </w:r>
            <w:proofErr w:type="spellStart"/>
            <w:r>
              <w:t>Cicatelli</w:t>
            </w:r>
            <w:proofErr w:type="spellEnd"/>
            <w:r>
              <w:t xml:space="preserve"> Associates Inc</w:t>
            </w:r>
          </w:p>
        </w:tc>
        <w:tc>
          <w:tcPr>
            <w:tcW w:w="3991" w:type="dxa"/>
          </w:tcPr>
          <w:p w:rsidR="00882B62" w:rsidRDefault="002226B1" w14:paraId="132B618A" w14:textId="77777777">
            <w:hyperlink w:history="1" r:id="rId12">
              <w:r w:rsidR="00196914">
                <w:rPr>
                  <w:rStyle w:val="Hyperlink"/>
                </w:rPr>
                <w:t>dmiddleton@caiglobal.org/212-594-7741</w:t>
              </w:r>
            </w:hyperlink>
          </w:p>
        </w:tc>
      </w:tr>
      <w:tr w:rsidR="00882B62" w14:paraId="52937F3F" w14:textId="77777777">
        <w:tc>
          <w:tcPr>
            <w:tcW w:w="1472" w:type="dxa"/>
          </w:tcPr>
          <w:p w:rsidR="00882B62" w:rsidRDefault="00196914" w14:paraId="6058F5AF" w14:textId="77777777">
            <w:r>
              <w:t>2016</w:t>
            </w:r>
          </w:p>
        </w:tc>
        <w:tc>
          <w:tcPr>
            <w:tcW w:w="4702" w:type="dxa"/>
          </w:tcPr>
          <w:p w:rsidR="00882B62" w:rsidRDefault="00196914" w14:paraId="4FD61C0F" w14:textId="77777777">
            <w:r>
              <w:t xml:space="preserve">Karen </w:t>
            </w:r>
            <w:proofErr w:type="spellStart"/>
            <w:r>
              <w:t>Schlanger</w:t>
            </w:r>
            <w:proofErr w:type="spellEnd"/>
            <w:r>
              <w:t xml:space="preserve">, </w:t>
            </w:r>
            <w:proofErr w:type="spellStart"/>
            <w:r>
              <w:t>Cicatelli</w:t>
            </w:r>
            <w:proofErr w:type="spellEnd"/>
            <w:r>
              <w:t xml:space="preserve"> Associates Inc</w:t>
            </w:r>
          </w:p>
        </w:tc>
        <w:tc>
          <w:tcPr>
            <w:tcW w:w="3991" w:type="dxa"/>
          </w:tcPr>
          <w:p w:rsidR="00882B62" w:rsidRDefault="002226B1" w14:paraId="63FF41FD" w14:textId="77777777">
            <w:hyperlink w:history="1" r:id="rId13">
              <w:r w:rsidR="00196914">
                <w:rPr>
                  <w:rStyle w:val="Hyperlink"/>
                </w:rPr>
                <w:t>kschlanger@caiglobal.org/404-521-2151</w:t>
              </w:r>
            </w:hyperlink>
          </w:p>
        </w:tc>
      </w:tr>
      <w:tr w:rsidR="00882B62" w14:paraId="5849F2A1" w14:textId="77777777">
        <w:tc>
          <w:tcPr>
            <w:tcW w:w="1472" w:type="dxa"/>
          </w:tcPr>
          <w:p w:rsidR="00882B62" w:rsidRDefault="00196914" w14:paraId="7F8562C8" w14:textId="77777777">
            <w:r>
              <w:t>2014</w:t>
            </w:r>
          </w:p>
        </w:tc>
        <w:tc>
          <w:tcPr>
            <w:tcW w:w="4702" w:type="dxa"/>
          </w:tcPr>
          <w:p w:rsidR="00882B62" w:rsidRDefault="00196914" w14:paraId="3B2B9D20" w14:textId="77777777">
            <w:r>
              <w:t xml:space="preserve">Deborah </w:t>
            </w:r>
            <w:proofErr w:type="spellStart"/>
            <w:r>
              <w:t>U’huru</w:t>
            </w:r>
            <w:proofErr w:type="spellEnd"/>
            <w:r>
              <w:t xml:space="preserve">, NYC Department of Health and Mental Hygiene </w:t>
            </w:r>
          </w:p>
        </w:tc>
        <w:tc>
          <w:tcPr>
            <w:tcW w:w="3991" w:type="dxa"/>
          </w:tcPr>
          <w:p w:rsidR="00882B62" w:rsidRDefault="002226B1" w14:paraId="1337A1E1" w14:textId="77777777">
            <w:hyperlink w:history="1" r:id="rId14">
              <w:r w:rsidR="00196914">
                <w:rPr>
                  <w:rStyle w:val="Hyperlink"/>
                </w:rPr>
                <w:t>douhuru@health.nyc.gov/718-299-0169</w:t>
              </w:r>
            </w:hyperlink>
          </w:p>
        </w:tc>
      </w:tr>
      <w:tr w:rsidR="00882B62" w14:paraId="54CDF4F7" w14:textId="77777777">
        <w:tc>
          <w:tcPr>
            <w:tcW w:w="1472" w:type="dxa"/>
          </w:tcPr>
          <w:p w:rsidR="00882B62" w:rsidRDefault="00196914" w14:paraId="27EDE5AE" w14:textId="77777777">
            <w:r>
              <w:t>2014</w:t>
            </w:r>
          </w:p>
        </w:tc>
        <w:tc>
          <w:tcPr>
            <w:tcW w:w="4702" w:type="dxa"/>
          </w:tcPr>
          <w:p w:rsidR="00882B62" w:rsidRDefault="00196914" w14:paraId="6C90F9DB" w14:textId="77777777">
            <w:r>
              <w:t xml:space="preserve">Kristen </w:t>
            </w:r>
            <w:proofErr w:type="spellStart"/>
            <w:r>
              <w:t>Plastino</w:t>
            </w:r>
            <w:proofErr w:type="spellEnd"/>
            <w:r>
              <w:t>, University of Texas Health Science Center at San Antonio</w:t>
            </w:r>
          </w:p>
        </w:tc>
        <w:tc>
          <w:tcPr>
            <w:tcW w:w="3991" w:type="dxa"/>
          </w:tcPr>
          <w:p w:rsidR="00882B62" w:rsidRDefault="002226B1" w14:paraId="10CE48DD" w14:textId="77777777">
            <w:hyperlink w:history="1" r:id="rId15">
              <w:r w:rsidR="00196914">
                <w:rPr>
                  <w:rStyle w:val="Hyperlink"/>
                </w:rPr>
                <w:t>plastino@uthscsa.edu/210-567-7036</w:t>
              </w:r>
            </w:hyperlink>
          </w:p>
        </w:tc>
      </w:tr>
      <w:tr w:rsidR="00882B62" w14:paraId="75A7B426" w14:textId="77777777">
        <w:tc>
          <w:tcPr>
            <w:tcW w:w="1472" w:type="dxa"/>
          </w:tcPr>
          <w:p w:rsidR="00882B62" w:rsidRDefault="00196914" w14:paraId="7C3B87C9" w14:textId="77777777">
            <w:r>
              <w:t>2014</w:t>
            </w:r>
          </w:p>
        </w:tc>
        <w:tc>
          <w:tcPr>
            <w:tcW w:w="4702" w:type="dxa"/>
          </w:tcPr>
          <w:p w:rsidR="00882B62" w:rsidRDefault="00196914" w14:paraId="12D524FB" w14:textId="77777777">
            <w:r>
              <w:t>Michelle Reese, Adolescent Pregnancy Prevention Campaign of North Carolina</w:t>
            </w:r>
          </w:p>
        </w:tc>
        <w:tc>
          <w:tcPr>
            <w:tcW w:w="3991" w:type="dxa"/>
          </w:tcPr>
          <w:p w:rsidR="00882B62" w:rsidRDefault="002226B1" w14:paraId="15F86782" w14:textId="77777777">
            <w:hyperlink w:history="1" r:id="rId16">
              <w:r w:rsidR="00196914">
                <w:rPr>
                  <w:rStyle w:val="Hyperlink"/>
                </w:rPr>
                <w:t>mreese@appcnc.org/919-226-1880</w:t>
              </w:r>
            </w:hyperlink>
          </w:p>
        </w:tc>
      </w:tr>
    </w:tbl>
    <w:p w:rsidR="00882B62" w:rsidRDefault="00882B62" w14:paraId="3DB71269" w14:textId="77777777">
      <w:pPr>
        <w:ind w:left="360"/>
      </w:pPr>
    </w:p>
    <w:p w:rsidR="00882B62" w:rsidRDefault="00196914" w14:paraId="334A22AF" w14:textId="77777777">
      <w:pPr>
        <w:ind w:left="360"/>
        <w:rPr>
          <w:b/>
        </w:rPr>
      </w:pPr>
      <w:r>
        <w:rPr>
          <w:b/>
        </w:rPr>
        <w:t>9. Explanation of Any Payment or Gift to Respondents</w:t>
      </w:r>
    </w:p>
    <w:p w:rsidR="00882B62" w:rsidRDefault="00B26CF9" w14:paraId="3E215390" w14:textId="0017B2E5">
      <w:pPr>
        <w:ind w:left="360"/>
      </w:pPr>
      <w:r>
        <w:t xml:space="preserve">Not applicable. </w:t>
      </w:r>
    </w:p>
    <w:p w:rsidR="00882B62" w:rsidRDefault="00882B62" w14:paraId="1F8F99CD" w14:textId="77777777">
      <w:pPr>
        <w:ind w:left="360"/>
      </w:pPr>
    </w:p>
    <w:p w:rsidR="00882B62" w:rsidRDefault="00196914" w14:paraId="630C02D2" w14:textId="77777777">
      <w:pPr>
        <w:ind w:left="360"/>
        <w:rPr>
          <w:b/>
        </w:rPr>
      </w:pPr>
      <w:r>
        <w:rPr>
          <w:b/>
        </w:rPr>
        <w:t>10. Protection of the Privacy and Confidentiality of Information Provided by Respondents</w:t>
      </w:r>
    </w:p>
    <w:p w:rsidRPr="00566809" w:rsidR="00E92381" w:rsidRDefault="00E92381" w14:paraId="2A1270A6" w14:textId="62F8A532">
      <w:pPr>
        <w:ind w:left="360"/>
        <w:rPr>
          <w:rFonts w:eastAsia="Times New Roman" w:cs="Times New Roman"/>
          <w:i/>
          <w:iCs/>
        </w:rPr>
      </w:pPr>
      <w:r>
        <w:rPr>
          <w:rFonts w:eastAsia="Times New Roman" w:cs="Times New Roman"/>
          <w:i/>
          <w:iCs/>
        </w:rPr>
        <w:t>Privacy Act Determination</w:t>
      </w:r>
    </w:p>
    <w:p w:rsidR="00C03255" w:rsidP="00171AF8" w:rsidRDefault="00C03255" w14:paraId="731B083F" w14:textId="7DC1EBCB">
      <w:pPr>
        <w:ind w:left="360"/>
        <w:rPr>
          <w:rFonts w:cstheme="minorHAnsi"/>
        </w:rPr>
      </w:pPr>
      <w:r>
        <w:rPr>
          <w:rFonts w:cstheme="minorHAnsi"/>
        </w:rPr>
        <w:t xml:space="preserve">This submission has been reviewed by CDC’s National Center for Chronic Disease Prevention and Health Promotion </w:t>
      </w:r>
      <w:r w:rsidR="00571C7B">
        <w:rPr>
          <w:rFonts w:cstheme="minorHAnsi"/>
        </w:rPr>
        <w:t xml:space="preserve">Information Systems Security Officer </w:t>
      </w:r>
      <w:r>
        <w:rPr>
          <w:rFonts w:cstheme="minorHAnsi"/>
        </w:rPr>
        <w:t>who determined that the Privacy Act does not apply. The Privacy Act does not apply because CDC does not collect or receive any information in identifiable form (IIF).</w:t>
      </w:r>
    </w:p>
    <w:p w:rsidR="00571C7B" w:rsidP="00171AF8" w:rsidRDefault="00571C7B" w14:paraId="144335F7" w14:textId="77777777">
      <w:pPr>
        <w:ind w:left="360"/>
        <w:rPr>
          <w:rFonts w:cstheme="minorHAnsi"/>
        </w:rPr>
      </w:pPr>
      <w:r>
        <w:rPr>
          <w:rFonts w:cstheme="minorHAnsi"/>
        </w:rPr>
        <w:t>While the Privacy Act is not applicable, the appropriate security controls and rules of behavior will be incorporated to protect the confidentiality of information, proprietary, sensitive, and personally identifiable information (PII) the awardee may come in contact with.</w:t>
      </w:r>
    </w:p>
    <w:p w:rsidR="00B26CF9" w:rsidRDefault="00B26CF9" w14:paraId="4CA531BE" w14:textId="2244C9EB">
      <w:pPr>
        <w:ind w:left="360"/>
        <w:rPr>
          <w:rFonts w:eastAsia="Times New Roman" w:cs="Times New Roman"/>
          <w:i/>
          <w:iCs/>
        </w:rPr>
      </w:pPr>
      <w:r>
        <w:rPr>
          <w:rFonts w:eastAsia="Times New Roman" w:cs="Times New Roman"/>
          <w:i/>
          <w:iCs/>
        </w:rPr>
        <w:t>Overview of the Data Collection System</w:t>
      </w:r>
    </w:p>
    <w:p w:rsidR="00566809" w:rsidP="00566809" w:rsidRDefault="00566809" w14:paraId="75071A9C" w14:textId="4967EDBE">
      <w:pPr>
        <w:ind w:left="360"/>
      </w:pPr>
      <w:r>
        <w:t>The Awardee Training and Technical Assistance Tool (</w:t>
      </w:r>
      <w:r>
        <w:rPr>
          <w:b/>
        </w:rPr>
        <w:t xml:space="preserve">Attachment </w:t>
      </w:r>
      <w:r w:rsidR="005312D4">
        <w:rPr>
          <w:b/>
        </w:rPr>
        <w:t>7</w:t>
      </w:r>
      <w:r>
        <w:t>) is an Excel file that awardees can complete electronically in Excel each time they provide training or technical assistance to a partner.  At the end of each month, they submit the file via email.</w:t>
      </w:r>
    </w:p>
    <w:p w:rsidR="00566809" w:rsidP="00566809" w:rsidRDefault="00566809" w14:paraId="2C94BE58" w14:textId="1B48E383">
      <w:pPr>
        <w:spacing w:before="240"/>
        <w:ind w:left="360"/>
      </w:pPr>
      <w:r>
        <w:t xml:space="preserve">All of the other tools can be completed though the use of an electronic data collection system.  All measures have been programed using SPSS Data Collection Author software.  Surveys are available through a dedicated and secure server managed by CDC information technology staff.  </w:t>
      </w:r>
    </w:p>
    <w:p w:rsidR="00566809" w:rsidP="00566809" w:rsidRDefault="00566809" w14:paraId="6157108E" w14:textId="6DCE0DC9">
      <w:pPr>
        <w:spacing w:before="240"/>
        <w:ind w:left="360"/>
      </w:pPr>
      <w:r>
        <w:t>OMB</w:t>
      </w:r>
      <w:r w:rsidR="00344AE7">
        <w:t>-</w:t>
      </w:r>
      <w:r>
        <w:t xml:space="preserve">approved paper versions of all of the measures except the Awardee </w:t>
      </w:r>
      <w:r w:rsidR="000C20CD">
        <w:t>Training and</w:t>
      </w:r>
      <w:r>
        <w:t xml:space="preserve"> Technical Assistance Tool (available only in an Excel format) </w:t>
      </w:r>
      <w:r w:rsidR="00344AE7">
        <w:t>are</w:t>
      </w:r>
      <w:r>
        <w:t xml:space="preserve"> maintained for use by grantees and their partners who feel that paper versions of the measure are easier for them to use.  In the current project and a similar prior project, awardees </w:t>
      </w:r>
      <w:r w:rsidR="00344AE7">
        <w:t xml:space="preserve">found that </w:t>
      </w:r>
      <w:r>
        <w:t>completing the measure on paper to be more convenient for</w:t>
      </w:r>
      <w:r w:rsidR="00171AF8">
        <w:t xml:space="preserve"> many of</w:t>
      </w:r>
      <w:r>
        <w:t xml:space="preserve"> their partners.  </w:t>
      </w:r>
    </w:p>
    <w:p w:rsidR="003F134F" w:rsidP="003F134F" w:rsidRDefault="003F134F" w14:paraId="3E553F39" w14:textId="59444CAD">
      <w:pPr>
        <w:ind w:left="360"/>
      </w:pPr>
      <w:r>
        <w:t>The specific procedures for collecting information using the annual Health Center Provider Survey (</w:t>
      </w:r>
      <w:r w:rsidR="005312D4">
        <w:rPr>
          <w:b/>
        </w:rPr>
        <w:t>Attachment 4a and 4</w:t>
      </w:r>
      <w:r>
        <w:rPr>
          <w:b/>
        </w:rPr>
        <w:t xml:space="preserve">b) </w:t>
      </w:r>
      <w:r w:rsidR="00344AE7">
        <w:t>are</w:t>
      </w:r>
      <w:r>
        <w:t xml:space="preserve"> that each health center partner will have a staff member who is identified as the primary contact for the awardee.  The awardee contact</w:t>
      </w:r>
      <w:r w:rsidR="00344AE7">
        <w:t>s</w:t>
      </w:r>
      <w:r>
        <w:t xml:space="preserve"> that person and ask</w:t>
      </w:r>
      <w:r w:rsidR="00344AE7">
        <w:t>s</w:t>
      </w:r>
      <w:r>
        <w:t xml:space="preserve"> him/her to provide all involved providers at the health center with a link to the online survey. The providers complete the </w:t>
      </w:r>
      <w:r w:rsidR="00EF3639">
        <w:t xml:space="preserve">survey </w:t>
      </w:r>
      <w:r>
        <w:t>online</w:t>
      </w:r>
      <w:r w:rsidR="00586615">
        <w:t xml:space="preserve"> or</w:t>
      </w:r>
      <w:r w:rsidR="00755837">
        <w:t>,</w:t>
      </w:r>
      <w:r w:rsidR="00586615">
        <w:t xml:space="preserve"> i</w:t>
      </w:r>
      <w:r>
        <w:t xml:space="preserve">f the health center or providers prefer to use paper surveys, providers </w:t>
      </w:r>
      <w:r w:rsidR="00344AE7">
        <w:t>are</w:t>
      </w:r>
      <w:r>
        <w:t xml:space="preserve"> given a paper survey to </w:t>
      </w:r>
      <w:r>
        <w:lastRenderedPageBreak/>
        <w:t>complete and asked to return the survey in a sealed envelope.  The staff member identified as the primary contact submit</w:t>
      </w:r>
      <w:r w:rsidR="00344AE7">
        <w:t>s</w:t>
      </w:r>
      <w:r>
        <w:t xml:space="preserve"> the anonymous surveys to the awardee.  The awardee enter</w:t>
      </w:r>
      <w:r w:rsidR="00344AE7">
        <w:t>s</w:t>
      </w:r>
      <w:r>
        <w:t xml:space="preserve"> the </w:t>
      </w:r>
      <w:r w:rsidR="000C20CD">
        <w:t xml:space="preserve">paper </w:t>
      </w:r>
      <w:r>
        <w:t>surveys into the online data collection system in order to submit to CDC</w:t>
      </w:r>
      <w:r w:rsidR="00586615">
        <w:t>. T</w:t>
      </w:r>
      <w:r>
        <w:t xml:space="preserve">he names of those staff or providers </w:t>
      </w:r>
      <w:r w:rsidR="00344AE7">
        <w:t>are</w:t>
      </w:r>
      <w:r>
        <w:t xml:space="preserve"> </w:t>
      </w:r>
      <w:r w:rsidR="00571C7B">
        <w:t xml:space="preserve">not </w:t>
      </w:r>
      <w:r>
        <w:t>shared.</w:t>
      </w:r>
    </w:p>
    <w:p w:rsidR="003F134F" w:rsidP="003F134F" w:rsidRDefault="003F134F" w14:paraId="676744C6" w14:textId="24EC7BBC">
      <w:pPr>
        <w:ind w:left="360"/>
      </w:pPr>
      <w:r>
        <w:t>The Health Center Organizational Assessment (</w:t>
      </w:r>
      <w:r w:rsidR="005312D4">
        <w:rPr>
          <w:b/>
        </w:rPr>
        <w:t>Attachment 3a and 3</w:t>
      </w:r>
      <w:r>
        <w:rPr>
          <w:b/>
        </w:rPr>
        <w:t>b</w:t>
      </w:r>
      <w:r>
        <w:t>), as well as the Quarterly and Annual Health Center Performance Measure Reporting Tool (</w:t>
      </w:r>
      <w:r w:rsidR="005312D4">
        <w:rPr>
          <w:b/>
        </w:rPr>
        <w:t>Attachments 5a, 5b, 6</w:t>
      </w:r>
      <w:r>
        <w:rPr>
          <w:b/>
        </w:rPr>
        <w:t xml:space="preserve">a and </w:t>
      </w:r>
      <w:r w:rsidR="005312D4">
        <w:rPr>
          <w:b/>
        </w:rPr>
        <w:t>6</w:t>
      </w:r>
      <w:r>
        <w:rPr>
          <w:b/>
        </w:rPr>
        <w:t>b</w:t>
      </w:r>
      <w:r>
        <w:t xml:space="preserve">), </w:t>
      </w:r>
      <w:r w:rsidR="00146429">
        <w:t>are</w:t>
      </w:r>
      <w:r>
        <w:t xml:space="preserve"> the responsibility of the awardee’s primary contact at the health center.  </w:t>
      </w:r>
      <w:r w:rsidR="000C20CD">
        <w:t>The awardee enter</w:t>
      </w:r>
      <w:r w:rsidR="00146429">
        <w:t>s</w:t>
      </w:r>
      <w:r w:rsidR="000C20CD">
        <w:t xml:space="preserve"> the paper surveys into the online data collection system in order to submit to CDC. </w:t>
      </w:r>
      <w:r>
        <w:t xml:space="preserve">No individual’s name is recorded on the tools.   </w:t>
      </w:r>
    </w:p>
    <w:p w:rsidRPr="00566809" w:rsidR="00566809" w:rsidP="00146429" w:rsidRDefault="003F134F" w14:paraId="440305E0" w14:textId="5A88B51A">
      <w:pPr>
        <w:ind w:left="360"/>
        <w:rPr>
          <w:rFonts w:eastAsia="Times New Roman" w:cs="Times New Roman"/>
          <w:iCs/>
        </w:rPr>
      </w:pPr>
      <w:r>
        <w:t>The Awardee Training and Technical Assistance Tool (</w:t>
      </w:r>
      <w:r>
        <w:rPr>
          <w:b/>
        </w:rPr>
        <w:t xml:space="preserve">Attachment </w:t>
      </w:r>
      <w:r w:rsidR="005312D4">
        <w:rPr>
          <w:b/>
        </w:rPr>
        <w:t>7</w:t>
      </w:r>
      <w:r>
        <w:t xml:space="preserve">) and the </w:t>
      </w:r>
      <w:r w:rsidRPr="000D7B4D">
        <w:t>Awardee</w:t>
      </w:r>
      <w:r>
        <w:t xml:space="preserve"> Performance Measurement Tool (</w:t>
      </w:r>
      <w:r w:rsidR="005312D4">
        <w:rPr>
          <w:b/>
        </w:rPr>
        <w:t>Attachment 8a and 8</w:t>
      </w:r>
      <w:r>
        <w:rPr>
          <w:b/>
        </w:rPr>
        <w:t>b</w:t>
      </w:r>
      <w:r>
        <w:t xml:space="preserve">) are completed by the three awardees.  The project coordinator for each awardee is responsible for seeing that these two tools are completed. </w:t>
      </w:r>
      <w:r w:rsidR="000C20CD">
        <w:t>The project coordinator or other staff member enter</w:t>
      </w:r>
      <w:r w:rsidR="00C62E4F">
        <w:t>s</w:t>
      </w:r>
      <w:r w:rsidR="000C20CD">
        <w:t xml:space="preserve"> the responses into the online data collection system. </w:t>
      </w:r>
      <w:r>
        <w:t xml:space="preserve">No individual’s name is recorded on the tools.  </w:t>
      </w:r>
    </w:p>
    <w:p w:rsidR="00B26CF9" w:rsidRDefault="00B26CF9" w14:paraId="67D90A9B" w14:textId="2A29ED2F">
      <w:pPr>
        <w:ind w:left="360"/>
        <w:rPr>
          <w:rFonts w:eastAsia="Times New Roman" w:cs="Times New Roman"/>
          <w:i/>
          <w:iCs/>
        </w:rPr>
      </w:pPr>
      <w:r>
        <w:rPr>
          <w:rFonts w:eastAsia="Times New Roman" w:cs="Times New Roman"/>
          <w:i/>
          <w:iCs/>
        </w:rPr>
        <w:t>Items of Information to be Collected</w:t>
      </w:r>
    </w:p>
    <w:p w:rsidR="003F134F" w:rsidP="003F134F" w:rsidRDefault="006E71E1" w14:paraId="4C2427F0" w14:textId="6E6D374D">
      <w:pPr>
        <w:ind w:left="360"/>
      </w:pPr>
      <w:r>
        <w:t>The Health Center Provider Survey (</w:t>
      </w:r>
      <w:r w:rsidR="005312D4">
        <w:rPr>
          <w:b/>
        </w:rPr>
        <w:t>Attachment 4</w:t>
      </w:r>
      <w:r>
        <w:rPr>
          <w:b/>
        </w:rPr>
        <w:t xml:space="preserve">a and </w:t>
      </w:r>
      <w:r w:rsidR="005312D4">
        <w:rPr>
          <w:b/>
        </w:rPr>
        <w:t>4</w:t>
      </w:r>
      <w:r w:rsidRPr="006E71E1">
        <w:rPr>
          <w:b/>
        </w:rPr>
        <w:t>b</w:t>
      </w:r>
      <w:r>
        <w:t>) asks providers to report on their knowledge of and practices consistent with evidence-based guidelines for reproductive health services, youth</w:t>
      </w:r>
      <w:r w:rsidR="00D22176">
        <w:t>-</w:t>
      </w:r>
      <w:r>
        <w:t xml:space="preserve">friendly best practices, and the provision of contraception to sexually active teens. </w:t>
      </w:r>
      <w:r w:rsidRPr="006E71E1" w:rsidR="003F134F">
        <w:t>The</w:t>
      </w:r>
      <w:r w:rsidR="003F134F">
        <w:t xml:space="preserve"> Health Center Organizational Assessment </w:t>
      </w:r>
      <w:r>
        <w:t>(</w:t>
      </w:r>
      <w:r w:rsidR="005312D4">
        <w:rPr>
          <w:b/>
        </w:rPr>
        <w:t>Attachment 3a and 3</w:t>
      </w:r>
      <w:r>
        <w:rPr>
          <w:b/>
        </w:rPr>
        <w:t>b</w:t>
      </w:r>
      <w:r w:rsidRPr="00FF2417">
        <w:t>)</w:t>
      </w:r>
      <w:r w:rsidRPr="006E71E1">
        <w:t xml:space="preserve"> </w:t>
      </w:r>
      <w:r w:rsidR="003F134F">
        <w:t xml:space="preserve">examines health center policies, procedures, and practices associated with providing reproductive health care to </w:t>
      </w:r>
      <w:r w:rsidR="00755837">
        <w:t xml:space="preserve">adolescents. </w:t>
      </w:r>
      <w:r w:rsidR="003F134F">
        <w:t xml:space="preserve">The </w:t>
      </w:r>
      <w:r>
        <w:t xml:space="preserve">Annual and Quarterly </w:t>
      </w:r>
      <w:r w:rsidR="003F134F">
        <w:t>Health Center Performance Measure Reporting Tools</w:t>
      </w:r>
      <w:r>
        <w:t xml:space="preserve"> (</w:t>
      </w:r>
      <w:r w:rsidR="005312D4">
        <w:rPr>
          <w:b/>
        </w:rPr>
        <w:t>Attachments 5a, 5b, 6a and 6</w:t>
      </w:r>
      <w:r>
        <w:rPr>
          <w:b/>
        </w:rPr>
        <w:t>b</w:t>
      </w:r>
      <w:r>
        <w:t>)</w:t>
      </w:r>
      <w:r w:rsidR="003F134F">
        <w:t xml:space="preserve"> include aggregate data on the number of youth served and the number of youth receiving certain types of services from health centers. The Awardee Training and Technical Assistance Tool (</w:t>
      </w:r>
      <w:r w:rsidR="005312D4">
        <w:rPr>
          <w:b/>
        </w:rPr>
        <w:t>Attachment 7</w:t>
      </w:r>
      <w:r w:rsidR="003F134F">
        <w:t xml:space="preserve">) asks awardees to report on the training and technical assistance provided to partners. The Awardee Performance Measurement </w:t>
      </w:r>
      <w:r>
        <w:t>Tool (</w:t>
      </w:r>
      <w:r w:rsidR="005312D4">
        <w:rPr>
          <w:b/>
        </w:rPr>
        <w:t>Attachment 8a and 8</w:t>
      </w:r>
      <w:r>
        <w:rPr>
          <w:b/>
        </w:rPr>
        <w:t>b</w:t>
      </w:r>
      <w:r>
        <w:t xml:space="preserve">) </w:t>
      </w:r>
      <w:r w:rsidR="003F134F">
        <w:t>asks the grantee to report on partnerships developed and on communication efforts.</w:t>
      </w:r>
    </w:p>
    <w:p w:rsidR="00B26CF9" w:rsidRDefault="00B26CF9" w14:paraId="158F8B08" w14:textId="5D8EC749">
      <w:pPr>
        <w:ind w:left="360"/>
        <w:rPr>
          <w:rFonts w:eastAsia="Times New Roman" w:cs="Times New Roman"/>
          <w:i/>
          <w:iCs/>
        </w:rPr>
      </w:pPr>
      <w:r>
        <w:rPr>
          <w:rFonts w:eastAsia="Times New Roman" w:cs="Times New Roman"/>
          <w:i/>
          <w:iCs/>
        </w:rPr>
        <w:t>How Information Will be Shared and For What Purpose</w:t>
      </w:r>
    </w:p>
    <w:p w:rsidR="00847889" w:rsidP="00EF3639" w:rsidRDefault="00161C4F" w14:paraId="66E6AA84" w14:textId="39E71962">
      <w:pPr>
        <w:ind w:left="360"/>
      </w:pPr>
      <w:r>
        <w:t xml:space="preserve">Results from the tools </w:t>
      </w:r>
      <w:r w:rsidR="00D22176">
        <w:t>are</w:t>
      </w:r>
      <w:r>
        <w:t xml:space="preserve"> summarized in written reports provided to each of the awardees in order that awardees may work with their health center partners to adjust training and technical assistance plans for partners who are not making sufficient progress or, if needed due to ongoing lack of progress, end the partnership with the health center. </w:t>
      </w:r>
      <w:r w:rsidR="00847889">
        <w:t>The data collected is also used by grantees as part of their evaluation plans with annual evaluation reports submitted to CDC.  CDC is using the data to evaluate the overall program and determine the impact of this program’s approach to improving adolescent access to reproductive health care. CDC has presented an overview of the project including baseline data summarizing organizational and provider factors that influence access and quality of adolescent reproductive health care at the Society for Adolescent Health and Medicine Annual Meeting.  Grantees have made similar presentations providing an overview of their individual projects and baseline data from their health center partners at state and national conferences (e.g., C</w:t>
      </w:r>
      <w:r w:rsidR="00473B5F">
        <w:t>onference on Adolescent Health) [8].</w:t>
      </w:r>
    </w:p>
    <w:p w:rsidR="00847889" w:rsidP="00161C4F" w:rsidRDefault="00847889" w14:paraId="0776AD0C" w14:textId="77777777">
      <w:pPr>
        <w:ind w:left="360"/>
      </w:pPr>
    </w:p>
    <w:p w:rsidR="00B26CF9" w:rsidRDefault="00161C4F" w14:paraId="4A49FB60" w14:textId="424FE163">
      <w:pPr>
        <w:ind w:left="360"/>
        <w:rPr>
          <w:rFonts w:eastAsia="Times New Roman" w:cs="Times New Roman"/>
          <w:i/>
          <w:iCs/>
        </w:rPr>
      </w:pPr>
      <w:r>
        <w:rPr>
          <w:rFonts w:eastAsia="Times New Roman" w:cs="Times New Roman"/>
          <w:i/>
          <w:iCs/>
        </w:rPr>
        <w:t>I</w:t>
      </w:r>
      <w:r w:rsidR="00B26CF9">
        <w:rPr>
          <w:rFonts w:eastAsia="Times New Roman" w:cs="Times New Roman"/>
          <w:i/>
          <w:iCs/>
        </w:rPr>
        <w:t>mpact of the Proposed Collection on Respondents’ Privacy</w:t>
      </w:r>
    </w:p>
    <w:p w:rsidR="003903B8" w:rsidP="006E71E1" w:rsidRDefault="003903B8" w14:paraId="1BE118DE" w14:textId="22D01141">
      <w:pPr>
        <w:ind w:left="360"/>
      </w:pPr>
      <w:r>
        <w:lastRenderedPageBreak/>
        <w:t>The Health Center Provider Survey (</w:t>
      </w:r>
      <w:r w:rsidR="005312D4">
        <w:rPr>
          <w:b/>
        </w:rPr>
        <w:t>Attachment 4</w:t>
      </w:r>
      <w:r>
        <w:rPr>
          <w:b/>
        </w:rPr>
        <w:t xml:space="preserve">a and </w:t>
      </w:r>
      <w:r w:rsidR="005312D4">
        <w:rPr>
          <w:b/>
        </w:rPr>
        <w:t>4</w:t>
      </w:r>
      <w:r w:rsidRPr="006E71E1">
        <w:rPr>
          <w:b/>
        </w:rPr>
        <w:t>b</w:t>
      </w:r>
      <w:r>
        <w:t>) is completed anonymously.  In health centers or practice settings with only one provider (i.e., in rural areas), the provider survey data is only released in aggregate to assure that an individual provider’s responses cannot be identified.</w:t>
      </w:r>
    </w:p>
    <w:p w:rsidR="006E71E1" w:rsidP="006E71E1" w:rsidRDefault="006E71E1" w14:paraId="655D6E88" w14:textId="32C160AC">
      <w:pPr>
        <w:ind w:left="360"/>
      </w:pPr>
      <w:r>
        <w:t xml:space="preserve">The </w:t>
      </w:r>
      <w:r w:rsidR="00473B5F">
        <w:t>data collection instrument</w:t>
      </w:r>
      <w:r>
        <w:t xml:space="preserve"> completed on behalf of health centers do not include confidential business information.  However, services associated with adolescent reproductive health care or referral to such care can be sensitive topics.  As such, CDC will not identify health centers when findings are disseminated.</w:t>
      </w:r>
    </w:p>
    <w:p w:rsidR="00B26CF9" w:rsidRDefault="00B26CF9" w14:paraId="79B295B7" w14:textId="71F1C904">
      <w:pPr>
        <w:ind w:left="360"/>
        <w:rPr>
          <w:rFonts w:eastAsia="Times New Roman" w:cs="Times New Roman"/>
          <w:i/>
          <w:iCs/>
        </w:rPr>
      </w:pPr>
      <w:r>
        <w:rPr>
          <w:rFonts w:eastAsia="Times New Roman" w:cs="Times New Roman"/>
          <w:i/>
          <w:iCs/>
        </w:rPr>
        <w:t>Opportunities to Consent</w:t>
      </w:r>
    </w:p>
    <w:p w:rsidR="00E15B23" w:rsidP="00E15B23" w:rsidRDefault="00E15B23" w14:paraId="4AD940BE" w14:textId="1893E1C2">
      <w:pPr>
        <w:ind w:left="360"/>
      </w:pPr>
      <w:r>
        <w:t>Before respondents answer questions on the Health Center Provider Survey (</w:t>
      </w:r>
      <w:r>
        <w:rPr>
          <w:b/>
        </w:rPr>
        <w:t>Attachment 5a and 5b</w:t>
      </w:r>
      <w:r w:rsidRPr="003F134F">
        <w:t>)</w:t>
      </w:r>
      <w:r w:rsidR="00755837">
        <w:t>,</w:t>
      </w:r>
      <w:r>
        <w:t xml:space="preserve"> they will be informed about the voluntary nature of participation in a brief description at the top of each instrument. The brief description also will assure potential respondents that their answers will be maintained in a secure manner. </w:t>
      </w:r>
    </w:p>
    <w:p w:rsidRPr="003F134F" w:rsidR="00E15B23" w:rsidP="00E15B23" w:rsidRDefault="00E15B23" w14:paraId="63B9869A" w14:textId="66E32ACE">
      <w:pPr>
        <w:ind w:left="360"/>
        <w:rPr>
          <w:rFonts w:eastAsia="Times New Roman" w:cs="Times New Roman"/>
          <w:iCs/>
        </w:rPr>
      </w:pPr>
      <w:r>
        <w:t xml:space="preserve">Health center partners participate voluntarily in the overall project but, if they decide to participate, </w:t>
      </w:r>
      <w:r w:rsidR="00F01FA0">
        <w:t>are</w:t>
      </w:r>
      <w:r>
        <w:t xml:space="preserve"> required to complete the Health Center Organizational Assessment (</w:t>
      </w:r>
      <w:r w:rsidR="005312D4">
        <w:rPr>
          <w:b/>
        </w:rPr>
        <w:t>Attachment 3a and 3</w:t>
      </w:r>
      <w:r>
        <w:rPr>
          <w:b/>
        </w:rPr>
        <w:t>b</w:t>
      </w:r>
      <w:r>
        <w:t>), as well as the Quarterly and Annual Health Center PMRT (</w:t>
      </w:r>
      <w:r w:rsidR="005312D4">
        <w:rPr>
          <w:b/>
        </w:rPr>
        <w:t>Attachment 5a, 5b, 6a and 6</w:t>
      </w:r>
      <w:r w:rsidRPr="00E15B23">
        <w:rPr>
          <w:b/>
        </w:rPr>
        <w:t>b</w:t>
      </w:r>
      <w:r>
        <w:t>)</w:t>
      </w:r>
      <w:r w:rsidR="003F134F">
        <w:t xml:space="preserve">. This agreement to complete the measures as part of participating in the project is formalized ahead of measurement completion </w:t>
      </w:r>
      <w:r>
        <w:t xml:space="preserve">through a memorandum of understanding </w:t>
      </w:r>
      <w:r w:rsidR="003F134F">
        <w:t>between the health center partner and</w:t>
      </w:r>
      <w:r>
        <w:t xml:space="preserve"> the awardee.</w:t>
      </w:r>
      <w:r w:rsidR="003F134F">
        <w:t xml:space="preserve">  Awardees </w:t>
      </w:r>
      <w:r w:rsidR="00755837">
        <w:t>are required to complete the</w:t>
      </w:r>
      <w:r w:rsidR="003F134F">
        <w:t xml:space="preserve"> Awardee Training and Technical Assistance Tool (</w:t>
      </w:r>
      <w:r w:rsidR="003F134F">
        <w:rPr>
          <w:b/>
        </w:rPr>
        <w:t xml:space="preserve">Attachment </w:t>
      </w:r>
      <w:r w:rsidR="005312D4">
        <w:rPr>
          <w:b/>
        </w:rPr>
        <w:t>7</w:t>
      </w:r>
      <w:r w:rsidR="003F134F">
        <w:t xml:space="preserve">) </w:t>
      </w:r>
      <w:r w:rsidRPr="003F134F" w:rsidR="003F134F">
        <w:t>and</w:t>
      </w:r>
      <w:r w:rsidR="003F134F">
        <w:t xml:space="preserve"> the Awardee PMRT (</w:t>
      </w:r>
      <w:r w:rsidR="003F134F">
        <w:rPr>
          <w:b/>
        </w:rPr>
        <w:t xml:space="preserve">Attachment </w:t>
      </w:r>
      <w:r w:rsidR="005312D4">
        <w:rPr>
          <w:b/>
        </w:rPr>
        <w:t>8</w:t>
      </w:r>
      <w:r w:rsidR="003F134F">
        <w:rPr>
          <w:b/>
        </w:rPr>
        <w:t xml:space="preserve">a and </w:t>
      </w:r>
      <w:r w:rsidR="005312D4">
        <w:rPr>
          <w:b/>
        </w:rPr>
        <w:t>8</w:t>
      </w:r>
      <w:r w:rsidR="003F134F">
        <w:rPr>
          <w:b/>
        </w:rPr>
        <w:t>b</w:t>
      </w:r>
      <w:r w:rsidR="003F134F">
        <w:t>)</w:t>
      </w:r>
      <w:r w:rsidR="00755837">
        <w:t xml:space="preserve"> in order to receive grant funding</w:t>
      </w:r>
      <w:r w:rsidR="003F134F">
        <w:t>.</w:t>
      </w:r>
    </w:p>
    <w:p w:rsidRPr="00D9428A" w:rsidR="00B26CF9" w:rsidRDefault="00B26CF9" w14:paraId="28B4B1CC" w14:textId="1F2554FF">
      <w:pPr>
        <w:ind w:left="360"/>
        <w:rPr>
          <w:i/>
        </w:rPr>
      </w:pPr>
      <w:r>
        <w:rPr>
          <w:rFonts w:eastAsia="Times New Roman" w:cs="Times New Roman"/>
          <w:i/>
          <w:iCs/>
        </w:rPr>
        <w:t xml:space="preserve">How Information Will Be Secured </w:t>
      </w:r>
    </w:p>
    <w:p w:rsidR="00882B62" w:rsidRDefault="00196914" w14:paraId="24E3ED6B" w14:textId="4D30919E">
      <w:pPr>
        <w:ind w:left="360"/>
      </w:pPr>
      <w:r>
        <w:t xml:space="preserve">Safeguards exist to minimize possibility of unauthorized access, use or dissemination of information being collected. Paper files received by the awardee organization </w:t>
      </w:r>
      <w:r w:rsidR="00C62E4F">
        <w:t>are</w:t>
      </w:r>
      <w:r>
        <w:t xml:space="preserve"> stored in a locked file cabinet, with only access allowed for identified staff.  Data </w:t>
      </w:r>
      <w:r w:rsidR="00C62E4F">
        <w:t>is</w:t>
      </w:r>
      <w:r>
        <w:t xml:space="preserve"> submitted to CDC through the online data collection system.  </w:t>
      </w:r>
      <w:r w:rsidR="00161C4F">
        <w:t>All electronic data are stored on secured servers protected with firewalls and passwords.  All employees are trained on data security measures by taking appropriate HHS courses online. The data collection system adheres to HHS and CDC IT policies and procedures.</w:t>
      </w:r>
    </w:p>
    <w:p w:rsidR="003F134F" w:rsidRDefault="003F134F" w14:paraId="3AA47987" w14:textId="77777777">
      <w:pPr>
        <w:ind w:left="360"/>
      </w:pPr>
    </w:p>
    <w:p w:rsidR="003F134F" w:rsidRDefault="003F134F" w14:paraId="6001A19C" w14:textId="77777777">
      <w:pPr>
        <w:ind w:left="360"/>
      </w:pPr>
    </w:p>
    <w:p w:rsidR="00882B62" w:rsidRDefault="00196914" w14:paraId="07B30B38" w14:textId="6BEC5452">
      <w:pPr>
        <w:ind w:left="360"/>
        <w:rPr>
          <w:b/>
        </w:rPr>
      </w:pPr>
      <w:r>
        <w:rPr>
          <w:b/>
        </w:rPr>
        <w:t xml:space="preserve">11. </w:t>
      </w:r>
      <w:r w:rsidR="00865642">
        <w:rPr>
          <w:b/>
        </w:rPr>
        <w:t xml:space="preserve">Institutional Review Board (IRB) and </w:t>
      </w:r>
      <w:r>
        <w:rPr>
          <w:b/>
        </w:rPr>
        <w:t>Justification for Sensitive Questions</w:t>
      </w:r>
    </w:p>
    <w:p w:rsidR="00882B62" w:rsidRDefault="00865642" w14:paraId="00D5E047" w14:textId="6280BFB9">
      <w:pPr>
        <w:ind w:left="360"/>
        <w:rPr>
          <w:rFonts w:cs="ITC Franklin Gothic Std Book"/>
          <w:color w:val="000000"/>
        </w:rPr>
      </w:pPr>
      <w:r>
        <w:t>IRB approval was not required as this project was approved as public health practice.</w:t>
      </w:r>
      <w:r w:rsidR="00D9428A">
        <w:t xml:space="preserve"> </w:t>
      </w:r>
      <w:r w:rsidR="00196914">
        <w:rPr>
          <w:rFonts w:cs="ITC Franklin Gothic Std Book"/>
          <w:color w:val="000000"/>
        </w:rPr>
        <w:t>A portion of respondents may view race and ethnicity data, as well as receipt and provision of reproductive health care services</w:t>
      </w:r>
      <w:r w:rsidR="00E8632C">
        <w:rPr>
          <w:rFonts w:cs="ITC Franklin Gothic Std Book"/>
          <w:color w:val="000000"/>
        </w:rPr>
        <w:t>,</w:t>
      </w:r>
      <w:r w:rsidR="00196914">
        <w:rPr>
          <w:rFonts w:cs="ITC Franklin Gothic Std Book"/>
          <w:color w:val="000000"/>
        </w:rPr>
        <w:t xml:space="preserve"> as sensitive.</w:t>
      </w:r>
      <w:r w:rsidR="00196914">
        <w:t xml:space="preserve"> The only data collection instrument that collect</w:t>
      </w:r>
      <w:r w:rsidR="00910B3B">
        <w:t>s</w:t>
      </w:r>
      <w:r w:rsidR="00196914">
        <w:t xml:space="preserve"> race/ethnicity data</w:t>
      </w:r>
      <w:r w:rsidR="003B76F1">
        <w:t xml:space="preserve"> during the extension period</w:t>
      </w:r>
      <w:r w:rsidR="00196914">
        <w:t xml:space="preserve"> </w:t>
      </w:r>
      <w:r w:rsidR="00910B3B">
        <w:t xml:space="preserve">is </w:t>
      </w:r>
      <w:r w:rsidR="00196914">
        <w:t>the Annual Health Center Performance Measure Reporting Tool (</w:t>
      </w:r>
      <w:r w:rsidR="00196914">
        <w:rPr>
          <w:b/>
        </w:rPr>
        <w:t xml:space="preserve">Attachment </w:t>
      </w:r>
      <w:r w:rsidR="005312D4">
        <w:rPr>
          <w:b/>
        </w:rPr>
        <w:t>6a and 6</w:t>
      </w:r>
      <w:r w:rsidR="00F45F01">
        <w:rPr>
          <w:b/>
        </w:rPr>
        <w:t>b</w:t>
      </w:r>
      <w:r w:rsidR="00C51E18">
        <w:t>)</w:t>
      </w:r>
      <w:r w:rsidR="00196914">
        <w:rPr>
          <w:b/>
        </w:rPr>
        <w:t xml:space="preserve">.  </w:t>
      </w:r>
      <w:r w:rsidR="00910B3B">
        <w:t xml:space="preserve">The </w:t>
      </w:r>
      <w:r w:rsidR="00CE14A0">
        <w:t>tool</w:t>
      </w:r>
      <w:r w:rsidR="00910B3B">
        <w:t xml:space="preserve"> asks</w:t>
      </w:r>
      <w:r w:rsidR="00196914">
        <w:t xml:space="preserve"> partners to report on the race/ethnicity of the youth that they serve in aggregate using administrative data.  This data from the Annual Health Center Performance Measure Reporting Tool is important for tracking provision of contraceptives by the race/ethnicity of the youth served; particularly because minority women in the past have experienced coercion related to birth control, it is important to monitor contraceptive provision by race/ethnicity.   </w:t>
      </w:r>
    </w:p>
    <w:p w:rsidR="00882B62" w:rsidRDefault="00910B3B" w14:paraId="2809BE77" w14:textId="37A7BF5C">
      <w:pPr>
        <w:ind w:left="360"/>
      </w:pPr>
      <w:r>
        <w:rPr>
          <w:rFonts w:cs="ITC Franklin Gothic Std Book"/>
          <w:color w:val="000000"/>
        </w:rPr>
        <w:lastRenderedPageBreak/>
        <w:t>R</w:t>
      </w:r>
      <w:r w:rsidR="00196914">
        <w:rPr>
          <w:rFonts w:cs="ITC Franklin Gothic Std Book"/>
          <w:color w:val="000000"/>
        </w:rPr>
        <w:t>eporting using the HHS OMB categorizations for race</w:t>
      </w:r>
      <w:r w:rsidR="00A0202C">
        <w:rPr>
          <w:rFonts w:cs="ITC Franklin Gothic Std Book"/>
          <w:color w:val="000000"/>
        </w:rPr>
        <w:t>/</w:t>
      </w:r>
      <w:r w:rsidR="00196914">
        <w:rPr>
          <w:rFonts w:cs="ITC Franklin Gothic Std Book"/>
          <w:color w:val="000000"/>
        </w:rPr>
        <w:t xml:space="preserve">ethnicity for youth served at the health center is not practical nor feasible given the use of administrative data and would represent a much larger burden on the awardee, the partners and many youth users of reproductive health care services.  Therefore administrative data, which is only available in a combined format with no separate reporting for race and Hispanic ethnicity, is used.  </w:t>
      </w:r>
      <w:r w:rsidR="00196914">
        <w:t xml:space="preserve">Additionally, the grantees are all working in counties with either White or African American majorities.  In one of the communities, 15% of the population identifies as Hispanic.  The percentage of the population in the participating communities that is from other racial groups is very small.  Given this background, we determined that the smallest burden on the health centers was for them to report using a combined format and reporting only for Black/African American, White, Hispanic/Latino, and all other races.  If data for all other races were separated into distinct categories, the number of youth included would be very small and the data would be unreliable and not meaningful for tracking change. In addition, this may increase the risk for breach in confidentiality due to small cell sizes. </w:t>
      </w:r>
    </w:p>
    <w:p w:rsidR="00882B62" w:rsidRDefault="00196914" w14:paraId="61A6240E" w14:textId="467958F8">
      <w:pPr>
        <w:ind w:left="360"/>
      </w:pPr>
      <w:r>
        <w:t xml:space="preserve">Data collected from the health centers is not expected to result in liability or competitive disadvantage.  As noted previously, services associated with adolescent reproductive health care may be considered sensitive topics.  CDC will not identify health centers when findings are disseminated. These data are needed to track the impact of the activities to increase youth-friendly best practices in provision of reproductive health services. </w:t>
      </w:r>
    </w:p>
    <w:p w:rsidR="00882B62" w:rsidRDefault="00196914" w14:paraId="3DC20790" w14:textId="77777777">
      <w:pPr>
        <w:ind w:left="360"/>
        <w:rPr>
          <w:b/>
        </w:rPr>
      </w:pPr>
      <w:r>
        <w:rPr>
          <w:b/>
        </w:rPr>
        <w:t>12. Estimates of Annualized Burden of Hours and Costs</w:t>
      </w:r>
    </w:p>
    <w:p w:rsidR="00882B62" w:rsidRDefault="00196914" w14:paraId="57A8F2A2" w14:textId="6EE91A2A">
      <w:pPr>
        <w:ind w:left="360"/>
      </w:pPr>
      <w:r>
        <w:t>Table A.4 below summarizes the estimated burden hours</w:t>
      </w:r>
      <w:r w:rsidR="00FE52C3">
        <w:t xml:space="preserve"> for the </w:t>
      </w:r>
      <w:r w:rsidR="00953EF6">
        <w:t>revision</w:t>
      </w:r>
      <w:r w:rsidR="00FE52C3">
        <w:t xml:space="preserve"> period, which pertains only to health center </w:t>
      </w:r>
      <w:r w:rsidR="00B1254D">
        <w:t xml:space="preserve">and awardee </w:t>
      </w:r>
      <w:r w:rsidR="00FE52C3">
        <w:t>assessments</w:t>
      </w:r>
      <w:r>
        <w:t>. The estimated burden is based on the total number of target respondents multiplied by the number of times that each assessment (</w:t>
      </w:r>
      <w:r>
        <w:rPr>
          <w:b/>
        </w:rPr>
        <w:t xml:space="preserve">Attachments </w:t>
      </w:r>
      <w:r w:rsidR="005312D4">
        <w:rPr>
          <w:b/>
        </w:rPr>
        <w:t>3</w:t>
      </w:r>
      <w:r w:rsidR="00F45F01">
        <w:rPr>
          <w:b/>
        </w:rPr>
        <w:t>a</w:t>
      </w:r>
      <w:r>
        <w:rPr>
          <w:b/>
        </w:rPr>
        <w:t>-</w:t>
      </w:r>
      <w:r w:rsidR="005312D4">
        <w:rPr>
          <w:b/>
        </w:rPr>
        <w:t>8</w:t>
      </w:r>
      <w:r w:rsidR="00F45F01">
        <w:rPr>
          <w:b/>
        </w:rPr>
        <w:t>b</w:t>
      </w:r>
      <w:r>
        <w:t xml:space="preserve">) will be administered </w:t>
      </w:r>
      <w:r w:rsidR="00F50790">
        <w:t>during the extension period</w:t>
      </w:r>
      <w:r w:rsidR="00CF1249">
        <w:t xml:space="preserve"> (Table A.3)</w:t>
      </w:r>
      <w:r>
        <w:t xml:space="preserve">. The total estimated burden hours for all respondents is </w:t>
      </w:r>
      <w:r w:rsidR="003D226C">
        <w:t xml:space="preserve">485 </w:t>
      </w:r>
      <w:r>
        <w:t xml:space="preserve">hours.  The total estimated burden hours for private sector participants is </w:t>
      </w:r>
      <w:r w:rsidR="003D226C">
        <w:t xml:space="preserve">415 </w:t>
      </w:r>
      <w:r>
        <w:t>hours</w:t>
      </w:r>
      <w:r w:rsidR="00AF5D3D">
        <w:t xml:space="preserve"> </w:t>
      </w:r>
      <w:r>
        <w:t xml:space="preserve">and the total estimated burden hours for State and Local Government participants is </w:t>
      </w:r>
      <w:r w:rsidR="003D226C">
        <w:t>70</w:t>
      </w:r>
      <w:r w:rsidR="00AF5D3D">
        <w:t xml:space="preserve"> </w:t>
      </w:r>
      <w:r>
        <w:t xml:space="preserve">hours. </w:t>
      </w:r>
    </w:p>
    <w:p w:rsidR="00882B62" w:rsidRDefault="00196914" w14:paraId="169CFB03" w14:textId="2DBF6D1F">
      <w:pPr>
        <w:ind w:left="360"/>
      </w:pPr>
      <w:r>
        <w:t>The three awardees will complete the Awardee Training and Technical Assistance Tool (</w:t>
      </w:r>
      <w:r>
        <w:rPr>
          <w:b/>
        </w:rPr>
        <w:t xml:space="preserve">Attachment </w:t>
      </w:r>
      <w:r w:rsidR="005312D4">
        <w:rPr>
          <w:b/>
        </w:rPr>
        <w:t>7</w:t>
      </w:r>
      <w:r>
        <w:t xml:space="preserve">) </w:t>
      </w:r>
      <w:r w:rsidR="00473B5F">
        <w:t>each month through the remainder of the project (February 2020 to August 2020)</w:t>
      </w:r>
      <w:r w:rsidR="00D71E27">
        <w:t xml:space="preserve"> resulting in 8 completed tools</w:t>
      </w:r>
      <w:r>
        <w:t xml:space="preserve">. The </w:t>
      </w:r>
      <w:r w:rsidR="00D71E27">
        <w:t xml:space="preserve">tool </w:t>
      </w:r>
      <w:r>
        <w:t>assesses training and technical assistance provided by the awardee to health center and youth-serving system partners and is intended to track grantee implementation of planned efforts.  We estimate that it will take 2 hours per response to complete the</w:t>
      </w:r>
      <w:r w:rsidR="006911F5">
        <w:t xml:space="preserve"> tool</w:t>
      </w:r>
      <w:r>
        <w:t xml:space="preserve">. This estimation is based on use of </w:t>
      </w:r>
      <w:r w:rsidR="00C51E18">
        <w:t>this tool in the current project and</w:t>
      </w:r>
      <w:r>
        <w:t xml:space="preserve"> in a previous project that tracked training and technical assistance provided to health centers and YSOs (OMB </w:t>
      </w:r>
      <w:r w:rsidR="00FE3D35">
        <w:t>N</w:t>
      </w:r>
      <w:r>
        <w:t xml:space="preserve">o. 0920-0952, </w:t>
      </w:r>
      <w:r w:rsidR="00FE3D35">
        <w:t>Exp</w:t>
      </w:r>
      <w:r w:rsidR="00262665">
        <w:t>.</w:t>
      </w:r>
      <w:r>
        <w:t xml:space="preserve"> 12/31/2015).</w:t>
      </w:r>
      <w:r w:rsidR="00ED0E57">
        <w:t xml:space="preserve"> </w:t>
      </w:r>
    </w:p>
    <w:p w:rsidR="00882B62" w:rsidRDefault="00196914" w14:paraId="1F564FB9" w14:textId="7A714C1F">
      <w:pPr>
        <w:ind w:left="360"/>
      </w:pPr>
      <w:r>
        <w:t>The 3 awardees also will complete the Awardee Performance Measure Reporting Tool (</w:t>
      </w:r>
      <w:r>
        <w:rPr>
          <w:b/>
        </w:rPr>
        <w:t xml:space="preserve">Attachment </w:t>
      </w:r>
      <w:r w:rsidR="005312D4">
        <w:rPr>
          <w:b/>
        </w:rPr>
        <w:t>8a and 8</w:t>
      </w:r>
      <w:r w:rsidR="00F45F01">
        <w:rPr>
          <w:b/>
        </w:rPr>
        <w:t>b</w:t>
      </w:r>
      <w:r>
        <w:t xml:space="preserve">) </w:t>
      </w:r>
      <w:r w:rsidR="00D71E27">
        <w:t>during the final year of the project</w:t>
      </w:r>
      <w:r>
        <w:t xml:space="preserve">.   This tool is intended to track awardee performance with respect to building required partnerships and reaching youth with communication campaigns.  We estimate that it will take 1 hour per response based on the time it </w:t>
      </w:r>
      <w:r w:rsidR="00C51E18">
        <w:t xml:space="preserve">has been taking during this project and the time it </w:t>
      </w:r>
      <w:r>
        <w:t xml:space="preserve">took for grantees in a previous project to complete items from a similar tool (OMB </w:t>
      </w:r>
      <w:r w:rsidR="009C54A2">
        <w:t>N</w:t>
      </w:r>
      <w:r>
        <w:t xml:space="preserve">o. 0920-0952, </w:t>
      </w:r>
      <w:r w:rsidR="009C54A2">
        <w:t>Exp.</w:t>
      </w:r>
      <w:r>
        <w:t xml:space="preserve"> 12/31/2015).</w:t>
      </w:r>
    </w:p>
    <w:p w:rsidR="00882B62" w:rsidRDefault="0065707D" w14:paraId="36F8BF9E" w14:textId="7F9DBD75">
      <w:pPr>
        <w:ind w:left="360"/>
      </w:pPr>
      <w:r>
        <w:t xml:space="preserve">We anticipate that </w:t>
      </w:r>
      <w:r w:rsidR="00676C55">
        <w:t xml:space="preserve">there will be </w:t>
      </w:r>
      <w:r w:rsidR="00196914">
        <w:t xml:space="preserve">25 partner health centers (21 private and 4 state/local government) Health Center Organizational Assessment </w:t>
      </w:r>
      <w:r w:rsidR="007232AE">
        <w:t>(</w:t>
      </w:r>
      <w:r w:rsidR="007232AE">
        <w:rPr>
          <w:b/>
        </w:rPr>
        <w:t xml:space="preserve">Attachment </w:t>
      </w:r>
      <w:r w:rsidR="005312D4">
        <w:rPr>
          <w:b/>
        </w:rPr>
        <w:t>3</w:t>
      </w:r>
      <w:r w:rsidR="00F45F01">
        <w:rPr>
          <w:b/>
        </w:rPr>
        <w:t xml:space="preserve">a and </w:t>
      </w:r>
      <w:r w:rsidR="005312D4">
        <w:rPr>
          <w:b/>
        </w:rPr>
        <w:t>3</w:t>
      </w:r>
      <w:r w:rsidR="00F45F01">
        <w:rPr>
          <w:b/>
        </w:rPr>
        <w:t>b</w:t>
      </w:r>
      <w:r w:rsidR="007232AE">
        <w:t xml:space="preserve">) </w:t>
      </w:r>
      <w:r w:rsidR="00676C55">
        <w:t xml:space="preserve">is administered.  Completion of the measure will be required of all partner health centers </w:t>
      </w:r>
      <w:r w:rsidRPr="007232AE" w:rsidR="00196914">
        <w:t xml:space="preserve">once </w:t>
      </w:r>
      <w:r w:rsidRPr="007232AE" w:rsidR="00AF5D3D">
        <w:t>during</w:t>
      </w:r>
      <w:r w:rsidR="00AF5D3D">
        <w:t xml:space="preserve"> the final year of the project</w:t>
      </w:r>
      <w:r w:rsidR="00196914">
        <w:t xml:space="preserve">.  The measure assesses </w:t>
      </w:r>
      <w:r w:rsidR="00196914">
        <w:lastRenderedPageBreak/>
        <w:t xml:space="preserve">health center policies, procedures, and practices associated with providing reproductive health care to adolescents and will be used to identify training and technical assistance </w:t>
      </w:r>
      <w:r w:rsidR="00AF5D3D">
        <w:t xml:space="preserve">needed to </w:t>
      </w:r>
      <w:r w:rsidR="007232AE">
        <w:t>sustain</w:t>
      </w:r>
      <w:r w:rsidR="00AF5D3D">
        <w:t xml:space="preserve"> project changes </w:t>
      </w:r>
      <w:r w:rsidR="00196914">
        <w:t xml:space="preserve">and track progress in provision of youth friendly reproductive health care.  Completing the </w:t>
      </w:r>
      <w:r w:rsidR="00D71E27">
        <w:t xml:space="preserve">assessment </w:t>
      </w:r>
      <w:r w:rsidR="00196914">
        <w:t xml:space="preserve">will take an estimated 2 hours per response; the response time estimate is also based on experience </w:t>
      </w:r>
      <w:r w:rsidR="00AF5D3D">
        <w:t xml:space="preserve">during this project and </w:t>
      </w:r>
      <w:r w:rsidR="00196914">
        <w:t xml:space="preserve">from a similar </w:t>
      </w:r>
      <w:r w:rsidR="00D71E27">
        <w:t xml:space="preserve">data collection instrument </w:t>
      </w:r>
      <w:r w:rsidR="00196914">
        <w:t xml:space="preserve">used in a previous project (OMB no. 0920-0952, exp. Date 12/31/2015).  </w:t>
      </w:r>
    </w:p>
    <w:p w:rsidR="00196E42" w:rsidRDefault="00196E42" w14:paraId="7313DEDA" w14:textId="77777777">
      <w:pPr>
        <w:ind w:left="360"/>
      </w:pPr>
    </w:p>
    <w:p w:rsidR="00882B62" w:rsidRDefault="00196E42" w14:paraId="3185458B" w14:textId="060C79C6">
      <w:pPr>
        <w:ind w:left="360"/>
      </w:pPr>
      <w:r>
        <w:t xml:space="preserve">Each of the </w:t>
      </w:r>
      <w:r w:rsidR="0065707D">
        <w:t>anticipated</w:t>
      </w:r>
      <w:r w:rsidR="00196914">
        <w:t xml:space="preserve">25 partner health centers (21 private and 4 state/government) </w:t>
      </w:r>
      <w:r>
        <w:t xml:space="preserve">will </w:t>
      </w:r>
      <w:r w:rsidR="005F1FFA">
        <w:t>complete</w:t>
      </w:r>
      <w:r w:rsidR="00196914">
        <w:t xml:space="preserve"> the Quarterly Health Center </w:t>
      </w:r>
      <w:r w:rsidR="00CE062F">
        <w:t>Performance Measure Reporting Tool (</w:t>
      </w:r>
      <w:r w:rsidR="00196914">
        <w:t>PMRT</w:t>
      </w:r>
      <w:r w:rsidR="00CE062F">
        <w:t xml:space="preserve">, </w:t>
      </w:r>
      <w:r w:rsidR="00196914">
        <w:rPr>
          <w:b/>
        </w:rPr>
        <w:t xml:space="preserve">Attachment </w:t>
      </w:r>
      <w:r w:rsidR="005312D4">
        <w:rPr>
          <w:b/>
        </w:rPr>
        <w:t>5</w:t>
      </w:r>
      <w:r w:rsidR="00F45F01">
        <w:rPr>
          <w:b/>
        </w:rPr>
        <w:t xml:space="preserve">a and </w:t>
      </w:r>
      <w:r w:rsidR="005312D4">
        <w:rPr>
          <w:b/>
        </w:rPr>
        <w:t>5</w:t>
      </w:r>
      <w:r w:rsidR="00F45F01">
        <w:rPr>
          <w:b/>
        </w:rPr>
        <w:t>b</w:t>
      </w:r>
      <w:r w:rsidR="00196914">
        <w:t xml:space="preserve">) </w:t>
      </w:r>
      <w:r w:rsidR="00CE062F">
        <w:t xml:space="preserve">for quarter one and two </w:t>
      </w:r>
      <w:r w:rsidR="00196914">
        <w:t xml:space="preserve">of the </w:t>
      </w:r>
      <w:r>
        <w:t>final year of the project.</w:t>
      </w:r>
      <w:r w:rsidR="00196914">
        <w:t xml:space="preserve">  </w:t>
      </w:r>
      <w:r>
        <w:t xml:space="preserve">This </w:t>
      </w:r>
      <w:r w:rsidR="00D71E27">
        <w:t xml:space="preserve">tool </w:t>
      </w:r>
      <w:r>
        <w:t xml:space="preserve">assesses health care service use by adolescents and contraception provided to adolescents to determine progress toward project objectives.  Data to be reported in the tool is already collected by health center partners through their electronic medical record systems.  </w:t>
      </w:r>
      <w:r w:rsidR="00196914">
        <w:t xml:space="preserve">We estimate that completing the Quarterly Health Center PMRT will take approximately 4 hours.  </w:t>
      </w:r>
      <w:r>
        <w:t xml:space="preserve">We anticipate that this will include the time health centers will need to program a report to be run within their electronic medical records system; </w:t>
      </w:r>
      <w:r w:rsidR="00240DE2">
        <w:t>most</w:t>
      </w:r>
      <w:r>
        <w:t xml:space="preserve"> health centers </w:t>
      </w:r>
      <w:r w:rsidR="00240DE2">
        <w:t>use</w:t>
      </w:r>
      <w:r>
        <w:t xml:space="preserve"> program</w:t>
      </w:r>
      <w:r w:rsidR="00CE062F">
        <w:t>s developed at the beginning of the project</w:t>
      </w:r>
      <w:r>
        <w:t xml:space="preserve"> to run the report each </w:t>
      </w:r>
      <w:r w:rsidR="00240DE2">
        <w:t>quarter</w:t>
      </w:r>
      <w:r>
        <w:t xml:space="preserve">, substantially decreasing the time to complete. </w:t>
      </w:r>
    </w:p>
    <w:p w:rsidR="00196E42" w:rsidP="00196E42" w:rsidRDefault="00AF5D3D" w14:paraId="086F64F8" w14:textId="0D35A503">
      <w:pPr>
        <w:ind w:left="360"/>
      </w:pPr>
      <w:r>
        <w:t xml:space="preserve">Each of the anticipated 25 partner health centers (21 private and 4 state/local government) also will complete the Annual Health Center PMRT which assesses health care service use by adolescents and contraception provided to adolescents </w:t>
      </w:r>
      <w:r w:rsidR="00196E42">
        <w:t>in somewhat greater detail that does the Quarterly Health Center PMRT.  Partner health centers will complete one time</w:t>
      </w:r>
      <w:r w:rsidR="00CE062F">
        <w:t xml:space="preserve"> after the third quarter is completed</w:t>
      </w:r>
      <w:r w:rsidR="007232AE">
        <w:t>,</w:t>
      </w:r>
      <w:r w:rsidR="00196E42">
        <w:t xml:space="preserve"> and</w:t>
      </w:r>
      <w:r w:rsidR="007232AE">
        <w:t xml:space="preserve"> the information gathered</w:t>
      </w:r>
      <w:r w:rsidR="00196E42">
        <w:t xml:space="preserve"> will be used to determine the extent to which the partners reached project objectives. </w:t>
      </w:r>
      <w:r w:rsidR="000D2E8A">
        <w:t>Alt</w:t>
      </w:r>
      <w:r w:rsidR="00CE062F">
        <w:t>hough we would prefer to have annual data for all of FY 2020, the project ends just prior to the end of the fiscal year and, thus, leaves no time for awardees to work with their partners to collect quarter four or full year data.  We propose to use the Annual Health Center Performance Measure Reporting Tool (</w:t>
      </w:r>
      <w:r w:rsidR="00CE062F">
        <w:rPr>
          <w:b/>
        </w:rPr>
        <w:t xml:space="preserve">Attachment </w:t>
      </w:r>
      <w:r w:rsidR="005312D4">
        <w:rPr>
          <w:b/>
        </w:rPr>
        <w:t>6</w:t>
      </w:r>
      <w:r w:rsidR="00F45F01">
        <w:rPr>
          <w:b/>
        </w:rPr>
        <w:t xml:space="preserve">a and </w:t>
      </w:r>
      <w:r w:rsidR="005312D4">
        <w:rPr>
          <w:b/>
        </w:rPr>
        <w:t>6</w:t>
      </w:r>
      <w:r w:rsidR="00F45F01">
        <w:rPr>
          <w:b/>
        </w:rPr>
        <w:t>b</w:t>
      </w:r>
      <w:r w:rsidR="00CE062F">
        <w:t xml:space="preserve">) rather than the Quarterly version because the Annual version includes some unique items (e.g., service provision by race/ethnicity) that would allow us to estimate some changes over the course of the project (e.g., changes in service provision by race/ethnicity from the start to the end of the project). </w:t>
      </w:r>
      <w:r>
        <w:t xml:space="preserve">The Annual Health Center PMRT is estimated to take an average of 6 hours to complete.  </w:t>
      </w:r>
      <w:r w:rsidR="00196E42">
        <w:t xml:space="preserve">The estimated time to complete the Annual and Quarterly PMRTs is based on our experience during the current project and with a similar PMRT used in a previous project (OMB no. 0920-0952, exp. Date 12/31/2015). </w:t>
      </w:r>
    </w:p>
    <w:p w:rsidR="00882B62" w:rsidRDefault="00196914" w14:paraId="60C9A75B" w14:textId="5D9DB4F4">
      <w:pPr>
        <w:ind w:left="360"/>
      </w:pPr>
      <w:r>
        <w:t xml:space="preserve">Providers at the health center partners </w:t>
      </w:r>
      <w:r w:rsidR="009D6020">
        <w:t>are</w:t>
      </w:r>
      <w:r>
        <w:t xml:space="preserve"> asked to complete a Health Center Provider Survey (</w:t>
      </w:r>
      <w:r>
        <w:rPr>
          <w:b/>
        </w:rPr>
        <w:t xml:space="preserve">Attachment </w:t>
      </w:r>
      <w:r w:rsidR="005312D4">
        <w:rPr>
          <w:b/>
        </w:rPr>
        <w:t>4</w:t>
      </w:r>
      <w:r w:rsidR="00171ADC">
        <w:rPr>
          <w:b/>
        </w:rPr>
        <w:t xml:space="preserve">a and </w:t>
      </w:r>
      <w:r w:rsidR="005312D4">
        <w:rPr>
          <w:b/>
        </w:rPr>
        <w:t>4</w:t>
      </w:r>
      <w:r w:rsidR="00171ADC">
        <w:rPr>
          <w:b/>
        </w:rPr>
        <w:t>b</w:t>
      </w:r>
      <w:r>
        <w:t xml:space="preserve">) annually.  The survey assesses clinical provider attitudes and practices associated with providing reproductive health care to adolescents and will be used to assess awardee and health center performance in encouraging clinical providers to engage in youth friendly best practices when providing adolescent reproductive health care. Based on grantees’ understanding of the number of providers at anticipated health center partners, we estimate that </w:t>
      </w:r>
      <w:r w:rsidR="005F1FFA">
        <w:t xml:space="preserve">an average of 4 </w:t>
      </w:r>
      <w:r>
        <w:t xml:space="preserve">providers will complete the Health Center Provider Survey at each of the 25 health centers (21 private and 4 state/local government) one </w:t>
      </w:r>
      <w:r w:rsidR="007232AE">
        <w:t>time during the final year</w:t>
      </w:r>
      <w:r w:rsidR="001C3612">
        <w:t>,</w:t>
      </w:r>
      <w:r>
        <w:t xml:space="preserve"> resulting in a total of </w:t>
      </w:r>
      <w:r w:rsidR="005F1FFA">
        <w:t xml:space="preserve">100 </w:t>
      </w:r>
      <w:r>
        <w:t>providers (</w:t>
      </w:r>
      <w:r w:rsidR="005F1FFA">
        <w:t xml:space="preserve">84 </w:t>
      </w:r>
      <w:r>
        <w:t xml:space="preserve">from private and </w:t>
      </w:r>
      <w:r w:rsidR="005F1FFA">
        <w:t xml:space="preserve">16 </w:t>
      </w:r>
      <w:r>
        <w:t>from state/local government entities) completing the survey.   A time estimate of 20 minutes to complete the survey is based on</w:t>
      </w:r>
      <w:r w:rsidR="007232AE">
        <w:t xml:space="preserve"> experience during the current project</w:t>
      </w:r>
      <w:r>
        <w:t>.  The assessment is a straight forward measure asking providers to report on a topic with which they are very familiar (i.e., their own practice behaviors).</w:t>
      </w:r>
    </w:p>
    <w:p w:rsidR="00882B62" w:rsidRDefault="00882B62" w14:paraId="046FD16A" w14:textId="4BF8DE42">
      <w:pPr>
        <w:rPr>
          <w:b/>
        </w:rPr>
      </w:pPr>
    </w:p>
    <w:p w:rsidR="00882B62" w:rsidRDefault="00196914" w14:paraId="50C18934" w14:textId="0895136D">
      <w:pPr>
        <w:ind w:left="360"/>
        <w:rPr>
          <w:b/>
        </w:rPr>
      </w:pPr>
      <w:r>
        <w:rPr>
          <w:b/>
        </w:rPr>
        <w:t>Table A.3. Estimated Burden to Respondents</w:t>
      </w:r>
    </w:p>
    <w:tbl>
      <w:tblPr>
        <w:tblStyle w:val="TableGrid"/>
        <w:tblW w:w="10350" w:type="dxa"/>
        <w:tblInd w:w="-365" w:type="dxa"/>
        <w:tblLayout w:type="fixed"/>
        <w:tblLook w:val="04A0" w:firstRow="1" w:lastRow="0" w:firstColumn="1" w:lastColumn="0" w:noHBand="0" w:noVBand="1"/>
      </w:tblPr>
      <w:tblGrid>
        <w:gridCol w:w="1530"/>
        <w:gridCol w:w="2700"/>
        <w:gridCol w:w="1440"/>
        <w:gridCol w:w="1350"/>
        <w:gridCol w:w="1710"/>
        <w:gridCol w:w="1620"/>
      </w:tblGrid>
      <w:tr w:rsidR="00882B62" w14:paraId="69CDC494" w14:textId="77777777">
        <w:tc>
          <w:tcPr>
            <w:tcW w:w="1530" w:type="dxa"/>
            <w:shd w:val="clear" w:color="auto" w:fill="auto"/>
          </w:tcPr>
          <w:p w:rsidR="00882B62" w:rsidRDefault="00196914" w14:paraId="2BB9647C" w14:textId="77777777">
            <w:pPr>
              <w:jc w:val="center"/>
              <w:rPr>
                <w:b/>
              </w:rPr>
            </w:pPr>
            <w:r>
              <w:rPr>
                <w:b/>
              </w:rPr>
              <w:t>Respondents</w:t>
            </w:r>
          </w:p>
        </w:tc>
        <w:tc>
          <w:tcPr>
            <w:tcW w:w="2700" w:type="dxa"/>
            <w:shd w:val="clear" w:color="auto" w:fill="auto"/>
          </w:tcPr>
          <w:p w:rsidR="00882B62" w:rsidRDefault="00196914" w14:paraId="0250C5AA" w14:textId="77777777">
            <w:pPr>
              <w:jc w:val="center"/>
              <w:rPr>
                <w:b/>
              </w:rPr>
            </w:pPr>
            <w:r>
              <w:rPr>
                <w:b/>
              </w:rPr>
              <w:t>Form Name</w:t>
            </w:r>
          </w:p>
        </w:tc>
        <w:tc>
          <w:tcPr>
            <w:tcW w:w="1440" w:type="dxa"/>
            <w:shd w:val="clear" w:color="auto" w:fill="auto"/>
          </w:tcPr>
          <w:p w:rsidR="00882B62" w:rsidRDefault="00196914" w14:paraId="6FBBAB59" w14:textId="77777777">
            <w:pPr>
              <w:jc w:val="center"/>
              <w:rPr>
                <w:b/>
              </w:rPr>
            </w:pPr>
            <w:r>
              <w:rPr>
                <w:b/>
              </w:rPr>
              <w:t>Number of Respondents</w:t>
            </w:r>
          </w:p>
        </w:tc>
        <w:tc>
          <w:tcPr>
            <w:tcW w:w="1350" w:type="dxa"/>
            <w:shd w:val="clear" w:color="auto" w:fill="auto"/>
          </w:tcPr>
          <w:p w:rsidR="00882B62" w:rsidRDefault="00196914" w14:paraId="0DA97611" w14:textId="77777777">
            <w:pPr>
              <w:jc w:val="center"/>
              <w:rPr>
                <w:b/>
              </w:rPr>
            </w:pPr>
            <w:r>
              <w:rPr>
                <w:b/>
              </w:rPr>
              <w:t>Number of Responses per Respondent</w:t>
            </w:r>
          </w:p>
        </w:tc>
        <w:tc>
          <w:tcPr>
            <w:tcW w:w="1710" w:type="dxa"/>
            <w:shd w:val="clear" w:color="auto" w:fill="auto"/>
          </w:tcPr>
          <w:p w:rsidR="00882B62" w:rsidRDefault="00196914" w14:paraId="3923109D" w14:textId="77777777">
            <w:pPr>
              <w:jc w:val="center"/>
              <w:rPr>
                <w:b/>
              </w:rPr>
            </w:pPr>
            <w:r>
              <w:rPr>
                <w:b/>
              </w:rPr>
              <w:t>Average Burden per Response (in hours)</w:t>
            </w:r>
          </w:p>
        </w:tc>
        <w:tc>
          <w:tcPr>
            <w:tcW w:w="1620" w:type="dxa"/>
            <w:shd w:val="clear" w:color="auto" w:fill="auto"/>
          </w:tcPr>
          <w:p w:rsidR="00882B62" w:rsidRDefault="00196914" w14:paraId="114137D8" w14:textId="77777777">
            <w:pPr>
              <w:jc w:val="center"/>
              <w:rPr>
                <w:b/>
              </w:rPr>
            </w:pPr>
            <w:r>
              <w:rPr>
                <w:b/>
              </w:rPr>
              <w:t xml:space="preserve">Total Burden </w:t>
            </w:r>
          </w:p>
          <w:p w:rsidR="00882B62" w:rsidRDefault="00196914" w14:paraId="0E082706" w14:textId="77777777">
            <w:pPr>
              <w:jc w:val="center"/>
              <w:rPr>
                <w:b/>
              </w:rPr>
            </w:pPr>
            <w:r>
              <w:rPr>
                <w:b/>
              </w:rPr>
              <w:t>(in hours)</w:t>
            </w:r>
          </w:p>
        </w:tc>
      </w:tr>
      <w:tr w:rsidR="00882B62" w14:paraId="78745A35" w14:textId="77777777">
        <w:tblPrEx>
          <w:shd w:val="clear" w:color="auto" w:fill="FFFFFF" w:themeFill="background1"/>
        </w:tblPrEx>
        <w:tc>
          <w:tcPr>
            <w:tcW w:w="1530" w:type="dxa"/>
            <w:vMerge w:val="restart"/>
            <w:shd w:val="clear" w:color="auto" w:fill="FFFFFF" w:themeFill="background1"/>
          </w:tcPr>
          <w:p w:rsidR="00882B62" w:rsidRDefault="00196914" w14:paraId="15FB52D6" w14:textId="77777777">
            <w:r>
              <w:t>Private Sector</w:t>
            </w:r>
          </w:p>
        </w:tc>
        <w:tc>
          <w:tcPr>
            <w:tcW w:w="2700" w:type="dxa"/>
            <w:shd w:val="clear" w:color="auto" w:fill="FFFFFF" w:themeFill="background1"/>
          </w:tcPr>
          <w:p w:rsidR="00882B62" w:rsidRDefault="00196914" w14:paraId="65A592E3" w14:textId="77777777">
            <w:r>
              <w:t>Health Center Organizational Assessment</w:t>
            </w:r>
          </w:p>
        </w:tc>
        <w:tc>
          <w:tcPr>
            <w:tcW w:w="1440" w:type="dxa"/>
            <w:shd w:val="clear" w:color="auto" w:fill="FFFFFF" w:themeFill="background1"/>
          </w:tcPr>
          <w:p w:rsidR="00882B62" w:rsidRDefault="00196914" w14:paraId="1C0102AE" w14:textId="77777777">
            <w:pPr>
              <w:jc w:val="center"/>
            </w:pPr>
            <w:r>
              <w:t>21</w:t>
            </w:r>
          </w:p>
        </w:tc>
        <w:tc>
          <w:tcPr>
            <w:tcW w:w="1350" w:type="dxa"/>
            <w:shd w:val="clear" w:color="auto" w:fill="FFFFFF" w:themeFill="background1"/>
          </w:tcPr>
          <w:p w:rsidR="00882B62" w:rsidRDefault="00196914" w14:paraId="6DD09C7C" w14:textId="77777777">
            <w:pPr>
              <w:jc w:val="center"/>
            </w:pPr>
            <w:r>
              <w:t>1</w:t>
            </w:r>
          </w:p>
        </w:tc>
        <w:tc>
          <w:tcPr>
            <w:tcW w:w="1710" w:type="dxa"/>
            <w:shd w:val="clear" w:color="auto" w:fill="FFFFFF" w:themeFill="background1"/>
          </w:tcPr>
          <w:p w:rsidR="00882B62" w:rsidRDefault="00196914" w14:paraId="771021A0" w14:textId="77777777">
            <w:pPr>
              <w:jc w:val="center"/>
            </w:pPr>
            <w:r>
              <w:t>2</w:t>
            </w:r>
          </w:p>
        </w:tc>
        <w:tc>
          <w:tcPr>
            <w:tcW w:w="1620" w:type="dxa"/>
            <w:shd w:val="clear" w:color="auto" w:fill="FFFFFF" w:themeFill="background1"/>
          </w:tcPr>
          <w:p w:rsidR="00882B62" w:rsidRDefault="00196914" w14:paraId="40E6FC93" w14:textId="77777777">
            <w:pPr>
              <w:jc w:val="center"/>
            </w:pPr>
            <w:r>
              <w:t>42</w:t>
            </w:r>
          </w:p>
        </w:tc>
      </w:tr>
      <w:tr w:rsidR="00882B62" w14:paraId="3CA5B306" w14:textId="77777777">
        <w:tblPrEx>
          <w:shd w:val="clear" w:color="auto" w:fill="FFFFFF" w:themeFill="background1"/>
        </w:tblPrEx>
        <w:tc>
          <w:tcPr>
            <w:tcW w:w="1530" w:type="dxa"/>
            <w:vMerge/>
            <w:shd w:val="clear" w:color="auto" w:fill="FFFFFF" w:themeFill="background1"/>
          </w:tcPr>
          <w:p w:rsidR="00882B62" w:rsidRDefault="00882B62" w14:paraId="22B5960C" w14:textId="77777777"/>
        </w:tc>
        <w:tc>
          <w:tcPr>
            <w:tcW w:w="2700" w:type="dxa"/>
            <w:shd w:val="clear" w:color="auto" w:fill="FFFFFF" w:themeFill="background1"/>
          </w:tcPr>
          <w:p w:rsidR="00882B62" w:rsidRDefault="00196914" w14:paraId="2B4A0854" w14:textId="77777777">
            <w:r>
              <w:t>Quarterly Health Center Performance Measure Reporting Tool</w:t>
            </w:r>
          </w:p>
        </w:tc>
        <w:tc>
          <w:tcPr>
            <w:tcW w:w="1440" w:type="dxa"/>
            <w:shd w:val="clear" w:color="auto" w:fill="FFFFFF" w:themeFill="background1"/>
          </w:tcPr>
          <w:p w:rsidR="00882B62" w:rsidRDefault="00196914" w14:paraId="522E3A4F" w14:textId="77777777">
            <w:pPr>
              <w:jc w:val="center"/>
            </w:pPr>
            <w:r>
              <w:t>21</w:t>
            </w:r>
          </w:p>
        </w:tc>
        <w:tc>
          <w:tcPr>
            <w:tcW w:w="1350" w:type="dxa"/>
            <w:shd w:val="clear" w:color="auto" w:fill="FFFFFF" w:themeFill="background1"/>
          </w:tcPr>
          <w:p w:rsidR="00882B62" w:rsidRDefault="00C47492" w14:paraId="527FC097" w14:textId="21125A3E">
            <w:pPr>
              <w:jc w:val="center"/>
            </w:pPr>
            <w:r>
              <w:t>2</w:t>
            </w:r>
          </w:p>
        </w:tc>
        <w:tc>
          <w:tcPr>
            <w:tcW w:w="1710" w:type="dxa"/>
            <w:shd w:val="clear" w:color="auto" w:fill="FFFFFF" w:themeFill="background1"/>
          </w:tcPr>
          <w:p w:rsidR="00882B62" w:rsidRDefault="00196914" w14:paraId="0A0C3D2C" w14:textId="77777777">
            <w:pPr>
              <w:jc w:val="center"/>
            </w:pPr>
            <w:r>
              <w:t>4</w:t>
            </w:r>
          </w:p>
        </w:tc>
        <w:tc>
          <w:tcPr>
            <w:tcW w:w="1620" w:type="dxa"/>
            <w:shd w:val="clear" w:color="auto" w:fill="FFFFFF" w:themeFill="background1"/>
          </w:tcPr>
          <w:p w:rsidR="00882B62" w:rsidRDefault="00C47492" w14:paraId="12936C12" w14:textId="460C6DD1">
            <w:pPr>
              <w:jc w:val="center"/>
            </w:pPr>
            <w:r>
              <w:t>168</w:t>
            </w:r>
          </w:p>
        </w:tc>
      </w:tr>
      <w:tr w:rsidR="00882B62" w14:paraId="28B8598F" w14:textId="77777777">
        <w:tblPrEx>
          <w:shd w:val="clear" w:color="auto" w:fill="FFFFFF" w:themeFill="background1"/>
        </w:tblPrEx>
        <w:tc>
          <w:tcPr>
            <w:tcW w:w="1530" w:type="dxa"/>
            <w:vMerge/>
            <w:shd w:val="clear" w:color="auto" w:fill="FFFFFF" w:themeFill="background1"/>
          </w:tcPr>
          <w:p w:rsidR="00882B62" w:rsidRDefault="00882B62" w14:paraId="3BD1C7C5" w14:textId="77777777"/>
        </w:tc>
        <w:tc>
          <w:tcPr>
            <w:tcW w:w="2700" w:type="dxa"/>
            <w:shd w:val="clear" w:color="auto" w:fill="FFFFFF" w:themeFill="background1"/>
          </w:tcPr>
          <w:p w:rsidR="00882B62" w:rsidRDefault="00196914" w14:paraId="79E99B31" w14:textId="77777777">
            <w:r>
              <w:t>Annual Health Center Performance Measure Reporting Tool</w:t>
            </w:r>
          </w:p>
        </w:tc>
        <w:tc>
          <w:tcPr>
            <w:tcW w:w="1440" w:type="dxa"/>
            <w:shd w:val="clear" w:color="auto" w:fill="FFFFFF" w:themeFill="background1"/>
          </w:tcPr>
          <w:p w:rsidR="00882B62" w:rsidRDefault="00196914" w14:paraId="11F3A3B6" w14:textId="77777777">
            <w:pPr>
              <w:jc w:val="center"/>
            </w:pPr>
            <w:r>
              <w:t>21</w:t>
            </w:r>
          </w:p>
        </w:tc>
        <w:tc>
          <w:tcPr>
            <w:tcW w:w="1350" w:type="dxa"/>
            <w:shd w:val="clear" w:color="auto" w:fill="FFFFFF" w:themeFill="background1"/>
          </w:tcPr>
          <w:p w:rsidR="00882B62" w:rsidRDefault="00196914" w14:paraId="4ADC28CD" w14:textId="77777777">
            <w:pPr>
              <w:jc w:val="center"/>
            </w:pPr>
            <w:r>
              <w:t>1</w:t>
            </w:r>
          </w:p>
        </w:tc>
        <w:tc>
          <w:tcPr>
            <w:tcW w:w="1710" w:type="dxa"/>
            <w:shd w:val="clear" w:color="auto" w:fill="FFFFFF" w:themeFill="background1"/>
          </w:tcPr>
          <w:p w:rsidR="00882B62" w:rsidRDefault="00196914" w14:paraId="7B161656" w14:textId="77777777">
            <w:pPr>
              <w:jc w:val="center"/>
            </w:pPr>
            <w:r>
              <w:t>6</w:t>
            </w:r>
          </w:p>
        </w:tc>
        <w:tc>
          <w:tcPr>
            <w:tcW w:w="1620" w:type="dxa"/>
            <w:shd w:val="clear" w:color="auto" w:fill="FFFFFF" w:themeFill="background1"/>
          </w:tcPr>
          <w:p w:rsidR="00882B62" w:rsidRDefault="00196914" w14:paraId="1963E797" w14:textId="77777777">
            <w:pPr>
              <w:jc w:val="center"/>
            </w:pPr>
            <w:r>
              <w:t>126</w:t>
            </w:r>
          </w:p>
        </w:tc>
      </w:tr>
      <w:tr w:rsidR="00882B62" w14:paraId="31F8020D" w14:textId="77777777">
        <w:tblPrEx>
          <w:shd w:val="clear" w:color="auto" w:fill="FFFFFF" w:themeFill="background1"/>
        </w:tblPrEx>
        <w:tc>
          <w:tcPr>
            <w:tcW w:w="1530" w:type="dxa"/>
            <w:vMerge/>
            <w:shd w:val="clear" w:color="auto" w:fill="FFFFFF" w:themeFill="background1"/>
          </w:tcPr>
          <w:p w:rsidR="00882B62" w:rsidRDefault="00882B62" w14:paraId="43508449" w14:textId="77777777"/>
        </w:tc>
        <w:tc>
          <w:tcPr>
            <w:tcW w:w="2700" w:type="dxa"/>
            <w:shd w:val="clear" w:color="auto" w:fill="FFFFFF" w:themeFill="background1"/>
          </w:tcPr>
          <w:p w:rsidR="00882B62" w:rsidRDefault="00196914" w14:paraId="02EFCD59" w14:textId="77777777">
            <w:r>
              <w:t>Health Center Provider Survey</w:t>
            </w:r>
          </w:p>
        </w:tc>
        <w:tc>
          <w:tcPr>
            <w:tcW w:w="1440" w:type="dxa"/>
            <w:shd w:val="clear" w:color="auto" w:fill="FFFFFF" w:themeFill="background1"/>
          </w:tcPr>
          <w:p w:rsidR="00882B62" w:rsidRDefault="00125715" w14:paraId="44A5873B" w14:textId="29BF19A8">
            <w:pPr>
              <w:jc w:val="center"/>
            </w:pPr>
            <w:r>
              <w:t>84</w:t>
            </w:r>
          </w:p>
        </w:tc>
        <w:tc>
          <w:tcPr>
            <w:tcW w:w="1350" w:type="dxa"/>
            <w:shd w:val="clear" w:color="auto" w:fill="FFFFFF" w:themeFill="background1"/>
          </w:tcPr>
          <w:p w:rsidR="00882B62" w:rsidRDefault="00196914" w14:paraId="1D41A93F" w14:textId="77777777">
            <w:pPr>
              <w:jc w:val="center"/>
            </w:pPr>
            <w:r>
              <w:t>1</w:t>
            </w:r>
          </w:p>
        </w:tc>
        <w:tc>
          <w:tcPr>
            <w:tcW w:w="1710" w:type="dxa"/>
            <w:shd w:val="clear" w:color="auto" w:fill="FFFFFF" w:themeFill="background1"/>
          </w:tcPr>
          <w:p w:rsidR="00882B62" w:rsidRDefault="00196914" w14:paraId="7B0692F3" w14:textId="77777777">
            <w:pPr>
              <w:jc w:val="center"/>
            </w:pPr>
            <w:r>
              <w:t>20/60</w:t>
            </w:r>
          </w:p>
        </w:tc>
        <w:tc>
          <w:tcPr>
            <w:tcW w:w="1620" w:type="dxa"/>
            <w:shd w:val="clear" w:color="auto" w:fill="FFFFFF" w:themeFill="background1"/>
          </w:tcPr>
          <w:p w:rsidR="00882B62" w:rsidRDefault="00026B52" w14:paraId="464075E7" w14:textId="115C3670">
            <w:pPr>
              <w:jc w:val="center"/>
            </w:pPr>
            <w:r>
              <w:t>28</w:t>
            </w:r>
          </w:p>
        </w:tc>
      </w:tr>
      <w:tr w:rsidR="00882B62" w14:paraId="41C034D5" w14:textId="77777777">
        <w:tblPrEx>
          <w:shd w:val="clear" w:color="auto" w:fill="FFFFFF" w:themeFill="background1"/>
        </w:tblPrEx>
        <w:tc>
          <w:tcPr>
            <w:tcW w:w="1530" w:type="dxa"/>
            <w:vMerge/>
            <w:shd w:val="clear" w:color="auto" w:fill="FFFFFF" w:themeFill="background1"/>
          </w:tcPr>
          <w:p w:rsidR="00882B62" w:rsidRDefault="00882B62" w14:paraId="18AB3DA4" w14:textId="77777777"/>
        </w:tc>
        <w:tc>
          <w:tcPr>
            <w:tcW w:w="2700" w:type="dxa"/>
            <w:shd w:val="clear" w:color="auto" w:fill="FFFFFF" w:themeFill="background1"/>
          </w:tcPr>
          <w:p w:rsidR="00882B62" w:rsidRDefault="00196914" w14:paraId="7C688B8D" w14:textId="77777777">
            <w:r>
              <w:t xml:space="preserve">Awardee Training and Technical Assistance Tool </w:t>
            </w:r>
          </w:p>
        </w:tc>
        <w:tc>
          <w:tcPr>
            <w:tcW w:w="1440" w:type="dxa"/>
            <w:shd w:val="clear" w:color="auto" w:fill="FFFFFF" w:themeFill="background1"/>
          </w:tcPr>
          <w:p w:rsidR="00882B62" w:rsidRDefault="00196914" w14:paraId="51BE8B4B" w14:textId="77777777">
            <w:pPr>
              <w:jc w:val="center"/>
            </w:pPr>
            <w:r>
              <w:t>3</w:t>
            </w:r>
          </w:p>
        </w:tc>
        <w:tc>
          <w:tcPr>
            <w:tcW w:w="1350" w:type="dxa"/>
            <w:shd w:val="clear" w:color="auto" w:fill="FFFFFF" w:themeFill="background1"/>
          </w:tcPr>
          <w:p w:rsidR="00882B62" w:rsidRDefault="00C47492" w14:paraId="15F2ABD1" w14:textId="24266BB7">
            <w:pPr>
              <w:jc w:val="center"/>
            </w:pPr>
            <w:r>
              <w:t>8</w:t>
            </w:r>
          </w:p>
        </w:tc>
        <w:tc>
          <w:tcPr>
            <w:tcW w:w="1710" w:type="dxa"/>
            <w:shd w:val="clear" w:color="auto" w:fill="FFFFFF" w:themeFill="background1"/>
          </w:tcPr>
          <w:p w:rsidR="00882B62" w:rsidRDefault="00196914" w14:paraId="19B6362A" w14:textId="77777777">
            <w:pPr>
              <w:jc w:val="center"/>
            </w:pPr>
            <w:r>
              <w:t>2</w:t>
            </w:r>
          </w:p>
        </w:tc>
        <w:tc>
          <w:tcPr>
            <w:tcW w:w="1620" w:type="dxa"/>
            <w:shd w:val="clear" w:color="auto" w:fill="FFFFFF" w:themeFill="background1"/>
          </w:tcPr>
          <w:p w:rsidR="00882B62" w:rsidRDefault="00C47492" w14:paraId="7E489670" w14:textId="4C14F83C">
            <w:pPr>
              <w:jc w:val="center"/>
              <w:rPr>
                <w:b/>
              </w:rPr>
            </w:pPr>
            <w:r>
              <w:t>48</w:t>
            </w:r>
          </w:p>
        </w:tc>
      </w:tr>
      <w:tr w:rsidR="00882B62" w14:paraId="5A4A6027" w14:textId="77777777">
        <w:tblPrEx>
          <w:shd w:val="clear" w:color="auto" w:fill="FFFFFF" w:themeFill="background1"/>
        </w:tblPrEx>
        <w:tc>
          <w:tcPr>
            <w:tcW w:w="1530" w:type="dxa"/>
            <w:vMerge/>
            <w:shd w:val="clear" w:color="auto" w:fill="FFFFFF" w:themeFill="background1"/>
          </w:tcPr>
          <w:p w:rsidR="00882B62" w:rsidRDefault="00882B62" w14:paraId="05B7A9D2" w14:textId="77777777"/>
        </w:tc>
        <w:tc>
          <w:tcPr>
            <w:tcW w:w="2700" w:type="dxa"/>
            <w:shd w:val="clear" w:color="auto" w:fill="FFFFFF" w:themeFill="background1"/>
          </w:tcPr>
          <w:p w:rsidR="00882B62" w:rsidRDefault="00196914" w14:paraId="71FA99FA" w14:textId="77777777">
            <w:r>
              <w:t>Awardee Performance Measure Reporting Tool</w:t>
            </w:r>
          </w:p>
        </w:tc>
        <w:tc>
          <w:tcPr>
            <w:tcW w:w="1440" w:type="dxa"/>
            <w:shd w:val="clear" w:color="auto" w:fill="FFFFFF" w:themeFill="background1"/>
          </w:tcPr>
          <w:p w:rsidR="00882B62" w:rsidRDefault="00196914" w14:paraId="35F210F8" w14:textId="77777777">
            <w:pPr>
              <w:jc w:val="center"/>
            </w:pPr>
            <w:r>
              <w:t>3</w:t>
            </w:r>
          </w:p>
        </w:tc>
        <w:tc>
          <w:tcPr>
            <w:tcW w:w="1350" w:type="dxa"/>
            <w:shd w:val="clear" w:color="auto" w:fill="FFFFFF" w:themeFill="background1"/>
          </w:tcPr>
          <w:p w:rsidR="00882B62" w:rsidRDefault="00196914" w14:paraId="2281CB65" w14:textId="77777777">
            <w:pPr>
              <w:jc w:val="center"/>
            </w:pPr>
            <w:r>
              <w:t>1</w:t>
            </w:r>
          </w:p>
        </w:tc>
        <w:tc>
          <w:tcPr>
            <w:tcW w:w="1710" w:type="dxa"/>
            <w:shd w:val="clear" w:color="auto" w:fill="FFFFFF" w:themeFill="background1"/>
          </w:tcPr>
          <w:p w:rsidR="00882B62" w:rsidRDefault="00196914" w14:paraId="6864983D" w14:textId="77777777">
            <w:pPr>
              <w:jc w:val="center"/>
            </w:pPr>
            <w:r>
              <w:t>1</w:t>
            </w:r>
          </w:p>
        </w:tc>
        <w:tc>
          <w:tcPr>
            <w:tcW w:w="1620" w:type="dxa"/>
            <w:shd w:val="clear" w:color="auto" w:fill="FFFFFF" w:themeFill="background1"/>
          </w:tcPr>
          <w:p w:rsidR="00882B62" w:rsidRDefault="00196914" w14:paraId="76313EFD" w14:textId="77777777">
            <w:pPr>
              <w:jc w:val="center"/>
              <w:rPr>
                <w:b/>
              </w:rPr>
            </w:pPr>
            <w:r>
              <w:t>3</w:t>
            </w:r>
          </w:p>
        </w:tc>
      </w:tr>
      <w:tr w:rsidR="00882B62" w14:paraId="211C9A99" w14:textId="77777777">
        <w:tblPrEx>
          <w:shd w:val="clear" w:color="auto" w:fill="FFFFFF" w:themeFill="background1"/>
        </w:tblPrEx>
        <w:tc>
          <w:tcPr>
            <w:tcW w:w="1530" w:type="dxa"/>
            <w:vMerge w:val="restart"/>
            <w:shd w:val="clear" w:color="auto" w:fill="FFFFFF" w:themeFill="background1"/>
          </w:tcPr>
          <w:p w:rsidR="00882B62" w:rsidRDefault="00196914" w14:paraId="64296B62" w14:textId="77777777">
            <w:r>
              <w:t>State and Local Government</w:t>
            </w:r>
          </w:p>
        </w:tc>
        <w:tc>
          <w:tcPr>
            <w:tcW w:w="2700" w:type="dxa"/>
            <w:shd w:val="clear" w:color="auto" w:fill="FFFFFF" w:themeFill="background1"/>
          </w:tcPr>
          <w:p w:rsidR="00882B62" w:rsidRDefault="00196914" w14:paraId="24098C8F" w14:textId="77777777">
            <w:r>
              <w:t>Health Center Organizational Assessment</w:t>
            </w:r>
          </w:p>
        </w:tc>
        <w:tc>
          <w:tcPr>
            <w:tcW w:w="1440" w:type="dxa"/>
            <w:shd w:val="clear" w:color="auto" w:fill="FFFFFF" w:themeFill="background1"/>
          </w:tcPr>
          <w:p w:rsidR="00882B62" w:rsidRDefault="00196914" w14:paraId="1D620A64" w14:textId="77777777">
            <w:pPr>
              <w:jc w:val="center"/>
            </w:pPr>
            <w:r>
              <w:t>4</w:t>
            </w:r>
          </w:p>
        </w:tc>
        <w:tc>
          <w:tcPr>
            <w:tcW w:w="1350" w:type="dxa"/>
            <w:shd w:val="clear" w:color="auto" w:fill="FFFFFF" w:themeFill="background1"/>
          </w:tcPr>
          <w:p w:rsidR="00882B62" w:rsidRDefault="00196914" w14:paraId="553559E5" w14:textId="77777777">
            <w:pPr>
              <w:jc w:val="center"/>
            </w:pPr>
            <w:r>
              <w:t>1</w:t>
            </w:r>
          </w:p>
        </w:tc>
        <w:tc>
          <w:tcPr>
            <w:tcW w:w="1710" w:type="dxa"/>
            <w:shd w:val="clear" w:color="auto" w:fill="FFFFFF" w:themeFill="background1"/>
          </w:tcPr>
          <w:p w:rsidR="00882B62" w:rsidRDefault="00196914" w14:paraId="7AC68F8A" w14:textId="77777777">
            <w:pPr>
              <w:jc w:val="center"/>
            </w:pPr>
            <w:r>
              <w:t>2</w:t>
            </w:r>
          </w:p>
        </w:tc>
        <w:tc>
          <w:tcPr>
            <w:tcW w:w="1620" w:type="dxa"/>
            <w:shd w:val="clear" w:color="auto" w:fill="FFFFFF" w:themeFill="background1"/>
          </w:tcPr>
          <w:p w:rsidR="00882B62" w:rsidRDefault="00196914" w14:paraId="2E7D89CF" w14:textId="77777777">
            <w:pPr>
              <w:jc w:val="center"/>
            </w:pPr>
            <w:r>
              <w:t>8</w:t>
            </w:r>
          </w:p>
        </w:tc>
      </w:tr>
      <w:tr w:rsidR="00882B62" w14:paraId="15319BFE" w14:textId="77777777">
        <w:tblPrEx>
          <w:shd w:val="clear" w:color="auto" w:fill="FFFFFF" w:themeFill="background1"/>
        </w:tblPrEx>
        <w:tc>
          <w:tcPr>
            <w:tcW w:w="1530" w:type="dxa"/>
            <w:vMerge/>
            <w:shd w:val="clear" w:color="auto" w:fill="FFFFFF" w:themeFill="background1"/>
          </w:tcPr>
          <w:p w:rsidR="00882B62" w:rsidRDefault="00882B62" w14:paraId="6163B599" w14:textId="77777777"/>
        </w:tc>
        <w:tc>
          <w:tcPr>
            <w:tcW w:w="2700" w:type="dxa"/>
            <w:shd w:val="clear" w:color="auto" w:fill="FFFFFF" w:themeFill="background1"/>
          </w:tcPr>
          <w:p w:rsidR="00882B62" w:rsidRDefault="00196914" w14:paraId="493A9C80" w14:textId="77777777">
            <w:r>
              <w:t>Quarterly Health Center Performance Measure Reporting Tool</w:t>
            </w:r>
          </w:p>
        </w:tc>
        <w:tc>
          <w:tcPr>
            <w:tcW w:w="1440" w:type="dxa"/>
            <w:shd w:val="clear" w:color="auto" w:fill="FFFFFF" w:themeFill="background1"/>
          </w:tcPr>
          <w:p w:rsidR="00882B62" w:rsidRDefault="00196914" w14:paraId="6892C63F" w14:textId="77777777">
            <w:pPr>
              <w:jc w:val="center"/>
            </w:pPr>
            <w:r>
              <w:t>4</w:t>
            </w:r>
          </w:p>
        </w:tc>
        <w:tc>
          <w:tcPr>
            <w:tcW w:w="1350" w:type="dxa"/>
            <w:shd w:val="clear" w:color="auto" w:fill="FFFFFF" w:themeFill="background1"/>
          </w:tcPr>
          <w:p w:rsidR="00882B62" w:rsidRDefault="00C47492" w14:paraId="61CC405E" w14:textId="0B11BD85">
            <w:pPr>
              <w:jc w:val="center"/>
            </w:pPr>
            <w:r>
              <w:t>2</w:t>
            </w:r>
          </w:p>
        </w:tc>
        <w:tc>
          <w:tcPr>
            <w:tcW w:w="1710" w:type="dxa"/>
            <w:shd w:val="clear" w:color="auto" w:fill="FFFFFF" w:themeFill="background1"/>
          </w:tcPr>
          <w:p w:rsidR="00882B62" w:rsidRDefault="00196914" w14:paraId="73CE3C0C" w14:textId="77777777">
            <w:pPr>
              <w:jc w:val="center"/>
            </w:pPr>
            <w:r>
              <w:t>4</w:t>
            </w:r>
          </w:p>
        </w:tc>
        <w:tc>
          <w:tcPr>
            <w:tcW w:w="1620" w:type="dxa"/>
            <w:shd w:val="clear" w:color="auto" w:fill="FFFFFF" w:themeFill="background1"/>
          </w:tcPr>
          <w:p w:rsidR="00882B62" w:rsidRDefault="00C47492" w14:paraId="49E299C3" w14:textId="798F3B9A">
            <w:pPr>
              <w:jc w:val="center"/>
            </w:pPr>
            <w:r>
              <w:t>32</w:t>
            </w:r>
          </w:p>
        </w:tc>
      </w:tr>
      <w:tr w:rsidR="00882B62" w14:paraId="613A007D" w14:textId="77777777">
        <w:tblPrEx>
          <w:shd w:val="clear" w:color="auto" w:fill="FFFFFF" w:themeFill="background1"/>
        </w:tblPrEx>
        <w:tc>
          <w:tcPr>
            <w:tcW w:w="1530" w:type="dxa"/>
            <w:vMerge/>
            <w:shd w:val="clear" w:color="auto" w:fill="FFFFFF" w:themeFill="background1"/>
          </w:tcPr>
          <w:p w:rsidR="00882B62" w:rsidRDefault="00882B62" w14:paraId="2B3A240F" w14:textId="77777777"/>
        </w:tc>
        <w:tc>
          <w:tcPr>
            <w:tcW w:w="2700" w:type="dxa"/>
            <w:shd w:val="clear" w:color="auto" w:fill="FFFFFF" w:themeFill="background1"/>
          </w:tcPr>
          <w:p w:rsidR="00882B62" w:rsidRDefault="00196914" w14:paraId="7086238C" w14:textId="77777777">
            <w:r>
              <w:t>Annual Health Center Performance Measure Reporting Tool</w:t>
            </w:r>
          </w:p>
        </w:tc>
        <w:tc>
          <w:tcPr>
            <w:tcW w:w="1440" w:type="dxa"/>
            <w:shd w:val="clear" w:color="auto" w:fill="FFFFFF" w:themeFill="background1"/>
          </w:tcPr>
          <w:p w:rsidR="00882B62" w:rsidRDefault="00196914" w14:paraId="650E925D" w14:textId="77777777">
            <w:pPr>
              <w:jc w:val="center"/>
            </w:pPr>
            <w:r>
              <w:t>4</w:t>
            </w:r>
          </w:p>
        </w:tc>
        <w:tc>
          <w:tcPr>
            <w:tcW w:w="1350" w:type="dxa"/>
            <w:shd w:val="clear" w:color="auto" w:fill="FFFFFF" w:themeFill="background1"/>
          </w:tcPr>
          <w:p w:rsidR="00882B62" w:rsidRDefault="00196914" w14:paraId="7B11F830" w14:textId="77777777">
            <w:pPr>
              <w:jc w:val="center"/>
            </w:pPr>
            <w:r>
              <w:t>1</w:t>
            </w:r>
          </w:p>
        </w:tc>
        <w:tc>
          <w:tcPr>
            <w:tcW w:w="1710" w:type="dxa"/>
            <w:shd w:val="clear" w:color="auto" w:fill="FFFFFF" w:themeFill="background1"/>
          </w:tcPr>
          <w:p w:rsidR="00882B62" w:rsidRDefault="00196914" w14:paraId="7B6B33AF" w14:textId="77777777">
            <w:pPr>
              <w:jc w:val="center"/>
            </w:pPr>
            <w:r>
              <w:t>6</w:t>
            </w:r>
          </w:p>
        </w:tc>
        <w:tc>
          <w:tcPr>
            <w:tcW w:w="1620" w:type="dxa"/>
            <w:shd w:val="clear" w:color="auto" w:fill="FFFFFF" w:themeFill="background1"/>
          </w:tcPr>
          <w:p w:rsidR="00882B62" w:rsidRDefault="00196914" w14:paraId="5AAAB04A" w14:textId="77777777">
            <w:pPr>
              <w:jc w:val="center"/>
            </w:pPr>
            <w:r>
              <w:t>24</w:t>
            </w:r>
          </w:p>
        </w:tc>
      </w:tr>
      <w:tr w:rsidR="00882B62" w14:paraId="7F7F1AFA" w14:textId="77777777">
        <w:tblPrEx>
          <w:shd w:val="clear" w:color="auto" w:fill="FFFFFF" w:themeFill="background1"/>
        </w:tblPrEx>
        <w:tc>
          <w:tcPr>
            <w:tcW w:w="1530" w:type="dxa"/>
            <w:vMerge/>
            <w:shd w:val="clear" w:color="auto" w:fill="FFFFFF" w:themeFill="background1"/>
          </w:tcPr>
          <w:p w:rsidR="00882B62" w:rsidRDefault="00882B62" w14:paraId="0931B40C" w14:textId="77777777"/>
        </w:tc>
        <w:tc>
          <w:tcPr>
            <w:tcW w:w="2700" w:type="dxa"/>
            <w:shd w:val="clear" w:color="auto" w:fill="FFFFFF" w:themeFill="background1"/>
          </w:tcPr>
          <w:p w:rsidR="00882B62" w:rsidRDefault="00196914" w14:paraId="52D4F4C5" w14:textId="77777777">
            <w:r>
              <w:t>Health Center Provider Survey</w:t>
            </w:r>
          </w:p>
        </w:tc>
        <w:tc>
          <w:tcPr>
            <w:tcW w:w="1440" w:type="dxa"/>
            <w:shd w:val="clear" w:color="auto" w:fill="FFFFFF" w:themeFill="background1"/>
          </w:tcPr>
          <w:p w:rsidR="00882B62" w:rsidRDefault="00026B52" w14:paraId="4EBEFD30" w14:textId="3B42F277">
            <w:pPr>
              <w:jc w:val="center"/>
            </w:pPr>
            <w:r>
              <w:t>16</w:t>
            </w:r>
          </w:p>
        </w:tc>
        <w:tc>
          <w:tcPr>
            <w:tcW w:w="1350" w:type="dxa"/>
            <w:shd w:val="clear" w:color="auto" w:fill="FFFFFF" w:themeFill="background1"/>
          </w:tcPr>
          <w:p w:rsidR="00882B62" w:rsidRDefault="00196914" w14:paraId="1003E931" w14:textId="77777777">
            <w:pPr>
              <w:jc w:val="center"/>
            </w:pPr>
            <w:r>
              <w:t>1</w:t>
            </w:r>
          </w:p>
        </w:tc>
        <w:tc>
          <w:tcPr>
            <w:tcW w:w="1710" w:type="dxa"/>
            <w:shd w:val="clear" w:color="auto" w:fill="FFFFFF" w:themeFill="background1"/>
          </w:tcPr>
          <w:p w:rsidR="00882B62" w:rsidRDefault="00196914" w14:paraId="0115AC9C" w14:textId="77777777">
            <w:pPr>
              <w:jc w:val="center"/>
            </w:pPr>
            <w:r>
              <w:t>20/60</w:t>
            </w:r>
          </w:p>
        </w:tc>
        <w:tc>
          <w:tcPr>
            <w:tcW w:w="1620" w:type="dxa"/>
            <w:shd w:val="clear" w:color="auto" w:fill="FFFFFF" w:themeFill="background1"/>
          </w:tcPr>
          <w:p w:rsidR="00882B62" w:rsidRDefault="00026B52" w14:paraId="378B8BCD" w14:textId="7D3E8547">
            <w:pPr>
              <w:jc w:val="center"/>
            </w:pPr>
            <w:r>
              <w:t>6</w:t>
            </w:r>
          </w:p>
        </w:tc>
      </w:tr>
      <w:tr w:rsidR="00882B62" w14:paraId="5DC1CF61" w14:textId="77777777">
        <w:tblPrEx>
          <w:shd w:val="clear" w:color="auto" w:fill="FFFFFF" w:themeFill="background1"/>
        </w:tblPrEx>
        <w:trPr>
          <w:trHeight w:val="305"/>
        </w:trPr>
        <w:tc>
          <w:tcPr>
            <w:tcW w:w="1530" w:type="dxa"/>
            <w:shd w:val="clear" w:color="auto" w:fill="FFFFFF" w:themeFill="background1"/>
          </w:tcPr>
          <w:p w:rsidR="00882B62" w:rsidRDefault="00196914" w14:paraId="32CBB450" w14:textId="77777777">
            <w:pPr>
              <w:rPr>
                <w:b/>
              </w:rPr>
            </w:pPr>
            <w:r>
              <w:rPr>
                <w:b/>
              </w:rPr>
              <w:t>TOTAL</w:t>
            </w:r>
          </w:p>
        </w:tc>
        <w:tc>
          <w:tcPr>
            <w:tcW w:w="2700" w:type="dxa"/>
            <w:shd w:val="clear" w:color="auto" w:fill="FFFFFF" w:themeFill="background1"/>
          </w:tcPr>
          <w:p w:rsidR="00882B62" w:rsidRDefault="00882B62" w14:paraId="4BD137FB" w14:textId="77777777">
            <w:pPr>
              <w:rPr>
                <w:b/>
              </w:rPr>
            </w:pPr>
          </w:p>
        </w:tc>
        <w:tc>
          <w:tcPr>
            <w:tcW w:w="1440" w:type="dxa"/>
            <w:shd w:val="clear" w:color="auto" w:fill="FFFFFF" w:themeFill="background1"/>
          </w:tcPr>
          <w:p w:rsidR="00882B62" w:rsidRDefault="00882B62" w14:paraId="345D66A2" w14:textId="77777777">
            <w:pPr>
              <w:jc w:val="center"/>
              <w:rPr>
                <w:b/>
              </w:rPr>
            </w:pPr>
          </w:p>
        </w:tc>
        <w:tc>
          <w:tcPr>
            <w:tcW w:w="1350" w:type="dxa"/>
            <w:shd w:val="clear" w:color="auto" w:fill="FFFFFF" w:themeFill="background1"/>
          </w:tcPr>
          <w:p w:rsidR="00882B62" w:rsidRDefault="00882B62" w14:paraId="7E373581" w14:textId="77777777">
            <w:pPr>
              <w:jc w:val="center"/>
              <w:rPr>
                <w:b/>
              </w:rPr>
            </w:pPr>
          </w:p>
        </w:tc>
        <w:tc>
          <w:tcPr>
            <w:tcW w:w="1710" w:type="dxa"/>
            <w:shd w:val="clear" w:color="auto" w:fill="FFFFFF" w:themeFill="background1"/>
          </w:tcPr>
          <w:p w:rsidR="00882B62" w:rsidRDefault="00882B62" w14:paraId="270CA235" w14:textId="77777777">
            <w:pPr>
              <w:jc w:val="center"/>
              <w:rPr>
                <w:b/>
              </w:rPr>
            </w:pPr>
          </w:p>
        </w:tc>
        <w:tc>
          <w:tcPr>
            <w:tcW w:w="1620" w:type="dxa"/>
            <w:shd w:val="clear" w:color="auto" w:fill="FFFFFF" w:themeFill="background1"/>
          </w:tcPr>
          <w:p w:rsidR="00882B62" w:rsidRDefault="00026B52" w14:paraId="2AB786F9" w14:textId="09BDD188">
            <w:pPr>
              <w:jc w:val="center"/>
              <w:rPr>
                <w:b/>
              </w:rPr>
            </w:pPr>
            <w:r>
              <w:rPr>
                <w:b/>
              </w:rPr>
              <w:t>485</w:t>
            </w:r>
          </w:p>
        </w:tc>
      </w:tr>
    </w:tbl>
    <w:p w:rsidR="00882B62" w:rsidRDefault="00882B62" w14:paraId="6F3D9CAB" w14:textId="77777777">
      <w:pPr>
        <w:ind w:left="360"/>
        <w:rPr>
          <w:b/>
        </w:rPr>
      </w:pPr>
    </w:p>
    <w:p w:rsidR="00882B62" w:rsidRDefault="00196914" w14:paraId="29B0438F" w14:textId="77777777">
      <w:pPr>
        <w:rPr>
          <w:b/>
        </w:rPr>
      </w:pPr>
      <w:r>
        <w:rPr>
          <w:b/>
        </w:rPr>
        <w:br w:type="page"/>
      </w:r>
    </w:p>
    <w:p w:rsidR="00882B62" w:rsidRDefault="00196914" w14:paraId="6A1C8D1A" w14:textId="58FCBD20">
      <w:pPr>
        <w:ind w:left="360"/>
      </w:pPr>
      <w:r>
        <w:lastRenderedPageBreak/>
        <w:t>The table below summarizes the estimated burden costs</w:t>
      </w:r>
      <w:r w:rsidR="00676C55">
        <w:t xml:space="preserve"> for the eight month extension period</w:t>
      </w:r>
      <w:r>
        <w:t>. The estimate of hourly wages were obtained from the Department of Labor based on May 201</w:t>
      </w:r>
      <w:r w:rsidR="00B12160">
        <w:t>8</w:t>
      </w:r>
      <w:r>
        <w:t xml:space="preserve"> data (</w:t>
      </w:r>
      <w:hyperlink w:history="1" r:id="rId17">
        <w:r>
          <w:rPr>
            <w:rStyle w:val="Hyperlink"/>
          </w:rPr>
          <w:t>http://www.bls.gov/oes/current/oes_nat.htm</w:t>
        </w:r>
      </w:hyperlink>
      <w:r>
        <w:t xml:space="preserve"> ). The total estimated cost to respondents is $</w:t>
      </w:r>
      <w:r w:rsidR="00C47492">
        <w:t>2</w:t>
      </w:r>
      <w:r w:rsidR="003D226C">
        <w:t>7</w:t>
      </w:r>
      <w:r w:rsidR="004D6249">
        <w:t xml:space="preserve">, </w:t>
      </w:r>
      <w:r w:rsidR="003D226C">
        <w:t>525.18</w:t>
      </w:r>
      <w:r>
        <w:t xml:space="preserve">.   The estimated cost for private sector </w:t>
      </w:r>
      <w:r w:rsidRPr="002120C5">
        <w:t>respondents is $</w:t>
      </w:r>
      <w:r w:rsidR="003D226C">
        <w:t>23,338.18</w:t>
      </w:r>
      <w:r w:rsidRPr="002120C5">
        <w:t>; the estimated cost for state and local government respondents is $</w:t>
      </w:r>
      <w:r w:rsidR="003D226C">
        <w:t>4,187.02</w:t>
      </w:r>
      <w:r w:rsidRPr="002120C5">
        <w:t xml:space="preserve">. </w:t>
      </w:r>
    </w:p>
    <w:p w:rsidR="00882B62" w:rsidRDefault="00196914" w14:paraId="645E1B93" w14:textId="77777777">
      <w:pPr>
        <w:rPr>
          <w:b/>
        </w:rPr>
      </w:pPr>
      <w:r>
        <w:rPr>
          <w:b/>
        </w:rPr>
        <w:t>Table A.4. Estimated Annualized Cost to Respondents</w:t>
      </w:r>
    </w:p>
    <w:tbl>
      <w:tblPr>
        <w:tblStyle w:val="TableGrid"/>
        <w:tblW w:w="10530" w:type="dxa"/>
        <w:tblInd w:w="-365" w:type="dxa"/>
        <w:tblLayout w:type="fixed"/>
        <w:tblLook w:val="04A0" w:firstRow="1" w:lastRow="0" w:firstColumn="1" w:lastColumn="0" w:noHBand="0" w:noVBand="1"/>
      </w:tblPr>
      <w:tblGrid>
        <w:gridCol w:w="1530"/>
        <w:gridCol w:w="2700"/>
        <w:gridCol w:w="1440"/>
        <w:gridCol w:w="1620"/>
        <w:gridCol w:w="1620"/>
        <w:gridCol w:w="1620"/>
      </w:tblGrid>
      <w:tr w:rsidR="00882B62" w14:paraId="51ED4D30" w14:textId="77777777">
        <w:tc>
          <w:tcPr>
            <w:tcW w:w="1530" w:type="dxa"/>
            <w:shd w:val="clear" w:color="auto" w:fill="auto"/>
          </w:tcPr>
          <w:p w:rsidR="00882B62" w:rsidRDefault="00196914" w14:paraId="0954BD48" w14:textId="77777777">
            <w:pPr>
              <w:jc w:val="center"/>
              <w:rPr>
                <w:b/>
              </w:rPr>
            </w:pPr>
            <w:r>
              <w:rPr>
                <w:b/>
              </w:rPr>
              <w:t>Respondents</w:t>
            </w:r>
          </w:p>
        </w:tc>
        <w:tc>
          <w:tcPr>
            <w:tcW w:w="2700" w:type="dxa"/>
            <w:shd w:val="clear" w:color="auto" w:fill="auto"/>
          </w:tcPr>
          <w:p w:rsidR="00882B62" w:rsidRDefault="00196914" w14:paraId="12EE35B2" w14:textId="77777777">
            <w:pPr>
              <w:jc w:val="center"/>
              <w:rPr>
                <w:b/>
              </w:rPr>
            </w:pPr>
            <w:r>
              <w:rPr>
                <w:b/>
              </w:rPr>
              <w:t>Form Name</w:t>
            </w:r>
          </w:p>
        </w:tc>
        <w:tc>
          <w:tcPr>
            <w:tcW w:w="1440" w:type="dxa"/>
            <w:shd w:val="clear" w:color="auto" w:fill="auto"/>
          </w:tcPr>
          <w:p w:rsidR="00882B62" w:rsidRDefault="00196914" w14:paraId="578EAC87" w14:textId="77777777">
            <w:pPr>
              <w:jc w:val="center"/>
              <w:rPr>
                <w:b/>
              </w:rPr>
            </w:pPr>
            <w:r>
              <w:rPr>
                <w:b/>
              </w:rPr>
              <w:t>Number of Respondents</w:t>
            </w:r>
          </w:p>
        </w:tc>
        <w:tc>
          <w:tcPr>
            <w:tcW w:w="1620" w:type="dxa"/>
            <w:shd w:val="clear" w:color="auto" w:fill="auto"/>
          </w:tcPr>
          <w:p w:rsidR="00882B62" w:rsidRDefault="00196914" w14:paraId="177DA018" w14:textId="77777777">
            <w:pPr>
              <w:jc w:val="center"/>
              <w:rPr>
                <w:b/>
              </w:rPr>
            </w:pPr>
            <w:r>
              <w:rPr>
                <w:b/>
              </w:rPr>
              <w:t xml:space="preserve">Total Burden </w:t>
            </w:r>
          </w:p>
          <w:p w:rsidR="00882B62" w:rsidRDefault="00196914" w14:paraId="49738585" w14:textId="77777777">
            <w:pPr>
              <w:jc w:val="center"/>
              <w:rPr>
                <w:b/>
              </w:rPr>
            </w:pPr>
            <w:r>
              <w:rPr>
                <w:b/>
              </w:rPr>
              <w:t>(in hours)</w:t>
            </w:r>
          </w:p>
        </w:tc>
        <w:tc>
          <w:tcPr>
            <w:tcW w:w="1620" w:type="dxa"/>
            <w:shd w:val="clear" w:color="auto" w:fill="auto"/>
          </w:tcPr>
          <w:p w:rsidR="00882B62" w:rsidRDefault="00196914" w14:paraId="6FD6201F" w14:textId="77777777">
            <w:pPr>
              <w:jc w:val="center"/>
              <w:rPr>
                <w:b/>
              </w:rPr>
            </w:pPr>
            <w:r>
              <w:rPr>
                <w:b/>
              </w:rPr>
              <w:t>Average Hourly Wage</w:t>
            </w:r>
          </w:p>
        </w:tc>
        <w:tc>
          <w:tcPr>
            <w:tcW w:w="1620" w:type="dxa"/>
            <w:shd w:val="clear" w:color="auto" w:fill="auto"/>
          </w:tcPr>
          <w:p w:rsidR="00882B62" w:rsidRDefault="00196914" w14:paraId="049B392E" w14:textId="77777777">
            <w:pPr>
              <w:jc w:val="center"/>
              <w:rPr>
                <w:b/>
              </w:rPr>
            </w:pPr>
            <w:r>
              <w:rPr>
                <w:b/>
              </w:rPr>
              <w:t>Total Cost</w:t>
            </w:r>
          </w:p>
        </w:tc>
      </w:tr>
      <w:tr w:rsidR="00882B62" w14:paraId="15395259" w14:textId="77777777">
        <w:tblPrEx>
          <w:shd w:val="clear" w:color="auto" w:fill="FFFFFF" w:themeFill="background1"/>
        </w:tblPrEx>
        <w:tc>
          <w:tcPr>
            <w:tcW w:w="1530" w:type="dxa"/>
            <w:vMerge w:val="restart"/>
            <w:shd w:val="clear" w:color="auto" w:fill="FFFFFF" w:themeFill="background1"/>
          </w:tcPr>
          <w:p w:rsidR="00882B62" w:rsidRDefault="00196914" w14:paraId="17B6FC1D" w14:textId="77777777">
            <w:r>
              <w:t>Private Sector</w:t>
            </w:r>
          </w:p>
        </w:tc>
        <w:tc>
          <w:tcPr>
            <w:tcW w:w="2700" w:type="dxa"/>
            <w:shd w:val="clear" w:color="auto" w:fill="FFFFFF" w:themeFill="background1"/>
          </w:tcPr>
          <w:p w:rsidR="00882B62" w:rsidRDefault="00196914" w14:paraId="61F2978F" w14:textId="77777777">
            <w:r>
              <w:t>Health Center Organizational Assessment</w:t>
            </w:r>
          </w:p>
        </w:tc>
        <w:tc>
          <w:tcPr>
            <w:tcW w:w="1440" w:type="dxa"/>
            <w:shd w:val="clear" w:color="auto" w:fill="FFFFFF" w:themeFill="background1"/>
          </w:tcPr>
          <w:p w:rsidR="00882B62" w:rsidRDefault="00196914" w14:paraId="32AD3D8A" w14:textId="77777777">
            <w:pPr>
              <w:jc w:val="center"/>
            </w:pPr>
            <w:r>
              <w:t>21</w:t>
            </w:r>
          </w:p>
        </w:tc>
        <w:tc>
          <w:tcPr>
            <w:tcW w:w="1620" w:type="dxa"/>
            <w:shd w:val="clear" w:color="auto" w:fill="FFFFFF" w:themeFill="background1"/>
          </w:tcPr>
          <w:p w:rsidR="00882B62" w:rsidRDefault="00196914" w14:paraId="3B1EA2E3" w14:textId="77777777">
            <w:pPr>
              <w:jc w:val="center"/>
            </w:pPr>
            <w:r>
              <w:t>42</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215BAA72" w14:textId="65C125EE">
            <w:pPr>
              <w:rPr>
                <w:rFonts w:ascii="Calibri" w:hAnsi="Calibri"/>
                <w:color w:val="000000"/>
              </w:rPr>
            </w:pPr>
            <w:r>
              <w:rPr>
                <w:rFonts w:ascii="Calibri" w:hAnsi="Calibri"/>
                <w:color w:val="000000"/>
              </w:rPr>
              <w:t xml:space="preserve"> $   </w:t>
            </w:r>
            <w:r w:rsidR="00B12160">
              <w:rPr>
                <w:rFonts w:ascii="Calibri" w:hAnsi="Calibri"/>
                <w:color w:val="000000"/>
              </w:rPr>
              <w:t>54.68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54A691EF" w14:textId="32930051">
            <w:pPr>
              <w:rPr>
                <w:rFonts w:ascii="Calibri" w:hAnsi="Calibri"/>
                <w:color w:val="000000"/>
              </w:rPr>
            </w:pPr>
            <w:r>
              <w:rPr>
                <w:rFonts w:ascii="Calibri" w:hAnsi="Calibri"/>
                <w:color w:val="000000"/>
              </w:rPr>
              <w:t>$ 2,</w:t>
            </w:r>
            <w:r w:rsidR="00B12160">
              <w:rPr>
                <w:rFonts w:ascii="Calibri" w:hAnsi="Calibri"/>
                <w:color w:val="000000"/>
              </w:rPr>
              <w:t>296.56</w:t>
            </w:r>
          </w:p>
        </w:tc>
      </w:tr>
      <w:tr w:rsidR="00882B62" w14:paraId="0AA52F04" w14:textId="77777777">
        <w:tblPrEx>
          <w:shd w:val="clear" w:color="auto" w:fill="FFFFFF" w:themeFill="background1"/>
        </w:tblPrEx>
        <w:tc>
          <w:tcPr>
            <w:tcW w:w="1530" w:type="dxa"/>
            <w:vMerge/>
            <w:shd w:val="clear" w:color="auto" w:fill="FFFFFF" w:themeFill="background1"/>
          </w:tcPr>
          <w:p w:rsidR="00882B62" w:rsidRDefault="00882B62" w14:paraId="5318CF9C" w14:textId="77777777"/>
        </w:tc>
        <w:tc>
          <w:tcPr>
            <w:tcW w:w="2700" w:type="dxa"/>
            <w:shd w:val="clear" w:color="auto" w:fill="FFFFFF" w:themeFill="background1"/>
          </w:tcPr>
          <w:p w:rsidR="00882B62" w:rsidRDefault="00196914" w14:paraId="79E1851C" w14:textId="77777777">
            <w:r>
              <w:t>Quarterly Health Center Performance Measure Reporting Tool</w:t>
            </w:r>
          </w:p>
        </w:tc>
        <w:tc>
          <w:tcPr>
            <w:tcW w:w="1440" w:type="dxa"/>
            <w:shd w:val="clear" w:color="auto" w:fill="FFFFFF" w:themeFill="background1"/>
          </w:tcPr>
          <w:p w:rsidR="00882B62" w:rsidRDefault="00196914" w14:paraId="5BBC8386" w14:textId="77777777">
            <w:pPr>
              <w:jc w:val="center"/>
            </w:pPr>
            <w:r>
              <w:t>21</w:t>
            </w:r>
          </w:p>
        </w:tc>
        <w:tc>
          <w:tcPr>
            <w:tcW w:w="1620" w:type="dxa"/>
            <w:shd w:val="clear" w:color="auto" w:fill="FFFFFF" w:themeFill="background1"/>
          </w:tcPr>
          <w:p w:rsidR="00882B62" w:rsidRDefault="00C47492" w14:paraId="6A0E8B5C" w14:textId="103B6673">
            <w:pPr>
              <w:jc w:val="center"/>
            </w:pPr>
            <w:r>
              <w:t>168</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4B0546E7" w14:textId="0760ACE2">
            <w:pPr>
              <w:rPr>
                <w:rFonts w:ascii="Calibri" w:hAnsi="Calibri"/>
                <w:color w:val="000000"/>
              </w:rPr>
            </w:pPr>
            <w:r>
              <w:rPr>
                <w:rFonts w:ascii="Calibri" w:hAnsi="Calibri"/>
                <w:color w:val="000000"/>
              </w:rPr>
              <w:t xml:space="preserve"> $   </w:t>
            </w:r>
            <w:r w:rsidR="00B12160">
              <w:rPr>
                <w:rFonts w:ascii="Calibri" w:hAnsi="Calibri"/>
                <w:color w:val="000000"/>
              </w:rPr>
              <w:t>54.68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247DD6C6" w14:textId="081A7EC1">
            <w:pPr>
              <w:rPr>
                <w:rFonts w:ascii="Calibri" w:hAnsi="Calibri"/>
                <w:color w:val="000000"/>
              </w:rPr>
            </w:pPr>
            <w:r>
              <w:rPr>
                <w:rFonts w:ascii="Calibri" w:hAnsi="Calibri"/>
                <w:color w:val="000000"/>
              </w:rPr>
              <w:t xml:space="preserve">$ </w:t>
            </w:r>
            <w:r w:rsidR="00C47492">
              <w:rPr>
                <w:rFonts w:ascii="Calibri" w:hAnsi="Calibri"/>
                <w:color w:val="000000"/>
              </w:rPr>
              <w:t>9,186.24</w:t>
            </w:r>
          </w:p>
        </w:tc>
      </w:tr>
      <w:tr w:rsidR="00882B62" w14:paraId="70F54BBC" w14:textId="77777777">
        <w:tblPrEx>
          <w:shd w:val="clear" w:color="auto" w:fill="FFFFFF" w:themeFill="background1"/>
        </w:tblPrEx>
        <w:tc>
          <w:tcPr>
            <w:tcW w:w="1530" w:type="dxa"/>
            <w:vMerge/>
            <w:shd w:val="clear" w:color="auto" w:fill="FFFFFF" w:themeFill="background1"/>
          </w:tcPr>
          <w:p w:rsidR="00882B62" w:rsidRDefault="00882B62" w14:paraId="7E09720F" w14:textId="77777777"/>
        </w:tc>
        <w:tc>
          <w:tcPr>
            <w:tcW w:w="2700" w:type="dxa"/>
            <w:shd w:val="clear" w:color="auto" w:fill="FFFFFF" w:themeFill="background1"/>
          </w:tcPr>
          <w:p w:rsidR="00882B62" w:rsidRDefault="00196914" w14:paraId="4B699FD6" w14:textId="77777777">
            <w:r>
              <w:t>Annual Health Center Performance Measure Reporting Tool</w:t>
            </w:r>
          </w:p>
        </w:tc>
        <w:tc>
          <w:tcPr>
            <w:tcW w:w="1440" w:type="dxa"/>
            <w:shd w:val="clear" w:color="auto" w:fill="FFFFFF" w:themeFill="background1"/>
          </w:tcPr>
          <w:p w:rsidR="00882B62" w:rsidRDefault="00196914" w14:paraId="2E25AE48" w14:textId="77777777">
            <w:pPr>
              <w:jc w:val="center"/>
            </w:pPr>
            <w:r>
              <w:t>21</w:t>
            </w:r>
          </w:p>
        </w:tc>
        <w:tc>
          <w:tcPr>
            <w:tcW w:w="1620" w:type="dxa"/>
            <w:shd w:val="clear" w:color="auto" w:fill="FFFFFF" w:themeFill="background1"/>
          </w:tcPr>
          <w:p w:rsidR="00882B62" w:rsidRDefault="00196914" w14:paraId="769BDC51" w14:textId="77777777">
            <w:pPr>
              <w:jc w:val="center"/>
            </w:pPr>
            <w:r>
              <w:t>126</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545FF94C" w14:textId="61F0A36D">
            <w:pPr>
              <w:rPr>
                <w:rFonts w:ascii="Calibri" w:hAnsi="Calibri"/>
                <w:color w:val="000000"/>
              </w:rPr>
            </w:pPr>
            <w:r>
              <w:rPr>
                <w:rFonts w:ascii="Calibri" w:hAnsi="Calibri"/>
                <w:color w:val="000000"/>
              </w:rPr>
              <w:t xml:space="preserve"> $    </w:t>
            </w:r>
            <w:r w:rsidR="00B12160">
              <w:rPr>
                <w:rFonts w:ascii="Calibri" w:hAnsi="Calibri"/>
                <w:color w:val="000000"/>
              </w:rPr>
              <w:t>54.68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00EBCBC7" w14:textId="50692A6D">
            <w:pPr>
              <w:rPr>
                <w:rFonts w:ascii="Calibri" w:hAnsi="Calibri"/>
                <w:color w:val="000000"/>
              </w:rPr>
            </w:pPr>
            <w:r>
              <w:rPr>
                <w:rFonts w:ascii="Calibri" w:hAnsi="Calibri"/>
                <w:color w:val="000000"/>
              </w:rPr>
              <w:t xml:space="preserve">$ </w:t>
            </w:r>
            <w:r w:rsidR="00B12160">
              <w:rPr>
                <w:rFonts w:ascii="Calibri" w:hAnsi="Calibri"/>
                <w:color w:val="000000"/>
              </w:rPr>
              <w:t>6,889.68</w:t>
            </w:r>
          </w:p>
        </w:tc>
      </w:tr>
      <w:tr w:rsidR="00882B62" w14:paraId="5863F0E9" w14:textId="77777777">
        <w:tblPrEx>
          <w:shd w:val="clear" w:color="auto" w:fill="FFFFFF" w:themeFill="background1"/>
        </w:tblPrEx>
        <w:tc>
          <w:tcPr>
            <w:tcW w:w="1530" w:type="dxa"/>
            <w:vMerge/>
            <w:shd w:val="clear" w:color="auto" w:fill="FFFFFF" w:themeFill="background1"/>
          </w:tcPr>
          <w:p w:rsidR="00882B62" w:rsidRDefault="00882B62" w14:paraId="0D675F37" w14:textId="77777777"/>
        </w:tc>
        <w:tc>
          <w:tcPr>
            <w:tcW w:w="2700" w:type="dxa"/>
            <w:shd w:val="clear" w:color="auto" w:fill="FFFFFF" w:themeFill="background1"/>
          </w:tcPr>
          <w:p w:rsidR="00882B62" w:rsidRDefault="00196914" w14:paraId="51BC7FFF" w14:textId="77777777">
            <w:r>
              <w:t>Health Center Provider Survey</w:t>
            </w:r>
          </w:p>
        </w:tc>
        <w:tc>
          <w:tcPr>
            <w:tcW w:w="1440" w:type="dxa"/>
            <w:shd w:val="clear" w:color="auto" w:fill="FFFFFF" w:themeFill="background1"/>
          </w:tcPr>
          <w:p w:rsidR="00882B62" w:rsidRDefault="0016122D" w14:paraId="47872A42" w14:textId="6F0EB661">
            <w:pPr>
              <w:jc w:val="center"/>
            </w:pPr>
            <w:r>
              <w:t>84</w:t>
            </w:r>
          </w:p>
        </w:tc>
        <w:tc>
          <w:tcPr>
            <w:tcW w:w="1620" w:type="dxa"/>
            <w:shd w:val="clear" w:color="auto" w:fill="FFFFFF" w:themeFill="background1"/>
          </w:tcPr>
          <w:p w:rsidR="00882B62" w:rsidRDefault="0016122D" w14:paraId="276D10E7" w14:textId="3B18AA76">
            <w:pPr>
              <w:jc w:val="center"/>
            </w:pPr>
            <w:r>
              <w:t>28</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1E2E291D" w14:textId="76A1D123">
            <w:pPr>
              <w:rPr>
                <w:rFonts w:ascii="Calibri" w:hAnsi="Calibri"/>
                <w:color w:val="000000"/>
              </w:rPr>
            </w:pPr>
            <w:r>
              <w:rPr>
                <w:rFonts w:ascii="Calibri" w:hAnsi="Calibri"/>
                <w:color w:val="000000"/>
              </w:rPr>
              <w:t xml:space="preserve"> $  </w:t>
            </w:r>
            <w:r w:rsidR="00B12160">
              <w:rPr>
                <w:rFonts w:ascii="Calibri" w:hAnsi="Calibri"/>
                <w:color w:val="000000"/>
              </w:rPr>
              <w:t>114.58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P="0016122D" w:rsidRDefault="00196914" w14:paraId="6BEC040A" w14:textId="684FD4C6">
            <w:pPr>
              <w:rPr>
                <w:rFonts w:ascii="Calibri" w:hAnsi="Calibri"/>
                <w:color w:val="000000"/>
              </w:rPr>
            </w:pPr>
            <w:r>
              <w:rPr>
                <w:rFonts w:ascii="Calibri" w:hAnsi="Calibri"/>
                <w:color w:val="000000"/>
              </w:rPr>
              <w:t xml:space="preserve">$ </w:t>
            </w:r>
            <w:r w:rsidR="0016122D">
              <w:rPr>
                <w:rFonts w:ascii="Calibri" w:hAnsi="Calibri"/>
                <w:color w:val="000000"/>
              </w:rPr>
              <w:t>3,208.24</w:t>
            </w:r>
          </w:p>
        </w:tc>
      </w:tr>
      <w:tr w:rsidR="00882B62" w14:paraId="4362AAA2" w14:textId="77777777">
        <w:tblPrEx>
          <w:shd w:val="clear" w:color="auto" w:fill="FFFFFF" w:themeFill="background1"/>
        </w:tblPrEx>
        <w:tc>
          <w:tcPr>
            <w:tcW w:w="1530" w:type="dxa"/>
            <w:vMerge/>
            <w:shd w:val="clear" w:color="auto" w:fill="FFFFFF" w:themeFill="background1"/>
          </w:tcPr>
          <w:p w:rsidR="00882B62" w:rsidRDefault="00882B62" w14:paraId="12DCF837" w14:textId="77777777"/>
        </w:tc>
        <w:tc>
          <w:tcPr>
            <w:tcW w:w="2700" w:type="dxa"/>
            <w:shd w:val="clear" w:color="auto" w:fill="FFFFFF" w:themeFill="background1"/>
          </w:tcPr>
          <w:p w:rsidR="00882B62" w:rsidRDefault="00196914" w14:paraId="422B1538" w14:textId="77777777">
            <w:r>
              <w:t xml:space="preserve">Awardee Training and Technical Assistance Tool </w:t>
            </w:r>
          </w:p>
        </w:tc>
        <w:tc>
          <w:tcPr>
            <w:tcW w:w="1440" w:type="dxa"/>
            <w:shd w:val="clear" w:color="auto" w:fill="FFFFFF" w:themeFill="background1"/>
          </w:tcPr>
          <w:p w:rsidR="00882B62" w:rsidRDefault="00196914" w14:paraId="09D9EAE0" w14:textId="77777777">
            <w:pPr>
              <w:jc w:val="center"/>
            </w:pPr>
            <w:r>
              <w:t>3</w:t>
            </w:r>
          </w:p>
        </w:tc>
        <w:tc>
          <w:tcPr>
            <w:tcW w:w="1620" w:type="dxa"/>
            <w:shd w:val="clear" w:color="auto" w:fill="FFFFFF" w:themeFill="background1"/>
          </w:tcPr>
          <w:p w:rsidR="00882B62" w:rsidRDefault="00C47492" w14:paraId="08144B93" w14:textId="064CFBAF">
            <w:pPr>
              <w:jc w:val="center"/>
              <w:rPr>
                <w:b/>
              </w:rPr>
            </w:pPr>
            <w:r>
              <w:t>48</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0DA402B9" w14:textId="330BDBE5">
            <w:pPr>
              <w:rPr>
                <w:rFonts w:ascii="Calibri" w:hAnsi="Calibri"/>
                <w:color w:val="000000"/>
              </w:rPr>
            </w:pPr>
            <w:r>
              <w:rPr>
                <w:rFonts w:ascii="Calibri" w:hAnsi="Calibri"/>
                <w:color w:val="000000"/>
              </w:rPr>
              <w:t xml:space="preserve"> $    </w:t>
            </w:r>
            <w:r w:rsidR="00B12160">
              <w:rPr>
                <w:rFonts w:ascii="Calibri" w:hAnsi="Calibri"/>
                <w:color w:val="000000"/>
              </w:rPr>
              <w:t>34.46</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68092F26" w14:textId="500FD365">
            <w:pPr>
              <w:rPr>
                <w:rFonts w:ascii="Calibri" w:hAnsi="Calibri"/>
                <w:color w:val="000000"/>
              </w:rPr>
            </w:pPr>
            <w:r>
              <w:rPr>
                <w:rFonts w:ascii="Calibri" w:hAnsi="Calibri"/>
                <w:color w:val="000000"/>
              </w:rPr>
              <w:t xml:space="preserve">$ </w:t>
            </w:r>
            <w:r w:rsidR="00C47492">
              <w:rPr>
                <w:rFonts w:ascii="Calibri" w:hAnsi="Calibri"/>
                <w:color w:val="000000"/>
              </w:rPr>
              <w:t>1654.08</w:t>
            </w:r>
          </w:p>
        </w:tc>
      </w:tr>
      <w:tr w:rsidR="00882B62" w14:paraId="79482FA2" w14:textId="77777777">
        <w:tblPrEx>
          <w:shd w:val="clear" w:color="auto" w:fill="FFFFFF" w:themeFill="background1"/>
        </w:tblPrEx>
        <w:tc>
          <w:tcPr>
            <w:tcW w:w="1530" w:type="dxa"/>
            <w:vMerge/>
            <w:shd w:val="clear" w:color="auto" w:fill="FFFFFF" w:themeFill="background1"/>
          </w:tcPr>
          <w:p w:rsidR="00882B62" w:rsidRDefault="00882B62" w14:paraId="3B38DCEC" w14:textId="77777777"/>
        </w:tc>
        <w:tc>
          <w:tcPr>
            <w:tcW w:w="2700" w:type="dxa"/>
            <w:shd w:val="clear" w:color="auto" w:fill="FFFFFF" w:themeFill="background1"/>
          </w:tcPr>
          <w:p w:rsidR="00882B62" w:rsidRDefault="00196914" w14:paraId="0F801BEF" w14:textId="77777777">
            <w:r>
              <w:t>Awardee Performance Measure Reporting Tool</w:t>
            </w:r>
          </w:p>
        </w:tc>
        <w:tc>
          <w:tcPr>
            <w:tcW w:w="1440" w:type="dxa"/>
            <w:shd w:val="clear" w:color="auto" w:fill="FFFFFF" w:themeFill="background1"/>
          </w:tcPr>
          <w:p w:rsidR="00882B62" w:rsidRDefault="00196914" w14:paraId="40BC5D44" w14:textId="77777777">
            <w:pPr>
              <w:jc w:val="center"/>
            </w:pPr>
            <w:r>
              <w:t>3</w:t>
            </w:r>
          </w:p>
        </w:tc>
        <w:tc>
          <w:tcPr>
            <w:tcW w:w="1620" w:type="dxa"/>
            <w:shd w:val="clear" w:color="auto" w:fill="FFFFFF" w:themeFill="background1"/>
          </w:tcPr>
          <w:p w:rsidR="00882B62" w:rsidRDefault="00196914" w14:paraId="1552D172" w14:textId="77777777">
            <w:pPr>
              <w:jc w:val="center"/>
              <w:rPr>
                <w:b/>
              </w:rPr>
            </w:pPr>
            <w:r>
              <w:t>3</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2539D0CB" w14:textId="19A89D1E">
            <w:pPr>
              <w:rPr>
                <w:rFonts w:ascii="Calibri" w:hAnsi="Calibri"/>
                <w:color w:val="000000"/>
              </w:rPr>
            </w:pPr>
            <w:r>
              <w:rPr>
                <w:rFonts w:ascii="Calibri" w:hAnsi="Calibri"/>
                <w:color w:val="000000"/>
              </w:rPr>
              <w:t xml:space="preserve"> $    </w:t>
            </w:r>
            <w:r w:rsidR="00B12160">
              <w:rPr>
                <w:rFonts w:ascii="Calibri" w:hAnsi="Calibri"/>
                <w:color w:val="000000"/>
              </w:rPr>
              <w:t>34.46</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360BAF13" w14:textId="3E887D34">
            <w:pPr>
              <w:rPr>
                <w:rFonts w:ascii="Calibri" w:hAnsi="Calibri"/>
                <w:color w:val="000000"/>
              </w:rPr>
            </w:pPr>
            <w:r>
              <w:rPr>
                <w:rFonts w:ascii="Calibri" w:hAnsi="Calibri"/>
                <w:color w:val="000000"/>
              </w:rPr>
              <w:t xml:space="preserve">$ </w:t>
            </w:r>
            <w:r w:rsidR="00B12160">
              <w:rPr>
                <w:rFonts w:ascii="Calibri" w:hAnsi="Calibri"/>
                <w:color w:val="000000"/>
              </w:rPr>
              <w:t>103.38</w:t>
            </w:r>
          </w:p>
        </w:tc>
      </w:tr>
      <w:tr w:rsidR="00882B62" w14:paraId="39613E5D" w14:textId="77777777">
        <w:tblPrEx>
          <w:shd w:val="clear" w:color="auto" w:fill="FFFFFF" w:themeFill="background1"/>
        </w:tblPrEx>
        <w:tc>
          <w:tcPr>
            <w:tcW w:w="1530" w:type="dxa"/>
            <w:vMerge w:val="restart"/>
            <w:shd w:val="clear" w:color="auto" w:fill="FFFFFF" w:themeFill="background1"/>
          </w:tcPr>
          <w:p w:rsidR="00882B62" w:rsidRDefault="00196914" w14:paraId="586FC295" w14:textId="77777777">
            <w:r>
              <w:t>State and Local Government</w:t>
            </w:r>
          </w:p>
        </w:tc>
        <w:tc>
          <w:tcPr>
            <w:tcW w:w="2700" w:type="dxa"/>
            <w:shd w:val="clear" w:color="auto" w:fill="FFFFFF" w:themeFill="background1"/>
          </w:tcPr>
          <w:p w:rsidR="00882B62" w:rsidRDefault="00196914" w14:paraId="5288A904" w14:textId="77777777">
            <w:r>
              <w:t>Health Center Organizational Assessment</w:t>
            </w:r>
          </w:p>
        </w:tc>
        <w:tc>
          <w:tcPr>
            <w:tcW w:w="1440" w:type="dxa"/>
            <w:shd w:val="clear" w:color="auto" w:fill="FFFFFF" w:themeFill="background1"/>
          </w:tcPr>
          <w:p w:rsidR="00882B62" w:rsidRDefault="00196914" w14:paraId="5FC8E4F4" w14:textId="77777777">
            <w:pPr>
              <w:jc w:val="center"/>
            </w:pPr>
            <w:r>
              <w:t>4</w:t>
            </w:r>
          </w:p>
        </w:tc>
        <w:tc>
          <w:tcPr>
            <w:tcW w:w="1620" w:type="dxa"/>
            <w:shd w:val="clear" w:color="auto" w:fill="FFFFFF" w:themeFill="background1"/>
          </w:tcPr>
          <w:p w:rsidR="00882B62" w:rsidRDefault="00196914" w14:paraId="39045110" w14:textId="77777777">
            <w:pPr>
              <w:jc w:val="center"/>
            </w:pPr>
            <w:r>
              <w:t>8</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75A6A648" w14:textId="018DDA96">
            <w:pPr>
              <w:rPr>
                <w:rFonts w:ascii="Calibri" w:hAnsi="Calibri"/>
                <w:color w:val="000000"/>
              </w:rPr>
            </w:pPr>
            <w:r>
              <w:rPr>
                <w:rFonts w:ascii="Calibri" w:hAnsi="Calibri"/>
                <w:color w:val="000000"/>
              </w:rPr>
              <w:t xml:space="preserve"> $    </w:t>
            </w:r>
            <w:r w:rsidR="00B12160">
              <w:rPr>
                <w:rFonts w:ascii="Calibri" w:hAnsi="Calibri"/>
                <w:color w:val="000000"/>
              </w:rPr>
              <w:t>54.68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1545FF56" w14:textId="76EABB52">
            <w:pPr>
              <w:rPr>
                <w:rFonts w:ascii="Calibri" w:hAnsi="Calibri"/>
                <w:color w:val="000000"/>
              </w:rPr>
            </w:pPr>
            <w:r>
              <w:rPr>
                <w:rFonts w:ascii="Calibri" w:hAnsi="Calibri"/>
                <w:color w:val="000000"/>
              </w:rPr>
              <w:t xml:space="preserve">$ </w:t>
            </w:r>
            <w:r w:rsidR="00646D4F">
              <w:rPr>
                <w:rFonts w:ascii="Calibri" w:hAnsi="Calibri"/>
                <w:color w:val="000000"/>
              </w:rPr>
              <w:t>437.44</w:t>
            </w:r>
          </w:p>
        </w:tc>
      </w:tr>
      <w:tr w:rsidR="00882B62" w:rsidTr="00026B52" w14:paraId="118592BC" w14:textId="77777777">
        <w:tblPrEx>
          <w:shd w:val="clear" w:color="auto" w:fill="FFFFFF" w:themeFill="background1"/>
        </w:tblPrEx>
        <w:trPr>
          <w:trHeight w:val="755"/>
        </w:trPr>
        <w:tc>
          <w:tcPr>
            <w:tcW w:w="1530" w:type="dxa"/>
            <w:vMerge/>
            <w:shd w:val="clear" w:color="auto" w:fill="FFFFFF" w:themeFill="background1"/>
          </w:tcPr>
          <w:p w:rsidR="00882B62" w:rsidRDefault="00882B62" w14:paraId="62A2517F" w14:textId="77777777"/>
        </w:tc>
        <w:tc>
          <w:tcPr>
            <w:tcW w:w="2700" w:type="dxa"/>
            <w:shd w:val="clear" w:color="auto" w:fill="FFFFFF" w:themeFill="background1"/>
          </w:tcPr>
          <w:p w:rsidR="00882B62" w:rsidRDefault="00196914" w14:paraId="081D5B91" w14:textId="77777777">
            <w:r>
              <w:t>Quarterly Health Center Performance Measure Reporting Tool</w:t>
            </w:r>
          </w:p>
        </w:tc>
        <w:tc>
          <w:tcPr>
            <w:tcW w:w="1440" w:type="dxa"/>
            <w:shd w:val="clear" w:color="auto" w:fill="FFFFFF" w:themeFill="background1"/>
          </w:tcPr>
          <w:p w:rsidR="00882B62" w:rsidRDefault="00196914" w14:paraId="694E88C3" w14:textId="77777777">
            <w:pPr>
              <w:jc w:val="center"/>
            </w:pPr>
            <w:r>
              <w:t>4</w:t>
            </w:r>
          </w:p>
        </w:tc>
        <w:tc>
          <w:tcPr>
            <w:tcW w:w="1620" w:type="dxa"/>
            <w:shd w:val="clear" w:color="auto" w:fill="FFFFFF" w:themeFill="background1"/>
          </w:tcPr>
          <w:p w:rsidR="00882B62" w:rsidRDefault="00C47492" w14:paraId="04E19ECC" w14:textId="053B88F2">
            <w:pPr>
              <w:jc w:val="center"/>
            </w:pPr>
            <w:r>
              <w:t>32</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5E95B88C" w14:textId="53FBB82F">
            <w:pPr>
              <w:rPr>
                <w:rFonts w:ascii="Calibri" w:hAnsi="Calibri"/>
                <w:color w:val="000000"/>
              </w:rPr>
            </w:pPr>
            <w:r>
              <w:rPr>
                <w:rFonts w:ascii="Calibri" w:hAnsi="Calibri"/>
                <w:color w:val="000000"/>
              </w:rPr>
              <w:t xml:space="preserve"> $    </w:t>
            </w:r>
            <w:r w:rsidR="00B12160">
              <w:rPr>
                <w:rFonts w:ascii="Calibri" w:hAnsi="Calibri"/>
                <w:color w:val="000000"/>
              </w:rPr>
              <w:t>54.68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30D5B4CB" w14:textId="477E8E87">
            <w:pPr>
              <w:rPr>
                <w:rFonts w:ascii="Calibri" w:hAnsi="Calibri"/>
                <w:color w:val="000000"/>
              </w:rPr>
            </w:pPr>
            <w:r>
              <w:rPr>
                <w:rFonts w:ascii="Calibri" w:hAnsi="Calibri"/>
                <w:color w:val="000000"/>
              </w:rPr>
              <w:t xml:space="preserve">$ </w:t>
            </w:r>
            <w:r w:rsidR="00C47492">
              <w:rPr>
                <w:rFonts w:ascii="Calibri" w:hAnsi="Calibri"/>
                <w:color w:val="000000"/>
              </w:rPr>
              <w:t>1,749.76</w:t>
            </w:r>
          </w:p>
        </w:tc>
      </w:tr>
      <w:tr w:rsidR="00882B62" w14:paraId="491C2EF2" w14:textId="77777777">
        <w:tblPrEx>
          <w:shd w:val="clear" w:color="auto" w:fill="FFFFFF" w:themeFill="background1"/>
        </w:tblPrEx>
        <w:tc>
          <w:tcPr>
            <w:tcW w:w="1530" w:type="dxa"/>
            <w:vMerge/>
            <w:shd w:val="clear" w:color="auto" w:fill="FFFFFF" w:themeFill="background1"/>
          </w:tcPr>
          <w:p w:rsidR="00882B62" w:rsidRDefault="00882B62" w14:paraId="4C5AF89C" w14:textId="77777777"/>
        </w:tc>
        <w:tc>
          <w:tcPr>
            <w:tcW w:w="2700" w:type="dxa"/>
            <w:shd w:val="clear" w:color="auto" w:fill="FFFFFF" w:themeFill="background1"/>
          </w:tcPr>
          <w:p w:rsidR="00882B62" w:rsidRDefault="00196914" w14:paraId="590048FE" w14:textId="77777777">
            <w:r>
              <w:t>Annual Health Center Performance Measure Reporting Tool</w:t>
            </w:r>
          </w:p>
        </w:tc>
        <w:tc>
          <w:tcPr>
            <w:tcW w:w="1440" w:type="dxa"/>
            <w:shd w:val="clear" w:color="auto" w:fill="FFFFFF" w:themeFill="background1"/>
          </w:tcPr>
          <w:p w:rsidR="00882B62" w:rsidRDefault="00196914" w14:paraId="7AFD2DAF" w14:textId="77777777">
            <w:pPr>
              <w:jc w:val="center"/>
            </w:pPr>
            <w:r>
              <w:t>4</w:t>
            </w:r>
          </w:p>
        </w:tc>
        <w:tc>
          <w:tcPr>
            <w:tcW w:w="1620" w:type="dxa"/>
            <w:shd w:val="clear" w:color="auto" w:fill="FFFFFF" w:themeFill="background1"/>
          </w:tcPr>
          <w:p w:rsidR="00882B62" w:rsidRDefault="00196914" w14:paraId="5DCE849D" w14:textId="77777777">
            <w:pPr>
              <w:jc w:val="center"/>
            </w:pPr>
            <w:r>
              <w:t>24</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56C2668E" w14:textId="318CEF20">
            <w:pPr>
              <w:rPr>
                <w:rFonts w:ascii="Calibri" w:hAnsi="Calibri"/>
                <w:color w:val="000000"/>
              </w:rPr>
            </w:pPr>
            <w:r>
              <w:rPr>
                <w:rFonts w:ascii="Calibri" w:hAnsi="Calibri"/>
                <w:color w:val="000000"/>
              </w:rPr>
              <w:t xml:space="preserve"> $    </w:t>
            </w:r>
            <w:r w:rsidR="00B12160">
              <w:rPr>
                <w:rFonts w:ascii="Calibri" w:hAnsi="Calibri"/>
                <w:color w:val="000000"/>
              </w:rPr>
              <w:t>54.68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96914" w14:paraId="7AE54886" w14:textId="21CC2A0D">
            <w:pPr>
              <w:rPr>
                <w:rFonts w:ascii="Calibri" w:hAnsi="Calibri"/>
                <w:color w:val="000000"/>
              </w:rPr>
            </w:pPr>
            <w:r>
              <w:rPr>
                <w:rFonts w:ascii="Calibri" w:hAnsi="Calibri"/>
                <w:color w:val="000000"/>
              </w:rPr>
              <w:t>$</w:t>
            </w:r>
            <w:r w:rsidR="00646D4F">
              <w:rPr>
                <w:rFonts w:ascii="Calibri" w:hAnsi="Calibri"/>
                <w:color w:val="000000"/>
              </w:rPr>
              <w:t>1,312.32</w:t>
            </w:r>
          </w:p>
        </w:tc>
      </w:tr>
      <w:tr w:rsidR="00882B62" w14:paraId="24BC0667" w14:textId="77777777">
        <w:tblPrEx>
          <w:shd w:val="clear" w:color="auto" w:fill="FFFFFF" w:themeFill="background1"/>
        </w:tblPrEx>
        <w:tc>
          <w:tcPr>
            <w:tcW w:w="1530" w:type="dxa"/>
            <w:vMerge/>
            <w:shd w:val="clear" w:color="auto" w:fill="FFFFFF" w:themeFill="background1"/>
          </w:tcPr>
          <w:p w:rsidR="00882B62" w:rsidRDefault="00882B62" w14:paraId="5941D3E7" w14:textId="77777777"/>
        </w:tc>
        <w:tc>
          <w:tcPr>
            <w:tcW w:w="2700" w:type="dxa"/>
            <w:shd w:val="clear" w:color="auto" w:fill="FFFFFF" w:themeFill="background1"/>
          </w:tcPr>
          <w:p w:rsidR="00882B62" w:rsidRDefault="00196914" w14:paraId="4D6B2487" w14:textId="77777777">
            <w:r>
              <w:t>Health Center Provider Survey</w:t>
            </w:r>
          </w:p>
        </w:tc>
        <w:tc>
          <w:tcPr>
            <w:tcW w:w="1440" w:type="dxa"/>
            <w:shd w:val="clear" w:color="auto" w:fill="FFFFFF" w:themeFill="background1"/>
          </w:tcPr>
          <w:p w:rsidR="00882B62" w:rsidRDefault="0016122D" w14:paraId="22652031" w14:textId="1348FCB5">
            <w:pPr>
              <w:jc w:val="center"/>
            </w:pPr>
            <w:r>
              <w:t>16</w:t>
            </w:r>
          </w:p>
        </w:tc>
        <w:tc>
          <w:tcPr>
            <w:tcW w:w="1620" w:type="dxa"/>
            <w:shd w:val="clear" w:color="auto" w:fill="FFFFFF" w:themeFill="background1"/>
          </w:tcPr>
          <w:p w:rsidR="00882B62" w:rsidRDefault="0016122D" w14:paraId="1C90C6C7" w14:textId="0FAE71F7">
            <w:pPr>
              <w:jc w:val="center"/>
            </w:pPr>
            <w:r>
              <w:t>6</w:t>
            </w:r>
          </w:p>
        </w:tc>
        <w:tc>
          <w:tcPr>
            <w:tcW w:w="1620" w:type="dxa"/>
            <w:tcBorders>
              <w:top w:val="single" w:color="auto" w:sz="4" w:space="0"/>
              <w:left w:val="nil"/>
              <w:bottom w:val="single" w:color="auto" w:sz="4" w:space="0"/>
              <w:right w:val="single" w:color="auto" w:sz="4" w:space="0"/>
            </w:tcBorders>
            <w:shd w:val="clear" w:color="auto" w:fill="auto"/>
            <w:vAlign w:val="bottom"/>
          </w:tcPr>
          <w:p w:rsidR="00882B62" w:rsidRDefault="00196914" w14:paraId="79268500" w14:textId="38549511">
            <w:pPr>
              <w:rPr>
                <w:rFonts w:ascii="Calibri" w:hAnsi="Calibri"/>
                <w:color w:val="000000"/>
              </w:rPr>
            </w:pPr>
            <w:r>
              <w:rPr>
                <w:rFonts w:ascii="Calibri" w:hAnsi="Calibri"/>
                <w:color w:val="000000"/>
              </w:rPr>
              <w:t xml:space="preserve"> $  </w:t>
            </w:r>
            <w:r w:rsidR="00B12160">
              <w:rPr>
                <w:rFonts w:ascii="Calibri" w:hAnsi="Calibri"/>
                <w:color w:val="000000"/>
              </w:rPr>
              <w:t>114.58</w:t>
            </w:r>
            <w:r>
              <w:rPr>
                <w:rFonts w:ascii="Calibri" w:hAnsi="Calibri"/>
                <w:color w:val="00000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00882B62" w:rsidRDefault="0016122D" w14:paraId="55C9407E" w14:textId="52EC884C">
            <w:pPr>
              <w:rPr>
                <w:rFonts w:ascii="Calibri" w:hAnsi="Calibri"/>
                <w:color w:val="000000"/>
              </w:rPr>
            </w:pPr>
            <w:r>
              <w:rPr>
                <w:rFonts w:ascii="Calibri" w:hAnsi="Calibri"/>
                <w:color w:val="000000"/>
              </w:rPr>
              <w:t>687.48</w:t>
            </w:r>
          </w:p>
        </w:tc>
      </w:tr>
      <w:tr w:rsidR="00882B62" w14:paraId="1A86E1B3" w14:textId="77777777">
        <w:tblPrEx>
          <w:shd w:val="clear" w:color="auto" w:fill="FFFFFF" w:themeFill="background1"/>
        </w:tblPrEx>
        <w:trPr>
          <w:trHeight w:val="305"/>
        </w:trPr>
        <w:tc>
          <w:tcPr>
            <w:tcW w:w="1530" w:type="dxa"/>
            <w:shd w:val="clear" w:color="auto" w:fill="FFFFFF" w:themeFill="background1"/>
          </w:tcPr>
          <w:p w:rsidR="00882B62" w:rsidRDefault="00196914" w14:paraId="1D78C246" w14:textId="77777777">
            <w:pPr>
              <w:rPr>
                <w:b/>
              </w:rPr>
            </w:pPr>
            <w:r>
              <w:rPr>
                <w:b/>
              </w:rPr>
              <w:t>TOTAL</w:t>
            </w:r>
          </w:p>
        </w:tc>
        <w:tc>
          <w:tcPr>
            <w:tcW w:w="2700" w:type="dxa"/>
            <w:shd w:val="clear" w:color="auto" w:fill="FFFFFF" w:themeFill="background1"/>
          </w:tcPr>
          <w:p w:rsidR="00882B62" w:rsidRDefault="00882B62" w14:paraId="3CC1BBEA" w14:textId="77777777">
            <w:pPr>
              <w:rPr>
                <w:b/>
              </w:rPr>
            </w:pPr>
          </w:p>
        </w:tc>
        <w:tc>
          <w:tcPr>
            <w:tcW w:w="1440" w:type="dxa"/>
            <w:shd w:val="clear" w:color="auto" w:fill="FFFFFF" w:themeFill="background1"/>
          </w:tcPr>
          <w:p w:rsidR="00882B62" w:rsidRDefault="00882B62" w14:paraId="6F52DA98" w14:textId="77777777">
            <w:pPr>
              <w:jc w:val="center"/>
              <w:rPr>
                <w:b/>
              </w:rPr>
            </w:pPr>
          </w:p>
        </w:tc>
        <w:tc>
          <w:tcPr>
            <w:tcW w:w="1620" w:type="dxa"/>
            <w:shd w:val="clear" w:color="auto" w:fill="FFFFFF" w:themeFill="background1"/>
          </w:tcPr>
          <w:p w:rsidR="00882B62" w:rsidRDefault="00882B62" w14:paraId="5898EA36" w14:textId="77777777">
            <w:pPr>
              <w:jc w:val="center"/>
              <w:rPr>
                <w:b/>
              </w:rPr>
            </w:pPr>
          </w:p>
        </w:tc>
        <w:tc>
          <w:tcPr>
            <w:tcW w:w="1620" w:type="dxa"/>
            <w:tcBorders>
              <w:top w:val="single" w:color="auto" w:sz="4" w:space="0"/>
            </w:tcBorders>
            <w:shd w:val="clear" w:color="auto" w:fill="FFFFFF" w:themeFill="background1"/>
          </w:tcPr>
          <w:p w:rsidR="00882B62" w:rsidRDefault="00882B62" w14:paraId="7D5DF028" w14:textId="77777777">
            <w:pPr>
              <w:jc w:val="center"/>
              <w:rPr>
                <w:b/>
              </w:rPr>
            </w:pPr>
          </w:p>
        </w:tc>
        <w:tc>
          <w:tcPr>
            <w:tcW w:w="1620" w:type="dxa"/>
            <w:tcBorders>
              <w:top w:val="single" w:color="auto" w:sz="4" w:space="0"/>
            </w:tcBorders>
            <w:shd w:val="clear" w:color="auto" w:fill="FFFFFF" w:themeFill="background1"/>
          </w:tcPr>
          <w:p w:rsidR="00882B62" w:rsidP="0016122D" w:rsidRDefault="00196914" w14:paraId="17D326DE" w14:textId="283B0DCD">
            <w:pPr>
              <w:jc w:val="center"/>
              <w:rPr>
                <w:b/>
              </w:rPr>
            </w:pPr>
            <w:r>
              <w:rPr>
                <w:b/>
              </w:rPr>
              <w:t>$</w:t>
            </w:r>
            <w:r w:rsidR="0016122D">
              <w:rPr>
                <w:b/>
              </w:rPr>
              <w:t>27,525.18</w:t>
            </w:r>
          </w:p>
        </w:tc>
      </w:tr>
    </w:tbl>
    <w:p w:rsidR="00882B62" w:rsidRDefault="00882B62" w14:paraId="438D5BB4" w14:textId="77777777">
      <w:pPr>
        <w:pStyle w:val="ListParagraph"/>
      </w:pPr>
    </w:p>
    <w:p w:rsidR="00882B62" w:rsidRDefault="00196914" w14:paraId="2103F3C4" w14:textId="77777777">
      <w:pPr>
        <w:ind w:left="360"/>
        <w:rPr>
          <w:b/>
        </w:rPr>
      </w:pPr>
      <w:r>
        <w:rPr>
          <w:b/>
        </w:rPr>
        <w:t>13. Estimates of Other Total Annual Cost Burden to Respondents or Record Keepers</w:t>
      </w:r>
    </w:p>
    <w:p w:rsidR="00882B62" w:rsidRDefault="00196914" w14:paraId="2FAB64D8" w14:textId="76E6B324">
      <w:pPr>
        <w:ind w:left="360"/>
      </w:pPr>
      <w:r>
        <w:t xml:space="preserve">There </w:t>
      </w:r>
      <w:r w:rsidR="00C62E4F">
        <w:t>is</w:t>
      </w:r>
      <w:r>
        <w:t xml:space="preserve"> no </w:t>
      </w:r>
      <w:r w:rsidR="00A6722A">
        <w:t>other total annual cost burden to respondents</w:t>
      </w:r>
      <w:r>
        <w:t>.</w:t>
      </w:r>
    </w:p>
    <w:p w:rsidR="00882B62" w:rsidRDefault="00196914" w14:paraId="5D48869D" w14:textId="77777777">
      <w:pPr>
        <w:ind w:left="360"/>
        <w:rPr>
          <w:b/>
        </w:rPr>
      </w:pPr>
      <w:r>
        <w:rPr>
          <w:b/>
        </w:rPr>
        <w:t>14. Annualized Cost to the Government</w:t>
      </w:r>
    </w:p>
    <w:p w:rsidR="00882B62" w:rsidRDefault="00196914" w14:paraId="42610E33" w14:textId="36697ABE">
      <w:pPr>
        <w:ind w:left="360"/>
      </w:pPr>
      <w:r>
        <w:t xml:space="preserve">The ICR </w:t>
      </w:r>
      <w:r w:rsidR="00A6722A">
        <w:t>is</w:t>
      </w:r>
      <w:r>
        <w:t xml:space="preserve"> be</w:t>
      </w:r>
      <w:r w:rsidR="00ED1329">
        <w:t>ing</w:t>
      </w:r>
      <w:r>
        <w:t xml:space="preserve"> funded as one part of a cooperative agreement between </w:t>
      </w:r>
      <w:r w:rsidR="00ED1329">
        <w:t>DRH</w:t>
      </w:r>
      <w:r>
        <w:t xml:space="preserve"> and the three awardees.  In total, the three awardees receive $1,950,000 annually</w:t>
      </w:r>
      <w:r w:rsidR="000B358E">
        <w:t xml:space="preserve"> with estimated costs of $1,300,000 for the extension period (February 2020 to September 2020)</w:t>
      </w:r>
      <w:r>
        <w:t xml:space="preserve">. Personnel costs of federal employees involved in the oversight of the </w:t>
      </w:r>
      <w:r w:rsidR="00C62E4F">
        <w:t xml:space="preserve">data collection under the </w:t>
      </w:r>
      <w:r>
        <w:t xml:space="preserve">cooperative agreement, technical assistance, and analysis of data (i.e., </w:t>
      </w:r>
      <w:r>
        <w:lastRenderedPageBreak/>
        <w:t>direct costs to the federal government) include</w:t>
      </w:r>
      <w:r w:rsidR="0009324F">
        <w:t>s</w:t>
      </w:r>
      <w:r>
        <w:t xml:space="preserve"> 4 </w:t>
      </w:r>
      <w:r w:rsidR="00ED1329">
        <w:t>DRH</w:t>
      </w:r>
      <w:r>
        <w:t xml:space="preserve"> staff. Costs to the government are based on 201</w:t>
      </w:r>
      <w:r w:rsidR="00B05C08">
        <w:t>9</w:t>
      </w:r>
      <w:r>
        <w:t xml:space="preserve"> fiscal year costs</w:t>
      </w:r>
      <w:r w:rsidR="000B358E">
        <w:t xml:space="preserve"> and total 144,309.56</w:t>
      </w:r>
      <w:r>
        <w:t xml:space="preserve">. </w:t>
      </w:r>
    </w:p>
    <w:p w:rsidR="00882B62" w:rsidRDefault="00196914" w14:paraId="206A9A37" w14:textId="22D5D91E">
      <w:pPr>
        <w:ind w:left="360"/>
      </w:pPr>
      <w:r>
        <w:t>The total estimated cost to the government of collecting the requested information</w:t>
      </w:r>
      <w:r w:rsidR="00ED1329">
        <w:t xml:space="preserve"> during the requested extension period</w:t>
      </w:r>
      <w:r>
        <w:t xml:space="preserve"> is $</w:t>
      </w:r>
      <w:r w:rsidR="000B358E">
        <w:t>1,4</w:t>
      </w:r>
      <w:r w:rsidR="00D748CC">
        <w:t>44,309.56</w:t>
      </w:r>
      <w:r>
        <w:t>.</w:t>
      </w:r>
    </w:p>
    <w:p w:rsidR="00882B62" w:rsidRDefault="00196914" w14:paraId="34AAE1BC" w14:textId="77777777">
      <w:pPr>
        <w:shd w:val="clear" w:color="auto" w:fill="FFFFFF" w:themeFill="background1"/>
        <w:ind w:left="360"/>
        <w:rPr>
          <w:b/>
        </w:rPr>
      </w:pPr>
      <w:r>
        <w:rPr>
          <w:b/>
        </w:rPr>
        <w:t>Table A.5: Total Annualized Cost to the Government</w:t>
      </w:r>
    </w:p>
    <w:tbl>
      <w:tblPr>
        <w:tblStyle w:val="TableGrid"/>
        <w:tblW w:w="9985" w:type="dxa"/>
        <w:tblInd w:w="360" w:type="dxa"/>
        <w:tblLook w:val="04A0" w:firstRow="1" w:lastRow="0" w:firstColumn="1" w:lastColumn="0" w:noHBand="0" w:noVBand="1"/>
      </w:tblPr>
      <w:tblGrid>
        <w:gridCol w:w="1955"/>
        <w:gridCol w:w="1972"/>
        <w:gridCol w:w="1914"/>
        <w:gridCol w:w="1914"/>
        <w:gridCol w:w="2230"/>
      </w:tblGrid>
      <w:tr w:rsidR="00882B62" w14:paraId="6A08BACE" w14:textId="77777777">
        <w:tc>
          <w:tcPr>
            <w:tcW w:w="1955" w:type="dxa"/>
            <w:shd w:val="clear" w:color="auto" w:fill="BFBFBF" w:themeFill="background1" w:themeFillShade="BF"/>
          </w:tcPr>
          <w:p w:rsidR="00882B62" w:rsidRDefault="00196914" w14:paraId="1AA2B427" w14:textId="77777777">
            <w:pPr>
              <w:shd w:val="clear" w:color="auto" w:fill="A6A6A6" w:themeFill="background1" w:themeFillShade="A6"/>
              <w:jc w:val="center"/>
              <w:rPr>
                <w:b/>
                <w:color w:val="FFFFFF" w:themeColor="background1"/>
              </w:rPr>
            </w:pPr>
            <w:r>
              <w:rPr>
                <w:b/>
                <w:color w:val="FFFFFF" w:themeColor="background1"/>
              </w:rPr>
              <w:t>Expense type</w:t>
            </w:r>
          </w:p>
        </w:tc>
        <w:tc>
          <w:tcPr>
            <w:tcW w:w="5800" w:type="dxa"/>
            <w:gridSpan w:val="3"/>
            <w:shd w:val="clear" w:color="auto" w:fill="BFBFBF" w:themeFill="background1" w:themeFillShade="BF"/>
          </w:tcPr>
          <w:p w:rsidR="00882B62" w:rsidRDefault="00196914" w14:paraId="6EE60140" w14:textId="77777777">
            <w:pPr>
              <w:shd w:val="clear" w:color="auto" w:fill="A6A6A6" w:themeFill="background1" w:themeFillShade="A6"/>
              <w:jc w:val="center"/>
              <w:rPr>
                <w:b/>
                <w:color w:val="FFFFFF" w:themeColor="background1"/>
              </w:rPr>
            </w:pPr>
            <w:r>
              <w:rPr>
                <w:b/>
                <w:color w:val="FFFFFF" w:themeColor="background1"/>
              </w:rPr>
              <w:t>Expense Explanation</w:t>
            </w:r>
          </w:p>
        </w:tc>
        <w:tc>
          <w:tcPr>
            <w:tcW w:w="2230" w:type="dxa"/>
            <w:shd w:val="clear" w:color="auto" w:fill="BFBFBF" w:themeFill="background1" w:themeFillShade="BF"/>
          </w:tcPr>
          <w:p w:rsidR="00882B62" w:rsidRDefault="00196914" w14:paraId="08CAE03A" w14:textId="77777777">
            <w:pPr>
              <w:shd w:val="clear" w:color="auto" w:fill="A6A6A6" w:themeFill="background1" w:themeFillShade="A6"/>
              <w:jc w:val="center"/>
              <w:rPr>
                <w:b/>
                <w:color w:val="FFFFFF" w:themeColor="background1"/>
              </w:rPr>
            </w:pPr>
            <w:r>
              <w:rPr>
                <w:b/>
                <w:color w:val="FFFFFF" w:themeColor="background1"/>
              </w:rPr>
              <w:t>Annual Costs (dollars)</w:t>
            </w:r>
          </w:p>
        </w:tc>
      </w:tr>
      <w:tr w:rsidR="00646D4F" w14:paraId="44251FEE" w14:textId="77777777">
        <w:tc>
          <w:tcPr>
            <w:tcW w:w="1955" w:type="dxa"/>
            <w:vMerge w:val="restart"/>
          </w:tcPr>
          <w:p w:rsidR="00646D4F" w:rsidP="00646D4F" w:rsidRDefault="00646D4F" w14:paraId="6BF35157" w14:textId="77777777">
            <w:r>
              <w:t>Federal government staff salaries</w:t>
            </w:r>
          </w:p>
        </w:tc>
        <w:tc>
          <w:tcPr>
            <w:tcW w:w="1972" w:type="dxa"/>
          </w:tcPr>
          <w:p w:rsidR="00646D4F" w:rsidP="00646D4F" w:rsidRDefault="00646D4F" w14:paraId="70847502" w14:textId="05722D3C">
            <w:r>
              <w:t>Health Scientist</w:t>
            </w:r>
          </w:p>
        </w:tc>
        <w:tc>
          <w:tcPr>
            <w:tcW w:w="1914" w:type="dxa"/>
          </w:tcPr>
          <w:p w:rsidR="00646D4F" w:rsidP="00646D4F" w:rsidRDefault="00646D4F" w14:paraId="2489B80D" w14:textId="77777777">
            <w:r>
              <w:t>GS-13</w:t>
            </w:r>
          </w:p>
        </w:tc>
        <w:tc>
          <w:tcPr>
            <w:tcW w:w="1914" w:type="dxa"/>
          </w:tcPr>
          <w:p w:rsidR="00646D4F" w:rsidP="00646D4F" w:rsidRDefault="00646D4F" w14:paraId="52669AF8" w14:textId="5E62800B">
            <w:r>
              <w:t>.</w:t>
            </w:r>
            <w:r w:rsidR="00176E82">
              <w:t>3</w:t>
            </w:r>
            <w:r>
              <w:t>0FTE</w:t>
            </w:r>
          </w:p>
        </w:tc>
        <w:tc>
          <w:tcPr>
            <w:tcW w:w="2230" w:type="dxa"/>
          </w:tcPr>
          <w:p w:rsidRPr="00745ED2" w:rsidR="00646D4F" w:rsidP="00646D4F" w:rsidRDefault="00176E82" w14:paraId="45540A8A" w14:textId="2501A0F4">
            <w:r>
              <w:t>48,270.88</w:t>
            </w:r>
          </w:p>
        </w:tc>
      </w:tr>
      <w:tr w:rsidR="00646D4F" w14:paraId="530EDCDD" w14:textId="77777777">
        <w:tc>
          <w:tcPr>
            <w:tcW w:w="1955" w:type="dxa"/>
            <w:vMerge/>
          </w:tcPr>
          <w:p w:rsidR="00646D4F" w:rsidP="00646D4F" w:rsidRDefault="00646D4F" w14:paraId="5F46D875" w14:textId="77777777"/>
        </w:tc>
        <w:tc>
          <w:tcPr>
            <w:tcW w:w="1972" w:type="dxa"/>
          </w:tcPr>
          <w:p w:rsidR="00646D4F" w:rsidP="00646D4F" w:rsidRDefault="00646D4F" w14:paraId="3BEAE908" w14:textId="65255560">
            <w:r>
              <w:t>Project Officer</w:t>
            </w:r>
          </w:p>
        </w:tc>
        <w:tc>
          <w:tcPr>
            <w:tcW w:w="1914" w:type="dxa"/>
          </w:tcPr>
          <w:p w:rsidR="00646D4F" w:rsidP="00646D4F" w:rsidRDefault="00646D4F" w14:paraId="3DFA9A4B" w14:textId="77777777">
            <w:r>
              <w:t>GS-13</w:t>
            </w:r>
          </w:p>
        </w:tc>
        <w:tc>
          <w:tcPr>
            <w:tcW w:w="1914" w:type="dxa"/>
          </w:tcPr>
          <w:p w:rsidR="00646D4F" w:rsidP="00176E82" w:rsidRDefault="00646D4F" w14:paraId="51FE0689" w14:textId="30779A8C">
            <w:r>
              <w:t>.</w:t>
            </w:r>
            <w:r w:rsidR="00176E82">
              <w:t>2</w:t>
            </w:r>
            <w:r>
              <w:t>0FTE</w:t>
            </w:r>
          </w:p>
        </w:tc>
        <w:tc>
          <w:tcPr>
            <w:tcW w:w="2230" w:type="dxa"/>
          </w:tcPr>
          <w:p w:rsidRPr="00745ED2" w:rsidR="00646D4F" w:rsidP="00646D4F" w:rsidRDefault="00B05C08" w14:paraId="194DA710" w14:textId="454D0C62">
            <w:r>
              <w:t>32,443.08</w:t>
            </w:r>
          </w:p>
        </w:tc>
      </w:tr>
      <w:tr w:rsidR="00646D4F" w14:paraId="7014D669" w14:textId="77777777">
        <w:tc>
          <w:tcPr>
            <w:tcW w:w="1955" w:type="dxa"/>
            <w:vMerge/>
          </w:tcPr>
          <w:p w:rsidR="00646D4F" w:rsidP="00646D4F" w:rsidRDefault="00646D4F" w14:paraId="7C3BF222" w14:textId="77777777"/>
        </w:tc>
        <w:tc>
          <w:tcPr>
            <w:tcW w:w="1972" w:type="dxa"/>
          </w:tcPr>
          <w:p w:rsidR="00646D4F" w:rsidP="00646D4F" w:rsidRDefault="00646D4F" w14:paraId="22C4F91D" w14:textId="77F9BC4F">
            <w:r>
              <w:t>Statistician/Data Manager</w:t>
            </w:r>
          </w:p>
        </w:tc>
        <w:tc>
          <w:tcPr>
            <w:tcW w:w="1914" w:type="dxa"/>
          </w:tcPr>
          <w:p w:rsidR="00646D4F" w:rsidP="00646D4F" w:rsidRDefault="00646D4F" w14:paraId="7995A3A0" w14:textId="0C0C04BB">
            <w:r>
              <w:t>GS-13</w:t>
            </w:r>
          </w:p>
        </w:tc>
        <w:tc>
          <w:tcPr>
            <w:tcW w:w="1914" w:type="dxa"/>
          </w:tcPr>
          <w:p w:rsidR="00646D4F" w:rsidP="00646D4F" w:rsidRDefault="00646D4F" w14:paraId="7CB32602" w14:textId="4AF8D7E5">
            <w:pPr>
              <w:tabs>
                <w:tab w:val="left" w:pos="1035"/>
              </w:tabs>
            </w:pPr>
            <w:r>
              <w:t>.</w:t>
            </w:r>
            <w:r w:rsidR="00D748CC">
              <w:t>3</w:t>
            </w:r>
            <w:r>
              <w:t>0FTE</w:t>
            </w:r>
          </w:p>
        </w:tc>
        <w:tc>
          <w:tcPr>
            <w:tcW w:w="2230" w:type="dxa"/>
          </w:tcPr>
          <w:p w:rsidRPr="00745ED2" w:rsidR="00646D4F" w:rsidP="00646D4F" w:rsidRDefault="00176E82" w14:paraId="7FC628B6" w14:textId="6FC4A7BB">
            <w:r>
              <w:t>48, 943.67</w:t>
            </w:r>
          </w:p>
        </w:tc>
      </w:tr>
      <w:tr w:rsidR="00646D4F" w14:paraId="2AB588DA" w14:textId="77777777">
        <w:tc>
          <w:tcPr>
            <w:tcW w:w="1955" w:type="dxa"/>
            <w:vMerge/>
          </w:tcPr>
          <w:p w:rsidR="00646D4F" w:rsidP="00646D4F" w:rsidRDefault="00646D4F" w14:paraId="07E7398E" w14:textId="77777777"/>
        </w:tc>
        <w:tc>
          <w:tcPr>
            <w:tcW w:w="1972" w:type="dxa"/>
          </w:tcPr>
          <w:p w:rsidR="00646D4F" w:rsidP="00646D4F" w:rsidRDefault="00646D4F" w14:paraId="4C97B156" w14:textId="62A42C12">
            <w:r>
              <w:t>Team Lead</w:t>
            </w:r>
          </w:p>
        </w:tc>
        <w:tc>
          <w:tcPr>
            <w:tcW w:w="1914" w:type="dxa"/>
          </w:tcPr>
          <w:p w:rsidR="00646D4F" w:rsidP="00646D4F" w:rsidRDefault="00646D4F" w14:paraId="727B0548" w14:textId="4F3B871B">
            <w:r>
              <w:t>GS-14</w:t>
            </w:r>
          </w:p>
        </w:tc>
        <w:tc>
          <w:tcPr>
            <w:tcW w:w="1914" w:type="dxa"/>
          </w:tcPr>
          <w:p w:rsidR="00646D4F" w:rsidP="00646D4F" w:rsidRDefault="00646D4F" w14:paraId="7486A193" w14:textId="466B6574">
            <w:pPr>
              <w:tabs>
                <w:tab w:val="left" w:pos="1035"/>
              </w:tabs>
            </w:pPr>
            <w:r>
              <w:t>.0</w:t>
            </w:r>
            <w:r w:rsidR="00176E82">
              <w:t>5</w:t>
            </w:r>
            <w:r>
              <w:t>FTE</w:t>
            </w:r>
            <w:r>
              <w:tab/>
            </w:r>
          </w:p>
        </w:tc>
        <w:tc>
          <w:tcPr>
            <w:tcW w:w="2230" w:type="dxa"/>
          </w:tcPr>
          <w:p w:rsidRPr="00745ED2" w:rsidR="00646D4F" w:rsidP="00646D4F" w:rsidRDefault="00176E82" w14:paraId="6BF17F82" w14:textId="021A9A52">
            <w:r>
              <w:t>14,651.93</w:t>
            </w:r>
          </w:p>
        </w:tc>
      </w:tr>
      <w:tr w:rsidR="000A4073" w14:paraId="477F37C9" w14:textId="77777777">
        <w:tc>
          <w:tcPr>
            <w:tcW w:w="1955" w:type="dxa"/>
          </w:tcPr>
          <w:p w:rsidR="000A4073" w:rsidP="00331454" w:rsidRDefault="000A4073" w14:paraId="6CA1D30B" w14:textId="047C34D6">
            <w:r>
              <w:t>Funds provided to awardees for extension period (February 2020 to September 2020)</w:t>
            </w:r>
          </w:p>
        </w:tc>
        <w:tc>
          <w:tcPr>
            <w:tcW w:w="5800" w:type="dxa"/>
            <w:gridSpan w:val="3"/>
          </w:tcPr>
          <w:p w:rsidR="000A4073" w:rsidP="00331454" w:rsidRDefault="000A4073" w14:paraId="172A4868" w14:textId="77777777"/>
        </w:tc>
        <w:tc>
          <w:tcPr>
            <w:tcW w:w="2230" w:type="dxa"/>
          </w:tcPr>
          <w:p w:rsidR="000A4073" w:rsidP="00331454" w:rsidRDefault="000A4073" w14:paraId="4C28778D" w14:textId="6D6EE9AD">
            <w:pPr>
              <w:rPr>
                <w:b/>
              </w:rPr>
            </w:pPr>
            <w:r>
              <w:rPr>
                <w:b/>
              </w:rPr>
              <w:t>1,300,00</w:t>
            </w:r>
            <w:r w:rsidR="000B358E">
              <w:rPr>
                <w:b/>
              </w:rPr>
              <w:t>0</w:t>
            </w:r>
          </w:p>
        </w:tc>
      </w:tr>
      <w:tr w:rsidR="00331454" w14:paraId="41FC4250" w14:textId="77777777">
        <w:tc>
          <w:tcPr>
            <w:tcW w:w="1955" w:type="dxa"/>
          </w:tcPr>
          <w:p w:rsidR="00331454" w:rsidP="00331454" w:rsidRDefault="00331454" w14:paraId="1EAEC8C8" w14:textId="77777777">
            <w:r>
              <w:t>TOTAL</w:t>
            </w:r>
          </w:p>
        </w:tc>
        <w:tc>
          <w:tcPr>
            <w:tcW w:w="5800" w:type="dxa"/>
            <w:gridSpan w:val="3"/>
          </w:tcPr>
          <w:p w:rsidR="00331454" w:rsidP="00331454" w:rsidRDefault="00331454" w14:paraId="32596571" w14:textId="77777777"/>
        </w:tc>
        <w:tc>
          <w:tcPr>
            <w:tcW w:w="2230" w:type="dxa"/>
          </w:tcPr>
          <w:p w:rsidR="00331454" w:rsidP="000B358E" w:rsidRDefault="000B358E" w14:paraId="2A957027" w14:textId="00F722CD">
            <w:pPr>
              <w:rPr>
                <w:b/>
              </w:rPr>
            </w:pPr>
            <w:r>
              <w:rPr>
                <w:b/>
              </w:rPr>
              <w:t>1,4</w:t>
            </w:r>
            <w:r w:rsidR="00D748CC">
              <w:rPr>
                <w:b/>
              </w:rPr>
              <w:t>44,309.56</w:t>
            </w:r>
          </w:p>
        </w:tc>
      </w:tr>
    </w:tbl>
    <w:p w:rsidR="00882B62" w:rsidRDefault="00882B62" w14:paraId="0588CF1B" w14:textId="77777777">
      <w:pPr>
        <w:ind w:left="360"/>
      </w:pPr>
    </w:p>
    <w:p w:rsidR="00882B62" w:rsidRDefault="00196914" w14:paraId="6C7E02B1" w14:textId="77777777">
      <w:pPr>
        <w:ind w:left="360"/>
        <w:rPr>
          <w:b/>
        </w:rPr>
      </w:pPr>
      <w:r>
        <w:rPr>
          <w:b/>
        </w:rPr>
        <w:t>15. Explanation for Program Changes or Adjustments</w:t>
      </w:r>
    </w:p>
    <w:p w:rsidR="00882B62" w:rsidRDefault="00196914" w14:paraId="393A2FDF" w14:textId="269B4C78">
      <w:pPr>
        <w:ind w:left="360"/>
      </w:pPr>
      <w:r>
        <w:t>This is a request for a</w:t>
      </w:r>
      <w:r w:rsidR="00953EF6">
        <w:t xml:space="preserve"> Revision</w:t>
      </w:r>
      <w:r w:rsidR="00646D4F">
        <w:t xml:space="preserve"> of a </w:t>
      </w:r>
      <w:r w:rsidR="00832EAB">
        <w:t>currently</w:t>
      </w:r>
      <w:r w:rsidR="00646D4F">
        <w:t xml:space="preserve"> approved d</w:t>
      </w:r>
      <w:r>
        <w:t>ata collection</w:t>
      </w:r>
      <w:r w:rsidR="00496812">
        <w:t xml:space="preserve"> (Exp. 1/3</w:t>
      </w:r>
      <w:r w:rsidR="00FD48C2">
        <w:t>1</w:t>
      </w:r>
      <w:r w:rsidR="00496812">
        <w:t>/2020)</w:t>
      </w:r>
      <w:r w:rsidR="00832EAB">
        <w:t xml:space="preserve"> to continue data collection for health center partners </w:t>
      </w:r>
      <w:r w:rsidR="00C62E4F">
        <w:t xml:space="preserve">and awardees </w:t>
      </w:r>
      <w:r w:rsidR="00832EAB">
        <w:t>until the end of the funding period (9/30/2020)</w:t>
      </w:r>
      <w:r>
        <w:t>.</w:t>
      </w:r>
      <w:r w:rsidR="00646D4F">
        <w:t xml:space="preserve">  </w:t>
      </w:r>
    </w:p>
    <w:p w:rsidR="00ED0E57" w:rsidP="00ED0E57" w:rsidRDefault="00294B10" w14:paraId="2443382F" w14:textId="2ED168AB">
      <w:pPr>
        <w:spacing w:after="0"/>
        <w:ind w:left="360"/>
      </w:pPr>
      <w:r>
        <w:t xml:space="preserve">Included in the initial request, but not included in this </w:t>
      </w:r>
      <w:r w:rsidR="00B865D1">
        <w:t>revision</w:t>
      </w:r>
      <w:r>
        <w:t xml:space="preserve"> request, are an YSO Organizational Assessment, a YSO Staff Survey, and a YSO Performance Measurement Tool, as well as a Health Center Youth Survey. As noted previously, we do not expect further change in YSO policies and practices with respect to linking adolescents to care beyond what has occurred already. We determined that the burden of collecting additional data from the YSO partners outweighed the benefit. Under the currently approved information collection request, the Health Center Youth Survey will be conducted late in 2019 and will not be conducted again during the course of the project. Thus, it is not included in this information collection extension request.</w:t>
      </w:r>
      <w:r w:rsidR="00ED0E57">
        <w:t xml:space="preserve"> </w:t>
      </w:r>
      <w:r w:rsidR="00B865D1">
        <w:t>The burden was reduced from 1150 hours annually to 485 hours due to taking out instruments that are no longer necessary and a shorter period of collection.</w:t>
      </w:r>
    </w:p>
    <w:p w:rsidR="00ED0E57" w:rsidP="00ED0E57" w:rsidRDefault="00ED0E57" w14:paraId="41CF35CC" w14:textId="77777777">
      <w:pPr>
        <w:spacing w:after="0"/>
        <w:ind w:left="360"/>
      </w:pPr>
    </w:p>
    <w:p w:rsidR="00646D4F" w:rsidRDefault="00646D4F" w14:paraId="578AAA22" w14:textId="15662A76">
      <w:pPr>
        <w:ind w:left="360"/>
      </w:pPr>
      <w:bookmarkStart w:name="_GoBack" w:id="1"/>
      <w:bookmarkEnd w:id="1"/>
    </w:p>
    <w:p w:rsidR="00882B62" w:rsidRDefault="00196914" w14:paraId="084B4353" w14:textId="77777777">
      <w:pPr>
        <w:ind w:left="360"/>
        <w:rPr>
          <w:b/>
        </w:rPr>
      </w:pPr>
      <w:r>
        <w:rPr>
          <w:b/>
        </w:rPr>
        <w:t>16. Plans for Tabulations and Publication and Project Time Schedule</w:t>
      </w:r>
    </w:p>
    <w:p w:rsidR="00882B62" w:rsidRDefault="00196914" w14:paraId="4A627B4D" w14:textId="388E1C7A">
      <w:pPr>
        <w:ind w:left="360"/>
      </w:pPr>
      <w:r>
        <w:t xml:space="preserve">Data from the </w:t>
      </w:r>
      <w:r w:rsidR="00F341F6">
        <w:t xml:space="preserve">Quarterly </w:t>
      </w:r>
      <w:r>
        <w:t xml:space="preserve">Health Center PMRTs </w:t>
      </w:r>
      <w:r w:rsidR="00B05C08">
        <w:t>(</w:t>
      </w:r>
      <w:r w:rsidR="005312D4">
        <w:rPr>
          <w:b/>
        </w:rPr>
        <w:t>Attachment 5a and 5</w:t>
      </w:r>
      <w:r w:rsidR="00F345C6">
        <w:rPr>
          <w:b/>
        </w:rPr>
        <w:t>b</w:t>
      </w:r>
      <w:r w:rsidR="00B05C08">
        <w:t xml:space="preserve">) </w:t>
      </w:r>
      <w:r>
        <w:t xml:space="preserve">that are submitted quarterly will be summarized </w:t>
      </w:r>
      <w:r w:rsidR="00E71C60">
        <w:t xml:space="preserve">in a written report </w:t>
      </w:r>
      <w:r>
        <w:t>and the CDC project officer will meet with each of the grantees to review the data and discuss their partners’ performance.  Grantees will then be expected to meet with their partners and adjust training and technical assistance plans for partners who are not making sufficient progress or, if needed due to ongoing lack of progress, end the partnership with the health</w:t>
      </w:r>
      <w:r w:rsidR="00161C4F">
        <w:t xml:space="preserve"> center</w:t>
      </w:r>
      <w:r>
        <w:t>.</w:t>
      </w:r>
      <w:r w:rsidR="00E71C60">
        <w:t xml:space="preserve">  The final Annual Health Center PMRT</w:t>
      </w:r>
      <w:r w:rsidR="00B05C08">
        <w:t xml:space="preserve"> (</w:t>
      </w:r>
      <w:r w:rsidRPr="005312D4" w:rsidR="005312D4">
        <w:rPr>
          <w:b/>
        </w:rPr>
        <w:t>Attachment 6</w:t>
      </w:r>
      <w:r w:rsidRPr="005312D4" w:rsidR="00F345C6">
        <w:rPr>
          <w:b/>
        </w:rPr>
        <w:t xml:space="preserve">a and </w:t>
      </w:r>
      <w:r w:rsidRPr="005312D4" w:rsidR="005312D4">
        <w:rPr>
          <w:b/>
        </w:rPr>
        <w:t>6</w:t>
      </w:r>
      <w:r w:rsidRPr="005312D4" w:rsidR="00F345C6">
        <w:rPr>
          <w:b/>
        </w:rPr>
        <w:t>b</w:t>
      </w:r>
      <w:r w:rsidR="00B05C08">
        <w:t xml:space="preserve">) </w:t>
      </w:r>
      <w:r w:rsidR="00E71C60">
        <w:t xml:space="preserve">will also be summarized in a written report so that grantees can </w:t>
      </w:r>
      <w:r w:rsidR="00E71C60">
        <w:lastRenderedPageBreak/>
        <w:t xml:space="preserve">utilize that data (along with previously collected data) to complete their project evaluations.  Similarly, the Health Center Provider Survey data </w:t>
      </w:r>
      <w:r w:rsidR="00B05C08">
        <w:t>(</w:t>
      </w:r>
      <w:r w:rsidR="00B05C08">
        <w:rPr>
          <w:b/>
        </w:rPr>
        <w:t xml:space="preserve">Attachment </w:t>
      </w:r>
      <w:r w:rsidR="005312D4">
        <w:rPr>
          <w:b/>
        </w:rPr>
        <w:t>4</w:t>
      </w:r>
      <w:r w:rsidR="005956F7">
        <w:rPr>
          <w:b/>
        </w:rPr>
        <w:t xml:space="preserve">a and </w:t>
      </w:r>
      <w:r w:rsidR="005312D4">
        <w:rPr>
          <w:b/>
        </w:rPr>
        <w:t>4</w:t>
      </w:r>
      <w:r w:rsidR="005956F7">
        <w:rPr>
          <w:b/>
        </w:rPr>
        <w:t>b</w:t>
      </w:r>
      <w:r w:rsidR="00B05C08">
        <w:t xml:space="preserve">) </w:t>
      </w:r>
      <w:r w:rsidRPr="00B05C08" w:rsidR="00E71C60">
        <w:t>will</w:t>
      </w:r>
      <w:r w:rsidR="00E71C60">
        <w:t xml:space="preserve"> be summarized </w:t>
      </w:r>
      <w:r w:rsidR="00F341F6">
        <w:t>in a written report so that grantees can use the data for their project evaluations.</w:t>
      </w:r>
    </w:p>
    <w:p w:rsidR="00882B62" w:rsidRDefault="00E71C60" w14:paraId="75486B4C" w14:textId="01869B3D">
      <w:pPr>
        <w:ind w:left="360"/>
      </w:pPr>
      <w:r>
        <w:t>Six months after the project ends,</w:t>
      </w:r>
      <w:r w:rsidR="00196914">
        <w:t xml:space="preserve"> a summary report </w:t>
      </w:r>
      <w:r w:rsidR="00F37067">
        <w:t xml:space="preserve">using data from all of the data collection instruments will be authored that </w:t>
      </w:r>
      <w:r w:rsidR="00196914">
        <w:t>describ</w:t>
      </w:r>
      <w:r w:rsidR="00F37067">
        <w:t>es</w:t>
      </w:r>
      <w:r w:rsidR="00196914">
        <w:t xml:space="preserve"> the extent to which grantees </w:t>
      </w:r>
      <w:r>
        <w:t>successfully met</w:t>
      </w:r>
      <w:r w:rsidR="00196914">
        <w:t xml:space="preserve"> their objectives.  Analyses will consist of descriptive statistics and, for examining change from baseline, paired t-tests. The summary report will be shared with CDC leadership, as well as with other federal agencies working to prevent teen pregnancy (e.g., Office of Population Affairs).  Results shared in the summary report </w:t>
      </w:r>
      <w:r w:rsidR="003F16BD">
        <w:t xml:space="preserve">may </w:t>
      </w:r>
      <w:r w:rsidR="00196914">
        <w:t xml:space="preserve">also be submitted for presentation at </w:t>
      </w:r>
      <w:r>
        <w:t>a conference</w:t>
      </w:r>
      <w:r w:rsidR="00196914">
        <w:t xml:space="preserve"> that reach</w:t>
      </w:r>
      <w:r>
        <w:t>es</w:t>
      </w:r>
      <w:r w:rsidR="00196914">
        <w:t xml:space="preserve"> government agency staff and their grantees who work on teen pregnancy prevention.  </w:t>
      </w:r>
    </w:p>
    <w:p w:rsidR="00882B62" w:rsidRDefault="00196914" w14:paraId="7258C588" w14:textId="77777777">
      <w:pPr>
        <w:ind w:left="360"/>
        <w:rPr>
          <w:b/>
        </w:rPr>
      </w:pPr>
      <w:r>
        <w:rPr>
          <w:b/>
        </w:rPr>
        <w:t>Table A.6: Project Time Schedule</w:t>
      </w:r>
    </w:p>
    <w:tbl>
      <w:tblPr>
        <w:tblStyle w:val="TableGrid"/>
        <w:tblW w:w="0" w:type="auto"/>
        <w:tblInd w:w="360" w:type="dxa"/>
        <w:tblLook w:val="04A0" w:firstRow="1" w:lastRow="0" w:firstColumn="1" w:lastColumn="0" w:noHBand="0" w:noVBand="1"/>
      </w:tblPr>
      <w:tblGrid>
        <w:gridCol w:w="4859"/>
        <w:gridCol w:w="4851"/>
      </w:tblGrid>
      <w:tr w:rsidR="00882B62" w14:paraId="067E99E4" w14:textId="77777777">
        <w:tc>
          <w:tcPr>
            <w:tcW w:w="4859" w:type="dxa"/>
            <w:shd w:val="clear" w:color="auto" w:fill="A6A6A6" w:themeFill="background1" w:themeFillShade="A6"/>
          </w:tcPr>
          <w:p w:rsidR="00882B62" w:rsidRDefault="00196914" w14:paraId="529EF228" w14:textId="77777777">
            <w:pPr>
              <w:jc w:val="center"/>
              <w:rPr>
                <w:b/>
                <w:color w:val="FFFFFF" w:themeColor="background1"/>
                <w:sz w:val="24"/>
                <w:szCs w:val="24"/>
              </w:rPr>
            </w:pPr>
            <w:r>
              <w:rPr>
                <w:b/>
                <w:color w:val="FFFFFF" w:themeColor="background1"/>
                <w:sz w:val="24"/>
                <w:szCs w:val="24"/>
              </w:rPr>
              <w:t>Activity</w:t>
            </w:r>
          </w:p>
        </w:tc>
        <w:tc>
          <w:tcPr>
            <w:tcW w:w="4851" w:type="dxa"/>
            <w:shd w:val="clear" w:color="auto" w:fill="A6A6A6" w:themeFill="background1" w:themeFillShade="A6"/>
          </w:tcPr>
          <w:p w:rsidR="00882B62" w:rsidRDefault="00196914" w14:paraId="36BCDD32" w14:textId="77777777">
            <w:pPr>
              <w:jc w:val="center"/>
              <w:rPr>
                <w:b/>
                <w:color w:val="FFFFFF" w:themeColor="background1"/>
                <w:sz w:val="24"/>
                <w:szCs w:val="24"/>
              </w:rPr>
            </w:pPr>
            <w:r>
              <w:rPr>
                <w:b/>
                <w:color w:val="FFFFFF" w:themeColor="background1"/>
                <w:sz w:val="24"/>
                <w:szCs w:val="24"/>
              </w:rPr>
              <w:t>Time Schedule</w:t>
            </w:r>
          </w:p>
        </w:tc>
      </w:tr>
      <w:tr w:rsidR="00882B62" w14:paraId="6AF0655B" w14:textId="77777777">
        <w:tc>
          <w:tcPr>
            <w:tcW w:w="4859" w:type="dxa"/>
          </w:tcPr>
          <w:p w:rsidRPr="00823BD4" w:rsidR="00882B62" w:rsidRDefault="00196914" w14:paraId="41E26152" w14:textId="77777777">
            <w:pPr>
              <w:rPr>
                <w:b/>
                <w:sz w:val="24"/>
                <w:szCs w:val="24"/>
              </w:rPr>
            </w:pPr>
            <w:r w:rsidRPr="00823BD4">
              <w:rPr>
                <w:b/>
                <w:sz w:val="24"/>
                <w:szCs w:val="24"/>
              </w:rPr>
              <w:t>Data Collection</w:t>
            </w:r>
          </w:p>
        </w:tc>
        <w:tc>
          <w:tcPr>
            <w:tcW w:w="4851" w:type="dxa"/>
          </w:tcPr>
          <w:p w:rsidR="00882B62" w:rsidRDefault="00882B62" w14:paraId="24BC680C" w14:textId="77777777">
            <w:pPr>
              <w:rPr>
                <w:sz w:val="24"/>
                <w:szCs w:val="24"/>
              </w:rPr>
            </w:pPr>
          </w:p>
        </w:tc>
      </w:tr>
      <w:tr w:rsidR="008926B9" w14:paraId="4FA364DE" w14:textId="77777777">
        <w:tc>
          <w:tcPr>
            <w:tcW w:w="4859" w:type="dxa"/>
          </w:tcPr>
          <w:p w:rsidRPr="00823BD4" w:rsidR="008926B9" w:rsidP="008926B9" w:rsidRDefault="008926B9" w14:paraId="012D789B" w14:textId="0F947800">
            <w:r w:rsidRPr="00823BD4">
              <w:t>Awardee Training and Technical Assistance Tool</w:t>
            </w:r>
          </w:p>
        </w:tc>
        <w:tc>
          <w:tcPr>
            <w:tcW w:w="4851" w:type="dxa"/>
          </w:tcPr>
          <w:p w:rsidR="008926B9" w:rsidP="008926B9" w:rsidRDefault="008926B9" w14:paraId="48787167" w14:textId="28CCA14F">
            <w:r>
              <w:t>Monthly (February 2020 through August 2020)</w:t>
            </w:r>
          </w:p>
        </w:tc>
      </w:tr>
      <w:tr w:rsidR="008926B9" w14:paraId="32B3231D" w14:textId="77777777">
        <w:tc>
          <w:tcPr>
            <w:tcW w:w="4859" w:type="dxa"/>
          </w:tcPr>
          <w:p w:rsidR="008926B9" w:rsidP="008926B9" w:rsidRDefault="008926B9" w14:paraId="5D4ACC4B" w14:textId="077935A4">
            <w:r w:rsidRPr="00823BD4">
              <w:t>Quarterly Health Center Performance Measure Reporting Tool</w:t>
            </w:r>
          </w:p>
        </w:tc>
        <w:tc>
          <w:tcPr>
            <w:tcW w:w="4851" w:type="dxa"/>
          </w:tcPr>
          <w:p w:rsidR="008926B9" w:rsidP="008926B9" w:rsidRDefault="008926B9" w14:paraId="198C33FD" w14:textId="500B8A60">
            <w:r>
              <w:t xml:space="preserve">February and May 2020  </w:t>
            </w:r>
          </w:p>
        </w:tc>
      </w:tr>
      <w:tr w:rsidR="008926B9" w14:paraId="69669755" w14:textId="77777777">
        <w:tc>
          <w:tcPr>
            <w:tcW w:w="4859" w:type="dxa"/>
          </w:tcPr>
          <w:p w:rsidR="008926B9" w:rsidP="008926B9" w:rsidRDefault="008926B9" w14:paraId="236D3B76" w14:textId="77777777">
            <w:r w:rsidRPr="00823BD4">
              <w:t>Health Center Organizational Assessment</w:t>
            </w:r>
          </w:p>
        </w:tc>
        <w:tc>
          <w:tcPr>
            <w:tcW w:w="4851" w:type="dxa"/>
          </w:tcPr>
          <w:p w:rsidR="008926B9" w:rsidP="008926B9" w:rsidRDefault="008926B9" w14:paraId="44B185CB" w14:textId="42ACDAD5">
            <w:r>
              <w:t>March 2020</w:t>
            </w:r>
          </w:p>
        </w:tc>
      </w:tr>
      <w:tr w:rsidR="008926B9" w14:paraId="0BE3E2AE" w14:textId="77777777">
        <w:tc>
          <w:tcPr>
            <w:tcW w:w="4859" w:type="dxa"/>
          </w:tcPr>
          <w:p w:rsidR="008926B9" w:rsidP="008926B9" w:rsidRDefault="008926B9" w14:paraId="1FC888E0" w14:textId="048C2F15">
            <w:r w:rsidRPr="00823BD4">
              <w:t>Heather Center Provider Survey</w:t>
            </w:r>
          </w:p>
        </w:tc>
        <w:tc>
          <w:tcPr>
            <w:tcW w:w="4851" w:type="dxa"/>
          </w:tcPr>
          <w:p w:rsidR="008926B9" w:rsidP="008926B9" w:rsidRDefault="008926B9" w14:paraId="63B402FF" w14:textId="205C0082">
            <w:r>
              <w:t>June 2020</w:t>
            </w:r>
          </w:p>
        </w:tc>
      </w:tr>
      <w:tr w:rsidR="008926B9" w14:paraId="3E388B76" w14:textId="77777777">
        <w:tc>
          <w:tcPr>
            <w:tcW w:w="4859" w:type="dxa"/>
          </w:tcPr>
          <w:p w:rsidR="008926B9" w:rsidP="008926B9" w:rsidRDefault="008926B9" w14:paraId="7C07E2B5" w14:textId="77777777">
            <w:r w:rsidRPr="00823BD4">
              <w:t>Annual Health Center Performance Measure Reporting Tool</w:t>
            </w:r>
          </w:p>
        </w:tc>
        <w:tc>
          <w:tcPr>
            <w:tcW w:w="4851" w:type="dxa"/>
          </w:tcPr>
          <w:p w:rsidR="008926B9" w:rsidP="008926B9" w:rsidRDefault="008926B9" w14:paraId="55913203" w14:textId="45ABCB3F">
            <w:r>
              <w:t xml:space="preserve"> August 2020</w:t>
            </w:r>
          </w:p>
        </w:tc>
      </w:tr>
      <w:tr w:rsidR="008926B9" w14:paraId="01A8800B" w14:textId="77777777">
        <w:tc>
          <w:tcPr>
            <w:tcW w:w="4859" w:type="dxa"/>
          </w:tcPr>
          <w:p w:rsidR="008926B9" w:rsidP="008926B9" w:rsidRDefault="008926B9" w14:paraId="20369094" w14:textId="77777777">
            <w:r w:rsidRPr="00823BD4">
              <w:t>Awardee Performance Measure Reporting Tool</w:t>
            </w:r>
          </w:p>
        </w:tc>
        <w:tc>
          <w:tcPr>
            <w:tcW w:w="4851" w:type="dxa"/>
          </w:tcPr>
          <w:p w:rsidR="008926B9" w:rsidP="008926B9" w:rsidRDefault="008926B9" w14:paraId="685532F6" w14:textId="25E50FF3">
            <w:r>
              <w:t>August 2020</w:t>
            </w:r>
          </w:p>
          <w:p w:rsidR="008926B9" w:rsidP="008926B9" w:rsidRDefault="008926B9" w14:paraId="27910639" w14:textId="77777777"/>
        </w:tc>
      </w:tr>
      <w:tr w:rsidR="008926B9" w14:paraId="3BB821B7" w14:textId="77777777">
        <w:tc>
          <w:tcPr>
            <w:tcW w:w="4859" w:type="dxa"/>
          </w:tcPr>
          <w:p w:rsidR="008926B9" w:rsidP="008926B9" w:rsidRDefault="008926B9" w14:paraId="3844D67A" w14:textId="77777777">
            <w:pPr>
              <w:rPr>
                <w:b/>
                <w:sz w:val="24"/>
                <w:szCs w:val="24"/>
              </w:rPr>
            </w:pPr>
            <w:r>
              <w:rPr>
                <w:b/>
                <w:sz w:val="24"/>
                <w:szCs w:val="24"/>
              </w:rPr>
              <w:t>Data Reporting</w:t>
            </w:r>
          </w:p>
        </w:tc>
        <w:tc>
          <w:tcPr>
            <w:tcW w:w="4851" w:type="dxa"/>
          </w:tcPr>
          <w:p w:rsidR="008926B9" w:rsidP="008926B9" w:rsidRDefault="008926B9" w14:paraId="43E4CDCE" w14:textId="77777777"/>
        </w:tc>
      </w:tr>
      <w:tr w:rsidR="008926B9" w14:paraId="36ADA0CA" w14:textId="77777777">
        <w:tc>
          <w:tcPr>
            <w:tcW w:w="4859" w:type="dxa"/>
          </w:tcPr>
          <w:p w:rsidR="008926B9" w:rsidP="008926B9" w:rsidRDefault="008926B9" w14:paraId="21F24711" w14:textId="67A8C69E">
            <w:r>
              <w:t xml:space="preserve">Health Center PMRT Report to Awardees </w:t>
            </w:r>
          </w:p>
        </w:tc>
        <w:tc>
          <w:tcPr>
            <w:tcW w:w="4851" w:type="dxa"/>
          </w:tcPr>
          <w:p w:rsidR="008926B9" w:rsidP="008926B9" w:rsidRDefault="008926B9" w14:paraId="669D2BFE" w14:textId="3137EC00">
            <w:r>
              <w:t>March, June and August 2020</w:t>
            </w:r>
          </w:p>
        </w:tc>
      </w:tr>
      <w:tr w:rsidR="008926B9" w14:paraId="261FF540" w14:textId="77777777">
        <w:tc>
          <w:tcPr>
            <w:tcW w:w="4859" w:type="dxa"/>
          </w:tcPr>
          <w:p w:rsidR="008926B9" w:rsidDel="00FD6442" w:rsidP="008926B9" w:rsidRDefault="008926B9" w14:paraId="70AB8515" w14:textId="3BC0DB4A">
            <w:r>
              <w:t xml:space="preserve">Health Center Provider Survey Report to Awardees </w:t>
            </w:r>
          </w:p>
        </w:tc>
        <w:tc>
          <w:tcPr>
            <w:tcW w:w="4851" w:type="dxa"/>
          </w:tcPr>
          <w:p w:rsidR="008926B9" w:rsidDel="00FD6442" w:rsidP="008926B9" w:rsidRDefault="008926B9" w14:paraId="7F1D67B1" w14:textId="498BC4A3">
            <w:r>
              <w:t>July 2020</w:t>
            </w:r>
          </w:p>
        </w:tc>
      </w:tr>
      <w:tr w:rsidR="008926B9" w14:paraId="6BC9913D" w14:textId="77777777">
        <w:tc>
          <w:tcPr>
            <w:tcW w:w="4859" w:type="dxa"/>
          </w:tcPr>
          <w:p w:rsidR="008926B9" w:rsidP="00823BD4" w:rsidRDefault="008926B9" w14:paraId="3DFE4657" w14:textId="6D2683D7">
            <w:r>
              <w:t xml:space="preserve">Final Report </w:t>
            </w:r>
          </w:p>
        </w:tc>
        <w:tc>
          <w:tcPr>
            <w:tcW w:w="4851" w:type="dxa"/>
          </w:tcPr>
          <w:p w:rsidR="008926B9" w:rsidP="008926B9" w:rsidRDefault="008926B9" w14:paraId="5EDD5317" w14:textId="043C41F6">
            <w:r>
              <w:t>March 2021</w:t>
            </w:r>
          </w:p>
        </w:tc>
      </w:tr>
    </w:tbl>
    <w:p w:rsidR="00882B62" w:rsidRDefault="00882B62" w14:paraId="2ED5C2FA" w14:textId="77777777">
      <w:pPr>
        <w:ind w:left="360"/>
      </w:pPr>
    </w:p>
    <w:p w:rsidR="00882B62" w:rsidRDefault="00196914" w14:paraId="59A5C75C" w14:textId="77777777">
      <w:pPr>
        <w:ind w:left="360"/>
        <w:rPr>
          <w:b/>
        </w:rPr>
      </w:pPr>
      <w:r>
        <w:rPr>
          <w:b/>
        </w:rPr>
        <w:t>17. Reason(s) Display of OMB Expiration is Inappropriate</w:t>
      </w:r>
    </w:p>
    <w:p w:rsidR="00882B62" w:rsidRDefault="00196914" w14:paraId="47DE0CC2" w14:textId="77777777">
      <w:pPr>
        <w:ind w:left="360"/>
      </w:pPr>
      <w:r>
        <w:t xml:space="preserve">The expiration date for OMB approval will be displayed on all data collection instruments for which approval is being sought. </w:t>
      </w:r>
    </w:p>
    <w:p w:rsidR="00882B62" w:rsidRDefault="00196914" w14:paraId="2C9C3D61" w14:textId="77777777">
      <w:pPr>
        <w:ind w:left="360"/>
        <w:rPr>
          <w:b/>
        </w:rPr>
      </w:pPr>
      <w:r>
        <w:rPr>
          <w:b/>
        </w:rPr>
        <w:t>18. Exceptions to Certification for Paperwork Reduction Act Submissions</w:t>
      </w:r>
    </w:p>
    <w:p w:rsidR="00882B62" w:rsidRDefault="00196914" w14:paraId="00EB6FFC" w14:textId="77777777">
      <w:pPr>
        <w:ind w:left="360"/>
      </w:pPr>
      <w:r>
        <w:t xml:space="preserve">There are no exceptions to the certifications. </w:t>
      </w:r>
    </w:p>
    <w:p w:rsidR="00053ED2" w:rsidRDefault="00053ED2" w14:paraId="3F5FD5D8" w14:textId="77777777">
      <w:pPr>
        <w:jc w:val="center"/>
      </w:pPr>
    </w:p>
    <w:p w:rsidR="00053ED2" w:rsidRDefault="00053ED2" w14:paraId="579E86F3" w14:textId="77777777">
      <w:pPr>
        <w:jc w:val="center"/>
      </w:pPr>
    </w:p>
    <w:p w:rsidR="00053ED2" w:rsidRDefault="00053ED2" w14:paraId="0D9ECA61" w14:textId="77777777">
      <w:pPr>
        <w:jc w:val="center"/>
      </w:pPr>
    </w:p>
    <w:p w:rsidR="00053ED2" w:rsidRDefault="00053ED2" w14:paraId="213B6250" w14:textId="77777777">
      <w:pPr>
        <w:jc w:val="center"/>
      </w:pPr>
    </w:p>
    <w:p w:rsidR="00053ED2" w:rsidRDefault="00053ED2" w14:paraId="11ABB82A" w14:textId="77777777">
      <w:pPr>
        <w:jc w:val="center"/>
      </w:pPr>
    </w:p>
    <w:p w:rsidR="00053ED2" w:rsidRDefault="00053ED2" w14:paraId="3991BED4" w14:textId="77777777">
      <w:pPr>
        <w:jc w:val="center"/>
      </w:pPr>
    </w:p>
    <w:p w:rsidR="00831E47" w:rsidRDefault="00831E47" w14:paraId="6AC7D79F" w14:textId="77777777">
      <w:r>
        <w:br w:type="page"/>
      </w:r>
    </w:p>
    <w:p w:rsidR="00882B62" w:rsidRDefault="00196914" w14:paraId="6333BD6F" w14:textId="0751DE3F">
      <w:pPr>
        <w:jc w:val="center"/>
      </w:pPr>
      <w:r>
        <w:lastRenderedPageBreak/>
        <w:t>Bibliography</w:t>
      </w:r>
    </w:p>
    <w:p w:rsidR="00882B62" w:rsidRDefault="00196914" w14:paraId="52F72F94" w14:textId="6E8ABA43">
      <w:pPr>
        <w:numPr>
          <w:ilvl w:val="0"/>
          <w:numId w:val="21"/>
        </w:numPr>
        <w:spacing w:after="160" w:line="259" w:lineRule="auto"/>
        <w:rPr>
          <w:rFonts w:cs="Times New Roman"/>
        </w:rPr>
      </w:pPr>
      <w:r>
        <w:rPr>
          <w:rFonts w:cs="Times New Roman"/>
        </w:rPr>
        <w:t xml:space="preserve"> </w:t>
      </w:r>
      <w:r w:rsidR="008C1E5D">
        <w:rPr>
          <w:rFonts w:cs="Times New Roman"/>
        </w:rPr>
        <w:t xml:space="preserve">Martin, JA, </w:t>
      </w:r>
      <w:r>
        <w:rPr>
          <w:rFonts w:cs="Times New Roman"/>
        </w:rPr>
        <w:t xml:space="preserve">Hamilton BE, </w:t>
      </w:r>
      <w:r w:rsidR="008C1E5D">
        <w:rPr>
          <w:rFonts w:cs="Times New Roman"/>
        </w:rPr>
        <w:t>Osterman, MJK</w:t>
      </w:r>
      <w:r>
        <w:rPr>
          <w:rFonts w:cs="Times New Roman"/>
        </w:rPr>
        <w:t>. Births in the United States, 201</w:t>
      </w:r>
      <w:r w:rsidR="008C1E5D">
        <w:rPr>
          <w:rFonts w:cs="Times New Roman"/>
        </w:rPr>
        <w:t>7</w:t>
      </w:r>
      <w:r>
        <w:rPr>
          <w:rFonts w:cs="Times New Roman"/>
        </w:rPr>
        <w:t xml:space="preserve">. NCHS data brief, no </w:t>
      </w:r>
      <w:r w:rsidR="008C1E5D">
        <w:rPr>
          <w:rFonts w:cs="Times New Roman"/>
        </w:rPr>
        <w:t>318</w:t>
      </w:r>
      <w:r>
        <w:rPr>
          <w:rFonts w:cs="Times New Roman"/>
        </w:rPr>
        <w:t>. Hyattsville, MD: National Center for Health Statistics. 201</w:t>
      </w:r>
      <w:r w:rsidR="008C1E5D">
        <w:rPr>
          <w:rFonts w:cs="Times New Roman"/>
        </w:rPr>
        <w:t>8</w:t>
      </w:r>
      <w:r>
        <w:rPr>
          <w:rFonts w:cs="Times New Roman"/>
        </w:rPr>
        <w:t>.</w:t>
      </w:r>
    </w:p>
    <w:p w:rsidR="00AE3966" w:rsidP="00AE3966" w:rsidRDefault="00AE3966" w14:paraId="06724D36" w14:textId="3798A4B2">
      <w:pPr>
        <w:numPr>
          <w:ilvl w:val="0"/>
          <w:numId w:val="21"/>
        </w:numPr>
        <w:spacing w:after="160" w:line="259" w:lineRule="auto"/>
        <w:rPr>
          <w:rFonts w:cs="Times New Roman"/>
        </w:rPr>
      </w:pPr>
      <w:r w:rsidRPr="00AE3966">
        <w:rPr>
          <w:rFonts w:cs="Times New Roman"/>
        </w:rPr>
        <w:t>United Nations Department of Economic and Social Affairs, Statistics Div</w:t>
      </w:r>
      <w:r>
        <w:rPr>
          <w:rFonts w:cs="Times New Roman"/>
        </w:rPr>
        <w:t>ision. Demographic yearbook 2017</w:t>
      </w:r>
      <w:r w:rsidRPr="00AE3966">
        <w:rPr>
          <w:rFonts w:cs="Times New Roman"/>
        </w:rPr>
        <w:t>. Table 10. Live births by age of mother and sex of child, general and age-specific fertility r</w:t>
      </w:r>
      <w:r>
        <w:rPr>
          <w:rFonts w:cs="Times New Roman"/>
        </w:rPr>
        <w:t>ates: Latest available year, 2008–2017</w:t>
      </w:r>
      <w:r w:rsidRPr="00AE3966">
        <w:rPr>
          <w:rFonts w:cs="Times New Roman"/>
        </w:rPr>
        <w:t>. New York, NY: United Nations. 201</w:t>
      </w:r>
      <w:r w:rsidR="00787879">
        <w:rPr>
          <w:rFonts w:cs="Times New Roman"/>
        </w:rPr>
        <w:t>8</w:t>
      </w:r>
      <w:r w:rsidRPr="00AE3966">
        <w:rPr>
          <w:rFonts w:cs="Times New Roman"/>
        </w:rPr>
        <w:t>.</w:t>
      </w:r>
    </w:p>
    <w:p w:rsidR="00882B62" w:rsidRDefault="00196914" w14:paraId="6FE9276A" w14:textId="105BA006">
      <w:pPr>
        <w:numPr>
          <w:ilvl w:val="0"/>
          <w:numId w:val="21"/>
        </w:numPr>
        <w:spacing w:after="160" w:line="259" w:lineRule="auto"/>
        <w:rPr>
          <w:rFonts w:cs="Times New Roman"/>
        </w:rPr>
      </w:pPr>
      <w:r>
        <w:rPr>
          <w:rFonts w:cs="Times New Roman"/>
        </w:rPr>
        <w:t>Counting it up: The public costs of teen childbearing: Key data, Pregnancy, Editor. 2013, The National Campaign to Prevent Teen and Unplanned Pregnancy: Washington, DC.</w:t>
      </w:r>
    </w:p>
    <w:p w:rsidR="00882B62" w:rsidRDefault="00196914" w14:paraId="5E9A07DD" w14:textId="77777777">
      <w:pPr>
        <w:numPr>
          <w:ilvl w:val="0"/>
          <w:numId w:val="21"/>
        </w:numPr>
        <w:spacing w:after="160" w:line="259" w:lineRule="auto"/>
        <w:rPr>
          <w:rFonts w:cs="Times New Roman"/>
        </w:rPr>
      </w:pPr>
      <w:r>
        <w:rPr>
          <w:rFonts w:cs="Times New Roman"/>
        </w:rPr>
        <w:t>Santelli, J.S., et al., Explaining recent declines in adolescent pregnancy in the United States: the contribution of abstinence and improved contraceptive use. Am J Public Health, 2007. 97(1): p. 150-6.</w:t>
      </w:r>
    </w:p>
    <w:p w:rsidR="00882B62" w:rsidRDefault="00196914" w14:paraId="562C9AF3" w14:textId="77777777">
      <w:pPr>
        <w:numPr>
          <w:ilvl w:val="0"/>
          <w:numId w:val="21"/>
        </w:numPr>
        <w:spacing w:after="160" w:line="259" w:lineRule="auto"/>
        <w:rPr>
          <w:rFonts w:cs="Times New Roman"/>
        </w:rPr>
      </w:pPr>
      <w:proofErr w:type="spellStart"/>
      <w:r>
        <w:rPr>
          <w:rFonts w:cs="Times New Roman"/>
        </w:rPr>
        <w:t>Secura</w:t>
      </w:r>
      <w:proofErr w:type="spellEnd"/>
      <w:r>
        <w:rPr>
          <w:rFonts w:cs="Times New Roman"/>
        </w:rPr>
        <w:t>, G., et al., Provision of no-cost, long-acting contraception and teenage pregnancy. New England Journal of Medicine, 2014. 371: p. 1316-23.</w:t>
      </w:r>
    </w:p>
    <w:p w:rsidR="00882B62" w:rsidRDefault="00196914" w14:paraId="08414B2D" w14:textId="77777777">
      <w:pPr>
        <w:numPr>
          <w:ilvl w:val="0"/>
          <w:numId w:val="21"/>
        </w:numPr>
        <w:spacing w:after="160" w:line="240" w:lineRule="auto"/>
        <w:rPr>
          <w:rFonts w:cs="Times New Roman"/>
        </w:rPr>
      </w:pPr>
      <w:r>
        <w:rPr>
          <w:rFonts w:cs="Times New Roman"/>
        </w:rPr>
        <w:t>Kavanaugh, M.L., et al., Meeting the Contraceptive Needs of Teens and Young Adults: Youth-Friendly and Long-Acting Reversible Contraceptive Services in U.S. Family Planning Facilities. Journal of Adolescent Health, 2013. 52(3): p. 284-292.</w:t>
      </w:r>
    </w:p>
    <w:p w:rsidRPr="00EF3639" w:rsidR="00882B62" w:rsidP="005956F7" w:rsidRDefault="00196914" w14:paraId="03CD0679" w14:textId="4909CDB0">
      <w:pPr>
        <w:numPr>
          <w:ilvl w:val="0"/>
          <w:numId w:val="21"/>
        </w:numPr>
        <w:spacing w:before="240" w:after="160" w:line="259" w:lineRule="auto"/>
        <w:rPr>
          <w:rFonts w:cs="Times New Roman"/>
          <w:color w:val="000000"/>
        </w:rPr>
      </w:pPr>
      <w:r w:rsidRPr="008C1E5D">
        <w:rPr>
          <w:rFonts w:cs="Times New Roman"/>
        </w:rPr>
        <w:t xml:space="preserve">Carpenter, </w:t>
      </w:r>
      <w:r w:rsidR="00F64379">
        <w:rPr>
          <w:rFonts w:cs="Times New Roman"/>
        </w:rPr>
        <w:t xml:space="preserve">S.C. et al., </w:t>
      </w:r>
      <w:r w:rsidRPr="008C1E5D">
        <w:rPr>
          <w:rFonts w:cs="Times New Roman"/>
        </w:rPr>
        <w:t xml:space="preserve">The </w:t>
      </w:r>
      <w:r w:rsidR="00F64379">
        <w:rPr>
          <w:rFonts w:cs="Times New Roman"/>
        </w:rPr>
        <w:t>a</w:t>
      </w:r>
      <w:r w:rsidRPr="008C1E5D">
        <w:rPr>
          <w:rFonts w:cs="Times New Roman"/>
        </w:rPr>
        <w:t xml:space="preserve">ssociation of </w:t>
      </w:r>
      <w:r w:rsidR="00F64379">
        <w:rPr>
          <w:rFonts w:cs="Times New Roman"/>
        </w:rPr>
        <w:t>f</w:t>
      </w:r>
      <w:r w:rsidRPr="008C1E5D">
        <w:rPr>
          <w:rFonts w:cs="Times New Roman"/>
        </w:rPr>
        <w:t xml:space="preserve">oster </w:t>
      </w:r>
      <w:r w:rsidR="00F64379">
        <w:rPr>
          <w:rFonts w:cs="Times New Roman"/>
        </w:rPr>
        <w:t>c</w:t>
      </w:r>
      <w:r w:rsidRPr="008C1E5D">
        <w:rPr>
          <w:rFonts w:cs="Times New Roman"/>
        </w:rPr>
        <w:t xml:space="preserve">are or </w:t>
      </w:r>
      <w:r w:rsidR="00F64379">
        <w:rPr>
          <w:rFonts w:cs="Times New Roman"/>
        </w:rPr>
        <w:t>k</w:t>
      </w:r>
      <w:r w:rsidRPr="008C1E5D">
        <w:rPr>
          <w:rFonts w:cs="Times New Roman"/>
        </w:rPr>
        <w:t xml:space="preserve">inship </w:t>
      </w:r>
      <w:r w:rsidR="00F64379">
        <w:rPr>
          <w:rFonts w:cs="Times New Roman"/>
        </w:rPr>
        <w:t>c</w:t>
      </w:r>
      <w:r w:rsidRPr="008C1E5D">
        <w:rPr>
          <w:rFonts w:cs="Times New Roman"/>
        </w:rPr>
        <w:t xml:space="preserve">are </w:t>
      </w:r>
      <w:r w:rsidR="00F64379">
        <w:rPr>
          <w:rFonts w:cs="Times New Roman"/>
        </w:rPr>
        <w:t>w</w:t>
      </w:r>
      <w:r w:rsidRPr="008C1E5D">
        <w:rPr>
          <w:rFonts w:cs="Times New Roman"/>
        </w:rPr>
        <w:t xml:space="preserve">ith </w:t>
      </w:r>
      <w:r w:rsidR="00F64379">
        <w:rPr>
          <w:rFonts w:cs="Times New Roman"/>
        </w:rPr>
        <w:t>a</w:t>
      </w:r>
      <w:r w:rsidRPr="008C1E5D">
        <w:rPr>
          <w:rFonts w:cs="Times New Roman"/>
        </w:rPr>
        <w:t xml:space="preserve">dolescent </w:t>
      </w:r>
      <w:r w:rsidR="00F64379">
        <w:rPr>
          <w:rFonts w:cs="Times New Roman"/>
        </w:rPr>
        <w:t>s</w:t>
      </w:r>
      <w:r w:rsidRPr="008C1E5D">
        <w:rPr>
          <w:rFonts w:cs="Times New Roman"/>
        </w:rPr>
        <w:t xml:space="preserve">exual </w:t>
      </w:r>
      <w:r w:rsidR="00F64379">
        <w:rPr>
          <w:rFonts w:cs="Times New Roman"/>
        </w:rPr>
        <w:t>b</w:t>
      </w:r>
      <w:r w:rsidRPr="008C1E5D">
        <w:rPr>
          <w:rFonts w:cs="Times New Roman"/>
        </w:rPr>
        <w:t xml:space="preserve">ehavior and </w:t>
      </w:r>
      <w:r w:rsidR="00F64379">
        <w:rPr>
          <w:rFonts w:cs="Times New Roman"/>
        </w:rPr>
        <w:t>f</w:t>
      </w:r>
      <w:r w:rsidRPr="008C1E5D">
        <w:rPr>
          <w:rFonts w:cs="Times New Roman"/>
        </w:rPr>
        <w:t xml:space="preserve">irst </w:t>
      </w:r>
      <w:r w:rsidR="00F64379">
        <w:rPr>
          <w:rFonts w:cs="Times New Roman"/>
        </w:rPr>
        <w:t>p</w:t>
      </w:r>
      <w:r w:rsidRPr="008C1E5D">
        <w:rPr>
          <w:rFonts w:cs="Times New Roman"/>
        </w:rPr>
        <w:t>regnancy. Pediatrics, 2001. 108(3)</w:t>
      </w:r>
      <w:r w:rsidR="00F64379">
        <w:rPr>
          <w:rFonts w:cs="Times New Roman"/>
        </w:rPr>
        <w:t>: E46</w:t>
      </w:r>
      <w:r w:rsidRPr="008C1E5D">
        <w:rPr>
          <w:rFonts w:cs="Times New Roman"/>
        </w:rPr>
        <w:t>.</w:t>
      </w:r>
    </w:p>
    <w:p w:rsidRPr="00EF3639" w:rsidR="00EF3639" w:rsidP="005956F7" w:rsidRDefault="00EF3639" w14:paraId="60063BB0" w14:textId="4391D3F7">
      <w:pPr>
        <w:numPr>
          <w:ilvl w:val="0"/>
          <w:numId w:val="21"/>
        </w:numPr>
        <w:spacing w:before="240" w:after="160" w:line="259" w:lineRule="auto"/>
        <w:rPr>
          <w:rFonts w:cs="Times New Roman"/>
          <w:color w:val="000000"/>
        </w:rPr>
      </w:pPr>
      <w:r>
        <w:rPr>
          <w:rFonts w:cs="Times New Roman"/>
        </w:rPr>
        <w:t>M</w:t>
      </w:r>
      <w:r w:rsidR="009E6F1A">
        <w:rPr>
          <w:rFonts w:cs="Times New Roman"/>
        </w:rPr>
        <w:t xml:space="preserve">ueller, T., et al., </w:t>
      </w:r>
      <w:r w:rsidRPr="00F64379" w:rsidR="00F64379">
        <w:rPr>
          <w:rFonts w:cs="Times New Roman"/>
        </w:rPr>
        <w:t>Supporting implementation of youth-friendly best practices through the Teen Access and Quality Initiative: Baseline data from health centers in three communities</w:t>
      </w:r>
      <w:r w:rsidR="00F64379">
        <w:rPr>
          <w:rFonts w:cs="Times New Roman"/>
        </w:rPr>
        <w:t>. Poster presented at the Society for Adolescent Health and Medicine 2018 Annual Meeting</w:t>
      </w:r>
      <w:r w:rsidR="009D47BF">
        <w:rPr>
          <w:rFonts w:cs="Times New Roman"/>
        </w:rPr>
        <w:t>, Seattle, WA</w:t>
      </w:r>
      <w:r w:rsidR="00F64379">
        <w:rPr>
          <w:rFonts w:cs="Times New Roman"/>
        </w:rPr>
        <w:t>.</w:t>
      </w:r>
    </w:p>
    <w:p w:rsidR="00EF3639" w:rsidP="009E6F1A" w:rsidRDefault="00EF3639" w14:paraId="6F39CDC0" w14:textId="459C3EFD">
      <w:pPr>
        <w:spacing w:before="240" w:after="160" w:line="259" w:lineRule="auto"/>
        <w:rPr>
          <w:rFonts w:cs="Times New Roman"/>
          <w:color w:val="000000"/>
        </w:rPr>
      </w:pPr>
    </w:p>
    <w:p w:rsidR="009E6F1A" w:rsidP="009E6F1A" w:rsidRDefault="009E6F1A" w14:paraId="16293B37" w14:textId="36C547A6">
      <w:pPr>
        <w:spacing w:before="240" w:after="160" w:line="259" w:lineRule="auto"/>
        <w:rPr>
          <w:rFonts w:cs="Times New Roman"/>
          <w:color w:val="000000"/>
        </w:rPr>
      </w:pPr>
    </w:p>
    <w:p w:rsidR="009E6F1A" w:rsidP="009E6F1A" w:rsidRDefault="009E6F1A" w14:paraId="495A71D0" w14:textId="2D06F666">
      <w:pPr>
        <w:spacing w:before="240" w:after="160" w:line="259" w:lineRule="auto"/>
        <w:rPr>
          <w:rFonts w:cs="Times New Roman"/>
          <w:color w:val="000000"/>
        </w:rPr>
      </w:pPr>
    </w:p>
    <w:p w:rsidR="009E6F1A" w:rsidP="009E6F1A" w:rsidRDefault="009E6F1A" w14:paraId="7F277101" w14:textId="6A25AD52">
      <w:pPr>
        <w:spacing w:before="240" w:after="160" w:line="259" w:lineRule="auto"/>
        <w:rPr>
          <w:rFonts w:cs="Times New Roman"/>
          <w:color w:val="000000"/>
        </w:rPr>
      </w:pPr>
    </w:p>
    <w:p w:rsidR="009E6F1A" w:rsidP="009E6F1A" w:rsidRDefault="009E6F1A" w14:paraId="42771C79" w14:textId="77777777">
      <w:pPr>
        <w:spacing w:before="240" w:after="160" w:line="259" w:lineRule="auto"/>
        <w:rPr>
          <w:rFonts w:cs="Times New Roman"/>
          <w:color w:val="000000"/>
        </w:rPr>
      </w:pPr>
    </w:p>
    <w:sectPr w:rsidR="009E6F1A">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3C4F" w14:textId="77777777" w:rsidR="002226B1" w:rsidRDefault="002226B1">
      <w:pPr>
        <w:spacing w:after="0" w:line="240" w:lineRule="auto"/>
      </w:pPr>
      <w:r>
        <w:separator/>
      </w:r>
    </w:p>
  </w:endnote>
  <w:endnote w:type="continuationSeparator" w:id="0">
    <w:p w14:paraId="601DDC8F" w14:textId="77777777" w:rsidR="002226B1" w:rsidRDefault="0022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290887"/>
      <w:docPartObj>
        <w:docPartGallery w:val="Page Numbers (Bottom of Page)"/>
        <w:docPartUnique/>
      </w:docPartObj>
    </w:sdtPr>
    <w:sdtEndPr>
      <w:rPr>
        <w:noProof/>
      </w:rPr>
    </w:sdtEndPr>
    <w:sdtContent>
      <w:p w14:paraId="52BDDD03" w14:textId="1D55C5EC" w:rsidR="002226B1" w:rsidRDefault="002226B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4B002ADB" w14:textId="77777777" w:rsidR="002226B1" w:rsidRDefault="0022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69869" w14:textId="77777777" w:rsidR="002226B1" w:rsidRDefault="002226B1">
      <w:pPr>
        <w:spacing w:after="0" w:line="240" w:lineRule="auto"/>
      </w:pPr>
      <w:r>
        <w:separator/>
      </w:r>
    </w:p>
  </w:footnote>
  <w:footnote w:type="continuationSeparator" w:id="0">
    <w:p w14:paraId="72E692EE" w14:textId="77777777" w:rsidR="002226B1" w:rsidRDefault="00222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1E8D"/>
    <w:multiLevelType w:val="hybridMultilevel"/>
    <w:tmpl w:val="B8EA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E6C"/>
    <w:multiLevelType w:val="hybridMultilevel"/>
    <w:tmpl w:val="EA2E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268A"/>
    <w:multiLevelType w:val="hybridMultilevel"/>
    <w:tmpl w:val="8D66F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91275"/>
    <w:multiLevelType w:val="hybridMultilevel"/>
    <w:tmpl w:val="A62E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40AD"/>
    <w:multiLevelType w:val="hybridMultilevel"/>
    <w:tmpl w:val="198E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F507A7"/>
    <w:multiLevelType w:val="hybridMultilevel"/>
    <w:tmpl w:val="CA84A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14E39"/>
    <w:multiLevelType w:val="hybridMultilevel"/>
    <w:tmpl w:val="DAD4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0C11"/>
    <w:multiLevelType w:val="hybridMultilevel"/>
    <w:tmpl w:val="FE685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C0208"/>
    <w:multiLevelType w:val="hybridMultilevel"/>
    <w:tmpl w:val="1CA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14B33"/>
    <w:multiLevelType w:val="hybridMultilevel"/>
    <w:tmpl w:val="46D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129AC"/>
    <w:multiLevelType w:val="hybridMultilevel"/>
    <w:tmpl w:val="24E6EB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758E"/>
    <w:multiLevelType w:val="hybridMultilevel"/>
    <w:tmpl w:val="01AA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E02B33"/>
    <w:multiLevelType w:val="hybridMultilevel"/>
    <w:tmpl w:val="F61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A532D"/>
    <w:multiLevelType w:val="hybridMultilevel"/>
    <w:tmpl w:val="5C2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341FB"/>
    <w:multiLevelType w:val="hybridMultilevel"/>
    <w:tmpl w:val="3A32FE02"/>
    <w:lvl w:ilvl="0" w:tplc="9140E5A2">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7899"/>
    <w:multiLevelType w:val="hybridMultilevel"/>
    <w:tmpl w:val="F06866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5420E48"/>
    <w:multiLevelType w:val="hybridMultilevel"/>
    <w:tmpl w:val="34D09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CC7479"/>
    <w:multiLevelType w:val="hybridMultilevel"/>
    <w:tmpl w:val="70A8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9409F"/>
    <w:multiLevelType w:val="hybridMultilevel"/>
    <w:tmpl w:val="91BC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D0660"/>
    <w:multiLevelType w:val="hybridMultilevel"/>
    <w:tmpl w:val="9C8A03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F3960"/>
    <w:multiLevelType w:val="hybridMultilevel"/>
    <w:tmpl w:val="B94AD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8410B9"/>
    <w:multiLevelType w:val="hybridMultilevel"/>
    <w:tmpl w:val="843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E5E0F"/>
    <w:multiLevelType w:val="multilevel"/>
    <w:tmpl w:val="6B122D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91424F"/>
    <w:multiLevelType w:val="hybridMultilevel"/>
    <w:tmpl w:val="3FE0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649AA"/>
    <w:multiLevelType w:val="multilevel"/>
    <w:tmpl w:val="7BC4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C63E04"/>
    <w:multiLevelType w:val="hybridMultilevel"/>
    <w:tmpl w:val="B9A8EF5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2"/>
  </w:num>
  <w:num w:numId="4">
    <w:abstractNumId w:val="20"/>
  </w:num>
  <w:num w:numId="5">
    <w:abstractNumId w:val="2"/>
  </w:num>
  <w:num w:numId="6">
    <w:abstractNumId w:val="0"/>
  </w:num>
  <w:num w:numId="7">
    <w:abstractNumId w:val="7"/>
  </w:num>
  <w:num w:numId="8">
    <w:abstractNumId w:val="10"/>
  </w:num>
  <w:num w:numId="9">
    <w:abstractNumId w:val="19"/>
  </w:num>
  <w:num w:numId="10">
    <w:abstractNumId w:val="25"/>
  </w:num>
  <w:num w:numId="11">
    <w:abstractNumId w:val="18"/>
  </w:num>
  <w:num w:numId="12">
    <w:abstractNumId w:val="9"/>
  </w:num>
  <w:num w:numId="13">
    <w:abstractNumId w:val="8"/>
  </w:num>
  <w:num w:numId="14">
    <w:abstractNumId w:val="3"/>
  </w:num>
  <w:num w:numId="15">
    <w:abstractNumId w:val="17"/>
  </w:num>
  <w:num w:numId="16">
    <w:abstractNumId w:val="16"/>
  </w:num>
  <w:num w:numId="17">
    <w:abstractNumId w:val="21"/>
  </w:num>
  <w:num w:numId="18">
    <w:abstractNumId w:val="13"/>
  </w:num>
  <w:num w:numId="19">
    <w:abstractNumId w:val="12"/>
  </w:num>
  <w:num w:numId="20">
    <w:abstractNumId w:val="1"/>
  </w:num>
  <w:num w:numId="21">
    <w:abstractNumId w:val="24"/>
  </w:num>
  <w:num w:numId="22">
    <w:abstractNumId w:val="15"/>
  </w:num>
  <w:num w:numId="23">
    <w:abstractNumId w:val="11"/>
  </w:num>
  <w:num w:numId="24">
    <w:abstractNumId w:val="5"/>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62"/>
    <w:rsid w:val="00013F48"/>
    <w:rsid w:val="00026B52"/>
    <w:rsid w:val="00027EC6"/>
    <w:rsid w:val="000324A4"/>
    <w:rsid w:val="00034068"/>
    <w:rsid w:val="00043926"/>
    <w:rsid w:val="00053ED2"/>
    <w:rsid w:val="000563B4"/>
    <w:rsid w:val="000634F6"/>
    <w:rsid w:val="0009324F"/>
    <w:rsid w:val="000A4073"/>
    <w:rsid w:val="000B2606"/>
    <w:rsid w:val="000B358E"/>
    <w:rsid w:val="000C20CD"/>
    <w:rsid w:val="000D0B0A"/>
    <w:rsid w:val="000D2E8A"/>
    <w:rsid w:val="000D397A"/>
    <w:rsid w:val="000D439C"/>
    <w:rsid w:val="000D61EA"/>
    <w:rsid w:val="000E4AED"/>
    <w:rsid w:val="000F015F"/>
    <w:rsid w:val="000F0A80"/>
    <w:rsid w:val="0010006C"/>
    <w:rsid w:val="00101EB5"/>
    <w:rsid w:val="00125715"/>
    <w:rsid w:val="001459F8"/>
    <w:rsid w:val="00146429"/>
    <w:rsid w:val="001470EF"/>
    <w:rsid w:val="001513AB"/>
    <w:rsid w:val="0016122D"/>
    <w:rsid w:val="00161C4F"/>
    <w:rsid w:val="00171ADC"/>
    <w:rsid w:val="00171AF8"/>
    <w:rsid w:val="00176E82"/>
    <w:rsid w:val="00196914"/>
    <w:rsid w:val="00196E42"/>
    <w:rsid w:val="001A00A2"/>
    <w:rsid w:val="001A1B69"/>
    <w:rsid w:val="001B0B83"/>
    <w:rsid w:val="001C3612"/>
    <w:rsid w:val="001D0A04"/>
    <w:rsid w:val="001D444A"/>
    <w:rsid w:val="001E1234"/>
    <w:rsid w:val="001F587F"/>
    <w:rsid w:val="001F5CBE"/>
    <w:rsid w:val="0020231C"/>
    <w:rsid w:val="00205AD6"/>
    <w:rsid w:val="002120C5"/>
    <w:rsid w:val="00217BEF"/>
    <w:rsid w:val="002226B1"/>
    <w:rsid w:val="00240DE2"/>
    <w:rsid w:val="002422FB"/>
    <w:rsid w:val="00255E31"/>
    <w:rsid w:val="00262665"/>
    <w:rsid w:val="00263EA7"/>
    <w:rsid w:val="00271725"/>
    <w:rsid w:val="002748AD"/>
    <w:rsid w:val="00277EE0"/>
    <w:rsid w:val="00285D36"/>
    <w:rsid w:val="00294A59"/>
    <w:rsid w:val="00294B10"/>
    <w:rsid w:val="002961B3"/>
    <w:rsid w:val="002C0621"/>
    <w:rsid w:val="002D027D"/>
    <w:rsid w:val="00325042"/>
    <w:rsid w:val="00331454"/>
    <w:rsid w:val="003357EE"/>
    <w:rsid w:val="00344AE7"/>
    <w:rsid w:val="003470C5"/>
    <w:rsid w:val="00352EDF"/>
    <w:rsid w:val="003551BC"/>
    <w:rsid w:val="00381CFF"/>
    <w:rsid w:val="003903B8"/>
    <w:rsid w:val="003A43A5"/>
    <w:rsid w:val="003B1674"/>
    <w:rsid w:val="003B6E94"/>
    <w:rsid w:val="003B76F1"/>
    <w:rsid w:val="003D083D"/>
    <w:rsid w:val="003D226C"/>
    <w:rsid w:val="003D4DE0"/>
    <w:rsid w:val="003F134F"/>
    <w:rsid w:val="003F16BD"/>
    <w:rsid w:val="0040175E"/>
    <w:rsid w:val="004020F5"/>
    <w:rsid w:val="004021EA"/>
    <w:rsid w:val="0041520D"/>
    <w:rsid w:val="004157B4"/>
    <w:rsid w:val="00420445"/>
    <w:rsid w:val="00427FDC"/>
    <w:rsid w:val="00444EC6"/>
    <w:rsid w:val="0045616F"/>
    <w:rsid w:val="00460425"/>
    <w:rsid w:val="00466409"/>
    <w:rsid w:val="00473B5F"/>
    <w:rsid w:val="00475AA0"/>
    <w:rsid w:val="0048561D"/>
    <w:rsid w:val="00495702"/>
    <w:rsid w:val="00496812"/>
    <w:rsid w:val="004C6530"/>
    <w:rsid w:val="004D5D4E"/>
    <w:rsid w:val="004D6249"/>
    <w:rsid w:val="004F31A7"/>
    <w:rsid w:val="00502AE2"/>
    <w:rsid w:val="005041E9"/>
    <w:rsid w:val="0050733C"/>
    <w:rsid w:val="00515029"/>
    <w:rsid w:val="005312D4"/>
    <w:rsid w:val="00535841"/>
    <w:rsid w:val="0054044B"/>
    <w:rsid w:val="005550AB"/>
    <w:rsid w:val="00566809"/>
    <w:rsid w:val="00571C7B"/>
    <w:rsid w:val="00574B6B"/>
    <w:rsid w:val="00580799"/>
    <w:rsid w:val="00586615"/>
    <w:rsid w:val="005956F7"/>
    <w:rsid w:val="005C0EC8"/>
    <w:rsid w:val="005E0814"/>
    <w:rsid w:val="005E2F5B"/>
    <w:rsid w:val="005F1FFA"/>
    <w:rsid w:val="006026D2"/>
    <w:rsid w:val="00606847"/>
    <w:rsid w:val="006143F3"/>
    <w:rsid w:val="00646D4F"/>
    <w:rsid w:val="00655854"/>
    <w:rsid w:val="0065707D"/>
    <w:rsid w:val="00657844"/>
    <w:rsid w:val="006642CE"/>
    <w:rsid w:val="0067631C"/>
    <w:rsid w:val="00676C55"/>
    <w:rsid w:val="006876CD"/>
    <w:rsid w:val="00690F2D"/>
    <w:rsid w:val="006911F5"/>
    <w:rsid w:val="00691888"/>
    <w:rsid w:val="006933C1"/>
    <w:rsid w:val="006A333D"/>
    <w:rsid w:val="006B130D"/>
    <w:rsid w:val="006B512D"/>
    <w:rsid w:val="006B5C1F"/>
    <w:rsid w:val="006C42D6"/>
    <w:rsid w:val="006D2F13"/>
    <w:rsid w:val="006D46F4"/>
    <w:rsid w:val="006E1EFA"/>
    <w:rsid w:val="006E2907"/>
    <w:rsid w:val="006E71E1"/>
    <w:rsid w:val="00713FD7"/>
    <w:rsid w:val="00716269"/>
    <w:rsid w:val="0071704E"/>
    <w:rsid w:val="00720F13"/>
    <w:rsid w:val="007232AE"/>
    <w:rsid w:val="0072384F"/>
    <w:rsid w:val="0072565C"/>
    <w:rsid w:val="00744DE2"/>
    <w:rsid w:val="00745ED2"/>
    <w:rsid w:val="00755837"/>
    <w:rsid w:val="00765B1C"/>
    <w:rsid w:val="0076620D"/>
    <w:rsid w:val="00771885"/>
    <w:rsid w:val="007736F5"/>
    <w:rsid w:val="0077705B"/>
    <w:rsid w:val="00787879"/>
    <w:rsid w:val="0079144A"/>
    <w:rsid w:val="00794C57"/>
    <w:rsid w:val="007E2354"/>
    <w:rsid w:val="007E4DD6"/>
    <w:rsid w:val="00803553"/>
    <w:rsid w:val="00813728"/>
    <w:rsid w:val="00823BD4"/>
    <w:rsid w:val="00831E47"/>
    <w:rsid w:val="00832EAB"/>
    <w:rsid w:val="00833199"/>
    <w:rsid w:val="00847889"/>
    <w:rsid w:val="008548B8"/>
    <w:rsid w:val="008554BA"/>
    <w:rsid w:val="00865642"/>
    <w:rsid w:val="00873706"/>
    <w:rsid w:val="008804CF"/>
    <w:rsid w:val="00881A12"/>
    <w:rsid w:val="00882B62"/>
    <w:rsid w:val="008926B9"/>
    <w:rsid w:val="008B727C"/>
    <w:rsid w:val="008C1E5D"/>
    <w:rsid w:val="008C2A17"/>
    <w:rsid w:val="008D5386"/>
    <w:rsid w:val="008E0BF9"/>
    <w:rsid w:val="00910B3B"/>
    <w:rsid w:val="009304D3"/>
    <w:rsid w:val="00932A97"/>
    <w:rsid w:val="00944D8F"/>
    <w:rsid w:val="00953EF6"/>
    <w:rsid w:val="00957197"/>
    <w:rsid w:val="0099354F"/>
    <w:rsid w:val="009A2C81"/>
    <w:rsid w:val="009A6454"/>
    <w:rsid w:val="009B4147"/>
    <w:rsid w:val="009B4531"/>
    <w:rsid w:val="009B4E47"/>
    <w:rsid w:val="009C54A2"/>
    <w:rsid w:val="009D47BF"/>
    <w:rsid w:val="009D6020"/>
    <w:rsid w:val="009E2DBE"/>
    <w:rsid w:val="009E48BE"/>
    <w:rsid w:val="009E6F1A"/>
    <w:rsid w:val="009F012A"/>
    <w:rsid w:val="00A01B4A"/>
    <w:rsid w:val="00A0202C"/>
    <w:rsid w:val="00A04E13"/>
    <w:rsid w:val="00A1318E"/>
    <w:rsid w:val="00A23C0E"/>
    <w:rsid w:val="00A35CE4"/>
    <w:rsid w:val="00A46E2A"/>
    <w:rsid w:val="00A644D7"/>
    <w:rsid w:val="00A6722A"/>
    <w:rsid w:val="00AA577D"/>
    <w:rsid w:val="00AA7063"/>
    <w:rsid w:val="00AB521B"/>
    <w:rsid w:val="00AB5E17"/>
    <w:rsid w:val="00AC2769"/>
    <w:rsid w:val="00AC350E"/>
    <w:rsid w:val="00AC5E7D"/>
    <w:rsid w:val="00AD1063"/>
    <w:rsid w:val="00AD4E5A"/>
    <w:rsid w:val="00AE3966"/>
    <w:rsid w:val="00AF5D3D"/>
    <w:rsid w:val="00B0339F"/>
    <w:rsid w:val="00B05C08"/>
    <w:rsid w:val="00B119D7"/>
    <w:rsid w:val="00B12160"/>
    <w:rsid w:val="00B1254D"/>
    <w:rsid w:val="00B25601"/>
    <w:rsid w:val="00B26CF9"/>
    <w:rsid w:val="00B46604"/>
    <w:rsid w:val="00B664FE"/>
    <w:rsid w:val="00B7110C"/>
    <w:rsid w:val="00B72001"/>
    <w:rsid w:val="00B865D1"/>
    <w:rsid w:val="00B87990"/>
    <w:rsid w:val="00BA774A"/>
    <w:rsid w:val="00BA7865"/>
    <w:rsid w:val="00BB303A"/>
    <w:rsid w:val="00BC7168"/>
    <w:rsid w:val="00BD496D"/>
    <w:rsid w:val="00C03255"/>
    <w:rsid w:val="00C06F80"/>
    <w:rsid w:val="00C10819"/>
    <w:rsid w:val="00C30446"/>
    <w:rsid w:val="00C46E85"/>
    <w:rsid w:val="00C47492"/>
    <w:rsid w:val="00C47A48"/>
    <w:rsid w:val="00C51E18"/>
    <w:rsid w:val="00C62E4F"/>
    <w:rsid w:val="00C74E89"/>
    <w:rsid w:val="00C7670D"/>
    <w:rsid w:val="00C82888"/>
    <w:rsid w:val="00C83428"/>
    <w:rsid w:val="00C96AA0"/>
    <w:rsid w:val="00CA6B68"/>
    <w:rsid w:val="00CB05CF"/>
    <w:rsid w:val="00CB23A6"/>
    <w:rsid w:val="00CD4C55"/>
    <w:rsid w:val="00CE062F"/>
    <w:rsid w:val="00CE14A0"/>
    <w:rsid w:val="00CE5E8C"/>
    <w:rsid w:val="00CF1249"/>
    <w:rsid w:val="00D02B0F"/>
    <w:rsid w:val="00D22176"/>
    <w:rsid w:val="00D2513C"/>
    <w:rsid w:val="00D3541B"/>
    <w:rsid w:val="00D41955"/>
    <w:rsid w:val="00D46CB3"/>
    <w:rsid w:val="00D54690"/>
    <w:rsid w:val="00D66B5F"/>
    <w:rsid w:val="00D71E27"/>
    <w:rsid w:val="00D729CA"/>
    <w:rsid w:val="00D748CC"/>
    <w:rsid w:val="00D9428A"/>
    <w:rsid w:val="00DA6556"/>
    <w:rsid w:val="00DB3304"/>
    <w:rsid w:val="00DB571E"/>
    <w:rsid w:val="00DD6B87"/>
    <w:rsid w:val="00E11BA4"/>
    <w:rsid w:val="00E14557"/>
    <w:rsid w:val="00E15B23"/>
    <w:rsid w:val="00E2611B"/>
    <w:rsid w:val="00E42C93"/>
    <w:rsid w:val="00E535C0"/>
    <w:rsid w:val="00E617DE"/>
    <w:rsid w:val="00E70D34"/>
    <w:rsid w:val="00E71C60"/>
    <w:rsid w:val="00E72F41"/>
    <w:rsid w:val="00E81C7B"/>
    <w:rsid w:val="00E8632C"/>
    <w:rsid w:val="00E876D4"/>
    <w:rsid w:val="00E92381"/>
    <w:rsid w:val="00E94A41"/>
    <w:rsid w:val="00E95D9F"/>
    <w:rsid w:val="00E96840"/>
    <w:rsid w:val="00ED0E57"/>
    <w:rsid w:val="00ED1329"/>
    <w:rsid w:val="00ED7AA8"/>
    <w:rsid w:val="00EE0EAB"/>
    <w:rsid w:val="00EE73D0"/>
    <w:rsid w:val="00EF34E6"/>
    <w:rsid w:val="00EF3639"/>
    <w:rsid w:val="00F019EC"/>
    <w:rsid w:val="00F01FA0"/>
    <w:rsid w:val="00F042D4"/>
    <w:rsid w:val="00F20E4C"/>
    <w:rsid w:val="00F341F6"/>
    <w:rsid w:val="00F345C6"/>
    <w:rsid w:val="00F37067"/>
    <w:rsid w:val="00F45F01"/>
    <w:rsid w:val="00F50790"/>
    <w:rsid w:val="00F560BF"/>
    <w:rsid w:val="00F64379"/>
    <w:rsid w:val="00F749E6"/>
    <w:rsid w:val="00F768F5"/>
    <w:rsid w:val="00F858B8"/>
    <w:rsid w:val="00F93CC9"/>
    <w:rsid w:val="00FA1D1D"/>
    <w:rsid w:val="00FB4E0A"/>
    <w:rsid w:val="00FB72A5"/>
    <w:rsid w:val="00FD2682"/>
    <w:rsid w:val="00FD48C2"/>
    <w:rsid w:val="00FD6442"/>
    <w:rsid w:val="00FE382C"/>
    <w:rsid w:val="00FE3D35"/>
    <w:rsid w:val="00FE52C3"/>
    <w:rsid w:val="00FF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211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apple-converted-space">
    <w:name w:val="apple-converted-space"/>
    <w:basedOn w:val="DefaultParagraphFont"/>
  </w:style>
  <w:style w:type="character" w:customStyle="1" w:styleId="citation">
    <w:name w:val="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styleId="FollowedHyperlink">
    <w:name w:val="FollowedHyperlink"/>
    <w:basedOn w:val="DefaultParagraphFont"/>
    <w:uiPriority w:val="99"/>
    <w:semiHidden/>
    <w:unhideWhenUsed/>
    <w:rsid w:val="00FB7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1994">
      <w:bodyDiv w:val="1"/>
      <w:marLeft w:val="0"/>
      <w:marRight w:val="0"/>
      <w:marTop w:val="0"/>
      <w:marBottom w:val="0"/>
      <w:divBdr>
        <w:top w:val="none" w:sz="0" w:space="0" w:color="auto"/>
        <w:left w:val="none" w:sz="0" w:space="0" w:color="auto"/>
        <w:bottom w:val="none" w:sz="0" w:space="0" w:color="auto"/>
        <w:right w:val="none" w:sz="0" w:space="0" w:color="auto"/>
      </w:divBdr>
    </w:div>
    <w:div w:id="1552813211">
      <w:bodyDiv w:val="1"/>
      <w:marLeft w:val="0"/>
      <w:marRight w:val="0"/>
      <w:marTop w:val="0"/>
      <w:marBottom w:val="0"/>
      <w:divBdr>
        <w:top w:val="none" w:sz="0" w:space="0" w:color="auto"/>
        <w:left w:val="none" w:sz="0" w:space="0" w:color="auto"/>
        <w:bottom w:val="none" w:sz="0" w:space="0" w:color="auto"/>
        <w:right w:val="none" w:sz="0" w:space="0" w:color="auto"/>
      </w:divBdr>
    </w:div>
    <w:div w:id="16673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msm@gaphc.org" TargetMode="External"/><Relationship Id="rId13" Type="http://schemas.openxmlformats.org/officeDocument/2006/relationships/hyperlink" Target="mailto:kschlanger@caiglobal.org/404-521-215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iddleton@caiglobal.org/212-594-7741" TargetMode="Externa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mreese@appcnc.org/919-226-18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ta.gavin@hhs.gov/240-453-2826" TargetMode="External"/><Relationship Id="rId5" Type="http://schemas.openxmlformats.org/officeDocument/2006/relationships/webSettings" Target="webSettings.xml"/><Relationship Id="rId15" Type="http://schemas.openxmlformats.org/officeDocument/2006/relationships/hyperlink" Target="mailto:plastino@uthscsa.edu/210-567-7036" TargetMode="External"/><Relationship Id="rId10" Type="http://schemas.openxmlformats.org/officeDocument/2006/relationships/hyperlink" Target="mailto:cbowden@gaph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ey711@gmail.com/412-953-9544" TargetMode="External"/><Relationship Id="rId14" Type="http://schemas.openxmlformats.org/officeDocument/2006/relationships/hyperlink" Target="mailto:douhuru@health.nyc.gov/718-299-0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596A-4455-41B2-9F83-9303DD67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8413</Words>
  <Characters>47958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2019-12-06T18:06:00Z</dcterms:created>
  <dcterms:modified xsi:type="dcterms:W3CDTF">2019-12-06T18:12:00Z</dcterms:modified>
</cp:coreProperties>
</file>