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DC4" w:rsidRPr="005C26CA" w:rsidRDefault="00E33DC4" w:rsidP="00E33DC4">
      <w:pPr>
        <w:tabs>
          <w:tab w:val="center" w:pos="4680"/>
        </w:tabs>
        <w:spacing w:before="120"/>
        <w:jc w:val="center"/>
        <w:rPr>
          <w:b/>
          <w:bCs/>
          <w:sz w:val="24"/>
        </w:rPr>
      </w:pPr>
      <w:bookmarkStart w:id="0" w:name="_GoBack"/>
      <w:bookmarkEnd w:id="0"/>
      <w:r w:rsidRPr="005C26CA">
        <w:rPr>
          <w:b/>
          <w:bCs/>
          <w:sz w:val="24"/>
        </w:rPr>
        <w:t>Information Collection Request</w:t>
      </w:r>
    </w:p>
    <w:p w:rsidR="00E33DC4" w:rsidRPr="005C26CA" w:rsidRDefault="00E33DC4" w:rsidP="00E33DC4">
      <w:pPr>
        <w:tabs>
          <w:tab w:val="center" w:pos="4680"/>
        </w:tabs>
        <w:spacing w:before="120"/>
        <w:jc w:val="center"/>
        <w:rPr>
          <w:b/>
          <w:bCs/>
          <w:sz w:val="24"/>
        </w:rPr>
      </w:pPr>
    </w:p>
    <w:p w:rsidR="00E33DC4" w:rsidRPr="005C26CA" w:rsidRDefault="00E33DC4" w:rsidP="00E33DC4">
      <w:pPr>
        <w:tabs>
          <w:tab w:val="center" w:pos="4680"/>
        </w:tabs>
        <w:spacing w:before="120"/>
        <w:jc w:val="center"/>
        <w:rPr>
          <w:b/>
          <w:bCs/>
          <w:sz w:val="24"/>
        </w:rPr>
      </w:pPr>
    </w:p>
    <w:p w:rsidR="00E33DC4" w:rsidRPr="005C26CA" w:rsidRDefault="00E33DC4" w:rsidP="00E33DC4">
      <w:pPr>
        <w:tabs>
          <w:tab w:val="center" w:pos="4680"/>
        </w:tabs>
        <w:spacing w:before="120"/>
        <w:jc w:val="center"/>
        <w:rPr>
          <w:b/>
          <w:bCs/>
          <w:sz w:val="24"/>
        </w:rPr>
      </w:pPr>
    </w:p>
    <w:p w:rsidR="00E33DC4" w:rsidRPr="005C26CA" w:rsidRDefault="00E33DC4" w:rsidP="00E33DC4">
      <w:pPr>
        <w:tabs>
          <w:tab w:val="center" w:pos="4680"/>
        </w:tabs>
        <w:spacing w:before="120"/>
        <w:jc w:val="center"/>
        <w:rPr>
          <w:b/>
          <w:sz w:val="24"/>
        </w:rPr>
      </w:pPr>
      <w:r w:rsidRPr="005C26CA">
        <w:rPr>
          <w:b/>
          <w:sz w:val="24"/>
        </w:rPr>
        <w:t>NEW</w:t>
      </w:r>
    </w:p>
    <w:p w:rsidR="00E33DC4" w:rsidRPr="005C26CA" w:rsidRDefault="00E33DC4" w:rsidP="00E33DC4">
      <w:pPr>
        <w:tabs>
          <w:tab w:val="center" w:pos="4680"/>
        </w:tabs>
        <w:spacing w:before="120"/>
        <w:jc w:val="center"/>
        <w:rPr>
          <w:b/>
          <w:sz w:val="24"/>
        </w:rPr>
      </w:pPr>
    </w:p>
    <w:p w:rsidR="00E33DC4" w:rsidRPr="005C26CA" w:rsidRDefault="00E33DC4" w:rsidP="00E33DC4">
      <w:pPr>
        <w:tabs>
          <w:tab w:val="center" w:pos="4680"/>
        </w:tabs>
        <w:spacing w:before="120"/>
        <w:jc w:val="center"/>
        <w:rPr>
          <w:b/>
          <w:sz w:val="24"/>
        </w:rPr>
      </w:pPr>
    </w:p>
    <w:p w:rsidR="00E33DC4" w:rsidRPr="005C26CA" w:rsidRDefault="00E33DC4" w:rsidP="00E33DC4">
      <w:pPr>
        <w:tabs>
          <w:tab w:val="center" w:pos="4680"/>
        </w:tabs>
        <w:spacing w:before="120"/>
        <w:jc w:val="center"/>
        <w:rPr>
          <w:b/>
          <w:sz w:val="24"/>
        </w:rPr>
      </w:pPr>
      <w:r w:rsidRPr="005C26CA">
        <w:rPr>
          <w:b/>
          <w:sz w:val="24"/>
        </w:rPr>
        <w:t>Generic ICR for Cognitive Testing and Pilot Testing</w:t>
      </w:r>
    </w:p>
    <w:p w:rsidR="00E33DC4" w:rsidRPr="005C26CA" w:rsidRDefault="00E33DC4" w:rsidP="00E33DC4">
      <w:pPr>
        <w:widowControl/>
        <w:autoSpaceDE/>
        <w:autoSpaceDN/>
        <w:adjustRightInd/>
        <w:jc w:val="center"/>
        <w:rPr>
          <w:b/>
          <w:bCs/>
          <w:sz w:val="24"/>
        </w:rPr>
      </w:pPr>
      <w:r w:rsidRPr="005C26CA">
        <w:rPr>
          <w:b/>
          <w:bCs/>
          <w:sz w:val="24"/>
        </w:rPr>
        <w:t xml:space="preserve">For the National Center for Chronic Disease Prevention </w:t>
      </w:r>
    </w:p>
    <w:p w:rsidR="00E33DC4" w:rsidRPr="005C26CA" w:rsidRDefault="00E33DC4" w:rsidP="00E33DC4">
      <w:pPr>
        <w:widowControl/>
        <w:autoSpaceDE/>
        <w:autoSpaceDN/>
        <w:adjustRightInd/>
        <w:jc w:val="center"/>
        <w:rPr>
          <w:b/>
          <w:bCs/>
          <w:sz w:val="24"/>
        </w:rPr>
      </w:pPr>
      <w:r w:rsidRPr="005C26CA">
        <w:rPr>
          <w:b/>
          <w:bCs/>
          <w:sz w:val="24"/>
        </w:rPr>
        <w:t>and Health Promotion</w:t>
      </w:r>
    </w:p>
    <w:p w:rsidR="00E33DC4" w:rsidRPr="005C26CA" w:rsidRDefault="00E33DC4" w:rsidP="00E33DC4">
      <w:pPr>
        <w:widowControl/>
        <w:autoSpaceDE/>
        <w:autoSpaceDN/>
        <w:adjustRightInd/>
        <w:jc w:val="center"/>
        <w:rPr>
          <w:b/>
          <w:bCs/>
          <w:sz w:val="24"/>
        </w:rPr>
      </w:pPr>
    </w:p>
    <w:p w:rsidR="00E33DC4" w:rsidRPr="005C26CA" w:rsidRDefault="00E33DC4" w:rsidP="00E33DC4">
      <w:pPr>
        <w:widowControl/>
        <w:autoSpaceDE/>
        <w:autoSpaceDN/>
        <w:adjustRightInd/>
        <w:jc w:val="center"/>
        <w:rPr>
          <w:b/>
          <w:bCs/>
          <w:sz w:val="24"/>
        </w:rPr>
      </w:pPr>
    </w:p>
    <w:p w:rsidR="00E33DC4" w:rsidRPr="005C26CA" w:rsidRDefault="00E33DC4" w:rsidP="00E33DC4">
      <w:pPr>
        <w:widowControl/>
        <w:autoSpaceDE/>
        <w:autoSpaceDN/>
        <w:adjustRightInd/>
        <w:jc w:val="center"/>
        <w:rPr>
          <w:b/>
          <w:bCs/>
          <w:sz w:val="24"/>
        </w:rPr>
      </w:pPr>
    </w:p>
    <w:p w:rsidR="00E33DC4" w:rsidRPr="005C26CA" w:rsidRDefault="00E33DC4" w:rsidP="00E33DC4">
      <w:pPr>
        <w:widowControl/>
        <w:autoSpaceDE/>
        <w:autoSpaceDN/>
        <w:adjustRightInd/>
        <w:jc w:val="center"/>
        <w:rPr>
          <w:b/>
          <w:bCs/>
          <w:sz w:val="24"/>
        </w:rPr>
      </w:pPr>
      <w:r w:rsidRPr="005C26CA">
        <w:rPr>
          <w:b/>
          <w:bCs/>
          <w:sz w:val="24"/>
        </w:rPr>
        <w:t xml:space="preserve">Supporting Statement: Part </w:t>
      </w:r>
      <w:r>
        <w:rPr>
          <w:b/>
          <w:bCs/>
          <w:sz w:val="24"/>
        </w:rPr>
        <w:t>B</w:t>
      </w:r>
    </w:p>
    <w:p w:rsidR="00E33DC4" w:rsidRPr="005C26CA" w:rsidRDefault="00E33DC4" w:rsidP="00E33DC4">
      <w:pPr>
        <w:widowControl/>
        <w:autoSpaceDE/>
        <w:autoSpaceDN/>
        <w:adjustRightInd/>
        <w:jc w:val="center"/>
        <w:rPr>
          <w:b/>
          <w:bCs/>
          <w:sz w:val="24"/>
        </w:rPr>
      </w:pPr>
    </w:p>
    <w:p w:rsidR="00E33DC4" w:rsidRPr="005C26CA" w:rsidRDefault="00E33DC4" w:rsidP="00E33DC4">
      <w:pPr>
        <w:widowControl/>
        <w:autoSpaceDE/>
        <w:autoSpaceDN/>
        <w:adjustRightInd/>
        <w:jc w:val="center"/>
        <w:rPr>
          <w:b/>
          <w:bCs/>
          <w:sz w:val="24"/>
        </w:rPr>
      </w:pPr>
    </w:p>
    <w:p w:rsidR="00E33DC4" w:rsidRPr="005C26CA" w:rsidRDefault="00E33DC4" w:rsidP="00E33DC4">
      <w:pPr>
        <w:rPr>
          <w:rFonts w:ascii="Calibri" w:hAnsi="Calibri"/>
          <w:sz w:val="24"/>
        </w:rPr>
      </w:pPr>
    </w:p>
    <w:p w:rsidR="00E33DC4" w:rsidRPr="005C26CA" w:rsidRDefault="00E33DC4" w:rsidP="00E33DC4">
      <w:pPr>
        <w:rPr>
          <w:rFonts w:ascii="Calibri" w:hAnsi="Calibri"/>
          <w:sz w:val="24"/>
        </w:rPr>
      </w:pPr>
    </w:p>
    <w:p w:rsidR="00E33DC4" w:rsidRPr="005C26CA" w:rsidRDefault="00E33DC4" w:rsidP="00E33DC4">
      <w:pPr>
        <w:jc w:val="center"/>
        <w:rPr>
          <w:b/>
          <w:bCs/>
          <w:sz w:val="24"/>
          <w:u w:val="single"/>
        </w:rPr>
      </w:pPr>
      <w:r w:rsidRPr="005C26CA">
        <w:rPr>
          <w:b/>
          <w:bCs/>
          <w:sz w:val="24"/>
          <w:u w:val="single"/>
        </w:rPr>
        <w:t>Program Official/ Contact</w:t>
      </w:r>
    </w:p>
    <w:p w:rsidR="00E33DC4" w:rsidRPr="005C26CA" w:rsidRDefault="00E33DC4" w:rsidP="00E33DC4">
      <w:pPr>
        <w:jc w:val="center"/>
        <w:rPr>
          <w:bCs/>
          <w:sz w:val="24"/>
        </w:rPr>
      </w:pPr>
      <w:r w:rsidRPr="005C26CA">
        <w:rPr>
          <w:bCs/>
          <w:sz w:val="24"/>
        </w:rPr>
        <w:t>Carol Pierannunzi, PhD</w:t>
      </w:r>
    </w:p>
    <w:p w:rsidR="00E33DC4" w:rsidRPr="005C26CA" w:rsidRDefault="00E33DC4" w:rsidP="00E33DC4">
      <w:pPr>
        <w:jc w:val="center"/>
        <w:rPr>
          <w:sz w:val="24"/>
        </w:rPr>
      </w:pPr>
      <w:r w:rsidRPr="005C26CA">
        <w:rPr>
          <w:sz w:val="24"/>
        </w:rPr>
        <w:t>Division of Population Health</w:t>
      </w:r>
    </w:p>
    <w:p w:rsidR="00E33DC4" w:rsidRPr="005C26CA" w:rsidRDefault="00E33DC4" w:rsidP="00E33DC4">
      <w:pPr>
        <w:jc w:val="center"/>
        <w:rPr>
          <w:sz w:val="24"/>
        </w:rPr>
      </w:pPr>
      <w:r w:rsidRPr="005C26CA">
        <w:rPr>
          <w:sz w:val="24"/>
        </w:rPr>
        <w:t>National Center for Chronic Disease Prevention and Health Promotion</w:t>
      </w:r>
    </w:p>
    <w:p w:rsidR="00E33DC4" w:rsidRPr="005C26CA" w:rsidRDefault="00E33DC4" w:rsidP="00E33DC4">
      <w:pPr>
        <w:jc w:val="center"/>
        <w:rPr>
          <w:sz w:val="24"/>
        </w:rPr>
      </w:pPr>
      <w:r w:rsidRPr="005C26CA">
        <w:rPr>
          <w:sz w:val="24"/>
        </w:rPr>
        <w:t>Centers for Disease Control and Prevention</w:t>
      </w:r>
    </w:p>
    <w:p w:rsidR="00E33DC4" w:rsidRPr="005C26CA" w:rsidRDefault="00E33DC4" w:rsidP="00E33DC4">
      <w:pPr>
        <w:jc w:val="center"/>
        <w:rPr>
          <w:sz w:val="24"/>
        </w:rPr>
      </w:pPr>
      <w:r w:rsidRPr="005C26CA">
        <w:rPr>
          <w:sz w:val="24"/>
        </w:rPr>
        <w:t>Atlanta, Georgia</w:t>
      </w:r>
    </w:p>
    <w:p w:rsidR="00E33DC4" w:rsidRPr="005C26CA" w:rsidRDefault="00E33DC4" w:rsidP="00E33DC4">
      <w:pPr>
        <w:jc w:val="center"/>
        <w:rPr>
          <w:sz w:val="24"/>
        </w:rPr>
      </w:pPr>
      <w:r w:rsidRPr="005C26CA">
        <w:rPr>
          <w:sz w:val="24"/>
        </w:rPr>
        <w:t>Phone 770-488-4609</w:t>
      </w:r>
    </w:p>
    <w:p w:rsidR="00E33DC4" w:rsidRPr="005C26CA" w:rsidRDefault="00E33DC4" w:rsidP="00E33DC4">
      <w:pPr>
        <w:jc w:val="center"/>
        <w:rPr>
          <w:sz w:val="24"/>
        </w:rPr>
      </w:pPr>
      <w:r w:rsidRPr="005C26CA">
        <w:rPr>
          <w:sz w:val="24"/>
        </w:rPr>
        <w:t>Fax 770-488-5965</w:t>
      </w:r>
    </w:p>
    <w:p w:rsidR="00E33DC4" w:rsidRPr="005C26CA" w:rsidRDefault="00E33DC4" w:rsidP="00E33DC4">
      <w:pPr>
        <w:jc w:val="center"/>
        <w:rPr>
          <w:sz w:val="24"/>
        </w:rPr>
      </w:pPr>
      <w:r w:rsidRPr="005C26CA">
        <w:rPr>
          <w:sz w:val="24"/>
        </w:rPr>
        <w:t>Email: ivk</w:t>
      </w:r>
      <w:r w:rsidR="00F17AA3">
        <w:rPr>
          <w:sz w:val="24"/>
        </w:rPr>
        <w:t>7</w:t>
      </w:r>
      <w:r w:rsidRPr="005C26CA">
        <w:rPr>
          <w:sz w:val="24"/>
        </w:rPr>
        <w:t>@cdc.gov</w:t>
      </w:r>
    </w:p>
    <w:p w:rsidR="00E33DC4" w:rsidRPr="00BA17BA" w:rsidRDefault="00E33DC4" w:rsidP="00E33DC4">
      <w:pPr>
        <w:widowControl/>
        <w:autoSpaceDE/>
        <w:autoSpaceDN/>
        <w:adjustRightInd/>
        <w:rPr>
          <w:rFonts w:asciiTheme="minorHAnsi" w:hAnsiTheme="minorHAnsi" w:cstheme="minorHAnsi"/>
          <w:sz w:val="24"/>
          <w:lang w:val="pt-BR"/>
        </w:rPr>
      </w:pPr>
    </w:p>
    <w:p w:rsidR="00E33DC4" w:rsidRPr="00153F90" w:rsidRDefault="00E33DC4" w:rsidP="00E33DC4">
      <w:pPr>
        <w:rPr>
          <w:rFonts w:ascii="Calibri" w:hAnsi="Calibri"/>
          <w:color w:val="0563C1"/>
          <w:u w:val="single"/>
          <w:lang w:val="pt-BR"/>
        </w:rPr>
      </w:pPr>
    </w:p>
    <w:p w:rsidR="00E33DC4" w:rsidRPr="006F6E8F" w:rsidRDefault="00E33DC4" w:rsidP="00E33DC4">
      <w:pPr>
        <w:widowControl/>
        <w:autoSpaceDE/>
        <w:autoSpaceDN/>
        <w:adjustRightInd/>
        <w:jc w:val="center"/>
        <w:rPr>
          <w:b/>
          <w:bCs/>
          <w:sz w:val="32"/>
          <w:szCs w:val="32"/>
        </w:rPr>
      </w:pPr>
    </w:p>
    <w:p w:rsidR="00E33DC4" w:rsidRDefault="00E33DC4" w:rsidP="00E33DC4">
      <w:pPr>
        <w:widowControl/>
        <w:autoSpaceDE/>
        <w:autoSpaceDN/>
        <w:adjustRightInd/>
        <w:jc w:val="center"/>
        <w:rPr>
          <w:b/>
          <w:bCs/>
          <w:sz w:val="32"/>
          <w:szCs w:val="32"/>
        </w:rPr>
      </w:pPr>
    </w:p>
    <w:p w:rsidR="00E33DC4" w:rsidRDefault="00E33DC4" w:rsidP="00E33DC4">
      <w:pPr>
        <w:widowControl/>
        <w:autoSpaceDE/>
        <w:autoSpaceDN/>
        <w:adjustRightInd/>
        <w:jc w:val="center"/>
        <w:rPr>
          <w:b/>
          <w:bCs/>
          <w:sz w:val="32"/>
          <w:szCs w:val="32"/>
        </w:rPr>
      </w:pPr>
    </w:p>
    <w:p w:rsidR="001568CA" w:rsidRPr="00844607" w:rsidRDefault="00C840E1" w:rsidP="00C840E1">
      <w:pPr>
        <w:pStyle w:val="Heading1"/>
        <w:jc w:val="center"/>
      </w:pPr>
      <w:r>
        <w:t>November 25, 2019</w:t>
      </w:r>
      <w:r w:rsidR="00E33DC4" w:rsidRPr="005C26CA">
        <w:br w:type="page"/>
      </w:r>
    </w:p>
    <w:p w:rsidR="00581026" w:rsidRDefault="00581026" w:rsidP="00581026">
      <w:pPr>
        <w:widowControl/>
        <w:autoSpaceDE/>
        <w:autoSpaceDN/>
        <w:adjustRightInd/>
        <w:rPr>
          <w:b/>
          <w:sz w:val="24"/>
        </w:rPr>
      </w:pPr>
      <w:r>
        <w:rPr>
          <w:b/>
          <w:sz w:val="24"/>
        </w:rPr>
        <w:lastRenderedPageBreak/>
        <w:t xml:space="preserve">List of Attachments: </w:t>
      </w:r>
    </w:p>
    <w:p w:rsidR="00581026" w:rsidRDefault="00581026" w:rsidP="00581026">
      <w:pPr>
        <w:widowControl/>
        <w:autoSpaceDE/>
        <w:autoSpaceDN/>
        <w:adjustRightInd/>
        <w:spacing w:line="480" w:lineRule="auto"/>
        <w:rPr>
          <w:b/>
          <w:sz w:val="24"/>
        </w:rPr>
      </w:pPr>
    </w:p>
    <w:p w:rsidR="00A84729" w:rsidRPr="00770604" w:rsidRDefault="00A84729" w:rsidP="00A84729">
      <w:pPr>
        <w:pStyle w:val="ListParagraph"/>
        <w:widowControl/>
        <w:numPr>
          <w:ilvl w:val="0"/>
          <w:numId w:val="5"/>
        </w:numPr>
        <w:autoSpaceDE/>
        <w:autoSpaceDN/>
        <w:adjustRightInd/>
        <w:spacing w:line="480" w:lineRule="auto"/>
        <w:rPr>
          <w:sz w:val="24"/>
        </w:rPr>
      </w:pPr>
      <w:r>
        <w:rPr>
          <w:sz w:val="24"/>
        </w:rPr>
        <w:t xml:space="preserve">Attachment 1: </w:t>
      </w:r>
      <w:r w:rsidRPr="00770604">
        <w:rPr>
          <w:sz w:val="24"/>
        </w:rPr>
        <w:t>Authorizing Legislation</w:t>
      </w:r>
    </w:p>
    <w:p w:rsidR="00A84729" w:rsidRDefault="00A84729" w:rsidP="00A84729">
      <w:pPr>
        <w:pStyle w:val="ListParagraph"/>
        <w:widowControl/>
        <w:numPr>
          <w:ilvl w:val="0"/>
          <w:numId w:val="5"/>
        </w:numPr>
        <w:autoSpaceDE/>
        <w:autoSpaceDN/>
        <w:adjustRightInd/>
        <w:spacing w:line="480" w:lineRule="auto"/>
        <w:rPr>
          <w:sz w:val="24"/>
        </w:rPr>
      </w:pPr>
      <w:r>
        <w:rPr>
          <w:sz w:val="24"/>
        </w:rPr>
        <w:t xml:space="preserve">Attachment 2: </w:t>
      </w:r>
      <w:r w:rsidRPr="00770604">
        <w:rPr>
          <w:sz w:val="24"/>
        </w:rPr>
        <w:t>Federal Register Notice</w:t>
      </w:r>
    </w:p>
    <w:p w:rsidR="00A84729" w:rsidRDefault="00A84729" w:rsidP="00A84729">
      <w:pPr>
        <w:pStyle w:val="ListParagraph"/>
        <w:widowControl/>
        <w:numPr>
          <w:ilvl w:val="0"/>
          <w:numId w:val="5"/>
        </w:numPr>
        <w:autoSpaceDE/>
        <w:autoSpaceDN/>
        <w:adjustRightInd/>
        <w:spacing w:line="480" w:lineRule="auto"/>
        <w:rPr>
          <w:sz w:val="24"/>
        </w:rPr>
      </w:pPr>
      <w:r>
        <w:rPr>
          <w:sz w:val="24"/>
        </w:rPr>
        <w:t>Attachment 3: Example of Questionnaire Proposal Process from the BRFSS</w:t>
      </w:r>
    </w:p>
    <w:p w:rsidR="00A84729" w:rsidRDefault="00A84729" w:rsidP="00A84729">
      <w:pPr>
        <w:pStyle w:val="ListParagraph"/>
        <w:widowControl/>
        <w:numPr>
          <w:ilvl w:val="0"/>
          <w:numId w:val="5"/>
        </w:numPr>
        <w:autoSpaceDE/>
        <w:autoSpaceDN/>
        <w:adjustRightInd/>
        <w:spacing w:line="480" w:lineRule="auto"/>
        <w:rPr>
          <w:sz w:val="24"/>
        </w:rPr>
      </w:pPr>
      <w:r>
        <w:rPr>
          <w:sz w:val="24"/>
        </w:rPr>
        <w:t xml:space="preserve">Attachment 4: List of </w:t>
      </w:r>
      <w:r w:rsidR="00176417">
        <w:rPr>
          <w:sz w:val="24"/>
        </w:rPr>
        <w:t>Divisions</w:t>
      </w:r>
      <w:r>
        <w:rPr>
          <w:sz w:val="24"/>
        </w:rPr>
        <w:t xml:space="preserve"> Within the NCCDPHP</w:t>
      </w:r>
    </w:p>
    <w:p w:rsidR="00A84729" w:rsidRDefault="00A84729" w:rsidP="00A84729">
      <w:pPr>
        <w:pStyle w:val="ListParagraph"/>
        <w:widowControl/>
        <w:numPr>
          <w:ilvl w:val="0"/>
          <w:numId w:val="5"/>
        </w:numPr>
        <w:autoSpaceDE/>
        <w:autoSpaceDN/>
        <w:adjustRightInd/>
        <w:spacing w:line="480" w:lineRule="auto"/>
        <w:rPr>
          <w:sz w:val="24"/>
        </w:rPr>
      </w:pPr>
      <w:r>
        <w:rPr>
          <w:sz w:val="24"/>
        </w:rPr>
        <w:t>Attachment 5: Example of Vendor Cognitive Testing Report</w:t>
      </w:r>
    </w:p>
    <w:p w:rsidR="00A84729" w:rsidRDefault="00A84729" w:rsidP="00A84729">
      <w:pPr>
        <w:pStyle w:val="ListParagraph"/>
        <w:widowControl/>
        <w:numPr>
          <w:ilvl w:val="0"/>
          <w:numId w:val="5"/>
        </w:numPr>
        <w:autoSpaceDE/>
        <w:autoSpaceDN/>
        <w:adjustRightInd/>
        <w:spacing w:line="480" w:lineRule="auto"/>
        <w:rPr>
          <w:sz w:val="24"/>
        </w:rPr>
      </w:pPr>
      <w:r>
        <w:rPr>
          <w:sz w:val="24"/>
        </w:rPr>
        <w:t xml:space="preserve">Attachment 6: Example of Screener for Consent to Participant in Cognitive Testing </w:t>
      </w:r>
    </w:p>
    <w:p w:rsidR="00575F35" w:rsidRDefault="00575F35" w:rsidP="00492004">
      <w:pPr>
        <w:pStyle w:val="ListParagraph"/>
        <w:widowControl/>
        <w:numPr>
          <w:ilvl w:val="0"/>
          <w:numId w:val="5"/>
        </w:numPr>
        <w:autoSpaceDE/>
        <w:autoSpaceDN/>
        <w:adjustRightInd/>
        <w:spacing w:line="480" w:lineRule="auto"/>
        <w:rPr>
          <w:sz w:val="24"/>
        </w:rPr>
      </w:pPr>
      <w:r w:rsidRPr="00575F35">
        <w:rPr>
          <w:sz w:val="24"/>
        </w:rPr>
        <w:t>Attachment 7: Multimode Pilot</w:t>
      </w:r>
      <w:r>
        <w:rPr>
          <w:sz w:val="24"/>
        </w:rPr>
        <w:t xml:space="preserve"> </w:t>
      </w:r>
      <w:r w:rsidRPr="00575F35">
        <w:rPr>
          <w:sz w:val="24"/>
        </w:rPr>
        <w:t>Final Report</w:t>
      </w:r>
    </w:p>
    <w:p w:rsidR="00F17AA3" w:rsidRPr="00F17AA3" w:rsidRDefault="00F17AA3" w:rsidP="00F17AA3">
      <w:pPr>
        <w:pStyle w:val="ListParagraph"/>
        <w:numPr>
          <w:ilvl w:val="0"/>
          <w:numId w:val="5"/>
        </w:numPr>
        <w:rPr>
          <w:sz w:val="24"/>
        </w:rPr>
      </w:pPr>
      <w:r w:rsidRPr="00F17AA3">
        <w:rPr>
          <w:sz w:val="24"/>
        </w:rPr>
        <w:t>Attachment 8</w:t>
      </w:r>
      <w:r>
        <w:rPr>
          <w:sz w:val="24"/>
        </w:rPr>
        <w:t xml:space="preserve">: </w:t>
      </w:r>
      <w:r w:rsidRPr="00F17AA3">
        <w:rPr>
          <w:sz w:val="24"/>
        </w:rPr>
        <w:t>Response to Public Comments</w:t>
      </w:r>
    </w:p>
    <w:p w:rsidR="00F17AA3" w:rsidRPr="00575F35" w:rsidRDefault="00F17AA3" w:rsidP="00F17AA3">
      <w:pPr>
        <w:pStyle w:val="ListParagraph"/>
        <w:widowControl/>
        <w:autoSpaceDE/>
        <w:autoSpaceDN/>
        <w:adjustRightInd/>
        <w:spacing w:line="480" w:lineRule="auto"/>
        <w:rPr>
          <w:sz w:val="24"/>
        </w:rPr>
      </w:pPr>
    </w:p>
    <w:p w:rsidR="00B87BB0" w:rsidRPr="00B87BB0" w:rsidRDefault="00B87BB0" w:rsidP="000209C5">
      <w:pPr>
        <w:pStyle w:val="ListParagraph"/>
        <w:rPr>
          <w:sz w:val="24"/>
        </w:rPr>
      </w:pPr>
    </w:p>
    <w:p w:rsidR="00B87BB0" w:rsidRDefault="00B87BB0" w:rsidP="00B87BB0">
      <w:pPr>
        <w:pStyle w:val="ListParagraph"/>
        <w:widowControl/>
        <w:autoSpaceDE/>
        <w:autoSpaceDN/>
        <w:adjustRightInd/>
        <w:spacing w:line="480" w:lineRule="auto"/>
        <w:rPr>
          <w:sz w:val="24"/>
        </w:rPr>
      </w:pPr>
    </w:p>
    <w:p w:rsidR="00581026" w:rsidRDefault="00581026" w:rsidP="00A84729">
      <w:pPr>
        <w:widowControl/>
        <w:autoSpaceDE/>
        <w:autoSpaceDN/>
        <w:adjustRightInd/>
        <w:spacing w:line="480" w:lineRule="auto"/>
        <w:rPr>
          <w:b/>
          <w:bCs/>
          <w:sz w:val="24"/>
        </w:rPr>
      </w:pPr>
      <w:r>
        <w:br w:type="page"/>
      </w:r>
    </w:p>
    <w:p w:rsidR="00844607" w:rsidRPr="00844607" w:rsidRDefault="00844607" w:rsidP="00844607">
      <w:pPr>
        <w:pStyle w:val="Heading1"/>
        <w:spacing w:before="120" w:after="120"/>
      </w:pPr>
      <w:r w:rsidRPr="00844607">
        <w:lastRenderedPageBreak/>
        <w:t>B. Collections of Information Employing Statistical Methods</w:t>
      </w:r>
    </w:p>
    <w:p w:rsidR="00844607" w:rsidRPr="00844607" w:rsidRDefault="00844607" w:rsidP="00844607">
      <w:pPr>
        <w:pStyle w:val="Heading2"/>
        <w:numPr>
          <w:ilvl w:val="0"/>
          <w:numId w:val="3"/>
        </w:numPr>
        <w:spacing w:before="120" w:after="120"/>
        <w:rPr>
          <w:rFonts w:ascii="Times New Roman" w:hAnsi="Times New Roman" w:cs="Times New Roman"/>
          <w:i w:val="0"/>
          <w:sz w:val="24"/>
          <w:szCs w:val="24"/>
        </w:rPr>
      </w:pPr>
      <w:bookmarkStart w:id="1" w:name="_Toc151782199"/>
      <w:bookmarkStart w:id="2" w:name="_Toc158526235"/>
      <w:r w:rsidRPr="00844607">
        <w:rPr>
          <w:rFonts w:ascii="Times New Roman" w:hAnsi="Times New Roman" w:cs="Times New Roman"/>
          <w:i w:val="0"/>
          <w:sz w:val="24"/>
          <w:szCs w:val="24"/>
        </w:rPr>
        <w:t>Respondent universe and sampling methods</w:t>
      </w:r>
      <w:bookmarkEnd w:id="1"/>
      <w:bookmarkEnd w:id="2"/>
      <w:r w:rsidR="007259A8">
        <w:rPr>
          <w:rFonts w:ascii="Times New Roman" w:hAnsi="Times New Roman" w:cs="Times New Roman"/>
          <w:i w:val="0"/>
          <w:sz w:val="24"/>
          <w:szCs w:val="24"/>
        </w:rPr>
        <w:t xml:space="preserve"> </w:t>
      </w:r>
    </w:p>
    <w:p w:rsidR="00432974" w:rsidRDefault="00844607" w:rsidP="00A568E7">
      <w:pPr>
        <w:spacing w:before="120" w:after="120"/>
        <w:ind w:left="360"/>
        <w:rPr>
          <w:sz w:val="24"/>
        </w:rPr>
      </w:pPr>
      <w:r w:rsidRPr="00844607">
        <w:rPr>
          <w:sz w:val="24"/>
        </w:rPr>
        <w:t xml:space="preserve">The purpose of collections under this generic clearance is to </w:t>
      </w:r>
      <w:r w:rsidR="00432974">
        <w:rPr>
          <w:sz w:val="24"/>
        </w:rPr>
        <w:t xml:space="preserve">allow </w:t>
      </w:r>
      <w:r w:rsidR="00E33DC4">
        <w:rPr>
          <w:sz w:val="24"/>
        </w:rPr>
        <w:t xml:space="preserve">information collection </w:t>
      </w:r>
      <w:r w:rsidR="00432974">
        <w:rPr>
          <w:sz w:val="24"/>
        </w:rPr>
        <w:t xml:space="preserve">processes currently in place in the National Center for Chronic Disease Prevention and Health Promotion (NCCDPHP) to conduct cognitive testing and </w:t>
      </w:r>
      <w:r w:rsidR="005406BF">
        <w:rPr>
          <w:sz w:val="24"/>
        </w:rPr>
        <w:t>pilot</w:t>
      </w:r>
      <w:r w:rsidR="00432974">
        <w:rPr>
          <w:sz w:val="24"/>
        </w:rPr>
        <w:t xml:space="preserve"> testing of methodological procedures</w:t>
      </w:r>
      <w:r w:rsidR="00E33DC4">
        <w:rPr>
          <w:sz w:val="24"/>
        </w:rPr>
        <w:t>. These procedures</w:t>
      </w:r>
      <w:r w:rsidR="00432974">
        <w:rPr>
          <w:sz w:val="24"/>
        </w:rPr>
        <w:t xml:space="preserve"> includ</w:t>
      </w:r>
      <w:r w:rsidR="00E33DC4">
        <w:rPr>
          <w:sz w:val="24"/>
        </w:rPr>
        <w:t>e</w:t>
      </w:r>
      <w:r w:rsidR="00432974">
        <w:rPr>
          <w:sz w:val="24"/>
        </w:rPr>
        <w:t xml:space="preserve"> testing of new and existing questions, question formatting, survey protocols, data collection software systems and other related processes in order to </w:t>
      </w:r>
      <w:r w:rsidRPr="00170CE8">
        <w:rPr>
          <w:sz w:val="24"/>
        </w:rPr>
        <w:t>identify problems</w:t>
      </w:r>
      <w:r w:rsidR="00432974">
        <w:rPr>
          <w:sz w:val="24"/>
        </w:rPr>
        <w:t xml:space="preserve"> and improve efficiencies in public health surveillance.</w:t>
      </w:r>
      <w:r w:rsidRPr="00170CE8">
        <w:rPr>
          <w:sz w:val="24"/>
        </w:rPr>
        <w:t xml:space="preserve">  </w:t>
      </w:r>
      <w:r w:rsidR="00432974">
        <w:rPr>
          <w:sz w:val="24"/>
        </w:rPr>
        <w:t>Each submission under this generic clearance will include specific information as to the respondents and sampling to be undertaken for the cognitive and/or field test specified.</w:t>
      </w:r>
      <w:r w:rsidR="0089224A" w:rsidRPr="0089224A">
        <w:t xml:space="preserve"> </w:t>
      </w:r>
      <w:r w:rsidR="0089224A" w:rsidRPr="0089224A">
        <w:rPr>
          <w:sz w:val="24"/>
        </w:rPr>
        <w:t xml:space="preserve">When international populations or minor children are part of the pilots, methods will include specific steps to ensure that informed consent is obtained. </w:t>
      </w:r>
      <w:r w:rsidR="00432974">
        <w:rPr>
          <w:sz w:val="24"/>
        </w:rPr>
        <w:t xml:space="preserve">The NCCDPHP data collection activities include the Behavioral Risk Factor Surveillance System </w:t>
      </w:r>
      <w:r w:rsidR="00A568E7">
        <w:rPr>
          <w:sz w:val="24"/>
        </w:rPr>
        <w:t>(</w:t>
      </w:r>
      <w:r w:rsidR="00A568E7" w:rsidRPr="00A568E7">
        <w:rPr>
          <w:sz w:val="24"/>
        </w:rPr>
        <w:t>OMB No. 0920-1061</w:t>
      </w:r>
      <w:r w:rsidR="00A568E7">
        <w:rPr>
          <w:sz w:val="24"/>
        </w:rPr>
        <w:t xml:space="preserve">; Expires 3/31/2018), which conducts approximately </w:t>
      </w:r>
      <w:r w:rsidR="00220E6B">
        <w:rPr>
          <w:sz w:val="24"/>
        </w:rPr>
        <w:t>3-4</w:t>
      </w:r>
      <w:r w:rsidR="00A568E7">
        <w:rPr>
          <w:sz w:val="24"/>
        </w:rPr>
        <w:t xml:space="preserve"> cognitive testing reviews and one </w:t>
      </w:r>
      <w:r w:rsidR="005406BF">
        <w:rPr>
          <w:sz w:val="24"/>
        </w:rPr>
        <w:t>pilot</w:t>
      </w:r>
      <w:r w:rsidR="00A568E7">
        <w:rPr>
          <w:sz w:val="24"/>
        </w:rPr>
        <w:t xml:space="preserve"> test annually.  In addition</w:t>
      </w:r>
      <w:r w:rsidR="00E33DC4">
        <w:rPr>
          <w:sz w:val="24"/>
        </w:rPr>
        <w:t>,</w:t>
      </w:r>
      <w:r w:rsidR="00A568E7">
        <w:rPr>
          <w:sz w:val="24"/>
        </w:rPr>
        <w:t xml:space="preserve"> this clearance will cover a number of other cognitive testing and </w:t>
      </w:r>
      <w:r w:rsidR="005406BF">
        <w:rPr>
          <w:sz w:val="24"/>
        </w:rPr>
        <w:t>pilot</w:t>
      </w:r>
      <w:r w:rsidR="00A568E7">
        <w:rPr>
          <w:sz w:val="24"/>
        </w:rPr>
        <w:t xml:space="preserve"> testing activities, the scope of which is not known at this time, for other surveys housed within the NCCDPHP. </w:t>
      </w:r>
      <w:r w:rsidR="0089224A" w:rsidRPr="0089224A">
        <w:rPr>
          <w:sz w:val="24"/>
        </w:rPr>
        <w:t xml:space="preserve">Surveys conducted by </w:t>
      </w:r>
      <w:r w:rsidR="0089224A">
        <w:rPr>
          <w:sz w:val="24"/>
        </w:rPr>
        <w:t xml:space="preserve">NCCDPHP </w:t>
      </w:r>
      <w:r w:rsidR="0089224A" w:rsidRPr="0089224A">
        <w:rPr>
          <w:sz w:val="24"/>
        </w:rPr>
        <w:t>divisions other than the Division of Population Health include, but are not limited to, the Pregnancy Risk Assessment Monitoring System (PRAMS), the Youth Risk Behavior Survey (YRBS) and various tobacco surveys conducted by the Office on Smoking and Health.</w:t>
      </w:r>
      <w:r w:rsidR="0089224A">
        <w:rPr>
          <w:sz w:val="24"/>
        </w:rPr>
        <w:t xml:space="preserve"> </w:t>
      </w:r>
      <w:r w:rsidR="00A568E7">
        <w:rPr>
          <w:sz w:val="24"/>
        </w:rPr>
        <w:t>Therefore</w:t>
      </w:r>
      <w:r w:rsidR="00E33DC4">
        <w:rPr>
          <w:sz w:val="24"/>
        </w:rPr>
        <w:t>,</w:t>
      </w:r>
      <w:r w:rsidR="00A568E7">
        <w:rPr>
          <w:sz w:val="24"/>
        </w:rPr>
        <w:t xml:space="preserve"> the total number of respondents has been adjusted to allow which may be created by changes in existing surveys, unanticipated needs of </w:t>
      </w:r>
      <w:r w:rsidR="00DC44F6">
        <w:rPr>
          <w:sz w:val="24"/>
        </w:rPr>
        <w:t>changing public health conditions or other contingencies</w:t>
      </w:r>
      <w:r w:rsidR="00A568E7">
        <w:rPr>
          <w:sz w:val="24"/>
        </w:rPr>
        <w:t xml:space="preserve">. </w:t>
      </w:r>
    </w:p>
    <w:p w:rsidR="00C30945" w:rsidRDefault="00432974" w:rsidP="00A568E7">
      <w:pPr>
        <w:spacing w:before="120" w:after="120"/>
        <w:ind w:left="360"/>
        <w:rPr>
          <w:sz w:val="24"/>
        </w:rPr>
      </w:pPr>
      <w:r>
        <w:rPr>
          <w:sz w:val="24"/>
        </w:rPr>
        <w:t xml:space="preserve">The table below illustrates </w:t>
      </w:r>
      <w:r w:rsidR="00DC44F6">
        <w:rPr>
          <w:sz w:val="24"/>
        </w:rPr>
        <w:t xml:space="preserve">the estimated respondent universe and burden hours under this generic clearance proposal. </w:t>
      </w:r>
      <w:r w:rsidR="00220E6B" w:rsidRPr="00220E6B">
        <w:rPr>
          <w:sz w:val="24"/>
        </w:rPr>
        <w:t xml:space="preserve">Since this is a new generic request, the estimates presented in Table 1 are based principally on experience with the Behavioral Risk Factor Surveillance System </w:t>
      </w:r>
      <w:r w:rsidR="00220E6B">
        <w:rPr>
          <w:sz w:val="24"/>
        </w:rPr>
        <w:t>(</w:t>
      </w:r>
      <w:r w:rsidR="00220E6B" w:rsidRPr="00220E6B">
        <w:rPr>
          <w:sz w:val="24"/>
        </w:rPr>
        <w:t>BRFSS</w:t>
      </w:r>
      <w:r w:rsidR="00220E6B">
        <w:rPr>
          <w:sz w:val="24"/>
        </w:rPr>
        <w:t>)</w:t>
      </w:r>
      <w:r w:rsidR="00220E6B" w:rsidRPr="00220E6B">
        <w:rPr>
          <w:sz w:val="24"/>
        </w:rPr>
        <w:t xml:space="preserve">.  </w:t>
      </w:r>
      <w:r w:rsidR="00C30945">
        <w:rPr>
          <w:sz w:val="24"/>
        </w:rPr>
        <w:t>However, some of the modes listed in the table are not part of the methods used for the BRFSS, therefore t</w:t>
      </w:r>
      <w:r w:rsidR="00220E6B" w:rsidRPr="00220E6B">
        <w:rPr>
          <w:sz w:val="24"/>
        </w:rPr>
        <w:t>he distribution with types of tests may be adjusted across categories as specific testing needs arise.</w:t>
      </w:r>
    </w:p>
    <w:p w:rsidR="00C30945" w:rsidRDefault="00C30945">
      <w:pPr>
        <w:widowControl/>
        <w:autoSpaceDE/>
        <w:autoSpaceDN/>
        <w:adjustRightInd/>
        <w:rPr>
          <w:sz w:val="24"/>
        </w:rPr>
      </w:pPr>
      <w:r>
        <w:rPr>
          <w:sz w:val="24"/>
        </w:rPr>
        <w:br w:type="page"/>
      </w:r>
    </w:p>
    <w:p w:rsidR="00D22FA5" w:rsidRDefault="00D22FA5" w:rsidP="00A568E7">
      <w:pPr>
        <w:spacing w:before="120" w:after="120"/>
        <w:ind w:left="360"/>
        <w:rPr>
          <w:sz w:val="24"/>
        </w:rPr>
      </w:pPr>
    </w:p>
    <w:p w:rsidR="00C30945" w:rsidRDefault="00C30945" w:rsidP="00A568E7">
      <w:pPr>
        <w:spacing w:before="120" w:after="120"/>
        <w:ind w:left="360"/>
        <w:rPr>
          <w:sz w:val="24"/>
        </w:rPr>
      </w:pPr>
    </w:p>
    <w:tbl>
      <w:tblPr>
        <w:tblStyle w:val="TableGrid"/>
        <w:tblW w:w="10260" w:type="dxa"/>
        <w:tblInd w:w="-455" w:type="dxa"/>
        <w:tblLayout w:type="fixed"/>
        <w:tblLook w:val="04A0" w:firstRow="1" w:lastRow="0" w:firstColumn="1" w:lastColumn="0" w:noHBand="0" w:noVBand="1"/>
      </w:tblPr>
      <w:tblGrid>
        <w:gridCol w:w="1260"/>
        <w:gridCol w:w="1800"/>
        <w:gridCol w:w="1080"/>
        <w:gridCol w:w="1260"/>
        <w:gridCol w:w="1260"/>
        <w:gridCol w:w="1260"/>
        <w:gridCol w:w="1080"/>
        <w:gridCol w:w="1260"/>
      </w:tblGrid>
      <w:tr w:rsidR="00DC44F6" w:rsidTr="008D1854">
        <w:tc>
          <w:tcPr>
            <w:tcW w:w="10260" w:type="dxa"/>
            <w:gridSpan w:val="8"/>
          </w:tcPr>
          <w:p w:rsidR="00DC44F6" w:rsidRPr="00DC44F6" w:rsidRDefault="00DC44F6" w:rsidP="00DC44F6">
            <w:pPr>
              <w:jc w:val="center"/>
              <w:rPr>
                <w:bCs/>
                <w:sz w:val="24"/>
              </w:rPr>
            </w:pPr>
            <w:r w:rsidRPr="00DC44F6">
              <w:rPr>
                <w:bCs/>
                <w:sz w:val="24"/>
              </w:rPr>
              <w:t>Table 1</w:t>
            </w:r>
          </w:p>
          <w:p w:rsidR="00DC44F6" w:rsidRPr="001159A2" w:rsidRDefault="00DC44F6" w:rsidP="00DC44F6">
            <w:pPr>
              <w:jc w:val="center"/>
              <w:rPr>
                <w:bCs/>
              </w:rPr>
            </w:pPr>
            <w:r w:rsidRPr="00DC44F6">
              <w:rPr>
                <w:bCs/>
                <w:sz w:val="24"/>
              </w:rPr>
              <w:t>Respondent Burden by Type of Information Collected</w:t>
            </w:r>
          </w:p>
        </w:tc>
      </w:tr>
      <w:tr w:rsidR="006F2D7E" w:rsidTr="008D1854">
        <w:tc>
          <w:tcPr>
            <w:tcW w:w="1260" w:type="dxa"/>
          </w:tcPr>
          <w:p w:rsidR="00432974" w:rsidRPr="001159A2" w:rsidRDefault="00432974" w:rsidP="009F1C44">
            <w:pPr>
              <w:spacing w:before="120" w:after="120"/>
              <w:rPr>
                <w:bCs/>
              </w:rPr>
            </w:pPr>
            <w:r w:rsidRPr="001159A2">
              <w:rPr>
                <w:bCs/>
              </w:rPr>
              <w:t>Type of Respondents</w:t>
            </w:r>
          </w:p>
        </w:tc>
        <w:tc>
          <w:tcPr>
            <w:tcW w:w="1800" w:type="dxa"/>
          </w:tcPr>
          <w:p w:rsidR="00432974" w:rsidRPr="001159A2" w:rsidRDefault="00432974" w:rsidP="009F1C44">
            <w:pPr>
              <w:spacing w:before="120" w:after="120"/>
              <w:rPr>
                <w:bCs/>
              </w:rPr>
            </w:pPr>
            <w:r w:rsidRPr="001159A2">
              <w:rPr>
                <w:bCs/>
              </w:rPr>
              <w:t>Type of Information Collection</w:t>
            </w:r>
          </w:p>
        </w:tc>
        <w:tc>
          <w:tcPr>
            <w:tcW w:w="1080" w:type="dxa"/>
          </w:tcPr>
          <w:p w:rsidR="00432974" w:rsidRPr="001159A2" w:rsidRDefault="00432974" w:rsidP="009F1C44">
            <w:pPr>
              <w:spacing w:before="120" w:after="120"/>
              <w:rPr>
                <w:bCs/>
              </w:rPr>
            </w:pPr>
            <w:r w:rsidRPr="001159A2">
              <w:rPr>
                <w:bCs/>
              </w:rPr>
              <w:t>Estimated number of ICs over 3 years</w:t>
            </w:r>
          </w:p>
        </w:tc>
        <w:tc>
          <w:tcPr>
            <w:tcW w:w="1260" w:type="dxa"/>
          </w:tcPr>
          <w:p w:rsidR="00432974" w:rsidRPr="001159A2" w:rsidRDefault="00432974" w:rsidP="009F1C44">
            <w:pPr>
              <w:spacing w:before="120" w:after="120"/>
              <w:rPr>
                <w:bCs/>
              </w:rPr>
            </w:pPr>
            <w:r w:rsidRPr="001159A2">
              <w:rPr>
                <w:bCs/>
              </w:rPr>
              <w:t>Number of respondents per IC</w:t>
            </w:r>
          </w:p>
        </w:tc>
        <w:tc>
          <w:tcPr>
            <w:tcW w:w="1260" w:type="dxa"/>
          </w:tcPr>
          <w:p w:rsidR="00432974" w:rsidRPr="001159A2" w:rsidRDefault="00432974" w:rsidP="006F2D7E">
            <w:pPr>
              <w:spacing w:before="120" w:after="120"/>
              <w:rPr>
                <w:bCs/>
              </w:rPr>
            </w:pPr>
            <w:r w:rsidRPr="001159A2">
              <w:rPr>
                <w:bCs/>
              </w:rPr>
              <w:t>Total respon</w:t>
            </w:r>
            <w:r w:rsidR="006F2D7E">
              <w:rPr>
                <w:bCs/>
              </w:rPr>
              <w:t>dent</w:t>
            </w:r>
            <w:r w:rsidRPr="001159A2">
              <w:rPr>
                <w:bCs/>
              </w:rPr>
              <w:t>s over 3 years</w:t>
            </w:r>
          </w:p>
        </w:tc>
        <w:tc>
          <w:tcPr>
            <w:tcW w:w="1260" w:type="dxa"/>
          </w:tcPr>
          <w:p w:rsidR="00432974" w:rsidRPr="001159A2" w:rsidRDefault="00432974" w:rsidP="009F1C44">
            <w:pPr>
              <w:spacing w:before="120" w:after="120"/>
              <w:rPr>
                <w:bCs/>
              </w:rPr>
            </w:pPr>
            <w:r w:rsidRPr="001159A2">
              <w:rPr>
                <w:bCs/>
              </w:rPr>
              <w:t>Annualized number of respondents</w:t>
            </w:r>
          </w:p>
        </w:tc>
        <w:tc>
          <w:tcPr>
            <w:tcW w:w="1080" w:type="dxa"/>
          </w:tcPr>
          <w:p w:rsidR="00432974" w:rsidRPr="001159A2" w:rsidRDefault="00432974" w:rsidP="009F1C44">
            <w:pPr>
              <w:spacing w:before="120" w:after="120"/>
              <w:rPr>
                <w:bCs/>
              </w:rPr>
            </w:pPr>
            <w:r w:rsidRPr="001159A2">
              <w:rPr>
                <w:bCs/>
              </w:rPr>
              <w:t>Average burden per response (in hours)</w:t>
            </w:r>
          </w:p>
        </w:tc>
        <w:tc>
          <w:tcPr>
            <w:tcW w:w="1260" w:type="dxa"/>
          </w:tcPr>
          <w:p w:rsidR="00432974" w:rsidRPr="001159A2" w:rsidRDefault="00432974" w:rsidP="009F1C44">
            <w:pPr>
              <w:spacing w:before="120" w:after="120"/>
              <w:rPr>
                <w:bCs/>
              </w:rPr>
            </w:pPr>
            <w:r w:rsidRPr="001159A2">
              <w:rPr>
                <w:bCs/>
              </w:rPr>
              <w:t>Total annualized burden hours</w:t>
            </w:r>
          </w:p>
        </w:tc>
      </w:tr>
      <w:tr w:rsidR="006F2D7E" w:rsidTr="008D1854">
        <w:tc>
          <w:tcPr>
            <w:tcW w:w="1260" w:type="dxa"/>
            <w:vMerge w:val="restart"/>
          </w:tcPr>
          <w:p w:rsidR="006F2D7E" w:rsidRDefault="006F2D7E" w:rsidP="006F2D7E">
            <w:pPr>
              <w:spacing w:before="120" w:after="120"/>
              <w:rPr>
                <w:bCs/>
                <w:sz w:val="24"/>
              </w:rPr>
            </w:pPr>
            <w:r>
              <w:rPr>
                <w:bCs/>
                <w:sz w:val="24"/>
              </w:rPr>
              <w:t>Adults ≥ 18 years of age</w:t>
            </w:r>
          </w:p>
        </w:tc>
        <w:tc>
          <w:tcPr>
            <w:tcW w:w="1800" w:type="dxa"/>
          </w:tcPr>
          <w:p w:rsidR="006F2D7E" w:rsidRPr="00B258C7" w:rsidRDefault="006F2D7E" w:rsidP="006F2D7E">
            <w:pPr>
              <w:rPr>
                <w:sz w:val="24"/>
              </w:rPr>
            </w:pPr>
            <w:r>
              <w:rPr>
                <w:sz w:val="24"/>
              </w:rPr>
              <w:t>Screening for cognitive testing</w:t>
            </w:r>
          </w:p>
        </w:tc>
        <w:tc>
          <w:tcPr>
            <w:tcW w:w="1080" w:type="dxa"/>
          </w:tcPr>
          <w:p w:rsidR="006F2D7E" w:rsidRDefault="006F2D7E" w:rsidP="006F2D7E">
            <w:pPr>
              <w:spacing w:before="120" w:after="120"/>
              <w:jc w:val="center"/>
              <w:rPr>
                <w:bCs/>
                <w:sz w:val="24"/>
              </w:rPr>
            </w:pPr>
            <w:r>
              <w:rPr>
                <w:bCs/>
                <w:sz w:val="24"/>
              </w:rPr>
              <w:t>15</w:t>
            </w:r>
          </w:p>
        </w:tc>
        <w:tc>
          <w:tcPr>
            <w:tcW w:w="1260" w:type="dxa"/>
          </w:tcPr>
          <w:p w:rsidR="006F2D7E" w:rsidRDefault="006F2D7E" w:rsidP="006F2D7E">
            <w:pPr>
              <w:spacing w:before="120" w:after="120"/>
              <w:jc w:val="center"/>
              <w:rPr>
                <w:bCs/>
                <w:sz w:val="24"/>
              </w:rPr>
            </w:pPr>
            <w:r>
              <w:rPr>
                <w:bCs/>
                <w:sz w:val="24"/>
              </w:rPr>
              <w:t>500</w:t>
            </w:r>
          </w:p>
        </w:tc>
        <w:tc>
          <w:tcPr>
            <w:tcW w:w="1260" w:type="dxa"/>
          </w:tcPr>
          <w:p w:rsidR="006F2D7E" w:rsidRDefault="006F2D7E" w:rsidP="006F2D7E">
            <w:pPr>
              <w:spacing w:before="120" w:after="120"/>
              <w:jc w:val="center"/>
              <w:rPr>
                <w:bCs/>
                <w:sz w:val="24"/>
              </w:rPr>
            </w:pPr>
            <w:r>
              <w:rPr>
                <w:bCs/>
                <w:sz w:val="24"/>
              </w:rPr>
              <w:t>7500</w:t>
            </w:r>
          </w:p>
        </w:tc>
        <w:tc>
          <w:tcPr>
            <w:tcW w:w="1260" w:type="dxa"/>
          </w:tcPr>
          <w:p w:rsidR="006F2D7E" w:rsidRDefault="006F2D7E" w:rsidP="006F2D7E">
            <w:pPr>
              <w:spacing w:before="120" w:after="120"/>
              <w:jc w:val="center"/>
              <w:rPr>
                <w:bCs/>
                <w:sz w:val="24"/>
              </w:rPr>
            </w:pPr>
            <w:r>
              <w:rPr>
                <w:bCs/>
                <w:sz w:val="24"/>
              </w:rPr>
              <w:t>2500</w:t>
            </w:r>
          </w:p>
        </w:tc>
        <w:tc>
          <w:tcPr>
            <w:tcW w:w="1080" w:type="dxa"/>
          </w:tcPr>
          <w:p w:rsidR="006F2D7E" w:rsidRDefault="00D052DE" w:rsidP="00D052DE">
            <w:pPr>
              <w:spacing w:before="120" w:after="120"/>
              <w:jc w:val="center"/>
              <w:rPr>
                <w:bCs/>
                <w:sz w:val="24"/>
              </w:rPr>
            </w:pPr>
            <w:r>
              <w:rPr>
                <w:bCs/>
                <w:sz w:val="24"/>
              </w:rPr>
              <w:t>15/60</w:t>
            </w:r>
          </w:p>
        </w:tc>
        <w:tc>
          <w:tcPr>
            <w:tcW w:w="1260" w:type="dxa"/>
          </w:tcPr>
          <w:p w:rsidR="006F2D7E" w:rsidRDefault="006F2D7E" w:rsidP="006F2D7E">
            <w:pPr>
              <w:spacing w:before="120" w:after="120"/>
              <w:jc w:val="center"/>
              <w:rPr>
                <w:bCs/>
                <w:sz w:val="24"/>
              </w:rPr>
            </w:pPr>
            <w:r>
              <w:rPr>
                <w:bCs/>
                <w:sz w:val="24"/>
              </w:rPr>
              <w:t>625</w:t>
            </w:r>
          </w:p>
        </w:tc>
      </w:tr>
      <w:tr w:rsidR="006F2D7E" w:rsidTr="008D1854">
        <w:tc>
          <w:tcPr>
            <w:tcW w:w="1260" w:type="dxa"/>
            <w:vMerge/>
          </w:tcPr>
          <w:p w:rsidR="006F2D7E" w:rsidRDefault="006F2D7E" w:rsidP="006F2D7E">
            <w:pPr>
              <w:spacing w:before="120" w:after="120"/>
              <w:rPr>
                <w:bCs/>
                <w:sz w:val="24"/>
              </w:rPr>
            </w:pPr>
          </w:p>
        </w:tc>
        <w:tc>
          <w:tcPr>
            <w:tcW w:w="1800" w:type="dxa"/>
          </w:tcPr>
          <w:p w:rsidR="006F2D7E" w:rsidRDefault="006F2D7E" w:rsidP="006F2D7E">
            <w:pPr>
              <w:rPr>
                <w:sz w:val="24"/>
              </w:rPr>
            </w:pPr>
            <w:r>
              <w:rPr>
                <w:sz w:val="24"/>
              </w:rPr>
              <w:t>Screening for field testing</w:t>
            </w:r>
          </w:p>
        </w:tc>
        <w:tc>
          <w:tcPr>
            <w:tcW w:w="1080" w:type="dxa"/>
          </w:tcPr>
          <w:p w:rsidR="006F2D7E" w:rsidRDefault="006F2D7E" w:rsidP="006F2D7E">
            <w:pPr>
              <w:spacing w:before="120" w:after="120"/>
              <w:jc w:val="center"/>
              <w:rPr>
                <w:bCs/>
                <w:sz w:val="24"/>
              </w:rPr>
            </w:pPr>
            <w:r>
              <w:rPr>
                <w:bCs/>
                <w:sz w:val="24"/>
              </w:rPr>
              <w:t>6</w:t>
            </w:r>
          </w:p>
        </w:tc>
        <w:tc>
          <w:tcPr>
            <w:tcW w:w="1260" w:type="dxa"/>
          </w:tcPr>
          <w:p w:rsidR="006F2D7E" w:rsidRDefault="006F2D7E" w:rsidP="006F2D7E">
            <w:pPr>
              <w:spacing w:before="120" w:after="120"/>
              <w:jc w:val="center"/>
              <w:rPr>
                <w:bCs/>
                <w:sz w:val="24"/>
              </w:rPr>
            </w:pPr>
            <w:r>
              <w:rPr>
                <w:bCs/>
                <w:sz w:val="24"/>
              </w:rPr>
              <w:t>1200</w:t>
            </w:r>
          </w:p>
        </w:tc>
        <w:tc>
          <w:tcPr>
            <w:tcW w:w="1260" w:type="dxa"/>
          </w:tcPr>
          <w:p w:rsidR="006F2D7E" w:rsidRDefault="006F2D7E" w:rsidP="006F2D7E">
            <w:pPr>
              <w:spacing w:before="120" w:after="120"/>
              <w:jc w:val="center"/>
              <w:rPr>
                <w:bCs/>
                <w:sz w:val="24"/>
              </w:rPr>
            </w:pPr>
            <w:r>
              <w:rPr>
                <w:bCs/>
                <w:sz w:val="24"/>
              </w:rPr>
              <w:t>7200</w:t>
            </w:r>
          </w:p>
        </w:tc>
        <w:tc>
          <w:tcPr>
            <w:tcW w:w="1260" w:type="dxa"/>
          </w:tcPr>
          <w:p w:rsidR="006F2D7E" w:rsidRDefault="006F2D7E" w:rsidP="006F2D7E">
            <w:pPr>
              <w:spacing w:before="120" w:after="120"/>
              <w:jc w:val="center"/>
              <w:rPr>
                <w:bCs/>
                <w:sz w:val="24"/>
              </w:rPr>
            </w:pPr>
            <w:r>
              <w:rPr>
                <w:bCs/>
                <w:sz w:val="24"/>
              </w:rPr>
              <w:t>2400</w:t>
            </w:r>
          </w:p>
        </w:tc>
        <w:tc>
          <w:tcPr>
            <w:tcW w:w="1080" w:type="dxa"/>
          </w:tcPr>
          <w:p w:rsidR="006F2D7E" w:rsidRDefault="00D052DE" w:rsidP="00D052DE">
            <w:pPr>
              <w:spacing w:before="120" w:after="120"/>
              <w:jc w:val="center"/>
              <w:rPr>
                <w:bCs/>
                <w:sz w:val="24"/>
              </w:rPr>
            </w:pPr>
            <w:r>
              <w:rPr>
                <w:bCs/>
                <w:sz w:val="24"/>
              </w:rPr>
              <w:t>15/60</w:t>
            </w:r>
          </w:p>
        </w:tc>
        <w:tc>
          <w:tcPr>
            <w:tcW w:w="1260" w:type="dxa"/>
          </w:tcPr>
          <w:p w:rsidR="006F2D7E" w:rsidRDefault="006F2D7E" w:rsidP="006F2D7E">
            <w:pPr>
              <w:spacing w:before="120" w:after="120"/>
              <w:jc w:val="center"/>
              <w:rPr>
                <w:bCs/>
                <w:sz w:val="24"/>
              </w:rPr>
            </w:pPr>
            <w:r>
              <w:rPr>
                <w:bCs/>
                <w:sz w:val="24"/>
              </w:rPr>
              <w:t>600</w:t>
            </w:r>
          </w:p>
        </w:tc>
      </w:tr>
      <w:tr w:rsidR="006F2D7E" w:rsidTr="008D1854">
        <w:tc>
          <w:tcPr>
            <w:tcW w:w="1260" w:type="dxa"/>
            <w:vMerge/>
          </w:tcPr>
          <w:p w:rsidR="006F2D7E" w:rsidRDefault="006F2D7E" w:rsidP="006F2D7E">
            <w:pPr>
              <w:spacing w:before="120" w:after="120"/>
              <w:rPr>
                <w:bCs/>
                <w:sz w:val="24"/>
              </w:rPr>
            </w:pPr>
          </w:p>
        </w:tc>
        <w:tc>
          <w:tcPr>
            <w:tcW w:w="1800" w:type="dxa"/>
          </w:tcPr>
          <w:p w:rsidR="006F2D7E" w:rsidRPr="00B258C7" w:rsidRDefault="006F2D7E" w:rsidP="006F2D7E">
            <w:pPr>
              <w:rPr>
                <w:sz w:val="24"/>
              </w:rPr>
            </w:pPr>
            <w:r>
              <w:rPr>
                <w:sz w:val="24"/>
              </w:rPr>
              <w:t>Cognitive testing in person</w:t>
            </w:r>
          </w:p>
        </w:tc>
        <w:tc>
          <w:tcPr>
            <w:tcW w:w="1080" w:type="dxa"/>
          </w:tcPr>
          <w:p w:rsidR="006F2D7E" w:rsidRDefault="006F2D7E" w:rsidP="006F2D7E">
            <w:pPr>
              <w:spacing w:before="120" w:after="120"/>
              <w:jc w:val="center"/>
              <w:rPr>
                <w:bCs/>
                <w:sz w:val="24"/>
              </w:rPr>
            </w:pPr>
            <w:r>
              <w:rPr>
                <w:bCs/>
                <w:sz w:val="24"/>
              </w:rPr>
              <w:t>15</w:t>
            </w:r>
          </w:p>
        </w:tc>
        <w:tc>
          <w:tcPr>
            <w:tcW w:w="1260" w:type="dxa"/>
          </w:tcPr>
          <w:p w:rsidR="006F2D7E" w:rsidRDefault="006F2D7E" w:rsidP="006F2D7E">
            <w:pPr>
              <w:spacing w:before="120" w:after="120"/>
              <w:jc w:val="center"/>
              <w:rPr>
                <w:bCs/>
                <w:sz w:val="24"/>
              </w:rPr>
            </w:pPr>
            <w:r>
              <w:rPr>
                <w:bCs/>
                <w:sz w:val="24"/>
              </w:rPr>
              <w:t>300</w:t>
            </w:r>
          </w:p>
        </w:tc>
        <w:tc>
          <w:tcPr>
            <w:tcW w:w="1260" w:type="dxa"/>
          </w:tcPr>
          <w:p w:rsidR="006F2D7E" w:rsidRDefault="006F2D7E" w:rsidP="006F2D7E">
            <w:pPr>
              <w:spacing w:before="120" w:after="120"/>
              <w:jc w:val="center"/>
              <w:rPr>
                <w:bCs/>
                <w:sz w:val="24"/>
              </w:rPr>
            </w:pPr>
            <w:r>
              <w:rPr>
                <w:bCs/>
                <w:sz w:val="24"/>
              </w:rPr>
              <w:t>4500</w:t>
            </w:r>
          </w:p>
        </w:tc>
        <w:tc>
          <w:tcPr>
            <w:tcW w:w="1260" w:type="dxa"/>
          </w:tcPr>
          <w:p w:rsidR="006F2D7E" w:rsidRDefault="006F2D7E" w:rsidP="006F2D7E">
            <w:pPr>
              <w:spacing w:before="120" w:after="120"/>
              <w:jc w:val="center"/>
              <w:rPr>
                <w:bCs/>
                <w:sz w:val="24"/>
              </w:rPr>
            </w:pPr>
            <w:r>
              <w:rPr>
                <w:bCs/>
                <w:sz w:val="24"/>
              </w:rPr>
              <w:t>1500</w:t>
            </w:r>
          </w:p>
        </w:tc>
        <w:tc>
          <w:tcPr>
            <w:tcW w:w="1080" w:type="dxa"/>
          </w:tcPr>
          <w:p w:rsidR="006F2D7E" w:rsidRDefault="00D052DE" w:rsidP="00D052DE">
            <w:pPr>
              <w:spacing w:before="120" w:after="120"/>
              <w:jc w:val="center"/>
              <w:rPr>
                <w:bCs/>
                <w:sz w:val="24"/>
              </w:rPr>
            </w:pPr>
            <w:r>
              <w:rPr>
                <w:bCs/>
                <w:sz w:val="24"/>
              </w:rPr>
              <w:t>60/60</w:t>
            </w:r>
          </w:p>
        </w:tc>
        <w:tc>
          <w:tcPr>
            <w:tcW w:w="1260" w:type="dxa"/>
          </w:tcPr>
          <w:p w:rsidR="006F2D7E" w:rsidRDefault="006F2D7E" w:rsidP="006F2D7E">
            <w:pPr>
              <w:spacing w:before="120" w:after="120"/>
              <w:jc w:val="center"/>
              <w:rPr>
                <w:bCs/>
                <w:sz w:val="24"/>
              </w:rPr>
            </w:pPr>
            <w:r>
              <w:rPr>
                <w:bCs/>
                <w:sz w:val="24"/>
              </w:rPr>
              <w:t>1500</w:t>
            </w:r>
          </w:p>
        </w:tc>
      </w:tr>
      <w:tr w:rsidR="006F2D7E" w:rsidTr="008D1854">
        <w:tc>
          <w:tcPr>
            <w:tcW w:w="1260" w:type="dxa"/>
            <w:vMerge/>
          </w:tcPr>
          <w:p w:rsidR="006F2D7E" w:rsidRDefault="006F2D7E" w:rsidP="006F2D7E">
            <w:pPr>
              <w:spacing w:before="120" w:after="120"/>
              <w:rPr>
                <w:bCs/>
                <w:sz w:val="24"/>
              </w:rPr>
            </w:pPr>
          </w:p>
        </w:tc>
        <w:tc>
          <w:tcPr>
            <w:tcW w:w="1800" w:type="dxa"/>
          </w:tcPr>
          <w:p w:rsidR="006F2D7E" w:rsidRDefault="006F2D7E" w:rsidP="006F2D7E">
            <w:pPr>
              <w:rPr>
                <w:sz w:val="24"/>
              </w:rPr>
            </w:pPr>
            <w:r>
              <w:rPr>
                <w:sz w:val="24"/>
              </w:rPr>
              <w:t>Cognitive testing</w:t>
            </w:r>
          </w:p>
          <w:p w:rsidR="006F2D7E" w:rsidRPr="00B258C7" w:rsidRDefault="006F2D7E" w:rsidP="006F2D7E">
            <w:pPr>
              <w:rPr>
                <w:sz w:val="24"/>
              </w:rPr>
            </w:pPr>
            <w:r>
              <w:rPr>
                <w:sz w:val="24"/>
              </w:rPr>
              <w:t>by phone</w:t>
            </w:r>
          </w:p>
        </w:tc>
        <w:tc>
          <w:tcPr>
            <w:tcW w:w="1080" w:type="dxa"/>
          </w:tcPr>
          <w:p w:rsidR="006F2D7E" w:rsidRDefault="006F2D7E" w:rsidP="006F2D7E">
            <w:pPr>
              <w:spacing w:before="120" w:after="120"/>
              <w:jc w:val="center"/>
              <w:rPr>
                <w:bCs/>
                <w:sz w:val="24"/>
              </w:rPr>
            </w:pPr>
            <w:r>
              <w:rPr>
                <w:bCs/>
                <w:sz w:val="24"/>
              </w:rPr>
              <w:t>15</w:t>
            </w:r>
          </w:p>
        </w:tc>
        <w:tc>
          <w:tcPr>
            <w:tcW w:w="1260" w:type="dxa"/>
          </w:tcPr>
          <w:p w:rsidR="006F2D7E" w:rsidRDefault="006F2D7E" w:rsidP="006F2D7E">
            <w:pPr>
              <w:spacing w:before="120" w:after="120"/>
              <w:jc w:val="center"/>
              <w:rPr>
                <w:bCs/>
                <w:sz w:val="24"/>
              </w:rPr>
            </w:pPr>
            <w:r>
              <w:rPr>
                <w:bCs/>
                <w:sz w:val="24"/>
              </w:rPr>
              <w:t>300</w:t>
            </w:r>
          </w:p>
        </w:tc>
        <w:tc>
          <w:tcPr>
            <w:tcW w:w="1260" w:type="dxa"/>
          </w:tcPr>
          <w:p w:rsidR="006F2D7E" w:rsidRDefault="006F2D7E" w:rsidP="006F2D7E">
            <w:pPr>
              <w:spacing w:before="120" w:after="120"/>
              <w:jc w:val="center"/>
              <w:rPr>
                <w:bCs/>
                <w:sz w:val="24"/>
              </w:rPr>
            </w:pPr>
            <w:r>
              <w:rPr>
                <w:bCs/>
                <w:sz w:val="24"/>
              </w:rPr>
              <w:t>4500</w:t>
            </w:r>
          </w:p>
        </w:tc>
        <w:tc>
          <w:tcPr>
            <w:tcW w:w="1260" w:type="dxa"/>
          </w:tcPr>
          <w:p w:rsidR="006F2D7E" w:rsidRDefault="006F2D7E" w:rsidP="006F2D7E">
            <w:pPr>
              <w:spacing w:before="120" w:after="120"/>
              <w:jc w:val="center"/>
              <w:rPr>
                <w:bCs/>
                <w:sz w:val="24"/>
              </w:rPr>
            </w:pPr>
            <w:r>
              <w:rPr>
                <w:bCs/>
                <w:sz w:val="24"/>
              </w:rPr>
              <w:t>1500</w:t>
            </w:r>
          </w:p>
        </w:tc>
        <w:tc>
          <w:tcPr>
            <w:tcW w:w="1080" w:type="dxa"/>
          </w:tcPr>
          <w:p w:rsidR="006F2D7E" w:rsidRDefault="00D052DE" w:rsidP="00D052DE">
            <w:pPr>
              <w:spacing w:before="120" w:after="120"/>
              <w:jc w:val="center"/>
              <w:rPr>
                <w:bCs/>
                <w:sz w:val="24"/>
              </w:rPr>
            </w:pPr>
            <w:r>
              <w:rPr>
                <w:bCs/>
                <w:sz w:val="24"/>
              </w:rPr>
              <w:t>45/60</w:t>
            </w:r>
          </w:p>
        </w:tc>
        <w:tc>
          <w:tcPr>
            <w:tcW w:w="1260" w:type="dxa"/>
          </w:tcPr>
          <w:p w:rsidR="006F2D7E" w:rsidRDefault="006F2D7E" w:rsidP="006F2D7E">
            <w:pPr>
              <w:spacing w:before="120" w:after="120"/>
              <w:jc w:val="center"/>
              <w:rPr>
                <w:bCs/>
                <w:sz w:val="24"/>
              </w:rPr>
            </w:pPr>
            <w:r>
              <w:rPr>
                <w:bCs/>
                <w:sz w:val="24"/>
              </w:rPr>
              <w:t>1125</w:t>
            </w:r>
          </w:p>
        </w:tc>
      </w:tr>
      <w:tr w:rsidR="006F2D7E" w:rsidTr="008D1854">
        <w:tc>
          <w:tcPr>
            <w:tcW w:w="1260" w:type="dxa"/>
            <w:vMerge/>
          </w:tcPr>
          <w:p w:rsidR="006F2D7E" w:rsidRDefault="006F2D7E" w:rsidP="006F2D7E">
            <w:pPr>
              <w:spacing w:before="120" w:after="120"/>
              <w:rPr>
                <w:bCs/>
                <w:sz w:val="24"/>
              </w:rPr>
            </w:pPr>
          </w:p>
        </w:tc>
        <w:tc>
          <w:tcPr>
            <w:tcW w:w="1800" w:type="dxa"/>
          </w:tcPr>
          <w:p w:rsidR="006F2D7E" w:rsidRDefault="006F2D7E" w:rsidP="006F2D7E">
            <w:pPr>
              <w:rPr>
                <w:sz w:val="24"/>
              </w:rPr>
            </w:pPr>
            <w:r>
              <w:rPr>
                <w:sz w:val="24"/>
              </w:rPr>
              <w:t>Cognitive testing by ABS/mail</w:t>
            </w:r>
            <w:r w:rsidR="00D515A4">
              <w:rPr>
                <w:sz w:val="24"/>
              </w:rPr>
              <w:t>/web</w:t>
            </w:r>
          </w:p>
        </w:tc>
        <w:tc>
          <w:tcPr>
            <w:tcW w:w="1080" w:type="dxa"/>
          </w:tcPr>
          <w:p w:rsidR="006F2D7E" w:rsidRDefault="006F2D7E" w:rsidP="006F2D7E">
            <w:pPr>
              <w:spacing w:before="120" w:after="120"/>
              <w:jc w:val="center"/>
              <w:rPr>
                <w:bCs/>
                <w:sz w:val="24"/>
              </w:rPr>
            </w:pPr>
            <w:r>
              <w:rPr>
                <w:bCs/>
                <w:sz w:val="24"/>
              </w:rPr>
              <w:t>6</w:t>
            </w:r>
          </w:p>
        </w:tc>
        <w:tc>
          <w:tcPr>
            <w:tcW w:w="1260" w:type="dxa"/>
          </w:tcPr>
          <w:p w:rsidR="006F2D7E" w:rsidRDefault="006F2D7E" w:rsidP="006F2D7E">
            <w:pPr>
              <w:spacing w:before="120" w:after="120"/>
              <w:jc w:val="center"/>
              <w:rPr>
                <w:bCs/>
                <w:sz w:val="24"/>
              </w:rPr>
            </w:pPr>
            <w:r>
              <w:rPr>
                <w:bCs/>
                <w:sz w:val="24"/>
              </w:rPr>
              <w:t>400</w:t>
            </w:r>
          </w:p>
        </w:tc>
        <w:tc>
          <w:tcPr>
            <w:tcW w:w="1260" w:type="dxa"/>
          </w:tcPr>
          <w:p w:rsidR="006F2D7E" w:rsidRDefault="006F2D7E" w:rsidP="006F2D7E">
            <w:pPr>
              <w:spacing w:before="120" w:after="120"/>
              <w:jc w:val="center"/>
              <w:rPr>
                <w:bCs/>
                <w:sz w:val="24"/>
              </w:rPr>
            </w:pPr>
            <w:r>
              <w:rPr>
                <w:bCs/>
                <w:sz w:val="24"/>
              </w:rPr>
              <w:t>2400</w:t>
            </w:r>
          </w:p>
        </w:tc>
        <w:tc>
          <w:tcPr>
            <w:tcW w:w="1260" w:type="dxa"/>
          </w:tcPr>
          <w:p w:rsidR="006F2D7E" w:rsidRDefault="006F2D7E" w:rsidP="006F2D7E">
            <w:pPr>
              <w:spacing w:before="120" w:after="120"/>
              <w:jc w:val="center"/>
              <w:rPr>
                <w:bCs/>
                <w:sz w:val="24"/>
              </w:rPr>
            </w:pPr>
            <w:r>
              <w:rPr>
                <w:bCs/>
                <w:sz w:val="24"/>
              </w:rPr>
              <w:t>600</w:t>
            </w:r>
          </w:p>
        </w:tc>
        <w:tc>
          <w:tcPr>
            <w:tcW w:w="1080" w:type="dxa"/>
          </w:tcPr>
          <w:p w:rsidR="006F2D7E" w:rsidRDefault="00D052DE" w:rsidP="00D052DE">
            <w:pPr>
              <w:spacing w:before="120" w:after="120"/>
              <w:jc w:val="center"/>
              <w:rPr>
                <w:bCs/>
                <w:sz w:val="24"/>
              </w:rPr>
            </w:pPr>
            <w:r>
              <w:rPr>
                <w:bCs/>
                <w:sz w:val="24"/>
              </w:rPr>
              <w:t>30/60</w:t>
            </w:r>
          </w:p>
        </w:tc>
        <w:tc>
          <w:tcPr>
            <w:tcW w:w="1260" w:type="dxa"/>
          </w:tcPr>
          <w:p w:rsidR="006F2D7E" w:rsidRDefault="006F2D7E" w:rsidP="006F2D7E">
            <w:pPr>
              <w:spacing w:before="120" w:after="120"/>
              <w:jc w:val="center"/>
              <w:rPr>
                <w:bCs/>
                <w:sz w:val="24"/>
              </w:rPr>
            </w:pPr>
            <w:r>
              <w:rPr>
                <w:bCs/>
                <w:sz w:val="24"/>
              </w:rPr>
              <w:t>300</w:t>
            </w:r>
          </w:p>
        </w:tc>
      </w:tr>
      <w:tr w:rsidR="003C7D95" w:rsidTr="008D1854">
        <w:tc>
          <w:tcPr>
            <w:tcW w:w="1260" w:type="dxa"/>
            <w:vMerge/>
          </w:tcPr>
          <w:p w:rsidR="003C7D95" w:rsidRDefault="003C7D95" w:rsidP="003C7D95">
            <w:pPr>
              <w:spacing w:before="120" w:after="120"/>
              <w:rPr>
                <w:bCs/>
                <w:sz w:val="24"/>
              </w:rPr>
            </w:pPr>
          </w:p>
        </w:tc>
        <w:tc>
          <w:tcPr>
            <w:tcW w:w="1800" w:type="dxa"/>
          </w:tcPr>
          <w:p w:rsidR="003C7D95" w:rsidRPr="00B258C7" w:rsidRDefault="003C7D95" w:rsidP="003C7D95">
            <w:pPr>
              <w:rPr>
                <w:sz w:val="24"/>
              </w:rPr>
            </w:pPr>
            <w:r>
              <w:rPr>
                <w:sz w:val="24"/>
              </w:rPr>
              <w:t>Pilot testing in person</w:t>
            </w:r>
          </w:p>
        </w:tc>
        <w:tc>
          <w:tcPr>
            <w:tcW w:w="1080" w:type="dxa"/>
          </w:tcPr>
          <w:p w:rsidR="003C7D95" w:rsidRDefault="003C7D95" w:rsidP="003C7D95">
            <w:pPr>
              <w:spacing w:before="120" w:after="120"/>
              <w:jc w:val="center"/>
              <w:rPr>
                <w:bCs/>
                <w:sz w:val="24"/>
              </w:rPr>
            </w:pPr>
            <w:r>
              <w:rPr>
                <w:bCs/>
                <w:sz w:val="24"/>
              </w:rPr>
              <w:t>15</w:t>
            </w:r>
          </w:p>
        </w:tc>
        <w:tc>
          <w:tcPr>
            <w:tcW w:w="1260" w:type="dxa"/>
          </w:tcPr>
          <w:p w:rsidR="003C7D95" w:rsidRDefault="003C7D95" w:rsidP="003C7D95">
            <w:pPr>
              <w:spacing w:before="120" w:after="120"/>
              <w:jc w:val="center"/>
              <w:rPr>
                <w:bCs/>
                <w:sz w:val="24"/>
              </w:rPr>
            </w:pPr>
            <w:r>
              <w:rPr>
                <w:bCs/>
                <w:sz w:val="24"/>
              </w:rPr>
              <w:t>300</w:t>
            </w:r>
          </w:p>
        </w:tc>
        <w:tc>
          <w:tcPr>
            <w:tcW w:w="1260" w:type="dxa"/>
          </w:tcPr>
          <w:p w:rsidR="003C7D95" w:rsidRDefault="003C7D95" w:rsidP="003C7D95">
            <w:pPr>
              <w:spacing w:before="120" w:after="120"/>
              <w:jc w:val="center"/>
              <w:rPr>
                <w:bCs/>
                <w:sz w:val="24"/>
              </w:rPr>
            </w:pPr>
            <w:r>
              <w:rPr>
                <w:bCs/>
                <w:sz w:val="24"/>
              </w:rPr>
              <w:t>4500</w:t>
            </w:r>
          </w:p>
        </w:tc>
        <w:tc>
          <w:tcPr>
            <w:tcW w:w="1260" w:type="dxa"/>
          </w:tcPr>
          <w:p w:rsidR="003C7D95" w:rsidRDefault="003C7D95" w:rsidP="003C7D95">
            <w:pPr>
              <w:spacing w:before="120" w:after="120"/>
              <w:jc w:val="center"/>
              <w:rPr>
                <w:bCs/>
                <w:sz w:val="24"/>
              </w:rPr>
            </w:pPr>
            <w:r>
              <w:rPr>
                <w:bCs/>
                <w:sz w:val="24"/>
              </w:rPr>
              <w:t>1500</w:t>
            </w:r>
          </w:p>
        </w:tc>
        <w:tc>
          <w:tcPr>
            <w:tcW w:w="1080" w:type="dxa"/>
          </w:tcPr>
          <w:p w:rsidR="003C7D95" w:rsidRDefault="003C7D95" w:rsidP="003C7D95">
            <w:pPr>
              <w:spacing w:before="120" w:after="120"/>
              <w:jc w:val="center"/>
              <w:rPr>
                <w:bCs/>
                <w:sz w:val="24"/>
              </w:rPr>
            </w:pPr>
            <w:r>
              <w:rPr>
                <w:bCs/>
                <w:sz w:val="24"/>
              </w:rPr>
              <w:t>45/60</w:t>
            </w:r>
          </w:p>
        </w:tc>
        <w:tc>
          <w:tcPr>
            <w:tcW w:w="1260" w:type="dxa"/>
          </w:tcPr>
          <w:p w:rsidR="003C7D95" w:rsidRDefault="003C7D95" w:rsidP="003C7D95">
            <w:pPr>
              <w:spacing w:before="120" w:after="120"/>
              <w:jc w:val="center"/>
              <w:rPr>
                <w:bCs/>
                <w:sz w:val="24"/>
              </w:rPr>
            </w:pPr>
            <w:r>
              <w:rPr>
                <w:bCs/>
                <w:sz w:val="24"/>
              </w:rPr>
              <w:t>1125</w:t>
            </w:r>
          </w:p>
        </w:tc>
      </w:tr>
      <w:tr w:rsidR="003C7D95" w:rsidTr="008D1854">
        <w:tc>
          <w:tcPr>
            <w:tcW w:w="1260" w:type="dxa"/>
            <w:vMerge/>
          </w:tcPr>
          <w:p w:rsidR="003C7D95" w:rsidRDefault="003C7D95" w:rsidP="003C7D95">
            <w:pPr>
              <w:spacing w:before="120" w:after="120"/>
              <w:rPr>
                <w:bCs/>
                <w:sz w:val="24"/>
              </w:rPr>
            </w:pPr>
          </w:p>
        </w:tc>
        <w:tc>
          <w:tcPr>
            <w:tcW w:w="1800" w:type="dxa"/>
          </w:tcPr>
          <w:p w:rsidR="003C7D95" w:rsidRDefault="003C7D95" w:rsidP="003C7D95">
            <w:pPr>
              <w:rPr>
                <w:sz w:val="24"/>
              </w:rPr>
            </w:pPr>
            <w:r>
              <w:rPr>
                <w:sz w:val="24"/>
              </w:rPr>
              <w:t>Pilot testing</w:t>
            </w:r>
          </w:p>
          <w:p w:rsidR="003C7D95" w:rsidRPr="00B258C7" w:rsidRDefault="003C7D95" w:rsidP="003C7D95">
            <w:pPr>
              <w:rPr>
                <w:sz w:val="24"/>
              </w:rPr>
            </w:pPr>
            <w:r>
              <w:rPr>
                <w:sz w:val="24"/>
              </w:rPr>
              <w:t>by phone</w:t>
            </w:r>
          </w:p>
        </w:tc>
        <w:tc>
          <w:tcPr>
            <w:tcW w:w="1080" w:type="dxa"/>
          </w:tcPr>
          <w:p w:rsidR="003C7D95" w:rsidRDefault="003C7D95" w:rsidP="003C7D95">
            <w:pPr>
              <w:spacing w:before="120" w:after="120"/>
              <w:jc w:val="center"/>
              <w:rPr>
                <w:bCs/>
                <w:sz w:val="24"/>
              </w:rPr>
            </w:pPr>
            <w:r>
              <w:rPr>
                <w:bCs/>
                <w:sz w:val="24"/>
              </w:rPr>
              <w:t>15</w:t>
            </w:r>
          </w:p>
        </w:tc>
        <w:tc>
          <w:tcPr>
            <w:tcW w:w="1260" w:type="dxa"/>
          </w:tcPr>
          <w:p w:rsidR="003C7D95" w:rsidRDefault="003C7D95" w:rsidP="003C7D95">
            <w:pPr>
              <w:spacing w:before="120" w:after="120"/>
              <w:jc w:val="center"/>
              <w:rPr>
                <w:bCs/>
                <w:sz w:val="24"/>
              </w:rPr>
            </w:pPr>
            <w:r>
              <w:rPr>
                <w:bCs/>
                <w:sz w:val="24"/>
              </w:rPr>
              <w:t>300</w:t>
            </w:r>
          </w:p>
        </w:tc>
        <w:tc>
          <w:tcPr>
            <w:tcW w:w="1260" w:type="dxa"/>
          </w:tcPr>
          <w:p w:rsidR="003C7D95" w:rsidRDefault="003C7D95" w:rsidP="003C7D95">
            <w:pPr>
              <w:spacing w:before="120" w:after="120"/>
              <w:jc w:val="center"/>
              <w:rPr>
                <w:bCs/>
                <w:sz w:val="24"/>
              </w:rPr>
            </w:pPr>
            <w:r>
              <w:rPr>
                <w:bCs/>
                <w:sz w:val="24"/>
              </w:rPr>
              <w:t>4500</w:t>
            </w:r>
          </w:p>
        </w:tc>
        <w:tc>
          <w:tcPr>
            <w:tcW w:w="1260" w:type="dxa"/>
          </w:tcPr>
          <w:p w:rsidR="003C7D95" w:rsidRDefault="003C7D95" w:rsidP="003C7D95">
            <w:pPr>
              <w:spacing w:before="120" w:after="120"/>
              <w:jc w:val="center"/>
              <w:rPr>
                <w:bCs/>
                <w:sz w:val="24"/>
              </w:rPr>
            </w:pPr>
            <w:r>
              <w:rPr>
                <w:bCs/>
                <w:sz w:val="24"/>
              </w:rPr>
              <w:t>1500</w:t>
            </w:r>
          </w:p>
        </w:tc>
        <w:tc>
          <w:tcPr>
            <w:tcW w:w="1080" w:type="dxa"/>
          </w:tcPr>
          <w:p w:rsidR="003C7D95" w:rsidRDefault="003C7D95" w:rsidP="003C7D95">
            <w:pPr>
              <w:spacing w:before="120" w:after="120"/>
              <w:jc w:val="center"/>
              <w:rPr>
                <w:bCs/>
                <w:sz w:val="24"/>
              </w:rPr>
            </w:pPr>
            <w:r>
              <w:rPr>
                <w:bCs/>
                <w:sz w:val="24"/>
              </w:rPr>
              <w:t>45/60</w:t>
            </w:r>
          </w:p>
        </w:tc>
        <w:tc>
          <w:tcPr>
            <w:tcW w:w="1260" w:type="dxa"/>
          </w:tcPr>
          <w:p w:rsidR="003C7D95" w:rsidRDefault="003C7D95" w:rsidP="003C7D95">
            <w:pPr>
              <w:spacing w:before="120" w:after="120"/>
              <w:jc w:val="center"/>
              <w:rPr>
                <w:bCs/>
                <w:sz w:val="24"/>
              </w:rPr>
            </w:pPr>
            <w:r>
              <w:rPr>
                <w:bCs/>
                <w:sz w:val="24"/>
              </w:rPr>
              <w:t>1125</w:t>
            </w:r>
          </w:p>
        </w:tc>
      </w:tr>
      <w:tr w:rsidR="003C7D95" w:rsidTr="008D1854">
        <w:tc>
          <w:tcPr>
            <w:tcW w:w="1260" w:type="dxa"/>
            <w:vMerge/>
          </w:tcPr>
          <w:p w:rsidR="003C7D95" w:rsidRDefault="003C7D95" w:rsidP="003C7D95">
            <w:pPr>
              <w:spacing w:before="120" w:after="120"/>
              <w:rPr>
                <w:bCs/>
                <w:sz w:val="24"/>
              </w:rPr>
            </w:pPr>
          </w:p>
        </w:tc>
        <w:tc>
          <w:tcPr>
            <w:tcW w:w="1800" w:type="dxa"/>
          </w:tcPr>
          <w:p w:rsidR="003C7D95" w:rsidRDefault="003C7D95" w:rsidP="003C7D95">
            <w:pPr>
              <w:rPr>
                <w:sz w:val="24"/>
              </w:rPr>
            </w:pPr>
            <w:r>
              <w:rPr>
                <w:sz w:val="24"/>
              </w:rPr>
              <w:t>Pilot testing by ABS/mail/web</w:t>
            </w:r>
          </w:p>
        </w:tc>
        <w:tc>
          <w:tcPr>
            <w:tcW w:w="1080" w:type="dxa"/>
          </w:tcPr>
          <w:p w:rsidR="003C7D95" w:rsidRDefault="003C7D95" w:rsidP="003C7D95">
            <w:pPr>
              <w:spacing w:before="120" w:after="120"/>
              <w:jc w:val="center"/>
              <w:rPr>
                <w:bCs/>
                <w:sz w:val="24"/>
              </w:rPr>
            </w:pPr>
            <w:r>
              <w:rPr>
                <w:bCs/>
                <w:sz w:val="24"/>
              </w:rPr>
              <w:t>15</w:t>
            </w:r>
          </w:p>
        </w:tc>
        <w:tc>
          <w:tcPr>
            <w:tcW w:w="1260" w:type="dxa"/>
          </w:tcPr>
          <w:p w:rsidR="003C7D95" w:rsidRDefault="003C7D95" w:rsidP="003C7D95">
            <w:pPr>
              <w:spacing w:before="120" w:after="120"/>
              <w:jc w:val="center"/>
              <w:rPr>
                <w:bCs/>
                <w:sz w:val="24"/>
              </w:rPr>
            </w:pPr>
            <w:r>
              <w:rPr>
                <w:bCs/>
                <w:sz w:val="24"/>
              </w:rPr>
              <w:t>300</w:t>
            </w:r>
          </w:p>
        </w:tc>
        <w:tc>
          <w:tcPr>
            <w:tcW w:w="1260" w:type="dxa"/>
          </w:tcPr>
          <w:p w:rsidR="003C7D95" w:rsidRDefault="003C7D95" w:rsidP="003C7D95">
            <w:pPr>
              <w:spacing w:before="120" w:after="120"/>
              <w:jc w:val="center"/>
              <w:rPr>
                <w:bCs/>
                <w:sz w:val="24"/>
              </w:rPr>
            </w:pPr>
            <w:r>
              <w:rPr>
                <w:bCs/>
                <w:sz w:val="24"/>
              </w:rPr>
              <w:t>4500</w:t>
            </w:r>
          </w:p>
        </w:tc>
        <w:tc>
          <w:tcPr>
            <w:tcW w:w="1260" w:type="dxa"/>
          </w:tcPr>
          <w:p w:rsidR="003C7D95" w:rsidRDefault="003C7D95" w:rsidP="003C7D95">
            <w:pPr>
              <w:spacing w:before="120" w:after="120"/>
              <w:jc w:val="center"/>
              <w:rPr>
                <w:bCs/>
                <w:sz w:val="24"/>
              </w:rPr>
            </w:pPr>
            <w:r>
              <w:rPr>
                <w:bCs/>
                <w:sz w:val="24"/>
              </w:rPr>
              <w:t>1500</w:t>
            </w:r>
          </w:p>
        </w:tc>
        <w:tc>
          <w:tcPr>
            <w:tcW w:w="1080" w:type="dxa"/>
          </w:tcPr>
          <w:p w:rsidR="003C7D95" w:rsidRDefault="003C7D95" w:rsidP="003C7D95">
            <w:pPr>
              <w:spacing w:before="120" w:after="120"/>
              <w:jc w:val="center"/>
              <w:rPr>
                <w:bCs/>
                <w:sz w:val="24"/>
              </w:rPr>
            </w:pPr>
            <w:r>
              <w:rPr>
                <w:bCs/>
                <w:sz w:val="24"/>
              </w:rPr>
              <w:t>45/60</w:t>
            </w:r>
          </w:p>
        </w:tc>
        <w:tc>
          <w:tcPr>
            <w:tcW w:w="1260" w:type="dxa"/>
          </w:tcPr>
          <w:p w:rsidR="003C7D95" w:rsidRDefault="003C7D95" w:rsidP="003C7D95">
            <w:pPr>
              <w:spacing w:before="120" w:after="120"/>
              <w:jc w:val="center"/>
              <w:rPr>
                <w:bCs/>
                <w:sz w:val="24"/>
              </w:rPr>
            </w:pPr>
            <w:r>
              <w:rPr>
                <w:bCs/>
                <w:sz w:val="24"/>
              </w:rPr>
              <w:t>1125</w:t>
            </w:r>
          </w:p>
        </w:tc>
      </w:tr>
    </w:tbl>
    <w:p w:rsidR="00432974" w:rsidRDefault="00432974" w:rsidP="00DC44F6">
      <w:pPr>
        <w:spacing w:before="120" w:after="120"/>
        <w:ind w:left="360"/>
        <w:rPr>
          <w:sz w:val="24"/>
        </w:rPr>
      </w:pPr>
    </w:p>
    <w:p w:rsidR="00DC44F6" w:rsidRDefault="00DC44F6" w:rsidP="00DC44F6">
      <w:pPr>
        <w:spacing w:before="120" w:after="120"/>
        <w:ind w:left="360"/>
        <w:rPr>
          <w:sz w:val="24"/>
        </w:rPr>
      </w:pPr>
      <w:r>
        <w:rPr>
          <w:sz w:val="24"/>
        </w:rPr>
        <w:t>Cognitive testing participants for in</w:t>
      </w:r>
      <w:r w:rsidR="003C2E34">
        <w:rPr>
          <w:sz w:val="24"/>
        </w:rPr>
        <w:t>-</w:t>
      </w:r>
      <w:r>
        <w:rPr>
          <w:sz w:val="24"/>
        </w:rPr>
        <w:t>person interviews wil</w:t>
      </w:r>
      <w:r w:rsidR="0089224A">
        <w:rPr>
          <w:sz w:val="24"/>
        </w:rPr>
        <w:t xml:space="preserve">l be recruited by advertisement or through established methods for recruiting hard-to-reach participants. For example, networks of persons who are known to have quit smoking may be asked to review questions on smoking cessation. </w:t>
      </w:r>
      <w:r>
        <w:rPr>
          <w:sz w:val="24"/>
        </w:rPr>
        <w:t xml:space="preserve">Respondents participating by telephone will be sampled using Random Digit Dialing (RDD) methods and participants who take part in mail format testing will be selecting using Address Based System (ABS) samples.  Each request submitted under this generic clearance will include specifics as to how samples will be selected and how respondents will be informed as to the voluntary nature of their cooperation in the cognitive and/or field test. </w:t>
      </w:r>
      <w:r w:rsidR="008E5600">
        <w:rPr>
          <w:sz w:val="24"/>
        </w:rPr>
        <w:t>An ex</w:t>
      </w:r>
      <w:r>
        <w:rPr>
          <w:sz w:val="24"/>
        </w:rPr>
        <w:t xml:space="preserve">ample of </w:t>
      </w:r>
      <w:r w:rsidR="008E5600">
        <w:rPr>
          <w:sz w:val="24"/>
        </w:rPr>
        <w:t xml:space="preserve">a </w:t>
      </w:r>
      <w:r>
        <w:rPr>
          <w:sz w:val="24"/>
        </w:rPr>
        <w:t xml:space="preserve">screening script for cognitive testing </w:t>
      </w:r>
      <w:r w:rsidR="008E5600">
        <w:rPr>
          <w:sz w:val="24"/>
        </w:rPr>
        <w:t>by phone is found in Attachment 6</w:t>
      </w:r>
      <w:r>
        <w:rPr>
          <w:sz w:val="24"/>
        </w:rPr>
        <w:t xml:space="preserve">. </w:t>
      </w:r>
    </w:p>
    <w:p w:rsidR="00432974" w:rsidRDefault="00432974" w:rsidP="00844607">
      <w:pPr>
        <w:spacing w:before="120" w:after="120"/>
        <w:rPr>
          <w:sz w:val="24"/>
        </w:rPr>
      </w:pPr>
    </w:p>
    <w:p w:rsidR="00844607" w:rsidRDefault="00844607" w:rsidP="00A568E7">
      <w:pPr>
        <w:pStyle w:val="Heading2"/>
        <w:numPr>
          <w:ilvl w:val="0"/>
          <w:numId w:val="3"/>
        </w:numPr>
        <w:spacing w:before="120" w:after="120"/>
        <w:rPr>
          <w:rFonts w:ascii="Times New Roman" w:hAnsi="Times New Roman" w:cs="Times New Roman"/>
          <w:i w:val="0"/>
          <w:sz w:val="24"/>
          <w:szCs w:val="24"/>
        </w:rPr>
      </w:pPr>
      <w:bookmarkStart w:id="3" w:name="_Toc151782200"/>
      <w:bookmarkStart w:id="4" w:name="_Toc158526236"/>
      <w:r w:rsidRPr="00134689">
        <w:rPr>
          <w:rFonts w:ascii="Times New Roman" w:hAnsi="Times New Roman" w:cs="Times New Roman"/>
          <w:i w:val="0"/>
          <w:sz w:val="24"/>
          <w:szCs w:val="24"/>
        </w:rPr>
        <w:t>Information Collection Procedures</w:t>
      </w:r>
      <w:bookmarkEnd w:id="3"/>
      <w:bookmarkEnd w:id="4"/>
      <w:r w:rsidR="007259A8">
        <w:rPr>
          <w:rFonts w:ascii="Times New Roman" w:hAnsi="Times New Roman" w:cs="Times New Roman"/>
          <w:i w:val="0"/>
          <w:sz w:val="24"/>
          <w:szCs w:val="24"/>
        </w:rPr>
        <w:t xml:space="preserve"> </w:t>
      </w:r>
    </w:p>
    <w:p w:rsidR="00B677BD" w:rsidRDefault="00B677BD" w:rsidP="00A568E7">
      <w:pPr>
        <w:pStyle w:val="ListParagraph"/>
        <w:ind w:left="360"/>
        <w:rPr>
          <w:sz w:val="24"/>
        </w:rPr>
      </w:pPr>
      <w:r>
        <w:rPr>
          <w:sz w:val="24"/>
        </w:rPr>
        <w:t xml:space="preserve">As with all other aspects covered by this generic clearance, information collection procedures specific to each cognitive testing and field testing activity will be detailed with each submission. </w:t>
      </w:r>
    </w:p>
    <w:p w:rsidR="00B677BD" w:rsidRDefault="00B677BD" w:rsidP="00A568E7">
      <w:pPr>
        <w:pStyle w:val="ListParagraph"/>
        <w:ind w:left="360"/>
        <w:rPr>
          <w:sz w:val="24"/>
        </w:rPr>
      </w:pPr>
    </w:p>
    <w:p w:rsidR="00B677BD" w:rsidRDefault="00B677BD" w:rsidP="00A568E7">
      <w:pPr>
        <w:pStyle w:val="ListParagraph"/>
        <w:ind w:left="360"/>
        <w:rPr>
          <w:sz w:val="24"/>
        </w:rPr>
      </w:pPr>
      <w:r>
        <w:rPr>
          <w:sz w:val="24"/>
        </w:rPr>
        <w:t>Cognitive Testing</w:t>
      </w:r>
    </w:p>
    <w:p w:rsidR="00B677BD" w:rsidRDefault="00B677BD" w:rsidP="00A568E7">
      <w:pPr>
        <w:pStyle w:val="ListParagraph"/>
        <w:ind w:left="360"/>
        <w:rPr>
          <w:sz w:val="24"/>
        </w:rPr>
      </w:pPr>
    </w:p>
    <w:p w:rsidR="00A568E7" w:rsidRPr="00A568E7" w:rsidRDefault="00A568E7" w:rsidP="00A568E7">
      <w:pPr>
        <w:pStyle w:val="ListParagraph"/>
        <w:ind w:left="360"/>
        <w:rPr>
          <w:sz w:val="24"/>
        </w:rPr>
      </w:pPr>
      <w:r w:rsidRPr="00A568E7">
        <w:rPr>
          <w:sz w:val="24"/>
        </w:rPr>
        <w:t xml:space="preserve">Cognitive testing is conducted early in the process of considering questions for adoption.  Questions which are undergoing cognitive testing may have not been used in previous surveys due to the emergence of a new public health concern (such as e-cigarettes) or as a result of their inclusion in a survey that is being offered in a different mode. Cognitive testing is conducted in a controlled setting, generally in an office setting. Participants may be recruited to take part in cognitive testing through online or newspaper advertisements.  If the participants are not recruited to be present at a physical location, they may be called and recruited by phone.  Recruited participants are asked to review questions and/or surveys to discuss their impressions of the items under consideration.  Participants may be asked to identify their impression of the questions, the response set, individual words within the question, or the focus of the questionnaire itself.  Participants may respond individually or as members of focus groups.   </w:t>
      </w:r>
    </w:p>
    <w:p w:rsidR="00A568E7" w:rsidRPr="00A568E7" w:rsidRDefault="00A568E7" w:rsidP="00A568E7">
      <w:pPr>
        <w:pStyle w:val="ListParagraph"/>
        <w:ind w:left="360"/>
        <w:rPr>
          <w:sz w:val="24"/>
        </w:rPr>
      </w:pPr>
    </w:p>
    <w:p w:rsidR="00A568E7" w:rsidRDefault="00A568E7" w:rsidP="00A568E7">
      <w:pPr>
        <w:pStyle w:val="ListParagraph"/>
        <w:ind w:left="360"/>
        <w:rPr>
          <w:sz w:val="24"/>
        </w:rPr>
      </w:pPr>
      <w:r w:rsidRPr="00A568E7">
        <w:rPr>
          <w:sz w:val="24"/>
        </w:rPr>
        <w:t>The questions under consideration may be presented to the participants in different formats (online, on paper, verbally or using mobile devices).  Individual respondents may be asked to interpret the meaning or ease of answering questions based on formats or order of the questions/ responses</w:t>
      </w:r>
      <w:r w:rsidR="00220E6B">
        <w:rPr>
          <w:sz w:val="24"/>
        </w:rPr>
        <w:t xml:space="preserve"> (see Attachment </w:t>
      </w:r>
      <w:r w:rsidR="000209C5">
        <w:rPr>
          <w:sz w:val="24"/>
        </w:rPr>
        <w:t>5</w:t>
      </w:r>
      <w:r w:rsidR="00220E6B">
        <w:rPr>
          <w:sz w:val="24"/>
        </w:rPr>
        <w:t xml:space="preserve"> for an example of questions asked in cognitive testing)</w:t>
      </w:r>
      <w:r w:rsidRPr="00A568E7">
        <w:rPr>
          <w:sz w:val="24"/>
        </w:rPr>
        <w:t>.  Groups of individuals may also discuss what they found to be confusing or visually appealing about questionnaires that are presented online or on paper. A single respondent may review the same question in a number of formats to rate or rank and provide information on the favorable aspects of each version.</w:t>
      </w:r>
      <w:r w:rsidR="00DC44F6">
        <w:rPr>
          <w:sz w:val="24"/>
        </w:rPr>
        <w:t xml:space="preserve"> </w:t>
      </w:r>
    </w:p>
    <w:p w:rsidR="00DC44F6" w:rsidRDefault="00DC44F6" w:rsidP="00A568E7">
      <w:pPr>
        <w:pStyle w:val="ListParagraph"/>
        <w:ind w:left="360"/>
        <w:rPr>
          <w:sz w:val="24"/>
        </w:rPr>
      </w:pPr>
    </w:p>
    <w:p w:rsidR="00DC44F6" w:rsidRPr="00A568E7" w:rsidRDefault="00DC44F6" w:rsidP="00A568E7">
      <w:pPr>
        <w:pStyle w:val="ListParagraph"/>
        <w:ind w:left="360"/>
        <w:rPr>
          <w:sz w:val="24"/>
        </w:rPr>
      </w:pPr>
      <w:r>
        <w:rPr>
          <w:sz w:val="24"/>
        </w:rPr>
        <w:t>Cognitive testing is an iterative process of adjustment of a question, a survey</w:t>
      </w:r>
      <w:r w:rsidR="00B677BD">
        <w:rPr>
          <w:sz w:val="24"/>
        </w:rPr>
        <w:t xml:space="preserve"> mode</w:t>
      </w:r>
      <w:r>
        <w:rPr>
          <w:sz w:val="24"/>
        </w:rPr>
        <w:t xml:space="preserve"> or a format, until it optimizing the respondents’ ability to understand the concept of the information sought by the researcher</w:t>
      </w:r>
      <w:r w:rsidR="00B677BD">
        <w:rPr>
          <w:sz w:val="24"/>
        </w:rPr>
        <w:t xml:space="preserve"> and produce a valid response</w:t>
      </w:r>
      <w:r>
        <w:rPr>
          <w:sz w:val="24"/>
        </w:rPr>
        <w:t xml:space="preserve">.   </w:t>
      </w:r>
    </w:p>
    <w:p w:rsidR="00A568E7" w:rsidRPr="00A568E7" w:rsidRDefault="00A568E7" w:rsidP="00A568E7">
      <w:pPr>
        <w:pStyle w:val="ListParagraph"/>
        <w:ind w:left="360"/>
        <w:rPr>
          <w:sz w:val="24"/>
        </w:rPr>
      </w:pPr>
    </w:p>
    <w:p w:rsidR="005406BF" w:rsidRDefault="005406BF" w:rsidP="00A568E7">
      <w:pPr>
        <w:pStyle w:val="ListParagraph"/>
        <w:ind w:left="360"/>
        <w:rPr>
          <w:sz w:val="24"/>
        </w:rPr>
      </w:pPr>
      <w:r>
        <w:rPr>
          <w:sz w:val="24"/>
        </w:rPr>
        <w:t>Pilot Testing</w:t>
      </w:r>
    </w:p>
    <w:p w:rsidR="005406BF" w:rsidRDefault="005406BF" w:rsidP="00A568E7">
      <w:pPr>
        <w:pStyle w:val="ListParagraph"/>
        <w:ind w:left="360"/>
        <w:rPr>
          <w:sz w:val="24"/>
        </w:rPr>
      </w:pPr>
    </w:p>
    <w:p w:rsidR="009B0511" w:rsidRPr="0089224A" w:rsidRDefault="009B0511" w:rsidP="0089224A">
      <w:pPr>
        <w:spacing w:before="120" w:after="120"/>
        <w:ind w:left="360"/>
        <w:rPr>
          <w:bCs/>
          <w:iCs/>
          <w:sz w:val="24"/>
        </w:rPr>
      </w:pPr>
      <w:r>
        <w:rPr>
          <w:bCs/>
          <w:iCs/>
          <w:sz w:val="24"/>
        </w:rPr>
        <w:t xml:space="preserve">Pilot tests are used to determine whether a new approach or data collection methodology may be useful are a part of regular IC in the near future.  Pilot tests may be proposed as a potential solution to a data collection issue (such as nonresponse, targeting a specific hard-to-reach population, or determination of the effectiveness of a new calling protocol).  Pilot tests do not impact or take the place of regular data collection efforts at the time of their implementation.  For the BRFSS, for example, pilot tests may be conducted in a selected number of states without changes in the regular data collection processes of those states.  Pilot testing may include testing groups of individuals in order to compare rates of response when differing questionnaire formats or modes of response are provided.   Pilot testing may also be used to determine mode effects on a single question, whether and how temporal reminders affect response, bias effects of formats and issues related to sensitive questions. </w:t>
      </w:r>
      <w:r w:rsidR="0089224A" w:rsidRPr="0089224A">
        <w:rPr>
          <w:bCs/>
          <w:iCs/>
          <w:sz w:val="24"/>
        </w:rPr>
        <w:t>Feasibility tests</w:t>
      </w:r>
      <w:r w:rsidR="0089224A">
        <w:rPr>
          <w:bCs/>
          <w:iCs/>
          <w:sz w:val="24"/>
        </w:rPr>
        <w:t xml:space="preserve"> of new modes of data collection</w:t>
      </w:r>
      <w:r w:rsidR="0089224A" w:rsidRPr="0089224A">
        <w:rPr>
          <w:bCs/>
          <w:iCs/>
          <w:sz w:val="24"/>
        </w:rPr>
        <w:t xml:space="preserve"> are of unique importance as new methods of contact are under review to alleviate issues related to response rate decline.</w:t>
      </w:r>
    </w:p>
    <w:p w:rsidR="009B0511" w:rsidRDefault="009B0511" w:rsidP="009B0511">
      <w:pPr>
        <w:spacing w:before="120" w:after="120"/>
        <w:ind w:left="360"/>
        <w:rPr>
          <w:sz w:val="24"/>
        </w:rPr>
      </w:pPr>
      <w:r>
        <w:rPr>
          <w:bCs/>
          <w:iCs/>
          <w:sz w:val="24"/>
        </w:rPr>
        <w:t xml:space="preserve">Pilot testing results are often used to inform future survey construction, sampling, methodologies, interpretation of responses and may often be used for publication and presentation to survey and surveillance methodological audiences.  </w:t>
      </w:r>
      <w:r w:rsidRPr="0049072C">
        <w:rPr>
          <w:sz w:val="24"/>
        </w:rPr>
        <w:t xml:space="preserve">Participation by the public in </w:t>
      </w:r>
      <w:r>
        <w:rPr>
          <w:sz w:val="24"/>
        </w:rPr>
        <w:t>pilot</w:t>
      </w:r>
      <w:r w:rsidRPr="0049072C">
        <w:rPr>
          <w:sz w:val="24"/>
        </w:rPr>
        <w:t xml:space="preserve"> testing </w:t>
      </w:r>
      <w:r>
        <w:rPr>
          <w:sz w:val="24"/>
        </w:rPr>
        <w:t>is</w:t>
      </w:r>
      <w:r w:rsidRPr="0049072C">
        <w:rPr>
          <w:sz w:val="24"/>
        </w:rPr>
        <w:t xml:space="preserve"> voluntary and responses to questions </w:t>
      </w:r>
      <w:r>
        <w:rPr>
          <w:sz w:val="24"/>
        </w:rPr>
        <w:t>are</w:t>
      </w:r>
      <w:r w:rsidRPr="0049072C">
        <w:rPr>
          <w:sz w:val="24"/>
        </w:rPr>
        <w:t xml:space="preserve"> confidential.  </w:t>
      </w:r>
    </w:p>
    <w:p w:rsidR="00A568E7" w:rsidRPr="00A568E7" w:rsidRDefault="00A568E7" w:rsidP="00A568E7">
      <w:pPr>
        <w:pStyle w:val="ListParagraph"/>
        <w:ind w:left="360"/>
        <w:rPr>
          <w:sz w:val="24"/>
        </w:rPr>
      </w:pPr>
    </w:p>
    <w:p w:rsidR="00844607" w:rsidRPr="00E91599" w:rsidRDefault="00844607" w:rsidP="002B0DDB">
      <w:pPr>
        <w:pStyle w:val="Heading2"/>
        <w:spacing w:before="120" w:after="120"/>
        <w:ind w:left="360"/>
        <w:rPr>
          <w:rFonts w:ascii="Times New Roman" w:hAnsi="Times New Roman" w:cs="Times New Roman"/>
          <w:i w:val="0"/>
          <w:sz w:val="24"/>
          <w:szCs w:val="24"/>
        </w:rPr>
      </w:pPr>
      <w:bookmarkStart w:id="5" w:name="_Toc151782201"/>
      <w:bookmarkStart w:id="6" w:name="_Toc158526237"/>
      <w:r w:rsidRPr="00E91599">
        <w:rPr>
          <w:rFonts w:ascii="Times New Roman" w:hAnsi="Times New Roman" w:cs="Times New Roman"/>
          <w:i w:val="0"/>
          <w:sz w:val="24"/>
          <w:szCs w:val="24"/>
        </w:rPr>
        <w:t xml:space="preserve">3. Methods to Maximize </w:t>
      </w:r>
      <w:r w:rsidR="0017502A" w:rsidRPr="00E91599">
        <w:rPr>
          <w:rFonts w:ascii="Times New Roman" w:hAnsi="Times New Roman" w:cs="Times New Roman"/>
          <w:i w:val="0"/>
          <w:sz w:val="24"/>
          <w:szCs w:val="24"/>
        </w:rPr>
        <w:t xml:space="preserve">Participation </w:t>
      </w:r>
      <w:r w:rsidRPr="00E91599">
        <w:rPr>
          <w:rFonts w:ascii="Times New Roman" w:hAnsi="Times New Roman" w:cs="Times New Roman"/>
          <w:i w:val="0"/>
          <w:sz w:val="24"/>
          <w:szCs w:val="24"/>
        </w:rPr>
        <w:t>Rates</w:t>
      </w:r>
      <w:bookmarkEnd w:id="5"/>
      <w:bookmarkEnd w:id="6"/>
    </w:p>
    <w:p w:rsidR="00844607" w:rsidRPr="009165B7" w:rsidRDefault="00E91599" w:rsidP="002B0DDB">
      <w:pPr>
        <w:spacing w:before="120" w:after="120"/>
        <w:ind w:left="360"/>
        <w:rPr>
          <w:sz w:val="24"/>
        </w:rPr>
      </w:pPr>
      <w:r w:rsidRPr="00E91599">
        <w:rPr>
          <w:sz w:val="24"/>
        </w:rPr>
        <w:t xml:space="preserve">A primary effect of </w:t>
      </w:r>
      <w:r w:rsidR="00C56A81">
        <w:rPr>
          <w:sz w:val="24"/>
        </w:rPr>
        <w:t>cognitive testing and pilot testing</w:t>
      </w:r>
      <w:r w:rsidRPr="00E91599">
        <w:rPr>
          <w:sz w:val="24"/>
        </w:rPr>
        <w:t xml:space="preserve"> is to maintain high levels of participation</w:t>
      </w:r>
      <w:r w:rsidR="009B0511">
        <w:rPr>
          <w:sz w:val="24"/>
        </w:rPr>
        <w:t xml:space="preserve"> and data quality</w:t>
      </w:r>
      <w:r w:rsidRPr="00E91599">
        <w:rPr>
          <w:sz w:val="24"/>
        </w:rPr>
        <w:t xml:space="preserve"> in the</w:t>
      </w:r>
      <w:r w:rsidR="009B0511">
        <w:rPr>
          <w:sz w:val="24"/>
        </w:rPr>
        <w:t xml:space="preserve"> public health surveillance process throughout the NCCDPHP</w:t>
      </w:r>
      <w:r w:rsidRPr="00E91599">
        <w:rPr>
          <w:sz w:val="24"/>
        </w:rPr>
        <w:t xml:space="preserve">.  </w:t>
      </w:r>
      <w:r w:rsidR="00B677BD">
        <w:rPr>
          <w:sz w:val="24"/>
        </w:rPr>
        <w:t xml:space="preserve">Participation in </w:t>
      </w:r>
      <w:r w:rsidR="00C56A81">
        <w:rPr>
          <w:sz w:val="24"/>
        </w:rPr>
        <w:t>cognitive testing and pilot testing</w:t>
      </w:r>
      <w:r w:rsidR="00B677BD">
        <w:rPr>
          <w:sz w:val="24"/>
        </w:rPr>
        <w:t xml:space="preserve"> is voluntary, but respondents will be encouraged to participate by explanations of the need for their input in the introduction of each survey.  Persons participating in the in</w:t>
      </w:r>
      <w:r w:rsidR="00220E6B">
        <w:rPr>
          <w:sz w:val="24"/>
        </w:rPr>
        <w:t>-</w:t>
      </w:r>
      <w:r w:rsidR="00B677BD">
        <w:rPr>
          <w:sz w:val="24"/>
        </w:rPr>
        <w:t xml:space="preserve">person phase of cognitive testing may receive incentives </w:t>
      </w:r>
      <w:r w:rsidR="00844607" w:rsidRPr="00CE35CB">
        <w:rPr>
          <w:sz w:val="24"/>
        </w:rPr>
        <w:t>for</w:t>
      </w:r>
      <w:r w:rsidR="00CE35CB" w:rsidRPr="00CE35CB">
        <w:rPr>
          <w:sz w:val="24"/>
        </w:rPr>
        <w:t xml:space="preserve"> participation based on their</w:t>
      </w:r>
      <w:r w:rsidR="00844607" w:rsidRPr="00CE35CB">
        <w:rPr>
          <w:sz w:val="24"/>
        </w:rPr>
        <w:t xml:space="preserve"> time and travel.  </w:t>
      </w:r>
      <w:r w:rsidR="00CE35CB" w:rsidRPr="009165B7">
        <w:rPr>
          <w:sz w:val="24"/>
        </w:rPr>
        <w:t>It is standard industry practice to provide compensation for participation in these types of activities in order to achieve an appropriate sample</w:t>
      </w:r>
      <w:r w:rsidR="00B677BD">
        <w:rPr>
          <w:sz w:val="24"/>
        </w:rPr>
        <w:t>.</w:t>
      </w:r>
    </w:p>
    <w:p w:rsidR="00844607" w:rsidRPr="009165B7" w:rsidRDefault="00844607" w:rsidP="002B0DDB">
      <w:pPr>
        <w:pStyle w:val="Heading2"/>
        <w:spacing w:before="120" w:after="120"/>
        <w:ind w:left="360"/>
        <w:rPr>
          <w:rFonts w:ascii="Times New Roman" w:hAnsi="Times New Roman" w:cs="Times New Roman"/>
          <w:i w:val="0"/>
          <w:sz w:val="24"/>
          <w:szCs w:val="24"/>
        </w:rPr>
      </w:pPr>
      <w:bookmarkStart w:id="7" w:name="_Toc151782202"/>
      <w:bookmarkStart w:id="8" w:name="_Toc158526238"/>
      <w:r w:rsidRPr="009165B7">
        <w:rPr>
          <w:rFonts w:ascii="Times New Roman" w:hAnsi="Times New Roman" w:cs="Times New Roman"/>
          <w:i w:val="0"/>
          <w:sz w:val="24"/>
          <w:szCs w:val="24"/>
        </w:rPr>
        <w:t>4. Tests of Procedures</w:t>
      </w:r>
      <w:bookmarkStart w:id="9" w:name="_Toc151782203"/>
      <w:bookmarkStart w:id="10" w:name="_Toc158526239"/>
      <w:bookmarkEnd w:id="7"/>
      <w:bookmarkEnd w:id="8"/>
    </w:p>
    <w:p w:rsidR="00844607" w:rsidRDefault="009C6C71" w:rsidP="002B0DDB">
      <w:pPr>
        <w:spacing w:before="120" w:after="120"/>
        <w:ind w:left="360"/>
        <w:rPr>
          <w:sz w:val="24"/>
        </w:rPr>
      </w:pPr>
      <w:r w:rsidRPr="009165B7">
        <w:rPr>
          <w:sz w:val="24"/>
        </w:rPr>
        <w:t xml:space="preserve">Prior to cognitive and field testing, information may be solicited from </w:t>
      </w:r>
      <w:r w:rsidR="00B677BD">
        <w:rPr>
          <w:sz w:val="24"/>
        </w:rPr>
        <w:t xml:space="preserve">data user </w:t>
      </w:r>
      <w:r w:rsidRPr="009165B7">
        <w:rPr>
          <w:sz w:val="24"/>
        </w:rPr>
        <w:t xml:space="preserve">partners (state health departments, CDC program offices) as to </w:t>
      </w:r>
      <w:r w:rsidR="009165B7">
        <w:rPr>
          <w:sz w:val="24"/>
        </w:rPr>
        <w:t xml:space="preserve">potential </w:t>
      </w:r>
      <w:r w:rsidRPr="009165B7">
        <w:rPr>
          <w:sz w:val="24"/>
        </w:rPr>
        <w:t>problems with questions</w:t>
      </w:r>
      <w:r w:rsidR="005406BF">
        <w:rPr>
          <w:sz w:val="24"/>
        </w:rPr>
        <w:t xml:space="preserve"> or methods </w:t>
      </w:r>
      <w:r w:rsidRPr="009165B7">
        <w:rPr>
          <w:sz w:val="24"/>
        </w:rPr>
        <w:t xml:space="preserve">which will be tested.  In addition, if </w:t>
      </w:r>
      <w:r w:rsidR="002B0DDB">
        <w:rPr>
          <w:sz w:val="24"/>
        </w:rPr>
        <w:t xml:space="preserve">new </w:t>
      </w:r>
      <w:r w:rsidRPr="009165B7">
        <w:rPr>
          <w:sz w:val="24"/>
        </w:rPr>
        <w:t xml:space="preserve">questions </w:t>
      </w:r>
      <w:r w:rsidR="005406BF">
        <w:rPr>
          <w:sz w:val="24"/>
        </w:rPr>
        <w:t xml:space="preserve">or procedures </w:t>
      </w:r>
      <w:r w:rsidR="002B0DDB">
        <w:rPr>
          <w:sz w:val="24"/>
        </w:rPr>
        <w:t>are being considered for use of any NCCDPHP surveys</w:t>
      </w:r>
      <w:r w:rsidRPr="009165B7">
        <w:rPr>
          <w:sz w:val="24"/>
        </w:rPr>
        <w:t xml:space="preserve">, </w:t>
      </w:r>
      <w:r w:rsidR="009165B7" w:rsidRPr="009165B7">
        <w:rPr>
          <w:sz w:val="24"/>
        </w:rPr>
        <w:t xml:space="preserve">any available information on reliability and validity of the questions </w:t>
      </w:r>
      <w:r w:rsidR="009B0511">
        <w:rPr>
          <w:sz w:val="24"/>
        </w:rPr>
        <w:t xml:space="preserve">or methods </w:t>
      </w:r>
      <w:r w:rsidR="009165B7" w:rsidRPr="009165B7">
        <w:rPr>
          <w:sz w:val="24"/>
        </w:rPr>
        <w:t>to be tested will be obtained</w:t>
      </w:r>
      <w:r w:rsidR="009165B7">
        <w:rPr>
          <w:sz w:val="24"/>
        </w:rPr>
        <w:t xml:space="preserve">. </w:t>
      </w:r>
      <w:r w:rsidR="002B0DDB">
        <w:rPr>
          <w:sz w:val="24"/>
        </w:rPr>
        <w:t xml:space="preserve">Often proposals for questions </w:t>
      </w:r>
      <w:r w:rsidR="009B0511">
        <w:rPr>
          <w:sz w:val="24"/>
        </w:rPr>
        <w:t xml:space="preserve">or methods </w:t>
      </w:r>
      <w:r w:rsidR="002B0DDB">
        <w:rPr>
          <w:sz w:val="24"/>
        </w:rPr>
        <w:t xml:space="preserve">come from CDC programs or other federal agencies which supply information regarding how questions or versions of questions which are proposed for use on </w:t>
      </w:r>
      <w:r w:rsidR="002B0DDB" w:rsidRPr="002B0DDB">
        <w:rPr>
          <w:sz w:val="24"/>
        </w:rPr>
        <w:t>NCCDPHP</w:t>
      </w:r>
      <w:r w:rsidR="002B0DDB">
        <w:rPr>
          <w:sz w:val="24"/>
        </w:rPr>
        <w:t xml:space="preserve"> surveys have been used in the past.  This information is submitted as part of the question proposal process (see Attachment 3 for an example of a proposal process). </w:t>
      </w:r>
      <w:r w:rsidR="009B0511">
        <w:rPr>
          <w:sz w:val="24"/>
        </w:rPr>
        <w:t xml:space="preserve">Pilot testing may be proposed as a potential solution to an issue encountered during data collection, such as declining response rates, nonresponse bias due to noncoverage of hard-to-reach populations, increased costs of information collection methods used in the past or other issues. Small scale testing of new methods using pilot tests may ascertain whether changes in methods can offer IC protocols which can provide quality data with greater efficiency.  </w:t>
      </w:r>
    </w:p>
    <w:p w:rsidR="0015722A" w:rsidRDefault="0015722A" w:rsidP="0015722A">
      <w:pPr>
        <w:spacing w:before="120" w:after="120"/>
        <w:ind w:left="360"/>
        <w:rPr>
          <w:sz w:val="24"/>
        </w:rPr>
      </w:pPr>
      <w:r>
        <w:rPr>
          <w:sz w:val="24"/>
        </w:rPr>
        <w:t xml:space="preserve">Data collected under this generic will be examined for patterns of consistent responses among recruited subject, differences by demographic groups and/or numbers of persons who are unable to answer questions as worded.  Paradata on the number and characteristics of persons who participate by mode (telephone, email, in-person or mail) will also be analyzed to determine whether mode of data collection introduces bias into results. Paradata on the efficiencies of samples (such as the number of contact attempts or interviewer effort measures) will be examined by mode and type of administration of survey questions.  Efficiencies in data collection method will be compared by costs per completed interview, nonresponse bias estimation and/or response rates. </w:t>
      </w:r>
    </w:p>
    <w:p w:rsidR="0015722A" w:rsidRPr="009165B7" w:rsidRDefault="0015722A" w:rsidP="0015722A">
      <w:pPr>
        <w:spacing w:before="120" w:after="120"/>
        <w:ind w:left="360"/>
        <w:rPr>
          <w:sz w:val="24"/>
        </w:rPr>
      </w:pPr>
      <w:r>
        <w:rPr>
          <w:sz w:val="24"/>
        </w:rPr>
        <w:t>Most analyses will use nonparametric measures of relationships between respondent characteristics, cost data and measures of response, bias and participation. Attachment 5 provides an example of final reporting of data for a cognitive test</w:t>
      </w:r>
      <w:r w:rsidR="00575F35">
        <w:rPr>
          <w:sz w:val="24"/>
        </w:rPr>
        <w:t xml:space="preserve"> including analyses and Attachment 7 provides examples of analyses of data from pilot testing</w:t>
      </w:r>
      <w:r>
        <w:rPr>
          <w:sz w:val="24"/>
        </w:rPr>
        <w:t xml:space="preserve">.  </w:t>
      </w:r>
    </w:p>
    <w:p w:rsidR="00844607" w:rsidRPr="009C6C71" w:rsidRDefault="00844607" w:rsidP="002B0DDB">
      <w:pPr>
        <w:pStyle w:val="Heading2"/>
        <w:spacing w:before="120" w:after="120"/>
        <w:ind w:left="360"/>
        <w:rPr>
          <w:rFonts w:ascii="Times New Roman" w:hAnsi="Times New Roman" w:cs="Times New Roman"/>
          <w:i w:val="0"/>
          <w:sz w:val="24"/>
          <w:szCs w:val="24"/>
        </w:rPr>
      </w:pPr>
      <w:r w:rsidRPr="009C6C71">
        <w:rPr>
          <w:rFonts w:ascii="Times New Roman" w:hAnsi="Times New Roman" w:cs="Times New Roman"/>
          <w:i w:val="0"/>
          <w:sz w:val="24"/>
          <w:szCs w:val="24"/>
        </w:rPr>
        <w:t xml:space="preserve"> 5. Statistical Consultants</w:t>
      </w:r>
      <w:bookmarkEnd w:id="9"/>
      <w:bookmarkEnd w:id="10"/>
    </w:p>
    <w:p w:rsidR="00E56983" w:rsidRPr="00844607" w:rsidRDefault="00E31CDF" w:rsidP="002B0DDB">
      <w:pPr>
        <w:spacing w:before="120" w:after="120"/>
        <w:ind w:left="360"/>
        <w:rPr>
          <w:sz w:val="24"/>
        </w:rPr>
      </w:pPr>
      <w:r w:rsidRPr="009C6C71">
        <w:rPr>
          <w:sz w:val="24"/>
        </w:rPr>
        <w:t xml:space="preserve">Whenever it is methodologically sound and appropriate to do so, </w:t>
      </w:r>
      <w:r w:rsidR="009C6C71" w:rsidRPr="009C6C71">
        <w:rPr>
          <w:sz w:val="24"/>
        </w:rPr>
        <w:t xml:space="preserve">the </w:t>
      </w:r>
      <w:r w:rsidR="002B0DDB" w:rsidRPr="002B0DDB">
        <w:rPr>
          <w:sz w:val="24"/>
        </w:rPr>
        <w:t>NCCDPHP</w:t>
      </w:r>
      <w:r w:rsidR="009C6C71" w:rsidRPr="009C6C71">
        <w:rPr>
          <w:sz w:val="24"/>
        </w:rPr>
        <w:t xml:space="preserve"> may </w:t>
      </w:r>
      <w:r w:rsidR="00844607" w:rsidRPr="009C6C71">
        <w:rPr>
          <w:sz w:val="24"/>
        </w:rPr>
        <w:t>obtain</w:t>
      </w:r>
      <w:r w:rsidR="009C6C71" w:rsidRPr="009C6C71">
        <w:rPr>
          <w:sz w:val="24"/>
        </w:rPr>
        <w:t xml:space="preserve"> technical assistance from experts within other federal agencies, state health departments and/or outside the federal government to implement cognitive and/or field testing procedures. In some instances, </w:t>
      </w:r>
      <w:r w:rsidR="00844607" w:rsidRPr="009C6C71">
        <w:rPr>
          <w:sz w:val="24"/>
        </w:rPr>
        <w:t xml:space="preserve">statistical expertise will be available from </w:t>
      </w:r>
      <w:r w:rsidR="009C6C71" w:rsidRPr="009C6C71">
        <w:rPr>
          <w:sz w:val="24"/>
        </w:rPr>
        <w:t xml:space="preserve">among </w:t>
      </w:r>
      <w:r w:rsidR="002B0DDB" w:rsidRPr="002B0DDB">
        <w:rPr>
          <w:sz w:val="24"/>
        </w:rPr>
        <w:t>NCCDPHP</w:t>
      </w:r>
      <w:r w:rsidR="009C6C71" w:rsidRPr="009C6C71">
        <w:rPr>
          <w:sz w:val="24"/>
        </w:rPr>
        <w:t xml:space="preserve"> partners or contractors. </w:t>
      </w:r>
      <w:r w:rsidR="00844607" w:rsidRPr="009C6C71">
        <w:rPr>
          <w:sz w:val="24"/>
        </w:rPr>
        <w:t xml:space="preserve">  </w:t>
      </w:r>
    </w:p>
    <w:sectPr w:rsidR="00E56983" w:rsidRPr="00844607" w:rsidSect="00BA1757">
      <w:footerReference w:type="default" r:id="rId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430" w:rsidRDefault="00662430">
      <w:r>
        <w:separator/>
      </w:r>
    </w:p>
  </w:endnote>
  <w:endnote w:type="continuationSeparator" w:id="0">
    <w:p w:rsidR="00662430" w:rsidRDefault="00662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430" w:rsidRDefault="00662430">
    <w:pPr>
      <w:spacing w:line="240" w:lineRule="exact"/>
    </w:pPr>
  </w:p>
  <w:p w:rsidR="00662430" w:rsidRDefault="00662430">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5456D">
      <w:rPr>
        <w:noProof/>
        <w:sz w:val="24"/>
      </w:rPr>
      <w:t>1</w:t>
    </w:r>
    <w:r>
      <w:rPr>
        <w:sz w:val="24"/>
      </w:rPr>
      <w:fldChar w:fldCharType="end"/>
    </w:r>
  </w:p>
  <w:p w:rsidR="00662430" w:rsidRDefault="00662430">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430" w:rsidRDefault="00662430">
      <w:r>
        <w:separator/>
      </w:r>
    </w:p>
  </w:footnote>
  <w:footnote w:type="continuationSeparator" w:id="0">
    <w:p w:rsidR="00662430" w:rsidRDefault="006624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12A08"/>
    <w:multiLevelType w:val="hybridMultilevel"/>
    <w:tmpl w:val="85C2F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26D10"/>
    <w:multiLevelType w:val="hybridMultilevel"/>
    <w:tmpl w:val="8FB23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0D4BE2"/>
    <w:multiLevelType w:val="hybridMultilevel"/>
    <w:tmpl w:val="741CD642"/>
    <w:lvl w:ilvl="0" w:tplc="6930C7E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EB81637"/>
    <w:multiLevelType w:val="hybridMultilevel"/>
    <w:tmpl w:val="3788E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7E276A"/>
    <w:multiLevelType w:val="hybridMultilevel"/>
    <w:tmpl w:val="889A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757"/>
    <w:rsid w:val="000209C5"/>
    <w:rsid w:val="00022D7C"/>
    <w:rsid w:val="0003335E"/>
    <w:rsid w:val="0005679A"/>
    <w:rsid w:val="00093C74"/>
    <w:rsid w:val="000A0B63"/>
    <w:rsid w:val="000C1D0E"/>
    <w:rsid w:val="000C5CC6"/>
    <w:rsid w:val="000D5CCF"/>
    <w:rsid w:val="000E1AD0"/>
    <w:rsid w:val="000E2E05"/>
    <w:rsid w:val="000E3D74"/>
    <w:rsid w:val="000F76AB"/>
    <w:rsid w:val="0010438F"/>
    <w:rsid w:val="00105517"/>
    <w:rsid w:val="00106AE2"/>
    <w:rsid w:val="001127FC"/>
    <w:rsid w:val="001131FA"/>
    <w:rsid w:val="001145A4"/>
    <w:rsid w:val="00134689"/>
    <w:rsid w:val="001568CA"/>
    <w:rsid w:val="0015722A"/>
    <w:rsid w:val="001611AC"/>
    <w:rsid w:val="00170CE8"/>
    <w:rsid w:val="00174003"/>
    <w:rsid w:val="001746F8"/>
    <w:rsid w:val="0017502A"/>
    <w:rsid w:val="00176417"/>
    <w:rsid w:val="001A57CF"/>
    <w:rsid w:val="001B548D"/>
    <w:rsid w:val="00201694"/>
    <w:rsid w:val="00220E6B"/>
    <w:rsid w:val="0025382E"/>
    <w:rsid w:val="00285E37"/>
    <w:rsid w:val="00290C06"/>
    <w:rsid w:val="0029424A"/>
    <w:rsid w:val="002B0DDB"/>
    <w:rsid w:val="002B53AC"/>
    <w:rsid w:val="002E4E41"/>
    <w:rsid w:val="00372C49"/>
    <w:rsid w:val="00373526"/>
    <w:rsid w:val="003C2E34"/>
    <w:rsid w:val="003C7D95"/>
    <w:rsid w:val="003E23E6"/>
    <w:rsid w:val="00432974"/>
    <w:rsid w:val="00465F16"/>
    <w:rsid w:val="00475189"/>
    <w:rsid w:val="004762DB"/>
    <w:rsid w:val="00485C70"/>
    <w:rsid w:val="004A42C3"/>
    <w:rsid w:val="004B229D"/>
    <w:rsid w:val="004D2C66"/>
    <w:rsid w:val="004D3ACD"/>
    <w:rsid w:val="005406BF"/>
    <w:rsid w:val="00542A85"/>
    <w:rsid w:val="00575F35"/>
    <w:rsid w:val="00581026"/>
    <w:rsid w:val="005A6AAD"/>
    <w:rsid w:val="005C74FE"/>
    <w:rsid w:val="005E22EB"/>
    <w:rsid w:val="005E5DFA"/>
    <w:rsid w:val="006451FF"/>
    <w:rsid w:val="00653514"/>
    <w:rsid w:val="00662430"/>
    <w:rsid w:val="006963CA"/>
    <w:rsid w:val="006A72BC"/>
    <w:rsid w:val="006B1FCF"/>
    <w:rsid w:val="006B45E6"/>
    <w:rsid w:val="006B7A3A"/>
    <w:rsid w:val="006E20C9"/>
    <w:rsid w:val="006F0CD5"/>
    <w:rsid w:val="006F2D7E"/>
    <w:rsid w:val="007259A8"/>
    <w:rsid w:val="00737304"/>
    <w:rsid w:val="00742150"/>
    <w:rsid w:val="007443C9"/>
    <w:rsid w:val="00774D76"/>
    <w:rsid w:val="00781206"/>
    <w:rsid w:val="007A3159"/>
    <w:rsid w:val="007B1778"/>
    <w:rsid w:val="007C38B7"/>
    <w:rsid w:val="00802387"/>
    <w:rsid w:val="00816B75"/>
    <w:rsid w:val="00824C3E"/>
    <w:rsid w:val="0084396C"/>
    <w:rsid w:val="00844607"/>
    <w:rsid w:val="008902AE"/>
    <w:rsid w:val="0089224A"/>
    <w:rsid w:val="008C1D7C"/>
    <w:rsid w:val="008D1854"/>
    <w:rsid w:val="008E07F4"/>
    <w:rsid w:val="008E5600"/>
    <w:rsid w:val="0091189F"/>
    <w:rsid w:val="009165B7"/>
    <w:rsid w:val="009248CA"/>
    <w:rsid w:val="00961BCD"/>
    <w:rsid w:val="00964426"/>
    <w:rsid w:val="00973104"/>
    <w:rsid w:val="009B0511"/>
    <w:rsid w:val="009C6C71"/>
    <w:rsid w:val="009E2ED2"/>
    <w:rsid w:val="009F1C44"/>
    <w:rsid w:val="00A00408"/>
    <w:rsid w:val="00A14706"/>
    <w:rsid w:val="00A34D14"/>
    <w:rsid w:val="00A5456D"/>
    <w:rsid w:val="00A568E7"/>
    <w:rsid w:val="00A61EA2"/>
    <w:rsid w:val="00A64FA5"/>
    <w:rsid w:val="00A74E40"/>
    <w:rsid w:val="00A75053"/>
    <w:rsid w:val="00A764C5"/>
    <w:rsid w:val="00A76D85"/>
    <w:rsid w:val="00A84729"/>
    <w:rsid w:val="00AD4F1A"/>
    <w:rsid w:val="00B055E2"/>
    <w:rsid w:val="00B3463C"/>
    <w:rsid w:val="00B63A4F"/>
    <w:rsid w:val="00B677BD"/>
    <w:rsid w:val="00B87BB0"/>
    <w:rsid w:val="00BA1757"/>
    <w:rsid w:val="00BA58CA"/>
    <w:rsid w:val="00BD60E9"/>
    <w:rsid w:val="00BE07F8"/>
    <w:rsid w:val="00BF4DB7"/>
    <w:rsid w:val="00C30945"/>
    <w:rsid w:val="00C56A81"/>
    <w:rsid w:val="00C73C8E"/>
    <w:rsid w:val="00C840E1"/>
    <w:rsid w:val="00CB6AD0"/>
    <w:rsid w:val="00CE35CB"/>
    <w:rsid w:val="00D052DE"/>
    <w:rsid w:val="00D22FA5"/>
    <w:rsid w:val="00D515A4"/>
    <w:rsid w:val="00D57D49"/>
    <w:rsid w:val="00DC44F6"/>
    <w:rsid w:val="00DD7678"/>
    <w:rsid w:val="00DF26B8"/>
    <w:rsid w:val="00E01023"/>
    <w:rsid w:val="00E315D9"/>
    <w:rsid w:val="00E31CDF"/>
    <w:rsid w:val="00E33DC4"/>
    <w:rsid w:val="00E52A87"/>
    <w:rsid w:val="00E56983"/>
    <w:rsid w:val="00E60151"/>
    <w:rsid w:val="00E63A84"/>
    <w:rsid w:val="00E83BA6"/>
    <w:rsid w:val="00E91599"/>
    <w:rsid w:val="00EA18E4"/>
    <w:rsid w:val="00EB491D"/>
    <w:rsid w:val="00F00654"/>
    <w:rsid w:val="00F104A9"/>
    <w:rsid w:val="00F17AA3"/>
    <w:rsid w:val="00F22DC5"/>
    <w:rsid w:val="00F24A2F"/>
    <w:rsid w:val="00F266B8"/>
    <w:rsid w:val="00F326EA"/>
    <w:rsid w:val="00F41CA9"/>
    <w:rsid w:val="00F46EBF"/>
    <w:rsid w:val="00F5276E"/>
    <w:rsid w:val="00F817B2"/>
    <w:rsid w:val="00FA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rsid w:val="00742150"/>
    <w:rPr>
      <w:sz w:val="16"/>
      <w:szCs w:val="16"/>
    </w:rPr>
  </w:style>
  <w:style w:type="paragraph" w:styleId="CommentText">
    <w:name w:val="annotation text"/>
    <w:basedOn w:val="Normal"/>
    <w:link w:val="CommentTextChar"/>
    <w:rsid w:val="00742150"/>
    <w:rPr>
      <w:szCs w:val="20"/>
    </w:rPr>
  </w:style>
  <w:style w:type="character" w:customStyle="1" w:styleId="CommentTextChar">
    <w:name w:val="Comment Text Char"/>
    <w:basedOn w:val="DefaultParagraphFont"/>
    <w:link w:val="CommentText"/>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ListParagraph">
    <w:name w:val="List Paragraph"/>
    <w:basedOn w:val="Normal"/>
    <w:uiPriority w:val="34"/>
    <w:qFormat/>
    <w:rsid w:val="00A84729"/>
    <w:pPr>
      <w:ind w:left="720"/>
    </w:pPr>
  </w:style>
  <w:style w:type="table" w:styleId="TableGrid">
    <w:name w:val="Table Grid"/>
    <w:basedOn w:val="TableNormal"/>
    <w:rsid w:val="0043297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4FA5"/>
    <w:pPr>
      <w:tabs>
        <w:tab w:val="center" w:pos="4680"/>
        <w:tab w:val="right" w:pos="9360"/>
      </w:tabs>
    </w:pPr>
  </w:style>
  <w:style w:type="character" w:customStyle="1" w:styleId="HeaderChar">
    <w:name w:val="Header Char"/>
    <w:basedOn w:val="DefaultParagraphFont"/>
    <w:link w:val="Header"/>
    <w:uiPriority w:val="99"/>
    <w:rsid w:val="00A64FA5"/>
    <w:rPr>
      <w:szCs w:val="24"/>
    </w:rPr>
  </w:style>
  <w:style w:type="paragraph" w:styleId="Footer">
    <w:name w:val="footer"/>
    <w:basedOn w:val="Normal"/>
    <w:link w:val="FooterChar"/>
    <w:unhideWhenUsed/>
    <w:rsid w:val="00A64FA5"/>
    <w:pPr>
      <w:tabs>
        <w:tab w:val="center" w:pos="4680"/>
        <w:tab w:val="right" w:pos="9360"/>
      </w:tabs>
    </w:pPr>
  </w:style>
  <w:style w:type="character" w:customStyle="1" w:styleId="FooterChar">
    <w:name w:val="Footer Char"/>
    <w:basedOn w:val="DefaultParagraphFont"/>
    <w:link w:val="Footer"/>
    <w:rsid w:val="00A64FA5"/>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757"/>
    <w:pPr>
      <w:widowControl w:val="0"/>
      <w:autoSpaceDE w:val="0"/>
      <w:autoSpaceDN w:val="0"/>
      <w:adjustRightInd w:val="0"/>
    </w:pPr>
    <w:rPr>
      <w:szCs w:val="24"/>
    </w:rPr>
  </w:style>
  <w:style w:type="paragraph" w:styleId="Heading1">
    <w:name w:val="heading 1"/>
    <w:basedOn w:val="Normal"/>
    <w:next w:val="Normal"/>
    <w:qFormat/>
    <w:rsid w:val="00BA1757"/>
    <w:pPr>
      <w:keepNext/>
      <w:outlineLvl w:val="0"/>
    </w:pPr>
    <w:rPr>
      <w:b/>
      <w:bCs/>
      <w:sz w:val="24"/>
    </w:rPr>
  </w:style>
  <w:style w:type="paragraph" w:styleId="Heading2">
    <w:name w:val="heading 2"/>
    <w:basedOn w:val="Normal"/>
    <w:next w:val="Normal"/>
    <w:link w:val="Heading2Char"/>
    <w:qFormat/>
    <w:rsid w:val="00844607"/>
    <w:pPr>
      <w:keepNext/>
      <w:widowControl/>
      <w:autoSpaceDE/>
      <w:autoSpaceDN/>
      <w:adjustRightInd/>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64426"/>
    <w:rPr>
      <w:rFonts w:ascii="Tahoma" w:hAnsi="Tahoma" w:cs="Tahoma"/>
      <w:sz w:val="16"/>
      <w:szCs w:val="16"/>
    </w:rPr>
  </w:style>
  <w:style w:type="character" w:customStyle="1" w:styleId="Heading2Char">
    <w:name w:val="Heading 2 Char"/>
    <w:basedOn w:val="DefaultParagraphFont"/>
    <w:link w:val="Heading2"/>
    <w:rsid w:val="00844607"/>
    <w:rPr>
      <w:rFonts w:ascii="Arial" w:hAnsi="Arial" w:cs="Arial"/>
      <w:b/>
      <w:bCs/>
      <w:i/>
      <w:iCs/>
      <w:sz w:val="28"/>
      <w:szCs w:val="28"/>
    </w:rPr>
  </w:style>
  <w:style w:type="character" w:styleId="CommentReference">
    <w:name w:val="annotation reference"/>
    <w:basedOn w:val="DefaultParagraphFont"/>
    <w:rsid w:val="00742150"/>
    <w:rPr>
      <w:sz w:val="16"/>
      <w:szCs w:val="16"/>
    </w:rPr>
  </w:style>
  <w:style w:type="paragraph" w:styleId="CommentText">
    <w:name w:val="annotation text"/>
    <w:basedOn w:val="Normal"/>
    <w:link w:val="CommentTextChar"/>
    <w:rsid w:val="00742150"/>
    <w:rPr>
      <w:szCs w:val="20"/>
    </w:rPr>
  </w:style>
  <w:style w:type="character" w:customStyle="1" w:styleId="CommentTextChar">
    <w:name w:val="Comment Text Char"/>
    <w:basedOn w:val="DefaultParagraphFont"/>
    <w:link w:val="CommentText"/>
    <w:rsid w:val="00742150"/>
  </w:style>
  <w:style w:type="paragraph" w:styleId="CommentSubject">
    <w:name w:val="annotation subject"/>
    <w:basedOn w:val="CommentText"/>
    <w:next w:val="CommentText"/>
    <w:link w:val="CommentSubjectChar"/>
    <w:rsid w:val="00742150"/>
    <w:rPr>
      <w:b/>
      <w:bCs/>
    </w:rPr>
  </w:style>
  <w:style w:type="character" w:customStyle="1" w:styleId="CommentSubjectChar">
    <w:name w:val="Comment Subject Char"/>
    <w:basedOn w:val="CommentTextChar"/>
    <w:link w:val="CommentSubject"/>
    <w:rsid w:val="00742150"/>
    <w:rPr>
      <w:b/>
      <w:bCs/>
    </w:rPr>
  </w:style>
  <w:style w:type="paragraph" w:styleId="ListParagraph">
    <w:name w:val="List Paragraph"/>
    <w:basedOn w:val="Normal"/>
    <w:uiPriority w:val="34"/>
    <w:qFormat/>
    <w:rsid w:val="00A84729"/>
    <w:pPr>
      <w:ind w:left="720"/>
    </w:pPr>
  </w:style>
  <w:style w:type="table" w:styleId="TableGrid">
    <w:name w:val="Table Grid"/>
    <w:basedOn w:val="TableNormal"/>
    <w:rsid w:val="0043297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4FA5"/>
    <w:pPr>
      <w:tabs>
        <w:tab w:val="center" w:pos="4680"/>
        <w:tab w:val="right" w:pos="9360"/>
      </w:tabs>
    </w:pPr>
  </w:style>
  <w:style w:type="character" w:customStyle="1" w:styleId="HeaderChar">
    <w:name w:val="Header Char"/>
    <w:basedOn w:val="DefaultParagraphFont"/>
    <w:link w:val="Header"/>
    <w:uiPriority w:val="99"/>
    <w:rsid w:val="00A64FA5"/>
    <w:rPr>
      <w:szCs w:val="24"/>
    </w:rPr>
  </w:style>
  <w:style w:type="paragraph" w:styleId="Footer">
    <w:name w:val="footer"/>
    <w:basedOn w:val="Normal"/>
    <w:link w:val="FooterChar"/>
    <w:unhideWhenUsed/>
    <w:rsid w:val="00A64FA5"/>
    <w:pPr>
      <w:tabs>
        <w:tab w:val="center" w:pos="4680"/>
        <w:tab w:val="right" w:pos="9360"/>
      </w:tabs>
    </w:pPr>
  </w:style>
  <w:style w:type="character" w:customStyle="1" w:styleId="FooterChar">
    <w:name w:val="Footer Char"/>
    <w:basedOn w:val="DefaultParagraphFont"/>
    <w:link w:val="Footer"/>
    <w:rsid w:val="00A64FA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4DF0D-DF88-4DC3-BB9C-9CA83030B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12163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SYSTEM</cp:lastModifiedBy>
  <cp:revision>2</cp:revision>
  <cp:lastPrinted>2015-07-24T19:08:00Z</cp:lastPrinted>
  <dcterms:created xsi:type="dcterms:W3CDTF">2019-12-16T15:27:00Z</dcterms:created>
  <dcterms:modified xsi:type="dcterms:W3CDTF">2019-12-16T15:27:00Z</dcterms:modified>
</cp:coreProperties>
</file>