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D3E39" w14:textId="41F3272E" w:rsidR="005C1D8C" w:rsidRPr="00BB3C01" w:rsidRDefault="005C1D8C" w:rsidP="00743A2F">
      <w:pPr>
        <w:jc w:val="center"/>
        <w:rPr>
          <w:b/>
          <w:sz w:val="24"/>
        </w:rPr>
      </w:pPr>
      <w:bookmarkStart w:id="0" w:name="_GoBack"/>
      <w:bookmarkEnd w:id="0"/>
    </w:p>
    <w:p w14:paraId="0428E5AE" w14:textId="77777777" w:rsidR="005C1D8C" w:rsidRPr="00BB3C01" w:rsidRDefault="005C1D8C" w:rsidP="00743A2F">
      <w:pPr>
        <w:jc w:val="center"/>
        <w:rPr>
          <w:b/>
          <w:sz w:val="24"/>
        </w:rPr>
      </w:pPr>
    </w:p>
    <w:p w14:paraId="2FFFF6F0" w14:textId="77777777" w:rsidR="005C1D8C" w:rsidRPr="00BB3C01" w:rsidRDefault="005C1D8C" w:rsidP="00743A2F">
      <w:pPr>
        <w:jc w:val="center"/>
        <w:rPr>
          <w:b/>
          <w:sz w:val="24"/>
        </w:rPr>
      </w:pPr>
    </w:p>
    <w:p w14:paraId="09B12DE8" w14:textId="77777777" w:rsidR="005C1D8C" w:rsidRPr="00BB3C01" w:rsidRDefault="005C1D8C" w:rsidP="00743A2F">
      <w:pPr>
        <w:jc w:val="center"/>
        <w:rPr>
          <w:b/>
          <w:sz w:val="24"/>
        </w:rPr>
      </w:pPr>
    </w:p>
    <w:p w14:paraId="6D3AD327" w14:textId="77777777" w:rsidR="005C1D8C" w:rsidRPr="00BB3C01" w:rsidRDefault="005C1D8C" w:rsidP="00743A2F">
      <w:pPr>
        <w:jc w:val="center"/>
        <w:rPr>
          <w:b/>
          <w:sz w:val="24"/>
        </w:rPr>
      </w:pPr>
    </w:p>
    <w:p w14:paraId="04C37004" w14:textId="77777777" w:rsidR="005C1D8C" w:rsidRPr="00BB3C01" w:rsidRDefault="005C1D8C" w:rsidP="00743A2F">
      <w:pPr>
        <w:jc w:val="center"/>
        <w:rPr>
          <w:b/>
          <w:sz w:val="24"/>
        </w:rPr>
      </w:pPr>
    </w:p>
    <w:p w14:paraId="58ACEBD8" w14:textId="77777777" w:rsidR="005C1D8C" w:rsidRPr="00BB3C01" w:rsidRDefault="005C1D8C" w:rsidP="00743A2F">
      <w:pPr>
        <w:jc w:val="center"/>
        <w:rPr>
          <w:b/>
          <w:sz w:val="24"/>
        </w:rPr>
      </w:pPr>
    </w:p>
    <w:p w14:paraId="7CE0A59E" w14:textId="77777777" w:rsidR="005C1D8C" w:rsidRPr="00BB3C01" w:rsidRDefault="005C1D8C" w:rsidP="00743A2F">
      <w:pPr>
        <w:jc w:val="center"/>
        <w:rPr>
          <w:b/>
          <w:sz w:val="24"/>
        </w:rPr>
      </w:pPr>
    </w:p>
    <w:p w14:paraId="513E8AAB" w14:textId="6C7B89B5" w:rsidR="00743A2F" w:rsidRPr="00BB3C01" w:rsidRDefault="00015D62" w:rsidP="00743A2F">
      <w:pPr>
        <w:jc w:val="center"/>
        <w:rPr>
          <w:b/>
          <w:sz w:val="24"/>
        </w:rPr>
      </w:pPr>
      <w:r>
        <w:rPr>
          <w:b/>
          <w:sz w:val="24"/>
        </w:rPr>
        <w:t>Maternal Mortality Review Information Application (MMRIA)</w:t>
      </w:r>
    </w:p>
    <w:p w14:paraId="675AAE17" w14:textId="77777777" w:rsidR="005C1D8C" w:rsidRPr="00BB3C01" w:rsidRDefault="005C1D8C" w:rsidP="00743A2F">
      <w:pPr>
        <w:jc w:val="center"/>
        <w:rPr>
          <w:b/>
          <w:sz w:val="24"/>
        </w:rPr>
      </w:pPr>
    </w:p>
    <w:p w14:paraId="1CD59EBF" w14:textId="77777777" w:rsidR="005C1D8C" w:rsidRPr="00BB3C01" w:rsidRDefault="005C1D8C" w:rsidP="00743A2F">
      <w:pPr>
        <w:jc w:val="center"/>
        <w:rPr>
          <w:b/>
          <w:sz w:val="24"/>
        </w:rPr>
      </w:pPr>
    </w:p>
    <w:p w14:paraId="4A37B890" w14:textId="6A9D674C" w:rsidR="005C1D8C" w:rsidRPr="00BB3C01" w:rsidRDefault="00015D62" w:rsidP="00743A2F">
      <w:pPr>
        <w:jc w:val="center"/>
        <w:rPr>
          <w:sz w:val="24"/>
        </w:rPr>
      </w:pPr>
      <w:r>
        <w:rPr>
          <w:sz w:val="24"/>
        </w:rPr>
        <w:t>New Information Collection Request</w:t>
      </w:r>
    </w:p>
    <w:p w14:paraId="56B04879" w14:textId="77777777" w:rsidR="00ED028C" w:rsidRPr="00BB3C01" w:rsidRDefault="00ED028C">
      <w:pPr>
        <w:jc w:val="center"/>
        <w:rPr>
          <w:b/>
          <w:bCs/>
          <w:sz w:val="24"/>
        </w:rPr>
      </w:pPr>
    </w:p>
    <w:p w14:paraId="43D933D5" w14:textId="77777777" w:rsidR="005C1D8C" w:rsidRPr="00BB3C01" w:rsidRDefault="005C1D8C">
      <w:pPr>
        <w:jc w:val="center"/>
        <w:rPr>
          <w:b/>
          <w:bCs/>
          <w:sz w:val="24"/>
        </w:rPr>
      </w:pPr>
    </w:p>
    <w:p w14:paraId="7EA63F1A" w14:textId="77777777" w:rsidR="005C1D8C" w:rsidRPr="00BB3C01" w:rsidRDefault="00ED028C">
      <w:pPr>
        <w:jc w:val="center"/>
        <w:rPr>
          <w:b/>
          <w:bCs/>
          <w:sz w:val="24"/>
        </w:rPr>
      </w:pPr>
      <w:r w:rsidRPr="00BB3C01">
        <w:rPr>
          <w:b/>
          <w:bCs/>
          <w:sz w:val="24"/>
        </w:rPr>
        <w:t>Supporting Statement</w:t>
      </w:r>
    </w:p>
    <w:p w14:paraId="4ACFC8A6" w14:textId="35D1A73B" w:rsidR="00ED028C" w:rsidRPr="00BB3C01" w:rsidRDefault="00743A2F">
      <w:pPr>
        <w:jc w:val="center"/>
        <w:rPr>
          <w:b/>
          <w:bCs/>
          <w:sz w:val="24"/>
        </w:rPr>
      </w:pPr>
      <w:r w:rsidRPr="00BB3C01">
        <w:rPr>
          <w:b/>
          <w:bCs/>
          <w:sz w:val="24"/>
        </w:rPr>
        <w:t xml:space="preserve">Part </w:t>
      </w:r>
      <w:r w:rsidR="00F43320" w:rsidRPr="00BB3C01">
        <w:rPr>
          <w:b/>
          <w:bCs/>
          <w:sz w:val="24"/>
        </w:rPr>
        <w:t>A</w:t>
      </w:r>
    </w:p>
    <w:p w14:paraId="20515A0E" w14:textId="77777777" w:rsidR="00ED028C" w:rsidRPr="00BB3C01" w:rsidRDefault="00ED028C" w:rsidP="007A47B4">
      <w:pPr>
        <w:jc w:val="center"/>
        <w:rPr>
          <w:b/>
          <w:sz w:val="24"/>
        </w:rPr>
      </w:pPr>
    </w:p>
    <w:p w14:paraId="6BF88514" w14:textId="49F4EC4E" w:rsidR="00744420" w:rsidRPr="00BB3C01" w:rsidRDefault="00994379" w:rsidP="00A318C6">
      <w:pPr>
        <w:jc w:val="center"/>
        <w:rPr>
          <w:b/>
          <w:sz w:val="24"/>
        </w:rPr>
      </w:pPr>
      <w:r>
        <w:rPr>
          <w:b/>
          <w:sz w:val="24"/>
        </w:rPr>
        <w:t xml:space="preserve"> </w:t>
      </w:r>
      <w:r w:rsidR="000C77B2">
        <w:rPr>
          <w:b/>
          <w:sz w:val="24"/>
        </w:rPr>
        <w:t xml:space="preserve">October </w:t>
      </w:r>
      <w:r w:rsidR="004870DA">
        <w:rPr>
          <w:b/>
          <w:sz w:val="24"/>
        </w:rPr>
        <w:t>2</w:t>
      </w:r>
      <w:r>
        <w:rPr>
          <w:b/>
          <w:sz w:val="24"/>
        </w:rPr>
        <w:t>, 2019</w:t>
      </w:r>
    </w:p>
    <w:p w14:paraId="381640BC" w14:textId="77777777" w:rsidR="00ED028C" w:rsidRPr="00BB3C01" w:rsidRDefault="00ED028C">
      <w:pPr>
        <w:jc w:val="center"/>
        <w:rPr>
          <w:b/>
          <w:sz w:val="24"/>
        </w:rPr>
      </w:pPr>
    </w:p>
    <w:p w14:paraId="48BE3880" w14:textId="77777777" w:rsidR="00ED028C" w:rsidRPr="00BB3C01" w:rsidRDefault="00ED028C">
      <w:pPr>
        <w:jc w:val="center"/>
        <w:rPr>
          <w:b/>
          <w:sz w:val="24"/>
        </w:rPr>
      </w:pPr>
    </w:p>
    <w:p w14:paraId="448A55ED" w14:textId="77777777" w:rsidR="00ED028C" w:rsidRPr="00BB3C01" w:rsidRDefault="00ED028C">
      <w:pPr>
        <w:jc w:val="center"/>
        <w:rPr>
          <w:b/>
          <w:sz w:val="24"/>
        </w:rPr>
      </w:pPr>
    </w:p>
    <w:p w14:paraId="0A0F2D42" w14:textId="77777777" w:rsidR="00ED028C" w:rsidRPr="00BB3C01" w:rsidRDefault="00ED028C">
      <w:pPr>
        <w:jc w:val="center"/>
        <w:rPr>
          <w:b/>
          <w:sz w:val="24"/>
        </w:rPr>
      </w:pPr>
    </w:p>
    <w:p w14:paraId="0347ED62" w14:textId="77777777" w:rsidR="00ED028C" w:rsidRPr="00BB3C01" w:rsidRDefault="00ED028C">
      <w:pPr>
        <w:jc w:val="center"/>
        <w:rPr>
          <w:b/>
          <w:sz w:val="24"/>
        </w:rPr>
      </w:pPr>
    </w:p>
    <w:p w14:paraId="796A891D" w14:textId="77777777" w:rsidR="00ED028C" w:rsidRPr="00BB3C01" w:rsidRDefault="00ED028C">
      <w:pPr>
        <w:jc w:val="center"/>
        <w:rPr>
          <w:b/>
          <w:sz w:val="24"/>
        </w:rPr>
      </w:pPr>
    </w:p>
    <w:p w14:paraId="071B0671" w14:textId="77777777" w:rsidR="009E2A85" w:rsidRPr="00BB3C01" w:rsidRDefault="009E2A85">
      <w:pPr>
        <w:rPr>
          <w:b/>
          <w:sz w:val="24"/>
        </w:rPr>
      </w:pPr>
    </w:p>
    <w:p w14:paraId="32D2CCA2" w14:textId="77777777" w:rsidR="00ED028C" w:rsidRPr="00BB3C01" w:rsidRDefault="004173D7" w:rsidP="004173D7">
      <w:pPr>
        <w:tabs>
          <w:tab w:val="left" w:pos="5693"/>
        </w:tabs>
        <w:rPr>
          <w:b/>
          <w:sz w:val="24"/>
        </w:rPr>
      </w:pPr>
      <w:r w:rsidRPr="00BB3C01">
        <w:rPr>
          <w:b/>
          <w:sz w:val="24"/>
        </w:rPr>
        <w:tab/>
      </w:r>
    </w:p>
    <w:p w14:paraId="5C012370" w14:textId="19D1B118" w:rsidR="00ED028C" w:rsidRDefault="005E48C7" w:rsidP="005C1D8C">
      <w:pPr>
        <w:jc w:val="center"/>
        <w:rPr>
          <w:sz w:val="24"/>
        </w:rPr>
      </w:pPr>
      <w:r>
        <w:rPr>
          <w:sz w:val="24"/>
        </w:rPr>
        <w:t>Contact Person</w:t>
      </w:r>
      <w:r w:rsidR="005C1D8C" w:rsidRPr="00BB3C01">
        <w:rPr>
          <w:sz w:val="24"/>
        </w:rPr>
        <w:t>:</w:t>
      </w:r>
    </w:p>
    <w:p w14:paraId="32B96F8E" w14:textId="5F481727" w:rsidR="0014506A" w:rsidRDefault="007E2F3B" w:rsidP="007E2F3B">
      <w:pPr>
        <w:jc w:val="center"/>
        <w:rPr>
          <w:sz w:val="24"/>
        </w:rPr>
      </w:pPr>
      <w:r>
        <w:rPr>
          <w:sz w:val="24"/>
        </w:rPr>
        <w:t>David Goodman</w:t>
      </w:r>
    </w:p>
    <w:p w14:paraId="0EF97BB2" w14:textId="1C9B3924" w:rsidR="0014506A" w:rsidRPr="00A82221" w:rsidRDefault="0014506A" w:rsidP="0014506A">
      <w:pPr>
        <w:jc w:val="center"/>
        <w:rPr>
          <w:sz w:val="24"/>
        </w:rPr>
      </w:pPr>
      <w:r>
        <w:rPr>
          <w:sz w:val="24"/>
        </w:rPr>
        <w:t xml:space="preserve">Telephone: </w:t>
      </w:r>
      <w:r w:rsidR="00015D62" w:rsidRPr="00015D62">
        <w:rPr>
          <w:sz w:val="24"/>
        </w:rPr>
        <w:t xml:space="preserve">(770) </w:t>
      </w:r>
      <w:r w:rsidR="00055925">
        <w:rPr>
          <w:sz w:val="24"/>
        </w:rPr>
        <w:t>488</w:t>
      </w:r>
      <w:r w:rsidR="00015D62" w:rsidRPr="00015D62">
        <w:rPr>
          <w:sz w:val="24"/>
        </w:rPr>
        <w:t>-6</w:t>
      </w:r>
      <w:r w:rsidR="00055925">
        <w:rPr>
          <w:sz w:val="24"/>
        </w:rPr>
        <w:t>55</w:t>
      </w:r>
      <w:r w:rsidR="00015D62" w:rsidRPr="00015D62">
        <w:rPr>
          <w:sz w:val="24"/>
        </w:rPr>
        <w:t>3</w:t>
      </w:r>
    </w:p>
    <w:p w14:paraId="140B1EBA" w14:textId="7FCA3BB4" w:rsidR="0014506A" w:rsidRPr="0014506A" w:rsidRDefault="0014506A" w:rsidP="0014506A">
      <w:pPr>
        <w:jc w:val="center"/>
        <w:rPr>
          <w:sz w:val="24"/>
        </w:rPr>
      </w:pPr>
      <w:r w:rsidRPr="00A82221">
        <w:rPr>
          <w:sz w:val="24"/>
        </w:rPr>
        <w:t>Fax: 770-488-6</w:t>
      </w:r>
      <w:r w:rsidR="00015D62">
        <w:rPr>
          <w:sz w:val="24"/>
        </w:rPr>
        <w:t>3</w:t>
      </w:r>
      <w:r w:rsidR="005561D1" w:rsidRPr="002C3A1B">
        <w:rPr>
          <w:sz w:val="24"/>
        </w:rPr>
        <w:t>91</w:t>
      </w:r>
    </w:p>
    <w:p w14:paraId="09A68EDB" w14:textId="6765DED6" w:rsidR="0014506A" w:rsidRPr="00015D62" w:rsidRDefault="0014506A" w:rsidP="00015D62">
      <w:pPr>
        <w:jc w:val="center"/>
        <w:rPr>
          <w:sz w:val="24"/>
        </w:rPr>
      </w:pPr>
      <w:r w:rsidRPr="0014506A">
        <w:rPr>
          <w:sz w:val="24"/>
        </w:rPr>
        <w:t xml:space="preserve">E-mail: </w:t>
      </w:r>
      <w:r w:rsidR="00055925">
        <w:rPr>
          <w:sz w:val="24"/>
        </w:rPr>
        <w:t>igc</w:t>
      </w:r>
      <w:r w:rsidR="007E2F3B" w:rsidRPr="00015D62">
        <w:rPr>
          <w:sz w:val="24"/>
        </w:rPr>
        <w:t xml:space="preserve">4@cdc.gov  </w:t>
      </w:r>
    </w:p>
    <w:p w14:paraId="55C30D65" w14:textId="77777777" w:rsidR="005C1D8C" w:rsidRPr="00BB3C01" w:rsidRDefault="00651C5C" w:rsidP="005C1D8C">
      <w:pPr>
        <w:jc w:val="center"/>
        <w:rPr>
          <w:sz w:val="24"/>
        </w:rPr>
      </w:pPr>
      <w:r w:rsidRPr="00BB3C01">
        <w:rPr>
          <w:sz w:val="24"/>
        </w:rPr>
        <w:t xml:space="preserve">Division of </w:t>
      </w:r>
      <w:r w:rsidR="003111DC">
        <w:rPr>
          <w:sz w:val="24"/>
        </w:rPr>
        <w:t xml:space="preserve">Reproductive </w:t>
      </w:r>
      <w:r w:rsidRPr="00BB3C01">
        <w:rPr>
          <w:sz w:val="24"/>
        </w:rPr>
        <w:t>Health</w:t>
      </w:r>
    </w:p>
    <w:p w14:paraId="36E5D17B" w14:textId="57A8DF4A" w:rsidR="005C1D8C" w:rsidRPr="00BB3C01" w:rsidRDefault="005C1D8C" w:rsidP="005C1D8C">
      <w:pPr>
        <w:jc w:val="center"/>
        <w:rPr>
          <w:sz w:val="24"/>
        </w:rPr>
      </w:pPr>
      <w:r w:rsidRPr="00BB3C01">
        <w:rPr>
          <w:sz w:val="24"/>
        </w:rPr>
        <w:t>National Center for Chronic Disease Prevention</w:t>
      </w:r>
      <w:r w:rsidR="00487083">
        <w:rPr>
          <w:sz w:val="24"/>
        </w:rPr>
        <w:t xml:space="preserve"> and Health Promotion</w:t>
      </w:r>
    </w:p>
    <w:p w14:paraId="29A223D7" w14:textId="77777777" w:rsidR="005C1D8C" w:rsidRPr="00BB3C01" w:rsidRDefault="005C1D8C" w:rsidP="005C1D8C">
      <w:pPr>
        <w:jc w:val="center"/>
        <w:rPr>
          <w:sz w:val="24"/>
        </w:rPr>
      </w:pPr>
      <w:r w:rsidRPr="00BB3C01">
        <w:rPr>
          <w:sz w:val="24"/>
        </w:rPr>
        <w:t>Centers for Disease Control and Prevention</w:t>
      </w:r>
    </w:p>
    <w:p w14:paraId="4C45C5DF" w14:textId="77777777" w:rsidR="005C1D8C" w:rsidRPr="00BB3C01" w:rsidRDefault="005C1D8C" w:rsidP="005C1D8C">
      <w:pPr>
        <w:jc w:val="center"/>
        <w:rPr>
          <w:sz w:val="24"/>
        </w:rPr>
      </w:pPr>
      <w:r w:rsidRPr="00BB3C01">
        <w:rPr>
          <w:sz w:val="24"/>
        </w:rPr>
        <w:t>Atlanta, Georgia</w:t>
      </w:r>
    </w:p>
    <w:p w14:paraId="2BC4E2E4" w14:textId="77777777" w:rsidR="00ED028C" w:rsidRPr="00BB3C01" w:rsidRDefault="00ED028C">
      <w:pPr>
        <w:jc w:val="center"/>
        <w:rPr>
          <w:b/>
          <w:sz w:val="24"/>
          <w:highlight w:val="yellow"/>
        </w:rPr>
      </w:pPr>
    </w:p>
    <w:p w14:paraId="3B41075D" w14:textId="77777777" w:rsidR="00ED028C" w:rsidRPr="00BB3C01" w:rsidRDefault="00ED028C">
      <w:pPr>
        <w:jc w:val="center"/>
        <w:rPr>
          <w:b/>
          <w:sz w:val="24"/>
          <w:highlight w:val="yellow"/>
        </w:rPr>
      </w:pPr>
    </w:p>
    <w:p w14:paraId="48C46003" w14:textId="77777777" w:rsidR="00ED028C" w:rsidRPr="00BB3C01" w:rsidRDefault="00ED028C">
      <w:pPr>
        <w:jc w:val="center"/>
        <w:rPr>
          <w:b/>
          <w:sz w:val="24"/>
          <w:highlight w:val="yellow"/>
        </w:rPr>
      </w:pPr>
    </w:p>
    <w:p w14:paraId="27A3FDE2" w14:textId="52EFBC06" w:rsidR="00ED028C" w:rsidRPr="00FC00A5" w:rsidRDefault="000D48BF" w:rsidP="00FC00A5">
      <w:pPr>
        <w:jc w:val="center"/>
        <w:rPr>
          <w:sz w:val="24"/>
          <w:highlight w:val="yellow"/>
        </w:rPr>
      </w:pPr>
      <w:r w:rsidRPr="00BB3C01">
        <w:rPr>
          <w:iCs/>
          <w:sz w:val="24"/>
          <w:highlight w:val="yellow"/>
        </w:rPr>
        <w:br w:type="page"/>
      </w:r>
    </w:p>
    <w:p w14:paraId="594F818B" w14:textId="77777777" w:rsidR="0077042B" w:rsidRPr="00BB3C01" w:rsidRDefault="0077042B">
      <w:pPr>
        <w:pStyle w:val="TOCHeading"/>
        <w:rPr>
          <w:rFonts w:ascii="Times New Roman" w:hAnsi="Times New Roman"/>
          <w:sz w:val="24"/>
          <w:szCs w:val="24"/>
          <w:highlight w:val="yellow"/>
        </w:rPr>
      </w:pPr>
      <w:r w:rsidRPr="00BB3C01">
        <w:rPr>
          <w:rFonts w:ascii="Times New Roman" w:hAnsi="Times New Roman"/>
          <w:color w:val="auto"/>
          <w:sz w:val="24"/>
          <w:szCs w:val="24"/>
        </w:rPr>
        <w:lastRenderedPageBreak/>
        <w:t>Contents</w:t>
      </w:r>
    </w:p>
    <w:p w14:paraId="5A29A569" w14:textId="77777777" w:rsidR="00E01920" w:rsidRPr="00BB3C01" w:rsidRDefault="00E01920" w:rsidP="00E01920">
      <w:pPr>
        <w:rPr>
          <w:sz w:val="24"/>
          <w:highlight w:val="yellow"/>
        </w:rPr>
      </w:pPr>
    </w:p>
    <w:p w14:paraId="6DECCDCA" w14:textId="75E96032" w:rsidR="00247D67" w:rsidRPr="005A7AEE" w:rsidRDefault="00247D67">
      <w:pPr>
        <w:pStyle w:val="TOC2"/>
        <w:tabs>
          <w:tab w:val="left" w:pos="660"/>
          <w:tab w:val="right" w:leader="dot" w:pos="9350"/>
        </w:tabs>
        <w:rPr>
          <w:szCs w:val="20"/>
        </w:rPr>
      </w:pPr>
      <w:r w:rsidRPr="005A7AEE">
        <w:rPr>
          <w:szCs w:val="20"/>
        </w:rPr>
        <w:t>List of Attachments………………………………………………………………………………………………….3</w:t>
      </w:r>
    </w:p>
    <w:p w14:paraId="764023DD" w14:textId="6506C935" w:rsidR="008477F6" w:rsidRDefault="00737F07">
      <w:pPr>
        <w:pStyle w:val="TOC2"/>
        <w:tabs>
          <w:tab w:val="left" w:pos="660"/>
          <w:tab w:val="right" w:leader="dot" w:pos="9350"/>
        </w:tabs>
        <w:rPr>
          <w:rFonts w:asciiTheme="minorHAnsi" w:eastAsiaTheme="minorEastAsia" w:hAnsiTheme="minorHAnsi" w:cstheme="minorBidi"/>
          <w:noProof/>
          <w:sz w:val="22"/>
          <w:szCs w:val="22"/>
        </w:rPr>
      </w:pPr>
      <w:r w:rsidRPr="005A7AEE">
        <w:rPr>
          <w:szCs w:val="20"/>
          <w:highlight w:val="yellow"/>
        </w:rPr>
        <w:fldChar w:fldCharType="begin"/>
      </w:r>
      <w:r w:rsidR="0077042B" w:rsidRPr="005A7AEE">
        <w:rPr>
          <w:szCs w:val="20"/>
          <w:highlight w:val="yellow"/>
        </w:rPr>
        <w:instrText xml:space="preserve"> TOC \o "1-3" \h \z \u </w:instrText>
      </w:r>
      <w:r w:rsidRPr="005A7AEE">
        <w:rPr>
          <w:szCs w:val="20"/>
          <w:highlight w:val="yellow"/>
        </w:rPr>
        <w:fldChar w:fldCharType="separate"/>
      </w:r>
      <w:hyperlink w:anchor="_Toc7600436" w:history="1">
        <w:r w:rsidR="008477F6" w:rsidRPr="00330B62">
          <w:rPr>
            <w:rStyle w:val="Hyperlink"/>
            <w:noProof/>
          </w:rPr>
          <w:t>A.</w:t>
        </w:r>
        <w:r w:rsidR="008477F6">
          <w:rPr>
            <w:rFonts w:asciiTheme="minorHAnsi" w:eastAsiaTheme="minorEastAsia" w:hAnsiTheme="minorHAnsi" w:cstheme="minorBidi"/>
            <w:noProof/>
            <w:sz w:val="22"/>
            <w:szCs w:val="22"/>
          </w:rPr>
          <w:tab/>
        </w:r>
        <w:r w:rsidR="008477F6" w:rsidRPr="00330B62">
          <w:rPr>
            <w:rStyle w:val="Hyperlink"/>
            <w:noProof/>
          </w:rPr>
          <w:t>Justification</w:t>
        </w:r>
        <w:r w:rsidR="008477F6">
          <w:rPr>
            <w:noProof/>
            <w:webHidden/>
          </w:rPr>
          <w:tab/>
        </w:r>
        <w:r w:rsidR="008477F6">
          <w:rPr>
            <w:noProof/>
            <w:webHidden/>
          </w:rPr>
          <w:fldChar w:fldCharType="begin"/>
        </w:r>
        <w:r w:rsidR="008477F6">
          <w:rPr>
            <w:noProof/>
            <w:webHidden/>
          </w:rPr>
          <w:instrText xml:space="preserve"> PAGEREF _Toc7600436 \h </w:instrText>
        </w:r>
        <w:r w:rsidR="008477F6">
          <w:rPr>
            <w:noProof/>
            <w:webHidden/>
          </w:rPr>
        </w:r>
        <w:r w:rsidR="008477F6">
          <w:rPr>
            <w:noProof/>
            <w:webHidden/>
          </w:rPr>
          <w:fldChar w:fldCharType="separate"/>
        </w:r>
        <w:r w:rsidR="00BD6718">
          <w:rPr>
            <w:noProof/>
            <w:webHidden/>
          </w:rPr>
          <w:t>5</w:t>
        </w:r>
        <w:r w:rsidR="008477F6">
          <w:rPr>
            <w:noProof/>
            <w:webHidden/>
          </w:rPr>
          <w:fldChar w:fldCharType="end"/>
        </w:r>
      </w:hyperlink>
    </w:p>
    <w:p w14:paraId="15ACD26B" w14:textId="21969711"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37" w:history="1">
        <w:r w:rsidR="008477F6" w:rsidRPr="00330B62">
          <w:rPr>
            <w:rStyle w:val="Hyperlink"/>
            <w:noProof/>
          </w:rPr>
          <w:t>1.</w:t>
        </w:r>
        <w:r w:rsidR="008477F6">
          <w:rPr>
            <w:rFonts w:asciiTheme="minorHAnsi" w:eastAsiaTheme="minorEastAsia" w:hAnsiTheme="minorHAnsi" w:cstheme="minorBidi"/>
            <w:noProof/>
            <w:sz w:val="22"/>
            <w:szCs w:val="22"/>
          </w:rPr>
          <w:tab/>
        </w:r>
        <w:r w:rsidR="008477F6" w:rsidRPr="00330B62">
          <w:rPr>
            <w:rStyle w:val="Hyperlink"/>
            <w:noProof/>
          </w:rPr>
          <w:t>Circumstances Making the Collection of Information Necessary</w:t>
        </w:r>
        <w:r w:rsidR="008477F6">
          <w:rPr>
            <w:noProof/>
            <w:webHidden/>
          </w:rPr>
          <w:tab/>
        </w:r>
        <w:r w:rsidR="008477F6">
          <w:rPr>
            <w:noProof/>
            <w:webHidden/>
          </w:rPr>
          <w:fldChar w:fldCharType="begin"/>
        </w:r>
        <w:r w:rsidR="008477F6">
          <w:rPr>
            <w:noProof/>
            <w:webHidden/>
          </w:rPr>
          <w:instrText xml:space="preserve"> PAGEREF _Toc7600437 \h </w:instrText>
        </w:r>
        <w:r w:rsidR="008477F6">
          <w:rPr>
            <w:noProof/>
            <w:webHidden/>
          </w:rPr>
        </w:r>
        <w:r w:rsidR="008477F6">
          <w:rPr>
            <w:noProof/>
            <w:webHidden/>
          </w:rPr>
          <w:fldChar w:fldCharType="separate"/>
        </w:r>
        <w:r w:rsidR="00BD6718">
          <w:rPr>
            <w:noProof/>
            <w:webHidden/>
          </w:rPr>
          <w:t>5</w:t>
        </w:r>
        <w:r w:rsidR="008477F6">
          <w:rPr>
            <w:noProof/>
            <w:webHidden/>
          </w:rPr>
          <w:fldChar w:fldCharType="end"/>
        </w:r>
      </w:hyperlink>
    </w:p>
    <w:p w14:paraId="22111389" w14:textId="6A147B14"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38" w:history="1">
        <w:r w:rsidR="008477F6" w:rsidRPr="00330B62">
          <w:rPr>
            <w:rStyle w:val="Hyperlink"/>
            <w:noProof/>
          </w:rPr>
          <w:t>2.</w:t>
        </w:r>
        <w:r w:rsidR="008477F6">
          <w:rPr>
            <w:rFonts w:asciiTheme="minorHAnsi" w:eastAsiaTheme="minorEastAsia" w:hAnsiTheme="minorHAnsi" w:cstheme="minorBidi"/>
            <w:noProof/>
            <w:sz w:val="22"/>
            <w:szCs w:val="22"/>
          </w:rPr>
          <w:tab/>
        </w:r>
        <w:r w:rsidR="008477F6" w:rsidRPr="00330B62">
          <w:rPr>
            <w:rStyle w:val="Hyperlink"/>
            <w:noProof/>
          </w:rPr>
          <w:t>Purpose and Use of Information Collection</w:t>
        </w:r>
        <w:r w:rsidR="008477F6">
          <w:rPr>
            <w:noProof/>
            <w:webHidden/>
          </w:rPr>
          <w:tab/>
        </w:r>
        <w:r w:rsidR="008477F6">
          <w:rPr>
            <w:noProof/>
            <w:webHidden/>
          </w:rPr>
          <w:fldChar w:fldCharType="begin"/>
        </w:r>
        <w:r w:rsidR="008477F6">
          <w:rPr>
            <w:noProof/>
            <w:webHidden/>
          </w:rPr>
          <w:instrText xml:space="preserve"> PAGEREF _Toc7600438 \h </w:instrText>
        </w:r>
        <w:r w:rsidR="008477F6">
          <w:rPr>
            <w:noProof/>
            <w:webHidden/>
          </w:rPr>
        </w:r>
        <w:r w:rsidR="008477F6">
          <w:rPr>
            <w:noProof/>
            <w:webHidden/>
          </w:rPr>
          <w:fldChar w:fldCharType="separate"/>
        </w:r>
        <w:r w:rsidR="00BD6718">
          <w:rPr>
            <w:noProof/>
            <w:webHidden/>
          </w:rPr>
          <w:t>7</w:t>
        </w:r>
        <w:r w:rsidR="008477F6">
          <w:rPr>
            <w:noProof/>
            <w:webHidden/>
          </w:rPr>
          <w:fldChar w:fldCharType="end"/>
        </w:r>
      </w:hyperlink>
    </w:p>
    <w:p w14:paraId="04273F3F" w14:textId="79B830C9"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39" w:history="1">
        <w:r w:rsidR="008477F6" w:rsidRPr="00330B62">
          <w:rPr>
            <w:rStyle w:val="Hyperlink"/>
            <w:noProof/>
          </w:rPr>
          <w:t>3.</w:t>
        </w:r>
        <w:r w:rsidR="008477F6">
          <w:rPr>
            <w:rFonts w:asciiTheme="minorHAnsi" w:eastAsiaTheme="minorEastAsia" w:hAnsiTheme="minorHAnsi" w:cstheme="minorBidi"/>
            <w:noProof/>
            <w:sz w:val="22"/>
            <w:szCs w:val="22"/>
          </w:rPr>
          <w:tab/>
        </w:r>
        <w:r w:rsidR="008477F6" w:rsidRPr="00330B62">
          <w:rPr>
            <w:rStyle w:val="Hyperlink"/>
            <w:noProof/>
          </w:rPr>
          <w:t>Use of Improved Information Technology and Burden Reduction</w:t>
        </w:r>
        <w:r w:rsidR="008477F6">
          <w:rPr>
            <w:noProof/>
            <w:webHidden/>
          </w:rPr>
          <w:tab/>
        </w:r>
        <w:r w:rsidR="008477F6">
          <w:rPr>
            <w:noProof/>
            <w:webHidden/>
          </w:rPr>
          <w:fldChar w:fldCharType="begin"/>
        </w:r>
        <w:r w:rsidR="008477F6">
          <w:rPr>
            <w:noProof/>
            <w:webHidden/>
          </w:rPr>
          <w:instrText xml:space="preserve"> PAGEREF _Toc7600439 \h </w:instrText>
        </w:r>
        <w:r w:rsidR="008477F6">
          <w:rPr>
            <w:noProof/>
            <w:webHidden/>
          </w:rPr>
        </w:r>
        <w:r w:rsidR="008477F6">
          <w:rPr>
            <w:noProof/>
            <w:webHidden/>
          </w:rPr>
          <w:fldChar w:fldCharType="separate"/>
        </w:r>
        <w:r w:rsidR="00BD6718">
          <w:rPr>
            <w:noProof/>
            <w:webHidden/>
          </w:rPr>
          <w:t>8</w:t>
        </w:r>
        <w:r w:rsidR="008477F6">
          <w:rPr>
            <w:noProof/>
            <w:webHidden/>
          </w:rPr>
          <w:fldChar w:fldCharType="end"/>
        </w:r>
      </w:hyperlink>
    </w:p>
    <w:p w14:paraId="70B20A82" w14:textId="3C421CA5"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40" w:history="1">
        <w:r w:rsidR="008477F6" w:rsidRPr="00330B62">
          <w:rPr>
            <w:rStyle w:val="Hyperlink"/>
            <w:noProof/>
          </w:rPr>
          <w:t>4.</w:t>
        </w:r>
        <w:r w:rsidR="008477F6">
          <w:rPr>
            <w:rFonts w:asciiTheme="minorHAnsi" w:eastAsiaTheme="minorEastAsia" w:hAnsiTheme="minorHAnsi" w:cstheme="minorBidi"/>
            <w:noProof/>
            <w:sz w:val="22"/>
            <w:szCs w:val="22"/>
          </w:rPr>
          <w:tab/>
        </w:r>
        <w:r w:rsidR="008477F6" w:rsidRPr="00330B62">
          <w:rPr>
            <w:rStyle w:val="Hyperlink"/>
            <w:noProof/>
          </w:rPr>
          <w:t>Efforts to Identify Duplication and Use of Similar Information</w:t>
        </w:r>
        <w:r w:rsidR="008477F6">
          <w:rPr>
            <w:noProof/>
            <w:webHidden/>
          </w:rPr>
          <w:tab/>
        </w:r>
        <w:r w:rsidR="008477F6">
          <w:rPr>
            <w:noProof/>
            <w:webHidden/>
          </w:rPr>
          <w:fldChar w:fldCharType="begin"/>
        </w:r>
        <w:r w:rsidR="008477F6">
          <w:rPr>
            <w:noProof/>
            <w:webHidden/>
          </w:rPr>
          <w:instrText xml:space="preserve"> PAGEREF _Toc7600440 \h </w:instrText>
        </w:r>
        <w:r w:rsidR="008477F6">
          <w:rPr>
            <w:noProof/>
            <w:webHidden/>
          </w:rPr>
        </w:r>
        <w:r w:rsidR="008477F6">
          <w:rPr>
            <w:noProof/>
            <w:webHidden/>
          </w:rPr>
          <w:fldChar w:fldCharType="separate"/>
        </w:r>
        <w:r w:rsidR="00BD6718">
          <w:rPr>
            <w:noProof/>
            <w:webHidden/>
          </w:rPr>
          <w:t>10</w:t>
        </w:r>
        <w:r w:rsidR="008477F6">
          <w:rPr>
            <w:noProof/>
            <w:webHidden/>
          </w:rPr>
          <w:fldChar w:fldCharType="end"/>
        </w:r>
      </w:hyperlink>
    </w:p>
    <w:p w14:paraId="794A0706" w14:textId="0EF204ED"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41" w:history="1">
        <w:r w:rsidR="008477F6" w:rsidRPr="00330B62">
          <w:rPr>
            <w:rStyle w:val="Hyperlink"/>
            <w:noProof/>
          </w:rPr>
          <w:t>5.</w:t>
        </w:r>
        <w:r w:rsidR="008477F6">
          <w:rPr>
            <w:rFonts w:asciiTheme="minorHAnsi" w:eastAsiaTheme="minorEastAsia" w:hAnsiTheme="minorHAnsi" w:cstheme="minorBidi"/>
            <w:noProof/>
            <w:sz w:val="22"/>
            <w:szCs w:val="22"/>
          </w:rPr>
          <w:tab/>
        </w:r>
        <w:r w:rsidR="008477F6" w:rsidRPr="00330B62">
          <w:rPr>
            <w:rStyle w:val="Hyperlink"/>
            <w:noProof/>
          </w:rPr>
          <w:t>Impact on Small Businesses or Other Small Entities</w:t>
        </w:r>
        <w:r w:rsidR="008477F6">
          <w:rPr>
            <w:noProof/>
            <w:webHidden/>
          </w:rPr>
          <w:tab/>
        </w:r>
        <w:r w:rsidR="008477F6">
          <w:rPr>
            <w:noProof/>
            <w:webHidden/>
          </w:rPr>
          <w:fldChar w:fldCharType="begin"/>
        </w:r>
        <w:r w:rsidR="008477F6">
          <w:rPr>
            <w:noProof/>
            <w:webHidden/>
          </w:rPr>
          <w:instrText xml:space="preserve"> PAGEREF _Toc7600441 \h </w:instrText>
        </w:r>
        <w:r w:rsidR="008477F6">
          <w:rPr>
            <w:noProof/>
            <w:webHidden/>
          </w:rPr>
        </w:r>
        <w:r w:rsidR="008477F6">
          <w:rPr>
            <w:noProof/>
            <w:webHidden/>
          </w:rPr>
          <w:fldChar w:fldCharType="separate"/>
        </w:r>
        <w:r w:rsidR="00BD6718">
          <w:rPr>
            <w:noProof/>
            <w:webHidden/>
          </w:rPr>
          <w:t>12</w:t>
        </w:r>
        <w:r w:rsidR="008477F6">
          <w:rPr>
            <w:noProof/>
            <w:webHidden/>
          </w:rPr>
          <w:fldChar w:fldCharType="end"/>
        </w:r>
      </w:hyperlink>
    </w:p>
    <w:p w14:paraId="27FC5D4E" w14:textId="08D297B1"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42" w:history="1">
        <w:r w:rsidR="008477F6" w:rsidRPr="00330B62">
          <w:rPr>
            <w:rStyle w:val="Hyperlink"/>
            <w:noProof/>
          </w:rPr>
          <w:t>6.</w:t>
        </w:r>
        <w:r w:rsidR="008477F6">
          <w:rPr>
            <w:rFonts w:asciiTheme="minorHAnsi" w:eastAsiaTheme="minorEastAsia" w:hAnsiTheme="minorHAnsi" w:cstheme="minorBidi"/>
            <w:noProof/>
            <w:sz w:val="22"/>
            <w:szCs w:val="22"/>
          </w:rPr>
          <w:tab/>
        </w:r>
        <w:r w:rsidR="008477F6" w:rsidRPr="00330B62">
          <w:rPr>
            <w:rStyle w:val="Hyperlink"/>
            <w:noProof/>
          </w:rPr>
          <w:t>Consequences of Collecting the Information Less Frequently</w:t>
        </w:r>
        <w:r w:rsidR="008477F6">
          <w:rPr>
            <w:noProof/>
            <w:webHidden/>
          </w:rPr>
          <w:tab/>
        </w:r>
        <w:r w:rsidR="008477F6">
          <w:rPr>
            <w:noProof/>
            <w:webHidden/>
          </w:rPr>
          <w:fldChar w:fldCharType="begin"/>
        </w:r>
        <w:r w:rsidR="008477F6">
          <w:rPr>
            <w:noProof/>
            <w:webHidden/>
          </w:rPr>
          <w:instrText xml:space="preserve"> PAGEREF _Toc7600442 \h </w:instrText>
        </w:r>
        <w:r w:rsidR="008477F6">
          <w:rPr>
            <w:noProof/>
            <w:webHidden/>
          </w:rPr>
        </w:r>
        <w:r w:rsidR="008477F6">
          <w:rPr>
            <w:noProof/>
            <w:webHidden/>
          </w:rPr>
          <w:fldChar w:fldCharType="separate"/>
        </w:r>
        <w:r w:rsidR="00BD6718">
          <w:rPr>
            <w:noProof/>
            <w:webHidden/>
          </w:rPr>
          <w:t>12</w:t>
        </w:r>
        <w:r w:rsidR="008477F6">
          <w:rPr>
            <w:noProof/>
            <w:webHidden/>
          </w:rPr>
          <w:fldChar w:fldCharType="end"/>
        </w:r>
      </w:hyperlink>
    </w:p>
    <w:p w14:paraId="17943103" w14:textId="58CB3DF3"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43" w:history="1">
        <w:r w:rsidR="008477F6" w:rsidRPr="00330B62">
          <w:rPr>
            <w:rStyle w:val="Hyperlink"/>
            <w:noProof/>
          </w:rPr>
          <w:t>7.</w:t>
        </w:r>
        <w:r w:rsidR="008477F6">
          <w:rPr>
            <w:rFonts w:asciiTheme="minorHAnsi" w:eastAsiaTheme="minorEastAsia" w:hAnsiTheme="minorHAnsi" w:cstheme="minorBidi"/>
            <w:noProof/>
            <w:sz w:val="22"/>
            <w:szCs w:val="22"/>
          </w:rPr>
          <w:tab/>
        </w:r>
        <w:r w:rsidR="008477F6" w:rsidRPr="00330B62">
          <w:rPr>
            <w:rStyle w:val="Hyperlink"/>
            <w:noProof/>
          </w:rPr>
          <w:t>Special Circumstances Relating to the Guidelines of 5 CFR 1320.5</w:t>
        </w:r>
        <w:r w:rsidR="008477F6">
          <w:rPr>
            <w:noProof/>
            <w:webHidden/>
          </w:rPr>
          <w:tab/>
        </w:r>
        <w:r w:rsidR="008477F6">
          <w:rPr>
            <w:noProof/>
            <w:webHidden/>
          </w:rPr>
          <w:fldChar w:fldCharType="begin"/>
        </w:r>
        <w:r w:rsidR="008477F6">
          <w:rPr>
            <w:noProof/>
            <w:webHidden/>
          </w:rPr>
          <w:instrText xml:space="preserve"> PAGEREF _Toc7600443 \h </w:instrText>
        </w:r>
        <w:r w:rsidR="008477F6">
          <w:rPr>
            <w:noProof/>
            <w:webHidden/>
          </w:rPr>
        </w:r>
        <w:r w:rsidR="008477F6">
          <w:rPr>
            <w:noProof/>
            <w:webHidden/>
          </w:rPr>
          <w:fldChar w:fldCharType="separate"/>
        </w:r>
        <w:r w:rsidR="00BD6718">
          <w:rPr>
            <w:noProof/>
            <w:webHidden/>
          </w:rPr>
          <w:t>13</w:t>
        </w:r>
        <w:r w:rsidR="008477F6">
          <w:rPr>
            <w:noProof/>
            <w:webHidden/>
          </w:rPr>
          <w:fldChar w:fldCharType="end"/>
        </w:r>
      </w:hyperlink>
    </w:p>
    <w:p w14:paraId="2B28F1FE" w14:textId="141AD905"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44" w:history="1">
        <w:r w:rsidR="008477F6" w:rsidRPr="00330B62">
          <w:rPr>
            <w:rStyle w:val="Hyperlink"/>
            <w:noProof/>
          </w:rPr>
          <w:t>8.</w:t>
        </w:r>
        <w:r w:rsidR="008477F6">
          <w:rPr>
            <w:rFonts w:asciiTheme="minorHAnsi" w:eastAsiaTheme="minorEastAsia" w:hAnsiTheme="minorHAnsi" w:cstheme="minorBidi"/>
            <w:noProof/>
            <w:sz w:val="22"/>
            <w:szCs w:val="22"/>
          </w:rPr>
          <w:tab/>
        </w:r>
        <w:r w:rsidR="008477F6" w:rsidRPr="00330B62">
          <w:rPr>
            <w:rStyle w:val="Hyperlink"/>
            <w:noProof/>
          </w:rPr>
          <w:t>Comments in Response to the Federal Register Notice and Efforts to Consult Outside the Agency</w:t>
        </w:r>
        <w:r w:rsidR="008477F6">
          <w:rPr>
            <w:noProof/>
            <w:webHidden/>
          </w:rPr>
          <w:tab/>
        </w:r>
        <w:r w:rsidR="008477F6">
          <w:rPr>
            <w:noProof/>
            <w:webHidden/>
          </w:rPr>
          <w:fldChar w:fldCharType="begin"/>
        </w:r>
        <w:r w:rsidR="008477F6">
          <w:rPr>
            <w:noProof/>
            <w:webHidden/>
          </w:rPr>
          <w:instrText xml:space="preserve"> PAGEREF _Toc7600444 \h </w:instrText>
        </w:r>
        <w:r w:rsidR="008477F6">
          <w:rPr>
            <w:noProof/>
            <w:webHidden/>
          </w:rPr>
        </w:r>
        <w:r w:rsidR="008477F6">
          <w:rPr>
            <w:noProof/>
            <w:webHidden/>
          </w:rPr>
          <w:fldChar w:fldCharType="separate"/>
        </w:r>
        <w:r w:rsidR="00BD6718">
          <w:rPr>
            <w:noProof/>
            <w:webHidden/>
          </w:rPr>
          <w:t>13</w:t>
        </w:r>
        <w:r w:rsidR="008477F6">
          <w:rPr>
            <w:noProof/>
            <w:webHidden/>
          </w:rPr>
          <w:fldChar w:fldCharType="end"/>
        </w:r>
      </w:hyperlink>
    </w:p>
    <w:p w14:paraId="5CD87610" w14:textId="71B4E723"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45" w:history="1">
        <w:r w:rsidR="008477F6" w:rsidRPr="00330B62">
          <w:rPr>
            <w:rStyle w:val="Hyperlink"/>
            <w:noProof/>
          </w:rPr>
          <w:t>9.</w:t>
        </w:r>
        <w:r w:rsidR="008477F6">
          <w:rPr>
            <w:rFonts w:asciiTheme="minorHAnsi" w:eastAsiaTheme="minorEastAsia" w:hAnsiTheme="minorHAnsi" w:cstheme="minorBidi"/>
            <w:noProof/>
            <w:sz w:val="22"/>
            <w:szCs w:val="22"/>
          </w:rPr>
          <w:tab/>
        </w:r>
        <w:r w:rsidR="008477F6" w:rsidRPr="00330B62">
          <w:rPr>
            <w:rStyle w:val="Hyperlink"/>
            <w:noProof/>
          </w:rPr>
          <w:t>Explanation of any Payment/Gift to Respondents</w:t>
        </w:r>
        <w:r w:rsidR="008477F6">
          <w:rPr>
            <w:noProof/>
            <w:webHidden/>
          </w:rPr>
          <w:tab/>
        </w:r>
        <w:r w:rsidR="008477F6">
          <w:rPr>
            <w:noProof/>
            <w:webHidden/>
          </w:rPr>
          <w:fldChar w:fldCharType="begin"/>
        </w:r>
        <w:r w:rsidR="008477F6">
          <w:rPr>
            <w:noProof/>
            <w:webHidden/>
          </w:rPr>
          <w:instrText xml:space="preserve"> PAGEREF _Toc7600445 \h </w:instrText>
        </w:r>
        <w:r w:rsidR="008477F6">
          <w:rPr>
            <w:noProof/>
            <w:webHidden/>
          </w:rPr>
        </w:r>
        <w:r w:rsidR="008477F6">
          <w:rPr>
            <w:noProof/>
            <w:webHidden/>
          </w:rPr>
          <w:fldChar w:fldCharType="separate"/>
        </w:r>
        <w:r w:rsidR="00BD6718">
          <w:rPr>
            <w:noProof/>
            <w:webHidden/>
          </w:rPr>
          <w:t>14</w:t>
        </w:r>
        <w:r w:rsidR="008477F6">
          <w:rPr>
            <w:noProof/>
            <w:webHidden/>
          </w:rPr>
          <w:fldChar w:fldCharType="end"/>
        </w:r>
      </w:hyperlink>
    </w:p>
    <w:p w14:paraId="77362704" w14:textId="53EC75E0"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46" w:history="1">
        <w:r w:rsidR="008477F6" w:rsidRPr="00330B62">
          <w:rPr>
            <w:rStyle w:val="Hyperlink"/>
            <w:noProof/>
          </w:rPr>
          <w:t>10.</w:t>
        </w:r>
        <w:r w:rsidR="008477F6">
          <w:rPr>
            <w:rFonts w:asciiTheme="minorHAnsi" w:eastAsiaTheme="minorEastAsia" w:hAnsiTheme="minorHAnsi" w:cstheme="minorBidi"/>
            <w:noProof/>
            <w:sz w:val="22"/>
            <w:szCs w:val="22"/>
          </w:rPr>
          <w:tab/>
        </w:r>
        <w:r w:rsidR="008477F6" w:rsidRPr="00330B62">
          <w:rPr>
            <w:rStyle w:val="Hyperlink"/>
            <w:noProof/>
          </w:rPr>
          <w:t>Protection of the Privacy and Confidentiality of Information Provided by Respondents</w:t>
        </w:r>
        <w:r w:rsidR="008477F6">
          <w:rPr>
            <w:noProof/>
            <w:webHidden/>
          </w:rPr>
          <w:tab/>
        </w:r>
        <w:r w:rsidR="008477F6">
          <w:rPr>
            <w:noProof/>
            <w:webHidden/>
          </w:rPr>
          <w:fldChar w:fldCharType="begin"/>
        </w:r>
        <w:r w:rsidR="008477F6">
          <w:rPr>
            <w:noProof/>
            <w:webHidden/>
          </w:rPr>
          <w:instrText xml:space="preserve"> PAGEREF _Toc7600446 \h </w:instrText>
        </w:r>
        <w:r w:rsidR="008477F6">
          <w:rPr>
            <w:noProof/>
            <w:webHidden/>
          </w:rPr>
        </w:r>
        <w:r w:rsidR="008477F6">
          <w:rPr>
            <w:noProof/>
            <w:webHidden/>
          </w:rPr>
          <w:fldChar w:fldCharType="separate"/>
        </w:r>
        <w:r w:rsidR="00BD6718">
          <w:rPr>
            <w:noProof/>
            <w:webHidden/>
          </w:rPr>
          <w:t>14</w:t>
        </w:r>
        <w:r w:rsidR="008477F6">
          <w:rPr>
            <w:noProof/>
            <w:webHidden/>
          </w:rPr>
          <w:fldChar w:fldCharType="end"/>
        </w:r>
      </w:hyperlink>
    </w:p>
    <w:p w14:paraId="7383B12C" w14:textId="3F304513"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47" w:history="1">
        <w:r w:rsidR="008477F6" w:rsidRPr="00330B62">
          <w:rPr>
            <w:rStyle w:val="Hyperlink"/>
            <w:noProof/>
          </w:rPr>
          <w:t>11.</w:t>
        </w:r>
        <w:r w:rsidR="008477F6">
          <w:rPr>
            <w:rFonts w:asciiTheme="minorHAnsi" w:eastAsiaTheme="minorEastAsia" w:hAnsiTheme="minorHAnsi" w:cstheme="minorBidi"/>
            <w:noProof/>
            <w:sz w:val="22"/>
            <w:szCs w:val="22"/>
          </w:rPr>
          <w:tab/>
        </w:r>
        <w:r w:rsidR="008477F6" w:rsidRPr="00330B62">
          <w:rPr>
            <w:rStyle w:val="Hyperlink"/>
            <w:noProof/>
          </w:rPr>
          <w:t>Justification for Sensitive Questions</w:t>
        </w:r>
        <w:r w:rsidR="008477F6">
          <w:rPr>
            <w:noProof/>
            <w:webHidden/>
          </w:rPr>
          <w:tab/>
        </w:r>
        <w:r w:rsidR="008477F6">
          <w:rPr>
            <w:noProof/>
            <w:webHidden/>
          </w:rPr>
          <w:fldChar w:fldCharType="begin"/>
        </w:r>
        <w:r w:rsidR="008477F6">
          <w:rPr>
            <w:noProof/>
            <w:webHidden/>
          </w:rPr>
          <w:instrText xml:space="preserve"> PAGEREF _Toc7600447 \h </w:instrText>
        </w:r>
        <w:r w:rsidR="008477F6">
          <w:rPr>
            <w:noProof/>
            <w:webHidden/>
          </w:rPr>
        </w:r>
        <w:r w:rsidR="008477F6">
          <w:rPr>
            <w:noProof/>
            <w:webHidden/>
          </w:rPr>
          <w:fldChar w:fldCharType="separate"/>
        </w:r>
        <w:r w:rsidR="00BD6718">
          <w:rPr>
            <w:noProof/>
            <w:webHidden/>
          </w:rPr>
          <w:t>18</w:t>
        </w:r>
        <w:r w:rsidR="008477F6">
          <w:rPr>
            <w:noProof/>
            <w:webHidden/>
          </w:rPr>
          <w:fldChar w:fldCharType="end"/>
        </w:r>
      </w:hyperlink>
    </w:p>
    <w:p w14:paraId="1E30D468" w14:textId="0AEA90FB"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48" w:history="1">
        <w:r w:rsidR="008477F6" w:rsidRPr="00330B62">
          <w:rPr>
            <w:rStyle w:val="Hyperlink"/>
            <w:noProof/>
          </w:rPr>
          <w:t>12.</w:t>
        </w:r>
        <w:r w:rsidR="008477F6">
          <w:rPr>
            <w:rFonts w:asciiTheme="minorHAnsi" w:eastAsiaTheme="minorEastAsia" w:hAnsiTheme="minorHAnsi" w:cstheme="minorBidi"/>
            <w:noProof/>
            <w:sz w:val="22"/>
            <w:szCs w:val="22"/>
          </w:rPr>
          <w:tab/>
        </w:r>
        <w:r w:rsidR="008477F6" w:rsidRPr="00330B62">
          <w:rPr>
            <w:rStyle w:val="Hyperlink"/>
            <w:noProof/>
          </w:rPr>
          <w:t>Estimates of Annualized Burden Hours and Costs</w:t>
        </w:r>
        <w:r w:rsidR="008477F6">
          <w:rPr>
            <w:noProof/>
            <w:webHidden/>
          </w:rPr>
          <w:tab/>
        </w:r>
        <w:r w:rsidR="008477F6">
          <w:rPr>
            <w:noProof/>
            <w:webHidden/>
          </w:rPr>
          <w:fldChar w:fldCharType="begin"/>
        </w:r>
        <w:r w:rsidR="008477F6">
          <w:rPr>
            <w:noProof/>
            <w:webHidden/>
          </w:rPr>
          <w:instrText xml:space="preserve"> PAGEREF _Toc7600448 \h </w:instrText>
        </w:r>
        <w:r w:rsidR="008477F6">
          <w:rPr>
            <w:noProof/>
            <w:webHidden/>
          </w:rPr>
        </w:r>
        <w:r w:rsidR="008477F6">
          <w:rPr>
            <w:noProof/>
            <w:webHidden/>
          </w:rPr>
          <w:fldChar w:fldCharType="separate"/>
        </w:r>
        <w:r w:rsidR="00BD6718">
          <w:rPr>
            <w:noProof/>
            <w:webHidden/>
          </w:rPr>
          <w:t>19</w:t>
        </w:r>
        <w:r w:rsidR="008477F6">
          <w:rPr>
            <w:noProof/>
            <w:webHidden/>
          </w:rPr>
          <w:fldChar w:fldCharType="end"/>
        </w:r>
      </w:hyperlink>
    </w:p>
    <w:p w14:paraId="52515127" w14:textId="4070042E"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49" w:history="1">
        <w:r w:rsidR="008477F6" w:rsidRPr="00330B62">
          <w:rPr>
            <w:rStyle w:val="Hyperlink"/>
            <w:noProof/>
          </w:rPr>
          <w:t>13.</w:t>
        </w:r>
        <w:r w:rsidR="008477F6">
          <w:rPr>
            <w:rFonts w:asciiTheme="minorHAnsi" w:eastAsiaTheme="minorEastAsia" w:hAnsiTheme="minorHAnsi" w:cstheme="minorBidi"/>
            <w:noProof/>
            <w:sz w:val="22"/>
            <w:szCs w:val="22"/>
          </w:rPr>
          <w:tab/>
        </w:r>
        <w:r w:rsidR="008477F6" w:rsidRPr="00330B62">
          <w:rPr>
            <w:rStyle w:val="Hyperlink"/>
            <w:noProof/>
          </w:rPr>
          <w:t>Estimates of Other Total Annual Cost Burden to Respondents or Record Keepers</w:t>
        </w:r>
        <w:r w:rsidR="008477F6">
          <w:rPr>
            <w:noProof/>
            <w:webHidden/>
          </w:rPr>
          <w:tab/>
        </w:r>
        <w:r w:rsidR="008477F6">
          <w:rPr>
            <w:noProof/>
            <w:webHidden/>
          </w:rPr>
          <w:fldChar w:fldCharType="begin"/>
        </w:r>
        <w:r w:rsidR="008477F6">
          <w:rPr>
            <w:noProof/>
            <w:webHidden/>
          </w:rPr>
          <w:instrText xml:space="preserve"> PAGEREF _Toc7600449 \h </w:instrText>
        </w:r>
        <w:r w:rsidR="008477F6">
          <w:rPr>
            <w:noProof/>
            <w:webHidden/>
          </w:rPr>
        </w:r>
        <w:r w:rsidR="008477F6">
          <w:rPr>
            <w:noProof/>
            <w:webHidden/>
          </w:rPr>
          <w:fldChar w:fldCharType="separate"/>
        </w:r>
        <w:r w:rsidR="00BD6718">
          <w:rPr>
            <w:noProof/>
            <w:webHidden/>
          </w:rPr>
          <w:t>21</w:t>
        </w:r>
        <w:r w:rsidR="008477F6">
          <w:rPr>
            <w:noProof/>
            <w:webHidden/>
          </w:rPr>
          <w:fldChar w:fldCharType="end"/>
        </w:r>
      </w:hyperlink>
    </w:p>
    <w:p w14:paraId="14A327ED" w14:textId="709E9EC1"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50" w:history="1">
        <w:r w:rsidR="008477F6" w:rsidRPr="00330B62">
          <w:rPr>
            <w:rStyle w:val="Hyperlink"/>
            <w:noProof/>
          </w:rPr>
          <w:t>14.</w:t>
        </w:r>
        <w:r w:rsidR="008477F6">
          <w:rPr>
            <w:rFonts w:asciiTheme="minorHAnsi" w:eastAsiaTheme="minorEastAsia" w:hAnsiTheme="minorHAnsi" w:cstheme="minorBidi"/>
            <w:noProof/>
            <w:sz w:val="22"/>
            <w:szCs w:val="22"/>
          </w:rPr>
          <w:tab/>
        </w:r>
        <w:r w:rsidR="008477F6" w:rsidRPr="00330B62">
          <w:rPr>
            <w:rStyle w:val="Hyperlink"/>
            <w:noProof/>
          </w:rPr>
          <w:t>Annualized Cost to Federal Government</w:t>
        </w:r>
        <w:r w:rsidR="008477F6">
          <w:rPr>
            <w:noProof/>
            <w:webHidden/>
          </w:rPr>
          <w:tab/>
        </w:r>
        <w:r w:rsidR="008477F6">
          <w:rPr>
            <w:noProof/>
            <w:webHidden/>
          </w:rPr>
          <w:fldChar w:fldCharType="begin"/>
        </w:r>
        <w:r w:rsidR="008477F6">
          <w:rPr>
            <w:noProof/>
            <w:webHidden/>
          </w:rPr>
          <w:instrText xml:space="preserve"> PAGEREF _Toc7600450 \h </w:instrText>
        </w:r>
        <w:r w:rsidR="008477F6">
          <w:rPr>
            <w:noProof/>
            <w:webHidden/>
          </w:rPr>
        </w:r>
        <w:r w:rsidR="008477F6">
          <w:rPr>
            <w:noProof/>
            <w:webHidden/>
          </w:rPr>
          <w:fldChar w:fldCharType="separate"/>
        </w:r>
        <w:r w:rsidR="00BD6718">
          <w:rPr>
            <w:noProof/>
            <w:webHidden/>
          </w:rPr>
          <w:t>21</w:t>
        </w:r>
        <w:r w:rsidR="008477F6">
          <w:rPr>
            <w:noProof/>
            <w:webHidden/>
          </w:rPr>
          <w:fldChar w:fldCharType="end"/>
        </w:r>
      </w:hyperlink>
    </w:p>
    <w:p w14:paraId="523F7202" w14:textId="4F4BD6DC"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51" w:history="1">
        <w:r w:rsidR="008477F6" w:rsidRPr="00330B62">
          <w:rPr>
            <w:rStyle w:val="Hyperlink"/>
            <w:noProof/>
          </w:rPr>
          <w:t>15.</w:t>
        </w:r>
        <w:r w:rsidR="008477F6">
          <w:rPr>
            <w:rFonts w:asciiTheme="minorHAnsi" w:eastAsiaTheme="minorEastAsia" w:hAnsiTheme="minorHAnsi" w:cstheme="minorBidi"/>
            <w:noProof/>
            <w:sz w:val="22"/>
            <w:szCs w:val="22"/>
          </w:rPr>
          <w:tab/>
        </w:r>
        <w:r w:rsidR="008477F6" w:rsidRPr="00330B62">
          <w:rPr>
            <w:rStyle w:val="Hyperlink"/>
            <w:noProof/>
          </w:rPr>
          <w:t>Explanation for Program Changes or Adjustments</w:t>
        </w:r>
        <w:r w:rsidR="008477F6">
          <w:rPr>
            <w:noProof/>
            <w:webHidden/>
          </w:rPr>
          <w:tab/>
        </w:r>
        <w:r w:rsidR="008477F6">
          <w:rPr>
            <w:noProof/>
            <w:webHidden/>
          </w:rPr>
          <w:fldChar w:fldCharType="begin"/>
        </w:r>
        <w:r w:rsidR="008477F6">
          <w:rPr>
            <w:noProof/>
            <w:webHidden/>
          </w:rPr>
          <w:instrText xml:space="preserve"> PAGEREF _Toc7600451 \h </w:instrText>
        </w:r>
        <w:r w:rsidR="008477F6">
          <w:rPr>
            <w:noProof/>
            <w:webHidden/>
          </w:rPr>
        </w:r>
        <w:r w:rsidR="008477F6">
          <w:rPr>
            <w:noProof/>
            <w:webHidden/>
          </w:rPr>
          <w:fldChar w:fldCharType="separate"/>
        </w:r>
        <w:r w:rsidR="00BD6718">
          <w:rPr>
            <w:noProof/>
            <w:webHidden/>
          </w:rPr>
          <w:t>22</w:t>
        </w:r>
        <w:r w:rsidR="008477F6">
          <w:rPr>
            <w:noProof/>
            <w:webHidden/>
          </w:rPr>
          <w:fldChar w:fldCharType="end"/>
        </w:r>
      </w:hyperlink>
    </w:p>
    <w:p w14:paraId="6705986E" w14:textId="473F1D6E"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52" w:history="1">
        <w:r w:rsidR="008477F6" w:rsidRPr="00330B62">
          <w:rPr>
            <w:rStyle w:val="Hyperlink"/>
            <w:noProof/>
          </w:rPr>
          <w:t>16.</w:t>
        </w:r>
        <w:r w:rsidR="008477F6">
          <w:rPr>
            <w:rFonts w:asciiTheme="minorHAnsi" w:eastAsiaTheme="minorEastAsia" w:hAnsiTheme="minorHAnsi" w:cstheme="minorBidi"/>
            <w:noProof/>
            <w:sz w:val="22"/>
            <w:szCs w:val="22"/>
          </w:rPr>
          <w:tab/>
        </w:r>
        <w:r w:rsidR="008477F6" w:rsidRPr="00330B62">
          <w:rPr>
            <w:rStyle w:val="Hyperlink"/>
            <w:noProof/>
          </w:rPr>
          <w:t>Plans for Tabulation and Publication and Project Time Schedule</w:t>
        </w:r>
        <w:r w:rsidR="008477F6">
          <w:rPr>
            <w:noProof/>
            <w:webHidden/>
          </w:rPr>
          <w:tab/>
        </w:r>
        <w:r w:rsidR="008477F6">
          <w:rPr>
            <w:noProof/>
            <w:webHidden/>
          </w:rPr>
          <w:fldChar w:fldCharType="begin"/>
        </w:r>
        <w:r w:rsidR="008477F6">
          <w:rPr>
            <w:noProof/>
            <w:webHidden/>
          </w:rPr>
          <w:instrText xml:space="preserve"> PAGEREF _Toc7600452 \h </w:instrText>
        </w:r>
        <w:r w:rsidR="008477F6">
          <w:rPr>
            <w:noProof/>
            <w:webHidden/>
          </w:rPr>
        </w:r>
        <w:r w:rsidR="008477F6">
          <w:rPr>
            <w:noProof/>
            <w:webHidden/>
          </w:rPr>
          <w:fldChar w:fldCharType="separate"/>
        </w:r>
        <w:r w:rsidR="00BD6718">
          <w:rPr>
            <w:noProof/>
            <w:webHidden/>
          </w:rPr>
          <w:t>22</w:t>
        </w:r>
        <w:r w:rsidR="008477F6">
          <w:rPr>
            <w:noProof/>
            <w:webHidden/>
          </w:rPr>
          <w:fldChar w:fldCharType="end"/>
        </w:r>
      </w:hyperlink>
    </w:p>
    <w:p w14:paraId="5CB5AEC4" w14:textId="07BA7EF9"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53" w:history="1">
        <w:r w:rsidR="008477F6" w:rsidRPr="00330B62">
          <w:rPr>
            <w:rStyle w:val="Hyperlink"/>
            <w:noProof/>
          </w:rPr>
          <w:t>17.</w:t>
        </w:r>
        <w:r w:rsidR="008477F6">
          <w:rPr>
            <w:rFonts w:asciiTheme="minorHAnsi" w:eastAsiaTheme="minorEastAsia" w:hAnsiTheme="minorHAnsi" w:cstheme="minorBidi"/>
            <w:noProof/>
            <w:sz w:val="22"/>
            <w:szCs w:val="22"/>
          </w:rPr>
          <w:tab/>
        </w:r>
        <w:r w:rsidR="008477F6" w:rsidRPr="00330B62">
          <w:rPr>
            <w:rStyle w:val="Hyperlink"/>
            <w:noProof/>
          </w:rPr>
          <w:t>Reason(s) Display of OMB Expiration Date is Inappropriate</w:t>
        </w:r>
        <w:r w:rsidR="008477F6">
          <w:rPr>
            <w:noProof/>
            <w:webHidden/>
          </w:rPr>
          <w:tab/>
        </w:r>
        <w:r w:rsidR="008477F6">
          <w:rPr>
            <w:noProof/>
            <w:webHidden/>
          </w:rPr>
          <w:fldChar w:fldCharType="begin"/>
        </w:r>
        <w:r w:rsidR="008477F6">
          <w:rPr>
            <w:noProof/>
            <w:webHidden/>
          </w:rPr>
          <w:instrText xml:space="preserve"> PAGEREF _Toc7600453 \h </w:instrText>
        </w:r>
        <w:r w:rsidR="008477F6">
          <w:rPr>
            <w:noProof/>
            <w:webHidden/>
          </w:rPr>
        </w:r>
        <w:r w:rsidR="008477F6">
          <w:rPr>
            <w:noProof/>
            <w:webHidden/>
          </w:rPr>
          <w:fldChar w:fldCharType="separate"/>
        </w:r>
        <w:r w:rsidR="00BD6718">
          <w:rPr>
            <w:noProof/>
            <w:webHidden/>
          </w:rPr>
          <w:t>23</w:t>
        </w:r>
        <w:r w:rsidR="008477F6">
          <w:rPr>
            <w:noProof/>
            <w:webHidden/>
          </w:rPr>
          <w:fldChar w:fldCharType="end"/>
        </w:r>
      </w:hyperlink>
    </w:p>
    <w:p w14:paraId="40FE8A3E" w14:textId="62E4D605" w:rsidR="008477F6" w:rsidRDefault="00A37BDE">
      <w:pPr>
        <w:pStyle w:val="TOC3"/>
        <w:tabs>
          <w:tab w:val="left" w:pos="880"/>
          <w:tab w:val="right" w:leader="dot" w:pos="9350"/>
        </w:tabs>
        <w:rPr>
          <w:rFonts w:asciiTheme="minorHAnsi" w:eastAsiaTheme="minorEastAsia" w:hAnsiTheme="minorHAnsi" w:cstheme="minorBidi"/>
          <w:noProof/>
          <w:sz w:val="22"/>
          <w:szCs w:val="22"/>
        </w:rPr>
      </w:pPr>
      <w:hyperlink w:anchor="_Toc7600454" w:history="1">
        <w:r w:rsidR="008477F6" w:rsidRPr="00330B62">
          <w:rPr>
            <w:rStyle w:val="Hyperlink"/>
            <w:noProof/>
          </w:rPr>
          <w:t>18.</w:t>
        </w:r>
        <w:r w:rsidR="008477F6">
          <w:rPr>
            <w:rFonts w:asciiTheme="minorHAnsi" w:eastAsiaTheme="minorEastAsia" w:hAnsiTheme="minorHAnsi" w:cstheme="minorBidi"/>
            <w:noProof/>
            <w:sz w:val="22"/>
            <w:szCs w:val="22"/>
          </w:rPr>
          <w:tab/>
        </w:r>
        <w:r w:rsidR="008477F6" w:rsidRPr="00330B62">
          <w:rPr>
            <w:rStyle w:val="Hyperlink"/>
            <w:noProof/>
          </w:rPr>
          <w:t>Exceptions to Certification for Paperwork Reduction Act Submissions</w:t>
        </w:r>
        <w:r w:rsidR="008477F6">
          <w:rPr>
            <w:noProof/>
            <w:webHidden/>
          </w:rPr>
          <w:tab/>
        </w:r>
        <w:r w:rsidR="008477F6">
          <w:rPr>
            <w:noProof/>
            <w:webHidden/>
          </w:rPr>
          <w:fldChar w:fldCharType="begin"/>
        </w:r>
        <w:r w:rsidR="008477F6">
          <w:rPr>
            <w:noProof/>
            <w:webHidden/>
          </w:rPr>
          <w:instrText xml:space="preserve"> PAGEREF _Toc7600454 \h </w:instrText>
        </w:r>
        <w:r w:rsidR="008477F6">
          <w:rPr>
            <w:noProof/>
            <w:webHidden/>
          </w:rPr>
        </w:r>
        <w:r w:rsidR="008477F6">
          <w:rPr>
            <w:noProof/>
            <w:webHidden/>
          </w:rPr>
          <w:fldChar w:fldCharType="separate"/>
        </w:r>
        <w:r w:rsidR="00BD6718">
          <w:rPr>
            <w:noProof/>
            <w:webHidden/>
          </w:rPr>
          <w:t>23</w:t>
        </w:r>
        <w:r w:rsidR="008477F6">
          <w:rPr>
            <w:noProof/>
            <w:webHidden/>
          </w:rPr>
          <w:fldChar w:fldCharType="end"/>
        </w:r>
      </w:hyperlink>
    </w:p>
    <w:p w14:paraId="66E571E1" w14:textId="3B48E32E" w:rsidR="0077042B" w:rsidRPr="00BB3C01" w:rsidRDefault="00737F07">
      <w:pPr>
        <w:rPr>
          <w:sz w:val="24"/>
          <w:highlight w:val="yellow"/>
        </w:rPr>
      </w:pPr>
      <w:r w:rsidRPr="005A7AEE">
        <w:rPr>
          <w:szCs w:val="20"/>
          <w:highlight w:val="yellow"/>
        </w:rPr>
        <w:fldChar w:fldCharType="end"/>
      </w:r>
    </w:p>
    <w:p w14:paraId="0B4EBA01" w14:textId="77777777" w:rsidR="00ED028C" w:rsidRPr="00BB3C01" w:rsidRDefault="00ED028C" w:rsidP="00721ED8">
      <w:pPr>
        <w:tabs>
          <w:tab w:val="left" w:pos="720"/>
          <w:tab w:val="left" w:pos="1440"/>
          <w:tab w:val="left" w:pos="2160"/>
        </w:tabs>
        <w:ind w:left="2160" w:hanging="2160"/>
        <w:rPr>
          <w:sz w:val="24"/>
          <w:highlight w:val="yellow"/>
        </w:rPr>
      </w:pPr>
      <w:r w:rsidRPr="00BB3C01">
        <w:rPr>
          <w:sz w:val="24"/>
        </w:rPr>
        <w:tab/>
      </w:r>
    </w:p>
    <w:p w14:paraId="6642761A" w14:textId="77777777" w:rsidR="003B715F" w:rsidRDefault="003B715F">
      <w:pPr>
        <w:widowControl/>
        <w:autoSpaceDE/>
        <w:autoSpaceDN/>
        <w:adjustRightInd/>
        <w:rPr>
          <w:sz w:val="24"/>
        </w:rPr>
      </w:pPr>
      <w:r>
        <w:rPr>
          <w:sz w:val="24"/>
        </w:rPr>
        <w:br w:type="page"/>
      </w:r>
    </w:p>
    <w:p w14:paraId="1EB9B710" w14:textId="77777777" w:rsidR="00ED028C" w:rsidRPr="00B925B5" w:rsidRDefault="00BC49DB">
      <w:pPr>
        <w:tabs>
          <w:tab w:val="left" w:pos="720"/>
          <w:tab w:val="left" w:pos="1440"/>
          <w:tab w:val="left" w:pos="2160"/>
        </w:tabs>
        <w:ind w:left="2160" w:hanging="2160"/>
        <w:rPr>
          <w:b/>
          <w:sz w:val="24"/>
        </w:rPr>
      </w:pPr>
      <w:r w:rsidRPr="00B925B5">
        <w:rPr>
          <w:b/>
          <w:sz w:val="24"/>
        </w:rPr>
        <w:lastRenderedPageBreak/>
        <w:t>Attachments</w:t>
      </w:r>
    </w:p>
    <w:p w14:paraId="55B09EB4" w14:textId="77777777" w:rsidR="001B7C4F" w:rsidRPr="00BB3C01" w:rsidRDefault="001B7C4F" w:rsidP="00673506">
      <w:pPr>
        <w:tabs>
          <w:tab w:val="left" w:pos="720"/>
          <w:tab w:val="left" w:pos="1440"/>
          <w:tab w:val="left" w:pos="2160"/>
        </w:tabs>
        <w:rPr>
          <w:sz w:val="24"/>
        </w:rPr>
      </w:pPr>
    </w:p>
    <w:p w14:paraId="70651BC6" w14:textId="440859DF" w:rsidR="00A55D93" w:rsidRDefault="0015408A" w:rsidP="00B925B5">
      <w:pPr>
        <w:tabs>
          <w:tab w:val="left" w:pos="720"/>
          <w:tab w:val="left" w:pos="1440"/>
          <w:tab w:val="left" w:pos="2160"/>
        </w:tabs>
        <w:rPr>
          <w:sz w:val="24"/>
        </w:rPr>
      </w:pPr>
      <w:r>
        <w:rPr>
          <w:sz w:val="24"/>
        </w:rPr>
        <w:t>Attachment 1</w:t>
      </w:r>
      <w:r w:rsidR="008C437D">
        <w:rPr>
          <w:sz w:val="24"/>
        </w:rPr>
        <w:t>a</w:t>
      </w:r>
      <w:r>
        <w:rPr>
          <w:sz w:val="24"/>
        </w:rPr>
        <w:t xml:space="preserve">. </w:t>
      </w:r>
      <w:r w:rsidR="001F16C6" w:rsidRPr="001F16C6">
        <w:rPr>
          <w:sz w:val="24"/>
        </w:rPr>
        <w:t>Section 301 of the Public Health Service Act (42 U.S.C. 241)</w:t>
      </w:r>
    </w:p>
    <w:p w14:paraId="1E6EAE2A" w14:textId="0D586A38" w:rsidR="00C820A1" w:rsidRDefault="008C437D" w:rsidP="00CB0D97">
      <w:pPr>
        <w:tabs>
          <w:tab w:val="left" w:pos="720"/>
          <w:tab w:val="left" w:pos="1440"/>
          <w:tab w:val="left" w:pos="2160"/>
        </w:tabs>
        <w:rPr>
          <w:sz w:val="24"/>
        </w:rPr>
      </w:pPr>
      <w:r>
        <w:rPr>
          <w:sz w:val="24"/>
        </w:rPr>
        <w:t>Attachment 1b</w:t>
      </w:r>
      <w:r w:rsidR="00015D62">
        <w:rPr>
          <w:sz w:val="24"/>
        </w:rPr>
        <w:t>. Preventing Maternal Deaths Act</w:t>
      </w:r>
    </w:p>
    <w:p w14:paraId="65D5DA78" w14:textId="77777777" w:rsidR="00CB0D97" w:rsidRPr="00890C21" w:rsidRDefault="00CB0D97" w:rsidP="00CB0D97">
      <w:pPr>
        <w:tabs>
          <w:tab w:val="left" w:pos="720"/>
          <w:tab w:val="left" w:pos="1440"/>
          <w:tab w:val="left" w:pos="2160"/>
        </w:tabs>
        <w:rPr>
          <w:noProof/>
          <w:color w:val="000000"/>
          <w:sz w:val="24"/>
        </w:rPr>
      </w:pPr>
      <w:r>
        <w:rPr>
          <w:noProof/>
          <w:color w:val="000000"/>
          <w:sz w:val="24"/>
        </w:rPr>
        <w:t>Attachment 2. Data Flow Diagram</w:t>
      </w:r>
    </w:p>
    <w:p w14:paraId="582B2016" w14:textId="77777777" w:rsidR="00CB0D97" w:rsidRDefault="00CB0D97" w:rsidP="00CB0D97">
      <w:pPr>
        <w:tabs>
          <w:tab w:val="left" w:pos="720"/>
          <w:tab w:val="left" w:pos="1440"/>
          <w:tab w:val="left" w:pos="2160"/>
        </w:tabs>
        <w:rPr>
          <w:sz w:val="24"/>
        </w:rPr>
      </w:pPr>
      <w:r>
        <w:rPr>
          <w:sz w:val="24"/>
        </w:rPr>
        <w:t>Attachment 3a. Data Abstraction MMRIA Screenshots</w:t>
      </w:r>
    </w:p>
    <w:p w14:paraId="097ACB74" w14:textId="77777777" w:rsidR="00CB0D97" w:rsidRDefault="00CB0D97" w:rsidP="00CB0D97">
      <w:pPr>
        <w:tabs>
          <w:tab w:val="left" w:pos="720"/>
          <w:tab w:val="left" w:pos="1440"/>
          <w:tab w:val="left" w:pos="2160"/>
        </w:tabs>
        <w:rPr>
          <w:sz w:val="24"/>
        </w:rPr>
      </w:pPr>
      <w:r>
        <w:rPr>
          <w:sz w:val="24"/>
        </w:rPr>
        <w:t>Attachment 3b. Case Narrative MMRIA Screenshots</w:t>
      </w:r>
    </w:p>
    <w:p w14:paraId="46DBE45A" w14:textId="77777777" w:rsidR="00CB0D97" w:rsidRDefault="00CB0D97" w:rsidP="00CB0D97">
      <w:pPr>
        <w:tabs>
          <w:tab w:val="left" w:pos="720"/>
          <w:tab w:val="left" w:pos="1440"/>
          <w:tab w:val="left" w:pos="2160"/>
        </w:tabs>
        <w:rPr>
          <w:sz w:val="24"/>
        </w:rPr>
      </w:pPr>
      <w:r>
        <w:rPr>
          <w:sz w:val="24"/>
        </w:rPr>
        <w:t>Attachment 3c. Committee Decision MMRIA Screenshots</w:t>
      </w:r>
    </w:p>
    <w:p w14:paraId="7CD427E9" w14:textId="39C7E0E1" w:rsidR="00CB0D97" w:rsidRDefault="00997D7C" w:rsidP="00CB0D97">
      <w:pPr>
        <w:tabs>
          <w:tab w:val="left" w:pos="720"/>
          <w:tab w:val="left" w:pos="1440"/>
          <w:tab w:val="left" w:pos="2160"/>
        </w:tabs>
        <w:rPr>
          <w:noProof/>
          <w:color w:val="000000"/>
          <w:sz w:val="24"/>
        </w:rPr>
      </w:pPr>
      <w:r>
        <w:rPr>
          <w:noProof/>
          <w:color w:val="000000"/>
          <w:sz w:val="24"/>
        </w:rPr>
        <w:t>Attachment 4. Authorization</w:t>
      </w:r>
      <w:r w:rsidR="00CB0D97">
        <w:rPr>
          <w:noProof/>
          <w:color w:val="000000"/>
          <w:sz w:val="24"/>
        </w:rPr>
        <w:t xml:space="preserve"> to Operate </w:t>
      </w:r>
    </w:p>
    <w:p w14:paraId="440ADACD" w14:textId="53CAD1D3" w:rsidR="000F7678" w:rsidRDefault="000F7678" w:rsidP="00CB0D97">
      <w:pPr>
        <w:tabs>
          <w:tab w:val="left" w:pos="720"/>
          <w:tab w:val="left" w:pos="1440"/>
          <w:tab w:val="left" w:pos="2160"/>
        </w:tabs>
        <w:rPr>
          <w:noProof/>
          <w:color w:val="000000"/>
          <w:sz w:val="24"/>
        </w:rPr>
      </w:pPr>
      <w:r>
        <w:rPr>
          <w:noProof/>
          <w:color w:val="000000"/>
          <w:sz w:val="24"/>
        </w:rPr>
        <w:t>Attachment 5a. 60-Day Federal Register Notice</w:t>
      </w:r>
    </w:p>
    <w:p w14:paraId="622A18FA" w14:textId="53231ED2" w:rsidR="000F7678" w:rsidRDefault="000F7678" w:rsidP="00CB0D97">
      <w:pPr>
        <w:tabs>
          <w:tab w:val="left" w:pos="720"/>
          <w:tab w:val="left" w:pos="1440"/>
          <w:tab w:val="left" w:pos="2160"/>
        </w:tabs>
        <w:rPr>
          <w:noProof/>
          <w:color w:val="000000"/>
          <w:sz w:val="24"/>
        </w:rPr>
      </w:pPr>
      <w:r>
        <w:rPr>
          <w:noProof/>
          <w:color w:val="000000"/>
          <w:sz w:val="24"/>
        </w:rPr>
        <w:t>Attachment 5b. Reponse to Public Comments on the the 60-Day Federal Register Notice</w:t>
      </w:r>
    </w:p>
    <w:p w14:paraId="720BFFF7" w14:textId="4AB4FD7B" w:rsidR="00CB0D97" w:rsidRDefault="00CB0D97" w:rsidP="00CB0D97">
      <w:pPr>
        <w:tabs>
          <w:tab w:val="left" w:pos="720"/>
          <w:tab w:val="left" w:pos="1440"/>
          <w:tab w:val="left" w:pos="2160"/>
        </w:tabs>
        <w:rPr>
          <w:noProof/>
          <w:color w:val="000000"/>
          <w:sz w:val="24"/>
        </w:rPr>
      </w:pPr>
      <w:r>
        <w:rPr>
          <w:noProof/>
          <w:color w:val="000000"/>
          <w:sz w:val="24"/>
        </w:rPr>
        <w:t xml:space="preserve">Attachment </w:t>
      </w:r>
      <w:r w:rsidR="000F7678">
        <w:rPr>
          <w:noProof/>
          <w:color w:val="000000"/>
          <w:sz w:val="24"/>
        </w:rPr>
        <w:t>6</w:t>
      </w:r>
      <w:r>
        <w:rPr>
          <w:noProof/>
          <w:color w:val="000000"/>
          <w:sz w:val="24"/>
        </w:rPr>
        <w:t>. Privacy Impact Assessment</w:t>
      </w:r>
    </w:p>
    <w:p w14:paraId="51679D57" w14:textId="4CC4F6CC" w:rsidR="00CB0D97" w:rsidRDefault="00CB0D97" w:rsidP="00CB0D97">
      <w:pPr>
        <w:tabs>
          <w:tab w:val="left" w:pos="720"/>
          <w:tab w:val="left" w:pos="1440"/>
          <w:tab w:val="left" w:pos="2160"/>
        </w:tabs>
        <w:rPr>
          <w:noProof/>
          <w:color w:val="000000"/>
          <w:sz w:val="24"/>
        </w:rPr>
      </w:pPr>
      <w:r>
        <w:rPr>
          <w:noProof/>
          <w:color w:val="000000"/>
          <w:sz w:val="24"/>
        </w:rPr>
        <w:t xml:space="preserve">Attachment </w:t>
      </w:r>
      <w:r w:rsidR="000F7678">
        <w:rPr>
          <w:noProof/>
          <w:color w:val="000000"/>
          <w:sz w:val="24"/>
        </w:rPr>
        <w:t>7</w:t>
      </w:r>
      <w:r>
        <w:rPr>
          <w:noProof/>
          <w:color w:val="000000"/>
          <w:sz w:val="24"/>
        </w:rPr>
        <w:t>. Memorandum of Understanding</w:t>
      </w:r>
      <w:r w:rsidR="00BD6718">
        <w:rPr>
          <w:noProof/>
          <w:color w:val="000000"/>
          <w:sz w:val="24"/>
        </w:rPr>
        <w:t xml:space="preserve"> for Central Hosting of MMRIA</w:t>
      </w:r>
    </w:p>
    <w:p w14:paraId="4521FF02" w14:textId="3E901555" w:rsidR="00997D7C" w:rsidRDefault="00997D7C" w:rsidP="00CB0D97">
      <w:pPr>
        <w:tabs>
          <w:tab w:val="left" w:pos="720"/>
          <w:tab w:val="left" w:pos="1440"/>
          <w:tab w:val="left" w:pos="2160"/>
        </w:tabs>
        <w:rPr>
          <w:noProof/>
          <w:color w:val="000000"/>
          <w:sz w:val="24"/>
        </w:rPr>
      </w:pPr>
      <w:r>
        <w:rPr>
          <w:noProof/>
          <w:color w:val="000000"/>
          <w:sz w:val="24"/>
        </w:rPr>
        <w:t xml:space="preserve">Attachment </w:t>
      </w:r>
      <w:r w:rsidR="000F7678">
        <w:rPr>
          <w:noProof/>
          <w:color w:val="000000"/>
          <w:sz w:val="24"/>
        </w:rPr>
        <w:t>8</w:t>
      </w:r>
      <w:r>
        <w:rPr>
          <w:noProof/>
          <w:color w:val="000000"/>
          <w:sz w:val="24"/>
        </w:rPr>
        <w:t>. Estimates of Pregnancy-Associated Deaths</w:t>
      </w:r>
    </w:p>
    <w:p w14:paraId="388F2596" w14:textId="0D91822F" w:rsidR="00351A9B" w:rsidRPr="00BB3C01" w:rsidRDefault="00351A9B" w:rsidP="00CB0D97">
      <w:pPr>
        <w:tabs>
          <w:tab w:val="left" w:pos="720"/>
          <w:tab w:val="left" w:pos="1440"/>
          <w:tab w:val="left" w:pos="2160"/>
        </w:tabs>
        <w:rPr>
          <w:noProof/>
          <w:color w:val="000000"/>
          <w:sz w:val="24"/>
        </w:rPr>
      </w:pPr>
      <w:r>
        <w:rPr>
          <w:noProof/>
          <w:color w:val="000000"/>
          <w:sz w:val="24"/>
        </w:rPr>
        <w:t>Attachment 9. MMRIA Request for Determination of Research Status</w:t>
      </w:r>
    </w:p>
    <w:p w14:paraId="13EF9900" w14:textId="77777777" w:rsidR="00CB0D97" w:rsidRPr="00BB3C01" w:rsidRDefault="00CB0D97" w:rsidP="00CB0D97">
      <w:pPr>
        <w:tabs>
          <w:tab w:val="left" w:pos="720"/>
          <w:tab w:val="left" w:pos="1440"/>
          <w:tab w:val="left" w:pos="2160"/>
        </w:tabs>
        <w:rPr>
          <w:sz w:val="24"/>
        </w:rPr>
      </w:pPr>
    </w:p>
    <w:p w14:paraId="171C3EED" w14:textId="77777777" w:rsidR="00BB6800" w:rsidRDefault="00133EAE">
      <w:pPr>
        <w:widowControl/>
        <w:autoSpaceDE/>
        <w:autoSpaceDN/>
        <w:adjustRightInd/>
        <w:rPr>
          <w:sz w:val="24"/>
          <w:highlight w:val="yellow"/>
        </w:rPr>
      </w:pPr>
      <w:r w:rsidRPr="00BB3C01">
        <w:rPr>
          <w:sz w:val="24"/>
          <w:highlight w:val="yellow"/>
        </w:rPr>
        <w:br w:type="page"/>
      </w:r>
    </w:p>
    <w:p w14:paraId="72856A5D" w14:textId="66665292" w:rsidR="00BB6800" w:rsidRDefault="002C3A1B">
      <w:pPr>
        <w:widowControl/>
        <w:autoSpaceDE/>
        <w:autoSpaceDN/>
        <w:adjustRightInd/>
        <w:rPr>
          <w:b/>
          <w:bCs/>
          <w:i/>
          <w:iCs/>
          <w:sz w:val="24"/>
        </w:rPr>
      </w:pPr>
      <w:r w:rsidRPr="00EF4AE8">
        <w:rPr>
          <w:rFonts w:cs="Courier New"/>
          <w:bCs/>
          <w:noProof/>
        </w:rPr>
        <mc:AlternateContent>
          <mc:Choice Requires="wps">
            <w:drawing>
              <wp:anchor distT="0" distB="0" distL="114300" distR="114300" simplePos="0" relativeHeight="251659264" behindDoc="0" locked="0" layoutInCell="1" allowOverlap="1" wp14:anchorId="318193DB" wp14:editId="35B643BF">
                <wp:simplePos x="0" y="0"/>
                <wp:positionH relativeFrom="margin">
                  <wp:posOffset>257175</wp:posOffset>
                </wp:positionH>
                <wp:positionV relativeFrom="paragraph">
                  <wp:posOffset>687704</wp:posOffset>
                </wp:positionV>
                <wp:extent cx="5899150" cy="7458075"/>
                <wp:effectExtent l="0" t="0" r="2540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7458075"/>
                        </a:xfrm>
                        <a:prstGeom prst="rect">
                          <a:avLst/>
                        </a:prstGeom>
                        <a:solidFill>
                          <a:srgbClr val="FFFFFF"/>
                        </a:solidFill>
                        <a:ln w="9525">
                          <a:solidFill>
                            <a:srgbClr val="000000"/>
                          </a:solidFill>
                          <a:miter lim="800000"/>
                          <a:headEnd/>
                          <a:tailEnd/>
                        </a:ln>
                      </wps:spPr>
                      <wps:txbx>
                        <w:txbxContent>
                          <w:p w14:paraId="5099354F" w14:textId="3B882D9A" w:rsidR="00364CB8" w:rsidRPr="00C817BE" w:rsidRDefault="00364CB8" w:rsidP="00481755">
                            <w:pPr>
                              <w:pStyle w:val="ListParagraph"/>
                              <w:numPr>
                                <w:ilvl w:val="0"/>
                                <w:numId w:val="10"/>
                              </w:numPr>
                              <w:spacing w:before="240" w:line="360" w:lineRule="auto"/>
                              <w:rPr>
                                <w:sz w:val="24"/>
                              </w:rPr>
                            </w:pPr>
                            <w:r w:rsidRPr="00C817BE">
                              <w:rPr>
                                <w:rFonts w:ascii="Times New Roman" w:hAnsi="Times New Roman"/>
                                <w:b/>
                                <w:sz w:val="24"/>
                                <w:szCs w:val="24"/>
                              </w:rPr>
                              <w:t>Goal of the study:</w:t>
                            </w:r>
                            <w:r>
                              <w:rPr>
                                <w:rFonts w:ascii="Times New Roman" w:hAnsi="Times New Roman"/>
                                <w:sz w:val="24"/>
                                <w:szCs w:val="24"/>
                              </w:rPr>
                              <w:t xml:space="preserve"> The goal of the Maternal Mortality Review Information Application (MMRIA) is to establish a comprehensive and standardized data collection system for case abstraction from clinical and nonclinical sources, documenting Maternal Mortality Review Committees’ (MMRCs) decisions, and analyzing data.</w:t>
                            </w:r>
                          </w:p>
                          <w:p w14:paraId="2751A379" w14:textId="1015EFCD" w:rsidR="00364CB8" w:rsidRPr="00C817BE" w:rsidRDefault="00364CB8" w:rsidP="00F3348B">
                            <w:pPr>
                              <w:pStyle w:val="ListParagraph"/>
                              <w:numPr>
                                <w:ilvl w:val="0"/>
                                <w:numId w:val="10"/>
                              </w:numPr>
                              <w:spacing w:line="360" w:lineRule="auto"/>
                              <w:rPr>
                                <w:sz w:val="24"/>
                              </w:rPr>
                            </w:pPr>
                            <w:r w:rsidRPr="00C817BE">
                              <w:rPr>
                                <w:rFonts w:ascii="Times New Roman" w:hAnsi="Times New Roman"/>
                                <w:b/>
                                <w:sz w:val="24"/>
                              </w:rPr>
                              <w:t>Intended use:</w:t>
                            </w:r>
                            <w:r w:rsidRPr="00C817BE">
                              <w:rPr>
                                <w:rFonts w:ascii="Times New Roman" w:hAnsi="Times New Roman"/>
                                <w:sz w:val="24"/>
                              </w:rPr>
                              <w:t xml:space="preserve"> </w:t>
                            </w:r>
                            <w:r>
                              <w:rPr>
                                <w:rFonts w:ascii="Times New Roman" w:hAnsi="Times New Roman"/>
                                <w:sz w:val="24"/>
                              </w:rPr>
                              <w:t>MMRIA will provide a comprehensive source of information regarding the causes and circumstances of maternal deaths. This information will be used to develop interventions and strategies to prevent future maternal deaths.</w:t>
                            </w:r>
                          </w:p>
                          <w:p w14:paraId="5A5A7F2F" w14:textId="2D54849E" w:rsidR="00364CB8" w:rsidRPr="00C817BE" w:rsidRDefault="00364CB8" w:rsidP="004F4122">
                            <w:pPr>
                              <w:pStyle w:val="ListParagraph"/>
                              <w:numPr>
                                <w:ilvl w:val="0"/>
                                <w:numId w:val="10"/>
                              </w:numPr>
                              <w:spacing w:line="360" w:lineRule="auto"/>
                              <w:rPr>
                                <w:sz w:val="24"/>
                              </w:rPr>
                            </w:pPr>
                            <w:r w:rsidRPr="00C817BE">
                              <w:rPr>
                                <w:rFonts w:ascii="Times New Roman" w:hAnsi="Times New Roman"/>
                                <w:b/>
                                <w:sz w:val="24"/>
                                <w:szCs w:val="24"/>
                              </w:rPr>
                              <w:t>Methods to be used to collect the data</w:t>
                            </w:r>
                            <w:r w:rsidRPr="00C817BE">
                              <w:rPr>
                                <w:rFonts w:ascii="Times New Roman" w:hAnsi="Times New Roman"/>
                                <w:sz w:val="24"/>
                                <w:szCs w:val="24"/>
                              </w:rPr>
                              <w:t>:</w:t>
                            </w:r>
                            <w:r>
                              <w:rPr>
                                <w:rFonts w:ascii="Times New Roman" w:hAnsi="Times New Roman"/>
                                <w:sz w:val="24"/>
                                <w:szCs w:val="24"/>
                              </w:rPr>
                              <w:t xml:space="preserve"> Data will be abstracted from a variety of sources, including vital statistics, autopsy reports, prenatal care records, emergency room visit records, hospitalization and outpatient records, medical transport records, social and environmental profiles, mental health profiles, and informant interviews. Information from these data sources will be used to create case narratives for committee reviews and subsequent decisions in regards to contributing factors and recommendations for prevention of future maternal deaths.</w:t>
                            </w:r>
                          </w:p>
                          <w:p w14:paraId="6D522683" w14:textId="35EE7DA9" w:rsidR="00364CB8" w:rsidRPr="00C817BE" w:rsidRDefault="00364CB8" w:rsidP="00F3348B">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Subpopulation</w:t>
                            </w:r>
                            <w:r w:rsidRPr="00C817BE">
                              <w:rPr>
                                <w:rFonts w:ascii="Times New Roman" w:hAnsi="Times New Roman"/>
                                <w:sz w:val="24"/>
                                <w:szCs w:val="24"/>
                              </w:rPr>
                              <w:t xml:space="preserve">: </w:t>
                            </w:r>
                            <w:r>
                              <w:rPr>
                                <w:rFonts w:ascii="Times New Roman" w:hAnsi="Times New Roman"/>
                                <w:sz w:val="24"/>
                                <w:szCs w:val="24"/>
                              </w:rPr>
                              <w:t>The subpopulation of interest for MMRIA is women who died during pregnancy or within one year of end of pregnancy whose deaths are reviewed for pregnancy-relatedness.</w:t>
                            </w:r>
                          </w:p>
                          <w:p w14:paraId="06AE6A0C" w14:textId="0A508999" w:rsidR="00364CB8" w:rsidRPr="00C817BE" w:rsidRDefault="00364CB8" w:rsidP="00BC7784">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How the data will be analyzed:</w:t>
                            </w:r>
                            <w:r w:rsidRPr="00C817BE">
                              <w:t xml:space="preserve">  </w:t>
                            </w:r>
                            <w:r>
                              <w:rPr>
                                <w:rFonts w:ascii="Times New Roman" w:hAnsi="Times New Roman"/>
                                <w:sz w:val="24"/>
                              </w:rPr>
                              <w:t xml:space="preserve">Data will be analyzed to </w:t>
                            </w:r>
                            <w:r w:rsidRPr="00BC7784">
                              <w:rPr>
                                <w:rFonts w:ascii="Times New Roman" w:hAnsi="Times New Roman"/>
                                <w:sz w:val="24"/>
                              </w:rPr>
                              <w:t>provide timely, accurate, and standardized information about deaths to women during pregnancy and the year after the end of pregnancy within and across participating jurisdictions; facilitate an understanding of the drivers of maternal mortality and complications of pregnancy and associated disparities; determine what interventions at patient, provider, facility, system and community levels will have the most impact; and implement data driven recommendations (e.g., evidence-based practices, screenings, patient education by providers).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25pt;margin-top:54.15pt;width:464.5pt;height:58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">
                <v:textbox>
                  <w:txbxContent>
                    <w:p w14:paraId="5099354F" w14:textId="3B882D9A" w:rsidR="00364CB8" w:rsidRPr="00C817BE" w:rsidRDefault="00364CB8" w:rsidP="00481755">
                      <w:pPr>
                        <w:pStyle w:val="ListParagraph"/>
                        <w:numPr>
                          <w:ilvl w:val="0"/>
                          <w:numId w:val="10"/>
                        </w:numPr>
                        <w:spacing w:before="240" w:line="360" w:lineRule="auto"/>
                        <w:rPr>
                          <w:sz w:val="24"/>
                        </w:rPr>
                      </w:pPr>
                      <w:r w:rsidRPr="00C817BE">
                        <w:rPr>
                          <w:rFonts w:ascii="Times New Roman" w:hAnsi="Times New Roman"/>
                          <w:b/>
                          <w:sz w:val="24"/>
                          <w:szCs w:val="24"/>
                        </w:rPr>
                        <w:t>Goal of the study:</w:t>
                      </w:r>
                      <w:r>
                        <w:rPr>
                          <w:rFonts w:ascii="Times New Roman" w:hAnsi="Times New Roman"/>
                          <w:sz w:val="24"/>
                          <w:szCs w:val="24"/>
                        </w:rPr>
                        <w:t xml:space="preserve"> The goal of the Maternal Mortality Review Information Application (MMRIA) is to establish a comprehensive and standardized data collection system for case abstraction from clinical and nonclinical sources, documenting Maternal Mortality Review Committees’ (MMRCs) decisions, and analyzing data.</w:t>
                      </w:r>
                    </w:p>
                    <w:p w14:paraId="2751A379" w14:textId="1015EFCD" w:rsidR="00364CB8" w:rsidRPr="00C817BE" w:rsidRDefault="00364CB8" w:rsidP="00F3348B">
                      <w:pPr>
                        <w:pStyle w:val="ListParagraph"/>
                        <w:numPr>
                          <w:ilvl w:val="0"/>
                          <w:numId w:val="10"/>
                        </w:numPr>
                        <w:spacing w:line="360" w:lineRule="auto"/>
                        <w:rPr>
                          <w:sz w:val="24"/>
                        </w:rPr>
                      </w:pPr>
                      <w:r w:rsidRPr="00C817BE">
                        <w:rPr>
                          <w:rFonts w:ascii="Times New Roman" w:hAnsi="Times New Roman"/>
                          <w:b/>
                          <w:sz w:val="24"/>
                        </w:rPr>
                        <w:t>Intended use:</w:t>
                      </w:r>
                      <w:r w:rsidRPr="00C817BE">
                        <w:rPr>
                          <w:rFonts w:ascii="Times New Roman" w:hAnsi="Times New Roman"/>
                          <w:sz w:val="24"/>
                        </w:rPr>
                        <w:t xml:space="preserve"> </w:t>
                      </w:r>
                      <w:r>
                        <w:rPr>
                          <w:rFonts w:ascii="Times New Roman" w:hAnsi="Times New Roman"/>
                          <w:sz w:val="24"/>
                        </w:rPr>
                        <w:t>MMRIA will provide a comprehensive source of information regarding the causes and circumstances of maternal deaths. This information will be used to develop interventions and strategies to prevent future maternal deaths.</w:t>
                      </w:r>
                    </w:p>
                    <w:p w14:paraId="5A5A7F2F" w14:textId="2D54849E" w:rsidR="00364CB8" w:rsidRPr="00C817BE" w:rsidRDefault="00364CB8" w:rsidP="004F4122">
                      <w:pPr>
                        <w:pStyle w:val="ListParagraph"/>
                        <w:numPr>
                          <w:ilvl w:val="0"/>
                          <w:numId w:val="10"/>
                        </w:numPr>
                        <w:spacing w:line="360" w:lineRule="auto"/>
                        <w:rPr>
                          <w:sz w:val="24"/>
                        </w:rPr>
                      </w:pPr>
                      <w:r w:rsidRPr="00C817BE">
                        <w:rPr>
                          <w:rFonts w:ascii="Times New Roman" w:hAnsi="Times New Roman"/>
                          <w:b/>
                          <w:sz w:val="24"/>
                          <w:szCs w:val="24"/>
                        </w:rPr>
                        <w:t>Methods to be used to collect the data</w:t>
                      </w:r>
                      <w:r w:rsidRPr="00C817BE">
                        <w:rPr>
                          <w:rFonts w:ascii="Times New Roman" w:hAnsi="Times New Roman"/>
                          <w:sz w:val="24"/>
                          <w:szCs w:val="24"/>
                        </w:rPr>
                        <w:t>:</w:t>
                      </w:r>
                      <w:r>
                        <w:rPr>
                          <w:rFonts w:ascii="Times New Roman" w:hAnsi="Times New Roman"/>
                          <w:sz w:val="24"/>
                          <w:szCs w:val="24"/>
                        </w:rPr>
                        <w:t xml:space="preserve"> Data will be abstracted from a variety of sources, including vital statistics, autopsy reports, prenatal care records, emergency room visit records, hospitalization and outpatient records, medical transport records, social and environmental profiles, mental health profiles, and informant interviews. Information from these data sources will be used to create case narratives for committee reviews and subsequent decisions in regards to contributing factors and recommendations for prevention of future maternal deaths.</w:t>
                      </w:r>
                    </w:p>
                    <w:p w14:paraId="6D522683" w14:textId="35EE7DA9" w:rsidR="00364CB8" w:rsidRPr="00C817BE" w:rsidRDefault="00364CB8" w:rsidP="00F3348B">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Subpopulation</w:t>
                      </w:r>
                      <w:r w:rsidRPr="00C817BE">
                        <w:rPr>
                          <w:rFonts w:ascii="Times New Roman" w:hAnsi="Times New Roman"/>
                          <w:sz w:val="24"/>
                          <w:szCs w:val="24"/>
                        </w:rPr>
                        <w:t xml:space="preserve">: </w:t>
                      </w:r>
                      <w:r>
                        <w:rPr>
                          <w:rFonts w:ascii="Times New Roman" w:hAnsi="Times New Roman"/>
                          <w:sz w:val="24"/>
                          <w:szCs w:val="24"/>
                        </w:rPr>
                        <w:t>The subpopulation of interest for MMRIA is women who died during pregnancy or within one year of end of pregnancy whose deaths are reviewed for pregnancy-relatedness.</w:t>
                      </w:r>
                    </w:p>
                    <w:p w14:paraId="06AE6A0C" w14:textId="0A508999" w:rsidR="00364CB8" w:rsidRPr="00C817BE" w:rsidRDefault="00364CB8" w:rsidP="00BC7784">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How the data will be analyzed:</w:t>
                      </w:r>
                      <w:r w:rsidRPr="00C817BE">
                        <w:t xml:space="preserve">  </w:t>
                      </w:r>
                      <w:r>
                        <w:rPr>
                          <w:rFonts w:ascii="Times New Roman" w:hAnsi="Times New Roman"/>
                          <w:sz w:val="24"/>
                        </w:rPr>
                        <w:t xml:space="preserve">Data will be analyzed to </w:t>
                      </w:r>
                      <w:r w:rsidRPr="00BC7784">
                        <w:rPr>
                          <w:rFonts w:ascii="Times New Roman" w:hAnsi="Times New Roman"/>
                          <w:sz w:val="24"/>
                        </w:rPr>
                        <w:t>provide timely, accurate, and standardized information about deaths to women during pregnancy and the year after the end of pregnancy within and across participating jurisdictions; facilitate an understanding of the drivers of maternal mortality and complications of pregnancy and associated disparities; determine what interventions at patient, provider, facility, system and community levels will have the most impact; and implement data driven recommendations (e.g., evidence-based practices, screenings, patient education by providers).</w:t>
                      </w:r>
                    </w:p>
                  </w:txbxContent>
                </v:textbox>
                <w10:wrap anchorx="margin"/>
              </v:shape>
            </w:pict>
          </mc:Fallback>
        </mc:AlternateContent>
      </w:r>
      <w:r w:rsidR="00BB6800">
        <w:rPr>
          <w:sz w:val="24"/>
        </w:rPr>
        <w:br w:type="page"/>
      </w:r>
    </w:p>
    <w:p w14:paraId="034E6255" w14:textId="57F5A3CA" w:rsidR="006530E2" w:rsidRPr="00BB3C01" w:rsidRDefault="006530E2" w:rsidP="00A82221">
      <w:pPr>
        <w:pStyle w:val="Heading2"/>
        <w:numPr>
          <w:ilvl w:val="0"/>
          <w:numId w:val="1"/>
        </w:numPr>
        <w:ind w:left="0" w:firstLine="0"/>
        <w:rPr>
          <w:rFonts w:ascii="Times New Roman" w:hAnsi="Times New Roman" w:cs="Times New Roman"/>
          <w:sz w:val="24"/>
          <w:szCs w:val="24"/>
        </w:rPr>
      </w:pPr>
      <w:bookmarkStart w:id="1" w:name="_Toc7600436"/>
      <w:r w:rsidRPr="00BB3C01">
        <w:rPr>
          <w:rFonts w:ascii="Times New Roman" w:hAnsi="Times New Roman" w:cs="Times New Roman"/>
          <w:sz w:val="24"/>
          <w:szCs w:val="24"/>
        </w:rPr>
        <w:t>Justification</w:t>
      </w:r>
      <w:bookmarkEnd w:id="1"/>
    </w:p>
    <w:p w14:paraId="711F03C2" w14:textId="77777777" w:rsidR="00ED028C" w:rsidRPr="00BB3C01" w:rsidRDefault="00ED028C" w:rsidP="00A82221">
      <w:pPr>
        <w:pStyle w:val="Heading3"/>
        <w:numPr>
          <w:ilvl w:val="0"/>
          <w:numId w:val="2"/>
        </w:numPr>
        <w:ind w:left="0" w:firstLine="0"/>
        <w:rPr>
          <w:rFonts w:ascii="Times New Roman" w:hAnsi="Times New Roman" w:cs="Times New Roman"/>
          <w:sz w:val="24"/>
          <w:szCs w:val="24"/>
        </w:rPr>
      </w:pPr>
      <w:bookmarkStart w:id="2" w:name="_Toc7600437"/>
      <w:r w:rsidRPr="00BB3C01">
        <w:rPr>
          <w:rFonts w:ascii="Times New Roman" w:hAnsi="Times New Roman" w:cs="Times New Roman"/>
          <w:sz w:val="24"/>
          <w:szCs w:val="24"/>
        </w:rPr>
        <w:t>Circumstances Making the Collection of Information Necessary</w:t>
      </w:r>
      <w:bookmarkEnd w:id="2"/>
    </w:p>
    <w:p w14:paraId="4DE0221D" w14:textId="77777777" w:rsidR="00891C01" w:rsidRPr="00BB3C01" w:rsidRDefault="00891C01" w:rsidP="00891C01">
      <w:pPr>
        <w:rPr>
          <w:sz w:val="24"/>
        </w:rPr>
      </w:pPr>
    </w:p>
    <w:p w14:paraId="07DA1B7A" w14:textId="281C7E6F" w:rsidR="00015D62" w:rsidRPr="00015D62" w:rsidRDefault="00FE1CA4" w:rsidP="00015D62">
      <w:pPr>
        <w:spacing w:line="360" w:lineRule="auto"/>
        <w:rPr>
          <w:sz w:val="24"/>
        </w:rPr>
      </w:pPr>
      <w:r>
        <w:rPr>
          <w:sz w:val="24"/>
        </w:rPr>
        <w:t>The Centers for Disease Control and Prevention</w:t>
      </w:r>
      <w:r w:rsidR="00AB1D99">
        <w:rPr>
          <w:sz w:val="24"/>
        </w:rPr>
        <w:t xml:space="preserve"> (CDC)</w:t>
      </w:r>
      <w:r>
        <w:rPr>
          <w:sz w:val="24"/>
        </w:rPr>
        <w:t xml:space="preserve"> requests a three-year OMB approval for a new </w:t>
      </w:r>
      <w:r w:rsidR="00AB1D99">
        <w:rPr>
          <w:sz w:val="24"/>
        </w:rPr>
        <w:t>information collection request</w:t>
      </w:r>
      <w:r w:rsidR="00616FD7">
        <w:rPr>
          <w:sz w:val="24"/>
        </w:rPr>
        <w:t>—</w:t>
      </w:r>
      <w:r w:rsidR="00AB1D99">
        <w:rPr>
          <w:sz w:val="24"/>
        </w:rPr>
        <w:t xml:space="preserve">the </w:t>
      </w:r>
      <w:r w:rsidR="00015D62" w:rsidRPr="00015D62">
        <w:rPr>
          <w:sz w:val="24"/>
        </w:rPr>
        <w:t>Maternal Mortality Review Information Application (MMRIA)</w:t>
      </w:r>
      <w:r>
        <w:rPr>
          <w:sz w:val="24"/>
        </w:rPr>
        <w:t>. MMRIA is</w:t>
      </w:r>
      <w:r w:rsidR="00015D62" w:rsidRPr="00015D62">
        <w:rPr>
          <w:sz w:val="24"/>
        </w:rPr>
        <w:t xml:space="preserve"> a </w:t>
      </w:r>
      <w:r w:rsidR="000B207D">
        <w:rPr>
          <w:sz w:val="24"/>
        </w:rPr>
        <w:t xml:space="preserve">standardized </w:t>
      </w:r>
      <w:r w:rsidR="00015D62" w:rsidRPr="00015D62">
        <w:rPr>
          <w:sz w:val="24"/>
        </w:rPr>
        <w:t>data system that allows Maternal Mortality Review Committees (MMRC</w:t>
      </w:r>
      <w:r>
        <w:rPr>
          <w:sz w:val="24"/>
        </w:rPr>
        <w:t>s</w:t>
      </w:r>
      <w:r w:rsidR="00015D62" w:rsidRPr="00015D62">
        <w:rPr>
          <w:sz w:val="24"/>
        </w:rPr>
        <w:t>) across the country to abstract relevant data</w:t>
      </w:r>
      <w:r w:rsidR="00352572">
        <w:rPr>
          <w:sz w:val="24"/>
        </w:rPr>
        <w:t xml:space="preserve"> (clinical and non-clinical)</w:t>
      </w:r>
      <w:r w:rsidR="00015D62" w:rsidRPr="00015D62">
        <w:rPr>
          <w:sz w:val="24"/>
        </w:rPr>
        <w:t xml:space="preserve"> from a variety of sources, document committee decisions, and analyze data</w:t>
      </w:r>
      <w:r w:rsidR="00616FD7">
        <w:rPr>
          <w:sz w:val="24"/>
        </w:rPr>
        <w:t xml:space="preserve"> in order to identify maternal deaths and review data and information to identify contributors of maternal deaths for future prevention efforts</w:t>
      </w:r>
      <w:r w:rsidR="00015D62" w:rsidRPr="00015D62">
        <w:rPr>
          <w:sz w:val="24"/>
        </w:rPr>
        <w:t xml:space="preserve">. </w:t>
      </w:r>
      <w:r w:rsidR="00015D62" w:rsidRPr="00015D62">
        <w:rPr>
          <w:sz w:val="24"/>
          <w:lang w:val="en"/>
        </w:rPr>
        <w:t>CDC</w:t>
      </w:r>
      <w:r w:rsidR="00AB1D99">
        <w:rPr>
          <w:sz w:val="24"/>
          <w:lang w:val="en"/>
        </w:rPr>
        <w:t xml:space="preserve"> is authorized to collect this information under the Public Health Service Act, Title 42, Section 301 (</w:t>
      </w:r>
      <w:r w:rsidR="00AB1D99">
        <w:rPr>
          <w:b/>
          <w:sz w:val="24"/>
          <w:lang w:val="en"/>
        </w:rPr>
        <w:t>Attachment 1a</w:t>
      </w:r>
      <w:r w:rsidR="00AB1D99">
        <w:rPr>
          <w:sz w:val="24"/>
          <w:lang w:val="en"/>
        </w:rPr>
        <w:t>) and the Preventing Maternal Deaths Act (</w:t>
      </w:r>
      <w:r w:rsidR="00AB1D99">
        <w:rPr>
          <w:b/>
          <w:sz w:val="24"/>
          <w:lang w:val="en"/>
        </w:rPr>
        <w:t>Attachment 1b</w:t>
      </w:r>
      <w:r w:rsidR="00AB1D99">
        <w:rPr>
          <w:sz w:val="24"/>
          <w:lang w:val="en"/>
        </w:rPr>
        <w:t>)</w:t>
      </w:r>
      <w:r w:rsidR="00616FD7">
        <w:rPr>
          <w:sz w:val="24"/>
          <w:lang w:val="en"/>
        </w:rPr>
        <w:t>.</w:t>
      </w:r>
    </w:p>
    <w:p w14:paraId="75E01186" w14:textId="77777777" w:rsidR="00015D62" w:rsidRPr="00015D62" w:rsidRDefault="00015D62" w:rsidP="00015D62">
      <w:pPr>
        <w:spacing w:line="360" w:lineRule="auto"/>
        <w:rPr>
          <w:sz w:val="24"/>
        </w:rPr>
      </w:pPr>
    </w:p>
    <w:p w14:paraId="300D2855" w14:textId="49BC09C3" w:rsidR="00015D62" w:rsidRPr="00015D62" w:rsidRDefault="00015D62" w:rsidP="00015D62">
      <w:pPr>
        <w:spacing w:line="360" w:lineRule="auto"/>
        <w:rPr>
          <w:sz w:val="24"/>
        </w:rPr>
      </w:pPr>
      <w:r w:rsidRPr="00015D62">
        <w:rPr>
          <w:sz w:val="24"/>
        </w:rPr>
        <w:t>The death of a woman during pregnancy, at delivery, or soon after delivery is a tragedy for her family and for society as a whole. Sadly, about 700 women die each year in the United States as a result of pregnancy or delivery complications, a chain of events initiated by pregnancy, or the aggravation of an unrelated condition by the physiologic effects of pregnancy. Further</w:t>
      </w:r>
      <w:r w:rsidR="00F6757A">
        <w:rPr>
          <w:sz w:val="24"/>
        </w:rPr>
        <w:t>more</w:t>
      </w:r>
      <w:r w:rsidRPr="00015D62">
        <w:rPr>
          <w:sz w:val="24"/>
        </w:rPr>
        <w:t xml:space="preserve">, considerable racial disparities exist, with black women almost </w:t>
      </w:r>
      <w:r w:rsidR="00616FD7">
        <w:rPr>
          <w:sz w:val="24"/>
        </w:rPr>
        <w:t>four</w:t>
      </w:r>
      <w:r w:rsidRPr="00015D62">
        <w:rPr>
          <w:sz w:val="24"/>
        </w:rPr>
        <w:t xml:space="preserve"> times more likely to die from pregnancy-related complications than white women. However, findings from MMRC</w:t>
      </w:r>
      <w:r w:rsidR="00F6757A">
        <w:rPr>
          <w:sz w:val="24"/>
        </w:rPr>
        <w:t>s</w:t>
      </w:r>
      <w:r w:rsidRPr="00015D62">
        <w:rPr>
          <w:sz w:val="24"/>
        </w:rPr>
        <w:t xml:space="preserve"> indic</w:t>
      </w:r>
      <w:r w:rsidR="00616FD7">
        <w:rPr>
          <w:sz w:val="24"/>
        </w:rPr>
        <w:t>ate that more than half of maternal</w:t>
      </w:r>
      <w:r w:rsidRPr="00015D62">
        <w:rPr>
          <w:sz w:val="24"/>
        </w:rPr>
        <w:t xml:space="preserve"> deaths are preventable. Understanding the true burden of these deaths at the national level, as well as why they continue to occur, is essential in our efforts to improve care for</w:t>
      </w:r>
      <w:r w:rsidR="00616FD7">
        <w:rPr>
          <w:sz w:val="24"/>
        </w:rPr>
        <w:t xml:space="preserve"> pregnant and postpartum</w:t>
      </w:r>
      <w:r w:rsidR="00674EF1">
        <w:rPr>
          <w:sz w:val="24"/>
        </w:rPr>
        <w:t xml:space="preserve"> women, </w:t>
      </w:r>
      <w:r w:rsidRPr="00015D62">
        <w:rPr>
          <w:sz w:val="24"/>
        </w:rPr>
        <w:t xml:space="preserve">reduce </w:t>
      </w:r>
      <w:r w:rsidR="00616FD7">
        <w:rPr>
          <w:sz w:val="24"/>
        </w:rPr>
        <w:t>related morbidity and mortality</w:t>
      </w:r>
      <w:r w:rsidR="00CF73C3">
        <w:rPr>
          <w:sz w:val="24"/>
        </w:rPr>
        <w:t>, and eliminate associated disparities</w:t>
      </w:r>
      <w:r w:rsidRPr="00015D62">
        <w:rPr>
          <w:sz w:val="24"/>
        </w:rPr>
        <w:t xml:space="preserve">. This activity will support a national approach to collecting and sharing data on maternal deaths to aid in that understanding. </w:t>
      </w:r>
    </w:p>
    <w:p w14:paraId="641EE063" w14:textId="07920831" w:rsidR="00015D62" w:rsidRPr="00015D62" w:rsidRDefault="00015D62" w:rsidP="00015D62">
      <w:pPr>
        <w:spacing w:line="360" w:lineRule="auto"/>
        <w:rPr>
          <w:sz w:val="24"/>
        </w:rPr>
      </w:pPr>
    </w:p>
    <w:p w14:paraId="0F931FD8" w14:textId="5C4F1AD0" w:rsidR="00015D62" w:rsidRPr="00015D62" w:rsidRDefault="00015D62" w:rsidP="00015D62">
      <w:pPr>
        <w:spacing w:line="360" w:lineRule="auto"/>
        <w:rPr>
          <w:sz w:val="24"/>
        </w:rPr>
      </w:pPr>
      <w:r w:rsidRPr="00015D62">
        <w:rPr>
          <w:sz w:val="24"/>
        </w:rPr>
        <w:t>Maternal Mortality Review is a process by which a multidisciplinar</w:t>
      </w:r>
      <w:r w:rsidR="00F31BB4">
        <w:rPr>
          <w:sz w:val="24"/>
        </w:rPr>
        <w:t xml:space="preserve">y committee at the jurisdiction </w:t>
      </w:r>
      <w:r w:rsidRPr="00015D62">
        <w:rPr>
          <w:sz w:val="24"/>
        </w:rPr>
        <w:t>level identifies and reviews cases of maternal death within one year of pregnancy</w:t>
      </w:r>
      <w:r w:rsidR="00401A11">
        <w:rPr>
          <w:sz w:val="24"/>
        </w:rPr>
        <w:t xml:space="preserve">; a data flow diagram of the process is provided in </w:t>
      </w:r>
      <w:r w:rsidR="00401A11" w:rsidRPr="00401A11">
        <w:rPr>
          <w:b/>
          <w:sz w:val="24"/>
        </w:rPr>
        <w:t xml:space="preserve">Attachment </w:t>
      </w:r>
      <w:r w:rsidR="00CB0D97">
        <w:rPr>
          <w:b/>
          <w:sz w:val="24"/>
        </w:rPr>
        <w:t>2</w:t>
      </w:r>
      <w:r w:rsidRPr="00015D62">
        <w:rPr>
          <w:sz w:val="24"/>
        </w:rPr>
        <w:t>.  Members of MMRCs typically represent public health, obstetrics and gynecology, maternal-fetal medicine, nursing, midwifery, forensic pathology, mental health, and behavioral health. Members might also include social workers, patien</w:t>
      </w:r>
      <w:r w:rsidR="00F31BB4">
        <w:rPr>
          <w:sz w:val="24"/>
        </w:rPr>
        <w:t>t advocates, and other relevant</w:t>
      </w:r>
      <w:r w:rsidRPr="00015D62">
        <w:rPr>
          <w:sz w:val="24"/>
        </w:rPr>
        <w:t xml:space="preserve"> multidisciplinary stakeholders. Through a partnership </w:t>
      </w:r>
      <w:r w:rsidR="004909DC">
        <w:rPr>
          <w:sz w:val="24"/>
        </w:rPr>
        <w:t xml:space="preserve">among </w:t>
      </w:r>
      <w:r w:rsidRPr="00015D62">
        <w:rPr>
          <w:sz w:val="24"/>
        </w:rPr>
        <w:t>the MMRC, the state vital records office, and epidemiologists, deaths among women of reproductive age are examined to determine if they occurred during pregnancy or within a year of the end of pregnancy (</w:t>
      </w:r>
      <w:r w:rsidR="00F31BB4">
        <w:rPr>
          <w:sz w:val="24"/>
        </w:rPr>
        <w:t xml:space="preserve">i.e., </w:t>
      </w:r>
      <w:r w:rsidRPr="00015D62">
        <w:rPr>
          <w:sz w:val="24"/>
        </w:rPr>
        <w:t>pregnancy-associated deaths). Through this process, potential cases of pregnancy-related deaths</w:t>
      </w:r>
      <w:r w:rsidR="00F31BB4">
        <w:rPr>
          <w:sz w:val="24"/>
        </w:rPr>
        <w:t xml:space="preserve"> (i.e., maternal death from any cause related to or aggravated by pregnancy or its management)</w:t>
      </w:r>
      <w:r w:rsidRPr="00015D62">
        <w:rPr>
          <w:sz w:val="24"/>
        </w:rPr>
        <w:t xml:space="preserve"> are then identified. Review committees access multiple sources of clinical and non-clinical information </w:t>
      </w:r>
      <w:r w:rsidR="00F31BB4">
        <w:rPr>
          <w:sz w:val="24"/>
        </w:rPr>
        <w:t xml:space="preserve">to understand </w:t>
      </w:r>
      <w:r w:rsidRPr="00015D62">
        <w:rPr>
          <w:sz w:val="24"/>
        </w:rPr>
        <w:t>the circumstances surrounding a maternal death as they develop recommendations for action to prevent similar deaths in the future. This multidisciplinary approach encourages collaboration with clinical and non-clinical partnerships to improve quality of care and address social determinants of health to reduce health inequities.</w:t>
      </w:r>
    </w:p>
    <w:p w14:paraId="1A39534C" w14:textId="77777777" w:rsidR="00015D62" w:rsidRPr="00015D62" w:rsidRDefault="00015D62" w:rsidP="00015D62">
      <w:pPr>
        <w:spacing w:line="360" w:lineRule="auto"/>
        <w:rPr>
          <w:sz w:val="24"/>
        </w:rPr>
      </w:pPr>
    </w:p>
    <w:p w14:paraId="243D5C6F" w14:textId="3AFAB4A6" w:rsidR="00015D62" w:rsidRPr="00015D62" w:rsidRDefault="00015D62" w:rsidP="00015D62">
      <w:pPr>
        <w:spacing w:line="360" w:lineRule="auto"/>
        <w:rPr>
          <w:sz w:val="24"/>
        </w:rPr>
      </w:pPr>
      <w:r w:rsidRPr="00015D62">
        <w:rPr>
          <w:sz w:val="24"/>
        </w:rPr>
        <w:t>Although the number of MMRCs that exist has increased over the last severa</w:t>
      </w:r>
      <w:r w:rsidR="007C52C3">
        <w:rPr>
          <w:sz w:val="24"/>
        </w:rPr>
        <w:t xml:space="preserve">l years, both newly formed and </w:t>
      </w:r>
      <w:r w:rsidRPr="00015D62">
        <w:rPr>
          <w:sz w:val="24"/>
        </w:rPr>
        <w:t xml:space="preserve">established MMRCs struggle to achieve and sustain progress toward reviewing and preventing </w:t>
      </w:r>
      <w:r w:rsidR="007C52C3">
        <w:rPr>
          <w:sz w:val="24"/>
        </w:rPr>
        <w:t xml:space="preserve">maternal </w:t>
      </w:r>
      <w:r w:rsidRPr="00015D62">
        <w:rPr>
          <w:sz w:val="24"/>
        </w:rPr>
        <w:t xml:space="preserve">deaths. In 2012, the Association of Maternal and Child Health Programs (AMCHP) and </w:t>
      </w:r>
      <w:r w:rsidR="004909DC">
        <w:rPr>
          <w:sz w:val="24"/>
        </w:rPr>
        <w:t>CDC’s</w:t>
      </w:r>
      <w:r w:rsidRPr="00015D62">
        <w:rPr>
          <w:sz w:val="24"/>
        </w:rPr>
        <w:t xml:space="preserve"> Division of Reproductive Health</w:t>
      </w:r>
      <w:r w:rsidR="007C52C3">
        <w:rPr>
          <w:sz w:val="24"/>
        </w:rPr>
        <w:t xml:space="preserve"> (DRH)</w:t>
      </w:r>
      <w:r w:rsidRPr="00015D62">
        <w:rPr>
          <w:sz w:val="24"/>
        </w:rPr>
        <w:t xml:space="preserve"> assessed U.S. capacity to conduct maternal mortality review</w:t>
      </w:r>
      <w:r w:rsidR="000961C7">
        <w:rPr>
          <w:sz w:val="24"/>
        </w:rPr>
        <w:t>s</w:t>
      </w:r>
      <w:r w:rsidRPr="00015D62">
        <w:rPr>
          <w:sz w:val="24"/>
        </w:rPr>
        <w:t>. Several states identified the need for a standard</w:t>
      </w:r>
      <w:r w:rsidR="00F31BB4">
        <w:rPr>
          <w:sz w:val="24"/>
        </w:rPr>
        <w:t>ized</w:t>
      </w:r>
      <w:r w:rsidRPr="00015D62">
        <w:rPr>
          <w:sz w:val="24"/>
        </w:rPr>
        <w:t xml:space="preserve"> data system that supports the critical </w:t>
      </w:r>
      <w:r w:rsidR="000961C7">
        <w:rPr>
          <w:sz w:val="24"/>
        </w:rPr>
        <w:t>i</w:t>
      </w:r>
      <w:r w:rsidRPr="00015D62">
        <w:rPr>
          <w:sz w:val="24"/>
        </w:rPr>
        <w:t xml:space="preserve">nputs of consistent case abstraction, case review data, and data analysis within an MMRC over time and across MMRCs. </w:t>
      </w:r>
      <w:r w:rsidR="005D0E03">
        <w:rPr>
          <w:sz w:val="24"/>
        </w:rPr>
        <w:t xml:space="preserve">Initially in response a prototype system, </w:t>
      </w:r>
      <w:r w:rsidR="00CB0D97">
        <w:rPr>
          <w:sz w:val="24"/>
        </w:rPr>
        <w:t>Maternal Mortality Review Data System (</w:t>
      </w:r>
      <w:r w:rsidR="005D0E03">
        <w:rPr>
          <w:sz w:val="24"/>
        </w:rPr>
        <w:t>MMRDS</w:t>
      </w:r>
      <w:r w:rsidR="00CB0D97">
        <w:rPr>
          <w:sz w:val="24"/>
        </w:rPr>
        <w:t>)</w:t>
      </w:r>
      <w:r w:rsidR="005D0E03">
        <w:rPr>
          <w:sz w:val="24"/>
        </w:rPr>
        <w:t xml:space="preserve"> was developed to meet this need. </w:t>
      </w:r>
      <w:r w:rsidR="0047150B">
        <w:rPr>
          <w:sz w:val="24"/>
        </w:rPr>
        <w:t xml:space="preserve">In 2016, with funding from CDC Foundation, DRH in collaboration with AMCHP and Merck for Mothers, began the </w:t>
      </w:r>
      <w:r w:rsidR="00AD417A" w:rsidRPr="0047150B">
        <w:rPr>
          <w:sz w:val="24"/>
        </w:rPr>
        <w:t>initiative</w:t>
      </w:r>
      <w:r w:rsidR="0047150B" w:rsidRPr="0047150B">
        <w:rPr>
          <w:sz w:val="24"/>
        </w:rPr>
        <w:t xml:space="preserve"> </w:t>
      </w:r>
      <w:r w:rsidR="0047150B" w:rsidRPr="00D74B69">
        <w:rPr>
          <w:rFonts w:cs="Helvetica"/>
          <w:i/>
          <w:iCs/>
          <w:sz w:val="24"/>
          <w:lang w:val="en"/>
        </w:rPr>
        <w:t>Building U.S. Capacity to Review and Prevent Maternal Deaths</w:t>
      </w:r>
      <w:r w:rsidR="00D413E3" w:rsidRPr="00D74B69">
        <w:rPr>
          <w:rFonts w:cs="Helvetica"/>
          <w:iCs/>
          <w:sz w:val="24"/>
          <w:lang w:val="en"/>
        </w:rPr>
        <w:t>.</w:t>
      </w:r>
      <w:r w:rsidR="00D413E3" w:rsidRPr="00D74B69">
        <w:rPr>
          <w:rStyle w:val="FootnoteReference"/>
          <w:rFonts w:cs="Helvetica"/>
          <w:iCs/>
          <w:sz w:val="24"/>
          <w:vertAlign w:val="superscript"/>
          <w:lang w:val="en"/>
        </w:rPr>
        <w:footnoteReference w:id="2"/>
      </w:r>
      <w:r w:rsidR="00D413E3" w:rsidRPr="00D74B69">
        <w:rPr>
          <w:rFonts w:cs="Helvetica"/>
          <w:iCs/>
          <w:sz w:val="24"/>
          <w:lang w:val="en"/>
        </w:rPr>
        <w:t xml:space="preserve"> As part of that </w:t>
      </w:r>
      <w:r w:rsidR="00AD417A" w:rsidRPr="00D74B69">
        <w:rPr>
          <w:rFonts w:cs="Helvetica"/>
          <w:iCs/>
          <w:sz w:val="24"/>
          <w:lang w:val="en"/>
        </w:rPr>
        <w:t>initiative</w:t>
      </w:r>
      <w:r w:rsidR="0047150B" w:rsidRPr="00D74B69">
        <w:rPr>
          <w:rFonts w:cs="Helvetica"/>
          <w:iCs/>
          <w:sz w:val="24"/>
          <w:lang w:val="en"/>
        </w:rPr>
        <w:t xml:space="preserve">, resources and tools to guide </w:t>
      </w:r>
      <w:r w:rsidR="00AD417A" w:rsidRPr="00D74B69">
        <w:rPr>
          <w:rFonts w:cs="Helvetica"/>
          <w:iCs/>
          <w:sz w:val="24"/>
          <w:lang w:val="en"/>
        </w:rPr>
        <w:t>the MMRC process were developed</w:t>
      </w:r>
      <w:r w:rsidR="00AD417A">
        <w:rPr>
          <w:rFonts w:cs="Helvetica"/>
          <w:iCs/>
          <w:color w:val="333333"/>
          <w:sz w:val="24"/>
          <w:lang w:val="en"/>
        </w:rPr>
        <w:t>.</w:t>
      </w:r>
      <w:r w:rsidR="0047150B" w:rsidRPr="00D413E3">
        <w:rPr>
          <w:rFonts w:cs="Helvetica"/>
          <w:iCs/>
          <w:color w:val="333333"/>
          <w:sz w:val="24"/>
          <w:lang w:val="en"/>
        </w:rPr>
        <w:t xml:space="preserve"> </w:t>
      </w:r>
      <w:r w:rsidR="005D0E03">
        <w:rPr>
          <w:sz w:val="24"/>
        </w:rPr>
        <w:t xml:space="preserve">As part of that </w:t>
      </w:r>
      <w:r w:rsidR="00AD417A">
        <w:rPr>
          <w:sz w:val="24"/>
        </w:rPr>
        <w:t>initiative</w:t>
      </w:r>
      <w:r w:rsidR="005D0E03">
        <w:rPr>
          <w:sz w:val="24"/>
        </w:rPr>
        <w:t xml:space="preserve">, </w:t>
      </w:r>
      <w:r w:rsidR="00AD417A">
        <w:rPr>
          <w:sz w:val="24"/>
        </w:rPr>
        <w:t>building</w:t>
      </w:r>
      <w:r w:rsidR="005D0E03">
        <w:rPr>
          <w:sz w:val="24"/>
        </w:rPr>
        <w:t xml:space="preserve"> upon previous experience with MMRDS, </w:t>
      </w:r>
      <w:r w:rsidRPr="00015D62">
        <w:rPr>
          <w:sz w:val="24"/>
        </w:rPr>
        <w:t xml:space="preserve">MMRIA, a </w:t>
      </w:r>
      <w:r w:rsidR="00F31BB4">
        <w:rPr>
          <w:sz w:val="24"/>
        </w:rPr>
        <w:t xml:space="preserve">standardized </w:t>
      </w:r>
      <w:r w:rsidRPr="00015D62">
        <w:rPr>
          <w:sz w:val="24"/>
        </w:rPr>
        <w:t>data system that allows MMRCs across the country to abstract relevant data from a variety of sources, document committee decisions, and analyze data. The system also allows for sharing of data across MMRCs</w:t>
      </w:r>
      <w:r w:rsidR="0047150B">
        <w:rPr>
          <w:sz w:val="24"/>
        </w:rPr>
        <w:t xml:space="preserve"> for aggregate reporting</w:t>
      </w:r>
      <w:r w:rsidRPr="00015D62">
        <w:rPr>
          <w:sz w:val="24"/>
        </w:rPr>
        <w:t xml:space="preserve">. </w:t>
      </w:r>
    </w:p>
    <w:p w14:paraId="610FCF49" w14:textId="77777777" w:rsidR="00015D62" w:rsidRPr="00015D62" w:rsidRDefault="00015D62" w:rsidP="00015D62">
      <w:pPr>
        <w:spacing w:line="360" w:lineRule="auto"/>
        <w:rPr>
          <w:sz w:val="24"/>
        </w:rPr>
      </w:pPr>
    </w:p>
    <w:p w14:paraId="487B0F7F" w14:textId="5265496B" w:rsidR="00137444" w:rsidRDefault="00015D62" w:rsidP="00015D62">
      <w:pPr>
        <w:spacing w:line="360" w:lineRule="auto"/>
        <w:rPr>
          <w:sz w:val="24"/>
        </w:rPr>
      </w:pPr>
      <w:r w:rsidRPr="00015D62">
        <w:rPr>
          <w:sz w:val="24"/>
        </w:rPr>
        <w:t xml:space="preserve">This </w:t>
      </w:r>
      <w:r w:rsidR="00644861">
        <w:rPr>
          <w:sz w:val="24"/>
        </w:rPr>
        <w:t>information</w:t>
      </w:r>
      <w:r w:rsidR="00644861" w:rsidRPr="00015D62">
        <w:rPr>
          <w:sz w:val="24"/>
        </w:rPr>
        <w:t xml:space="preserve"> </w:t>
      </w:r>
      <w:r w:rsidRPr="00015D62">
        <w:rPr>
          <w:sz w:val="24"/>
        </w:rPr>
        <w:t xml:space="preserve">collection aims to provide a better understanding of </w:t>
      </w:r>
      <w:r w:rsidR="00313D4B">
        <w:rPr>
          <w:sz w:val="24"/>
        </w:rPr>
        <w:t>maternal</w:t>
      </w:r>
      <w:r w:rsidRPr="00015D62">
        <w:rPr>
          <w:sz w:val="24"/>
        </w:rPr>
        <w:t xml:space="preserve"> deaths by using MMRIA to collect standardized data across multiple MMRCs to get the most detailed, complete data </w:t>
      </w:r>
      <w:r w:rsidR="000E28C4">
        <w:rPr>
          <w:sz w:val="24"/>
        </w:rPr>
        <w:t>in order to better understand contributing factors and preventability and thus</w:t>
      </w:r>
      <w:r w:rsidRPr="00015D62">
        <w:rPr>
          <w:sz w:val="24"/>
        </w:rPr>
        <w:t xml:space="preserve"> develop recommendations for prevention. </w:t>
      </w:r>
    </w:p>
    <w:p w14:paraId="7388FCF8" w14:textId="77777777" w:rsidR="00137444" w:rsidRDefault="00137444" w:rsidP="00015D62">
      <w:pPr>
        <w:spacing w:line="360" w:lineRule="auto"/>
        <w:rPr>
          <w:sz w:val="24"/>
        </w:rPr>
      </w:pPr>
    </w:p>
    <w:p w14:paraId="36900FDE" w14:textId="44647922" w:rsidR="00015D62" w:rsidRPr="00015D62" w:rsidRDefault="003F1E49" w:rsidP="00015D62">
      <w:pPr>
        <w:spacing w:line="360" w:lineRule="auto"/>
        <w:rPr>
          <w:sz w:val="24"/>
        </w:rPr>
      </w:pPr>
      <w:r>
        <w:rPr>
          <w:sz w:val="24"/>
        </w:rPr>
        <w:t>Although MMRIA is available for voluntary use by any jurisdiction’s MMRC, this new information collection is only applicable to the 24 awardees, representing 25 states</w:t>
      </w:r>
      <w:r w:rsidR="00E77D84">
        <w:rPr>
          <w:sz w:val="24"/>
        </w:rPr>
        <w:t xml:space="preserve">, </w:t>
      </w:r>
      <w:r>
        <w:rPr>
          <w:sz w:val="24"/>
        </w:rPr>
        <w:t>who as part of the cooperative agreement (</w:t>
      </w:r>
      <w:r w:rsidRPr="009427DA">
        <w:rPr>
          <w:i/>
          <w:sz w:val="24"/>
        </w:rPr>
        <w:t xml:space="preserve">Preventing Maternal Deaths: Supporting Maternal Mortality Review Committees </w:t>
      </w:r>
      <w:r w:rsidRPr="009427DA">
        <w:rPr>
          <w:sz w:val="24"/>
        </w:rPr>
        <w:t>awardee</w:t>
      </w:r>
      <w:r>
        <w:rPr>
          <w:sz w:val="24"/>
        </w:rPr>
        <w:t xml:space="preserve"> (CDC-RFA-DP19-1908) are required </w:t>
      </w:r>
      <w:r w:rsidRPr="009427DA">
        <w:rPr>
          <w:sz w:val="24"/>
        </w:rPr>
        <w:t xml:space="preserve">to compile a defined set of information about pregnancy-associated deaths </w:t>
      </w:r>
      <w:r>
        <w:rPr>
          <w:sz w:val="24"/>
        </w:rPr>
        <w:t xml:space="preserve">into MMRIA. </w:t>
      </w:r>
      <w:r w:rsidR="00137444" w:rsidRPr="009427DA">
        <w:rPr>
          <w:sz w:val="24"/>
        </w:rPr>
        <w:t>For the purposes of this ICR, a “respondent” represents a state or jurisdiction</w:t>
      </w:r>
      <w:r>
        <w:rPr>
          <w:sz w:val="24"/>
        </w:rPr>
        <w:t xml:space="preserve"> awardee</w:t>
      </w:r>
      <w:r w:rsidR="00137444">
        <w:rPr>
          <w:sz w:val="24"/>
        </w:rPr>
        <w:t>.</w:t>
      </w:r>
    </w:p>
    <w:p w14:paraId="3DC143A5" w14:textId="47DFE422" w:rsidR="00F31BB4" w:rsidRDefault="00F31BB4" w:rsidP="00DD6686">
      <w:pPr>
        <w:spacing w:line="360" w:lineRule="auto"/>
        <w:rPr>
          <w:sz w:val="24"/>
        </w:rPr>
      </w:pPr>
    </w:p>
    <w:p w14:paraId="66C8E0F4" w14:textId="7013B297" w:rsidR="00ED028C" w:rsidRDefault="00ED028C" w:rsidP="00A82221">
      <w:pPr>
        <w:pStyle w:val="Heading3"/>
        <w:numPr>
          <w:ilvl w:val="0"/>
          <w:numId w:val="2"/>
        </w:numPr>
        <w:ind w:left="0" w:firstLine="0"/>
        <w:rPr>
          <w:rFonts w:ascii="Times New Roman" w:hAnsi="Times New Roman" w:cs="Times New Roman"/>
          <w:sz w:val="24"/>
          <w:szCs w:val="24"/>
        </w:rPr>
      </w:pPr>
      <w:bookmarkStart w:id="3" w:name="_Toc7600438"/>
      <w:r w:rsidRPr="00BB3C01">
        <w:rPr>
          <w:rFonts w:ascii="Times New Roman" w:hAnsi="Times New Roman" w:cs="Times New Roman"/>
          <w:sz w:val="24"/>
          <w:szCs w:val="24"/>
        </w:rPr>
        <w:t>Purpose and Use of Information Collection</w:t>
      </w:r>
      <w:bookmarkEnd w:id="3"/>
    </w:p>
    <w:p w14:paraId="3EB72BD0" w14:textId="376C4EEF" w:rsidR="00015D62" w:rsidRDefault="00015D62" w:rsidP="00015D62"/>
    <w:p w14:paraId="0B45CC38" w14:textId="51EDA38F" w:rsidR="00015D62" w:rsidRDefault="00015D62" w:rsidP="00015D62">
      <w:pPr>
        <w:spacing w:line="360" w:lineRule="auto"/>
        <w:rPr>
          <w:sz w:val="24"/>
        </w:rPr>
      </w:pPr>
      <w:r w:rsidRPr="00015D62">
        <w:rPr>
          <w:sz w:val="24"/>
        </w:rPr>
        <w:t>MMRIA is a</w:t>
      </w:r>
      <w:r w:rsidR="00017478">
        <w:rPr>
          <w:sz w:val="24"/>
        </w:rPr>
        <w:t xml:space="preserve"> </w:t>
      </w:r>
      <w:r w:rsidR="00671854">
        <w:rPr>
          <w:sz w:val="24"/>
        </w:rPr>
        <w:t>standardized data</w:t>
      </w:r>
      <w:r w:rsidRPr="00015D62">
        <w:rPr>
          <w:sz w:val="24"/>
        </w:rPr>
        <w:t xml:space="preserve"> system designed to collect timely, accurate, and standardized information about deaths to women during pregnancy and the year after the end of pregnancy, including opportunities for prevention, within and across jurisdictions. Data</w:t>
      </w:r>
      <w:r w:rsidR="00671854">
        <w:rPr>
          <w:sz w:val="24"/>
        </w:rPr>
        <w:t xml:space="preserve"> </w:t>
      </w:r>
      <w:r w:rsidR="00310B9E">
        <w:rPr>
          <w:sz w:val="24"/>
        </w:rPr>
        <w:t xml:space="preserve">will be abstracted </w:t>
      </w:r>
      <w:r w:rsidR="00671854">
        <w:rPr>
          <w:sz w:val="24"/>
        </w:rPr>
        <w:t>and</w:t>
      </w:r>
      <w:r w:rsidRPr="00015D62">
        <w:rPr>
          <w:sz w:val="24"/>
        </w:rPr>
        <w:t xml:space="preserve"> </w:t>
      </w:r>
      <w:r w:rsidR="000B207D">
        <w:rPr>
          <w:sz w:val="24"/>
        </w:rPr>
        <w:t>entered into</w:t>
      </w:r>
      <w:r w:rsidR="00310B9E">
        <w:rPr>
          <w:sz w:val="24"/>
        </w:rPr>
        <w:t xml:space="preserve"> MMRIA from various sources, including </w:t>
      </w:r>
      <w:r w:rsidRPr="00015D62">
        <w:rPr>
          <w:sz w:val="24"/>
        </w:rPr>
        <w:t>death certificate</w:t>
      </w:r>
      <w:r w:rsidR="00C17AF9">
        <w:rPr>
          <w:sz w:val="24"/>
        </w:rPr>
        <w:t>s</w:t>
      </w:r>
      <w:r w:rsidRPr="00015D62">
        <w:rPr>
          <w:sz w:val="24"/>
        </w:rPr>
        <w:t>, autopsy report</w:t>
      </w:r>
      <w:r w:rsidR="00C17AF9">
        <w:rPr>
          <w:sz w:val="24"/>
        </w:rPr>
        <w:t>s</w:t>
      </w:r>
      <w:r w:rsidRPr="00015D62">
        <w:rPr>
          <w:sz w:val="24"/>
        </w:rPr>
        <w:t>, birth certificate</w:t>
      </w:r>
      <w:r w:rsidR="00C17AF9">
        <w:rPr>
          <w:sz w:val="24"/>
        </w:rPr>
        <w:t>s</w:t>
      </w:r>
      <w:r w:rsidRPr="00015D62">
        <w:rPr>
          <w:sz w:val="24"/>
        </w:rPr>
        <w:t>, prenatal care record</w:t>
      </w:r>
      <w:r w:rsidR="00C17AF9">
        <w:rPr>
          <w:sz w:val="24"/>
        </w:rPr>
        <w:t>s</w:t>
      </w:r>
      <w:r w:rsidRPr="00015D62">
        <w:rPr>
          <w:sz w:val="24"/>
        </w:rPr>
        <w:t>, emergency room visits records, hospitalization records, records for other medical office visits, medical transport records, social and environmental profile</w:t>
      </w:r>
      <w:r w:rsidR="00C17AF9">
        <w:rPr>
          <w:sz w:val="24"/>
        </w:rPr>
        <w:t>s</w:t>
      </w:r>
      <w:r w:rsidRPr="00015D62">
        <w:rPr>
          <w:sz w:val="24"/>
        </w:rPr>
        <w:t>, mental health profile</w:t>
      </w:r>
      <w:r w:rsidR="00C17AF9">
        <w:rPr>
          <w:sz w:val="24"/>
        </w:rPr>
        <w:t>s</w:t>
      </w:r>
      <w:r w:rsidRPr="00015D62">
        <w:rPr>
          <w:sz w:val="24"/>
        </w:rPr>
        <w:t xml:space="preserve">, </w:t>
      </w:r>
      <w:r w:rsidR="00D033BC">
        <w:rPr>
          <w:sz w:val="24"/>
        </w:rPr>
        <w:t xml:space="preserve">and </w:t>
      </w:r>
      <w:r w:rsidRPr="00015D62">
        <w:rPr>
          <w:sz w:val="24"/>
        </w:rPr>
        <w:t>informant interviews</w:t>
      </w:r>
      <w:r w:rsidR="00D033BC">
        <w:rPr>
          <w:sz w:val="24"/>
        </w:rPr>
        <w:t>.</w:t>
      </w:r>
      <w:r w:rsidRPr="00015D62">
        <w:rPr>
          <w:sz w:val="24"/>
        </w:rPr>
        <w:t xml:space="preserve"> </w:t>
      </w:r>
      <w:r w:rsidR="00310B9E">
        <w:rPr>
          <w:sz w:val="24"/>
        </w:rPr>
        <w:t>Ca</w:t>
      </w:r>
      <w:r w:rsidRPr="00015D62">
        <w:rPr>
          <w:sz w:val="24"/>
        </w:rPr>
        <w:t>se narrative</w:t>
      </w:r>
      <w:r w:rsidR="00C17AF9">
        <w:rPr>
          <w:sz w:val="24"/>
        </w:rPr>
        <w:t>s</w:t>
      </w:r>
      <w:r w:rsidR="00310B9E">
        <w:rPr>
          <w:sz w:val="24"/>
        </w:rPr>
        <w:t xml:space="preserve"> </w:t>
      </w:r>
      <w:r w:rsidR="0047150B">
        <w:rPr>
          <w:sz w:val="24"/>
        </w:rPr>
        <w:t xml:space="preserve">are automatically populated </w:t>
      </w:r>
      <w:r w:rsidR="00AD417A">
        <w:rPr>
          <w:sz w:val="24"/>
        </w:rPr>
        <w:t xml:space="preserve">from the </w:t>
      </w:r>
      <w:r w:rsidR="000E28C4">
        <w:rPr>
          <w:sz w:val="24"/>
        </w:rPr>
        <w:t>abstracted</w:t>
      </w:r>
      <w:r w:rsidR="00AD417A">
        <w:rPr>
          <w:sz w:val="24"/>
        </w:rPr>
        <w:t xml:space="preserve"> data for committee review,</w:t>
      </w:r>
      <w:r w:rsidR="00A91D98">
        <w:rPr>
          <w:sz w:val="24"/>
        </w:rPr>
        <w:t xml:space="preserve"> </w:t>
      </w:r>
      <w:r w:rsidR="00310B9E" w:rsidRPr="00A91D98">
        <w:rPr>
          <w:sz w:val="24"/>
        </w:rPr>
        <w:t>and</w:t>
      </w:r>
      <w:r w:rsidR="00310B9E">
        <w:rPr>
          <w:sz w:val="24"/>
        </w:rPr>
        <w:t xml:space="preserve"> subsequent </w:t>
      </w:r>
      <w:r w:rsidRPr="00015D62">
        <w:rPr>
          <w:sz w:val="24"/>
        </w:rPr>
        <w:t>committee decisions</w:t>
      </w:r>
      <w:r w:rsidR="00310B9E">
        <w:rPr>
          <w:sz w:val="24"/>
        </w:rPr>
        <w:t xml:space="preserve"> </w:t>
      </w:r>
      <w:r w:rsidR="0047150B">
        <w:rPr>
          <w:sz w:val="24"/>
        </w:rPr>
        <w:t xml:space="preserve">are </w:t>
      </w:r>
      <w:r w:rsidR="00310B9E">
        <w:rPr>
          <w:sz w:val="24"/>
        </w:rPr>
        <w:t xml:space="preserve">also </w:t>
      </w:r>
      <w:r w:rsidR="0047150B">
        <w:rPr>
          <w:sz w:val="24"/>
        </w:rPr>
        <w:t>documented</w:t>
      </w:r>
      <w:r w:rsidR="00310B9E">
        <w:rPr>
          <w:sz w:val="24"/>
        </w:rPr>
        <w:t xml:space="preserve"> in MMRIA</w:t>
      </w:r>
      <w:r w:rsidR="00E7480C">
        <w:rPr>
          <w:sz w:val="24"/>
        </w:rPr>
        <w:t xml:space="preserve"> </w:t>
      </w:r>
      <w:r w:rsidR="005A060C">
        <w:rPr>
          <w:sz w:val="24"/>
        </w:rPr>
        <w:t xml:space="preserve"> </w:t>
      </w:r>
    </w:p>
    <w:p w14:paraId="6F9E803F" w14:textId="5658027B" w:rsidR="003C3252" w:rsidRDefault="003C3252" w:rsidP="00015D62">
      <w:pPr>
        <w:spacing w:line="360" w:lineRule="auto"/>
        <w:rPr>
          <w:sz w:val="24"/>
        </w:rPr>
      </w:pPr>
    </w:p>
    <w:p w14:paraId="363C68F1" w14:textId="2853B020" w:rsidR="003C3252" w:rsidRPr="00015D62" w:rsidRDefault="003C3252" w:rsidP="003C3252">
      <w:pPr>
        <w:spacing w:line="360" w:lineRule="auto"/>
        <w:rPr>
          <w:sz w:val="24"/>
        </w:rPr>
      </w:pPr>
      <w:r w:rsidRPr="00015D62">
        <w:rPr>
          <w:sz w:val="24"/>
        </w:rPr>
        <w:t xml:space="preserve">Key activities </w:t>
      </w:r>
      <w:r w:rsidRPr="00401A11">
        <w:rPr>
          <w:sz w:val="24"/>
        </w:rPr>
        <w:t>to</w:t>
      </w:r>
      <w:r w:rsidRPr="00015D62">
        <w:rPr>
          <w:sz w:val="24"/>
        </w:rPr>
        <w:t xml:space="preserve"> be conducted as part of </w:t>
      </w:r>
      <w:r>
        <w:rPr>
          <w:sz w:val="24"/>
        </w:rPr>
        <w:t>MMRCs’ use of MMRIA by awardees</w:t>
      </w:r>
      <w:r w:rsidRPr="00015D62">
        <w:rPr>
          <w:sz w:val="24"/>
        </w:rPr>
        <w:t xml:space="preserve"> include:</w:t>
      </w:r>
    </w:p>
    <w:p w14:paraId="4692BB7E" w14:textId="77777777" w:rsidR="003C3252" w:rsidRPr="00015D62" w:rsidRDefault="003C3252" w:rsidP="003C3252">
      <w:pPr>
        <w:numPr>
          <w:ilvl w:val="0"/>
          <w:numId w:val="27"/>
        </w:numPr>
        <w:spacing w:line="360" w:lineRule="auto"/>
        <w:rPr>
          <w:sz w:val="24"/>
        </w:rPr>
      </w:pPr>
      <w:r w:rsidRPr="00015D62">
        <w:rPr>
          <w:sz w:val="24"/>
        </w:rPr>
        <w:t>Comprehensively identify</w:t>
      </w:r>
      <w:r>
        <w:rPr>
          <w:sz w:val="24"/>
        </w:rPr>
        <w:t>ing</w:t>
      </w:r>
      <w:r w:rsidRPr="00015D62">
        <w:rPr>
          <w:sz w:val="24"/>
        </w:rPr>
        <w:t xml:space="preserve"> pregnancy-associated deaths</w:t>
      </w:r>
    </w:p>
    <w:p w14:paraId="062FB7BB" w14:textId="77777777" w:rsidR="003C3252" w:rsidRPr="00015D62" w:rsidRDefault="003C3252" w:rsidP="003C3252">
      <w:pPr>
        <w:numPr>
          <w:ilvl w:val="1"/>
          <w:numId w:val="27"/>
        </w:numPr>
        <w:spacing w:line="360" w:lineRule="auto"/>
        <w:rPr>
          <w:sz w:val="24"/>
        </w:rPr>
      </w:pPr>
      <w:r w:rsidRPr="00015D62">
        <w:rPr>
          <w:sz w:val="24"/>
        </w:rPr>
        <w:t xml:space="preserve">Identify deaths to women that occur during pregnancy or within a year of the end of pregnancy on a routine basis, no later than one year following the date of death </w:t>
      </w:r>
    </w:p>
    <w:p w14:paraId="6FA82413" w14:textId="77777777" w:rsidR="003C3252" w:rsidRPr="00015D62" w:rsidRDefault="003C3252" w:rsidP="003C3252">
      <w:pPr>
        <w:numPr>
          <w:ilvl w:val="1"/>
          <w:numId w:val="27"/>
        </w:numPr>
        <w:spacing w:line="360" w:lineRule="auto"/>
        <w:rPr>
          <w:sz w:val="24"/>
        </w:rPr>
      </w:pPr>
      <w:r w:rsidRPr="00015D62">
        <w:rPr>
          <w:sz w:val="24"/>
        </w:rPr>
        <w:t>At a minimum, use death certificates and death certificates linked to sentinel vital statistics data (i.e.</w:t>
      </w:r>
      <w:r>
        <w:rPr>
          <w:sz w:val="24"/>
        </w:rPr>
        <w:t>,</w:t>
      </w:r>
      <w:r w:rsidRPr="00015D62">
        <w:rPr>
          <w:sz w:val="24"/>
        </w:rPr>
        <w:t xml:space="preserve"> birth certificates and fetal death certificates in the year preceding death) to identify pregnancy-associated deaths</w:t>
      </w:r>
    </w:p>
    <w:p w14:paraId="207CCE03" w14:textId="77777777" w:rsidR="003C3252" w:rsidRPr="00015D62" w:rsidRDefault="003C3252" w:rsidP="003C3252">
      <w:pPr>
        <w:numPr>
          <w:ilvl w:val="0"/>
          <w:numId w:val="27"/>
        </w:numPr>
        <w:spacing w:line="360" w:lineRule="auto"/>
        <w:rPr>
          <w:sz w:val="24"/>
        </w:rPr>
      </w:pPr>
      <w:r w:rsidRPr="00015D62">
        <w:rPr>
          <w:sz w:val="24"/>
        </w:rPr>
        <w:t>Completely abstract</w:t>
      </w:r>
      <w:r>
        <w:rPr>
          <w:sz w:val="24"/>
        </w:rPr>
        <w:t>ing</w:t>
      </w:r>
      <w:r w:rsidRPr="00015D62">
        <w:rPr>
          <w:sz w:val="24"/>
        </w:rPr>
        <w:t xml:space="preserve"> available data to support multidisciplinary review of each death </w:t>
      </w:r>
    </w:p>
    <w:p w14:paraId="6EF80C26" w14:textId="3E454C48" w:rsidR="003C3252" w:rsidRPr="00015D62" w:rsidRDefault="003C3252" w:rsidP="003C3252">
      <w:pPr>
        <w:numPr>
          <w:ilvl w:val="1"/>
          <w:numId w:val="27"/>
        </w:numPr>
        <w:spacing w:line="360" w:lineRule="auto"/>
        <w:rPr>
          <w:sz w:val="24"/>
        </w:rPr>
      </w:pPr>
      <w:r w:rsidRPr="00015D62">
        <w:rPr>
          <w:sz w:val="24"/>
        </w:rPr>
        <w:t>Abstract and enter comprehensive information about all deaths po</w:t>
      </w:r>
      <w:r w:rsidR="00333620">
        <w:rPr>
          <w:sz w:val="24"/>
        </w:rPr>
        <w:t xml:space="preserve">tentially related to pregnancy </w:t>
      </w:r>
      <w:r w:rsidRPr="00015D62">
        <w:rPr>
          <w:sz w:val="24"/>
        </w:rPr>
        <w:t xml:space="preserve">into the MMRIA in preparation for committee review within </w:t>
      </w:r>
      <w:r w:rsidR="00333620">
        <w:rPr>
          <w:sz w:val="24"/>
        </w:rPr>
        <w:t>two</w:t>
      </w:r>
      <w:r w:rsidRPr="00015D62">
        <w:rPr>
          <w:sz w:val="24"/>
        </w:rPr>
        <w:t xml:space="preserve"> years of the date of death</w:t>
      </w:r>
    </w:p>
    <w:p w14:paraId="3CF6FD73" w14:textId="707B5E75" w:rsidR="003C3252" w:rsidRPr="00015D62" w:rsidRDefault="003C3252" w:rsidP="003C3252">
      <w:pPr>
        <w:numPr>
          <w:ilvl w:val="1"/>
          <w:numId w:val="27"/>
        </w:numPr>
        <w:spacing w:line="360" w:lineRule="auto"/>
        <w:rPr>
          <w:sz w:val="24"/>
        </w:rPr>
      </w:pPr>
      <w:r w:rsidRPr="00015D62">
        <w:rPr>
          <w:sz w:val="24"/>
        </w:rPr>
        <w:t xml:space="preserve">Review all deaths potentially related to pregnancy within </w:t>
      </w:r>
      <w:r w:rsidR="00333620">
        <w:rPr>
          <w:sz w:val="24"/>
        </w:rPr>
        <w:t>two</w:t>
      </w:r>
      <w:r w:rsidRPr="00015D62">
        <w:rPr>
          <w:sz w:val="24"/>
        </w:rPr>
        <w:t xml:space="preserve"> years of the date of death</w:t>
      </w:r>
    </w:p>
    <w:p w14:paraId="6A65F121" w14:textId="77777777" w:rsidR="003C3252" w:rsidRPr="00015D62" w:rsidRDefault="003C3252" w:rsidP="003C3252">
      <w:pPr>
        <w:numPr>
          <w:ilvl w:val="1"/>
          <w:numId w:val="27"/>
        </w:numPr>
        <w:spacing w:line="360" w:lineRule="auto"/>
        <w:rPr>
          <w:sz w:val="24"/>
        </w:rPr>
      </w:pPr>
      <w:r w:rsidRPr="00015D62">
        <w:rPr>
          <w:sz w:val="24"/>
        </w:rPr>
        <w:t xml:space="preserve">Document committee decisions about a reviewed death in MMRIA consistent with guidance documents provided at </w:t>
      </w:r>
      <w:hyperlink r:id="rId9" w:history="1">
        <w:r w:rsidRPr="00015D62">
          <w:rPr>
            <w:rStyle w:val="Hyperlink"/>
            <w:sz w:val="24"/>
          </w:rPr>
          <w:t>reviewtoaction.org</w:t>
        </w:r>
      </w:hyperlink>
      <w:r w:rsidRPr="00015D62">
        <w:rPr>
          <w:sz w:val="24"/>
        </w:rPr>
        <w:t xml:space="preserve"> </w:t>
      </w:r>
    </w:p>
    <w:p w14:paraId="63E05C59" w14:textId="77777777" w:rsidR="003C3252" w:rsidRPr="00015D62" w:rsidRDefault="003C3252" w:rsidP="003C3252">
      <w:pPr>
        <w:numPr>
          <w:ilvl w:val="1"/>
          <w:numId w:val="27"/>
        </w:numPr>
        <w:spacing w:line="360" w:lineRule="auto"/>
        <w:rPr>
          <w:sz w:val="24"/>
        </w:rPr>
      </w:pPr>
      <w:r w:rsidRPr="00015D62">
        <w:rPr>
          <w:sz w:val="24"/>
        </w:rPr>
        <w:t>Enter all information into MMRIA within 30 days of completing the review of a death</w:t>
      </w:r>
    </w:p>
    <w:p w14:paraId="3143A89C" w14:textId="77777777" w:rsidR="003C3252" w:rsidRPr="00015D62" w:rsidRDefault="003C3252" w:rsidP="003C3252">
      <w:pPr>
        <w:numPr>
          <w:ilvl w:val="1"/>
          <w:numId w:val="27"/>
        </w:numPr>
        <w:spacing w:line="360" w:lineRule="auto"/>
        <w:rPr>
          <w:sz w:val="24"/>
        </w:rPr>
      </w:pPr>
      <w:r w:rsidRPr="00015D62">
        <w:rPr>
          <w:sz w:val="24"/>
        </w:rPr>
        <w:t>Perform data quality assurance checks within 90 days of completing the review of a death to, at a minimum, ensure completeness</w:t>
      </w:r>
    </w:p>
    <w:p w14:paraId="0BA84031" w14:textId="77777777" w:rsidR="003C3252" w:rsidRPr="00015D62" w:rsidRDefault="003C3252" w:rsidP="003C3252">
      <w:pPr>
        <w:numPr>
          <w:ilvl w:val="0"/>
          <w:numId w:val="27"/>
        </w:numPr>
        <w:spacing w:line="360" w:lineRule="auto"/>
        <w:rPr>
          <w:sz w:val="24"/>
        </w:rPr>
      </w:pPr>
      <w:r w:rsidRPr="00015D62">
        <w:rPr>
          <w:sz w:val="24"/>
        </w:rPr>
        <w:t>Us</w:t>
      </w:r>
      <w:r>
        <w:rPr>
          <w:sz w:val="24"/>
        </w:rPr>
        <w:t>ing</w:t>
      </w:r>
      <w:r w:rsidRPr="00015D62">
        <w:rPr>
          <w:sz w:val="24"/>
        </w:rPr>
        <w:t xml:space="preserve"> data from reviewed deaths for action</w:t>
      </w:r>
    </w:p>
    <w:p w14:paraId="50B35145" w14:textId="36967211" w:rsidR="003C3252" w:rsidRPr="00015D62" w:rsidRDefault="003C3252" w:rsidP="003C3252">
      <w:pPr>
        <w:numPr>
          <w:ilvl w:val="1"/>
          <w:numId w:val="27"/>
        </w:numPr>
        <w:spacing w:line="360" w:lineRule="auto"/>
        <w:rPr>
          <w:sz w:val="24"/>
        </w:rPr>
      </w:pPr>
      <w:r w:rsidRPr="00015D62">
        <w:rPr>
          <w:sz w:val="24"/>
        </w:rPr>
        <w:t>Analyze MMRIA data to provide information on burden</w:t>
      </w:r>
      <w:r>
        <w:rPr>
          <w:sz w:val="24"/>
        </w:rPr>
        <w:t>, such as</w:t>
      </w:r>
      <w:r w:rsidRPr="00015D62">
        <w:rPr>
          <w:sz w:val="24"/>
        </w:rPr>
        <w:t xml:space="preserve"> pregnancy-related mortality ratio, counts causes, and distribution of deaths (e.g.</w:t>
      </w:r>
      <w:r>
        <w:rPr>
          <w:sz w:val="24"/>
        </w:rPr>
        <w:t>,</w:t>
      </w:r>
      <w:r w:rsidRPr="00015D62">
        <w:rPr>
          <w:sz w:val="24"/>
        </w:rPr>
        <w:t xml:space="preserve"> by age, race, rurality)</w:t>
      </w:r>
      <w:r>
        <w:rPr>
          <w:sz w:val="24"/>
        </w:rPr>
        <w:t>,</w:t>
      </w:r>
      <w:r w:rsidRPr="00015D62">
        <w:rPr>
          <w:sz w:val="24"/>
        </w:rPr>
        <w:t xml:space="preserve"> and opportunities for prevention</w:t>
      </w:r>
    </w:p>
    <w:p w14:paraId="096405F9" w14:textId="086BDB35" w:rsidR="003C3252" w:rsidRPr="003C3252" w:rsidRDefault="003C3252" w:rsidP="00015D62">
      <w:pPr>
        <w:numPr>
          <w:ilvl w:val="1"/>
          <w:numId w:val="27"/>
        </w:numPr>
        <w:spacing w:line="360" w:lineRule="auto"/>
        <w:rPr>
          <w:sz w:val="24"/>
        </w:rPr>
      </w:pPr>
      <w:r w:rsidRPr="00015D62">
        <w:rPr>
          <w:sz w:val="24"/>
        </w:rPr>
        <w:t>Disseminate information (e.g.</w:t>
      </w:r>
      <w:r w:rsidR="00333620">
        <w:rPr>
          <w:sz w:val="24"/>
        </w:rPr>
        <w:t>,</w:t>
      </w:r>
      <w:r w:rsidRPr="00015D62">
        <w:rPr>
          <w:sz w:val="24"/>
        </w:rPr>
        <w:t xml:space="preserve"> </w:t>
      </w:r>
      <w:r>
        <w:rPr>
          <w:sz w:val="24"/>
        </w:rPr>
        <w:t>r</w:t>
      </w:r>
      <w:r w:rsidRPr="00015D62">
        <w:rPr>
          <w:sz w:val="24"/>
        </w:rPr>
        <w:t xml:space="preserve">eports, </w:t>
      </w:r>
      <w:r>
        <w:rPr>
          <w:sz w:val="24"/>
        </w:rPr>
        <w:t>p</w:t>
      </w:r>
      <w:r w:rsidRPr="00015D62">
        <w:rPr>
          <w:sz w:val="24"/>
        </w:rPr>
        <w:t xml:space="preserve">ublications, </w:t>
      </w:r>
      <w:r w:rsidR="00674EF1">
        <w:rPr>
          <w:sz w:val="24"/>
        </w:rPr>
        <w:t>p</w:t>
      </w:r>
      <w:r w:rsidR="00674EF1" w:rsidRPr="00015D62">
        <w:rPr>
          <w:sz w:val="24"/>
        </w:rPr>
        <w:t>resentations</w:t>
      </w:r>
      <w:r w:rsidRPr="00015D62">
        <w:rPr>
          <w:sz w:val="24"/>
        </w:rPr>
        <w:t>, briefs) from analyses at least once per year to internal and external audiences for informing practice and policy changes</w:t>
      </w:r>
    </w:p>
    <w:p w14:paraId="0FB829A2" w14:textId="77777777" w:rsidR="00015D62" w:rsidRPr="00015D62" w:rsidRDefault="00015D62" w:rsidP="00015D62">
      <w:pPr>
        <w:spacing w:line="360" w:lineRule="auto"/>
        <w:rPr>
          <w:sz w:val="24"/>
        </w:rPr>
      </w:pPr>
    </w:p>
    <w:p w14:paraId="3ECA4E80" w14:textId="466140F2" w:rsidR="00015D62" w:rsidRPr="00015D62" w:rsidRDefault="003C3252" w:rsidP="003C3252">
      <w:pPr>
        <w:spacing w:line="360" w:lineRule="auto"/>
        <w:rPr>
          <w:sz w:val="24"/>
        </w:rPr>
      </w:pPr>
      <w:r>
        <w:rPr>
          <w:sz w:val="24"/>
        </w:rPr>
        <w:t>In summary, t</w:t>
      </w:r>
      <w:r w:rsidR="00015D62" w:rsidRPr="00015D62">
        <w:rPr>
          <w:sz w:val="24"/>
        </w:rPr>
        <w:t>he information collected as part of this effort will be used to</w:t>
      </w:r>
      <w:r>
        <w:rPr>
          <w:sz w:val="24"/>
        </w:rPr>
        <w:t xml:space="preserve"> p</w:t>
      </w:r>
      <w:r w:rsidR="00015D62" w:rsidRPr="00015D62">
        <w:rPr>
          <w:sz w:val="24"/>
        </w:rPr>
        <w:t>rovide timely, accurate, and standardized information about deaths to women during pregnancy and the year after the end of pregnancy within and acr</w:t>
      </w:r>
      <w:r>
        <w:rPr>
          <w:sz w:val="24"/>
        </w:rPr>
        <w:t>oss participating jurisdictions; f</w:t>
      </w:r>
      <w:r w:rsidR="00015D62" w:rsidRPr="00015D62">
        <w:rPr>
          <w:sz w:val="24"/>
        </w:rPr>
        <w:t>acilitate an understanding of the drivers of maternal mortality and complications of pregn</w:t>
      </w:r>
      <w:r>
        <w:rPr>
          <w:sz w:val="24"/>
        </w:rPr>
        <w:t>ancy and associated disparities; d</w:t>
      </w:r>
      <w:r w:rsidR="00015D62" w:rsidRPr="00015D62">
        <w:rPr>
          <w:sz w:val="24"/>
        </w:rPr>
        <w:t>etermine what interventions at patient, provider, facility, system and community levels will have the most impact</w:t>
      </w:r>
      <w:r>
        <w:rPr>
          <w:sz w:val="24"/>
        </w:rPr>
        <w:t>; and i</w:t>
      </w:r>
      <w:r w:rsidR="00015D62" w:rsidRPr="00015D62">
        <w:rPr>
          <w:sz w:val="24"/>
        </w:rPr>
        <w:t xml:space="preserve">mplement data driven recommendations </w:t>
      </w:r>
      <w:r w:rsidR="004B63AB">
        <w:rPr>
          <w:sz w:val="24"/>
        </w:rPr>
        <w:t>(</w:t>
      </w:r>
      <w:r w:rsidR="00015D62" w:rsidRPr="00015D62">
        <w:rPr>
          <w:sz w:val="24"/>
        </w:rPr>
        <w:t>e.g.</w:t>
      </w:r>
      <w:r w:rsidR="004B63AB">
        <w:rPr>
          <w:sz w:val="24"/>
        </w:rPr>
        <w:t>,</w:t>
      </w:r>
      <w:r w:rsidR="00015D62" w:rsidRPr="00015D62">
        <w:rPr>
          <w:sz w:val="24"/>
        </w:rPr>
        <w:t xml:space="preserve"> evidence</w:t>
      </w:r>
      <w:r w:rsidR="004B63AB">
        <w:rPr>
          <w:sz w:val="24"/>
        </w:rPr>
        <w:t>-</w:t>
      </w:r>
      <w:r w:rsidR="00015D62" w:rsidRPr="00015D62">
        <w:rPr>
          <w:sz w:val="24"/>
        </w:rPr>
        <w:t>based practices, screenings, patient education by providers</w:t>
      </w:r>
      <w:r w:rsidR="004B63AB">
        <w:rPr>
          <w:sz w:val="24"/>
        </w:rPr>
        <w:t>)</w:t>
      </w:r>
      <w:r>
        <w:rPr>
          <w:sz w:val="24"/>
        </w:rPr>
        <w:t>.</w:t>
      </w:r>
    </w:p>
    <w:p w14:paraId="5435268C" w14:textId="77777777" w:rsidR="004B63AB" w:rsidRDefault="004B63AB" w:rsidP="00015D62">
      <w:pPr>
        <w:spacing w:line="360" w:lineRule="auto"/>
        <w:rPr>
          <w:sz w:val="24"/>
        </w:rPr>
      </w:pPr>
    </w:p>
    <w:p w14:paraId="511CEE9B" w14:textId="18136237" w:rsidR="00015D62" w:rsidRPr="003C3252" w:rsidRDefault="00015D62" w:rsidP="003C3252">
      <w:pPr>
        <w:spacing w:line="360" w:lineRule="auto"/>
        <w:rPr>
          <w:sz w:val="24"/>
          <w:lang w:val="en"/>
        </w:rPr>
      </w:pPr>
      <w:r w:rsidRPr="00015D62">
        <w:rPr>
          <w:sz w:val="24"/>
        </w:rPr>
        <w:t xml:space="preserve">In addition </w:t>
      </w:r>
      <w:r w:rsidR="00DC393E">
        <w:rPr>
          <w:sz w:val="24"/>
        </w:rPr>
        <w:t>to</w:t>
      </w:r>
      <w:r w:rsidR="00017478">
        <w:rPr>
          <w:sz w:val="24"/>
        </w:rPr>
        <w:t xml:space="preserve"> </w:t>
      </w:r>
      <w:r w:rsidRPr="00015D62">
        <w:rPr>
          <w:sz w:val="24"/>
        </w:rPr>
        <w:t>the aforementioned uses</w:t>
      </w:r>
      <w:r w:rsidRPr="00015D62">
        <w:rPr>
          <w:sz w:val="24"/>
          <w:lang w:val="en"/>
        </w:rPr>
        <w:t xml:space="preserve">, </w:t>
      </w:r>
      <w:r w:rsidRPr="00015D62">
        <w:rPr>
          <w:sz w:val="24"/>
        </w:rPr>
        <w:t xml:space="preserve">the information compiled in MMRIA can be used by CDC and participating jurisdictions to identify strategies to achieve and inform progress towards </w:t>
      </w:r>
      <w:r w:rsidRPr="00015D62">
        <w:rPr>
          <w:sz w:val="24"/>
          <w:lang w:val="en"/>
        </w:rPr>
        <w:t>Healthy People 20</w:t>
      </w:r>
      <w:r w:rsidR="00C668CB">
        <w:rPr>
          <w:sz w:val="24"/>
          <w:lang w:val="en"/>
        </w:rPr>
        <w:t>2</w:t>
      </w:r>
      <w:r w:rsidR="002D3156">
        <w:rPr>
          <w:sz w:val="24"/>
          <w:lang w:val="en"/>
        </w:rPr>
        <w:t>0 goals</w:t>
      </w:r>
      <w:r w:rsidRPr="00015D62">
        <w:rPr>
          <w:sz w:val="24"/>
          <w:lang w:val="en"/>
        </w:rPr>
        <w:t xml:space="preserve"> “MICH-</w:t>
      </w:r>
      <w:r w:rsidR="00C668CB">
        <w:rPr>
          <w:sz w:val="24"/>
          <w:lang w:val="en"/>
        </w:rPr>
        <w:t>5</w:t>
      </w:r>
      <w:r w:rsidRPr="00015D62">
        <w:rPr>
          <w:sz w:val="24"/>
          <w:lang w:val="en"/>
        </w:rPr>
        <w:t xml:space="preserve">: Reduce </w:t>
      </w:r>
      <w:r w:rsidR="00C668CB">
        <w:rPr>
          <w:sz w:val="24"/>
          <w:lang w:val="en"/>
        </w:rPr>
        <w:t xml:space="preserve">the rate of </w:t>
      </w:r>
      <w:r w:rsidRPr="00015D62">
        <w:rPr>
          <w:sz w:val="24"/>
          <w:lang w:val="en"/>
        </w:rPr>
        <w:t xml:space="preserve">maternal </w:t>
      </w:r>
      <w:r w:rsidR="00C668CB">
        <w:rPr>
          <w:sz w:val="24"/>
          <w:lang w:val="en"/>
        </w:rPr>
        <w:t>mortality</w:t>
      </w:r>
      <w:r w:rsidRPr="00015D62">
        <w:rPr>
          <w:sz w:val="24"/>
          <w:lang w:val="en"/>
        </w:rPr>
        <w:t>”</w:t>
      </w:r>
      <w:r w:rsidR="002D3156">
        <w:rPr>
          <w:sz w:val="24"/>
          <w:lang w:val="en"/>
        </w:rPr>
        <w:t xml:space="preserve"> and “MICH-6: Reduce maternal illness and complications due to pregnancy (complications during hospitalized labor and delivery</w:t>
      </w:r>
      <w:r w:rsidR="000F7678">
        <w:rPr>
          <w:sz w:val="24"/>
          <w:lang w:val="en"/>
        </w:rPr>
        <w:t>)</w:t>
      </w:r>
      <w:r w:rsidR="002D3156">
        <w:rPr>
          <w:sz w:val="24"/>
          <w:lang w:val="en"/>
        </w:rPr>
        <w:t>.”</w:t>
      </w:r>
    </w:p>
    <w:p w14:paraId="5801F162" w14:textId="77777777" w:rsidR="00140154" w:rsidRPr="00140154" w:rsidRDefault="00140154" w:rsidP="00140154"/>
    <w:p w14:paraId="656B2114" w14:textId="77777777" w:rsidR="00ED028C" w:rsidRPr="00BB3C01" w:rsidRDefault="00ED028C" w:rsidP="00A82221">
      <w:pPr>
        <w:pStyle w:val="Heading3"/>
        <w:numPr>
          <w:ilvl w:val="0"/>
          <w:numId w:val="2"/>
        </w:numPr>
        <w:ind w:left="0" w:firstLine="0"/>
        <w:rPr>
          <w:rFonts w:ascii="Times New Roman" w:hAnsi="Times New Roman" w:cs="Times New Roman"/>
          <w:sz w:val="24"/>
          <w:szCs w:val="24"/>
        </w:rPr>
      </w:pPr>
      <w:bookmarkStart w:id="4" w:name="_Toc7600439"/>
      <w:r w:rsidRPr="00BB3C01">
        <w:rPr>
          <w:rFonts w:ascii="Times New Roman" w:hAnsi="Times New Roman" w:cs="Times New Roman"/>
          <w:sz w:val="24"/>
          <w:szCs w:val="24"/>
        </w:rPr>
        <w:t>Use of Improved Information Technology and Burden Reduction</w:t>
      </w:r>
      <w:bookmarkEnd w:id="4"/>
      <w:r w:rsidRPr="00BB3C01">
        <w:rPr>
          <w:rFonts w:ascii="Times New Roman" w:hAnsi="Times New Roman" w:cs="Times New Roman"/>
          <w:sz w:val="24"/>
          <w:szCs w:val="24"/>
        </w:rPr>
        <w:t xml:space="preserve"> </w:t>
      </w:r>
    </w:p>
    <w:p w14:paraId="59E0E3F7" w14:textId="6178E4FC" w:rsidR="00E56539" w:rsidRDefault="00E56539" w:rsidP="006530E2">
      <w:pPr>
        <w:rPr>
          <w:sz w:val="24"/>
        </w:rPr>
      </w:pPr>
    </w:p>
    <w:p w14:paraId="5EEECCFE" w14:textId="6512DE0B" w:rsidR="00015D62" w:rsidRPr="00015D62" w:rsidRDefault="00025433" w:rsidP="00015D62">
      <w:pPr>
        <w:spacing w:line="360" w:lineRule="auto"/>
        <w:rPr>
          <w:sz w:val="24"/>
        </w:rPr>
      </w:pPr>
      <w:r>
        <w:rPr>
          <w:sz w:val="24"/>
        </w:rPr>
        <w:t>MMRIA</w:t>
      </w:r>
      <w:r w:rsidR="00015D62" w:rsidRPr="00015D62">
        <w:rPr>
          <w:sz w:val="24"/>
        </w:rPr>
        <w:t xml:space="preserve"> is a consolidated</w:t>
      </w:r>
      <w:r>
        <w:rPr>
          <w:sz w:val="24"/>
        </w:rPr>
        <w:t xml:space="preserve">, </w:t>
      </w:r>
      <w:r w:rsidR="001603CB">
        <w:rPr>
          <w:sz w:val="24"/>
        </w:rPr>
        <w:t>standardized</w:t>
      </w:r>
      <w:r w:rsidR="00015D62" w:rsidRPr="00015D62">
        <w:rPr>
          <w:sz w:val="24"/>
        </w:rPr>
        <w:t xml:space="preserve"> data management system that enables MMRCs to collect and analyze data regarding maternal deaths.  The system facilitates the process of case review</w:t>
      </w:r>
      <w:r w:rsidR="004C7D1F">
        <w:rPr>
          <w:sz w:val="24"/>
        </w:rPr>
        <w:t xml:space="preserve"> of </w:t>
      </w:r>
      <w:r w:rsidR="00BC7784">
        <w:rPr>
          <w:sz w:val="24"/>
        </w:rPr>
        <w:t>pregnancy-associated deaths to determine pregnancy-relatedness</w:t>
      </w:r>
      <w:r w:rsidR="00015D62" w:rsidRPr="00015D62">
        <w:rPr>
          <w:sz w:val="24"/>
        </w:rPr>
        <w:t xml:space="preserve">. </w:t>
      </w:r>
    </w:p>
    <w:p w14:paraId="0A3B0D4F" w14:textId="77777777" w:rsidR="00015D62" w:rsidRPr="00015D62" w:rsidRDefault="00015D62" w:rsidP="00015D62">
      <w:pPr>
        <w:spacing w:line="360" w:lineRule="auto"/>
        <w:rPr>
          <w:sz w:val="24"/>
        </w:rPr>
      </w:pPr>
    </w:p>
    <w:p w14:paraId="167A4BCB" w14:textId="005A0C8A" w:rsidR="00015D62" w:rsidRPr="00015D62" w:rsidRDefault="00015D62" w:rsidP="00015D62">
      <w:pPr>
        <w:spacing w:line="360" w:lineRule="auto"/>
        <w:rPr>
          <w:sz w:val="24"/>
        </w:rPr>
      </w:pPr>
      <w:r w:rsidRPr="00015D62">
        <w:rPr>
          <w:sz w:val="24"/>
        </w:rPr>
        <w:t xml:space="preserve">In order to comprehensively review each case of maternal death, MMRCs must capture detailed medical and social information on each woman who dies during pregnancy or within one year of the end of pregnancy in their jurisdiction. MMRCs employ abstractors </w:t>
      </w:r>
      <w:r w:rsidR="005D0E03">
        <w:rPr>
          <w:sz w:val="24"/>
        </w:rPr>
        <w:t>(</w:t>
      </w:r>
      <w:r w:rsidR="00D413E3">
        <w:rPr>
          <w:sz w:val="24"/>
        </w:rPr>
        <w:t>typically</w:t>
      </w:r>
      <w:r w:rsidR="005D0E03">
        <w:rPr>
          <w:sz w:val="24"/>
        </w:rPr>
        <w:t>, but not always</w:t>
      </w:r>
      <w:r w:rsidR="00D413E3">
        <w:rPr>
          <w:sz w:val="24"/>
        </w:rPr>
        <w:t>,</w:t>
      </w:r>
      <w:r w:rsidR="005D0E03">
        <w:rPr>
          <w:sz w:val="24"/>
        </w:rPr>
        <w:t xml:space="preserve"> nurse practitioners) </w:t>
      </w:r>
      <w:r w:rsidRPr="00015D62">
        <w:rPr>
          <w:sz w:val="24"/>
        </w:rPr>
        <w:t xml:space="preserve">within their jurisdictions who collect the pertinent information for each case by </w:t>
      </w:r>
      <w:r w:rsidR="0081557F">
        <w:rPr>
          <w:sz w:val="24"/>
        </w:rPr>
        <w:t xml:space="preserve">accessing various </w:t>
      </w:r>
      <w:r w:rsidR="00017478">
        <w:rPr>
          <w:sz w:val="24"/>
        </w:rPr>
        <w:t>sources of information</w:t>
      </w:r>
      <w:r w:rsidRPr="00015D62">
        <w:rPr>
          <w:sz w:val="24"/>
        </w:rPr>
        <w:t>. The jurisdiction-based abstractors then manually enter relevant case details into MMRIA</w:t>
      </w:r>
      <w:r w:rsidR="005D0E03">
        <w:rPr>
          <w:sz w:val="24"/>
        </w:rPr>
        <w:t xml:space="preserve"> (</w:t>
      </w:r>
      <w:r w:rsidR="005D0E03" w:rsidRPr="00D413E3">
        <w:rPr>
          <w:b/>
          <w:sz w:val="24"/>
        </w:rPr>
        <w:t>Attachment</w:t>
      </w:r>
      <w:r w:rsidR="00D413E3" w:rsidRPr="00D413E3">
        <w:rPr>
          <w:b/>
          <w:sz w:val="24"/>
        </w:rPr>
        <w:t xml:space="preserve"> 3</w:t>
      </w:r>
      <w:r w:rsidR="005D0E03" w:rsidRPr="00D413E3">
        <w:rPr>
          <w:b/>
          <w:sz w:val="24"/>
        </w:rPr>
        <w:t>a</w:t>
      </w:r>
      <w:r w:rsidR="005D0E03">
        <w:rPr>
          <w:sz w:val="24"/>
        </w:rPr>
        <w:t>)</w:t>
      </w:r>
      <w:r w:rsidRPr="00015D62">
        <w:rPr>
          <w:sz w:val="24"/>
        </w:rPr>
        <w:t xml:space="preserve">. The system produces a semi-automated case narrative that abstractors can then print and present to committee members to read during MMRC meetings, which convene on a routine basis as decided by the committee </w:t>
      </w:r>
      <w:r w:rsidR="004C7D1F">
        <w:rPr>
          <w:sz w:val="24"/>
        </w:rPr>
        <w:t>(</w:t>
      </w:r>
      <w:r w:rsidRPr="00015D62">
        <w:rPr>
          <w:sz w:val="24"/>
        </w:rPr>
        <w:t>typically monthly or quarterly</w:t>
      </w:r>
      <w:r w:rsidR="004C7D1F">
        <w:rPr>
          <w:sz w:val="24"/>
        </w:rPr>
        <w:t>)</w:t>
      </w:r>
      <w:r w:rsidR="005D0E03">
        <w:rPr>
          <w:sz w:val="24"/>
        </w:rPr>
        <w:t xml:space="preserve"> (</w:t>
      </w:r>
      <w:r w:rsidR="005D0E03" w:rsidRPr="00D413E3">
        <w:rPr>
          <w:b/>
          <w:sz w:val="24"/>
        </w:rPr>
        <w:t xml:space="preserve">Attachment </w:t>
      </w:r>
      <w:r w:rsidR="00D413E3" w:rsidRPr="00D413E3">
        <w:rPr>
          <w:b/>
          <w:sz w:val="24"/>
        </w:rPr>
        <w:t>3</w:t>
      </w:r>
      <w:r w:rsidR="005D0E03" w:rsidRPr="00D413E3">
        <w:rPr>
          <w:b/>
          <w:sz w:val="24"/>
        </w:rPr>
        <w:t>b</w:t>
      </w:r>
      <w:r w:rsidR="005D0E03">
        <w:rPr>
          <w:sz w:val="24"/>
        </w:rPr>
        <w:t>)</w:t>
      </w:r>
      <w:r w:rsidRPr="00015D62">
        <w:rPr>
          <w:sz w:val="24"/>
        </w:rPr>
        <w:t>. During or shortly after meetings, abstractors enter the committee’s findings on preventability, contributing factors, and recommendations for action into MMRIA</w:t>
      </w:r>
      <w:r w:rsidR="00D413E3">
        <w:rPr>
          <w:sz w:val="24"/>
        </w:rPr>
        <w:t xml:space="preserve"> (</w:t>
      </w:r>
      <w:r w:rsidR="00D413E3" w:rsidRPr="00D413E3">
        <w:rPr>
          <w:b/>
          <w:sz w:val="24"/>
        </w:rPr>
        <w:t>Attachment 3</w:t>
      </w:r>
      <w:r w:rsidR="005D0E03" w:rsidRPr="00D413E3">
        <w:rPr>
          <w:b/>
          <w:sz w:val="24"/>
        </w:rPr>
        <w:t>c</w:t>
      </w:r>
      <w:r w:rsidR="005D0E03">
        <w:rPr>
          <w:sz w:val="24"/>
        </w:rPr>
        <w:t>)</w:t>
      </w:r>
      <w:r w:rsidRPr="00015D62">
        <w:rPr>
          <w:sz w:val="24"/>
        </w:rPr>
        <w:t>.</w:t>
      </w:r>
    </w:p>
    <w:p w14:paraId="6CBA7825" w14:textId="77777777" w:rsidR="00015D62" w:rsidRPr="00015D62" w:rsidRDefault="00015D62" w:rsidP="00015D62">
      <w:pPr>
        <w:spacing w:line="360" w:lineRule="auto"/>
        <w:rPr>
          <w:sz w:val="24"/>
        </w:rPr>
      </w:pPr>
    </w:p>
    <w:p w14:paraId="48A015A2" w14:textId="4BCA2BA1" w:rsidR="00015D62" w:rsidRPr="00015D62" w:rsidRDefault="00015D62" w:rsidP="00015D62">
      <w:pPr>
        <w:spacing w:line="360" w:lineRule="auto"/>
        <w:rPr>
          <w:sz w:val="24"/>
        </w:rPr>
      </w:pPr>
      <w:r w:rsidRPr="00015D62">
        <w:rPr>
          <w:sz w:val="24"/>
        </w:rPr>
        <w:t>MMRIA was created using lessons learned from a prot</w:t>
      </w:r>
      <w:r w:rsidR="00D96EB4">
        <w:rPr>
          <w:sz w:val="24"/>
        </w:rPr>
        <w:t>otype system developed at CDC, MMRDS</w:t>
      </w:r>
      <w:r w:rsidR="00017478">
        <w:rPr>
          <w:sz w:val="24"/>
        </w:rPr>
        <w:t>,</w:t>
      </w:r>
      <w:r w:rsidRPr="00015D62">
        <w:rPr>
          <w:sz w:val="24"/>
        </w:rPr>
        <w:t xml:space="preserve"> which was implemented in 13 states starting in 2012.  MMRDS was a simple system built on the CDC Epi-Info surveillance platform</w:t>
      </w:r>
      <w:r w:rsidR="00017478">
        <w:rPr>
          <w:sz w:val="24"/>
        </w:rPr>
        <w:t>;</w:t>
      </w:r>
      <w:r w:rsidRPr="00015D62">
        <w:rPr>
          <w:sz w:val="24"/>
        </w:rPr>
        <w:t xml:space="preserve"> DRH created MMRDS in response to states’ expressed desire for a common data system</w:t>
      </w:r>
      <w:r w:rsidR="00017478">
        <w:rPr>
          <w:sz w:val="24"/>
        </w:rPr>
        <w:t>.</w:t>
      </w:r>
      <w:r w:rsidRPr="00015D62">
        <w:rPr>
          <w:sz w:val="24"/>
        </w:rPr>
        <w:t xml:space="preserve"> </w:t>
      </w:r>
      <w:r w:rsidR="00017478">
        <w:rPr>
          <w:sz w:val="24"/>
        </w:rPr>
        <w:t>P</w:t>
      </w:r>
      <w:r w:rsidRPr="00015D62">
        <w:rPr>
          <w:sz w:val="24"/>
        </w:rPr>
        <w:t>rior to MMRDS, each state used its own data system, ranging from Excel spreadsheets to Access databases to RedCAP; states expressed that they did not have the resources to continuously update and support their own home-grown data systems.  MMRDS met this need</w:t>
      </w:r>
      <w:r w:rsidR="00C40588">
        <w:rPr>
          <w:sz w:val="24"/>
        </w:rPr>
        <w:t xml:space="preserve"> at that time</w:t>
      </w:r>
      <w:r w:rsidRPr="00015D62">
        <w:rPr>
          <w:sz w:val="24"/>
        </w:rPr>
        <w:t>.</w:t>
      </w:r>
    </w:p>
    <w:p w14:paraId="406ABACC" w14:textId="77777777" w:rsidR="00015D62" w:rsidRPr="00015D62" w:rsidRDefault="00015D62" w:rsidP="00015D62">
      <w:pPr>
        <w:spacing w:line="360" w:lineRule="auto"/>
        <w:rPr>
          <w:sz w:val="24"/>
        </w:rPr>
      </w:pPr>
    </w:p>
    <w:p w14:paraId="598D00DF" w14:textId="0496B65A" w:rsidR="00015D62" w:rsidRPr="00015D62" w:rsidRDefault="00015D62" w:rsidP="00015D62">
      <w:pPr>
        <w:spacing w:line="360" w:lineRule="auto"/>
        <w:rPr>
          <w:i/>
          <w:sz w:val="24"/>
        </w:rPr>
      </w:pPr>
      <w:r w:rsidRPr="00015D62">
        <w:rPr>
          <w:sz w:val="24"/>
        </w:rPr>
        <w:t>Over several years of working closely with the early adopter states of MMRDS, it became clear that states wanted a more complex, flexible</w:t>
      </w:r>
      <w:r w:rsidR="00333620">
        <w:rPr>
          <w:sz w:val="24"/>
        </w:rPr>
        <w:t>,</w:t>
      </w:r>
      <w:r w:rsidRPr="00015D62">
        <w:rPr>
          <w:sz w:val="24"/>
        </w:rPr>
        <w:t xml:space="preserve"> and adaptable data system than </w:t>
      </w:r>
      <w:r w:rsidR="004C7D1F">
        <w:rPr>
          <w:sz w:val="24"/>
        </w:rPr>
        <w:t xml:space="preserve">what </w:t>
      </w:r>
      <w:r w:rsidRPr="00015D62">
        <w:rPr>
          <w:sz w:val="24"/>
        </w:rPr>
        <w:t xml:space="preserve">MMRDS provided.  </w:t>
      </w:r>
      <w:r w:rsidR="005D0E03">
        <w:rPr>
          <w:sz w:val="24"/>
        </w:rPr>
        <w:t xml:space="preserve">As part of the </w:t>
      </w:r>
      <w:r w:rsidR="00AD417A" w:rsidRPr="0047150B">
        <w:rPr>
          <w:sz w:val="24"/>
        </w:rPr>
        <w:t>initiative</w:t>
      </w:r>
      <w:r w:rsidR="005D0E03" w:rsidRPr="0047150B">
        <w:rPr>
          <w:sz w:val="24"/>
        </w:rPr>
        <w:t xml:space="preserve"> </w:t>
      </w:r>
      <w:r w:rsidR="005D0E03" w:rsidRPr="00D74B69">
        <w:rPr>
          <w:rFonts w:cs="Helvetica"/>
          <w:i/>
          <w:iCs/>
          <w:sz w:val="24"/>
          <w:lang w:val="en"/>
        </w:rPr>
        <w:t>Building U.S. Capacity to Review and Prevent Maternal Deaths</w:t>
      </w:r>
      <w:r w:rsidR="00D74B69" w:rsidRPr="00D74B69">
        <w:rPr>
          <w:rFonts w:cs="Helvetica"/>
          <w:i/>
          <w:iCs/>
          <w:sz w:val="24"/>
          <w:lang w:val="en"/>
        </w:rPr>
        <w:t>,</w:t>
      </w:r>
      <w:r w:rsidRPr="00015D62">
        <w:rPr>
          <w:sz w:val="24"/>
        </w:rPr>
        <w:t xml:space="preserve"> MMRIA</w:t>
      </w:r>
      <w:r w:rsidR="005D0E03">
        <w:rPr>
          <w:sz w:val="24"/>
        </w:rPr>
        <w:t xml:space="preserve"> was created </w:t>
      </w:r>
      <w:r w:rsidR="00D74B69">
        <w:rPr>
          <w:sz w:val="24"/>
        </w:rPr>
        <w:t xml:space="preserve">and </w:t>
      </w:r>
      <w:r w:rsidR="00D74B69" w:rsidRPr="00015D62">
        <w:rPr>
          <w:sz w:val="24"/>
        </w:rPr>
        <w:t>released</w:t>
      </w:r>
      <w:r w:rsidRPr="00015D62">
        <w:rPr>
          <w:sz w:val="24"/>
        </w:rPr>
        <w:t xml:space="preserve"> in April 2017. </w:t>
      </w:r>
      <w:r w:rsidR="00A44B15">
        <w:rPr>
          <w:sz w:val="24"/>
        </w:rPr>
        <w:t>Compared to MMRDS, MMRI</w:t>
      </w:r>
      <w:r w:rsidR="00C0418B">
        <w:rPr>
          <w:sz w:val="24"/>
        </w:rPr>
        <w:t>A provided multiuser capability,</w:t>
      </w:r>
      <w:r w:rsidR="00A44B15">
        <w:rPr>
          <w:sz w:val="24"/>
        </w:rPr>
        <w:t xml:space="preserve"> ability to operate on web servers</w:t>
      </w:r>
      <w:r w:rsidR="00C0418B">
        <w:rPr>
          <w:sz w:val="24"/>
        </w:rPr>
        <w:t>,</w:t>
      </w:r>
      <w:r w:rsidR="00A44B15">
        <w:rPr>
          <w:sz w:val="24"/>
        </w:rPr>
        <w:t xml:space="preserve"> mo</w:t>
      </w:r>
      <w:r w:rsidR="00C0418B">
        <w:rPr>
          <w:sz w:val="24"/>
        </w:rPr>
        <w:t>re timely corrections to errors,</w:t>
      </w:r>
      <w:r w:rsidR="00A44B15">
        <w:rPr>
          <w:sz w:val="24"/>
        </w:rPr>
        <w:t xml:space="preserve"> and expansion of quality location-based information.</w:t>
      </w:r>
    </w:p>
    <w:p w14:paraId="11673FE9" w14:textId="77777777" w:rsidR="00015D62" w:rsidRPr="00015D62" w:rsidRDefault="00015D62" w:rsidP="00015D62">
      <w:pPr>
        <w:spacing w:line="360" w:lineRule="auto"/>
        <w:rPr>
          <w:sz w:val="24"/>
        </w:rPr>
      </w:pPr>
    </w:p>
    <w:p w14:paraId="55B45ED4" w14:textId="01E8C249" w:rsidR="00A44B15" w:rsidRDefault="00015D62" w:rsidP="00015D62">
      <w:pPr>
        <w:spacing w:line="360" w:lineRule="auto"/>
        <w:rPr>
          <w:sz w:val="24"/>
        </w:rPr>
      </w:pPr>
      <w:r w:rsidRPr="00015D62">
        <w:rPr>
          <w:sz w:val="24"/>
        </w:rPr>
        <w:t xml:space="preserve">From April 2017 through February 2019, MMRIA was only available to jurisdictions to host on their own servers. This model of “local hosting” created a burden for </w:t>
      </w:r>
      <w:r w:rsidR="002B5548">
        <w:rPr>
          <w:sz w:val="24"/>
        </w:rPr>
        <w:t xml:space="preserve">MMRCs whose IT requirements could cause delays of 6 months to a year, delays in installing updates once available, and result in prohibitive budget costs to MMRCs for the associated IT installation and maintenance support. In addition, the variation in IT requirements and expertise of IT departments across jurisdictions resulted </w:t>
      </w:r>
      <w:r w:rsidR="00A44B15">
        <w:rPr>
          <w:sz w:val="24"/>
        </w:rPr>
        <w:t>in</w:t>
      </w:r>
      <w:r w:rsidRPr="00015D62">
        <w:rPr>
          <w:sz w:val="24"/>
        </w:rPr>
        <w:t xml:space="preserve"> extensive technical support from the CDC-based MMRIA team</w:t>
      </w:r>
      <w:r w:rsidR="002B5548">
        <w:rPr>
          <w:sz w:val="24"/>
        </w:rPr>
        <w:t xml:space="preserve">, </w:t>
      </w:r>
      <w:r w:rsidR="00A44B15">
        <w:rPr>
          <w:sz w:val="24"/>
        </w:rPr>
        <w:t>taking time away</w:t>
      </w:r>
      <w:r w:rsidR="002B5548">
        <w:rPr>
          <w:sz w:val="24"/>
        </w:rPr>
        <w:t xml:space="preserve"> from MMRIA development and technical assistance to MMRCs</w:t>
      </w:r>
      <w:r w:rsidRPr="00015D62">
        <w:rPr>
          <w:sz w:val="24"/>
        </w:rPr>
        <w:t xml:space="preserve">. </w:t>
      </w:r>
    </w:p>
    <w:p w14:paraId="59722064" w14:textId="77777777" w:rsidR="00D74B69" w:rsidRDefault="00D74B69" w:rsidP="00015D62">
      <w:pPr>
        <w:spacing w:line="360" w:lineRule="auto"/>
        <w:rPr>
          <w:sz w:val="24"/>
        </w:rPr>
      </w:pPr>
    </w:p>
    <w:p w14:paraId="703D4140" w14:textId="5F326E1C" w:rsidR="00015D62" w:rsidRPr="00C0418B" w:rsidRDefault="00015D62" w:rsidP="00015D62">
      <w:pPr>
        <w:spacing w:line="360" w:lineRule="auto"/>
        <w:rPr>
          <w:sz w:val="24"/>
        </w:rPr>
      </w:pPr>
      <w:r w:rsidRPr="00015D62">
        <w:rPr>
          <w:sz w:val="24"/>
        </w:rPr>
        <w:t>In April 2019, DRH began making MMRIA available to states as a ser</w:t>
      </w:r>
      <w:r w:rsidR="00C0418B">
        <w:rPr>
          <w:sz w:val="24"/>
        </w:rPr>
        <w:t xml:space="preserve">vice via a central CDC server. </w:t>
      </w:r>
      <w:r w:rsidRPr="00015D62">
        <w:rPr>
          <w:sz w:val="24"/>
        </w:rPr>
        <w:t>The transition to CDC hosting</w:t>
      </w:r>
      <w:r w:rsidR="001347B5">
        <w:rPr>
          <w:sz w:val="24"/>
        </w:rPr>
        <w:t>, which removes the jurisdiction</w:t>
      </w:r>
      <w:r w:rsidR="00A44B15">
        <w:rPr>
          <w:sz w:val="24"/>
        </w:rPr>
        <w:t>-</w:t>
      </w:r>
      <w:r w:rsidR="001347B5">
        <w:rPr>
          <w:sz w:val="24"/>
        </w:rPr>
        <w:t>specific IT barriers and allows single roll out of MMRIA updates to users,</w:t>
      </w:r>
      <w:r w:rsidRPr="00015D62">
        <w:rPr>
          <w:sz w:val="24"/>
        </w:rPr>
        <w:t xml:space="preserve"> ease</w:t>
      </w:r>
      <w:r w:rsidR="00006BB2">
        <w:rPr>
          <w:sz w:val="24"/>
        </w:rPr>
        <w:t>d</w:t>
      </w:r>
      <w:r w:rsidRPr="00015D62">
        <w:rPr>
          <w:sz w:val="24"/>
        </w:rPr>
        <w:t xml:space="preserve"> the burden both on jurisdictions and the CDC-based MMRIA team.</w:t>
      </w:r>
      <w:r w:rsidR="00C0418B">
        <w:rPr>
          <w:sz w:val="24"/>
        </w:rPr>
        <w:t xml:space="preserve"> </w:t>
      </w:r>
      <w:r w:rsidR="00C0418B" w:rsidRPr="00D96EB4">
        <w:rPr>
          <w:sz w:val="24"/>
        </w:rPr>
        <w:t>CDC has received an Authorization to Operate for MMRIA (</w:t>
      </w:r>
      <w:r w:rsidR="00D96EB4" w:rsidRPr="00D96EB4">
        <w:rPr>
          <w:b/>
          <w:sz w:val="24"/>
        </w:rPr>
        <w:t>Attachment 4</w:t>
      </w:r>
      <w:r w:rsidR="00C0418B" w:rsidRPr="00D96EB4">
        <w:rPr>
          <w:sz w:val="24"/>
        </w:rPr>
        <w:t>).</w:t>
      </w:r>
    </w:p>
    <w:p w14:paraId="75F59234" w14:textId="77777777" w:rsidR="00015D62" w:rsidRPr="00BB3C01" w:rsidRDefault="00015D62" w:rsidP="006530E2">
      <w:pPr>
        <w:rPr>
          <w:sz w:val="24"/>
        </w:rPr>
      </w:pPr>
    </w:p>
    <w:p w14:paraId="181CBF8A" w14:textId="57DD031B" w:rsidR="00015D62" w:rsidRPr="00015D62" w:rsidRDefault="00015D62" w:rsidP="00015D62">
      <w:pPr>
        <w:pStyle w:val="Heading3"/>
        <w:numPr>
          <w:ilvl w:val="0"/>
          <w:numId w:val="2"/>
        </w:numPr>
        <w:ind w:left="0" w:firstLine="0"/>
        <w:rPr>
          <w:rFonts w:ascii="Times New Roman" w:hAnsi="Times New Roman" w:cs="Times New Roman"/>
          <w:sz w:val="24"/>
          <w:szCs w:val="24"/>
        </w:rPr>
      </w:pPr>
      <w:bookmarkStart w:id="5" w:name="_Toc7600440"/>
      <w:r w:rsidRPr="00015D62">
        <w:rPr>
          <w:rFonts w:ascii="Times New Roman" w:hAnsi="Times New Roman" w:cs="Times New Roman"/>
          <w:sz w:val="24"/>
          <w:szCs w:val="24"/>
        </w:rPr>
        <w:t>Efforts to Identify Duplication and Use of Similar Information</w:t>
      </w:r>
      <w:bookmarkEnd w:id="5"/>
    </w:p>
    <w:p w14:paraId="21ECC4C3" w14:textId="639DCAF2" w:rsidR="00015D62" w:rsidRDefault="00CB64EA" w:rsidP="00015D62">
      <w:pPr>
        <w:spacing w:line="360" w:lineRule="auto"/>
        <w:rPr>
          <w:sz w:val="24"/>
        </w:rPr>
      </w:pPr>
      <w:r>
        <w:rPr>
          <w:sz w:val="24"/>
        </w:rPr>
        <w:t xml:space="preserve">Two major </w:t>
      </w:r>
      <w:r w:rsidR="00AF102E">
        <w:rPr>
          <w:sz w:val="24"/>
        </w:rPr>
        <w:t>surveillance systems</w:t>
      </w:r>
      <w:r w:rsidR="00454BA0">
        <w:rPr>
          <w:sz w:val="24"/>
        </w:rPr>
        <w:t>—</w:t>
      </w:r>
      <w:r>
        <w:rPr>
          <w:sz w:val="24"/>
        </w:rPr>
        <w:t>the National Vital Statistics System (NVSS)</w:t>
      </w:r>
      <w:r w:rsidR="00454BA0">
        <w:rPr>
          <w:sz w:val="24"/>
        </w:rPr>
        <w:t xml:space="preserve"> and </w:t>
      </w:r>
      <w:r>
        <w:rPr>
          <w:sz w:val="24"/>
        </w:rPr>
        <w:t>the Pregnancy</w:t>
      </w:r>
      <w:r w:rsidR="00A42A18">
        <w:rPr>
          <w:sz w:val="24"/>
        </w:rPr>
        <w:t>-related</w:t>
      </w:r>
      <w:r>
        <w:rPr>
          <w:sz w:val="24"/>
        </w:rPr>
        <w:t xml:space="preserve"> Mortality </w:t>
      </w:r>
      <w:r w:rsidR="00674EF1">
        <w:rPr>
          <w:sz w:val="24"/>
        </w:rPr>
        <w:t>Surveillance</w:t>
      </w:r>
      <w:r>
        <w:rPr>
          <w:sz w:val="24"/>
        </w:rPr>
        <w:t xml:space="preserve"> System (</w:t>
      </w:r>
      <w:r w:rsidR="00454BA0">
        <w:rPr>
          <w:sz w:val="24"/>
        </w:rPr>
        <w:t>PMSS</w:t>
      </w:r>
      <w:r>
        <w:rPr>
          <w:sz w:val="24"/>
        </w:rPr>
        <w:t>)</w:t>
      </w:r>
      <w:r w:rsidR="00454BA0">
        <w:rPr>
          <w:sz w:val="24"/>
        </w:rPr>
        <w:t>—</w:t>
      </w:r>
      <w:r>
        <w:rPr>
          <w:sz w:val="24"/>
        </w:rPr>
        <w:t>have been</w:t>
      </w:r>
      <w:r w:rsidR="00AF102E">
        <w:rPr>
          <w:sz w:val="24"/>
        </w:rPr>
        <w:t xml:space="preserve"> used to determine </w:t>
      </w:r>
      <w:r w:rsidR="005B60A9">
        <w:rPr>
          <w:sz w:val="24"/>
        </w:rPr>
        <w:t xml:space="preserve">rates of </w:t>
      </w:r>
      <w:r w:rsidR="00AF102E">
        <w:rPr>
          <w:sz w:val="24"/>
        </w:rPr>
        <w:t>maternal deaths</w:t>
      </w:r>
      <w:r w:rsidR="00017478">
        <w:rPr>
          <w:sz w:val="24"/>
        </w:rPr>
        <w:t xml:space="preserve"> nationally</w:t>
      </w:r>
      <w:r w:rsidR="00AF102E">
        <w:rPr>
          <w:sz w:val="24"/>
        </w:rPr>
        <w:t>.</w:t>
      </w:r>
      <w:r w:rsidRPr="00CB64EA">
        <w:rPr>
          <w:rStyle w:val="FootnoteReference"/>
          <w:sz w:val="24"/>
          <w:vertAlign w:val="superscript"/>
        </w:rPr>
        <w:footnoteReference w:id="3"/>
      </w:r>
    </w:p>
    <w:p w14:paraId="44252149" w14:textId="6C89478F" w:rsidR="00B928FE" w:rsidRDefault="00B928FE" w:rsidP="00015D62">
      <w:pPr>
        <w:spacing w:line="360" w:lineRule="auto"/>
        <w:rPr>
          <w:sz w:val="24"/>
        </w:rPr>
      </w:pPr>
    </w:p>
    <w:p w14:paraId="698B37F3" w14:textId="04AA8C07" w:rsidR="00B928FE" w:rsidRDefault="00B928FE" w:rsidP="00015D62">
      <w:pPr>
        <w:spacing w:line="360" w:lineRule="auto"/>
        <w:rPr>
          <w:sz w:val="24"/>
        </w:rPr>
      </w:pPr>
      <w:r>
        <w:rPr>
          <w:sz w:val="24"/>
        </w:rPr>
        <w:t>NVSS</w:t>
      </w:r>
      <w:r w:rsidRPr="00015D62">
        <w:rPr>
          <w:sz w:val="24"/>
        </w:rPr>
        <w:t xml:space="preserve"> provides maternal death counts using death certificates submitted by states and publishes maternal mortality rates (deaths/100,000 live births) by applying the World Health Organization’s International Classification of Diseases codes to death certificates submitted by states. In this system, maternal deaths are defined temporally as deaths that occur during pregnancy or within 42 days of the end of pregnancy. The causality is defined as from any cause related to or aggravated by the pregnancy or its management but not from accidental or incidental causes. </w:t>
      </w:r>
      <w:r>
        <w:rPr>
          <w:sz w:val="24"/>
        </w:rPr>
        <w:t>NVSS</w:t>
      </w:r>
      <w:r w:rsidRPr="00015D62">
        <w:rPr>
          <w:sz w:val="24"/>
        </w:rPr>
        <w:t xml:space="preserve"> relies solely on </w:t>
      </w:r>
      <w:r w:rsidR="00B07185">
        <w:rPr>
          <w:sz w:val="24"/>
        </w:rPr>
        <w:t xml:space="preserve">ICD-10 codes from </w:t>
      </w:r>
      <w:r w:rsidRPr="00015D62">
        <w:rPr>
          <w:sz w:val="24"/>
        </w:rPr>
        <w:t>death certificates, which are readily available but limited in detail</w:t>
      </w:r>
      <w:r w:rsidR="00A42A18">
        <w:rPr>
          <w:sz w:val="24"/>
        </w:rPr>
        <w:t>;</w:t>
      </w:r>
      <w:r w:rsidRPr="00015D62">
        <w:rPr>
          <w:sz w:val="24"/>
        </w:rPr>
        <w:t xml:space="preserve"> </w:t>
      </w:r>
      <w:r w:rsidR="00A42A18">
        <w:rPr>
          <w:sz w:val="24"/>
        </w:rPr>
        <w:t>d</w:t>
      </w:r>
      <w:r w:rsidRPr="00015D62">
        <w:rPr>
          <w:sz w:val="24"/>
        </w:rPr>
        <w:t>e</w:t>
      </w:r>
      <w:r w:rsidR="00F66889">
        <w:rPr>
          <w:sz w:val="24"/>
        </w:rPr>
        <w:t>ath certificate data provide a</w:t>
      </w:r>
      <w:r w:rsidRPr="00015D62">
        <w:rPr>
          <w:sz w:val="24"/>
        </w:rPr>
        <w:t xml:space="preserve"> high-level national view of maternal deaths and trends over time but do not enable understanding of what really happened to cause a woman’s death</w:t>
      </w:r>
      <w:r w:rsidR="00B07185">
        <w:rPr>
          <w:sz w:val="24"/>
        </w:rPr>
        <w:t xml:space="preserve"> in regards to contributing factors and preventability</w:t>
      </w:r>
      <w:r w:rsidRPr="00015D62">
        <w:rPr>
          <w:sz w:val="24"/>
        </w:rPr>
        <w:t>.</w:t>
      </w:r>
    </w:p>
    <w:p w14:paraId="13452617" w14:textId="77777777" w:rsidR="00015D62" w:rsidRDefault="00015D62" w:rsidP="00015D62">
      <w:pPr>
        <w:spacing w:line="360" w:lineRule="auto"/>
        <w:rPr>
          <w:sz w:val="24"/>
        </w:rPr>
      </w:pPr>
    </w:p>
    <w:p w14:paraId="10E55BD4" w14:textId="2FBA8F00" w:rsidR="00A42A18" w:rsidRDefault="00A42A18" w:rsidP="00015D62">
      <w:pPr>
        <w:spacing w:line="360" w:lineRule="auto"/>
        <w:rPr>
          <w:sz w:val="24"/>
        </w:rPr>
      </w:pPr>
      <w:r>
        <w:rPr>
          <w:sz w:val="24"/>
        </w:rPr>
        <w:t>In 1986, PMSS was developed to examine trends in and identify risk factors or risk groups for pregnancy-related deaths; it introduced the following terms:</w:t>
      </w:r>
    </w:p>
    <w:p w14:paraId="5520A173" w14:textId="043589DC" w:rsidR="00A42A18" w:rsidRPr="00A42A18" w:rsidRDefault="00A42A18" w:rsidP="00A42A18">
      <w:pPr>
        <w:pStyle w:val="ListParagraph"/>
        <w:numPr>
          <w:ilvl w:val="0"/>
          <w:numId w:val="34"/>
        </w:numPr>
        <w:spacing w:line="360" w:lineRule="auto"/>
        <w:rPr>
          <w:sz w:val="24"/>
        </w:rPr>
      </w:pPr>
      <w:r>
        <w:rPr>
          <w:rFonts w:ascii="Times New Roman" w:hAnsi="Times New Roman"/>
          <w:sz w:val="24"/>
        </w:rPr>
        <w:t>Pregnancy-associated death: umbrell</w:t>
      </w:r>
      <w:r w:rsidR="00B07185">
        <w:rPr>
          <w:rFonts w:ascii="Times New Roman" w:hAnsi="Times New Roman"/>
          <w:sz w:val="24"/>
        </w:rPr>
        <w:t>a</w:t>
      </w:r>
      <w:r>
        <w:rPr>
          <w:rFonts w:ascii="Times New Roman" w:hAnsi="Times New Roman"/>
          <w:sz w:val="24"/>
        </w:rPr>
        <w:t xml:space="preserve"> term for all deaths during pregnancy or within </w:t>
      </w:r>
      <w:r w:rsidR="00F66889">
        <w:rPr>
          <w:rFonts w:ascii="Times New Roman" w:hAnsi="Times New Roman"/>
          <w:sz w:val="24"/>
        </w:rPr>
        <w:t>one</w:t>
      </w:r>
      <w:r>
        <w:rPr>
          <w:rFonts w:ascii="Times New Roman" w:hAnsi="Times New Roman"/>
          <w:sz w:val="24"/>
        </w:rPr>
        <w:t xml:space="preserve"> year of pregnancy, regardless of cause</w:t>
      </w:r>
    </w:p>
    <w:p w14:paraId="0B27F3BB" w14:textId="0C099C7C" w:rsidR="00A42A18" w:rsidRPr="00A42A18" w:rsidRDefault="00A42A18" w:rsidP="00A42A18">
      <w:pPr>
        <w:pStyle w:val="ListParagraph"/>
        <w:numPr>
          <w:ilvl w:val="0"/>
          <w:numId w:val="34"/>
        </w:numPr>
        <w:spacing w:line="360" w:lineRule="auto"/>
        <w:rPr>
          <w:sz w:val="24"/>
        </w:rPr>
      </w:pPr>
      <w:r>
        <w:rPr>
          <w:rFonts w:ascii="Times New Roman" w:hAnsi="Times New Roman"/>
          <w:sz w:val="24"/>
        </w:rPr>
        <w:t>Pregnancy-related death: the de</w:t>
      </w:r>
      <w:r w:rsidR="00F66889">
        <w:rPr>
          <w:rFonts w:ascii="Times New Roman" w:hAnsi="Times New Roman"/>
          <w:sz w:val="24"/>
        </w:rPr>
        <w:t>ath of a woman while pregnant or within one</w:t>
      </w:r>
      <w:r>
        <w:rPr>
          <w:rFonts w:ascii="Times New Roman" w:hAnsi="Times New Roman"/>
          <w:sz w:val="24"/>
        </w:rPr>
        <w:t xml:space="preserve"> year of pregnancy—regardless of the outcome, duration, or site of the pregnancy—from any cause related to or aggravated by the pregnancy or its management, but not from accidental or incidental causes</w:t>
      </w:r>
    </w:p>
    <w:p w14:paraId="08D88595" w14:textId="64481608" w:rsidR="00A42A18" w:rsidRPr="00A42A18" w:rsidRDefault="00A42A18" w:rsidP="00A42A18">
      <w:pPr>
        <w:pStyle w:val="ListParagraph"/>
        <w:numPr>
          <w:ilvl w:val="0"/>
          <w:numId w:val="34"/>
        </w:numPr>
        <w:spacing w:line="360" w:lineRule="auto"/>
        <w:rPr>
          <w:sz w:val="24"/>
        </w:rPr>
      </w:pPr>
      <w:r>
        <w:rPr>
          <w:rFonts w:ascii="Times New Roman" w:hAnsi="Times New Roman"/>
          <w:sz w:val="24"/>
        </w:rPr>
        <w:t xml:space="preserve">Pregnancy-associated but not related death: the death of a woman during pregnancy or within </w:t>
      </w:r>
      <w:r w:rsidR="00F66889">
        <w:rPr>
          <w:rFonts w:ascii="Times New Roman" w:hAnsi="Times New Roman"/>
          <w:sz w:val="24"/>
        </w:rPr>
        <w:t xml:space="preserve">one </w:t>
      </w:r>
      <w:r>
        <w:rPr>
          <w:rFonts w:ascii="Times New Roman" w:hAnsi="Times New Roman"/>
          <w:sz w:val="24"/>
        </w:rPr>
        <w:t>year of the end of pregnancy from a cause that is not related to pregnancy</w:t>
      </w:r>
    </w:p>
    <w:p w14:paraId="262BA5A3" w14:textId="68283A99" w:rsidR="00A42A18" w:rsidRDefault="00A42A18" w:rsidP="00015D62">
      <w:pPr>
        <w:spacing w:line="360" w:lineRule="auto"/>
        <w:rPr>
          <w:sz w:val="24"/>
        </w:rPr>
      </w:pPr>
    </w:p>
    <w:p w14:paraId="5ED2EB23" w14:textId="4B87BA8F" w:rsidR="00015D62" w:rsidRDefault="00A42A18" w:rsidP="00015D62">
      <w:pPr>
        <w:spacing w:line="360" w:lineRule="auto"/>
        <w:rPr>
          <w:sz w:val="24"/>
        </w:rPr>
      </w:pPr>
      <w:r>
        <w:rPr>
          <w:sz w:val="24"/>
        </w:rPr>
        <w:t>PMSS asks</w:t>
      </w:r>
      <w:r w:rsidR="00015D62" w:rsidRPr="006705FC">
        <w:rPr>
          <w:sz w:val="24"/>
        </w:rPr>
        <w:t xml:space="preserve"> </w:t>
      </w:r>
      <w:r>
        <w:rPr>
          <w:sz w:val="24"/>
        </w:rPr>
        <w:t>s</w:t>
      </w:r>
      <w:r w:rsidR="00015D62">
        <w:rPr>
          <w:sz w:val="24"/>
        </w:rPr>
        <w:t xml:space="preserve">tate </w:t>
      </w:r>
      <w:r w:rsidR="00554A99">
        <w:rPr>
          <w:sz w:val="24"/>
        </w:rPr>
        <w:t>Divisions of Vital Statistics</w:t>
      </w:r>
      <w:r>
        <w:rPr>
          <w:sz w:val="24"/>
        </w:rPr>
        <w:t xml:space="preserve"> to </w:t>
      </w:r>
      <w:r w:rsidR="00554A99">
        <w:rPr>
          <w:sz w:val="24"/>
        </w:rPr>
        <w:t>cast a broad net to identify potential maternal deaths by using pregnancy checkbox information, cause of death information, and linkages of deaths of women of reproductive age back to birth certificates and fetal death certificates</w:t>
      </w:r>
      <w:r w:rsidR="000441E3">
        <w:rPr>
          <w:sz w:val="24"/>
        </w:rPr>
        <w:t xml:space="preserve">. Medical epidemiologists review death certificates and linked birth or fetal death certificates, determine </w:t>
      </w:r>
      <w:r w:rsidR="00674EF1">
        <w:rPr>
          <w:sz w:val="24"/>
        </w:rPr>
        <w:t>underlying</w:t>
      </w:r>
      <w:r w:rsidR="000441E3">
        <w:rPr>
          <w:sz w:val="24"/>
        </w:rPr>
        <w:t xml:space="preserve"> causes of death, and decide whether a death was pregnancy-related or pregnancy-associated but not related. </w:t>
      </w:r>
      <w:r w:rsidR="00015D62" w:rsidRPr="006705FC">
        <w:rPr>
          <w:sz w:val="24"/>
        </w:rPr>
        <w:t xml:space="preserve">Deaths are confirmed as pregnancy-related if they occur during pregnancy or within </w:t>
      </w:r>
      <w:r w:rsidR="00DD1A55">
        <w:rPr>
          <w:sz w:val="24"/>
        </w:rPr>
        <w:t>one year of pregnancy</w:t>
      </w:r>
      <w:r w:rsidR="00015D62" w:rsidRPr="006705FC">
        <w:rPr>
          <w:sz w:val="24"/>
        </w:rPr>
        <w:t xml:space="preserve"> and the death results from: 1) complications of pregnancy itself; 2) a chain of events initiated by pregnancy; or 3) aggravation of an unrelated event by the physiologic effects of pregnancy.</w:t>
      </w:r>
      <w:r w:rsidR="00015D62">
        <w:rPr>
          <w:sz w:val="24"/>
        </w:rPr>
        <w:t xml:space="preserve"> </w:t>
      </w:r>
      <w:r w:rsidR="000441E3">
        <w:rPr>
          <w:sz w:val="24"/>
        </w:rPr>
        <w:t xml:space="preserve">PMSS then produces a pregnancy-related mortality ratio (pregnancy-related deaths/100,000 live births). </w:t>
      </w:r>
      <w:r w:rsidR="00776F08">
        <w:rPr>
          <w:sz w:val="24"/>
        </w:rPr>
        <w:t>Although PMSS allows for a</w:t>
      </w:r>
      <w:r w:rsidR="00B07185">
        <w:rPr>
          <w:sz w:val="24"/>
        </w:rPr>
        <w:t>n enhanced</w:t>
      </w:r>
      <w:r w:rsidR="00776F08">
        <w:rPr>
          <w:sz w:val="24"/>
        </w:rPr>
        <w:t xml:space="preserve"> clinical interpretation that is not possible through NVSS, it remains limited to information primarily derived from death and birth certificates. </w:t>
      </w:r>
    </w:p>
    <w:p w14:paraId="50BDC851" w14:textId="21B7934F" w:rsidR="00AF102E" w:rsidRDefault="00AF102E" w:rsidP="00015D62">
      <w:pPr>
        <w:spacing w:line="360" w:lineRule="auto"/>
        <w:rPr>
          <w:sz w:val="24"/>
        </w:rPr>
      </w:pPr>
    </w:p>
    <w:p w14:paraId="247D44CC" w14:textId="2B0A0020" w:rsidR="00015D62" w:rsidRDefault="002618A5" w:rsidP="00015D62">
      <w:pPr>
        <w:spacing w:line="360" w:lineRule="auto"/>
        <w:rPr>
          <w:sz w:val="24"/>
        </w:rPr>
      </w:pPr>
      <w:r>
        <w:rPr>
          <w:sz w:val="24"/>
        </w:rPr>
        <w:t>MMRCs</w:t>
      </w:r>
      <w:r w:rsidR="00BD7101">
        <w:rPr>
          <w:sz w:val="24"/>
        </w:rPr>
        <w:t xml:space="preserve"> </w:t>
      </w:r>
      <w:r w:rsidR="005D0E03">
        <w:rPr>
          <w:sz w:val="24"/>
        </w:rPr>
        <w:t xml:space="preserve">do </w:t>
      </w:r>
      <w:r w:rsidR="00776F08">
        <w:rPr>
          <w:sz w:val="24"/>
        </w:rPr>
        <w:t xml:space="preserve">not solely rely </w:t>
      </w:r>
      <w:r>
        <w:rPr>
          <w:sz w:val="24"/>
        </w:rPr>
        <w:t>on vital statistics and examines</w:t>
      </w:r>
      <w:r w:rsidR="00776F08">
        <w:rPr>
          <w:sz w:val="24"/>
        </w:rPr>
        <w:t xml:space="preserve"> clinical and nonclinical information from a variety of sources, </w:t>
      </w:r>
      <w:r w:rsidR="005D0E03">
        <w:rPr>
          <w:sz w:val="24"/>
        </w:rPr>
        <w:t>and are</w:t>
      </w:r>
      <w:r w:rsidR="00776F08">
        <w:rPr>
          <w:sz w:val="24"/>
        </w:rPr>
        <w:t xml:space="preserve"> needed to fully understand </w:t>
      </w:r>
      <w:r w:rsidR="00015D62">
        <w:rPr>
          <w:sz w:val="24"/>
        </w:rPr>
        <w:t>the causes and circumstances surrounding maternal deaths</w:t>
      </w:r>
      <w:r w:rsidR="00AF102E">
        <w:rPr>
          <w:sz w:val="24"/>
        </w:rPr>
        <w:t xml:space="preserve">. </w:t>
      </w:r>
      <w:r>
        <w:rPr>
          <w:sz w:val="24"/>
        </w:rPr>
        <w:t xml:space="preserve">MMRIA provides a standardized </w:t>
      </w:r>
      <w:r w:rsidR="00D74B69">
        <w:rPr>
          <w:sz w:val="24"/>
        </w:rPr>
        <w:t>data collection</w:t>
      </w:r>
      <w:r>
        <w:rPr>
          <w:sz w:val="24"/>
        </w:rPr>
        <w:t xml:space="preserve"> system that MMRCs can use to abstract data into from the </w:t>
      </w:r>
      <w:r w:rsidR="00674EF1">
        <w:rPr>
          <w:sz w:val="24"/>
        </w:rPr>
        <w:t>various</w:t>
      </w:r>
      <w:r>
        <w:rPr>
          <w:sz w:val="24"/>
        </w:rPr>
        <w:t xml:space="preserve"> sources. MMRIA </w:t>
      </w:r>
      <w:r w:rsidR="00776F08">
        <w:rPr>
          <w:sz w:val="24"/>
        </w:rPr>
        <w:t>also allow</w:t>
      </w:r>
      <w:r>
        <w:rPr>
          <w:sz w:val="24"/>
        </w:rPr>
        <w:t>s</w:t>
      </w:r>
      <w:r w:rsidR="00776F08">
        <w:rPr>
          <w:sz w:val="24"/>
        </w:rPr>
        <w:t xml:space="preserve"> MMRCs to develop case narratives from the abstracted data for review and to subsequently document committee decisions. This comprehensive, standardized data system will facilitate sharing </w:t>
      </w:r>
      <w:r w:rsidR="00057F69">
        <w:rPr>
          <w:sz w:val="24"/>
        </w:rPr>
        <w:t xml:space="preserve">of results among </w:t>
      </w:r>
      <w:r w:rsidR="00776F08">
        <w:rPr>
          <w:sz w:val="24"/>
        </w:rPr>
        <w:t>jurisdictions and</w:t>
      </w:r>
      <w:r w:rsidR="00057F69">
        <w:rPr>
          <w:sz w:val="24"/>
        </w:rPr>
        <w:t xml:space="preserve"> development of strategies for maternal mortality prevention.</w:t>
      </w:r>
      <w:r w:rsidR="002577F2">
        <w:rPr>
          <w:sz w:val="24"/>
        </w:rPr>
        <w:t xml:space="preserve"> MMRCs are the only comprehensive source of maternal mortality data, with MMRIA facilitating </w:t>
      </w:r>
      <w:r>
        <w:rPr>
          <w:sz w:val="24"/>
        </w:rPr>
        <w:t xml:space="preserve">its </w:t>
      </w:r>
      <w:r w:rsidR="002577F2">
        <w:rPr>
          <w:sz w:val="24"/>
        </w:rPr>
        <w:t>review.</w:t>
      </w:r>
    </w:p>
    <w:p w14:paraId="6013FF38" w14:textId="5E6EA81E" w:rsidR="002D1CD0" w:rsidRDefault="002D1CD0" w:rsidP="00015D62">
      <w:pPr>
        <w:spacing w:line="360" w:lineRule="auto"/>
        <w:rPr>
          <w:sz w:val="24"/>
        </w:rPr>
      </w:pPr>
    </w:p>
    <w:p w14:paraId="56346947" w14:textId="4F842A3D" w:rsidR="002D1CD0" w:rsidRDefault="002D1CD0" w:rsidP="00015D62">
      <w:pPr>
        <w:spacing w:line="360" w:lineRule="auto"/>
        <w:rPr>
          <w:sz w:val="24"/>
        </w:rPr>
      </w:pPr>
      <w:r w:rsidRPr="009974D2">
        <w:rPr>
          <w:b/>
          <w:sz w:val="24"/>
        </w:rPr>
        <w:t xml:space="preserve">Table 4.1. </w:t>
      </w:r>
      <w:r>
        <w:rPr>
          <w:sz w:val="24"/>
        </w:rPr>
        <w:t>Comparison of Maternal Mortality Data Sources</w:t>
      </w:r>
      <w:r w:rsidR="009974D2" w:rsidRPr="009974D2">
        <w:rPr>
          <w:rStyle w:val="FootnoteReference"/>
          <w:sz w:val="24"/>
          <w:vertAlign w:val="superscript"/>
        </w:rPr>
        <w:footnoteReference w:id="4"/>
      </w:r>
    </w:p>
    <w:tbl>
      <w:tblPr>
        <w:tblStyle w:val="TableGrid"/>
        <w:tblW w:w="10615" w:type="dxa"/>
        <w:tblLook w:val="04A0" w:firstRow="1" w:lastRow="0" w:firstColumn="1" w:lastColumn="0" w:noHBand="0" w:noVBand="1"/>
      </w:tblPr>
      <w:tblGrid>
        <w:gridCol w:w="2337"/>
        <w:gridCol w:w="2759"/>
        <w:gridCol w:w="2759"/>
        <w:gridCol w:w="2760"/>
      </w:tblGrid>
      <w:tr w:rsidR="009974D2" w:rsidRPr="009974D2" w14:paraId="2DAE9E68" w14:textId="77777777" w:rsidTr="009974D2">
        <w:tc>
          <w:tcPr>
            <w:tcW w:w="2337" w:type="dxa"/>
            <w:vAlign w:val="center"/>
          </w:tcPr>
          <w:p w14:paraId="04437917" w14:textId="77777777" w:rsidR="009974D2" w:rsidRPr="009974D2" w:rsidRDefault="009974D2" w:rsidP="008006A5">
            <w:pPr>
              <w:jc w:val="center"/>
              <w:rPr>
                <w:sz w:val="22"/>
              </w:rPr>
            </w:pPr>
          </w:p>
        </w:tc>
        <w:tc>
          <w:tcPr>
            <w:tcW w:w="2759" w:type="dxa"/>
            <w:vAlign w:val="center"/>
          </w:tcPr>
          <w:p w14:paraId="2B8916A3" w14:textId="52C21EBF" w:rsidR="009974D2" w:rsidRPr="009974D2" w:rsidRDefault="009974D2" w:rsidP="008006A5">
            <w:pPr>
              <w:jc w:val="center"/>
              <w:rPr>
                <w:sz w:val="22"/>
                <w:vertAlign w:val="superscript"/>
              </w:rPr>
            </w:pPr>
            <w:r w:rsidRPr="009974D2">
              <w:rPr>
                <w:b/>
                <w:sz w:val="22"/>
              </w:rPr>
              <w:t>NVSS</w:t>
            </w:r>
            <w:r>
              <w:rPr>
                <w:sz w:val="22"/>
                <w:vertAlign w:val="superscript"/>
              </w:rPr>
              <w:t>a</w:t>
            </w:r>
          </w:p>
        </w:tc>
        <w:tc>
          <w:tcPr>
            <w:tcW w:w="2759" w:type="dxa"/>
            <w:vAlign w:val="center"/>
          </w:tcPr>
          <w:p w14:paraId="4536364B" w14:textId="0FF6C0E4" w:rsidR="009974D2" w:rsidRPr="009974D2" w:rsidRDefault="009974D2" w:rsidP="008006A5">
            <w:pPr>
              <w:jc w:val="center"/>
              <w:rPr>
                <w:sz w:val="22"/>
                <w:vertAlign w:val="superscript"/>
              </w:rPr>
            </w:pPr>
            <w:r w:rsidRPr="009974D2">
              <w:rPr>
                <w:b/>
                <w:sz w:val="22"/>
              </w:rPr>
              <w:t>PMSS</w:t>
            </w:r>
            <w:r>
              <w:rPr>
                <w:sz w:val="22"/>
                <w:vertAlign w:val="superscript"/>
              </w:rPr>
              <w:t>b</w:t>
            </w:r>
          </w:p>
        </w:tc>
        <w:tc>
          <w:tcPr>
            <w:tcW w:w="2760" w:type="dxa"/>
            <w:vAlign w:val="center"/>
          </w:tcPr>
          <w:p w14:paraId="4BCDB53C" w14:textId="141846C5" w:rsidR="009974D2" w:rsidRPr="009974D2" w:rsidRDefault="00B07185" w:rsidP="008006A5">
            <w:pPr>
              <w:jc w:val="center"/>
              <w:rPr>
                <w:b/>
                <w:sz w:val="22"/>
                <w:vertAlign w:val="superscript"/>
              </w:rPr>
            </w:pPr>
            <w:r>
              <w:rPr>
                <w:b/>
                <w:sz w:val="22"/>
              </w:rPr>
              <w:t>MMRCs</w:t>
            </w:r>
            <w:r w:rsidR="009974D2">
              <w:rPr>
                <w:b/>
                <w:sz w:val="22"/>
                <w:vertAlign w:val="superscript"/>
              </w:rPr>
              <w:t>c</w:t>
            </w:r>
          </w:p>
        </w:tc>
      </w:tr>
      <w:tr w:rsidR="009974D2" w:rsidRPr="009974D2" w14:paraId="48A317B4" w14:textId="77777777" w:rsidTr="009974D2">
        <w:tc>
          <w:tcPr>
            <w:tcW w:w="2337" w:type="dxa"/>
            <w:vAlign w:val="center"/>
          </w:tcPr>
          <w:p w14:paraId="1EFFCCEE" w14:textId="30DB90FD" w:rsidR="009974D2" w:rsidRPr="008006A5" w:rsidRDefault="008006A5" w:rsidP="008006A5">
            <w:pPr>
              <w:rPr>
                <w:b/>
                <w:sz w:val="22"/>
              </w:rPr>
            </w:pPr>
            <w:r w:rsidRPr="008006A5">
              <w:rPr>
                <w:b/>
                <w:sz w:val="22"/>
              </w:rPr>
              <w:t>Timeframe</w:t>
            </w:r>
          </w:p>
        </w:tc>
        <w:tc>
          <w:tcPr>
            <w:tcW w:w="2759" w:type="dxa"/>
            <w:vAlign w:val="center"/>
          </w:tcPr>
          <w:p w14:paraId="5665956F" w14:textId="1C097871" w:rsidR="009974D2" w:rsidRPr="009974D2" w:rsidRDefault="008006A5" w:rsidP="008006A5">
            <w:pPr>
              <w:jc w:val="center"/>
              <w:rPr>
                <w:sz w:val="22"/>
              </w:rPr>
            </w:pPr>
            <w:r>
              <w:rPr>
                <w:sz w:val="22"/>
              </w:rPr>
              <w:t>During pregnancy or within 42 days end of pregnancy</w:t>
            </w:r>
          </w:p>
        </w:tc>
        <w:tc>
          <w:tcPr>
            <w:tcW w:w="2759" w:type="dxa"/>
            <w:vAlign w:val="center"/>
          </w:tcPr>
          <w:p w14:paraId="1222AE66" w14:textId="2E561524" w:rsidR="009974D2" w:rsidRPr="009974D2" w:rsidRDefault="008006A5" w:rsidP="008006A5">
            <w:pPr>
              <w:jc w:val="center"/>
              <w:rPr>
                <w:sz w:val="22"/>
              </w:rPr>
            </w:pPr>
            <w:r>
              <w:rPr>
                <w:sz w:val="22"/>
              </w:rPr>
              <w:t>During pregnancy or within 1 year of pregnancy</w:t>
            </w:r>
          </w:p>
        </w:tc>
        <w:tc>
          <w:tcPr>
            <w:tcW w:w="2760" w:type="dxa"/>
            <w:vAlign w:val="center"/>
          </w:tcPr>
          <w:p w14:paraId="5789482F" w14:textId="70E2C766" w:rsidR="009974D2" w:rsidRPr="009974D2" w:rsidRDefault="008006A5" w:rsidP="008006A5">
            <w:pPr>
              <w:jc w:val="center"/>
              <w:rPr>
                <w:sz w:val="22"/>
              </w:rPr>
            </w:pPr>
            <w:r>
              <w:rPr>
                <w:sz w:val="22"/>
              </w:rPr>
              <w:t>During pregnancy or within 1 year of pregnancy</w:t>
            </w:r>
          </w:p>
        </w:tc>
      </w:tr>
      <w:tr w:rsidR="008006A5" w:rsidRPr="009974D2" w14:paraId="039B2915" w14:textId="77777777" w:rsidTr="009974D2">
        <w:tc>
          <w:tcPr>
            <w:tcW w:w="2337" w:type="dxa"/>
            <w:vAlign w:val="center"/>
          </w:tcPr>
          <w:p w14:paraId="5444AF08" w14:textId="6F09ED88" w:rsidR="008006A5" w:rsidRPr="008006A5" w:rsidRDefault="008006A5" w:rsidP="008006A5">
            <w:pPr>
              <w:rPr>
                <w:b/>
                <w:sz w:val="22"/>
              </w:rPr>
            </w:pPr>
            <w:r>
              <w:rPr>
                <w:b/>
                <w:sz w:val="22"/>
              </w:rPr>
              <w:t>Source</w:t>
            </w:r>
          </w:p>
        </w:tc>
        <w:tc>
          <w:tcPr>
            <w:tcW w:w="2759" w:type="dxa"/>
            <w:vAlign w:val="center"/>
          </w:tcPr>
          <w:p w14:paraId="69FB9C4C" w14:textId="78C1C205" w:rsidR="008006A5" w:rsidRPr="009974D2" w:rsidRDefault="008006A5" w:rsidP="008006A5">
            <w:pPr>
              <w:jc w:val="center"/>
              <w:rPr>
                <w:sz w:val="22"/>
              </w:rPr>
            </w:pPr>
            <w:r>
              <w:rPr>
                <w:sz w:val="22"/>
              </w:rPr>
              <w:t>Death certificates</w:t>
            </w:r>
          </w:p>
        </w:tc>
        <w:tc>
          <w:tcPr>
            <w:tcW w:w="2759" w:type="dxa"/>
            <w:vAlign w:val="center"/>
          </w:tcPr>
          <w:p w14:paraId="74A7FA01" w14:textId="66EBC6BD" w:rsidR="008006A5" w:rsidRPr="009974D2" w:rsidRDefault="008006A5" w:rsidP="008006A5">
            <w:pPr>
              <w:jc w:val="center"/>
              <w:rPr>
                <w:sz w:val="22"/>
              </w:rPr>
            </w:pPr>
            <w:r>
              <w:rPr>
                <w:sz w:val="22"/>
              </w:rPr>
              <w:t>Death certificates; linked birth or fetal death certificates</w:t>
            </w:r>
          </w:p>
        </w:tc>
        <w:tc>
          <w:tcPr>
            <w:tcW w:w="2760" w:type="dxa"/>
            <w:vAlign w:val="center"/>
          </w:tcPr>
          <w:p w14:paraId="6B2EF5DE" w14:textId="7C11C724" w:rsidR="008006A5" w:rsidRPr="009974D2" w:rsidRDefault="0061775F" w:rsidP="008006A5">
            <w:pPr>
              <w:jc w:val="center"/>
              <w:rPr>
                <w:sz w:val="22"/>
              </w:rPr>
            </w:pPr>
            <w:r>
              <w:rPr>
                <w:sz w:val="22"/>
              </w:rPr>
              <w:t>Various clinical and nonclinical sources (including Vital Statistics)</w:t>
            </w:r>
          </w:p>
        </w:tc>
      </w:tr>
      <w:tr w:rsidR="009974D2" w:rsidRPr="009974D2" w14:paraId="6A97C5B2" w14:textId="77777777" w:rsidTr="009974D2">
        <w:tc>
          <w:tcPr>
            <w:tcW w:w="2337" w:type="dxa"/>
            <w:vAlign w:val="center"/>
          </w:tcPr>
          <w:p w14:paraId="277B8157" w14:textId="68DF474F" w:rsidR="009974D2" w:rsidRPr="008006A5" w:rsidRDefault="008006A5" w:rsidP="008006A5">
            <w:pPr>
              <w:rPr>
                <w:b/>
                <w:sz w:val="22"/>
              </w:rPr>
            </w:pPr>
            <w:r>
              <w:rPr>
                <w:b/>
                <w:sz w:val="22"/>
              </w:rPr>
              <w:t>Measure</w:t>
            </w:r>
          </w:p>
        </w:tc>
        <w:tc>
          <w:tcPr>
            <w:tcW w:w="2759" w:type="dxa"/>
            <w:vAlign w:val="center"/>
          </w:tcPr>
          <w:p w14:paraId="481DB787" w14:textId="5390F77A" w:rsidR="009974D2" w:rsidRPr="009974D2" w:rsidRDefault="0061775F" w:rsidP="008006A5">
            <w:pPr>
              <w:jc w:val="center"/>
              <w:rPr>
                <w:sz w:val="22"/>
              </w:rPr>
            </w:pPr>
            <w:r>
              <w:rPr>
                <w:sz w:val="22"/>
              </w:rPr>
              <w:t>Deaths/100,000 live births</w:t>
            </w:r>
          </w:p>
        </w:tc>
        <w:tc>
          <w:tcPr>
            <w:tcW w:w="2759" w:type="dxa"/>
            <w:vAlign w:val="center"/>
          </w:tcPr>
          <w:p w14:paraId="3716967A" w14:textId="591762BE" w:rsidR="009974D2" w:rsidRPr="009974D2" w:rsidRDefault="0061775F" w:rsidP="008006A5">
            <w:pPr>
              <w:jc w:val="center"/>
              <w:rPr>
                <w:sz w:val="22"/>
              </w:rPr>
            </w:pPr>
            <w:r>
              <w:rPr>
                <w:sz w:val="22"/>
              </w:rPr>
              <w:t>Pregnancy-related deaths/100,000 live births (national)</w:t>
            </w:r>
          </w:p>
        </w:tc>
        <w:tc>
          <w:tcPr>
            <w:tcW w:w="2760" w:type="dxa"/>
            <w:vAlign w:val="center"/>
          </w:tcPr>
          <w:p w14:paraId="78979764" w14:textId="3840BE8D" w:rsidR="009974D2" w:rsidRPr="009974D2" w:rsidRDefault="0061775F" w:rsidP="008006A5">
            <w:pPr>
              <w:jc w:val="center"/>
              <w:rPr>
                <w:sz w:val="22"/>
              </w:rPr>
            </w:pPr>
            <w:r>
              <w:rPr>
                <w:sz w:val="22"/>
              </w:rPr>
              <w:t>Pregnancy-related deaths/100,000 live births (jurisdiction)</w:t>
            </w:r>
          </w:p>
        </w:tc>
      </w:tr>
      <w:tr w:rsidR="009974D2" w:rsidRPr="009974D2" w14:paraId="4C3501B2" w14:textId="77777777" w:rsidTr="009974D2">
        <w:tc>
          <w:tcPr>
            <w:tcW w:w="2337" w:type="dxa"/>
            <w:vAlign w:val="center"/>
          </w:tcPr>
          <w:p w14:paraId="5B882CEE" w14:textId="5121C093" w:rsidR="009974D2" w:rsidRPr="008006A5" w:rsidRDefault="008006A5" w:rsidP="008006A5">
            <w:pPr>
              <w:rPr>
                <w:b/>
                <w:sz w:val="22"/>
              </w:rPr>
            </w:pPr>
            <w:r>
              <w:rPr>
                <w:b/>
                <w:sz w:val="22"/>
              </w:rPr>
              <w:t>Purpose</w:t>
            </w:r>
          </w:p>
        </w:tc>
        <w:tc>
          <w:tcPr>
            <w:tcW w:w="2759" w:type="dxa"/>
            <w:vAlign w:val="center"/>
          </w:tcPr>
          <w:p w14:paraId="12309C8D" w14:textId="19184585" w:rsidR="009974D2" w:rsidRPr="009974D2" w:rsidRDefault="00674EF1" w:rsidP="008006A5">
            <w:pPr>
              <w:jc w:val="center"/>
              <w:rPr>
                <w:sz w:val="22"/>
              </w:rPr>
            </w:pPr>
            <w:r>
              <w:rPr>
                <w:sz w:val="22"/>
              </w:rPr>
              <w:t>Provide</w:t>
            </w:r>
            <w:r w:rsidR="0061775F">
              <w:rPr>
                <w:sz w:val="22"/>
              </w:rPr>
              <w:t xml:space="preserve"> maternal mortality rate at the national level</w:t>
            </w:r>
          </w:p>
        </w:tc>
        <w:tc>
          <w:tcPr>
            <w:tcW w:w="2759" w:type="dxa"/>
            <w:vAlign w:val="center"/>
          </w:tcPr>
          <w:p w14:paraId="6DF28AE3" w14:textId="7300F3A4" w:rsidR="009974D2" w:rsidRPr="009974D2" w:rsidRDefault="0061775F" w:rsidP="0061775F">
            <w:pPr>
              <w:jc w:val="center"/>
              <w:rPr>
                <w:sz w:val="22"/>
              </w:rPr>
            </w:pPr>
            <w:r>
              <w:rPr>
                <w:sz w:val="22"/>
              </w:rPr>
              <w:t xml:space="preserve">Determine pregnancy-related mortality ratio by analyzing clinical factors associated with death </w:t>
            </w:r>
          </w:p>
        </w:tc>
        <w:tc>
          <w:tcPr>
            <w:tcW w:w="2760" w:type="dxa"/>
            <w:vAlign w:val="center"/>
          </w:tcPr>
          <w:p w14:paraId="0CC7131D" w14:textId="5E7F77BF" w:rsidR="009974D2" w:rsidRPr="009974D2" w:rsidRDefault="00C85460" w:rsidP="00C85460">
            <w:pPr>
              <w:jc w:val="center"/>
              <w:rPr>
                <w:sz w:val="22"/>
              </w:rPr>
            </w:pPr>
            <w:r>
              <w:rPr>
                <w:sz w:val="22"/>
              </w:rPr>
              <w:t xml:space="preserve">Understand </w:t>
            </w:r>
            <w:r w:rsidR="0061775F">
              <w:rPr>
                <w:sz w:val="22"/>
              </w:rPr>
              <w:t xml:space="preserve">circumstances </w:t>
            </w:r>
            <w:r>
              <w:rPr>
                <w:sz w:val="22"/>
              </w:rPr>
              <w:t>around</w:t>
            </w:r>
            <w:r w:rsidR="0061775F">
              <w:rPr>
                <w:sz w:val="22"/>
              </w:rPr>
              <w:t xml:space="preserve"> maternal deaths; develop recommendations for maternal mortality prevention</w:t>
            </w:r>
          </w:p>
        </w:tc>
      </w:tr>
    </w:tbl>
    <w:p w14:paraId="1C5552A9" w14:textId="75C7A77C" w:rsidR="009974D2" w:rsidRPr="009974D2" w:rsidRDefault="009974D2" w:rsidP="009974D2">
      <w:pPr>
        <w:rPr>
          <w:sz w:val="22"/>
        </w:rPr>
      </w:pPr>
      <w:r w:rsidRPr="009974D2">
        <w:rPr>
          <w:sz w:val="22"/>
          <w:vertAlign w:val="superscript"/>
        </w:rPr>
        <w:t>a</w:t>
      </w:r>
      <w:r w:rsidRPr="009974D2">
        <w:rPr>
          <w:sz w:val="22"/>
        </w:rPr>
        <w:t>National Vital Statistics System</w:t>
      </w:r>
    </w:p>
    <w:p w14:paraId="07712CFF" w14:textId="2D9481CB" w:rsidR="009974D2" w:rsidRPr="009974D2" w:rsidRDefault="009974D2" w:rsidP="009974D2">
      <w:pPr>
        <w:rPr>
          <w:sz w:val="22"/>
        </w:rPr>
      </w:pPr>
      <w:r w:rsidRPr="009974D2">
        <w:rPr>
          <w:sz w:val="22"/>
          <w:vertAlign w:val="superscript"/>
        </w:rPr>
        <w:t>b</w:t>
      </w:r>
      <w:r w:rsidRPr="009974D2">
        <w:rPr>
          <w:sz w:val="22"/>
        </w:rPr>
        <w:t>Pregnancy-related Mortality Surveillance System</w:t>
      </w:r>
    </w:p>
    <w:p w14:paraId="3544019E" w14:textId="317C9829" w:rsidR="009974D2" w:rsidRPr="009974D2" w:rsidRDefault="009974D2" w:rsidP="009974D2">
      <w:pPr>
        <w:rPr>
          <w:sz w:val="22"/>
        </w:rPr>
      </w:pPr>
      <w:r w:rsidRPr="009974D2">
        <w:rPr>
          <w:sz w:val="22"/>
          <w:vertAlign w:val="superscript"/>
        </w:rPr>
        <w:t>c</w:t>
      </w:r>
      <w:r w:rsidRPr="009974D2">
        <w:rPr>
          <w:sz w:val="22"/>
        </w:rPr>
        <w:t>Maternal Mortalit</w:t>
      </w:r>
      <w:r w:rsidR="00B07185">
        <w:rPr>
          <w:sz w:val="22"/>
        </w:rPr>
        <w:t>y Review Committees</w:t>
      </w:r>
    </w:p>
    <w:p w14:paraId="4E497047" w14:textId="77777777" w:rsidR="00015D62" w:rsidRDefault="00015D62" w:rsidP="00CF17B9">
      <w:pPr>
        <w:spacing w:line="276" w:lineRule="auto"/>
        <w:rPr>
          <w:sz w:val="24"/>
        </w:rPr>
      </w:pPr>
    </w:p>
    <w:p w14:paraId="69A0F703" w14:textId="77777777" w:rsidR="00ED028C" w:rsidRPr="00BB3C01" w:rsidRDefault="00ED028C" w:rsidP="00A82221">
      <w:pPr>
        <w:pStyle w:val="Heading3"/>
        <w:numPr>
          <w:ilvl w:val="0"/>
          <w:numId w:val="2"/>
        </w:numPr>
        <w:spacing w:line="276" w:lineRule="auto"/>
        <w:ind w:left="0" w:firstLine="0"/>
        <w:rPr>
          <w:rFonts w:ascii="Times New Roman" w:hAnsi="Times New Roman" w:cs="Times New Roman"/>
          <w:color w:val="000000"/>
          <w:sz w:val="24"/>
          <w:szCs w:val="24"/>
        </w:rPr>
      </w:pPr>
      <w:bookmarkStart w:id="6" w:name="_Toc7600441"/>
      <w:r w:rsidRPr="00BB3C01">
        <w:rPr>
          <w:rFonts w:ascii="Times New Roman" w:hAnsi="Times New Roman" w:cs="Times New Roman"/>
          <w:sz w:val="24"/>
          <w:szCs w:val="24"/>
        </w:rPr>
        <w:t>Impact on Small Businesses or Other Small Entities</w:t>
      </w:r>
      <w:bookmarkEnd w:id="6"/>
    </w:p>
    <w:p w14:paraId="5F311E68" w14:textId="77777777" w:rsidR="00E56539" w:rsidRPr="00BB3C01" w:rsidRDefault="00E56539" w:rsidP="00CF17B9">
      <w:pPr>
        <w:spacing w:line="276" w:lineRule="auto"/>
        <w:rPr>
          <w:sz w:val="24"/>
        </w:rPr>
      </w:pPr>
    </w:p>
    <w:p w14:paraId="114493F1" w14:textId="6086DED3" w:rsidR="00601A67" w:rsidRDefault="00ED028C" w:rsidP="00CF17B9">
      <w:pPr>
        <w:spacing w:line="276" w:lineRule="auto"/>
        <w:rPr>
          <w:sz w:val="24"/>
        </w:rPr>
      </w:pPr>
      <w:r w:rsidRPr="00BB3C01">
        <w:rPr>
          <w:sz w:val="24"/>
        </w:rPr>
        <w:t>There will be no impact on small business.</w:t>
      </w:r>
    </w:p>
    <w:p w14:paraId="311F30C6" w14:textId="77777777" w:rsidR="00AF102E" w:rsidRPr="00BB3C01" w:rsidRDefault="00AF102E" w:rsidP="00CF17B9">
      <w:pPr>
        <w:spacing w:line="276" w:lineRule="auto"/>
        <w:rPr>
          <w:sz w:val="24"/>
        </w:rPr>
      </w:pPr>
    </w:p>
    <w:p w14:paraId="107B59C5" w14:textId="0E57331F" w:rsidR="00FB3AF8" w:rsidRPr="00FB3AF8" w:rsidRDefault="00FB3AF8" w:rsidP="00FB3AF8">
      <w:pPr>
        <w:pStyle w:val="Heading3"/>
        <w:numPr>
          <w:ilvl w:val="0"/>
          <w:numId w:val="2"/>
        </w:numPr>
        <w:spacing w:line="276" w:lineRule="auto"/>
        <w:ind w:left="0" w:firstLine="0"/>
        <w:rPr>
          <w:rFonts w:ascii="Times New Roman" w:hAnsi="Times New Roman" w:cs="Times New Roman"/>
          <w:sz w:val="24"/>
          <w:szCs w:val="24"/>
        </w:rPr>
      </w:pPr>
      <w:bookmarkStart w:id="7" w:name="_Toc7600442"/>
      <w:r w:rsidRPr="00FB3AF8">
        <w:rPr>
          <w:rFonts w:ascii="Times New Roman" w:hAnsi="Times New Roman" w:cs="Times New Roman"/>
          <w:sz w:val="24"/>
          <w:szCs w:val="24"/>
        </w:rPr>
        <w:t>Consequences of Collecting the Information Less Frequently</w:t>
      </w:r>
      <w:bookmarkEnd w:id="7"/>
    </w:p>
    <w:p w14:paraId="06B05446" w14:textId="4F6B534B" w:rsidR="00CA012A" w:rsidRPr="00015D62" w:rsidRDefault="00FB3AF8" w:rsidP="00CA012A">
      <w:pPr>
        <w:spacing w:line="360" w:lineRule="auto"/>
        <w:rPr>
          <w:sz w:val="24"/>
        </w:rPr>
      </w:pPr>
      <w:r>
        <w:rPr>
          <w:sz w:val="24"/>
        </w:rPr>
        <w:t xml:space="preserve">MMRCs aim to identify </w:t>
      </w:r>
      <w:r w:rsidRPr="00822A2F">
        <w:rPr>
          <w:sz w:val="24"/>
        </w:rPr>
        <w:t xml:space="preserve">deaths </w:t>
      </w:r>
      <w:r>
        <w:rPr>
          <w:sz w:val="24"/>
        </w:rPr>
        <w:t>among women</w:t>
      </w:r>
      <w:r w:rsidRPr="00822A2F">
        <w:rPr>
          <w:sz w:val="24"/>
        </w:rPr>
        <w:t xml:space="preserve"> that occur during pregnancy or within </w:t>
      </w:r>
      <w:r w:rsidR="00DD1A55">
        <w:rPr>
          <w:sz w:val="24"/>
        </w:rPr>
        <w:t xml:space="preserve">one </w:t>
      </w:r>
      <w:r w:rsidRPr="00822A2F">
        <w:rPr>
          <w:sz w:val="24"/>
        </w:rPr>
        <w:t>year of the end o</w:t>
      </w:r>
      <w:r>
        <w:rPr>
          <w:sz w:val="24"/>
        </w:rPr>
        <w:t>f pregnancy on a routine basis--</w:t>
      </w:r>
      <w:r w:rsidRPr="00822A2F">
        <w:rPr>
          <w:sz w:val="24"/>
        </w:rPr>
        <w:t>no later than one y</w:t>
      </w:r>
      <w:r>
        <w:rPr>
          <w:sz w:val="24"/>
        </w:rPr>
        <w:t>ear following the date of death. M</w:t>
      </w:r>
      <w:r w:rsidR="002618A5">
        <w:rPr>
          <w:sz w:val="24"/>
        </w:rPr>
        <w:t>MRCs routinely</w:t>
      </w:r>
      <w:r>
        <w:rPr>
          <w:sz w:val="24"/>
        </w:rPr>
        <w:t xml:space="preserve"> abstract data to support multidisciplinary review of each death by abstracting</w:t>
      </w:r>
      <w:r w:rsidR="00017478">
        <w:rPr>
          <w:sz w:val="24"/>
        </w:rPr>
        <w:t xml:space="preserve"> and</w:t>
      </w:r>
      <w:r>
        <w:rPr>
          <w:sz w:val="24"/>
        </w:rPr>
        <w:t xml:space="preserve"> entering comprehensive information about all deaths potentially related to pregnancy into MMRIA in prepara</w:t>
      </w:r>
      <w:r w:rsidR="002618A5">
        <w:rPr>
          <w:sz w:val="24"/>
        </w:rPr>
        <w:t xml:space="preserve">tion for committee review. </w:t>
      </w:r>
      <w:r w:rsidR="00F97393">
        <w:rPr>
          <w:sz w:val="24"/>
        </w:rPr>
        <w:t xml:space="preserve">MMRCs </w:t>
      </w:r>
      <w:r w:rsidR="00F97393" w:rsidRPr="00015D62">
        <w:rPr>
          <w:sz w:val="24"/>
        </w:rPr>
        <w:t xml:space="preserve">convene on a routine basis as decided by the committee </w:t>
      </w:r>
      <w:r w:rsidR="00F97393">
        <w:rPr>
          <w:sz w:val="24"/>
        </w:rPr>
        <w:t>(</w:t>
      </w:r>
      <w:r w:rsidR="00F97393" w:rsidRPr="00015D62">
        <w:rPr>
          <w:sz w:val="24"/>
        </w:rPr>
        <w:t>typically monthly or quarterly</w:t>
      </w:r>
      <w:r w:rsidR="00F97393">
        <w:rPr>
          <w:sz w:val="24"/>
        </w:rPr>
        <w:t>)</w:t>
      </w:r>
      <w:r w:rsidR="00CA012A" w:rsidRPr="00015D62">
        <w:rPr>
          <w:sz w:val="24"/>
        </w:rPr>
        <w:t>The consequences of collecting the information</w:t>
      </w:r>
      <w:r w:rsidR="001974FE">
        <w:rPr>
          <w:sz w:val="24"/>
        </w:rPr>
        <w:t xml:space="preserve"> less frequently</w:t>
      </w:r>
      <w:r w:rsidR="00CA012A" w:rsidRPr="00015D62">
        <w:rPr>
          <w:sz w:val="24"/>
        </w:rPr>
        <w:t xml:space="preserve"> are the limited ability to assess the pregnancy-relatedness of maternal deaths</w:t>
      </w:r>
      <w:r w:rsidR="00CA012A">
        <w:rPr>
          <w:sz w:val="24"/>
        </w:rPr>
        <w:t xml:space="preserve"> and </w:t>
      </w:r>
      <w:r w:rsidR="00CA012A" w:rsidRPr="00015D62">
        <w:rPr>
          <w:sz w:val="24"/>
        </w:rPr>
        <w:t>the drivers of pregnancy-related deaths and to determine wh</w:t>
      </w:r>
      <w:r w:rsidR="001974FE">
        <w:rPr>
          <w:sz w:val="24"/>
        </w:rPr>
        <w:t>ich</w:t>
      </w:r>
      <w:r w:rsidR="00CA012A" w:rsidRPr="00015D62">
        <w:rPr>
          <w:sz w:val="24"/>
        </w:rPr>
        <w:t xml:space="preserve"> interventions will be most effective in preventing pregnancy-related deaths. Data will be used to inform maternal health programs and health policy to reduce maternal mortality.  </w:t>
      </w:r>
    </w:p>
    <w:p w14:paraId="1ACBCC93" w14:textId="4C97D0B9" w:rsidR="00060FC4" w:rsidRPr="00BB3C01" w:rsidRDefault="00060FC4" w:rsidP="00CF17B9">
      <w:pPr>
        <w:spacing w:line="276" w:lineRule="auto"/>
        <w:rPr>
          <w:sz w:val="24"/>
        </w:rPr>
      </w:pPr>
    </w:p>
    <w:p w14:paraId="5C67C23A" w14:textId="77777777" w:rsidR="00ED028C" w:rsidRPr="00BB3C01" w:rsidRDefault="00ED028C" w:rsidP="00A82221">
      <w:pPr>
        <w:pStyle w:val="Heading3"/>
        <w:numPr>
          <w:ilvl w:val="0"/>
          <w:numId w:val="2"/>
        </w:numPr>
        <w:spacing w:line="276" w:lineRule="auto"/>
        <w:ind w:left="0" w:firstLine="0"/>
        <w:rPr>
          <w:rFonts w:ascii="Times New Roman" w:hAnsi="Times New Roman" w:cs="Times New Roman"/>
          <w:sz w:val="24"/>
          <w:szCs w:val="24"/>
        </w:rPr>
      </w:pPr>
      <w:bookmarkStart w:id="8" w:name="_Toc7600443"/>
      <w:r w:rsidRPr="00BB3C01">
        <w:rPr>
          <w:rFonts w:ascii="Times New Roman" w:hAnsi="Times New Roman" w:cs="Times New Roman"/>
          <w:sz w:val="24"/>
          <w:szCs w:val="24"/>
        </w:rPr>
        <w:t>Special Circumstances Relating to the Guidelines of 5 CFR 1320.5</w:t>
      </w:r>
      <w:bookmarkEnd w:id="8"/>
    </w:p>
    <w:p w14:paraId="13931F5D" w14:textId="77777777" w:rsidR="00E56539" w:rsidRPr="00BB3C01" w:rsidRDefault="00E56539" w:rsidP="00CF17B9">
      <w:pPr>
        <w:spacing w:line="276" w:lineRule="auto"/>
        <w:rPr>
          <w:sz w:val="24"/>
        </w:rPr>
      </w:pPr>
    </w:p>
    <w:p w14:paraId="0EADD20C" w14:textId="5A4D222E" w:rsidR="00087026" w:rsidRPr="00087026" w:rsidRDefault="00ED028C" w:rsidP="00087026">
      <w:pPr>
        <w:rPr>
          <w:sz w:val="24"/>
        </w:rPr>
      </w:pPr>
      <w:r w:rsidRPr="00087026">
        <w:rPr>
          <w:sz w:val="24"/>
        </w:rPr>
        <w:t xml:space="preserve">There are no special circumstances. </w:t>
      </w:r>
      <w:r w:rsidR="00087026" w:rsidRPr="00087026">
        <w:rPr>
          <w:sz w:val="24"/>
        </w:rPr>
        <w:t>This request complies with the regulation of 5 CFR 1320.5</w:t>
      </w:r>
      <w:r w:rsidR="00156FC4">
        <w:rPr>
          <w:sz w:val="24"/>
        </w:rPr>
        <w:t>.</w:t>
      </w:r>
    </w:p>
    <w:p w14:paraId="0E26E2AB" w14:textId="77777777" w:rsidR="00ED028C" w:rsidRPr="00BB3C01" w:rsidRDefault="00ED028C" w:rsidP="00CF17B9">
      <w:pPr>
        <w:spacing w:line="276" w:lineRule="auto"/>
        <w:rPr>
          <w:sz w:val="24"/>
        </w:rPr>
      </w:pPr>
    </w:p>
    <w:p w14:paraId="04D27039" w14:textId="77777777" w:rsidR="00FD0168" w:rsidRPr="00BB3C01" w:rsidRDefault="00ED028C" w:rsidP="00A82221">
      <w:pPr>
        <w:pStyle w:val="Heading3"/>
        <w:numPr>
          <w:ilvl w:val="0"/>
          <w:numId w:val="2"/>
        </w:numPr>
        <w:spacing w:line="276" w:lineRule="auto"/>
        <w:ind w:left="720" w:hanging="720"/>
        <w:rPr>
          <w:rFonts w:ascii="Times New Roman" w:hAnsi="Times New Roman" w:cs="Times New Roman"/>
          <w:sz w:val="24"/>
          <w:szCs w:val="24"/>
        </w:rPr>
      </w:pPr>
      <w:bookmarkStart w:id="9" w:name="_Toc7600444"/>
      <w:r w:rsidRPr="00BB3C01">
        <w:rPr>
          <w:rFonts w:ascii="Times New Roman" w:hAnsi="Times New Roman" w:cs="Times New Roman"/>
          <w:sz w:val="24"/>
          <w:szCs w:val="24"/>
        </w:rPr>
        <w:t>Comments in Response to the Federal Register Notice</w:t>
      </w:r>
      <w:r w:rsidR="009E2A85" w:rsidRPr="00BB3C01">
        <w:rPr>
          <w:rFonts w:ascii="Times New Roman" w:hAnsi="Times New Roman" w:cs="Times New Roman"/>
          <w:sz w:val="24"/>
          <w:szCs w:val="24"/>
        </w:rPr>
        <w:t xml:space="preserve"> and Efforts to Consult Outside the Agency</w:t>
      </w:r>
      <w:bookmarkEnd w:id="9"/>
      <w:r w:rsidR="009E2A85" w:rsidRPr="00BB3C01">
        <w:rPr>
          <w:rFonts w:ascii="Times New Roman" w:hAnsi="Times New Roman" w:cs="Times New Roman"/>
          <w:sz w:val="24"/>
          <w:szCs w:val="24"/>
        </w:rPr>
        <w:t xml:space="preserve"> </w:t>
      </w:r>
    </w:p>
    <w:p w14:paraId="1827F3BB" w14:textId="77777777" w:rsidR="00235E33" w:rsidRDefault="00235E33" w:rsidP="00B51FD4">
      <w:pPr>
        <w:spacing w:line="276" w:lineRule="auto"/>
        <w:ind w:left="360"/>
        <w:rPr>
          <w:sz w:val="24"/>
        </w:rPr>
      </w:pPr>
    </w:p>
    <w:p w14:paraId="0C688881" w14:textId="344AEC69" w:rsidR="00A0509B" w:rsidRPr="002113FD" w:rsidRDefault="00C264EF" w:rsidP="00A0509B">
      <w:pPr>
        <w:spacing w:line="360" w:lineRule="auto"/>
        <w:rPr>
          <w:sz w:val="24"/>
        </w:rPr>
      </w:pPr>
      <w:r>
        <w:rPr>
          <w:sz w:val="24"/>
        </w:rPr>
        <w:t xml:space="preserve"> </w:t>
      </w:r>
      <w:r w:rsidR="00FB3AF8" w:rsidRPr="00FB3AF8">
        <w:rPr>
          <w:sz w:val="24"/>
        </w:rPr>
        <w:t xml:space="preserve">A 60-day notice </w:t>
      </w:r>
      <w:r w:rsidR="00A0509B">
        <w:rPr>
          <w:sz w:val="24"/>
        </w:rPr>
        <w:t>was</w:t>
      </w:r>
      <w:r w:rsidR="00FB3AF8" w:rsidRPr="00FB3AF8">
        <w:rPr>
          <w:sz w:val="24"/>
        </w:rPr>
        <w:t xml:space="preserve"> published in the Federal Register </w:t>
      </w:r>
      <w:r w:rsidR="00A0509B">
        <w:rPr>
          <w:sz w:val="24"/>
        </w:rPr>
        <w:t>on June 20, 2</w:t>
      </w:r>
      <w:r w:rsidR="00364CB8">
        <w:rPr>
          <w:sz w:val="24"/>
        </w:rPr>
        <w:t>0</w:t>
      </w:r>
      <w:r w:rsidR="00A0509B">
        <w:rPr>
          <w:sz w:val="24"/>
        </w:rPr>
        <w:t>19, Vol. 84, No. 1</w:t>
      </w:r>
      <w:r w:rsidR="00746818">
        <w:rPr>
          <w:sz w:val="24"/>
        </w:rPr>
        <w:t>1</w:t>
      </w:r>
      <w:r w:rsidR="00A0509B">
        <w:rPr>
          <w:sz w:val="24"/>
        </w:rPr>
        <w:t>9, pp. 28819-28820 with the title “</w:t>
      </w:r>
      <w:r w:rsidR="00A0509B" w:rsidRPr="00A0509B">
        <w:rPr>
          <w:sz w:val="24"/>
        </w:rPr>
        <w:t>The Maternal Mortality Review</w:t>
      </w:r>
      <w:r w:rsidR="00901B16">
        <w:rPr>
          <w:sz w:val="24"/>
        </w:rPr>
        <w:t xml:space="preserve"> </w:t>
      </w:r>
      <w:r w:rsidR="00A0509B" w:rsidRPr="00A0509B">
        <w:rPr>
          <w:sz w:val="24"/>
        </w:rPr>
        <w:t>Information Application (MMRIA)</w:t>
      </w:r>
      <w:r w:rsidR="00A0509B">
        <w:rPr>
          <w:sz w:val="24"/>
        </w:rPr>
        <w:t>” (</w:t>
      </w:r>
      <w:r w:rsidR="00A0509B">
        <w:rPr>
          <w:b/>
          <w:sz w:val="24"/>
        </w:rPr>
        <w:t>Attachment 5a).</w:t>
      </w:r>
      <w:r w:rsidR="00A0509B">
        <w:rPr>
          <w:sz w:val="24"/>
        </w:rPr>
        <w:t xml:space="preserve"> CDC received </w:t>
      </w:r>
      <w:r w:rsidR="007362A5">
        <w:rPr>
          <w:sz w:val="24"/>
        </w:rPr>
        <w:t>four comments related to this notice</w:t>
      </w:r>
      <w:r w:rsidR="00932CC4">
        <w:rPr>
          <w:sz w:val="24"/>
        </w:rPr>
        <w:t xml:space="preserve"> and were all supportive</w:t>
      </w:r>
      <w:r w:rsidR="007362A5">
        <w:rPr>
          <w:sz w:val="24"/>
        </w:rPr>
        <w:t xml:space="preserve"> (</w:t>
      </w:r>
      <w:r w:rsidR="007362A5">
        <w:rPr>
          <w:b/>
          <w:sz w:val="24"/>
        </w:rPr>
        <w:t>Attachment 5b</w:t>
      </w:r>
      <w:r w:rsidR="007362A5">
        <w:rPr>
          <w:sz w:val="24"/>
        </w:rPr>
        <w:t xml:space="preserve">).   CDC has </w:t>
      </w:r>
      <w:r w:rsidR="00B02B8A">
        <w:rPr>
          <w:sz w:val="24"/>
        </w:rPr>
        <w:t xml:space="preserve">has provided </w:t>
      </w:r>
      <w:r w:rsidR="00150F55">
        <w:rPr>
          <w:sz w:val="24"/>
        </w:rPr>
        <w:t>respon</w:t>
      </w:r>
      <w:r w:rsidR="00B02B8A">
        <w:rPr>
          <w:sz w:val="24"/>
        </w:rPr>
        <w:t>se</w:t>
      </w:r>
      <w:r w:rsidR="00150F55">
        <w:rPr>
          <w:sz w:val="24"/>
        </w:rPr>
        <w:t xml:space="preserve"> to </w:t>
      </w:r>
      <w:r w:rsidR="007362A5">
        <w:rPr>
          <w:sz w:val="24"/>
        </w:rPr>
        <w:t xml:space="preserve">comments </w:t>
      </w:r>
      <w:r w:rsidR="002113FD">
        <w:rPr>
          <w:sz w:val="24"/>
        </w:rPr>
        <w:t>(</w:t>
      </w:r>
      <w:r w:rsidR="002113FD">
        <w:rPr>
          <w:b/>
          <w:sz w:val="24"/>
        </w:rPr>
        <w:t>Attachment 5b</w:t>
      </w:r>
      <w:r w:rsidR="002113FD">
        <w:rPr>
          <w:sz w:val="24"/>
        </w:rPr>
        <w:t>).</w:t>
      </w:r>
      <w:r w:rsidR="00150F55">
        <w:rPr>
          <w:sz w:val="24"/>
        </w:rPr>
        <w:t xml:space="preserve"> No changes to the </w:t>
      </w:r>
      <w:r w:rsidR="00BD6718">
        <w:rPr>
          <w:sz w:val="24"/>
        </w:rPr>
        <w:t xml:space="preserve">data collection has been made in response to these comments. </w:t>
      </w:r>
    </w:p>
    <w:p w14:paraId="4378AE5C" w14:textId="77777777" w:rsidR="00A0509B" w:rsidRDefault="00A0509B" w:rsidP="00A0509B">
      <w:pPr>
        <w:spacing w:line="360" w:lineRule="auto"/>
        <w:rPr>
          <w:sz w:val="24"/>
        </w:rPr>
      </w:pPr>
    </w:p>
    <w:p w14:paraId="1823AB11" w14:textId="29E80D3E" w:rsidR="006371DC" w:rsidRPr="007A3361" w:rsidRDefault="006371DC" w:rsidP="007A3361">
      <w:pPr>
        <w:spacing w:line="360" w:lineRule="auto"/>
        <w:rPr>
          <w:sz w:val="24"/>
        </w:rPr>
      </w:pPr>
      <w:r w:rsidRPr="007A3361">
        <w:rPr>
          <w:sz w:val="24"/>
        </w:rPr>
        <w:t xml:space="preserve">A number of representatives from </w:t>
      </w:r>
      <w:r w:rsidR="007A3361">
        <w:rPr>
          <w:sz w:val="24"/>
        </w:rPr>
        <w:t>MMRCs</w:t>
      </w:r>
      <w:r w:rsidRPr="007A3361">
        <w:rPr>
          <w:sz w:val="24"/>
        </w:rPr>
        <w:t xml:space="preserve"> and stakeholders were consulted on identifying </w:t>
      </w:r>
      <w:r w:rsidR="007A3361">
        <w:rPr>
          <w:sz w:val="24"/>
        </w:rPr>
        <w:t>the initial content of MMRIA and its precursor MMRDS</w:t>
      </w:r>
      <w:r w:rsidRPr="007A3361">
        <w:rPr>
          <w:sz w:val="24"/>
        </w:rPr>
        <w:t>. Since identification of the initial content, additional changes to the content have occurred based on informal user feedback</w:t>
      </w:r>
      <w:r w:rsidRPr="007A3361">
        <w:rPr>
          <w:sz w:val="24"/>
          <w:szCs w:val="20"/>
        </w:rPr>
        <w:t>.</w:t>
      </w:r>
    </w:p>
    <w:tbl>
      <w:tblPr>
        <w:tblpPr w:leftFromText="180" w:rightFromText="180" w:vertAnchor="text" w:horzAnchor="margin" w:tblpY="110"/>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4018"/>
      </w:tblGrid>
      <w:tr w:rsidR="006371DC" w:rsidRPr="00A10833" w14:paraId="104749FB" w14:textId="77777777" w:rsidTr="007A3361">
        <w:tc>
          <w:tcPr>
            <w:tcW w:w="5000" w:type="pct"/>
            <w:gridSpan w:val="2"/>
            <w:shd w:val="clear" w:color="auto" w:fill="D9D9D9" w:themeFill="background1" w:themeFillShade="D9"/>
          </w:tcPr>
          <w:p w14:paraId="2B6657E9" w14:textId="7140EDFE" w:rsidR="006371DC" w:rsidRDefault="006371DC" w:rsidP="007A3361">
            <w:pPr>
              <w:jc w:val="center"/>
              <w:rPr>
                <w:rFonts w:asciiTheme="minorHAnsi" w:hAnsiTheme="minorHAnsi" w:cstheme="minorHAnsi"/>
                <w:b/>
                <w:i/>
                <w:color w:val="000000"/>
              </w:rPr>
            </w:pPr>
            <w:r>
              <w:rPr>
                <w:rFonts w:asciiTheme="minorHAnsi" w:hAnsiTheme="minorHAnsi" w:cstheme="minorHAnsi"/>
                <w:b/>
                <w:i/>
                <w:color w:val="000000"/>
              </w:rPr>
              <w:t>Maternal Mortality Review Committees</w:t>
            </w:r>
            <w:r w:rsidRPr="00A10833">
              <w:rPr>
                <w:rFonts w:asciiTheme="minorHAnsi" w:hAnsiTheme="minorHAnsi" w:cstheme="minorHAnsi"/>
                <w:b/>
                <w:i/>
                <w:color w:val="000000"/>
              </w:rPr>
              <w:t xml:space="preserve"> </w:t>
            </w:r>
            <w:r>
              <w:rPr>
                <w:rFonts w:asciiTheme="minorHAnsi" w:hAnsiTheme="minorHAnsi" w:cstheme="minorHAnsi"/>
                <w:b/>
                <w:i/>
                <w:color w:val="000000"/>
              </w:rPr>
              <w:t xml:space="preserve">(MMRC) Initially </w:t>
            </w:r>
            <w:r w:rsidRPr="00A10833">
              <w:rPr>
                <w:rFonts w:asciiTheme="minorHAnsi" w:hAnsiTheme="minorHAnsi" w:cstheme="minorHAnsi"/>
                <w:b/>
                <w:i/>
                <w:color w:val="000000"/>
              </w:rPr>
              <w:t>Consulted</w:t>
            </w:r>
            <w:r w:rsidR="007A3361">
              <w:rPr>
                <w:rFonts w:asciiTheme="minorHAnsi" w:hAnsiTheme="minorHAnsi" w:cstheme="minorHAnsi"/>
                <w:b/>
                <w:i/>
                <w:color w:val="000000"/>
              </w:rPr>
              <w:t xml:space="preserve"> (2013-</w:t>
            </w:r>
            <w:r>
              <w:rPr>
                <w:rFonts w:asciiTheme="minorHAnsi" w:hAnsiTheme="minorHAnsi" w:cstheme="minorHAnsi"/>
                <w:b/>
                <w:i/>
                <w:color w:val="000000"/>
              </w:rPr>
              <w:t>14)</w:t>
            </w:r>
          </w:p>
        </w:tc>
      </w:tr>
      <w:tr w:rsidR="006371DC" w:rsidRPr="00A10833" w14:paraId="57F05A9D" w14:textId="77777777" w:rsidTr="007A3361">
        <w:tc>
          <w:tcPr>
            <w:tcW w:w="5000" w:type="pct"/>
            <w:gridSpan w:val="2"/>
            <w:shd w:val="clear" w:color="auto" w:fill="C4BC96" w:themeFill="background2" w:themeFillShade="BF"/>
            <w:vAlign w:val="center"/>
          </w:tcPr>
          <w:p w14:paraId="19EDEED6" w14:textId="77777777" w:rsidR="006371DC" w:rsidRPr="00EB3BFE" w:rsidRDefault="006371DC" w:rsidP="007A3361">
            <w:pPr>
              <w:jc w:val="center"/>
              <w:rPr>
                <w:rFonts w:asciiTheme="minorHAnsi" w:hAnsiTheme="minorHAnsi" w:cstheme="minorHAnsi"/>
                <w:i/>
                <w:color w:val="000000"/>
                <w:szCs w:val="20"/>
              </w:rPr>
            </w:pPr>
            <w:r w:rsidRPr="00EB3BFE">
              <w:rPr>
                <w:rFonts w:asciiTheme="minorHAnsi" w:hAnsiTheme="minorHAnsi" w:cstheme="minorHAnsi"/>
                <w:i/>
                <w:color w:val="000000"/>
                <w:szCs w:val="20"/>
              </w:rPr>
              <w:t>MMRC</w:t>
            </w:r>
          </w:p>
        </w:tc>
      </w:tr>
      <w:tr w:rsidR="006371DC" w:rsidRPr="00A10833" w14:paraId="113168A8" w14:textId="77777777" w:rsidTr="007A3361">
        <w:tc>
          <w:tcPr>
            <w:tcW w:w="2500" w:type="pct"/>
            <w:shd w:val="clear" w:color="auto" w:fill="auto"/>
            <w:vAlign w:val="center"/>
          </w:tcPr>
          <w:p w14:paraId="3AD10ED4"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California</w:t>
            </w:r>
          </w:p>
        </w:tc>
        <w:tc>
          <w:tcPr>
            <w:tcW w:w="2500" w:type="pct"/>
          </w:tcPr>
          <w:p w14:paraId="0132B409"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Michigan</w:t>
            </w:r>
          </w:p>
        </w:tc>
      </w:tr>
      <w:tr w:rsidR="006371DC" w:rsidRPr="00A10833" w14:paraId="4B2E0D94" w14:textId="77777777" w:rsidTr="007A3361">
        <w:tc>
          <w:tcPr>
            <w:tcW w:w="2500" w:type="pct"/>
            <w:shd w:val="clear" w:color="auto" w:fill="auto"/>
            <w:vAlign w:val="center"/>
          </w:tcPr>
          <w:p w14:paraId="2F88AF07"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Colorado</w:t>
            </w:r>
          </w:p>
        </w:tc>
        <w:tc>
          <w:tcPr>
            <w:tcW w:w="2500" w:type="pct"/>
          </w:tcPr>
          <w:p w14:paraId="29AF7526"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New Jersey</w:t>
            </w:r>
          </w:p>
        </w:tc>
      </w:tr>
      <w:tr w:rsidR="006371DC" w:rsidRPr="00A10833" w14:paraId="592EBD4B" w14:textId="77777777" w:rsidTr="007A3361">
        <w:tc>
          <w:tcPr>
            <w:tcW w:w="2500" w:type="pct"/>
            <w:shd w:val="clear" w:color="auto" w:fill="auto"/>
            <w:vAlign w:val="center"/>
          </w:tcPr>
          <w:p w14:paraId="40CBD5FF"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Delaware</w:t>
            </w:r>
          </w:p>
        </w:tc>
        <w:tc>
          <w:tcPr>
            <w:tcW w:w="2500" w:type="pct"/>
          </w:tcPr>
          <w:p w14:paraId="66DD7718"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New York (State)</w:t>
            </w:r>
          </w:p>
        </w:tc>
      </w:tr>
      <w:tr w:rsidR="006371DC" w:rsidRPr="00A10833" w14:paraId="0125220E" w14:textId="77777777" w:rsidTr="007A3361">
        <w:tc>
          <w:tcPr>
            <w:tcW w:w="2500" w:type="pct"/>
            <w:shd w:val="clear" w:color="auto" w:fill="auto"/>
            <w:vAlign w:val="center"/>
          </w:tcPr>
          <w:p w14:paraId="7120BD76"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Florida</w:t>
            </w:r>
          </w:p>
        </w:tc>
        <w:tc>
          <w:tcPr>
            <w:tcW w:w="2500" w:type="pct"/>
          </w:tcPr>
          <w:p w14:paraId="10114232"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Ohio</w:t>
            </w:r>
          </w:p>
        </w:tc>
      </w:tr>
      <w:tr w:rsidR="006371DC" w:rsidRPr="00A10833" w14:paraId="68032759" w14:textId="77777777" w:rsidTr="007A3361">
        <w:tc>
          <w:tcPr>
            <w:tcW w:w="2500" w:type="pct"/>
            <w:shd w:val="clear" w:color="auto" w:fill="auto"/>
            <w:vAlign w:val="center"/>
          </w:tcPr>
          <w:p w14:paraId="089814CF"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Georgia</w:t>
            </w:r>
          </w:p>
        </w:tc>
        <w:tc>
          <w:tcPr>
            <w:tcW w:w="2500" w:type="pct"/>
          </w:tcPr>
          <w:p w14:paraId="4D62F2A3"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Philadelphia</w:t>
            </w:r>
          </w:p>
        </w:tc>
      </w:tr>
      <w:tr w:rsidR="006371DC" w:rsidRPr="00A10833" w14:paraId="50DC59AB" w14:textId="77777777" w:rsidTr="007A3361">
        <w:tc>
          <w:tcPr>
            <w:tcW w:w="2500" w:type="pct"/>
            <w:shd w:val="clear" w:color="auto" w:fill="auto"/>
            <w:vAlign w:val="center"/>
          </w:tcPr>
          <w:p w14:paraId="5C097877"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Iowa</w:t>
            </w:r>
          </w:p>
        </w:tc>
        <w:tc>
          <w:tcPr>
            <w:tcW w:w="2500" w:type="pct"/>
          </w:tcPr>
          <w:p w14:paraId="725F6616"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Utah</w:t>
            </w:r>
          </w:p>
        </w:tc>
      </w:tr>
      <w:tr w:rsidR="006371DC" w:rsidRPr="00A10833" w14:paraId="2911DD29" w14:textId="77777777" w:rsidTr="007A3361">
        <w:tc>
          <w:tcPr>
            <w:tcW w:w="2500" w:type="pct"/>
            <w:shd w:val="clear" w:color="auto" w:fill="auto"/>
            <w:vAlign w:val="center"/>
          </w:tcPr>
          <w:p w14:paraId="3068E2BE"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Louisiana</w:t>
            </w:r>
          </w:p>
        </w:tc>
        <w:tc>
          <w:tcPr>
            <w:tcW w:w="2500" w:type="pct"/>
          </w:tcPr>
          <w:p w14:paraId="42CF62E6"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Virginia</w:t>
            </w:r>
          </w:p>
        </w:tc>
      </w:tr>
      <w:tr w:rsidR="006371DC" w:rsidRPr="00A10833" w14:paraId="7109360B" w14:textId="77777777" w:rsidTr="007A3361">
        <w:tc>
          <w:tcPr>
            <w:tcW w:w="2500" w:type="pct"/>
            <w:shd w:val="clear" w:color="auto" w:fill="auto"/>
            <w:vAlign w:val="center"/>
          </w:tcPr>
          <w:p w14:paraId="2D5E2BF0"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Massachusetts</w:t>
            </w:r>
          </w:p>
        </w:tc>
        <w:tc>
          <w:tcPr>
            <w:tcW w:w="2500" w:type="pct"/>
          </w:tcPr>
          <w:p w14:paraId="10C858F4"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Wisconsin</w:t>
            </w:r>
          </w:p>
        </w:tc>
      </w:tr>
      <w:tr w:rsidR="006371DC" w:rsidRPr="00A10833" w14:paraId="7391655B" w14:textId="77777777" w:rsidTr="007A3361">
        <w:tc>
          <w:tcPr>
            <w:tcW w:w="5000" w:type="pct"/>
            <w:gridSpan w:val="2"/>
            <w:shd w:val="clear" w:color="auto" w:fill="D9D9D9" w:themeFill="background1" w:themeFillShade="D9"/>
            <w:vAlign w:val="center"/>
          </w:tcPr>
          <w:p w14:paraId="096B470D" w14:textId="77777777" w:rsidR="006371DC" w:rsidRDefault="006371DC" w:rsidP="007A3361">
            <w:pPr>
              <w:rPr>
                <w:rFonts w:asciiTheme="minorHAnsi" w:hAnsiTheme="minorHAnsi" w:cstheme="minorHAnsi"/>
                <w:i/>
                <w:color w:val="000000"/>
                <w:szCs w:val="20"/>
              </w:rPr>
            </w:pPr>
            <w:r>
              <w:rPr>
                <w:rFonts w:asciiTheme="minorHAnsi" w:hAnsiTheme="minorHAnsi" w:cstheme="minorHAnsi"/>
                <w:b/>
                <w:i/>
                <w:color w:val="000000"/>
              </w:rPr>
              <w:t>Additional Maternal Mortality Review Committees</w:t>
            </w:r>
            <w:r w:rsidRPr="00A10833">
              <w:rPr>
                <w:rFonts w:asciiTheme="minorHAnsi" w:hAnsiTheme="minorHAnsi" w:cstheme="minorHAnsi"/>
                <w:b/>
                <w:i/>
                <w:color w:val="000000"/>
              </w:rPr>
              <w:t xml:space="preserve"> </w:t>
            </w:r>
            <w:r>
              <w:rPr>
                <w:rFonts w:asciiTheme="minorHAnsi" w:hAnsiTheme="minorHAnsi" w:cstheme="minorHAnsi"/>
                <w:b/>
                <w:i/>
                <w:color w:val="000000"/>
              </w:rPr>
              <w:t xml:space="preserve">(MMRC) </w:t>
            </w:r>
            <w:r w:rsidRPr="00A10833">
              <w:rPr>
                <w:rFonts w:asciiTheme="minorHAnsi" w:hAnsiTheme="minorHAnsi" w:cstheme="minorHAnsi"/>
                <w:b/>
                <w:i/>
                <w:color w:val="000000"/>
              </w:rPr>
              <w:t>Consulted</w:t>
            </w:r>
            <w:r>
              <w:rPr>
                <w:rFonts w:asciiTheme="minorHAnsi" w:hAnsiTheme="minorHAnsi" w:cstheme="minorHAnsi"/>
                <w:b/>
                <w:i/>
                <w:color w:val="000000"/>
              </w:rPr>
              <w:t xml:space="preserve"> (2015 to present)</w:t>
            </w:r>
          </w:p>
        </w:tc>
      </w:tr>
      <w:tr w:rsidR="006371DC" w:rsidRPr="00A10833" w14:paraId="5830BA31" w14:textId="77777777" w:rsidTr="007A3361">
        <w:tc>
          <w:tcPr>
            <w:tcW w:w="5000" w:type="pct"/>
            <w:gridSpan w:val="2"/>
            <w:shd w:val="clear" w:color="auto" w:fill="C4BC96" w:themeFill="background2" w:themeFillShade="BF"/>
            <w:vAlign w:val="center"/>
          </w:tcPr>
          <w:p w14:paraId="2BEA57A2" w14:textId="77777777" w:rsidR="006371DC" w:rsidRDefault="006371DC" w:rsidP="007A3361">
            <w:pPr>
              <w:jc w:val="center"/>
              <w:rPr>
                <w:rFonts w:asciiTheme="minorHAnsi" w:hAnsiTheme="minorHAnsi" w:cstheme="minorHAnsi"/>
                <w:i/>
                <w:color w:val="000000"/>
                <w:szCs w:val="20"/>
              </w:rPr>
            </w:pPr>
            <w:r w:rsidRPr="00EB3BFE">
              <w:rPr>
                <w:rFonts w:asciiTheme="minorHAnsi" w:hAnsiTheme="minorHAnsi" w:cstheme="minorHAnsi"/>
                <w:i/>
                <w:color w:val="000000"/>
                <w:szCs w:val="20"/>
              </w:rPr>
              <w:t>MMRC</w:t>
            </w:r>
          </w:p>
        </w:tc>
      </w:tr>
      <w:tr w:rsidR="006371DC" w:rsidRPr="00A10833" w14:paraId="5EAFEA00" w14:textId="77777777" w:rsidTr="007A3361">
        <w:tc>
          <w:tcPr>
            <w:tcW w:w="2500" w:type="pct"/>
            <w:shd w:val="clear" w:color="auto" w:fill="auto"/>
            <w:vAlign w:val="center"/>
          </w:tcPr>
          <w:p w14:paraId="6063C98F"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Hawaii</w:t>
            </w:r>
          </w:p>
        </w:tc>
        <w:tc>
          <w:tcPr>
            <w:tcW w:w="2500" w:type="pct"/>
            <w:vAlign w:val="center"/>
          </w:tcPr>
          <w:p w14:paraId="6F385208"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North Carolina</w:t>
            </w:r>
          </w:p>
        </w:tc>
      </w:tr>
      <w:tr w:rsidR="006371DC" w:rsidRPr="00A10833" w14:paraId="526B2971" w14:textId="77777777" w:rsidTr="007A3361">
        <w:tc>
          <w:tcPr>
            <w:tcW w:w="2500" w:type="pct"/>
            <w:shd w:val="clear" w:color="auto" w:fill="auto"/>
            <w:vAlign w:val="center"/>
          </w:tcPr>
          <w:p w14:paraId="1DB0EDD3"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Illinois</w:t>
            </w:r>
          </w:p>
        </w:tc>
        <w:tc>
          <w:tcPr>
            <w:tcW w:w="2500" w:type="pct"/>
            <w:vAlign w:val="center"/>
          </w:tcPr>
          <w:p w14:paraId="27A079BE"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Oklahoma</w:t>
            </w:r>
          </w:p>
        </w:tc>
      </w:tr>
      <w:tr w:rsidR="006371DC" w:rsidRPr="00A10833" w14:paraId="1E8A18AC" w14:textId="77777777" w:rsidTr="007A3361">
        <w:tc>
          <w:tcPr>
            <w:tcW w:w="2500" w:type="pct"/>
            <w:shd w:val="clear" w:color="auto" w:fill="auto"/>
            <w:vAlign w:val="center"/>
          </w:tcPr>
          <w:p w14:paraId="7421AF76"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Maryland</w:t>
            </w:r>
          </w:p>
        </w:tc>
        <w:tc>
          <w:tcPr>
            <w:tcW w:w="2500" w:type="pct"/>
            <w:vAlign w:val="center"/>
          </w:tcPr>
          <w:p w14:paraId="4B5532C9"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South Carolina</w:t>
            </w:r>
          </w:p>
        </w:tc>
      </w:tr>
      <w:tr w:rsidR="006371DC" w:rsidRPr="00A10833" w14:paraId="24E52E53" w14:textId="77777777" w:rsidTr="007A3361">
        <w:tc>
          <w:tcPr>
            <w:tcW w:w="2500" w:type="pct"/>
            <w:shd w:val="clear" w:color="auto" w:fill="auto"/>
            <w:vAlign w:val="center"/>
          </w:tcPr>
          <w:p w14:paraId="32E1352F"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Mississippi</w:t>
            </w:r>
          </w:p>
        </w:tc>
        <w:tc>
          <w:tcPr>
            <w:tcW w:w="2500" w:type="pct"/>
          </w:tcPr>
          <w:p w14:paraId="04C2167B"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Tennessee</w:t>
            </w:r>
          </w:p>
        </w:tc>
      </w:tr>
      <w:tr w:rsidR="006371DC" w:rsidRPr="00A10833" w14:paraId="6CE91AB9" w14:textId="77777777" w:rsidTr="007A3361">
        <w:tc>
          <w:tcPr>
            <w:tcW w:w="2500" w:type="pct"/>
            <w:shd w:val="clear" w:color="auto" w:fill="auto"/>
            <w:vAlign w:val="center"/>
          </w:tcPr>
          <w:p w14:paraId="072EDE21"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New Mexico</w:t>
            </w:r>
          </w:p>
        </w:tc>
        <w:tc>
          <w:tcPr>
            <w:tcW w:w="2500" w:type="pct"/>
          </w:tcPr>
          <w:p w14:paraId="2C0C3F67"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Texas</w:t>
            </w:r>
          </w:p>
        </w:tc>
      </w:tr>
      <w:tr w:rsidR="006371DC" w:rsidRPr="00A10833" w14:paraId="2FF35971" w14:textId="77777777" w:rsidTr="007A3361">
        <w:tc>
          <w:tcPr>
            <w:tcW w:w="2500" w:type="pct"/>
            <w:shd w:val="clear" w:color="auto" w:fill="auto"/>
            <w:vAlign w:val="center"/>
          </w:tcPr>
          <w:p w14:paraId="45B30FE9"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New York City</w:t>
            </w:r>
          </w:p>
        </w:tc>
        <w:tc>
          <w:tcPr>
            <w:tcW w:w="2500" w:type="pct"/>
          </w:tcPr>
          <w:p w14:paraId="01763C48"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Washington (State)</w:t>
            </w:r>
          </w:p>
        </w:tc>
      </w:tr>
      <w:tr w:rsidR="006371DC" w:rsidRPr="00A10833" w14:paraId="171D4981" w14:textId="77777777" w:rsidTr="007A3361">
        <w:tc>
          <w:tcPr>
            <w:tcW w:w="5000" w:type="pct"/>
            <w:gridSpan w:val="2"/>
            <w:shd w:val="clear" w:color="auto" w:fill="D9D9D9" w:themeFill="background1" w:themeFillShade="D9"/>
            <w:vAlign w:val="center"/>
          </w:tcPr>
          <w:p w14:paraId="25BB223D" w14:textId="77777777" w:rsidR="006371DC" w:rsidRDefault="006371DC" w:rsidP="007A3361">
            <w:pPr>
              <w:jc w:val="center"/>
              <w:rPr>
                <w:rFonts w:asciiTheme="minorHAnsi" w:hAnsiTheme="minorHAnsi" w:cstheme="minorHAnsi"/>
                <w:i/>
                <w:color w:val="000000"/>
                <w:szCs w:val="20"/>
              </w:rPr>
            </w:pPr>
            <w:r>
              <w:rPr>
                <w:rFonts w:asciiTheme="minorHAnsi" w:hAnsiTheme="minorHAnsi" w:cstheme="minorHAnsi"/>
                <w:b/>
                <w:i/>
                <w:color w:val="000000"/>
              </w:rPr>
              <w:t xml:space="preserve">Additional Stakeholder Organizations </w:t>
            </w:r>
            <w:r w:rsidRPr="00A10833">
              <w:rPr>
                <w:rFonts w:asciiTheme="minorHAnsi" w:hAnsiTheme="minorHAnsi" w:cstheme="minorHAnsi"/>
                <w:b/>
                <w:i/>
                <w:color w:val="000000"/>
              </w:rPr>
              <w:t>Consulted</w:t>
            </w:r>
            <w:r>
              <w:rPr>
                <w:rFonts w:asciiTheme="minorHAnsi" w:hAnsiTheme="minorHAnsi" w:cstheme="minorHAnsi"/>
                <w:b/>
                <w:i/>
                <w:color w:val="000000"/>
              </w:rPr>
              <w:t xml:space="preserve"> (2013-present)</w:t>
            </w:r>
          </w:p>
        </w:tc>
      </w:tr>
      <w:tr w:rsidR="006371DC" w:rsidRPr="00A10833" w14:paraId="00515455" w14:textId="77777777" w:rsidTr="007A3361">
        <w:tc>
          <w:tcPr>
            <w:tcW w:w="2500" w:type="pct"/>
            <w:shd w:val="clear" w:color="auto" w:fill="C4BC96" w:themeFill="background2" w:themeFillShade="BF"/>
            <w:vAlign w:val="center"/>
          </w:tcPr>
          <w:p w14:paraId="599992B2" w14:textId="77777777" w:rsidR="006371DC" w:rsidRPr="00EB3BFE"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Name/Organization</w:t>
            </w:r>
          </w:p>
        </w:tc>
        <w:tc>
          <w:tcPr>
            <w:tcW w:w="2500" w:type="pct"/>
            <w:shd w:val="clear" w:color="auto" w:fill="C4BC96" w:themeFill="background2" w:themeFillShade="BF"/>
            <w:vAlign w:val="center"/>
          </w:tcPr>
          <w:p w14:paraId="739D9B07" w14:textId="77777777" w:rsidR="006371DC" w:rsidRPr="00EB3BFE" w:rsidRDefault="006371DC" w:rsidP="007A3361">
            <w:pPr>
              <w:jc w:val="center"/>
              <w:rPr>
                <w:rFonts w:asciiTheme="minorHAnsi" w:hAnsiTheme="minorHAnsi" w:cstheme="minorHAnsi"/>
                <w:i/>
                <w:szCs w:val="20"/>
              </w:rPr>
            </w:pPr>
            <w:r>
              <w:rPr>
                <w:rFonts w:asciiTheme="minorHAnsi" w:hAnsiTheme="minorHAnsi" w:cstheme="minorHAnsi"/>
                <w:i/>
                <w:szCs w:val="20"/>
              </w:rPr>
              <w:t>Subject Matter Expertise Provided</w:t>
            </w:r>
          </w:p>
        </w:tc>
      </w:tr>
      <w:tr w:rsidR="006371DC" w:rsidRPr="00A10833" w14:paraId="335B48A5" w14:textId="77777777" w:rsidTr="007A3361">
        <w:tc>
          <w:tcPr>
            <w:tcW w:w="2500" w:type="pct"/>
            <w:shd w:val="clear" w:color="auto" w:fill="auto"/>
            <w:vAlign w:val="center"/>
          </w:tcPr>
          <w:p w14:paraId="4B1CECDD"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American College of Obstetricians and Gynecologists</w:t>
            </w:r>
          </w:p>
        </w:tc>
        <w:tc>
          <w:tcPr>
            <w:tcW w:w="2500" w:type="pct"/>
            <w:vAlign w:val="center"/>
          </w:tcPr>
          <w:p w14:paraId="2FB7A5AA"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Obstetric care</w:t>
            </w:r>
          </w:p>
        </w:tc>
      </w:tr>
      <w:tr w:rsidR="006371DC" w:rsidRPr="00A10833" w14:paraId="0CC1058B" w14:textId="77777777" w:rsidTr="007A3361">
        <w:tc>
          <w:tcPr>
            <w:tcW w:w="2500" w:type="pct"/>
            <w:shd w:val="clear" w:color="auto" w:fill="auto"/>
            <w:vAlign w:val="center"/>
          </w:tcPr>
          <w:p w14:paraId="4FFEAC45"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Association of Maternal and Child Health Programs</w:t>
            </w:r>
          </w:p>
        </w:tc>
        <w:tc>
          <w:tcPr>
            <w:tcW w:w="2500" w:type="pct"/>
            <w:vAlign w:val="center"/>
          </w:tcPr>
          <w:p w14:paraId="7823B418"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Title V Maternal and Child Health Block Grants and associated programs in states</w:t>
            </w:r>
          </w:p>
        </w:tc>
      </w:tr>
      <w:tr w:rsidR="006371DC" w:rsidRPr="00A10833" w14:paraId="39E3674F" w14:textId="77777777" w:rsidTr="007A3361">
        <w:tc>
          <w:tcPr>
            <w:tcW w:w="2500" w:type="pct"/>
            <w:shd w:val="clear" w:color="auto" w:fill="auto"/>
            <w:vAlign w:val="center"/>
          </w:tcPr>
          <w:p w14:paraId="63FE4CAF"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CDC, Division of Reproductive Health</w:t>
            </w:r>
          </w:p>
        </w:tc>
        <w:tc>
          <w:tcPr>
            <w:tcW w:w="2500" w:type="pct"/>
            <w:vAlign w:val="center"/>
          </w:tcPr>
          <w:p w14:paraId="2DD0AF57"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Maternal Mortality Measurement and Surveillance</w:t>
            </w:r>
          </w:p>
        </w:tc>
      </w:tr>
      <w:tr w:rsidR="006371DC" w:rsidRPr="00A10833" w14:paraId="09E652DF" w14:textId="77777777" w:rsidTr="007A3361">
        <w:tc>
          <w:tcPr>
            <w:tcW w:w="2500" w:type="pct"/>
            <w:shd w:val="clear" w:color="auto" w:fill="auto"/>
            <w:vAlign w:val="center"/>
          </w:tcPr>
          <w:p w14:paraId="63FF1F35"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CDC, Center for Global Health</w:t>
            </w:r>
          </w:p>
        </w:tc>
        <w:tc>
          <w:tcPr>
            <w:tcW w:w="2500" w:type="pct"/>
            <w:vAlign w:val="center"/>
          </w:tcPr>
          <w:p w14:paraId="4D5D2878"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Maternal Mortality Measurement and Surveillance</w:t>
            </w:r>
          </w:p>
        </w:tc>
      </w:tr>
      <w:tr w:rsidR="006371DC" w:rsidRPr="00A10833" w14:paraId="66209A2D" w14:textId="77777777" w:rsidTr="007A3361">
        <w:tc>
          <w:tcPr>
            <w:tcW w:w="2500" w:type="pct"/>
            <w:shd w:val="clear" w:color="auto" w:fill="auto"/>
            <w:vAlign w:val="center"/>
          </w:tcPr>
          <w:p w14:paraId="6405EF3B"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CDC, Center for Surveillance, Epidemiology, and Laboratory Services</w:t>
            </w:r>
          </w:p>
        </w:tc>
        <w:tc>
          <w:tcPr>
            <w:tcW w:w="2500" w:type="pct"/>
            <w:vAlign w:val="center"/>
          </w:tcPr>
          <w:p w14:paraId="52B78971" w14:textId="77777777" w:rsidR="006371DC"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EpiInfo 7</w:t>
            </w:r>
          </w:p>
        </w:tc>
      </w:tr>
      <w:tr w:rsidR="006371DC" w:rsidRPr="00A10833" w14:paraId="03798250" w14:textId="77777777" w:rsidTr="007A3361">
        <w:tc>
          <w:tcPr>
            <w:tcW w:w="2500" w:type="pct"/>
            <w:shd w:val="clear" w:color="auto" w:fill="auto"/>
            <w:vAlign w:val="center"/>
          </w:tcPr>
          <w:p w14:paraId="0BC7A04B"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Society for Maternal and Fetal Medicine</w:t>
            </w:r>
          </w:p>
        </w:tc>
        <w:tc>
          <w:tcPr>
            <w:tcW w:w="2500" w:type="pct"/>
            <w:vAlign w:val="center"/>
          </w:tcPr>
          <w:p w14:paraId="045D1EF6" w14:textId="77777777" w:rsidR="006371DC" w:rsidRPr="00A10833" w:rsidRDefault="006371DC" w:rsidP="007A3361">
            <w:pPr>
              <w:rPr>
                <w:rFonts w:asciiTheme="minorHAnsi" w:hAnsiTheme="minorHAnsi" w:cstheme="minorHAnsi"/>
                <w:i/>
                <w:color w:val="000000"/>
                <w:szCs w:val="20"/>
              </w:rPr>
            </w:pPr>
            <w:r>
              <w:rPr>
                <w:rFonts w:asciiTheme="minorHAnsi" w:hAnsiTheme="minorHAnsi" w:cstheme="minorHAnsi"/>
                <w:i/>
                <w:color w:val="000000"/>
                <w:szCs w:val="20"/>
              </w:rPr>
              <w:t>High risk obstetric care</w:t>
            </w:r>
          </w:p>
        </w:tc>
      </w:tr>
    </w:tbl>
    <w:p w14:paraId="0703E8EE" w14:textId="65B3D5BE" w:rsidR="00360059" w:rsidRDefault="00360059" w:rsidP="009B6346">
      <w:pPr>
        <w:spacing w:line="360" w:lineRule="auto"/>
        <w:rPr>
          <w:sz w:val="24"/>
        </w:rPr>
      </w:pPr>
    </w:p>
    <w:p w14:paraId="4872DEAF" w14:textId="386EF262" w:rsidR="00ED028C" w:rsidRPr="00BB3C01" w:rsidRDefault="00ED028C" w:rsidP="00A82221">
      <w:pPr>
        <w:pStyle w:val="Heading3"/>
        <w:numPr>
          <w:ilvl w:val="0"/>
          <w:numId w:val="2"/>
        </w:numPr>
        <w:spacing w:after="0" w:line="276" w:lineRule="auto"/>
        <w:ind w:left="0" w:firstLine="0"/>
        <w:rPr>
          <w:rFonts w:ascii="Times New Roman" w:hAnsi="Times New Roman" w:cs="Times New Roman"/>
          <w:sz w:val="24"/>
          <w:szCs w:val="24"/>
        </w:rPr>
      </w:pPr>
      <w:bookmarkStart w:id="10" w:name="_Toc7600445"/>
      <w:r w:rsidRPr="00BB3C01">
        <w:rPr>
          <w:rFonts w:ascii="Times New Roman" w:hAnsi="Times New Roman" w:cs="Times New Roman"/>
          <w:sz w:val="24"/>
          <w:szCs w:val="24"/>
        </w:rPr>
        <w:t>Explanation of any Payment/Gift to Respondents</w:t>
      </w:r>
      <w:bookmarkEnd w:id="10"/>
    </w:p>
    <w:p w14:paraId="79D5C985" w14:textId="77BE6442" w:rsidR="00E56539" w:rsidRDefault="00E56539" w:rsidP="00CF17B9">
      <w:pPr>
        <w:spacing w:line="276" w:lineRule="auto"/>
        <w:rPr>
          <w:sz w:val="24"/>
        </w:rPr>
      </w:pPr>
    </w:p>
    <w:p w14:paraId="5E193D6C" w14:textId="1FB234C4" w:rsidR="00FB3AF8" w:rsidRPr="00BB3C01" w:rsidRDefault="00DE4AEF" w:rsidP="00FB3AF8">
      <w:pPr>
        <w:spacing w:line="360" w:lineRule="auto"/>
        <w:rPr>
          <w:sz w:val="24"/>
        </w:rPr>
      </w:pPr>
      <w:r>
        <w:rPr>
          <w:sz w:val="24"/>
        </w:rPr>
        <w:t>Not applicable</w:t>
      </w:r>
      <w:r w:rsidR="00FB3AF8" w:rsidRPr="00E82B5C">
        <w:rPr>
          <w:sz w:val="24"/>
        </w:rPr>
        <w:t>.</w:t>
      </w:r>
    </w:p>
    <w:p w14:paraId="0C338BA5" w14:textId="39C555A4" w:rsidR="002C6D07" w:rsidRDefault="00F54716" w:rsidP="002C6D07">
      <w:pPr>
        <w:pStyle w:val="Heading3"/>
        <w:numPr>
          <w:ilvl w:val="0"/>
          <w:numId w:val="2"/>
        </w:numPr>
        <w:spacing w:after="0" w:line="276" w:lineRule="auto"/>
        <w:ind w:left="0" w:firstLine="0"/>
        <w:rPr>
          <w:rFonts w:ascii="Times New Roman" w:hAnsi="Times New Roman" w:cs="Times New Roman"/>
          <w:sz w:val="24"/>
          <w:szCs w:val="24"/>
        </w:rPr>
      </w:pPr>
      <w:bookmarkStart w:id="11" w:name="_Toc7600446"/>
      <w:r>
        <w:rPr>
          <w:rFonts w:ascii="Times New Roman" w:hAnsi="Times New Roman" w:cs="Times New Roman"/>
          <w:sz w:val="24"/>
          <w:szCs w:val="24"/>
        </w:rPr>
        <w:t>Pr</w:t>
      </w:r>
      <w:r w:rsidR="002C6D07">
        <w:rPr>
          <w:rFonts w:ascii="Times New Roman" w:hAnsi="Times New Roman" w:cs="Times New Roman"/>
          <w:sz w:val="24"/>
          <w:szCs w:val="24"/>
        </w:rPr>
        <w:t>otection of the Privacy and Confidentiality of Information Provided by Respondents</w:t>
      </w:r>
      <w:bookmarkEnd w:id="11"/>
    </w:p>
    <w:p w14:paraId="2461DFDE" w14:textId="77777777" w:rsidR="00652927" w:rsidRDefault="00652927" w:rsidP="00FB3AF8">
      <w:pPr>
        <w:spacing w:line="360" w:lineRule="auto"/>
        <w:rPr>
          <w:i/>
          <w:sz w:val="24"/>
        </w:rPr>
      </w:pPr>
    </w:p>
    <w:p w14:paraId="1562CEEB" w14:textId="0BB11AE8" w:rsidR="00362F0D" w:rsidRDefault="00362F0D" w:rsidP="00FB3AF8">
      <w:pPr>
        <w:spacing w:line="360" w:lineRule="auto"/>
        <w:rPr>
          <w:i/>
          <w:sz w:val="24"/>
        </w:rPr>
      </w:pPr>
      <w:r>
        <w:rPr>
          <w:i/>
          <w:sz w:val="24"/>
        </w:rPr>
        <w:t>Privacy Act Determination</w:t>
      </w:r>
    </w:p>
    <w:p w14:paraId="6EBB8D54" w14:textId="0543BA74" w:rsidR="00362F0D" w:rsidRDefault="0095194A" w:rsidP="00FB3AF8">
      <w:pPr>
        <w:spacing w:line="360" w:lineRule="auto"/>
        <w:rPr>
          <w:sz w:val="24"/>
        </w:rPr>
      </w:pPr>
      <w:r>
        <w:rPr>
          <w:sz w:val="24"/>
        </w:rPr>
        <w:t>A Privacy Impact Assessment has been completed</w:t>
      </w:r>
      <w:r w:rsidR="006901CB">
        <w:rPr>
          <w:sz w:val="24"/>
        </w:rPr>
        <w:t xml:space="preserve"> </w:t>
      </w:r>
      <w:r w:rsidR="00A443B9">
        <w:rPr>
          <w:sz w:val="24"/>
        </w:rPr>
        <w:t xml:space="preserve">for the MMRIA platform </w:t>
      </w:r>
      <w:r w:rsidR="006901CB">
        <w:rPr>
          <w:sz w:val="24"/>
        </w:rPr>
        <w:t>(</w:t>
      </w:r>
      <w:r w:rsidR="006901CB">
        <w:rPr>
          <w:b/>
          <w:sz w:val="24"/>
        </w:rPr>
        <w:t xml:space="preserve">Attachment </w:t>
      </w:r>
      <w:r w:rsidR="001870BA">
        <w:rPr>
          <w:b/>
          <w:sz w:val="24"/>
        </w:rPr>
        <w:t>6</w:t>
      </w:r>
      <w:r w:rsidR="006901CB">
        <w:rPr>
          <w:sz w:val="24"/>
        </w:rPr>
        <w:t>)</w:t>
      </w:r>
      <w:r w:rsidR="00F0728A">
        <w:rPr>
          <w:sz w:val="24"/>
        </w:rPr>
        <w:t xml:space="preserve">. </w:t>
      </w:r>
      <w:r w:rsidR="006A1569" w:rsidRPr="006A1569">
        <w:rPr>
          <w:sz w:val="24"/>
        </w:rPr>
        <w:t>CDC’s Privacy Officer has advised that the Privacy Act does not apply to deceased individuals.  However, a System of Records Notice (SORN) does apply because PII is stored and the information is retrieved by a personal identifier; and this requirement is not altered by the death of the person whose identifiers are stored.</w:t>
      </w:r>
      <w:r w:rsidR="006A1569">
        <w:rPr>
          <w:sz w:val="24"/>
        </w:rPr>
        <w:t xml:space="preserve"> </w:t>
      </w:r>
      <w:r w:rsidR="00A648CB">
        <w:rPr>
          <w:sz w:val="24"/>
        </w:rPr>
        <w:t>T</w:t>
      </w:r>
      <w:r w:rsidR="00F0728A">
        <w:rPr>
          <w:sz w:val="24"/>
        </w:rPr>
        <w:t>he System of Records Notic</w:t>
      </w:r>
      <w:r w:rsidR="00A648CB">
        <w:rPr>
          <w:sz w:val="24"/>
        </w:rPr>
        <w:t xml:space="preserve">e (SORN) being used is </w:t>
      </w:r>
      <w:r w:rsidR="00656D79">
        <w:rPr>
          <w:sz w:val="24"/>
        </w:rPr>
        <w:t>09-20-0166</w:t>
      </w:r>
      <w:r w:rsidR="006901CB">
        <w:rPr>
          <w:sz w:val="24"/>
        </w:rPr>
        <w:t xml:space="preserve">: </w:t>
      </w:r>
      <w:hyperlink r:id="rId10" w:history="1">
        <w:r w:rsidR="00973D41">
          <w:rPr>
            <w:rStyle w:val="Hyperlink"/>
            <w:sz w:val="24"/>
          </w:rPr>
          <w:t>http://www.cdc.gov/SORNnotice/09-20-0166.htm</w:t>
        </w:r>
      </w:hyperlink>
      <w:r w:rsidR="00656D79">
        <w:rPr>
          <w:sz w:val="24"/>
        </w:rPr>
        <w:t>.</w:t>
      </w:r>
    </w:p>
    <w:p w14:paraId="1E07E992" w14:textId="02917117" w:rsidR="006A1569" w:rsidRDefault="006A1569" w:rsidP="00FB3AF8">
      <w:pPr>
        <w:spacing w:line="360" w:lineRule="auto"/>
        <w:rPr>
          <w:sz w:val="24"/>
        </w:rPr>
      </w:pPr>
    </w:p>
    <w:p w14:paraId="17E18302" w14:textId="387201D0" w:rsidR="00A648CB" w:rsidRDefault="00A648CB" w:rsidP="00FB3AF8">
      <w:pPr>
        <w:spacing w:line="360" w:lineRule="auto"/>
        <w:rPr>
          <w:i/>
          <w:sz w:val="24"/>
        </w:rPr>
      </w:pPr>
      <w:r>
        <w:rPr>
          <w:i/>
          <w:sz w:val="24"/>
        </w:rPr>
        <w:t>Overview of the Data Collection System</w:t>
      </w:r>
    </w:p>
    <w:p w14:paraId="25D48E1A" w14:textId="2D6FF2BA" w:rsidR="00DC2F0E" w:rsidRDefault="00652927" w:rsidP="00652927">
      <w:pPr>
        <w:spacing w:line="360" w:lineRule="auto"/>
        <w:rPr>
          <w:sz w:val="24"/>
        </w:rPr>
      </w:pPr>
      <w:r>
        <w:rPr>
          <w:sz w:val="24"/>
        </w:rPr>
        <w:t>MMRIA is</w:t>
      </w:r>
      <w:r w:rsidRPr="00015D62">
        <w:rPr>
          <w:sz w:val="24"/>
        </w:rPr>
        <w:t xml:space="preserve"> a </w:t>
      </w:r>
      <w:r>
        <w:rPr>
          <w:sz w:val="24"/>
        </w:rPr>
        <w:t xml:space="preserve">standardized </w:t>
      </w:r>
      <w:r w:rsidRPr="00015D62">
        <w:rPr>
          <w:sz w:val="24"/>
        </w:rPr>
        <w:t xml:space="preserve">data system that </w:t>
      </w:r>
      <w:r w:rsidR="00DC2F0E">
        <w:rPr>
          <w:sz w:val="24"/>
        </w:rPr>
        <w:t>c</w:t>
      </w:r>
      <w:r w:rsidR="00DC2F0E" w:rsidRPr="00DC2F0E">
        <w:rPr>
          <w:sz w:val="24"/>
        </w:rPr>
        <w:t>ollect</w:t>
      </w:r>
      <w:r w:rsidR="00DC2F0E">
        <w:rPr>
          <w:sz w:val="24"/>
        </w:rPr>
        <w:t>s</w:t>
      </w:r>
      <w:r w:rsidR="00DC2F0E" w:rsidRPr="00DC2F0E">
        <w:rPr>
          <w:sz w:val="24"/>
        </w:rPr>
        <w:t xml:space="preserve"> timely, accurate, and standardized information</w:t>
      </w:r>
      <w:r w:rsidR="00DC2F0E">
        <w:rPr>
          <w:sz w:val="24"/>
        </w:rPr>
        <w:t xml:space="preserve"> (clinical and non-clinical)</w:t>
      </w:r>
      <w:r w:rsidR="00DC2F0E" w:rsidRPr="00DC2F0E">
        <w:rPr>
          <w:sz w:val="24"/>
        </w:rPr>
        <w:t xml:space="preserve"> about deaths to women during pregnancy and </w:t>
      </w:r>
      <w:r w:rsidR="00316D60">
        <w:rPr>
          <w:sz w:val="24"/>
        </w:rPr>
        <w:t>within one</w:t>
      </w:r>
      <w:r w:rsidR="00DC2F0E" w:rsidRPr="00DC2F0E">
        <w:rPr>
          <w:sz w:val="24"/>
        </w:rPr>
        <w:t xml:space="preserve"> y</w:t>
      </w:r>
      <w:r w:rsidR="00DC2F0E">
        <w:rPr>
          <w:sz w:val="24"/>
        </w:rPr>
        <w:t xml:space="preserve">ear </w:t>
      </w:r>
      <w:r w:rsidR="00316D60">
        <w:rPr>
          <w:sz w:val="24"/>
        </w:rPr>
        <w:t>of</w:t>
      </w:r>
      <w:r w:rsidR="00DC2F0E">
        <w:rPr>
          <w:sz w:val="24"/>
        </w:rPr>
        <w:t xml:space="preserve"> the end of pregnancy within and across jurisdictions. MMRIA can also be used to </w:t>
      </w:r>
      <w:r w:rsidR="00316D60">
        <w:rPr>
          <w:sz w:val="24"/>
        </w:rPr>
        <w:t xml:space="preserve">create case narratives, </w:t>
      </w:r>
      <w:r w:rsidR="00DC2F0E">
        <w:rPr>
          <w:sz w:val="24"/>
        </w:rPr>
        <w:t xml:space="preserve">document </w:t>
      </w:r>
      <w:r w:rsidR="005763E4">
        <w:rPr>
          <w:sz w:val="24"/>
        </w:rPr>
        <w:t>committee</w:t>
      </w:r>
      <w:r w:rsidR="00DC2F0E">
        <w:rPr>
          <w:sz w:val="24"/>
        </w:rPr>
        <w:t xml:space="preserve"> decisions</w:t>
      </w:r>
      <w:r w:rsidR="00316D60">
        <w:rPr>
          <w:sz w:val="24"/>
        </w:rPr>
        <w:t>,</w:t>
      </w:r>
      <w:r w:rsidR="00DC2F0E">
        <w:rPr>
          <w:sz w:val="24"/>
        </w:rPr>
        <w:t xml:space="preserve"> and analyze data. </w:t>
      </w:r>
      <w:r w:rsidR="005763E4">
        <w:rPr>
          <w:sz w:val="24"/>
        </w:rPr>
        <w:t xml:space="preserve">The data gathered, reviewed, and analyzed by </w:t>
      </w:r>
      <w:r w:rsidR="00953C49">
        <w:rPr>
          <w:sz w:val="24"/>
        </w:rPr>
        <w:t xml:space="preserve">MMRCs </w:t>
      </w:r>
      <w:r w:rsidR="005763E4">
        <w:rPr>
          <w:sz w:val="24"/>
        </w:rPr>
        <w:t>will provide a better understanding</w:t>
      </w:r>
      <w:r w:rsidR="00316D60">
        <w:rPr>
          <w:sz w:val="24"/>
        </w:rPr>
        <w:t xml:space="preserve"> of</w:t>
      </w:r>
      <w:r w:rsidR="005763E4">
        <w:rPr>
          <w:sz w:val="24"/>
        </w:rPr>
        <w:t xml:space="preserve"> the contributors of maternal deaths</w:t>
      </w:r>
      <w:r w:rsidR="00170BD6">
        <w:rPr>
          <w:sz w:val="24"/>
        </w:rPr>
        <w:t>, and thus inform efforts to prevent future maternal deaths.</w:t>
      </w:r>
    </w:p>
    <w:p w14:paraId="54AC52AE" w14:textId="77777777" w:rsidR="00DC2F0E" w:rsidRDefault="00DC2F0E" w:rsidP="00652927">
      <w:pPr>
        <w:spacing w:line="360" w:lineRule="auto"/>
        <w:rPr>
          <w:sz w:val="24"/>
        </w:rPr>
      </w:pPr>
    </w:p>
    <w:p w14:paraId="41CDFCD9" w14:textId="7B8F3656" w:rsidR="00652927" w:rsidRDefault="00652927" w:rsidP="00652927">
      <w:pPr>
        <w:spacing w:line="360" w:lineRule="auto"/>
        <w:rPr>
          <w:sz w:val="24"/>
        </w:rPr>
      </w:pPr>
      <w:r w:rsidRPr="00FB3AF8">
        <w:rPr>
          <w:sz w:val="24"/>
        </w:rPr>
        <w:t xml:space="preserve">Jurisdiction-level datasets </w:t>
      </w:r>
      <w:r w:rsidR="00170BD6">
        <w:rPr>
          <w:sz w:val="24"/>
        </w:rPr>
        <w:t xml:space="preserve">for each MMRC </w:t>
      </w:r>
      <w:r w:rsidRPr="00FB3AF8">
        <w:rPr>
          <w:sz w:val="24"/>
        </w:rPr>
        <w:t xml:space="preserve">are owned by individual </w:t>
      </w:r>
      <w:r w:rsidR="00F97393">
        <w:rPr>
          <w:sz w:val="24"/>
        </w:rPr>
        <w:t>jurisdictions</w:t>
      </w:r>
      <w:r w:rsidR="00F97393" w:rsidRPr="00FB3AF8">
        <w:rPr>
          <w:sz w:val="24"/>
        </w:rPr>
        <w:t xml:space="preserve"> </w:t>
      </w:r>
      <w:r w:rsidRPr="00FB3AF8">
        <w:rPr>
          <w:sz w:val="24"/>
        </w:rPr>
        <w:t>and are used for pur</w:t>
      </w:r>
      <w:r w:rsidR="00C22D54">
        <w:rPr>
          <w:sz w:val="24"/>
        </w:rPr>
        <w:t>poses at the discretion of the</w:t>
      </w:r>
      <w:r w:rsidR="00F97393">
        <w:rPr>
          <w:sz w:val="24"/>
        </w:rPr>
        <w:t xml:space="preserve"> jurisdiction</w:t>
      </w:r>
      <w:r w:rsidRPr="00FB3AF8">
        <w:rPr>
          <w:sz w:val="24"/>
        </w:rPr>
        <w:t>.</w:t>
      </w:r>
      <w:r>
        <w:rPr>
          <w:sz w:val="24"/>
        </w:rPr>
        <w:t xml:space="preserve"> </w:t>
      </w:r>
      <w:r w:rsidRPr="00FB3AF8">
        <w:rPr>
          <w:sz w:val="24"/>
        </w:rPr>
        <w:t xml:space="preserve">Each </w:t>
      </w:r>
      <w:r w:rsidR="00F97393">
        <w:rPr>
          <w:sz w:val="24"/>
        </w:rPr>
        <w:t xml:space="preserve">jurisdictions </w:t>
      </w:r>
      <w:r w:rsidR="00401A11">
        <w:rPr>
          <w:sz w:val="24"/>
        </w:rPr>
        <w:t xml:space="preserve">is assigned a separate URL. </w:t>
      </w:r>
      <w:r w:rsidRPr="00FB3AF8">
        <w:rPr>
          <w:sz w:val="24"/>
        </w:rPr>
        <w:t xml:space="preserve">Users only have access to their </w:t>
      </w:r>
      <w:r w:rsidR="00C22D54">
        <w:rPr>
          <w:sz w:val="24"/>
        </w:rPr>
        <w:t>own URL. Each awardee</w:t>
      </w:r>
      <w:r w:rsidRPr="00FB3AF8">
        <w:rPr>
          <w:sz w:val="24"/>
        </w:rPr>
        <w:t xml:space="preserve"> can only view data they have entered into MMRIA.</w:t>
      </w:r>
      <w:r w:rsidR="00401A11">
        <w:rPr>
          <w:sz w:val="24"/>
        </w:rPr>
        <w:t xml:space="preserve"> </w:t>
      </w:r>
      <w:r w:rsidR="00F97393">
        <w:rPr>
          <w:sz w:val="24"/>
        </w:rPr>
        <w:t xml:space="preserve">As part of </w:t>
      </w:r>
      <w:r w:rsidR="00D74B69">
        <w:rPr>
          <w:sz w:val="24"/>
        </w:rPr>
        <w:t>central</w:t>
      </w:r>
      <w:r w:rsidR="00F97393">
        <w:rPr>
          <w:sz w:val="24"/>
        </w:rPr>
        <w:t xml:space="preserve"> hosting, users of </w:t>
      </w:r>
      <w:r w:rsidR="00D74B69">
        <w:rPr>
          <w:sz w:val="24"/>
        </w:rPr>
        <w:t xml:space="preserve">MMRIA </w:t>
      </w:r>
      <w:r w:rsidR="00D74B69" w:rsidRPr="00D96EB4">
        <w:rPr>
          <w:sz w:val="24"/>
        </w:rPr>
        <w:t>will</w:t>
      </w:r>
      <w:r w:rsidR="00401A11" w:rsidRPr="00D96EB4">
        <w:rPr>
          <w:sz w:val="24"/>
        </w:rPr>
        <w:t xml:space="preserve"> have a Memorandum of Understanding with CDC </w:t>
      </w:r>
      <w:r w:rsidR="00F97393" w:rsidRPr="00D96EB4">
        <w:rPr>
          <w:sz w:val="24"/>
        </w:rPr>
        <w:t xml:space="preserve">governing the terms of </w:t>
      </w:r>
      <w:r w:rsidR="00401A11" w:rsidRPr="00D96EB4">
        <w:rPr>
          <w:sz w:val="24"/>
        </w:rPr>
        <w:t>utiliz</w:t>
      </w:r>
      <w:r w:rsidR="00F97393" w:rsidRPr="00D96EB4">
        <w:rPr>
          <w:sz w:val="24"/>
        </w:rPr>
        <w:t>ing</w:t>
      </w:r>
      <w:r w:rsidR="00401A11" w:rsidRPr="00D96EB4">
        <w:rPr>
          <w:sz w:val="24"/>
        </w:rPr>
        <w:t xml:space="preserve"> MMRIA for their </w:t>
      </w:r>
      <w:r w:rsidR="00D74B69" w:rsidRPr="00D96EB4">
        <w:rPr>
          <w:sz w:val="24"/>
        </w:rPr>
        <w:t>jurisdiction (</w:t>
      </w:r>
      <w:r w:rsidR="00D96EB4">
        <w:rPr>
          <w:b/>
          <w:sz w:val="24"/>
        </w:rPr>
        <w:t xml:space="preserve">Attachment </w:t>
      </w:r>
      <w:r w:rsidR="001870BA">
        <w:rPr>
          <w:b/>
          <w:sz w:val="24"/>
        </w:rPr>
        <w:t>7</w:t>
      </w:r>
      <w:r w:rsidR="00401A11" w:rsidRPr="00D96EB4">
        <w:rPr>
          <w:sz w:val="24"/>
        </w:rPr>
        <w:t>).</w:t>
      </w:r>
    </w:p>
    <w:p w14:paraId="0AEC56AA" w14:textId="6B992258" w:rsidR="00652927" w:rsidRDefault="00652927" w:rsidP="00FB3AF8">
      <w:pPr>
        <w:spacing w:line="360" w:lineRule="auto"/>
        <w:rPr>
          <w:i/>
          <w:sz w:val="24"/>
        </w:rPr>
      </w:pPr>
    </w:p>
    <w:p w14:paraId="21E556DB" w14:textId="3920158C" w:rsidR="00571A20" w:rsidRDefault="00A648CB" w:rsidP="00FB3AF8">
      <w:pPr>
        <w:spacing w:line="360" w:lineRule="auto"/>
        <w:rPr>
          <w:i/>
          <w:sz w:val="24"/>
        </w:rPr>
      </w:pPr>
      <w:r>
        <w:rPr>
          <w:i/>
          <w:sz w:val="24"/>
        </w:rPr>
        <w:t>Items of Information to be Collected</w:t>
      </w:r>
    </w:p>
    <w:p w14:paraId="086A4B2A" w14:textId="6F3277F3" w:rsidR="00F71085" w:rsidRPr="004459DB" w:rsidRDefault="00F71085" w:rsidP="00F71085">
      <w:pPr>
        <w:spacing w:line="360" w:lineRule="auto"/>
        <w:rPr>
          <w:sz w:val="24"/>
        </w:rPr>
      </w:pPr>
      <w:r w:rsidRPr="00015D62">
        <w:rPr>
          <w:sz w:val="24"/>
        </w:rPr>
        <w:t xml:space="preserve">Data </w:t>
      </w:r>
      <w:r>
        <w:rPr>
          <w:sz w:val="24"/>
        </w:rPr>
        <w:t>entered into</w:t>
      </w:r>
      <w:r w:rsidRPr="00015D62">
        <w:rPr>
          <w:sz w:val="24"/>
        </w:rPr>
        <w:t xml:space="preserve"> MMRIA </w:t>
      </w:r>
      <w:r w:rsidR="00571A20">
        <w:rPr>
          <w:sz w:val="24"/>
        </w:rPr>
        <w:t xml:space="preserve">pertaining to maternal death </w:t>
      </w:r>
      <w:r w:rsidRPr="00015D62">
        <w:rPr>
          <w:sz w:val="24"/>
        </w:rPr>
        <w:t xml:space="preserve">may include data </w:t>
      </w:r>
      <w:r w:rsidR="00F97393">
        <w:rPr>
          <w:sz w:val="24"/>
        </w:rPr>
        <w:t xml:space="preserve">abstracted </w:t>
      </w:r>
      <w:r w:rsidRPr="00015D62">
        <w:rPr>
          <w:sz w:val="24"/>
        </w:rPr>
        <w:t>from death certificate</w:t>
      </w:r>
      <w:r>
        <w:rPr>
          <w:sz w:val="24"/>
        </w:rPr>
        <w:t>s</w:t>
      </w:r>
      <w:r w:rsidRPr="00015D62">
        <w:rPr>
          <w:sz w:val="24"/>
        </w:rPr>
        <w:t>, autopsy report</w:t>
      </w:r>
      <w:r>
        <w:rPr>
          <w:sz w:val="24"/>
        </w:rPr>
        <w:t>s</w:t>
      </w:r>
      <w:r w:rsidRPr="00015D62">
        <w:rPr>
          <w:sz w:val="24"/>
        </w:rPr>
        <w:t>, birth certificate</w:t>
      </w:r>
      <w:r w:rsidR="00022151">
        <w:rPr>
          <w:sz w:val="24"/>
        </w:rPr>
        <w:t>s</w:t>
      </w:r>
      <w:r w:rsidRPr="00015D62">
        <w:rPr>
          <w:sz w:val="24"/>
        </w:rPr>
        <w:t>, prenatal care record</w:t>
      </w:r>
      <w:r>
        <w:rPr>
          <w:sz w:val="24"/>
        </w:rPr>
        <w:t>s</w:t>
      </w:r>
      <w:r w:rsidRPr="00015D62">
        <w:rPr>
          <w:sz w:val="24"/>
        </w:rPr>
        <w:t>, emergency room visits records, hospitalization records, records for other medical office visits, medical transport records, social and environmental profile</w:t>
      </w:r>
      <w:r>
        <w:rPr>
          <w:sz w:val="24"/>
        </w:rPr>
        <w:t>s</w:t>
      </w:r>
      <w:r w:rsidRPr="00015D62">
        <w:rPr>
          <w:sz w:val="24"/>
        </w:rPr>
        <w:t>, mental health profile</w:t>
      </w:r>
      <w:r>
        <w:rPr>
          <w:sz w:val="24"/>
        </w:rPr>
        <w:t>s</w:t>
      </w:r>
      <w:r w:rsidRPr="00015D62">
        <w:rPr>
          <w:sz w:val="24"/>
        </w:rPr>
        <w:t>,</w:t>
      </w:r>
      <w:r w:rsidR="00953C49">
        <w:rPr>
          <w:sz w:val="24"/>
        </w:rPr>
        <w:t xml:space="preserve"> and</w:t>
      </w:r>
      <w:r w:rsidRPr="00015D62">
        <w:rPr>
          <w:sz w:val="24"/>
        </w:rPr>
        <w:t xml:space="preserve"> informant interviews</w:t>
      </w:r>
      <w:r w:rsidR="0011730D">
        <w:rPr>
          <w:sz w:val="24"/>
        </w:rPr>
        <w:t xml:space="preserve"> (</w:t>
      </w:r>
      <w:r w:rsidR="0011730D">
        <w:rPr>
          <w:b/>
          <w:sz w:val="24"/>
        </w:rPr>
        <w:t>Attachment 3a</w:t>
      </w:r>
      <w:r w:rsidR="0011730D">
        <w:rPr>
          <w:sz w:val="24"/>
        </w:rPr>
        <w:t>)</w:t>
      </w:r>
      <w:r w:rsidR="00F97393">
        <w:rPr>
          <w:sz w:val="24"/>
        </w:rPr>
        <w:t xml:space="preserve">. </w:t>
      </w:r>
      <w:r w:rsidR="0011730D">
        <w:rPr>
          <w:sz w:val="24"/>
        </w:rPr>
        <w:t>Case narratives are auto-populated from the abstracted data to facilitate committee review (</w:t>
      </w:r>
      <w:r w:rsidR="0011730D">
        <w:rPr>
          <w:b/>
          <w:sz w:val="24"/>
        </w:rPr>
        <w:t xml:space="preserve">Attachment </w:t>
      </w:r>
      <w:r w:rsidR="0011730D" w:rsidRPr="004459DB">
        <w:rPr>
          <w:b/>
          <w:sz w:val="24"/>
        </w:rPr>
        <w:t>3b</w:t>
      </w:r>
      <w:r w:rsidR="0011730D">
        <w:rPr>
          <w:sz w:val="24"/>
        </w:rPr>
        <w:t>).</w:t>
      </w:r>
      <w:r w:rsidR="004459DB">
        <w:rPr>
          <w:sz w:val="24"/>
        </w:rPr>
        <w:t xml:space="preserve"> MMRCs will review the case narratives developed from MMRIA to understand the </w:t>
      </w:r>
      <w:r w:rsidR="00D74B69">
        <w:rPr>
          <w:sz w:val="24"/>
        </w:rPr>
        <w:t>circumstances</w:t>
      </w:r>
      <w:r w:rsidR="004459DB">
        <w:rPr>
          <w:sz w:val="24"/>
        </w:rPr>
        <w:t xml:space="preserve"> around and preventability of the deaths; committee decisions and findings will be entered in MMRIA (</w:t>
      </w:r>
      <w:r w:rsidR="004459DB">
        <w:rPr>
          <w:b/>
          <w:sz w:val="24"/>
        </w:rPr>
        <w:t>Attachment 3c</w:t>
      </w:r>
      <w:r w:rsidR="004459DB">
        <w:rPr>
          <w:sz w:val="24"/>
        </w:rPr>
        <w:t>).</w:t>
      </w:r>
      <w:r w:rsidR="0011730D">
        <w:rPr>
          <w:sz w:val="24"/>
        </w:rPr>
        <w:t xml:space="preserve"> </w:t>
      </w:r>
      <w:r w:rsidR="00F97393" w:rsidRPr="0011730D">
        <w:rPr>
          <w:sz w:val="24"/>
        </w:rPr>
        <w:t>Each</w:t>
      </w:r>
      <w:r w:rsidR="00F97393" w:rsidRPr="00D96EB4">
        <w:rPr>
          <w:sz w:val="24"/>
        </w:rPr>
        <w:t xml:space="preserve"> case record may contain up to 1000 data elements. A full list of all data elements collected is currently available at demo.mmria.org/data-dictionary</w:t>
      </w:r>
      <w:r w:rsidR="0011730D" w:rsidRPr="004459DB">
        <w:rPr>
          <w:rStyle w:val="Hyperlink"/>
          <w:color w:val="auto"/>
          <w:sz w:val="24"/>
          <w:u w:val="none"/>
        </w:rPr>
        <w:t>. Approximately 30 fields should be completed for each case after committee review</w:t>
      </w:r>
      <w:r w:rsidRPr="004459DB">
        <w:rPr>
          <w:sz w:val="24"/>
        </w:rPr>
        <w:t>.</w:t>
      </w:r>
    </w:p>
    <w:p w14:paraId="1B544E7D" w14:textId="7F8AD647" w:rsidR="00A648CB" w:rsidRDefault="00A648CB" w:rsidP="00FB3AF8">
      <w:pPr>
        <w:spacing w:line="360" w:lineRule="auto"/>
        <w:rPr>
          <w:i/>
          <w:sz w:val="24"/>
        </w:rPr>
      </w:pPr>
    </w:p>
    <w:p w14:paraId="20125703" w14:textId="6249169E" w:rsidR="002D3156" w:rsidRPr="001F65F3" w:rsidRDefault="00A648CB" w:rsidP="00FB3AF8">
      <w:pPr>
        <w:spacing w:line="360" w:lineRule="auto"/>
        <w:rPr>
          <w:i/>
          <w:sz w:val="24"/>
        </w:rPr>
      </w:pPr>
      <w:r>
        <w:rPr>
          <w:i/>
          <w:sz w:val="24"/>
        </w:rPr>
        <w:t>How Information Will</w:t>
      </w:r>
      <w:r w:rsidR="001F65F3">
        <w:rPr>
          <w:i/>
          <w:sz w:val="24"/>
        </w:rPr>
        <w:t xml:space="preserve"> Be Shared and For What Purpose</w:t>
      </w:r>
    </w:p>
    <w:p w14:paraId="5BFDEF86" w14:textId="73DF29FD" w:rsidR="00571A20" w:rsidRDefault="005E0DFF" w:rsidP="00FB3AF8">
      <w:pPr>
        <w:spacing w:line="360" w:lineRule="auto"/>
        <w:rPr>
          <w:sz w:val="24"/>
        </w:rPr>
      </w:pPr>
      <w:r>
        <w:rPr>
          <w:sz w:val="24"/>
        </w:rPr>
        <w:t xml:space="preserve">The information collected in MMRIA will ultimately be used to </w:t>
      </w:r>
      <w:r w:rsidRPr="00BC7784">
        <w:rPr>
          <w:sz w:val="24"/>
        </w:rPr>
        <w:t>provide timely, accurate, and standardized information about deaths</w:t>
      </w:r>
      <w:r w:rsidR="00F932F3">
        <w:rPr>
          <w:sz w:val="24"/>
        </w:rPr>
        <w:t xml:space="preserve"> to women during pregnancy and within one</w:t>
      </w:r>
      <w:r w:rsidRPr="00BC7784">
        <w:rPr>
          <w:sz w:val="24"/>
        </w:rPr>
        <w:t xml:space="preserve"> year </w:t>
      </w:r>
      <w:r w:rsidR="00F932F3">
        <w:rPr>
          <w:sz w:val="24"/>
        </w:rPr>
        <w:t>of</w:t>
      </w:r>
      <w:r w:rsidRPr="00BC7784">
        <w:rPr>
          <w:sz w:val="24"/>
        </w:rPr>
        <w:t xml:space="preserve"> the end of pregnancy within and across participating jurisdictions; facilitate an understanding of the drivers of maternal mortality and complications of pregnancy and associated disparities; determine what interventions at patient, provider, facility, system and community levels will have the most impact; and implement data driven recommendations (e.g., evidence-based practices, screenings, patient education by providers).</w:t>
      </w:r>
      <w:r w:rsidR="00674EF1">
        <w:rPr>
          <w:sz w:val="24"/>
        </w:rPr>
        <w:t xml:space="preserve"> </w:t>
      </w:r>
      <w:r w:rsidR="003724DB">
        <w:rPr>
          <w:sz w:val="24"/>
        </w:rPr>
        <w:t xml:space="preserve">In conjunction with states, CDC will perform quality checks to clean and edit data, as well as and analyze </w:t>
      </w:r>
      <w:r w:rsidR="00D74B69">
        <w:rPr>
          <w:sz w:val="24"/>
        </w:rPr>
        <w:t>data to</w:t>
      </w:r>
      <w:r w:rsidR="003724DB">
        <w:rPr>
          <w:sz w:val="24"/>
        </w:rPr>
        <w:t xml:space="preserve"> better understand the contributors of maternal deaths (aggregate analyses will be performed with MMRC data from states that give permission to do so). </w:t>
      </w:r>
      <w:r w:rsidR="00674EF1">
        <w:rPr>
          <w:sz w:val="24"/>
        </w:rPr>
        <w:t xml:space="preserve">At a minimum, an annual data brief will be published. Topical reports and publications will also be routinely published to address emerging issues and to provide more in-depth analysis of select topics. </w:t>
      </w:r>
    </w:p>
    <w:p w14:paraId="440E3638" w14:textId="3E0E7B7B" w:rsidR="005E0DFF" w:rsidRDefault="005E0DFF" w:rsidP="00FB3AF8">
      <w:pPr>
        <w:spacing w:line="360" w:lineRule="auto"/>
        <w:rPr>
          <w:sz w:val="24"/>
        </w:rPr>
      </w:pPr>
    </w:p>
    <w:p w14:paraId="4CA405FC" w14:textId="5CE05612" w:rsidR="003724DB" w:rsidRDefault="003724DB" w:rsidP="00FB3AF8">
      <w:pPr>
        <w:spacing w:line="360" w:lineRule="auto"/>
        <w:rPr>
          <w:sz w:val="24"/>
        </w:rPr>
      </w:pPr>
      <w:r>
        <w:rPr>
          <w:sz w:val="24"/>
        </w:rPr>
        <w:t>MMRCs may share raw data and/or summary data with each other at their discretion.</w:t>
      </w:r>
      <w:r w:rsidRPr="005B34BF">
        <w:rPr>
          <w:sz w:val="24"/>
        </w:rPr>
        <w:t xml:space="preserve"> There will be no MMRIA public use dataset.</w:t>
      </w:r>
    </w:p>
    <w:p w14:paraId="3A4023EE" w14:textId="77777777" w:rsidR="008477F6" w:rsidRPr="00571A20" w:rsidRDefault="008477F6" w:rsidP="00FB3AF8">
      <w:pPr>
        <w:spacing w:line="360" w:lineRule="auto"/>
        <w:rPr>
          <w:sz w:val="24"/>
        </w:rPr>
      </w:pPr>
    </w:p>
    <w:p w14:paraId="712CDDE5" w14:textId="3EC72C7E" w:rsidR="00A648CB" w:rsidRDefault="00A648CB" w:rsidP="00FB3AF8">
      <w:pPr>
        <w:spacing w:line="360" w:lineRule="auto"/>
        <w:rPr>
          <w:i/>
          <w:sz w:val="24"/>
        </w:rPr>
      </w:pPr>
      <w:r>
        <w:rPr>
          <w:i/>
          <w:sz w:val="24"/>
        </w:rPr>
        <w:t>Impact of the Proposed Collection on Respondents’ Privacy</w:t>
      </w:r>
    </w:p>
    <w:p w14:paraId="7A02A34E" w14:textId="1BD22AF6" w:rsidR="00571A20" w:rsidRDefault="00F932F3" w:rsidP="00FB3AF8">
      <w:pPr>
        <w:spacing w:line="360" w:lineRule="auto"/>
        <w:rPr>
          <w:sz w:val="24"/>
        </w:rPr>
      </w:pPr>
      <w:r>
        <w:rPr>
          <w:sz w:val="24"/>
        </w:rPr>
        <w:t>Personally identifiable information (</w:t>
      </w:r>
      <w:r w:rsidR="00571A20" w:rsidRPr="00FB3AF8">
        <w:rPr>
          <w:sz w:val="24"/>
        </w:rPr>
        <w:t>PII</w:t>
      </w:r>
      <w:r>
        <w:rPr>
          <w:sz w:val="24"/>
        </w:rPr>
        <w:t>)</w:t>
      </w:r>
      <w:r w:rsidR="00571A20" w:rsidRPr="00FB3AF8">
        <w:rPr>
          <w:sz w:val="24"/>
        </w:rPr>
        <w:t xml:space="preserve"> can only be viewed and edited by a limited set of users assigned the Abstractor user role within each </w:t>
      </w:r>
      <w:r w:rsidR="00FC6BE7">
        <w:rPr>
          <w:sz w:val="24"/>
        </w:rPr>
        <w:t>j</w:t>
      </w:r>
      <w:r w:rsidR="00571A20" w:rsidRPr="00FB3AF8">
        <w:rPr>
          <w:sz w:val="24"/>
        </w:rPr>
        <w:t xml:space="preserve">urisdiction. PII in MMRIA is necessary </w:t>
      </w:r>
      <w:r w:rsidR="005E0DFF">
        <w:rPr>
          <w:sz w:val="24"/>
        </w:rPr>
        <w:t xml:space="preserve">for </w:t>
      </w:r>
      <w:r w:rsidR="00571A20" w:rsidRPr="00FB3AF8">
        <w:rPr>
          <w:sz w:val="24"/>
        </w:rPr>
        <w:t>abstractors</w:t>
      </w:r>
      <w:r w:rsidR="005E0DFF">
        <w:rPr>
          <w:sz w:val="24"/>
        </w:rPr>
        <w:t xml:space="preserve"> to</w:t>
      </w:r>
      <w:r w:rsidR="00571A20" w:rsidRPr="00FB3AF8">
        <w:rPr>
          <w:sz w:val="24"/>
        </w:rPr>
        <w:t xml:space="preserve"> produce a de-identified case narrative of events preceding each woman's death, which is then provided to committee members who review each case. Abstractors must be able to identify individual records by name in order to locate records and enter data accurately. Abstractors remove all PII before presenting a case to the committee.</w:t>
      </w:r>
      <w:r w:rsidR="00571A20">
        <w:rPr>
          <w:sz w:val="24"/>
        </w:rPr>
        <w:t xml:space="preserve"> </w:t>
      </w:r>
      <w:r w:rsidR="00571A20" w:rsidRPr="00FB3AF8">
        <w:rPr>
          <w:sz w:val="24"/>
        </w:rPr>
        <w:t>No PII is shared from MMRIA to any external systems wit</w:t>
      </w:r>
      <w:r>
        <w:rPr>
          <w:sz w:val="24"/>
        </w:rPr>
        <w:t>hout written approval from the awardee</w:t>
      </w:r>
      <w:r w:rsidR="00571A20" w:rsidRPr="00FB3AF8">
        <w:rPr>
          <w:sz w:val="24"/>
        </w:rPr>
        <w:t xml:space="preserve"> or unless required by applicable law.</w:t>
      </w:r>
    </w:p>
    <w:p w14:paraId="6BD5BD0E" w14:textId="32765396" w:rsidR="00571A20" w:rsidRDefault="00571A20" w:rsidP="00FB3AF8">
      <w:pPr>
        <w:spacing w:line="360" w:lineRule="auto"/>
        <w:rPr>
          <w:sz w:val="24"/>
        </w:rPr>
      </w:pPr>
    </w:p>
    <w:p w14:paraId="3F2557E3" w14:textId="7A06EB48" w:rsidR="00571A20" w:rsidRPr="00FB3AF8" w:rsidRDefault="00571A20" w:rsidP="00571A20">
      <w:pPr>
        <w:spacing w:line="360" w:lineRule="auto"/>
        <w:rPr>
          <w:sz w:val="24"/>
        </w:rPr>
      </w:pPr>
      <w:r w:rsidRPr="00FB3AF8">
        <w:rPr>
          <w:sz w:val="24"/>
        </w:rPr>
        <w:t>MMRIA employs role-based access to ensure the concept of "Least Privilege" is implemented and only those who need access will have access.</w:t>
      </w:r>
      <w:r w:rsidR="00FC6BE7">
        <w:rPr>
          <w:sz w:val="24"/>
        </w:rPr>
        <w:t xml:space="preserve"> </w:t>
      </w:r>
      <w:r w:rsidRPr="00FB3AF8">
        <w:rPr>
          <w:sz w:val="24"/>
        </w:rPr>
        <w:t xml:space="preserve">There are 3 MMRIA roles in use within each </w:t>
      </w:r>
      <w:r w:rsidR="00290A0E">
        <w:rPr>
          <w:sz w:val="24"/>
        </w:rPr>
        <w:t>awardee</w:t>
      </w:r>
      <w:r w:rsidRPr="00FB3AF8">
        <w:rPr>
          <w:sz w:val="24"/>
        </w:rPr>
        <w:t>’s MMRIA instance: Jurisdiction Administrator, A</w:t>
      </w:r>
      <w:r>
        <w:rPr>
          <w:sz w:val="24"/>
        </w:rPr>
        <w:t>bstractor</w:t>
      </w:r>
      <w:r w:rsidR="00290A0E">
        <w:rPr>
          <w:sz w:val="24"/>
        </w:rPr>
        <w:t>,</w:t>
      </w:r>
      <w:r>
        <w:rPr>
          <w:sz w:val="24"/>
        </w:rPr>
        <w:t xml:space="preserve"> and Committee Member.</w:t>
      </w:r>
    </w:p>
    <w:p w14:paraId="16A96513" w14:textId="5881C17A" w:rsidR="00571A20" w:rsidRPr="00FB3AF8" w:rsidRDefault="00571A20" w:rsidP="00571A20">
      <w:pPr>
        <w:pStyle w:val="ListParagraph"/>
        <w:numPr>
          <w:ilvl w:val="0"/>
          <w:numId w:val="32"/>
        </w:numPr>
        <w:spacing w:line="360" w:lineRule="auto"/>
        <w:rPr>
          <w:rFonts w:ascii="Times New Roman" w:hAnsi="Times New Roman"/>
          <w:sz w:val="24"/>
        </w:rPr>
      </w:pPr>
      <w:r w:rsidRPr="00FB3AF8">
        <w:rPr>
          <w:rFonts w:ascii="Times New Roman" w:hAnsi="Times New Roman"/>
          <w:sz w:val="24"/>
        </w:rPr>
        <w:t>Jurisdiction Administrator: has read/write acc</w:t>
      </w:r>
      <w:r w:rsidR="00290A0E">
        <w:rPr>
          <w:rFonts w:ascii="Times New Roman" w:hAnsi="Times New Roman"/>
          <w:sz w:val="24"/>
        </w:rPr>
        <w:t xml:space="preserve">ess to users and jurisdiction. </w:t>
      </w:r>
      <w:r w:rsidRPr="00FB3AF8">
        <w:rPr>
          <w:rFonts w:ascii="Times New Roman" w:hAnsi="Times New Roman"/>
          <w:sz w:val="24"/>
        </w:rPr>
        <w:t xml:space="preserve">Activity Administrator is responsible for creating, maintaining, and deleting user accounts for Abstractors and Committee Members in </w:t>
      </w:r>
      <w:r w:rsidR="00290A0E">
        <w:rPr>
          <w:rFonts w:ascii="Times New Roman" w:hAnsi="Times New Roman"/>
          <w:sz w:val="24"/>
        </w:rPr>
        <w:t xml:space="preserve">their jurisdiction. </w:t>
      </w:r>
      <w:r w:rsidRPr="00FB3AF8">
        <w:rPr>
          <w:rFonts w:ascii="Times New Roman" w:hAnsi="Times New Roman"/>
          <w:sz w:val="24"/>
        </w:rPr>
        <w:t xml:space="preserve">Note: this is a separate role from the </w:t>
      </w:r>
      <w:r w:rsidR="00290A0E">
        <w:rPr>
          <w:rFonts w:ascii="Times New Roman" w:hAnsi="Times New Roman"/>
          <w:sz w:val="24"/>
        </w:rPr>
        <w:t>Secure Access Management Services (</w:t>
      </w:r>
      <w:r w:rsidRPr="00FB3AF8">
        <w:rPr>
          <w:rFonts w:ascii="Times New Roman" w:hAnsi="Times New Roman"/>
          <w:sz w:val="24"/>
        </w:rPr>
        <w:t>SAMS</w:t>
      </w:r>
      <w:r w:rsidR="00290A0E">
        <w:rPr>
          <w:rFonts w:ascii="Times New Roman" w:hAnsi="Times New Roman"/>
          <w:sz w:val="24"/>
        </w:rPr>
        <w:t>)</w:t>
      </w:r>
      <w:r w:rsidR="008477F6">
        <w:rPr>
          <w:rFonts w:ascii="Times New Roman" w:hAnsi="Times New Roman"/>
          <w:sz w:val="24"/>
        </w:rPr>
        <w:t xml:space="preserve"> Activity Administrator</w:t>
      </w:r>
      <w:r w:rsidR="00290A0E">
        <w:rPr>
          <w:rFonts w:ascii="Times New Roman" w:hAnsi="Times New Roman"/>
          <w:sz w:val="24"/>
        </w:rPr>
        <w:t>; however,</w:t>
      </w:r>
      <w:r w:rsidRPr="00FB3AF8">
        <w:rPr>
          <w:rFonts w:ascii="Times New Roman" w:hAnsi="Times New Roman"/>
          <w:sz w:val="24"/>
        </w:rPr>
        <w:t xml:space="preserve"> one person can have both SAMS Activity Administrator and MMRIA Jurisdiction Administrator roles.</w:t>
      </w:r>
    </w:p>
    <w:p w14:paraId="1B9568EE" w14:textId="77777777" w:rsidR="00953C49" w:rsidRDefault="00571A20" w:rsidP="00FB3AF8">
      <w:pPr>
        <w:pStyle w:val="ListParagraph"/>
        <w:numPr>
          <w:ilvl w:val="0"/>
          <w:numId w:val="32"/>
        </w:numPr>
        <w:spacing w:line="360" w:lineRule="auto"/>
        <w:rPr>
          <w:rFonts w:ascii="Times New Roman" w:hAnsi="Times New Roman"/>
          <w:sz w:val="24"/>
        </w:rPr>
      </w:pPr>
      <w:r w:rsidRPr="00FB3AF8">
        <w:rPr>
          <w:rFonts w:ascii="Times New Roman" w:hAnsi="Times New Roman"/>
          <w:sz w:val="24"/>
        </w:rPr>
        <w:t>Abstractor: has read/write access to the case database for cases within their assigned jurisdiction. An Abstractor has access to PII.</w:t>
      </w:r>
    </w:p>
    <w:p w14:paraId="5B15674C" w14:textId="6D038773" w:rsidR="00953C49" w:rsidRPr="00F7188A" w:rsidRDefault="00571A20" w:rsidP="00FB3AF8">
      <w:pPr>
        <w:pStyle w:val="ListParagraph"/>
        <w:numPr>
          <w:ilvl w:val="0"/>
          <w:numId w:val="32"/>
        </w:numPr>
        <w:spacing w:line="360" w:lineRule="auto"/>
        <w:rPr>
          <w:rFonts w:ascii="Times New Roman" w:hAnsi="Times New Roman"/>
          <w:sz w:val="24"/>
        </w:rPr>
      </w:pPr>
      <w:r w:rsidRPr="00953C49">
        <w:rPr>
          <w:rFonts w:ascii="Times New Roman" w:hAnsi="Times New Roman"/>
          <w:sz w:val="24"/>
        </w:rPr>
        <w:t>Committee Member: has read access to a de-identified case database for cases withi</w:t>
      </w:r>
      <w:r w:rsidR="00290A0E">
        <w:rPr>
          <w:rFonts w:ascii="Times New Roman" w:hAnsi="Times New Roman"/>
          <w:sz w:val="24"/>
        </w:rPr>
        <w:t xml:space="preserve">n their assigned jurisdiction. </w:t>
      </w:r>
      <w:r w:rsidRPr="00953C49">
        <w:rPr>
          <w:rFonts w:ascii="Times New Roman" w:hAnsi="Times New Roman"/>
          <w:sz w:val="24"/>
        </w:rPr>
        <w:t>The de-identified case database contains no PII</w:t>
      </w:r>
      <w:r w:rsidR="00953C49">
        <w:rPr>
          <w:sz w:val="24"/>
        </w:rPr>
        <w:t xml:space="preserve">. </w:t>
      </w:r>
    </w:p>
    <w:p w14:paraId="5DF6B44B" w14:textId="730D55E7" w:rsidR="003724DB" w:rsidRDefault="003724DB" w:rsidP="001F65F3">
      <w:pPr>
        <w:spacing w:line="360" w:lineRule="auto"/>
        <w:rPr>
          <w:rFonts w:cs="Arial"/>
          <w:sz w:val="24"/>
        </w:rPr>
      </w:pPr>
      <w:r w:rsidRPr="001F65F3">
        <w:rPr>
          <w:sz w:val="24"/>
        </w:rPr>
        <w:t>MMRIA data is not accessible to CDC staff for analysis purposes</w:t>
      </w:r>
      <w:r w:rsidRPr="001F65F3">
        <w:rPr>
          <w:i/>
          <w:sz w:val="24"/>
        </w:rPr>
        <w:t xml:space="preserve"> </w:t>
      </w:r>
      <w:r w:rsidRPr="001F65F3">
        <w:rPr>
          <w:sz w:val="24"/>
        </w:rPr>
        <w:t xml:space="preserve">unless the jurisdiction specifically grants approval in writing.  </w:t>
      </w:r>
      <w:r>
        <w:rPr>
          <w:sz w:val="24"/>
        </w:rPr>
        <w:t>S</w:t>
      </w:r>
      <w:r w:rsidRPr="001F65F3">
        <w:rPr>
          <w:rFonts w:cs="Arial"/>
          <w:sz w:val="24"/>
        </w:rPr>
        <w:t>ome software support situations will require access to a jurisdiction’s data.  CDC has identified only a few individuals who may need to access MMRIA data for software support; access is limited to those individuals.</w:t>
      </w:r>
    </w:p>
    <w:p w14:paraId="61A5766D" w14:textId="77777777" w:rsidR="003724DB" w:rsidRPr="001F65F3" w:rsidRDefault="003724DB" w:rsidP="001F65F3">
      <w:pPr>
        <w:spacing w:line="360" w:lineRule="auto"/>
        <w:rPr>
          <w:rFonts w:cs="Arial"/>
          <w:sz w:val="24"/>
        </w:rPr>
      </w:pPr>
    </w:p>
    <w:p w14:paraId="7583EB9D" w14:textId="669DE19D" w:rsidR="00F7188A" w:rsidRDefault="003724DB" w:rsidP="00F7188A">
      <w:pPr>
        <w:spacing w:line="360" w:lineRule="auto"/>
        <w:rPr>
          <w:sz w:val="24"/>
        </w:rPr>
      </w:pPr>
      <w:r>
        <w:rPr>
          <w:sz w:val="24"/>
        </w:rPr>
        <w:t xml:space="preserve">A modification of the current </w:t>
      </w:r>
      <w:r w:rsidR="00F7188A">
        <w:rPr>
          <w:sz w:val="24"/>
        </w:rPr>
        <w:t>Assurance of Confidentiality (Section 308[d</w:t>
      </w:r>
      <w:r w:rsidR="00674EF1">
        <w:rPr>
          <w:sz w:val="24"/>
        </w:rPr>
        <w:t>] of</w:t>
      </w:r>
      <w:r w:rsidR="00F7188A">
        <w:rPr>
          <w:sz w:val="24"/>
        </w:rPr>
        <w:t xml:space="preserve"> the Public Health Service Act) </w:t>
      </w:r>
      <w:r>
        <w:rPr>
          <w:sz w:val="24"/>
        </w:rPr>
        <w:t xml:space="preserve">for the Pregnancy Mortality Surveillance System (PMSS) </w:t>
      </w:r>
      <w:r w:rsidR="00F7188A">
        <w:rPr>
          <w:sz w:val="24"/>
        </w:rPr>
        <w:t>will be applied by to securely protect information in MMRIA</w:t>
      </w:r>
      <w:r w:rsidR="00D74B69">
        <w:rPr>
          <w:sz w:val="24"/>
        </w:rPr>
        <w:t>.</w:t>
      </w:r>
    </w:p>
    <w:p w14:paraId="1E532562" w14:textId="77777777" w:rsidR="008477F6" w:rsidRPr="00F7188A" w:rsidRDefault="008477F6" w:rsidP="00F7188A">
      <w:pPr>
        <w:spacing w:line="360" w:lineRule="auto"/>
        <w:rPr>
          <w:sz w:val="24"/>
        </w:rPr>
      </w:pPr>
    </w:p>
    <w:p w14:paraId="35AD6957" w14:textId="15CFAC65" w:rsidR="00A648CB" w:rsidRPr="00953C49" w:rsidRDefault="00A648CB" w:rsidP="00953C49">
      <w:pPr>
        <w:spacing w:line="360" w:lineRule="auto"/>
        <w:rPr>
          <w:sz w:val="24"/>
        </w:rPr>
      </w:pPr>
      <w:r w:rsidRPr="00953C49">
        <w:rPr>
          <w:i/>
          <w:sz w:val="24"/>
        </w:rPr>
        <w:t>Opportunities to Consent</w:t>
      </w:r>
    </w:p>
    <w:p w14:paraId="5EC0C7CF" w14:textId="2DF71BCF" w:rsidR="0095301A" w:rsidRPr="0095301A" w:rsidRDefault="0095301A" w:rsidP="00FB3AF8">
      <w:pPr>
        <w:spacing w:line="360" w:lineRule="auto"/>
        <w:rPr>
          <w:sz w:val="24"/>
        </w:rPr>
      </w:pPr>
      <w:r>
        <w:rPr>
          <w:sz w:val="24"/>
        </w:rPr>
        <w:t>Because the data abstracted pertains to deceased individuals, informed consent is not applicable.</w:t>
      </w:r>
    </w:p>
    <w:p w14:paraId="2A40ACBF" w14:textId="77777777" w:rsidR="008477F6" w:rsidRDefault="008477F6" w:rsidP="00FB3AF8">
      <w:pPr>
        <w:spacing w:line="360" w:lineRule="auto"/>
        <w:rPr>
          <w:i/>
          <w:sz w:val="24"/>
        </w:rPr>
      </w:pPr>
    </w:p>
    <w:p w14:paraId="0604AC4E" w14:textId="7BC75CD1" w:rsidR="00A648CB" w:rsidRDefault="00A648CB" w:rsidP="00FB3AF8">
      <w:pPr>
        <w:spacing w:line="360" w:lineRule="auto"/>
        <w:rPr>
          <w:i/>
          <w:sz w:val="24"/>
        </w:rPr>
      </w:pPr>
      <w:r>
        <w:rPr>
          <w:i/>
          <w:sz w:val="24"/>
        </w:rPr>
        <w:t>How Information Will Be Secured</w:t>
      </w:r>
    </w:p>
    <w:p w14:paraId="6EE9F928" w14:textId="77777777" w:rsidR="00652927" w:rsidRPr="00FB3AF8" w:rsidRDefault="00652927" w:rsidP="00652927">
      <w:pPr>
        <w:spacing w:line="360" w:lineRule="auto"/>
        <w:rPr>
          <w:sz w:val="24"/>
        </w:rPr>
      </w:pPr>
      <w:r w:rsidRPr="00FB3AF8">
        <w:rPr>
          <w:sz w:val="24"/>
        </w:rPr>
        <w:t xml:space="preserve">MMRIA is hosted on a CDC Cloud Services solution. As a cloud service, it is subject to full security assessment, authorization, and continuous monitoring under the Federal Risk and Authorization Management Program (FedRAMP). MMRIA will be secured for confidentiality and integrity at a moderate level based on the requirements of the Federal Information Security Management Act (FISMA). </w:t>
      </w:r>
    </w:p>
    <w:p w14:paraId="21086A85" w14:textId="77777777" w:rsidR="00652927" w:rsidRPr="00FB3AF8" w:rsidRDefault="00652927" w:rsidP="00652927">
      <w:pPr>
        <w:spacing w:line="360" w:lineRule="auto"/>
        <w:rPr>
          <w:sz w:val="24"/>
        </w:rPr>
      </w:pPr>
    </w:p>
    <w:p w14:paraId="5AEB34E0" w14:textId="77777777" w:rsidR="00652927" w:rsidRPr="00FB3AF8" w:rsidRDefault="00652927" w:rsidP="00652927">
      <w:pPr>
        <w:spacing w:line="360" w:lineRule="auto"/>
        <w:rPr>
          <w:sz w:val="24"/>
        </w:rPr>
      </w:pPr>
      <w:r w:rsidRPr="00FB3AF8">
        <w:rPr>
          <w:sz w:val="24"/>
        </w:rPr>
        <w:t xml:space="preserve">MMRIA data is protected from unauthorized access, use, disclosure, duplication, modification, diversion, or destruction—whether accidental or intentional—in order to maintain confidentiality, integrity, and availability. The security and privacy controls that provide this protection meet minimum federal requirements with additional risk-based and business-driven control implementation achieved through a defense-in-depth security structure. </w:t>
      </w:r>
    </w:p>
    <w:p w14:paraId="0C5856EF" w14:textId="77777777" w:rsidR="00652927" w:rsidRPr="00FB3AF8" w:rsidRDefault="00652927" w:rsidP="00652927">
      <w:pPr>
        <w:spacing w:line="360" w:lineRule="auto"/>
        <w:rPr>
          <w:sz w:val="24"/>
        </w:rPr>
      </w:pPr>
    </w:p>
    <w:p w14:paraId="340BD555" w14:textId="77777777" w:rsidR="00652927" w:rsidRPr="00FB3AF8" w:rsidRDefault="00652927" w:rsidP="00652927">
      <w:pPr>
        <w:spacing w:line="360" w:lineRule="auto"/>
        <w:rPr>
          <w:sz w:val="24"/>
        </w:rPr>
      </w:pPr>
      <w:r w:rsidRPr="00FB3AF8">
        <w:rPr>
          <w:sz w:val="24"/>
        </w:rPr>
        <w:t xml:space="preserve">Data is encrypted in transit and at rest following the National Institute of Standards and Technology’s Federal Information Processing Standard (FIPS 140-2) for Security Requirements for Cryptographic Modules. FIPS 140-2 specifies the security requirements that will be satisfied by a cryptographic module 2 are accepted by the Federal agencies for the protection of sensitive information. </w:t>
      </w:r>
    </w:p>
    <w:p w14:paraId="4503F4CC" w14:textId="77777777" w:rsidR="00652927" w:rsidRPr="00FB3AF8" w:rsidRDefault="00652927" w:rsidP="00652927">
      <w:pPr>
        <w:spacing w:line="360" w:lineRule="auto"/>
        <w:rPr>
          <w:sz w:val="24"/>
        </w:rPr>
      </w:pPr>
    </w:p>
    <w:p w14:paraId="4CC17821" w14:textId="47F00760" w:rsidR="00FB3AF8" w:rsidRPr="00953C49" w:rsidRDefault="00652927" w:rsidP="00FB3AF8">
      <w:pPr>
        <w:spacing w:line="360" w:lineRule="auto"/>
        <w:rPr>
          <w:sz w:val="24"/>
        </w:rPr>
      </w:pPr>
      <w:r w:rsidRPr="00FB3AF8">
        <w:rPr>
          <w:sz w:val="24"/>
        </w:rPr>
        <w:t>Per FedRAMP requirements, MMRIA employs more than 300 security controls. More information on the required FedRAMP security controls for systems deemed moderate can be found at https://www.fedramp.gov/understandin</w:t>
      </w:r>
      <w:r w:rsidR="00953C49">
        <w:rPr>
          <w:sz w:val="24"/>
        </w:rPr>
        <w:t>g-baselines-and-impact-levels/.</w:t>
      </w:r>
    </w:p>
    <w:p w14:paraId="0215F527" w14:textId="77777777" w:rsidR="00104FD9" w:rsidRPr="00104FD9" w:rsidRDefault="00104FD9" w:rsidP="00104FD9"/>
    <w:p w14:paraId="25B9FA29" w14:textId="2E9AF6EF" w:rsidR="00FB3AF8" w:rsidRPr="00014A57" w:rsidRDefault="00F07897" w:rsidP="00FB3AF8">
      <w:pPr>
        <w:pStyle w:val="Heading3"/>
        <w:numPr>
          <w:ilvl w:val="0"/>
          <w:numId w:val="2"/>
        </w:numPr>
        <w:spacing w:line="276" w:lineRule="auto"/>
        <w:ind w:left="0" w:firstLine="0"/>
        <w:rPr>
          <w:rFonts w:ascii="Times New Roman" w:hAnsi="Times New Roman" w:cs="Times New Roman"/>
          <w:sz w:val="24"/>
          <w:szCs w:val="24"/>
        </w:rPr>
      </w:pPr>
      <w:bookmarkStart w:id="12" w:name="_Toc7600447"/>
      <w:r w:rsidRPr="00014A57">
        <w:rPr>
          <w:rFonts w:ascii="Times New Roman" w:hAnsi="Times New Roman" w:cs="Times New Roman"/>
          <w:sz w:val="24"/>
          <w:szCs w:val="24"/>
        </w:rPr>
        <w:t xml:space="preserve">Institutional Review Board (IRB) and </w:t>
      </w:r>
      <w:r w:rsidR="00FB3AF8" w:rsidRPr="00014A57">
        <w:rPr>
          <w:rFonts w:ascii="Times New Roman" w:hAnsi="Times New Roman" w:cs="Times New Roman"/>
          <w:sz w:val="24"/>
          <w:szCs w:val="24"/>
        </w:rPr>
        <w:t>Justification for Sensitive Questions</w:t>
      </w:r>
      <w:bookmarkEnd w:id="12"/>
    </w:p>
    <w:p w14:paraId="6A3E303B" w14:textId="77777777" w:rsidR="00871F04" w:rsidRPr="00014A57" w:rsidRDefault="00871F04" w:rsidP="00FB3AF8">
      <w:pPr>
        <w:spacing w:line="360" w:lineRule="auto"/>
        <w:rPr>
          <w:sz w:val="24"/>
        </w:rPr>
      </w:pPr>
    </w:p>
    <w:p w14:paraId="5F338C54" w14:textId="25E7896E" w:rsidR="00871F04" w:rsidRDefault="00F07897" w:rsidP="00871F04">
      <w:pPr>
        <w:spacing w:line="360" w:lineRule="auto"/>
        <w:rPr>
          <w:sz w:val="24"/>
        </w:rPr>
      </w:pPr>
      <w:r w:rsidRPr="00014A57">
        <w:rPr>
          <w:sz w:val="24"/>
        </w:rPr>
        <w:t>IRB approval was not required as this project was approved as public health practice</w:t>
      </w:r>
      <w:r w:rsidR="00351A9B">
        <w:rPr>
          <w:sz w:val="24"/>
        </w:rPr>
        <w:t xml:space="preserve"> (</w:t>
      </w:r>
      <w:r w:rsidR="00351A9B" w:rsidRPr="00351A9B">
        <w:rPr>
          <w:b/>
          <w:sz w:val="24"/>
        </w:rPr>
        <w:t>Attachment 9</w:t>
      </w:r>
      <w:r w:rsidR="00351A9B">
        <w:rPr>
          <w:sz w:val="24"/>
        </w:rPr>
        <w:t>)</w:t>
      </w:r>
      <w:r w:rsidR="00871F04" w:rsidRPr="00014A57">
        <w:rPr>
          <w:sz w:val="24"/>
        </w:rPr>
        <w:t xml:space="preserve">. </w:t>
      </w:r>
      <w:r w:rsidR="00F8441B" w:rsidRPr="00014A57">
        <w:rPr>
          <w:sz w:val="24"/>
        </w:rPr>
        <w:t>The</w:t>
      </w:r>
      <w:r w:rsidR="00F8441B" w:rsidRPr="00F8441B">
        <w:rPr>
          <w:sz w:val="24"/>
        </w:rPr>
        <w:t xml:space="preserve"> purpose of this surveillance system is to prevent maternal mortality in a defined population by producing information about the population from whom the data were collected.</w:t>
      </w:r>
    </w:p>
    <w:p w14:paraId="244FC8A6" w14:textId="77777777" w:rsidR="00871F04" w:rsidRDefault="00871F04" w:rsidP="00871F04">
      <w:pPr>
        <w:spacing w:line="360" w:lineRule="auto"/>
        <w:rPr>
          <w:sz w:val="24"/>
        </w:rPr>
      </w:pPr>
    </w:p>
    <w:p w14:paraId="6ABEABDE" w14:textId="0655CAC0" w:rsidR="00FB3AF8" w:rsidRPr="00FE3DAD" w:rsidRDefault="00FB3AF8" w:rsidP="00871F04">
      <w:pPr>
        <w:spacing w:line="360" w:lineRule="auto"/>
        <w:rPr>
          <w:sz w:val="24"/>
        </w:rPr>
      </w:pPr>
      <w:r>
        <w:rPr>
          <w:sz w:val="24"/>
        </w:rPr>
        <w:t>Some information surrounding the circumstances of maternal death entered into MMRIA may be considered sensitive; such inf</w:t>
      </w:r>
      <w:r w:rsidR="005A6872">
        <w:rPr>
          <w:sz w:val="24"/>
        </w:rPr>
        <w:t>ormation may include topics of medical conditions, mental health profiles, and autopsy report findings</w:t>
      </w:r>
      <w:r w:rsidR="007A3361">
        <w:rPr>
          <w:sz w:val="24"/>
        </w:rPr>
        <w:t>.</w:t>
      </w:r>
      <w:r w:rsidR="005A6872">
        <w:rPr>
          <w:sz w:val="24"/>
        </w:rPr>
        <w:t xml:space="preserve"> </w:t>
      </w:r>
      <w:r>
        <w:rPr>
          <w:sz w:val="24"/>
        </w:rPr>
        <w:t>However, all of t</w:t>
      </w:r>
      <w:r w:rsidRPr="002F5CFC">
        <w:rPr>
          <w:sz w:val="24"/>
        </w:rPr>
        <w:t>his information is necessary to facilitate an understanding of the drivers of maternal mortality and</w:t>
      </w:r>
      <w:r>
        <w:rPr>
          <w:sz w:val="24"/>
        </w:rPr>
        <w:t xml:space="preserve"> to thus determine the most effective and targeted prevention </w:t>
      </w:r>
      <w:r w:rsidRPr="002F5CFC">
        <w:rPr>
          <w:sz w:val="24"/>
        </w:rPr>
        <w:t>interventions</w:t>
      </w:r>
      <w:r>
        <w:rPr>
          <w:sz w:val="24"/>
        </w:rPr>
        <w:t xml:space="preserve"> to prevent future maternal deaths. </w:t>
      </w:r>
    </w:p>
    <w:p w14:paraId="3A64A087" w14:textId="62465617" w:rsidR="00FB3AF8" w:rsidRDefault="00FB3AF8" w:rsidP="00871F04">
      <w:pPr>
        <w:spacing w:line="360" w:lineRule="auto"/>
      </w:pPr>
    </w:p>
    <w:p w14:paraId="553EFC1F" w14:textId="71212FB9" w:rsidR="007D0BCD" w:rsidRDefault="007D0BCD" w:rsidP="00871F04">
      <w:pPr>
        <w:spacing w:line="360" w:lineRule="auto"/>
        <w:rPr>
          <w:sz w:val="24"/>
        </w:rPr>
      </w:pPr>
      <w:r w:rsidRPr="001F65F3">
        <w:rPr>
          <w:sz w:val="24"/>
        </w:rPr>
        <w:t>These deaths are usually highly visible in the community and often the subject of litigation. Therefore, release of information from MMRIA could be used in some way, directly or indirectly, to identify individuals and institutions is a very sensitive concern for the privacy of the families and the protection of the health care providers.  In cases where the pregnancy outcome for a woman who dies is a live birth, a linked live birth certificate is also collected; therefore, the assurance of confidentiality is also needed to protect the identity of the living child. The identification of women whose deaths are related to abortion is of even greater concern.  If the identity of individual women or their physicians is made known or if the identity of institutions where abortions are performed is known, harassment, intimidation, and even harm can occur. </w:t>
      </w:r>
      <w:r w:rsidRPr="007D0BCD">
        <w:rPr>
          <w:sz w:val="24"/>
        </w:rPr>
        <w:t xml:space="preserve">A modification of the current Assurance of Confidentiality (Section 308[d] of the Public Health Service Act) for the Pregnancy Mortality Surveillance System (PMSS) will be applied </w:t>
      </w:r>
      <w:r w:rsidR="00366BD2">
        <w:rPr>
          <w:sz w:val="24"/>
        </w:rPr>
        <w:t>for in order</w:t>
      </w:r>
      <w:r w:rsidR="00366BD2" w:rsidRPr="007D0BCD">
        <w:rPr>
          <w:sz w:val="24"/>
        </w:rPr>
        <w:t xml:space="preserve"> </w:t>
      </w:r>
      <w:r w:rsidRPr="007D0BCD">
        <w:rPr>
          <w:sz w:val="24"/>
        </w:rPr>
        <w:t>to securely protect information in MMRIA.</w:t>
      </w:r>
    </w:p>
    <w:p w14:paraId="667875BE" w14:textId="77777777" w:rsidR="001F65F3" w:rsidRPr="001F65F3" w:rsidRDefault="001F65F3" w:rsidP="001F65F3">
      <w:pPr>
        <w:spacing w:line="360" w:lineRule="auto"/>
        <w:rPr>
          <w:sz w:val="24"/>
        </w:rPr>
      </w:pPr>
    </w:p>
    <w:p w14:paraId="17142177" w14:textId="61AFA662" w:rsidR="005D63A9" w:rsidRDefault="00ED028C" w:rsidP="00200139">
      <w:pPr>
        <w:pStyle w:val="Heading3"/>
        <w:numPr>
          <w:ilvl w:val="0"/>
          <w:numId w:val="2"/>
        </w:numPr>
        <w:ind w:left="0" w:firstLine="0"/>
        <w:rPr>
          <w:rFonts w:ascii="Times New Roman" w:hAnsi="Times New Roman" w:cs="Times New Roman"/>
          <w:sz w:val="24"/>
          <w:szCs w:val="24"/>
        </w:rPr>
      </w:pPr>
      <w:bookmarkStart w:id="13" w:name="_Toc7600448"/>
      <w:r w:rsidRPr="00BB3C01">
        <w:rPr>
          <w:rFonts w:ascii="Times New Roman" w:hAnsi="Times New Roman" w:cs="Times New Roman"/>
          <w:sz w:val="24"/>
          <w:szCs w:val="24"/>
        </w:rPr>
        <w:t xml:space="preserve">Estimates of </w:t>
      </w:r>
      <w:r w:rsidR="001B23C9" w:rsidRPr="00BB3C01">
        <w:rPr>
          <w:rFonts w:ascii="Times New Roman" w:hAnsi="Times New Roman" w:cs="Times New Roman"/>
          <w:sz w:val="24"/>
          <w:szCs w:val="24"/>
        </w:rPr>
        <w:t xml:space="preserve">Annualized Burden Hours </w:t>
      </w:r>
      <w:r w:rsidR="00E16850" w:rsidRPr="00BB3C01">
        <w:rPr>
          <w:rFonts w:ascii="Times New Roman" w:hAnsi="Times New Roman" w:cs="Times New Roman"/>
          <w:sz w:val="24"/>
          <w:szCs w:val="24"/>
        </w:rPr>
        <w:t>and Costs</w:t>
      </w:r>
      <w:bookmarkEnd w:id="13"/>
      <w:r w:rsidRPr="00BB3C01">
        <w:rPr>
          <w:rFonts w:ascii="Times New Roman" w:hAnsi="Times New Roman" w:cs="Times New Roman"/>
          <w:sz w:val="24"/>
          <w:szCs w:val="24"/>
        </w:rPr>
        <w:t xml:space="preserve">  </w:t>
      </w:r>
    </w:p>
    <w:p w14:paraId="2A8EF2A4" w14:textId="77777777" w:rsidR="009427DA" w:rsidRPr="009427DA" w:rsidRDefault="009427DA" w:rsidP="009427DA"/>
    <w:p w14:paraId="43DDEC2C" w14:textId="30BB64C7" w:rsidR="007E2F3B" w:rsidRDefault="007E2F3B" w:rsidP="007E2F3B">
      <w:pPr>
        <w:spacing w:line="360" w:lineRule="auto"/>
        <w:rPr>
          <w:sz w:val="24"/>
        </w:rPr>
      </w:pPr>
      <w:r>
        <w:rPr>
          <w:sz w:val="24"/>
        </w:rPr>
        <w:t>Although MMRIA is available for use by any jurisdiction’s MMRC, burden estimates presented here are only applicable to the 24 awardees, representing 25 states, of CDC-RFA-DP19-1908</w:t>
      </w:r>
      <w:r w:rsidR="00E15CDE">
        <w:rPr>
          <w:sz w:val="24"/>
        </w:rPr>
        <w:t xml:space="preserve"> (see </w:t>
      </w:r>
      <w:r w:rsidR="00E15CDE">
        <w:rPr>
          <w:b/>
          <w:sz w:val="24"/>
        </w:rPr>
        <w:t>Attachment 8</w:t>
      </w:r>
      <w:r w:rsidR="00E15CDE">
        <w:rPr>
          <w:sz w:val="24"/>
        </w:rPr>
        <w:t xml:space="preserve"> for a list of awardee states)</w:t>
      </w:r>
      <w:r>
        <w:rPr>
          <w:sz w:val="24"/>
        </w:rPr>
        <w:t xml:space="preserve">, who as part of the cooperative agreement are required </w:t>
      </w:r>
      <w:r w:rsidRPr="009427DA">
        <w:rPr>
          <w:sz w:val="24"/>
        </w:rPr>
        <w:t xml:space="preserve">to compile a defined set of information about pregnancy-associated deaths </w:t>
      </w:r>
      <w:r>
        <w:rPr>
          <w:sz w:val="24"/>
        </w:rPr>
        <w:t xml:space="preserve">into MMRIA. The funded jurisdiction is considered the respondent. </w:t>
      </w:r>
    </w:p>
    <w:p w14:paraId="33BA261B" w14:textId="77777777" w:rsidR="007E2F3B" w:rsidRPr="009427DA" w:rsidRDefault="007E2F3B" w:rsidP="007E2F3B">
      <w:pPr>
        <w:spacing w:line="360" w:lineRule="auto"/>
        <w:rPr>
          <w:sz w:val="24"/>
        </w:rPr>
      </w:pPr>
    </w:p>
    <w:p w14:paraId="0754B6A6" w14:textId="1990E052" w:rsidR="007E2F3B" w:rsidRDefault="007E2F3B" w:rsidP="007E2F3B">
      <w:pPr>
        <w:spacing w:line="360" w:lineRule="auto"/>
        <w:rPr>
          <w:sz w:val="24"/>
        </w:rPr>
      </w:pPr>
      <w:r w:rsidRPr="009427DA">
        <w:rPr>
          <w:sz w:val="24"/>
        </w:rPr>
        <w:t>Estimates of the anticipated number of pregnancy-associated deaths each year (based on a 3</w:t>
      </w:r>
      <w:r>
        <w:rPr>
          <w:sz w:val="24"/>
        </w:rPr>
        <w:t>-</w:t>
      </w:r>
      <w:r w:rsidRPr="009427DA">
        <w:rPr>
          <w:sz w:val="24"/>
        </w:rPr>
        <w:t xml:space="preserve">year average) were derived for each </w:t>
      </w:r>
      <w:r>
        <w:rPr>
          <w:sz w:val="24"/>
        </w:rPr>
        <w:t xml:space="preserve">of the 25 </w:t>
      </w:r>
      <w:r w:rsidRPr="009427DA">
        <w:rPr>
          <w:sz w:val="24"/>
        </w:rPr>
        <w:t>state</w:t>
      </w:r>
      <w:r>
        <w:rPr>
          <w:sz w:val="24"/>
        </w:rPr>
        <w:t xml:space="preserve">s covered by CDC-RFA-DP19-1908 funding </w:t>
      </w:r>
      <w:r w:rsidRPr="009427DA">
        <w:rPr>
          <w:sz w:val="24"/>
        </w:rPr>
        <w:t xml:space="preserve"> using CDC Wonder</w:t>
      </w:r>
      <w:r w:rsidRPr="009427DA">
        <w:rPr>
          <w:sz w:val="24"/>
          <w:vertAlign w:val="superscript"/>
        </w:rPr>
        <w:footnoteReference w:id="5"/>
      </w:r>
      <w:r>
        <w:rPr>
          <w:sz w:val="24"/>
        </w:rPr>
        <w:t xml:space="preserve"> data (2014-16) (</w:t>
      </w:r>
      <w:r>
        <w:rPr>
          <w:b/>
          <w:sz w:val="24"/>
        </w:rPr>
        <w:t>Attachment 8</w:t>
      </w:r>
      <w:r>
        <w:rPr>
          <w:sz w:val="24"/>
        </w:rPr>
        <w:t xml:space="preserve">). </w:t>
      </w:r>
      <w:r w:rsidRPr="009427DA">
        <w:rPr>
          <w:sz w:val="24"/>
        </w:rPr>
        <w:t>CDC Wonder is an online database for the analysis of public health data. F</w:t>
      </w:r>
      <w:r>
        <w:rPr>
          <w:sz w:val="24"/>
        </w:rPr>
        <w:t>rom this approach, we estimate</w:t>
      </w:r>
      <w:r w:rsidRPr="009427DA">
        <w:rPr>
          <w:sz w:val="24"/>
        </w:rPr>
        <w:t xml:space="preserve"> </w:t>
      </w:r>
      <w:r>
        <w:rPr>
          <w:sz w:val="24"/>
        </w:rPr>
        <w:t xml:space="preserve">an annual </w:t>
      </w:r>
      <w:r w:rsidRPr="009427DA">
        <w:rPr>
          <w:sz w:val="24"/>
        </w:rPr>
        <w:t>total of 7</w:t>
      </w:r>
      <w:r>
        <w:rPr>
          <w:sz w:val="24"/>
        </w:rPr>
        <w:t>57</w:t>
      </w:r>
      <w:r w:rsidRPr="009427DA">
        <w:rPr>
          <w:sz w:val="24"/>
        </w:rPr>
        <w:t xml:space="preserve"> pregnancy-associated deaths on average</w:t>
      </w:r>
      <w:r>
        <w:rPr>
          <w:sz w:val="24"/>
        </w:rPr>
        <w:t>. A</w:t>
      </w:r>
      <w:r w:rsidRPr="009427DA">
        <w:rPr>
          <w:sz w:val="24"/>
        </w:rPr>
        <w:t xml:space="preserve">nnually, </w:t>
      </w:r>
      <w:r>
        <w:rPr>
          <w:sz w:val="24"/>
        </w:rPr>
        <w:t xml:space="preserve">this equates to </w:t>
      </w:r>
      <w:r w:rsidRPr="009427DA">
        <w:rPr>
          <w:sz w:val="24"/>
        </w:rPr>
        <w:t>an</w:t>
      </w:r>
      <w:r>
        <w:rPr>
          <w:sz w:val="24"/>
        </w:rPr>
        <w:t xml:space="preserve"> average 30 responses for each of the 25 states (24 awardees) per year</w:t>
      </w:r>
      <w:r w:rsidRPr="009427DA">
        <w:rPr>
          <w:sz w:val="24"/>
        </w:rPr>
        <w:t>.</w:t>
      </w:r>
    </w:p>
    <w:p w14:paraId="62EDEDA4" w14:textId="77777777" w:rsidR="00E51A30" w:rsidRPr="009427DA" w:rsidRDefault="00E51A30" w:rsidP="009427DA">
      <w:pPr>
        <w:spacing w:line="360" w:lineRule="auto"/>
        <w:rPr>
          <w:sz w:val="24"/>
        </w:rPr>
      </w:pPr>
    </w:p>
    <w:p w14:paraId="00742EA0" w14:textId="31397280" w:rsidR="009427DA" w:rsidRDefault="009427DA" w:rsidP="009427DA">
      <w:pPr>
        <w:spacing w:line="360" w:lineRule="auto"/>
        <w:rPr>
          <w:sz w:val="24"/>
        </w:rPr>
      </w:pPr>
      <w:r w:rsidRPr="009427DA">
        <w:rPr>
          <w:sz w:val="24"/>
        </w:rPr>
        <w:t xml:space="preserve">Burden is assessed for each awardee’s total staff time to </w:t>
      </w:r>
      <w:r w:rsidR="00EC02EA">
        <w:rPr>
          <w:sz w:val="24"/>
        </w:rPr>
        <w:t xml:space="preserve">abstract and </w:t>
      </w:r>
      <w:r w:rsidRPr="009427DA">
        <w:rPr>
          <w:sz w:val="24"/>
        </w:rPr>
        <w:t xml:space="preserve">enter </w:t>
      </w:r>
      <w:r w:rsidR="00EC02EA">
        <w:rPr>
          <w:sz w:val="24"/>
        </w:rPr>
        <w:t xml:space="preserve">abstracted data </w:t>
      </w:r>
      <w:r w:rsidRPr="009427DA">
        <w:rPr>
          <w:sz w:val="24"/>
        </w:rPr>
        <w:t>the information into MMRIA</w:t>
      </w:r>
      <w:r w:rsidR="00EC02EA">
        <w:rPr>
          <w:sz w:val="24"/>
        </w:rPr>
        <w:t xml:space="preserve"> (case narratives are autocompleted and not included in burden hours)</w:t>
      </w:r>
      <w:r w:rsidR="004A6F89">
        <w:rPr>
          <w:sz w:val="24"/>
        </w:rPr>
        <w:t xml:space="preserve"> </w:t>
      </w:r>
      <w:r w:rsidR="00EC02EA">
        <w:rPr>
          <w:sz w:val="24"/>
        </w:rPr>
        <w:t xml:space="preserve">as well as </w:t>
      </w:r>
      <w:r w:rsidR="004A6F89">
        <w:rPr>
          <w:sz w:val="24"/>
        </w:rPr>
        <w:t>enter the committee decision</w:t>
      </w:r>
      <w:r w:rsidR="00EC02EA">
        <w:rPr>
          <w:sz w:val="24"/>
        </w:rPr>
        <w:t xml:space="preserve"> after review</w:t>
      </w:r>
      <w:r w:rsidRPr="009427DA">
        <w:rPr>
          <w:sz w:val="24"/>
        </w:rPr>
        <w:t xml:space="preserve">. Based on an average of 15 hours to complete abstraction of each death </w:t>
      </w:r>
      <w:r w:rsidR="00EC02EA">
        <w:rPr>
          <w:sz w:val="24"/>
        </w:rPr>
        <w:t xml:space="preserve">and enter </w:t>
      </w:r>
      <w:r w:rsidRPr="009427DA">
        <w:rPr>
          <w:sz w:val="24"/>
        </w:rPr>
        <w:t>into MMRIA</w:t>
      </w:r>
      <w:r w:rsidR="004A6F89">
        <w:rPr>
          <w:sz w:val="24"/>
        </w:rPr>
        <w:t xml:space="preserve"> </w:t>
      </w:r>
      <w:r w:rsidR="007D0BCD">
        <w:rPr>
          <w:sz w:val="24"/>
        </w:rPr>
        <w:t>(</w:t>
      </w:r>
      <w:r w:rsidR="007D0BCD" w:rsidRPr="00AD417A">
        <w:rPr>
          <w:b/>
          <w:sz w:val="24"/>
        </w:rPr>
        <w:t xml:space="preserve">Attachment </w:t>
      </w:r>
      <w:r w:rsidR="00AD417A" w:rsidRPr="00AD417A">
        <w:rPr>
          <w:b/>
          <w:sz w:val="24"/>
        </w:rPr>
        <w:t>3</w:t>
      </w:r>
      <w:r w:rsidR="007D0BCD" w:rsidRPr="00AD417A">
        <w:rPr>
          <w:b/>
          <w:sz w:val="24"/>
        </w:rPr>
        <w:t>a</w:t>
      </w:r>
      <w:r w:rsidR="007D0BCD">
        <w:rPr>
          <w:sz w:val="24"/>
        </w:rPr>
        <w:t>)</w:t>
      </w:r>
      <w:r w:rsidR="00787D83">
        <w:rPr>
          <w:sz w:val="24"/>
        </w:rPr>
        <w:t>—</w:t>
      </w:r>
      <w:r w:rsidR="004A6F89">
        <w:rPr>
          <w:sz w:val="24"/>
        </w:rPr>
        <w:t xml:space="preserve">and </w:t>
      </w:r>
      <w:r w:rsidR="00787D83">
        <w:rPr>
          <w:sz w:val="24"/>
        </w:rPr>
        <w:t xml:space="preserve">an </w:t>
      </w:r>
      <w:r w:rsidR="004A6F89">
        <w:rPr>
          <w:sz w:val="24"/>
        </w:rPr>
        <w:t xml:space="preserve">additional </w:t>
      </w:r>
      <w:r w:rsidR="00746818">
        <w:rPr>
          <w:sz w:val="24"/>
        </w:rPr>
        <w:t>2</w:t>
      </w:r>
      <w:r w:rsidR="004A6F89">
        <w:rPr>
          <w:sz w:val="24"/>
        </w:rPr>
        <w:t xml:space="preserve">4 </w:t>
      </w:r>
      <w:r w:rsidR="00746818">
        <w:rPr>
          <w:sz w:val="24"/>
        </w:rPr>
        <w:t>minute</w:t>
      </w:r>
      <w:r w:rsidR="004A6F89">
        <w:rPr>
          <w:sz w:val="24"/>
        </w:rPr>
        <w:t>s to enter the committee decision</w:t>
      </w:r>
      <w:r w:rsidR="007D0BCD">
        <w:rPr>
          <w:sz w:val="24"/>
        </w:rPr>
        <w:t xml:space="preserve"> (</w:t>
      </w:r>
      <w:r w:rsidR="00D74B69" w:rsidRPr="00AD417A">
        <w:rPr>
          <w:b/>
          <w:sz w:val="24"/>
        </w:rPr>
        <w:t>Attachment</w:t>
      </w:r>
      <w:r w:rsidR="007D0BCD" w:rsidRPr="00AD417A">
        <w:rPr>
          <w:b/>
          <w:sz w:val="24"/>
        </w:rPr>
        <w:t xml:space="preserve"> </w:t>
      </w:r>
      <w:r w:rsidR="00AD417A" w:rsidRPr="00AD417A">
        <w:rPr>
          <w:b/>
          <w:sz w:val="24"/>
        </w:rPr>
        <w:t>3</w:t>
      </w:r>
      <w:r w:rsidR="007D0BCD" w:rsidRPr="00AD417A">
        <w:rPr>
          <w:b/>
          <w:sz w:val="24"/>
        </w:rPr>
        <w:t>c</w:t>
      </w:r>
      <w:r w:rsidR="007D0BCD">
        <w:rPr>
          <w:sz w:val="24"/>
        </w:rPr>
        <w:t>)</w:t>
      </w:r>
      <w:r w:rsidR="00787D83">
        <w:rPr>
          <w:sz w:val="24"/>
        </w:rPr>
        <w:t>—</w:t>
      </w:r>
      <w:r w:rsidRPr="009427DA">
        <w:rPr>
          <w:sz w:val="24"/>
        </w:rPr>
        <w:t xml:space="preserve">we estimate an </w:t>
      </w:r>
      <w:r w:rsidRPr="008913D2">
        <w:rPr>
          <w:sz w:val="24"/>
        </w:rPr>
        <w:t>ave</w:t>
      </w:r>
      <w:r w:rsidR="004A6F89">
        <w:rPr>
          <w:sz w:val="24"/>
        </w:rPr>
        <w:t>rage total annual burden of 11,550</w:t>
      </w:r>
      <w:r w:rsidRPr="008913D2">
        <w:rPr>
          <w:sz w:val="24"/>
        </w:rPr>
        <w:t xml:space="preserve"> hours</w:t>
      </w:r>
      <w:r w:rsidR="008913D2">
        <w:rPr>
          <w:b/>
          <w:sz w:val="24"/>
        </w:rPr>
        <w:t xml:space="preserve"> </w:t>
      </w:r>
      <w:r w:rsidR="008913D2">
        <w:rPr>
          <w:sz w:val="24"/>
        </w:rPr>
        <w:t>(</w:t>
      </w:r>
      <w:r w:rsidR="008913D2" w:rsidRPr="008913D2">
        <w:rPr>
          <w:b/>
          <w:sz w:val="24"/>
        </w:rPr>
        <w:t>Table A.12-1</w:t>
      </w:r>
      <w:r w:rsidR="008913D2">
        <w:rPr>
          <w:sz w:val="24"/>
        </w:rPr>
        <w:t>)</w:t>
      </w:r>
      <w:r w:rsidRPr="009427DA">
        <w:rPr>
          <w:sz w:val="24"/>
        </w:rPr>
        <w:t xml:space="preserve">. </w:t>
      </w:r>
    </w:p>
    <w:p w14:paraId="042D6DB8" w14:textId="38C2AA7C" w:rsidR="009427DA" w:rsidRDefault="009427DA" w:rsidP="009427DA">
      <w:pPr>
        <w:spacing w:line="360" w:lineRule="auto"/>
        <w:rPr>
          <w:b/>
          <w:sz w:val="24"/>
        </w:rPr>
      </w:pPr>
    </w:p>
    <w:p w14:paraId="6C713353" w14:textId="711C96B4" w:rsidR="0053618E" w:rsidRDefault="0053618E" w:rsidP="0053618E">
      <w:pPr>
        <w:rPr>
          <w:b/>
          <w:sz w:val="24"/>
        </w:rPr>
      </w:pPr>
      <w:r w:rsidRPr="00152CC3">
        <w:rPr>
          <w:b/>
          <w:sz w:val="24"/>
        </w:rPr>
        <w:t>Table A.12-1.  Estimated Annualized Burden to Respondents</w:t>
      </w:r>
    </w:p>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2024"/>
        <w:gridCol w:w="1813"/>
        <w:gridCol w:w="1668"/>
        <w:gridCol w:w="1591"/>
        <w:gridCol w:w="1507"/>
      </w:tblGrid>
      <w:tr w:rsidR="00AD4BF1" w:rsidRPr="00EC2B3F" w14:paraId="28FCA8A7" w14:textId="77777777" w:rsidTr="004C1518">
        <w:trPr>
          <w:trHeight w:val="1365"/>
        </w:trPr>
        <w:tc>
          <w:tcPr>
            <w:tcW w:w="1813" w:type="dxa"/>
          </w:tcPr>
          <w:p w14:paraId="50F19C2C" w14:textId="77777777" w:rsidR="00AD4BF1" w:rsidRPr="00B80CF2" w:rsidRDefault="00AD4BF1" w:rsidP="004C1518">
            <w:pPr>
              <w:pStyle w:val="HTMLPreformatted"/>
              <w:tabs>
                <w:tab w:val="left" w:pos="720"/>
              </w:tabs>
              <w:spacing w:line="360" w:lineRule="auto"/>
              <w:rPr>
                <w:rFonts w:ascii="Times New Roman" w:hAnsi="Times New Roman" w:cs="Times New Roman"/>
                <w:b/>
                <w:sz w:val="24"/>
                <w:szCs w:val="24"/>
              </w:rPr>
            </w:pPr>
            <w:r w:rsidRPr="00B80CF2">
              <w:rPr>
                <w:rFonts w:ascii="Times New Roman" w:hAnsi="Times New Roman" w:cs="Times New Roman"/>
                <w:b/>
                <w:sz w:val="24"/>
                <w:szCs w:val="24"/>
              </w:rPr>
              <w:t>Types of Respondents</w:t>
            </w:r>
          </w:p>
        </w:tc>
        <w:tc>
          <w:tcPr>
            <w:tcW w:w="2024" w:type="dxa"/>
            <w:shd w:val="clear" w:color="auto" w:fill="auto"/>
          </w:tcPr>
          <w:p w14:paraId="60012743" w14:textId="77777777" w:rsidR="00AD4BF1" w:rsidRPr="00B80CF2" w:rsidRDefault="00AD4BF1" w:rsidP="004C1518">
            <w:pPr>
              <w:pStyle w:val="HTMLPreformatted"/>
              <w:tabs>
                <w:tab w:val="left" w:pos="720"/>
              </w:tabs>
              <w:spacing w:line="360" w:lineRule="auto"/>
              <w:rPr>
                <w:rFonts w:ascii="Times New Roman" w:hAnsi="Times New Roman" w:cs="Times New Roman"/>
                <w:b/>
                <w:sz w:val="24"/>
                <w:szCs w:val="24"/>
              </w:rPr>
            </w:pPr>
            <w:r w:rsidRPr="00B80CF2">
              <w:rPr>
                <w:rFonts w:ascii="Times New Roman" w:hAnsi="Times New Roman" w:cs="Times New Roman"/>
                <w:b/>
                <w:sz w:val="24"/>
                <w:szCs w:val="24"/>
              </w:rPr>
              <w:t xml:space="preserve"> Form Name</w:t>
            </w:r>
          </w:p>
        </w:tc>
        <w:tc>
          <w:tcPr>
            <w:tcW w:w="1813" w:type="dxa"/>
            <w:shd w:val="clear" w:color="auto" w:fill="auto"/>
          </w:tcPr>
          <w:p w14:paraId="274C2908" w14:textId="77777777" w:rsidR="00AD4BF1" w:rsidRPr="00B80CF2" w:rsidRDefault="00AD4BF1" w:rsidP="004C1518">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Number of Respondents</w:t>
            </w:r>
          </w:p>
        </w:tc>
        <w:tc>
          <w:tcPr>
            <w:tcW w:w="1668" w:type="dxa"/>
            <w:shd w:val="clear" w:color="auto" w:fill="auto"/>
          </w:tcPr>
          <w:p w14:paraId="2FCEDCC4" w14:textId="77777777" w:rsidR="00AD4BF1" w:rsidRPr="00B80CF2" w:rsidRDefault="00AD4BF1" w:rsidP="004C1518">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Number of Responses per</w:t>
            </w:r>
          </w:p>
          <w:p w14:paraId="2DF82245" w14:textId="77777777" w:rsidR="00AD4BF1" w:rsidRPr="00B80CF2" w:rsidRDefault="00AD4BF1" w:rsidP="004C1518">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Respondent</w:t>
            </w:r>
          </w:p>
        </w:tc>
        <w:tc>
          <w:tcPr>
            <w:tcW w:w="1591" w:type="dxa"/>
            <w:shd w:val="clear" w:color="auto" w:fill="auto"/>
          </w:tcPr>
          <w:p w14:paraId="23478D74" w14:textId="77777777" w:rsidR="00AD4BF1" w:rsidRPr="00B80CF2" w:rsidRDefault="00AD4BF1" w:rsidP="004C1518">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Average hours per response (in hours)</w:t>
            </w:r>
          </w:p>
        </w:tc>
        <w:tc>
          <w:tcPr>
            <w:tcW w:w="1507" w:type="dxa"/>
            <w:shd w:val="clear" w:color="auto" w:fill="auto"/>
          </w:tcPr>
          <w:p w14:paraId="0B0A738F" w14:textId="77777777" w:rsidR="00AD4BF1" w:rsidRPr="00B80CF2" w:rsidRDefault="00AD4BF1" w:rsidP="004C1518">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Total   Burden</w:t>
            </w:r>
          </w:p>
          <w:p w14:paraId="2AFFF550" w14:textId="77777777" w:rsidR="00AD4BF1" w:rsidRPr="00B80CF2" w:rsidRDefault="00AD4BF1" w:rsidP="004C1518">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 xml:space="preserve">Hours </w:t>
            </w:r>
          </w:p>
          <w:p w14:paraId="3872D907" w14:textId="77777777" w:rsidR="00AD4BF1" w:rsidRPr="00B80CF2" w:rsidRDefault="00AD4BF1" w:rsidP="004C1518">
            <w:pPr>
              <w:pStyle w:val="HTMLPreformatted"/>
              <w:tabs>
                <w:tab w:val="left" w:pos="720"/>
              </w:tabs>
              <w:spacing w:line="360" w:lineRule="auto"/>
              <w:jc w:val="right"/>
              <w:rPr>
                <w:rFonts w:ascii="Times New Roman" w:hAnsi="Times New Roman" w:cs="Times New Roman"/>
                <w:b/>
                <w:sz w:val="24"/>
                <w:szCs w:val="24"/>
              </w:rPr>
            </w:pPr>
          </w:p>
        </w:tc>
      </w:tr>
      <w:tr w:rsidR="005A6872" w14:paraId="0FF2648F" w14:textId="77777777" w:rsidTr="005A6872">
        <w:trPr>
          <w:trHeight w:val="1087"/>
        </w:trPr>
        <w:tc>
          <w:tcPr>
            <w:tcW w:w="1813" w:type="dxa"/>
            <w:vMerge w:val="restart"/>
            <w:vAlign w:val="center"/>
          </w:tcPr>
          <w:p w14:paraId="5709EE70" w14:textId="14B91816" w:rsidR="005A6872" w:rsidRPr="00B80CF2" w:rsidRDefault="005A6872" w:rsidP="005A6872">
            <w:pPr>
              <w:tabs>
                <w:tab w:val="left" w:pos="0"/>
              </w:tabs>
              <w:spacing w:line="360" w:lineRule="auto"/>
              <w:jc w:val="center"/>
              <w:rPr>
                <w:color w:val="000000"/>
                <w:sz w:val="24"/>
              </w:rPr>
            </w:pPr>
            <w:r>
              <w:rPr>
                <w:sz w:val="24"/>
              </w:rPr>
              <w:t>Awardees</w:t>
            </w:r>
          </w:p>
        </w:tc>
        <w:tc>
          <w:tcPr>
            <w:tcW w:w="2024" w:type="dxa"/>
            <w:vAlign w:val="bottom"/>
          </w:tcPr>
          <w:p w14:paraId="330D28C9" w14:textId="016F3E8F" w:rsidR="005A6872" w:rsidRPr="005A6872" w:rsidRDefault="005A6872" w:rsidP="00EC02EA">
            <w:pPr>
              <w:tabs>
                <w:tab w:val="left" w:pos="0"/>
              </w:tabs>
              <w:spacing w:line="360" w:lineRule="auto"/>
              <w:jc w:val="right"/>
              <w:rPr>
                <w:color w:val="000000"/>
                <w:sz w:val="24"/>
                <w:vertAlign w:val="superscript"/>
              </w:rPr>
            </w:pPr>
            <w:r>
              <w:rPr>
                <w:color w:val="000000"/>
                <w:sz w:val="24"/>
              </w:rPr>
              <w:t xml:space="preserve">Data abstraction </w:t>
            </w:r>
          </w:p>
        </w:tc>
        <w:tc>
          <w:tcPr>
            <w:tcW w:w="1813" w:type="dxa"/>
            <w:vAlign w:val="bottom"/>
          </w:tcPr>
          <w:p w14:paraId="1AE288A7" w14:textId="73A807DB" w:rsidR="005A6872" w:rsidRPr="00B80CF2" w:rsidRDefault="005A6872" w:rsidP="004C1518">
            <w:pPr>
              <w:tabs>
                <w:tab w:val="left" w:pos="0"/>
              </w:tabs>
              <w:spacing w:line="360" w:lineRule="auto"/>
              <w:jc w:val="right"/>
              <w:rPr>
                <w:color w:val="000000"/>
                <w:sz w:val="24"/>
              </w:rPr>
            </w:pPr>
            <w:r>
              <w:rPr>
                <w:color w:val="000000"/>
                <w:sz w:val="24"/>
              </w:rPr>
              <w:t>25</w:t>
            </w:r>
          </w:p>
        </w:tc>
        <w:tc>
          <w:tcPr>
            <w:tcW w:w="1668" w:type="dxa"/>
            <w:vAlign w:val="bottom"/>
          </w:tcPr>
          <w:p w14:paraId="7FA13C24" w14:textId="76A7CA73" w:rsidR="005A6872" w:rsidRPr="00B80CF2" w:rsidRDefault="004A6F89" w:rsidP="004C1518">
            <w:pPr>
              <w:tabs>
                <w:tab w:val="left" w:pos="0"/>
              </w:tabs>
              <w:spacing w:line="360" w:lineRule="auto"/>
              <w:jc w:val="right"/>
              <w:rPr>
                <w:color w:val="000000"/>
                <w:sz w:val="24"/>
              </w:rPr>
            </w:pPr>
            <w:r>
              <w:rPr>
                <w:color w:val="000000"/>
                <w:sz w:val="24"/>
              </w:rPr>
              <w:t>30</w:t>
            </w:r>
          </w:p>
        </w:tc>
        <w:tc>
          <w:tcPr>
            <w:tcW w:w="1591" w:type="dxa"/>
            <w:vAlign w:val="bottom"/>
          </w:tcPr>
          <w:p w14:paraId="678D2A3C" w14:textId="6181D717" w:rsidR="005A6872" w:rsidRPr="00B80CF2" w:rsidRDefault="005A6872" w:rsidP="004C1518">
            <w:pPr>
              <w:tabs>
                <w:tab w:val="left" w:pos="0"/>
              </w:tabs>
              <w:spacing w:line="360" w:lineRule="auto"/>
              <w:jc w:val="right"/>
              <w:rPr>
                <w:color w:val="000000"/>
                <w:sz w:val="24"/>
              </w:rPr>
            </w:pPr>
            <w:r>
              <w:rPr>
                <w:color w:val="000000"/>
                <w:sz w:val="24"/>
              </w:rPr>
              <w:t>15</w:t>
            </w:r>
          </w:p>
        </w:tc>
        <w:tc>
          <w:tcPr>
            <w:tcW w:w="1507" w:type="dxa"/>
            <w:shd w:val="clear" w:color="auto" w:fill="auto"/>
            <w:vAlign w:val="center"/>
          </w:tcPr>
          <w:p w14:paraId="2D9A3510" w14:textId="3E066A6F" w:rsidR="005A6872" w:rsidRPr="00B80CF2" w:rsidRDefault="004A6F89" w:rsidP="004C1518">
            <w:pPr>
              <w:tabs>
                <w:tab w:val="left" w:pos="0"/>
              </w:tabs>
              <w:spacing w:line="360" w:lineRule="auto"/>
              <w:jc w:val="right"/>
              <w:rPr>
                <w:color w:val="000000"/>
                <w:sz w:val="24"/>
              </w:rPr>
            </w:pPr>
            <w:r>
              <w:rPr>
                <w:color w:val="000000"/>
                <w:sz w:val="24"/>
              </w:rPr>
              <w:t>11,250</w:t>
            </w:r>
          </w:p>
        </w:tc>
      </w:tr>
      <w:tr w:rsidR="005A6872" w14:paraId="2326D9DF" w14:textId="77777777" w:rsidTr="004C1518">
        <w:trPr>
          <w:trHeight w:val="1087"/>
        </w:trPr>
        <w:tc>
          <w:tcPr>
            <w:tcW w:w="1813" w:type="dxa"/>
            <w:vMerge/>
            <w:vAlign w:val="bottom"/>
          </w:tcPr>
          <w:p w14:paraId="113E8820" w14:textId="45D1AC2D" w:rsidR="005A6872" w:rsidRDefault="005A6872" w:rsidP="004C1518">
            <w:pPr>
              <w:tabs>
                <w:tab w:val="left" w:pos="0"/>
              </w:tabs>
              <w:spacing w:line="360" w:lineRule="auto"/>
              <w:rPr>
                <w:sz w:val="24"/>
              </w:rPr>
            </w:pPr>
          </w:p>
        </w:tc>
        <w:tc>
          <w:tcPr>
            <w:tcW w:w="2024" w:type="dxa"/>
            <w:vAlign w:val="bottom"/>
          </w:tcPr>
          <w:p w14:paraId="26F8EA79" w14:textId="0B0AD55B" w:rsidR="005A6872" w:rsidRDefault="005A6872" w:rsidP="005A6872">
            <w:pPr>
              <w:tabs>
                <w:tab w:val="left" w:pos="0"/>
              </w:tabs>
              <w:spacing w:line="360" w:lineRule="auto"/>
              <w:jc w:val="right"/>
              <w:rPr>
                <w:color w:val="000000"/>
                <w:sz w:val="24"/>
              </w:rPr>
            </w:pPr>
            <w:r>
              <w:rPr>
                <w:color w:val="000000"/>
                <w:sz w:val="24"/>
              </w:rPr>
              <w:t>Committee decision</w:t>
            </w:r>
          </w:p>
        </w:tc>
        <w:tc>
          <w:tcPr>
            <w:tcW w:w="1813" w:type="dxa"/>
            <w:vAlign w:val="bottom"/>
          </w:tcPr>
          <w:p w14:paraId="3647FC4C" w14:textId="79CE0F54" w:rsidR="005A6872" w:rsidRDefault="005A6872" w:rsidP="004C1518">
            <w:pPr>
              <w:tabs>
                <w:tab w:val="left" w:pos="0"/>
              </w:tabs>
              <w:spacing w:line="360" w:lineRule="auto"/>
              <w:jc w:val="right"/>
              <w:rPr>
                <w:color w:val="000000"/>
                <w:sz w:val="24"/>
              </w:rPr>
            </w:pPr>
            <w:r>
              <w:rPr>
                <w:color w:val="000000"/>
                <w:sz w:val="24"/>
              </w:rPr>
              <w:t>25</w:t>
            </w:r>
          </w:p>
        </w:tc>
        <w:tc>
          <w:tcPr>
            <w:tcW w:w="1668" w:type="dxa"/>
            <w:vAlign w:val="bottom"/>
          </w:tcPr>
          <w:p w14:paraId="02A6CF5F" w14:textId="601E8D16" w:rsidR="005A6872" w:rsidRDefault="004A6F89" w:rsidP="004C1518">
            <w:pPr>
              <w:tabs>
                <w:tab w:val="left" w:pos="0"/>
              </w:tabs>
              <w:spacing w:line="360" w:lineRule="auto"/>
              <w:jc w:val="right"/>
              <w:rPr>
                <w:color w:val="000000"/>
                <w:sz w:val="24"/>
              </w:rPr>
            </w:pPr>
            <w:r>
              <w:rPr>
                <w:color w:val="000000"/>
                <w:sz w:val="24"/>
              </w:rPr>
              <w:t>30</w:t>
            </w:r>
          </w:p>
        </w:tc>
        <w:tc>
          <w:tcPr>
            <w:tcW w:w="1591" w:type="dxa"/>
            <w:vAlign w:val="bottom"/>
          </w:tcPr>
          <w:p w14:paraId="546E283B" w14:textId="2CBB6AF2" w:rsidR="005A6872" w:rsidRDefault="00746818" w:rsidP="004C1518">
            <w:pPr>
              <w:tabs>
                <w:tab w:val="left" w:pos="0"/>
              </w:tabs>
              <w:spacing w:line="360" w:lineRule="auto"/>
              <w:jc w:val="right"/>
              <w:rPr>
                <w:color w:val="000000"/>
                <w:sz w:val="24"/>
              </w:rPr>
            </w:pPr>
            <w:r>
              <w:rPr>
                <w:color w:val="000000"/>
                <w:sz w:val="24"/>
              </w:rPr>
              <w:t>2</w:t>
            </w:r>
            <w:r w:rsidR="004A6F89">
              <w:rPr>
                <w:color w:val="000000"/>
                <w:sz w:val="24"/>
              </w:rPr>
              <w:t>4</w:t>
            </w:r>
            <w:r>
              <w:rPr>
                <w:color w:val="000000"/>
                <w:sz w:val="24"/>
              </w:rPr>
              <w:t>/60</w:t>
            </w:r>
          </w:p>
        </w:tc>
        <w:tc>
          <w:tcPr>
            <w:tcW w:w="1507" w:type="dxa"/>
            <w:shd w:val="clear" w:color="auto" w:fill="auto"/>
            <w:vAlign w:val="center"/>
          </w:tcPr>
          <w:p w14:paraId="210A4C89" w14:textId="78596252" w:rsidR="005A6872" w:rsidRDefault="004A6F89" w:rsidP="004C1518">
            <w:pPr>
              <w:tabs>
                <w:tab w:val="left" w:pos="0"/>
              </w:tabs>
              <w:spacing w:line="360" w:lineRule="auto"/>
              <w:jc w:val="right"/>
              <w:rPr>
                <w:color w:val="000000"/>
                <w:sz w:val="24"/>
              </w:rPr>
            </w:pPr>
            <w:r>
              <w:rPr>
                <w:color w:val="000000"/>
                <w:sz w:val="24"/>
              </w:rPr>
              <w:t>300</w:t>
            </w:r>
          </w:p>
        </w:tc>
      </w:tr>
      <w:tr w:rsidR="00AD4BF1" w:rsidRPr="00EC2B3F" w14:paraId="2347BAD4" w14:textId="77777777" w:rsidTr="004C1518">
        <w:trPr>
          <w:trHeight w:val="265"/>
        </w:trPr>
        <w:tc>
          <w:tcPr>
            <w:tcW w:w="8909" w:type="dxa"/>
            <w:gridSpan w:val="5"/>
            <w:vAlign w:val="bottom"/>
          </w:tcPr>
          <w:p w14:paraId="610868D6" w14:textId="77777777" w:rsidR="00AD4BF1" w:rsidRPr="00B80CF2" w:rsidRDefault="00AD4BF1" w:rsidP="004C1518">
            <w:pPr>
              <w:tabs>
                <w:tab w:val="left" w:pos="0"/>
              </w:tabs>
              <w:spacing w:line="360" w:lineRule="auto"/>
              <w:rPr>
                <w:color w:val="000000"/>
                <w:sz w:val="24"/>
              </w:rPr>
            </w:pPr>
            <w:r w:rsidRPr="00B80CF2">
              <w:rPr>
                <w:color w:val="000000"/>
                <w:sz w:val="24"/>
              </w:rPr>
              <w:t>Total</w:t>
            </w:r>
          </w:p>
        </w:tc>
        <w:tc>
          <w:tcPr>
            <w:tcW w:w="1507" w:type="dxa"/>
            <w:shd w:val="clear" w:color="auto" w:fill="auto"/>
            <w:vAlign w:val="center"/>
          </w:tcPr>
          <w:p w14:paraId="1AAABE00" w14:textId="4A884C4B" w:rsidR="00AD4BF1" w:rsidRPr="00F31D60" w:rsidRDefault="004A6F89" w:rsidP="004C1518">
            <w:pPr>
              <w:tabs>
                <w:tab w:val="left" w:pos="0"/>
              </w:tabs>
              <w:spacing w:line="360" w:lineRule="auto"/>
              <w:jc w:val="right"/>
              <w:rPr>
                <w:b/>
                <w:color w:val="000000"/>
                <w:sz w:val="24"/>
              </w:rPr>
            </w:pPr>
            <w:r>
              <w:rPr>
                <w:b/>
                <w:color w:val="000000"/>
                <w:sz w:val="24"/>
              </w:rPr>
              <w:t>11,550</w:t>
            </w:r>
          </w:p>
        </w:tc>
      </w:tr>
    </w:tbl>
    <w:p w14:paraId="60024F2E" w14:textId="6ED60018" w:rsidR="00787D83" w:rsidRDefault="00EC02EA" w:rsidP="00787D83">
      <w:pPr>
        <w:spacing w:before="240" w:after="240" w:line="360" w:lineRule="auto"/>
        <w:rPr>
          <w:sz w:val="24"/>
        </w:rPr>
      </w:pPr>
      <w:r>
        <w:rPr>
          <w:sz w:val="24"/>
        </w:rPr>
        <w:t xml:space="preserve">Given </w:t>
      </w:r>
      <w:r w:rsidR="00AD417A">
        <w:rPr>
          <w:sz w:val="24"/>
        </w:rPr>
        <w:t xml:space="preserve">that </w:t>
      </w:r>
      <w:r>
        <w:rPr>
          <w:sz w:val="24"/>
        </w:rPr>
        <w:t>most, but not all</w:t>
      </w:r>
      <w:r w:rsidR="00AD417A">
        <w:rPr>
          <w:sz w:val="24"/>
        </w:rPr>
        <w:t>,</w:t>
      </w:r>
      <w:r>
        <w:rPr>
          <w:sz w:val="24"/>
        </w:rPr>
        <w:t xml:space="preserve"> case abstractors are nurse practitioners, t</w:t>
      </w:r>
      <w:r w:rsidR="009427DA" w:rsidRPr="009427DA">
        <w:rPr>
          <w:sz w:val="24"/>
        </w:rPr>
        <w:t>h</w:t>
      </w:r>
      <w:r w:rsidR="00787D83">
        <w:rPr>
          <w:sz w:val="24"/>
        </w:rPr>
        <w:t>e estimates of hourly wages for N</w:t>
      </w:r>
      <w:r w:rsidR="009427DA" w:rsidRPr="009427DA">
        <w:rPr>
          <w:sz w:val="24"/>
        </w:rPr>
        <w:t>urse</w:t>
      </w:r>
      <w:r w:rsidR="00787D83">
        <w:rPr>
          <w:sz w:val="24"/>
        </w:rPr>
        <w:t xml:space="preserve"> P</w:t>
      </w:r>
      <w:r w:rsidR="000274E9">
        <w:rPr>
          <w:sz w:val="24"/>
        </w:rPr>
        <w:t>ractitioner</w:t>
      </w:r>
      <w:r w:rsidR="009427DA" w:rsidRPr="009427DA">
        <w:rPr>
          <w:sz w:val="24"/>
        </w:rPr>
        <w:t xml:space="preserve"> abstractor</w:t>
      </w:r>
      <w:r w:rsidR="00787D83">
        <w:rPr>
          <w:sz w:val="24"/>
        </w:rPr>
        <w:t>s</w:t>
      </w:r>
      <w:r w:rsidR="009427DA" w:rsidRPr="009427DA">
        <w:rPr>
          <w:sz w:val="24"/>
        </w:rPr>
        <w:t xml:space="preserve"> were obtained from the Department of Labor, Bureau of Labor Statistics.</w:t>
      </w:r>
      <w:r w:rsidR="009427DA" w:rsidRPr="009427DA">
        <w:rPr>
          <w:sz w:val="24"/>
          <w:vertAlign w:val="superscript"/>
        </w:rPr>
        <w:footnoteReference w:id="6"/>
      </w:r>
      <w:r w:rsidR="009427DA" w:rsidRPr="009427DA">
        <w:rPr>
          <w:sz w:val="24"/>
        </w:rPr>
        <w:t xml:space="preserve"> The Median hourly wage for Nurse Practitioner </w:t>
      </w:r>
      <w:r w:rsidR="00787D83">
        <w:rPr>
          <w:sz w:val="24"/>
        </w:rPr>
        <w:t>is</w:t>
      </w:r>
      <w:r w:rsidR="009427DA" w:rsidRPr="009427DA">
        <w:rPr>
          <w:sz w:val="24"/>
        </w:rPr>
        <w:t xml:space="preserve"> $51.50. The </w:t>
      </w:r>
      <w:r w:rsidR="009427DA" w:rsidRPr="008913D2">
        <w:rPr>
          <w:sz w:val="24"/>
        </w:rPr>
        <w:t>total estimated annualized cost to respondents is $</w:t>
      </w:r>
      <w:r w:rsidR="007E2F3B">
        <w:rPr>
          <w:sz w:val="24"/>
        </w:rPr>
        <w:t>594,825</w:t>
      </w:r>
      <w:r w:rsidR="008913D2">
        <w:rPr>
          <w:sz w:val="24"/>
        </w:rPr>
        <w:t xml:space="preserve"> (</w:t>
      </w:r>
      <w:r w:rsidR="008913D2">
        <w:rPr>
          <w:b/>
          <w:sz w:val="24"/>
        </w:rPr>
        <w:t>Table A.12-2</w:t>
      </w:r>
      <w:r w:rsidR="008913D2">
        <w:rPr>
          <w:sz w:val="24"/>
        </w:rPr>
        <w:t>)</w:t>
      </w:r>
      <w:r w:rsidR="009427DA" w:rsidRPr="008913D2">
        <w:rPr>
          <w:sz w:val="24"/>
        </w:rPr>
        <w:t>.</w:t>
      </w:r>
    </w:p>
    <w:p w14:paraId="44E10888" w14:textId="77777777" w:rsidR="000274E9" w:rsidRDefault="000274E9" w:rsidP="000274E9">
      <w:pPr>
        <w:widowControl/>
        <w:spacing w:before="120" w:after="120" w:line="360" w:lineRule="auto"/>
        <w:rPr>
          <w:b/>
          <w:sz w:val="24"/>
        </w:rPr>
      </w:pPr>
      <w:r w:rsidRPr="00C346FE">
        <w:rPr>
          <w:b/>
          <w:sz w:val="24"/>
        </w:rPr>
        <w:t>Table A.12-2.  Estimated Annualized Cost to Respondents</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160"/>
        <w:gridCol w:w="1980"/>
        <w:gridCol w:w="1440"/>
        <w:gridCol w:w="1440"/>
        <w:gridCol w:w="1710"/>
      </w:tblGrid>
      <w:tr w:rsidR="000274E9" w:rsidRPr="004D5587" w14:paraId="1D1B5C6B" w14:textId="77777777" w:rsidTr="000274E9">
        <w:tc>
          <w:tcPr>
            <w:tcW w:w="1620" w:type="dxa"/>
            <w:tcBorders>
              <w:bottom w:val="single" w:sz="4" w:space="0" w:color="auto"/>
            </w:tcBorders>
            <w:vAlign w:val="center"/>
          </w:tcPr>
          <w:p w14:paraId="081113D0" w14:textId="77777777" w:rsidR="000274E9" w:rsidRPr="004D5587" w:rsidRDefault="000274E9" w:rsidP="004C1518">
            <w:pPr>
              <w:tabs>
                <w:tab w:val="left" w:pos="0"/>
              </w:tabs>
              <w:jc w:val="center"/>
              <w:rPr>
                <w:color w:val="000000"/>
                <w:sz w:val="24"/>
              </w:rPr>
            </w:pPr>
            <w:r w:rsidRPr="004D5587">
              <w:rPr>
                <w:color w:val="000000"/>
                <w:sz w:val="24"/>
              </w:rPr>
              <w:t>Type of Respondents</w:t>
            </w:r>
          </w:p>
        </w:tc>
        <w:tc>
          <w:tcPr>
            <w:tcW w:w="2160" w:type="dxa"/>
            <w:tcBorders>
              <w:bottom w:val="single" w:sz="4" w:space="0" w:color="auto"/>
            </w:tcBorders>
            <w:vAlign w:val="center"/>
          </w:tcPr>
          <w:p w14:paraId="1231D434" w14:textId="77777777" w:rsidR="000274E9" w:rsidRPr="004D5587" w:rsidRDefault="000274E9" w:rsidP="004C1518">
            <w:pPr>
              <w:tabs>
                <w:tab w:val="left" w:pos="0"/>
              </w:tabs>
              <w:jc w:val="center"/>
              <w:rPr>
                <w:color w:val="000000"/>
                <w:sz w:val="24"/>
              </w:rPr>
            </w:pPr>
            <w:r w:rsidRPr="004D5587">
              <w:rPr>
                <w:color w:val="000000"/>
                <w:sz w:val="24"/>
              </w:rPr>
              <w:t>Form Name</w:t>
            </w:r>
          </w:p>
        </w:tc>
        <w:tc>
          <w:tcPr>
            <w:tcW w:w="1980" w:type="dxa"/>
            <w:tcBorders>
              <w:bottom w:val="single" w:sz="4" w:space="0" w:color="auto"/>
            </w:tcBorders>
            <w:vAlign w:val="center"/>
          </w:tcPr>
          <w:p w14:paraId="1CA686DD" w14:textId="77777777" w:rsidR="000274E9" w:rsidRPr="004D5587" w:rsidRDefault="000274E9" w:rsidP="004C1518">
            <w:pPr>
              <w:tabs>
                <w:tab w:val="left" w:pos="0"/>
              </w:tabs>
              <w:jc w:val="center"/>
              <w:rPr>
                <w:color w:val="000000"/>
                <w:sz w:val="24"/>
              </w:rPr>
            </w:pPr>
            <w:r w:rsidRPr="004D5587">
              <w:rPr>
                <w:color w:val="000000"/>
                <w:sz w:val="24"/>
              </w:rPr>
              <w:t>No. of Respondents</w:t>
            </w:r>
          </w:p>
        </w:tc>
        <w:tc>
          <w:tcPr>
            <w:tcW w:w="1440" w:type="dxa"/>
            <w:tcBorders>
              <w:bottom w:val="single" w:sz="4" w:space="0" w:color="auto"/>
            </w:tcBorders>
            <w:vAlign w:val="center"/>
          </w:tcPr>
          <w:p w14:paraId="3B909A10" w14:textId="77777777" w:rsidR="000274E9" w:rsidRPr="004D5587" w:rsidRDefault="000274E9" w:rsidP="004C1518">
            <w:pPr>
              <w:tabs>
                <w:tab w:val="left" w:pos="0"/>
              </w:tabs>
              <w:jc w:val="center"/>
              <w:rPr>
                <w:color w:val="000000"/>
                <w:sz w:val="24"/>
              </w:rPr>
            </w:pPr>
            <w:r w:rsidRPr="004D5587">
              <w:rPr>
                <w:color w:val="000000"/>
                <w:sz w:val="24"/>
              </w:rPr>
              <w:t xml:space="preserve">Total Burden </w:t>
            </w:r>
          </w:p>
          <w:p w14:paraId="3573201F" w14:textId="77777777" w:rsidR="000274E9" w:rsidRPr="004D5587" w:rsidRDefault="000274E9" w:rsidP="004C1518">
            <w:pPr>
              <w:tabs>
                <w:tab w:val="left" w:pos="0"/>
              </w:tabs>
              <w:jc w:val="center"/>
              <w:rPr>
                <w:color w:val="000000"/>
                <w:sz w:val="24"/>
              </w:rPr>
            </w:pPr>
            <w:r w:rsidRPr="004D5587">
              <w:rPr>
                <w:color w:val="000000"/>
                <w:sz w:val="24"/>
              </w:rPr>
              <w:t>(in hrs.)</w:t>
            </w:r>
          </w:p>
        </w:tc>
        <w:tc>
          <w:tcPr>
            <w:tcW w:w="1440" w:type="dxa"/>
            <w:vAlign w:val="center"/>
          </w:tcPr>
          <w:p w14:paraId="1CA4039B" w14:textId="77777777" w:rsidR="000274E9" w:rsidRDefault="000274E9" w:rsidP="004C1518">
            <w:pPr>
              <w:widowControl/>
              <w:autoSpaceDE/>
              <w:autoSpaceDN/>
              <w:adjustRightInd/>
              <w:rPr>
                <w:color w:val="000000"/>
                <w:sz w:val="24"/>
              </w:rPr>
            </w:pPr>
            <w:r>
              <w:rPr>
                <w:color w:val="000000"/>
                <w:sz w:val="24"/>
              </w:rPr>
              <w:t>Average Hourly Wage Rate</w:t>
            </w:r>
          </w:p>
        </w:tc>
        <w:tc>
          <w:tcPr>
            <w:tcW w:w="1710" w:type="dxa"/>
          </w:tcPr>
          <w:p w14:paraId="5B2B0994" w14:textId="77777777" w:rsidR="000274E9" w:rsidRDefault="000274E9" w:rsidP="004C1518">
            <w:pPr>
              <w:widowControl/>
              <w:autoSpaceDE/>
              <w:autoSpaceDN/>
              <w:adjustRightInd/>
              <w:rPr>
                <w:color w:val="000000"/>
                <w:sz w:val="24"/>
              </w:rPr>
            </w:pPr>
            <w:r>
              <w:rPr>
                <w:color w:val="000000"/>
                <w:sz w:val="24"/>
              </w:rPr>
              <w:t>Total Cost Burden</w:t>
            </w:r>
          </w:p>
        </w:tc>
      </w:tr>
      <w:tr w:rsidR="00DA32F2" w:rsidRPr="004D5587" w14:paraId="1DEBBF7A" w14:textId="77777777" w:rsidTr="000274E9">
        <w:tc>
          <w:tcPr>
            <w:tcW w:w="1620" w:type="dxa"/>
            <w:vMerge w:val="restart"/>
            <w:shd w:val="clear" w:color="auto" w:fill="auto"/>
            <w:vAlign w:val="center"/>
          </w:tcPr>
          <w:p w14:paraId="352A2A58" w14:textId="09EF4A42" w:rsidR="00DA32F2" w:rsidRPr="004D5587" w:rsidRDefault="00DA32F2" w:rsidP="004C1518">
            <w:pPr>
              <w:tabs>
                <w:tab w:val="left" w:pos="0"/>
              </w:tabs>
              <w:jc w:val="center"/>
              <w:rPr>
                <w:color w:val="000000"/>
                <w:sz w:val="24"/>
              </w:rPr>
            </w:pPr>
            <w:r>
              <w:rPr>
                <w:color w:val="000000"/>
                <w:sz w:val="24"/>
              </w:rPr>
              <w:t>Awardee</w:t>
            </w:r>
          </w:p>
        </w:tc>
        <w:tc>
          <w:tcPr>
            <w:tcW w:w="2160" w:type="dxa"/>
            <w:shd w:val="clear" w:color="auto" w:fill="auto"/>
            <w:vAlign w:val="center"/>
          </w:tcPr>
          <w:p w14:paraId="2DA73BED" w14:textId="1BF36788" w:rsidR="00DA32F2" w:rsidRDefault="00DA32F2" w:rsidP="00D74B69">
            <w:pPr>
              <w:tabs>
                <w:tab w:val="left" w:pos="0"/>
              </w:tabs>
              <w:jc w:val="center"/>
              <w:rPr>
                <w:color w:val="000000"/>
                <w:sz w:val="24"/>
              </w:rPr>
            </w:pPr>
            <w:r>
              <w:rPr>
                <w:color w:val="000000"/>
                <w:sz w:val="24"/>
              </w:rPr>
              <w:t xml:space="preserve">Data abstraction </w:t>
            </w:r>
          </w:p>
        </w:tc>
        <w:tc>
          <w:tcPr>
            <w:tcW w:w="1980" w:type="dxa"/>
            <w:shd w:val="clear" w:color="auto" w:fill="auto"/>
            <w:vAlign w:val="center"/>
          </w:tcPr>
          <w:p w14:paraId="03B2B14B" w14:textId="65EF171B" w:rsidR="00DA32F2" w:rsidRDefault="00DA32F2" w:rsidP="004C1518">
            <w:pPr>
              <w:tabs>
                <w:tab w:val="left" w:pos="0"/>
              </w:tabs>
              <w:jc w:val="center"/>
              <w:rPr>
                <w:color w:val="000000"/>
                <w:sz w:val="24"/>
              </w:rPr>
            </w:pPr>
            <w:r>
              <w:rPr>
                <w:color w:val="000000"/>
                <w:sz w:val="24"/>
              </w:rPr>
              <w:t>25</w:t>
            </w:r>
          </w:p>
        </w:tc>
        <w:tc>
          <w:tcPr>
            <w:tcW w:w="1440" w:type="dxa"/>
            <w:tcBorders>
              <w:top w:val="nil"/>
              <w:left w:val="nil"/>
              <w:bottom w:val="single" w:sz="8" w:space="0" w:color="auto"/>
              <w:right w:val="single" w:sz="8" w:space="0" w:color="auto"/>
            </w:tcBorders>
            <w:vAlign w:val="center"/>
          </w:tcPr>
          <w:p w14:paraId="79483494" w14:textId="773BA1D6" w:rsidR="00DA32F2" w:rsidRDefault="00DA32F2" w:rsidP="00DA32F2">
            <w:pPr>
              <w:tabs>
                <w:tab w:val="left" w:pos="0"/>
              </w:tabs>
              <w:jc w:val="right"/>
              <w:rPr>
                <w:color w:val="000000"/>
                <w:sz w:val="24"/>
              </w:rPr>
            </w:pPr>
            <w:r>
              <w:rPr>
                <w:color w:val="000000"/>
                <w:sz w:val="24"/>
              </w:rPr>
              <w:t>11,250</w:t>
            </w:r>
          </w:p>
        </w:tc>
        <w:tc>
          <w:tcPr>
            <w:tcW w:w="1440" w:type="dxa"/>
            <w:vAlign w:val="center"/>
          </w:tcPr>
          <w:p w14:paraId="621603A8" w14:textId="3470DCD0" w:rsidR="00DA32F2" w:rsidRPr="00152CC3" w:rsidRDefault="00DA32F2" w:rsidP="004C1518">
            <w:pPr>
              <w:widowControl/>
              <w:autoSpaceDE/>
              <w:autoSpaceDN/>
              <w:adjustRightInd/>
              <w:jc w:val="right"/>
              <w:rPr>
                <w:sz w:val="24"/>
              </w:rPr>
            </w:pPr>
            <w:r>
              <w:rPr>
                <w:sz w:val="24"/>
              </w:rPr>
              <w:t>$51.50</w:t>
            </w:r>
          </w:p>
        </w:tc>
        <w:tc>
          <w:tcPr>
            <w:tcW w:w="1710" w:type="dxa"/>
          </w:tcPr>
          <w:p w14:paraId="01972179" w14:textId="62E66F23" w:rsidR="00DA32F2" w:rsidRDefault="00DA32F2" w:rsidP="004C1518">
            <w:pPr>
              <w:widowControl/>
              <w:autoSpaceDE/>
              <w:autoSpaceDN/>
              <w:adjustRightInd/>
              <w:jc w:val="right"/>
              <w:rPr>
                <w:sz w:val="24"/>
              </w:rPr>
            </w:pPr>
            <w:r>
              <w:rPr>
                <w:sz w:val="24"/>
              </w:rPr>
              <w:t>$579,375</w:t>
            </w:r>
          </w:p>
        </w:tc>
      </w:tr>
      <w:tr w:rsidR="00DA32F2" w:rsidRPr="004D5587" w14:paraId="549D9F3B" w14:textId="77777777" w:rsidTr="000274E9">
        <w:tc>
          <w:tcPr>
            <w:tcW w:w="1620" w:type="dxa"/>
            <w:vMerge/>
            <w:shd w:val="clear" w:color="auto" w:fill="auto"/>
            <w:vAlign w:val="center"/>
          </w:tcPr>
          <w:p w14:paraId="177FF6BB" w14:textId="77777777" w:rsidR="00DA32F2" w:rsidRDefault="00DA32F2" w:rsidP="004C1518">
            <w:pPr>
              <w:tabs>
                <w:tab w:val="left" w:pos="0"/>
              </w:tabs>
              <w:jc w:val="center"/>
              <w:rPr>
                <w:color w:val="000000"/>
                <w:sz w:val="24"/>
              </w:rPr>
            </w:pPr>
          </w:p>
        </w:tc>
        <w:tc>
          <w:tcPr>
            <w:tcW w:w="2160" w:type="dxa"/>
            <w:shd w:val="clear" w:color="auto" w:fill="auto"/>
            <w:vAlign w:val="center"/>
          </w:tcPr>
          <w:p w14:paraId="23292CEA" w14:textId="06ABD2C7" w:rsidR="00DA32F2" w:rsidRDefault="00DA32F2" w:rsidP="00A43216">
            <w:pPr>
              <w:tabs>
                <w:tab w:val="left" w:pos="0"/>
              </w:tabs>
              <w:jc w:val="center"/>
              <w:rPr>
                <w:color w:val="000000"/>
                <w:sz w:val="24"/>
              </w:rPr>
            </w:pPr>
            <w:r>
              <w:rPr>
                <w:color w:val="000000"/>
                <w:sz w:val="24"/>
              </w:rPr>
              <w:t>Committee decision</w:t>
            </w:r>
          </w:p>
        </w:tc>
        <w:tc>
          <w:tcPr>
            <w:tcW w:w="1980" w:type="dxa"/>
            <w:shd w:val="clear" w:color="auto" w:fill="auto"/>
            <w:vAlign w:val="center"/>
          </w:tcPr>
          <w:p w14:paraId="7DACE3B2" w14:textId="309C9EF4" w:rsidR="00DA32F2" w:rsidRDefault="00DA32F2" w:rsidP="004C1518">
            <w:pPr>
              <w:tabs>
                <w:tab w:val="left" w:pos="0"/>
              </w:tabs>
              <w:jc w:val="center"/>
              <w:rPr>
                <w:color w:val="000000"/>
                <w:sz w:val="24"/>
              </w:rPr>
            </w:pPr>
            <w:r>
              <w:rPr>
                <w:color w:val="000000"/>
                <w:sz w:val="24"/>
              </w:rPr>
              <w:t>25</w:t>
            </w:r>
          </w:p>
        </w:tc>
        <w:tc>
          <w:tcPr>
            <w:tcW w:w="1440" w:type="dxa"/>
            <w:tcBorders>
              <w:top w:val="nil"/>
              <w:left w:val="nil"/>
              <w:bottom w:val="single" w:sz="8" w:space="0" w:color="auto"/>
              <w:right w:val="single" w:sz="8" w:space="0" w:color="auto"/>
            </w:tcBorders>
            <w:vAlign w:val="center"/>
          </w:tcPr>
          <w:p w14:paraId="6CA829EF" w14:textId="5DDA2184" w:rsidR="00DA32F2" w:rsidRDefault="00DA32F2" w:rsidP="004C1518">
            <w:pPr>
              <w:tabs>
                <w:tab w:val="left" w:pos="0"/>
              </w:tabs>
              <w:jc w:val="right"/>
              <w:rPr>
                <w:color w:val="000000"/>
                <w:sz w:val="24"/>
              </w:rPr>
            </w:pPr>
            <w:r>
              <w:rPr>
                <w:color w:val="000000"/>
                <w:sz w:val="24"/>
              </w:rPr>
              <w:t>300</w:t>
            </w:r>
          </w:p>
        </w:tc>
        <w:tc>
          <w:tcPr>
            <w:tcW w:w="1440" w:type="dxa"/>
            <w:vAlign w:val="center"/>
          </w:tcPr>
          <w:p w14:paraId="0A5DA2D9" w14:textId="28288582" w:rsidR="00DA32F2" w:rsidRDefault="00DA32F2" w:rsidP="004C1518">
            <w:pPr>
              <w:widowControl/>
              <w:autoSpaceDE/>
              <w:autoSpaceDN/>
              <w:adjustRightInd/>
              <w:jc w:val="right"/>
              <w:rPr>
                <w:sz w:val="24"/>
              </w:rPr>
            </w:pPr>
            <w:r>
              <w:rPr>
                <w:sz w:val="24"/>
              </w:rPr>
              <w:t>$51.50</w:t>
            </w:r>
          </w:p>
        </w:tc>
        <w:tc>
          <w:tcPr>
            <w:tcW w:w="1710" w:type="dxa"/>
          </w:tcPr>
          <w:p w14:paraId="453D1D66" w14:textId="03B7EE22" w:rsidR="00DA32F2" w:rsidRDefault="00DA32F2" w:rsidP="004C1518">
            <w:pPr>
              <w:widowControl/>
              <w:autoSpaceDE/>
              <w:autoSpaceDN/>
              <w:adjustRightInd/>
              <w:jc w:val="right"/>
              <w:rPr>
                <w:sz w:val="24"/>
              </w:rPr>
            </w:pPr>
            <w:r>
              <w:rPr>
                <w:sz w:val="24"/>
              </w:rPr>
              <w:t>$15,450</w:t>
            </w:r>
          </w:p>
        </w:tc>
      </w:tr>
      <w:tr w:rsidR="000274E9" w:rsidRPr="004D5587" w14:paraId="0CFA08A8" w14:textId="77777777" w:rsidTr="000274E9">
        <w:tc>
          <w:tcPr>
            <w:tcW w:w="8640" w:type="dxa"/>
            <w:gridSpan w:val="5"/>
            <w:shd w:val="clear" w:color="auto" w:fill="auto"/>
            <w:vAlign w:val="bottom"/>
          </w:tcPr>
          <w:p w14:paraId="781D7EB7" w14:textId="77777777" w:rsidR="000274E9" w:rsidRDefault="000274E9" w:rsidP="004C1518">
            <w:pPr>
              <w:tabs>
                <w:tab w:val="left" w:pos="0"/>
              </w:tabs>
              <w:rPr>
                <w:color w:val="000000"/>
                <w:sz w:val="24"/>
              </w:rPr>
            </w:pPr>
            <w:r>
              <w:rPr>
                <w:color w:val="000000"/>
                <w:sz w:val="24"/>
              </w:rPr>
              <w:t>Total</w:t>
            </w:r>
          </w:p>
        </w:tc>
        <w:tc>
          <w:tcPr>
            <w:tcW w:w="1710" w:type="dxa"/>
          </w:tcPr>
          <w:p w14:paraId="1E931E31" w14:textId="0649D816" w:rsidR="000274E9" w:rsidRDefault="000274E9" w:rsidP="004C1518">
            <w:pPr>
              <w:tabs>
                <w:tab w:val="left" w:pos="0"/>
              </w:tabs>
              <w:jc w:val="right"/>
              <w:rPr>
                <w:color w:val="000000"/>
                <w:sz w:val="24"/>
              </w:rPr>
            </w:pPr>
            <w:r>
              <w:rPr>
                <w:color w:val="000000"/>
                <w:sz w:val="24"/>
              </w:rPr>
              <w:t>$</w:t>
            </w:r>
            <w:r w:rsidR="00DA32F2">
              <w:rPr>
                <w:color w:val="000000"/>
                <w:sz w:val="24"/>
              </w:rPr>
              <w:t>594,825</w:t>
            </w:r>
          </w:p>
        </w:tc>
      </w:tr>
    </w:tbl>
    <w:p w14:paraId="482510AF" w14:textId="77777777" w:rsidR="00D74B69" w:rsidRDefault="00D74B69" w:rsidP="00D74B69">
      <w:pPr>
        <w:pStyle w:val="Heading3"/>
        <w:rPr>
          <w:rFonts w:ascii="Times New Roman" w:hAnsi="Times New Roman" w:cs="Times New Roman"/>
          <w:sz w:val="24"/>
          <w:szCs w:val="24"/>
        </w:rPr>
      </w:pPr>
      <w:bookmarkStart w:id="14" w:name="_Toc7600449"/>
    </w:p>
    <w:p w14:paraId="6BA9C72B" w14:textId="48783F66" w:rsidR="00ED028C" w:rsidRPr="00BB3C01" w:rsidRDefault="00E16850" w:rsidP="00200139">
      <w:pPr>
        <w:pStyle w:val="Heading3"/>
        <w:numPr>
          <w:ilvl w:val="0"/>
          <w:numId w:val="2"/>
        </w:numPr>
        <w:ind w:left="0" w:firstLine="0"/>
        <w:rPr>
          <w:rFonts w:ascii="Times New Roman" w:hAnsi="Times New Roman" w:cs="Times New Roman"/>
          <w:sz w:val="24"/>
          <w:szCs w:val="24"/>
        </w:rPr>
      </w:pPr>
      <w:r w:rsidRPr="00BB3C01">
        <w:rPr>
          <w:rFonts w:ascii="Times New Roman" w:hAnsi="Times New Roman" w:cs="Times New Roman"/>
          <w:sz w:val="24"/>
          <w:szCs w:val="24"/>
        </w:rPr>
        <w:t>Estimates of Other Total Annual Cost Burden to Respondents or Record Keepers</w:t>
      </w:r>
      <w:bookmarkEnd w:id="14"/>
    </w:p>
    <w:p w14:paraId="6B4A9E40" w14:textId="77777777" w:rsidR="00E56539" w:rsidRPr="00BB3C01" w:rsidRDefault="00E56539" w:rsidP="00CF17B9">
      <w:pPr>
        <w:spacing w:line="276" w:lineRule="auto"/>
        <w:rPr>
          <w:sz w:val="24"/>
        </w:rPr>
      </w:pPr>
    </w:p>
    <w:p w14:paraId="0121B21A" w14:textId="6CC3FB59" w:rsidR="00ED028C" w:rsidRDefault="00811A3C" w:rsidP="00CF17B9">
      <w:pPr>
        <w:spacing w:line="276" w:lineRule="auto"/>
        <w:rPr>
          <w:sz w:val="24"/>
        </w:rPr>
      </w:pPr>
      <w:r>
        <w:rPr>
          <w:sz w:val="24"/>
        </w:rPr>
        <w:t xml:space="preserve">There are no maintenance or capital costs to respondents. </w:t>
      </w:r>
    </w:p>
    <w:p w14:paraId="358E658A" w14:textId="77777777" w:rsidR="008477F6" w:rsidRPr="00BB3C01" w:rsidRDefault="008477F6" w:rsidP="00CF17B9">
      <w:pPr>
        <w:spacing w:line="276" w:lineRule="auto"/>
        <w:rPr>
          <w:b/>
          <w:sz w:val="24"/>
          <w:highlight w:val="yellow"/>
        </w:rPr>
      </w:pPr>
    </w:p>
    <w:p w14:paraId="04BA3AC2" w14:textId="77777777" w:rsidR="00ED028C" w:rsidRPr="00BB3C01" w:rsidRDefault="00ED028C" w:rsidP="00200139">
      <w:pPr>
        <w:pStyle w:val="Heading3"/>
        <w:numPr>
          <w:ilvl w:val="0"/>
          <w:numId w:val="2"/>
        </w:numPr>
        <w:ind w:left="0" w:firstLine="0"/>
        <w:rPr>
          <w:rFonts w:ascii="Times New Roman" w:hAnsi="Times New Roman" w:cs="Times New Roman"/>
          <w:sz w:val="24"/>
          <w:szCs w:val="24"/>
        </w:rPr>
      </w:pPr>
      <w:bookmarkStart w:id="15" w:name="_Toc7600450"/>
      <w:r w:rsidRPr="00BB3C01">
        <w:rPr>
          <w:rFonts w:ascii="Times New Roman" w:hAnsi="Times New Roman" w:cs="Times New Roman"/>
          <w:sz w:val="24"/>
          <w:szCs w:val="24"/>
        </w:rPr>
        <w:t>Annualized Cost to Federal Government</w:t>
      </w:r>
      <w:bookmarkEnd w:id="15"/>
    </w:p>
    <w:p w14:paraId="776CD780" w14:textId="77777777" w:rsidR="001C2603" w:rsidRPr="00BB3C01" w:rsidRDefault="001C2603" w:rsidP="006530E2">
      <w:pPr>
        <w:rPr>
          <w:sz w:val="24"/>
        </w:rPr>
      </w:pPr>
    </w:p>
    <w:p w14:paraId="3704AA16" w14:textId="3771AFF4" w:rsidR="009427DA" w:rsidRDefault="009427DA" w:rsidP="009427DA">
      <w:pPr>
        <w:spacing w:line="360" w:lineRule="auto"/>
        <w:rPr>
          <w:i/>
          <w:sz w:val="24"/>
        </w:rPr>
      </w:pPr>
      <w:r w:rsidRPr="009427DA">
        <w:rPr>
          <w:sz w:val="24"/>
        </w:rPr>
        <w:t xml:space="preserve">The total annual cost to the government </w:t>
      </w:r>
      <w:r w:rsidR="00C0009B">
        <w:rPr>
          <w:sz w:val="24"/>
        </w:rPr>
        <w:t xml:space="preserve">is $9,449,493; it is </w:t>
      </w:r>
      <w:r w:rsidR="001603CB" w:rsidRPr="009427DA">
        <w:rPr>
          <w:sz w:val="24"/>
        </w:rPr>
        <w:t>based</w:t>
      </w:r>
      <w:r w:rsidRPr="009427DA">
        <w:rPr>
          <w:sz w:val="24"/>
        </w:rPr>
        <w:t xml:space="preserve"> on funding to awardees through </w:t>
      </w:r>
      <w:r w:rsidR="00C0009B">
        <w:rPr>
          <w:sz w:val="24"/>
        </w:rPr>
        <w:t>CDC-RFA-DP19-1908</w:t>
      </w:r>
      <w:r w:rsidRPr="009427DA">
        <w:rPr>
          <w:sz w:val="24"/>
        </w:rPr>
        <w:t xml:space="preserve"> and</w:t>
      </w:r>
      <w:r w:rsidR="008913D2">
        <w:rPr>
          <w:sz w:val="24"/>
        </w:rPr>
        <w:t xml:space="preserve"> CDC personnel and time (</w:t>
      </w:r>
      <w:r w:rsidR="008913D2" w:rsidRPr="008913D2">
        <w:rPr>
          <w:b/>
          <w:sz w:val="24"/>
        </w:rPr>
        <w:t>Table A.14</w:t>
      </w:r>
      <w:r w:rsidRPr="009427DA">
        <w:rPr>
          <w:sz w:val="24"/>
        </w:rPr>
        <w:t>).</w:t>
      </w:r>
      <w:r w:rsidRPr="009427DA">
        <w:rPr>
          <w:i/>
          <w:sz w:val="24"/>
        </w:rPr>
        <w:t xml:space="preserve"> </w:t>
      </w:r>
    </w:p>
    <w:p w14:paraId="1F77F22B" w14:textId="6FEAF862" w:rsidR="00263E3B" w:rsidRDefault="00263E3B" w:rsidP="009427DA">
      <w:pPr>
        <w:spacing w:line="360" w:lineRule="auto"/>
        <w:rPr>
          <w:i/>
          <w:sz w:val="24"/>
        </w:rPr>
      </w:pPr>
    </w:p>
    <w:p w14:paraId="2447B466" w14:textId="00F3B564" w:rsidR="00263E3B" w:rsidRDefault="00263E3B" w:rsidP="009427DA">
      <w:pPr>
        <w:spacing w:line="360" w:lineRule="auto"/>
        <w:rPr>
          <w:i/>
          <w:sz w:val="24"/>
        </w:rPr>
      </w:pPr>
    </w:p>
    <w:p w14:paraId="20825F59" w14:textId="443EF3EC" w:rsidR="00263E3B" w:rsidRDefault="00263E3B" w:rsidP="009427DA">
      <w:pPr>
        <w:spacing w:line="360" w:lineRule="auto"/>
        <w:rPr>
          <w:i/>
          <w:sz w:val="24"/>
        </w:rPr>
      </w:pPr>
    </w:p>
    <w:p w14:paraId="3E208AB6" w14:textId="4B0F7658" w:rsidR="00263E3B" w:rsidRDefault="00263E3B" w:rsidP="009427DA">
      <w:pPr>
        <w:spacing w:line="360" w:lineRule="auto"/>
        <w:rPr>
          <w:i/>
          <w:sz w:val="24"/>
        </w:rPr>
      </w:pPr>
    </w:p>
    <w:p w14:paraId="2B3BF9B8" w14:textId="0860BFE4" w:rsidR="00263E3B" w:rsidRDefault="00263E3B" w:rsidP="009427DA">
      <w:pPr>
        <w:spacing w:line="360" w:lineRule="auto"/>
        <w:rPr>
          <w:i/>
          <w:sz w:val="24"/>
        </w:rPr>
      </w:pPr>
    </w:p>
    <w:p w14:paraId="02AE32D9" w14:textId="27168F95" w:rsidR="00263E3B" w:rsidRDefault="00263E3B" w:rsidP="009427DA">
      <w:pPr>
        <w:spacing w:line="360" w:lineRule="auto"/>
        <w:rPr>
          <w:i/>
          <w:sz w:val="24"/>
        </w:rPr>
      </w:pPr>
    </w:p>
    <w:p w14:paraId="278F0FF6" w14:textId="0EA86DCD" w:rsidR="00263E3B" w:rsidRDefault="00263E3B" w:rsidP="009427DA">
      <w:pPr>
        <w:spacing w:line="360" w:lineRule="auto"/>
        <w:rPr>
          <w:i/>
          <w:sz w:val="24"/>
        </w:rPr>
      </w:pPr>
    </w:p>
    <w:p w14:paraId="6E88F74F" w14:textId="0B63B445" w:rsidR="00263E3B" w:rsidRDefault="00263E3B" w:rsidP="009427DA">
      <w:pPr>
        <w:spacing w:line="360" w:lineRule="auto"/>
        <w:rPr>
          <w:i/>
          <w:sz w:val="24"/>
        </w:rPr>
      </w:pPr>
    </w:p>
    <w:p w14:paraId="0B07809A" w14:textId="1FEC9808" w:rsidR="00263E3B" w:rsidRDefault="00263E3B" w:rsidP="009427DA">
      <w:pPr>
        <w:spacing w:line="360" w:lineRule="auto"/>
        <w:rPr>
          <w:i/>
          <w:sz w:val="24"/>
        </w:rPr>
      </w:pPr>
    </w:p>
    <w:p w14:paraId="52911D7B" w14:textId="77777777" w:rsidR="00263E3B" w:rsidRPr="009427DA" w:rsidRDefault="00263E3B" w:rsidP="009427DA">
      <w:pPr>
        <w:spacing w:line="360" w:lineRule="auto"/>
        <w:rPr>
          <w:sz w:val="24"/>
        </w:rPr>
      </w:pPr>
    </w:p>
    <w:p w14:paraId="48FDF000" w14:textId="77777777" w:rsidR="009427DA" w:rsidRPr="009427DA" w:rsidRDefault="009427DA" w:rsidP="009427DA">
      <w:pPr>
        <w:rPr>
          <w:sz w:val="24"/>
        </w:rPr>
      </w:pPr>
    </w:p>
    <w:p w14:paraId="50ECF9F4" w14:textId="7DE1AAF4" w:rsidR="009427DA" w:rsidRPr="009427DA" w:rsidRDefault="009427DA" w:rsidP="009C5FF6">
      <w:pPr>
        <w:rPr>
          <w:b/>
          <w:sz w:val="24"/>
        </w:rPr>
      </w:pPr>
      <w:r w:rsidRPr="009427DA">
        <w:rPr>
          <w:b/>
          <w:sz w:val="24"/>
        </w:rPr>
        <w:t xml:space="preserve">Table </w:t>
      </w:r>
      <w:r w:rsidR="008913D2">
        <w:rPr>
          <w:b/>
          <w:sz w:val="24"/>
        </w:rPr>
        <w:t>A.14</w:t>
      </w:r>
      <w:r w:rsidR="00811A3C">
        <w:rPr>
          <w:b/>
          <w:sz w:val="24"/>
        </w:rPr>
        <w:t>.</w:t>
      </w:r>
      <w:r w:rsidRPr="009427DA">
        <w:rPr>
          <w:b/>
          <w:sz w:val="24"/>
        </w:rPr>
        <w:t xml:space="preserve"> Annualized Cost to the Federal Government</w:t>
      </w:r>
    </w:p>
    <w:tbl>
      <w:tblPr>
        <w:tblW w:w="54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475"/>
        <w:gridCol w:w="7021"/>
        <w:gridCol w:w="1850"/>
      </w:tblGrid>
      <w:tr w:rsidR="009427DA" w:rsidRPr="009427DA" w14:paraId="61FC7DFF" w14:textId="77777777" w:rsidTr="00362F0D">
        <w:trPr>
          <w:trHeight w:val="20"/>
          <w:jc w:val="center"/>
        </w:trPr>
        <w:tc>
          <w:tcPr>
            <w:tcW w:w="713" w:type="pct"/>
            <w:tcMar>
              <w:top w:w="0" w:type="dxa"/>
              <w:left w:w="108" w:type="dxa"/>
              <w:bottom w:w="0" w:type="dxa"/>
              <w:right w:w="108" w:type="dxa"/>
            </w:tcMar>
            <w:vAlign w:val="center"/>
            <w:hideMark/>
          </w:tcPr>
          <w:p w14:paraId="2E3DEA32" w14:textId="77777777" w:rsidR="009427DA" w:rsidRPr="009427DA" w:rsidRDefault="009427DA" w:rsidP="00362F0D">
            <w:pPr>
              <w:jc w:val="center"/>
              <w:rPr>
                <w:b/>
                <w:sz w:val="24"/>
              </w:rPr>
            </w:pPr>
            <w:r w:rsidRPr="009427DA">
              <w:rPr>
                <w:b/>
                <w:sz w:val="24"/>
              </w:rPr>
              <w:t>Expense Type</w:t>
            </w:r>
          </w:p>
        </w:tc>
        <w:tc>
          <w:tcPr>
            <w:tcW w:w="3393" w:type="pct"/>
            <w:tcMar>
              <w:top w:w="0" w:type="dxa"/>
              <w:left w:w="108" w:type="dxa"/>
              <w:bottom w:w="0" w:type="dxa"/>
              <w:right w:w="108" w:type="dxa"/>
            </w:tcMar>
            <w:vAlign w:val="center"/>
            <w:hideMark/>
          </w:tcPr>
          <w:p w14:paraId="184E50DD" w14:textId="77777777" w:rsidR="009427DA" w:rsidRPr="009427DA" w:rsidRDefault="009427DA" w:rsidP="00362F0D">
            <w:pPr>
              <w:rPr>
                <w:b/>
                <w:sz w:val="24"/>
              </w:rPr>
            </w:pPr>
            <w:r w:rsidRPr="009427DA">
              <w:rPr>
                <w:b/>
                <w:sz w:val="24"/>
              </w:rPr>
              <w:t>Expense Explanation</w:t>
            </w:r>
          </w:p>
        </w:tc>
        <w:tc>
          <w:tcPr>
            <w:tcW w:w="894" w:type="pct"/>
            <w:tcMar>
              <w:top w:w="0" w:type="dxa"/>
              <w:left w:w="108" w:type="dxa"/>
              <w:bottom w:w="0" w:type="dxa"/>
              <w:right w:w="108" w:type="dxa"/>
            </w:tcMar>
            <w:vAlign w:val="center"/>
            <w:hideMark/>
          </w:tcPr>
          <w:p w14:paraId="0F80F9D1" w14:textId="77777777" w:rsidR="009427DA" w:rsidRPr="009427DA" w:rsidRDefault="009427DA" w:rsidP="00362F0D">
            <w:pPr>
              <w:jc w:val="center"/>
              <w:rPr>
                <w:b/>
                <w:sz w:val="24"/>
              </w:rPr>
            </w:pPr>
            <w:r w:rsidRPr="009427DA">
              <w:rPr>
                <w:b/>
                <w:sz w:val="24"/>
              </w:rPr>
              <w:t>Annual Costs (dollars)</w:t>
            </w:r>
          </w:p>
        </w:tc>
      </w:tr>
      <w:tr w:rsidR="009427DA" w:rsidRPr="009427DA" w14:paraId="1B3C0F81" w14:textId="77777777" w:rsidTr="00362F0D">
        <w:trPr>
          <w:trHeight w:val="499"/>
          <w:jc w:val="center"/>
        </w:trPr>
        <w:tc>
          <w:tcPr>
            <w:tcW w:w="713" w:type="pct"/>
            <w:tcMar>
              <w:top w:w="0" w:type="dxa"/>
              <w:left w:w="108" w:type="dxa"/>
              <w:bottom w:w="0" w:type="dxa"/>
              <w:right w:w="108" w:type="dxa"/>
            </w:tcMar>
            <w:vAlign w:val="center"/>
          </w:tcPr>
          <w:p w14:paraId="2E7A8CE2" w14:textId="77777777" w:rsidR="009427DA" w:rsidRPr="009427DA" w:rsidRDefault="009427DA" w:rsidP="00362F0D">
            <w:pPr>
              <w:jc w:val="center"/>
              <w:rPr>
                <w:sz w:val="24"/>
              </w:rPr>
            </w:pPr>
            <w:r w:rsidRPr="009427DA">
              <w:rPr>
                <w:sz w:val="24"/>
              </w:rPr>
              <w:t>Cooperative Agreement</w:t>
            </w:r>
          </w:p>
        </w:tc>
        <w:tc>
          <w:tcPr>
            <w:tcW w:w="3393" w:type="pct"/>
            <w:tcMar>
              <w:top w:w="0" w:type="dxa"/>
              <w:left w:w="108" w:type="dxa"/>
              <w:bottom w:w="0" w:type="dxa"/>
              <w:right w:w="108" w:type="dxa"/>
            </w:tcMar>
          </w:tcPr>
          <w:p w14:paraId="2E7B8D80" w14:textId="77777777" w:rsidR="009427DA" w:rsidRPr="009427DA" w:rsidRDefault="009427DA" w:rsidP="00362F0D">
            <w:pPr>
              <w:contextualSpacing/>
              <w:rPr>
                <w:sz w:val="24"/>
              </w:rPr>
            </w:pPr>
            <w:r w:rsidRPr="009427DA">
              <w:rPr>
                <w:sz w:val="24"/>
              </w:rPr>
              <w:t>Cooperative Agreement DP19-1908 with 25 Maternal Mortality Review Committee Awardees</w:t>
            </w:r>
          </w:p>
        </w:tc>
        <w:tc>
          <w:tcPr>
            <w:tcW w:w="894" w:type="pct"/>
            <w:tcMar>
              <w:top w:w="0" w:type="dxa"/>
              <w:left w:w="108" w:type="dxa"/>
              <w:bottom w:w="0" w:type="dxa"/>
              <w:right w:w="108" w:type="dxa"/>
            </w:tcMar>
          </w:tcPr>
          <w:p w14:paraId="54F02158" w14:textId="77777777" w:rsidR="009427DA" w:rsidRPr="009427DA" w:rsidRDefault="009427DA" w:rsidP="00362F0D">
            <w:pPr>
              <w:jc w:val="center"/>
              <w:rPr>
                <w:sz w:val="24"/>
              </w:rPr>
            </w:pPr>
            <w:r w:rsidRPr="009427DA">
              <w:rPr>
                <w:b/>
                <w:sz w:val="24"/>
              </w:rPr>
              <w:t>$8,700,000</w:t>
            </w:r>
          </w:p>
        </w:tc>
      </w:tr>
      <w:tr w:rsidR="009427DA" w:rsidRPr="009427DA" w14:paraId="2D54BD80" w14:textId="77777777" w:rsidTr="00362F0D">
        <w:trPr>
          <w:trHeight w:val="20"/>
          <w:jc w:val="center"/>
        </w:trPr>
        <w:tc>
          <w:tcPr>
            <w:tcW w:w="713" w:type="pct"/>
            <w:vMerge w:val="restart"/>
            <w:tcMar>
              <w:top w:w="0" w:type="dxa"/>
              <w:left w:w="108" w:type="dxa"/>
              <w:bottom w:w="0" w:type="dxa"/>
              <w:right w:w="108" w:type="dxa"/>
            </w:tcMar>
            <w:vAlign w:val="center"/>
          </w:tcPr>
          <w:p w14:paraId="6A2B75DE" w14:textId="77777777" w:rsidR="009427DA" w:rsidRPr="009427DA" w:rsidRDefault="009427DA" w:rsidP="00362F0D">
            <w:pPr>
              <w:jc w:val="center"/>
              <w:rPr>
                <w:sz w:val="24"/>
              </w:rPr>
            </w:pPr>
            <w:r w:rsidRPr="009427DA">
              <w:rPr>
                <w:sz w:val="24"/>
              </w:rPr>
              <w:t>CDC Personnel</w:t>
            </w:r>
          </w:p>
        </w:tc>
        <w:tc>
          <w:tcPr>
            <w:tcW w:w="3393" w:type="pct"/>
            <w:tcMar>
              <w:top w:w="0" w:type="dxa"/>
              <w:left w:w="108" w:type="dxa"/>
              <w:bottom w:w="0" w:type="dxa"/>
              <w:right w:w="108" w:type="dxa"/>
            </w:tcMar>
            <w:vAlign w:val="center"/>
          </w:tcPr>
          <w:p w14:paraId="2055B3B8" w14:textId="77777777" w:rsidR="009427DA" w:rsidRPr="009427DA" w:rsidRDefault="009427DA" w:rsidP="00362F0D">
            <w:pPr>
              <w:rPr>
                <w:sz w:val="24"/>
              </w:rPr>
            </w:pPr>
            <w:r w:rsidRPr="009427DA">
              <w:rPr>
                <w:sz w:val="24"/>
              </w:rPr>
              <w:t xml:space="preserve">Information Technology Manager GS-14, 100% of FTE </w:t>
            </w:r>
          </w:p>
        </w:tc>
        <w:tc>
          <w:tcPr>
            <w:tcW w:w="894" w:type="pct"/>
            <w:tcMar>
              <w:top w:w="0" w:type="dxa"/>
              <w:left w:w="108" w:type="dxa"/>
              <w:bottom w:w="0" w:type="dxa"/>
              <w:right w:w="108" w:type="dxa"/>
            </w:tcMar>
            <w:vAlign w:val="center"/>
          </w:tcPr>
          <w:p w14:paraId="12DC6D2B" w14:textId="77777777" w:rsidR="009427DA" w:rsidRPr="009427DA" w:rsidRDefault="009427DA" w:rsidP="00362F0D">
            <w:pPr>
              <w:jc w:val="center"/>
              <w:rPr>
                <w:sz w:val="24"/>
              </w:rPr>
            </w:pPr>
            <w:r w:rsidRPr="009427DA">
              <w:rPr>
                <w:sz w:val="24"/>
              </w:rPr>
              <w:t>$148,812</w:t>
            </w:r>
          </w:p>
        </w:tc>
      </w:tr>
      <w:tr w:rsidR="009427DA" w:rsidRPr="009427DA" w14:paraId="2D98D528" w14:textId="77777777" w:rsidTr="00362F0D">
        <w:trPr>
          <w:trHeight w:val="20"/>
          <w:jc w:val="center"/>
        </w:trPr>
        <w:tc>
          <w:tcPr>
            <w:tcW w:w="713" w:type="pct"/>
            <w:vMerge/>
            <w:tcMar>
              <w:top w:w="0" w:type="dxa"/>
              <w:left w:w="108" w:type="dxa"/>
              <w:bottom w:w="0" w:type="dxa"/>
              <w:right w:w="108" w:type="dxa"/>
            </w:tcMar>
            <w:vAlign w:val="center"/>
          </w:tcPr>
          <w:p w14:paraId="26F697CA" w14:textId="77777777" w:rsidR="009427DA" w:rsidRPr="009427DA" w:rsidRDefault="009427DA" w:rsidP="00362F0D">
            <w:pPr>
              <w:jc w:val="center"/>
              <w:rPr>
                <w:sz w:val="24"/>
              </w:rPr>
            </w:pPr>
          </w:p>
        </w:tc>
        <w:tc>
          <w:tcPr>
            <w:tcW w:w="3393" w:type="pct"/>
            <w:tcMar>
              <w:top w:w="0" w:type="dxa"/>
              <w:left w:w="108" w:type="dxa"/>
              <w:bottom w:w="0" w:type="dxa"/>
              <w:right w:w="108" w:type="dxa"/>
            </w:tcMar>
            <w:vAlign w:val="center"/>
          </w:tcPr>
          <w:p w14:paraId="5D29F460" w14:textId="77777777" w:rsidR="009427DA" w:rsidRPr="009427DA" w:rsidRDefault="009427DA" w:rsidP="00362F0D">
            <w:pPr>
              <w:rPr>
                <w:sz w:val="24"/>
              </w:rPr>
            </w:pPr>
            <w:r w:rsidRPr="009427DA">
              <w:rPr>
                <w:sz w:val="24"/>
              </w:rPr>
              <w:t>Epidemiologist GS-13, 80%</w:t>
            </w:r>
          </w:p>
        </w:tc>
        <w:tc>
          <w:tcPr>
            <w:tcW w:w="894" w:type="pct"/>
            <w:tcMar>
              <w:top w:w="0" w:type="dxa"/>
              <w:left w:w="108" w:type="dxa"/>
              <w:bottom w:w="0" w:type="dxa"/>
              <w:right w:w="108" w:type="dxa"/>
            </w:tcMar>
            <w:vAlign w:val="center"/>
          </w:tcPr>
          <w:p w14:paraId="2D90F878" w14:textId="77777777" w:rsidR="009427DA" w:rsidRPr="009427DA" w:rsidRDefault="009427DA" w:rsidP="00362F0D">
            <w:pPr>
              <w:jc w:val="center"/>
              <w:rPr>
                <w:sz w:val="24"/>
              </w:rPr>
            </w:pPr>
            <w:r w:rsidRPr="009427DA">
              <w:rPr>
                <w:sz w:val="24"/>
              </w:rPr>
              <w:t>$124,250</w:t>
            </w:r>
          </w:p>
        </w:tc>
      </w:tr>
      <w:tr w:rsidR="009427DA" w:rsidRPr="009427DA" w14:paraId="4B853BC4" w14:textId="77777777" w:rsidTr="00362F0D">
        <w:trPr>
          <w:trHeight w:val="20"/>
          <w:jc w:val="center"/>
        </w:trPr>
        <w:tc>
          <w:tcPr>
            <w:tcW w:w="713" w:type="pct"/>
            <w:vMerge/>
            <w:tcMar>
              <w:top w:w="0" w:type="dxa"/>
              <w:left w:w="108" w:type="dxa"/>
              <w:bottom w:w="0" w:type="dxa"/>
              <w:right w:w="108" w:type="dxa"/>
            </w:tcMar>
            <w:vAlign w:val="center"/>
          </w:tcPr>
          <w:p w14:paraId="5B3636E5" w14:textId="77777777" w:rsidR="009427DA" w:rsidRPr="009427DA" w:rsidRDefault="009427DA" w:rsidP="00362F0D">
            <w:pPr>
              <w:jc w:val="center"/>
              <w:rPr>
                <w:sz w:val="24"/>
              </w:rPr>
            </w:pPr>
          </w:p>
        </w:tc>
        <w:tc>
          <w:tcPr>
            <w:tcW w:w="3393" w:type="pct"/>
            <w:tcMar>
              <w:top w:w="0" w:type="dxa"/>
              <w:left w:w="108" w:type="dxa"/>
              <w:bottom w:w="0" w:type="dxa"/>
              <w:right w:w="108" w:type="dxa"/>
            </w:tcMar>
            <w:vAlign w:val="center"/>
          </w:tcPr>
          <w:p w14:paraId="49E4E773" w14:textId="77777777" w:rsidR="009427DA" w:rsidRPr="009427DA" w:rsidRDefault="009427DA" w:rsidP="00362F0D">
            <w:pPr>
              <w:rPr>
                <w:sz w:val="24"/>
              </w:rPr>
            </w:pPr>
            <w:r w:rsidRPr="009427DA">
              <w:rPr>
                <w:sz w:val="24"/>
              </w:rPr>
              <w:t>Public Health Advisor GS-13, 100%</w:t>
            </w:r>
          </w:p>
        </w:tc>
        <w:tc>
          <w:tcPr>
            <w:tcW w:w="894" w:type="pct"/>
            <w:tcMar>
              <w:top w:w="0" w:type="dxa"/>
              <w:left w:w="108" w:type="dxa"/>
              <w:bottom w:w="0" w:type="dxa"/>
              <w:right w:w="108" w:type="dxa"/>
            </w:tcMar>
            <w:vAlign w:val="center"/>
          </w:tcPr>
          <w:p w14:paraId="6D901512" w14:textId="77777777" w:rsidR="009427DA" w:rsidRPr="009427DA" w:rsidRDefault="009427DA" w:rsidP="00362F0D">
            <w:pPr>
              <w:jc w:val="center"/>
              <w:rPr>
                <w:sz w:val="24"/>
              </w:rPr>
            </w:pPr>
            <w:r w:rsidRPr="009427DA">
              <w:rPr>
                <w:sz w:val="24"/>
              </w:rPr>
              <w:t>$125,931</w:t>
            </w:r>
          </w:p>
        </w:tc>
      </w:tr>
      <w:tr w:rsidR="009427DA" w:rsidRPr="009427DA" w14:paraId="4DDE38F0" w14:textId="77777777" w:rsidTr="00362F0D">
        <w:trPr>
          <w:trHeight w:val="20"/>
          <w:jc w:val="center"/>
        </w:trPr>
        <w:tc>
          <w:tcPr>
            <w:tcW w:w="713" w:type="pct"/>
            <w:vMerge/>
            <w:tcMar>
              <w:top w:w="0" w:type="dxa"/>
              <w:left w:w="108" w:type="dxa"/>
              <w:bottom w:w="0" w:type="dxa"/>
              <w:right w:w="108" w:type="dxa"/>
            </w:tcMar>
            <w:vAlign w:val="center"/>
          </w:tcPr>
          <w:p w14:paraId="51529B27" w14:textId="77777777" w:rsidR="009427DA" w:rsidRPr="009427DA" w:rsidRDefault="009427DA" w:rsidP="00362F0D">
            <w:pPr>
              <w:jc w:val="center"/>
              <w:rPr>
                <w:sz w:val="24"/>
              </w:rPr>
            </w:pPr>
          </w:p>
        </w:tc>
        <w:tc>
          <w:tcPr>
            <w:tcW w:w="3393" w:type="pct"/>
            <w:tcMar>
              <w:top w:w="0" w:type="dxa"/>
              <w:left w:w="108" w:type="dxa"/>
              <w:bottom w:w="0" w:type="dxa"/>
              <w:right w:w="108" w:type="dxa"/>
            </w:tcMar>
            <w:vAlign w:val="center"/>
          </w:tcPr>
          <w:p w14:paraId="691715E9" w14:textId="77777777" w:rsidR="009427DA" w:rsidRPr="009427DA" w:rsidRDefault="009427DA" w:rsidP="00362F0D">
            <w:pPr>
              <w:rPr>
                <w:sz w:val="24"/>
              </w:rPr>
            </w:pPr>
            <w:r w:rsidRPr="009427DA">
              <w:rPr>
                <w:sz w:val="24"/>
              </w:rPr>
              <w:t>Public Health Advisor GS-13, 100%</w:t>
            </w:r>
          </w:p>
        </w:tc>
        <w:tc>
          <w:tcPr>
            <w:tcW w:w="894" w:type="pct"/>
            <w:tcMar>
              <w:top w:w="0" w:type="dxa"/>
              <w:left w:w="108" w:type="dxa"/>
              <w:bottom w:w="0" w:type="dxa"/>
              <w:right w:w="108" w:type="dxa"/>
            </w:tcMar>
            <w:vAlign w:val="center"/>
          </w:tcPr>
          <w:p w14:paraId="35B07751" w14:textId="77777777" w:rsidR="009427DA" w:rsidRPr="009427DA" w:rsidRDefault="009427DA" w:rsidP="00362F0D">
            <w:pPr>
              <w:jc w:val="center"/>
              <w:rPr>
                <w:sz w:val="24"/>
              </w:rPr>
            </w:pPr>
            <w:r w:rsidRPr="009427DA">
              <w:rPr>
                <w:sz w:val="24"/>
              </w:rPr>
              <w:t>$125,931</w:t>
            </w:r>
          </w:p>
        </w:tc>
      </w:tr>
      <w:tr w:rsidR="009427DA" w:rsidRPr="009427DA" w14:paraId="618B2C88" w14:textId="77777777" w:rsidTr="00362F0D">
        <w:trPr>
          <w:trHeight w:val="310"/>
          <w:jc w:val="center"/>
        </w:trPr>
        <w:tc>
          <w:tcPr>
            <w:tcW w:w="713" w:type="pct"/>
            <w:vMerge/>
            <w:tcMar>
              <w:top w:w="0" w:type="dxa"/>
              <w:left w:w="108" w:type="dxa"/>
              <w:bottom w:w="0" w:type="dxa"/>
              <w:right w:w="108" w:type="dxa"/>
            </w:tcMar>
            <w:vAlign w:val="center"/>
          </w:tcPr>
          <w:p w14:paraId="613B3936" w14:textId="77777777" w:rsidR="009427DA" w:rsidRPr="009427DA" w:rsidRDefault="009427DA" w:rsidP="00362F0D">
            <w:pPr>
              <w:jc w:val="center"/>
              <w:rPr>
                <w:sz w:val="24"/>
              </w:rPr>
            </w:pPr>
          </w:p>
        </w:tc>
        <w:tc>
          <w:tcPr>
            <w:tcW w:w="3393" w:type="pct"/>
            <w:tcMar>
              <w:top w:w="0" w:type="dxa"/>
              <w:left w:w="108" w:type="dxa"/>
              <w:bottom w:w="0" w:type="dxa"/>
              <w:right w:w="108" w:type="dxa"/>
            </w:tcMar>
            <w:vAlign w:val="center"/>
          </w:tcPr>
          <w:p w14:paraId="380EA748" w14:textId="77777777" w:rsidR="009427DA" w:rsidRPr="009427DA" w:rsidRDefault="009427DA" w:rsidP="00362F0D">
            <w:pPr>
              <w:rPr>
                <w:sz w:val="24"/>
              </w:rPr>
            </w:pPr>
            <w:r w:rsidRPr="009427DA">
              <w:rPr>
                <w:sz w:val="24"/>
              </w:rPr>
              <w:t>Public Health Advisor GS-13, 100%</w:t>
            </w:r>
          </w:p>
        </w:tc>
        <w:tc>
          <w:tcPr>
            <w:tcW w:w="894" w:type="pct"/>
            <w:tcMar>
              <w:top w:w="0" w:type="dxa"/>
              <w:left w:w="108" w:type="dxa"/>
              <w:bottom w:w="0" w:type="dxa"/>
              <w:right w:w="108" w:type="dxa"/>
            </w:tcMar>
            <w:vAlign w:val="center"/>
          </w:tcPr>
          <w:p w14:paraId="253446C1" w14:textId="77777777" w:rsidR="009427DA" w:rsidRPr="009427DA" w:rsidRDefault="009427DA" w:rsidP="00362F0D">
            <w:pPr>
              <w:jc w:val="center"/>
              <w:rPr>
                <w:sz w:val="24"/>
              </w:rPr>
            </w:pPr>
            <w:r w:rsidRPr="009427DA">
              <w:rPr>
                <w:sz w:val="24"/>
              </w:rPr>
              <w:t>$142,721</w:t>
            </w:r>
          </w:p>
        </w:tc>
      </w:tr>
      <w:tr w:rsidR="009427DA" w:rsidRPr="009427DA" w14:paraId="0D2D9B60" w14:textId="77777777" w:rsidTr="00362F0D">
        <w:trPr>
          <w:trHeight w:val="310"/>
          <w:jc w:val="center"/>
        </w:trPr>
        <w:tc>
          <w:tcPr>
            <w:tcW w:w="713" w:type="pct"/>
            <w:vMerge/>
            <w:tcMar>
              <w:top w:w="0" w:type="dxa"/>
              <w:left w:w="108" w:type="dxa"/>
              <w:bottom w:w="0" w:type="dxa"/>
              <w:right w:w="108" w:type="dxa"/>
            </w:tcMar>
            <w:vAlign w:val="center"/>
          </w:tcPr>
          <w:p w14:paraId="3338561E" w14:textId="77777777" w:rsidR="009427DA" w:rsidRPr="009427DA" w:rsidRDefault="009427DA" w:rsidP="00362F0D">
            <w:pPr>
              <w:jc w:val="center"/>
              <w:rPr>
                <w:sz w:val="24"/>
              </w:rPr>
            </w:pPr>
          </w:p>
        </w:tc>
        <w:tc>
          <w:tcPr>
            <w:tcW w:w="3393" w:type="pct"/>
            <w:tcMar>
              <w:top w:w="0" w:type="dxa"/>
              <w:left w:w="108" w:type="dxa"/>
              <w:bottom w:w="0" w:type="dxa"/>
              <w:right w:w="108" w:type="dxa"/>
            </w:tcMar>
            <w:vAlign w:val="center"/>
          </w:tcPr>
          <w:p w14:paraId="134C8848" w14:textId="77777777" w:rsidR="009427DA" w:rsidRPr="009427DA" w:rsidRDefault="009427DA" w:rsidP="00362F0D">
            <w:pPr>
              <w:rPr>
                <w:sz w:val="24"/>
              </w:rPr>
            </w:pPr>
            <w:r w:rsidRPr="009427DA">
              <w:rPr>
                <w:sz w:val="24"/>
              </w:rPr>
              <w:t>Team Lead, GS-14, 50%</w:t>
            </w:r>
          </w:p>
        </w:tc>
        <w:tc>
          <w:tcPr>
            <w:tcW w:w="894" w:type="pct"/>
            <w:tcMar>
              <w:top w:w="0" w:type="dxa"/>
              <w:left w:w="108" w:type="dxa"/>
              <w:bottom w:w="0" w:type="dxa"/>
              <w:right w:w="108" w:type="dxa"/>
            </w:tcMar>
            <w:vAlign w:val="center"/>
          </w:tcPr>
          <w:p w14:paraId="7A14DB4A" w14:textId="77777777" w:rsidR="009427DA" w:rsidRPr="009427DA" w:rsidRDefault="009427DA" w:rsidP="00362F0D">
            <w:pPr>
              <w:jc w:val="center"/>
              <w:rPr>
                <w:sz w:val="24"/>
              </w:rPr>
            </w:pPr>
            <w:r w:rsidRPr="009427DA">
              <w:rPr>
                <w:sz w:val="24"/>
              </w:rPr>
              <w:t>$ 81,848</w:t>
            </w:r>
          </w:p>
        </w:tc>
      </w:tr>
      <w:tr w:rsidR="009427DA" w:rsidRPr="009427DA" w14:paraId="6A5372E4" w14:textId="77777777" w:rsidTr="00362F0D">
        <w:trPr>
          <w:trHeight w:val="499"/>
          <w:jc w:val="center"/>
        </w:trPr>
        <w:tc>
          <w:tcPr>
            <w:tcW w:w="713" w:type="pct"/>
            <w:vMerge/>
            <w:tcMar>
              <w:top w:w="0" w:type="dxa"/>
              <w:left w:w="108" w:type="dxa"/>
              <w:bottom w:w="0" w:type="dxa"/>
              <w:right w:w="108" w:type="dxa"/>
            </w:tcMar>
            <w:vAlign w:val="center"/>
          </w:tcPr>
          <w:p w14:paraId="29AE5E29" w14:textId="77777777" w:rsidR="009427DA" w:rsidRPr="009427DA" w:rsidRDefault="009427DA" w:rsidP="00362F0D">
            <w:pPr>
              <w:jc w:val="center"/>
              <w:rPr>
                <w:sz w:val="24"/>
              </w:rPr>
            </w:pPr>
          </w:p>
        </w:tc>
        <w:tc>
          <w:tcPr>
            <w:tcW w:w="3393" w:type="pct"/>
            <w:tcMar>
              <w:top w:w="0" w:type="dxa"/>
              <w:left w:w="108" w:type="dxa"/>
              <w:bottom w:w="0" w:type="dxa"/>
              <w:right w:w="108" w:type="dxa"/>
            </w:tcMar>
            <w:vAlign w:val="center"/>
          </w:tcPr>
          <w:p w14:paraId="215F0BC9" w14:textId="77777777" w:rsidR="009427DA" w:rsidRPr="009427DA" w:rsidRDefault="009427DA" w:rsidP="00362F0D">
            <w:pPr>
              <w:rPr>
                <w:sz w:val="24"/>
              </w:rPr>
            </w:pPr>
            <w:r w:rsidRPr="009427DA">
              <w:rPr>
                <w:b/>
                <w:sz w:val="24"/>
              </w:rPr>
              <w:t>Subtotal, CDC Personnel</w:t>
            </w:r>
          </w:p>
        </w:tc>
        <w:tc>
          <w:tcPr>
            <w:tcW w:w="894" w:type="pct"/>
            <w:tcMar>
              <w:top w:w="0" w:type="dxa"/>
              <w:left w:w="108" w:type="dxa"/>
              <w:bottom w:w="0" w:type="dxa"/>
              <w:right w:w="108" w:type="dxa"/>
            </w:tcMar>
            <w:vAlign w:val="center"/>
          </w:tcPr>
          <w:p w14:paraId="5653DD08" w14:textId="77777777" w:rsidR="009427DA" w:rsidRPr="009427DA" w:rsidRDefault="009427DA" w:rsidP="00362F0D">
            <w:pPr>
              <w:jc w:val="center"/>
              <w:rPr>
                <w:b/>
                <w:sz w:val="24"/>
              </w:rPr>
            </w:pPr>
            <w:r w:rsidRPr="009427DA">
              <w:rPr>
                <w:b/>
                <w:sz w:val="24"/>
              </w:rPr>
              <w:t>$749,493</w:t>
            </w:r>
          </w:p>
        </w:tc>
      </w:tr>
      <w:tr w:rsidR="009427DA" w:rsidRPr="009427DA" w14:paraId="07A46B2D" w14:textId="77777777" w:rsidTr="00362F0D">
        <w:trPr>
          <w:trHeight w:val="535"/>
          <w:jc w:val="center"/>
        </w:trPr>
        <w:tc>
          <w:tcPr>
            <w:tcW w:w="713" w:type="pct"/>
            <w:tcMar>
              <w:top w:w="0" w:type="dxa"/>
              <w:left w:w="108" w:type="dxa"/>
              <w:bottom w:w="0" w:type="dxa"/>
              <w:right w:w="108" w:type="dxa"/>
            </w:tcMar>
            <w:vAlign w:val="center"/>
            <w:hideMark/>
          </w:tcPr>
          <w:p w14:paraId="1E6B7FC1" w14:textId="77777777" w:rsidR="009427DA" w:rsidRPr="009427DA" w:rsidRDefault="009427DA" w:rsidP="00362F0D">
            <w:pPr>
              <w:jc w:val="center"/>
              <w:rPr>
                <w:b/>
                <w:sz w:val="24"/>
              </w:rPr>
            </w:pPr>
          </w:p>
        </w:tc>
        <w:tc>
          <w:tcPr>
            <w:tcW w:w="3393" w:type="pct"/>
            <w:tcMar>
              <w:top w:w="0" w:type="dxa"/>
              <w:left w:w="108" w:type="dxa"/>
              <w:bottom w:w="0" w:type="dxa"/>
              <w:right w:w="108" w:type="dxa"/>
            </w:tcMar>
            <w:vAlign w:val="center"/>
            <w:hideMark/>
          </w:tcPr>
          <w:p w14:paraId="1D10CA4F" w14:textId="77777777" w:rsidR="009427DA" w:rsidRPr="009427DA" w:rsidRDefault="009427DA" w:rsidP="00362F0D">
            <w:pPr>
              <w:rPr>
                <w:b/>
                <w:sz w:val="24"/>
              </w:rPr>
            </w:pPr>
            <w:r w:rsidRPr="009427DA">
              <w:rPr>
                <w:b/>
                <w:sz w:val="24"/>
              </w:rPr>
              <w:t xml:space="preserve">TOTAL COST TO THE GOVERNMENT </w:t>
            </w:r>
          </w:p>
        </w:tc>
        <w:tc>
          <w:tcPr>
            <w:tcW w:w="894" w:type="pct"/>
            <w:tcMar>
              <w:top w:w="0" w:type="dxa"/>
              <w:left w:w="108" w:type="dxa"/>
              <w:bottom w:w="0" w:type="dxa"/>
              <w:right w:w="108" w:type="dxa"/>
            </w:tcMar>
            <w:vAlign w:val="center"/>
            <w:hideMark/>
          </w:tcPr>
          <w:p w14:paraId="282DFF35" w14:textId="77777777" w:rsidR="009427DA" w:rsidRPr="009427DA" w:rsidRDefault="009427DA" w:rsidP="00362F0D">
            <w:pPr>
              <w:jc w:val="center"/>
              <w:rPr>
                <w:b/>
                <w:sz w:val="24"/>
              </w:rPr>
            </w:pPr>
            <w:r w:rsidRPr="009427DA">
              <w:rPr>
                <w:b/>
                <w:sz w:val="24"/>
              </w:rPr>
              <w:t>$9,449,493</w:t>
            </w:r>
          </w:p>
        </w:tc>
      </w:tr>
    </w:tbl>
    <w:p w14:paraId="2EE77585" w14:textId="77777777" w:rsidR="00263E3B" w:rsidRDefault="00263E3B" w:rsidP="00263E3B">
      <w:pPr>
        <w:pStyle w:val="Heading3"/>
        <w:rPr>
          <w:rFonts w:ascii="Times New Roman" w:hAnsi="Times New Roman" w:cs="Times New Roman"/>
          <w:sz w:val="24"/>
          <w:szCs w:val="24"/>
        </w:rPr>
      </w:pPr>
      <w:bookmarkStart w:id="16" w:name="_Toc7600451"/>
    </w:p>
    <w:p w14:paraId="4F520973" w14:textId="0CDDAAA0" w:rsidR="00ED028C" w:rsidRPr="00BB3C01" w:rsidRDefault="00ED028C" w:rsidP="00200139">
      <w:pPr>
        <w:pStyle w:val="Heading3"/>
        <w:numPr>
          <w:ilvl w:val="0"/>
          <w:numId w:val="2"/>
        </w:numPr>
        <w:ind w:left="0" w:firstLine="0"/>
        <w:rPr>
          <w:rFonts w:ascii="Times New Roman" w:hAnsi="Times New Roman" w:cs="Times New Roman"/>
          <w:sz w:val="24"/>
          <w:szCs w:val="24"/>
        </w:rPr>
      </w:pPr>
      <w:r w:rsidRPr="00BB3C01">
        <w:rPr>
          <w:rFonts w:ascii="Times New Roman" w:hAnsi="Times New Roman" w:cs="Times New Roman"/>
          <w:sz w:val="24"/>
          <w:szCs w:val="24"/>
        </w:rPr>
        <w:t>Explanation for Program Changes or Adjustments</w:t>
      </w:r>
      <w:bookmarkEnd w:id="16"/>
    </w:p>
    <w:p w14:paraId="19416748" w14:textId="77777777" w:rsidR="00E56539" w:rsidRPr="00BB3C01" w:rsidRDefault="00E56539" w:rsidP="006530E2">
      <w:pPr>
        <w:rPr>
          <w:sz w:val="24"/>
        </w:rPr>
      </w:pPr>
    </w:p>
    <w:p w14:paraId="7D23FB36" w14:textId="24A7E895" w:rsidR="00A129A1" w:rsidRPr="00BB3C01" w:rsidRDefault="00FB3AF8" w:rsidP="008353FC">
      <w:pPr>
        <w:spacing w:line="360" w:lineRule="auto"/>
        <w:contextualSpacing/>
        <w:rPr>
          <w:sz w:val="24"/>
        </w:rPr>
      </w:pPr>
      <w:r>
        <w:rPr>
          <w:sz w:val="24"/>
        </w:rPr>
        <w:t>Not applicable.</w:t>
      </w:r>
    </w:p>
    <w:p w14:paraId="68694073" w14:textId="77777777" w:rsidR="00ED028C" w:rsidRPr="00BB3C01" w:rsidRDefault="00ED028C" w:rsidP="00CF17B9">
      <w:pPr>
        <w:spacing w:line="276" w:lineRule="auto"/>
        <w:rPr>
          <w:sz w:val="24"/>
        </w:rPr>
      </w:pPr>
    </w:p>
    <w:p w14:paraId="690C8DE0" w14:textId="74B24576" w:rsidR="00FB3AF8" w:rsidRPr="00FB3AF8" w:rsidRDefault="00FB3AF8" w:rsidP="00FB3AF8">
      <w:pPr>
        <w:pStyle w:val="Heading3"/>
        <w:numPr>
          <w:ilvl w:val="0"/>
          <w:numId w:val="2"/>
        </w:numPr>
        <w:ind w:left="0" w:firstLine="0"/>
        <w:rPr>
          <w:rFonts w:ascii="Times New Roman" w:hAnsi="Times New Roman" w:cs="Times New Roman"/>
          <w:sz w:val="24"/>
          <w:szCs w:val="24"/>
        </w:rPr>
      </w:pPr>
      <w:bookmarkStart w:id="17" w:name="_Toc7600452"/>
      <w:r w:rsidRPr="00FB3AF8">
        <w:rPr>
          <w:rFonts w:ascii="Times New Roman" w:hAnsi="Times New Roman" w:cs="Times New Roman"/>
          <w:sz w:val="24"/>
        </w:rPr>
        <w:t>Plans for Tabulation and Publication and Project Time Schedule</w:t>
      </w:r>
      <w:bookmarkEnd w:id="17"/>
    </w:p>
    <w:p w14:paraId="21ABAF88" w14:textId="77777777" w:rsidR="00FB3AF8" w:rsidRPr="00FB3AF8" w:rsidRDefault="00FB3AF8" w:rsidP="00FB3AF8">
      <w:pPr>
        <w:rPr>
          <w:sz w:val="24"/>
        </w:rPr>
      </w:pPr>
    </w:p>
    <w:p w14:paraId="21668C8D" w14:textId="3DE23757" w:rsidR="00FB3AF8" w:rsidRDefault="00FB3AF8" w:rsidP="00FB3AF8">
      <w:pPr>
        <w:spacing w:line="360" w:lineRule="auto"/>
        <w:rPr>
          <w:sz w:val="24"/>
        </w:rPr>
      </w:pPr>
      <w:r w:rsidRPr="00FB3AF8">
        <w:rPr>
          <w:sz w:val="24"/>
        </w:rPr>
        <w:t xml:space="preserve">MMRIA data collection is ongoing. Data is submitted </w:t>
      </w:r>
      <w:r w:rsidRPr="00A56D78">
        <w:rPr>
          <w:sz w:val="24"/>
        </w:rPr>
        <w:t xml:space="preserve">bi-annually to CDC for editing and cleaning.  Data quality reports will be generated and returned to each state within 3 months of receiving data. Editing, cleaning, and analysis of the data will be conducted by CDC on an ongoing basis. </w:t>
      </w:r>
      <w:r w:rsidR="007E2F3B" w:rsidRPr="005B34BF">
        <w:rPr>
          <w:sz w:val="24"/>
        </w:rPr>
        <w:t>There will be no MMRIA public use dataset.</w:t>
      </w:r>
      <w:r w:rsidR="007E2F3B">
        <w:rPr>
          <w:sz w:val="24"/>
        </w:rPr>
        <w:t xml:space="preserve"> </w:t>
      </w:r>
      <w:r w:rsidR="00B02B8A">
        <w:rPr>
          <w:sz w:val="24"/>
        </w:rPr>
        <w:t xml:space="preserve">Aggregate analyses will be performed with MMRC data from states that give permission to do so. </w:t>
      </w:r>
      <w:r w:rsidR="007E2F3B">
        <w:rPr>
          <w:sz w:val="24"/>
        </w:rPr>
        <w:t xml:space="preserve"> </w:t>
      </w:r>
      <w:r w:rsidRPr="00A56D78">
        <w:rPr>
          <w:sz w:val="24"/>
        </w:rPr>
        <w:t>At a minimum, an annual data brief will be published. Topical reports and publications will also be routinely published to address emerging issues, and to provide more in-depth analysis of select topics</w:t>
      </w:r>
      <w:r w:rsidRPr="00FB3AF8">
        <w:rPr>
          <w:sz w:val="24"/>
        </w:rPr>
        <w:t xml:space="preserve">. </w:t>
      </w:r>
    </w:p>
    <w:p w14:paraId="725AD2E3" w14:textId="5DEAD8EE" w:rsidR="00C3390E" w:rsidRDefault="00C3390E" w:rsidP="00FB3AF8">
      <w:pPr>
        <w:spacing w:line="360" w:lineRule="auto"/>
        <w:rPr>
          <w:sz w:val="24"/>
        </w:rPr>
      </w:pPr>
    </w:p>
    <w:p w14:paraId="59B0B3A4" w14:textId="77777777" w:rsidR="00263E3B" w:rsidRPr="005B34BF" w:rsidRDefault="00263E3B" w:rsidP="00FB3AF8">
      <w:pPr>
        <w:spacing w:line="360" w:lineRule="auto"/>
        <w:rPr>
          <w:sz w:val="24"/>
        </w:rPr>
      </w:pPr>
    </w:p>
    <w:p w14:paraId="2B638576" w14:textId="6692C417" w:rsidR="005B34BF" w:rsidRDefault="005B34BF" w:rsidP="00FB3AF8">
      <w:pPr>
        <w:spacing w:line="360" w:lineRule="auto"/>
        <w:rPr>
          <w:sz w:val="24"/>
        </w:rPr>
      </w:pPr>
    </w:p>
    <w:p w14:paraId="58F2B428" w14:textId="6F54B72D" w:rsidR="00C3390E" w:rsidRPr="00C3390E" w:rsidRDefault="00C3390E" w:rsidP="00FB3AF8">
      <w:pPr>
        <w:spacing w:line="360" w:lineRule="auto"/>
        <w:rPr>
          <w:b/>
          <w:sz w:val="24"/>
        </w:rPr>
      </w:pPr>
      <w:r>
        <w:rPr>
          <w:b/>
          <w:sz w:val="24"/>
        </w:rPr>
        <w:t>T</w:t>
      </w:r>
      <w:r w:rsidR="00DE4480">
        <w:rPr>
          <w:b/>
          <w:sz w:val="24"/>
        </w:rPr>
        <w:t>able A.16-1.</w:t>
      </w:r>
      <w:r>
        <w:rPr>
          <w:b/>
          <w:sz w:val="24"/>
        </w:rPr>
        <w:t xml:space="preserve"> </w:t>
      </w:r>
      <w:r w:rsidR="005B34BF">
        <w:rPr>
          <w:b/>
          <w:sz w:val="24"/>
        </w:rPr>
        <w:t xml:space="preserve">Anticipated </w:t>
      </w:r>
      <w:r w:rsidR="00C95D58">
        <w:rPr>
          <w:b/>
          <w:sz w:val="24"/>
        </w:rPr>
        <w:t>Project Time Schedule</w:t>
      </w:r>
      <w:r w:rsidR="00DE4480">
        <w:rPr>
          <w:b/>
          <w:sz w:val="24"/>
        </w:rPr>
        <w:t xml:space="preserve"> for Awardees</w:t>
      </w:r>
      <w:r w:rsidR="00DE4480">
        <w:rPr>
          <w:b/>
          <w:sz w:val="24"/>
          <w:vertAlign w:val="superscript"/>
        </w:rPr>
        <w:t>a</w:t>
      </w:r>
    </w:p>
    <w:tbl>
      <w:tblPr>
        <w:tblStyle w:val="TableGrid"/>
        <w:tblW w:w="0" w:type="auto"/>
        <w:tblLook w:val="04A0" w:firstRow="1" w:lastRow="0" w:firstColumn="1" w:lastColumn="0" w:noHBand="0" w:noVBand="1"/>
      </w:tblPr>
      <w:tblGrid>
        <w:gridCol w:w="4675"/>
        <w:gridCol w:w="4675"/>
      </w:tblGrid>
      <w:tr w:rsidR="00C3390E" w14:paraId="23C6A8C5" w14:textId="77777777" w:rsidTr="00C3390E">
        <w:tc>
          <w:tcPr>
            <w:tcW w:w="4675" w:type="dxa"/>
          </w:tcPr>
          <w:p w14:paraId="6192E5EF" w14:textId="166ED373" w:rsidR="00C3390E" w:rsidRPr="00C95D58" w:rsidRDefault="00C95D58" w:rsidP="00C95D58">
            <w:pPr>
              <w:spacing w:line="360" w:lineRule="auto"/>
              <w:jc w:val="center"/>
              <w:rPr>
                <w:b/>
                <w:sz w:val="24"/>
              </w:rPr>
            </w:pPr>
            <w:r>
              <w:rPr>
                <w:b/>
                <w:sz w:val="24"/>
              </w:rPr>
              <w:t>Task</w:t>
            </w:r>
          </w:p>
        </w:tc>
        <w:tc>
          <w:tcPr>
            <w:tcW w:w="4675" w:type="dxa"/>
          </w:tcPr>
          <w:p w14:paraId="5B8BF86F" w14:textId="517E2B91" w:rsidR="00C3390E" w:rsidRPr="00C95D58" w:rsidRDefault="00C95D58" w:rsidP="00C95D58">
            <w:pPr>
              <w:spacing w:line="360" w:lineRule="auto"/>
              <w:jc w:val="center"/>
              <w:rPr>
                <w:b/>
                <w:sz w:val="24"/>
              </w:rPr>
            </w:pPr>
            <w:r>
              <w:rPr>
                <w:b/>
                <w:sz w:val="24"/>
              </w:rPr>
              <w:t>Timeframe</w:t>
            </w:r>
          </w:p>
        </w:tc>
      </w:tr>
      <w:tr w:rsidR="00C3390E" w14:paraId="4E67182E" w14:textId="77777777" w:rsidTr="00C3390E">
        <w:tc>
          <w:tcPr>
            <w:tcW w:w="4675" w:type="dxa"/>
          </w:tcPr>
          <w:p w14:paraId="17455D5E" w14:textId="429D6E28" w:rsidR="00C3390E" w:rsidRDefault="000B4C30" w:rsidP="00FB3AF8">
            <w:pPr>
              <w:spacing w:line="360" w:lineRule="auto"/>
              <w:rPr>
                <w:sz w:val="24"/>
              </w:rPr>
            </w:pPr>
            <w:r>
              <w:rPr>
                <w:sz w:val="24"/>
              </w:rPr>
              <w:t>Data abstraction begins</w:t>
            </w:r>
          </w:p>
        </w:tc>
        <w:tc>
          <w:tcPr>
            <w:tcW w:w="4675" w:type="dxa"/>
          </w:tcPr>
          <w:p w14:paraId="5B1BA3C8" w14:textId="221659EB" w:rsidR="00C95D58" w:rsidRDefault="00C95D58" w:rsidP="00FB3AF8">
            <w:pPr>
              <w:spacing w:line="360" w:lineRule="auto"/>
              <w:rPr>
                <w:sz w:val="24"/>
              </w:rPr>
            </w:pPr>
            <w:r>
              <w:rPr>
                <w:sz w:val="24"/>
              </w:rPr>
              <w:t>December 2019</w:t>
            </w:r>
          </w:p>
        </w:tc>
      </w:tr>
      <w:tr w:rsidR="00C3390E" w14:paraId="2BB60AD3" w14:textId="77777777" w:rsidTr="00C3390E">
        <w:tc>
          <w:tcPr>
            <w:tcW w:w="4675" w:type="dxa"/>
          </w:tcPr>
          <w:p w14:paraId="64178575" w14:textId="35B64982" w:rsidR="00C3390E" w:rsidRPr="005B34BF" w:rsidRDefault="000B4C30" w:rsidP="00FB3AF8">
            <w:pPr>
              <w:spacing w:line="360" w:lineRule="auto"/>
              <w:rPr>
                <w:sz w:val="24"/>
              </w:rPr>
            </w:pPr>
            <w:r w:rsidRPr="005B34BF">
              <w:rPr>
                <w:sz w:val="24"/>
              </w:rPr>
              <w:t>Case narrative developed</w:t>
            </w:r>
          </w:p>
        </w:tc>
        <w:tc>
          <w:tcPr>
            <w:tcW w:w="4675" w:type="dxa"/>
          </w:tcPr>
          <w:p w14:paraId="7567D728" w14:textId="6226C30D" w:rsidR="00C3390E" w:rsidRPr="005B34BF" w:rsidRDefault="006B0C3A" w:rsidP="005B34BF">
            <w:pPr>
              <w:spacing w:line="360" w:lineRule="auto"/>
              <w:rPr>
                <w:sz w:val="24"/>
              </w:rPr>
            </w:pPr>
            <w:r w:rsidRPr="005B34BF">
              <w:rPr>
                <w:sz w:val="24"/>
              </w:rPr>
              <w:t xml:space="preserve">Within </w:t>
            </w:r>
            <w:r w:rsidR="00AB6EE5" w:rsidRPr="005B34BF">
              <w:rPr>
                <w:sz w:val="24"/>
              </w:rPr>
              <w:t>the 14</w:t>
            </w:r>
            <w:r w:rsidR="00C95D58" w:rsidRPr="005B34BF">
              <w:rPr>
                <w:sz w:val="24"/>
              </w:rPr>
              <w:t xml:space="preserve"> days</w:t>
            </w:r>
            <w:r w:rsidR="005B34BF">
              <w:rPr>
                <w:sz w:val="24"/>
              </w:rPr>
              <w:t xml:space="preserve"> prior to committee review</w:t>
            </w:r>
          </w:p>
        </w:tc>
      </w:tr>
      <w:tr w:rsidR="00C3390E" w14:paraId="6A7843EC" w14:textId="77777777" w:rsidTr="00C3390E">
        <w:tc>
          <w:tcPr>
            <w:tcW w:w="4675" w:type="dxa"/>
          </w:tcPr>
          <w:p w14:paraId="01CA0CB5" w14:textId="6F61E956" w:rsidR="00C3390E" w:rsidRPr="005B34BF" w:rsidRDefault="006B0C3A" w:rsidP="00FB3AF8">
            <w:pPr>
              <w:spacing w:line="360" w:lineRule="auto"/>
              <w:rPr>
                <w:sz w:val="24"/>
              </w:rPr>
            </w:pPr>
            <w:r w:rsidRPr="005B34BF">
              <w:rPr>
                <w:sz w:val="24"/>
              </w:rPr>
              <w:t>Committee review</w:t>
            </w:r>
          </w:p>
        </w:tc>
        <w:tc>
          <w:tcPr>
            <w:tcW w:w="4675" w:type="dxa"/>
          </w:tcPr>
          <w:p w14:paraId="3F563D3E" w14:textId="22D2FE89" w:rsidR="00C3390E" w:rsidRPr="005B34BF" w:rsidRDefault="006B0C3A" w:rsidP="006B0C3A">
            <w:pPr>
              <w:spacing w:line="360" w:lineRule="auto"/>
              <w:rPr>
                <w:sz w:val="24"/>
              </w:rPr>
            </w:pPr>
            <w:r w:rsidRPr="005B34BF">
              <w:rPr>
                <w:sz w:val="24"/>
              </w:rPr>
              <w:t xml:space="preserve">Within </w:t>
            </w:r>
            <w:r w:rsidR="00AB6EE5" w:rsidRPr="005B34BF">
              <w:rPr>
                <w:sz w:val="24"/>
              </w:rPr>
              <w:t>3</w:t>
            </w:r>
            <w:r w:rsidR="005B34BF">
              <w:rPr>
                <w:sz w:val="24"/>
              </w:rPr>
              <w:t xml:space="preserve"> </w:t>
            </w:r>
            <w:r w:rsidRPr="005B34BF">
              <w:rPr>
                <w:sz w:val="24"/>
              </w:rPr>
              <w:t xml:space="preserve">months from </w:t>
            </w:r>
            <w:r w:rsidR="00AB6EE5" w:rsidRPr="005B34BF">
              <w:rPr>
                <w:sz w:val="24"/>
              </w:rPr>
              <w:t xml:space="preserve">completing </w:t>
            </w:r>
            <w:r w:rsidRPr="005B34BF">
              <w:rPr>
                <w:sz w:val="24"/>
              </w:rPr>
              <w:t>data abstraction</w:t>
            </w:r>
          </w:p>
        </w:tc>
      </w:tr>
      <w:tr w:rsidR="00C3390E" w14:paraId="257FE94E" w14:textId="77777777" w:rsidTr="00C3390E">
        <w:tc>
          <w:tcPr>
            <w:tcW w:w="4675" w:type="dxa"/>
          </w:tcPr>
          <w:p w14:paraId="22D2A1C2" w14:textId="4473932F" w:rsidR="00C3390E" w:rsidRDefault="006B0C3A" w:rsidP="00FB3AF8">
            <w:pPr>
              <w:spacing w:line="360" w:lineRule="auto"/>
              <w:rPr>
                <w:sz w:val="24"/>
              </w:rPr>
            </w:pPr>
            <w:r>
              <w:rPr>
                <w:sz w:val="24"/>
              </w:rPr>
              <w:t xml:space="preserve">Committee decision </w:t>
            </w:r>
            <w:r w:rsidR="000B4C30">
              <w:rPr>
                <w:sz w:val="24"/>
              </w:rPr>
              <w:t>documented</w:t>
            </w:r>
          </w:p>
        </w:tc>
        <w:tc>
          <w:tcPr>
            <w:tcW w:w="4675" w:type="dxa"/>
          </w:tcPr>
          <w:p w14:paraId="05944DF8" w14:textId="75132EB1" w:rsidR="00C3390E" w:rsidRDefault="000B4C30" w:rsidP="005B34BF">
            <w:pPr>
              <w:spacing w:line="360" w:lineRule="auto"/>
              <w:rPr>
                <w:sz w:val="24"/>
              </w:rPr>
            </w:pPr>
            <w:r>
              <w:rPr>
                <w:sz w:val="24"/>
              </w:rPr>
              <w:t xml:space="preserve">Within 30 days of </w:t>
            </w:r>
            <w:r w:rsidR="005B34BF">
              <w:rPr>
                <w:sz w:val="24"/>
              </w:rPr>
              <w:t>c</w:t>
            </w:r>
            <w:r>
              <w:rPr>
                <w:sz w:val="24"/>
              </w:rPr>
              <w:t>ommittee review</w:t>
            </w:r>
          </w:p>
        </w:tc>
      </w:tr>
      <w:tr w:rsidR="00C3390E" w14:paraId="5C2ACF24" w14:textId="77777777" w:rsidTr="00C3390E">
        <w:tc>
          <w:tcPr>
            <w:tcW w:w="4675" w:type="dxa"/>
          </w:tcPr>
          <w:p w14:paraId="37261061" w14:textId="66ECF75D" w:rsidR="00C3390E" w:rsidRDefault="000B4C30" w:rsidP="00FB3AF8">
            <w:pPr>
              <w:spacing w:line="360" w:lineRule="auto"/>
              <w:rPr>
                <w:sz w:val="24"/>
              </w:rPr>
            </w:pPr>
            <w:r>
              <w:rPr>
                <w:sz w:val="24"/>
              </w:rPr>
              <w:t>Data quality assurance</w:t>
            </w:r>
          </w:p>
        </w:tc>
        <w:tc>
          <w:tcPr>
            <w:tcW w:w="4675" w:type="dxa"/>
          </w:tcPr>
          <w:p w14:paraId="4A4F382C" w14:textId="4A659CCD" w:rsidR="00C3390E" w:rsidRDefault="00AF3135" w:rsidP="00FB3AF8">
            <w:pPr>
              <w:spacing w:line="360" w:lineRule="auto"/>
              <w:rPr>
                <w:sz w:val="24"/>
              </w:rPr>
            </w:pPr>
            <w:r>
              <w:rPr>
                <w:sz w:val="24"/>
              </w:rPr>
              <w:t>Quarterly</w:t>
            </w:r>
          </w:p>
        </w:tc>
      </w:tr>
      <w:tr w:rsidR="00DE4480" w14:paraId="4A3A85CE" w14:textId="77777777" w:rsidTr="00C3390E">
        <w:tc>
          <w:tcPr>
            <w:tcW w:w="4675" w:type="dxa"/>
          </w:tcPr>
          <w:p w14:paraId="4059059B" w14:textId="71764189" w:rsidR="00DE4480" w:rsidRDefault="00DE4480" w:rsidP="00FB3AF8">
            <w:pPr>
              <w:spacing w:line="360" w:lineRule="auto"/>
              <w:rPr>
                <w:sz w:val="24"/>
              </w:rPr>
            </w:pPr>
            <w:r>
              <w:rPr>
                <w:sz w:val="24"/>
              </w:rPr>
              <w:t>Data submitted to CDC for editing/cleaning</w:t>
            </w:r>
          </w:p>
        </w:tc>
        <w:tc>
          <w:tcPr>
            <w:tcW w:w="4675" w:type="dxa"/>
          </w:tcPr>
          <w:p w14:paraId="3238DB1C" w14:textId="572754C6" w:rsidR="00DE4480" w:rsidRDefault="00DE4480" w:rsidP="00FB3AF8">
            <w:pPr>
              <w:spacing w:line="360" w:lineRule="auto"/>
              <w:rPr>
                <w:sz w:val="24"/>
              </w:rPr>
            </w:pPr>
            <w:r>
              <w:rPr>
                <w:sz w:val="24"/>
              </w:rPr>
              <w:t>Bi-annually</w:t>
            </w:r>
          </w:p>
        </w:tc>
      </w:tr>
      <w:tr w:rsidR="00DE4480" w14:paraId="7CD8735C" w14:textId="77777777" w:rsidTr="00C3390E">
        <w:tc>
          <w:tcPr>
            <w:tcW w:w="4675" w:type="dxa"/>
          </w:tcPr>
          <w:p w14:paraId="6AE93C90" w14:textId="7C66EFC9" w:rsidR="00DE4480" w:rsidRDefault="00DE4480" w:rsidP="00FB3AF8">
            <w:pPr>
              <w:spacing w:line="360" w:lineRule="auto"/>
              <w:rPr>
                <w:sz w:val="24"/>
              </w:rPr>
            </w:pPr>
            <w:r>
              <w:rPr>
                <w:sz w:val="24"/>
              </w:rPr>
              <w:t>Data returned to awardees</w:t>
            </w:r>
          </w:p>
        </w:tc>
        <w:tc>
          <w:tcPr>
            <w:tcW w:w="4675" w:type="dxa"/>
          </w:tcPr>
          <w:p w14:paraId="10C5519B" w14:textId="215CBD43" w:rsidR="00DE4480" w:rsidRDefault="00DE4480" w:rsidP="00FB3AF8">
            <w:pPr>
              <w:spacing w:line="360" w:lineRule="auto"/>
              <w:rPr>
                <w:sz w:val="24"/>
              </w:rPr>
            </w:pPr>
            <w:r>
              <w:rPr>
                <w:sz w:val="24"/>
              </w:rPr>
              <w:t>Within 3 months of CDC receipt</w:t>
            </w:r>
          </w:p>
        </w:tc>
      </w:tr>
      <w:tr w:rsidR="00DA32F2" w14:paraId="6D987E81" w14:textId="77777777" w:rsidTr="00C3390E">
        <w:tc>
          <w:tcPr>
            <w:tcW w:w="4675" w:type="dxa"/>
          </w:tcPr>
          <w:p w14:paraId="3C9A5A6B" w14:textId="02CB4311" w:rsidR="00DA32F2" w:rsidRDefault="00DA32F2" w:rsidP="00FB3AF8">
            <w:pPr>
              <w:spacing w:line="360" w:lineRule="auto"/>
              <w:rPr>
                <w:sz w:val="24"/>
              </w:rPr>
            </w:pPr>
            <w:r>
              <w:rPr>
                <w:sz w:val="24"/>
              </w:rPr>
              <w:t>Analysis of aggregate data</w:t>
            </w:r>
          </w:p>
        </w:tc>
        <w:tc>
          <w:tcPr>
            <w:tcW w:w="4675" w:type="dxa"/>
          </w:tcPr>
          <w:p w14:paraId="088B9324" w14:textId="1B3D61EA" w:rsidR="00DA32F2" w:rsidRDefault="00DA32F2" w:rsidP="00FB3AF8">
            <w:pPr>
              <w:spacing w:line="360" w:lineRule="auto"/>
              <w:rPr>
                <w:sz w:val="24"/>
              </w:rPr>
            </w:pPr>
            <w:r>
              <w:rPr>
                <w:sz w:val="24"/>
              </w:rPr>
              <w:t>At least annually</w:t>
            </w:r>
          </w:p>
        </w:tc>
      </w:tr>
      <w:tr w:rsidR="00DA32F2" w14:paraId="11BDE84C" w14:textId="77777777" w:rsidTr="00C3390E">
        <w:tc>
          <w:tcPr>
            <w:tcW w:w="4675" w:type="dxa"/>
          </w:tcPr>
          <w:p w14:paraId="51E191FF" w14:textId="726F9FE1" w:rsidR="00DA32F2" w:rsidRDefault="00DA32F2" w:rsidP="00FB3AF8">
            <w:pPr>
              <w:spacing w:line="360" w:lineRule="auto"/>
              <w:rPr>
                <w:sz w:val="24"/>
              </w:rPr>
            </w:pPr>
            <w:r>
              <w:rPr>
                <w:sz w:val="24"/>
              </w:rPr>
              <w:t>Reports/publications</w:t>
            </w:r>
          </w:p>
        </w:tc>
        <w:tc>
          <w:tcPr>
            <w:tcW w:w="4675" w:type="dxa"/>
          </w:tcPr>
          <w:p w14:paraId="55AABA67" w14:textId="51A1E225" w:rsidR="00DA32F2" w:rsidRDefault="00DA32F2" w:rsidP="00FB3AF8">
            <w:pPr>
              <w:spacing w:line="360" w:lineRule="auto"/>
              <w:rPr>
                <w:sz w:val="24"/>
              </w:rPr>
            </w:pPr>
            <w:r>
              <w:rPr>
                <w:sz w:val="24"/>
              </w:rPr>
              <w:t>At least annually</w:t>
            </w:r>
          </w:p>
        </w:tc>
      </w:tr>
    </w:tbl>
    <w:p w14:paraId="24E1A6BB" w14:textId="682B85D4" w:rsidR="00C3390E" w:rsidRPr="00DE4480" w:rsidRDefault="00DE4480" w:rsidP="00FB3AF8">
      <w:pPr>
        <w:spacing w:line="360" w:lineRule="auto"/>
        <w:rPr>
          <w:sz w:val="22"/>
        </w:rPr>
      </w:pPr>
      <w:r w:rsidRPr="00DE4480">
        <w:rPr>
          <w:sz w:val="22"/>
          <w:vertAlign w:val="superscript"/>
        </w:rPr>
        <w:t>a</w:t>
      </w:r>
      <w:r w:rsidRPr="00DE4480">
        <w:rPr>
          <w:sz w:val="22"/>
        </w:rPr>
        <w:t>Cooperative agreement awardees=ICR respondents</w:t>
      </w:r>
    </w:p>
    <w:p w14:paraId="375CFF1B" w14:textId="5FFD2A94" w:rsidR="00310262" w:rsidRPr="00BB3C01" w:rsidRDefault="00310262" w:rsidP="006530E2">
      <w:pPr>
        <w:rPr>
          <w:sz w:val="24"/>
          <w:highlight w:val="yellow"/>
        </w:rPr>
      </w:pPr>
    </w:p>
    <w:p w14:paraId="57491E17" w14:textId="77777777" w:rsidR="00ED028C" w:rsidRPr="00BB3C01" w:rsidRDefault="00ED028C" w:rsidP="00200139">
      <w:pPr>
        <w:pStyle w:val="Heading3"/>
        <w:numPr>
          <w:ilvl w:val="0"/>
          <w:numId w:val="2"/>
        </w:numPr>
        <w:spacing w:line="276" w:lineRule="auto"/>
        <w:ind w:left="0" w:firstLine="0"/>
        <w:rPr>
          <w:rFonts w:ascii="Times New Roman" w:hAnsi="Times New Roman" w:cs="Times New Roman"/>
          <w:sz w:val="24"/>
          <w:szCs w:val="24"/>
        </w:rPr>
      </w:pPr>
      <w:bookmarkStart w:id="18" w:name="_Toc7600453"/>
      <w:r w:rsidRPr="00BB3C01">
        <w:rPr>
          <w:rFonts w:ascii="Times New Roman" w:hAnsi="Times New Roman" w:cs="Times New Roman"/>
          <w:sz w:val="24"/>
          <w:szCs w:val="24"/>
        </w:rPr>
        <w:t>Reason(s) Display of OMB Expiration Date is Inappropriate</w:t>
      </w:r>
      <w:bookmarkEnd w:id="18"/>
    </w:p>
    <w:p w14:paraId="2B1431BF" w14:textId="79E07FEF" w:rsidR="00ED028C" w:rsidRDefault="00ED028C" w:rsidP="00CF17B9">
      <w:pPr>
        <w:spacing w:line="276" w:lineRule="auto"/>
        <w:rPr>
          <w:sz w:val="24"/>
        </w:rPr>
      </w:pPr>
      <w:r w:rsidRPr="00BB3C01">
        <w:rPr>
          <w:sz w:val="24"/>
        </w:rPr>
        <w:t xml:space="preserve">Not applicable. </w:t>
      </w:r>
      <w:r w:rsidR="00447513" w:rsidRPr="00BB3C01">
        <w:rPr>
          <w:sz w:val="24"/>
        </w:rPr>
        <w:t>The expiration date of OMB approval will be displayed.</w:t>
      </w:r>
    </w:p>
    <w:p w14:paraId="3498E4D1" w14:textId="77777777" w:rsidR="000E5AA1" w:rsidRPr="00BB3C01" w:rsidRDefault="000E5AA1" w:rsidP="00CF17B9">
      <w:pPr>
        <w:spacing w:line="276" w:lineRule="auto"/>
        <w:rPr>
          <w:sz w:val="24"/>
        </w:rPr>
      </w:pPr>
    </w:p>
    <w:p w14:paraId="40C53A9D" w14:textId="77777777" w:rsidR="00ED028C" w:rsidRPr="00BB3C01" w:rsidRDefault="00ED028C" w:rsidP="00200139">
      <w:pPr>
        <w:pStyle w:val="Heading3"/>
        <w:numPr>
          <w:ilvl w:val="0"/>
          <w:numId w:val="2"/>
        </w:numPr>
        <w:spacing w:line="276" w:lineRule="auto"/>
        <w:ind w:left="0" w:hanging="90"/>
        <w:rPr>
          <w:rFonts w:ascii="Times New Roman" w:hAnsi="Times New Roman" w:cs="Times New Roman"/>
          <w:sz w:val="24"/>
          <w:szCs w:val="24"/>
        </w:rPr>
      </w:pPr>
      <w:bookmarkStart w:id="19" w:name="_Toc7600454"/>
      <w:r w:rsidRPr="00BB3C01">
        <w:rPr>
          <w:rFonts w:ascii="Times New Roman" w:hAnsi="Times New Roman" w:cs="Times New Roman"/>
          <w:sz w:val="24"/>
          <w:szCs w:val="24"/>
        </w:rPr>
        <w:t>Exceptions to Certification for Paperwork Reduction Act Submissions</w:t>
      </w:r>
      <w:bookmarkEnd w:id="19"/>
    </w:p>
    <w:p w14:paraId="696664C9" w14:textId="77777777" w:rsidR="00ED028C" w:rsidRPr="00BB3C01" w:rsidRDefault="00ED028C" w:rsidP="00CF17B9">
      <w:pPr>
        <w:spacing w:line="276" w:lineRule="auto"/>
        <w:rPr>
          <w:color w:val="000000"/>
          <w:sz w:val="24"/>
        </w:rPr>
      </w:pPr>
      <w:r w:rsidRPr="00BB3C01">
        <w:rPr>
          <w:color w:val="000000"/>
          <w:sz w:val="24"/>
        </w:rPr>
        <w:t>There are no exceptions to the certification.</w:t>
      </w:r>
    </w:p>
    <w:p w14:paraId="1835655D" w14:textId="77777777" w:rsidR="00447513" w:rsidRPr="00BB3C01" w:rsidRDefault="00447513" w:rsidP="00CF17B9">
      <w:pPr>
        <w:spacing w:line="276" w:lineRule="auto"/>
        <w:rPr>
          <w:color w:val="000000"/>
          <w:sz w:val="24"/>
        </w:rPr>
      </w:pPr>
    </w:p>
    <w:p w14:paraId="537E5B4E" w14:textId="77777777" w:rsidR="00447513" w:rsidRPr="00BB3C01" w:rsidRDefault="00447513" w:rsidP="006530E2">
      <w:pPr>
        <w:rPr>
          <w:b/>
          <w:color w:val="000000"/>
          <w:sz w:val="24"/>
        </w:rPr>
      </w:pPr>
    </w:p>
    <w:sectPr w:rsidR="00447513" w:rsidRPr="00BB3C01" w:rsidSect="00CA1AFD">
      <w:headerReference w:type="even" r:id="rId11"/>
      <w:footerReference w:type="even" r:id="rId12"/>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15B91" w14:textId="77777777" w:rsidR="00364CB8" w:rsidRDefault="00364CB8">
      <w:r>
        <w:separator/>
      </w:r>
    </w:p>
  </w:endnote>
  <w:endnote w:type="continuationSeparator" w:id="0">
    <w:p w14:paraId="4FEFBDF2" w14:textId="77777777" w:rsidR="00364CB8" w:rsidRDefault="00364CB8">
      <w:r>
        <w:continuationSeparator/>
      </w:r>
    </w:p>
  </w:endnote>
  <w:endnote w:type="continuationNotice" w:id="1">
    <w:p w14:paraId="0B61484C" w14:textId="77777777" w:rsidR="00364CB8" w:rsidRDefault="00364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CB90F" w14:textId="77777777" w:rsidR="00364CB8" w:rsidRDefault="00364CB8">
    <w:pPr>
      <w:pStyle w:val="Footer"/>
    </w:pPr>
  </w:p>
  <w:p w14:paraId="1BF451BD" w14:textId="77777777" w:rsidR="00364CB8" w:rsidRDefault="00364CB8"/>
  <w:p w14:paraId="06F0789C" w14:textId="77777777" w:rsidR="00364CB8" w:rsidRDefault="00364C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331856"/>
      <w:docPartObj>
        <w:docPartGallery w:val="Page Numbers (Bottom of Page)"/>
        <w:docPartUnique/>
      </w:docPartObj>
    </w:sdtPr>
    <w:sdtEndPr>
      <w:rPr>
        <w:noProof/>
      </w:rPr>
    </w:sdtEndPr>
    <w:sdtContent>
      <w:p w14:paraId="0A2D5C49" w14:textId="35168FF8" w:rsidR="00364CB8" w:rsidRDefault="00364CB8">
        <w:pPr>
          <w:pStyle w:val="Footer"/>
          <w:jc w:val="right"/>
        </w:pPr>
        <w:r>
          <w:fldChar w:fldCharType="begin"/>
        </w:r>
        <w:r>
          <w:instrText xml:space="preserve"> PAGE   \* MERGEFORMAT </w:instrText>
        </w:r>
        <w:r>
          <w:fldChar w:fldCharType="separate"/>
        </w:r>
        <w:r w:rsidR="00A37BDE">
          <w:rPr>
            <w:noProof/>
          </w:rPr>
          <w:t>1</w:t>
        </w:r>
        <w:r>
          <w:rPr>
            <w:noProof/>
          </w:rPr>
          <w:fldChar w:fldCharType="end"/>
        </w:r>
      </w:p>
    </w:sdtContent>
  </w:sdt>
  <w:p w14:paraId="137DAA78" w14:textId="77777777" w:rsidR="00364CB8" w:rsidRDefault="00364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B4296" w14:textId="77777777" w:rsidR="00364CB8" w:rsidRDefault="00364CB8">
      <w:r>
        <w:separator/>
      </w:r>
    </w:p>
  </w:footnote>
  <w:footnote w:type="continuationSeparator" w:id="0">
    <w:p w14:paraId="40A53C7F" w14:textId="77777777" w:rsidR="00364CB8" w:rsidRDefault="00364CB8">
      <w:r>
        <w:continuationSeparator/>
      </w:r>
    </w:p>
  </w:footnote>
  <w:footnote w:type="continuationNotice" w:id="1">
    <w:p w14:paraId="321B99AD" w14:textId="77777777" w:rsidR="00364CB8" w:rsidRDefault="00364CB8"/>
  </w:footnote>
  <w:footnote w:id="2">
    <w:p w14:paraId="2D53A558" w14:textId="4FF147FC" w:rsidR="00364CB8" w:rsidRPr="00D413E3" w:rsidRDefault="00364CB8">
      <w:pPr>
        <w:pStyle w:val="FootnoteText"/>
        <w:rPr>
          <w:rFonts w:ascii="Times New Roman" w:hAnsi="Times New Roman"/>
        </w:rPr>
      </w:pPr>
      <w:r w:rsidRPr="00D413E3">
        <w:rPr>
          <w:rStyle w:val="FootnoteReference"/>
          <w:rFonts w:ascii="Times New Roman" w:hAnsi="Times New Roman"/>
          <w:vertAlign w:val="superscript"/>
        </w:rPr>
        <w:footnoteRef/>
      </w:r>
      <w:r w:rsidRPr="00D413E3">
        <w:rPr>
          <w:rFonts w:ascii="Times New Roman" w:hAnsi="Times New Roman"/>
        </w:rPr>
        <w:t xml:space="preserve"> </w:t>
      </w:r>
      <w:hyperlink r:id="rId1" w:history="1">
        <w:r w:rsidRPr="00D413E3">
          <w:rPr>
            <w:rStyle w:val="Hyperlink"/>
            <w:rFonts w:ascii="Times New Roman" w:hAnsi="Times New Roman"/>
          </w:rPr>
          <w:t>http://reviewtoaction.org/about-us</w:t>
        </w:r>
      </w:hyperlink>
    </w:p>
  </w:footnote>
  <w:footnote w:id="3">
    <w:p w14:paraId="5803EB70" w14:textId="2A53A604" w:rsidR="00364CB8" w:rsidRPr="00CB64EA" w:rsidRDefault="00364CB8">
      <w:pPr>
        <w:pStyle w:val="FootnoteText"/>
        <w:rPr>
          <w:rFonts w:ascii="Times New Roman" w:hAnsi="Times New Roman"/>
        </w:rPr>
      </w:pPr>
      <w:r w:rsidRPr="00CB64EA">
        <w:rPr>
          <w:rStyle w:val="FootnoteReference"/>
          <w:rFonts w:ascii="Times New Roman" w:hAnsi="Times New Roman"/>
          <w:vertAlign w:val="superscript"/>
        </w:rPr>
        <w:footnoteRef/>
      </w:r>
      <w:r w:rsidRPr="00CB64EA">
        <w:rPr>
          <w:rFonts w:ascii="Times New Roman" w:hAnsi="Times New Roman"/>
          <w:vertAlign w:val="superscript"/>
        </w:rPr>
        <w:t xml:space="preserve"> </w:t>
      </w:r>
      <w:r w:rsidRPr="00CB64EA">
        <w:rPr>
          <w:rFonts w:ascii="Times New Roman" w:hAnsi="Times New Roman"/>
        </w:rPr>
        <w:t xml:space="preserve">St. Pierre A, Zaharatos J, Goodman D, Callaghan WM. Challenges and Opportunities in Identifying, Reviewing, and Preventing Maternal Deaths. </w:t>
      </w:r>
      <w:r w:rsidRPr="00CB64EA">
        <w:rPr>
          <w:rFonts w:ascii="Times New Roman" w:hAnsi="Times New Roman"/>
          <w:i/>
        </w:rPr>
        <w:t>Obstet Gynecol</w:t>
      </w:r>
      <w:r w:rsidRPr="00CB64EA">
        <w:rPr>
          <w:rFonts w:ascii="Times New Roman" w:hAnsi="Times New Roman"/>
        </w:rPr>
        <w:t xml:space="preserve"> 2018;131:138-42.</w:t>
      </w:r>
    </w:p>
  </w:footnote>
  <w:footnote w:id="4">
    <w:p w14:paraId="2FEFF71C" w14:textId="02DBAF88" w:rsidR="00364CB8" w:rsidRPr="009974D2" w:rsidRDefault="00364CB8">
      <w:pPr>
        <w:pStyle w:val="FootnoteText"/>
      </w:pPr>
      <w:r w:rsidRPr="009974D2">
        <w:rPr>
          <w:rStyle w:val="FootnoteReference"/>
          <w:vertAlign w:val="superscript"/>
        </w:rPr>
        <w:footnoteRef/>
      </w:r>
      <w:r w:rsidRPr="009974D2">
        <w:rPr>
          <w:vertAlign w:val="superscript"/>
        </w:rPr>
        <w:t xml:space="preserve"> </w:t>
      </w:r>
      <w:r w:rsidRPr="009974D2">
        <w:rPr>
          <w:rFonts w:ascii="Times New Roman" w:hAnsi="Times New Roman"/>
        </w:rPr>
        <w:t>Adapted from:</w:t>
      </w:r>
      <w:r>
        <w:t xml:space="preserve"> </w:t>
      </w:r>
      <w:r w:rsidRPr="00CB64EA">
        <w:rPr>
          <w:rFonts w:ascii="Times New Roman" w:hAnsi="Times New Roman"/>
        </w:rPr>
        <w:t xml:space="preserve">St. Pierre A, Zaharatos J, Goodman D, Callaghan WM. Challenges and Opportunities in Identifying, Reviewing, and Preventing Maternal Deaths. </w:t>
      </w:r>
      <w:r w:rsidRPr="00CB64EA">
        <w:rPr>
          <w:rFonts w:ascii="Times New Roman" w:hAnsi="Times New Roman"/>
          <w:i/>
        </w:rPr>
        <w:t>Obstet Gynecol</w:t>
      </w:r>
      <w:r w:rsidRPr="00CB64EA">
        <w:rPr>
          <w:rFonts w:ascii="Times New Roman" w:hAnsi="Times New Roman"/>
        </w:rPr>
        <w:t xml:space="preserve"> 2018;131:138-42.</w:t>
      </w:r>
    </w:p>
  </w:footnote>
  <w:footnote w:id="5">
    <w:p w14:paraId="5F20979B" w14:textId="77777777" w:rsidR="00364CB8" w:rsidRDefault="00364CB8" w:rsidP="007E2F3B">
      <w:pPr>
        <w:rPr>
          <w:rFonts w:asciiTheme="minorHAnsi" w:hAnsiTheme="minorHAnsi" w:cstheme="minorHAnsi"/>
        </w:rPr>
      </w:pPr>
      <w:r w:rsidRPr="009427DA">
        <w:rPr>
          <w:rStyle w:val="FootnoteReference"/>
          <w:rFonts w:asciiTheme="minorHAnsi" w:hAnsiTheme="minorHAnsi" w:cstheme="minorHAnsi"/>
          <w:vertAlign w:val="superscript"/>
        </w:rPr>
        <w:footnoteRef/>
      </w:r>
      <w:hyperlink r:id="rId2" w:history="1">
        <w:r w:rsidRPr="009427DA">
          <w:rPr>
            <w:rStyle w:val="Hyperlink"/>
          </w:rPr>
          <w:t>https://wonder.cdc.gov/</w:t>
        </w:r>
      </w:hyperlink>
      <w:r>
        <w:rPr>
          <w:rFonts w:asciiTheme="minorHAnsi" w:hAnsiTheme="minorHAnsi" w:cstheme="minorHAnsi"/>
        </w:rPr>
        <w:t xml:space="preserve"> </w:t>
      </w:r>
    </w:p>
    <w:p w14:paraId="0064F9A4" w14:textId="77777777" w:rsidR="00364CB8" w:rsidRPr="00BE03F3" w:rsidRDefault="00364CB8" w:rsidP="007E2F3B">
      <w:pPr>
        <w:rPr>
          <w:rFonts w:asciiTheme="minorHAnsi" w:hAnsiTheme="minorHAnsi" w:cstheme="minorHAnsi"/>
        </w:rPr>
      </w:pPr>
    </w:p>
  </w:footnote>
  <w:footnote w:id="6">
    <w:p w14:paraId="0E8BC4E2" w14:textId="2F658EA2" w:rsidR="00364CB8" w:rsidRPr="000274E9" w:rsidRDefault="00364CB8" w:rsidP="009427DA">
      <w:pPr>
        <w:pStyle w:val="FootnoteText"/>
        <w:rPr>
          <w:rFonts w:ascii="Times New Roman" w:hAnsi="Times New Roman"/>
        </w:rPr>
      </w:pPr>
      <w:r w:rsidRPr="00787D83">
        <w:rPr>
          <w:rFonts w:ascii="Times New Roman" w:hAnsi="Times New Roman"/>
          <w:vertAlign w:val="superscript"/>
        </w:rPr>
        <w:t>4</w:t>
      </w:r>
      <w:r w:rsidRPr="000274E9">
        <w:rPr>
          <w:rFonts w:ascii="Times New Roman" w:hAnsi="Times New Roman"/>
        </w:rPr>
        <w:t xml:space="preserve"> </w:t>
      </w:r>
      <w:hyperlink r:id="rId3" w:history="1">
        <w:r w:rsidRPr="000274E9">
          <w:rPr>
            <w:rStyle w:val="Hyperlink"/>
            <w:rFonts w:ascii="Times New Roman" w:hAnsi="Times New Roman"/>
          </w:rPr>
          <w:t>https://www.bls.gov/oes/current/oes_nat.htm#29-0000</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DEAEE" w14:textId="77777777" w:rsidR="00364CB8" w:rsidRDefault="00364CB8">
    <w:pPr>
      <w:pStyle w:val="Header"/>
    </w:pPr>
  </w:p>
  <w:p w14:paraId="0E4A8807" w14:textId="77777777" w:rsidR="00364CB8" w:rsidRDefault="00364CB8"/>
  <w:p w14:paraId="5C5126AB" w14:textId="77777777" w:rsidR="00364CB8" w:rsidRDefault="00364C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037"/>
    <w:multiLevelType w:val="hybridMultilevel"/>
    <w:tmpl w:val="51A0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87A21"/>
    <w:multiLevelType w:val="hybridMultilevel"/>
    <w:tmpl w:val="C7466DA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B6201"/>
    <w:multiLevelType w:val="hybridMultilevel"/>
    <w:tmpl w:val="27624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B7A1C"/>
    <w:multiLevelType w:val="hybridMultilevel"/>
    <w:tmpl w:val="59A69AC2"/>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D6FBF"/>
    <w:multiLevelType w:val="hybridMultilevel"/>
    <w:tmpl w:val="9866006E"/>
    <w:lvl w:ilvl="0" w:tplc="04090001">
      <w:start w:val="1"/>
      <w:numFmt w:val="bullet"/>
      <w:lvlText w:val=""/>
      <w:lvlJc w:val="left"/>
      <w:pPr>
        <w:ind w:left="360" w:hanging="360"/>
      </w:pPr>
      <w:rPr>
        <w:rFonts w:ascii="Symbol" w:hAnsi="Symbol"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3029A6"/>
    <w:multiLevelType w:val="hybridMultilevel"/>
    <w:tmpl w:val="E97CFB64"/>
    <w:lvl w:ilvl="0" w:tplc="04090015">
      <w:start w:val="1"/>
      <w:numFmt w:val="upperLetter"/>
      <w:lvlText w:val="%1."/>
      <w:lvlJc w:val="left"/>
      <w:pPr>
        <w:ind w:left="360" w:hanging="360"/>
      </w:pPr>
      <w:rPr>
        <w:rFonts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0D1D74"/>
    <w:multiLevelType w:val="hybridMultilevel"/>
    <w:tmpl w:val="2C70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F0ADC"/>
    <w:multiLevelType w:val="hybridMultilevel"/>
    <w:tmpl w:val="80744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C1B7A60"/>
    <w:multiLevelType w:val="hybridMultilevel"/>
    <w:tmpl w:val="A22AC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D634A2"/>
    <w:multiLevelType w:val="hybridMultilevel"/>
    <w:tmpl w:val="EDC42312"/>
    <w:lvl w:ilvl="0" w:tplc="04090001">
      <w:start w:val="1"/>
      <w:numFmt w:val="bullet"/>
      <w:lvlText w:val=""/>
      <w:lvlJc w:val="left"/>
      <w:pPr>
        <w:ind w:left="720" w:hanging="360"/>
      </w:pPr>
      <w:rPr>
        <w:rFonts w:ascii="Symbol" w:hAnsi="Symbol" w:hint="default"/>
      </w:rPr>
    </w:lvl>
    <w:lvl w:ilvl="1" w:tplc="E108B240">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803492"/>
    <w:multiLevelType w:val="hybridMultilevel"/>
    <w:tmpl w:val="6486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8B0F9B"/>
    <w:multiLevelType w:val="hybridMultilevel"/>
    <w:tmpl w:val="C0C28322"/>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A15E22"/>
    <w:multiLevelType w:val="hybridMultilevel"/>
    <w:tmpl w:val="5542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31326E"/>
    <w:multiLevelType w:val="hybridMultilevel"/>
    <w:tmpl w:val="19D68446"/>
    <w:lvl w:ilvl="0" w:tplc="EFE4B1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434051"/>
    <w:multiLevelType w:val="hybridMultilevel"/>
    <w:tmpl w:val="C840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1814B3"/>
    <w:multiLevelType w:val="hybridMultilevel"/>
    <w:tmpl w:val="A61C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6545A8"/>
    <w:multiLevelType w:val="hybridMultilevel"/>
    <w:tmpl w:val="11AE88D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CB0255"/>
    <w:multiLevelType w:val="hybridMultilevel"/>
    <w:tmpl w:val="5642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F034D7"/>
    <w:multiLevelType w:val="hybridMultilevel"/>
    <w:tmpl w:val="AFAC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EB4B17"/>
    <w:multiLevelType w:val="hybridMultilevel"/>
    <w:tmpl w:val="21AC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1C2895"/>
    <w:multiLevelType w:val="hybridMultilevel"/>
    <w:tmpl w:val="2648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A24996"/>
    <w:multiLevelType w:val="hybridMultilevel"/>
    <w:tmpl w:val="21AC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4E73F6"/>
    <w:multiLevelType w:val="hybridMultilevel"/>
    <w:tmpl w:val="F05CB0DE"/>
    <w:lvl w:ilvl="0" w:tplc="B0AE8CB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E405B9"/>
    <w:multiLevelType w:val="multilevel"/>
    <w:tmpl w:val="71DEB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5440FE6"/>
    <w:multiLevelType w:val="hybridMultilevel"/>
    <w:tmpl w:val="88FCA3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585915"/>
    <w:multiLevelType w:val="hybridMultilevel"/>
    <w:tmpl w:val="6DD894D0"/>
    <w:lvl w:ilvl="0" w:tplc="04090001">
      <w:start w:val="1"/>
      <w:numFmt w:val="bullet"/>
      <w:lvlText w:val=""/>
      <w:lvlJc w:val="left"/>
      <w:pPr>
        <w:ind w:left="360" w:hanging="360"/>
      </w:pPr>
      <w:rPr>
        <w:rFonts w:ascii="Symbol" w:hAnsi="Symbol"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2"/>
  </w:num>
  <w:num w:numId="3">
    <w:abstractNumId w:val="13"/>
  </w:num>
  <w:num w:numId="4">
    <w:abstractNumId w:val="10"/>
  </w:num>
  <w:num w:numId="5">
    <w:abstractNumId w:val="4"/>
  </w:num>
  <w:num w:numId="6">
    <w:abstractNumId w:val="25"/>
  </w:num>
  <w:num w:numId="7">
    <w:abstractNumId w:val="17"/>
  </w:num>
  <w:num w:numId="8">
    <w:abstractNumId w:val="9"/>
  </w:num>
  <w:num w:numId="9">
    <w:abstractNumId w:val="0"/>
  </w:num>
  <w:num w:numId="10">
    <w:abstractNumId w:val="12"/>
  </w:num>
  <w:num w:numId="11">
    <w:abstractNumId w:val="2"/>
  </w:num>
  <w:num w:numId="12">
    <w:abstractNumId w:val="3"/>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21"/>
  </w:num>
  <w:num w:numId="26">
    <w:abstractNumId w:val="7"/>
  </w:num>
  <w:num w:numId="27">
    <w:abstractNumId w:val="24"/>
  </w:num>
  <w:num w:numId="28">
    <w:abstractNumId w:val="20"/>
  </w:num>
  <w:num w:numId="29">
    <w:abstractNumId w:val="6"/>
  </w:num>
  <w:num w:numId="30">
    <w:abstractNumId w:val="1"/>
  </w:num>
  <w:num w:numId="31">
    <w:abstractNumId w:val="16"/>
  </w:num>
  <w:num w:numId="32">
    <w:abstractNumId w:val="14"/>
  </w:num>
  <w:num w:numId="33">
    <w:abstractNumId w:val="11"/>
  </w:num>
  <w:num w:numId="34">
    <w:abstractNumId w:val="15"/>
  </w:num>
  <w:num w:numId="3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11"/>
    <w:rsid w:val="00000102"/>
    <w:rsid w:val="00001B89"/>
    <w:rsid w:val="00001C8B"/>
    <w:rsid w:val="00002B16"/>
    <w:rsid w:val="00003854"/>
    <w:rsid w:val="0000475E"/>
    <w:rsid w:val="00004E5E"/>
    <w:rsid w:val="00005C37"/>
    <w:rsid w:val="00006BB2"/>
    <w:rsid w:val="00012958"/>
    <w:rsid w:val="000147DD"/>
    <w:rsid w:val="00014A57"/>
    <w:rsid w:val="00014EBA"/>
    <w:rsid w:val="00014F3C"/>
    <w:rsid w:val="00015D62"/>
    <w:rsid w:val="00016E40"/>
    <w:rsid w:val="0001736C"/>
    <w:rsid w:val="00017478"/>
    <w:rsid w:val="00020015"/>
    <w:rsid w:val="000200E5"/>
    <w:rsid w:val="00020D0B"/>
    <w:rsid w:val="00022151"/>
    <w:rsid w:val="00022A7A"/>
    <w:rsid w:val="000239D0"/>
    <w:rsid w:val="00024869"/>
    <w:rsid w:val="00024B61"/>
    <w:rsid w:val="00025433"/>
    <w:rsid w:val="000259B9"/>
    <w:rsid w:val="000274E9"/>
    <w:rsid w:val="0003164F"/>
    <w:rsid w:val="0003374B"/>
    <w:rsid w:val="00033E95"/>
    <w:rsid w:val="000340CE"/>
    <w:rsid w:val="000341B1"/>
    <w:rsid w:val="00034F02"/>
    <w:rsid w:val="000353CC"/>
    <w:rsid w:val="0003567A"/>
    <w:rsid w:val="00036438"/>
    <w:rsid w:val="0003650A"/>
    <w:rsid w:val="000374D8"/>
    <w:rsid w:val="00040CA9"/>
    <w:rsid w:val="0004132C"/>
    <w:rsid w:val="00041AF0"/>
    <w:rsid w:val="000429CE"/>
    <w:rsid w:val="000436FE"/>
    <w:rsid w:val="000441E3"/>
    <w:rsid w:val="0004448F"/>
    <w:rsid w:val="000445CD"/>
    <w:rsid w:val="00044DF8"/>
    <w:rsid w:val="00044EB7"/>
    <w:rsid w:val="00045CFE"/>
    <w:rsid w:val="000525AC"/>
    <w:rsid w:val="00055925"/>
    <w:rsid w:val="000563A5"/>
    <w:rsid w:val="00056FB6"/>
    <w:rsid w:val="00057966"/>
    <w:rsid w:val="000579E0"/>
    <w:rsid w:val="00057F69"/>
    <w:rsid w:val="00060668"/>
    <w:rsid w:val="00060CCE"/>
    <w:rsid w:val="00060FC4"/>
    <w:rsid w:val="00061495"/>
    <w:rsid w:val="000636DD"/>
    <w:rsid w:val="00065E94"/>
    <w:rsid w:val="00065FA7"/>
    <w:rsid w:val="00066681"/>
    <w:rsid w:val="00067C00"/>
    <w:rsid w:val="0007126E"/>
    <w:rsid w:val="00074D06"/>
    <w:rsid w:val="00075E3D"/>
    <w:rsid w:val="00076CB0"/>
    <w:rsid w:val="00081389"/>
    <w:rsid w:val="00081CA9"/>
    <w:rsid w:val="00081E5E"/>
    <w:rsid w:val="00081EAC"/>
    <w:rsid w:val="000821AF"/>
    <w:rsid w:val="00082C77"/>
    <w:rsid w:val="00082DA5"/>
    <w:rsid w:val="00083647"/>
    <w:rsid w:val="000865A3"/>
    <w:rsid w:val="00087026"/>
    <w:rsid w:val="00087A81"/>
    <w:rsid w:val="00092784"/>
    <w:rsid w:val="00092A7A"/>
    <w:rsid w:val="00092C8E"/>
    <w:rsid w:val="00095699"/>
    <w:rsid w:val="00095C08"/>
    <w:rsid w:val="000961C7"/>
    <w:rsid w:val="00097C14"/>
    <w:rsid w:val="000A12A9"/>
    <w:rsid w:val="000A18E3"/>
    <w:rsid w:val="000A243F"/>
    <w:rsid w:val="000A2F6E"/>
    <w:rsid w:val="000A3667"/>
    <w:rsid w:val="000A4CE3"/>
    <w:rsid w:val="000A60DE"/>
    <w:rsid w:val="000B17B5"/>
    <w:rsid w:val="000B18DC"/>
    <w:rsid w:val="000B207D"/>
    <w:rsid w:val="000B23F8"/>
    <w:rsid w:val="000B3BFA"/>
    <w:rsid w:val="000B3D56"/>
    <w:rsid w:val="000B4C30"/>
    <w:rsid w:val="000B4D39"/>
    <w:rsid w:val="000B4EB6"/>
    <w:rsid w:val="000B5678"/>
    <w:rsid w:val="000B7C54"/>
    <w:rsid w:val="000C18A7"/>
    <w:rsid w:val="000C23F9"/>
    <w:rsid w:val="000C2C03"/>
    <w:rsid w:val="000C495A"/>
    <w:rsid w:val="000C64E0"/>
    <w:rsid w:val="000C77B2"/>
    <w:rsid w:val="000D07B4"/>
    <w:rsid w:val="000D09BA"/>
    <w:rsid w:val="000D2042"/>
    <w:rsid w:val="000D2393"/>
    <w:rsid w:val="000D28FD"/>
    <w:rsid w:val="000D35CE"/>
    <w:rsid w:val="000D3E30"/>
    <w:rsid w:val="000D48BF"/>
    <w:rsid w:val="000D5D29"/>
    <w:rsid w:val="000E0CB2"/>
    <w:rsid w:val="000E118F"/>
    <w:rsid w:val="000E28C4"/>
    <w:rsid w:val="000E4599"/>
    <w:rsid w:val="000E4A82"/>
    <w:rsid w:val="000E5AA1"/>
    <w:rsid w:val="000E5FE0"/>
    <w:rsid w:val="000E66A0"/>
    <w:rsid w:val="000E6DA2"/>
    <w:rsid w:val="000E7B15"/>
    <w:rsid w:val="000F032E"/>
    <w:rsid w:val="000F0495"/>
    <w:rsid w:val="000F1BB7"/>
    <w:rsid w:val="000F3060"/>
    <w:rsid w:val="000F38D0"/>
    <w:rsid w:val="000F5D96"/>
    <w:rsid w:val="000F7678"/>
    <w:rsid w:val="00101597"/>
    <w:rsid w:val="00101CC2"/>
    <w:rsid w:val="001040A6"/>
    <w:rsid w:val="00104FD9"/>
    <w:rsid w:val="0010660D"/>
    <w:rsid w:val="00106969"/>
    <w:rsid w:val="00107093"/>
    <w:rsid w:val="00111847"/>
    <w:rsid w:val="0011236F"/>
    <w:rsid w:val="001143DA"/>
    <w:rsid w:val="001148FE"/>
    <w:rsid w:val="001159A6"/>
    <w:rsid w:val="00115D01"/>
    <w:rsid w:val="0011730D"/>
    <w:rsid w:val="0012107E"/>
    <w:rsid w:val="0012285B"/>
    <w:rsid w:val="00123099"/>
    <w:rsid w:val="00123C3F"/>
    <w:rsid w:val="0012428E"/>
    <w:rsid w:val="00124B58"/>
    <w:rsid w:val="00125D5E"/>
    <w:rsid w:val="001262D7"/>
    <w:rsid w:val="0013204C"/>
    <w:rsid w:val="00132ABB"/>
    <w:rsid w:val="00133EAE"/>
    <w:rsid w:val="001347B5"/>
    <w:rsid w:val="00134EBD"/>
    <w:rsid w:val="0013704A"/>
    <w:rsid w:val="00137444"/>
    <w:rsid w:val="00140023"/>
    <w:rsid w:val="00140154"/>
    <w:rsid w:val="001422EE"/>
    <w:rsid w:val="00142646"/>
    <w:rsid w:val="001428EC"/>
    <w:rsid w:val="0014506A"/>
    <w:rsid w:val="0014782B"/>
    <w:rsid w:val="00147D1E"/>
    <w:rsid w:val="001507A5"/>
    <w:rsid w:val="00150F55"/>
    <w:rsid w:val="00151A03"/>
    <w:rsid w:val="00151A4F"/>
    <w:rsid w:val="00152977"/>
    <w:rsid w:val="00152CC3"/>
    <w:rsid w:val="00152CF4"/>
    <w:rsid w:val="0015333A"/>
    <w:rsid w:val="0015408A"/>
    <w:rsid w:val="00154DFB"/>
    <w:rsid w:val="00155981"/>
    <w:rsid w:val="00156FC4"/>
    <w:rsid w:val="001603CB"/>
    <w:rsid w:val="00161994"/>
    <w:rsid w:val="001624A1"/>
    <w:rsid w:val="0016523F"/>
    <w:rsid w:val="001652B1"/>
    <w:rsid w:val="001653E7"/>
    <w:rsid w:val="001702F8"/>
    <w:rsid w:val="00170BD6"/>
    <w:rsid w:val="00171B56"/>
    <w:rsid w:val="00172761"/>
    <w:rsid w:val="00172AB5"/>
    <w:rsid w:val="00172B8B"/>
    <w:rsid w:val="00174409"/>
    <w:rsid w:val="00180073"/>
    <w:rsid w:val="0018045F"/>
    <w:rsid w:val="001816B9"/>
    <w:rsid w:val="00181B30"/>
    <w:rsid w:val="00182698"/>
    <w:rsid w:val="00184567"/>
    <w:rsid w:val="00184631"/>
    <w:rsid w:val="0018573C"/>
    <w:rsid w:val="001861E1"/>
    <w:rsid w:val="00186C91"/>
    <w:rsid w:val="001870BA"/>
    <w:rsid w:val="0018751D"/>
    <w:rsid w:val="001901A0"/>
    <w:rsid w:val="00190A4D"/>
    <w:rsid w:val="00195025"/>
    <w:rsid w:val="00195834"/>
    <w:rsid w:val="00195B0E"/>
    <w:rsid w:val="001974FE"/>
    <w:rsid w:val="001978A9"/>
    <w:rsid w:val="00197C7F"/>
    <w:rsid w:val="00197EBA"/>
    <w:rsid w:val="001A0188"/>
    <w:rsid w:val="001A3432"/>
    <w:rsid w:val="001A3F76"/>
    <w:rsid w:val="001A60D0"/>
    <w:rsid w:val="001A72A3"/>
    <w:rsid w:val="001A78A8"/>
    <w:rsid w:val="001B230D"/>
    <w:rsid w:val="001B23C9"/>
    <w:rsid w:val="001B266D"/>
    <w:rsid w:val="001B2A11"/>
    <w:rsid w:val="001B2BBD"/>
    <w:rsid w:val="001B3704"/>
    <w:rsid w:val="001B5281"/>
    <w:rsid w:val="001B5C74"/>
    <w:rsid w:val="001B6910"/>
    <w:rsid w:val="001B71EF"/>
    <w:rsid w:val="001B7C4F"/>
    <w:rsid w:val="001B7CA3"/>
    <w:rsid w:val="001C0382"/>
    <w:rsid w:val="001C0447"/>
    <w:rsid w:val="001C0B56"/>
    <w:rsid w:val="001C248A"/>
    <w:rsid w:val="001C2603"/>
    <w:rsid w:val="001C33C3"/>
    <w:rsid w:val="001C3486"/>
    <w:rsid w:val="001C358A"/>
    <w:rsid w:val="001C51B9"/>
    <w:rsid w:val="001C5291"/>
    <w:rsid w:val="001C6E92"/>
    <w:rsid w:val="001D1357"/>
    <w:rsid w:val="001D4260"/>
    <w:rsid w:val="001D56C3"/>
    <w:rsid w:val="001D57BD"/>
    <w:rsid w:val="001D5EC2"/>
    <w:rsid w:val="001D6E30"/>
    <w:rsid w:val="001D70CB"/>
    <w:rsid w:val="001D7979"/>
    <w:rsid w:val="001E11C2"/>
    <w:rsid w:val="001E1824"/>
    <w:rsid w:val="001E1EE7"/>
    <w:rsid w:val="001E2F8F"/>
    <w:rsid w:val="001E2FC6"/>
    <w:rsid w:val="001E3336"/>
    <w:rsid w:val="001E41ED"/>
    <w:rsid w:val="001E4968"/>
    <w:rsid w:val="001F09E4"/>
    <w:rsid w:val="001F11F5"/>
    <w:rsid w:val="001F1641"/>
    <w:rsid w:val="001F16C6"/>
    <w:rsid w:val="001F18AA"/>
    <w:rsid w:val="001F2CC6"/>
    <w:rsid w:val="001F2D36"/>
    <w:rsid w:val="001F5640"/>
    <w:rsid w:val="001F5EB5"/>
    <w:rsid w:val="001F65F3"/>
    <w:rsid w:val="001F6639"/>
    <w:rsid w:val="001F6D2F"/>
    <w:rsid w:val="00200139"/>
    <w:rsid w:val="0020033F"/>
    <w:rsid w:val="00200E50"/>
    <w:rsid w:val="00201936"/>
    <w:rsid w:val="00201E04"/>
    <w:rsid w:val="002026D1"/>
    <w:rsid w:val="00205766"/>
    <w:rsid w:val="00205A76"/>
    <w:rsid w:val="00207246"/>
    <w:rsid w:val="002113FD"/>
    <w:rsid w:val="00215527"/>
    <w:rsid w:val="002159FE"/>
    <w:rsid w:val="002168C5"/>
    <w:rsid w:val="00217722"/>
    <w:rsid w:val="0021792A"/>
    <w:rsid w:val="0022146B"/>
    <w:rsid w:val="0022202C"/>
    <w:rsid w:val="002231A4"/>
    <w:rsid w:val="00224436"/>
    <w:rsid w:val="002267D8"/>
    <w:rsid w:val="00226CB9"/>
    <w:rsid w:val="0023170F"/>
    <w:rsid w:val="00231F67"/>
    <w:rsid w:val="00232D5D"/>
    <w:rsid w:val="002345C5"/>
    <w:rsid w:val="002347EE"/>
    <w:rsid w:val="002356B3"/>
    <w:rsid w:val="00235E33"/>
    <w:rsid w:val="00236EB0"/>
    <w:rsid w:val="00241F27"/>
    <w:rsid w:val="00242372"/>
    <w:rsid w:val="002427D3"/>
    <w:rsid w:val="00242CD7"/>
    <w:rsid w:val="00243CBC"/>
    <w:rsid w:val="002441DB"/>
    <w:rsid w:val="0024519F"/>
    <w:rsid w:val="002459F2"/>
    <w:rsid w:val="00247028"/>
    <w:rsid w:val="00247550"/>
    <w:rsid w:val="002476BA"/>
    <w:rsid w:val="00247A34"/>
    <w:rsid w:val="00247D67"/>
    <w:rsid w:val="002519FA"/>
    <w:rsid w:val="00252539"/>
    <w:rsid w:val="00253B5C"/>
    <w:rsid w:val="0025734F"/>
    <w:rsid w:val="002577F2"/>
    <w:rsid w:val="00257D6C"/>
    <w:rsid w:val="00261613"/>
    <w:rsid w:val="002618A5"/>
    <w:rsid w:val="002618F1"/>
    <w:rsid w:val="00261C53"/>
    <w:rsid w:val="00263E3B"/>
    <w:rsid w:val="00264CA7"/>
    <w:rsid w:val="0026508D"/>
    <w:rsid w:val="00265DC4"/>
    <w:rsid w:val="00266A2B"/>
    <w:rsid w:val="00266BF2"/>
    <w:rsid w:val="0026758C"/>
    <w:rsid w:val="0026769C"/>
    <w:rsid w:val="00270138"/>
    <w:rsid w:val="002711FD"/>
    <w:rsid w:val="002712AC"/>
    <w:rsid w:val="00271457"/>
    <w:rsid w:val="00272148"/>
    <w:rsid w:val="00273BBE"/>
    <w:rsid w:val="00276938"/>
    <w:rsid w:val="00283E26"/>
    <w:rsid w:val="00283FF3"/>
    <w:rsid w:val="00287559"/>
    <w:rsid w:val="0029002A"/>
    <w:rsid w:val="00290A0E"/>
    <w:rsid w:val="0029152A"/>
    <w:rsid w:val="00296D4B"/>
    <w:rsid w:val="00297ECF"/>
    <w:rsid w:val="002A036E"/>
    <w:rsid w:val="002A0747"/>
    <w:rsid w:val="002A0AFB"/>
    <w:rsid w:val="002A521D"/>
    <w:rsid w:val="002A627A"/>
    <w:rsid w:val="002A6A2C"/>
    <w:rsid w:val="002B0321"/>
    <w:rsid w:val="002B24F0"/>
    <w:rsid w:val="002B5548"/>
    <w:rsid w:val="002B6749"/>
    <w:rsid w:val="002B7232"/>
    <w:rsid w:val="002B7BA2"/>
    <w:rsid w:val="002C0B45"/>
    <w:rsid w:val="002C2029"/>
    <w:rsid w:val="002C3862"/>
    <w:rsid w:val="002C3A1B"/>
    <w:rsid w:val="002C5043"/>
    <w:rsid w:val="002C6D07"/>
    <w:rsid w:val="002C7340"/>
    <w:rsid w:val="002D1CD0"/>
    <w:rsid w:val="002D2C38"/>
    <w:rsid w:val="002D3156"/>
    <w:rsid w:val="002D4261"/>
    <w:rsid w:val="002D435F"/>
    <w:rsid w:val="002D4CCC"/>
    <w:rsid w:val="002E0662"/>
    <w:rsid w:val="002E0A49"/>
    <w:rsid w:val="002E40CD"/>
    <w:rsid w:val="002E6C56"/>
    <w:rsid w:val="002F0EC7"/>
    <w:rsid w:val="002F17DB"/>
    <w:rsid w:val="002F1BDE"/>
    <w:rsid w:val="002F2A4F"/>
    <w:rsid w:val="002F4F57"/>
    <w:rsid w:val="002F4FEC"/>
    <w:rsid w:val="002F5E16"/>
    <w:rsid w:val="002F682A"/>
    <w:rsid w:val="003005C7"/>
    <w:rsid w:val="003007EF"/>
    <w:rsid w:val="00300AE2"/>
    <w:rsid w:val="00301665"/>
    <w:rsid w:val="00306F05"/>
    <w:rsid w:val="00310262"/>
    <w:rsid w:val="0031032D"/>
    <w:rsid w:val="00310817"/>
    <w:rsid w:val="00310B9E"/>
    <w:rsid w:val="003111DC"/>
    <w:rsid w:val="00313D4B"/>
    <w:rsid w:val="00314A38"/>
    <w:rsid w:val="0031614B"/>
    <w:rsid w:val="00316506"/>
    <w:rsid w:val="00316D60"/>
    <w:rsid w:val="0032067F"/>
    <w:rsid w:val="0032093C"/>
    <w:rsid w:val="00320DFC"/>
    <w:rsid w:val="0032104C"/>
    <w:rsid w:val="00321895"/>
    <w:rsid w:val="00321E08"/>
    <w:rsid w:val="00322CB2"/>
    <w:rsid w:val="00323906"/>
    <w:rsid w:val="00327A2E"/>
    <w:rsid w:val="00327B00"/>
    <w:rsid w:val="003322B0"/>
    <w:rsid w:val="00333620"/>
    <w:rsid w:val="00333974"/>
    <w:rsid w:val="00333F95"/>
    <w:rsid w:val="00335802"/>
    <w:rsid w:val="00336723"/>
    <w:rsid w:val="00340211"/>
    <w:rsid w:val="0034024F"/>
    <w:rsid w:val="0034040E"/>
    <w:rsid w:val="00342301"/>
    <w:rsid w:val="0034253B"/>
    <w:rsid w:val="00343450"/>
    <w:rsid w:val="0034467D"/>
    <w:rsid w:val="003453A2"/>
    <w:rsid w:val="003469EA"/>
    <w:rsid w:val="00351A9B"/>
    <w:rsid w:val="003521E4"/>
    <w:rsid w:val="00352572"/>
    <w:rsid w:val="00354A78"/>
    <w:rsid w:val="00356004"/>
    <w:rsid w:val="00356032"/>
    <w:rsid w:val="00356413"/>
    <w:rsid w:val="00356961"/>
    <w:rsid w:val="00360059"/>
    <w:rsid w:val="00360670"/>
    <w:rsid w:val="00362A76"/>
    <w:rsid w:val="00362F0D"/>
    <w:rsid w:val="003634F4"/>
    <w:rsid w:val="00363BBC"/>
    <w:rsid w:val="00363FB7"/>
    <w:rsid w:val="00364CB8"/>
    <w:rsid w:val="00365A75"/>
    <w:rsid w:val="003660AD"/>
    <w:rsid w:val="00366BD2"/>
    <w:rsid w:val="0036726F"/>
    <w:rsid w:val="003724DB"/>
    <w:rsid w:val="00373977"/>
    <w:rsid w:val="0037739F"/>
    <w:rsid w:val="00383340"/>
    <w:rsid w:val="003854B7"/>
    <w:rsid w:val="00385619"/>
    <w:rsid w:val="00386DC8"/>
    <w:rsid w:val="00387250"/>
    <w:rsid w:val="003916F2"/>
    <w:rsid w:val="00391F50"/>
    <w:rsid w:val="00392B68"/>
    <w:rsid w:val="003940CB"/>
    <w:rsid w:val="003969E6"/>
    <w:rsid w:val="003A185A"/>
    <w:rsid w:val="003A1F94"/>
    <w:rsid w:val="003A1FB8"/>
    <w:rsid w:val="003A31B3"/>
    <w:rsid w:val="003A7F6D"/>
    <w:rsid w:val="003B03CA"/>
    <w:rsid w:val="003B06FE"/>
    <w:rsid w:val="003B1922"/>
    <w:rsid w:val="003B1FF7"/>
    <w:rsid w:val="003B3921"/>
    <w:rsid w:val="003B3A7D"/>
    <w:rsid w:val="003B42B3"/>
    <w:rsid w:val="003B6EFB"/>
    <w:rsid w:val="003B715F"/>
    <w:rsid w:val="003C028C"/>
    <w:rsid w:val="003C0906"/>
    <w:rsid w:val="003C1A82"/>
    <w:rsid w:val="003C3252"/>
    <w:rsid w:val="003C4299"/>
    <w:rsid w:val="003C4F87"/>
    <w:rsid w:val="003C62A6"/>
    <w:rsid w:val="003D022F"/>
    <w:rsid w:val="003D477D"/>
    <w:rsid w:val="003D5B64"/>
    <w:rsid w:val="003D7C93"/>
    <w:rsid w:val="003E0753"/>
    <w:rsid w:val="003E131D"/>
    <w:rsid w:val="003E15D0"/>
    <w:rsid w:val="003E67E6"/>
    <w:rsid w:val="003F0CAC"/>
    <w:rsid w:val="003F1E49"/>
    <w:rsid w:val="003F3C2E"/>
    <w:rsid w:val="003F3E38"/>
    <w:rsid w:val="003F4143"/>
    <w:rsid w:val="003F6A30"/>
    <w:rsid w:val="003F6E9C"/>
    <w:rsid w:val="003F7564"/>
    <w:rsid w:val="00400300"/>
    <w:rsid w:val="00400961"/>
    <w:rsid w:val="00400EB3"/>
    <w:rsid w:val="00400F41"/>
    <w:rsid w:val="00401A11"/>
    <w:rsid w:val="00402A44"/>
    <w:rsid w:val="00404380"/>
    <w:rsid w:val="004050EF"/>
    <w:rsid w:val="00405C20"/>
    <w:rsid w:val="004109CC"/>
    <w:rsid w:val="00410F84"/>
    <w:rsid w:val="0041116B"/>
    <w:rsid w:val="00411254"/>
    <w:rsid w:val="00413642"/>
    <w:rsid w:val="00416ABB"/>
    <w:rsid w:val="004173D7"/>
    <w:rsid w:val="0042260E"/>
    <w:rsid w:val="00423CE8"/>
    <w:rsid w:val="00423FC6"/>
    <w:rsid w:val="00424A16"/>
    <w:rsid w:val="004261BE"/>
    <w:rsid w:val="00427B0C"/>
    <w:rsid w:val="004309BC"/>
    <w:rsid w:val="00436023"/>
    <w:rsid w:val="004414EA"/>
    <w:rsid w:val="004441DB"/>
    <w:rsid w:val="004443BE"/>
    <w:rsid w:val="00444A27"/>
    <w:rsid w:val="004453E0"/>
    <w:rsid w:val="004459DB"/>
    <w:rsid w:val="00447513"/>
    <w:rsid w:val="0044796D"/>
    <w:rsid w:val="00450690"/>
    <w:rsid w:val="00451466"/>
    <w:rsid w:val="004546E5"/>
    <w:rsid w:val="00454BA0"/>
    <w:rsid w:val="00455CCF"/>
    <w:rsid w:val="00456E31"/>
    <w:rsid w:val="00457473"/>
    <w:rsid w:val="00457E88"/>
    <w:rsid w:val="00462F46"/>
    <w:rsid w:val="0046359E"/>
    <w:rsid w:val="00464184"/>
    <w:rsid w:val="004645E7"/>
    <w:rsid w:val="00464820"/>
    <w:rsid w:val="004700E9"/>
    <w:rsid w:val="0047150B"/>
    <w:rsid w:val="004716D5"/>
    <w:rsid w:val="00471938"/>
    <w:rsid w:val="004724C5"/>
    <w:rsid w:val="00472B31"/>
    <w:rsid w:val="004740CD"/>
    <w:rsid w:val="004740D6"/>
    <w:rsid w:val="00474D8D"/>
    <w:rsid w:val="00476C5F"/>
    <w:rsid w:val="00477265"/>
    <w:rsid w:val="00477623"/>
    <w:rsid w:val="00477A69"/>
    <w:rsid w:val="00480C2F"/>
    <w:rsid w:val="00480C65"/>
    <w:rsid w:val="00480E04"/>
    <w:rsid w:val="00480F56"/>
    <w:rsid w:val="00481755"/>
    <w:rsid w:val="004818EF"/>
    <w:rsid w:val="004818F3"/>
    <w:rsid w:val="00481A6B"/>
    <w:rsid w:val="004834F4"/>
    <w:rsid w:val="00484AA4"/>
    <w:rsid w:val="00487083"/>
    <w:rsid w:val="004870DA"/>
    <w:rsid w:val="004909DC"/>
    <w:rsid w:val="00490D1C"/>
    <w:rsid w:val="00491794"/>
    <w:rsid w:val="0049298E"/>
    <w:rsid w:val="00492B97"/>
    <w:rsid w:val="00494090"/>
    <w:rsid w:val="00494ADF"/>
    <w:rsid w:val="004955D5"/>
    <w:rsid w:val="0049591F"/>
    <w:rsid w:val="004A038C"/>
    <w:rsid w:val="004A04A5"/>
    <w:rsid w:val="004A08D3"/>
    <w:rsid w:val="004A0C70"/>
    <w:rsid w:val="004A1BA3"/>
    <w:rsid w:val="004A29F5"/>
    <w:rsid w:val="004A3017"/>
    <w:rsid w:val="004A3119"/>
    <w:rsid w:val="004A3F44"/>
    <w:rsid w:val="004A43E3"/>
    <w:rsid w:val="004A4DE1"/>
    <w:rsid w:val="004A505A"/>
    <w:rsid w:val="004A61BD"/>
    <w:rsid w:val="004A6F89"/>
    <w:rsid w:val="004B0061"/>
    <w:rsid w:val="004B3ED3"/>
    <w:rsid w:val="004B3FE5"/>
    <w:rsid w:val="004B63AB"/>
    <w:rsid w:val="004B65F5"/>
    <w:rsid w:val="004B67EF"/>
    <w:rsid w:val="004C012C"/>
    <w:rsid w:val="004C02B4"/>
    <w:rsid w:val="004C0496"/>
    <w:rsid w:val="004C128F"/>
    <w:rsid w:val="004C1518"/>
    <w:rsid w:val="004C1C77"/>
    <w:rsid w:val="004C2811"/>
    <w:rsid w:val="004C305F"/>
    <w:rsid w:val="004C388D"/>
    <w:rsid w:val="004C438A"/>
    <w:rsid w:val="004C4BA2"/>
    <w:rsid w:val="004C5282"/>
    <w:rsid w:val="004C6131"/>
    <w:rsid w:val="004C7D1F"/>
    <w:rsid w:val="004D0233"/>
    <w:rsid w:val="004D2422"/>
    <w:rsid w:val="004D2618"/>
    <w:rsid w:val="004D2C97"/>
    <w:rsid w:val="004D2E59"/>
    <w:rsid w:val="004D47F5"/>
    <w:rsid w:val="004D4E5F"/>
    <w:rsid w:val="004D5587"/>
    <w:rsid w:val="004D740D"/>
    <w:rsid w:val="004E077E"/>
    <w:rsid w:val="004E19EC"/>
    <w:rsid w:val="004E1A5E"/>
    <w:rsid w:val="004E308B"/>
    <w:rsid w:val="004E4659"/>
    <w:rsid w:val="004E6AAF"/>
    <w:rsid w:val="004F1100"/>
    <w:rsid w:val="004F1141"/>
    <w:rsid w:val="004F1A23"/>
    <w:rsid w:val="004F3F68"/>
    <w:rsid w:val="004F4122"/>
    <w:rsid w:val="004F5298"/>
    <w:rsid w:val="004F52B1"/>
    <w:rsid w:val="005006B2"/>
    <w:rsid w:val="00501188"/>
    <w:rsid w:val="00502494"/>
    <w:rsid w:val="00503A71"/>
    <w:rsid w:val="00504E3C"/>
    <w:rsid w:val="00505D08"/>
    <w:rsid w:val="00507B59"/>
    <w:rsid w:val="00507C51"/>
    <w:rsid w:val="00511824"/>
    <w:rsid w:val="00512B16"/>
    <w:rsid w:val="005149E3"/>
    <w:rsid w:val="00515026"/>
    <w:rsid w:val="00515972"/>
    <w:rsid w:val="005200B5"/>
    <w:rsid w:val="005217A9"/>
    <w:rsid w:val="00522108"/>
    <w:rsid w:val="00524E5D"/>
    <w:rsid w:val="005260C3"/>
    <w:rsid w:val="00526BE5"/>
    <w:rsid w:val="005274A4"/>
    <w:rsid w:val="005309F1"/>
    <w:rsid w:val="00530B82"/>
    <w:rsid w:val="005310CD"/>
    <w:rsid w:val="00531915"/>
    <w:rsid w:val="00533B75"/>
    <w:rsid w:val="005348F8"/>
    <w:rsid w:val="005357B8"/>
    <w:rsid w:val="005359AF"/>
    <w:rsid w:val="0053618E"/>
    <w:rsid w:val="0053642A"/>
    <w:rsid w:val="00536CB4"/>
    <w:rsid w:val="00537A2B"/>
    <w:rsid w:val="0054133C"/>
    <w:rsid w:val="0054196E"/>
    <w:rsid w:val="00541D91"/>
    <w:rsid w:val="005422FE"/>
    <w:rsid w:val="00543776"/>
    <w:rsid w:val="00543E4E"/>
    <w:rsid w:val="005455A6"/>
    <w:rsid w:val="00546923"/>
    <w:rsid w:val="00552388"/>
    <w:rsid w:val="00552FA4"/>
    <w:rsid w:val="00553260"/>
    <w:rsid w:val="00553DB6"/>
    <w:rsid w:val="00554A99"/>
    <w:rsid w:val="00555FBC"/>
    <w:rsid w:val="005561D1"/>
    <w:rsid w:val="0055687A"/>
    <w:rsid w:val="00557F55"/>
    <w:rsid w:val="005601DC"/>
    <w:rsid w:val="00562294"/>
    <w:rsid w:val="0056272D"/>
    <w:rsid w:val="005638A1"/>
    <w:rsid w:val="005674D7"/>
    <w:rsid w:val="00567A60"/>
    <w:rsid w:val="00567F8E"/>
    <w:rsid w:val="0057013D"/>
    <w:rsid w:val="00570E0C"/>
    <w:rsid w:val="00570FA0"/>
    <w:rsid w:val="005710C0"/>
    <w:rsid w:val="00571A20"/>
    <w:rsid w:val="00571C85"/>
    <w:rsid w:val="00571FA5"/>
    <w:rsid w:val="00572BA4"/>
    <w:rsid w:val="00575B7F"/>
    <w:rsid w:val="0057613F"/>
    <w:rsid w:val="005763E4"/>
    <w:rsid w:val="00576C0B"/>
    <w:rsid w:val="005775D5"/>
    <w:rsid w:val="005818F3"/>
    <w:rsid w:val="005823B7"/>
    <w:rsid w:val="00583433"/>
    <w:rsid w:val="0058433E"/>
    <w:rsid w:val="00585DB6"/>
    <w:rsid w:val="005860CA"/>
    <w:rsid w:val="00590A45"/>
    <w:rsid w:val="00590B6F"/>
    <w:rsid w:val="00593EEE"/>
    <w:rsid w:val="005942C4"/>
    <w:rsid w:val="005952EB"/>
    <w:rsid w:val="005964DC"/>
    <w:rsid w:val="00596A15"/>
    <w:rsid w:val="005A060C"/>
    <w:rsid w:val="005A2E09"/>
    <w:rsid w:val="005A2E97"/>
    <w:rsid w:val="005A337E"/>
    <w:rsid w:val="005A344B"/>
    <w:rsid w:val="005A39B2"/>
    <w:rsid w:val="005A450C"/>
    <w:rsid w:val="005A5789"/>
    <w:rsid w:val="005A6872"/>
    <w:rsid w:val="005A7AEE"/>
    <w:rsid w:val="005B1857"/>
    <w:rsid w:val="005B34BF"/>
    <w:rsid w:val="005B3A95"/>
    <w:rsid w:val="005B4C5C"/>
    <w:rsid w:val="005B5826"/>
    <w:rsid w:val="005B60A9"/>
    <w:rsid w:val="005B6DAD"/>
    <w:rsid w:val="005B7651"/>
    <w:rsid w:val="005B7B8E"/>
    <w:rsid w:val="005C04D3"/>
    <w:rsid w:val="005C1872"/>
    <w:rsid w:val="005C1927"/>
    <w:rsid w:val="005C1D8C"/>
    <w:rsid w:val="005C2090"/>
    <w:rsid w:val="005C4E09"/>
    <w:rsid w:val="005C65F5"/>
    <w:rsid w:val="005C6F10"/>
    <w:rsid w:val="005D0E03"/>
    <w:rsid w:val="005D3BF7"/>
    <w:rsid w:val="005D577B"/>
    <w:rsid w:val="005D63A9"/>
    <w:rsid w:val="005E089C"/>
    <w:rsid w:val="005E0D63"/>
    <w:rsid w:val="005E0DFF"/>
    <w:rsid w:val="005E1570"/>
    <w:rsid w:val="005E1B52"/>
    <w:rsid w:val="005E2187"/>
    <w:rsid w:val="005E2D34"/>
    <w:rsid w:val="005E3B6A"/>
    <w:rsid w:val="005E48C7"/>
    <w:rsid w:val="005E5C78"/>
    <w:rsid w:val="005E5E5B"/>
    <w:rsid w:val="005E6AAA"/>
    <w:rsid w:val="005F2495"/>
    <w:rsid w:val="005F3262"/>
    <w:rsid w:val="005F4089"/>
    <w:rsid w:val="005F58E6"/>
    <w:rsid w:val="005F5951"/>
    <w:rsid w:val="005F5DC4"/>
    <w:rsid w:val="00601A67"/>
    <w:rsid w:val="00605FCB"/>
    <w:rsid w:val="00606B89"/>
    <w:rsid w:val="00607E8A"/>
    <w:rsid w:val="00611224"/>
    <w:rsid w:val="00611E4B"/>
    <w:rsid w:val="00611F10"/>
    <w:rsid w:val="00612201"/>
    <w:rsid w:val="00613113"/>
    <w:rsid w:val="0061377F"/>
    <w:rsid w:val="00613C77"/>
    <w:rsid w:val="006141C6"/>
    <w:rsid w:val="006144C1"/>
    <w:rsid w:val="00615A5D"/>
    <w:rsid w:val="00615FDA"/>
    <w:rsid w:val="00616A3F"/>
    <w:rsid w:val="00616FD7"/>
    <w:rsid w:val="00617444"/>
    <w:rsid w:val="0061775F"/>
    <w:rsid w:val="00617C00"/>
    <w:rsid w:val="006211D7"/>
    <w:rsid w:val="00621813"/>
    <w:rsid w:val="00622AEF"/>
    <w:rsid w:val="0062368E"/>
    <w:rsid w:val="006252F3"/>
    <w:rsid w:val="0063100D"/>
    <w:rsid w:val="006311B3"/>
    <w:rsid w:val="0063202A"/>
    <w:rsid w:val="00633DDF"/>
    <w:rsid w:val="00634242"/>
    <w:rsid w:val="00634E18"/>
    <w:rsid w:val="00634F77"/>
    <w:rsid w:val="00636E81"/>
    <w:rsid w:val="006371DC"/>
    <w:rsid w:val="00640528"/>
    <w:rsid w:val="006406BE"/>
    <w:rsid w:val="0064173A"/>
    <w:rsid w:val="00641CE6"/>
    <w:rsid w:val="006431CE"/>
    <w:rsid w:val="006437F2"/>
    <w:rsid w:val="006439FC"/>
    <w:rsid w:val="00644861"/>
    <w:rsid w:val="00646876"/>
    <w:rsid w:val="00646BDC"/>
    <w:rsid w:val="00647DF7"/>
    <w:rsid w:val="00650B40"/>
    <w:rsid w:val="00651C5C"/>
    <w:rsid w:val="00651D12"/>
    <w:rsid w:val="00652927"/>
    <w:rsid w:val="006530E2"/>
    <w:rsid w:val="00655510"/>
    <w:rsid w:val="00655757"/>
    <w:rsid w:val="00655B87"/>
    <w:rsid w:val="00656D79"/>
    <w:rsid w:val="00660BD9"/>
    <w:rsid w:val="00660D6D"/>
    <w:rsid w:val="006619D9"/>
    <w:rsid w:val="00664105"/>
    <w:rsid w:val="00664363"/>
    <w:rsid w:val="00665E4D"/>
    <w:rsid w:val="0067086A"/>
    <w:rsid w:val="00671660"/>
    <w:rsid w:val="00671854"/>
    <w:rsid w:val="00673506"/>
    <w:rsid w:val="00673A20"/>
    <w:rsid w:val="00673EF5"/>
    <w:rsid w:val="00674844"/>
    <w:rsid w:val="006748F5"/>
    <w:rsid w:val="00674EF1"/>
    <w:rsid w:val="00675748"/>
    <w:rsid w:val="00676AFE"/>
    <w:rsid w:val="006818A1"/>
    <w:rsid w:val="0068260A"/>
    <w:rsid w:val="006833ED"/>
    <w:rsid w:val="00686D95"/>
    <w:rsid w:val="00687B1B"/>
    <w:rsid w:val="006901CB"/>
    <w:rsid w:val="00692C0E"/>
    <w:rsid w:val="00693D9C"/>
    <w:rsid w:val="00694629"/>
    <w:rsid w:val="00695E1C"/>
    <w:rsid w:val="00696731"/>
    <w:rsid w:val="006A1114"/>
    <w:rsid w:val="006A1569"/>
    <w:rsid w:val="006A2E82"/>
    <w:rsid w:val="006A2EEE"/>
    <w:rsid w:val="006A513E"/>
    <w:rsid w:val="006A537B"/>
    <w:rsid w:val="006A7ED4"/>
    <w:rsid w:val="006B065F"/>
    <w:rsid w:val="006B0C3A"/>
    <w:rsid w:val="006B49E6"/>
    <w:rsid w:val="006B4DB1"/>
    <w:rsid w:val="006B69A9"/>
    <w:rsid w:val="006B6E43"/>
    <w:rsid w:val="006B724C"/>
    <w:rsid w:val="006B72E3"/>
    <w:rsid w:val="006C065B"/>
    <w:rsid w:val="006C085D"/>
    <w:rsid w:val="006C210E"/>
    <w:rsid w:val="006C37BF"/>
    <w:rsid w:val="006C4ABB"/>
    <w:rsid w:val="006C55FD"/>
    <w:rsid w:val="006C5B9C"/>
    <w:rsid w:val="006C676C"/>
    <w:rsid w:val="006C734C"/>
    <w:rsid w:val="006C779C"/>
    <w:rsid w:val="006C7BFB"/>
    <w:rsid w:val="006D086E"/>
    <w:rsid w:val="006D0B14"/>
    <w:rsid w:val="006D1DC5"/>
    <w:rsid w:val="006D3CF7"/>
    <w:rsid w:val="006D433C"/>
    <w:rsid w:val="006D4F70"/>
    <w:rsid w:val="006D51DB"/>
    <w:rsid w:val="006D655E"/>
    <w:rsid w:val="006D6A40"/>
    <w:rsid w:val="006E5E3E"/>
    <w:rsid w:val="006F074E"/>
    <w:rsid w:val="006F0C9D"/>
    <w:rsid w:val="006F171E"/>
    <w:rsid w:val="006F23F5"/>
    <w:rsid w:val="006F2EC6"/>
    <w:rsid w:val="006F3693"/>
    <w:rsid w:val="006F3852"/>
    <w:rsid w:val="006F3DCA"/>
    <w:rsid w:val="006F4D2F"/>
    <w:rsid w:val="006F4F6A"/>
    <w:rsid w:val="006F5203"/>
    <w:rsid w:val="006F5D34"/>
    <w:rsid w:val="006F633C"/>
    <w:rsid w:val="006F65FD"/>
    <w:rsid w:val="0070063B"/>
    <w:rsid w:val="007035AE"/>
    <w:rsid w:val="00703ED8"/>
    <w:rsid w:val="007044E7"/>
    <w:rsid w:val="00705DA9"/>
    <w:rsid w:val="00706AC6"/>
    <w:rsid w:val="007073BD"/>
    <w:rsid w:val="00707409"/>
    <w:rsid w:val="00707B63"/>
    <w:rsid w:val="00711AB6"/>
    <w:rsid w:val="00713A81"/>
    <w:rsid w:val="00714EF1"/>
    <w:rsid w:val="007157E3"/>
    <w:rsid w:val="00715953"/>
    <w:rsid w:val="00716076"/>
    <w:rsid w:val="00716832"/>
    <w:rsid w:val="007173B2"/>
    <w:rsid w:val="007216A6"/>
    <w:rsid w:val="00721ED8"/>
    <w:rsid w:val="00723478"/>
    <w:rsid w:val="00724B23"/>
    <w:rsid w:val="00726D39"/>
    <w:rsid w:val="00726F03"/>
    <w:rsid w:val="007273CE"/>
    <w:rsid w:val="007276BD"/>
    <w:rsid w:val="00727D35"/>
    <w:rsid w:val="00727F1B"/>
    <w:rsid w:val="007311DE"/>
    <w:rsid w:val="00732F7B"/>
    <w:rsid w:val="00734A49"/>
    <w:rsid w:val="00735876"/>
    <w:rsid w:val="007362A5"/>
    <w:rsid w:val="00736B35"/>
    <w:rsid w:val="0073733C"/>
    <w:rsid w:val="007375B4"/>
    <w:rsid w:val="00737F07"/>
    <w:rsid w:val="007422AB"/>
    <w:rsid w:val="00742B84"/>
    <w:rsid w:val="00743A2F"/>
    <w:rsid w:val="00744420"/>
    <w:rsid w:val="0074462E"/>
    <w:rsid w:val="00745213"/>
    <w:rsid w:val="00746818"/>
    <w:rsid w:val="007477D5"/>
    <w:rsid w:val="00752009"/>
    <w:rsid w:val="00752022"/>
    <w:rsid w:val="00752511"/>
    <w:rsid w:val="00753DD6"/>
    <w:rsid w:val="00756670"/>
    <w:rsid w:val="00756BEC"/>
    <w:rsid w:val="00757848"/>
    <w:rsid w:val="007629AF"/>
    <w:rsid w:val="0076503D"/>
    <w:rsid w:val="00766475"/>
    <w:rsid w:val="00767BBB"/>
    <w:rsid w:val="0077042B"/>
    <w:rsid w:val="00770D3A"/>
    <w:rsid w:val="00771BFE"/>
    <w:rsid w:val="007731FB"/>
    <w:rsid w:val="0077410D"/>
    <w:rsid w:val="007755D1"/>
    <w:rsid w:val="00776179"/>
    <w:rsid w:val="007768B6"/>
    <w:rsid w:val="007768D6"/>
    <w:rsid w:val="00776F08"/>
    <w:rsid w:val="0077724A"/>
    <w:rsid w:val="00777C23"/>
    <w:rsid w:val="00783A0C"/>
    <w:rsid w:val="00784582"/>
    <w:rsid w:val="00784A39"/>
    <w:rsid w:val="00785522"/>
    <w:rsid w:val="00785900"/>
    <w:rsid w:val="00785F37"/>
    <w:rsid w:val="007866D2"/>
    <w:rsid w:val="00787D83"/>
    <w:rsid w:val="00791547"/>
    <w:rsid w:val="00791A55"/>
    <w:rsid w:val="00791D41"/>
    <w:rsid w:val="007925AD"/>
    <w:rsid w:val="00792AE8"/>
    <w:rsid w:val="007970CF"/>
    <w:rsid w:val="007A038C"/>
    <w:rsid w:val="007A0689"/>
    <w:rsid w:val="007A1FCA"/>
    <w:rsid w:val="007A3083"/>
    <w:rsid w:val="007A3122"/>
    <w:rsid w:val="007A3361"/>
    <w:rsid w:val="007A3553"/>
    <w:rsid w:val="007A3C48"/>
    <w:rsid w:val="007A4022"/>
    <w:rsid w:val="007A47B4"/>
    <w:rsid w:val="007A67D5"/>
    <w:rsid w:val="007A68B2"/>
    <w:rsid w:val="007B32D1"/>
    <w:rsid w:val="007B3EB3"/>
    <w:rsid w:val="007B66F9"/>
    <w:rsid w:val="007B6F99"/>
    <w:rsid w:val="007C0EB5"/>
    <w:rsid w:val="007C1005"/>
    <w:rsid w:val="007C10CA"/>
    <w:rsid w:val="007C28A3"/>
    <w:rsid w:val="007C489B"/>
    <w:rsid w:val="007C52C3"/>
    <w:rsid w:val="007C566E"/>
    <w:rsid w:val="007C5C51"/>
    <w:rsid w:val="007D0ABE"/>
    <w:rsid w:val="007D0BCD"/>
    <w:rsid w:val="007D0F92"/>
    <w:rsid w:val="007D4E1E"/>
    <w:rsid w:val="007D59D7"/>
    <w:rsid w:val="007E042D"/>
    <w:rsid w:val="007E2525"/>
    <w:rsid w:val="007E2F3B"/>
    <w:rsid w:val="007E3B11"/>
    <w:rsid w:val="007E43F2"/>
    <w:rsid w:val="007E5196"/>
    <w:rsid w:val="007E6B29"/>
    <w:rsid w:val="007F043E"/>
    <w:rsid w:val="007F0B37"/>
    <w:rsid w:val="007F0FB8"/>
    <w:rsid w:val="007F1A9F"/>
    <w:rsid w:val="007F524A"/>
    <w:rsid w:val="007F5ABF"/>
    <w:rsid w:val="007F6E06"/>
    <w:rsid w:val="008006A5"/>
    <w:rsid w:val="00800943"/>
    <w:rsid w:val="00800AF3"/>
    <w:rsid w:val="0080215B"/>
    <w:rsid w:val="00804533"/>
    <w:rsid w:val="00806112"/>
    <w:rsid w:val="00806434"/>
    <w:rsid w:val="00806452"/>
    <w:rsid w:val="00807703"/>
    <w:rsid w:val="00810D05"/>
    <w:rsid w:val="00811A3C"/>
    <w:rsid w:val="008124C2"/>
    <w:rsid w:val="00813632"/>
    <w:rsid w:val="00815418"/>
    <w:rsid w:val="0081557F"/>
    <w:rsid w:val="008156DE"/>
    <w:rsid w:val="00816FAF"/>
    <w:rsid w:val="0082021D"/>
    <w:rsid w:val="008208DC"/>
    <w:rsid w:val="00820F23"/>
    <w:rsid w:val="0082199C"/>
    <w:rsid w:val="008221FC"/>
    <w:rsid w:val="008221FF"/>
    <w:rsid w:val="0082321E"/>
    <w:rsid w:val="00825065"/>
    <w:rsid w:val="0082561F"/>
    <w:rsid w:val="008259BC"/>
    <w:rsid w:val="00826763"/>
    <w:rsid w:val="0082741B"/>
    <w:rsid w:val="008313AE"/>
    <w:rsid w:val="0083282E"/>
    <w:rsid w:val="00833511"/>
    <w:rsid w:val="00833971"/>
    <w:rsid w:val="0083422E"/>
    <w:rsid w:val="00834CC2"/>
    <w:rsid w:val="00834DCB"/>
    <w:rsid w:val="008353FC"/>
    <w:rsid w:val="0083698D"/>
    <w:rsid w:val="00841D54"/>
    <w:rsid w:val="00844723"/>
    <w:rsid w:val="00846E4A"/>
    <w:rsid w:val="008477F6"/>
    <w:rsid w:val="008511F0"/>
    <w:rsid w:val="00852E1E"/>
    <w:rsid w:val="008550C1"/>
    <w:rsid w:val="008554F1"/>
    <w:rsid w:val="00856033"/>
    <w:rsid w:val="00857352"/>
    <w:rsid w:val="008601E0"/>
    <w:rsid w:val="0086248B"/>
    <w:rsid w:val="00863AAE"/>
    <w:rsid w:val="0086433F"/>
    <w:rsid w:val="0086531A"/>
    <w:rsid w:val="00865C68"/>
    <w:rsid w:val="00867E0E"/>
    <w:rsid w:val="00871666"/>
    <w:rsid w:val="00871F04"/>
    <w:rsid w:val="00872650"/>
    <w:rsid w:val="0087395D"/>
    <w:rsid w:val="00873DAF"/>
    <w:rsid w:val="0087442F"/>
    <w:rsid w:val="00874C07"/>
    <w:rsid w:val="00875FCB"/>
    <w:rsid w:val="00880D1F"/>
    <w:rsid w:val="0088197C"/>
    <w:rsid w:val="00885A27"/>
    <w:rsid w:val="00886240"/>
    <w:rsid w:val="0088746A"/>
    <w:rsid w:val="00887569"/>
    <w:rsid w:val="00890810"/>
    <w:rsid w:val="008913D2"/>
    <w:rsid w:val="008916F0"/>
    <w:rsid w:val="00891C01"/>
    <w:rsid w:val="00891C34"/>
    <w:rsid w:val="0089346E"/>
    <w:rsid w:val="008959E5"/>
    <w:rsid w:val="008976E9"/>
    <w:rsid w:val="00897CF1"/>
    <w:rsid w:val="008A24A9"/>
    <w:rsid w:val="008A290E"/>
    <w:rsid w:val="008A3729"/>
    <w:rsid w:val="008A4159"/>
    <w:rsid w:val="008A4B7D"/>
    <w:rsid w:val="008A5FF4"/>
    <w:rsid w:val="008A63CC"/>
    <w:rsid w:val="008A75A5"/>
    <w:rsid w:val="008A7959"/>
    <w:rsid w:val="008B0DE8"/>
    <w:rsid w:val="008B3323"/>
    <w:rsid w:val="008B3914"/>
    <w:rsid w:val="008B6874"/>
    <w:rsid w:val="008B7BA3"/>
    <w:rsid w:val="008C08C2"/>
    <w:rsid w:val="008C2ABC"/>
    <w:rsid w:val="008C437D"/>
    <w:rsid w:val="008C7497"/>
    <w:rsid w:val="008C794E"/>
    <w:rsid w:val="008D4618"/>
    <w:rsid w:val="008D47D1"/>
    <w:rsid w:val="008D4A30"/>
    <w:rsid w:val="008D4D01"/>
    <w:rsid w:val="008D4F32"/>
    <w:rsid w:val="008D539E"/>
    <w:rsid w:val="008E1730"/>
    <w:rsid w:val="008E35E9"/>
    <w:rsid w:val="008E39DD"/>
    <w:rsid w:val="008E3C62"/>
    <w:rsid w:val="008E483D"/>
    <w:rsid w:val="008E4D38"/>
    <w:rsid w:val="008E7F16"/>
    <w:rsid w:val="008F0C9A"/>
    <w:rsid w:val="008F1226"/>
    <w:rsid w:val="008F1CA1"/>
    <w:rsid w:val="008F28AF"/>
    <w:rsid w:val="008F3631"/>
    <w:rsid w:val="008F429C"/>
    <w:rsid w:val="008F6F39"/>
    <w:rsid w:val="008F7140"/>
    <w:rsid w:val="008F7179"/>
    <w:rsid w:val="00901718"/>
    <w:rsid w:val="00901B16"/>
    <w:rsid w:val="009020AE"/>
    <w:rsid w:val="00902ADA"/>
    <w:rsid w:val="00902E91"/>
    <w:rsid w:val="00903545"/>
    <w:rsid w:val="00904D0C"/>
    <w:rsid w:val="0090615F"/>
    <w:rsid w:val="009077E6"/>
    <w:rsid w:val="00911423"/>
    <w:rsid w:val="009160FC"/>
    <w:rsid w:val="009208E9"/>
    <w:rsid w:val="00921B0C"/>
    <w:rsid w:val="009305F8"/>
    <w:rsid w:val="009313BE"/>
    <w:rsid w:val="00931674"/>
    <w:rsid w:val="009325CD"/>
    <w:rsid w:val="00932620"/>
    <w:rsid w:val="00932CC4"/>
    <w:rsid w:val="00932CE5"/>
    <w:rsid w:val="00933776"/>
    <w:rsid w:val="00933898"/>
    <w:rsid w:val="009347FF"/>
    <w:rsid w:val="00934E9D"/>
    <w:rsid w:val="00935B5D"/>
    <w:rsid w:val="009379CA"/>
    <w:rsid w:val="00940609"/>
    <w:rsid w:val="00940F6A"/>
    <w:rsid w:val="009427DA"/>
    <w:rsid w:val="009430A5"/>
    <w:rsid w:val="009437D5"/>
    <w:rsid w:val="009443BE"/>
    <w:rsid w:val="009445C1"/>
    <w:rsid w:val="00945109"/>
    <w:rsid w:val="00946989"/>
    <w:rsid w:val="00946CD1"/>
    <w:rsid w:val="00950072"/>
    <w:rsid w:val="00950843"/>
    <w:rsid w:val="00950CF8"/>
    <w:rsid w:val="0095194A"/>
    <w:rsid w:val="0095301A"/>
    <w:rsid w:val="00953671"/>
    <w:rsid w:val="00953C49"/>
    <w:rsid w:val="00953F7F"/>
    <w:rsid w:val="009542A5"/>
    <w:rsid w:val="00954EA7"/>
    <w:rsid w:val="00956E55"/>
    <w:rsid w:val="009602DC"/>
    <w:rsid w:val="00962784"/>
    <w:rsid w:val="009635DA"/>
    <w:rsid w:val="00964170"/>
    <w:rsid w:val="009652DE"/>
    <w:rsid w:val="00965F0B"/>
    <w:rsid w:val="009711B0"/>
    <w:rsid w:val="009711CF"/>
    <w:rsid w:val="00973D41"/>
    <w:rsid w:val="00974878"/>
    <w:rsid w:val="009758BF"/>
    <w:rsid w:val="0097640B"/>
    <w:rsid w:val="00976A94"/>
    <w:rsid w:val="00977E06"/>
    <w:rsid w:val="009809D3"/>
    <w:rsid w:val="0098259B"/>
    <w:rsid w:val="00982B8A"/>
    <w:rsid w:val="00982E9A"/>
    <w:rsid w:val="00985249"/>
    <w:rsid w:val="009852FF"/>
    <w:rsid w:val="009858A9"/>
    <w:rsid w:val="009858E2"/>
    <w:rsid w:val="0098619D"/>
    <w:rsid w:val="00986716"/>
    <w:rsid w:val="00990217"/>
    <w:rsid w:val="00990953"/>
    <w:rsid w:val="00990F44"/>
    <w:rsid w:val="009930DD"/>
    <w:rsid w:val="00994379"/>
    <w:rsid w:val="0099578B"/>
    <w:rsid w:val="00996FFA"/>
    <w:rsid w:val="009974D2"/>
    <w:rsid w:val="00997D7C"/>
    <w:rsid w:val="009A3AB9"/>
    <w:rsid w:val="009A42F4"/>
    <w:rsid w:val="009A5E5F"/>
    <w:rsid w:val="009A5FF6"/>
    <w:rsid w:val="009B01D9"/>
    <w:rsid w:val="009B1551"/>
    <w:rsid w:val="009B17A2"/>
    <w:rsid w:val="009B3C5A"/>
    <w:rsid w:val="009B44BC"/>
    <w:rsid w:val="009B5CCD"/>
    <w:rsid w:val="009B6346"/>
    <w:rsid w:val="009B6F3B"/>
    <w:rsid w:val="009B7EBC"/>
    <w:rsid w:val="009C1122"/>
    <w:rsid w:val="009C39ED"/>
    <w:rsid w:val="009C4531"/>
    <w:rsid w:val="009C4EA9"/>
    <w:rsid w:val="009C53BE"/>
    <w:rsid w:val="009C5FF6"/>
    <w:rsid w:val="009C703A"/>
    <w:rsid w:val="009D119A"/>
    <w:rsid w:val="009D19AF"/>
    <w:rsid w:val="009D1D91"/>
    <w:rsid w:val="009D36FF"/>
    <w:rsid w:val="009D3B91"/>
    <w:rsid w:val="009D50B3"/>
    <w:rsid w:val="009E0AA3"/>
    <w:rsid w:val="009E1F16"/>
    <w:rsid w:val="009E2A85"/>
    <w:rsid w:val="009E2F40"/>
    <w:rsid w:val="009E4817"/>
    <w:rsid w:val="009E4D9A"/>
    <w:rsid w:val="009E4E5C"/>
    <w:rsid w:val="009E54C8"/>
    <w:rsid w:val="009E6050"/>
    <w:rsid w:val="009E7829"/>
    <w:rsid w:val="009E7F1E"/>
    <w:rsid w:val="009F0922"/>
    <w:rsid w:val="009F1414"/>
    <w:rsid w:val="009F30E9"/>
    <w:rsid w:val="009F3171"/>
    <w:rsid w:val="009F3F98"/>
    <w:rsid w:val="009F47E0"/>
    <w:rsid w:val="009F4C24"/>
    <w:rsid w:val="009F525C"/>
    <w:rsid w:val="009F597C"/>
    <w:rsid w:val="009F792A"/>
    <w:rsid w:val="00A00229"/>
    <w:rsid w:val="00A01C46"/>
    <w:rsid w:val="00A04D1D"/>
    <w:rsid w:val="00A0509B"/>
    <w:rsid w:val="00A0509F"/>
    <w:rsid w:val="00A0513C"/>
    <w:rsid w:val="00A0535E"/>
    <w:rsid w:val="00A11D28"/>
    <w:rsid w:val="00A129A1"/>
    <w:rsid w:val="00A17DEE"/>
    <w:rsid w:val="00A216D1"/>
    <w:rsid w:val="00A21AC3"/>
    <w:rsid w:val="00A22C11"/>
    <w:rsid w:val="00A24B20"/>
    <w:rsid w:val="00A25A6A"/>
    <w:rsid w:val="00A25CC9"/>
    <w:rsid w:val="00A3045F"/>
    <w:rsid w:val="00A3131E"/>
    <w:rsid w:val="00A31694"/>
    <w:rsid w:val="00A317C9"/>
    <w:rsid w:val="00A318C6"/>
    <w:rsid w:val="00A31C2A"/>
    <w:rsid w:val="00A32DC1"/>
    <w:rsid w:val="00A33346"/>
    <w:rsid w:val="00A33872"/>
    <w:rsid w:val="00A339F2"/>
    <w:rsid w:val="00A33C9E"/>
    <w:rsid w:val="00A36EB7"/>
    <w:rsid w:val="00A37865"/>
    <w:rsid w:val="00A37BDE"/>
    <w:rsid w:val="00A40CF1"/>
    <w:rsid w:val="00A42A18"/>
    <w:rsid w:val="00A42A53"/>
    <w:rsid w:val="00A43216"/>
    <w:rsid w:val="00A443B9"/>
    <w:rsid w:val="00A44B15"/>
    <w:rsid w:val="00A45230"/>
    <w:rsid w:val="00A4586D"/>
    <w:rsid w:val="00A46822"/>
    <w:rsid w:val="00A468E4"/>
    <w:rsid w:val="00A472F6"/>
    <w:rsid w:val="00A47C97"/>
    <w:rsid w:val="00A52687"/>
    <w:rsid w:val="00A55D93"/>
    <w:rsid w:val="00A56D78"/>
    <w:rsid w:val="00A56E21"/>
    <w:rsid w:val="00A61B1F"/>
    <w:rsid w:val="00A648CB"/>
    <w:rsid w:val="00A64CBF"/>
    <w:rsid w:val="00A6608C"/>
    <w:rsid w:val="00A70ABF"/>
    <w:rsid w:val="00A75329"/>
    <w:rsid w:val="00A7551C"/>
    <w:rsid w:val="00A77BE5"/>
    <w:rsid w:val="00A8042E"/>
    <w:rsid w:val="00A80528"/>
    <w:rsid w:val="00A82221"/>
    <w:rsid w:val="00A82CE4"/>
    <w:rsid w:val="00A832F6"/>
    <w:rsid w:val="00A83B71"/>
    <w:rsid w:val="00A83E6C"/>
    <w:rsid w:val="00A84DA8"/>
    <w:rsid w:val="00A84FAE"/>
    <w:rsid w:val="00A85AD8"/>
    <w:rsid w:val="00A8671D"/>
    <w:rsid w:val="00A91D98"/>
    <w:rsid w:val="00A921DD"/>
    <w:rsid w:val="00A93EBD"/>
    <w:rsid w:val="00A9455F"/>
    <w:rsid w:val="00A948AB"/>
    <w:rsid w:val="00A96C53"/>
    <w:rsid w:val="00A97BB1"/>
    <w:rsid w:val="00AA1A8A"/>
    <w:rsid w:val="00AA31AB"/>
    <w:rsid w:val="00AA5439"/>
    <w:rsid w:val="00AA7A01"/>
    <w:rsid w:val="00AB1D99"/>
    <w:rsid w:val="00AB398C"/>
    <w:rsid w:val="00AB5084"/>
    <w:rsid w:val="00AB6EE5"/>
    <w:rsid w:val="00AC1173"/>
    <w:rsid w:val="00AC6AF0"/>
    <w:rsid w:val="00AD13BE"/>
    <w:rsid w:val="00AD1A6D"/>
    <w:rsid w:val="00AD1C0D"/>
    <w:rsid w:val="00AD2060"/>
    <w:rsid w:val="00AD23BB"/>
    <w:rsid w:val="00AD2616"/>
    <w:rsid w:val="00AD2B7B"/>
    <w:rsid w:val="00AD2CBE"/>
    <w:rsid w:val="00AD417A"/>
    <w:rsid w:val="00AD431B"/>
    <w:rsid w:val="00AD4736"/>
    <w:rsid w:val="00AD4BF1"/>
    <w:rsid w:val="00AD564E"/>
    <w:rsid w:val="00AD6560"/>
    <w:rsid w:val="00AD6EAF"/>
    <w:rsid w:val="00AD77C7"/>
    <w:rsid w:val="00AD79F5"/>
    <w:rsid w:val="00AE04EF"/>
    <w:rsid w:val="00AE1594"/>
    <w:rsid w:val="00AE311B"/>
    <w:rsid w:val="00AE3158"/>
    <w:rsid w:val="00AE34B6"/>
    <w:rsid w:val="00AE5BEE"/>
    <w:rsid w:val="00AF102E"/>
    <w:rsid w:val="00AF1EF9"/>
    <w:rsid w:val="00AF3135"/>
    <w:rsid w:val="00AF3559"/>
    <w:rsid w:val="00AF5176"/>
    <w:rsid w:val="00AF5AE9"/>
    <w:rsid w:val="00AF6330"/>
    <w:rsid w:val="00B00FF7"/>
    <w:rsid w:val="00B01628"/>
    <w:rsid w:val="00B0222D"/>
    <w:rsid w:val="00B02408"/>
    <w:rsid w:val="00B02714"/>
    <w:rsid w:val="00B0271B"/>
    <w:rsid w:val="00B02B8A"/>
    <w:rsid w:val="00B02E8F"/>
    <w:rsid w:val="00B0325F"/>
    <w:rsid w:val="00B038A8"/>
    <w:rsid w:val="00B03E2F"/>
    <w:rsid w:val="00B049E9"/>
    <w:rsid w:val="00B0587C"/>
    <w:rsid w:val="00B07185"/>
    <w:rsid w:val="00B11374"/>
    <w:rsid w:val="00B12222"/>
    <w:rsid w:val="00B14A4A"/>
    <w:rsid w:val="00B1787D"/>
    <w:rsid w:val="00B2020F"/>
    <w:rsid w:val="00B215FB"/>
    <w:rsid w:val="00B242FB"/>
    <w:rsid w:val="00B2587E"/>
    <w:rsid w:val="00B26A5B"/>
    <w:rsid w:val="00B26DE2"/>
    <w:rsid w:val="00B27122"/>
    <w:rsid w:val="00B27488"/>
    <w:rsid w:val="00B27CDF"/>
    <w:rsid w:val="00B305DB"/>
    <w:rsid w:val="00B328A0"/>
    <w:rsid w:val="00B334CC"/>
    <w:rsid w:val="00B34558"/>
    <w:rsid w:val="00B348C5"/>
    <w:rsid w:val="00B34C75"/>
    <w:rsid w:val="00B35CFB"/>
    <w:rsid w:val="00B4164F"/>
    <w:rsid w:val="00B42076"/>
    <w:rsid w:val="00B43A4A"/>
    <w:rsid w:val="00B43A92"/>
    <w:rsid w:val="00B45577"/>
    <w:rsid w:val="00B50501"/>
    <w:rsid w:val="00B50865"/>
    <w:rsid w:val="00B519D1"/>
    <w:rsid w:val="00B51FD4"/>
    <w:rsid w:val="00B526D3"/>
    <w:rsid w:val="00B52B43"/>
    <w:rsid w:val="00B54393"/>
    <w:rsid w:val="00B558E8"/>
    <w:rsid w:val="00B6060B"/>
    <w:rsid w:val="00B607B5"/>
    <w:rsid w:val="00B61417"/>
    <w:rsid w:val="00B61633"/>
    <w:rsid w:val="00B61EBA"/>
    <w:rsid w:val="00B6210C"/>
    <w:rsid w:val="00B63E5E"/>
    <w:rsid w:val="00B647AF"/>
    <w:rsid w:val="00B673FA"/>
    <w:rsid w:val="00B67AB6"/>
    <w:rsid w:val="00B70025"/>
    <w:rsid w:val="00B704BB"/>
    <w:rsid w:val="00B70C87"/>
    <w:rsid w:val="00B72E1E"/>
    <w:rsid w:val="00B732FD"/>
    <w:rsid w:val="00B76488"/>
    <w:rsid w:val="00B76A61"/>
    <w:rsid w:val="00B76CEA"/>
    <w:rsid w:val="00B77626"/>
    <w:rsid w:val="00B80CF2"/>
    <w:rsid w:val="00B81B4A"/>
    <w:rsid w:val="00B83C82"/>
    <w:rsid w:val="00B84CE9"/>
    <w:rsid w:val="00B85468"/>
    <w:rsid w:val="00B865B4"/>
    <w:rsid w:val="00B866E4"/>
    <w:rsid w:val="00B86DB1"/>
    <w:rsid w:val="00B87E37"/>
    <w:rsid w:val="00B9000A"/>
    <w:rsid w:val="00B91D7D"/>
    <w:rsid w:val="00B920D5"/>
    <w:rsid w:val="00B925B5"/>
    <w:rsid w:val="00B928FE"/>
    <w:rsid w:val="00B93668"/>
    <w:rsid w:val="00B936D1"/>
    <w:rsid w:val="00B93770"/>
    <w:rsid w:val="00B9384B"/>
    <w:rsid w:val="00B94358"/>
    <w:rsid w:val="00B95F53"/>
    <w:rsid w:val="00B97A70"/>
    <w:rsid w:val="00BA10B5"/>
    <w:rsid w:val="00BA2745"/>
    <w:rsid w:val="00BA4606"/>
    <w:rsid w:val="00BA48DE"/>
    <w:rsid w:val="00BA60BE"/>
    <w:rsid w:val="00BB08B1"/>
    <w:rsid w:val="00BB0F81"/>
    <w:rsid w:val="00BB1122"/>
    <w:rsid w:val="00BB1912"/>
    <w:rsid w:val="00BB2461"/>
    <w:rsid w:val="00BB269B"/>
    <w:rsid w:val="00BB309B"/>
    <w:rsid w:val="00BB3564"/>
    <w:rsid w:val="00BB3C01"/>
    <w:rsid w:val="00BB41B4"/>
    <w:rsid w:val="00BB59A0"/>
    <w:rsid w:val="00BB616A"/>
    <w:rsid w:val="00BB627F"/>
    <w:rsid w:val="00BB6800"/>
    <w:rsid w:val="00BB7367"/>
    <w:rsid w:val="00BB7C9B"/>
    <w:rsid w:val="00BC0823"/>
    <w:rsid w:val="00BC2E6E"/>
    <w:rsid w:val="00BC49DB"/>
    <w:rsid w:val="00BC5028"/>
    <w:rsid w:val="00BC7784"/>
    <w:rsid w:val="00BC7F85"/>
    <w:rsid w:val="00BD1449"/>
    <w:rsid w:val="00BD3B2C"/>
    <w:rsid w:val="00BD50DD"/>
    <w:rsid w:val="00BD52A7"/>
    <w:rsid w:val="00BD6718"/>
    <w:rsid w:val="00BD7101"/>
    <w:rsid w:val="00BE06FF"/>
    <w:rsid w:val="00BE0BEC"/>
    <w:rsid w:val="00BE58E2"/>
    <w:rsid w:val="00BE7A4A"/>
    <w:rsid w:val="00BE7F22"/>
    <w:rsid w:val="00BF060B"/>
    <w:rsid w:val="00BF1CB0"/>
    <w:rsid w:val="00BF2416"/>
    <w:rsid w:val="00BF3C3F"/>
    <w:rsid w:val="00BF5099"/>
    <w:rsid w:val="00BF64CD"/>
    <w:rsid w:val="00BF6860"/>
    <w:rsid w:val="00BF7220"/>
    <w:rsid w:val="00C0009B"/>
    <w:rsid w:val="00C00D95"/>
    <w:rsid w:val="00C0201C"/>
    <w:rsid w:val="00C035F5"/>
    <w:rsid w:val="00C0418B"/>
    <w:rsid w:val="00C04FAA"/>
    <w:rsid w:val="00C07E60"/>
    <w:rsid w:val="00C10AF4"/>
    <w:rsid w:val="00C137F0"/>
    <w:rsid w:val="00C14FA6"/>
    <w:rsid w:val="00C15944"/>
    <w:rsid w:val="00C176A3"/>
    <w:rsid w:val="00C17AF9"/>
    <w:rsid w:val="00C17B5A"/>
    <w:rsid w:val="00C22D54"/>
    <w:rsid w:val="00C23102"/>
    <w:rsid w:val="00C25998"/>
    <w:rsid w:val="00C264EF"/>
    <w:rsid w:val="00C26718"/>
    <w:rsid w:val="00C307D9"/>
    <w:rsid w:val="00C3390E"/>
    <w:rsid w:val="00C346FE"/>
    <w:rsid w:val="00C347AB"/>
    <w:rsid w:val="00C36663"/>
    <w:rsid w:val="00C37AA9"/>
    <w:rsid w:val="00C40588"/>
    <w:rsid w:val="00C41930"/>
    <w:rsid w:val="00C41EA0"/>
    <w:rsid w:val="00C42EDE"/>
    <w:rsid w:val="00C453DA"/>
    <w:rsid w:val="00C45747"/>
    <w:rsid w:val="00C4596C"/>
    <w:rsid w:val="00C47F62"/>
    <w:rsid w:val="00C50121"/>
    <w:rsid w:val="00C50293"/>
    <w:rsid w:val="00C508CB"/>
    <w:rsid w:val="00C53914"/>
    <w:rsid w:val="00C54159"/>
    <w:rsid w:val="00C54636"/>
    <w:rsid w:val="00C57043"/>
    <w:rsid w:val="00C57196"/>
    <w:rsid w:val="00C606AD"/>
    <w:rsid w:val="00C60DB0"/>
    <w:rsid w:val="00C6128A"/>
    <w:rsid w:val="00C61FDD"/>
    <w:rsid w:val="00C62D26"/>
    <w:rsid w:val="00C63219"/>
    <w:rsid w:val="00C65978"/>
    <w:rsid w:val="00C668CB"/>
    <w:rsid w:val="00C707A5"/>
    <w:rsid w:val="00C73FAB"/>
    <w:rsid w:val="00C75004"/>
    <w:rsid w:val="00C75F68"/>
    <w:rsid w:val="00C80584"/>
    <w:rsid w:val="00C817BE"/>
    <w:rsid w:val="00C820A1"/>
    <w:rsid w:val="00C84505"/>
    <w:rsid w:val="00C85460"/>
    <w:rsid w:val="00C85777"/>
    <w:rsid w:val="00C8706F"/>
    <w:rsid w:val="00C876F3"/>
    <w:rsid w:val="00C87A25"/>
    <w:rsid w:val="00C909CD"/>
    <w:rsid w:val="00C910B8"/>
    <w:rsid w:val="00C91371"/>
    <w:rsid w:val="00C91821"/>
    <w:rsid w:val="00C91A39"/>
    <w:rsid w:val="00C929AC"/>
    <w:rsid w:val="00C95D58"/>
    <w:rsid w:val="00C96300"/>
    <w:rsid w:val="00CA012A"/>
    <w:rsid w:val="00CA091D"/>
    <w:rsid w:val="00CA0E11"/>
    <w:rsid w:val="00CA1AFD"/>
    <w:rsid w:val="00CA1C6B"/>
    <w:rsid w:val="00CA2E01"/>
    <w:rsid w:val="00CA347F"/>
    <w:rsid w:val="00CA3D82"/>
    <w:rsid w:val="00CA77CA"/>
    <w:rsid w:val="00CB08B6"/>
    <w:rsid w:val="00CB0D97"/>
    <w:rsid w:val="00CB1E5C"/>
    <w:rsid w:val="00CB21C9"/>
    <w:rsid w:val="00CB64B9"/>
    <w:rsid w:val="00CB64EA"/>
    <w:rsid w:val="00CB7E03"/>
    <w:rsid w:val="00CC07A5"/>
    <w:rsid w:val="00CC1B99"/>
    <w:rsid w:val="00CC3A00"/>
    <w:rsid w:val="00CC43D5"/>
    <w:rsid w:val="00CD0760"/>
    <w:rsid w:val="00CD1DDC"/>
    <w:rsid w:val="00CD2B2D"/>
    <w:rsid w:val="00CD4ACB"/>
    <w:rsid w:val="00CE08BF"/>
    <w:rsid w:val="00CE2E07"/>
    <w:rsid w:val="00CE2E51"/>
    <w:rsid w:val="00CE3323"/>
    <w:rsid w:val="00CE40D4"/>
    <w:rsid w:val="00CE532C"/>
    <w:rsid w:val="00CE5828"/>
    <w:rsid w:val="00CE6EED"/>
    <w:rsid w:val="00CE7D9A"/>
    <w:rsid w:val="00CE7E52"/>
    <w:rsid w:val="00CF0E7A"/>
    <w:rsid w:val="00CF17B9"/>
    <w:rsid w:val="00CF2530"/>
    <w:rsid w:val="00CF262A"/>
    <w:rsid w:val="00CF2F2D"/>
    <w:rsid w:val="00CF34EB"/>
    <w:rsid w:val="00CF3951"/>
    <w:rsid w:val="00CF6C81"/>
    <w:rsid w:val="00CF73C3"/>
    <w:rsid w:val="00CF79CC"/>
    <w:rsid w:val="00D0014F"/>
    <w:rsid w:val="00D033BC"/>
    <w:rsid w:val="00D03EC6"/>
    <w:rsid w:val="00D054E1"/>
    <w:rsid w:val="00D06232"/>
    <w:rsid w:val="00D071BA"/>
    <w:rsid w:val="00D106A7"/>
    <w:rsid w:val="00D10755"/>
    <w:rsid w:val="00D1250A"/>
    <w:rsid w:val="00D14C72"/>
    <w:rsid w:val="00D14EDE"/>
    <w:rsid w:val="00D1579D"/>
    <w:rsid w:val="00D15A1A"/>
    <w:rsid w:val="00D161A2"/>
    <w:rsid w:val="00D1660E"/>
    <w:rsid w:val="00D176B4"/>
    <w:rsid w:val="00D21F1F"/>
    <w:rsid w:val="00D22A30"/>
    <w:rsid w:val="00D23670"/>
    <w:rsid w:val="00D2573C"/>
    <w:rsid w:val="00D300C7"/>
    <w:rsid w:val="00D30C8F"/>
    <w:rsid w:val="00D36AFF"/>
    <w:rsid w:val="00D3760F"/>
    <w:rsid w:val="00D400C3"/>
    <w:rsid w:val="00D413E3"/>
    <w:rsid w:val="00D418A5"/>
    <w:rsid w:val="00D42236"/>
    <w:rsid w:val="00D42EA1"/>
    <w:rsid w:val="00D445B8"/>
    <w:rsid w:val="00D450B4"/>
    <w:rsid w:val="00D450CD"/>
    <w:rsid w:val="00D47D84"/>
    <w:rsid w:val="00D51B5A"/>
    <w:rsid w:val="00D51DA8"/>
    <w:rsid w:val="00D52702"/>
    <w:rsid w:val="00D52794"/>
    <w:rsid w:val="00D52BE0"/>
    <w:rsid w:val="00D54F27"/>
    <w:rsid w:val="00D551A4"/>
    <w:rsid w:val="00D56667"/>
    <w:rsid w:val="00D56BE8"/>
    <w:rsid w:val="00D57387"/>
    <w:rsid w:val="00D57B17"/>
    <w:rsid w:val="00D6136E"/>
    <w:rsid w:val="00D63D33"/>
    <w:rsid w:val="00D654A0"/>
    <w:rsid w:val="00D668C6"/>
    <w:rsid w:val="00D6697D"/>
    <w:rsid w:val="00D66A33"/>
    <w:rsid w:val="00D67EC1"/>
    <w:rsid w:val="00D74B69"/>
    <w:rsid w:val="00D80556"/>
    <w:rsid w:val="00D807CE"/>
    <w:rsid w:val="00D814AD"/>
    <w:rsid w:val="00D827DE"/>
    <w:rsid w:val="00D82895"/>
    <w:rsid w:val="00D82A39"/>
    <w:rsid w:val="00D82F7F"/>
    <w:rsid w:val="00D832D7"/>
    <w:rsid w:val="00D836A2"/>
    <w:rsid w:val="00D84DC2"/>
    <w:rsid w:val="00D855D0"/>
    <w:rsid w:val="00D85732"/>
    <w:rsid w:val="00D864C5"/>
    <w:rsid w:val="00D8668C"/>
    <w:rsid w:val="00D86DCB"/>
    <w:rsid w:val="00D912E1"/>
    <w:rsid w:val="00D93545"/>
    <w:rsid w:val="00D94B8F"/>
    <w:rsid w:val="00D95A8C"/>
    <w:rsid w:val="00D96029"/>
    <w:rsid w:val="00D96052"/>
    <w:rsid w:val="00D96EB4"/>
    <w:rsid w:val="00D97B4E"/>
    <w:rsid w:val="00D97BD9"/>
    <w:rsid w:val="00D97C62"/>
    <w:rsid w:val="00D97C73"/>
    <w:rsid w:val="00DA0817"/>
    <w:rsid w:val="00DA090F"/>
    <w:rsid w:val="00DA22C2"/>
    <w:rsid w:val="00DA2416"/>
    <w:rsid w:val="00DA291B"/>
    <w:rsid w:val="00DA2BAC"/>
    <w:rsid w:val="00DA32F2"/>
    <w:rsid w:val="00DA4467"/>
    <w:rsid w:val="00DA47AA"/>
    <w:rsid w:val="00DA595F"/>
    <w:rsid w:val="00DA5B28"/>
    <w:rsid w:val="00DA6599"/>
    <w:rsid w:val="00DA74BF"/>
    <w:rsid w:val="00DB1DA2"/>
    <w:rsid w:val="00DB1E72"/>
    <w:rsid w:val="00DB4671"/>
    <w:rsid w:val="00DB5314"/>
    <w:rsid w:val="00DB5C1E"/>
    <w:rsid w:val="00DB69BE"/>
    <w:rsid w:val="00DB6A14"/>
    <w:rsid w:val="00DC2F0E"/>
    <w:rsid w:val="00DC393E"/>
    <w:rsid w:val="00DC40E2"/>
    <w:rsid w:val="00DC580C"/>
    <w:rsid w:val="00DC73D4"/>
    <w:rsid w:val="00DD18F8"/>
    <w:rsid w:val="00DD19F7"/>
    <w:rsid w:val="00DD1A55"/>
    <w:rsid w:val="00DD1E6C"/>
    <w:rsid w:val="00DD3D82"/>
    <w:rsid w:val="00DD5594"/>
    <w:rsid w:val="00DD5F51"/>
    <w:rsid w:val="00DD6686"/>
    <w:rsid w:val="00DE09A2"/>
    <w:rsid w:val="00DE1EAB"/>
    <w:rsid w:val="00DE396A"/>
    <w:rsid w:val="00DE4480"/>
    <w:rsid w:val="00DE498F"/>
    <w:rsid w:val="00DE4AEF"/>
    <w:rsid w:val="00DE4B5E"/>
    <w:rsid w:val="00DE4B63"/>
    <w:rsid w:val="00DE5D49"/>
    <w:rsid w:val="00DF0AE8"/>
    <w:rsid w:val="00DF1E3D"/>
    <w:rsid w:val="00DF27A9"/>
    <w:rsid w:val="00DF5126"/>
    <w:rsid w:val="00DF7AF8"/>
    <w:rsid w:val="00E01920"/>
    <w:rsid w:val="00E01EF4"/>
    <w:rsid w:val="00E04672"/>
    <w:rsid w:val="00E0481A"/>
    <w:rsid w:val="00E10E86"/>
    <w:rsid w:val="00E11479"/>
    <w:rsid w:val="00E125D2"/>
    <w:rsid w:val="00E15CDE"/>
    <w:rsid w:val="00E16850"/>
    <w:rsid w:val="00E16C34"/>
    <w:rsid w:val="00E1706F"/>
    <w:rsid w:val="00E176EF"/>
    <w:rsid w:val="00E17854"/>
    <w:rsid w:val="00E17FB4"/>
    <w:rsid w:val="00E21B3C"/>
    <w:rsid w:val="00E21E65"/>
    <w:rsid w:val="00E240BF"/>
    <w:rsid w:val="00E247A1"/>
    <w:rsid w:val="00E24E3B"/>
    <w:rsid w:val="00E25F14"/>
    <w:rsid w:val="00E26679"/>
    <w:rsid w:val="00E3133F"/>
    <w:rsid w:val="00E31E00"/>
    <w:rsid w:val="00E32BC7"/>
    <w:rsid w:val="00E33ECB"/>
    <w:rsid w:val="00E35132"/>
    <w:rsid w:val="00E35AF9"/>
    <w:rsid w:val="00E3697C"/>
    <w:rsid w:val="00E36E20"/>
    <w:rsid w:val="00E40A56"/>
    <w:rsid w:val="00E40C4F"/>
    <w:rsid w:val="00E42699"/>
    <w:rsid w:val="00E46F62"/>
    <w:rsid w:val="00E47B2F"/>
    <w:rsid w:val="00E51452"/>
    <w:rsid w:val="00E51A30"/>
    <w:rsid w:val="00E51D83"/>
    <w:rsid w:val="00E52DF4"/>
    <w:rsid w:val="00E540CE"/>
    <w:rsid w:val="00E54FEA"/>
    <w:rsid w:val="00E5565D"/>
    <w:rsid w:val="00E5575B"/>
    <w:rsid w:val="00E56539"/>
    <w:rsid w:val="00E57005"/>
    <w:rsid w:val="00E602FE"/>
    <w:rsid w:val="00E6129F"/>
    <w:rsid w:val="00E61970"/>
    <w:rsid w:val="00E63C35"/>
    <w:rsid w:val="00E65A74"/>
    <w:rsid w:val="00E6605D"/>
    <w:rsid w:val="00E664E8"/>
    <w:rsid w:val="00E66A3A"/>
    <w:rsid w:val="00E7076D"/>
    <w:rsid w:val="00E712A7"/>
    <w:rsid w:val="00E71A08"/>
    <w:rsid w:val="00E73E7B"/>
    <w:rsid w:val="00E7480C"/>
    <w:rsid w:val="00E74916"/>
    <w:rsid w:val="00E753FA"/>
    <w:rsid w:val="00E7662F"/>
    <w:rsid w:val="00E76DC8"/>
    <w:rsid w:val="00E77D84"/>
    <w:rsid w:val="00E83B5A"/>
    <w:rsid w:val="00E8499A"/>
    <w:rsid w:val="00E84B41"/>
    <w:rsid w:val="00E85021"/>
    <w:rsid w:val="00E85B64"/>
    <w:rsid w:val="00E85CC5"/>
    <w:rsid w:val="00E87FB7"/>
    <w:rsid w:val="00E9115D"/>
    <w:rsid w:val="00E92546"/>
    <w:rsid w:val="00E94CFB"/>
    <w:rsid w:val="00E9505E"/>
    <w:rsid w:val="00E9566C"/>
    <w:rsid w:val="00E96576"/>
    <w:rsid w:val="00E97E13"/>
    <w:rsid w:val="00EA0FB6"/>
    <w:rsid w:val="00EA1961"/>
    <w:rsid w:val="00EA1D51"/>
    <w:rsid w:val="00EA211E"/>
    <w:rsid w:val="00EA3E78"/>
    <w:rsid w:val="00EA495C"/>
    <w:rsid w:val="00EA65B6"/>
    <w:rsid w:val="00EA6C14"/>
    <w:rsid w:val="00EB0CC9"/>
    <w:rsid w:val="00EB325C"/>
    <w:rsid w:val="00EB4DFC"/>
    <w:rsid w:val="00EB5901"/>
    <w:rsid w:val="00EB6433"/>
    <w:rsid w:val="00EB71CB"/>
    <w:rsid w:val="00EC02EA"/>
    <w:rsid w:val="00EC50D6"/>
    <w:rsid w:val="00EC7283"/>
    <w:rsid w:val="00ED028C"/>
    <w:rsid w:val="00ED2B96"/>
    <w:rsid w:val="00ED4FD2"/>
    <w:rsid w:val="00ED5400"/>
    <w:rsid w:val="00ED65BA"/>
    <w:rsid w:val="00ED7218"/>
    <w:rsid w:val="00ED7F78"/>
    <w:rsid w:val="00EE03FB"/>
    <w:rsid w:val="00EE1AF3"/>
    <w:rsid w:val="00EE2C03"/>
    <w:rsid w:val="00EE3C34"/>
    <w:rsid w:val="00EE4D23"/>
    <w:rsid w:val="00EE50C7"/>
    <w:rsid w:val="00EE5E8F"/>
    <w:rsid w:val="00EE6311"/>
    <w:rsid w:val="00EF6449"/>
    <w:rsid w:val="00F00082"/>
    <w:rsid w:val="00F010E0"/>
    <w:rsid w:val="00F0236E"/>
    <w:rsid w:val="00F024FA"/>
    <w:rsid w:val="00F041C1"/>
    <w:rsid w:val="00F04D46"/>
    <w:rsid w:val="00F06148"/>
    <w:rsid w:val="00F067CB"/>
    <w:rsid w:val="00F06D9D"/>
    <w:rsid w:val="00F0728A"/>
    <w:rsid w:val="00F076FA"/>
    <w:rsid w:val="00F07897"/>
    <w:rsid w:val="00F07B97"/>
    <w:rsid w:val="00F13394"/>
    <w:rsid w:val="00F166BC"/>
    <w:rsid w:val="00F1759D"/>
    <w:rsid w:val="00F23C64"/>
    <w:rsid w:val="00F240C9"/>
    <w:rsid w:val="00F2540A"/>
    <w:rsid w:val="00F27513"/>
    <w:rsid w:val="00F31BB4"/>
    <w:rsid w:val="00F31D60"/>
    <w:rsid w:val="00F3348B"/>
    <w:rsid w:val="00F3359E"/>
    <w:rsid w:val="00F33A67"/>
    <w:rsid w:val="00F33BD5"/>
    <w:rsid w:val="00F33E7A"/>
    <w:rsid w:val="00F34037"/>
    <w:rsid w:val="00F3635B"/>
    <w:rsid w:val="00F3639B"/>
    <w:rsid w:val="00F37370"/>
    <w:rsid w:val="00F37820"/>
    <w:rsid w:val="00F37D19"/>
    <w:rsid w:val="00F40FE8"/>
    <w:rsid w:val="00F417C4"/>
    <w:rsid w:val="00F42BFE"/>
    <w:rsid w:val="00F43320"/>
    <w:rsid w:val="00F45124"/>
    <w:rsid w:val="00F47767"/>
    <w:rsid w:val="00F479D7"/>
    <w:rsid w:val="00F47C48"/>
    <w:rsid w:val="00F527DE"/>
    <w:rsid w:val="00F52E00"/>
    <w:rsid w:val="00F54716"/>
    <w:rsid w:val="00F558C6"/>
    <w:rsid w:val="00F64B8C"/>
    <w:rsid w:val="00F66889"/>
    <w:rsid w:val="00F6757A"/>
    <w:rsid w:val="00F67CBB"/>
    <w:rsid w:val="00F701D8"/>
    <w:rsid w:val="00F70E2B"/>
    <w:rsid w:val="00F71085"/>
    <w:rsid w:val="00F7188A"/>
    <w:rsid w:val="00F7377F"/>
    <w:rsid w:val="00F74944"/>
    <w:rsid w:val="00F8100B"/>
    <w:rsid w:val="00F81E05"/>
    <w:rsid w:val="00F826DE"/>
    <w:rsid w:val="00F83219"/>
    <w:rsid w:val="00F8441B"/>
    <w:rsid w:val="00F8519A"/>
    <w:rsid w:val="00F85CD9"/>
    <w:rsid w:val="00F86033"/>
    <w:rsid w:val="00F900CE"/>
    <w:rsid w:val="00F902DB"/>
    <w:rsid w:val="00F932F3"/>
    <w:rsid w:val="00F95C70"/>
    <w:rsid w:val="00F96FBA"/>
    <w:rsid w:val="00F97393"/>
    <w:rsid w:val="00F97B20"/>
    <w:rsid w:val="00FA0366"/>
    <w:rsid w:val="00FA0D71"/>
    <w:rsid w:val="00FA1B4A"/>
    <w:rsid w:val="00FA225D"/>
    <w:rsid w:val="00FA47F4"/>
    <w:rsid w:val="00FA6508"/>
    <w:rsid w:val="00FB0009"/>
    <w:rsid w:val="00FB155D"/>
    <w:rsid w:val="00FB1C7D"/>
    <w:rsid w:val="00FB2A12"/>
    <w:rsid w:val="00FB3897"/>
    <w:rsid w:val="00FB3AF8"/>
    <w:rsid w:val="00FB4104"/>
    <w:rsid w:val="00FB59FB"/>
    <w:rsid w:val="00FC00A5"/>
    <w:rsid w:val="00FC17B1"/>
    <w:rsid w:val="00FC6BE7"/>
    <w:rsid w:val="00FC7942"/>
    <w:rsid w:val="00FD0168"/>
    <w:rsid w:val="00FD103E"/>
    <w:rsid w:val="00FD105A"/>
    <w:rsid w:val="00FD1321"/>
    <w:rsid w:val="00FD5E6C"/>
    <w:rsid w:val="00FD7B26"/>
    <w:rsid w:val="00FE0ECF"/>
    <w:rsid w:val="00FE145B"/>
    <w:rsid w:val="00FE1CA4"/>
    <w:rsid w:val="00FE2B01"/>
    <w:rsid w:val="00FE2BA8"/>
    <w:rsid w:val="00FE349A"/>
    <w:rsid w:val="00FE5012"/>
    <w:rsid w:val="00FE55F3"/>
    <w:rsid w:val="00FE594A"/>
    <w:rsid w:val="00FE599D"/>
    <w:rsid w:val="00FE716A"/>
    <w:rsid w:val="00FF00AD"/>
    <w:rsid w:val="00FF2625"/>
    <w:rsid w:val="00FF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A36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link w:val="HeaderChar"/>
    <w:uiPriority w:val="99"/>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styleId="Emphasis">
    <w:name w:val="Emphasis"/>
    <w:basedOn w:val="DefaultParagraphFont"/>
    <w:uiPriority w:val="20"/>
    <w:qFormat/>
    <w:rsid w:val="0024519F"/>
    <w:rPr>
      <w:i/>
      <w:iCs/>
    </w:rPr>
  </w:style>
  <w:style w:type="paragraph" w:styleId="BodyTextIndent2">
    <w:name w:val="Body Text Indent 2"/>
    <w:basedOn w:val="Normal"/>
    <w:link w:val="BodyTextIndent2Char"/>
    <w:uiPriority w:val="99"/>
    <w:semiHidden/>
    <w:unhideWhenUsed/>
    <w:rsid w:val="00EA495C"/>
    <w:pPr>
      <w:spacing w:after="120" w:line="480" w:lineRule="auto"/>
      <w:ind w:left="360"/>
    </w:pPr>
  </w:style>
  <w:style w:type="character" w:customStyle="1" w:styleId="BodyTextIndent2Char">
    <w:name w:val="Body Text Indent 2 Char"/>
    <w:basedOn w:val="DefaultParagraphFont"/>
    <w:link w:val="BodyTextIndent2"/>
    <w:uiPriority w:val="99"/>
    <w:semiHidden/>
    <w:rsid w:val="00EA495C"/>
    <w:rPr>
      <w:szCs w:val="24"/>
    </w:rPr>
  </w:style>
  <w:style w:type="paragraph" w:styleId="NoSpacing">
    <w:name w:val="No Spacing"/>
    <w:uiPriority w:val="1"/>
    <w:qFormat/>
    <w:rsid w:val="001B5281"/>
    <w:rPr>
      <w:rFonts w:asciiTheme="minorHAnsi" w:eastAsiaTheme="minorHAnsi" w:hAnsiTheme="minorHAnsi" w:cstheme="minorBidi"/>
      <w:sz w:val="22"/>
      <w:szCs w:val="22"/>
    </w:rPr>
  </w:style>
  <w:style w:type="paragraph" w:styleId="Revision">
    <w:name w:val="Revision"/>
    <w:hidden/>
    <w:uiPriority w:val="99"/>
    <w:semiHidden/>
    <w:rsid w:val="00D300C7"/>
    <w:rPr>
      <w:szCs w:val="24"/>
    </w:rPr>
  </w:style>
  <w:style w:type="character" w:customStyle="1" w:styleId="HeaderChar">
    <w:name w:val="Header Char"/>
    <w:basedOn w:val="DefaultParagraphFont"/>
    <w:link w:val="Header"/>
    <w:uiPriority w:val="99"/>
    <w:rsid w:val="001F6639"/>
    <w:rPr>
      <w:szCs w:val="24"/>
    </w:rPr>
  </w:style>
  <w:style w:type="paragraph" w:styleId="HTMLPreformatted">
    <w:name w:val="HTML Preformatted"/>
    <w:basedOn w:val="Normal"/>
    <w:link w:val="HTMLPreformattedChar"/>
    <w:rsid w:val="00450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45069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link w:val="HeaderChar"/>
    <w:uiPriority w:val="99"/>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styleId="Emphasis">
    <w:name w:val="Emphasis"/>
    <w:basedOn w:val="DefaultParagraphFont"/>
    <w:uiPriority w:val="20"/>
    <w:qFormat/>
    <w:rsid w:val="0024519F"/>
    <w:rPr>
      <w:i/>
      <w:iCs/>
    </w:rPr>
  </w:style>
  <w:style w:type="paragraph" w:styleId="BodyTextIndent2">
    <w:name w:val="Body Text Indent 2"/>
    <w:basedOn w:val="Normal"/>
    <w:link w:val="BodyTextIndent2Char"/>
    <w:uiPriority w:val="99"/>
    <w:semiHidden/>
    <w:unhideWhenUsed/>
    <w:rsid w:val="00EA495C"/>
    <w:pPr>
      <w:spacing w:after="120" w:line="480" w:lineRule="auto"/>
      <w:ind w:left="360"/>
    </w:pPr>
  </w:style>
  <w:style w:type="character" w:customStyle="1" w:styleId="BodyTextIndent2Char">
    <w:name w:val="Body Text Indent 2 Char"/>
    <w:basedOn w:val="DefaultParagraphFont"/>
    <w:link w:val="BodyTextIndent2"/>
    <w:uiPriority w:val="99"/>
    <w:semiHidden/>
    <w:rsid w:val="00EA495C"/>
    <w:rPr>
      <w:szCs w:val="24"/>
    </w:rPr>
  </w:style>
  <w:style w:type="paragraph" w:styleId="NoSpacing">
    <w:name w:val="No Spacing"/>
    <w:uiPriority w:val="1"/>
    <w:qFormat/>
    <w:rsid w:val="001B5281"/>
    <w:rPr>
      <w:rFonts w:asciiTheme="minorHAnsi" w:eastAsiaTheme="minorHAnsi" w:hAnsiTheme="minorHAnsi" w:cstheme="minorBidi"/>
      <w:sz w:val="22"/>
      <w:szCs w:val="22"/>
    </w:rPr>
  </w:style>
  <w:style w:type="paragraph" w:styleId="Revision">
    <w:name w:val="Revision"/>
    <w:hidden/>
    <w:uiPriority w:val="99"/>
    <w:semiHidden/>
    <w:rsid w:val="00D300C7"/>
    <w:rPr>
      <w:szCs w:val="24"/>
    </w:rPr>
  </w:style>
  <w:style w:type="character" w:customStyle="1" w:styleId="HeaderChar">
    <w:name w:val="Header Char"/>
    <w:basedOn w:val="DefaultParagraphFont"/>
    <w:link w:val="Header"/>
    <w:uiPriority w:val="99"/>
    <w:rsid w:val="001F6639"/>
    <w:rPr>
      <w:szCs w:val="24"/>
    </w:rPr>
  </w:style>
  <w:style w:type="paragraph" w:styleId="HTMLPreformatted">
    <w:name w:val="HTML Preformatted"/>
    <w:basedOn w:val="Normal"/>
    <w:link w:val="HTMLPreformattedChar"/>
    <w:rsid w:val="00450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45069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42661">
      <w:bodyDiv w:val="1"/>
      <w:marLeft w:val="0"/>
      <w:marRight w:val="0"/>
      <w:marTop w:val="0"/>
      <w:marBottom w:val="0"/>
      <w:divBdr>
        <w:top w:val="none" w:sz="0" w:space="0" w:color="auto"/>
        <w:left w:val="none" w:sz="0" w:space="0" w:color="auto"/>
        <w:bottom w:val="none" w:sz="0" w:space="0" w:color="auto"/>
        <w:right w:val="none" w:sz="0" w:space="0" w:color="auto"/>
      </w:divBdr>
    </w:div>
    <w:div w:id="223762267">
      <w:bodyDiv w:val="1"/>
      <w:marLeft w:val="0"/>
      <w:marRight w:val="0"/>
      <w:marTop w:val="0"/>
      <w:marBottom w:val="0"/>
      <w:divBdr>
        <w:top w:val="none" w:sz="0" w:space="0" w:color="auto"/>
        <w:left w:val="none" w:sz="0" w:space="0" w:color="auto"/>
        <w:bottom w:val="none" w:sz="0" w:space="0" w:color="auto"/>
        <w:right w:val="none" w:sz="0" w:space="0" w:color="auto"/>
      </w:divBdr>
    </w:div>
    <w:div w:id="878516035">
      <w:bodyDiv w:val="1"/>
      <w:marLeft w:val="0"/>
      <w:marRight w:val="0"/>
      <w:marTop w:val="0"/>
      <w:marBottom w:val="0"/>
      <w:divBdr>
        <w:top w:val="none" w:sz="0" w:space="0" w:color="auto"/>
        <w:left w:val="none" w:sz="0" w:space="0" w:color="auto"/>
        <w:bottom w:val="none" w:sz="0" w:space="0" w:color="auto"/>
        <w:right w:val="none" w:sz="0" w:space="0" w:color="auto"/>
      </w:divBdr>
      <w:divsChild>
        <w:div w:id="513346852">
          <w:marLeft w:val="0"/>
          <w:marRight w:val="0"/>
          <w:marTop w:val="0"/>
          <w:marBottom w:val="0"/>
          <w:divBdr>
            <w:top w:val="single" w:sz="36" w:space="0" w:color="075290"/>
            <w:left w:val="none" w:sz="0" w:space="0" w:color="auto"/>
            <w:bottom w:val="none" w:sz="0" w:space="0" w:color="auto"/>
            <w:right w:val="none" w:sz="0" w:space="0" w:color="auto"/>
          </w:divBdr>
          <w:divsChild>
            <w:div w:id="1586840468">
              <w:marLeft w:val="0"/>
              <w:marRight w:val="0"/>
              <w:marTop w:val="0"/>
              <w:marBottom w:val="0"/>
              <w:divBdr>
                <w:top w:val="none" w:sz="0" w:space="0" w:color="auto"/>
                <w:left w:val="none" w:sz="0" w:space="0" w:color="auto"/>
                <w:bottom w:val="none" w:sz="0" w:space="0" w:color="auto"/>
                <w:right w:val="none" w:sz="0" w:space="0" w:color="auto"/>
              </w:divBdr>
              <w:divsChild>
                <w:div w:id="724989008">
                  <w:marLeft w:val="0"/>
                  <w:marRight w:val="0"/>
                  <w:marTop w:val="150"/>
                  <w:marBottom w:val="0"/>
                  <w:divBdr>
                    <w:top w:val="none" w:sz="0" w:space="0" w:color="auto"/>
                    <w:left w:val="none" w:sz="0" w:space="0" w:color="auto"/>
                    <w:bottom w:val="none" w:sz="0" w:space="0" w:color="auto"/>
                    <w:right w:val="none" w:sz="0" w:space="0" w:color="auto"/>
                  </w:divBdr>
                  <w:divsChild>
                    <w:div w:id="59597085">
                      <w:marLeft w:val="-150"/>
                      <w:marRight w:val="0"/>
                      <w:marTop w:val="0"/>
                      <w:marBottom w:val="0"/>
                      <w:divBdr>
                        <w:top w:val="none" w:sz="0" w:space="0" w:color="auto"/>
                        <w:left w:val="none" w:sz="0" w:space="0" w:color="auto"/>
                        <w:bottom w:val="none" w:sz="0" w:space="0" w:color="auto"/>
                        <w:right w:val="none" w:sz="0" w:space="0" w:color="auto"/>
                      </w:divBdr>
                      <w:divsChild>
                        <w:div w:id="1028068527">
                          <w:marLeft w:val="0"/>
                          <w:marRight w:val="0"/>
                          <w:marTop w:val="0"/>
                          <w:marBottom w:val="0"/>
                          <w:divBdr>
                            <w:top w:val="none" w:sz="0" w:space="0" w:color="auto"/>
                            <w:left w:val="none" w:sz="0" w:space="0" w:color="auto"/>
                            <w:bottom w:val="none" w:sz="0" w:space="0" w:color="auto"/>
                            <w:right w:val="none" w:sz="0" w:space="0" w:color="auto"/>
                          </w:divBdr>
                          <w:divsChild>
                            <w:div w:id="935098061">
                              <w:marLeft w:val="0"/>
                              <w:marRight w:val="0"/>
                              <w:marTop w:val="0"/>
                              <w:marBottom w:val="0"/>
                              <w:divBdr>
                                <w:top w:val="none" w:sz="0" w:space="0" w:color="auto"/>
                                <w:left w:val="none" w:sz="0" w:space="0" w:color="auto"/>
                                <w:bottom w:val="none" w:sz="0" w:space="0" w:color="auto"/>
                                <w:right w:val="none" w:sz="0" w:space="0" w:color="auto"/>
                              </w:divBdr>
                              <w:divsChild>
                                <w:div w:id="1108620440">
                                  <w:marLeft w:val="0"/>
                                  <w:marRight w:val="0"/>
                                  <w:marTop w:val="0"/>
                                  <w:marBottom w:val="0"/>
                                  <w:divBdr>
                                    <w:top w:val="none" w:sz="0" w:space="0" w:color="auto"/>
                                    <w:left w:val="none" w:sz="0" w:space="0" w:color="auto"/>
                                    <w:bottom w:val="none" w:sz="0" w:space="0" w:color="auto"/>
                                    <w:right w:val="none" w:sz="0" w:space="0" w:color="auto"/>
                                  </w:divBdr>
                                  <w:divsChild>
                                    <w:div w:id="1170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694277">
      <w:bodyDiv w:val="1"/>
      <w:marLeft w:val="0"/>
      <w:marRight w:val="0"/>
      <w:marTop w:val="0"/>
      <w:marBottom w:val="0"/>
      <w:divBdr>
        <w:top w:val="none" w:sz="0" w:space="0" w:color="auto"/>
        <w:left w:val="none" w:sz="0" w:space="0" w:color="auto"/>
        <w:bottom w:val="none" w:sz="0" w:space="0" w:color="auto"/>
        <w:right w:val="none" w:sz="0" w:space="0" w:color="auto"/>
      </w:divBdr>
    </w:div>
    <w:div w:id="971254516">
      <w:bodyDiv w:val="1"/>
      <w:marLeft w:val="0"/>
      <w:marRight w:val="0"/>
      <w:marTop w:val="0"/>
      <w:marBottom w:val="0"/>
      <w:divBdr>
        <w:top w:val="none" w:sz="0" w:space="0" w:color="auto"/>
        <w:left w:val="none" w:sz="0" w:space="0" w:color="auto"/>
        <w:bottom w:val="none" w:sz="0" w:space="0" w:color="auto"/>
        <w:right w:val="none" w:sz="0" w:space="0" w:color="auto"/>
      </w:divBdr>
      <w:divsChild>
        <w:div w:id="538930720">
          <w:marLeft w:val="720"/>
          <w:marRight w:val="0"/>
          <w:marTop w:val="200"/>
          <w:marBottom w:val="0"/>
          <w:divBdr>
            <w:top w:val="none" w:sz="0" w:space="0" w:color="auto"/>
            <w:left w:val="none" w:sz="0" w:space="0" w:color="auto"/>
            <w:bottom w:val="none" w:sz="0" w:space="0" w:color="auto"/>
            <w:right w:val="none" w:sz="0" w:space="0" w:color="auto"/>
          </w:divBdr>
        </w:div>
        <w:div w:id="78215992">
          <w:marLeft w:val="720"/>
          <w:marRight w:val="0"/>
          <w:marTop w:val="200"/>
          <w:marBottom w:val="0"/>
          <w:divBdr>
            <w:top w:val="none" w:sz="0" w:space="0" w:color="auto"/>
            <w:left w:val="none" w:sz="0" w:space="0" w:color="auto"/>
            <w:bottom w:val="none" w:sz="0" w:space="0" w:color="auto"/>
            <w:right w:val="none" w:sz="0" w:space="0" w:color="auto"/>
          </w:divBdr>
        </w:div>
      </w:divsChild>
    </w:div>
    <w:div w:id="1040013514">
      <w:bodyDiv w:val="1"/>
      <w:marLeft w:val="0"/>
      <w:marRight w:val="0"/>
      <w:marTop w:val="0"/>
      <w:marBottom w:val="0"/>
      <w:divBdr>
        <w:top w:val="none" w:sz="0" w:space="0" w:color="auto"/>
        <w:left w:val="none" w:sz="0" w:space="0" w:color="auto"/>
        <w:bottom w:val="none" w:sz="0" w:space="0" w:color="auto"/>
        <w:right w:val="none" w:sz="0" w:space="0" w:color="auto"/>
      </w:divBdr>
      <w:divsChild>
        <w:div w:id="955987353">
          <w:marLeft w:val="0"/>
          <w:marRight w:val="0"/>
          <w:marTop w:val="0"/>
          <w:marBottom w:val="0"/>
          <w:divBdr>
            <w:top w:val="none" w:sz="0" w:space="0" w:color="auto"/>
            <w:left w:val="none" w:sz="0" w:space="0" w:color="auto"/>
            <w:bottom w:val="none" w:sz="0" w:space="0" w:color="auto"/>
            <w:right w:val="none" w:sz="0" w:space="0" w:color="auto"/>
          </w:divBdr>
          <w:divsChild>
            <w:div w:id="392965373">
              <w:marLeft w:val="0"/>
              <w:marRight w:val="0"/>
              <w:marTop w:val="0"/>
              <w:marBottom w:val="300"/>
              <w:divBdr>
                <w:top w:val="single" w:sz="6" w:space="0" w:color="BEBEBE"/>
                <w:left w:val="single" w:sz="6" w:space="0" w:color="BEBEBE"/>
                <w:bottom w:val="single" w:sz="6" w:space="0" w:color="BEBEBE"/>
                <w:right w:val="single" w:sz="6" w:space="0" w:color="BEBEBE"/>
              </w:divBdr>
              <w:divsChild>
                <w:div w:id="104035103">
                  <w:marLeft w:val="0"/>
                  <w:marRight w:val="0"/>
                  <w:marTop w:val="0"/>
                  <w:marBottom w:val="0"/>
                  <w:divBdr>
                    <w:top w:val="none" w:sz="0" w:space="0" w:color="auto"/>
                    <w:left w:val="none" w:sz="0" w:space="0" w:color="auto"/>
                    <w:bottom w:val="none" w:sz="0" w:space="0" w:color="auto"/>
                    <w:right w:val="none" w:sz="0" w:space="0" w:color="auto"/>
                  </w:divBdr>
                  <w:divsChild>
                    <w:div w:id="839274715">
                      <w:marLeft w:val="0"/>
                      <w:marRight w:val="0"/>
                      <w:marTop w:val="0"/>
                      <w:marBottom w:val="0"/>
                      <w:divBdr>
                        <w:top w:val="none" w:sz="0" w:space="0" w:color="auto"/>
                        <w:left w:val="none" w:sz="0" w:space="0" w:color="auto"/>
                        <w:bottom w:val="none" w:sz="0" w:space="0" w:color="auto"/>
                        <w:right w:val="none" w:sz="0" w:space="0" w:color="auto"/>
                      </w:divBdr>
                      <w:divsChild>
                        <w:div w:id="85351108">
                          <w:marLeft w:val="0"/>
                          <w:marRight w:val="0"/>
                          <w:marTop w:val="0"/>
                          <w:marBottom w:val="0"/>
                          <w:divBdr>
                            <w:top w:val="none" w:sz="0" w:space="0" w:color="auto"/>
                            <w:left w:val="none" w:sz="0" w:space="0" w:color="auto"/>
                            <w:bottom w:val="none" w:sz="0" w:space="0" w:color="auto"/>
                            <w:right w:val="none" w:sz="0" w:space="0" w:color="auto"/>
                          </w:divBdr>
                          <w:divsChild>
                            <w:div w:id="17652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875918">
      <w:bodyDiv w:val="1"/>
      <w:marLeft w:val="0"/>
      <w:marRight w:val="0"/>
      <w:marTop w:val="0"/>
      <w:marBottom w:val="0"/>
      <w:divBdr>
        <w:top w:val="none" w:sz="0" w:space="0" w:color="auto"/>
        <w:left w:val="none" w:sz="0" w:space="0" w:color="auto"/>
        <w:bottom w:val="none" w:sz="0" w:space="0" w:color="auto"/>
        <w:right w:val="none" w:sz="0" w:space="0" w:color="auto"/>
      </w:divBdr>
      <w:divsChild>
        <w:div w:id="1245649129">
          <w:marLeft w:val="1166"/>
          <w:marRight w:val="0"/>
          <w:marTop w:val="0"/>
          <w:marBottom w:val="0"/>
          <w:divBdr>
            <w:top w:val="none" w:sz="0" w:space="0" w:color="auto"/>
            <w:left w:val="none" w:sz="0" w:space="0" w:color="auto"/>
            <w:bottom w:val="none" w:sz="0" w:space="0" w:color="auto"/>
            <w:right w:val="none" w:sz="0" w:space="0" w:color="auto"/>
          </w:divBdr>
        </w:div>
      </w:divsChild>
    </w:div>
    <w:div w:id="1168863378">
      <w:bodyDiv w:val="1"/>
      <w:marLeft w:val="0"/>
      <w:marRight w:val="0"/>
      <w:marTop w:val="0"/>
      <w:marBottom w:val="0"/>
      <w:divBdr>
        <w:top w:val="none" w:sz="0" w:space="0" w:color="auto"/>
        <w:left w:val="none" w:sz="0" w:space="0" w:color="auto"/>
        <w:bottom w:val="none" w:sz="0" w:space="0" w:color="auto"/>
        <w:right w:val="none" w:sz="0" w:space="0" w:color="auto"/>
      </w:divBdr>
    </w:div>
    <w:div w:id="1229264242">
      <w:bodyDiv w:val="1"/>
      <w:marLeft w:val="0"/>
      <w:marRight w:val="0"/>
      <w:marTop w:val="0"/>
      <w:marBottom w:val="0"/>
      <w:divBdr>
        <w:top w:val="none" w:sz="0" w:space="0" w:color="auto"/>
        <w:left w:val="none" w:sz="0" w:space="0" w:color="auto"/>
        <w:bottom w:val="none" w:sz="0" w:space="0" w:color="auto"/>
        <w:right w:val="none" w:sz="0" w:space="0" w:color="auto"/>
      </w:divBdr>
    </w:div>
    <w:div w:id="1317956891">
      <w:bodyDiv w:val="1"/>
      <w:marLeft w:val="0"/>
      <w:marRight w:val="0"/>
      <w:marTop w:val="0"/>
      <w:marBottom w:val="0"/>
      <w:divBdr>
        <w:top w:val="none" w:sz="0" w:space="0" w:color="auto"/>
        <w:left w:val="none" w:sz="0" w:space="0" w:color="auto"/>
        <w:bottom w:val="none" w:sz="0" w:space="0" w:color="auto"/>
        <w:right w:val="none" w:sz="0" w:space="0" w:color="auto"/>
      </w:divBdr>
    </w:div>
    <w:div w:id="1535927479">
      <w:bodyDiv w:val="1"/>
      <w:marLeft w:val="0"/>
      <w:marRight w:val="0"/>
      <w:marTop w:val="0"/>
      <w:marBottom w:val="0"/>
      <w:divBdr>
        <w:top w:val="none" w:sz="0" w:space="0" w:color="auto"/>
        <w:left w:val="none" w:sz="0" w:space="0" w:color="auto"/>
        <w:bottom w:val="none" w:sz="0" w:space="0" w:color="auto"/>
        <w:right w:val="none" w:sz="0" w:space="0" w:color="auto"/>
      </w:divBdr>
    </w:div>
    <w:div w:id="1559823846">
      <w:bodyDiv w:val="1"/>
      <w:marLeft w:val="0"/>
      <w:marRight w:val="0"/>
      <w:marTop w:val="0"/>
      <w:marBottom w:val="0"/>
      <w:divBdr>
        <w:top w:val="none" w:sz="0" w:space="0" w:color="auto"/>
        <w:left w:val="none" w:sz="0" w:space="0" w:color="auto"/>
        <w:bottom w:val="none" w:sz="0" w:space="0" w:color="auto"/>
        <w:right w:val="none" w:sz="0" w:space="0" w:color="auto"/>
      </w:divBdr>
    </w:div>
    <w:div w:id="1638218239">
      <w:bodyDiv w:val="1"/>
      <w:marLeft w:val="0"/>
      <w:marRight w:val="0"/>
      <w:marTop w:val="0"/>
      <w:marBottom w:val="0"/>
      <w:divBdr>
        <w:top w:val="none" w:sz="0" w:space="0" w:color="auto"/>
        <w:left w:val="none" w:sz="0" w:space="0" w:color="auto"/>
        <w:bottom w:val="none" w:sz="0" w:space="0" w:color="auto"/>
        <w:right w:val="none" w:sz="0" w:space="0" w:color="auto"/>
      </w:divBdr>
    </w:div>
    <w:div w:id="1854954326">
      <w:bodyDiv w:val="1"/>
      <w:marLeft w:val="0"/>
      <w:marRight w:val="0"/>
      <w:marTop w:val="0"/>
      <w:marBottom w:val="0"/>
      <w:divBdr>
        <w:top w:val="none" w:sz="0" w:space="0" w:color="auto"/>
        <w:left w:val="none" w:sz="0" w:space="0" w:color="auto"/>
        <w:bottom w:val="none" w:sz="0" w:space="0" w:color="auto"/>
        <w:right w:val="none" w:sz="0" w:space="0" w:color="auto"/>
      </w:divBdr>
    </w:div>
    <w:div w:id="1983653359">
      <w:bodyDiv w:val="1"/>
      <w:marLeft w:val="0"/>
      <w:marRight w:val="0"/>
      <w:marTop w:val="0"/>
      <w:marBottom w:val="0"/>
      <w:divBdr>
        <w:top w:val="none" w:sz="0" w:space="0" w:color="auto"/>
        <w:left w:val="none" w:sz="0" w:space="0" w:color="auto"/>
        <w:bottom w:val="none" w:sz="0" w:space="0" w:color="auto"/>
        <w:right w:val="none" w:sz="0" w:space="0" w:color="auto"/>
      </w:divBdr>
    </w:div>
    <w:div w:id="211297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dc.gov/SORNnotice/09-20-0166.htm" TargetMode="External"/><Relationship Id="rId4" Type="http://schemas.microsoft.com/office/2007/relationships/stylesWithEffects" Target="stylesWithEffects.xml"/><Relationship Id="rId9" Type="http://schemas.openxmlformats.org/officeDocument/2006/relationships/hyperlink" Target="https://reviewtoaction.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_nat.htm%2329-0000" TargetMode="External"/><Relationship Id="rId2" Type="http://schemas.openxmlformats.org/officeDocument/2006/relationships/hyperlink" Target="https://wonder.cdc.gov/" TargetMode="External"/><Relationship Id="rId1" Type="http://schemas.openxmlformats.org/officeDocument/2006/relationships/hyperlink" Target="http://reviewtoaction.org/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E48A9-E77F-4B6B-BB8E-5479FA4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5750</Words>
  <Characters>32778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38452</CharactersWithSpaces>
  <SharedDoc>false</SharedDoc>
  <HLinks>
    <vt:vector size="114" baseType="variant">
      <vt:variant>
        <vt:i4>1638457</vt:i4>
      </vt:variant>
      <vt:variant>
        <vt:i4>110</vt:i4>
      </vt:variant>
      <vt:variant>
        <vt:i4>0</vt:i4>
      </vt:variant>
      <vt:variant>
        <vt:i4>5</vt:i4>
      </vt:variant>
      <vt:variant>
        <vt:lpwstr/>
      </vt:variant>
      <vt:variant>
        <vt:lpwstr>_Toc279938188</vt:lpwstr>
      </vt:variant>
      <vt:variant>
        <vt:i4>1638457</vt:i4>
      </vt:variant>
      <vt:variant>
        <vt:i4>104</vt:i4>
      </vt:variant>
      <vt:variant>
        <vt:i4>0</vt:i4>
      </vt:variant>
      <vt:variant>
        <vt:i4>5</vt:i4>
      </vt:variant>
      <vt:variant>
        <vt:lpwstr/>
      </vt:variant>
      <vt:variant>
        <vt:lpwstr>_Toc279938187</vt:lpwstr>
      </vt:variant>
      <vt:variant>
        <vt:i4>1638457</vt:i4>
      </vt:variant>
      <vt:variant>
        <vt:i4>98</vt:i4>
      </vt:variant>
      <vt:variant>
        <vt:i4>0</vt:i4>
      </vt:variant>
      <vt:variant>
        <vt:i4>5</vt:i4>
      </vt:variant>
      <vt:variant>
        <vt:lpwstr/>
      </vt:variant>
      <vt:variant>
        <vt:lpwstr>_Toc279938186</vt:lpwstr>
      </vt:variant>
      <vt:variant>
        <vt:i4>1638457</vt:i4>
      </vt:variant>
      <vt:variant>
        <vt:i4>92</vt:i4>
      </vt:variant>
      <vt:variant>
        <vt:i4>0</vt:i4>
      </vt:variant>
      <vt:variant>
        <vt:i4>5</vt:i4>
      </vt:variant>
      <vt:variant>
        <vt:lpwstr/>
      </vt:variant>
      <vt:variant>
        <vt:lpwstr>_Toc279938185</vt:lpwstr>
      </vt:variant>
      <vt:variant>
        <vt:i4>1638457</vt:i4>
      </vt:variant>
      <vt:variant>
        <vt:i4>86</vt:i4>
      </vt:variant>
      <vt:variant>
        <vt:i4>0</vt:i4>
      </vt:variant>
      <vt:variant>
        <vt:i4>5</vt:i4>
      </vt:variant>
      <vt:variant>
        <vt:lpwstr/>
      </vt:variant>
      <vt:variant>
        <vt:lpwstr>_Toc279938184</vt:lpwstr>
      </vt:variant>
      <vt:variant>
        <vt:i4>1638457</vt:i4>
      </vt:variant>
      <vt:variant>
        <vt:i4>80</vt:i4>
      </vt:variant>
      <vt:variant>
        <vt:i4>0</vt:i4>
      </vt:variant>
      <vt:variant>
        <vt:i4>5</vt:i4>
      </vt:variant>
      <vt:variant>
        <vt:lpwstr/>
      </vt:variant>
      <vt:variant>
        <vt:lpwstr>_Toc279938183</vt:lpwstr>
      </vt:variant>
      <vt:variant>
        <vt:i4>1638457</vt:i4>
      </vt:variant>
      <vt:variant>
        <vt:i4>74</vt:i4>
      </vt:variant>
      <vt:variant>
        <vt:i4>0</vt:i4>
      </vt:variant>
      <vt:variant>
        <vt:i4>5</vt:i4>
      </vt:variant>
      <vt:variant>
        <vt:lpwstr/>
      </vt:variant>
      <vt:variant>
        <vt:lpwstr>_Toc279938182</vt:lpwstr>
      </vt:variant>
      <vt:variant>
        <vt:i4>1638457</vt:i4>
      </vt:variant>
      <vt:variant>
        <vt:i4>68</vt:i4>
      </vt:variant>
      <vt:variant>
        <vt:i4>0</vt:i4>
      </vt:variant>
      <vt:variant>
        <vt:i4>5</vt:i4>
      </vt:variant>
      <vt:variant>
        <vt:lpwstr/>
      </vt:variant>
      <vt:variant>
        <vt:lpwstr>_Toc279938181</vt:lpwstr>
      </vt:variant>
      <vt:variant>
        <vt:i4>1638457</vt:i4>
      </vt:variant>
      <vt:variant>
        <vt:i4>62</vt:i4>
      </vt:variant>
      <vt:variant>
        <vt:i4>0</vt:i4>
      </vt:variant>
      <vt:variant>
        <vt:i4>5</vt:i4>
      </vt:variant>
      <vt:variant>
        <vt:lpwstr/>
      </vt:variant>
      <vt:variant>
        <vt:lpwstr>_Toc279938180</vt:lpwstr>
      </vt:variant>
      <vt:variant>
        <vt:i4>1441849</vt:i4>
      </vt:variant>
      <vt:variant>
        <vt:i4>56</vt:i4>
      </vt:variant>
      <vt:variant>
        <vt:i4>0</vt:i4>
      </vt:variant>
      <vt:variant>
        <vt:i4>5</vt:i4>
      </vt:variant>
      <vt:variant>
        <vt:lpwstr/>
      </vt:variant>
      <vt:variant>
        <vt:lpwstr>_Toc279938179</vt:lpwstr>
      </vt:variant>
      <vt:variant>
        <vt:i4>1441849</vt:i4>
      </vt:variant>
      <vt:variant>
        <vt:i4>50</vt:i4>
      </vt:variant>
      <vt:variant>
        <vt:i4>0</vt:i4>
      </vt:variant>
      <vt:variant>
        <vt:i4>5</vt:i4>
      </vt:variant>
      <vt:variant>
        <vt:lpwstr/>
      </vt:variant>
      <vt:variant>
        <vt:lpwstr>_Toc279938178</vt:lpwstr>
      </vt:variant>
      <vt:variant>
        <vt:i4>1441849</vt:i4>
      </vt:variant>
      <vt:variant>
        <vt:i4>44</vt:i4>
      </vt:variant>
      <vt:variant>
        <vt:i4>0</vt:i4>
      </vt:variant>
      <vt:variant>
        <vt:i4>5</vt:i4>
      </vt:variant>
      <vt:variant>
        <vt:lpwstr/>
      </vt:variant>
      <vt:variant>
        <vt:lpwstr>_Toc279938177</vt:lpwstr>
      </vt:variant>
      <vt:variant>
        <vt:i4>1441849</vt:i4>
      </vt:variant>
      <vt:variant>
        <vt:i4>38</vt:i4>
      </vt:variant>
      <vt:variant>
        <vt:i4>0</vt:i4>
      </vt:variant>
      <vt:variant>
        <vt:i4>5</vt:i4>
      </vt:variant>
      <vt:variant>
        <vt:lpwstr/>
      </vt:variant>
      <vt:variant>
        <vt:lpwstr>_Toc279938176</vt:lpwstr>
      </vt:variant>
      <vt:variant>
        <vt:i4>1441849</vt:i4>
      </vt:variant>
      <vt:variant>
        <vt:i4>32</vt:i4>
      </vt:variant>
      <vt:variant>
        <vt:i4>0</vt:i4>
      </vt:variant>
      <vt:variant>
        <vt:i4>5</vt:i4>
      </vt:variant>
      <vt:variant>
        <vt:lpwstr/>
      </vt:variant>
      <vt:variant>
        <vt:lpwstr>_Toc279938175</vt:lpwstr>
      </vt:variant>
      <vt:variant>
        <vt:i4>1441849</vt:i4>
      </vt:variant>
      <vt:variant>
        <vt:i4>26</vt:i4>
      </vt:variant>
      <vt:variant>
        <vt:i4>0</vt:i4>
      </vt:variant>
      <vt:variant>
        <vt:i4>5</vt:i4>
      </vt:variant>
      <vt:variant>
        <vt:lpwstr/>
      </vt:variant>
      <vt:variant>
        <vt:lpwstr>_Toc279938174</vt:lpwstr>
      </vt:variant>
      <vt:variant>
        <vt:i4>1441849</vt:i4>
      </vt:variant>
      <vt:variant>
        <vt:i4>20</vt:i4>
      </vt:variant>
      <vt:variant>
        <vt:i4>0</vt:i4>
      </vt:variant>
      <vt:variant>
        <vt:i4>5</vt:i4>
      </vt:variant>
      <vt:variant>
        <vt:lpwstr/>
      </vt:variant>
      <vt:variant>
        <vt:lpwstr>_Toc279938173</vt:lpwstr>
      </vt:variant>
      <vt:variant>
        <vt:i4>1441849</vt:i4>
      </vt:variant>
      <vt:variant>
        <vt:i4>14</vt:i4>
      </vt:variant>
      <vt:variant>
        <vt:i4>0</vt:i4>
      </vt:variant>
      <vt:variant>
        <vt:i4>5</vt:i4>
      </vt:variant>
      <vt:variant>
        <vt:lpwstr/>
      </vt:variant>
      <vt:variant>
        <vt:lpwstr>_Toc279938172</vt:lpwstr>
      </vt:variant>
      <vt:variant>
        <vt:i4>1441849</vt:i4>
      </vt:variant>
      <vt:variant>
        <vt:i4>8</vt:i4>
      </vt:variant>
      <vt:variant>
        <vt:i4>0</vt:i4>
      </vt:variant>
      <vt:variant>
        <vt:i4>5</vt:i4>
      </vt:variant>
      <vt:variant>
        <vt:lpwstr/>
      </vt:variant>
      <vt:variant>
        <vt:lpwstr>_Toc279938171</vt:lpwstr>
      </vt:variant>
      <vt:variant>
        <vt:i4>1441849</vt:i4>
      </vt:variant>
      <vt:variant>
        <vt:i4>2</vt:i4>
      </vt:variant>
      <vt:variant>
        <vt:i4>0</vt:i4>
      </vt:variant>
      <vt:variant>
        <vt:i4>5</vt:i4>
      </vt:variant>
      <vt:variant>
        <vt:lpwstr/>
      </vt:variant>
      <vt:variant>
        <vt:lpwstr>_Toc279938170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SYSTEM</cp:lastModifiedBy>
  <cp:revision>2</cp:revision>
  <cp:lastPrinted>2019-10-02T18:54:00Z</cp:lastPrinted>
  <dcterms:created xsi:type="dcterms:W3CDTF">2019-12-19T17:03:00Z</dcterms:created>
  <dcterms:modified xsi:type="dcterms:W3CDTF">2019-12-19T17:03:00Z</dcterms:modified>
</cp:coreProperties>
</file>