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94E2B" w14:textId="77777777" w:rsidR="002B221A" w:rsidRDefault="002B221A" w:rsidP="002B221A">
      <w:bookmarkStart w:id="0" w:name="_GoBack"/>
      <w:bookmarkEnd w:id="0"/>
    </w:p>
    <w:p w14:paraId="3A58BE76" w14:textId="77777777" w:rsidR="00B171EF" w:rsidRPr="00B171EF" w:rsidRDefault="00B171EF" w:rsidP="00B171EF">
      <w:r w:rsidRPr="00B171EF">
        <w:t>MEMORANDUM FOR DEFENSE PRIVACY CIVIL LIBERTIES AND TRANSPARENCY</w:t>
      </w:r>
    </w:p>
    <w:p w14:paraId="798F76F3" w14:textId="77777777" w:rsidR="002B221A" w:rsidRDefault="00B171EF" w:rsidP="00B171EF">
      <w:pPr>
        <w:ind w:firstLine="720"/>
      </w:pPr>
      <w:r w:rsidRPr="00B171EF">
        <w:t>DIVISION</w:t>
      </w:r>
    </w:p>
    <w:p w14:paraId="0FD3506D" w14:textId="77777777" w:rsidR="00B171EF" w:rsidRDefault="00B171EF" w:rsidP="00B171EF"/>
    <w:p w14:paraId="38C11AB9" w14:textId="77777777" w:rsidR="002B221A" w:rsidRDefault="002B221A" w:rsidP="002B221A">
      <w:r>
        <w:t xml:space="preserve">SUBJECT: </w:t>
      </w:r>
      <w:r w:rsidR="00B171EF" w:rsidRPr="00B171EF">
        <w:t xml:space="preserve">Social Security Number Justification for </w:t>
      </w:r>
      <w:r w:rsidR="00460CD9">
        <w:t>Defense Logistics Agency</w:t>
      </w:r>
      <w:r w:rsidR="00345312" w:rsidRPr="00345312">
        <w:t xml:space="preserve"> </w:t>
      </w:r>
      <w:r w:rsidR="00460CD9">
        <w:t>Joint Contingency and Expeditionary Services (JCXS) Portfolio, Civilian Armed Authorization Management System (CAAMS)</w:t>
      </w:r>
      <w:r w:rsidR="00B171EF" w:rsidRPr="00B171EF">
        <w:t xml:space="preserve"> Information System</w:t>
      </w:r>
    </w:p>
    <w:p w14:paraId="632AFCBA" w14:textId="77777777" w:rsidR="00FD0F86" w:rsidRDefault="00FD0F86" w:rsidP="002B221A"/>
    <w:p w14:paraId="032E5D64" w14:textId="77777777" w:rsidR="00FD0F86" w:rsidRPr="00FD0F86" w:rsidRDefault="00FD0F86" w:rsidP="00B171EF">
      <w:pPr>
        <w:ind w:firstLine="720"/>
        <w:rPr>
          <w:i/>
          <w:iCs/>
        </w:rPr>
      </w:pPr>
      <w:r w:rsidRPr="00FD0F86">
        <w:t>Department of Defense Instruction (DODI) 1000.30, “</w:t>
      </w:r>
      <w:r w:rsidRPr="00FD0F86">
        <w:rPr>
          <w:i/>
          <w:iCs/>
        </w:rPr>
        <w:t>Reduction of Social Security</w:t>
      </w:r>
    </w:p>
    <w:p w14:paraId="24C1756F" w14:textId="77777777" w:rsidR="00FD0F86" w:rsidRPr="00FD0F86" w:rsidRDefault="00FD0F86" w:rsidP="00FD0F86">
      <w:r w:rsidRPr="00FD0F86">
        <w:rPr>
          <w:i/>
          <w:iCs/>
        </w:rPr>
        <w:t>Number (SSN) Use Within DoD</w:t>
      </w:r>
      <w:r w:rsidRPr="00FD0F86">
        <w:t>,” (August 1, 2012), requires all DoD personnel to reduce or</w:t>
      </w:r>
    </w:p>
    <w:p w14:paraId="2CC2EE55" w14:textId="77777777" w:rsidR="00FD0F86" w:rsidRPr="00FD0F86" w:rsidRDefault="00FD0F86" w:rsidP="00FD0F86">
      <w:r w:rsidRPr="00FD0F86">
        <w:t>eliminate the use of SSNs wherever possible, except when the use of the SSN meets one or</w:t>
      </w:r>
    </w:p>
    <w:p w14:paraId="4D3DF68A" w14:textId="77777777" w:rsidR="00FD0F86" w:rsidRPr="00FD0F86" w:rsidRDefault="00FD0F86" w:rsidP="00FD0F86">
      <w:r w:rsidRPr="00FD0F86">
        <w:t>more of the acceptable use criteria DoDI 1000.30 establishes. To continue use of the SSN in a</w:t>
      </w:r>
    </w:p>
    <w:p w14:paraId="5D27E6CB" w14:textId="77777777" w:rsidR="00FD0F86" w:rsidRPr="00FD0F86" w:rsidRDefault="00FD0F86" w:rsidP="00FD0F86">
      <w:r w:rsidRPr="00FD0F86">
        <w:t>system or form, DLA must provide a memorandum justifying the continued use to the</w:t>
      </w:r>
    </w:p>
    <w:p w14:paraId="5ECDF1B4" w14:textId="77777777" w:rsidR="00FD0F86" w:rsidRPr="00FD0F86" w:rsidRDefault="00FD0F86" w:rsidP="00FD0F86">
      <w:r w:rsidRPr="00FD0F86">
        <w:t>Defense Privacy, Civil Liberties, and Transparency Division.</w:t>
      </w:r>
    </w:p>
    <w:p w14:paraId="1DBE7F2D" w14:textId="77777777" w:rsidR="006B641F" w:rsidRDefault="006B641F" w:rsidP="00FD0F86"/>
    <w:p w14:paraId="3021B3B2" w14:textId="77777777" w:rsidR="00FD0F86" w:rsidRPr="00FD0F86" w:rsidRDefault="00FD0F86" w:rsidP="006B641F">
      <w:pPr>
        <w:ind w:firstLine="720"/>
      </w:pPr>
      <w:r w:rsidRPr="00FD0F86">
        <w:t>This memorandum serves to justify the continuing need for the collection and use of</w:t>
      </w:r>
    </w:p>
    <w:p w14:paraId="17F77F0B" w14:textId="77777777" w:rsidR="00FD0F86" w:rsidRDefault="00460CD9" w:rsidP="00FD0F86">
      <w:r>
        <w:t xml:space="preserve">CAAMS. </w:t>
      </w:r>
      <w:r w:rsidR="00FD0F86" w:rsidRPr="00FD0F86">
        <w:t xml:space="preserve">The </w:t>
      </w:r>
      <w:r>
        <w:t>CAAMS</w:t>
      </w:r>
      <w:r w:rsidR="00FD0F86" w:rsidRPr="00FD0F86">
        <w:t xml:space="preserve"> information system</w:t>
      </w:r>
      <w:r w:rsidR="00F32700">
        <w:t xml:space="preserve"> </w:t>
      </w:r>
      <w:r w:rsidR="00FD0F86" w:rsidRPr="00FD0F86">
        <w:t>has a Privacy Impact Assessment (PIA) and maintains records from the following DLA</w:t>
      </w:r>
      <w:r w:rsidR="00F32700">
        <w:t xml:space="preserve"> </w:t>
      </w:r>
      <w:r w:rsidR="00FD0F86" w:rsidRPr="00FD0F86">
        <w:t>Privacy Act systems of records notices (SORNs):</w:t>
      </w:r>
    </w:p>
    <w:p w14:paraId="0CD19880" w14:textId="77777777" w:rsidR="00B171EF" w:rsidRDefault="00B171EF" w:rsidP="00FD0F86"/>
    <w:p w14:paraId="5FD40F42" w14:textId="7CC31109" w:rsidR="006B641F" w:rsidRPr="006B641F" w:rsidRDefault="00460CD9" w:rsidP="00B171EF">
      <w:pPr>
        <w:ind w:firstLine="720"/>
      </w:pPr>
      <w:r>
        <w:t>Joint Contingency and Expeditionary Services</w:t>
      </w:r>
      <w:r w:rsidR="00FC1980">
        <w:t xml:space="preserve"> (Pending SORN)</w:t>
      </w:r>
    </w:p>
    <w:p w14:paraId="655A4FFC" w14:textId="77777777" w:rsidR="00B171EF" w:rsidRDefault="00B171EF" w:rsidP="006B641F"/>
    <w:p w14:paraId="2B58CC09" w14:textId="6FB686F8" w:rsidR="006B641F" w:rsidRDefault="006B641F" w:rsidP="002106D5">
      <w:pPr>
        <w:ind w:firstLine="720"/>
      </w:pPr>
      <w:r w:rsidRPr="006B641F">
        <w:t>Under the DODI 1000.30, Enclosure 2, section 2, paragraph c, there are 13 designated</w:t>
      </w:r>
      <w:r w:rsidR="002106D5">
        <w:t xml:space="preserve"> </w:t>
      </w:r>
      <w:r w:rsidRPr="006B641F">
        <w:t xml:space="preserve">acceptable uses for SSNs. The designated acceptable use for the </w:t>
      </w:r>
      <w:r w:rsidR="00460CD9">
        <w:t>CAAMS</w:t>
      </w:r>
      <w:r w:rsidRPr="006B641F">
        <w:t xml:space="preserve"> information system is</w:t>
      </w:r>
      <w:r w:rsidR="002106D5">
        <w:t xml:space="preserve"> </w:t>
      </w:r>
      <w:r w:rsidRPr="006B641F">
        <w:t>as follows:</w:t>
      </w:r>
    </w:p>
    <w:p w14:paraId="089839D5" w14:textId="77777777" w:rsidR="00B171EF" w:rsidRDefault="00B171EF" w:rsidP="00B171EF">
      <w:pPr>
        <w:ind w:firstLine="720"/>
      </w:pPr>
    </w:p>
    <w:p w14:paraId="6B730E54" w14:textId="5F90232C" w:rsidR="00BA287C" w:rsidRPr="002C2F8C" w:rsidRDefault="00BA287C" w:rsidP="00BA287C">
      <w:pPr>
        <w:ind w:left="720"/>
        <w:rPr>
          <w:i/>
          <w:sz w:val="30"/>
          <w:szCs w:val="30"/>
        </w:rPr>
      </w:pPr>
      <w:r>
        <w:rPr>
          <w:i/>
          <w:szCs w:val="30"/>
        </w:rPr>
        <w:t>“</w:t>
      </w:r>
      <w:r w:rsidRPr="002C2F8C">
        <w:rPr>
          <w:i/>
          <w:szCs w:val="30"/>
        </w:rPr>
        <w:t>(3) Security Clearance Investigation or Verification. The initiation, conduct, adjudication, verification, quality assurance, and billing fund control of background investigations and security clearances requires the use of the SSN. The SSN is the single identifier that links all of the aspects of these investigations together. This use case is also linked to other Federal agencies that continue to use the SSN as a primary identifier.</w:t>
      </w:r>
      <w:r>
        <w:rPr>
          <w:i/>
          <w:szCs w:val="30"/>
        </w:rPr>
        <w:t>”</w:t>
      </w:r>
    </w:p>
    <w:p w14:paraId="5374788A" w14:textId="77777777" w:rsidR="00B171EF" w:rsidRDefault="00B171EF" w:rsidP="00B171EF">
      <w:pPr>
        <w:ind w:firstLine="720"/>
      </w:pPr>
    </w:p>
    <w:p w14:paraId="7ED2BE54" w14:textId="130E24F5" w:rsidR="006B641F" w:rsidRDefault="006B641F" w:rsidP="008774C2">
      <w:pPr>
        <w:ind w:firstLine="720"/>
      </w:pPr>
      <w:r w:rsidRPr="006B641F">
        <w:t xml:space="preserve">Information collected directly from the public is captured via </w:t>
      </w:r>
      <w:r w:rsidR="00460CD9">
        <w:t xml:space="preserve">DD Form 2760 – </w:t>
      </w:r>
      <w:r w:rsidR="008774C2">
        <w:t>Q</w:t>
      </w:r>
      <w:r w:rsidR="00460CD9">
        <w:t>ualification to Possess Firearms and Ammunition</w:t>
      </w:r>
      <w:r w:rsidRPr="006B641F">
        <w:t>. This</w:t>
      </w:r>
      <w:r w:rsidR="008774C2">
        <w:t xml:space="preserve"> </w:t>
      </w:r>
      <w:r w:rsidRPr="006B641F">
        <w:t xml:space="preserve">collection is in accordance with Sections 3501-3520 of the Paperwork Reduction </w:t>
      </w:r>
      <w:r w:rsidR="00BA287C">
        <w:t>Act.</w:t>
      </w:r>
    </w:p>
    <w:p w14:paraId="75DC9393" w14:textId="77777777" w:rsidR="00B171EF" w:rsidRPr="006B641F" w:rsidRDefault="00B171EF" w:rsidP="00B171EF">
      <w:pPr>
        <w:ind w:left="720"/>
      </w:pPr>
    </w:p>
    <w:p w14:paraId="1FDB7DE3" w14:textId="466FD6E2" w:rsidR="006B641F" w:rsidRDefault="006B641F" w:rsidP="008774C2">
      <w:pPr>
        <w:ind w:firstLine="720"/>
      </w:pPr>
      <w:r w:rsidRPr="006B641F">
        <w:t xml:space="preserve">The SSN is used within the DLA </w:t>
      </w:r>
      <w:r w:rsidR="00460CD9">
        <w:t>CAAMS</w:t>
      </w:r>
      <w:r w:rsidRPr="006B641F">
        <w:t xml:space="preserve"> information system by DLA </w:t>
      </w:r>
      <w:r w:rsidR="00460CD9">
        <w:t xml:space="preserve">Contingency </w:t>
      </w:r>
      <w:r w:rsidR="004B38B6">
        <w:t>Capabilities Portfolio</w:t>
      </w:r>
      <w:r w:rsidR="00345312">
        <w:t xml:space="preserve">, </w:t>
      </w:r>
      <w:r w:rsidRPr="006B641F">
        <w:t>DLA</w:t>
      </w:r>
      <w:r w:rsidR="00345312">
        <w:t xml:space="preserve"> </w:t>
      </w:r>
      <w:r w:rsidRPr="006B641F">
        <w:t>Installation Support, DLA Office of the Inspector General, DLA Office of General</w:t>
      </w:r>
      <w:r w:rsidR="004B38B6">
        <w:t xml:space="preserve">, </w:t>
      </w:r>
      <w:r w:rsidR="008774C2">
        <w:t xml:space="preserve">Department of Defense, </w:t>
      </w:r>
      <w:r w:rsidR="004B38B6">
        <w:t>and United State Armed Forces –Afghanistan (USFOR-A), Armed Contractor Oversight Directorate (ACOD).</w:t>
      </w:r>
      <w:r w:rsidR="008774C2">
        <w:t xml:space="preserve"> </w:t>
      </w:r>
      <w:r w:rsidRPr="006B641F">
        <w:t>Counsel personnel to refer and investigate reported incidents;</w:t>
      </w:r>
      <w:r w:rsidR="008774C2">
        <w:t xml:space="preserve"> </w:t>
      </w:r>
      <w:r w:rsidRPr="006B641F">
        <w:t>to ensure proper maintenance and safekeeping of privately owned firearms by personnel</w:t>
      </w:r>
      <w:r w:rsidR="008774C2">
        <w:t xml:space="preserve"> </w:t>
      </w:r>
      <w:r w:rsidRPr="006B641F">
        <w:t xml:space="preserve">residing on </w:t>
      </w:r>
      <w:r w:rsidR="00BA287C">
        <w:t>DoD</w:t>
      </w:r>
      <w:r w:rsidRPr="006B641F">
        <w:t xml:space="preserve"> controlled premises or who are require</w:t>
      </w:r>
      <w:r w:rsidR="00BA287C">
        <w:t>d to register firearms with DoD.</w:t>
      </w:r>
      <w:r w:rsidRPr="006B641F">
        <w:t xml:space="preserve"> </w:t>
      </w:r>
    </w:p>
    <w:p w14:paraId="5DE1F09C" w14:textId="30EFBD6B" w:rsidR="006B641F" w:rsidRPr="006B641F" w:rsidRDefault="006B641F" w:rsidP="00C40922">
      <w:pPr>
        <w:ind w:firstLine="720"/>
      </w:pPr>
      <w:r w:rsidRPr="006B641F">
        <w:lastRenderedPageBreak/>
        <w:t xml:space="preserve">The SORNs used for the </w:t>
      </w:r>
      <w:r w:rsidR="00985CAD">
        <w:t>CAAMS</w:t>
      </w:r>
      <w:r w:rsidRPr="006B641F">
        <w:t xml:space="preserve"> information system cite several authorities for the</w:t>
      </w:r>
      <w:r w:rsidR="00C40922">
        <w:t xml:space="preserve"> </w:t>
      </w:r>
      <w:r w:rsidRPr="006B641F">
        <w:t xml:space="preserve">collection and maintenance of the records it contains. These include: </w:t>
      </w:r>
      <w:r w:rsidR="00E34A6B" w:rsidRPr="002A3A5F">
        <w:t>FRAGO 16-143</w:t>
      </w:r>
      <w:r w:rsidR="00E34A6B">
        <w:t xml:space="preserve"> MOD-1, Arming Exception to Policy Contractors, and Title 18, United State Code, Section 922(g)(9), purpose of use of DD Form 2760. </w:t>
      </w:r>
    </w:p>
    <w:p w14:paraId="3FD86FAE" w14:textId="77777777" w:rsidR="00833456" w:rsidRDefault="00833456" w:rsidP="006B641F"/>
    <w:p w14:paraId="5BEA901F" w14:textId="23F17C02" w:rsidR="006B641F" w:rsidRPr="006B641F" w:rsidRDefault="006B641F" w:rsidP="00C40922">
      <w:pPr>
        <w:ind w:firstLine="720"/>
      </w:pPr>
      <w:r w:rsidRPr="006B641F">
        <w:t xml:space="preserve">DLA </w:t>
      </w:r>
      <w:r w:rsidR="00985CAD">
        <w:t>Contingency Capabilities Portfolio</w:t>
      </w:r>
      <w:r w:rsidRPr="006B641F">
        <w:t xml:space="preserve"> gather</w:t>
      </w:r>
      <w:r w:rsidR="00985CAD">
        <w:t>s</w:t>
      </w:r>
      <w:r w:rsidRPr="006B641F">
        <w:t xml:space="preserve"> this information and safeguard</w:t>
      </w:r>
      <w:r w:rsidR="00985CAD">
        <w:t>s</w:t>
      </w:r>
      <w:r w:rsidRPr="006B641F">
        <w:t xml:space="preserve"> it. The </w:t>
      </w:r>
      <w:r w:rsidR="00985CAD">
        <w:t>CAAMS</w:t>
      </w:r>
      <w:r w:rsidR="00833456">
        <w:t xml:space="preserve"> </w:t>
      </w:r>
      <w:r w:rsidRPr="006B641F">
        <w:t>information system</w:t>
      </w:r>
      <w:r w:rsidR="00345312">
        <w:t xml:space="preserve"> </w:t>
      </w:r>
      <w:r w:rsidRPr="006B641F">
        <w:t>will be protected by DLA policies on Information Assurance. All infrastructure supporting the</w:t>
      </w:r>
      <w:r w:rsidR="00345312">
        <w:t xml:space="preserve"> </w:t>
      </w:r>
      <w:r w:rsidR="00985CAD">
        <w:t>CAAMS</w:t>
      </w:r>
      <w:r w:rsidRPr="006B641F">
        <w:t xml:space="preserve"> information system will have all applicable Security Technical Implementation Guides</w:t>
      </w:r>
      <w:r w:rsidR="00345312">
        <w:t xml:space="preserve"> </w:t>
      </w:r>
      <w:r w:rsidRPr="006B641F">
        <w:t xml:space="preserve">(STIGs), checklists, and vulnerability scans applied. Additionally, only DLA </w:t>
      </w:r>
      <w:r w:rsidR="00985CAD">
        <w:t>Contingency Capabilities Portfolio,</w:t>
      </w:r>
      <w:r w:rsidR="00345312">
        <w:t xml:space="preserve"> </w:t>
      </w:r>
      <w:r w:rsidRPr="006B641F">
        <w:t>DLA Installation Support, Security and Emergency Services (DM-S) personnel, and DLA</w:t>
      </w:r>
      <w:r w:rsidR="00345312">
        <w:t xml:space="preserve"> </w:t>
      </w:r>
      <w:r w:rsidRPr="006B641F">
        <w:t>Office of General counsel attorneys are authorized acces</w:t>
      </w:r>
      <w:r w:rsidR="00985CAD">
        <w:t xml:space="preserve">s to records within or from CAAMS. </w:t>
      </w:r>
      <w:r w:rsidRPr="006B641F">
        <w:t xml:space="preserve">Personnel are vetted by the designated </w:t>
      </w:r>
      <w:r w:rsidR="00985CAD">
        <w:t>CAAMS</w:t>
      </w:r>
      <w:r w:rsidRPr="006B641F">
        <w:t xml:space="preserve"> installation app</w:t>
      </w:r>
      <w:r w:rsidR="00345312">
        <w:t xml:space="preserve">lication administrative officer, </w:t>
      </w:r>
      <w:r w:rsidRPr="006B641F">
        <w:t xml:space="preserve">prior to granting access to the system. Each </w:t>
      </w:r>
      <w:r w:rsidR="00985CAD">
        <w:t>CAAMS</w:t>
      </w:r>
      <w:r w:rsidRPr="006B641F">
        <w:t xml:space="preserve"> installation application administrator has</w:t>
      </w:r>
      <w:r w:rsidR="00345312">
        <w:t xml:space="preserve"> </w:t>
      </w:r>
      <w:r w:rsidRPr="006B641F">
        <w:t xml:space="preserve">the ability to add, modify, and deactivate users from their site-specific portion of the </w:t>
      </w:r>
      <w:r w:rsidR="00985CAD">
        <w:t>CAAMS</w:t>
      </w:r>
      <w:r w:rsidR="00345312">
        <w:t xml:space="preserve"> </w:t>
      </w:r>
      <w:r w:rsidRPr="006B641F">
        <w:t>information system. Access requires Common Access Card (CAC) authentication and use of</w:t>
      </w:r>
      <w:r w:rsidR="00345312">
        <w:t xml:space="preserve"> </w:t>
      </w:r>
      <w:r w:rsidRPr="006B641F">
        <w:t>a unique user identification and DoD-compliant password. Insider and outsider threats for</w:t>
      </w:r>
      <w:r w:rsidR="00345312">
        <w:t xml:space="preserve"> </w:t>
      </w:r>
      <w:r w:rsidRPr="006B641F">
        <w:t>information theft, hacking, etc., are mitigated through the use of encryption,; and ensuring</w:t>
      </w:r>
      <w:r w:rsidR="00C40922">
        <w:t xml:space="preserve"> </w:t>
      </w:r>
      <w:r w:rsidRPr="006B641F">
        <w:t>compliance with information assurance and other DOD Directives, policies and procedures for</w:t>
      </w:r>
      <w:r w:rsidR="00C40922">
        <w:t xml:space="preserve"> </w:t>
      </w:r>
      <w:r w:rsidRPr="006B641F">
        <w:t>DOD use and implementation of Commercial-Off-the-Shelf (COTS) applications. The</w:t>
      </w:r>
      <w:r w:rsidR="00C40922">
        <w:t xml:space="preserve"> </w:t>
      </w:r>
      <w:r w:rsidRPr="006B641F">
        <w:t>assig</w:t>
      </w:r>
      <w:r w:rsidR="00C40922">
        <w:t xml:space="preserve">ned Information System Security </w:t>
      </w:r>
      <w:r w:rsidRPr="006B641F">
        <w:t>Manager (ISSM) reviews associated risks and provides</w:t>
      </w:r>
      <w:r w:rsidR="00C40922">
        <w:t xml:space="preserve"> </w:t>
      </w:r>
      <w:r w:rsidRPr="006B641F">
        <w:t>detailed information to both the DLA Chief Privacy and FOIA Officer and the DLA decision</w:t>
      </w:r>
      <w:r w:rsidR="00C40922">
        <w:t xml:space="preserve"> </w:t>
      </w:r>
      <w:r w:rsidRPr="006B641F">
        <w:t>authority for acceptable/non-acceptable use and maintains applicable Plan of Action and</w:t>
      </w:r>
      <w:r w:rsidR="00C40922">
        <w:t xml:space="preserve"> </w:t>
      </w:r>
      <w:r w:rsidRPr="006B641F">
        <w:t>Milestones (</w:t>
      </w:r>
      <w:r w:rsidR="00C40922">
        <w:t xml:space="preserve">POA&amp;M) for security and privacy </w:t>
      </w:r>
      <w:r w:rsidRPr="006B641F">
        <w:t xml:space="preserve">controls. Significant changes to the </w:t>
      </w:r>
      <w:r w:rsidR="00833456">
        <w:t>(NOS)</w:t>
      </w:r>
      <w:r w:rsidR="00C40922">
        <w:t xml:space="preserve"> </w:t>
      </w:r>
      <w:r w:rsidRPr="006B641F">
        <w:t xml:space="preserve">information </w:t>
      </w:r>
      <w:r w:rsidR="00C40922">
        <w:t xml:space="preserve">system are reviewed for privacy </w:t>
      </w:r>
      <w:r w:rsidRPr="006B641F">
        <w:t>implications by the DLA Chief Privacy and</w:t>
      </w:r>
      <w:r w:rsidR="00C40922">
        <w:t xml:space="preserve"> </w:t>
      </w:r>
      <w:r w:rsidRPr="006B641F">
        <w:t>FOIA Officer.</w:t>
      </w:r>
    </w:p>
    <w:p w14:paraId="50A7D578" w14:textId="77777777" w:rsidR="00833456" w:rsidRDefault="00833456" w:rsidP="006B641F"/>
    <w:p w14:paraId="314382FF" w14:textId="59A7B7B9" w:rsidR="006B641F" w:rsidRPr="006B641F" w:rsidRDefault="006B641F" w:rsidP="00C40922">
      <w:pPr>
        <w:ind w:firstLine="720"/>
      </w:pPr>
      <w:r w:rsidRPr="006B641F">
        <w:t>My signature below constitutes approval and justification for continued use and</w:t>
      </w:r>
      <w:r w:rsidR="00C40922">
        <w:t xml:space="preserve"> </w:t>
      </w:r>
      <w:r w:rsidRPr="006B641F">
        <w:t xml:space="preserve">storage of SSNs in the </w:t>
      </w:r>
      <w:r w:rsidR="00985CAD">
        <w:t>CAAMS</w:t>
      </w:r>
      <w:r w:rsidRPr="006B641F">
        <w:t xml:space="preserve"> information system.</w:t>
      </w:r>
    </w:p>
    <w:p w14:paraId="06053859" w14:textId="77777777" w:rsidR="00833456" w:rsidRDefault="00833456" w:rsidP="006B641F"/>
    <w:p w14:paraId="114F5B4B" w14:textId="77777777" w:rsidR="00FF1CAF" w:rsidRDefault="006B641F" w:rsidP="00FF1CAF">
      <w:r w:rsidRPr="006B641F">
        <w:t xml:space="preserve">My points of contact are Mr. </w:t>
      </w:r>
      <w:r w:rsidR="00985CAD">
        <w:t xml:space="preserve">Greg Riley, Contingency Capabilities Portfolio, at 571-767-3996, DSN 392-767-3996, e-mail: </w:t>
      </w:r>
      <w:hyperlink r:id="rId9" w:history="1">
        <w:r w:rsidR="00985CAD" w:rsidRPr="00B64D40">
          <w:rPr>
            <w:rStyle w:val="Hyperlink"/>
          </w:rPr>
          <w:t>greg.riley@dla.mil</w:t>
        </w:r>
      </w:hyperlink>
      <w:r w:rsidR="00985CAD">
        <w:t xml:space="preserve"> </w:t>
      </w:r>
      <w:r w:rsidR="00833456">
        <w:t>and Ms</w:t>
      </w:r>
      <w:r w:rsidRPr="006B641F">
        <w:t xml:space="preserve">. </w:t>
      </w:r>
      <w:r w:rsidR="00985CAD">
        <w:t xml:space="preserve">Stacy Simmons, Contingency Capabilities Portfolio, </w:t>
      </w:r>
      <w:r w:rsidR="00833456">
        <w:t>a</w:t>
      </w:r>
      <w:r w:rsidRPr="006B641F">
        <w:t>t</w:t>
      </w:r>
      <w:r w:rsidR="00985CAD">
        <w:t xml:space="preserve"> 571-425-7409</w:t>
      </w:r>
      <w:r w:rsidR="00FF1CAF">
        <w:t>,</w:t>
      </w:r>
      <w:r w:rsidRPr="006B641F">
        <w:t xml:space="preserve"> e-mail: </w:t>
      </w:r>
      <w:hyperlink r:id="rId10" w:history="1">
        <w:r w:rsidR="00FF1CAF" w:rsidRPr="00B64D40">
          <w:rPr>
            <w:rStyle w:val="Hyperlink"/>
          </w:rPr>
          <w:t>stacy.simmons@dla.mil</w:t>
        </w:r>
      </w:hyperlink>
      <w:r w:rsidR="00FF1CAF">
        <w:t xml:space="preserve">. </w:t>
      </w:r>
    </w:p>
    <w:p w14:paraId="2C6DFF20" w14:textId="77777777" w:rsidR="002B221A" w:rsidRDefault="002B221A" w:rsidP="006B641F"/>
    <w:p w14:paraId="12E12EEB" w14:textId="77777777" w:rsidR="003F705F" w:rsidRDefault="003F705F" w:rsidP="002558B4"/>
    <w:p w14:paraId="63D19B00" w14:textId="77777777" w:rsidR="003F705F" w:rsidRDefault="003F705F" w:rsidP="002558B4"/>
    <w:p w14:paraId="7B344097" w14:textId="77777777" w:rsidR="00D630EC" w:rsidRPr="00D630EC" w:rsidRDefault="00D630EC" w:rsidP="00D630EC">
      <w:pPr>
        <w:ind w:left="4320"/>
      </w:pPr>
      <w:r w:rsidRPr="00D630EC">
        <w:t>PATRICK J. DULIN</w:t>
      </w:r>
    </w:p>
    <w:p w14:paraId="1E9EC8C9" w14:textId="77777777" w:rsidR="00D630EC" w:rsidRPr="00D630EC" w:rsidRDefault="00D630EC" w:rsidP="00D630EC">
      <w:pPr>
        <w:ind w:left="4320"/>
      </w:pPr>
      <w:r w:rsidRPr="00D630EC">
        <w:t>Acting Director, DLA Information Operations</w:t>
      </w:r>
    </w:p>
    <w:p w14:paraId="4C897819" w14:textId="77777777" w:rsidR="00833456" w:rsidRDefault="00D630EC" w:rsidP="00D630EC">
      <w:pPr>
        <w:ind w:left="4320"/>
      </w:pPr>
      <w:r w:rsidRPr="00D630EC">
        <w:t>Chief Information Officer</w:t>
      </w:r>
    </w:p>
    <w:p w14:paraId="50D12FF2" w14:textId="77777777" w:rsidR="00833456" w:rsidRDefault="00833456" w:rsidP="00833456">
      <w:pPr>
        <w:ind w:left="4320"/>
      </w:pPr>
    </w:p>
    <w:p w14:paraId="04294117" w14:textId="77777777" w:rsidR="00833456" w:rsidRPr="00833456" w:rsidRDefault="00833456" w:rsidP="00833456">
      <w:r w:rsidRPr="00833456">
        <w:t>The below signature serves as acknowledgement that this document has been reviewed by the</w:t>
      </w:r>
    </w:p>
    <w:p w14:paraId="3DB2D198" w14:textId="77777777" w:rsidR="00833456" w:rsidRDefault="00833456" w:rsidP="00833456">
      <w:r w:rsidRPr="00833456">
        <w:t>DLA Chief Privacy Officer.</w:t>
      </w:r>
    </w:p>
    <w:p w14:paraId="101F7D94" w14:textId="77777777" w:rsidR="00833456" w:rsidRDefault="00833456" w:rsidP="00833456"/>
    <w:p w14:paraId="23214393" w14:textId="77777777" w:rsidR="00833456" w:rsidRDefault="00833456" w:rsidP="00833456"/>
    <w:p w14:paraId="4E2A29B4" w14:textId="77777777" w:rsidR="00833456" w:rsidRDefault="00833456" w:rsidP="00833456"/>
    <w:p w14:paraId="428ECD49" w14:textId="77777777" w:rsidR="00833456" w:rsidRDefault="00833456" w:rsidP="00833456"/>
    <w:p w14:paraId="7B663CC3" w14:textId="77777777" w:rsidR="00833456" w:rsidRDefault="00833456" w:rsidP="00833456"/>
    <w:p w14:paraId="1C35FD7A" w14:textId="77777777" w:rsidR="00833456" w:rsidRDefault="00833456" w:rsidP="00833456"/>
    <w:p w14:paraId="5E49F5E1" w14:textId="77777777" w:rsidR="00FB50BB" w:rsidRDefault="00833456" w:rsidP="00FB50BB">
      <w:pPr>
        <w:ind w:left="4320"/>
      </w:pPr>
      <w:r>
        <w:tab/>
      </w:r>
      <w:r>
        <w:tab/>
      </w:r>
      <w:r>
        <w:tab/>
      </w:r>
      <w:r>
        <w:tab/>
      </w:r>
      <w:r>
        <w:tab/>
      </w:r>
      <w:r>
        <w:tab/>
      </w:r>
    </w:p>
    <w:p w14:paraId="566A9A4B" w14:textId="77777777" w:rsidR="00FB50BB" w:rsidRDefault="00FB50BB" w:rsidP="00FB50BB">
      <w:pPr>
        <w:ind w:left="4320"/>
      </w:pPr>
      <w:r>
        <w:t>Kathy Dixon, CIPP/US/G</w:t>
      </w:r>
    </w:p>
    <w:p w14:paraId="52AE1C1E" w14:textId="77777777" w:rsidR="00FB50BB" w:rsidRDefault="00FB50BB" w:rsidP="00FB50BB">
      <w:pPr>
        <w:ind w:left="4320"/>
      </w:pPr>
      <w:r>
        <w:t>DLA Deputy Chief FOIA and Privacy Officer</w:t>
      </w:r>
    </w:p>
    <w:p w14:paraId="7C7981D0" w14:textId="77777777" w:rsidR="00833456" w:rsidRPr="006E29CB" w:rsidRDefault="00833456" w:rsidP="00FB50BB"/>
    <w:sectPr w:rsidR="00833456" w:rsidRPr="006E29CB" w:rsidSect="00CF2433">
      <w:headerReference w:type="default" r:id="rId11"/>
      <w:headerReference w:type="first" r:id="rId12"/>
      <w:pgSz w:w="12240" w:h="15840"/>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F69A8" w14:textId="77777777" w:rsidR="00155AF4" w:rsidRDefault="00155AF4" w:rsidP="00CF50B5">
      <w:r>
        <w:separator/>
      </w:r>
    </w:p>
  </w:endnote>
  <w:endnote w:type="continuationSeparator" w:id="0">
    <w:p w14:paraId="7FA81275" w14:textId="77777777" w:rsidR="00155AF4" w:rsidRDefault="00155AF4" w:rsidP="00CF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DE30A" w14:textId="77777777" w:rsidR="00155AF4" w:rsidRDefault="00155AF4" w:rsidP="00CF50B5">
      <w:r>
        <w:separator/>
      </w:r>
    </w:p>
  </w:footnote>
  <w:footnote w:type="continuationSeparator" w:id="0">
    <w:p w14:paraId="0CB19837" w14:textId="77777777" w:rsidR="00155AF4" w:rsidRDefault="00155AF4" w:rsidP="00CF5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170D" w14:textId="77777777" w:rsidR="002558B4" w:rsidRDefault="002558B4">
    <w:pPr>
      <w:pStyle w:val="Header"/>
    </w:pPr>
  </w:p>
  <w:p w14:paraId="69C517F9" w14:textId="77777777" w:rsidR="002558B4" w:rsidRPr="00827061" w:rsidRDefault="002558B4" w:rsidP="002B221A">
    <w:pPr>
      <w:pStyle w:val="Header"/>
      <w:jc w:val="center"/>
      <w:rPr>
        <w:sz w:val="12"/>
      </w:rPr>
    </w:pPr>
  </w:p>
  <w:p w14:paraId="4935ABE2" w14:textId="77777777" w:rsidR="002558B4" w:rsidRPr="00091987" w:rsidRDefault="002558B4" w:rsidP="00091987">
    <w:pPr>
      <w:pStyle w:val="Header"/>
      <w:tabs>
        <w:tab w:val="clear" w:pos="4680"/>
        <w:tab w:val="center" w:pos="4320"/>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573D" w14:textId="77777777" w:rsidR="002558B4" w:rsidRPr="0045079C" w:rsidRDefault="002558B4" w:rsidP="0045079C">
    <w:pPr>
      <w:pStyle w:val="Header"/>
      <w:tabs>
        <w:tab w:val="clear" w:pos="4680"/>
        <w:tab w:val="clear" w:pos="9360"/>
        <w:tab w:val="center" w:pos="4320"/>
        <w:tab w:val="right" w:pos="8640"/>
      </w:tabs>
      <w:spacing w:line="240" w:lineRule="exact"/>
      <w:jc w:val="center"/>
      <w:rPr>
        <w:rFonts w:ascii="Copperplate Gothic Bold" w:eastAsia="Copperplate Gothic Bold" w:hAnsi="Copperplate Gothic Bold" w:cs="Copperplate Gothic Bold"/>
        <w:color w:val="295694"/>
      </w:rPr>
    </w:pPr>
  </w:p>
  <w:p w14:paraId="24858E83" w14:textId="77777777" w:rsidR="002558B4" w:rsidRPr="000766AA" w:rsidRDefault="002558B4" w:rsidP="0045079C">
    <w:pPr>
      <w:pStyle w:val="Header"/>
      <w:tabs>
        <w:tab w:val="clear" w:pos="4680"/>
        <w:tab w:val="clear" w:pos="9360"/>
        <w:tab w:val="center" w:pos="4320"/>
        <w:tab w:val="right" w:pos="8640"/>
      </w:tabs>
      <w:spacing w:after="40"/>
      <w:jc w:val="center"/>
      <w:rPr>
        <w:rFonts w:ascii="Arial Unicode MS" w:eastAsia="Arial Unicode MS" w:hAnsi="Arial Unicode MS" w:cs="Arial Unicode MS"/>
      </w:rPr>
    </w:pPr>
    <w:r w:rsidRPr="000766AA">
      <w:rPr>
        <w:rFonts w:ascii="Arial Unicode MS" w:eastAsia="Arial Unicode MS" w:hAnsi="Arial Unicode MS" w:cs="Arial Unicode MS"/>
        <w:noProof/>
      </w:rPr>
      <w:drawing>
        <wp:anchor distT="0" distB="0" distL="114300" distR="114300" simplePos="0" relativeHeight="251659264" behindDoc="0" locked="0" layoutInCell="1" allowOverlap="1" wp14:anchorId="0CFE371F" wp14:editId="0F955F21">
          <wp:simplePos x="0" y="0"/>
          <wp:positionH relativeFrom="column">
            <wp:posOffset>-457200</wp:posOffset>
          </wp:positionH>
          <wp:positionV relativeFrom="page">
            <wp:posOffset>347345</wp:posOffset>
          </wp:positionV>
          <wp:extent cx="941705" cy="941705"/>
          <wp:effectExtent l="19050" t="0" r="0" b="0"/>
          <wp:wrapThrough wrapText="bothSides">
            <wp:wrapPolygon edited="0">
              <wp:start x="-437" y="0"/>
              <wp:lineTo x="-437" y="20974"/>
              <wp:lineTo x="21411" y="20974"/>
              <wp:lineTo x="21411" y="0"/>
              <wp:lineTo x="-43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1705" cy="941705"/>
                  </a:xfrm>
                  <a:prstGeom prst="rect">
                    <a:avLst/>
                  </a:prstGeom>
                  <a:noFill/>
                </pic:spPr>
              </pic:pic>
            </a:graphicData>
          </a:graphic>
        </wp:anchor>
      </w:drawing>
    </w:r>
    <w:bookmarkStart w:id="1" w:name="HEADER_TITLE"/>
    <w:r w:rsidRPr="000766AA">
      <w:rPr>
        <w:rFonts w:ascii="Copperplate Gothic Bold" w:eastAsia="Copperplate Gothic Bold" w:hAnsi="Copperplate Gothic Bold" w:cs="Copperplate Gothic Bold"/>
        <w:color w:val="295694"/>
      </w:rPr>
      <w:t>DEFENSE</w:t>
    </w:r>
    <w:bookmarkEnd w:id="1"/>
    <w:r w:rsidRPr="000766AA">
      <w:rPr>
        <w:rFonts w:ascii="Copperplate Gothic Bold" w:eastAsia="Copperplate Gothic Bold" w:hAnsi="Copperplate Gothic Bold" w:cs="Copperplate Gothic Bold"/>
        <w:color w:val="295694"/>
      </w:rPr>
      <w:t xml:space="preserve"> LOGISTICS AGENCY</w:t>
    </w:r>
  </w:p>
  <w:p w14:paraId="32B8F8C7" w14:textId="77777777" w:rsidR="002558B4" w:rsidRPr="000766AA" w:rsidRDefault="002558B4" w:rsidP="0045079C">
    <w:pPr>
      <w:pStyle w:val="addresslines"/>
      <w:rPr>
        <w:rFonts w:ascii="Arial Unicode MS" w:eastAsia="Arial Unicode MS" w:hAnsi="Arial Unicode MS" w:cs="Arial Unicode MS"/>
        <w:sz w:val="20"/>
      </w:rPr>
    </w:pPr>
    <w:bookmarkStart w:id="2" w:name="HEADER_ADDRESS"/>
    <w:r w:rsidRPr="000766AA">
      <w:rPr>
        <w:sz w:val="20"/>
      </w:rPr>
      <w:t>HEADQUARTERS</w:t>
    </w:r>
  </w:p>
  <w:bookmarkEnd w:id="2"/>
  <w:p w14:paraId="7D2CC52D" w14:textId="77777777" w:rsidR="002558B4" w:rsidRPr="000766AA" w:rsidRDefault="002558B4" w:rsidP="0045079C">
    <w:pPr>
      <w:pStyle w:val="addresslines"/>
      <w:rPr>
        <w:sz w:val="20"/>
      </w:rPr>
    </w:pPr>
    <w:r w:rsidRPr="000766AA">
      <w:rPr>
        <w:sz w:val="20"/>
      </w:rPr>
      <w:t>8725 JOHN J. KINGMAN ROAD</w:t>
    </w:r>
  </w:p>
  <w:p w14:paraId="39955C37" w14:textId="77777777" w:rsidR="002558B4" w:rsidRDefault="002558B4" w:rsidP="0045079C">
    <w:pPr>
      <w:pStyle w:val="addresslines"/>
      <w:rPr>
        <w:sz w:val="20"/>
      </w:rPr>
    </w:pPr>
    <w:r w:rsidRPr="000766AA">
      <w:rPr>
        <w:sz w:val="20"/>
      </w:rPr>
      <w:t>FORT BELVOIR, VIRGINIA 22060-6221</w:t>
    </w:r>
  </w:p>
  <w:p w14:paraId="31FF700A" w14:textId="77777777" w:rsidR="002558B4" w:rsidRDefault="002558B4" w:rsidP="00827061">
    <w:pPr>
      <w:pStyle w:val="Header"/>
      <w:jc w:val="center"/>
    </w:pPr>
  </w:p>
  <w:p w14:paraId="2F7A031B" w14:textId="77777777" w:rsidR="002558B4" w:rsidRPr="00CD43F1" w:rsidRDefault="002558B4" w:rsidP="00827061">
    <w:pPr>
      <w:pStyle w:val="Header"/>
      <w:jc w:val="center"/>
      <w:rPr>
        <w:sz w:val="16"/>
      </w:rPr>
    </w:pPr>
  </w:p>
  <w:p w14:paraId="76D5E39E" w14:textId="77777777" w:rsidR="002558B4" w:rsidRPr="00827061" w:rsidRDefault="002558B4" w:rsidP="00827061">
    <w:pPr>
      <w:pStyle w:val="Header"/>
      <w:jc w:val="cent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C9D"/>
    <w:multiLevelType w:val="hybridMultilevel"/>
    <w:tmpl w:val="3F9EE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7D79D5"/>
    <w:multiLevelType w:val="hybridMultilevel"/>
    <w:tmpl w:val="73BEAD64"/>
    <w:lvl w:ilvl="0" w:tplc="1EAE74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325920"/>
    <w:multiLevelType w:val="hybridMultilevel"/>
    <w:tmpl w:val="3EC2E4A0"/>
    <w:lvl w:ilvl="0" w:tplc="86921F5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2E5891"/>
    <w:multiLevelType w:val="hybridMultilevel"/>
    <w:tmpl w:val="72C6B06C"/>
    <w:lvl w:ilvl="0" w:tplc="AB7AEF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11521B"/>
    <w:multiLevelType w:val="hybridMultilevel"/>
    <w:tmpl w:val="41B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A5288"/>
    <w:multiLevelType w:val="hybridMultilevel"/>
    <w:tmpl w:val="0166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13CDD"/>
    <w:multiLevelType w:val="hybridMultilevel"/>
    <w:tmpl w:val="37647F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B9A21A3"/>
    <w:multiLevelType w:val="hybridMultilevel"/>
    <w:tmpl w:val="698A60C2"/>
    <w:lvl w:ilvl="0" w:tplc="AB7AEF7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B5"/>
    <w:rsid w:val="00055E0A"/>
    <w:rsid w:val="00090A47"/>
    <w:rsid w:val="00091987"/>
    <w:rsid w:val="00097C38"/>
    <w:rsid w:val="000C74BB"/>
    <w:rsid w:val="000E7EA9"/>
    <w:rsid w:val="00155AF4"/>
    <w:rsid w:val="001863B4"/>
    <w:rsid w:val="001D7832"/>
    <w:rsid w:val="002106D5"/>
    <w:rsid w:val="002476D7"/>
    <w:rsid w:val="002558B4"/>
    <w:rsid w:val="002B221A"/>
    <w:rsid w:val="002F2F71"/>
    <w:rsid w:val="0032082E"/>
    <w:rsid w:val="003349CE"/>
    <w:rsid w:val="00342EB7"/>
    <w:rsid w:val="00345312"/>
    <w:rsid w:val="0037218C"/>
    <w:rsid w:val="003F705F"/>
    <w:rsid w:val="00413060"/>
    <w:rsid w:val="00423165"/>
    <w:rsid w:val="00425506"/>
    <w:rsid w:val="0045079C"/>
    <w:rsid w:val="00460CD9"/>
    <w:rsid w:val="004949B3"/>
    <w:rsid w:val="004B2A9F"/>
    <w:rsid w:val="004B38B6"/>
    <w:rsid w:val="00501F2F"/>
    <w:rsid w:val="005409F1"/>
    <w:rsid w:val="00556264"/>
    <w:rsid w:val="005C2D1F"/>
    <w:rsid w:val="005D1BC5"/>
    <w:rsid w:val="006368C9"/>
    <w:rsid w:val="00673E13"/>
    <w:rsid w:val="006B641F"/>
    <w:rsid w:val="006C3505"/>
    <w:rsid w:val="006E29CB"/>
    <w:rsid w:val="00706041"/>
    <w:rsid w:val="0071560A"/>
    <w:rsid w:val="00757D2E"/>
    <w:rsid w:val="007B2225"/>
    <w:rsid w:val="007C090F"/>
    <w:rsid w:val="007E31DA"/>
    <w:rsid w:val="00827061"/>
    <w:rsid w:val="00833456"/>
    <w:rsid w:val="008462F6"/>
    <w:rsid w:val="00853F2E"/>
    <w:rsid w:val="008774C2"/>
    <w:rsid w:val="008A7726"/>
    <w:rsid w:val="008B5ED5"/>
    <w:rsid w:val="008F5C20"/>
    <w:rsid w:val="009305BD"/>
    <w:rsid w:val="00971FC2"/>
    <w:rsid w:val="0098021F"/>
    <w:rsid w:val="00985CAD"/>
    <w:rsid w:val="00986124"/>
    <w:rsid w:val="00990210"/>
    <w:rsid w:val="009922C7"/>
    <w:rsid w:val="009926CB"/>
    <w:rsid w:val="009A1F87"/>
    <w:rsid w:val="009D1762"/>
    <w:rsid w:val="009D3011"/>
    <w:rsid w:val="009D70E1"/>
    <w:rsid w:val="009F6BC8"/>
    <w:rsid w:val="00A142C6"/>
    <w:rsid w:val="00A81431"/>
    <w:rsid w:val="00AD1BB3"/>
    <w:rsid w:val="00B171EF"/>
    <w:rsid w:val="00B463E3"/>
    <w:rsid w:val="00B769BD"/>
    <w:rsid w:val="00BA287C"/>
    <w:rsid w:val="00BA4BEB"/>
    <w:rsid w:val="00C218BD"/>
    <w:rsid w:val="00C40922"/>
    <w:rsid w:val="00C57321"/>
    <w:rsid w:val="00C91C98"/>
    <w:rsid w:val="00CD43F1"/>
    <w:rsid w:val="00CF2433"/>
    <w:rsid w:val="00CF50B5"/>
    <w:rsid w:val="00D07381"/>
    <w:rsid w:val="00D127F9"/>
    <w:rsid w:val="00D34B49"/>
    <w:rsid w:val="00D4184A"/>
    <w:rsid w:val="00D56FA8"/>
    <w:rsid w:val="00D630EC"/>
    <w:rsid w:val="00D8334D"/>
    <w:rsid w:val="00D863DF"/>
    <w:rsid w:val="00DD0722"/>
    <w:rsid w:val="00DD4BB7"/>
    <w:rsid w:val="00E05E26"/>
    <w:rsid w:val="00E17265"/>
    <w:rsid w:val="00E27469"/>
    <w:rsid w:val="00E34A6B"/>
    <w:rsid w:val="00ED4671"/>
    <w:rsid w:val="00ED705E"/>
    <w:rsid w:val="00EF44F1"/>
    <w:rsid w:val="00F23EA3"/>
    <w:rsid w:val="00F32700"/>
    <w:rsid w:val="00F71ABF"/>
    <w:rsid w:val="00FB50BB"/>
    <w:rsid w:val="00FC1980"/>
    <w:rsid w:val="00FC46D1"/>
    <w:rsid w:val="00FD0F86"/>
    <w:rsid w:val="00FD1A0F"/>
    <w:rsid w:val="00FE3F45"/>
    <w:rsid w:val="00FF1CAF"/>
    <w:rsid w:val="00FF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B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2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50B5"/>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CF50B5"/>
  </w:style>
  <w:style w:type="paragraph" w:styleId="Footer">
    <w:name w:val="footer"/>
    <w:basedOn w:val="Normal"/>
    <w:link w:val="FooterChar"/>
    <w:uiPriority w:val="99"/>
    <w:unhideWhenUsed/>
    <w:rsid w:val="00CF50B5"/>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CF50B5"/>
  </w:style>
  <w:style w:type="paragraph" w:customStyle="1" w:styleId="addresslines">
    <w:name w:val="addresslines"/>
    <w:basedOn w:val="Normal"/>
    <w:qFormat/>
    <w:rsid w:val="00CF50B5"/>
    <w:pPr>
      <w:jc w:val="center"/>
    </w:pPr>
    <w:rPr>
      <w:rFonts w:ascii="Copperplate Gothic Bold" w:eastAsia="Copperplate Gothic Bold" w:hAnsi="Copperplate Gothic Bold" w:cs="Copperplate Gothic Bold"/>
      <w:color w:val="295694"/>
      <w:sz w:val="17"/>
      <w:szCs w:val="20"/>
    </w:rPr>
  </w:style>
  <w:style w:type="paragraph" w:styleId="BodyTextIndent">
    <w:name w:val="Body Text Indent"/>
    <w:basedOn w:val="Normal"/>
    <w:link w:val="BodyTextIndentChar"/>
    <w:rsid w:val="00501F2F"/>
    <w:pPr>
      <w:ind w:left="720"/>
    </w:pPr>
    <w:rPr>
      <w:sz w:val="26"/>
      <w:szCs w:val="26"/>
    </w:rPr>
  </w:style>
  <w:style w:type="character" w:customStyle="1" w:styleId="BodyTextIndentChar">
    <w:name w:val="Body Text Indent Char"/>
    <w:basedOn w:val="DefaultParagraphFont"/>
    <w:link w:val="BodyTextIndent"/>
    <w:rsid w:val="00501F2F"/>
    <w:rPr>
      <w:rFonts w:eastAsia="Times New Roman" w:cs="Times New Roman"/>
      <w:sz w:val="26"/>
      <w:szCs w:val="26"/>
    </w:rPr>
  </w:style>
  <w:style w:type="paragraph" w:styleId="BodyText">
    <w:name w:val="Body Text"/>
    <w:basedOn w:val="Normal"/>
    <w:link w:val="BodyTextChar"/>
    <w:uiPriority w:val="99"/>
    <w:unhideWhenUsed/>
    <w:rsid w:val="00BA4BEB"/>
    <w:pPr>
      <w:spacing w:after="120"/>
    </w:pPr>
  </w:style>
  <w:style w:type="character" w:customStyle="1" w:styleId="BodyTextChar">
    <w:name w:val="Body Text Char"/>
    <w:basedOn w:val="DefaultParagraphFont"/>
    <w:link w:val="BodyText"/>
    <w:uiPriority w:val="99"/>
    <w:rsid w:val="00BA4BEB"/>
    <w:rPr>
      <w:rFonts w:eastAsia="Times New Roman" w:cs="Times New Roman"/>
      <w:szCs w:val="24"/>
    </w:rPr>
  </w:style>
  <w:style w:type="paragraph" w:styleId="ListParagraph">
    <w:name w:val="List Paragraph"/>
    <w:basedOn w:val="Normal"/>
    <w:uiPriority w:val="1"/>
    <w:qFormat/>
    <w:rsid w:val="00BA4BEB"/>
    <w:pPr>
      <w:ind w:left="720"/>
      <w:contextualSpacing/>
    </w:pPr>
  </w:style>
  <w:style w:type="paragraph" w:styleId="BalloonText">
    <w:name w:val="Balloon Text"/>
    <w:basedOn w:val="Normal"/>
    <w:link w:val="BalloonTextChar"/>
    <w:uiPriority w:val="99"/>
    <w:semiHidden/>
    <w:unhideWhenUsed/>
    <w:rsid w:val="0071560A"/>
    <w:rPr>
      <w:rFonts w:ascii="Tahoma" w:hAnsi="Tahoma" w:cs="Tahoma"/>
      <w:sz w:val="16"/>
      <w:szCs w:val="16"/>
    </w:rPr>
  </w:style>
  <w:style w:type="character" w:customStyle="1" w:styleId="BalloonTextChar">
    <w:name w:val="Balloon Text Char"/>
    <w:basedOn w:val="DefaultParagraphFont"/>
    <w:link w:val="BalloonText"/>
    <w:uiPriority w:val="99"/>
    <w:semiHidden/>
    <w:rsid w:val="0071560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1560A"/>
    <w:rPr>
      <w:sz w:val="16"/>
      <w:szCs w:val="16"/>
    </w:rPr>
  </w:style>
  <w:style w:type="paragraph" w:styleId="CommentText">
    <w:name w:val="annotation text"/>
    <w:basedOn w:val="Normal"/>
    <w:link w:val="CommentTextChar"/>
    <w:uiPriority w:val="99"/>
    <w:semiHidden/>
    <w:unhideWhenUsed/>
    <w:rsid w:val="0071560A"/>
    <w:rPr>
      <w:sz w:val="20"/>
      <w:szCs w:val="20"/>
    </w:rPr>
  </w:style>
  <w:style w:type="character" w:customStyle="1" w:styleId="CommentTextChar">
    <w:name w:val="Comment Text Char"/>
    <w:basedOn w:val="DefaultParagraphFont"/>
    <w:link w:val="CommentText"/>
    <w:uiPriority w:val="99"/>
    <w:semiHidden/>
    <w:rsid w:val="0071560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560A"/>
    <w:rPr>
      <w:b/>
      <w:bCs/>
    </w:rPr>
  </w:style>
  <w:style w:type="character" w:customStyle="1" w:styleId="CommentSubjectChar">
    <w:name w:val="Comment Subject Char"/>
    <w:basedOn w:val="CommentTextChar"/>
    <w:link w:val="CommentSubject"/>
    <w:uiPriority w:val="99"/>
    <w:semiHidden/>
    <w:rsid w:val="0071560A"/>
    <w:rPr>
      <w:rFonts w:eastAsia="Times New Roman" w:cs="Times New Roman"/>
      <w:b/>
      <w:bCs/>
      <w:sz w:val="20"/>
      <w:szCs w:val="20"/>
    </w:rPr>
  </w:style>
  <w:style w:type="character" w:styleId="Hyperlink">
    <w:name w:val="Hyperlink"/>
    <w:basedOn w:val="DefaultParagraphFont"/>
    <w:uiPriority w:val="99"/>
    <w:unhideWhenUsed/>
    <w:rsid w:val="00F71ABF"/>
    <w:rPr>
      <w:color w:val="0000FF" w:themeColor="hyperlink"/>
      <w:u w:val="single"/>
    </w:rPr>
  </w:style>
  <w:style w:type="paragraph" w:customStyle="1" w:styleId="Default">
    <w:name w:val="Default"/>
    <w:rsid w:val="00097C38"/>
    <w:pPr>
      <w:autoSpaceDE w:val="0"/>
      <w:autoSpaceDN w:val="0"/>
      <w:adjustRightInd w:val="0"/>
      <w:spacing w:after="0" w:line="240" w:lineRule="auto"/>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2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50B5"/>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CF50B5"/>
  </w:style>
  <w:style w:type="paragraph" w:styleId="Footer">
    <w:name w:val="footer"/>
    <w:basedOn w:val="Normal"/>
    <w:link w:val="FooterChar"/>
    <w:uiPriority w:val="99"/>
    <w:unhideWhenUsed/>
    <w:rsid w:val="00CF50B5"/>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CF50B5"/>
  </w:style>
  <w:style w:type="paragraph" w:customStyle="1" w:styleId="addresslines">
    <w:name w:val="addresslines"/>
    <w:basedOn w:val="Normal"/>
    <w:qFormat/>
    <w:rsid w:val="00CF50B5"/>
    <w:pPr>
      <w:jc w:val="center"/>
    </w:pPr>
    <w:rPr>
      <w:rFonts w:ascii="Copperplate Gothic Bold" w:eastAsia="Copperplate Gothic Bold" w:hAnsi="Copperplate Gothic Bold" w:cs="Copperplate Gothic Bold"/>
      <w:color w:val="295694"/>
      <w:sz w:val="17"/>
      <w:szCs w:val="20"/>
    </w:rPr>
  </w:style>
  <w:style w:type="paragraph" w:styleId="BodyTextIndent">
    <w:name w:val="Body Text Indent"/>
    <w:basedOn w:val="Normal"/>
    <w:link w:val="BodyTextIndentChar"/>
    <w:rsid w:val="00501F2F"/>
    <w:pPr>
      <w:ind w:left="720"/>
    </w:pPr>
    <w:rPr>
      <w:sz w:val="26"/>
      <w:szCs w:val="26"/>
    </w:rPr>
  </w:style>
  <w:style w:type="character" w:customStyle="1" w:styleId="BodyTextIndentChar">
    <w:name w:val="Body Text Indent Char"/>
    <w:basedOn w:val="DefaultParagraphFont"/>
    <w:link w:val="BodyTextIndent"/>
    <w:rsid w:val="00501F2F"/>
    <w:rPr>
      <w:rFonts w:eastAsia="Times New Roman" w:cs="Times New Roman"/>
      <w:sz w:val="26"/>
      <w:szCs w:val="26"/>
    </w:rPr>
  </w:style>
  <w:style w:type="paragraph" w:styleId="BodyText">
    <w:name w:val="Body Text"/>
    <w:basedOn w:val="Normal"/>
    <w:link w:val="BodyTextChar"/>
    <w:uiPriority w:val="99"/>
    <w:unhideWhenUsed/>
    <w:rsid w:val="00BA4BEB"/>
    <w:pPr>
      <w:spacing w:after="120"/>
    </w:pPr>
  </w:style>
  <w:style w:type="character" w:customStyle="1" w:styleId="BodyTextChar">
    <w:name w:val="Body Text Char"/>
    <w:basedOn w:val="DefaultParagraphFont"/>
    <w:link w:val="BodyText"/>
    <w:uiPriority w:val="99"/>
    <w:rsid w:val="00BA4BEB"/>
    <w:rPr>
      <w:rFonts w:eastAsia="Times New Roman" w:cs="Times New Roman"/>
      <w:szCs w:val="24"/>
    </w:rPr>
  </w:style>
  <w:style w:type="paragraph" w:styleId="ListParagraph">
    <w:name w:val="List Paragraph"/>
    <w:basedOn w:val="Normal"/>
    <w:uiPriority w:val="1"/>
    <w:qFormat/>
    <w:rsid w:val="00BA4BEB"/>
    <w:pPr>
      <w:ind w:left="720"/>
      <w:contextualSpacing/>
    </w:pPr>
  </w:style>
  <w:style w:type="paragraph" w:styleId="BalloonText">
    <w:name w:val="Balloon Text"/>
    <w:basedOn w:val="Normal"/>
    <w:link w:val="BalloonTextChar"/>
    <w:uiPriority w:val="99"/>
    <w:semiHidden/>
    <w:unhideWhenUsed/>
    <w:rsid w:val="0071560A"/>
    <w:rPr>
      <w:rFonts w:ascii="Tahoma" w:hAnsi="Tahoma" w:cs="Tahoma"/>
      <w:sz w:val="16"/>
      <w:szCs w:val="16"/>
    </w:rPr>
  </w:style>
  <w:style w:type="character" w:customStyle="1" w:styleId="BalloonTextChar">
    <w:name w:val="Balloon Text Char"/>
    <w:basedOn w:val="DefaultParagraphFont"/>
    <w:link w:val="BalloonText"/>
    <w:uiPriority w:val="99"/>
    <w:semiHidden/>
    <w:rsid w:val="0071560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1560A"/>
    <w:rPr>
      <w:sz w:val="16"/>
      <w:szCs w:val="16"/>
    </w:rPr>
  </w:style>
  <w:style w:type="paragraph" w:styleId="CommentText">
    <w:name w:val="annotation text"/>
    <w:basedOn w:val="Normal"/>
    <w:link w:val="CommentTextChar"/>
    <w:uiPriority w:val="99"/>
    <w:semiHidden/>
    <w:unhideWhenUsed/>
    <w:rsid w:val="0071560A"/>
    <w:rPr>
      <w:sz w:val="20"/>
      <w:szCs w:val="20"/>
    </w:rPr>
  </w:style>
  <w:style w:type="character" w:customStyle="1" w:styleId="CommentTextChar">
    <w:name w:val="Comment Text Char"/>
    <w:basedOn w:val="DefaultParagraphFont"/>
    <w:link w:val="CommentText"/>
    <w:uiPriority w:val="99"/>
    <w:semiHidden/>
    <w:rsid w:val="0071560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560A"/>
    <w:rPr>
      <w:b/>
      <w:bCs/>
    </w:rPr>
  </w:style>
  <w:style w:type="character" w:customStyle="1" w:styleId="CommentSubjectChar">
    <w:name w:val="Comment Subject Char"/>
    <w:basedOn w:val="CommentTextChar"/>
    <w:link w:val="CommentSubject"/>
    <w:uiPriority w:val="99"/>
    <w:semiHidden/>
    <w:rsid w:val="0071560A"/>
    <w:rPr>
      <w:rFonts w:eastAsia="Times New Roman" w:cs="Times New Roman"/>
      <w:b/>
      <w:bCs/>
      <w:sz w:val="20"/>
      <w:szCs w:val="20"/>
    </w:rPr>
  </w:style>
  <w:style w:type="character" w:styleId="Hyperlink">
    <w:name w:val="Hyperlink"/>
    <w:basedOn w:val="DefaultParagraphFont"/>
    <w:uiPriority w:val="99"/>
    <w:unhideWhenUsed/>
    <w:rsid w:val="00F71ABF"/>
    <w:rPr>
      <w:color w:val="0000FF" w:themeColor="hyperlink"/>
      <w:u w:val="single"/>
    </w:rPr>
  </w:style>
  <w:style w:type="paragraph" w:customStyle="1" w:styleId="Default">
    <w:name w:val="Default"/>
    <w:rsid w:val="00097C38"/>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11671">
      <w:bodyDiv w:val="1"/>
      <w:marLeft w:val="0"/>
      <w:marRight w:val="0"/>
      <w:marTop w:val="0"/>
      <w:marBottom w:val="0"/>
      <w:divBdr>
        <w:top w:val="none" w:sz="0" w:space="0" w:color="auto"/>
        <w:left w:val="none" w:sz="0" w:space="0" w:color="auto"/>
        <w:bottom w:val="none" w:sz="0" w:space="0" w:color="auto"/>
        <w:right w:val="none" w:sz="0" w:space="0" w:color="auto"/>
      </w:divBdr>
    </w:div>
    <w:div w:id="747461435">
      <w:bodyDiv w:val="1"/>
      <w:marLeft w:val="0"/>
      <w:marRight w:val="0"/>
      <w:marTop w:val="0"/>
      <w:marBottom w:val="0"/>
      <w:divBdr>
        <w:top w:val="none" w:sz="0" w:space="0" w:color="auto"/>
        <w:left w:val="none" w:sz="0" w:space="0" w:color="auto"/>
        <w:bottom w:val="none" w:sz="0" w:space="0" w:color="auto"/>
        <w:right w:val="none" w:sz="0" w:space="0" w:color="auto"/>
      </w:divBdr>
    </w:div>
    <w:div w:id="792599739">
      <w:bodyDiv w:val="1"/>
      <w:marLeft w:val="0"/>
      <w:marRight w:val="0"/>
      <w:marTop w:val="0"/>
      <w:marBottom w:val="0"/>
      <w:divBdr>
        <w:top w:val="none" w:sz="0" w:space="0" w:color="auto"/>
        <w:left w:val="none" w:sz="0" w:space="0" w:color="auto"/>
        <w:bottom w:val="none" w:sz="0" w:space="0" w:color="auto"/>
        <w:right w:val="none" w:sz="0" w:space="0" w:color="auto"/>
      </w:divBdr>
    </w:div>
    <w:div w:id="1340549431">
      <w:bodyDiv w:val="1"/>
      <w:marLeft w:val="0"/>
      <w:marRight w:val="0"/>
      <w:marTop w:val="0"/>
      <w:marBottom w:val="0"/>
      <w:divBdr>
        <w:top w:val="none" w:sz="0" w:space="0" w:color="auto"/>
        <w:left w:val="none" w:sz="0" w:space="0" w:color="auto"/>
        <w:bottom w:val="none" w:sz="0" w:space="0" w:color="auto"/>
        <w:right w:val="none" w:sz="0" w:space="0" w:color="auto"/>
      </w:divBdr>
      <w:divsChild>
        <w:div w:id="404651143">
          <w:marLeft w:val="547"/>
          <w:marRight w:val="0"/>
          <w:marTop w:val="154"/>
          <w:marBottom w:val="0"/>
          <w:divBdr>
            <w:top w:val="none" w:sz="0" w:space="0" w:color="auto"/>
            <w:left w:val="none" w:sz="0" w:space="0" w:color="auto"/>
            <w:bottom w:val="none" w:sz="0" w:space="0" w:color="auto"/>
            <w:right w:val="none" w:sz="0" w:space="0" w:color="auto"/>
          </w:divBdr>
        </w:div>
        <w:div w:id="338388350">
          <w:marLeft w:val="547"/>
          <w:marRight w:val="0"/>
          <w:marTop w:val="154"/>
          <w:marBottom w:val="0"/>
          <w:divBdr>
            <w:top w:val="none" w:sz="0" w:space="0" w:color="auto"/>
            <w:left w:val="none" w:sz="0" w:space="0" w:color="auto"/>
            <w:bottom w:val="none" w:sz="0" w:space="0" w:color="auto"/>
            <w:right w:val="none" w:sz="0" w:space="0" w:color="auto"/>
          </w:divBdr>
        </w:div>
        <w:div w:id="733091406">
          <w:marLeft w:val="547"/>
          <w:marRight w:val="0"/>
          <w:marTop w:val="154"/>
          <w:marBottom w:val="0"/>
          <w:divBdr>
            <w:top w:val="none" w:sz="0" w:space="0" w:color="auto"/>
            <w:left w:val="none" w:sz="0" w:space="0" w:color="auto"/>
            <w:bottom w:val="none" w:sz="0" w:space="0" w:color="auto"/>
            <w:right w:val="none" w:sz="0" w:space="0" w:color="auto"/>
          </w:divBdr>
        </w:div>
        <w:div w:id="15396082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tacy.simmons@dla.mil" TargetMode="External"/><Relationship Id="rId4" Type="http://schemas.microsoft.com/office/2007/relationships/stylesWithEffects" Target="stylesWithEffects.xml"/><Relationship Id="rId9" Type="http://schemas.openxmlformats.org/officeDocument/2006/relationships/hyperlink" Target="mailto:greg.riley@dla.mi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95BED-4B1C-4D58-9941-AA287630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Schrader</dc:creator>
  <cp:lastModifiedBy>SYSTEM</cp:lastModifiedBy>
  <cp:revision>2</cp:revision>
  <dcterms:created xsi:type="dcterms:W3CDTF">2019-12-17T13:27:00Z</dcterms:created>
  <dcterms:modified xsi:type="dcterms:W3CDTF">2019-12-17T13:27:00Z</dcterms:modified>
</cp:coreProperties>
</file>