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04426C" w:rsidP="0004426C" w:rsidRDefault="0004426C" w14:paraId="07C4D4D5" w14:textId="77777777">
      <w:pPr>
        <w:spacing w:line="240" w:lineRule="auto"/>
        <w:jc w:val="center"/>
        <w:rPr>
          <w:b/>
        </w:rPr>
      </w:pPr>
      <w:r w:rsidRPr="00B701E8">
        <w:rPr>
          <w:b/>
        </w:rPr>
        <w:t>SUPPORTING STATEMENT</w:t>
      </w:r>
    </w:p>
    <w:p w:rsidRPr="00B701E8" w:rsidR="0004426C" w:rsidP="0004426C" w:rsidRDefault="0004426C" w14:paraId="25259C90" w14:textId="77777777">
      <w:pPr>
        <w:spacing w:line="240" w:lineRule="auto"/>
        <w:jc w:val="center"/>
        <w:rPr>
          <w:b/>
        </w:rPr>
      </w:pPr>
      <w:r w:rsidRPr="00B701E8">
        <w:rPr>
          <w:b/>
        </w:rPr>
        <w:t>U.S. Department of Commerce</w:t>
      </w:r>
    </w:p>
    <w:p w:rsidRPr="00B701E8" w:rsidR="0004426C" w:rsidP="0004426C" w:rsidRDefault="0004426C" w14:paraId="2EF40818" w14:textId="77777777">
      <w:pPr>
        <w:spacing w:line="240" w:lineRule="auto"/>
        <w:jc w:val="center"/>
        <w:rPr>
          <w:b/>
        </w:rPr>
      </w:pPr>
      <w:r w:rsidRPr="00B701E8">
        <w:rPr>
          <w:b/>
        </w:rPr>
        <w:t>National Oceanic &amp; Atmospheric Administration</w:t>
      </w:r>
    </w:p>
    <w:p w:rsidRPr="00C059E9" w:rsidR="0004426C" w:rsidP="0004426C" w:rsidRDefault="0004426C" w14:paraId="62E75B01" w14:textId="77777777">
      <w:pPr>
        <w:spacing w:line="240" w:lineRule="auto"/>
        <w:jc w:val="center"/>
        <w:rPr>
          <w:b/>
          <w:bCs/>
        </w:rPr>
      </w:pPr>
      <w:r>
        <w:rPr>
          <w:b/>
          <w:bCs/>
        </w:rPr>
        <w:t>Marine Recreational Information Program Fishing Effort Survey</w:t>
      </w:r>
    </w:p>
    <w:p w:rsidR="00EE4FD8" w:rsidP="00093E43" w:rsidRDefault="0004426C" w14:paraId="1EA90BAB" w14:textId="4715ED40">
      <w:pPr>
        <w:pStyle w:val="Default"/>
        <w:jc w:val="center"/>
        <w:rPr>
          <w:color w:val="auto"/>
        </w:rPr>
      </w:pPr>
      <w:r w:rsidRPr="00B701E8">
        <w:rPr>
          <w:b/>
        </w:rPr>
        <w:t>OMB Control No. 0648-</w:t>
      </w:r>
      <w:r>
        <w:rPr>
          <w:b/>
        </w:rPr>
        <w:t>0652</w:t>
      </w:r>
    </w:p>
    <w:p w:rsidR="006850F5" w:rsidP="006850F5" w:rsidRDefault="006850F5" w14:paraId="56316C5F" w14:textId="77777777">
      <w:pPr>
        <w:pStyle w:val="Default"/>
        <w:jc w:val="center"/>
        <w:rPr>
          <w:color w:val="auto"/>
        </w:rPr>
      </w:pPr>
    </w:p>
    <w:p w:rsidR="00BD450D" w:rsidP="00BD450D" w:rsidRDefault="00BD450D" w14:paraId="41175CC4" w14:textId="77777777">
      <w:pPr>
        <w:pStyle w:val="CM23"/>
        <w:numPr>
          <w:ilvl w:val="0"/>
          <w:numId w:val="8"/>
        </w:numPr>
        <w:spacing w:after="0"/>
        <w:ind w:left="360"/>
        <w:rPr>
          <w:b/>
          <w:bCs/>
        </w:rPr>
      </w:pPr>
      <w:r>
        <w:rPr>
          <w:b/>
          <w:bCs/>
        </w:rPr>
        <w:t xml:space="preserve">JUSTIFICATION </w:t>
      </w:r>
    </w:p>
    <w:p w:rsidR="00BD450D" w:rsidP="00BD450D" w:rsidRDefault="00BD450D" w14:paraId="384EA664" w14:textId="77777777">
      <w:pPr>
        <w:pStyle w:val="Default"/>
      </w:pPr>
    </w:p>
    <w:p w:rsidRPr="006225DE" w:rsidR="00BD450D" w:rsidP="001F1D64" w:rsidRDefault="005472DE" w14:paraId="3C522657" w14:textId="77777777">
      <w:pPr>
        <w:pStyle w:val="Default"/>
      </w:pPr>
      <w:r>
        <w:t xml:space="preserve">This request is for </w:t>
      </w:r>
      <w:r w:rsidR="009A13D0">
        <w:t>revision</w:t>
      </w:r>
      <w:r>
        <w:t xml:space="preserve"> and extension</w:t>
      </w:r>
      <w:r w:rsidR="009A13D0">
        <w:t xml:space="preserve"> of a currently approved collection</w:t>
      </w:r>
      <w:r w:rsidR="006225DE">
        <w:t>,</w:t>
      </w:r>
      <w:r w:rsidRPr="006225DE" w:rsidR="006225DE">
        <w:t xml:space="preserve"> to implement the </w:t>
      </w:r>
      <w:r w:rsidR="00813628">
        <w:t>Marine Recreational Information Program (MRIP)</w:t>
      </w:r>
      <w:r w:rsidR="0066689C">
        <w:t xml:space="preserve"> Fishing Effort Survey (</w:t>
      </w:r>
      <w:r w:rsidR="006225DE">
        <w:t>FES)</w:t>
      </w:r>
      <w:r w:rsidRPr="006225DE" w:rsidR="006225DE">
        <w:t xml:space="preserve"> in Puerto Rico, Hawaii, and states along the Atlantic</w:t>
      </w:r>
      <w:r w:rsidR="00CA4C00">
        <w:t xml:space="preserve"> Coast and Gulf of Mexico</w:t>
      </w:r>
      <w:r w:rsidR="00F35039">
        <w:t>.</w:t>
      </w:r>
    </w:p>
    <w:p w:rsidR="00BD450D" w:rsidP="001F1D64" w:rsidRDefault="00BD450D" w14:paraId="3695B38B" w14:textId="77777777">
      <w:pPr>
        <w:pStyle w:val="CM23"/>
        <w:spacing w:after="0"/>
        <w:rPr>
          <w:b/>
          <w:bCs/>
        </w:rPr>
      </w:pPr>
    </w:p>
    <w:p w:rsidR="00BD450D" w:rsidP="001F1D64" w:rsidRDefault="00BD450D" w14:paraId="2815B077" w14:textId="77777777">
      <w:pPr>
        <w:pStyle w:val="CM23"/>
        <w:spacing w:after="0"/>
      </w:pPr>
      <w:r>
        <w:rPr>
          <w:b/>
          <w:bCs/>
        </w:rPr>
        <w:t xml:space="preserve">1. </w:t>
      </w:r>
      <w:r>
        <w:rPr>
          <w:b/>
          <w:bCs/>
          <w:u w:val="single"/>
        </w:rPr>
        <w:t xml:space="preserve">Explain the circumstances that make the collection of information necessary. </w:t>
      </w:r>
    </w:p>
    <w:p w:rsidR="00BD450D" w:rsidP="001F1D64" w:rsidRDefault="00BD450D" w14:paraId="631F9E52" w14:textId="77777777">
      <w:pPr>
        <w:spacing w:line="240" w:lineRule="auto"/>
      </w:pPr>
    </w:p>
    <w:p w:rsidR="00BD450D" w:rsidP="001F1D64" w:rsidRDefault="00BD450D" w14:paraId="4F098881" w14:textId="77777777">
      <w:pPr>
        <w:spacing w:line="240" w:lineRule="auto"/>
      </w:pPr>
      <w:r>
        <w:t xml:space="preserve">Collection of recreational fisheries catch and effort data is necessary to fulfill statutory requirements of Section 303 of the </w:t>
      </w:r>
      <w:hyperlink w:history="1" r:id="rId8">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w:history="1" r:id="rId9">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Secretary of Commerce under the plan.   </w:t>
      </w:r>
    </w:p>
    <w:p w:rsidR="00453A07" w:rsidP="001F1D64" w:rsidRDefault="00453A07" w14:paraId="3BC6991A" w14:textId="77777777">
      <w:pPr>
        <w:spacing w:line="240" w:lineRule="auto"/>
      </w:pPr>
    </w:p>
    <w:p w:rsidR="00460E5B" w:rsidP="00460E5B" w:rsidRDefault="00A24BF0" w14:paraId="4CEC44EC" w14:textId="77777777">
      <w:pPr>
        <w:spacing w:line="240" w:lineRule="auto"/>
      </w:pPr>
      <w:r>
        <w:t xml:space="preserve">The </w:t>
      </w:r>
      <w:r w:rsidR="00BC086C">
        <w:t>MRIP Fishing Effort Survey (FES) is</w:t>
      </w:r>
      <w:r>
        <w:t xml:space="preserve"> a </w:t>
      </w:r>
      <w:r w:rsidR="00460E5B">
        <w:t>cross-sectional, self-administered, household mail survey.</w:t>
      </w:r>
      <w:r w:rsidRPr="00460E5B" w:rsidR="00460E5B">
        <w:t xml:space="preserve"> </w:t>
      </w:r>
      <w:r w:rsidR="00460E5B">
        <w:t>The FES utilizes address-based samples (ABS) within coastal states to collect information about recent recreational saltwater fishing activity.  The sample frame is derived from the U</w:t>
      </w:r>
      <w:r w:rsidR="00D46A75">
        <w:t xml:space="preserve">nited </w:t>
      </w:r>
      <w:r w:rsidR="00460E5B">
        <w:t>S</w:t>
      </w:r>
      <w:r w:rsidR="00D46A75">
        <w:t xml:space="preserve">tates </w:t>
      </w:r>
      <w:r w:rsidR="00460E5B">
        <w:t>P</w:t>
      </w:r>
      <w:r w:rsidR="00D46A75">
        <w:t xml:space="preserve">ostal Service </w:t>
      </w:r>
      <w:r w:rsidR="00460E5B">
        <w:t>Computerized Delivery Sequence File (CDS).  Because recreational saltwater fishing is a relatively rare activity, the ABS frame is supplemented by matching addresses on the CDS to lists of licensed saltwater anglers in each state.  Augmenting the ABS sample frame with fishing license information creates additional strata (license matched and unmatched) and allows households with and without licensed anglers to</w:t>
      </w:r>
      <w:r w:rsidR="00D46A75">
        <w:t xml:space="preserve"> be sampled at different rates.  This is an efficient and economical approach for collecting recreational fishing effort information.  </w:t>
      </w:r>
      <w:r w:rsidR="00460E5B">
        <w:t xml:space="preserve">   </w:t>
      </w:r>
    </w:p>
    <w:p w:rsidR="00460E5B" w:rsidP="001D37B1" w:rsidRDefault="00460E5B" w14:paraId="1F1D00B5" w14:textId="77777777">
      <w:pPr>
        <w:spacing w:line="240" w:lineRule="auto"/>
      </w:pPr>
    </w:p>
    <w:p w:rsidR="009C1CD0" w:rsidP="001F1D64" w:rsidRDefault="00A46C9F" w14:paraId="36B0D39B" w14:textId="77777777">
      <w:pPr>
        <w:spacing w:line="240" w:lineRule="auto"/>
      </w:pPr>
      <w:r w:rsidRPr="00A46C9F">
        <w:rPr>
          <w:i/>
        </w:rPr>
        <w:t xml:space="preserve">This request is to </w:t>
      </w:r>
      <w:r w:rsidR="001738BD">
        <w:rPr>
          <w:i/>
        </w:rPr>
        <w:t>implement</w:t>
      </w:r>
      <w:r w:rsidRPr="00A46C9F">
        <w:rPr>
          <w:i/>
        </w:rPr>
        <w:t xml:space="preserve"> the </w:t>
      </w:r>
      <w:r w:rsidR="007937F7">
        <w:rPr>
          <w:i/>
        </w:rPr>
        <w:t>FES</w:t>
      </w:r>
      <w:r w:rsidRPr="00A46C9F">
        <w:rPr>
          <w:i/>
        </w:rPr>
        <w:t xml:space="preserve"> </w:t>
      </w:r>
      <w:r w:rsidR="00464B9B">
        <w:rPr>
          <w:i/>
        </w:rPr>
        <w:t xml:space="preserve">in </w:t>
      </w:r>
      <w:r w:rsidR="00000D63">
        <w:rPr>
          <w:i/>
        </w:rPr>
        <w:t xml:space="preserve">Hawaii and the </w:t>
      </w:r>
      <w:r w:rsidRPr="00A46C9F">
        <w:rPr>
          <w:i/>
        </w:rPr>
        <w:t>states along the Atlantic</w:t>
      </w:r>
      <w:r w:rsidR="00FE4D93">
        <w:rPr>
          <w:i/>
        </w:rPr>
        <w:t xml:space="preserve"> Coast and Gulf of Mexico</w:t>
      </w:r>
      <w:r w:rsidR="00E14486">
        <w:rPr>
          <w:i/>
        </w:rPr>
        <w:t>.</w:t>
      </w:r>
      <w:r w:rsidR="001738BD">
        <w:t xml:space="preserve">  The </w:t>
      </w:r>
      <w:r w:rsidR="007937F7">
        <w:t xml:space="preserve">FES </w:t>
      </w:r>
      <w:r w:rsidR="001738BD">
        <w:t>will be conducted for five</w:t>
      </w:r>
      <w:r w:rsidR="00CC43C2">
        <w:t>, two-month</w:t>
      </w:r>
      <w:r w:rsidR="001738BD">
        <w:t xml:space="preserve"> reference waves </w:t>
      </w:r>
      <w:r w:rsidR="00103825">
        <w:t>(March/</w:t>
      </w:r>
      <w:r w:rsidR="00CC43C2">
        <w:t>Apr</w:t>
      </w:r>
      <w:r w:rsidR="00103825">
        <w:t>il – November/</w:t>
      </w:r>
      <w:r w:rsidR="00CC43C2">
        <w:t>Dec</w:t>
      </w:r>
      <w:r w:rsidR="00103825">
        <w:t>ember</w:t>
      </w:r>
      <w:r w:rsidR="00CC43C2">
        <w:t>)</w:t>
      </w:r>
      <w:r w:rsidR="001738BD">
        <w:t xml:space="preserve"> in the states along the Atlantic Coast, with the exception of North Carolina</w:t>
      </w:r>
      <w:r w:rsidR="00103825">
        <w:t xml:space="preserve"> and Florida</w:t>
      </w:r>
      <w:r w:rsidR="00CC43C2">
        <w:t>.  In</w:t>
      </w:r>
      <w:r w:rsidR="00464B9B">
        <w:t xml:space="preserve"> </w:t>
      </w:r>
      <w:r w:rsidR="00000D63">
        <w:t xml:space="preserve">Hawaii, </w:t>
      </w:r>
      <w:r w:rsidR="00464B9B">
        <w:t xml:space="preserve">North Carolina and </w:t>
      </w:r>
      <w:r w:rsidR="001738BD">
        <w:t>the Gulf States</w:t>
      </w:r>
      <w:r w:rsidR="00FE4D93">
        <w:t xml:space="preserve">, </w:t>
      </w:r>
      <w:r w:rsidR="00464B9B">
        <w:t xml:space="preserve">the </w:t>
      </w:r>
      <w:r w:rsidR="00CC43C2">
        <w:t>FES will be conducted for six reference waves</w:t>
      </w:r>
      <w:r w:rsidR="00103825">
        <w:t xml:space="preserve"> (January/February – November/December)</w:t>
      </w:r>
      <w:r w:rsidR="00CC43C2">
        <w:t xml:space="preserve">.  </w:t>
      </w:r>
      <w:r w:rsidR="001738BD">
        <w:t xml:space="preserve">These specific </w:t>
      </w:r>
      <w:r w:rsidR="00103825">
        <w:t>reference periods</w:t>
      </w:r>
      <w:r w:rsidR="001738BD">
        <w:t xml:space="preserve"> encompass the majority of </w:t>
      </w:r>
      <w:r w:rsidR="00103825">
        <w:t xml:space="preserve">annual recreational </w:t>
      </w:r>
      <w:r w:rsidR="00E263B3">
        <w:t xml:space="preserve">saltwater </w:t>
      </w:r>
      <w:r w:rsidR="00103825">
        <w:t>fishing activity</w:t>
      </w:r>
      <w:r w:rsidR="003E1D98">
        <w:t xml:space="preserve"> within the study area</w:t>
      </w:r>
      <w:r w:rsidR="001738BD">
        <w:t xml:space="preserve">.  Prior surveys indicated recreational fishing outside these periods was </w:t>
      </w:r>
      <w:r w:rsidR="00E263B3">
        <w:t>uncommon</w:t>
      </w:r>
      <w:r w:rsidR="001738BD">
        <w:t xml:space="preserve">, contributed a very small percentage of annual </w:t>
      </w:r>
      <w:r w:rsidR="00E263B3">
        <w:t xml:space="preserve">fishing effort and </w:t>
      </w:r>
      <w:r w:rsidR="003E1D98">
        <w:t xml:space="preserve">fishery </w:t>
      </w:r>
      <w:r w:rsidR="001738BD">
        <w:t xml:space="preserve">landings, and would be disproportionately expensive to </w:t>
      </w:r>
      <w:r w:rsidR="003E1D98">
        <w:t>sample</w:t>
      </w:r>
      <w:r w:rsidR="001738BD">
        <w:t xml:space="preserve">.  </w:t>
      </w:r>
      <w:r w:rsidR="00453A07">
        <w:t xml:space="preserve">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w:t>
      </w:r>
      <w:r w:rsidR="00212252">
        <w:t xml:space="preserve">data”.   </w:t>
      </w:r>
    </w:p>
    <w:p w:rsidRPr="009B21A5" w:rsidR="00BD450D" w:rsidP="001F1D64" w:rsidRDefault="00BD450D" w14:paraId="38B2AF76" w14:textId="77777777">
      <w:pPr>
        <w:spacing w:line="240" w:lineRule="auto"/>
        <w:rPr>
          <w:b/>
        </w:rPr>
      </w:pPr>
      <w:r w:rsidRPr="009B21A5">
        <w:rPr>
          <w:b/>
        </w:rPr>
        <w:lastRenderedPageBreak/>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Pr="008C5965" w:rsidR="00BD450D" w:rsidP="00BD450D" w:rsidRDefault="00BD450D" w14:paraId="3A0206A7" w14:textId="77777777">
      <w:pPr>
        <w:pStyle w:val="Default"/>
      </w:pPr>
    </w:p>
    <w:p w:rsidR="00BD450D" w:rsidP="00BD450D" w:rsidRDefault="00913600" w14:paraId="7AC604C3" w14:textId="77777777">
      <w:pPr>
        <w:pStyle w:val="CM23"/>
        <w:spacing w:after="0"/>
        <w:ind w:right="533"/>
      </w:pPr>
      <w:r>
        <w:t xml:space="preserve">The </w:t>
      </w:r>
      <w:r w:rsidR="00BF0CAA">
        <w:t>FES estimates marine recreational fishing effort</w:t>
      </w:r>
      <w:r w:rsidR="007D0B46">
        <w:t xml:space="preserve"> (i.e. number of fishing days)</w:t>
      </w:r>
      <w:r w:rsidR="00BF0CAA">
        <w:t xml:space="preserve"> for two-month reference waves.  </w:t>
      </w:r>
      <w:r w:rsidR="00BD450D">
        <w:t xml:space="preserve">Recreational fishing catch and effort data are used on an ongoing basis by </w:t>
      </w:r>
      <w:r w:rsidR="00F01DA9">
        <w:t>NOAA Fisheries</w:t>
      </w:r>
      <w:r w:rsidR="00BD450D">
        <w:t>,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catch and effort are required for the development of regional management policies and plans.</w:t>
      </w:r>
      <w:r w:rsidR="00BF0CAA">
        <w:t xml:space="preserve">  </w:t>
      </w:r>
    </w:p>
    <w:p w:rsidR="002462F5" w:rsidP="002462F5" w:rsidRDefault="002462F5" w14:paraId="19B1B3B7" w14:textId="77777777">
      <w:pPr>
        <w:pStyle w:val="Default"/>
      </w:pPr>
    </w:p>
    <w:p w:rsidRPr="00EF3E40" w:rsidR="00461124" w:rsidP="002462F5" w:rsidRDefault="006C7E76" w14:paraId="51482528" w14:textId="77777777">
      <w:pPr>
        <w:pStyle w:val="Default"/>
        <w:rPr>
          <w:b/>
        </w:rPr>
      </w:pPr>
      <w:r w:rsidRPr="00EF3E40">
        <w:rPr>
          <w:b/>
        </w:rPr>
        <w:t>FES Development</w:t>
      </w:r>
    </w:p>
    <w:p w:rsidR="006C7E76" w:rsidP="002462F5" w:rsidRDefault="006C7E76" w14:paraId="57C659C7" w14:textId="77777777">
      <w:pPr>
        <w:pStyle w:val="Default"/>
      </w:pPr>
      <w:r>
        <w:t>Historically, recreational fishing effort data were collected through the Coastal Household Telephone Survey (CHTS), a list-assisted, random-digit-dial (RDD) telephone survey (OMB Control No. 0648-0052)</w:t>
      </w:r>
      <w:r w:rsidRPr="002C720B">
        <w:t>.</w:t>
      </w:r>
      <w:r>
        <w:t xml:space="preserve">  Beginning in 2007, MRIP initiated a series of field tests (conducted under OMB Control Nos. 0648-0052 and 0648-0652) to develop an alternative </w:t>
      </w:r>
      <w:r w:rsidR="004A4F4F">
        <w:t xml:space="preserve">household survey </w:t>
      </w:r>
      <w:r>
        <w:t>design that addressed growing challenges of RDD surveys</w:t>
      </w:r>
      <w:r w:rsidR="00FA4D4C">
        <w:t xml:space="preserve"> (Andrews et al., 2010, Brick et al., 2012</w:t>
      </w:r>
      <w:r w:rsidR="002655FF">
        <w:t>a</w:t>
      </w:r>
      <w:r w:rsidR="00FA4D4C">
        <w:t>,</w:t>
      </w:r>
      <w:r w:rsidR="002655FF">
        <w:t xml:space="preserve"> Brick et al., 2012b, </w:t>
      </w:r>
      <w:r w:rsidR="00FA4D4C">
        <w:t>Andrews et al., 2013, Andrews et al., 2014, Brick et al., 2016)</w:t>
      </w:r>
      <w:r>
        <w:t xml:space="preserve">. These field tests culminated in the current FES design, which was implemented in 2015.    </w:t>
      </w:r>
    </w:p>
    <w:p w:rsidR="00461124" w:rsidP="002462F5" w:rsidRDefault="00461124" w14:paraId="6F6F16DC" w14:textId="77777777">
      <w:pPr>
        <w:pStyle w:val="Default"/>
      </w:pPr>
    </w:p>
    <w:p w:rsidRPr="00EF3E40" w:rsidR="00EF3E40" w:rsidP="002462F5" w:rsidRDefault="00050B6B" w14:paraId="13CCE186" w14:textId="77777777">
      <w:pPr>
        <w:pStyle w:val="Default"/>
        <w:rPr>
          <w:b/>
        </w:rPr>
      </w:pPr>
      <w:r>
        <w:rPr>
          <w:b/>
        </w:rPr>
        <w:t xml:space="preserve">FES </w:t>
      </w:r>
      <w:r w:rsidRPr="00EF3E40" w:rsidR="00EF3E40">
        <w:rPr>
          <w:b/>
        </w:rPr>
        <w:t>Weather and Outdoor Activity Survey</w:t>
      </w:r>
    </w:p>
    <w:p w:rsidR="00BD450D" w:rsidP="00BB57D1" w:rsidRDefault="00913600" w14:paraId="35F47EDD" w14:textId="77777777">
      <w:pPr>
        <w:pStyle w:val="Default"/>
      </w:pPr>
      <w:r>
        <w:t xml:space="preserve">The </w:t>
      </w:r>
      <w:r w:rsidR="00BB57D1">
        <w:t>FES utilize</w:t>
      </w:r>
      <w:r>
        <w:t>s</w:t>
      </w:r>
      <w:r w:rsidR="00BB57D1">
        <w:t xml:space="preserve"> the Weather and Outdoor Activity Survey instrument</w:t>
      </w:r>
      <w:r>
        <w:t xml:space="preserve">, which collects both fishing and non-fishing information.  Testing of the FES design suggested that this instrument resulted </w:t>
      </w:r>
      <w:r w:rsidR="00EF3E40">
        <w:t xml:space="preserve">in higher response rates and </w:t>
      </w:r>
      <w:r>
        <w:t>more representative samples of the general population than a fishing-specific instrument</w:t>
      </w:r>
      <w:r w:rsidR="00615D86">
        <w:t xml:space="preserve">.  Results from this </w:t>
      </w:r>
      <w:r w:rsidR="002A3717">
        <w:t>pilot test</w:t>
      </w:r>
      <w:r w:rsidR="00615D86">
        <w:t xml:space="preserve"> are described in Appendix 2</w:t>
      </w:r>
      <w:r>
        <w:t xml:space="preserve">.  </w:t>
      </w:r>
      <w:r w:rsidR="00785291">
        <w:t xml:space="preserve">All respondent contact materials, including the Weather and Outdoor Activity Survey questionnaire, are provided in Appendix 1.  </w:t>
      </w:r>
      <w:r w:rsidR="00BD450D">
        <w:t xml:space="preserve">Specific data elements that will be collected in </w:t>
      </w:r>
      <w:r w:rsidR="00A07C4F">
        <w:t>the</w:t>
      </w:r>
      <w:r w:rsidR="00BD450D">
        <w:t xml:space="preserve"> questionnaire include:</w:t>
      </w:r>
    </w:p>
    <w:p w:rsidR="00BD450D" w:rsidP="00BD450D" w:rsidRDefault="00BD450D" w14:paraId="7FB3AC10" w14:textId="77777777">
      <w:pPr>
        <w:pStyle w:val="Default"/>
      </w:pPr>
    </w:p>
    <w:p w:rsidR="004B002B" w:rsidP="004B002B" w:rsidRDefault="004B002B" w14:paraId="2ADCE277" w14:textId="77777777">
      <w:pPr>
        <w:pStyle w:val="Default"/>
        <w:numPr>
          <w:ilvl w:val="0"/>
          <w:numId w:val="9"/>
        </w:numPr>
      </w:pPr>
      <w:r>
        <w:t xml:space="preserve">Questions about weather and visitation to coastal areas are included to engage non-anglers, </w:t>
      </w:r>
    </w:p>
    <w:p w:rsidR="00BD450D" w:rsidP="00BD450D" w:rsidRDefault="00BB2B73" w14:paraId="76E8C46C" w14:textId="77777777">
      <w:pPr>
        <w:pStyle w:val="Default"/>
        <w:numPr>
          <w:ilvl w:val="0"/>
          <w:numId w:val="9"/>
        </w:numPr>
      </w:pPr>
      <w:r>
        <w:t>Total number of household residents</w:t>
      </w:r>
      <w:r w:rsidR="00BD450D">
        <w:t>,</w:t>
      </w:r>
    </w:p>
    <w:p w:rsidR="00BD450D" w:rsidP="00BD450D" w:rsidRDefault="00BD450D" w14:paraId="5AC4513A" w14:textId="77777777">
      <w:pPr>
        <w:pStyle w:val="Default"/>
        <w:numPr>
          <w:ilvl w:val="0"/>
          <w:numId w:val="9"/>
        </w:numPr>
      </w:pPr>
      <w:r>
        <w:t xml:space="preserve">Type of household telephone service is used to assess </w:t>
      </w:r>
      <w:r w:rsidR="00BB2B73">
        <w:t xml:space="preserve">gains in coverage over </w:t>
      </w:r>
      <w:r w:rsidR="00B1498D">
        <w:t xml:space="preserve">random digit dial telephone surveys and compare </w:t>
      </w:r>
      <w:r w:rsidR="004B002B">
        <w:t>FES samples to other national population surveys</w:t>
      </w:r>
      <w:r>
        <w:t>,</w:t>
      </w:r>
    </w:p>
    <w:p w:rsidR="00BD450D" w:rsidP="00BD450D" w:rsidRDefault="00BD450D" w14:paraId="386D10C9" w14:textId="77777777">
      <w:pPr>
        <w:pStyle w:val="Default"/>
        <w:numPr>
          <w:ilvl w:val="0"/>
          <w:numId w:val="9"/>
        </w:numPr>
      </w:pPr>
      <w:r>
        <w:t>The type of household unit (rented or owned) is used</w:t>
      </w:r>
      <w:r w:rsidR="0057177E">
        <w:t xml:space="preserve"> to assess the representativeness of survey samples and can be used</w:t>
      </w:r>
      <w:r>
        <w:t xml:space="preserve"> for nonresponse weighting adjustment and/</w:t>
      </w:r>
      <w:r w:rsidR="00BB2B73">
        <w:t xml:space="preserve">or </w:t>
      </w:r>
      <w:r>
        <w:t>post-stratification,</w:t>
      </w:r>
    </w:p>
    <w:p w:rsidR="00BD450D" w:rsidP="00BD450D" w:rsidRDefault="00BD450D" w14:paraId="4B29CC61" w14:textId="77777777">
      <w:pPr>
        <w:pStyle w:val="Default"/>
        <w:numPr>
          <w:ilvl w:val="0"/>
          <w:numId w:val="9"/>
        </w:numPr>
      </w:pPr>
      <w:r>
        <w:t xml:space="preserve">Demographic information of household residents, including gender, age and ethnicity is </w:t>
      </w:r>
      <w:r w:rsidR="0057177E">
        <w:t xml:space="preserve">used to assess the representativeness of survey samples and can be </w:t>
      </w:r>
      <w:r>
        <w:t>used for nonresponse weighting adjustment and/or post-stratification of estimates,</w:t>
      </w:r>
    </w:p>
    <w:p w:rsidR="00BD450D" w:rsidP="00BD450D" w:rsidRDefault="00BD450D" w14:paraId="1D928B85" w14:textId="77777777">
      <w:pPr>
        <w:pStyle w:val="Default"/>
        <w:numPr>
          <w:ilvl w:val="0"/>
          <w:numId w:val="9"/>
        </w:numPr>
      </w:pPr>
      <w:r>
        <w:lastRenderedPageBreak/>
        <w:t>Questions about fishing activity in the pa</w:t>
      </w:r>
      <w:r w:rsidR="004B002B">
        <w:t>st 12 months</w:t>
      </w:r>
      <w:r>
        <w:t xml:space="preserve"> </w:t>
      </w:r>
      <w:r w:rsidR="004B002B">
        <w:t xml:space="preserve">and 2 months </w:t>
      </w:r>
      <w:r>
        <w:t xml:space="preserve">are used to screen </w:t>
      </w:r>
      <w:r w:rsidR="004B002B">
        <w:t xml:space="preserve">for recent fishing activity, </w:t>
      </w:r>
      <w:r>
        <w:t>assist with recall,</w:t>
      </w:r>
      <w:r w:rsidR="004B002B">
        <w:t xml:space="preserve"> and estimate the number of private </w:t>
      </w:r>
      <w:r w:rsidR="00B1498D">
        <w:t>b</w:t>
      </w:r>
      <w:r w:rsidR="004B002B">
        <w:t xml:space="preserve">oat and shore trips during </w:t>
      </w:r>
      <w:r w:rsidR="00B1498D">
        <w:t>the different reference periods.</w:t>
      </w:r>
    </w:p>
    <w:p w:rsidR="00050B6B" w:rsidP="00050B6B" w:rsidRDefault="00050B6B" w14:paraId="19FF1E79" w14:textId="77777777">
      <w:pPr>
        <w:pStyle w:val="Default"/>
        <w:rPr>
          <w:b/>
        </w:rPr>
      </w:pPr>
      <w:r w:rsidRPr="00050B6B">
        <w:rPr>
          <w:b/>
        </w:rPr>
        <w:t>FES 2020 Experiments</w:t>
      </w:r>
    </w:p>
    <w:p w:rsidR="00050B6B" w:rsidP="00050B6B" w:rsidRDefault="00050B6B" w14:paraId="6B40C16D" w14:textId="77777777">
      <w:pPr>
        <w:pStyle w:val="Default"/>
        <w:rPr>
          <w:b/>
        </w:rPr>
      </w:pPr>
    </w:p>
    <w:p w:rsidR="00050B6B" w:rsidP="00050B6B" w:rsidRDefault="00050B6B" w14:paraId="2E4958A7" w14:textId="77777777">
      <w:pPr>
        <w:pStyle w:val="Default"/>
        <w:rPr>
          <w:b/>
          <w:i/>
        </w:rPr>
      </w:pPr>
      <w:r>
        <w:rPr>
          <w:b/>
          <w:i/>
        </w:rPr>
        <w:t>Nonresponse follow-up survey</w:t>
      </w:r>
    </w:p>
    <w:p w:rsidR="002E7129" w:rsidP="00050B6B" w:rsidRDefault="004D7FF9" w14:paraId="4EDAC16E" w14:textId="77777777">
      <w:pPr>
        <w:pStyle w:val="Default"/>
      </w:pPr>
      <w:r>
        <w:t xml:space="preserve">A 2017 review of MRIP by the National Academies of Sciences, Engineering and Medicine recommended that NOAA Fisheries conduct annual studies to evaluate nonresponse.  </w:t>
      </w:r>
      <w:r w:rsidR="008474A0">
        <w:t>A previous N</w:t>
      </w:r>
      <w:r w:rsidR="00982AB0">
        <w:t xml:space="preserve">onresponse </w:t>
      </w:r>
      <w:r w:rsidR="008474A0">
        <w:t>Follow-up S</w:t>
      </w:r>
      <w:r w:rsidR="00982AB0">
        <w:t>tudy</w:t>
      </w:r>
      <w:r w:rsidR="008474A0">
        <w:t xml:space="preserve"> (NRFU)</w:t>
      </w:r>
      <w:r w:rsidR="00982AB0">
        <w:t>, administered during FES field testing in 201</w:t>
      </w:r>
      <w:r w:rsidR="00976D09">
        <w:t>2-2013</w:t>
      </w:r>
      <w:r w:rsidR="008474A0">
        <w:t>,</w:t>
      </w:r>
      <w:r w:rsidR="00982AB0">
        <w:t xml:space="preserve"> found no significant differences in fishing activity between FES and NRFU samples.  </w:t>
      </w:r>
      <w:r w:rsidR="00AF4E9E">
        <w:t xml:space="preserve">Results from the 2012-2013 nonresponse study are provided in Appendix 3.  </w:t>
      </w:r>
      <w:r w:rsidR="009E5B15">
        <w:t xml:space="preserve">We plan to repeat the NRFU in </w:t>
      </w:r>
      <w:r w:rsidR="00976D09">
        <w:t xml:space="preserve">the states </w:t>
      </w:r>
      <w:r w:rsidR="00C2216B">
        <w:t>where</w:t>
      </w:r>
      <w:r w:rsidR="00976D09">
        <w:t xml:space="preserve"> the FES was initially tested, MA, NY, NC and FL</w:t>
      </w:r>
      <w:r w:rsidR="009E5B15">
        <w:t xml:space="preserve"> during the 2020 FES administration to</w:t>
      </w:r>
      <w:r w:rsidR="00C2216B">
        <w:t xml:space="preserve"> re-evaluate nonresponse bias.</w:t>
      </w:r>
      <w:r w:rsidR="002E7129">
        <w:t xml:space="preserve">  The NRFU will be administered during the wave 3 (May/June) and wave 4 (July/August) FES administrations.</w:t>
      </w:r>
    </w:p>
    <w:p w:rsidR="002E7129" w:rsidP="00050B6B" w:rsidRDefault="002E7129" w14:paraId="393B6CBB" w14:textId="77777777">
      <w:pPr>
        <w:pStyle w:val="Default"/>
      </w:pPr>
    </w:p>
    <w:p w:rsidR="002E7129" w:rsidP="00050B6B" w:rsidRDefault="002E7129" w14:paraId="37C71E9F" w14:textId="77777777">
      <w:pPr>
        <w:pStyle w:val="Default"/>
      </w:pPr>
      <w:r>
        <w:t xml:space="preserve">All </w:t>
      </w:r>
      <w:r w:rsidR="00CE56D5">
        <w:t xml:space="preserve">households </w:t>
      </w:r>
      <w:r>
        <w:t xml:space="preserve">that did </w:t>
      </w:r>
      <w:r w:rsidR="00CE56D5">
        <w:t xml:space="preserve">not </w:t>
      </w:r>
      <w:r>
        <w:t>respond to the FES will be included in the NRFU sample.</w:t>
      </w:r>
      <w:r w:rsidR="00AB52A7">
        <w:t xml:space="preserve">  </w:t>
      </w:r>
      <w:r w:rsidR="00E32A87">
        <w:t>Based upon anticipated 2020 FES sample sizes and historical response rates, w</w:t>
      </w:r>
      <w:r w:rsidR="00035FBB">
        <w:t xml:space="preserve">e estimate a total NRFU sample of </w:t>
      </w:r>
      <w:r w:rsidR="0045480D">
        <w:t>14,376</w:t>
      </w:r>
      <w:r w:rsidR="001051DF">
        <w:t xml:space="preserve"> addresses</w:t>
      </w:r>
      <w:r w:rsidR="00035FBB">
        <w:t xml:space="preserve">.  </w:t>
      </w:r>
      <w:r w:rsidR="00AB52A7">
        <w:t>Data collection will be initiated six weeks after the final FES contact with the delivery an advanced letter via regular first-class mail.  Five days later,</w:t>
      </w:r>
      <w:r w:rsidR="00035FBB">
        <w:t xml:space="preserve"> a survey packet, including a cover letter, questionnaire, post-paid return envelop</w:t>
      </w:r>
      <w:r w:rsidR="000038AC">
        <w:t>e</w:t>
      </w:r>
      <w:r w:rsidR="00035FBB">
        <w:t xml:space="preserve"> and a $5.00 cash incentive will be delivered via FedEx.  The NRFU will utilize the FES, Weather and Outdoor Activity Survey instrument.</w:t>
      </w:r>
      <w:r w:rsidRPr="004C4EDC" w:rsidR="004C4EDC">
        <w:t xml:space="preserve"> </w:t>
      </w:r>
      <w:r w:rsidR="00500F76">
        <w:t>All other NRFU mail survey mate</w:t>
      </w:r>
      <w:r w:rsidR="00BE5E2D">
        <w:t>rials are provided in Appendix 1</w:t>
      </w:r>
      <w:r w:rsidR="00500F76">
        <w:t xml:space="preserve">.  </w:t>
      </w:r>
      <w:r w:rsidRPr="004C4EDC" w:rsidR="004C4EDC">
        <w:t xml:space="preserve">With 80 percent power and a significance level of 0.05, the </w:t>
      </w:r>
      <w:r w:rsidR="004C4EDC">
        <w:t xml:space="preserve">NRFU sample size </w:t>
      </w:r>
      <w:r w:rsidRPr="004C4EDC" w:rsidR="004C4EDC">
        <w:t xml:space="preserve">will allow a minimum detectible difference in </w:t>
      </w:r>
      <w:r w:rsidR="004C4EDC">
        <w:t xml:space="preserve">fishing prevalence between the base FES sample and NRFU sample of approximately 2 percentage points.  </w:t>
      </w:r>
    </w:p>
    <w:p w:rsidR="004C4EDC" w:rsidP="00050B6B" w:rsidRDefault="004C4EDC" w14:paraId="6CEE87AF" w14:textId="77777777">
      <w:pPr>
        <w:pStyle w:val="Default"/>
      </w:pPr>
    </w:p>
    <w:p w:rsidR="004B4380" w:rsidP="00F418B9" w:rsidRDefault="001765A4" w14:paraId="15D8412F" w14:textId="77777777">
      <w:pPr>
        <w:pStyle w:val="CM22"/>
        <w:spacing w:after="0"/>
        <w:rPr>
          <w:b/>
          <w:i/>
        </w:rPr>
      </w:pPr>
      <w:r>
        <w:rPr>
          <w:b/>
          <w:i/>
        </w:rPr>
        <w:t xml:space="preserve">Recreational </w:t>
      </w:r>
      <w:r w:rsidR="000A5083">
        <w:rPr>
          <w:b/>
          <w:i/>
        </w:rPr>
        <w:t>Saltwater Boat Fishing</w:t>
      </w:r>
      <w:r>
        <w:rPr>
          <w:b/>
          <w:i/>
        </w:rPr>
        <w:t xml:space="preserve"> Survey</w:t>
      </w:r>
    </w:p>
    <w:p w:rsidR="003D3D44" w:rsidP="003D3D44" w:rsidRDefault="00B4736C" w14:paraId="24495E40" w14:textId="77777777">
      <w:pPr>
        <w:pStyle w:val="Default"/>
      </w:pPr>
      <w:r>
        <w:t>The FES, Weather and Outdoor Activity Survey instrument collects general information about recreational fishing activity, including the number of shore and private boat fishing trips taken by household members during two-month reference waves.</w:t>
      </w:r>
      <w:r w:rsidR="0029186A">
        <w:t xml:space="preserve">  </w:t>
      </w:r>
      <w:r>
        <w:t xml:space="preserve">A Recreational </w:t>
      </w:r>
      <w:r w:rsidR="000A5083">
        <w:t xml:space="preserve">Saltwater </w:t>
      </w:r>
      <w:r>
        <w:t xml:space="preserve">Boat Fishing Survey (RBFS) will be field tested during the 2020-2022 FES to collect more detailed information about boat fishing activities.  Specifically, the RBFS will quantify </w:t>
      </w:r>
      <w:r w:rsidR="00146859">
        <w:t xml:space="preserve">different </w:t>
      </w:r>
      <w:r>
        <w:t>types of bo</w:t>
      </w:r>
      <w:r w:rsidR="00146859">
        <w:t>at fishing activity (e.g. power</w:t>
      </w:r>
      <w:r>
        <w:t>boat, canoe, kayak,</w:t>
      </w:r>
      <w:r w:rsidR="0029186A">
        <w:t xml:space="preserve"> sailboat, personal watercraft, pontoon boat, rowboat), fishing areas (inland waters, state ocean waters, federal ocean waters), and fishing access point characteristics (personal residence or dock, private community marina or dock, commercial marina or public boat ramp).</w:t>
      </w:r>
      <w:r w:rsidRPr="003D3D44" w:rsidR="003D3D44">
        <w:t xml:space="preserve"> </w:t>
      </w:r>
      <w:r w:rsidR="00500F76">
        <w:t>RBFS mail survey mate</w:t>
      </w:r>
      <w:r w:rsidR="00BE5E2D">
        <w:t>rials are provided in Appendix 1</w:t>
      </w:r>
      <w:r w:rsidR="00500F76">
        <w:t xml:space="preserve">.  </w:t>
      </w:r>
      <w:r w:rsidR="003D3D44">
        <w:t>Specific data elements that will be collected in the questionnaire include:</w:t>
      </w:r>
    </w:p>
    <w:p w:rsidR="003D3D44" w:rsidP="00B4736C" w:rsidRDefault="003D3D44" w14:paraId="2DB17D3D" w14:textId="77777777">
      <w:pPr>
        <w:pStyle w:val="Default"/>
      </w:pPr>
    </w:p>
    <w:p w:rsidR="003D3D44" w:rsidP="003D3D44" w:rsidRDefault="00A24D7C" w14:paraId="0D1E6BA6" w14:textId="77777777">
      <w:pPr>
        <w:pStyle w:val="Default"/>
        <w:numPr>
          <w:ilvl w:val="0"/>
          <w:numId w:val="20"/>
        </w:numPr>
      </w:pPr>
      <w:r>
        <w:t xml:space="preserve">Household demographic questions, including type of telephone service, tenure, number of  household members, and presence/absence of seniors and minors </w:t>
      </w:r>
      <w:r w:rsidR="00330E6F">
        <w:t>will be</w:t>
      </w:r>
      <w:r>
        <w:t xml:space="preserve"> used for weighting adjustments and to characterize boat fishing households</w:t>
      </w:r>
      <w:r w:rsidR="00330E6F">
        <w:t xml:space="preserve"> with respect to demographic characteristics</w:t>
      </w:r>
      <w:r>
        <w:t>,</w:t>
      </w:r>
    </w:p>
    <w:p w:rsidR="003D3D44" w:rsidP="003D3D44" w:rsidRDefault="003D3D44" w14:paraId="631474A7" w14:textId="77777777">
      <w:pPr>
        <w:pStyle w:val="Default"/>
        <w:numPr>
          <w:ilvl w:val="0"/>
          <w:numId w:val="20"/>
        </w:numPr>
      </w:pPr>
      <w:r>
        <w:t xml:space="preserve">Questions about fishing activity in the past 12 months and 2 months </w:t>
      </w:r>
      <w:r w:rsidR="00330E6F">
        <w:t>will be used to</w:t>
      </w:r>
      <w:r>
        <w:t xml:space="preserve"> screen for recent fishing activity</w:t>
      </w:r>
      <w:r w:rsidR="00A24D7C">
        <w:t xml:space="preserve"> and</w:t>
      </w:r>
      <w:r>
        <w:t xml:space="preserve"> a</w:t>
      </w:r>
      <w:r w:rsidR="00A24D7C">
        <w:t>ssist with recall</w:t>
      </w:r>
      <w:r w:rsidR="00330E6F">
        <w:t>,</w:t>
      </w:r>
    </w:p>
    <w:p w:rsidR="00B4736C" w:rsidP="00E7285B" w:rsidRDefault="00A24D7C" w14:paraId="22CC1119" w14:textId="77777777">
      <w:pPr>
        <w:pStyle w:val="Default"/>
        <w:numPr>
          <w:ilvl w:val="0"/>
          <w:numId w:val="20"/>
        </w:numPr>
      </w:pPr>
      <w:r>
        <w:t xml:space="preserve">Demographic information of boat anglers, including gender, age and ethnicity </w:t>
      </w:r>
      <w:r w:rsidR="00330E6F">
        <w:t>will be</w:t>
      </w:r>
      <w:r>
        <w:t xml:space="preserve"> used to characterize boat anglers and will be compared to FES estimates to ensure that </w:t>
      </w:r>
      <w:r>
        <w:lastRenderedPageBreak/>
        <w:t xml:space="preserve">samples are properly weighted and representative of </w:t>
      </w:r>
      <w:r w:rsidR="00330E6F">
        <w:t xml:space="preserve">all </w:t>
      </w:r>
      <w:r>
        <w:t>boat anglers</w:t>
      </w:r>
      <w:r w:rsidR="00330E6F">
        <w:t>,</w:t>
      </w:r>
    </w:p>
    <w:p w:rsidR="00534B56" w:rsidP="00E7285B" w:rsidRDefault="00330E6F" w14:paraId="09B8AB2D" w14:textId="77777777">
      <w:pPr>
        <w:pStyle w:val="Default"/>
        <w:numPr>
          <w:ilvl w:val="0"/>
          <w:numId w:val="20"/>
        </w:numPr>
      </w:pPr>
      <w:r>
        <w:t>Questions about fishing area</w:t>
      </w:r>
      <w:r w:rsidR="00534B56">
        <w:t>, type of fishing boat and fishing access</w:t>
      </w:r>
      <w:r w:rsidR="00B66046">
        <w:t xml:space="preserve"> characteristics</w:t>
      </w:r>
      <w:r w:rsidR="00534B56">
        <w:t xml:space="preserve"> </w:t>
      </w:r>
      <w:r w:rsidR="008E55B9">
        <w:t xml:space="preserve">will </w:t>
      </w:r>
      <w:r>
        <w:t>be used to</w:t>
      </w:r>
      <w:r w:rsidR="00534B56">
        <w:t xml:space="preserve"> evaluate coverage error in the MRIP Access Point Angler Intercept Survey (APAIS, 0648-0659), which is a </w:t>
      </w:r>
      <w:r w:rsidR="00972796">
        <w:t xml:space="preserve">complementary </w:t>
      </w:r>
      <w:r w:rsidR="00534B56">
        <w:t>shoreside survey conducted at publicly accessible fishing locations.</w:t>
      </w:r>
      <w:r>
        <w:t xml:space="preserve"> </w:t>
      </w:r>
    </w:p>
    <w:p w:rsidR="00330E6F" w:rsidP="00534B56" w:rsidRDefault="00330E6F" w14:paraId="0C8B8E94" w14:textId="77777777">
      <w:pPr>
        <w:pStyle w:val="Default"/>
        <w:ind w:left="810"/>
      </w:pPr>
    </w:p>
    <w:p w:rsidRPr="00B4736C" w:rsidR="00A24D7C" w:rsidP="00A24D7C" w:rsidRDefault="00A24D7C" w14:paraId="60E98434" w14:textId="77777777">
      <w:pPr>
        <w:pStyle w:val="Default"/>
        <w:ind w:left="810"/>
      </w:pPr>
    </w:p>
    <w:p w:rsidR="00F418B9" w:rsidP="00F418B9" w:rsidRDefault="00F418B9" w14:paraId="7981A0D2" w14:textId="77777777">
      <w:pPr>
        <w:pStyle w:val="CM22"/>
        <w:spacing w:after="0"/>
      </w:pPr>
      <w: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The data collected by the MFES will be subject to the quality control measures and pre-dissemination review pursuant to </w:t>
      </w:r>
      <w:hyperlink w:history="1" r:id="rId10">
        <w:r w:rsidRPr="00942F84">
          <w:rPr>
            <w:rStyle w:val="Hyperlink"/>
          </w:rPr>
          <w:t>Section 515 of Public Law 106-554</w:t>
        </w:r>
      </w:hyperlink>
      <w:r>
        <w:t xml:space="preserve">.  </w:t>
      </w:r>
    </w:p>
    <w:p w:rsidRPr="00093E43" w:rsidR="00BD450D" w:rsidP="00BD450D" w:rsidRDefault="00BD450D" w14:paraId="7D0381A3" w14:textId="77777777">
      <w:pPr>
        <w:pStyle w:val="Default"/>
      </w:pPr>
    </w:p>
    <w:p w:rsidR="00BD450D" w:rsidP="00BD450D" w:rsidRDefault="00BD450D" w14:paraId="0A91330B" w14:textId="77777777">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Pr="00093E43" w:rsidR="00BD450D" w:rsidP="00BD450D" w:rsidRDefault="00BD450D" w14:paraId="7F5FE4F7" w14:textId="77777777">
      <w:pPr>
        <w:pStyle w:val="Default"/>
      </w:pPr>
    </w:p>
    <w:p w:rsidR="00BD450D" w:rsidP="00BD450D" w:rsidRDefault="00BD450D" w14:paraId="1CDFCBDF" w14:textId="77777777">
      <w:pPr>
        <w:pStyle w:val="CM23"/>
        <w:spacing w:after="0"/>
        <w:ind w:right="130"/>
      </w:pPr>
      <w:r>
        <w:t>The surveys will be conducted by</w:t>
      </w:r>
      <w:r w:rsidR="00157852">
        <w:t xml:space="preserve"> mail</w:t>
      </w:r>
      <w:r>
        <w:t>.  Survey responses will be automatically captured through optica</w:t>
      </w:r>
      <w:r w:rsidR="00B17A2C">
        <w:t>l character recognition (OCR), which</w:t>
      </w:r>
      <w:r>
        <w:t xml:space="preserve"> will greatly increase the accuracy and efficiency of data collection.</w:t>
      </w:r>
    </w:p>
    <w:p w:rsidR="00B271F7" w:rsidP="00B271F7" w:rsidRDefault="00B271F7" w14:paraId="509CF277" w14:textId="77777777">
      <w:pPr>
        <w:pStyle w:val="Default"/>
      </w:pPr>
    </w:p>
    <w:p w:rsidRPr="00B271F7" w:rsidR="00B271F7" w:rsidP="00B271F7" w:rsidRDefault="00B271F7" w14:paraId="300EB1DF" w14:textId="26B0BCEE">
      <w:pPr>
        <w:pStyle w:val="Default"/>
      </w:pPr>
      <w:r w:rsidRPr="00B271F7">
        <w:t xml:space="preserve">A “web push” design that encouraged </w:t>
      </w:r>
      <w:r>
        <w:t>response</w:t>
      </w:r>
      <w:r w:rsidRPr="00B271F7">
        <w:t xml:space="preserve"> to the FES through </w:t>
      </w:r>
      <w:r>
        <w:t>an online instrument</w:t>
      </w:r>
      <w:r w:rsidRPr="00B271F7">
        <w:t xml:space="preserve"> </w:t>
      </w:r>
      <w:r>
        <w:t xml:space="preserve">before providing a paper instrument </w:t>
      </w:r>
      <w:r w:rsidRPr="00B271F7">
        <w:t xml:space="preserve">was tested in </w:t>
      </w:r>
      <w:r>
        <w:t>2018-2019</w:t>
      </w:r>
      <w:r w:rsidRPr="00B271F7">
        <w:t xml:space="preserve">. </w:t>
      </w:r>
      <w:r w:rsidR="00BF1BC5">
        <w:t>The web-push design</w:t>
      </w:r>
      <w:r>
        <w:t xml:space="preserve"> </w:t>
      </w:r>
      <w:r w:rsidR="0004396A">
        <w:t xml:space="preserve">resulted in response rates </w:t>
      </w:r>
      <w:r w:rsidR="00E94471">
        <w:t>that were 7</w:t>
      </w:r>
      <w:r w:rsidR="0004396A">
        <w:t>-1</w:t>
      </w:r>
      <w:r w:rsidR="00E94471">
        <w:t>1</w:t>
      </w:r>
      <w:r w:rsidR="0004396A">
        <w:t xml:space="preserve"> percentage points lower than FES response rates</w:t>
      </w:r>
      <w:r w:rsidR="00E94471">
        <w:t xml:space="preserve">.  In addition to increasing the risk for nonresponse bias, lower response rates would increase data collection </w:t>
      </w:r>
      <w:r w:rsidR="00FD3474">
        <w:t>costs by approximately 15% on a per-</w:t>
      </w:r>
      <w:r w:rsidR="00E94471">
        <w:t xml:space="preserve">complete basis.  </w:t>
      </w:r>
      <w:r w:rsidR="00AA0732">
        <w:t xml:space="preserve">The web-push and FES designs were approximately equal in terms of data editing rates, </w:t>
      </w:r>
      <w:r w:rsidR="002A55C8">
        <w:t>while</w:t>
      </w:r>
      <w:r w:rsidR="00FD3474">
        <w:t xml:space="preserve"> the web-push design had a longer median response time than the FES.  </w:t>
      </w:r>
      <w:r w:rsidR="00AA0732">
        <w:t xml:space="preserve">At present, the </w:t>
      </w:r>
      <w:r w:rsidR="00B82978">
        <w:t>current FES design is more cost effective and provides more timely survey results than the web</w:t>
      </w:r>
      <w:r w:rsidR="00AA0732">
        <w:t xml:space="preserve">-push design.  </w:t>
      </w:r>
      <w:r w:rsidR="0004396A">
        <w:t xml:space="preserve">Consequently, it is unlikely that NOAA will transition to a web-pus design within the next </w:t>
      </w:r>
      <w:r w:rsidR="00020554">
        <w:t>three</w:t>
      </w:r>
      <w:r w:rsidR="0004396A">
        <w:t xml:space="preserve"> years.</w:t>
      </w:r>
      <w:r>
        <w:t xml:space="preserve">  </w:t>
      </w:r>
    </w:p>
    <w:p w:rsidRPr="005B45A6" w:rsidR="00BD450D" w:rsidP="00BD450D" w:rsidRDefault="00BD450D" w14:paraId="3ECA8E68" w14:textId="0901016B">
      <w:pPr>
        <w:pStyle w:val="Default"/>
      </w:pPr>
    </w:p>
    <w:p w:rsidR="00BD450D" w:rsidP="00113646" w:rsidRDefault="00BD450D" w14:paraId="7BC5EFD0" w14:textId="77777777">
      <w:pPr>
        <w:rPr>
          <w:b/>
          <w:u w:val="single"/>
        </w:rPr>
      </w:pPr>
      <w:r w:rsidRPr="00442981">
        <w:rPr>
          <w:b/>
          <w:u w:val="single"/>
        </w:rPr>
        <w:t xml:space="preserve">4. Describe efforts to identify duplication. </w:t>
      </w:r>
    </w:p>
    <w:p w:rsidRPr="00442981" w:rsidR="00442981" w:rsidP="00442981" w:rsidRDefault="00442981" w14:paraId="738DFC11" w14:textId="77777777">
      <w:pPr>
        <w:spacing w:line="240" w:lineRule="auto"/>
        <w:rPr>
          <w:b/>
          <w:u w:val="single"/>
        </w:rPr>
      </w:pPr>
    </w:p>
    <w:p w:rsidR="00BD450D" w:rsidP="00BD450D" w:rsidRDefault="00F01DA9" w14:paraId="290BFB9B" w14:textId="77777777">
      <w:pPr>
        <w:pStyle w:val="Default"/>
      </w:pPr>
      <w:r>
        <w:t xml:space="preserve">NOAA Fisheries </w:t>
      </w:r>
      <w:r w:rsidR="00BD450D">
        <w:t xml:space="preserve">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BD450D" w:rsidP="00BD450D" w:rsidRDefault="00BD450D" w14:paraId="4BC044A5" w14:textId="77777777">
      <w:pPr>
        <w:pStyle w:val="Default"/>
      </w:pPr>
    </w:p>
    <w:p w:rsidR="00BD450D" w:rsidP="00BD450D" w:rsidRDefault="00BD450D" w14:paraId="2A1657E4" w14:textId="77777777">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Pr="00093E43" w:rsidR="00BD450D" w:rsidP="00BD450D" w:rsidRDefault="00BD450D" w14:paraId="36369986" w14:textId="77777777">
      <w:pPr>
        <w:pStyle w:val="Default"/>
      </w:pPr>
    </w:p>
    <w:p w:rsidR="00BD450D" w:rsidP="00BD450D" w:rsidRDefault="00BD450D" w14:paraId="67AC7F65" w14:textId="77777777">
      <w:pPr>
        <w:pStyle w:val="CM22"/>
        <w:spacing w:after="0"/>
      </w:pPr>
      <w:r>
        <w:t>No small businesses will be impacted by this revision.</w:t>
      </w:r>
      <w:r w:rsidR="003500CA">
        <w:t xml:space="preserve"> Individuals or households are the respondents.</w:t>
      </w:r>
    </w:p>
    <w:p w:rsidRPr="00093E43" w:rsidR="00BD450D" w:rsidP="00BD450D" w:rsidRDefault="00BD450D" w14:paraId="5FA03E19" w14:textId="77777777">
      <w:pPr>
        <w:pStyle w:val="Default"/>
      </w:pPr>
    </w:p>
    <w:p w:rsidR="00BD450D" w:rsidP="00BD450D" w:rsidRDefault="00BD450D" w14:paraId="217B4151" w14:textId="77777777">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Pr="00093E43" w:rsidR="00BD450D" w:rsidP="00BD450D" w:rsidRDefault="00BD450D" w14:paraId="10857A0D" w14:textId="77777777">
      <w:pPr>
        <w:pStyle w:val="Default"/>
      </w:pPr>
    </w:p>
    <w:p w:rsidRPr="00763DE2" w:rsidR="00BD450D" w:rsidP="00442981" w:rsidRDefault="00BD450D" w14:paraId="6BA7EBFC" w14:textId="77777777">
      <w:pPr>
        <w:spacing w:line="240" w:lineRule="auto"/>
      </w:pPr>
      <w:r>
        <w:t xml:space="preserve">If the survey </w:t>
      </w:r>
      <w:r w:rsidR="00DB39C7">
        <w:t>was not conducted or was</w:t>
      </w:r>
      <w:r>
        <w:t xml:space="preserve"> conducted less frequently</w:t>
      </w:r>
      <w:r w:rsidRPr="00763DE2">
        <w:t xml:space="preserve">, </w:t>
      </w:r>
      <w:r w:rsidR="001E2180">
        <w:t>NOAA Fisheries</w:t>
      </w:r>
      <w:r>
        <w:t xml:space="preserve"> and state natural resource agencies</w:t>
      </w:r>
      <w:r w:rsidRPr="00763DE2">
        <w:t xml:space="preserve"> would experience difficulty in effectively carrying out their responsibilities to meet statutory, administrative, and other obligations</w:t>
      </w:r>
      <w:r>
        <w:t xml:space="preserve"> to end overfishing of marine fishery resources</w:t>
      </w:r>
      <w:r w:rsidRPr="00763DE2">
        <w:t xml:space="preserve">.  </w:t>
      </w:r>
      <w:r>
        <w:t>An ongoing</w:t>
      </w:r>
      <w:r w:rsidRPr="00763DE2">
        <w:t xml:space="preserve"> survey of recreational anglers is required to monitor changing conditions in the fishery and support modifications in fishery regulations </w:t>
      </w:r>
      <w:r>
        <w:t>both within fishing seasons and among</w:t>
      </w:r>
      <w:r w:rsidRPr="00763DE2">
        <w:t xml:space="preserve"> fishing year</w:t>
      </w:r>
      <w:r>
        <w:t>s</w:t>
      </w:r>
      <w:r w:rsidRPr="00763DE2">
        <w:t xml:space="preserve">.  </w:t>
      </w:r>
      <w:r>
        <w:t>In addition, a</w:t>
      </w:r>
      <w:r w:rsidRPr="00763DE2">
        <w:t xml:space="preserve"> continuous time series of data is scientifically essential</w:t>
      </w:r>
      <w:r>
        <w:t xml:space="preserve"> to assess the impact of recreational fishing on fish stocks</w:t>
      </w:r>
      <w:r w:rsidRPr="00763DE2">
        <w:t xml:space="preserve">.  </w:t>
      </w:r>
    </w:p>
    <w:p w:rsidRPr="00093E43" w:rsidR="00BD450D" w:rsidP="00BD450D" w:rsidRDefault="00BD450D" w14:paraId="24150348" w14:textId="77777777">
      <w:pPr>
        <w:pStyle w:val="Default"/>
      </w:pPr>
      <w:r w:rsidRPr="00763DE2">
        <w:t xml:space="preserve"> </w:t>
      </w:r>
    </w:p>
    <w:p w:rsidR="00BD450D" w:rsidP="00BD450D" w:rsidRDefault="00BD450D" w14:paraId="552BA7D0" w14:textId="77777777">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Pr="00093E43" w:rsidR="00BD450D" w:rsidP="00BD450D" w:rsidRDefault="00BD450D" w14:paraId="06D1BB6B" w14:textId="77777777">
      <w:pPr>
        <w:pStyle w:val="Default"/>
      </w:pPr>
    </w:p>
    <w:p w:rsidR="00BD450D" w:rsidP="00BD450D" w:rsidRDefault="00BD450D" w14:paraId="370FBE14" w14:textId="77777777">
      <w:pPr>
        <w:pStyle w:val="CM22"/>
        <w:spacing w:after="0"/>
      </w:pPr>
      <w:r>
        <w:t xml:space="preserve">The collection is consistent with OMB guidelines. </w:t>
      </w:r>
    </w:p>
    <w:p w:rsidRPr="00093E43" w:rsidR="00BD450D" w:rsidP="00BD450D" w:rsidRDefault="00BD450D" w14:paraId="71FBE6AB" w14:textId="77777777">
      <w:pPr>
        <w:pStyle w:val="Default"/>
      </w:pPr>
    </w:p>
    <w:p w:rsidR="00BD450D" w:rsidP="00BD450D" w:rsidRDefault="00BD450D" w14:paraId="67CD336B" w14:textId="77777777">
      <w:pPr>
        <w:pStyle w:val="CM2"/>
        <w:spacing w:line="240" w:lineRule="auto"/>
        <w:ind w:right="130"/>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Pr="009D032E" w:rsidR="00BD450D" w:rsidP="00BD450D" w:rsidRDefault="00BD450D" w14:paraId="463A6F1B" w14:textId="77777777">
      <w:pPr>
        <w:pStyle w:val="Default"/>
      </w:pPr>
    </w:p>
    <w:p w:rsidR="00464B9B" w:rsidP="00464B9B" w:rsidRDefault="00BD450D" w14:paraId="4AC5337A" w14:textId="77777777">
      <w:pPr>
        <w:pStyle w:val="CM23"/>
        <w:spacing w:after="0"/>
        <w:ind w:right="858"/>
      </w:pPr>
      <w:r w:rsidRPr="00C9094B">
        <w:t xml:space="preserve">A </w:t>
      </w:r>
      <w:r w:rsidRPr="00C9094B">
        <w:rPr>
          <w:u w:val="single"/>
        </w:rPr>
        <w:t>Federal Register</w:t>
      </w:r>
      <w:r w:rsidRPr="00C9094B">
        <w:t xml:space="preserve"> Notice</w:t>
      </w:r>
      <w:r w:rsidR="00967F64">
        <w:t>, p</w:t>
      </w:r>
      <w:r w:rsidRPr="00C9094B">
        <w:t xml:space="preserve">ublished on </w:t>
      </w:r>
      <w:r w:rsidR="007E3ACA">
        <w:t>October 4, 2019</w:t>
      </w:r>
      <w:r w:rsidRPr="00C9094B">
        <w:t xml:space="preserve"> (</w:t>
      </w:r>
      <w:r w:rsidR="007E3ACA">
        <w:t>84</w:t>
      </w:r>
      <w:r w:rsidRPr="00C9094B">
        <w:t xml:space="preserve"> FR </w:t>
      </w:r>
      <w:r w:rsidR="007E3ACA">
        <w:t>53104</w:t>
      </w:r>
      <w:r w:rsidRPr="00C9094B">
        <w:t xml:space="preserve">) solicited public comment on this revision.  </w:t>
      </w:r>
      <w:r w:rsidR="00464B9B">
        <w:t>No comments were</w:t>
      </w:r>
      <w:r w:rsidR="0007127D">
        <w:t xml:space="preserve"> received.</w:t>
      </w:r>
      <w:r w:rsidR="00927300">
        <w:t xml:space="preserve"> </w:t>
      </w:r>
    </w:p>
    <w:p w:rsidR="003E5707" w:rsidP="003E5707" w:rsidRDefault="003E5707" w14:paraId="0A54B2E7" w14:textId="77777777">
      <w:pPr>
        <w:pStyle w:val="Default"/>
      </w:pPr>
    </w:p>
    <w:p w:rsidR="00EA2D2E" w:rsidP="004B4380" w:rsidRDefault="000B5B5A" w14:paraId="6E600AC0" w14:textId="77777777">
      <w:pPr>
        <w:spacing w:line="240" w:lineRule="auto"/>
      </w:pPr>
      <w:r>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collection of appropriate information that meets manager and stakeholder needs</w:t>
      </w:r>
      <w:r>
        <w:t>.  MRIP staff</w:t>
      </w:r>
      <w:r w:rsidR="003F494A">
        <w:t xml:space="preserve"> members</w:t>
      </w:r>
      <w:r>
        <w:t xml:space="preserve"> maintain regular communication with customers, through workshops, workgroup meetings and one-on-one consultations.</w:t>
      </w:r>
      <w:r w:rsidR="00EA2D2E">
        <w:t xml:space="preserve">  Most recently, MRIP staff participated in a</w:t>
      </w:r>
      <w:r w:rsidR="00AE60B8">
        <w:t>n</w:t>
      </w:r>
      <w:r w:rsidR="00EA2D2E">
        <w:t xml:space="preserve"> </w:t>
      </w:r>
      <w:r w:rsidR="00FF71DB">
        <w:t xml:space="preserve">August 2019 </w:t>
      </w:r>
      <w:r w:rsidR="00EA2D2E">
        <w:t>workshop hosted by the South Atlantic Fishery Management Council, Scientific and Statistical Committee</w:t>
      </w:r>
      <w:r w:rsidR="00700696">
        <w:t xml:space="preserve"> (SSC)</w:t>
      </w:r>
      <w:r w:rsidR="00EA2D2E">
        <w:t xml:space="preserve">.  MRIP staff provided a detailed overview of the FES design and responded to questions from committee members.  </w:t>
      </w:r>
      <w:r>
        <w:t xml:space="preserve">  </w:t>
      </w:r>
    </w:p>
    <w:p w:rsidR="00EA2D2E" w:rsidP="004B4380" w:rsidRDefault="00EA2D2E" w14:paraId="758968D9" w14:textId="77777777">
      <w:pPr>
        <w:spacing w:line="240" w:lineRule="auto"/>
      </w:pPr>
    </w:p>
    <w:p w:rsidR="001E2180" w:rsidP="004B4380" w:rsidRDefault="00EA2D2E" w14:paraId="33884BD6" w14:textId="77777777">
      <w:pPr>
        <w:spacing w:line="240" w:lineRule="auto"/>
      </w:pPr>
      <w:r>
        <w:t>Additionally, t</w:t>
      </w:r>
      <w:r w:rsidR="000B5B5A">
        <w:t xml:space="preserve">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w:t>
      </w:r>
      <w:r w:rsidR="000B5B5A">
        <w:lastRenderedPageBreak/>
        <w:t xml:space="preserve">allocate funds to addresses data needs and approve research priorities.  </w:t>
      </w:r>
      <w:r w:rsidR="009D49C4">
        <w:t xml:space="preserve">The ESC most recently met in </w:t>
      </w:r>
      <w:r w:rsidR="00FF71DB">
        <w:t>A</w:t>
      </w:r>
      <w:r w:rsidR="00FE2635">
        <w:t>pril</w:t>
      </w:r>
      <w:r w:rsidR="00FF71DB">
        <w:t xml:space="preserve"> 2019</w:t>
      </w:r>
      <w:r w:rsidR="009D49C4">
        <w:t xml:space="preserve">.  </w:t>
      </w:r>
    </w:p>
    <w:p w:rsidR="001E2180" w:rsidP="004B4380" w:rsidRDefault="001E2180" w14:paraId="0ED22617" w14:textId="77777777">
      <w:pPr>
        <w:spacing w:line="240" w:lineRule="auto"/>
      </w:pPr>
    </w:p>
    <w:p w:rsidR="002F0223" w:rsidP="002F0223" w:rsidRDefault="00EA2D2E" w14:paraId="2F0BEF90" w14:textId="77777777">
      <w:pPr>
        <w:spacing w:line="240" w:lineRule="auto"/>
      </w:pPr>
      <w:r>
        <w:t xml:space="preserve">Finally, </w:t>
      </w:r>
      <w:r w:rsidR="002F0223">
        <w:t xml:space="preserve">MRIP </w:t>
      </w:r>
      <w:r>
        <w:t xml:space="preserve">Regional Implementation Teams, representing state natural resource agencies, interstate marine fisheries commissions and regional fishery management councils, </w:t>
      </w:r>
      <w:r w:rsidR="00390ACB">
        <w:t xml:space="preserve">develop Regional Implementation Plans and </w:t>
      </w:r>
      <w:r w:rsidR="002F0223">
        <w:t>convene annually to</w:t>
      </w:r>
      <w:r>
        <w:t xml:space="preserve"> identify specific needs for recreational f</w:t>
      </w:r>
      <w:r w:rsidR="002F0223">
        <w:t xml:space="preserve">isheries statistics, including needs for survey coverage, resolution, precision and timeliness of survey estimates.  The Implementation Teams most recently met in April 2019. </w:t>
      </w:r>
    </w:p>
    <w:p w:rsidR="00F41FEC" w:rsidP="002F0223" w:rsidRDefault="00F41FEC" w14:paraId="77F22B6B" w14:textId="77777777">
      <w:pPr>
        <w:spacing w:line="240" w:lineRule="auto"/>
      </w:pPr>
    </w:p>
    <w:p w:rsidR="00F41FEC" w:rsidP="00F41FEC" w:rsidRDefault="00F41FEC" w14:paraId="2078AC59" w14:textId="77777777">
      <w:pPr>
        <w:spacing w:line="240" w:lineRule="auto"/>
      </w:pPr>
      <w:r>
        <w:t xml:space="preserve">Recent </w:t>
      </w:r>
      <w:r w:rsidR="005C1A17">
        <w:t>comments</w:t>
      </w:r>
      <w:r>
        <w:t xml:space="preserve"> and questions resulting from these forums include the following:</w:t>
      </w:r>
    </w:p>
    <w:p w:rsidR="00F41FEC" w:rsidP="00F41FEC" w:rsidRDefault="00F41FEC" w14:paraId="50788B34" w14:textId="77777777">
      <w:pPr>
        <w:pStyle w:val="ListParagraph"/>
        <w:numPr>
          <w:ilvl w:val="0"/>
          <w:numId w:val="21"/>
        </w:numPr>
        <w:spacing w:line="240" w:lineRule="auto"/>
      </w:pPr>
      <w:r>
        <w:t>Current sampling levels are adequate to produce precise annual, regional catch estimates for many state managed species.</w:t>
      </w:r>
    </w:p>
    <w:p w:rsidR="007C037D" w:rsidP="005762C7" w:rsidRDefault="005762C7" w14:paraId="3B811E8F" w14:textId="77777777">
      <w:pPr>
        <w:pStyle w:val="ListParagraph"/>
        <w:numPr>
          <w:ilvl w:val="0"/>
          <w:numId w:val="21"/>
        </w:numPr>
        <w:spacing w:line="240" w:lineRule="auto"/>
      </w:pPr>
      <w:r>
        <w:t>MRIP should</w:t>
      </w:r>
      <w:r w:rsidR="005C1A17">
        <w:t xml:space="preserve"> consider conducting</w:t>
      </w:r>
      <w:r w:rsidR="007C037D">
        <w:t xml:space="preserve"> annual nonresponse studies.</w:t>
      </w:r>
    </w:p>
    <w:p w:rsidR="00F41FEC" w:rsidP="000A1F73" w:rsidRDefault="007C037D" w14:paraId="637E3787" w14:textId="77777777">
      <w:pPr>
        <w:pStyle w:val="ListParagraph"/>
        <w:spacing w:line="240" w:lineRule="auto"/>
      </w:pPr>
      <w:r>
        <w:t>Response:  We completely agree with this comment and plan to conduct r</w:t>
      </w:r>
      <w:r w:rsidR="006D30CE">
        <w:t>egular nonresponse bias studies.</w:t>
      </w:r>
    </w:p>
    <w:p w:rsidR="004049E2" w:rsidP="004049E2" w:rsidRDefault="004049E2" w14:paraId="7C251F3D" w14:textId="77777777">
      <w:pPr>
        <w:pStyle w:val="ListParagraph"/>
        <w:numPr>
          <w:ilvl w:val="0"/>
          <w:numId w:val="21"/>
        </w:numPr>
        <w:spacing w:line="240" w:lineRule="auto"/>
      </w:pPr>
      <w:r>
        <w:t>MRIP should consider providing an electronic reporting option for the FES.</w:t>
      </w:r>
    </w:p>
    <w:p w:rsidR="004049E2" w:rsidP="00700696" w:rsidRDefault="004049E2" w14:paraId="372C6843" w14:textId="77777777">
      <w:pPr>
        <w:pStyle w:val="ListParagraph"/>
        <w:spacing w:line="240" w:lineRule="auto"/>
      </w:pPr>
      <w:r>
        <w:t xml:space="preserve">Response:  We completely agree with this comment and have conducted a </w:t>
      </w:r>
      <w:r w:rsidR="00AB480D">
        <w:t xml:space="preserve">field test to evaluate the feasibility of a web push design.  </w:t>
      </w:r>
    </w:p>
    <w:p w:rsidR="00700696" w:rsidP="00E7285B" w:rsidRDefault="00700696" w14:paraId="3DA8AAFB" w14:textId="77777777">
      <w:pPr>
        <w:pStyle w:val="ListParagraph"/>
        <w:numPr>
          <w:ilvl w:val="0"/>
          <w:numId w:val="21"/>
        </w:numPr>
        <w:spacing w:line="240" w:lineRule="auto"/>
      </w:pPr>
      <w:r>
        <w:t>The SSC agrees that the FES design is an improvement over the CHTS and considers it Best Scientific Information Available.</w:t>
      </w:r>
    </w:p>
    <w:p w:rsidR="002F0223" w:rsidP="002F0223" w:rsidRDefault="002F0223" w14:paraId="0AB43475" w14:textId="77777777">
      <w:pPr>
        <w:spacing w:line="240" w:lineRule="auto"/>
      </w:pPr>
    </w:p>
    <w:p w:rsidR="00BD450D" w:rsidP="002F0223" w:rsidRDefault="002F0223" w14:paraId="3E4D14BE" w14:textId="77777777">
      <w:pPr>
        <w:spacing w:line="240" w:lineRule="auto"/>
        <w:rPr>
          <w:b/>
          <w:bCs/>
        </w:rPr>
      </w:pPr>
      <w:r>
        <w:t xml:space="preserve"> </w:t>
      </w:r>
    </w:p>
    <w:p w:rsidR="00BD450D" w:rsidP="00BD450D" w:rsidRDefault="00BD450D" w14:paraId="2E218541" w14:textId="77777777">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Pr="00B62209" w:rsidR="00BD450D" w:rsidP="00BD450D" w:rsidRDefault="00BD450D" w14:paraId="5701EC59" w14:textId="77777777">
      <w:pPr>
        <w:pStyle w:val="Default"/>
      </w:pPr>
    </w:p>
    <w:p w:rsidR="00616369" w:rsidP="002E69D8" w:rsidRDefault="00B119CD" w14:paraId="7FD4F515" w14:textId="77777777">
      <w:pPr>
        <w:pStyle w:val="Default"/>
      </w:pPr>
      <w:r>
        <w:t xml:space="preserve">The benefits of prepaid cash incentives </w:t>
      </w:r>
      <w:r w:rsidR="003E333E">
        <w:t xml:space="preserve">on </w:t>
      </w:r>
      <w:r w:rsidR="008F39D1">
        <w:t xml:space="preserve">improving survey response </w:t>
      </w:r>
      <w:r>
        <w:t>rates are well documented.</w:t>
      </w:r>
      <w:r w:rsidR="00616369">
        <w:t xml:space="preserve">  Dillman (2009) describes a small, prepaid cash incentive as a “token of appreciation” that encourages </w:t>
      </w:r>
      <w:r w:rsidR="002A2154">
        <w:t>response</w:t>
      </w:r>
      <w:r w:rsidR="00616369">
        <w:t xml:space="preserve"> and brings attention to the survey request.</w:t>
      </w:r>
      <w:r w:rsidR="002A2154">
        <w:t xml:space="preserve">  In addition to improving response rates, incentives may reduce nonresponse bias by encouraging participation from individuals with little or no interest in the survey topic</w:t>
      </w:r>
      <w:r w:rsidR="00A07C4F">
        <w:t xml:space="preserve"> (Groves et al., 2006)</w:t>
      </w:r>
      <w:r w:rsidR="002A2154">
        <w:t xml:space="preserve">.    </w:t>
      </w:r>
      <w:r w:rsidR="00616369">
        <w:t xml:space="preserve">  </w:t>
      </w:r>
      <w:r>
        <w:t xml:space="preserve">  </w:t>
      </w:r>
    </w:p>
    <w:p w:rsidR="00616369" w:rsidP="002E69D8" w:rsidRDefault="00616369" w14:paraId="27CB3645" w14:textId="77777777">
      <w:pPr>
        <w:pStyle w:val="Default"/>
      </w:pPr>
    </w:p>
    <w:p w:rsidR="008F39D1" w:rsidP="002E69D8" w:rsidRDefault="00B119CD" w14:paraId="39EDB07C" w14:textId="77777777">
      <w:pPr>
        <w:pStyle w:val="Default"/>
      </w:pPr>
      <w:r>
        <w:t xml:space="preserve">Church (1993) presents a meta-analysis of 38 experimental studies testing the impact of </w:t>
      </w:r>
      <w:r w:rsidR="003E333E">
        <w:t xml:space="preserve">cash </w:t>
      </w:r>
      <w:r>
        <w:t xml:space="preserve">incentives on mail survey response rates.  </w:t>
      </w:r>
      <w:r w:rsidR="00E26CEB">
        <w:t xml:space="preserve">The incentives, which ranged from $0.01 to $5.00 increased response rates over control groups by an average of 19.1%.  </w:t>
      </w:r>
    </w:p>
    <w:p w:rsidR="003C5C4F" w:rsidP="002E69D8" w:rsidRDefault="003C5C4F" w14:paraId="6E986075" w14:textId="77777777">
      <w:pPr>
        <w:pStyle w:val="Default"/>
      </w:pPr>
    </w:p>
    <w:p w:rsidR="006A1904" w:rsidP="002E69D8" w:rsidRDefault="006F4860" w14:paraId="66B9596B" w14:textId="77777777">
      <w:pPr>
        <w:pStyle w:val="Default"/>
      </w:pPr>
      <w:r>
        <w:t xml:space="preserve">More recently, </w:t>
      </w:r>
      <w:r w:rsidR="003C5C4F">
        <w:t xml:space="preserve">Trussell and Lavrakas (2004) </w:t>
      </w:r>
      <w:r w:rsidR="006A1904">
        <w:t xml:space="preserve">reported </w:t>
      </w:r>
      <w:r w:rsidR="003C5C4F">
        <w:t xml:space="preserve">that providing an incentive of at least $1.00 increased </w:t>
      </w:r>
      <w:r w:rsidR="006A1904">
        <w:t>response rates and cooperation rates</w:t>
      </w:r>
      <w:r w:rsidR="003C5C4F">
        <w:t xml:space="preserve"> </w:t>
      </w:r>
      <w:r w:rsidR="00A721F9">
        <w:t>to</w:t>
      </w:r>
      <w:r w:rsidR="003C5C4F">
        <w:t xml:space="preserve"> the second </w:t>
      </w:r>
      <w:r>
        <w:t>phase</w:t>
      </w:r>
      <w:r w:rsidR="003C5C4F">
        <w:t xml:space="preserve"> of a two-phase</w:t>
      </w:r>
      <w:r w:rsidR="006A1904">
        <w:t>, mixed-mode (RDD/mail diary)</w:t>
      </w:r>
      <w:r w:rsidR="003C5C4F">
        <w:t xml:space="preserve"> survey, and that</w:t>
      </w:r>
      <w:r w:rsidR="006A1904">
        <w:t xml:space="preserve"> incremental</w:t>
      </w:r>
      <w:r w:rsidR="003C5C4F">
        <w:t xml:space="preserve"> increases in incentive amounts up to $10.00 increased response rates in a linear fashion.</w:t>
      </w:r>
      <w:r w:rsidR="006A1904">
        <w:t xml:space="preserve">  These conclusions were consistent even for individuals who initially refused to participate in the second phase</w:t>
      </w:r>
      <w:r w:rsidR="007B12BD">
        <w:t xml:space="preserve"> of the study</w:t>
      </w:r>
      <w:r w:rsidR="006A1904">
        <w:t xml:space="preserve">.  </w:t>
      </w:r>
    </w:p>
    <w:p w:rsidR="003C5C4F" w:rsidP="002E69D8" w:rsidRDefault="003C5C4F" w14:paraId="6FA853E1" w14:textId="77777777">
      <w:pPr>
        <w:pStyle w:val="Default"/>
      </w:pPr>
      <w:r>
        <w:t xml:space="preserve">  </w:t>
      </w:r>
    </w:p>
    <w:p w:rsidR="002E69D8" w:rsidP="00BD450D" w:rsidRDefault="006F4860" w14:paraId="27A6E22A" w14:textId="77777777">
      <w:pPr>
        <w:pStyle w:val="Default"/>
      </w:pPr>
      <w:r>
        <w:t>Similarly</w:t>
      </w:r>
      <w:r w:rsidR="008F39D1">
        <w:t>, Brick et al. (2011) concluded that a prepaid cash incentive of $15.00 significant</w:t>
      </w:r>
      <w:r>
        <w:t xml:space="preserve">ly increased response rates </w:t>
      </w:r>
      <w:r w:rsidR="00A721F9">
        <w:t>to</w:t>
      </w:r>
      <w:r>
        <w:t xml:space="preserve"> the second phase of a national</w:t>
      </w:r>
      <w:r w:rsidR="00A721F9">
        <w:t>,</w:t>
      </w:r>
      <w:r>
        <w:t xml:space="preserve"> two-phase mail survey, and that </w:t>
      </w:r>
      <w:r w:rsidR="009C49DC">
        <w:t xml:space="preserve">response rates for a </w:t>
      </w:r>
      <w:r>
        <w:t>$5.00 incentive</w:t>
      </w:r>
      <w:r w:rsidR="009C49DC">
        <w:t xml:space="preserve"> treatment</w:t>
      </w:r>
      <w:r w:rsidR="00A721F9">
        <w:t xml:space="preserve">, while not significantly </w:t>
      </w:r>
      <w:r w:rsidR="009C49DC">
        <w:t xml:space="preserve">different from either a control group or the $15.00 experimental treatment, were in the expected direction.  In addition, the effect of the incentives </w:t>
      </w:r>
      <w:r w:rsidR="007B12BD">
        <w:t>was</w:t>
      </w:r>
      <w:r w:rsidR="009C49DC">
        <w:t xml:space="preserve"> most pronounced for the initial mailing, which could result in </w:t>
      </w:r>
      <w:r w:rsidR="009C49DC">
        <w:lastRenderedPageBreak/>
        <w:t xml:space="preserve">decreased costs for follow-up mailings.  </w:t>
      </w:r>
    </w:p>
    <w:p w:rsidR="002E69D8" w:rsidP="00BD450D" w:rsidRDefault="002E69D8" w14:paraId="483F2FD0" w14:textId="77777777">
      <w:pPr>
        <w:pStyle w:val="Default"/>
      </w:pPr>
    </w:p>
    <w:p w:rsidR="00071AFF" w:rsidP="00A7264F" w:rsidRDefault="00A7264F" w14:paraId="3B1A0E23" w14:textId="77777777">
      <w:pPr>
        <w:pStyle w:val="Default"/>
      </w:pPr>
      <w:r>
        <w:t>The init</w:t>
      </w:r>
      <w:r w:rsidR="00A64854">
        <w:t xml:space="preserve">ial two waves of the 2012-2013 </w:t>
      </w:r>
      <w:r>
        <w:t xml:space="preserve">FES </w:t>
      </w:r>
      <w:r w:rsidR="00A64854">
        <w:t xml:space="preserve">pilot study </w:t>
      </w:r>
      <w:r>
        <w:t>(OMB Control No. 0648-0652) included an experiment to test the impact of cash incentives on response rates, survey measures and cost</w:t>
      </w:r>
      <w:r w:rsidR="00D45BE9">
        <w:t xml:space="preserve"> (see Appendix 2 for details)</w:t>
      </w:r>
      <w:r>
        <w:t>.  Three levels of incentives, $1.00, $2.00 and $5.00, and a zero dollar control were tested.</w:t>
      </w:r>
      <w:r w:rsidR="00071AFF">
        <w:t xml:space="preserve">  Incentives were included in the initial survey mailing for each wave.</w:t>
      </w:r>
      <w:r>
        <w:t xml:space="preserve">  </w:t>
      </w:r>
    </w:p>
    <w:p w:rsidR="00071AFF" w:rsidP="00A7264F" w:rsidRDefault="00071AFF" w14:paraId="719D2ACE" w14:textId="77777777">
      <w:pPr>
        <w:pStyle w:val="Default"/>
      </w:pPr>
    </w:p>
    <w:p w:rsidR="004F620E" w:rsidP="00A7264F" w:rsidRDefault="00071AFF" w14:paraId="358015BA" w14:textId="391237F8">
      <w:pPr>
        <w:pStyle w:val="Default"/>
      </w:pPr>
      <w:r>
        <w:t>Tab</w:t>
      </w:r>
      <w:r w:rsidR="0057160C">
        <w:t>le 1 provides the response rates, to</w:t>
      </w:r>
      <w:r w:rsidR="004137F1">
        <w:t>tal number of completed surveys</w:t>
      </w:r>
      <w:r w:rsidR="0057160C">
        <w:t xml:space="preserve"> and relative cost per completed survey </w:t>
      </w:r>
      <w:r>
        <w:t xml:space="preserve">for each incentive treatment.  </w:t>
      </w:r>
      <w:r w:rsidR="006B7D2B">
        <w:t>The probability that a household responded</w:t>
      </w:r>
      <w:r>
        <w:t xml:space="preserve"> increased significantly with </w:t>
      </w:r>
      <w:r w:rsidR="008548ED">
        <w:t>increasing incentive amounts, and d</w:t>
      </w:r>
      <w:r w:rsidR="00FC36E8">
        <w:t xml:space="preserve">ifferences in response </w:t>
      </w:r>
      <w:r w:rsidR="006B7D2B">
        <w:t>propensity</w:t>
      </w:r>
      <w:r w:rsidR="00FC36E8">
        <w:t xml:space="preserve"> among incentive treatments were highly significant (p&lt;0.0001).  </w:t>
      </w:r>
      <w:r w:rsidR="0057160C">
        <w:t>However, w</w:t>
      </w:r>
      <w:r w:rsidR="00286A96">
        <w:t xml:space="preserve">hile the $5.00 incentive </w:t>
      </w:r>
      <w:r w:rsidR="00C352F2">
        <w:t>resulted in</w:t>
      </w:r>
      <w:r w:rsidR="00286A96">
        <w:t xml:space="preserve"> the </w:t>
      </w:r>
      <w:r w:rsidR="006161C2">
        <w:t xml:space="preserve">highest </w:t>
      </w:r>
      <w:r w:rsidR="00C352F2">
        <w:t>response rate</w:t>
      </w:r>
      <w:r w:rsidR="00286A96">
        <w:t>, the $1.00 and $2.00 treatments were the most efficient in terms of</w:t>
      </w:r>
      <w:r w:rsidR="004137F1">
        <w:t xml:space="preserve"> </w:t>
      </w:r>
      <w:r w:rsidR="006161C2">
        <w:t>c</w:t>
      </w:r>
      <w:r w:rsidR="0097608B">
        <w:t>ost</w:t>
      </w:r>
      <w:r w:rsidR="00FC36E8">
        <w:t>; including a $1.00 or $2.00 cash incentive lowered</w:t>
      </w:r>
      <w:r w:rsidR="0097608B">
        <w:t xml:space="preserve"> the cost per completed survey </w:t>
      </w:r>
      <w:r w:rsidR="002A3717">
        <w:t>by approximately 20</w:t>
      </w:r>
      <w:r w:rsidR="00FC36E8">
        <w:t>%</w:t>
      </w:r>
      <w:r w:rsidR="00286A96">
        <w:t>.</w:t>
      </w:r>
      <w:r w:rsidR="002A3717">
        <w:t xml:space="preserve"> Appendix 2 provides additional details about the incentive testing.</w:t>
      </w:r>
      <w:r w:rsidR="004F620E">
        <w:t xml:space="preserve">  </w:t>
      </w:r>
    </w:p>
    <w:p w:rsidR="004F620E" w:rsidP="00A7264F" w:rsidRDefault="004F620E" w14:paraId="0DCE41D6" w14:textId="77777777">
      <w:pPr>
        <w:pStyle w:val="Default"/>
      </w:pPr>
    </w:p>
    <w:p w:rsidR="00BA44B4" w:rsidP="00A7264F" w:rsidRDefault="00EB0982" w14:paraId="3CC06A3C" w14:textId="68CFFB8E">
      <w:pPr>
        <w:pStyle w:val="Default"/>
      </w:pPr>
      <w:r>
        <w:t xml:space="preserve">The </w:t>
      </w:r>
      <w:r w:rsidR="00B07AC6">
        <w:t>cost per completed survey</w:t>
      </w:r>
      <w:r>
        <w:t xml:space="preserve"> is slightly higher </w:t>
      </w:r>
      <w:r w:rsidR="00B07AC6">
        <w:t>for a $2.00 incentive than a</w:t>
      </w:r>
      <w:r>
        <w:t xml:space="preserve"> $1.00 incentive.  However, the $2.00 incentive results in significantly higher response </w:t>
      </w:r>
      <w:r w:rsidR="006B7D2B">
        <w:t>pr</w:t>
      </w:r>
      <w:r w:rsidR="00721FC7">
        <w:t>obabilities</w:t>
      </w:r>
      <w:r>
        <w:t xml:space="preserve"> that will </w:t>
      </w:r>
      <w:r w:rsidR="00AA5193">
        <w:t xml:space="preserve">reduce the </w:t>
      </w:r>
      <w:r w:rsidR="00483CFD">
        <w:t>risk of</w:t>
      </w:r>
      <w:r w:rsidR="00AA5193">
        <w:t xml:space="preserve"> nonresponse bias</w:t>
      </w:r>
      <w:r>
        <w:t>.</w:t>
      </w:r>
      <w:r w:rsidR="002A2EBF">
        <w:t xml:space="preserve">  </w:t>
      </w:r>
      <w:r w:rsidR="00DE6EB1">
        <w:t>In addition, testing demonstrated</w:t>
      </w:r>
      <w:r w:rsidR="003D6225">
        <w:t xml:space="preserve"> </w:t>
      </w:r>
      <w:r w:rsidR="00DE6EB1">
        <w:t xml:space="preserve">that </w:t>
      </w:r>
      <w:r w:rsidR="003D6225">
        <w:t>t</w:t>
      </w:r>
      <w:r w:rsidR="002A2EBF">
        <w:t xml:space="preserve">he </w:t>
      </w:r>
      <w:r w:rsidR="00A7768B">
        <w:t>incentive amount was more important</w:t>
      </w:r>
      <w:r w:rsidR="00E7285B">
        <w:t xml:space="preserve"> for those households that were </w:t>
      </w:r>
      <w:r w:rsidR="00A7768B">
        <w:t xml:space="preserve">less likely to be </w:t>
      </w:r>
      <w:r w:rsidR="00E7285B">
        <w:t>interested in the survey topic</w:t>
      </w:r>
      <w:r w:rsidR="005B35F4">
        <w:t xml:space="preserve"> </w:t>
      </w:r>
      <w:r w:rsidR="006627F0">
        <w:t>– larger incentives resulted in higher response rates</w:t>
      </w:r>
      <w:r w:rsidR="005B35F4">
        <w:t xml:space="preserve"> (Appendix 2)</w:t>
      </w:r>
      <w:r w:rsidR="00A7768B">
        <w:t>.</w:t>
      </w:r>
      <w:r w:rsidR="006627F0">
        <w:t xml:space="preserve">  In contrast, the incentive amount was less important for households that were more likely to be interested in the survey topi</w:t>
      </w:r>
      <w:r w:rsidR="007A3FF9">
        <w:t>c</w:t>
      </w:r>
      <w:r w:rsidR="006627F0">
        <w:t>.</w:t>
      </w:r>
      <w:r w:rsidR="00A7768B">
        <w:t xml:space="preserve">  </w:t>
      </w:r>
      <w:r w:rsidR="00007F30">
        <w:t>In a survey about birding, Groves et al. (2006)</w:t>
      </w:r>
      <w:r w:rsidR="00FB10DD">
        <w:t xml:space="preserve"> observed that</w:t>
      </w:r>
      <w:r w:rsidR="007A3FF9">
        <w:t xml:space="preserve"> a </w:t>
      </w:r>
      <w:r w:rsidR="00007F30">
        <w:t>$2.00</w:t>
      </w:r>
      <w:r w:rsidR="007A3FF9">
        <w:t xml:space="preserve"> prepaid incentive reduced differential response between birders and non-birders.  </w:t>
      </w:r>
      <w:r w:rsidR="00A7768B">
        <w:t xml:space="preserve">In the </w:t>
      </w:r>
      <w:r w:rsidR="002A2EBF">
        <w:t>FES, differential response between househol</w:t>
      </w:r>
      <w:r w:rsidR="008122F5">
        <w:t xml:space="preserve">ds </w:t>
      </w:r>
      <w:r w:rsidR="00F8087F">
        <w:t xml:space="preserve">that </w:t>
      </w:r>
      <w:r w:rsidR="00A7768B">
        <w:t>do and do not fish</w:t>
      </w:r>
      <w:r w:rsidR="008122F5">
        <w:t xml:space="preserve"> will</w:t>
      </w:r>
      <w:r w:rsidR="002A2EBF">
        <w:t xml:space="preserve"> result in bi</w:t>
      </w:r>
      <w:r w:rsidR="005B35F4">
        <w:t>ased estimates of fishing activity</w:t>
      </w:r>
      <w:r w:rsidR="002A2EBF">
        <w:t>.</w:t>
      </w:r>
      <w:r w:rsidR="00007F30">
        <w:t xml:space="preserve">  </w:t>
      </w:r>
      <w:r w:rsidR="00CC3A17">
        <w:t xml:space="preserve">As in the birding survey, a prepaid cash incentive is likely to reduce differential response between households with and without anglers.  In addition, results from incentive testing </w:t>
      </w:r>
      <w:r w:rsidR="007F732A">
        <w:t>suggest that a larger incentive will reduce differential reporting to greater extent than a smaller incentive</w:t>
      </w:r>
      <w:r w:rsidR="00BF63D8">
        <w:t xml:space="preserve"> because </w:t>
      </w:r>
      <w:r w:rsidR="00DD11AA">
        <w:t>larger incentives have a greater impact on households that are less likely to be interested in the survey topic</w:t>
      </w:r>
      <w:r w:rsidR="007F732A">
        <w:t>.</w:t>
      </w:r>
      <w:r w:rsidR="002A2EBF">
        <w:t xml:space="preserve">  </w:t>
      </w:r>
      <w:r w:rsidR="00AA5193">
        <w:t xml:space="preserve">  </w:t>
      </w:r>
      <w:r w:rsidR="00AF4190">
        <w:t xml:space="preserve">Considering </w:t>
      </w:r>
      <w:r w:rsidR="008122F5">
        <w:t xml:space="preserve">the </w:t>
      </w:r>
      <w:r w:rsidR="00277387">
        <w:t xml:space="preserve">potential risks of </w:t>
      </w:r>
      <w:r w:rsidR="000579D0">
        <w:t xml:space="preserve">associated with </w:t>
      </w:r>
      <w:r w:rsidR="00277387">
        <w:t>lower response rates</w:t>
      </w:r>
      <w:r w:rsidR="00AF4190">
        <w:t>,</w:t>
      </w:r>
      <w:r w:rsidR="00017FBB">
        <w:t xml:space="preserve"> </w:t>
      </w:r>
      <w:r w:rsidR="00EB7BB8">
        <w:t xml:space="preserve">as well as the </w:t>
      </w:r>
      <w:r w:rsidR="00287B93">
        <w:t xml:space="preserve">similar </w:t>
      </w:r>
      <w:r w:rsidR="00EB7BB8">
        <w:t>cost</w:t>
      </w:r>
      <w:r w:rsidR="00287B93">
        <w:t>s</w:t>
      </w:r>
      <w:r w:rsidR="00EB7BB8">
        <w:t xml:space="preserve"> </w:t>
      </w:r>
      <w:r w:rsidR="00293002">
        <w:t xml:space="preserve">per </w:t>
      </w:r>
      <w:r w:rsidR="00287B93">
        <w:t>completed survey</w:t>
      </w:r>
      <w:r w:rsidR="00293002">
        <w:t xml:space="preserve"> </w:t>
      </w:r>
      <w:r w:rsidR="00EB7BB8">
        <w:t xml:space="preserve">between a $1.00 and $2.00 incentive, </w:t>
      </w:r>
      <w:r w:rsidR="00017FBB">
        <w:t xml:space="preserve">the </w:t>
      </w:r>
      <w:r w:rsidR="004F620E">
        <w:t>FES will include a $2.00 cash incentive in the initial survey maili</w:t>
      </w:r>
      <w:r w:rsidR="00AD4287">
        <w:t xml:space="preserve">ngs.  </w:t>
      </w:r>
      <w:r w:rsidR="006A0B55">
        <w:t xml:space="preserve">  </w:t>
      </w:r>
    </w:p>
    <w:p w:rsidRPr="00BA44B4" w:rsidR="00BA44B4" w:rsidP="00A7264F" w:rsidRDefault="005D2B73" w14:paraId="3CB8622E" w14:textId="77777777">
      <w:pPr>
        <w:pStyle w:val="Default"/>
        <w:rPr>
          <w:b/>
        </w:rPr>
      </w:pPr>
      <w:r>
        <w:rPr>
          <w:b/>
        </w:rPr>
        <w:br/>
      </w:r>
      <w:r w:rsidRPr="00BA44B4" w:rsidR="00BA44B4">
        <w:rPr>
          <w:b/>
        </w:rPr>
        <w:t xml:space="preserve">Table 1. Response rates, number of completed surveys and relative data collection costs for each </w:t>
      </w:r>
      <w:r w:rsidR="00BA44B4">
        <w:rPr>
          <w:b/>
        </w:rPr>
        <w:t>incentive treatment</w:t>
      </w:r>
      <w:r w:rsidRPr="00BA44B4" w:rsidR="00BA44B4">
        <w:rPr>
          <w:b/>
        </w:rPr>
        <w:t xml:space="preserve"> tested during the first two waves of the MFES.</w:t>
      </w:r>
    </w:p>
    <w:p w:rsidR="00071AFF" w:rsidP="00A7264F" w:rsidRDefault="00071AFF" w14:paraId="089B4526" w14:textId="77777777">
      <w:pPr>
        <w:pStyle w:val="Default"/>
      </w:pPr>
    </w:p>
    <w:tbl>
      <w:tblPr>
        <w:tblW w:w="5828" w:type="dxa"/>
        <w:tblInd w:w="93" w:type="dxa"/>
        <w:tblLook w:val="04A0" w:firstRow="1" w:lastRow="0" w:firstColumn="1" w:lastColumn="0" w:noHBand="0" w:noVBand="1"/>
      </w:tblPr>
      <w:tblGrid>
        <w:gridCol w:w="1141"/>
        <w:gridCol w:w="1192"/>
        <w:gridCol w:w="1224"/>
        <w:gridCol w:w="2271"/>
      </w:tblGrid>
      <w:tr w:rsidRPr="004137F1" w:rsidR="00F37A65" w:rsidTr="00F37A65" w14:paraId="69A617E4" w14:textId="77777777">
        <w:trPr>
          <w:trHeight w:val="600"/>
        </w:trPr>
        <w:tc>
          <w:tcPr>
            <w:tcW w:w="1141" w:type="dxa"/>
            <w:tcBorders>
              <w:top w:val="single" w:color="auto" w:sz="4" w:space="0"/>
              <w:left w:val="nil"/>
              <w:bottom w:val="single" w:color="auto" w:sz="4" w:space="0"/>
              <w:right w:val="nil"/>
            </w:tcBorders>
            <w:shd w:val="clear" w:color="auto" w:fill="auto"/>
            <w:hideMark/>
          </w:tcPr>
          <w:p w:rsidRPr="008523EF" w:rsidR="00F37A65" w:rsidP="004137F1" w:rsidRDefault="00F37A65" w14:paraId="47B86C64" w14:textId="77777777">
            <w:pPr>
              <w:spacing w:line="240" w:lineRule="auto"/>
              <w:jc w:val="center"/>
              <w:rPr>
                <w:color w:val="000000"/>
                <w:sz w:val="22"/>
                <w:szCs w:val="22"/>
              </w:rPr>
            </w:pPr>
            <w:r w:rsidRPr="008523EF">
              <w:rPr>
                <w:color w:val="000000"/>
                <w:sz w:val="22"/>
                <w:szCs w:val="22"/>
              </w:rPr>
              <w:t>Incentive Amount</w:t>
            </w:r>
          </w:p>
        </w:tc>
        <w:tc>
          <w:tcPr>
            <w:tcW w:w="1192" w:type="dxa"/>
            <w:tcBorders>
              <w:top w:val="single" w:color="auto" w:sz="4" w:space="0"/>
              <w:left w:val="nil"/>
              <w:bottom w:val="single" w:color="auto" w:sz="4" w:space="0"/>
              <w:right w:val="nil"/>
            </w:tcBorders>
            <w:shd w:val="clear" w:color="auto" w:fill="auto"/>
            <w:hideMark/>
          </w:tcPr>
          <w:p w:rsidRPr="008523EF" w:rsidR="00F37A65" w:rsidP="004137F1" w:rsidRDefault="00F37A65" w14:paraId="09230AE7" w14:textId="77777777">
            <w:pPr>
              <w:spacing w:line="240" w:lineRule="auto"/>
              <w:jc w:val="center"/>
              <w:rPr>
                <w:color w:val="000000"/>
                <w:sz w:val="22"/>
                <w:szCs w:val="22"/>
              </w:rPr>
            </w:pPr>
            <w:r w:rsidRPr="008523EF">
              <w:rPr>
                <w:color w:val="000000"/>
                <w:sz w:val="22"/>
                <w:szCs w:val="22"/>
              </w:rPr>
              <w:t>Response Rate</w:t>
            </w:r>
          </w:p>
        </w:tc>
        <w:tc>
          <w:tcPr>
            <w:tcW w:w="1224" w:type="dxa"/>
            <w:tcBorders>
              <w:top w:val="single" w:color="auto" w:sz="4" w:space="0"/>
              <w:left w:val="nil"/>
              <w:bottom w:val="single" w:color="auto" w:sz="4" w:space="0"/>
              <w:right w:val="nil"/>
            </w:tcBorders>
            <w:shd w:val="clear" w:color="auto" w:fill="auto"/>
            <w:hideMark/>
          </w:tcPr>
          <w:p w:rsidRPr="008523EF" w:rsidR="00F37A65" w:rsidP="004137F1" w:rsidRDefault="00F37A65" w14:paraId="2065F9D7" w14:textId="77777777">
            <w:pPr>
              <w:spacing w:line="240" w:lineRule="auto"/>
              <w:jc w:val="center"/>
              <w:rPr>
                <w:color w:val="000000"/>
                <w:sz w:val="22"/>
                <w:szCs w:val="22"/>
              </w:rPr>
            </w:pPr>
            <w:r w:rsidRPr="008523EF">
              <w:rPr>
                <w:color w:val="000000"/>
                <w:sz w:val="22"/>
                <w:szCs w:val="22"/>
              </w:rPr>
              <w:t>Completed Surveys</w:t>
            </w:r>
          </w:p>
        </w:tc>
        <w:tc>
          <w:tcPr>
            <w:tcW w:w="2271" w:type="dxa"/>
            <w:tcBorders>
              <w:top w:val="single" w:color="auto" w:sz="4" w:space="0"/>
              <w:left w:val="nil"/>
              <w:bottom w:val="single" w:color="auto" w:sz="4" w:space="0"/>
              <w:right w:val="nil"/>
            </w:tcBorders>
            <w:shd w:val="clear" w:color="auto" w:fill="auto"/>
            <w:hideMark/>
          </w:tcPr>
          <w:p w:rsidRPr="008523EF" w:rsidR="00F37A65" w:rsidP="004137F1" w:rsidRDefault="00F37A65" w14:paraId="032E703F" w14:textId="4E7485CE">
            <w:pPr>
              <w:spacing w:line="240" w:lineRule="auto"/>
              <w:jc w:val="center"/>
              <w:rPr>
                <w:color w:val="000000"/>
                <w:sz w:val="22"/>
                <w:szCs w:val="22"/>
              </w:rPr>
            </w:pPr>
            <w:r w:rsidRPr="008523EF">
              <w:rPr>
                <w:color w:val="000000"/>
                <w:sz w:val="22"/>
                <w:szCs w:val="22"/>
              </w:rPr>
              <w:t>Relative Cost per Complete</w:t>
            </w:r>
            <w:r w:rsidRPr="008523EF">
              <w:rPr>
                <w:rStyle w:val="FootnoteReference"/>
                <w:color w:val="000000"/>
                <w:sz w:val="22"/>
                <w:szCs w:val="22"/>
              </w:rPr>
              <w:footnoteReference w:id="1"/>
            </w:r>
          </w:p>
        </w:tc>
      </w:tr>
      <w:tr w:rsidRPr="004137F1" w:rsidR="00F37A65" w:rsidTr="00F37A65" w14:paraId="108660A1" w14:textId="77777777">
        <w:trPr>
          <w:trHeight w:val="300"/>
        </w:trPr>
        <w:tc>
          <w:tcPr>
            <w:tcW w:w="1141" w:type="dxa"/>
            <w:tcBorders>
              <w:top w:val="nil"/>
              <w:left w:val="nil"/>
              <w:bottom w:val="nil"/>
              <w:right w:val="nil"/>
            </w:tcBorders>
            <w:shd w:val="clear" w:color="auto" w:fill="auto"/>
            <w:vAlign w:val="bottom"/>
            <w:hideMark/>
          </w:tcPr>
          <w:p w:rsidRPr="008523EF" w:rsidR="00F37A65" w:rsidP="008523EF" w:rsidRDefault="00F37A65" w14:paraId="23EF67C3" w14:textId="77777777">
            <w:pPr>
              <w:spacing w:line="240" w:lineRule="auto"/>
              <w:jc w:val="center"/>
              <w:rPr>
                <w:color w:val="000000"/>
                <w:sz w:val="22"/>
                <w:szCs w:val="22"/>
              </w:rPr>
            </w:pPr>
            <w:r w:rsidRPr="008523EF">
              <w:rPr>
                <w:color w:val="000000"/>
                <w:sz w:val="22"/>
                <w:szCs w:val="22"/>
              </w:rPr>
              <w:t xml:space="preserve">$0.00 </w:t>
            </w:r>
          </w:p>
        </w:tc>
        <w:tc>
          <w:tcPr>
            <w:tcW w:w="1192" w:type="dxa"/>
            <w:tcBorders>
              <w:top w:val="nil"/>
              <w:left w:val="nil"/>
              <w:bottom w:val="nil"/>
              <w:right w:val="nil"/>
            </w:tcBorders>
            <w:shd w:val="clear" w:color="auto" w:fill="auto"/>
            <w:hideMark/>
          </w:tcPr>
          <w:p w:rsidRPr="008523EF" w:rsidR="00F37A65" w:rsidP="008523EF" w:rsidRDefault="00F37A65" w14:paraId="326C66D4" w14:textId="77777777">
            <w:pPr>
              <w:spacing w:line="240" w:lineRule="auto"/>
              <w:jc w:val="center"/>
              <w:rPr>
                <w:color w:val="000000"/>
                <w:sz w:val="22"/>
                <w:szCs w:val="22"/>
              </w:rPr>
            </w:pPr>
            <w:r w:rsidRPr="008523EF">
              <w:rPr>
                <w:color w:val="000000"/>
                <w:sz w:val="22"/>
                <w:szCs w:val="22"/>
              </w:rPr>
              <w:t>22.6</w:t>
            </w:r>
          </w:p>
        </w:tc>
        <w:tc>
          <w:tcPr>
            <w:tcW w:w="1224" w:type="dxa"/>
            <w:tcBorders>
              <w:top w:val="nil"/>
              <w:left w:val="nil"/>
              <w:bottom w:val="nil"/>
              <w:right w:val="nil"/>
            </w:tcBorders>
            <w:shd w:val="clear" w:color="auto" w:fill="auto"/>
            <w:hideMark/>
          </w:tcPr>
          <w:p w:rsidRPr="008523EF" w:rsidR="00F37A65" w:rsidP="008523EF" w:rsidRDefault="00F37A65" w14:paraId="03B19555" w14:textId="77777777">
            <w:pPr>
              <w:spacing w:line="240" w:lineRule="auto"/>
              <w:jc w:val="center"/>
              <w:rPr>
                <w:color w:val="000000"/>
                <w:sz w:val="22"/>
                <w:szCs w:val="22"/>
              </w:rPr>
            </w:pPr>
            <w:r w:rsidRPr="008523EF">
              <w:rPr>
                <w:color w:val="000000"/>
                <w:sz w:val="22"/>
                <w:szCs w:val="22"/>
              </w:rPr>
              <w:t>2,154</w:t>
            </w:r>
          </w:p>
        </w:tc>
        <w:tc>
          <w:tcPr>
            <w:tcW w:w="2271" w:type="dxa"/>
            <w:tcBorders>
              <w:top w:val="nil"/>
              <w:left w:val="nil"/>
              <w:bottom w:val="nil"/>
              <w:right w:val="nil"/>
            </w:tcBorders>
            <w:shd w:val="clear" w:color="auto" w:fill="auto"/>
            <w:hideMark/>
          </w:tcPr>
          <w:p w:rsidRPr="008523EF" w:rsidR="00F37A65" w:rsidP="008523EF" w:rsidRDefault="00F37A65" w14:paraId="4EBA87D7" w14:textId="0A8F8C35">
            <w:pPr>
              <w:spacing w:line="240" w:lineRule="auto"/>
              <w:jc w:val="center"/>
              <w:rPr>
                <w:color w:val="000000"/>
                <w:sz w:val="22"/>
                <w:szCs w:val="22"/>
              </w:rPr>
            </w:pPr>
            <w:r w:rsidRPr="008523EF">
              <w:rPr>
                <w:color w:val="000000"/>
                <w:sz w:val="22"/>
                <w:szCs w:val="22"/>
              </w:rPr>
              <w:t>1</w:t>
            </w:r>
          </w:p>
        </w:tc>
      </w:tr>
      <w:tr w:rsidRPr="004137F1" w:rsidR="00F37A65" w:rsidTr="00F37A65" w14:paraId="15F78C46" w14:textId="77777777">
        <w:trPr>
          <w:trHeight w:val="300"/>
        </w:trPr>
        <w:tc>
          <w:tcPr>
            <w:tcW w:w="1141" w:type="dxa"/>
            <w:tcBorders>
              <w:top w:val="nil"/>
              <w:left w:val="nil"/>
              <w:bottom w:val="nil"/>
              <w:right w:val="nil"/>
            </w:tcBorders>
            <w:shd w:val="clear" w:color="auto" w:fill="auto"/>
            <w:vAlign w:val="bottom"/>
            <w:hideMark/>
          </w:tcPr>
          <w:p w:rsidRPr="008523EF" w:rsidR="00F37A65" w:rsidP="008523EF" w:rsidRDefault="00F37A65" w14:paraId="0E35BF22" w14:textId="77777777">
            <w:pPr>
              <w:spacing w:line="240" w:lineRule="auto"/>
              <w:jc w:val="center"/>
              <w:rPr>
                <w:color w:val="000000"/>
                <w:sz w:val="22"/>
                <w:szCs w:val="22"/>
              </w:rPr>
            </w:pPr>
            <w:r w:rsidRPr="008523EF">
              <w:rPr>
                <w:color w:val="000000"/>
                <w:sz w:val="22"/>
                <w:szCs w:val="22"/>
              </w:rPr>
              <w:t xml:space="preserve">$1.00 </w:t>
            </w:r>
          </w:p>
        </w:tc>
        <w:tc>
          <w:tcPr>
            <w:tcW w:w="1192" w:type="dxa"/>
            <w:tcBorders>
              <w:top w:val="nil"/>
              <w:left w:val="nil"/>
              <w:bottom w:val="nil"/>
              <w:right w:val="nil"/>
            </w:tcBorders>
            <w:shd w:val="clear" w:color="auto" w:fill="auto"/>
            <w:hideMark/>
          </w:tcPr>
          <w:p w:rsidRPr="008523EF" w:rsidR="00F37A65" w:rsidP="008523EF" w:rsidRDefault="00F37A65" w14:paraId="3EF22922" w14:textId="77777777">
            <w:pPr>
              <w:spacing w:line="240" w:lineRule="auto"/>
              <w:jc w:val="center"/>
              <w:rPr>
                <w:color w:val="000000"/>
                <w:sz w:val="22"/>
                <w:szCs w:val="22"/>
              </w:rPr>
            </w:pPr>
            <w:r w:rsidRPr="008523EF">
              <w:rPr>
                <w:color w:val="000000"/>
                <w:sz w:val="22"/>
                <w:szCs w:val="22"/>
              </w:rPr>
              <w:t>32.2</w:t>
            </w:r>
          </w:p>
        </w:tc>
        <w:tc>
          <w:tcPr>
            <w:tcW w:w="1224" w:type="dxa"/>
            <w:tcBorders>
              <w:top w:val="nil"/>
              <w:left w:val="nil"/>
              <w:bottom w:val="nil"/>
              <w:right w:val="nil"/>
            </w:tcBorders>
            <w:shd w:val="clear" w:color="auto" w:fill="auto"/>
            <w:hideMark/>
          </w:tcPr>
          <w:p w:rsidRPr="008523EF" w:rsidR="00F37A65" w:rsidP="008523EF" w:rsidRDefault="00F37A65" w14:paraId="6B20D684" w14:textId="77777777">
            <w:pPr>
              <w:spacing w:line="240" w:lineRule="auto"/>
              <w:jc w:val="center"/>
              <w:rPr>
                <w:color w:val="000000"/>
                <w:sz w:val="22"/>
                <w:szCs w:val="22"/>
              </w:rPr>
            </w:pPr>
            <w:r w:rsidRPr="008523EF">
              <w:rPr>
                <w:color w:val="000000"/>
                <w:sz w:val="22"/>
                <w:szCs w:val="22"/>
              </w:rPr>
              <w:t>3,065</w:t>
            </w:r>
          </w:p>
        </w:tc>
        <w:tc>
          <w:tcPr>
            <w:tcW w:w="2271" w:type="dxa"/>
            <w:tcBorders>
              <w:top w:val="nil"/>
              <w:left w:val="nil"/>
              <w:bottom w:val="nil"/>
              <w:right w:val="nil"/>
            </w:tcBorders>
            <w:shd w:val="clear" w:color="auto" w:fill="auto"/>
            <w:hideMark/>
          </w:tcPr>
          <w:p w:rsidRPr="008523EF" w:rsidR="00F37A65" w:rsidP="008523EF" w:rsidRDefault="00F37A65" w14:paraId="65D265A2" w14:textId="6A649D28">
            <w:pPr>
              <w:spacing w:line="240" w:lineRule="auto"/>
              <w:jc w:val="center"/>
              <w:rPr>
                <w:color w:val="000000"/>
                <w:sz w:val="22"/>
                <w:szCs w:val="22"/>
              </w:rPr>
            </w:pPr>
            <w:r w:rsidRPr="008523EF">
              <w:rPr>
                <w:color w:val="000000"/>
                <w:sz w:val="22"/>
                <w:szCs w:val="22"/>
              </w:rPr>
              <w:t>0.78</w:t>
            </w:r>
          </w:p>
        </w:tc>
      </w:tr>
      <w:tr w:rsidRPr="004137F1" w:rsidR="00F37A65" w:rsidTr="00F37A65" w14:paraId="63E3310D" w14:textId="77777777">
        <w:trPr>
          <w:trHeight w:val="300"/>
        </w:trPr>
        <w:tc>
          <w:tcPr>
            <w:tcW w:w="1141" w:type="dxa"/>
            <w:tcBorders>
              <w:top w:val="nil"/>
              <w:left w:val="nil"/>
              <w:bottom w:val="nil"/>
              <w:right w:val="nil"/>
            </w:tcBorders>
            <w:shd w:val="clear" w:color="auto" w:fill="auto"/>
            <w:vAlign w:val="bottom"/>
            <w:hideMark/>
          </w:tcPr>
          <w:p w:rsidRPr="008523EF" w:rsidR="00F37A65" w:rsidP="008523EF" w:rsidRDefault="00F37A65" w14:paraId="54CD1F69" w14:textId="77777777">
            <w:pPr>
              <w:spacing w:line="240" w:lineRule="auto"/>
              <w:jc w:val="center"/>
              <w:rPr>
                <w:color w:val="000000"/>
                <w:sz w:val="22"/>
                <w:szCs w:val="22"/>
              </w:rPr>
            </w:pPr>
            <w:r w:rsidRPr="008523EF">
              <w:rPr>
                <w:color w:val="000000"/>
                <w:sz w:val="22"/>
                <w:szCs w:val="22"/>
              </w:rPr>
              <w:t xml:space="preserve">$2.00 </w:t>
            </w:r>
          </w:p>
        </w:tc>
        <w:tc>
          <w:tcPr>
            <w:tcW w:w="1192" w:type="dxa"/>
            <w:tcBorders>
              <w:top w:val="nil"/>
              <w:left w:val="nil"/>
              <w:bottom w:val="nil"/>
              <w:right w:val="nil"/>
            </w:tcBorders>
            <w:shd w:val="clear" w:color="auto" w:fill="auto"/>
            <w:hideMark/>
          </w:tcPr>
          <w:p w:rsidRPr="008523EF" w:rsidR="00F37A65" w:rsidP="008523EF" w:rsidRDefault="00F37A65" w14:paraId="5C3AF202" w14:textId="77777777">
            <w:pPr>
              <w:spacing w:line="240" w:lineRule="auto"/>
              <w:jc w:val="center"/>
              <w:rPr>
                <w:color w:val="000000"/>
                <w:sz w:val="22"/>
                <w:szCs w:val="22"/>
              </w:rPr>
            </w:pPr>
            <w:r w:rsidRPr="008523EF">
              <w:rPr>
                <w:color w:val="000000"/>
                <w:sz w:val="22"/>
                <w:szCs w:val="22"/>
              </w:rPr>
              <w:t>36.0</w:t>
            </w:r>
          </w:p>
        </w:tc>
        <w:tc>
          <w:tcPr>
            <w:tcW w:w="1224" w:type="dxa"/>
            <w:tcBorders>
              <w:top w:val="nil"/>
              <w:left w:val="nil"/>
              <w:bottom w:val="nil"/>
              <w:right w:val="nil"/>
            </w:tcBorders>
            <w:shd w:val="clear" w:color="auto" w:fill="auto"/>
            <w:hideMark/>
          </w:tcPr>
          <w:p w:rsidRPr="008523EF" w:rsidR="00F37A65" w:rsidP="008523EF" w:rsidRDefault="00F37A65" w14:paraId="5C632206" w14:textId="77777777">
            <w:pPr>
              <w:spacing w:line="240" w:lineRule="auto"/>
              <w:jc w:val="center"/>
              <w:rPr>
                <w:color w:val="000000"/>
                <w:sz w:val="22"/>
                <w:szCs w:val="22"/>
              </w:rPr>
            </w:pPr>
            <w:r w:rsidRPr="008523EF">
              <w:rPr>
                <w:color w:val="000000"/>
                <w:sz w:val="22"/>
                <w:szCs w:val="22"/>
              </w:rPr>
              <w:t>3,415</w:t>
            </w:r>
          </w:p>
        </w:tc>
        <w:tc>
          <w:tcPr>
            <w:tcW w:w="2271" w:type="dxa"/>
            <w:tcBorders>
              <w:top w:val="nil"/>
              <w:left w:val="nil"/>
              <w:bottom w:val="nil"/>
              <w:right w:val="nil"/>
            </w:tcBorders>
            <w:shd w:val="clear" w:color="auto" w:fill="auto"/>
            <w:hideMark/>
          </w:tcPr>
          <w:p w:rsidRPr="008523EF" w:rsidR="00F37A65" w:rsidP="008523EF" w:rsidRDefault="00F37A65" w14:paraId="621D1E37" w14:textId="6DFCBB28">
            <w:pPr>
              <w:spacing w:line="240" w:lineRule="auto"/>
              <w:jc w:val="center"/>
              <w:rPr>
                <w:color w:val="000000"/>
                <w:sz w:val="22"/>
                <w:szCs w:val="22"/>
              </w:rPr>
            </w:pPr>
            <w:r w:rsidRPr="008523EF">
              <w:rPr>
                <w:color w:val="000000"/>
                <w:sz w:val="22"/>
                <w:szCs w:val="22"/>
              </w:rPr>
              <w:t>0.80</w:t>
            </w:r>
          </w:p>
        </w:tc>
      </w:tr>
      <w:tr w:rsidRPr="004137F1" w:rsidR="00F37A65" w:rsidTr="00F37A65" w14:paraId="53792E3B" w14:textId="77777777">
        <w:trPr>
          <w:trHeight w:val="300"/>
        </w:trPr>
        <w:tc>
          <w:tcPr>
            <w:tcW w:w="1141" w:type="dxa"/>
            <w:tcBorders>
              <w:top w:val="nil"/>
              <w:left w:val="nil"/>
              <w:bottom w:val="single" w:color="auto" w:sz="4" w:space="0"/>
              <w:right w:val="nil"/>
            </w:tcBorders>
            <w:shd w:val="clear" w:color="auto" w:fill="auto"/>
            <w:vAlign w:val="bottom"/>
            <w:hideMark/>
          </w:tcPr>
          <w:p w:rsidRPr="008523EF" w:rsidR="00F37A65" w:rsidP="008523EF" w:rsidRDefault="00F37A65" w14:paraId="1DDDAC72" w14:textId="77777777">
            <w:pPr>
              <w:spacing w:line="240" w:lineRule="auto"/>
              <w:jc w:val="center"/>
              <w:rPr>
                <w:color w:val="000000"/>
                <w:sz w:val="22"/>
                <w:szCs w:val="22"/>
              </w:rPr>
            </w:pPr>
            <w:r w:rsidRPr="008523EF">
              <w:rPr>
                <w:color w:val="000000"/>
                <w:sz w:val="22"/>
                <w:szCs w:val="22"/>
              </w:rPr>
              <w:lastRenderedPageBreak/>
              <w:t xml:space="preserve">$5.00 </w:t>
            </w:r>
          </w:p>
        </w:tc>
        <w:tc>
          <w:tcPr>
            <w:tcW w:w="1192" w:type="dxa"/>
            <w:tcBorders>
              <w:top w:val="nil"/>
              <w:left w:val="nil"/>
              <w:bottom w:val="single" w:color="auto" w:sz="4" w:space="0"/>
              <w:right w:val="nil"/>
            </w:tcBorders>
            <w:shd w:val="clear" w:color="auto" w:fill="auto"/>
            <w:vAlign w:val="bottom"/>
            <w:hideMark/>
          </w:tcPr>
          <w:p w:rsidRPr="008523EF" w:rsidR="00F37A65" w:rsidP="008523EF" w:rsidRDefault="00F37A65" w14:paraId="5C2D5A65" w14:textId="77777777">
            <w:pPr>
              <w:spacing w:line="240" w:lineRule="auto"/>
              <w:jc w:val="center"/>
              <w:rPr>
                <w:color w:val="000000"/>
                <w:sz w:val="22"/>
                <w:szCs w:val="22"/>
              </w:rPr>
            </w:pPr>
            <w:r w:rsidRPr="008523EF">
              <w:rPr>
                <w:color w:val="000000"/>
                <w:sz w:val="22"/>
                <w:szCs w:val="22"/>
              </w:rPr>
              <w:t>40.8</w:t>
            </w:r>
          </w:p>
        </w:tc>
        <w:tc>
          <w:tcPr>
            <w:tcW w:w="1224" w:type="dxa"/>
            <w:tcBorders>
              <w:top w:val="nil"/>
              <w:left w:val="nil"/>
              <w:bottom w:val="single" w:color="auto" w:sz="4" w:space="0"/>
              <w:right w:val="nil"/>
            </w:tcBorders>
            <w:shd w:val="clear" w:color="auto" w:fill="auto"/>
            <w:vAlign w:val="bottom"/>
            <w:hideMark/>
          </w:tcPr>
          <w:p w:rsidRPr="008523EF" w:rsidR="00F37A65" w:rsidP="008523EF" w:rsidRDefault="00F37A65" w14:paraId="52F1AB62" w14:textId="77777777">
            <w:pPr>
              <w:spacing w:line="240" w:lineRule="auto"/>
              <w:jc w:val="center"/>
              <w:rPr>
                <w:color w:val="000000"/>
                <w:sz w:val="22"/>
                <w:szCs w:val="22"/>
              </w:rPr>
            </w:pPr>
            <w:r w:rsidRPr="008523EF">
              <w:rPr>
                <w:color w:val="000000"/>
                <w:sz w:val="22"/>
                <w:szCs w:val="22"/>
              </w:rPr>
              <w:t>3,807</w:t>
            </w:r>
          </w:p>
        </w:tc>
        <w:tc>
          <w:tcPr>
            <w:tcW w:w="2271" w:type="dxa"/>
            <w:tcBorders>
              <w:top w:val="nil"/>
              <w:left w:val="nil"/>
              <w:bottom w:val="single" w:color="auto" w:sz="4" w:space="0"/>
              <w:right w:val="nil"/>
            </w:tcBorders>
            <w:shd w:val="clear" w:color="auto" w:fill="auto"/>
            <w:hideMark/>
          </w:tcPr>
          <w:p w:rsidRPr="008523EF" w:rsidR="00F37A65" w:rsidP="008523EF" w:rsidRDefault="00F37A65" w14:paraId="1C48AE83" w14:textId="51D170AE">
            <w:pPr>
              <w:spacing w:line="240" w:lineRule="auto"/>
              <w:jc w:val="center"/>
              <w:rPr>
                <w:color w:val="000000"/>
                <w:sz w:val="22"/>
                <w:szCs w:val="22"/>
              </w:rPr>
            </w:pPr>
            <w:r w:rsidRPr="008523EF">
              <w:rPr>
                <w:color w:val="000000"/>
                <w:sz w:val="22"/>
                <w:szCs w:val="22"/>
              </w:rPr>
              <w:t>1.15</w:t>
            </w:r>
          </w:p>
        </w:tc>
      </w:tr>
    </w:tbl>
    <w:p w:rsidRPr="00B62209" w:rsidR="00BD450D" w:rsidP="00BD450D" w:rsidRDefault="00BD450D" w14:paraId="6AEF6EEA" w14:textId="77777777">
      <w:pPr>
        <w:pStyle w:val="Default"/>
      </w:pPr>
    </w:p>
    <w:p w:rsidR="00BD450D" w:rsidP="00BD450D" w:rsidRDefault="00BD450D" w14:paraId="7E7EECE8" w14:textId="77777777">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Pr="00B62209" w:rsidR="00BD450D" w:rsidP="00BD450D" w:rsidRDefault="00BD450D" w14:paraId="665381AE" w14:textId="77777777">
      <w:pPr>
        <w:pStyle w:val="Default"/>
      </w:pPr>
    </w:p>
    <w:p w:rsidR="00E374E8" w:rsidP="00631E16" w:rsidRDefault="00E374E8" w14:paraId="2CA2E4BA" w14:textId="77777777">
      <w:pPr>
        <w:pStyle w:val="Default"/>
      </w:pPr>
      <w:r>
        <w:t>No personally identifiable information will be collected through t</w:t>
      </w:r>
      <w:r w:rsidR="009F2BEC">
        <w:t>he survey</w:t>
      </w:r>
      <w:r w:rsidR="008B0F6F">
        <w:t xml:space="preserve">.  Responses </w:t>
      </w:r>
      <w:r w:rsidR="00046927">
        <w:t>will only be associated with a unique, randomly assigned identification code</w:t>
      </w:r>
      <w:r>
        <w:t>.</w:t>
      </w:r>
      <w:r w:rsidR="00046927">
        <w:t xml:space="preserve">  </w:t>
      </w:r>
      <w:r w:rsidR="008B0F6F">
        <w:t xml:space="preserve">Any public release of survey data will be without identification as to its source or in aggregate statistical form.  </w:t>
      </w:r>
      <w:r w:rsidR="00046927">
        <w:t>All survey</w:t>
      </w:r>
      <w:r>
        <w:t xml:space="preserve"> data </w:t>
      </w:r>
      <w:r w:rsidR="00046927">
        <w:t>will be</w:t>
      </w:r>
      <w:r>
        <w:t xml:space="preserve"> </w:t>
      </w:r>
      <w:r w:rsidR="006473C1">
        <w:t xml:space="preserve">stored on secured, password protected servers, and all transfer of survey data will </w:t>
      </w:r>
      <w:r w:rsidR="00046927">
        <w:t>utilize</w:t>
      </w:r>
      <w:r w:rsidR="006473C1">
        <w:t xml:space="preserve"> secure file transfer protocols.</w:t>
      </w:r>
      <w:r w:rsidR="009F2BEC">
        <w:t xml:space="preserve">  </w:t>
      </w:r>
    </w:p>
    <w:p w:rsidRPr="00E374E8" w:rsidR="001E17D0" w:rsidP="00631E16" w:rsidRDefault="001E17D0" w14:paraId="002D785C" w14:textId="77777777">
      <w:pPr>
        <w:pStyle w:val="Default"/>
      </w:pPr>
    </w:p>
    <w:p w:rsidR="00BD450D" w:rsidP="00A64854" w:rsidRDefault="00464B9B" w14:paraId="6B6F0B28" w14:textId="77777777">
      <w:pPr>
        <w:pStyle w:val="CM23"/>
        <w:spacing w:after="0"/>
        <w:rPr>
          <w:b/>
          <w:bCs/>
        </w:rPr>
      </w:pPr>
      <w:r>
        <w:rPr>
          <w:b/>
          <w:bCs/>
        </w:rPr>
        <w:t>1</w:t>
      </w:r>
      <w:r w:rsidR="00BD450D">
        <w:rPr>
          <w:b/>
          <w:bCs/>
        </w:rPr>
        <w:t xml:space="preserve">1. </w:t>
      </w:r>
      <w:r w:rsidR="00BD450D">
        <w:rPr>
          <w:b/>
          <w:bCs/>
          <w:u w:val="single"/>
        </w:rPr>
        <w:t>Provide additional justification for any questions of a sensitive nature, such as sexual behavior and attitudes, religious beliefs, and other matters that are commonly considered private</w:t>
      </w:r>
      <w:r w:rsidR="00BD450D">
        <w:rPr>
          <w:b/>
          <w:bCs/>
        </w:rPr>
        <w:t xml:space="preserve">. </w:t>
      </w:r>
    </w:p>
    <w:p w:rsidRPr="0067695B" w:rsidR="00BD450D" w:rsidP="00BD450D" w:rsidRDefault="00BD450D" w14:paraId="1E0BDE0B" w14:textId="77777777">
      <w:pPr>
        <w:pStyle w:val="Default"/>
      </w:pPr>
    </w:p>
    <w:p w:rsidR="00BD450D" w:rsidP="00BD450D" w:rsidRDefault="00BD450D" w14:paraId="48520C0F" w14:textId="77777777">
      <w:pPr>
        <w:pStyle w:val="CM22"/>
        <w:spacing w:after="0"/>
      </w:pPr>
      <w:r>
        <w:t xml:space="preserve">No sensitive questions are asked. </w:t>
      </w:r>
    </w:p>
    <w:p w:rsidRPr="0067695B" w:rsidR="006850F5" w:rsidP="006850F5" w:rsidRDefault="006850F5" w14:paraId="0EA580E8" w14:textId="77777777">
      <w:pPr>
        <w:pStyle w:val="Default"/>
      </w:pPr>
    </w:p>
    <w:p w:rsidR="006850F5" w:rsidP="006850F5" w:rsidRDefault="006850F5" w14:paraId="7E4EF581" w14:textId="77777777">
      <w:pPr>
        <w:pStyle w:val="CM23"/>
        <w:spacing w:after="0"/>
      </w:pPr>
      <w:r>
        <w:rPr>
          <w:b/>
          <w:bCs/>
        </w:rPr>
        <w:t xml:space="preserve">12. </w:t>
      </w:r>
      <w:r>
        <w:rPr>
          <w:b/>
          <w:bCs/>
          <w:u w:val="single"/>
        </w:rPr>
        <w:t>Provide an estimate in hours of the burden of the collection of information</w:t>
      </w:r>
      <w:r>
        <w:rPr>
          <w:b/>
          <w:bCs/>
        </w:rPr>
        <w:t xml:space="preserve">. </w:t>
      </w:r>
      <w:r>
        <w:t xml:space="preserve"> </w:t>
      </w:r>
    </w:p>
    <w:p w:rsidRPr="0067695B" w:rsidR="006850F5" w:rsidP="006850F5" w:rsidRDefault="006850F5" w14:paraId="362D6307" w14:textId="77777777">
      <w:pPr>
        <w:pStyle w:val="Default"/>
      </w:pPr>
    </w:p>
    <w:p w:rsidRPr="0045480D" w:rsidR="0021267A" w:rsidP="0021267A" w:rsidRDefault="0021267A" w14:paraId="063CE57A" w14:textId="77777777">
      <w:pPr>
        <w:pStyle w:val="P1-StandPara"/>
        <w:spacing w:line="240" w:lineRule="auto"/>
        <w:ind w:firstLine="0"/>
        <w:rPr>
          <w:rFonts w:ascii="Times New Roman" w:hAnsi="Times New Roman"/>
          <w:b/>
        </w:rPr>
      </w:pPr>
      <w:r w:rsidRPr="0045480D">
        <w:rPr>
          <w:rFonts w:ascii="Times New Roman" w:hAnsi="Times New Roman"/>
        </w:rPr>
        <w:t>The estimated annual response burden per survey activity and the total estimated annual response burden are shown in Table 2.  The expected number of respondents and responses are based upon anticipated sample sizes and historical FES response rates. The hourly rate of $25.22 is based upon the average for all civilian workers from the March 2019 National Compensation Survey (</w:t>
      </w:r>
      <w:hyperlink w:history="1" r:id="rId11">
        <w:r w:rsidRPr="0045480D">
          <w:rPr>
            <w:rStyle w:val="Hyperlink"/>
            <w:rFonts w:ascii="Times New Roman" w:hAnsi="Times New Roman"/>
          </w:rPr>
          <w:t>https://www.bls.gov/news.release/ecec.t02.htm</w:t>
        </w:r>
      </w:hyperlink>
      <w:r w:rsidRPr="0045480D">
        <w:rPr>
          <w:rFonts w:ascii="Times New Roman" w:hAnsi="Times New Roman"/>
        </w:rPr>
        <w:t xml:space="preserve">).  There are no other costs to respondents, and there are no recordkeeping requirements associated with MRIP Fishing Effort Survey.  A total of </w:t>
      </w:r>
      <w:r w:rsidR="00372ED4">
        <w:rPr>
          <w:rFonts w:ascii="Times New Roman" w:hAnsi="Times New Roman"/>
        </w:rPr>
        <w:t>9,687</w:t>
      </w:r>
      <w:r w:rsidRPr="0045480D">
        <w:rPr>
          <w:rFonts w:ascii="Times New Roman" w:hAnsi="Times New Roman"/>
        </w:rPr>
        <w:t xml:space="preserve"> annual burden hours is anticipated, resulting in an annual cost to respondents of approximately $</w:t>
      </w:r>
      <w:r w:rsidR="00372ED4">
        <w:rPr>
          <w:rFonts w:ascii="Times New Roman" w:hAnsi="Times New Roman"/>
        </w:rPr>
        <w:t>244,306</w:t>
      </w:r>
      <w:r w:rsidRPr="0045480D">
        <w:rPr>
          <w:rFonts w:ascii="Times New Roman" w:hAnsi="Times New Roman"/>
        </w:rPr>
        <w:t>.</w:t>
      </w:r>
    </w:p>
    <w:p w:rsidR="0021267A" w:rsidP="00934049" w:rsidRDefault="0021267A" w14:paraId="693C3C4E" w14:textId="77777777">
      <w:pPr>
        <w:pStyle w:val="NoSpacing"/>
      </w:pPr>
      <w:r>
        <w:t xml:space="preserve">  </w:t>
      </w:r>
    </w:p>
    <w:p w:rsidR="008F3397" w:rsidP="00934049" w:rsidRDefault="005A656E" w14:paraId="46E26503" w14:textId="77777777">
      <w:pPr>
        <w:pStyle w:val="NoSpacing"/>
      </w:pPr>
      <w:r>
        <w:t xml:space="preserve"> </w:t>
      </w:r>
    </w:p>
    <w:p w:rsidR="006665B2" w:rsidP="00934049" w:rsidRDefault="006665B2" w14:paraId="7649F469" w14:textId="77777777">
      <w:pPr>
        <w:pStyle w:val="NoSpacing"/>
      </w:pPr>
    </w:p>
    <w:p w:rsidR="009A3305" w:rsidP="00934049" w:rsidRDefault="00144581" w14:paraId="553BCE41" w14:textId="1FD69623">
      <w:pPr>
        <w:pStyle w:val="NoSpacing"/>
        <w:rPr>
          <w:sz w:val="22"/>
          <w:szCs w:val="22"/>
        </w:rPr>
      </w:pPr>
      <w:r>
        <w:t>Table 2. Estimated</w:t>
      </w:r>
      <w:r w:rsidR="0078773B">
        <w:t xml:space="preserve"> annual</w:t>
      </w:r>
      <w:r>
        <w:t xml:space="preserve"> response burden</w:t>
      </w:r>
      <w:r>
        <w:fldChar w:fldCharType="begin"/>
      </w:r>
      <w:r>
        <w:instrText xml:space="preserve"> LINK </w:instrText>
      </w:r>
      <w:r w:rsidR="009A3305">
        <w:instrText xml:space="preserve">Excel.Sheet.12 \\\\HQDATA1\\GROUPS1\\ST\\ST1\\MRFSS\\OMB_PRA\\FES\\2020\\FES_OMB_PRA_2020_response_burden.xlsx Sheet1!R1C1:R5C7 </w:instrText>
      </w:r>
      <w:r>
        <w:instrText xml:space="preserve">\a \f 5 \h  \* MERGEFORMAT </w:instrText>
      </w:r>
      <w:r>
        <w:fldChar w:fldCharType="separate"/>
      </w:r>
    </w:p>
    <w:p w:rsidR="00144581" w:rsidP="00934049" w:rsidRDefault="00144581" w14:paraId="3C091AB4" w14:textId="77777777">
      <w:pPr>
        <w:pStyle w:val="NoSpacing"/>
      </w:pPr>
      <w:r>
        <w:fldChar w:fldCharType="end"/>
      </w:r>
    </w:p>
    <w:tbl>
      <w:tblPr>
        <w:tblW w:w="9533" w:type="dxa"/>
        <w:tblLook w:val="04A0" w:firstRow="1" w:lastRow="0" w:firstColumn="1" w:lastColumn="0" w:noHBand="0" w:noVBand="1"/>
      </w:tblPr>
      <w:tblGrid>
        <w:gridCol w:w="3498"/>
        <w:gridCol w:w="1032"/>
        <w:gridCol w:w="1046"/>
        <w:gridCol w:w="1153"/>
        <w:gridCol w:w="1273"/>
        <w:gridCol w:w="1074"/>
        <w:gridCol w:w="887"/>
      </w:tblGrid>
      <w:tr w:rsidRPr="00144581" w:rsidR="00846635" w:rsidTr="00846635" w14:paraId="2A391979" w14:textId="77777777">
        <w:trPr>
          <w:trHeight w:val="1029"/>
        </w:trPr>
        <w:tc>
          <w:tcPr>
            <w:tcW w:w="3498"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21267A" w14:paraId="4452375E" w14:textId="77777777">
            <w:pPr>
              <w:spacing w:line="240" w:lineRule="auto"/>
              <w:jc w:val="center"/>
              <w:rPr>
                <w:rFonts w:ascii="Calibri" w:hAnsi="Calibri" w:cs="Calibri"/>
                <w:color w:val="000000"/>
                <w:sz w:val="20"/>
                <w:szCs w:val="20"/>
              </w:rPr>
            </w:pPr>
            <w:r>
              <w:rPr>
                <w:rFonts w:ascii="Calibri" w:hAnsi="Calibri" w:cs="Calibri"/>
                <w:color w:val="000000"/>
                <w:sz w:val="20"/>
                <w:szCs w:val="20"/>
              </w:rPr>
              <w:t>Survey Activ</w:t>
            </w:r>
            <w:r w:rsidR="001E17D0">
              <w:rPr>
                <w:rFonts w:ascii="Calibri" w:hAnsi="Calibri" w:cs="Calibri"/>
                <w:color w:val="000000"/>
                <w:sz w:val="20"/>
                <w:szCs w:val="20"/>
              </w:rPr>
              <w:t>i</w:t>
            </w:r>
            <w:r>
              <w:rPr>
                <w:rFonts w:ascii="Calibri" w:hAnsi="Calibri" w:cs="Calibri"/>
                <w:color w:val="000000"/>
                <w:sz w:val="20"/>
                <w:szCs w:val="20"/>
              </w:rPr>
              <w:t>ty</w:t>
            </w:r>
          </w:p>
        </w:tc>
        <w:tc>
          <w:tcPr>
            <w:tcW w:w="944"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2122F208"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time (minutes)</w:t>
            </w:r>
          </w:p>
        </w:tc>
        <w:tc>
          <w:tcPr>
            <w:tcW w:w="993"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54ABF16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Sampled Addresses</w:t>
            </w:r>
          </w:p>
        </w:tc>
        <w:tc>
          <w:tcPr>
            <w:tcW w:w="1054"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6359B83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Anticipated Response Rate</w:t>
            </w:r>
          </w:p>
        </w:tc>
        <w:tc>
          <w:tcPr>
            <w:tcW w:w="1164"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03FDED9B"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Number of Respondents</w:t>
            </w:r>
          </w:p>
        </w:tc>
        <w:tc>
          <w:tcPr>
            <w:tcW w:w="993"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3F9106EF"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Number of Responses</w:t>
            </w:r>
          </w:p>
        </w:tc>
        <w:tc>
          <w:tcPr>
            <w:tcW w:w="887" w:type="dxa"/>
            <w:tcBorders>
              <w:top w:val="single" w:color="auto" w:sz="4" w:space="0"/>
              <w:left w:val="nil"/>
              <w:bottom w:val="single" w:color="auto" w:sz="4" w:space="0"/>
              <w:right w:val="nil"/>
            </w:tcBorders>
            <w:shd w:val="clear" w:color="auto" w:fill="auto"/>
            <w:vAlign w:val="bottom"/>
            <w:hideMark/>
          </w:tcPr>
          <w:p w:rsidRPr="00144581" w:rsidR="00144581" w:rsidP="00144581" w:rsidRDefault="00144581" w14:paraId="39C3DE6F"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Total Time (hours)</w:t>
            </w:r>
          </w:p>
        </w:tc>
      </w:tr>
      <w:tr w:rsidRPr="00144581" w:rsidR="00846635" w:rsidTr="00846635" w14:paraId="5D8B1163" w14:textId="77777777">
        <w:trPr>
          <w:trHeight w:val="312"/>
        </w:trPr>
        <w:tc>
          <w:tcPr>
            <w:tcW w:w="3498" w:type="dxa"/>
            <w:tcBorders>
              <w:top w:val="nil"/>
              <w:left w:val="nil"/>
              <w:bottom w:val="nil"/>
              <w:right w:val="nil"/>
            </w:tcBorders>
            <w:shd w:val="clear" w:color="auto" w:fill="auto"/>
            <w:noWrap/>
            <w:vAlign w:val="bottom"/>
            <w:hideMark/>
          </w:tcPr>
          <w:p w:rsidRPr="00144581" w:rsidR="00144581" w:rsidP="00144581" w:rsidRDefault="00144581" w14:paraId="6B9305EE" w14:textId="77777777">
            <w:pPr>
              <w:spacing w:line="240" w:lineRule="auto"/>
              <w:rPr>
                <w:rFonts w:ascii="Calibri" w:hAnsi="Calibri" w:cs="Calibri"/>
                <w:color w:val="000000"/>
                <w:sz w:val="20"/>
                <w:szCs w:val="20"/>
              </w:rPr>
            </w:pPr>
            <w:r w:rsidRPr="00144581">
              <w:rPr>
                <w:rFonts w:ascii="Calibri" w:hAnsi="Calibri" w:cs="Calibri"/>
                <w:color w:val="000000"/>
                <w:sz w:val="20"/>
                <w:szCs w:val="20"/>
              </w:rPr>
              <w:t>Weather and Outdoor Activity Survey</w:t>
            </w:r>
          </w:p>
        </w:tc>
        <w:tc>
          <w:tcPr>
            <w:tcW w:w="944" w:type="dxa"/>
            <w:tcBorders>
              <w:top w:val="nil"/>
              <w:left w:val="nil"/>
              <w:bottom w:val="nil"/>
              <w:right w:val="nil"/>
            </w:tcBorders>
            <w:shd w:val="clear" w:color="auto" w:fill="auto"/>
            <w:noWrap/>
            <w:vAlign w:val="bottom"/>
            <w:hideMark/>
          </w:tcPr>
          <w:p w:rsidRPr="00144581" w:rsidR="00144581" w:rsidP="00144581" w:rsidRDefault="00144581" w14:paraId="0257668A"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5</w:t>
            </w:r>
          </w:p>
        </w:tc>
        <w:tc>
          <w:tcPr>
            <w:tcW w:w="993" w:type="dxa"/>
            <w:tcBorders>
              <w:top w:val="nil"/>
              <w:left w:val="nil"/>
              <w:bottom w:val="nil"/>
              <w:right w:val="nil"/>
            </w:tcBorders>
            <w:shd w:val="clear" w:color="auto" w:fill="auto"/>
            <w:noWrap/>
            <w:vAlign w:val="bottom"/>
            <w:hideMark/>
          </w:tcPr>
          <w:p w:rsidRPr="00144581" w:rsidR="00144581" w:rsidP="00144581" w:rsidRDefault="00144581" w14:paraId="6E055EF9"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342,975</w:t>
            </w:r>
            <w:r w:rsidR="008F3397">
              <w:rPr>
                <w:rStyle w:val="FootnoteReference"/>
                <w:rFonts w:ascii="Calibri" w:hAnsi="Calibri"/>
                <w:color w:val="000000"/>
                <w:sz w:val="20"/>
                <w:szCs w:val="20"/>
              </w:rPr>
              <w:footnoteReference w:id="2"/>
            </w:r>
          </w:p>
        </w:tc>
        <w:tc>
          <w:tcPr>
            <w:tcW w:w="1054" w:type="dxa"/>
            <w:tcBorders>
              <w:top w:val="nil"/>
              <w:left w:val="nil"/>
              <w:bottom w:val="nil"/>
              <w:right w:val="nil"/>
            </w:tcBorders>
            <w:shd w:val="clear" w:color="auto" w:fill="auto"/>
            <w:noWrap/>
            <w:vAlign w:val="bottom"/>
            <w:hideMark/>
          </w:tcPr>
          <w:p w:rsidRPr="00144581" w:rsidR="00144581" w:rsidP="00144581" w:rsidRDefault="00144581" w14:paraId="5F19620E"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34.13%</w:t>
            </w:r>
          </w:p>
        </w:tc>
        <w:tc>
          <w:tcPr>
            <w:tcW w:w="1164" w:type="dxa"/>
            <w:tcBorders>
              <w:top w:val="nil"/>
              <w:left w:val="nil"/>
              <w:bottom w:val="nil"/>
              <w:right w:val="nil"/>
            </w:tcBorders>
            <w:shd w:val="clear" w:color="auto" w:fill="auto"/>
            <w:noWrap/>
            <w:vAlign w:val="bottom"/>
            <w:hideMark/>
          </w:tcPr>
          <w:p w:rsidRPr="00144581" w:rsidR="00144581" w:rsidP="00144581" w:rsidRDefault="00144581" w14:paraId="6BD39DB5"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110,000</w:t>
            </w:r>
          </w:p>
        </w:tc>
        <w:tc>
          <w:tcPr>
            <w:tcW w:w="993" w:type="dxa"/>
            <w:tcBorders>
              <w:top w:val="nil"/>
              <w:left w:val="nil"/>
              <w:bottom w:val="nil"/>
              <w:right w:val="nil"/>
            </w:tcBorders>
            <w:shd w:val="clear" w:color="auto" w:fill="auto"/>
            <w:noWrap/>
            <w:vAlign w:val="bottom"/>
            <w:hideMark/>
          </w:tcPr>
          <w:p w:rsidRPr="00144581" w:rsidR="00144581" w:rsidP="00144581" w:rsidRDefault="00144581" w14:paraId="305614C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110,000</w:t>
            </w:r>
          </w:p>
        </w:tc>
        <w:tc>
          <w:tcPr>
            <w:tcW w:w="887" w:type="dxa"/>
            <w:tcBorders>
              <w:top w:val="nil"/>
              <w:left w:val="nil"/>
              <w:bottom w:val="nil"/>
              <w:right w:val="nil"/>
            </w:tcBorders>
            <w:shd w:val="clear" w:color="auto" w:fill="auto"/>
            <w:noWrap/>
            <w:vAlign w:val="bottom"/>
            <w:hideMark/>
          </w:tcPr>
          <w:p w:rsidRPr="00144581" w:rsidR="00144581" w:rsidP="00144581" w:rsidRDefault="00144581" w14:paraId="7168D39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9,167</w:t>
            </w:r>
          </w:p>
        </w:tc>
      </w:tr>
      <w:tr w:rsidRPr="00144581" w:rsidR="00846635" w:rsidTr="00846635" w14:paraId="1A35128C" w14:textId="77777777">
        <w:trPr>
          <w:trHeight w:val="312"/>
        </w:trPr>
        <w:tc>
          <w:tcPr>
            <w:tcW w:w="3498" w:type="dxa"/>
            <w:tcBorders>
              <w:top w:val="nil"/>
              <w:left w:val="nil"/>
              <w:bottom w:val="nil"/>
              <w:right w:val="nil"/>
            </w:tcBorders>
            <w:shd w:val="clear" w:color="auto" w:fill="auto"/>
            <w:noWrap/>
            <w:vAlign w:val="bottom"/>
            <w:hideMark/>
          </w:tcPr>
          <w:p w:rsidRPr="00144581" w:rsidR="00144581" w:rsidP="00144581" w:rsidRDefault="001E17D0" w14:paraId="3B26FDC6" w14:textId="77777777">
            <w:pPr>
              <w:spacing w:line="240" w:lineRule="auto"/>
              <w:rPr>
                <w:rFonts w:ascii="Calibri" w:hAnsi="Calibri" w:cs="Calibri"/>
                <w:color w:val="000000"/>
                <w:sz w:val="20"/>
                <w:szCs w:val="20"/>
              </w:rPr>
            </w:pPr>
            <w:r>
              <w:rPr>
                <w:rFonts w:ascii="Calibri" w:hAnsi="Calibri" w:cs="Calibri"/>
                <w:color w:val="000000"/>
                <w:sz w:val="20"/>
                <w:szCs w:val="20"/>
              </w:rPr>
              <w:t>Nonresponse Follow-up Study</w:t>
            </w:r>
            <w:r>
              <w:rPr>
                <w:rStyle w:val="FootnoteReference"/>
                <w:rFonts w:ascii="Calibri" w:hAnsi="Calibri"/>
                <w:color w:val="000000"/>
                <w:sz w:val="20"/>
                <w:szCs w:val="20"/>
              </w:rPr>
              <w:footnoteReference w:id="3"/>
            </w:r>
          </w:p>
        </w:tc>
        <w:tc>
          <w:tcPr>
            <w:tcW w:w="944" w:type="dxa"/>
            <w:tcBorders>
              <w:top w:val="nil"/>
              <w:left w:val="nil"/>
              <w:bottom w:val="nil"/>
              <w:right w:val="nil"/>
            </w:tcBorders>
            <w:shd w:val="clear" w:color="auto" w:fill="auto"/>
            <w:noWrap/>
            <w:vAlign w:val="bottom"/>
            <w:hideMark/>
          </w:tcPr>
          <w:p w:rsidRPr="00144581" w:rsidR="00144581" w:rsidP="00144581" w:rsidRDefault="00144581" w14:paraId="61E2639A"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5</w:t>
            </w:r>
          </w:p>
        </w:tc>
        <w:tc>
          <w:tcPr>
            <w:tcW w:w="993" w:type="dxa"/>
            <w:tcBorders>
              <w:top w:val="nil"/>
              <w:left w:val="nil"/>
              <w:bottom w:val="nil"/>
              <w:right w:val="nil"/>
            </w:tcBorders>
            <w:shd w:val="clear" w:color="auto" w:fill="auto"/>
            <w:noWrap/>
            <w:vAlign w:val="bottom"/>
            <w:hideMark/>
          </w:tcPr>
          <w:p w:rsidRPr="00144581" w:rsidR="00144581" w:rsidP="00144581" w:rsidRDefault="0017777D" w14:paraId="45140082" w14:textId="77777777">
            <w:pPr>
              <w:spacing w:line="240" w:lineRule="auto"/>
              <w:jc w:val="center"/>
              <w:rPr>
                <w:rFonts w:ascii="Calibri" w:hAnsi="Calibri" w:cs="Calibri"/>
                <w:color w:val="000000"/>
                <w:sz w:val="20"/>
                <w:szCs w:val="20"/>
              </w:rPr>
            </w:pPr>
            <w:r>
              <w:rPr>
                <w:rFonts w:ascii="Calibri" w:hAnsi="Calibri" w:cs="Calibri"/>
                <w:color w:val="000000"/>
                <w:sz w:val="20"/>
                <w:szCs w:val="20"/>
              </w:rPr>
              <w:t>4,792</w:t>
            </w:r>
            <w:r w:rsidR="00CF0715">
              <w:rPr>
                <w:rStyle w:val="FootnoteReference"/>
                <w:rFonts w:ascii="Calibri" w:hAnsi="Calibri"/>
                <w:color w:val="000000"/>
                <w:sz w:val="20"/>
                <w:szCs w:val="20"/>
              </w:rPr>
              <w:footnoteReference w:id="4"/>
            </w:r>
          </w:p>
        </w:tc>
        <w:tc>
          <w:tcPr>
            <w:tcW w:w="1054" w:type="dxa"/>
            <w:tcBorders>
              <w:top w:val="nil"/>
              <w:left w:val="nil"/>
              <w:bottom w:val="nil"/>
              <w:right w:val="nil"/>
            </w:tcBorders>
            <w:shd w:val="clear" w:color="auto" w:fill="auto"/>
            <w:noWrap/>
            <w:vAlign w:val="bottom"/>
            <w:hideMark/>
          </w:tcPr>
          <w:p w:rsidRPr="00144581" w:rsidR="00144581" w:rsidP="00144581" w:rsidRDefault="00144581" w14:paraId="2B6454D8"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30%</w:t>
            </w:r>
          </w:p>
        </w:tc>
        <w:tc>
          <w:tcPr>
            <w:tcW w:w="1164" w:type="dxa"/>
            <w:tcBorders>
              <w:top w:val="nil"/>
              <w:left w:val="nil"/>
              <w:bottom w:val="nil"/>
              <w:right w:val="nil"/>
            </w:tcBorders>
            <w:shd w:val="clear" w:color="auto" w:fill="auto"/>
            <w:noWrap/>
            <w:vAlign w:val="bottom"/>
            <w:hideMark/>
          </w:tcPr>
          <w:p w:rsidRPr="00144581" w:rsidR="00144581" w:rsidP="00144581" w:rsidRDefault="0017777D" w14:paraId="43179F3C" w14:textId="77777777">
            <w:pPr>
              <w:spacing w:line="240" w:lineRule="auto"/>
              <w:jc w:val="center"/>
              <w:rPr>
                <w:rFonts w:ascii="Calibri" w:hAnsi="Calibri" w:cs="Calibri"/>
                <w:color w:val="000000"/>
                <w:sz w:val="20"/>
                <w:szCs w:val="20"/>
              </w:rPr>
            </w:pPr>
            <w:r>
              <w:rPr>
                <w:rFonts w:ascii="Calibri" w:hAnsi="Calibri" w:cs="Calibri"/>
                <w:color w:val="000000"/>
                <w:sz w:val="20"/>
                <w:szCs w:val="20"/>
              </w:rPr>
              <w:t>1,438</w:t>
            </w:r>
          </w:p>
        </w:tc>
        <w:tc>
          <w:tcPr>
            <w:tcW w:w="993" w:type="dxa"/>
            <w:tcBorders>
              <w:top w:val="nil"/>
              <w:left w:val="nil"/>
              <w:bottom w:val="nil"/>
              <w:right w:val="nil"/>
            </w:tcBorders>
            <w:shd w:val="clear" w:color="auto" w:fill="auto"/>
            <w:noWrap/>
            <w:vAlign w:val="bottom"/>
            <w:hideMark/>
          </w:tcPr>
          <w:p w:rsidRPr="00144581" w:rsidR="00144581" w:rsidP="00144581" w:rsidRDefault="0017777D" w14:paraId="7C44A68C" w14:textId="77777777">
            <w:pPr>
              <w:spacing w:line="240" w:lineRule="auto"/>
              <w:jc w:val="center"/>
              <w:rPr>
                <w:rFonts w:ascii="Calibri" w:hAnsi="Calibri" w:cs="Calibri"/>
                <w:color w:val="000000"/>
                <w:sz w:val="20"/>
                <w:szCs w:val="20"/>
              </w:rPr>
            </w:pPr>
            <w:r>
              <w:rPr>
                <w:rFonts w:ascii="Calibri" w:hAnsi="Calibri" w:cs="Calibri"/>
                <w:color w:val="000000"/>
                <w:sz w:val="20"/>
                <w:szCs w:val="20"/>
              </w:rPr>
              <w:t>1,438</w:t>
            </w:r>
          </w:p>
        </w:tc>
        <w:tc>
          <w:tcPr>
            <w:tcW w:w="887" w:type="dxa"/>
            <w:tcBorders>
              <w:top w:val="nil"/>
              <w:left w:val="nil"/>
              <w:bottom w:val="nil"/>
              <w:right w:val="nil"/>
            </w:tcBorders>
            <w:shd w:val="clear" w:color="auto" w:fill="auto"/>
            <w:noWrap/>
            <w:vAlign w:val="bottom"/>
            <w:hideMark/>
          </w:tcPr>
          <w:p w:rsidRPr="00144581" w:rsidR="00144581" w:rsidP="00144581" w:rsidRDefault="0017777D" w14:paraId="70B63C52" w14:textId="77777777">
            <w:pPr>
              <w:spacing w:line="240" w:lineRule="auto"/>
              <w:jc w:val="center"/>
              <w:rPr>
                <w:rFonts w:ascii="Calibri" w:hAnsi="Calibri" w:cs="Calibri"/>
                <w:color w:val="000000"/>
                <w:sz w:val="20"/>
                <w:szCs w:val="20"/>
              </w:rPr>
            </w:pPr>
            <w:r>
              <w:rPr>
                <w:rFonts w:ascii="Calibri" w:hAnsi="Calibri" w:cs="Calibri"/>
                <w:color w:val="000000"/>
                <w:sz w:val="20"/>
                <w:szCs w:val="20"/>
              </w:rPr>
              <w:t>120</w:t>
            </w:r>
          </w:p>
        </w:tc>
      </w:tr>
      <w:tr w:rsidRPr="00144581" w:rsidR="00846635" w:rsidTr="00846635" w14:paraId="363CA38D" w14:textId="77777777">
        <w:trPr>
          <w:trHeight w:val="312"/>
        </w:trPr>
        <w:tc>
          <w:tcPr>
            <w:tcW w:w="3498" w:type="dxa"/>
            <w:tcBorders>
              <w:top w:val="nil"/>
              <w:left w:val="nil"/>
              <w:bottom w:val="single" w:color="auto" w:sz="4" w:space="0"/>
              <w:right w:val="nil"/>
            </w:tcBorders>
            <w:shd w:val="clear" w:color="auto" w:fill="auto"/>
            <w:noWrap/>
            <w:vAlign w:val="bottom"/>
            <w:hideMark/>
          </w:tcPr>
          <w:p w:rsidRPr="00144581" w:rsidR="00144581" w:rsidP="001E17D0" w:rsidRDefault="00144581" w14:paraId="011548F9" w14:textId="77777777">
            <w:pPr>
              <w:spacing w:line="240" w:lineRule="auto"/>
              <w:rPr>
                <w:rFonts w:ascii="Calibri" w:hAnsi="Calibri" w:cs="Calibri"/>
                <w:color w:val="000000"/>
                <w:sz w:val="20"/>
                <w:szCs w:val="20"/>
              </w:rPr>
            </w:pPr>
            <w:r w:rsidRPr="00144581">
              <w:rPr>
                <w:rFonts w:ascii="Calibri" w:hAnsi="Calibri" w:cs="Calibri"/>
                <w:color w:val="000000"/>
                <w:sz w:val="20"/>
                <w:szCs w:val="20"/>
              </w:rPr>
              <w:lastRenderedPageBreak/>
              <w:t>Recreational Saltwater Boat Fishing Survey</w:t>
            </w:r>
            <w:r w:rsidR="001E17D0">
              <w:rPr>
                <w:rStyle w:val="FootnoteReference"/>
                <w:rFonts w:ascii="Calibri" w:hAnsi="Calibri"/>
                <w:color w:val="000000"/>
                <w:sz w:val="20"/>
                <w:szCs w:val="20"/>
              </w:rPr>
              <w:footnoteReference w:id="5"/>
            </w:r>
          </w:p>
        </w:tc>
        <w:tc>
          <w:tcPr>
            <w:tcW w:w="944" w:type="dxa"/>
            <w:tcBorders>
              <w:top w:val="nil"/>
              <w:left w:val="nil"/>
              <w:bottom w:val="single" w:color="auto" w:sz="4" w:space="0"/>
              <w:right w:val="nil"/>
            </w:tcBorders>
            <w:shd w:val="clear" w:color="auto" w:fill="auto"/>
            <w:noWrap/>
            <w:vAlign w:val="bottom"/>
            <w:hideMark/>
          </w:tcPr>
          <w:p w:rsidRPr="00144581" w:rsidR="00144581" w:rsidP="00144581" w:rsidRDefault="00144581" w14:paraId="289D3035"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7</w:t>
            </w:r>
          </w:p>
        </w:tc>
        <w:tc>
          <w:tcPr>
            <w:tcW w:w="993" w:type="dxa"/>
            <w:tcBorders>
              <w:top w:val="nil"/>
              <w:left w:val="nil"/>
              <w:bottom w:val="single" w:color="auto" w:sz="4" w:space="0"/>
              <w:right w:val="nil"/>
            </w:tcBorders>
            <w:shd w:val="clear" w:color="auto" w:fill="auto"/>
            <w:noWrap/>
            <w:vAlign w:val="bottom"/>
            <w:hideMark/>
          </w:tcPr>
          <w:p w:rsidRPr="00144581" w:rsidR="00144581" w:rsidP="00144581" w:rsidRDefault="001F69AF" w14:paraId="314F1A20" w14:textId="77777777">
            <w:pPr>
              <w:spacing w:line="240" w:lineRule="auto"/>
              <w:jc w:val="center"/>
              <w:rPr>
                <w:rFonts w:ascii="Calibri" w:hAnsi="Calibri" w:cs="Calibri"/>
                <w:color w:val="000000"/>
                <w:sz w:val="20"/>
                <w:szCs w:val="20"/>
              </w:rPr>
            </w:pPr>
            <w:r>
              <w:rPr>
                <w:rFonts w:ascii="Calibri" w:hAnsi="Calibri" w:cs="Calibri"/>
                <w:color w:val="000000"/>
                <w:sz w:val="20"/>
                <w:szCs w:val="20"/>
              </w:rPr>
              <w:t>10,417</w:t>
            </w:r>
            <w:r>
              <w:rPr>
                <w:rStyle w:val="FootnoteReference"/>
                <w:rFonts w:ascii="Calibri" w:hAnsi="Calibri"/>
                <w:color w:val="000000"/>
                <w:sz w:val="20"/>
                <w:szCs w:val="20"/>
              </w:rPr>
              <w:footnoteReference w:id="6"/>
            </w:r>
          </w:p>
        </w:tc>
        <w:tc>
          <w:tcPr>
            <w:tcW w:w="1054" w:type="dxa"/>
            <w:tcBorders>
              <w:top w:val="nil"/>
              <w:left w:val="nil"/>
              <w:bottom w:val="single" w:color="auto" w:sz="4" w:space="0"/>
              <w:right w:val="nil"/>
            </w:tcBorders>
            <w:shd w:val="clear" w:color="auto" w:fill="auto"/>
            <w:noWrap/>
            <w:vAlign w:val="bottom"/>
            <w:hideMark/>
          </w:tcPr>
          <w:p w:rsidRPr="00144581" w:rsidR="00144581" w:rsidP="00144581" w:rsidRDefault="001F69AF" w14:paraId="42AA1DCC" w14:textId="77777777">
            <w:pPr>
              <w:spacing w:line="240" w:lineRule="auto"/>
              <w:jc w:val="center"/>
              <w:rPr>
                <w:rFonts w:ascii="Calibri" w:hAnsi="Calibri" w:cs="Calibri"/>
                <w:color w:val="000000"/>
                <w:sz w:val="20"/>
                <w:szCs w:val="20"/>
              </w:rPr>
            </w:pPr>
            <w:r>
              <w:rPr>
                <w:rFonts w:ascii="Calibri" w:hAnsi="Calibri" w:cs="Calibri"/>
                <w:color w:val="000000"/>
                <w:sz w:val="20"/>
                <w:szCs w:val="20"/>
              </w:rPr>
              <w:t>35.03</w:t>
            </w:r>
            <w:r w:rsidRPr="00144581" w:rsidR="00144581">
              <w:rPr>
                <w:rFonts w:ascii="Calibri" w:hAnsi="Calibri" w:cs="Calibri"/>
                <w:color w:val="000000"/>
                <w:sz w:val="20"/>
                <w:szCs w:val="20"/>
              </w:rPr>
              <w:t>%</w:t>
            </w:r>
          </w:p>
        </w:tc>
        <w:tc>
          <w:tcPr>
            <w:tcW w:w="1164" w:type="dxa"/>
            <w:tcBorders>
              <w:top w:val="nil"/>
              <w:left w:val="nil"/>
              <w:bottom w:val="single" w:color="auto" w:sz="4" w:space="0"/>
              <w:right w:val="nil"/>
            </w:tcBorders>
            <w:shd w:val="clear" w:color="auto" w:fill="auto"/>
            <w:noWrap/>
            <w:vAlign w:val="bottom"/>
            <w:hideMark/>
          </w:tcPr>
          <w:p w:rsidRPr="00144581" w:rsidR="00144581" w:rsidP="00144581" w:rsidRDefault="001F69AF" w14:paraId="1345E6FA" w14:textId="77777777">
            <w:pPr>
              <w:spacing w:line="240" w:lineRule="auto"/>
              <w:jc w:val="center"/>
              <w:rPr>
                <w:rFonts w:ascii="Calibri" w:hAnsi="Calibri" w:cs="Calibri"/>
                <w:color w:val="000000"/>
                <w:sz w:val="20"/>
                <w:szCs w:val="20"/>
              </w:rPr>
            </w:pPr>
            <w:r>
              <w:rPr>
                <w:rFonts w:ascii="Calibri" w:hAnsi="Calibri" w:cs="Calibri"/>
                <w:color w:val="000000"/>
                <w:sz w:val="20"/>
                <w:szCs w:val="20"/>
              </w:rPr>
              <w:t>3,430</w:t>
            </w:r>
          </w:p>
        </w:tc>
        <w:tc>
          <w:tcPr>
            <w:tcW w:w="993" w:type="dxa"/>
            <w:tcBorders>
              <w:top w:val="nil"/>
              <w:left w:val="nil"/>
              <w:bottom w:val="single" w:color="auto" w:sz="4" w:space="0"/>
              <w:right w:val="nil"/>
            </w:tcBorders>
            <w:shd w:val="clear" w:color="auto" w:fill="auto"/>
            <w:noWrap/>
            <w:vAlign w:val="bottom"/>
            <w:hideMark/>
          </w:tcPr>
          <w:p w:rsidRPr="00144581" w:rsidR="00144581" w:rsidP="00144581" w:rsidRDefault="00525663" w14:paraId="7BBAC81A" w14:textId="77777777">
            <w:pPr>
              <w:spacing w:line="240" w:lineRule="auto"/>
              <w:jc w:val="center"/>
              <w:rPr>
                <w:rFonts w:ascii="Calibri" w:hAnsi="Calibri" w:cs="Calibri"/>
                <w:color w:val="000000"/>
                <w:sz w:val="20"/>
                <w:szCs w:val="20"/>
              </w:rPr>
            </w:pPr>
            <w:r>
              <w:rPr>
                <w:rFonts w:ascii="Calibri" w:hAnsi="Calibri" w:cs="Calibri"/>
                <w:color w:val="000000"/>
                <w:sz w:val="20"/>
                <w:szCs w:val="20"/>
              </w:rPr>
              <w:t>3,430</w:t>
            </w:r>
          </w:p>
        </w:tc>
        <w:tc>
          <w:tcPr>
            <w:tcW w:w="887" w:type="dxa"/>
            <w:tcBorders>
              <w:top w:val="nil"/>
              <w:left w:val="nil"/>
              <w:bottom w:val="single" w:color="auto" w:sz="4" w:space="0"/>
              <w:right w:val="nil"/>
            </w:tcBorders>
            <w:shd w:val="clear" w:color="auto" w:fill="auto"/>
            <w:noWrap/>
            <w:vAlign w:val="bottom"/>
            <w:hideMark/>
          </w:tcPr>
          <w:p w:rsidRPr="00144581" w:rsidR="00144581" w:rsidP="00144581" w:rsidRDefault="00525663" w14:paraId="479B91FE" w14:textId="77777777">
            <w:pPr>
              <w:spacing w:line="240" w:lineRule="auto"/>
              <w:jc w:val="center"/>
              <w:rPr>
                <w:rFonts w:ascii="Calibri" w:hAnsi="Calibri" w:cs="Calibri"/>
                <w:color w:val="000000"/>
                <w:sz w:val="20"/>
                <w:szCs w:val="20"/>
              </w:rPr>
            </w:pPr>
            <w:r>
              <w:rPr>
                <w:rFonts w:ascii="Calibri" w:hAnsi="Calibri" w:cs="Calibri"/>
                <w:color w:val="000000"/>
                <w:sz w:val="20"/>
                <w:szCs w:val="20"/>
              </w:rPr>
              <w:t>400</w:t>
            </w:r>
          </w:p>
        </w:tc>
      </w:tr>
      <w:tr w:rsidRPr="00144581" w:rsidR="00846635" w:rsidTr="00846635" w14:paraId="0F39F6D8" w14:textId="77777777">
        <w:trPr>
          <w:trHeight w:val="312"/>
        </w:trPr>
        <w:tc>
          <w:tcPr>
            <w:tcW w:w="3498" w:type="dxa"/>
            <w:tcBorders>
              <w:top w:val="nil"/>
              <w:left w:val="nil"/>
              <w:bottom w:val="single" w:color="auto" w:sz="4" w:space="0"/>
              <w:right w:val="nil"/>
            </w:tcBorders>
            <w:shd w:val="clear" w:color="auto" w:fill="auto"/>
            <w:noWrap/>
            <w:vAlign w:val="bottom"/>
            <w:hideMark/>
          </w:tcPr>
          <w:p w:rsidRPr="00144581" w:rsidR="00144581" w:rsidP="00144581" w:rsidRDefault="00144581" w14:paraId="4F5B2FBD" w14:textId="77777777">
            <w:pPr>
              <w:spacing w:line="240" w:lineRule="auto"/>
              <w:rPr>
                <w:rFonts w:ascii="Calibri" w:hAnsi="Calibri" w:cs="Calibri"/>
                <w:b/>
                <w:bCs/>
                <w:color w:val="000000"/>
                <w:sz w:val="20"/>
                <w:szCs w:val="20"/>
              </w:rPr>
            </w:pPr>
            <w:r w:rsidRPr="00144581">
              <w:rPr>
                <w:rFonts w:ascii="Calibri" w:hAnsi="Calibri" w:cs="Calibri"/>
                <w:b/>
                <w:bCs/>
                <w:color w:val="000000"/>
                <w:sz w:val="20"/>
                <w:szCs w:val="20"/>
              </w:rPr>
              <w:t>Study Total</w:t>
            </w:r>
          </w:p>
        </w:tc>
        <w:tc>
          <w:tcPr>
            <w:tcW w:w="944" w:type="dxa"/>
            <w:tcBorders>
              <w:top w:val="nil"/>
              <w:left w:val="nil"/>
              <w:bottom w:val="single" w:color="auto" w:sz="4" w:space="0"/>
              <w:right w:val="nil"/>
            </w:tcBorders>
            <w:shd w:val="clear" w:color="auto" w:fill="auto"/>
            <w:noWrap/>
            <w:vAlign w:val="bottom"/>
            <w:hideMark/>
          </w:tcPr>
          <w:p w:rsidRPr="00144581" w:rsidR="00144581" w:rsidP="00144581" w:rsidRDefault="00144581" w14:paraId="7843457E"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993" w:type="dxa"/>
            <w:tcBorders>
              <w:top w:val="nil"/>
              <w:left w:val="nil"/>
              <w:bottom w:val="single" w:color="auto" w:sz="4" w:space="0"/>
              <w:right w:val="nil"/>
            </w:tcBorders>
            <w:shd w:val="clear" w:color="auto" w:fill="auto"/>
            <w:noWrap/>
            <w:vAlign w:val="bottom"/>
            <w:hideMark/>
          </w:tcPr>
          <w:p w:rsidRPr="00144581" w:rsidR="00144581" w:rsidP="00144581" w:rsidRDefault="00144581" w14:paraId="47CDD8D3"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054" w:type="dxa"/>
            <w:tcBorders>
              <w:top w:val="nil"/>
              <w:left w:val="nil"/>
              <w:bottom w:val="single" w:color="auto" w:sz="4" w:space="0"/>
              <w:right w:val="nil"/>
            </w:tcBorders>
            <w:shd w:val="clear" w:color="auto" w:fill="auto"/>
            <w:noWrap/>
            <w:vAlign w:val="bottom"/>
            <w:hideMark/>
          </w:tcPr>
          <w:p w:rsidRPr="00144581" w:rsidR="00144581" w:rsidP="00144581" w:rsidRDefault="00144581" w14:paraId="3F03FFC7"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164" w:type="dxa"/>
            <w:tcBorders>
              <w:top w:val="nil"/>
              <w:left w:val="nil"/>
              <w:bottom w:val="single" w:color="auto" w:sz="4" w:space="0"/>
              <w:right w:val="nil"/>
            </w:tcBorders>
            <w:shd w:val="clear" w:color="auto" w:fill="auto"/>
            <w:noWrap/>
            <w:vAlign w:val="bottom"/>
            <w:hideMark/>
          </w:tcPr>
          <w:p w:rsidRPr="00144581" w:rsidR="00144581" w:rsidP="00144581" w:rsidRDefault="0017777D" w14:paraId="17784911" w14:textId="77777777">
            <w:pPr>
              <w:spacing w:line="240" w:lineRule="auto"/>
              <w:jc w:val="center"/>
              <w:rPr>
                <w:rFonts w:ascii="Calibri" w:hAnsi="Calibri" w:cs="Calibri"/>
                <w:b/>
                <w:bCs/>
                <w:color w:val="000000"/>
                <w:sz w:val="20"/>
                <w:szCs w:val="20"/>
              </w:rPr>
            </w:pPr>
            <w:r>
              <w:rPr>
                <w:rFonts w:ascii="Calibri" w:hAnsi="Calibri" w:cs="Calibri"/>
                <w:b/>
                <w:bCs/>
                <w:color w:val="000000"/>
                <w:sz w:val="20"/>
                <w:szCs w:val="20"/>
              </w:rPr>
              <w:t>114,868</w:t>
            </w:r>
          </w:p>
        </w:tc>
        <w:tc>
          <w:tcPr>
            <w:tcW w:w="993" w:type="dxa"/>
            <w:tcBorders>
              <w:top w:val="nil"/>
              <w:left w:val="nil"/>
              <w:bottom w:val="single" w:color="auto" w:sz="4" w:space="0"/>
              <w:right w:val="nil"/>
            </w:tcBorders>
            <w:shd w:val="clear" w:color="auto" w:fill="auto"/>
            <w:noWrap/>
            <w:vAlign w:val="bottom"/>
            <w:hideMark/>
          </w:tcPr>
          <w:p w:rsidRPr="00144581" w:rsidR="00144581" w:rsidP="00144581" w:rsidRDefault="0017777D" w14:paraId="7C97C77F" w14:textId="77777777">
            <w:pPr>
              <w:spacing w:line="240" w:lineRule="auto"/>
              <w:jc w:val="center"/>
              <w:rPr>
                <w:rFonts w:ascii="Calibri" w:hAnsi="Calibri" w:cs="Calibri"/>
                <w:b/>
                <w:bCs/>
                <w:color w:val="000000"/>
                <w:sz w:val="20"/>
                <w:szCs w:val="20"/>
              </w:rPr>
            </w:pPr>
            <w:r>
              <w:rPr>
                <w:rFonts w:ascii="Calibri" w:hAnsi="Calibri" w:cs="Calibri"/>
                <w:b/>
                <w:bCs/>
                <w:color w:val="000000"/>
                <w:sz w:val="20"/>
                <w:szCs w:val="20"/>
              </w:rPr>
              <w:t>114,868</w:t>
            </w:r>
          </w:p>
        </w:tc>
        <w:tc>
          <w:tcPr>
            <w:tcW w:w="887" w:type="dxa"/>
            <w:tcBorders>
              <w:top w:val="nil"/>
              <w:left w:val="nil"/>
              <w:bottom w:val="single" w:color="auto" w:sz="4" w:space="0"/>
              <w:right w:val="nil"/>
            </w:tcBorders>
            <w:shd w:val="clear" w:color="auto" w:fill="auto"/>
            <w:noWrap/>
            <w:vAlign w:val="bottom"/>
            <w:hideMark/>
          </w:tcPr>
          <w:p w:rsidRPr="00144581" w:rsidR="00144581" w:rsidP="00144581" w:rsidRDefault="0017777D" w14:paraId="65CD476C" w14:textId="77777777">
            <w:pPr>
              <w:spacing w:line="240" w:lineRule="auto"/>
              <w:jc w:val="center"/>
              <w:rPr>
                <w:rFonts w:ascii="Calibri" w:hAnsi="Calibri" w:cs="Calibri"/>
                <w:b/>
                <w:bCs/>
                <w:color w:val="000000"/>
                <w:sz w:val="20"/>
                <w:szCs w:val="20"/>
              </w:rPr>
            </w:pPr>
            <w:r>
              <w:rPr>
                <w:rFonts w:ascii="Calibri" w:hAnsi="Calibri" w:cs="Calibri"/>
                <w:b/>
                <w:bCs/>
                <w:color w:val="000000"/>
                <w:sz w:val="20"/>
                <w:szCs w:val="20"/>
              </w:rPr>
              <w:t>9,687</w:t>
            </w:r>
          </w:p>
        </w:tc>
      </w:tr>
    </w:tbl>
    <w:p w:rsidR="00144581" w:rsidP="00934049" w:rsidRDefault="00144581" w14:paraId="3DBF7291" w14:textId="77777777">
      <w:pPr>
        <w:pStyle w:val="NoSpacing"/>
      </w:pPr>
    </w:p>
    <w:p w:rsidR="008812E9" w:rsidP="00934049" w:rsidRDefault="008812E9" w14:paraId="749B040E" w14:textId="77777777">
      <w:pPr>
        <w:pStyle w:val="NoSpacing"/>
      </w:pPr>
    </w:p>
    <w:p w:rsidRPr="00637759" w:rsidR="006850F5" w:rsidP="00637759" w:rsidRDefault="006850F5" w14:paraId="79F7960D" w14:textId="77777777">
      <w:pPr>
        <w:spacing w:line="240" w:lineRule="auto"/>
        <w:rPr>
          <w:b/>
          <w:u w:val="single"/>
        </w:rPr>
      </w:pPr>
      <w:r w:rsidRPr="00637759">
        <w:rPr>
          <w:b/>
          <w:u w:val="single"/>
        </w:rPr>
        <w:t xml:space="preserve">13. Provide an estimate of the total annual cost burden to the respondents or record-keepers resulting from the collection (excluding the value of the burden hours in Question 12 above). </w:t>
      </w:r>
    </w:p>
    <w:p w:rsidR="00BD22E1" w:rsidP="006850F5" w:rsidRDefault="00BD22E1" w14:paraId="2A44726D" w14:textId="77777777">
      <w:pPr>
        <w:pStyle w:val="CM4"/>
        <w:spacing w:line="240" w:lineRule="auto"/>
        <w:ind w:right="533"/>
      </w:pPr>
    </w:p>
    <w:p w:rsidR="006850F5" w:rsidP="006850F5" w:rsidRDefault="00BD22E1" w14:paraId="1EE68343" w14:textId="77777777">
      <w:pPr>
        <w:pStyle w:val="CM4"/>
        <w:spacing w:line="240" w:lineRule="auto"/>
        <w:ind w:right="533"/>
      </w:pPr>
      <w:r>
        <w:t>T</w:t>
      </w:r>
      <w:r w:rsidR="006850F5">
        <w:t xml:space="preserve">hese data collections will incur no cost burden on respondents beyond the costs of response time. </w:t>
      </w:r>
      <w:r w:rsidR="005472DE">
        <w:t xml:space="preserve"> Envelopes with prepaid postage will be included in the questionnaire mailing.</w:t>
      </w:r>
    </w:p>
    <w:p w:rsidR="009E132F" w:rsidP="006850F5" w:rsidRDefault="009E132F" w14:paraId="0C4655A5" w14:textId="77777777">
      <w:pPr>
        <w:pStyle w:val="Default"/>
        <w:keepNext/>
        <w:widowControl/>
        <w:rPr>
          <w:b/>
          <w:bCs/>
          <w:color w:val="auto"/>
        </w:rPr>
      </w:pPr>
    </w:p>
    <w:p w:rsidR="006850F5" w:rsidP="006850F5" w:rsidRDefault="006850F5" w14:paraId="0150462E" w14:textId="77777777">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P="006850F5" w:rsidRDefault="006850F5" w14:paraId="7FA0FEC4" w14:textId="77777777">
      <w:pPr>
        <w:pStyle w:val="CM22"/>
        <w:keepNext/>
        <w:widowControl/>
        <w:spacing w:after="0"/>
        <w:ind w:right="375"/>
      </w:pPr>
    </w:p>
    <w:p w:rsidR="006850F5" w:rsidP="006850F5" w:rsidRDefault="006850F5" w14:paraId="5E5A9DEA" w14:textId="1FD05ED6">
      <w:pPr>
        <w:pStyle w:val="CM22"/>
        <w:keepNext/>
        <w:widowControl/>
        <w:spacing w:after="0"/>
        <w:ind w:right="375"/>
      </w:pPr>
      <w:r>
        <w:t>Annual cost to the Federal government</w:t>
      </w:r>
      <w:r w:rsidR="00B66B09">
        <w:t xml:space="preserve"> is approximately $</w:t>
      </w:r>
      <w:r w:rsidR="002B1668">
        <w:t>2,671,655</w:t>
      </w:r>
      <w:r w:rsidR="00B66B09">
        <w:t>: $</w:t>
      </w:r>
      <w:r w:rsidR="002B1668">
        <w:t>2,468,655</w:t>
      </w:r>
      <w:r>
        <w:t xml:space="preserve"> i</w:t>
      </w:r>
      <w:r w:rsidR="002B1668">
        <w:t>n data collection costs and $203</w:t>
      </w:r>
      <w:r>
        <w:t>,000 in professional staff</w:t>
      </w:r>
      <w:r w:rsidR="00020554">
        <w:t xml:space="preserve"> salaries</w:t>
      </w:r>
      <w:r>
        <w:t xml:space="preserve">. </w:t>
      </w:r>
    </w:p>
    <w:p w:rsidR="002B1668" w:rsidP="002B1668" w:rsidRDefault="002B1668" w14:paraId="5568F100" w14:textId="77777777">
      <w:pPr>
        <w:pStyle w:val="Default"/>
      </w:pPr>
    </w:p>
    <w:tbl>
      <w:tblPr>
        <w:tblW w:w="8630" w:type="dxa"/>
        <w:tblLook w:val="04A0" w:firstRow="1" w:lastRow="0" w:firstColumn="1" w:lastColumn="0" w:noHBand="0" w:noVBand="1"/>
      </w:tblPr>
      <w:tblGrid>
        <w:gridCol w:w="2280"/>
        <w:gridCol w:w="1120"/>
        <w:gridCol w:w="1140"/>
        <w:gridCol w:w="1120"/>
        <w:gridCol w:w="1280"/>
        <w:gridCol w:w="1690"/>
      </w:tblGrid>
      <w:tr w:rsidRPr="002B1668" w:rsidR="002B1668" w:rsidTr="002B1668" w14:paraId="47F87A21"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2B1668" w:rsidR="002B1668" w:rsidP="002B1668" w:rsidRDefault="002B1668" w14:paraId="35F2626B"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2EB67F69"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2B1668" w:rsidR="002B1668" w:rsidP="00020554" w:rsidRDefault="002B1668" w14:paraId="2A429F23" w14:textId="6C9D3C84">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xml:space="preserve">Loaded Salary </w:t>
            </w:r>
            <w:r w:rsidR="00020554">
              <w:rPr>
                <w:rFonts w:ascii="Calibri" w:hAnsi="Calibri" w:cs="Calibri"/>
                <w:b/>
                <w:bCs/>
                <w:color w:val="000000"/>
                <w:sz w:val="16"/>
                <w:szCs w:val="16"/>
              </w:rPr>
              <w:t xml:space="preserve">and/or </w:t>
            </w:r>
            <w:r w:rsidRPr="002B1668">
              <w:rPr>
                <w:rFonts w:ascii="Calibri" w:hAnsi="Calibri" w:cs="Calibri"/>
                <w:b/>
                <w:bCs/>
                <w:color w:val="000000"/>
                <w:sz w:val="16"/>
                <w:szCs w:val="16"/>
              </w:rPr>
              <w:t>Cost</w:t>
            </w:r>
          </w:p>
        </w:tc>
        <w:tc>
          <w:tcPr>
            <w:tcW w:w="112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58DFB9D6"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19E92275"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Fringe (if Applicable)</w:t>
            </w:r>
          </w:p>
        </w:tc>
        <w:tc>
          <w:tcPr>
            <w:tcW w:w="1690" w:type="dxa"/>
            <w:tcBorders>
              <w:top w:val="single" w:color="auto" w:sz="8" w:space="0"/>
              <w:left w:val="nil"/>
              <w:bottom w:val="nil"/>
              <w:right w:val="single" w:color="auto" w:sz="8" w:space="0"/>
            </w:tcBorders>
            <w:shd w:val="clear" w:color="000000" w:fill="BDD7EE"/>
            <w:vAlign w:val="center"/>
            <w:hideMark/>
          </w:tcPr>
          <w:p w:rsidRPr="002B1668" w:rsidR="002B1668" w:rsidP="002B1668" w:rsidRDefault="002B1668" w14:paraId="1FDBA292"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Total Cost to Government</w:t>
            </w:r>
          </w:p>
        </w:tc>
      </w:tr>
      <w:tr w:rsidRPr="002B1668" w:rsidR="002B1668" w:rsidTr="002B1668" w14:paraId="43E9AD51"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B1668" w:rsidR="002B1668" w:rsidP="00020554" w:rsidRDefault="002B1668" w14:paraId="22721B95" w14:textId="54F5AD05">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Federal </w:t>
            </w:r>
            <w:r w:rsidR="00020554">
              <w:rPr>
                <w:rFonts w:ascii="Calibri" w:hAnsi="Calibri" w:cs="Calibri"/>
                <w:b/>
                <w:bCs/>
                <w:color w:val="000000"/>
                <w:sz w:val="16"/>
                <w:szCs w:val="16"/>
              </w:rPr>
              <w:t>Salaries</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B1668" w:rsidR="002B1668" w:rsidP="002B1668" w:rsidRDefault="002B1668" w14:paraId="0E98E39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2B1668" w:rsidR="002B1668" w:rsidP="002B1668" w:rsidRDefault="002B1668" w14:paraId="1A5F139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B1668" w:rsidR="002B1668" w:rsidP="002B1668" w:rsidRDefault="002B1668" w14:paraId="4C800AA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2B1668" w:rsidR="002B1668" w:rsidP="002B1668" w:rsidRDefault="002B1668" w14:paraId="6725B7B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color="auto" w:sz="4" w:space="0"/>
              <w:left w:val="nil"/>
              <w:bottom w:val="single" w:color="auto" w:sz="4" w:space="0"/>
              <w:right w:val="single" w:color="auto" w:sz="8" w:space="0"/>
            </w:tcBorders>
            <w:shd w:val="clear" w:color="auto" w:fill="auto"/>
            <w:noWrap/>
            <w:vAlign w:val="bottom"/>
            <w:hideMark/>
          </w:tcPr>
          <w:p w:rsidRPr="002B1668" w:rsidR="002B1668" w:rsidP="002B1668" w:rsidRDefault="002B1668" w14:paraId="2D056B1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3A3F0EEF"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76AAC81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Fishery Biologist</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10CB78D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ZP4/03</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68E6CF00" w14:textId="751116C3">
            <w:pPr>
              <w:spacing w:line="240" w:lineRule="auto"/>
              <w:jc w:val="right"/>
              <w:rPr>
                <w:rFonts w:ascii="Calibri" w:hAnsi="Calibri" w:cs="Calibri"/>
                <w:color w:val="000000"/>
                <w:sz w:val="16"/>
                <w:szCs w:val="16"/>
              </w:rPr>
            </w:pPr>
            <w:r w:rsidRPr="002B1668">
              <w:rPr>
                <w:rFonts w:ascii="Calibri" w:hAnsi="Calibri" w:cs="Calibri"/>
                <w:color w:val="000000"/>
                <w:sz w:val="16"/>
                <w:szCs w:val="16"/>
              </w:rPr>
              <w:t>153</w:t>
            </w:r>
            <w:r w:rsidR="00020554">
              <w:rPr>
                <w:rFonts w:ascii="Calibri" w:hAnsi="Calibri" w:cs="Calibri"/>
                <w:color w:val="000000"/>
                <w:sz w:val="16"/>
                <w:szCs w:val="16"/>
              </w:rPr>
              <w:t>,</w:t>
            </w:r>
            <w:r w:rsidRPr="002B1668">
              <w:rPr>
                <w:rFonts w:ascii="Calibri" w:hAnsi="Calibri"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9A03479"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20A015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24E32CE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153,000 </w:t>
            </w:r>
          </w:p>
        </w:tc>
      </w:tr>
      <w:tr w:rsidRPr="002B1668" w:rsidR="002B1668" w:rsidTr="002B1668" w14:paraId="072E100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202CBF5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Survey 'Statistician</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6FB44DC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ZP4/01</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317E251" w14:textId="1410FBD3">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r w:rsidR="00020554">
              <w:rPr>
                <w:rFonts w:ascii="Calibri" w:hAnsi="Calibri" w:cs="Calibri"/>
                <w:color w:val="000000"/>
                <w:sz w:val="16"/>
                <w:szCs w:val="16"/>
              </w:rPr>
              <w:t>,</w:t>
            </w:r>
            <w:r w:rsidRPr="002B1668">
              <w:rPr>
                <w:rFonts w:ascii="Calibri" w:hAnsi="Calibri"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6522B58"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50</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4955BA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78EBBFE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50,000 </w:t>
            </w:r>
          </w:p>
        </w:tc>
      </w:tr>
      <w:tr w:rsidRPr="002B1668" w:rsidR="002B1668" w:rsidTr="002B1668" w14:paraId="78E7C1F4"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0D29DA5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19AA613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385FA55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4856BCD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429773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74338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600AF607"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2B1668" w:rsidR="002B1668" w:rsidP="00020554" w:rsidRDefault="00020554" w14:paraId="6E089C88" w14:textId="66676E56">
            <w:pPr>
              <w:spacing w:line="240" w:lineRule="auto"/>
              <w:rPr>
                <w:rFonts w:ascii="Calibri" w:hAnsi="Calibri" w:cs="Calibri"/>
                <w:b/>
                <w:bCs/>
                <w:color w:val="000000"/>
                <w:sz w:val="16"/>
                <w:szCs w:val="16"/>
              </w:rPr>
            </w:pPr>
            <w:r w:rsidRPr="00020554">
              <w:rPr>
                <w:rFonts w:ascii="Calibri" w:hAnsi="Calibri" w:cs="Calibri"/>
                <w:b/>
                <w:bCs/>
                <w:color w:val="000000"/>
                <w:sz w:val="16"/>
                <w:szCs w:val="16"/>
              </w:rPr>
              <w:t>Operations &amp; Maintenance</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5B6A070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0D9BF6C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3357E1D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4D8037B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AE576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24E11B5B"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1F8D51C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Data collection costs</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0B87BE2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195A23F"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2,468,655</w:t>
            </w:r>
            <w:bookmarkStart w:name="_GoBack" w:id="0"/>
            <w:bookmarkEnd w:id="0"/>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147E35D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48E327D5"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D7BE3D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2,468,655 </w:t>
            </w:r>
          </w:p>
        </w:tc>
      </w:tr>
      <w:tr w:rsidRPr="002B1668" w:rsidR="002B1668" w:rsidTr="002B1668" w14:paraId="59E7B25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6AE340E2" w14:textId="0C85B7C5">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F8757F">
              <w:rPr>
                <w:rFonts w:ascii="Calibri" w:hAnsi="Calibri" w:cs="Calibri"/>
                <w:color w:val="000000"/>
                <w:sz w:val="16"/>
                <w:szCs w:val="16"/>
              </w:rPr>
              <w:t xml:space="preserve">     Labor</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2B3CFB3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5D7F249B" w14:textId="7431D99C">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F8757F">
              <w:rPr>
                <w:rFonts w:ascii="Calibri" w:hAnsi="Calibri" w:cs="Calibri"/>
                <w:color w:val="000000"/>
                <w:sz w:val="16"/>
                <w:szCs w:val="16"/>
              </w:rPr>
              <w:t>394,985</w:t>
            </w:r>
          </w:p>
        </w:tc>
        <w:tc>
          <w:tcPr>
            <w:tcW w:w="112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1AC392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2B1668" w:rsidR="002B1668" w:rsidP="002B1668" w:rsidRDefault="002B1668" w14:paraId="77198E1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2A6E05F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F8757F" w:rsidTr="002B1668" w14:paraId="23366B76"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tcPr>
          <w:p w:rsidRPr="002B1668" w:rsidR="00F8757F" w:rsidP="002B1668" w:rsidRDefault="00F8757F" w14:paraId="22167EEC" w14:textId="7467F29D">
            <w:pPr>
              <w:spacing w:line="240" w:lineRule="auto"/>
              <w:rPr>
                <w:rFonts w:ascii="Calibri" w:hAnsi="Calibri" w:cs="Calibri"/>
                <w:color w:val="000000"/>
                <w:sz w:val="16"/>
                <w:szCs w:val="16"/>
              </w:rPr>
            </w:pPr>
            <w:r>
              <w:rPr>
                <w:rFonts w:ascii="Calibri" w:hAnsi="Calibri" w:cs="Calibri"/>
                <w:color w:val="000000"/>
                <w:sz w:val="16"/>
                <w:szCs w:val="16"/>
              </w:rPr>
              <w:t xml:space="preserve">      Non-Labor</w:t>
            </w:r>
          </w:p>
        </w:tc>
        <w:tc>
          <w:tcPr>
            <w:tcW w:w="112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540FF3E8" w14:textId="77777777">
            <w:pPr>
              <w:spacing w:line="240" w:lineRule="auto"/>
              <w:rPr>
                <w:rFonts w:ascii="Calibri" w:hAnsi="Calibri" w:cs="Calibri"/>
                <w:color w:val="000000"/>
                <w:sz w:val="16"/>
                <w:szCs w:val="16"/>
              </w:rPr>
            </w:pPr>
          </w:p>
        </w:tc>
        <w:tc>
          <w:tcPr>
            <w:tcW w:w="114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030CF2C3" w14:textId="7E0E9366">
            <w:pPr>
              <w:spacing w:line="240" w:lineRule="auto"/>
              <w:rPr>
                <w:rFonts w:ascii="Calibri" w:hAnsi="Calibri" w:cs="Calibri"/>
                <w:color w:val="000000"/>
                <w:sz w:val="16"/>
                <w:szCs w:val="16"/>
              </w:rPr>
            </w:pPr>
            <w:r>
              <w:rPr>
                <w:rFonts w:ascii="Calibri" w:hAnsi="Calibri" w:cs="Calibri"/>
                <w:color w:val="000000"/>
                <w:sz w:val="16"/>
                <w:szCs w:val="16"/>
              </w:rPr>
              <w:t>2,073,670</w:t>
            </w:r>
          </w:p>
        </w:tc>
        <w:tc>
          <w:tcPr>
            <w:tcW w:w="112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22C9D066" w14:textId="77777777">
            <w:pPr>
              <w:spacing w:line="240" w:lineRule="auto"/>
              <w:rPr>
                <w:rFonts w:ascii="Calibri" w:hAnsi="Calibri" w:cs="Calibri"/>
                <w:color w:val="000000"/>
                <w:sz w:val="16"/>
                <w:szCs w:val="16"/>
              </w:rPr>
            </w:pPr>
          </w:p>
        </w:tc>
        <w:tc>
          <w:tcPr>
            <w:tcW w:w="1280" w:type="dxa"/>
            <w:tcBorders>
              <w:top w:val="nil"/>
              <w:left w:val="nil"/>
              <w:bottom w:val="single" w:color="auto" w:sz="4" w:space="0"/>
              <w:right w:val="single" w:color="auto" w:sz="4" w:space="0"/>
            </w:tcBorders>
            <w:shd w:val="clear" w:color="auto" w:fill="auto"/>
            <w:noWrap/>
            <w:vAlign w:val="bottom"/>
          </w:tcPr>
          <w:p w:rsidRPr="002B1668" w:rsidR="00F8757F" w:rsidP="002B1668" w:rsidRDefault="00F8757F" w14:paraId="334C9D51" w14:textId="77777777">
            <w:pPr>
              <w:spacing w:line="240" w:lineRule="auto"/>
              <w:rPr>
                <w:rFonts w:ascii="Calibri" w:hAnsi="Calibri" w:cs="Calibri"/>
                <w:color w:val="000000"/>
                <w:sz w:val="16"/>
                <w:szCs w:val="16"/>
              </w:rPr>
            </w:pPr>
          </w:p>
        </w:tc>
        <w:tc>
          <w:tcPr>
            <w:tcW w:w="1690" w:type="dxa"/>
            <w:tcBorders>
              <w:top w:val="nil"/>
              <w:left w:val="nil"/>
              <w:bottom w:val="single" w:color="auto" w:sz="4" w:space="0"/>
              <w:right w:val="single" w:color="auto" w:sz="8" w:space="0"/>
            </w:tcBorders>
            <w:shd w:val="clear" w:color="auto" w:fill="auto"/>
            <w:noWrap/>
            <w:vAlign w:val="bottom"/>
          </w:tcPr>
          <w:p w:rsidRPr="002B1668" w:rsidR="00F8757F" w:rsidP="002B1668" w:rsidRDefault="00F8757F" w14:paraId="1D3C091D" w14:textId="77777777">
            <w:pPr>
              <w:spacing w:line="240" w:lineRule="auto"/>
              <w:rPr>
                <w:rFonts w:ascii="Calibri" w:hAnsi="Calibri" w:cs="Calibri"/>
                <w:color w:val="000000"/>
                <w:sz w:val="16"/>
                <w:szCs w:val="16"/>
              </w:rPr>
            </w:pPr>
          </w:p>
        </w:tc>
      </w:tr>
      <w:tr w:rsidRPr="002B1668" w:rsidR="002B1668" w:rsidTr="002B1668" w14:paraId="7B26BD6D"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2B1668" w:rsidR="002B1668" w:rsidP="002B1668" w:rsidRDefault="002B1668" w14:paraId="28B0A23F"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B4D160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77535E9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5460A25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A40DB9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45341C19"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6B902244"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2B1668" w:rsidR="002B1668" w:rsidP="002B1668" w:rsidRDefault="002B1668" w14:paraId="183DF057"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B3A094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1C81DFA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3D6EBA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2B1668" w:rsidR="002B1668" w:rsidP="002B1668" w:rsidRDefault="002B1668" w14:paraId="5BEC11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color="auto" w:sz="4" w:space="0"/>
              <w:right w:val="single" w:color="auto" w:sz="8" w:space="0"/>
            </w:tcBorders>
            <w:shd w:val="clear" w:color="auto" w:fill="auto"/>
            <w:noWrap/>
            <w:vAlign w:val="bottom"/>
            <w:hideMark/>
          </w:tcPr>
          <w:p w:rsidRPr="002B1668" w:rsidR="002B1668" w:rsidP="002B1668" w:rsidRDefault="002B1668" w14:paraId="0A5EA29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rsidRPr="002B1668" w:rsidR="002B1668" w:rsidTr="002B1668" w14:paraId="061AB7AB"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B1668" w:rsidR="002B1668" w:rsidP="002B1668" w:rsidRDefault="002B1668" w14:paraId="137F7960"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2B1668" w:rsidR="002B1668" w:rsidP="002B1668" w:rsidRDefault="002B1668" w14:paraId="1C60164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000000" w:fill="DDEBF7"/>
            <w:noWrap/>
            <w:vAlign w:val="bottom"/>
            <w:hideMark/>
          </w:tcPr>
          <w:p w:rsidRPr="002B1668" w:rsidR="002B1668" w:rsidP="002B1668" w:rsidRDefault="002B1668" w14:paraId="2D43FA7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2B1668" w:rsidR="002B1668" w:rsidP="002B1668" w:rsidRDefault="002B1668" w14:paraId="23ED4C9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2B1668" w:rsidR="002B1668" w:rsidP="002B1668" w:rsidRDefault="002B1668" w14:paraId="619F81F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color="auto" w:sz="8" w:space="0"/>
              <w:left w:val="nil"/>
              <w:bottom w:val="single" w:color="auto" w:sz="8" w:space="0"/>
              <w:right w:val="single" w:color="auto" w:sz="8" w:space="0"/>
            </w:tcBorders>
            <w:shd w:val="clear" w:color="000000" w:fill="DDEBF7"/>
            <w:noWrap/>
            <w:vAlign w:val="bottom"/>
            <w:hideMark/>
          </w:tcPr>
          <w:p w:rsidRPr="002B1668" w:rsidR="002B1668" w:rsidP="002B1668" w:rsidRDefault="002B1668" w14:paraId="3F499D0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2,671,655 </w:t>
            </w:r>
          </w:p>
        </w:tc>
      </w:tr>
    </w:tbl>
    <w:p w:rsidRPr="002B1668" w:rsidR="002B1668" w:rsidP="002B1668" w:rsidRDefault="002B1668" w14:paraId="4A04DA96" w14:textId="77777777">
      <w:pPr>
        <w:pStyle w:val="Default"/>
      </w:pPr>
    </w:p>
    <w:p w:rsidRPr="00813209" w:rsidR="006850F5" w:rsidP="006850F5" w:rsidRDefault="006850F5" w14:paraId="37428090" w14:textId="77777777">
      <w:pPr>
        <w:pStyle w:val="Default"/>
      </w:pPr>
    </w:p>
    <w:p w:rsidRPr="00034F4C" w:rsidR="00BD450D" w:rsidP="00BD450D" w:rsidRDefault="00BD450D" w14:paraId="0D4AE683" w14:textId="77777777">
      <w:pPr>
        <w:pStyle w:val="Default"/>
      </w:pPr>
      <w:r>
        <w:rPr>
          <w:b/>
          <w:bCs/>
        </w:rPr>
        <w:t xml:space="preserve">15. </w:t>
      </w:r>
      <w:r>
        <w:rPr>
          <w:b/>
          <w:bCs/>
          <w:u w:val="single"/>
        </w:rPr>
        <w:t>Explain the reasons for any program changes or adjustments</w:t>
      </w:r>
      <w:r>
        <w:rPr>
          <w:b/>
          <w:bCs/>
        </w:rPr>
        <w:t xml:space="preserve">. </w:t>
      </w:r>
    </w:p>
    <w:p w:rsidR="00BD450D" w:rsidP="00BD450D" w:rsidRDefault="00BD450D" w14:paraId="0D79ED09" w14:textId="77777777">
      <w:pPr>
        <w:pStyle w:val="CM23"/>
        <w:spacing w:after="0"/>
      </w:pPr>
    </w:p>
    <w:p w:rsidRPr="00920C0C" w:rsidR="002B66E4" w:rsidP="00502721" w:rsidRDefault="004E5E5B" w14:paraId="198723A6" w14:textId="77777777">
      <w:pPr>
        <w:spacing w:line="240" w:lineRule="auto"/>
        <w:rPr>
          <w:b/>
        </w:rPr>
      </w:pPr>
      <w:r w:rsidRPr="00920C0C">
        <w:rPr>
          <w:b/>
        </w:rPr>
        <w:t xml:space="preserve">This </w:t>
      </w:r>
      <w:r w:rsidRPr="00920C0C" w:rsidR="002B66E4">
        <w:rPr>
          <w:b/>
        </w:rPr>
        <w:t>requested revision results in a net</w:t>
      </w:r>
      <w:r w:rsidRPr="00920C0C">
        <w:rPr>
          <w:b/>
        </w:rPr>
        <w:t xml:space="preserve"> </w:t>
      </w:r>
      <w:r w:rsidR="00A71644">
        <w:rPr>
          <w:b/>
        </w:rPr>
        <w:t xml:space="preserve">increase </w:t>
      </w:r>
      <w:r w:rsidR="00510DBF">
        <w:rPr>
          <w:b/>
        </w:rPr>
        <w:t xml:space="preserve">of </w:t>
      </w:r>
      <w:r w:rsidR="00A71644">
        <w:rPr>
          <w:b/>
        </w:rPr>
        <w:t>5,263</w:t>
      </w:r>
      <w:r w:rsidRPr="00920C0C" w:rsidR="00CE787B">
        <w:rPr>
          <w:b/>
        </w:rPr>
        <w:t xml:space="preserve"> </w:t>
      </w:r>
      <w:r w:rsidRPr="00920C0C">
        <w:rPr>
          <w:b/>
        </w:rPr>
        <w:t xml:space="preserve">respondents and responses and </w:t>
      </w:r>
      <w:r w:rsidR="00A71644">
        <w:rPr>
          <w:b/>
        </w:rPr>
        <w:t>a decrease of 8,613</w:t>
      </w:r>
      <w:r w:rsidRPr="00920C0C" w:rsidR="00CE787B">
        <w:rPr>
          <w:b/>
        </w:rPr>
        <w:t xml:space="preserve"> </w:t>
      </w:r>
      <w:r w:rsidRPr="00920C0C">
        <w:rPr>
          <w:b/>
        </w:rPr>
        <w:t xml:space="preserve">hours.  </w:t>
      </w:r>
    </w:p>
    <w:p w:rsidR="002B66E4" w:rsidP="00502721" w:rsidRDefault="002B66E4" w14:paraId="706F65AD" w14:textId="77777777">
      <w:pPr>
        <w:spacing w:line="240" w:lineRule="auto"/>
      </w:pPr>
    </w:p>
    <w:p w:rsidRPr="00920C0C" w:rsidR="004B4380" w:rsidP="00502721" w:rsidRDefault="002B66E4" w14:paraId="7C9C9DE6" w14:textId="77777777">
      <w:pPr>
        <w:spacing w:line="240" w:lineRule="auto"/>
        <w:rPr>
          <w:b/>
        </w:rPr>
      </w:pPr>
      <w:r w:rsidRPr="00920C0C">
        <w:rPr>
          <w:u w:val="single"/>
        </w:rPr>
        <w:t>Program Change</w:t>
      </w:r>
      <w:r>
        <w:t xml:space="preserve">: </w:t>
      </w:r>
      <w:r w:rsidR="008147C9">
        <w:t xml:space="preserve">Including the Nonresponse Follow-up Survey </w:t>
      </w:r>
      <w:r w:rsidR="005C613E">
        <w:t xml:space="preserve">results in an annual increase of </w:t>
      </w:r>
      <w:r w:rsidR="002F5D9C">
        <w:t>1,438</w:t>
      </w:r>
      <w:r w:rsidR="005C613E">
        <w:t xml:space="preserve"> r</w:t>
      </w:r>
      <w:r w:rsidR="002F5D9C">
        <w:t>espondents and responses and 120</w:t>
      </w:r>
      <w:r w:rsidR="005C613E">
        <w:t xml:space="preserve"> hours.  Including the Recreational Saltwater Boat Fishing Survey results in an annual increase of 3,430 respondents and responses and 400 hours.</w:t>
      </w:r>
      <w:r w:rsidR="001A0D02">
        <w:t xml:space="preserve">  </w:t>
      </w:r>
      <w:r w:rsidR="00BB3FC3">
        <w:t xml:space="preserve">  </w:t>
      </w:r>
      <w:r w:rsidR="00BB3FC3">
        <w:rPr>
          <w:b/>
        </w:rPr>
        <w:t xml:space="preserve">  </w:t>
      </w:r>
      <w:r w:rsidRPr="00920C0C" w:rsidR="00B91D1E">
        <w:rPr>
          <w:b/>
        </w:rPr>
        <w:t xml:space="preserve">  </w:t>
      </w:r>
    </w:p>
    <w:p w:rsidR="004B4380" w:rsidP="00502721" w:rsidRDefault="004B4380" w14:paraId="1F626ABB" w14:textId="77777777">
      <w:pPr>
        <w:spacing w:line="240" w:lineRule="auto"/>
      </w:pPr>
    </w:p>
    <w:p w:rsidR="00502721" w:rsidP="00502721" w:rsidRDefault="002B66E4" w14:paraId="1DA54A3F" w14:textId="77777777">
      <w:pPr>
        <w:spacing w:line="240" w:lineRule="auto"/>
      </w:pPr>
      <w:r w:rsidRPr="00920C0C">
        <w:rPr>
          <w:u w:val="single"/>
        </w:rPr>
        <w:t>Adjustments</w:t>
      </w:r>
      <w:r>
        <w:t xml:space="preserve">: </w:t>
      </w:r>
      <w:r w:rsidR="00B92E97">
        <w:t xml:space="preserve">Previously, the estimated response time for the Weather and Outdoor Activity Survey was 10 minutes per response, which was a conservative estimate based upon practice administrations.  In 2018-2019 MRIP tested a web instrument that was designed to be as similar as possible to the paper Weather and Outdoor Activity Survey instrument.  The average response time for the web instrument was approximately 5 minutes.  Adjusting the average response time from 10 minutes to 5 minutes results in a decrease of </w:t>
      </w:r>
      <w:r w:rsidR="005A0DBD">
        <w:t>9,166 hours.</w:t>
      </w:r>
      <w:r w:rsidR="00B92E97">
        <w:t xml:space="preserve">  </w:t>
      </w:r>
      <w:r w:rsidR="0013252E">
        <w:t xml:space="preserve">  </w:t>
      </w:r>
    </w:p>
    <w:p w:rsidR="00D41A59" w:rsidP="00502721" w:rsidRDefault="00D41A59" w14:paraId="691E2335" w14:textId="77777777">
      <w:pPr>
        <w:spacing w:line="240" w:lineRule="auto"/>
      </w:pPr>
    </w:p>
    <w:p w:rsidR="00BD450D" w:rsidP="00BD450D" w:rsidRDefault="00BD450D" w14:paraId="44399DAB" w14:textId="77777777">
      <w:pPr>
        <w:pStyle w:val="CM23"/>
        <w:keepNext/>
        <w:widowControl/>
        <w:spacing w:after="0"/>
        <w:ind w:right="533"/>
        <w:rPr>
          <w:b/>
          <w:bCs/>
        </w:rPr>
      </w:pPr>
      <w:r>
        <w:rPr>
          <w:b/>
          <w:bCs/>
        </w:rPr>
        <w:t xml:space="preserve">16. </w:t>
      </w:r>
      <w:r>
        <w:rPr>
          <w:b/>
          <w:bCs/>
          <w:u w:val="single"/>
        </w:rPr>
        <w:t>For collections whose results will be published, outline the plans for tabulation and publication</w:t>
      </w:r>
      <w:r>
        <w:rPr>
          <w:b/>
          <w:bCs/>
        </w:rPr>
        <w:t xml:space="preserve">. </w:t>
      </w:r>
    </w:p>
    <w:p w:rsidRPr="001219E7" w:rsidR="00BD450D" w:rsidP="00BD450D" w:rsidRDefault="00BD450D" w14:paraId="716274CC" w14:textId="77777777">
      <w:pPr>
        <w:pStyle w:val="Default"/>
      </w:pPr>
    </w:p>
    <w:p w:rsidR="0089295C" w:rsidP="0089295C" w:rsidRDefault="0089295C" w14:paraId="6927A17B" w14:textId="77777777">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r w:rsidRPr="0089295C">
        <w:t>http://www.st.nmfs.noaa.gov/recreational-fisheries/index</w:t>
      </w:r>
      <w:r>
        <w:t>.  Data from this survey may support research and analyses to be presented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w:t>
      </w:r>
      <w:r w:rsidR="00F01DA9">
        <w:t>n the annual publication by NOAA Fisheries</w:t>
      </w:r>
      <w:r>
        <w:t>,</w:t>
      </w:r>
      <w:r w:rsidR="00D05C80">
        <w:t xml:space="preserve"> Fisheries of the United States.</w:t>
      </w:r>
    </w:p>
    <w:p w:rsidRPr="0067695B" w:rsidR="00BD450D" w:rsidP="00BD450D" w:rsidRDefault="00BD450D" w14:paraId="306AD0C3" w14:textId="77777777">
      <w:pPr>
        <w:pStyle w:val="Default"/>
      </w:pPr>
    </w:p>
    <w:p w:rsidR="00BD450D" w:rsidP="00BD450D" w:rsidRDefault="00BD450D" w14:paraId="0CD7A3F5" w14:textId="77777777">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Pr="0067695B" w:rsidR="00BD450D" w:rsidP="00BD450D" w:rsidRDefault="00BD450D" w14:paraId="47B99CAF" w14:textId="77777777">
      <w:pPr>
        <w:pStyle w:val="Default"/>
      </w:pPr>
    </w:p>
    <w:p w:rsidR="00BD450D" w:rsidP="00BD450D" w:rsidRDefault="00BD450D" w14:paraId="36BCC5A2" w14:textId="77777777">
      <w:pPr>
        <w:pStyle w:val="CM23"/>
        <w:spacing w:after="0"/>
      </w:pPr>
      <w:r>
        <w:t xml:space="preserve">Not Applicable. </w:t>
      </w:r>
    </w:p>
    <w:p w:rsidR="00BD450D" w:rsidP="00BD450D" w:rsidRDefault="00BD450D" w14:paraId="02F6AC73" w14:textId="77777777">
      <w:pPr>
        <w:pStyle w:val="CM23"/>
        <w:spacing w:after="0"/>
        <w:ind w:right="858"/>
        <w:rPr>
          <w:b/>
          <w:bCs/>
        </w:rPr>
      </w:pPr>
    </w:p>
    <w:p w:rsidR="00BD450D" w:rsidP="00BD450D" w:rsidRDefault="00BD450D" w14:paraId="4C426E06" w14:textId="77777777">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Pr="0067695B" w:rsidR="00BD450D" w:rsidP="00BD450D" w:rsidRDefault="00BD450D" w14:paraId="2B83C981" w14:textId="77777777">
      <w:pPr>
        <w:pStyle w:val="Default"/>
      </w:pPr>
    </w:p>
    <w:p w:rsidR="00BD450D" w:rsidP="00BD450D" w:rsidRDefault="00BD450D" w14:paraId="79D624DD" w14:textId="77777777">
      <w:pPr>
        <w:pStyle w:val="CM23"/>
        <w:spacing w:after="0"/>
      </w:pPr>
      <w:r>
        <w:t xml:space="preserve">Not Applicable. </w:t>
      </w:r>
    </w:p>
    <w:p w:rsidR="00AF54AC" w:rsidRDefault="00AF54AC" w14:paraId="27512BAC" w14:textId="77777777">
      <w:pPr>
        <w:spacing w:after="200" w:line="276" w:lineRule="auto"/>
        <w:rPr>
          <w:color w:val="000000"/>
        </w:rPr>
      </w:pPr>
      <w:r>
        <w:br w:type="page"/>
      </w:r>
    </w:p>
    <w:p w:rsidR="00AF54AC" w:rsidP="00AF54AC" w:rsidRDefault="00AF54AC" w14:paraId="700522D9" w14:textId="77777777">
      <w:pPr>
        <w:pStyle w:val="Default"/>
        <w:rPr>
          <w:b/>
        </w:rPr>
      </w:pPr>
      <w:r>
        <w:rPr>
          <w:b/>
        </w:rPr>
        <w:lastRenderedPageBreak/>
        <w:t>References</w:t>
      </w:r>
    </w:p>
    <w:p w:rsidR="00AF54AC" w:rsidP="00AF54AC" w:rsidRDefault="00AF54AC" w14:paraId="1016D5F9" w14:textId="77777777">
      <w:pPr>
        <w:pStyle w:val="Default"/>
        <w:rPr>
          <w:b/>
        </w:rPr>
      </w:pPr>
    </w:p>
    <w:p w:rsidRPr="00F53246" w:rsidR="003F1BCB" w:rsidP="003F1BCB" w:rsidRDefault="003F1BCB" w14:paraId="571B5DBD"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(2010).  Pilot Test of Dual Frame Two-Phase Mail Survey of anglers in North Carolina.</w:t>
      </w:r>
    </w:p>
    <w:p w:rsidRPr="00F53246" w:rsidR="003F1BCB" w:rsidP="003F1BCB" w:rsidRDefault="00D54FD1" w14:paraId="4FE802E9" w14:textId="77777777">
      <w:pPr>
        <w:pStyle w:val="NormalWeb"/>
        <w:spacing w:before="0" w:beforeAutospacing="0" w:after="0" w:afterAutospacing="0"/>
        <w:ind w:right="-360"/>
      </w:pPr>
      <w:hyperlink w:history="1" r:id="rId12">
        <w:r w:rsidRPr="00F53246" w:rsidR="003F1BCB">
          <w:rPr>
            <w:rStyle w:val="Hyperlink"/>
            <w:color w:val="1155CC"/>
          </w:rPr>
          <w:t>https://www.st.nmfs.noaa.gov/pims/main/public?method=DOWNLOAD_FR_PDF&amp;record_id=455</w:t>
        </w:r>
      </w:hyperlink>
      <w:r w:rsidR="00F53246">
        <w:t>.</w:t>
      </w:r>
    </w:p>
    <w:p w:rsidRPr="00F53246" w:rsidR="003F1BCB" w:rsidP="003F1BCB" w:rsidRDefault="003F1BCB" w14:paraId="12C48A07" w14:textId="77777777">
      <w:pPr>
        <w:pStyle w:val="NormalWeb"/>
        <w:spacing w:before="0" w:beforeAutospacing="0" w:after="0" w:afterAutospacing="0"/>
        <w:ind w:right="-360"/>
      </w:pPr>
    </w:p>
    <w:p w:rsidRPr="00F53246" w:rsidR="003F1BCB" w:rsidP="003F1BCB" w:rsidRDefault="003F1BCB" w14:paraId="18EFD8CE"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(2013).  Continued Development and Testing of Dual Frame Surveys of Fishing Effort (Testing a Dual-Frame, Mixed Mode Survey Design). </w:t>
      </w:r>
    </w:p>
    <w:p w:rsidRPr="00F53246" w:rsidR="003F1BCB" w:rsidP="003F1BCB" w:rsidRDefault="00D54FD1" w14:paraId="445D1B65" w14:textId="77777777">
      <w:pPr>
        <w:pStyle w:val="NormalWeb"/>
        <w:spacing w:before="0" w:beforeAutospacing="0" w:after="0" w:afterAutospacing="0"/>
        <w:ind w:right="-360"/>
      </w:pPr>
      <w:hyperlink w:history="1" r:id="rId13">
        <w:r w:rsidRPr="00F53246" w:rsidR="003F1BCB">
          <w:rPr>
            <w:rStyle w:val="Hyperlink"/>
            <w:color w:val="1155CC"/>
          </w:rPr>
          <w:t>https://www.st.nmfs.noaa.gov/pims/main/public?method=DOWNLOAD_FR_PDF&amp;record_id=931</w:t>
        </w:r>
      </w:hyperlink>
      <w:r w:rsidR="00F53246">
        <w:t>.</w:t>
      </w:r>
    </w:p>
    <w:p w:rsidRPr="00F53246" w:rsidR="003F1BCB" w:rsidP="003F1BCB" w:rsidRDefault="003F1BCB" w14:paraId="42F0D340" w14:textId="77777777">
      <w:pPr>
        <w:pStyle w:val="NormalWeb"/>
        <w:spacing w:before="0" w:beforeAutospacing="0" w:after="0" w:afterAutospacing="0"/>
        <w:ind w:right="-360"/>
      </w:pPr>
    </w:p>
    <w:p w:rsidRPr="00F53246" w:rsidR="003F1BCB" w:rsidP="003F1BCB" w:rsidRDefault="003F1BCB" w14:paraId="2BE504C2"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(2014).  Development and Testing of Recreational Fishing Effort Surveys (Testing a Mail Survey Design).</w:t>
      </w:r>
    </w:p>
    <w:p w:rsidRPr="00F53246" w:rsidR="003F1BCB" w:rsidP="00F53246" w:rsidRDefault="00D54FD1" w14:paraId="0BF45D66" w14:textId="77777777">
      <w:pPr>
        <w:pStyle w:val="NormalWeb"/>
        <w:spacing w:before="0" w:beforeAutospacing="0" w:after="0" w:afterAutospacing="0"/>
        <w:ind w:right="-360"/>
      </w:pPr>
      <w:hyperlink w:history="1" r:id="rId14">
        <w:r w:rsidRPr="00F53246" w:rsidR="003F1BCB">
          <w:rPr>
            <w:rStyle w:val="Hyperlink"/>
            <w:color w:val="1155CC"/>
          </w:rPr>
          <w:t>https://www.st.nmfs.noaa.gov/pims/main/public?method=DOWNLOAD_FR_PDF&amp;record_id=1179</w:t>
        </w:r>
      </w:hyperlink>
    </w:p>
    <w:p w:rsidRPr="00F53246" w:rsidR="003F1BCB" w:rsidP="0067695B" w:rsidRDefault="003F1BCB" w14:paraId="38AFBA24" w14:textId="77777777">
      <w:pPr>
        <w:pStyle w:val="Default"/>
      </w:pPr>
    </w:p>
    <w:p w:rsidRPr="00F53246" w:rsidR="0008483B" w:rsidP="0067695B" w:rsidRDefault="002D484F" w14:paraId="4884D7BC" w14:textId="77777777">
      <w:pPr>
        <w:pStyle w:val="Default"/>
      </w:pPr>
      <w:r w:rsidRPr="00F53246">
        <w:t xml:space="preserve">Brick, J.M., D. Williams, and J.M. Montaquila </w:t>
      </w:r>
      <w:r w:rsidRPr="00F53246" w:rsidR="0008483B">
        <w:t>(2011)</w:t>
      </w:r>
      <w:r w:rsidRPr="00F53246">
        <w:t>.  Address-Based Sampling for</w:t>
      </w:r>
      <w:r w:rsidRPr="00F53246" w:rsidR="00C950E8">
        <w:t xml:space="preserve"> </w:t>
      </w:r>
      <w:r w:rsidRPr="00F53246">
        <w:t>Subpopulation Surveys</w:t>
      </w:r>
      <w:r w:rsidRPr="00F53246" w:rsidR="00AD4658">
        <w:t xml:space="preserve">.  Public Opinion Quarterly 75: 409-428.  </w:t>
      </w:r>
    </w:p>
    <w:p w:rsidRPr="00F53246" w:rsidR="003F1BCB" w:rsidP="0067695B" w:rsidRDefault="003F1BCB" w14:paraId="2B552D47" w14:textId="77777777">
      <w:pPr>
        <w:pStyle w:val="Default"/>
      </w:pPr>
    </w:p>
    <w:p w:rsidRPr="00F53246" w:rsidR="003F1BCB" w:rsidP="003F1BCB" w:rsidRDefault="003F1BCB" w14:paraId="7DB6B86F" w14:textId="77777777">
      <w:pPr>
        <w:pStyle w:val="NormalWeb"/>
        <w:spacing w:before="0" w:beforeAutospacing="0" w:after="0" w:afterAutospacing="0"/>
        <w:ind w:right="-360"/>
      </w:pPr>
      <w:r w:rsidRPr="00F53246">
        <w:rPr>
          <w:color w:val="000000"/>
        </w:rPr>
        <w:t>Brick, J</w:t>
      </w:r>
      <w:r w:rsidRPr="00F53246" w:rsidR="003B565F">
        <w:rPr>
          <w:color w:val="000000"/>
        </w:rPr>
        <w:t>.</w:t>
      </w:r>
      <w:r w:rsidRPr="00F53246">
        <w:rPr>
          <w:color w:val="000000"/>
        </w:rPr>
        <w:t>M</w:t>
      </w:r>
      <w:r w:rsidRPr="00F53246" w:rsidR="003B565F">
        <w:rPr>
          <w:color w:val="000000"/>
        </w:rPr>
        <w:t>.</w:t>
      </w:r>
      <w:r w:rsidRPr="00F53246">
        <w:rPr>
          <w:color w:val="000000"/>
        </w:rPr>
        <w:t>, W</w:t>
      </w:r>
      <w:r w:rsidRPr="00F53246" w:rsidR="003B565F">
        <w:rPr>
          <w:color w:val="000000"/>
        </w:rPr>
        <w:t>.</w:t>
      </w:r>
      <w:r w:rsidRPr="00F53246">
        <w:rPr>
          <w:color w:val="000000"/>
        </w:rPr>
        <w:t>R</w:t>
      </w:r>
      <w:r w:rsidRPr="00F53246" w:rsidR="003B565F">
        <w:rPr>
          <w:color w:val="000000"/>
        </w:rPr>
        <w:t>.</w:t>
      </w:r>
      <w:r w:rsidRPr="00F53246">
        <w:rPr>
          <w:color w:val="000000"/>
        </w:rPr>
        <w:t xml:space="preserve"> Andrews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(2012a). A Comparison of Recreational Fishing Effort Survey Designs</w:t>
      </w:r>
    </w:p>
    <w:p w:rsidRPr="00F53246" w:rsidR="003F1BCB" w:rsidP="003F1BCB" w:rsidRDefault="00D54FD1" w14:paraId="65CE6AA4" w14:textId="77777777">
      <w:pPr>
        <w:pStyle w:val="NormalWeb"/>
        <w:spacing w:before="0" w:beforeAutospacing="0" w:after="0" w:afterAutospacing="0"/>
        <w:ind w:right="-360"/>
      </w:pPr>
      <w:hyperlink w:history="1" r:id="rId15">
        <w:r w:rsidRPr="00F53246" w:rsidR="003F1BCB">
          <w:rPr>
            <w:rStyle w:val="Hyperlink"/>
            <w:color w:val="1155CC"/>
          </w:rPr>
          <w:t>https://www.st.nmfs.noaa.gov/pims/main/public?method=DOWNLOAD_FR_PDF&amp;record_id=462</w:t>
        </w:r>
      </w:hyperlink>
      <w:r w:rsidR="00F53246">
        <w:t>.</w:t>
      </w:r>
    </w:p>
    <w:p w:rsidRPr="00F53246" w:rsidR="003B565F" w:rsidP="003F1BCB" w:rsidRDefault="003B565F" w14:paraId="3ADDFA35" w14:textId="77777777">
      <w:pPr>
        <w:pStyle w:val="NormalWeb"/>
        <w:spacing w:before="0" w:beforeAutospacing="0" w:after="0" w:afterAutospacing="0"/>
        <w:ind w:right="-360"/>
      </w:pPr>
    </w:p>
    <w:p w:rsidRPr="00F53246" w:rsidR="003B565F" w:rsidP="003F1BCB" w:rsidRDefault="003B565F" w14:paraId="70D49AEB" w14:textId="77777777">
      <w:pPr>
        <w:pStyle w:val="NormalWeb"/>
        <w:spacing w:before="0" w:beforeAutospacing="0" w:after="0" w:afterAutospacing="0"/>
        <w:ind w:right="-360"/>
      </w:pPr>
      <w:r w:rsidRPr="00F53246">
        <w:t>Brick, J</w:t>
      </w:r>
      <w:r w:rsidRPr="00F53246" w:rsidR="00004409">
        <w:t>.</w:t>
      </w:r>
      <w:r w:rsidRPr="00F53246">
        <w:t>M</w:t>
      </w:r>
      <w:r w:rsidRPr="00F53246" w:rsidR="00004409">
        <w:t>.</w:t>
      </w:r>
      <w:r w:rsidRPr="00F53246">
        <w:t>, W</w:t>
      </w:r>
      <w:r w:rsidRPr="00F53246" w:rsidR="00004409">
        <w:t>.</w:t>
      </w:r>
      <w:r w:rsidRPr="00F53246">
        <w:t>R</w:t>
      </w:r>
      <w:r w:rsidRPr="00F53246" w:rsidR="00004409">
        <w:t>.</w:t>
      </w:r>
      <w:r w:rsidRPr="00F53246">
        <w:t xml:space="preserve"> Andrews, P</w:t>
      </w:r>
      <w:r w:rsidRPr="00F53246" w:rsidR="00004409">
        <w:t>.</w:t>
      </w:r>
      <w:r w:rsidRPr="00F53246">
        <w:t>D</w:t>
      </w:r>
      <w:r w:rsidRPr="00F53246" w:rsidR="00004409">
        <w:t>.</w:t>
      </w:r>
      <w:r w:rsidRPr="00F53246">
        <w:t xml:space="preserve"> Brick, H</w:t>
      </w:r>
      <w:r w:rsidRPr="00F53246" w:rsidR="00004409">
        <w:t>.</w:t>
      </w:r>
      <w:r w:rsidRPr="00F53246">
        <w:t xml:space="preserve"> King, N</w:t>
      </w:r>
      <w:r w:rsidRPr="00F53246" w:rsidR="00004409">
        <w:t>.</w:t>
      </w:r>
      <w:r w:rsidRPr="00F53246">
        <w:t>A</w:t>
      </w:r>
      <w:r w:rsidRPr="00F53246" w:rsidR="00004409">
        <w:t>.</w:t>
      </w:r>
      <w:r w:rsidRPr="00F53246">
        <w:t xml:space="preserve"> Mathiowetz, and L. Stokes (2012b). Methods for improving response rates in two-phase mail surveys. Survey Practice 5(3). Available: </w:t>
      </w:r>
      <w:hyperlink w:history="1" r:id="rId16">
        <w:r w:rsidRPr="00F53246">
          <w:rPr>
            <w:rStyle w:val="Hyperlink"/>
          </w:rPr>
          <w:t>https://www.surveypractice.org/article/3093-methods-for-improving-response-rates-in-two-phase-mail-surveys</w:t>
        </w:r>
      </w:hyperlink>
      <w:r w:rsidRPr="00F53246">
        <w:t>.</w:t>
      </w:r>
    </w:p>
    <w:p w:rsidRPr="00F53246" w:rsidR="003F1BCB" w:rsidP="0067695B" w:rsidRDefault="003F1BCB" w14:paraId="27481725" w14:textId="77777777">
      <w:pPr>
        <w:pStyle w:val="Default"/>
      </w:pPr>
    </w:p>
    <w:p w:rsidRPr="00F53246" w:rsidR="00004409" w:rsidP="0067695B" w:rsidRDefault="00004409" w14:paraId="13AC9DF7" w14:textId="77777777">
      <w:pPr>
        <w:pStyle w:val="Default"/>
      </w:pPr>
      <w:r w:rsidRPr="00F53246">
        <w:t>Brick, J.M., W.R. Andrews and N.M. Mathiowetz (2016).  Single-phase Mail Survey Design for Rare Population Subgroups.  Field Methods 28(4): 381-395.</w:t>
      </w:r>
    </w:p>
    <w:p w:rsidRPr="00F53246" w:rsidR="0008483B" w:rsidP="0067695B" w:rsidRDefault="0008483B" w14:paraId="6034D70F" w14:textId="77777777">
      <w:pPr>
        <w:pStyle w:val="Default"/>
      </w:pPr>
    </w:p>
    <w:p w:rsidRPr="00F53246" w:rsidR="0008483B" w:rsidP="005119E8" w:rsidRDefault="0008483B" w14:paraId="662B3B7B" w14:textId="77777777">
      <w:pPr>
        <w:autoSpaceDE w:val="0"/>
        <w:autoSpaceDN w:val="0"/>
        <w:adjustRightInd w:val="0"/>
        <w:spacing w:line="240" w:lineRule="auto"/>
      </w:pPr>
      <w:r w:rsidRPr="00F53246">
        <w:t>Church</w:t>
      </w:r>
      <w:r w:rsidRPr="00F53246" w:rsidR="005119E8">
        <w:t>, A.H.</w:t>
      </w:r>
      <w:r w:rsidRPr="00F53246">
        <w:t xml:space="preserve"> (1993)</w:t>
      </w:r>
      <w:r w:rsidRPr="00F53246" w:rsidR="005119E8">
        <w:t>.  Estimating the Effect of Incentives on Mail Survey Response Rates: A Meta-Analysis.  Public Opinion Quarterly 57:62–79.</w:t>
      </w:r>
    </w:p>
    <w:p w:rsidRPr="00F53246" w:rsidR="004E0AB8" w:rsidP="0067695B" w:rsidRDefault="004E0AB8" w14:paraId="2395C024" w14:textId="77777777">
      <w:pPr>
        <w:pStyle w:val="Default"/>
      </w:pPr>
    </w:p>
    <w:p w:rsidRPr="00F53246" w:rsidR="004E0AB8" w:rsidP="004E0AB8" w:rsidRDefault="004E0AB8" w14:paraId="42F8F27B" w14:textId="77777777">
      <w:pPr>
        <w:autoSpaceDE w:val="0"/>
        <w:autoSpaceDN w:val="0"/>
        <w:adjustRightInd w:val="0"/>
        <w:spacing w:line="240" w:lineRule="auto"/>
      </w:pPr>
      <w:r w:rsidRPr="00F53246">
        <w:t xml:space="preserve">Dillman, D.A., </w:t>
      </w:r>
      <w:r w:rsidRPr="00F53246" w:rsidR="004932DD">
        <w:t xml:space="preserve">J.D. </w:t>
      </w:r>
      <w:r w:rsidRPr="00F53246">
        <w:t xml:space="preserve">Smyth, </w:t>
      </w:r>
      <w:r w:rsidRPr="00F53246" w:rsidR="004932DD">
        <w:t xml:space="preserve">and L.M. Christian </w:t>
      </w:r>
      <w:r w:rsidRPr="00F53246">
        <w:t xml:space="preserve">(2009). </w:t>
      </w:r>
      <w:r w:rsidRPr="00F53246">
        <w:rPr>
          <w:i/>
        </w:rPr>
        <w:t>Internet, Mail, and Mixed-Mode Surveys: The Tailored Design Method</w:t>
      </w:r>
      <w:r w:rsidRPr="00F53246">
        <w:t>. New York: Wiley and Sons.</w:t>
      </w:r>
    </w:p>
    <w:p w:rsidRPr="00F53246" w:rsidR="0008483B" w:rsidP="0067695B" w:rsidRDefault="0008483B" w14:paraId="637B2482" w14:textId="77777777">
      <w:pPr>
        <w:pStyle w:val="Default"/>
      </w:pPr>
    </w:p>
    <w:p w:rsidRPr="00F53246" w:rsidR="00AF54AC" w:rsidP="0067695B" w:rsidRDefault="005119E8" w14:paraId="0634888A" w14:textId="77777777">
      <w:pPr>
        <w:pStyle w:val="Default"/>
      </w:pPr>
      <w:r w:rsidRPr="00F53246">
        <w:t xml:space="preserve">Groves, R., M. Couper, S. Presser, E. Singer, R. Tourangeau, G. Acosta, and Nelson, L. (2006). Experiments in Producing Nonresponse Bias. </w:t>
      </w:r>
      <w:r w:rsidRPr="00F53246">
        <w:rPr>
          <w:iCs/>
        </w:rPr>
        <w:t>Public Opinion Quarterly</w:t>
      </w:r>
      <w:r w:rsidRPr="00F53246">
        <w:t xml:space="preserve"> 70: 720–736.</w:t>
      </w:r>
    </w:p>
    <w:p w:rsidRPr="00F53246" w:rsidR="005119E8" w:rsidP="0067695B" w:rsidRDefault="005119E8" w14:paraId="2866CC88" w14:textId="77777777">
      <w:pPr>
        <w:pStyle w:val="Default"/>
      </w:pPr>
    </w:p>
    <w:p w:rsidRPr="00F53246" w:rsidR="0008483B" w:rsidP="0067695B" w:rsidRDefault="0008483B" w14:paraId="0AC1524E" w14:textId="77777777">
      <w:pPr>
        <w:pStyle w:val="Default"/>
      </w:pPr>
      <w:r w:rsidRPr="00F53246">
        <w:t>Trussell</w:t>
      </w:r>
      <w:r w:rsidRPr="00F53246" w:rsidR="005119E8">
        <w:t>, N.</w:t>
      </w:r>
      <w:r w:rsidRPr="00F53246">
        <w:t xml:space="preserve"> and </w:t>
      </w:r>
      <w:r w:rsidRPr="00F53246" w:rsidR="005119E8">
        <w:t xml:space="preserve">P.J. </w:t>
      </w:r>
      <w:r w:rsidRPr="00F53246">
        <w:t>Lavrakas (2004)</w:t>
      </w:r>
      <w:r w:rsidRPr="00F53246" w:rsidR="005119E8">
        <w:t>.  The influence of incremental increases in token cash incentives on mail survey response: Is there an optimal amount?  Publ</w:t>
      </w:r>
      <w:r w:rsidRPr="00F53246" w:rsidR="00AD4658">
        <w:t>ic Opinion Quarterly</w:t>
      </w:r>
      <w:r w:rsidRPr="00F53246" w:rsidR="005119E8">
        <w:t xml:space="preserve"> 68: 349-367.</w:t>
      </w:r>
    </w:p>
    <w:sectPr w:rsidRPr="00F53246" w:rsidR="0008483B" w:rsidSect="00EE4FD8">
      <w:footerReference w:type="default" r:id="rId17"/>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6D6FD" w14:textId="77777777" w:rsidR="00E7285B" w:rsidRDefault="00E7285B" w:rsidP="00113646">
      <w:r>
        <w:separator/>
      </w:r>
    </w:p>
  </w:endnote>
  <w:endnote w:type="continuationSeparator" w:id="0">
    <w:p w14:paraId="1B5FEFC5" w14:textId="77777777" w:rsidR="00E7285B" w:rsidRDefault="00E7285B"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054461"/>
      <w:docPartObj>
        <w:docPartGallery w:val="Page Numbers (Bottom of Page)"/>
        <w:docPartUnique/>
      </w:docPartObj>
    </w:sdtPr>
    <w:sdtEndPr>
      <w:rPr>
        <w:noProof/>
      </w:rPr>
    </w:sdtEndPr>
    <w:sdtContent>
      <w:p w14:paraId="0D15C91D" w14:textId="42DA76D3" w:rsidR="00E7285B" w:rsidRDefault="00E7285B">
        <w:pPr>
          <w:pStyle w:val="Footer"/>
          <w:jc w:val="center"/>
        </w:pPr>
        <w:r>
          <w:fldChar w:fldCharType="begin"/>
        </w:r>
        <w:r>
          <w:instrText xml:space="preserve"> PAGE   \* MERGEFORMAT </w:instrText>
        </w:r>
        <w:r>
          <w:fldChar w:fldCharType="separate"/>
        </w:r>
        <w:r w:rsidR="00D54FD1">
          <w:rPr>
            <w:noProof/>
          </w:rPr>
          <w:t>2</w:t>
        </w:r>
        <w:r>
          <w:rPr>
            <w:noProof/>
          </w:rPr>
          <w:fldChar w:fldCharType="end"/>
        </w:r>
      </w:p>
    </w:sdtContent>
  </w:sdt>
  <w:p w14:paraId="17D1083F" w14:textId="77777777" w:rsidR="00E7285B" w:rsidRDefault="00E7285B" w:rsidP="0011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96EB6" w14:textId="77777777" w:rsidR="00E7285B" w:rsidRDefault="00E7285B" w:rsidP="00113646">
      <w:r>
        <w:separator/>
      </w:r>
    </w:p>
  </w:footnote>
  <w:footnote w:type="continuationSeparator" w:id="0">
    <w:p w14:paraId="5F604EEC" w14:textId="77777777" w:rsidR="00E7285B" w:rsidRDefault="00E7285B" w:rsidP="00113646">
      <w:r>
        <w:continuationSeparator/>
      </w:r>
    </w:p>
  </w:footnote>
  <w:footnote w:id="1">
    <w:p w14:paraId="4A2540EF" w14:textId="7B99A4B2" w:rsidR="00E7285B" w:rsidRDefault="00E7285B" w:rsidP="001E17D0">
      <w:pPr>
        <w:pStyle w:val="FootnoteText"/>
        <w:spacing w:line="240" w:lineRule="auto"/>
      </w:pPr>
      <w:r>
        <w:rPr>
          <w:rStyle w:val="FootnoteReference"/>
        </w:rPr>
        <w:footnoteRef/>
      </w:r>
      <w:r>
        <w:t xml:space="preserve"> Data collection costs include costs associated with printing survey materials, assembling survey packets, postage, receipting and processing completed surveys, and incentives. The relative cost per complete survey set the $0.00 incentive’s cost to 1; the other incentives’ costs were calculated relative to the $0.00 incentive’s cost. These are relative values and not true costs.</w:t>
      </w:r>
    </w:p>
  </w:footnote>
  <w:footnote w:id="2">
    <w:p w14:paraId="1238F8FA" w14:textId="77777777" w:rsidR="00E7285B" w:rsidRDefault="00E7285B" w:rsidP="001E17D0">
      <w:pPr>
        <w:pStyle w:val="FootnoteText"/>
        <w:spacing w:line="240" w:lineRule="auto"/>
      </w:pPr>
      <w:r>
        <w:rPr>
          <w:rStyle w:val="FootnoteReference"/>
        </w:rPr>
        <w:footnoteRef/>
      </w:r>
      <w:r>
        <w:t xml:space="preserve"> Based upon 2018 FES results, approximately 6% of addresses will be returned by USPS as invalid reducing the eligible sample size to 322,261 addresses.  Calculations of number of respondents are based upon 322,261 addresses. </w:t>
      </w:r>
    </w:p>
  </w:footnote>
  <w:footnote w:id="3">
    <w:p w14:paraId="2EB454BB" w14:textId="77777777" w:rsidR="00E7285B" w:rsidRDefault="00E7285B" w:rsidP="001E17D0">
      <w:pPr>
        <w:pStyle w:val="FootnoteText"/>
        <w:spacing w:line="240" w:lineRule="auto"/>
      </w:pPr>
      <w:r>
        <w:rPr>
          <w:rStyle w:val="FootnoteReference"/>
        </w:rPr>
        <w:footnoteRef/>
      </w:r>
      <w:r>
        <w:t xml:space="preserve"> The Nonresposne Follow-Up Study will be administered during a single year.  The number of sampled addresses, respondents, responses and burden hours have been annualized across the three years covered by this approval.</w:t>
      </w:r>
    </w:p>
  </w:footnote>
  <w:footnote w:id="4">
    <w:p w14:paraId="57234F77" w14:textId="77777777" w:rsidR="00E7285B" w:rsidRDefault="00E7285B" w:rsidP="00CF0715">
      <w:pPr>
        <w:pStyle w:val="FootnoteText"/>
        <w:spacing w:line="240" w:lineRule="auto"/>
      </w:pPr>
      <w:r>
        <w:rPr>
          <w:rStyle w:val="FootnoteReference"/>
        </w:rPr>
        <w:footnoteRef/>
      </w:r>
      <w:r>
        <w:t xml:space="preserve"> Addresses will not be sampled for the NRFU.  The sample will consist of a sub-set of addresses that did not respond to the FES. </w:t>
      </w:r>
    </w:p>
  </w:footnote>
  <w:footnote w:id="5">
    <w:p w14:paraId="00AC77A7" w14:textId="77777777" w:rsidR="00E7285B" w:rsidRDefault="00E7285B" w:rsidP="001E17D0">
      <w:pPr>
        <w:pStyle w:val="FootnoteText"/>
        <w:spacing w:line="240" w:lineRule="auto"/>
      </w:pPr>
      <w:r>
        <w:rPr>
          <w:rStyle w:val="FootnoteReference"/>
        </w:rPr>
        <w:footnoteRef/>
      </w:r>
      <w:r>
        <w:t xml:space="preserve"> The Recreational Saltwater Boat Fishing Survey will be administered during a single year.  The number of sampled addresses, respondents, responses and burden hours have been annualized across the three years covered by this approval.</w:t>
      </w:r>
    </w:p>
  </w:footnote>
  <w:footnote w:id="6">
    <w:p w14:paraId="7376F8F6" w14:textId="77777777" w:rsidR="00E7285B" w:rsidRDefault="00E7285B" w:rsidP="001F69AF">
      <w:pPr>
        <w:pStyle w:val="FootnoteText"/>
        <w:spacing w:line="240" w:lineRule="auto"/>
      </w:pPr>
      <w:r>
        <w:rPr>
          <w:rStyle w:val="FootnoteReference"/>
        </w:rPr>
        <w:footnoteRef/>
      </w:r>
      <w:r>
        <w:t xml:space="preserve"> Based upon 2018 FES results, approximately 6% of addresses will be returned by USPS as invalid reducing the eligible sample size to 9,792 addresses.  Calculations of number of respondents are based upon 9,792 addresses.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4E70358"/>
    <w:multiLevelType w:val="hybridMultilevel"/>
    <w:tmpl w:val="C7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56749"/>
    <w:multiLevelType w:val="hybridMultilevel"/>
    <w:tmpl w:val="4B1CD3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7921"/>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9"/>
  </w:num>
  <w:num w:numId="12">
    <w:abstractNumId w:val="9"/>
  </w:num>
  <w:num w:numId="13">
    <w:abstractNumId w:val="17"/>
  </w:num>
  <w:num w:numId="14">
    <w:abstractNumId w:val="20"/>
  </w:num>
  <w:num w:numId="15">
    <w:abstractNumId w:val="14"/>
  </w:num>
  <w:num w:numId="16">
    <w:abstractNumId w:val="15"/>
  </w:num>
  <w:num w:numId="17">
    <w:abstractNumId w:val="18"/>
  </w:num>
  <w:num w:numId="18">
    <w:abstractNumId w:val="6"/>
  </w:num>
  <w:num w:numId="19">
    <w:abstractNumId w:val="13"/>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B4"/>
    <w:rsid w:val="00000D63"/>
    <w:rsid w:val="000038AC"/>
    <w:rsid w:val="00003B9D"/>
    <w:rsid w:val="00004409"/>
    <w:rsid w:val="00005AA2"/>
    <w:rsid w:val="000062CD"/>
    <w:rsid w:val="00007F30"/>
    <w:rsid w:val="0001207B"/>
    <w:rsid w:val="00014CCB"/>
    <w:rsid w:val="00017FBB"/>
    <w:rsid w:val="000204E9"/>
    <w:rsid w:val="00020554"/>
    <w:rsid w:val="00026A2B"/>
    <w:rsid w:val="0003021F"/>
    <w:rsid w:val="00030F34"/>
    <w:rsid w:val="00031684"/>
    <w:rsid w:val="000317CA"/>
    <w:rsid w:val="000342D8"/>
    <w:rsid w:val="00034B68"/>
    <w:rsid w:val="00034F4C"/>
    <w:rsid w:val="00035B71"/>
    <w:rsid w:val="00035FBB"/>
    <w:rsid w:val="00036C03"/>
    <w:rsid w:val="00037EDA"/>
    <w:rsid w:val="0004003B"/>
    <w:rsid w:val="0004396A"/>
    <w:rsid w:val="00044006"/>
    <w:rsid w:val="0004426C"/>
    <w:rsid w:val="0004436D"/>
    <w:rsid w:val="00046927"/>
    <w:rsid w:val="00050AD7"/>
    <w:rsid w:val="00050B6B"/>
    <w:rsid w:val="00052DD7"/>
    <w:rsid w:val="0005404E"/>
    <w:rsid w:val="000550B2"/>
    <w:rsid w:val="00055B09"/>
    <w:rsid w:val="000579D0"/>
    <w:rsid w:val="00070722"/>
    <w:rsid w:val="0007127D"/>
    <w:rsid w:val="0007190B"/>
    <w:rsid w:val="00071AFF"/>
    <w:rsid w:val="00071C03"/>
    <w:rsid w:val="000720C8"/>
    <w:rsid w:val="000740E5"/>
    <w:rsid w:val="000759D9"/>
    <w:rsid w:val="0008483B"/>
    <w:rsid w:val="00085800"/>
    <w:rsid w:val="0008691A"/>
    <w:rsid w:val="0008695B"/>
    <w:rsid w:val="00087830"/>
    <w:rsid w:val="00090987"/>
    <w:rsid w:val="00093E43"/>
    <w:rsid w:val="000972D5"/>
    <w:rsid w:val="000A1F73"/>
    <w:rsid w:val="000A44F9"/>
    <w:rsid w:val="000A5083"/>
    <w:rsid w:val="000A70DE"/>
    <w:rsid w:val="000B0DAE"/>
    <w:rsid w:val="000B1501"/>
    <w:rsid w:val="000B15F3"/>
    <w:rsid w:val="000B3134"/>
    <w:rsid w:val="000B3D86"/>
    <w:rsid w:val="000B54A1"/>
    <w:rsid w:val="000B5B5A"/>
    <w:rsid w:val="000C1298"/>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3013"/>
    <w:rsid w:val="000F43A7"/>
    <w:rsid w:val="001018FF"/>
    <w:rsid w:val="001028F2"/>
    <w:rsid w:val="00103825"/>
    <w:rsid w:val="001051DF"/>
    <w:rsid w:val="00106752"/>
    <w:rsid w:val="0011103D"/>
    <w:rsid w:val="00112F7D"/>
    <w:rsid w:val="00113482"/>
    <w:rsid w:val="00113646"/>
    <w:rsid w:val="001158A9"/>
    <w:rsid w:val="0012002A"/>
    <w:rsid w:val="001219E7"/>
    <w:rsid w:val="00121ECB"/>
    <w:rsid w:val="001311AA"/>
    <w:rsid w:val="0013252E"/>
    <w:rsid w:val="00133448"/>
    <w:rsid w:val="00134B26"/>
    <w:rsid w:val="00136F8F"/>
    <w:rsid w:val="00140BF3"/>
    <w:rsid w:val="00141A03"/>
    <w:rsid w:val="00144581"/>
    <w:rsid w:val="0014484A"/>
    <w:rsid w:val="00146058"/>
    <w:rsid w:val="001463B5"/>
    <w:rsid w:val="00146859"/>
    <w:rsid w:val="001514E3"/>
    <w:rsid w:val="00152130"/>
    <w:rsid w:val="0015273E"/>
    <w:rsid w:val="001548A5"/>
    <w:rsid w:val="00155680"/>
    <w:rsid w:val="00155EBD"/>
    <w:rsid w:val="00156E3E"/>
    <w:rsid w:val="00157852"/>
    <w:rsid w:val="00160BC3"/>
    <w:rsid w:val="00165BAC"/>
    <w:rsid w:val="00167E58"/>
    <w:rsid w:val="00172F48"/>
    <w:rsid w:val="001738BD"/>
    <w:rsid w:val="00174172"/>
    <w:rsid w:val="001765A4"/>
    <w:rsid w:val="00176D16"/>
    <w:rsid w:val="00176F8E"/>
    <w:rsid w:val="0017777D"/>
    <w:rsid w:val="0018033A"/>
    <w:rsid w:val="001807BF"/>
    <w:rsid w:val="00180FFA"/>
    <w:rsid w:val="00182B98"/>
    <w:rsid w:val="00184F1B"/>
    <w:rsid w:val="0018522F"/>
    <w:rsid w:val="001870BE"/>
    <w:rsid w:val="0019150A"/>
    <w:rsid w:val="0019338A"/>
    <w:rsid w:val="00195F17"/>
    <w:rsid w:val="0019620B"/>
    <w:rsid w:val="001A0D02"/>
    <w:rsid w:val="001A4948"/>
    <w:rsid w:val="001A4B34"/>
    <w:rsid w:val="001A5818"/>
    <w:rsid w:val="001A7075"/>
    <w:rsid w:val="001A7165"/>
    <w:rsid w:val="001B3141"/>
    <w:rsid w:val="001B4515"/>
    <w:rsid w:val="001C0B5B"/>
    <w:rsid w:val="001C560B"/>
    <w:rsid w:val="001C6344"/>
    <w:rsid w:val="001C7544"/>
    <w:rsid w:val="001D1DFE"/>
    <w:rsid w:val="001D1F90"/>
    <w:rsid w:val="001D37B1"/>
    <w:rsid w:val="001D69E7"/>
    <w:rsid w:val="001D70C6"/>
    <w:rsid w:val="001E17D0"/>
    <w:rsid w:val="001E1BE2"/>
    <w:rsid w:val="001E2180"/>
    <w:rsid w:val="001E2542"/>
    <w:rsid w:val="001E28FF"/>
    <w:rsid w:val="001E2CE9"/>
    <w:rsid w:val="001E747E"/>
    <w:rsid w:val="001E7891"/>
    <w:rsid w:val="001F1D64"/>
    <w:rsid w:val="001F58A9"/>
    <w:rsid w:val="001F60E9"/>
    <w:rsid w:val="001F69AF"/>
    <w:rsid w:val="002011BA"/>
    <w:rsid w:val="00201D8C"/>
    <w:rsid w:val="0020293C"/>
    <w:rsid w:val="00205701"/>
    <w:rsid w:val="00207CA9"/>
    <w:rsid w:val="00210CAC"/>
    <w:rsid w:val="00212252"/>
    <w:rsid w:val="0021267A"/>
    <w:rsid w:val="00214B19"/>
    <w:rsid w:val="002150C3"/>
    <w:rsid w:val="002168E6"/>
    <w:rsid w:val="00222D6D"/>
    <w:rsid w:val="002247A4"/>
    <w:rsid w:val="0022506E"/>
    <w:rsid w:val="002277FD"/>
    <w:rsid w:val="00227F4B"/>
    <w:rsid w:val="00230A4C"/>
    <w:rsid w:val="00233A97"/>
    <w:rsid w:val="00234477"/>
    <w:rsid w:val="00234EE8"/>
    <w:rsid w:val="00237423"/>
    <w:rsid w:val="00240A96"/>
    <w:rsid w:val="00241FB7"/>
    <w:rsid w:val="0024286F"/>
    <w:rsid w:val="00245C87"/>
    <w:rsid w:val="002462F5"/>
    <w:rsid w:val="00251A5B"/>
    <w:rsid w:val="002524A0"/>
    <w:rsid w:val="00256048"/>
    <w:rsid w:val="00256391"/>
    <w:rsid w:val="00262E2F"/>
    <w:rsid w:val="00263B66"/>
    <w:rsid w:val="002641F4"/>
    <w:rsid w:val="002655FF"/>
    <w:rsid w:val="00270DD1"/>
    <w:rsid w:val="00272912"/>
    <w:rsid w:val="00273D4F"/>
    <w:rsid w:val="00275C65"/>
    <w:rsid w:val="0027658E"/>
    <w:rsid w:val="00277387"/>
    <w:rsid w:val="00277461"/>
    <w:rsid w:val="00277DE0"/>
    <w:rsid w:val="00280D30"/>
    <w:rsid w:val="002830A9"/>
    <w:rsid w:val="002860A4"/>
    <w:rsid w:val="00286A96"/>
    <w:rsid w:val="00287B93"/>
    <w:rsid w:val="002905CE"/>
    <w:rsid w:val="0029186A"/>
    <w:rsid w:val="00293002"/>
    <w:rsid w:val="00293BB4"/>
    <w:rsid w:val="00294B83"/>
    <w:rsid w:val="002950AE"/>
    <w:rsid w:val="00296715"/>
    <w:rsid w:val="002A0601"/>
    <w:rsid w:val="002A2154"/>
    <w:rsid w:val="002A261B"/>
    <w:rsid w:val="002A2EBF"/>
    <w:rsid w:val="002A3717"/>
    <w:rsid w:val="002A3F35"/>
    <w:rsid w:val="002A4167"/>
    <w:rsid w:val="002A4C1B"/>
    <w:rsid w:val="002A55C8"/>
    <w:rsid w:val="002B0B7E"/>
    <w:rsid w:val="002B1668"/>
    <w:rsid w:val="002B258B"/>
    <w:rsid w:val="002B66E4"/>
    <w:rsid w:val="002B72A1"/>
    <w:rsid w:val="002C1F8A"/>
    <w:rsid w:val="002C720B"/>
    <w:rsid w:val="002D484F"/>
    <w:rsid w:val="002D527D"/>
    <w:rsid w:val="002D7C55"/>
    <w:rsid w:val="002E0C99"/>
    <w:rsid w:val="002E191E"/>
    <w:rsid w:val="002E1D70"/>
    <w:rsid w:val="002E1EE7"/>
    <w:rsid w:val="002E3081"/>
    <w:rsid w:val="002E4D41"/>
    <w:rsid w:val="002E6295"/>
    <w:rsid w:val="002E69D8"/>
    <w:rsid w:val="002E7126"/>
    <w:rsid w:val="002E7129"/>
    <w:rsid w:val="002F0223"/>
    <w:rsid w:val="002F1D40"/>
    <w:rsid w:val="002F5D9C"/>
    <w:rsid w:val="002F70EC"/>
    <w:rsid w:val="00300690"/>
    <w:rsid w:val="00304F1D"/>
    <w:rsid w:val="003065F9"/>
    <w:rsid w:val="00311434"/>
    <w:rsid w:val="0031258C"/>
    <w:rsid w:val="0031320F"/>
    <w:rsid w:val="003141DB"/>
    <w:rsid w:val="00314635"/>
    <w:rsid w:val="00316560"/>
    <w:rsid w:val="00320755"/>
    <w:rsid w:val="003217DB"/>
    <w:rsid w:val="00324D2A"/>
    <w:rsid w:val="00326043"/>
    <w:rsid w:val="00327919"/>
    <w:rsid w:val="003303B2"/>
    <w:rsid w:val="00330E6F"/>
    <w:rsid w:val="003316D4"/>
    <w:rsid w:val="003320DD"/>
    <w:rsid w:val="00332DF5"/>
    <w:rsid w:val="003343C2"/>
    <w:rsid w:val="00336322"/>
    <w:rsid w:val="00337F5B"/>
    <w:rsid w:val="00340CAC"/>
    <w:rsid w:val="00341063"/>
    <w:rsid w:val="00341F44"/>
    <w:rsid w:val="00343EC7"/>
    <w:rsid w:val="00344492"/>
    <w:rsid w:val="003500CA"/>
    <w:rsid w:val="003505D2"/>
    <w:rsid w:val="00354601"/>
    <w:rsid w:val="00355C30"/>
    <w:rsid w:val="00356DAE"/>
    <w:rsid w:val="00357077"/>
    <w:rsid w:val="003571EF"/>
    <w:rsid w:val="00357F1E"/>
    <w:rsid w:val="00362D11"/>
    <w:rsid w:val="00363449"/>
    <w:rsid w:val="003638C0"/>
    <w:rsid w:val="003661B2"/>
    <w:rsid w:val="00366D16"/>
    <w:rsid w:val="00371B4F"/>
    <w:rsid w:val="00372ED4"/>
    <w:rsid w:val="003776C5"/>
    <w:rsid w:val="00380C86"/>
    <w:rsid w:val="003818CD"/>
    <w:rsid w:val="00384306"/>
    <w:rsid w:val="003856EB"/>
    <w:rsid w:val="00390ACB"/>
    <w:rsid w:val="00391C31"/>
    <w:rsid w:val="00395A9B"/>
    <w:rsid w:val="00395F44"/>
    <w:rsid w:val="0039658A"/>
    <w:rsid w:val="00396763"/>
    <w:rsid w:val="003974A4"/>
    <w:rsid w:val="003A1085"/>
    <w:rsid w:val="003A5B61"/>
    <w:rsid w:val="003B0392"/>
    <w:rsid w:val="003B0EB6"/>
    <w:rsid w:val="003B180C"/>
    <w:rsid w:val="003B1FD0"/>
    <w:rsid w:val="003B4604"/>
    <w:rsid w:val="003B52FD"/>
    <w:rsid w:val="003B565F"/>
    <w:rsid w:val="003C4F3D"/>
    <w:rsid w:val="003C5C4F"/>
    <w:rsid w:val="003C6185"/>
    <w:rsid w:val="003C619B"/>
    <w:rsid w:val="003C75FB"/>
    <w:rsid w:val="003D1CB8"/>
    <w:rsid w:val="003D1E5A"/>
    <w:rsid w:val="003D3119"/>
    <w:rsid w:val="003D3D44"/>
    <w:rsid w:val="003D4330"/>
    <w:rsid w:val="003D4E5C"/>
    <w:rsid w:val="003D5324"/>
    <w:rsid w:val="003D603E"/>
    <w:rsid w:val="003D6225"/>
    <w:rsid w:val="003D6C51"/>
    <w:rsid w:val="003D6DF7"/>
    <w:rsid w:val="003E075E"/>
    <w:rsid w:val="003E1D98"/>
    <w:rsid w:val="003E333E"/>
    <w:rsid w:val="003E5609"/>
    <w:rsid w:val="003E5707"/>
    <w:rsid w:val="003E6B31"/>
    <w:rsid w:val="003E6D9B"/>
    <w:rsid w:val="003E79D8"/>
    <w:rsid w:val="003F0C90"/>
    <w:rsid w:val="003F1BCB"/>
    <w:rsid w:val="003F1DAF"/>
    <w:rsid w:val="003F320D"/>
    <w:rsid w:val="003F3807"/>
    <w:rsid w:val="003F3DB8"/>
    <w:rsid w:val="003F494A"/>
    <w:rsid w:val="003F4D3E"/>
    <w:rsid w:val="003F57CC"/>
    <w:rsid w:val="003F65FD"/>
    <w:rsid w:val="003F6663"/>
    <w:rsid w:val="003F6838"/>
    <w:rsid w:val="00401EF4"/>
    <w:rsid w:val="004029AF"/>
    <w:rsid w:val="00404003"/>
    <w:rsid w:val="00404324"/>
    <w:rsid w:val="004049E2"/>
    <w:rsid w:val="004066D2"/>
    <w:rsid w:val="004075FF"/>
    <w:rsid w:val="004101FF"/>
    <w:rsid w:val="00410886"/>
    <w:rsid w:val="004137F1"/>
    <w:rsid w:val="0041398B"/>
    <w:rsid w:val="004156C1"/>
    <w:rsid w:val="004174CF"/>
    <w:rsid w:val="0042263F"/>
    <w:rsid w:val="00423EDA"/>
    <w:rsid w:val="004241AC"/>
    <w:rsid w:val="00425897"/>
    <w:rsid w:val="004261E3"/>
    <w:rsid w:val="00427B97"/>
    <w:rsid w:val="00430499"/>
    <w:rsid w:val="00430790"/>
    <w:rsid w:val="00430B80"/>
    <w:rsid w:val="00431543"/>
    <w:rsid w:val="00434CE2"/>
    <w:rsid w:val="004352D0"/>
    <w:rsid w:val="0044117E"/>
    <w:rsid w:val="004419A9"/>
    <w:rsid w:val="00441F12"/>
    <w:rsid w:val="00442981"/>
    <w:rsid w:val="00443A0B"/>
    <w:rsid w:val="00445317"/>
    <w:rsid w:val="00450D05"/>
    <w:rsid w:val="00451322"/>
    <w:rsid w:val="00452389"/>
    <w:rsid w:val="004525D1"/>
    <w:rsid w:val="00453A07"/>
    <w:rsid w:val="0045480D"/>
    <w:rsid w:val="00456CD7"/>
    <w:rsid w:val="00457C5A"/>
    <w:rsid w:val="00460E5B"/>
    <w:rsid w:val="00461124"/>
    <w:rsid w:val="004621AE"/>
    <w:rsid w:val="0046451F"/>
    <w:rsid w:val="00464B9B"/>
    <w:rsid w:val="00464FDB"/>
    <w:rsid w:val="00466115"/>
    <w:rsid w:val="00470478"/>
    <w:rsid w:val="00470C66"/>
    <w:rsid w:val="00470E33"/>
    <w:rsid w:val="004717DD"/>
    <w:rsid w:val="00472FF3"/>
    <w:rsid w:val="00475EC2"/>
    <w:rsid w:val="00480147"/>
    <w:rsid w:val="004806B5"/>
    <w:rsid w:val="00483AC7"/>
    <w:rsid w:val="00483CFD"/>
    <w:rsid w:val="00487FF5"/>
    <w:rsid w:val="0049053E"/>
    <w:rsid w:val="004929E1"/>
    <w:rsid w:val="004932DD"/>
    <w:rsid w:val="004941F3"/>
    <w:rsid w:val="004A097B"/>
    <w:rsid w:val="004A15B1"/>
    <w:rsid w:val="004A36C7"/>
    <w:rsid w:val="004A4F4F"/>
    <w:rsid w:val="004A61E1"/>
    <w:rsid w:val="004A67A2"/>
    <w:rsid w:val="004B002B"/>
    <w:rsid w:val="004B4380"/>
    <w:rsid w:val="004B65B5"/>
    <w:rsid w:val="004B71B9"/>
    <w:rsid w:val="004C1DF3"/>
    <w:rsid w:val="004C277F"/>
    <w:rsid w:val="004C2DB9"/>
    <w:rsid w:val="004C3223"/>
    <w:rsid w:val="004C4395"/>
    <w:rsid w:val="004C4EDC"/>
    <w:rsid w:val="004D09D9"/>
    <w:rsid w:val="004D0E29"/>
    <w:rsid w:val="004D290F"/>
    <w:rsid w:val="004D3DFF"/>
    <w:rsid w:val="004D52A3"/>
    <w:rsid w:val="004D6794"/>
    <w:rsid w:val="004D7FF9"/>
    <w:rsid w:val="004E0138"/>
    <w:rsid w:val="004E037E"/>
    <w:rsid w:val="004E0A4F"/>
    <w:rsid w:val="004E0AB8"/>
    <w:rsid w:val="004E0E5E"/>
    <w:rsid w:val="004E34D8"/>
    <w:rsid w:val="004E5749"/>
    <w:rsid w:val="004E59E1"/>
    <w:rsid w:val="004E5E5B"/>
    <w:rsid w:val="004E6A18"/>
    <w:rsid w:val="004F1796"/>
    <w:rsid w:val="004F4B07"/>
    <w:rsid w:val="004F620E"/>
    <w:rsid w:val="005003AC"/>
    <w:rsid w:val="00500F76"/>
    <w:rsid w:val="00502721"/>
    <w:rsid w:val="00502CBD"/>
    <w:rsid w:val="00506FB1"/>
    <w:rsid w:val="00510DBF"/>
    <w:rsid w:val="005119E8"/>
    <w:rsid w:val="005122FF"/>
    <w:rsid w:val="00513413"/>
    <w:rsid w:val="005177F3"/>
    <w:rsid w:val="00524B90"/>
    <w:rsid w:val="00525663"/>
    <w:rsid w:val="00532841"/>
    <w:rsid w:val="005335FF"/>
    <w:rsid w:val="00534694"/>
    <w:rsid w:val="00534B2D"/>
    <w:rsid w:val="00534B56"/>
    <w:rsid w:val="00543FC0"/>
    <w:rsid w:val="00546488"/>
    <w:rsid w:val="005472DE"/>
    <w:rsid w:val="00547F18"/>
    <w:rsid w:val="00552A6F"/>
    <w:rsid w:val="00565196"/>
    <w:rsid w:val="00565DE9"/>
    <w:rsid w:val="00567973"/>
    <w:rsid w:val="00570384"/>
    <w:rsid w:val="00571157"/>
    <w:rsid w:val="0057160C"/>
    <w:rsid w:val="0057177E"/>
    <w:rsid w:val="00574181"/>
    <w:rsid w:val="00574D59"/>
    <w:rsid w:val="005762C7"/>
    <w:rsid w:val="00576621"/>
    <w:rsid w:val="00580122"/>
    <w:rsid w:val="00583FEC"/>
    <w:rsid w:val="00585EB8"/>
    <w:rsid w:val="00585F8C"/>
    <w:rsid w:val="00587C2A"/>
    <w:rsid w:val="00587C2D"/>
    <w:rsid w:val="0059202B"/>
    <w:rsid w:val="00593336"/>
    <w:rsid w:val="005934D2"/>
    <w:rsid w:val="00594576"/>
    <w:rsid w:val="00594669"/>
    <w:rsid w:val="005949F7"/>
    <w:rsid w:val="0059687E"/>
    <w:rsid w:val="00596A94"/>
    <w:rsid w:val="005A0DBD"/>
    <w:rsid w:val="005A5894"/>
    <w:rsid w:val="005A656E"/>
    <w:rsid w:val="005A6BA7"/>
    <w:rsid w:val="005B038A"/>
    <w:rsid w:val="005B2836"/>
    <w:rsid w:val="005B2995"/>
    <w:rsid w:val="005B35F4"/>
    <w:rsid w:val="005B45A6"/>
    <w:rsid w:val="005B729E"/>
    <w:rsid w:val="005B7642"/>
    <w:rsid w:val="005C055C"/>
    <w:rsid w:val="005C1887"/>
    <w:rsid w:val="005C1A17"/>
    <w:rsid w:val="005C20C1"/>
    <w:rsid w:val="005C2228"/>
    <w:rsid w:val="005C613E"/>
    <w:rsid w:val="005C645B"/>
    <w:rsid w:val="005C659A"/>
    <w:rsid w:val="005C7315"/>
    <w:rsid w:val="005C74EB"/>
    <w:rsid w:val="005D0B8D"/>
    <w:rsid w:val="005D2B73"/>
    <w:rsid w:val="005D2DEA"/>
    <w:rsid w:val="005E0061"/>
    <w:rsid w:val="005E070A"/>
    <w:rsid w:val="005E3790"/>
    <w:rsid w:val="005F0349"/>
    <w:rsid w:val="005F07D3"/>
    <w:rsid w:val="005F2171"/>
    <w:rsid w:val="005F3569"/>
    <w:rsid w:val="005F4633"/>
    <w:rsid w:val="0060050F"/>
    <w:rsid w:val="0060080A"/>
    <w:rsid w:val="0060504E"/>
    <w:rsid w:val="00610278"/>
    <w:rsid w:val="00612918"/>
    <w:rsid w:val="00613B51"/>
    <w:rsid w:val="0061409F"/>
    <w:rsid w:val="00615D86"/>
    <w:rsid w:val="006161C2"/>
    <w:rsid w:val="00616369"/>
    <w:rsid w:val="00617D6B"/>
    <w:rsid w:val="006225DE"/>
    <w:rsid w:val="00625734"/>
    <w:rsid w:val="006263F0"/>
    <w:rsid w:val="00630C93"/>
    <w:rsid w:val="00631E16"/>
    <w:rsid w:val="00632866"/>
    <w:rsid w:val="00633DF1"/>
    <w:rsid w:val="006354BE"/>
    <w:rsid w:val="00636AFC"/>
    <w:rsid w:val="00637759"/>
    <w:rsid w:val="00637BDD"/>
    <w:rsid w:val="00644FE4"/>
    <w:rsid w:val="006473C1"/>
    <w:rsid w:val="00650668"/>
    <w:rsid w:val="00651656"/>
    <w:rsid w:val="00654C4B"/>
    <w:rsid w:val="00654F42"/>
    <w:rsid w:val="006560E0"/>
    <w:rsid w:val="00656B4D"/>
    <w:rsid w:val="00656BDB"/>
    <w:rsid w:val="006575C7"/>
    <w:rsid w:val="00660577"/>
    <w:rsid w:val="00660D4E"/>
    <w:rsid w:val="0066136B"/>
    <w:rsid w:val="006627F0"/>
    <w:rsid w:val="006657AE"/>
    <w:rsid w:val="006665B2"/>
    <w:rsid w:val="0066689C"/>
    <w:rsid w:val="00670EC2"/>
    <w:rsid w:val="00672770"/>
    <w:rsid w:val="00673C65"/>
    <w:rsid w:val="0067432E"/>
    <w:rsid w:val="0067436E"/>
    <w:rsid w:val="00675141"/>
    <w:rsid w:val="0067695B"/>
    <w:rsid w:val="006810D0"/>
    <w:rsid w:val="006813B1"/>
    <w:rsid w:val="00682914"/>
    <w:rsid w:val="00684A5E"/>
    <w:rsid w:val="006850F5"/>
    <w:rsid w:val="00686221"/>
    <w:rsid w:val="00690982"/>
    <w:rsid w:val="00690C39"/>
    <w:rsid w:val="00691B6F"/>
    <w:rsid w:val="00693399"/>
    <w:rsid w:val="006A0B55"/>
    <w:rsid w:val="006A1838"/>
    <w:rsid w:val="006A1904"/>
    <w:rsid w:val="006A3ACA"/>
    <w:rsid w:val="006A5306"/>
    <w:rsid w:val="006B11C2"/>
    <w:rsid w:val="006B313C"/>
    <w:rsid w:val="006B4346"/>
    <w:rsid w:val="006B600C"/>
    <w:rsid w:val="006B6EE5"/>
    <w:rsid w:val="006B7D2B"/>
    <w:rsid w:val="006C3B8A"/>
    <w:rsid w:val="006C4B1F"/>
    <w:rsid w:val="006C587D"/>
    <w:rsid w:val="006C7E76"/>
    <w:rsid w:val="006D2325"/>
    <w:rsid w:val="006D2F7F"/>
    <w:rsid w:val="006D30CE"/>
    <w:rsid w:val="006D30F4"/>
    <w:rsid w:val="006D517B"/>
    <w:rsid w:val="006D560F"/>
    <w:rsid w:val="006D78DF"/>
    <w:rsid w:val="006E07EE"/>
    <w:rsid w:val="006E56A4"/>
    <w:rsid w:val="006E6D07"/>
    <w:rsid w:val="006F020C"/>
    <w:rsid w:val="006F1D15"/>
    <w:rsid w:val="006F4860"/>
    <w:rsid w:val="006F4A8B"/>
    <w:rsid w:val="006F5C04"/>
    <w:rsid w:val="006F7014"/>
    <w:rsid w:val="00700696"/>
    <w:rsid w:val="00700FA7"/>
    <w:rsid w:val="00701EE7"/>
    <w:rsid w:val="00702945"/>
    <w:rsid w:val="00703623"/>
    <w:rsid w:val="00710845"/>
    <w:rsid w:val="00712A25"/>
    <w:rsid w:val="00713CE0"/>
    <w:rsid w:val="00714A39"/>
    <w:rsid w:val="00717E76"/>
    <w:rsid w:val="00721FC7"/>
    <w:rsid w:val="00724BE4"/>
    <w:rsid w:val="007306EE"/>
    <w:rsid w:val="00734039"/>
    <w:rsid w:val="007343F0"/>
    <w:rsid w:val="00735655"/>
    <w:rsid w:val="007455E0"/>
    <w:rsid w:val="007471CE"/>
    <w:rsid w:val="00751F83"/>
    <w:rsid w:val="00753E71"/>
    <w:rsid w:val="00754D4A"/>
    <w:rsid w:val="007562BF"/>
    <w:rsid w:val="00757FCF"/>
    <w:rsid w:val="00760A6E"/>
    <w:rsid w:val="00760F9C"/>
    <w:rsid w:val="00760FB1"/>
    <w:rsid w:val="00762EC4"/>
    <w:rsid w:val="00763DE2"/>
    <w:rsid w:val="0076557F"/>
    <w:rsid w:val="0076672E"/>
    <w:rsid w:val="00770FDA"/>
    <w:rsid w:val="007713B3"/>
    <w:rsid w:val="00772BA5"/>
    <w:rsid w:val="00775C66"/>
    <w:rsid w:val="0077668C"/>
    <w:rsid w:val="00777964"/>
    <w:rsid w:val="00780263"/>
    <w:rsid w:val="0078093C"/>
    <w:rsid w:val="00781D97"/>
    <w:rsid w:val="00782491"/>
    <w:rsid w:val="00783BF0"/>
    <w:rsid w:val="00785291"/>
    <w:rsid w:val="00785EBF"/>
    <w:rsid w:val="0078773B"/>
    <w:rsid w:val="007900D7"/>
    <w:rsid w:val="00790788"/>
    <w:rsid w:val="0079141A"/>
    <w:rsid w:val="007937F7"/>
    <w:rsid w:val="00794DBB"/>
    <w:rsid w:val="0079740C"/>
    <w:rsid w:val="007A0276"/>
    <w:rsid w:val="007A3FF9"/>
    <w:rsid w:val="007A7794"/>
    <w:rsid w:val="007B0EB1"/>
    <w:rsid w:val="007B12BD"/>
    <w:rsid w:val="007B2826"/>
    <w:rsid w:val="007B3877"/>
    <w:rsid w:val="007B6A4C"/>
    <w:rsid w:val="007B6F54"/>
    <w:rsid w:val="007B6FFB"/>
    <w:rsid w:val="007B7D44"/>
    <w:rsid w:val="007C037D"/>
    <w:rsid w:val="007C30D2"/>
    <w:rsid w:val="007C3D4D"/>
    <w:rsid w:val="007C3D95"/>
    <w:rsid w:val="007C44EA"/>
    <w:rsid w:val="007C557F"/>
    <w:rsid w:val="007C6B19"/>
    <w:rsid w:val="007D0B46"/>
    <w:rsid w:val="007D15C4"/>
    <w:rsid w:val="007D19E3"/>
    <w:rsid w:val="007D1B89"/>
    <w:rsid w:val="007D32CC"/>
    <w:rsid w:val="007D6134"/>
    <w:rsid w:val="007D6176"/>
    <w:rsid w:val="007E3ACA"/>
    <w:rsid w:val="007E4D75"/>
    <w:rsid w:val="007E59B4"/>
    <w:rsid w:val="007E5FD3"/>
    <w:rsid w:val="007E6C75"/>
    <w:rsid w:val="007E77F7"/>
    <w:rsid w:val="007F4976"/>
    <w:rsid w:val="007F732A"/>
    <w:rsid w:val="007F7B10"/>
    <w:rsid w:val="00801D42"/>
    <w:rsid w:val="0080316F"/>
    <w:rsid w:val="0080710A"/>
    <w:rsid w:val="00810237"/>
    <w:rsid w:val="00810884"/>
    <w:rsid w:val="00810991"/>
    <w:rsid w:val="00810DB7"/>
    <w:rsid w:val="00811645"/>
    <w:rsid w:val="008122F5"/>
    <w:rsid w:val="00813209"/>
    <w:rsid w:val="00813628"/>
    <w:rsid w:val="008147C9"/>
    <w:rsid w:val="00822D10"/>
    <w:rsid w:val="00825E20"/>
    <w:rsid w:val="00826182"/>
    <w:rsid w:val="008276D4"/>
    <w:rsid w:val="00834BBF"/>
    <w:rsid w:val="00835356"/>
    <w:rsid w:val="008367F3"/>
    <w:rsid w:val="00840D38"/>
    <w:rsid w:val="00843ED4"/>
    <w:rsid w:val="00846635"/>
    <w:rsid w:val="008474A0"/>
    <w:rsid w:val="00850426"/>
    <w:rsid w:val="00850B0A"/>
    <w:rsid w:val="00851E6F"/>
    <w:rsid w:val="008523EF"/>
    <w:rsid w:val="0085425F"/>
    <w:rsid w:val="008548ED"/>
    <w:rsid w:val="008553B9"/>
    <w:rsid w:val="00856940"/>
    <w:rsid w:val="0086087E"/>
    <w:rsid w:val="00861B1C"/>
    <w:rsid w:val="00862084"/>
    <w:rsid w:val="00862DDF"/>
    <w:rsid w:val="008677AD"/>
    <w:rsid w:val="00870F95"/>
    <w:rsid w:val="00871DFC"/>
    <w:rsid w:val="0087519C"/>
    <w:rsid w:val="00875F69"/>
    <w:rsid w:val="008812E9"/>
    <w:rsid w:val="00882EBA"/>
    <w:rsid w:val="0088410E"/>
    <w:rsid w:val="00884F11"/>
    <w:rsid w:val="0088613C"/>
    <w:rsid w:val="00886B79"/>
    <w:rsid w:val="00886FB9"/>
    <w:rsid w:val="00890E5E"/>
    <w:rsid w:val="00892451"/>
    <w:rsid w:val="0089295C"/>
    <w:rsid w:val="00895C4A"/>
    <w:rsid w:val="0089605E"/>
    <w:rsid w:val="0089621D"/>
    <w:rsid w:val="0089691D"/>
    <w:rsid w:val="008A1A9B"/>
    <w:rsid w:val="008A1D0F"/>
    <w:rsid w:val="008A2F1C"/>
    <w:rsid w:val="008A4806"/>
    <w:rsid w:val="008A4DC2"/>
    <w:rsid w:val="008A53AE"/>
    <w:rsid w:val="008A5AF9"/>
    <w:rsid w:val="008A755C"/>
    <w:rsid w:val="008B0E3C"/>
    <w:rsid w:val="008B0F6F"/>
    <w:rsid w:val="008B2BCE"/>
    <w:rsid w:val="008B4A80"/>
    <w:rsid w:val="008B6811"/>
    <w:rsid w:val="008C0BF0"/>
    <w:rsid w:val="008C0CDB"/>
    <w:rsid w:val="008C0ED1"/>
    <w:rsid w:val="008C3B4B"/>
    <w:rsid w:val="008C4CEA"/>
    <w:rsid w:val="008C5965"/>
    <w:rsid w:val="008C5E3E"/>
    <w:rsid w:val="008C6A37"/>
    <w:rsid w:val="008C7618"/>
    <w:rsid w:val="008C7A22"/>
    <w:rsid w:val="008E22E3"/>
    <w:rsid w:val="008E3D22"/>
    <w:rsid w:val="008E4F6C"/>
    <w:rsid w:val="008E55B9"/>
    <w:rsid w:val="008E7140"/>
    <w:rsid w:val="008F3397"/>
    <w:rsid w:val="008F39D1"/>
    <w:rsid w:val="008F3C91"/>
    <w:rsid w:val="008F4979"/>
    <w:rsid w:val="008F4CF4"/>
    <w:rsid w:val="008F6809"/>
    <w:rsid w:val="008F6F36"/>
    <w:rsid w:val="008F7C70"/>
    <w:rsid w:val="009007D6"/>
    <w:rsid w:val="009056A3"/>
    <w:rsid w:val="00911155"/>
    <w:rsid w:val="00913600"/>
    <w:rsid w:val="0091579D"/>
    <w:rsid w:val="00916E08"/>
    <w:rsid w:val="00920C0C"/>
    <w:rsid w:val="009211FA"/>
    <w:rsid w:val="009216EA"/>
    <w:rsid w:val="00921813"/>
    <w:rsid w:val="00923B92"/>
    <w:rsid w:val="00926A1D"/>
    <w:rsid w:val="00927300"/>
    <w:rsid w:val="00933120"/>
    <w:rsid w:val="00934049"/>
    <w:rsid w:val="00936A25"/>
    <w:rsid w:val="00941EB2"/>
    <w:rsid w:val="00942F84"/>
    <w:rsid w:val="00944671"/>
    <w:rsid w:val="00947D4B"/>
    <w:rsid w:val="0095155B"/>
    <w:rsid w:val="00952659"/>
    <w:rsid w:val="00957300"/>
    <w:rsid w:val="009600E5"/>
    <w:rsid w:val="00961A00"/>
    <w:rsid w:val="00962A75"/>
    <w:rsid w:val="00963183"/>
    <w:rsid w:val="0096508C"/>
    <w:rsid w:val="00965DA8"/>
    <w:rsid w:val="00967F64"/>
    <w:rsid w:val="0097164A"/>
    <w:rsid w:val="0097223C"/>
    <w:rsid w:val="00972796"/>
    <w:rsid w:val="00972AA4"/>
    <w:rsid w:val="0097608B"/>
    <w:rsid w:val="00976D09"/>
    <w:rsid w:val="00976E53"/>
    <w:rsid w:val="00977748"/>
    <w:rsid w:val="00977BA2"/>
    <w:rsid w:val="00982AB0"/>
    <w:rsid w:val="009832E5"/>
    <w:rsid w:val="00985C56"/>
    <w:rsid w:val="00990892"/>
    <w:rsid w:val="009919A9"/>
    <w:rsid w:val="00991A65"/>
    <w:rsid w:val="00992CED"/>
    <w:rsid w:val="009A13D0"/>
    <w:rsid w:val="009A3305"/>
    <w:rsid w:val="009A390F"/>
    <w:rsid w:val="009A4BBD"/>
    <w:rsid w:val="009A7516"/>
    <w:rsid w:val="009A7B0B"/>
    <w:rsid w:val="009B0507"/>
    <w:rsid w:val="009B0C95"/>
    <w:rsid w:val="009B1F10"/>
    <w:rsid w:val="009B21A5"/>
    <w:rsid w:val="009B30B8"/>
    <w:rsid w:val="009B693B"/>
    <w:rsid w:val="009B7406"/>
    <w:rsid w:val="009C1CD0"/>
    <w:rsid w:val="009C375F"/>
    <w:rsid w:val="009C3ECB"/>
    <w:rsid w:val="009C49DC"/>
    <w:rsid w:val="009C58D2"/>
    <w:rsid w:val="009C7207"/>
    <w:rsid w:val="009C7F78"/>
    <w:rsid w:val="009D032E"/>
    <w:rsid w:val="009D19EF"/>
    <w:rsid w:val="009D4184"/>
    <w:rsid w:val="009D46A8"/>
    <w:rsid w:val="009D49C4"/>
    <w:rsid w:val="009D5BE2"/>
    <w:rsid w:val="009D794D"/>
    <w:rsid w:val="009E0285"/>
    <w:rsid w:val="009E132F"/>
    <w:rsid w:val="009E2B85"/>
    <w:rsid w:val="009E36FD"/>
    <w:rsid w:val="009E4D89"/>
    <w:rsid w:val="009E5B15"/>
    <w:rsid w:val="009E5C7E"/>
    <w:rsid w:val="009E62C3"/>
    <w:rsid w:val="009E694E"/>
    <w:rsid w:val="009E7675"/>
    <w:rsid w:val="009E769B"/>
    <w:rsid w:val="009F2BEC"/>
    <w:rsid w:val="009F7A88"/>
    <w:rsid w:val="009F7D6F"/>
    <w:rsid w:val="009F7DE9"/>
    <w:rsid w:val="009F7EA5"/>
    <w:rsid w:val="00A01ABB"/>
    <w:rsid w:val="00A02BEE"/>
    <w:rsid w:val="00A07C4F"/>
    <w:rsid w:val="00A1320E"/>
    <w:rsid w:val="00A14ABE"/>
    <w:rsid w:val="00A158D3"/>
    <w:rsid w:val="00A160C7"/>
    <w:rsid w:val="00A172D3"/>
    <w:rsid w:val="00A21CE9"/>
    <w:rsid w:val="00A226E3"/>
    <w:rsid w:val="00A24BF0"/>
    <w:rsid w:val="00A24D7C"/>
    <w:rsid w:val="00A25B41"/>
    <w:rsid w:val="00A26333"/>
    <w:rsid w:val="00A26A3C"/>
    <w:rsid w:val="00A26B77"/>
    <w:rsid w:val="00A30D9B"/>
    <w:rsid w:val="00A31882"/>
    <w:rsid w:val="00A3257B"/>
    <w:rsid w:val="00A3281C"/>
    <w:rsid w:val="00A3398F"/>
    <w:rsid w:val="00A3550B"/>
    <w:rsid w:val="00A363D1"/>
    <w:rsid w:val="00A36988"/>
    <w:rsid w:val="00A41FCD"/>
    <w:rsid w:val="00A4258C"/>
    <w:rsid w:val="00A4497E"/>
    <w:rsid w:val="00A45593"/>
    <w:rsid w:val="00A46A49"/>
    <w:rsid w:val="00A46C9F"/>
    <w:rsid w:val="00A47A69"/>
    <w:rsid w:val="00A50362"/>
    <w:rsid w:val="00A523CE"/>
    <w:rsid w:val="00A53B11"/>
    <w:rsid w:val="00A569AE"/>
    <w:rsid w:val="00A609C2"/>
    <w:rsid w:val="00A6239A"/>
    <w:rsid w:val="00A64854"/>
    <w:rsid w:val="00A64C65"/>
    <w:rsid w:val="00A6634D"/>
    <w:rsid w:val="00A707B7"/>
    <w:rsid w:val="00A71644"/>
    <w:rsid w:val="00A721F9"/>
    <w:rsid w:val="00A7264F"/>
    <w:rsid w:val="00A75131"/>
    <w:rsid w:val="00A75575"/>
    <w:rsid w:val="00A76FF3"/>
    <w:rsid w:val="00A7768B"/>
    <w:rsid w:val="00A807BF"/>
    <w:rsid w:val="00A8083D"/>
    <w:rsid w:val="00A82A1F"/>
    <w:rsid w:val="00A905FC"/>
    <w:rsid w:val="00A90DA3"/>
    <w:rsid w:val="00A93F02"/>
    <w:rsid w:val="00A9696D"/>
    <w:rsid w:val="00AA0732"/>
    <w:rsid w:val="00AA3EB7"/>
    <w:rsid w:val="00AA5193"/>
    <w:rsid w:val="00AA5FB1"/>
    <w:rsid w:val="00AA6CC9"/>
    <w:rsid w:val="00AA7658"/>
    <w:rsid w:val="00AB13B2"/>
    <w:rsid w:val="00AB1D47"/>
    <w:rsid w:val="00AB3252"/>
    <w:rsid w:val="00AB480D"/>
    <w:rsid w:val="00AB52A7"/>
    <w:rsid w:val="00AC0672"/>
    <w:rsid w:val="00AC0DA2"/>
    <w:rsid w:val="00AC3371"/>
    <w:rsid w:val="00AC468C"/>
    <w:rsid w:val="00AC546A"/>
    <w:rsid w:val="00AC6541"/>
    <w:rsid w:val="00AC7DC6"/>
    <w:rsid w:val="00AD146B"/>
    <w:rsid w:val="00AD2142"/>
    <w:rsid w:val="00AD2AB9"/>
    <w:rsid w:val="00AD330A"/>
    <w:rsid w:val="00AD4287"/>
    <w:rsid w:val="00AD4658"/>
    <w:rsid w:val="00AD7460"/>
    <w:rsid w:val="00AE5BAB"/>
    <w:rsid w:val="00AE60B8"/>
    <w:rsid w:val="00AE7795"/>
    <w:rsid w:val="00AE7C1E"/>
    <w:rsid w:val="00AF1336"/>
    <w:rsid w:val="00AF1AE3"/>
    <w:rsid w:val="00AF4190"/>
    <w:rsid w:val="00AF4E9E"/>
    <w:rsid w:val="00AF54AC"/>
    <w:rsid w:val="00AF662A"/>
    <w:rsid w:val="00B00220"/>
    <w:rsid w:val="00B005E6"/>
    <w:rsid w:val="00B01837"/>
    <w:rsid w:val="00B037EE"/>
    <w:rsid w:val="00B04835"/>
    <w:rsid w:val="00B05CE3"/>
    <w:rsid w:val="00B0799B"/>
    <w:rsid w:val="00B07AC6"/>
    <w:rsid w:val="00B119CD"/>
    <w:rsid w:val="00B11BD4"/>
    <w:rsid w:val="00B11FC0"/>
    <w:rsid w:val="00B12707"/>
    <w:rsid w:val="00B1498D"/>
    <w:rsid w:val="00B17A23"/>
    <w:rsid w:val="00B17A2C"/>
    <w:rsid w:val="00B211A0"/>
    <w:rsid w:val="00B23051"/>
    <w:rsid w:val="00B231C3"/>
    <w:rsid w:val="00B23FD0"/>
    <w:rsid w:val="00B241B5"/>
    <w:rsid w:val="00B243B6"/>
    <w:rsid w:val="00B245A9"/>
    <w:rsid w:val="00B2658C"/>
    <w:rsid w:val="00B26F0F"/>
    <w:rsid w:val="00B271F7"/>
    <w:rsid w:val="00B27785"/>
    <w:rsid w:val="00B311B4"/>
    <w:rsid w:val="00B354EF"/>
    <w:rsid w:val="00B40470"/>
    <w:rsid w:val="00B41393"/>
    <w:rsid w:val="00B4268D"/>
    <w:rsid w:val="00B42F76"/>
    <w:rsid w:val="00B45DAC"/>
    <w:rsid w:val="00B45EA7"/>
    <w:rsid w:val="00B4736C"/>
    <w:rsid w:val="00B4763F"/>
    <w:rsid w:val="00B503CD"/>
    <w:rsid w:val="00B53F5B"/>
    <w:rsid w:val="00B566A0"/>
    <w:rsid w:val="00B5777D"/>
    <w:rsid w:val="00B60468"/>
    <w:rsid w:val="00B61062"/>
    <w:rsid w:val="00B6167C"/>
    <w:rsid w:val="00B62209"/>
    <w:rsid w:val="00B62FCF"/>
    <w:rsid w:val="00B644D2"/>
    <w:rsid w:val="00B66046"/>
    <w:rsid w:val="00B66B09"/>
    <w:rsid w:val="00B70979"/>
    <w:rsid w:val="00B71A6C"/>
    <w:rsid w:val="00B722FB"/>
    <w:rsid w:val="00B72BDA"/>
    <w:rsid w:val="00B7307A"/>
    <w:rsid w:val="00B74257"/>
    <w:rsid w:val="00B7635F"/>
    <w:rsid w:val="00B763A7"/>
    <w:rsid w:val="00B778E3"/>
    <w:rsid w:val="00B80697"/>
    <w:rsid w:val="00B8164F"/>
    <w:rsid w:val="00B82978"/>
    <w:rsid w:val="00B85009"/>
    <w:rsid w:val="00B8588C"/>
    <w:rsid w:val="00B91D1E"/>
    <w:rsid w:val="00B928F9"/>
    <w:rsid w:val="00B92E97"/>
    <w:rsid w:val="00B94A3A"/>
    <w:rsid w:val="00BA10D3"/>
    <w:rsid w:val="00BA11DD"/>
    <w:rsid w:val="00BA1D1D"/>
    <w:rsid w:val="00BA44B4"/>
    <w:rsid w:val="00BA589D"/>
    <w:rsid w:val="00BB0339"/>
    <w:rsid w:val="00BB26BF"/>
    <w:rsid w:val="00BB2B73"/>
    <w:rsid w:val="00BB3FC3"/>
    <w:rsid w:val="00BB46F3"/>
    <w:rsid w:val="00BB4BA0"/>
    <w:rsid w:val="00BB57D1"/>
    <w:rsid w:val="00BB6D28"/>
    <w:rsid w:val="00BB76EF"/>
    <w:rsid w:val="00BC086C"/>
    <w:rsid w:val="00BC1870"/>
    <w:rsid w:val="00BC217F"/>
    <w:rsid w:val="00BC4023"/>
    <w:rsid w:val="00BC4952"/>
    <w:rsid w:val="00BC58C2"/>
    <w:rsid w:val="00BC5996"/>
    <w:rsid w:val="00BD1297"/>
    <w:rsid w:val="00BD14DF"/>
    <w:rsid w:val="00BD22E1"/>
    <w:rsid w:val="00BD42A4"/>
    <w:rsid w:val="00BD450D"/>
    <w:rsid w:val="00BD70A6"/>
    <w:rsid w:val="00BE0057"/>
    <w:rsid w:val="00BE0AA0"/>
    <w:rsid w:val="00BE0F3A"/>
    <w:rsid w:val="00BE1625"/>
    <w:rsid w:val="00BE1A54"/>
    <w:rsid w:val="00BE5E2D"/>
    <w:rsid w:val="00BF0CAA"/>
    <w:rsid w:val="00BF17A7"/>
    <w:rsid w:val="00BF1BC5"/>
    <w:rsid w:val="00BF1CC7"/>
    <w:rsid w:val="00BF1E87"/>
    <w:rsid w:val="00BF3AD1"/>
    <w:rsid w:val="00BF63D8"/>
    <w:rsid w:val="00BF66AA"/>
    <w:rsid w:val="00BF7756"/>
    <w:rsid w:val="00C00EF7"/>
    <w:rsid w:val="00C03949"/>
    <w:rsid w:val="00C05A35"/>
    <w:rsid w:val="00C0714A"/>
    <w:rsid w:val="00C07D04"/>
    <w:rsid w:val="00C10414"/>
    <w:rsid w:val="00C112BC"/>
    <w:rsid w:val="00C138A4"/>
    <w:rsid w:val="00C13FB7"/>
    <w:rsid w:val="00C14D2B"/>
    <w:rsid w:val="00C153BB"/>
    <w:rsid w:val="00C1575C"/>
    <w:rsid w:val="00C2046B"/>
    <w:rsid w:val="00C20CF5"/>
    <w:rsid w:val="00C2186F"/>
    <w:rsid w:val="00C21E0F"/>
    <w:rsid w:val="00C2216B"/>
    <w:rsid w:val="00C261A9"/>
    <w:rsid w:val="00C26231"/>
    <w:rsid w:val="00C269C5"/>
    <w:rsid w:val="00C304CC"/>
    <w:rsid w:val="00C31952"/>
    <w:rsid w:val="00C33E3D"/>
    <w:rsid w:val="00C34C07"/>
    <w:rsid w:val="00C352F2"/>
    <w:rsid w:val="00C35DF2"/>
    <w:rsid w:val="00C36BBD"/>
    <w:rsid w:val="00C373A3"/>
    <w:rsid w:val="00C4162C"/>
    <w:rsid w:val="00C429C3"/>
    <w:rsid w:val="00C4560A"/>
    <w:rsid w:val="00C5081C"/>
    <w:rsid w:val="00C52A6A"/>
    <w:rsid w:val="00C5410E"/>
    <w:rsid w:val="00C56BAC"/>
    <w:rsid w:val="00C570ED"/>
    <w:rsid w:val="00C60827"/>
    <w:rsid w:val="00C610E5"/>
    <w:rsid w:val="00C616AF"/>
    <w:rsid w:val="00C63912"/>
    <w:rsid w:val="00C653C0"/>
    <w:rsid w:val="00C65674"/>
    <w:rsid w:val="00C65CCC"/>
    <w:rsid w:val="00C70232"/>
    <w:rsid w:val="00C7072D"/>
    <w:rsid w:val="00C725AF"/>
    <w:rsid w:val="00C72946"/>
    <w:rsid w:val="00C74DBF"/>
    <w:rsid w:val="00C76183"/>
    <w:rsid w:val="00C77A25"/>
    <w:rsid w:val="00C86CA8"/>
    <w:rsid w:val="00C9094B"/>
    <w:rsid w:val="00C91D49"/>
    <w:rsid w:val="00C92987"/>
    <w:rsid w:val="00C92C24"/>
    <w:rsid w:val="00C950E8"/>
    <w:rsid w:val="00C9539C"/>
    <w:rsid w:val="00C96C7E"/>
    <w:rsid w:val="00C978ED"/>
    <w:rsid w:val="00C97DA2"/>
    <w:rsid w:val="00CA4C00"/>
    <w:rsid w:val="00CA527A"/>
    <w:rsid w:val="00CA5FA3"/>
    <w:rsid w:val="00CB30EC"/>
    <w:rsid w:val="00CB4CC0"/>
    <w:rsid w:val="00CB5B26"/>
    <w:rsid w:val="00CC189F"/>
    <w:rsid w:val="00CC3A17"/>
    <w:rsid w:val="00CC43C2"/>
    <w:rsid w:val="00CC6959"/>
    <w:rsid w:val="00CD4B53"/>
    <w:rsid w:val="00CE06A8"/>
    <w:rsid w:val="00CE0E65"/>
    <w:rsid w:val="00CE33F4"/>
    <w:rsid w:val="00CE3B9E"/>
    <w:rsid w:val="00CE56D5"/>
    <w:rsid w:val="00CE6302"/>
    <w:rsid w:val="00CE6663"/>
    <w:rsid w:val="00CE787B"/>
    <w:rsid w:val="00CF0449"/>
    <w:rsid w:val="00CF0715"/>
    <w:rsid w:val="00CF107F"/>
    <w:rsid w:val="00CF2ECB"/>
    <w:rsid w:val="00CF59FD"/>
    <w:rsid w:val="00CF5F56"/>
    <w:rsid w:val="00CF7488"/>
    <w:rsid w:val="00D007A6"/>
    <w:rsid w:val="00D01A61"/>
    <w:rsid w:val="00D026D1"/>
    <w:rsid w:val="00D038B6"/>
    <w:rsid w:val="00D039CA"/>
    <w:rsid w:val="00D04CE7"/>
    <w:rsid w:val="00D05C80"/>
    <w:rsid w:val="00D11989"/>
    <w:rsid w:val="00D13FF7"/>
    <w:rsid w:val="00D15227"/>
    <w:rsid w:val="00D20A2B"/>
    <w:rsid w:val="00D2220A"/>
    <w:rsid w:val="00D22F05"/>
    <w:rsid w:val="00D25280"/>
    <w:rsid w:val="00D268AF"/>
    <w:rsid w:val="00D27B89"/>
    <w:rsid w:val="00D301EE"/>
    <w:rsid w:val="00D31297"/>
    <w:rsid w:val="00D335E6"/>
    <w:rsid w:val="00D347BA"/>
    <w:rsid w:val="00D35ECD"/>
    <w:rsid w:val="00D40955"/>
    <w:rsid w:val="00D41A59"/>
    <w:rsid w:val="00D424E5"/>
    <w:rsid w:val="00D44C83"/>
    <w:rsid w:val="00D45BE9"/>
    <w:rsid w:val="00D46A75"/>
    <w:rsid w:val="00D46EB9"/>
    <w:rsid w:val="00D503B5"/>
    <w:rsid w:val="00D528C1"/>
    <w:rsid w:val="00D538A6"/>
    <w:rsid w:val="00D54285"/>
    <w:rsid w:val="00D54FD1"/>
    <w:rsid w:val="00D55658"/>
    <w:rsid w:val="00D55D4E"/>
    <w:rsid w:val="00D62350"/>
    <w:rsid w:val="00D65DBE"/>
    <w:rsid w:val="00D72ED0"/>
    <w:rsid w:val="00D73147"/>
    <w:rsid w:val="00D73A32"/>
    <w:rsid w:val="00D754C8"/>
    <w:rsid w:val="00D82AD1"/>
    <w:rsid w:val="00D82D28"/>
    <w:rsid w:val="00D834C5"/>
    <w:rsid w:val="00D83914"/>
    <w:rsid w:val="00D83E91"/>
    <w:rsid w:val="00D84970"/>
    <w:rsid w:val="00D855B3"/>
    <w:rsid w:val="00D920E2"/>
    <w:rsid w:val="00D92523"/>
    <w:rsid w:val="00D97D67"/>
    <w:rsid w:val="00DA15F1"/>
    <w:rsid w:val="00DA19D8"/>
    <w:rsid w:val="00DA2FA6"/>
    <w:rsid w:val="00DA307C"/>
    <w:rsid w:val="00DA4430"/>
    <w:rsid w:val="00DA479B"/>
    <w:rsid w:val="00DA55EC"/>
    <w:rsid w:val="00DA6866"/>
    <w:rsid w:val="00DA7CD2"/>
    <w:rsid w:val="00DB0030"/>
    <w:rsid w:val="00DB18EB"/>
    <w:rsid w:val="00DB39C7"/>
    <w:rsid w:val="00DC05A1"/>
    <w:rsid w:val="00DC18EF"/>
    <w:rsid w:val="00DC3702"/>
    <w:rsid w:val="00DC4632"/>
    <w:rsid w:val="00DC64E0"/>
    <w:rsid w:val="00DD11AA"/>
    <w:rsid w:val="00DD1729"/>
    <w:rsid w:val="00DD2EF1"/>
    <w:rsid w:val="00DD375A"/>
    <w:rsid w:val="00DD7D5A"/>
    <w:rsid w:val="00DE58FA"/>
    <w:rsid w:val="00DE5DDC"/>
    <w:rsid w:val="00DE62D9"/>
    <w:rsid w:val="00DE6EB1"/>
    <w:rsid w:val="00DF02F6"/>
    <w:rsid w:val="00DF375C"/>
    <w:rsid w:val="00DF3A63"/>
    <w:rsid w:val="00DF4625"/>
    <w:rsid w:val="00DF4970"/>
    <w:rsid w:val="00DF547C"/>
    <w:rsid w:val="00DF6FBE"/>
    <w:rsid w:val="00DF70F9"/>
    <w:rsid w:val="00E00105"/>
    <w:rsid w:val="00E02917"/>
    <w:rsid w:val="00E0314E"/>
    <w:rsid w:val="00E03514"/>
    <w:rsid w:val="00E03D4F"/>
    <w:rsid w:val="00E042A8"/>
    <w:rsid w:val="00E0453C"/>
    <w:rsid w:val="00E1231B"/>
    <w:rsid w:val="00E14486"/>
    <w:rsid w:val="00E15415"/>
    <w:rsid w:val="00E15E16"/>
    <w:rsid w:val="00E17FE8"/>
    <w:rsid w:val="00E17FED"/>
    <w:rsid w:val="00E2166A"/>
    <w:rsid w:val="00E22315"/>
    <w:rsid w:val="00E22EDF"/>
    <w:rsid w:val="00E23AB7"/>
    <w:rsid w:val="00E23CED"/>
    <w:rsid w:val="00E263B3"/>
    <w:rsid w:val="00E26CEB"/>
    <w:rsid w:val="00E27F04"/>
    <w:rsid w:val="00E31F98"/>
    <w:rsid w:val="00E32A87"/>
    <w:rsid w:val="00E3310B"/>
    <w:rsid w:val="00E335B6"/>
    <w:rsid w:val="00E337E4"/>
    <w:rsid w:val="00E369B6"/>
    <w:rsid w:val="00E374E8"/>
    <w:rsid w:val="00E41B86"/>
    <w:rsid w:val="00E4348D"/>
    <w:rsid w:val="00E44C19"/>
    <w:rsid w:val="00E4681A"/>
    <w:rsid w:val="00E4692F"/>
    <w:rsid w:val="00E46D44"/>
    <w:rsid w:val="00E47D65"/>
    <w:rsid w:val="00E507F1"/>
    <w:rsid w:val="00E53DA4"/>
    <w:rsid w:val="00E543FD"/>
    <w:rsid w:val="00E55A56"/>
    <w:rsid w:val="00E55AE0"/>
    <w:rsid w:val="00E56BFB"/>
    <w:rsid w:val="00E63E87"/>
    <w:rsid w:val="00E63EE6"/>
    <w:rsid w:val="00E64530"/>
    <w:rsid w:val="00E70E2B"/>
    <w:rsid w:val="00E711F9"/>
    <w:rsid w:val="00E7285B"/>
    <w:rsid w:val="00E753F5"/>
    <w:rsid w:val="00E75C52"/>
    <w:rsid w:val="00E75C9D"/>
    <w:rsid w:val="00E8088B"/>
    <w:rsid w:val="00E81BDD"/>
    <w:rsid w:val="00E86808"/>
    <w:rsid w:val="00E87599"/>
    <w:rsid w:val="00E916BB"/>
    <w:rsid w:val="00E93F76"/>
    <w:rsid w:val="00E940DE"/>
    <w:rsid w:val="00E940ED"/>
    <w:rsid w:val="00E94471"/>
    <w:rsid w:val="00E94B8B"/>
    <w:rsid w:val="00E95589"/>
    <w:rsid w:val="00E95955"/>
    <w:rsid w:val="00E96EB2"/>
    <w:rsid w:val="00E97EC3"/>
    <w:rsid w:val="00EA2B3C"/>
    <w:rsid w:val="00EA2D2E"/>
    <w:rsid w:val="00EA51E5"/>
    <w:rsid w:val="00EA5BC4"/>
    <w:rsid w:val="00EA625E"/>
    <w:rsid w:val="00EB0982"/>
    <w:rsid w:val="00EB2B57"/>
    <w:rsid w:val="00EB313B"/>
    <w:rsid w:val="00EB4FDD"/>
    <w:rsid w:val="00EB7BB8"/>
    <w:rsid w:val="00EC09BA"/>
    <w:rsid w:val="00EC2096"/>
    <w:rsid w:val="00EC353F"/>
    <w:rsid w:val="00EC4023"/>
    <w:rsid w:val="00ED2780"/>
    <w:rsid w:val="00ED3C3C"/>
    <w:rsid w:val="00ED4626"/>
    <w:rsid w:val="00ED5201"/>
    <w:rsid w:val="00ED58B1"/>
    <w:rsid w:val="00EE4698"/>
    <w:rsid w:val="00EE4FD8"/>
    <w:rsid w:val="00EE5C7A"/>
    <w:rsid w:val="00EE6114"/>
    <w:rsid w:val="00EF35C3"/>
    <w:rsid w:val="00EF3E40"/>
    <w:rsid w:val="00EF7589"/>
    <w:rsid w:val="00F0008B"/>
    <w:rsid w:val="00F00BE3"/>
    <w:rsid w:val="00F0165A"/>
    <w:rsid w:val="00F01DA9"/>
    <w:rsid w:val="00F02EFE"/>
    <w:rsid w:val="00F05DCA"/>
    <w:rsid w:val="00F0692E"/>
    <w:rsid w:val="00F1128C"/>
    <w:rsid w:val="00F11CE9"/>
    <w:rsid w:val="00F12B5E"/>
    <w:rsid w:val="00F13E8C"/>
    <w:rsid w:val="00F16005"/>
    <w:rsid w:val="00F1601C"/>
    <w:rsid w:val="00F161CD"/>
    <w:rsid w:val="00F23C93"/>
    <w:rsid w:val="00F251C7"/>
    <w:rsid w:val="00F26A22"/>
    <w:rsid w:val="00F35039"/>
    <w:rsid w:val="00F35DFF"/>
    <w:rsid w:val="00F37419"/>
    <w:rsid w:val="00F37A65"/>
    <w:rsid w:val="00F418B9"/>
    <w:rsid w:val="00F41FEC"/>
    <w:rsid w:val="00F4540C"/>
    <w:rsid w:val="00F47612"/>
    <w:rsid w:val="00F51140"/>
    <w:rsid w:val="00F52274"/>
    <w:rsid w:val="00F52A94"/>
    <w:rsid w:val="00F52F53"/>
    <w:rsid w:val="00F52FB0"/>
    <w:rsid w:val="00F53246"/>
    <w:rsid w:val="00F61AB7"/>
    <w:rsid w:val="00F634E9"/>
    <w:rsid w:val="00F6677A"/>
    <w:rsid w:val="00F70C3C"/>
    <w:rsid w:val="00F7179A"/>
    <w:rsid w:val="00F74DF5"/>
    <w:rsid w:val="00F7603D"/>
    <w:rsid w:val="00F807A4"/>
    <w:rsid w:val="00F807CC"/>
    <w:rsid w:val="00F8087F"/>
    <w:rsid w:val="00F8280E"/>
    <w:rsid w:val="00F83343"/>
    <w:rsid w:val="00F87035"/>
    <w:rsid w:val="00F87226"/>
    <w:rsid w:val="00F87424"/>
    <w:rsid w:val="00F8757F"/>
    <w:rsid w:val="00F91B3A"/>
    <w:rsid w:val="00F92C6A"/>
    <w:rsid w:val="00FA11DD"/>
    <w:rsid w:val="00FA2E8A"/>
    <w:rsid w:val="00FA4D4C"/>
    <w:rsid w:val="00FA5BF1"/>
    <w:rsid w:val="00FA7280"/>
    <w:rsid w:val="00FB01E6"/>
    <w:rsid w:val="00FB10DD"/>
    <w:rsid w:val="00FB2106"/>
    <w:rsid w:val="00FB493B"/>
    <w:rsid w:val="00FB4FA6"/>
    <w:rsid w:val="00FB5F1A"/>
    <w:rsid w:val="00FB7072"/>
    <w:rsid w:val="00FC09B2"/>
    <w:rsid w:val="00FC3294"/>
    <w:rsid w:val="00FC36E8"/>
    <w:rsid w:val="00FC3EEC"/>
    <w:rsid w:val="00FC62C2"/>
    <w:rsid w:val="00FC6866"/>
    <w:rsid w:val="00FC6C51"/>
    <w:rsid w:val="00FC6D73"/>
    <w:rsid w:val="00FD0E68"/>
    <w:rsid w:val="00FD10C9"/>
    <w:rsid w:val="00FD3474"/>
    <w:rsid w:val="00FD4542"/>
    <w:rsid w:val="00FD467D"/>
    <w:rsid w:val="00FD56AA"/>
    <w:rsid w:val="00FE2635"/>
    <w:rsid w:val="00FE34CF"/>
    <w:rsid w:val="00FE4BE3"/>
    <w:rsid w:val="00FE4D93"/>
    <w:rsid w:val="00FE74BE"/>
    <w:rsid w:val="00FF3241"/>
    <w:rsid w:val="00FF53F6"/>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E9C05"/>
  <w15:docId w15:val="{C966FE76-D913-46BD-B7E3-31382B0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278"/>
    <w:rPr>
      <w:color w:val="800080" w:themeColor="followedHyperlink"/>
      <w:u w:val="single"/>
    </w:rPr>
  </w:style>
  <w:style w:type="paragraph" w:styleId="NoSpacing">
    <w:name w:val="No Spacing"/>
    <w:uiPriority w:val="1"/>
    <w:qFormat/>
    <w:rsid w:val="00934049"/>
    <w:pPr>
      <w:spacing w:after="0" w:line="240" w:lineRule="auto"/>
    </w:pPr>
    <w:rPr>
      <w:sz w:val="24"/>
      <w:szCs w:val="24"/>
    </w:rPr>
  </w:style>
  <w:style w:type="paragraph" w:styleId="NormalWeb">
    <w:name w:val="Normal (Web)"/>
    <w:basedOn w:val="Normal"/>
    <w:uiPriority w:val="99"/>
    <w:unhideWhenUsed/>
    <w:rsid w:val="003F1BCB"/>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107701587">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79410746">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05009633">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891042696">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961375892">
      <w:bodyDiv w:val="1"/>
      <w:marLeft w:val="0"/>
      <w:marRight w:val="0"/>
      <w:marTop w:val="0"/>
      <w:marBottom w:val="0"/>
      <w:divBdr>
        <w:top w:val="none" w:sz="0" w:space="0" w:color="auto"/>
        <w:left w:val="none" w:sz="0" w:space="0" w:color="auto"/>
        <w:bottom w:val="none" w:sz="0" w:space="0" w:color="auto"/>
        <w:right w:val="none" w:sz="0" w:space="0" w:color="auto"/>
      </w:divBdr>
    </w:div>
    <w:div w:id="992098779">
      <w:bodyDiv w:val="1"/>
      <w:marLeft w:val="120"/>
      <w:marRight w:val="120"/>
      <w:marTop w:val="0"/>
      <w:marBottom w:val="0"/>
      <w:divBdr>
        <w:top w:val="none" w:sz="0" w:space="0" w:color="auto"/>
        <w:left w:val="none" w:sz="0" w:space="0" w:color="auto"/>
        <w:bottom w:val="none" w:sz="0" w:space="0" w:color="auto"/>
        <w:right w:val="none" w:sz="0" w:space="0" w:color="auto"/>
      </w:divBdr>
      <w:divsChild>
        <w:div w:id="1659531247">
          <w:marLeft w:val="0"/>
          <w:marRight w:val="0"/>
          <w:marTop w:val="0"/>
          <w:marBottom w:val="0"/>
          <w:divBdr>
            <w:top w:val="none" w:sz="0" w:space="0" w:color="auto"/>
            <w:left w:val="none" w:sz="0" w:space="0" w:color="auto"/>
            <w:bottom w:val="none" w:sz="0" w:space="0" w:color="auto"/>
            <w:right w:val="none" w:sz="0" w:space="0" w:color="auto"/>
          </w:divBdr>
          <w:divsChild>
            <w:div w:id="6983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852">
      <w:bodyDiv w:val="1"/>
      <w:marLeft w:val="0"/>
      <w:marRight w:val="0"/>
      <w:marTop w:val="0"/>
      <w:marBottom w:val="0"/>
      <w:divBdr>
        <w:top w:val="none" w:sz="0" w:space="0" w:color="auto"/>
        <w:left w:val="none" w:sz="0" w:space="0" w:color="auto"/>
        <w:bottom w:val="none" w:sz="0" w:space="0" w:color="auto"/>
        <w:right w:val="none" w:sz="0" w:space="0" w:color="auto"/>
      </w:divBdr>
    </w:div>
    <w:div w:id="1063219410">
      <w:bodyDiv w:val="1"/>
      <w:marLeft w:val="0"/>
      <w:marRight w:val="0"/>
      <w:marTop w:val="0"/>
      <w:marBottom w:val="0"/>
      <w:divBdr>
        <w:top w:val="none" w:sz="0" w:space="0" w:color="auto"/>
        <w:left w:val="none" w:sz="0" w:space="0" w:color="auto"/>
        <w:bottom w:val="none" w:sz="0" w:space="0" w:color="auto"/>
        <w:right w:val="none" w:sz="0" w:space="0" w:color="auto"/>
      </w:divBdr>
    </w:div>
    <w:div w:id="1072698482">
      <w:bodyDiv w:val="1"/>
      <w:marLeft w:val="0"/>
      <w:marRight w:val="0"/>
      <w:marTop w:val="0"/>
      <w:marBottom w:val="0"/>
      <w:divBdr>
        <w:top w:val="none" w:sz="0" w:space="0" w:color="auto"/>
        <w:left w:val="none" w:sz="0" w:space="0" w:color="auto"/>
        <w:bottom w:val="none" w:sz="0" w:space="0" w:color="auto"/>
        <w:right w:val="none" w:sz="0" w:space="0" w:color="auto"/>
      </w:divBdr>
    </w:div>
    <w:div w:id="1106000483">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324697069">
      <w:bodyDiv w:val="1"/>
      <w:marLeft w:val="0"/>
      <w:marRight w:val="0"/>
      <w:marTop w:val="0"/>
      <w:marBottom w:val="0"/>
      <w:divBdr>
        <w:top w:val="none" w:sz="0" w:space="0" w:color="auto"/>
        <w:left w:val="none" w:sz="0" w:space="0" w:color="auto"/>
        <w:bottom w:val="none" w:sz="0" w:space="0" w:color="auto"/>
        <w:right w:val="none" w:sz="0" w:space="0" w:color="auto"/>
      </w:divBdr>
    </w:div>
    <w:div w:id="1424916295">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546988587">
      <w:bodyDiv w:val="1"/>
      <w:marLeft w:val="0"/>
      <w:marRight w:val="0"/>
      <w:marTop w:val="0"/>
      <w:marBottom w:val="0"/>
      <w:divBdr>
        <w:top w:val="none" w:sz="0" w:space="0" w:color="auto"/>
        <w:left w:val="none" w:sz="0" w:space="0" w:color="auto"/>
        <w:bottom w:val="none" w:sz="0" w:space="0" w:color="auto"/>
        <w:right w:val="none" w:sz="0" w:space="0" w:color="auto"/>
      </w:divBdr>
    </w:div>
    <w:div w:id="1633553302">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857575665">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1978800471">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www.st.nmfs.noaa.gov/pims/main/public?method=DOWNLOAD_FR_PDF&amp;record_id=9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nmfs.noaa.gov/pims/main/public?method=DOWNLOAD_FR_PDF&amp;record_id=45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urveypractice.org/article/3093-methods-for-improving-response-rates-in-two-phase-mail-surve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ecec.t02.htm" TargetMode="External"/><Relationship Id="rId5" Type="http://schemas.openxmlformats.org/officeDocument/2006/relationships/webSettings" Target="webSettings.xml"/><Relationship Id="rId15" Type="http://schemas.openxmlformats.org/officeDocument/2006/relationships/hyperlink" Target="https://www.st.nmfs.noaa.gov/pims/main/public?method=DOWNLOAD_FR_PDF&amp;record_id=462" TargetMode="External"/><Relationship Id="rId10" Type="http://schemas.openxmlformats.org/officeDocument/2006/relationships/hyperlink" Target="http://www.fws.gov/informationquality/section51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ater.epa.gov/lawsregs/guidance/wetlands/eo12962.cfm" TargetMode="External"/><Relationship Id="rId14" Type="http://schemas.openxmlformats.org/officeDocument/2006/relationships/hyperlink" Target="https://www.st.nmfs.noaa.gov/pims/main/public?method=DOWNLOAD_FR_PDF&amp;record_id=1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44A83-E240-474B-B4B7-A94439C6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4142</Words>
  <Characters>26102</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Rob_Andrews</dc:creator>
  <cp:lastModifiedBy>Adrienne Thomas</cp:lastModifiedBy>
  <cp:revision>2</cp:revision>
  <dcterms:created xsi:type="dcterms:W3CDTF">2020-09-11T20:28:00Z</dcterms:created>
  <dcterms:modified xsi:type="dcterms:W3CDTF">2020-09-11T20:28:00Z</dcterms:modified>
</cp:coreProperties>
</file>