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86" w:rsidRPr="00A512C4" w:rsidRDefault="00FD3A86">
      <w:pPr>
        <w:jc w:val="center"/>
        <w:rPr>
          <w:rFonts w:ascii="Courier New" w:hAnsi="Courier New" w:cs="Courier New"/>
          <w:b/>
        </w:rPr>
      </w:pPr>
      <w:bookmarkStart w:id="0" w:name="_GoBack"/>
      <w:bookmarkEnd w:id="0"/>
      <w:r w:rsidRPr="00A512C4">
        <w:rPr>
          <w:rFonts w:ascii="Courier New" w:hAnsi="Courier New" w:cs="Courier New"/>
          <w:b/>
        </w:rPr>
        <w:t>SUPPORTING STATEMENT</w:t>
      </w:r>
    </w:p>
    <w:p w:rsidR="00FD3A86" w:rsidRPr="00A512C4" w:rsidRDefault="00FD3A86">
      <w:pPr>
        <w:jc w:val="center"/>
        <w:rPr>
          <w:rFonts w:ascii="Courier New" w:hAnsi="Courier New" w:cs="Courier New"/>
          <w:b/>
        </w:rPr>
      </w:pPr>
      <w:r w:rsidRPr="00A512C4">
        <w:rPr>
          <w:rFonts w:ascii="Courier New" w:hAnsi="Courier New" w:cs="Courier New"/>
          <w:b/>
        </w:rPr>
        <w:t>FOR PAPERWORK REDUCTION ACT SUBMISSION</w:t>
      </w:r>
    </w:p>
    <w:p w:rsidR="00FD3A86" w:rsidRPr="00A512C4" w:rsidRDefault="00FD3A86">
      <w:pPr>
        <w:jc w:val="center"/>
        <w:rPr>
          <w:rFonts w:ascii="Courier New" w:hAnsi="Courier New" w:cs="Courier New"/>
          <w:b/>
        </w:rPr>
      </w:pPr>
      <w:r w:rsidRPr="00A512C4">
        <w:rPr>
          <w:rFonts w:ascii="Courier New" w:hAnsi="Courier New" w:cs="Courier New"/>
          <w:b/>
        </w:rPr>
        <w:t>9000-</w:t>
      </w:r>
      <w:r w:rsidR="00506D35">
        <w:rPr>
          <w:rFonts w:ascii="Courier New" w:hAnsi="Courier New" w:cs="Courier New"/>
          <w:b/>
        </w:rPr>
        <w:t>0187</w:t>
      </w:r>
      <w:r w:rsidRPr="00A512C4">
        <w:rPr>
          <w:rFonts w:ascii="Courier New" w:hAnsi="Courier New" w:cs="Courier New"/>
          <w:b/>
        </w:rPr>
        <w:t xml:space="preserve">, </w:t>
      </w:r>
      <w:r w:rsidR="00CD28C6">
        <w:rPr>
          <w:rFonts w:ascii="Courier New" w:hAnsi="Courier New" w:cs="Courier New"/>
          <w:b/>
        </w:rPr>
        <w:t>R</w:t>
      </w:r>
      <w:r w:rsidR="00392C65" w:rsidRPr="00A512C4">
        <w:rPr>
          <w:rFonts w:ascii="Courier New" w:hAnsi="Courier New" w:cs="Courier New"/>
          <w:b/>
        </w:rPr>
        <w:t>eporting of Nonconforming Items</w:t>
      </w:r>
      <w:r w:rsidR="00CD28C6">
        <w:rPr>
          <w:rFonts w:ascii="Courier New" w:hAnsi="Courier New" w:cs="Courier New"/>
          <w:b/>
        </w:rPr>
        <w:t xml:space="preserve"> to the Government-Industry Data Exchange Program</w:t>
      </w:r>
    </w:p>
    <w:p w:rsidR="00FD3A86" w:rsidRPr="00A512C4" w:rsidRDefault="00FD3A86">
      <w:pPr>
        <w:jc w:val="center"/>
        <w:rPr>
          <w:rFonts w:ascii="Courier New" w:hAnsi="Courier New" w:cs="Courier New"/>
          <w:b/>
        </w:rPr>
      </w:pPr>
    </w:p>
    <w:p w:rsidR="00FD3A86" w:rsidRPr="00A512C4" w:rsidRDefault="00FD3A86">
      <w:pPr>
        <w:rPr>
          <w:rFonts w:ascii="Courier New" w:hAnsi="Courier New" w:cs="Courier New"/>
          <w:b/>
        </w:rPr>
      </w:pPr>
      <w:r w:rsidRPr="00A512C4">
        <w:rPr>
          <w:rFonts w:ascii="Courier New" w:hAnsi="Courier New" w:cs="Courier New"/>
          <w:b/>
        </w:rPr>
        <w:t>A.  Justification.</w:t>
      </w:r>
    </w:p>
    <w:p w:rsidR="00FD3A86" w:rsidRPr="00A512C4" w:rsidRDefault="00FD3A86">
      <w:pPr>
        <w:rPr>
          <w:rFonts w:ascii="Courier New" w:hAnsi="Courier New" w:cs="Courier New"/>
        </w:rPr>
      </w:pPr>
    </w:p>
    <w:p w:rsidR="00C75F38" w:rsidRPr="00A512C4" w:rsidRDefault="00FD3A86" w:rsidP="00AB4D61">
      <w:pPr>
        <w:pStyle w:val="ListParagraph"/>
        <w:numPr>
          <w:ilvl w:val="0"/>
          <w:numId w:val="1"/>
        </w:numPr>
        <w:ind w:left="0" w:firstLine="0"/>
        <w:rPr>
          <w:rFonts w:ascii="Courier New" w:hAnsi="Courier New" w:cs="Courier New"/>
        </w:rPr>
      </w:pPr>
      <w:r w:rsidRPr="00A512C4">
        <w:rPr>
          <w:rFonts w:ascii="Courier New" w:hAnsi="Courier New" w:cs="Courier New"/>
          <w:b/>
        </w:rPr>
        <w:t>Administrative requirements</w:t>
      </w:r>
      <w:r w:rsidRPr="00A512C4">
        <w:rPr>
          <w:rFonts w:ascii="Courier New" w:hAnsi="Courier New" w:cs="Courier New"/>
        </w:rPr>
        <w:t>.</w:t>
      </w:r>
      <w:r w:rsidR="00392C65" w:rsidRPr="00A512C4">
        <w:rPr>
          <w:rFonts w:ascii="Courier New" w:hAnsi="Courier New" w:cs="Courier New"/>
        </w:rPr>
        <w:t xml:space="preserve">  </w:t>
      </w:r>
      <w:r w:rsidR="00A16C72" w:rsidRPr="00A512C4">
        <w:rPr>
          <w:rFonts w:ascii="Courier New" w:hAnsi="Courier New" w:cs="Courier New"/>
        </w:rPr>
        <w:t>Counterfeiting affects governments, businesses</w:t>
      </w:r>
      <w:r w:rsidR="00CC2F43">
        <w:rPr>
          <w:rFonts w:ascii="Courier New" w:hAnsi="Courier New" w:cs="Courier New"/>
        </w:rPr>
        <w:t>,</w:t>
      </w:r>
      <w:r w:rsidR="00A16C72" w:rsidRPr="00A512C4">
        <w:rPr>
          <w:rFonts w:ascii="Courier New" w:hAnsi="Courier New" w:cs="Courier New"/>
        </w:rPr>
        <w:t xml:space="preserve"> and consumers throughout the supply chain.  </w:t>
      </w:r>
      <w:r w:rsidR="00AB4D61" w:rsidRPr="00A512C4">
        <w:rPr>
          <w:rFonts w:ascii="Courier New" w:hAnsi="Courier New" w:cs="Courier New"/>
        </w:rPr>
        <w:t>Growing c</w:t>
      </w:r>
      <w:r w:rsidR="00A16C72" w:rsidRPr="00A512C4">
        <w:rPr>
          <w:rFonts w:ascii="Courier New" w:hAnsi="Courier New" w:cs="Courier New"/>
        </w:rPr>
        <w:t>oncerns regarding</w:t>
      </w:r>
      <w:r w:rsidR="00AB4D61" w:rsidRPr="00A512C4">
        <w:rPr>
          <w:rFonts w:ascii="Courier New" w:hAnsi="Courier New" w:cs="Courier New"/>
        </w:rPr>
        <w:t xml:space="preserve"> counterfeit parts le</w:t>
      </w:r>
      <w:r w:rsidR="00A16C72" w:rsidRPr="00A512C4">
        <w:rPr>
          <w:rFonts w:ascii="Courier New" w:hAnsi="Courier New" w:cs="Courier New"/>
        </w:rPr>
        <w:t xml:space="preserve">d to the enactment of </w:t>
      </w:r>
      <w:r w:rsidR="006C0DA9">
        <w:rPr>
          <w:rFonts w:ascii="Courier New" w:hAnsi="Courier New" w:cs="Courier New"/>
        </w:rPr>
        <w:t>s</w:t>
      </w:r>
      <w:r w:rsidR="00A16C72" w:rsidRPr="00A512C4">
        <w:rPr>
          <w:rFonts w:ascii="Courier New" w:hAnsi="Courier New" w:cs="Courier New"/>
        </w:rPr>
        <w:t xml:space="preserve">ection 818 of </w:t>
      </w:r>
      <w:r w:rsidR="006C0DA9">
        <w:rPr>
          <w:rFonts w:ascii="Courier New" w:hAnsi="Courier New" w:cs="Courier New"/>
        </w:rPr>
        <w:t>the</w:t>
      </w:r>
      <w:r w:rsidR="00A16C72" w:rsidRPr="00A512C4">
        <w:rPr>
          <w:rFonts w:ascii="Courier New" w:hAnsi="Courier New" w:cs="Courier New"/>
        </w:rPr>
        <w:t xml:space="preserve"> </w:t>
      </w:r>
      <w:r w:rsidR="00392C65" w:rsidRPr="00A512C4">
        <w:rPr>
          <w:rFonts w:ascii="Courier New" w:hAnsi="Courier New" w:cs="Courier New"/>
        </w:rPr>
        <w:t>National Defense Authorization Act</w:t>
      </w:r>
      <w:r w:rsidR="00A16C72" w:rsidRPr="00A512C4">
        <w:rPr>
          <w:rFonts w:ascii="Courier New" w:hAnsi="Courier New" w:cs="Courier New"/>
        </w:rPr>
        <w:t xml:space="preserve"> (NDAA)</w:t>
      </w:r>
      <w:r w:rsidR="006C0DA9">
        <w:rPr>
          <w:rFonts w:ascii="Courier New" w:hAnsi="Courier New" w:cs="Courier New"/>
        </w:rPr>
        <w:t xml:space="preserve"> for Fiscal Year (FY) 2012</w:t>
      </w:r>
      <w:r w:rsidR="00AB4D61" w:rsidRPr="00A512C4">
        <w:rPr>
          <w:rFonts w:ascii="Courier New" w:hAnsi="Courier New" w:cs="Courier New"/>
        </w:rPr>
        <w:t>,</w:t>
      </w:r>
      <w:r w:rsidR="00392C65" w:rsidRPr="00A512C4">
        <w:rPr>
          <w:rFonts w:ascii="Courier New" w:hAnsi="Courier New" w:cs="Courier New"/>
        </w:rPr>
        <w:t xml:space="preserve"> </w:t>
      </w:r>
      <w:r w:rsidR="003374E8" w:rsidRPr="001B33B3">
        <w:rPr>
          <w:rFonts w:ascii="Courier New" w:hAnsi="Courier New" w:cs="Courier New"/>
        </w:rPr>
        <w:t>Pub.</w:t>
      </w:r>
      <w:r w:rsidR="001B33B3" w:rsidRPr="001B33B3">
        <w:rPr>
          <w:rFonts w:ascii="Courier New" w:hAnsi="Courier New" w:cs="Courier New"/>
        </w:rPr>
        <w:t>L. 112-81, 10 U.S.C. 2302 Note,</w:t>
      </w:r>
      <w:r w:rsidR="003374E8">
        <w:rPr>
          <w:rFonts w:ascii="Courier New" w:hAnsi="Courier New" w:cs="Courier New"/>
          <w:b/>
        </w:rPr>
        <w:t xml:space="preserve"> </w:t>
      </w:r>
      <w:r w:rsidR="00A16C72" w:rsidRPr="00A512C4">
        <w:rPr>
          <w:rFonts w:ascii="Courier New" w:hAnsi="Courier New" w:cs="Courier New"/>
        </w:rPr>
        <w:t>requiring regulations regarding the definition, prevention, detection</w:t>
      </w:r>
      <w:r w:rsidR="00CC2F43">
        <w:rPr>
          <w:rFonts w:ascii="Courier New" w:hAnsi="Courier New" w:cs="Courier New"/>
        </w:rPr>
        <w:t>,</w:t>
      </w:r>
      <w:r w:rsidR="00A16C72" w:rsidRPr="00A512C4">
        <w:rPr>
          <w:rFonts w:ascii="Courier New" w:hAnsi="Courier New" w:cs="Courier New"/>
        </w:rPr>
        <w:t xml:space="preserve"> and reporting of actual or suspected counterfeit </w:t>
      </w:r>
      <w:r w:rsidR="006C0DA9">
        <w:rPr>
          <w:rFonts w:ascii="Courier New" w:hAnsi="Courier New" w:cs="Courier New"/>
        </w:rPr>
        <w:t>electronic parts</w:t>
      </w:r>
      <w:r w:rsidR="00A16C72" w:rsidRPr="00A512C4">
        <w:rPr>
          <w:rFonts w:ascii="Courier New" w:hAnsi="Courier New" w:cs="Courier New"/>
        </w:rPr>
        <w:t xml:space="preserve"> in the Government-Industry Data Exchange Program (GIDEP) system.  </w:t>
      </w:r>
      <w:r w:rsidR="00A1764A">
        <w:rPr>
          <w:rFonts w:ascii="Courier New" w:hAnsi="Courier New" w:cs="Courier New"/>
        </w:rPr>
        <w:t>While section 818 was directed specifically at the</w:t>
      </w:r>
      <w:r w:rsidR="006C0DA9">
        <w:rPr>
          <w:rFonts w:ascii="Courier New" w:hAnsi="Courier New" w:cs="Courier New"/>
        </w:rPr>
        <w:t xml:space="preserve"> reporting of counterfeit or suspect counterfeit electronic parts by </w:t>
      </w:r>
      <w:r w:rsidR="00A1764A">
        <w:rPr>
          <w:rFonts w:ascii="Courier New" w:hAnsi="Courier New" w:cs="Courier New"/>
        </w:rPr>
        <w:t>Department of Defense (DoD)</w:t>
      </w:r>
      <w:r w:rsidR="006C0DA9">
        <w:rPr>
          <w:rFonts w:ascii="Courier New" w:hAnsi="Courier New" w:cs="Courier New"/>
        </w:rPr>
        <w:t xml:space="preserve"> contractors and subcontractors</w:t>
      </w:r>
      <w:r w:rsidR="00A1764A">
        <w:rPr>
          <w:rFonts w:ascii="Courier New" w:hAnsi="Courier New" w:cs="Courier New"/>
        </w:rPr>
        <w:t xml:space="preserve">, the problem of </w:t>
      </w:r>
      <w:r w:rsidR="006C0DA9">
        <w:rPr>
          <w:rFonts w:ascii="Courier New" w:hAnsi="Courier New" w:cs="Courier New"/>
        </w:rPr>
        <w:t xml:space="preserve">nonconforming and </w:t>
      </w:r>
      <w:r w:rsidR="00A1764A">
        <w:rPr>
          <w:rFonts w:ascii="Courier New" w:hAnsi="Courier New" w:cs="Courier New"/>
        </w:rPr>
        <w:t xml:space="preserve">counterfeit parts </w:t>
      </w:r>
      <w:r w:rsidR="00155946" w:rsidRPr="00506D35">
        <w:rPr>
          <w:rFonts w:ascii="Courier New" w:hAnsi="Courier New" w:cs="Courier New"/>
        </w:rPr>
        <w:t>continues</w:t>
      </w:r>
      <w:r w:rsidR="00155946">
        <w:rPr>
          <w:rFonts w:ascii="Courier New" w:hAnsi="Courier New" w:cs="Courier New"/>
        </w:rPr>
        <w:t xml:space="preserve"> </w:t>
      </w:r>
      <w:r w:rsidR="00A1764A">
        <w:rPr>
          <w:rFonts w:ascii="Courier New" w:hAnsi="Courier New" w:cs="Courier New"/>
        </w:rPr>
        <w:t xml:space="preserve">to be significant across the Federal Government.  Therefore, the </w:t>
      </w:r>
      <w:r w:rsidR="006C0DA9">
        <w:rPr>
          <w:rFonts w:ascii="Courier New" w:hAnsi="Courier New" w:cs="Courier New"/>
        </w:rPr>
        <w:t xml:space="preserve">final rule and associated information collection </w:t>
      </w:r>
      <w:r w:rsidR="00A1764A">
        <w:rPr>
          <w:rFonts w:ascii="Courier New" w:hAnsi="Courier New" w:cs="Courier New"/>
        </w:rPr>
        <w:t xml:space="preserve">requirement will impact all Federal agencies.  </w:t>
      </w:r>
      <w:r w:rsidR="006C0DA9">
        <w:rPr>
          <w:rFonts w:ascii="Courier New" w:hAnsi="Courier New" w:cs="Courier New"/>
        </w:rPr>
        <w:t>T</w:t>
      </w:r>
      <w:r w:rsidR="00A662AA" w:rsidRPr="00A512C4">
        <w:rPr>
          <w:rFonts w:ascii="Courier New" w:hAnsi="Courier New" w:cs="Courier New"/>
        </w:rPr>
        <w:t xml:space="preserve">he goal of reporting counterfeit and suspect counterfeit </w:t>
      </w:r>
      <w:r w:rsidR="006C0DA9">
        <w:rPr>
          <w:rFonts w:ascii="Courier New" w:hAnsi="Courier New" w:cs="Courier New"/>
        </w:rPr>
        <w:t xml:space="preserve">items </w:t>
      </w:r>
      <w:r w:rsidR="00ED769A">
        <w:rPr>
          <w:rFonts w:ascii="Courier New" w:hAnsi="Courier New" w:cs="Courier New"/>
        </w:rPr>
        <w:t xml:space="preserve">and common items that have a critical or major nonconformance </w:t>
      </w:r>
      <w:r w:rsidR="00A662AA" w:rsidRPr="00A512C4">
        <w:rPr>
          <w:rFonts w:ascii="Courier New" w:hAnsi="Courier New" w:cs="Courier New"/>
        </w:rPr>
        <w:t>into GIDEP is to avoid, detect</w:t>
      </w:r>
      <w:r w:rsidR="00CC2F43">
        <w:rPr>
          <w:rFonts w:ascii="Courier New" w:hAnsi="Courier New" w:cs="Courier New"/>
        </w:rPr>
        <w:t>,</w:t>
      </w:r>
      <w:r w:rsidR="00A662AA" w:rsidRPr="00A512C4">
        <w:rPr>
          <w:rFonts w:ascii="Courier New" w:hAnsi="Courier New" w:cs="Courier New"/>
        </w:rPr>
        <w:t xml:space="preserve"> and address </w:t>
      </w:r>
      <w:r w:rsidR="006C0DA9">
        <w:rPr>
          <w:rFonts w:ascii="Courier New" w:hAnsi="Courier New" w:cs="Courier New"/>
        </w:rPr>
        <w:t xml:space="preserve">nonconforming or </w:t>
      </w:r>
      <w:r w:rsidR="00A662AA" w:rsidRPr="00A512C4">
        <w:rPr>
          <w:rFonts w:ascii="Courier New" w:hAnsi="Courier New" w:cs="Courier New"/>
        </w:rPr>
        <w:t>counterfeit parts in the supply chain.</w:t>
      </w:r>
      <w:r w:rsidR="00AB4D61" w:rsidRPr="00A512C4">
        <w:rPr>
          <w:rFonts w:ascii="Courier New" w:hAnsi="Courier New" w:cs="Courier New"/>
        </w:rPr>
        <w:t xml:space="preserve">  </w:t>
      </w:r>
    </w:p>
    <w:p w:rsidR="00AB4D61" w:rsidRPr="00A512C4" w:rsidRDefault="00AB4D61" w:rsidP="00AB4D61">
      <w:pPr>
        <w:pStyle w:val="ListParagraph"/>
        <w:ind w:left="585"/>
        <w:rPr>
          <w:rFonts w:ascii="Courier New" w:hAnsi="Courier New" w:cs="Courier New"/>
        </w:rPr>
      </w:pPr>
    </w:p>
    <w:p w:rsidR="00F84EEA" w:rsidRPr="00A512C4" w:rsidRDefault="00FD3A86" w:rsidP="00F84EEA">
      <w:pPr>
        <w:pStyle w:val="ListParagraph"/>
        <w:numPr>
          <w:ilvl w:val="0"/>
          <w:numId w:val="1"/>
        </w:numPr>
        <w:ind w:left="0" w:firstLine="0"/>
        <w:rPr>
          <w:rFonts w:ascii="Courier New" w:hAnsi="Courier New" w:cs="Courier New"/>
        </w:rPr>
      </w:pPr>
      <w:r w:rsidRPr="00A512C4">
        <w:rPr>
          <w:rFonts w:ascii="Courier New" w:hAnsi="Courier New" w:cs="Courier New"/>
          <w:b/>
        </w:rPr>
        <w:t>Uses of information</w:t>
      </w:r>
      <w:r w:rsidRPr="00A512C4">
        <w:rPr>
          <w:rFonts w:ascii="Courier New" w:hAnsi="Courier New" w:cs="Courier New"/>
        </w:rPr>
        <w:t>.</w:t>
      </w:r>
      <w:r w:rsidR="0096338D" w:rsidRPr="00A512C4">
        <w:rPr>
          <w:rFonts w:ascii="Courier New" w:hAnsi="Courier New" w:cs="Courier New"/>
        </w:rPr>
        <w:t xml:space="preserve">  </w:t>
      </w:r>
      <w:r w:rsidR="00F84EEA" w:rsidRPr="00A512C4">
        <w:rPr>
          <w:rFonts w:ascii="Courier New" w:hAnsi="Courier New" w:cs="Courier New"/>
        </w:rPr>
        <w:t xml:space="preserve">This information will be used by the Government to address and detect </w:t>
      </w:r>
      <w:r w:rsidR="006C0DA9">
        <w:rPr>
          <w:rFonts w:ascii="Courier New" w:hAnsi="Courier New" w:cs="Courier New"/>
        </w:rPr>
        <w:t xml:space="preserve">nonconforming and </w:t>
      </w:r>
      <w:r w:rsidR="00F84EEA" w:rsidRPr="00A512C4">
        <w:rPr>
          <w:rFonts w:ascii="Courier New" w:hAnsi="Courier New" w:cs="Courier New"/>
        </w:rPr>
        <w:t xml:space="preserve">counterfeit items.  </w:t>
      </w:r>
      <w:r w:rsidR="00A1764A">
        <w:rPr>
          <w:rFonts w:ascii="Courier New" w:hAnsi="Courier New" w:cs="Courier New"/>
        </w:rPr>
        <w:t>Perhaps more important, this information will be available to businesses for searching prior to placing orders, thus enabling the avoidance of purchasing counterfeit items in the first place.</w:t>
      </w:r>
    </w:p>
    <w:p w:rsidR="006C0DA9" w:rsidRDefault="006C0DA9">
      <w:pPr>
        <w:tabs>
          <w:tab w:val="left" w:pos="90"/>
        </w:tabs>
        <w:rPr>
          <w:rFonts w:ascii="Courier New" w:hAnsi="Courier New" w:cs="Courier New"/>
        </w:rPr>
      </w:pPr>
    </w:p>
    <w:p w:rsidR="00FD3A86" w:rsidRPr="00A512C4" w:rsidRDefault="00FD3A86">
      <w:pPr>
        <w:tabs>
          <w:tab w:val="left" w:pos="90"/>
        </w:tabs>
        <w:rPr>
          <w:rFonts w:ascii="Courier New" w:hAnsi="Courier New" w:cs="Courier New"/>
        </w:rPr>
      </w:pPr>
      <w:r w:rsidRPr="00A512C4">
        <w:rPr>
          <w:rFonts w:ascii="Courier New" w:hAnsi="Courier New" w:cs="Courier New"/>
        </w:rPr>
        <w:t>3.</w:t>
      </w:r>
      <w:r w:rsidR="005B2EF0" w:rsidRPr="00A512C4">
        <w:rPr>
          <w:rFonts w:ascii="Courier New" w:hAnsi="Courier New" w:cs="Courier New"/>
        </w:rPr>
        <w:t xml:space="preserve">  </w:t>
      </w:r>
      <w:r w:rsidRPr="00A512C4">
        <w:rPr>
          <w:rFonts w:ascii="Courier New" w:hAnsi="Courier New" w:cs="Courier New"/>
          <w:b/>
        </w:rPr>
        <w:t>Consideration of information technology</w:t>
      </w:r>
      <w:r w:rsidRPr="00A512C4">
        <w:rPr>
          <w:rFonts w:ascii="Courier New" w:hAnsi="Courier New" w:cs="Courier New"/>
        </w:rPr>
        <w:t xml:space="preserve">.  Information technology has been applied to the maximum extent possible. </w:t>
      </w:r>
      <w:r w:rsidR="00DA52DD" w:rsidRPr="00A512C4">
        <w:rPr>
          <w:rFonts w:ascii="Courier New" w:hAnsi="Courier New" w:cs="Courier New"/>
        </w:rPr>
        <w:t>GIDEP uses standardized electronic forms to report into the system.  The contractor is not prohibited from notifying the contracting officer electronically</w:t>
      </w:r>
      <w:r w:rsidR="00A1764A">
        <w:rPr>
          <w:rFonts w:ascii="Courier New" w:hAnsi="Courier New" w:cs="Courier New"/>
        </w:rPr>
        <w:t>.</w:t>
      </w:r>
      <w:r w:rsidR="00DA52DD" w:rsidRPr="00A512C4">
        <w:rPr>
          <w:rFonts w:ascii="Courier New" w:hAnsi="Courier New" w:cs="Courier New"/>
        </w:rPr>
        <w:t xml:space="preserve">  </w:t>
      </w:r>
    </w:p>
    <w:p w:rsidR="00FD3A86" w:rsidRPr="00A512C4" w:rsidRDefault="00FD3A86">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4.  </w:t>
      </w:r>
      <w:r w:rsidRPr="00A512C4">
        <w:rPr>
          <w:rFonts w:ascii="Courier New" w:hAnsi="Courier New" w:cs="Courier New"/>
          <w:b/>
        </w:rPr>
        <w:t>Efforts to identify duplication</w:t>
      </w:r>
      <w:r w:rsidRPr="00A512C4">
        <w:rPr>
          <w:rFonts w:ascii="Courier New" w:hAnsi="Courier New" w:cs="Courier New"/>
        </w:rPr>
        <w:t>.</w:t>
      </w:r>
      <w:r w:rsidR="005B2EF0" w:rsidRPr="00A512C4">
        <w:rPr>
          <w:rFonts w:ascii="Courier New" w:hAnsi="Courier New" w:cs="Courier New"/>
        </w:rPr>
        <w:t xml:space="preserve"> </w:t>
      </w:r>
      <w:r w:rsidRPr="00A512C4">
        <w:rPr>
          <w:rFonts w:ascii="Courier New" w:hAnsi="Courier New" w:cs="Courier New"/>
        </w:rPr>
        <w:t xml:space="preserve"> This requirement is being issued under the Federal Acquisition Regulation (FAR)</w:t>
      </w:r>
      <w:r w:rsidR="006C0DA9">
        <w:rPr>
          <w:rFonts w:ascii="Courier New" w:hAnsi="Courier New" w:cs="Courier New"/>
        </w:rPr>
        <w:t>,</w:t>
      </w:r>
      <w:r w:rsidRPr="00A512C4">
        <w:rPr>
          <w:rFonts w:ascii="Courier New" w:hAnsi="Courier New" w:cs="Courier New"/>
        </w:rPr>
        <w:t xml:space="preserve"> which has been developed to standardize Federal procurement practices and eliminate unnecessary duplication.</w:t>
      </w:r>
    </w:p>
    <w:p w:rsidR="00FD3A86" w:rsidRPr="00A512C4" w:rsidRDefault="00FD3A86">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5.  </w:t>
      </w:r>
      <w:r w:rsidRPr="00A512C4">
        <w:rPr>
          <w:rFonts w:ascii="Courier New" w:hAnsi="Courier New" w:cs="Courier New"/>
          <w:b/>
        </w:rPr>
        <w:t>If the collection of information impacts small businesses or other entities, describe methods used to minimize burden</w:t>
      </w:r>
      <w:r w:rsidRPr="00A512C4">
        <w:rPr>
          <w:rFonts w:ascii="Courier New" w:hAnsi="Courier New" w:cs="Courier New"/>
        </w:rPr>
        <w:t xml:space="preserve">.  The burden applied to small businesses is the minimum consistent with applicable laws, </w:t>
      </w:r>
      <w:r w:rsidR="005B2EF0" w:rsidRPr="00A512C4">
        <w:rPr>
          <w:rFonts w:ascii="Courier New" w:hAnsi="Courier New" w:cs="Courier New"/>
        </w:rPr>
        <w:t>e</w:t>
      </w:r>
      <w:r w:rsidRPr="00A512C4">
        <w:rPr>
          <w:rFonts w:ascii="Courier New" w:hAnsi="Courier New" w:cs="Courier New"/>
        </w:rPr>
        <w:t>xecutive orders, regulations, and prudent business practices.</w:t>
      </w:r>
    </w:p>
    <w:p w:rsidR="00FD3A86" w:rsidRPr="00A512C4" w:rsidRDefault="00FD3A86">
      <w:pPr>
        <w:tabs>
          <w:tab w:val="left" w:pos="7920"/>
          <w:tab w:val="right" w:pos="9180"/>
        </w:tabs>
        <w:rPr>
          <w:rFonts w:ascii="Courier New" w:hAnsi="Courier New" w:cs="Courier New"/>
        </w:rPr>
      </w:pPr>
    </w:p>
    <w:p w:rsidR="00FD3A86" w:rsidRPr="00ED769A" w:rsidRDefault="00FD3A86">
      <w:pPr>
        <w:rPr>
          <w:rFonts w:ascii="Courier New" w:hAnsi="Courier New" w:cs="Courier New"/>
        </w:rPr>
      </w:pPr>
      <w:r w:rsidRPr="00A512C4">
        <w:rPr>
          <w:rFonts w:ascii="Courier New" w:hAnsi="Courier New" w:cs="Courier New"/>
        </w:rPr>
        <w:t xml:space="preserve">6.  </w:t>
      </w:r>
      <w:r w:rsidRPr="00A512C4">
        <w:rPr>
          <w:rFonts w:ascii="Courier New" w:hAnsi="Courier New" w:cs="Courier New"/>
          <w:b/>
        </w:rPr>
        <w:t>Describe consequence to Federal program or policy activities if the collection is not conducted or is conducted less frequently</w:t>
      </w:r>
      <w:r w:rsidRPr="00A512C4">
        <w:rPr>
          <w:rFonts w:ascii="Courier New" w:hAnsi="Courier New" w:cs="Courier New"/>
        </w:rPr>
        <w:t xml:space="preserve">.  </w:t>
      </w:r>
      <w:r w:rsidR="00ED769A">
        <w:rPr>
          <w:rFonts w:ascii="Courier New" w:hAnsi="Courier New" w:cs="Courier New"/>
        </w:rPr>
        <w:t>This information is required within 60 days of becoming aware through ins</w:t>
      </w:r>
      <w:r w:rsidR="002D639B">
        <w:rPr>
          <w:rFonts w:ascii="Courier New" w:hAnsi="Courier New" w:cs="Courier New"/>
        </w:rPr>
        <w:t>p</w:t>
      </w:r>
      <w:r w:rsidR="00ED769A">
        <w:rPr>
          <w:rFonts w:ascii="Courier New" w:hAnsi="Courier New" w:cs="Courier New"/>
        </w:rPr>
        <w:t xml:space="preserve">ection or testing that an item is counterfeit, suspect counterfeit, or a common item that has a major or critical nonconformance.  If the information were collected less frequently, it would allow the proliferation of such parts in the supply chain and could result in </w:t>
      </w:r>
      <w:r w:rsidR="00ED769A" w:rsidRPr="00ED769A">
        <w:rPr>
          <w:rFonts w:ascii="Courier New" w:hAnsi="Courier New" w:cs="Courier New"/>
          <w:color w:val="000000"/>
          <w:szCs w:val="24"/>
          <w:shd w:val="clear" w:color="auto" w:fill="FFFFFF"/>
        </w:rPr>
        <w:t>hazardous or unsafe conditions for individuals using, maintaining, or depending upon the supplies or services; or prevent performance of a vital agency mission.</w:t>
      </w:r>
      <w:r w:rsidR="00ED769A" w:rsidRPr="00ED769A">
        <w:rPr>
          <w:rFonts w:ascii="Courier New" w:hAnsi="Courier New" w:cs="Courier New"/>
        </w:rPr>
        <w:t xml:space="preserve"> </w:t>
      </w:r>
    </w:p>
    <w:p w:rsidR="00ED769A" w:rsidRDefault="00ED769A">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7.  </w:t>
      </w:r>
      <w:r w:rsidRPr="00A512C4">
        <w:rPr>
          <w:rFonts w:ascii="Courier New" w:hAnsi="Courier New" w:cs="Courier New"/>
          <w:b/>
        </w:rPr>
        <w:t>Special circumstances for collection</w:t>
      </w:r>
      <w:r w:rsidRPr="00A512C4">
        <w:rPr>
          <w:rFonts w:ascii="Courier New" w:hAnsi="Courier New" w:cs="Courier New"/>
        </w:rPr>
        <w:t>.  Collection is consistent with guidelines in 5 CFR 1320.6.</w:t>
      </w:r>
    </w:p>
    <w:p w:rsidR="00FD3A86" w:rsidRPr="00A512C4" w:rsidRDefault="00FD3A86">
      <w:pPr>
        <w:rPr>
          <w:rFonts w:ascii="Courier New" w:hAnsi="Courier New" w:cs="Courier New"/>
        </w:rPr>
      </w:pPr>
    </w:p>
    <w:p w:rsidR="00FD3A86" w:rsidRDefault="00FD3A86" w:rsidP="002D639B">
      <w:pPr>
        <w:rPr>
          <w:rFonts w:ascii="Courier New" w:hAnsi="Courier New" w:cs="Courier New"/>
        </w:rPr>
      </w:pPr>
      <w:r w:rsidRPr="00A512C4">
        <w:rPr>
          <w:rFonts w:ascii="Courier New" w:hAnsi="Courier New" w:cs="Courier New"/>
        </w:rPr>
        <w:t xml:space="preserve">8.  </w:t>
      </w:r>
      <w:r w:rsidRPr="00A512C4">
        <w:rPr>
          <w:rFonts w:ascii="Courier New" w:hAnsi="Courier New" w:cs="Courier New"/>
          <w:b/>
        </w:rPr>
        <w:t>Efforts to consult with persons outside the agency</w:t>
      </w:r>
      <w:r w:rsidRPr="00A512C4">
        <w:rPr>
          <w:rFonts w:ascii="Courier New" w:hAnsi="Courier New" w:cs="Courier New"/>
        </w:rPr>
        <w:t xml:space="preserve">.  Under the procedures established for development of the FAR, agency and public comments were solicited and each comment addressed before finalization of the text.  A notice </w:t>
      </w:r>
      <w:r w:rsidR="00CC2F43">
        <w:rPr>
          <w:rFonts w:ascii="Courier New" w:hAnsi="Courier New" w:cs="Courier New"/>
        </w:rPr>
        <w:t xml:space="preserve">was </w:t>
      </w:r>
      <w:r w:rsidR="00BF38B3" w:rsidRPr="00A512C4">
        <w:rPr>
          <w:rFonts w:ascii="Courier New" w:hAnsi="Courier New" w:cs="Courier New"/>
        </w:rPr>
        <w:t xml:space="preserve">published </w:t>
      </w:r>
      <w:r w:rsidRPr="00A512C4">
        <w:rPr>
          <w:rFonts w:ascii="Courier New" w:hAnsi="Courier New" w:cs="Courier New"/>
        </w:rPr>
        <w:t xml:space="preserve">in the </w:t>
      </w:r>
      <w:r w:rsidRPr="00A512C4">
        <w:rPr>
          <w:rFonts w:ascii="Courier New" w:hAnsi="Courier New" w:cs="Courier New"/>
          <w:i/>
        </w:rPr>
        <w:t>Federal Register</w:t>
      </w:r>
      <w:r w:rsidRPr="00A512C4">
        <w:rPr>
          <w:rFonts w:ascii="Courier New" w:hAnsi="Courier New" w:cs="Courier New"/>
        </w:rPr>
        <w:t xml:space="preserve"> at </w:t>
      </w:r>
      <w:r w:rsidR="00554068" w:rsidRPr="00A512C4">
        <w:rPr>
          <w:rFonts w:ascii="Courier New" w:hAnsi="Courier New" w:cs="Courier New"/>
        </w:rPr>
        <w:t>7</w:t>
      </w:r>
      <w:r w:rsidR="00353353">
        <w:rPr>
          <w:rFonts w:ascii="Courier New" w:hAnsi="Courier New" w:cs="Courier New"/>
        </w:rPr>
        <w:t>9</w:t>
      </w:r>
      <w:r w:rsidRPr="00A512C4">
        <w:rPr>
          <w:rFonts w:ascii="Courier New" w:hAnsi="Courier New" w:cs="Courier New"/>
        </w:rPr>
        <w:t xml:space="preserve"> FR </w:t>
      </w:r>
      <w:r w:rsidR="00353353">
        <w:rPr>
          <w:rFonts w:ascii="Courier New" w:hAnsi="Courier New" w:cs="Courier New"/>
        </w:rPr>
        <w:t>33164</w:t>
      </w:r>
      <w:r w:rsidRPr="00A512C4">
        <w:rPr>
          <w:rFonts w:ascii="Courier New" w:hAnsi="Courier New" w:cs="Courier New"/>
        </w:rPr>
        <w:t xml:space="preserve">, </w:t>
      </w:r>
      <w:r w:rsidR="00BF38B3" w:rsidRPr="00A512C4">
        <w:rPr>
          <w:rFonts w:ascii="Courier New" w:hAnsi="Courier New" w:cs="Courier New"/>
        </w:rPr>
        <w:t xml:space="preserve">on </w:t>
      </w:r>
      <w:r w:rsidR="00353353">
        <w:rPr>
          <w:rFonts w:ascii="Courier New" w:hAnsi="Courier New" w:cs="Courier New"/>
        </w:rPr>
        <w:t>June 10, 2014</w:t>
      </w:r>
      <w:r w:rsidR="00BF38B3" w:rsidRPr="00A512C4">
        <w:rPr>
          <w:rFonts w:ascii="Courier New" w:hAnsi="Courier New" w:cs="Courier New"/>
        </w:rPr>
        <w:t>.</w:t>
      </w:r>
      <w:r w:rsidR="00554068" w:rsidRPr="00A512C4">
        <w:rPr>
          <w:rFonts w:ascii="Courier New" w:hAnsi="Courier New" w:cs="Courier New"/>
        </w:rPr>
        <w:t xml:space="preserve">  </w:t>
      </w:r>
      <w:r w:rsidR="003374E8" w:rsidRPr="00A0364B">
        <w:rPr>
          <w:rFonts w:ascii="Courier New" w:hAnsi="Courier New" w:cs="Courier New"/>
        </w:rPr>
        <w:t>Fourteen</w:t>
      </w:r>
      <w:r w:rsidR="00A0364B" w:rsidRPr="00A0364B">
        <w:rPr>
          <w:rFonts w:ascii="Courier New" w:hAnsi="Courier New" w:cs="Courier New"/>
        </w:rPr>
        <w:t xml:space="preserve"> </w:t>
      </w:r>
      <w:r w:rsidR="00353353">
        <w:rPr>
          <w:rFonts w:ascii="Courier New" w:hAnsi="Courier New" w:cs="Courier New"/>
        </w:rPr>
        <w:t>responses on the proposed rule were</w:t>
      </w:r>
      <w:r w:rsidR="00554068" w:rsidRPr="00A512C4">
        <w:rPr>
          <w:rFonts w:ascii="Courier New" w:hAnsi="Courier New" w:cs="Courier New"/>
        </w:rPr>
        <w:t xml:space="preserve"> received</w:t>
      </w:r>
      <w:r w:rsidR="00353353">
        <w:rPr>
          <w:rFonts w:ascii="Courier New" w:hAnsi="Courier New" w:cs="Courier New"/>
        </w:rPr>
        <w:t xml:space="preserve">, of which 4 respondents provided comments on the estimates in the information collection requirement, as addressed in the preamble of the Federal Register notice that published the proposed rule. </w:t>
      </w:r>
      <w:r w:rsidR="00565D08" w:rsidRPr="00A512C4">
        <w:rPr>
          <w:rFonts w:ascii="Courier New" w:hAnsi="Courier New" w:cs="Courier New"/>
        </w:rPr>
        <w:t xml:space="preserve">  </w:t>
      </w:r>
    </w:p>
    <w:p w:rsidR="00353353" w:rsidRDefault="00353353" w:rsidP="002D639B">
      <w:pPr>
        <w:rPr>
          <w:rFonts w:ascii="Courier New" w:hAnsi="Courier New" w:cs="Courier New"/>
        </w:rPr>
      </w:pPr>
    </w:p>
    <w:p w:rsidR="002D639B" w:rsidRPr="00B72EC7" w:rsidRDefault="002D639B" w:rsidP="002D639B">
      <w:pPr>
        <w:rPr>
          <w:rFonts w:ascii="Courier New" w:hAnsi="Courier New" w:cs="Courier New"/>
        </w:rPr>
      </w:pPr>
      <w:r>
        <w:rPr>
          <w:rFonts w:ascii="Courier New" w:hAnsi="Courier New" w:cs="Courier New"/>
          <w:b/>
        </w:rPr>
        <w:t xml:space="preserve">     </w:t>
      </w:r>
      <w:r w:rsidRPr="00B72EC7">
        <w:rPr>
          <w:rFonts w:ascii="Courier New" w:hAnsi="Courier New" w:cs="Courier New"/>
        </w:rPr>
        <w:t>Various respondents commented on the estimate of the information collection requirement in the preamble to the proposed rule.</w:t>
      </w:r>
    </w:p>
    <w:p w:rsidR="002D639B" w:rsidRPr="00B72EC7" w:rsidRDefault="002D639B" w:rsidP="002D639B">
      <w:pPr>
        <w:rPr>
          <w:rFonts w:ascii="Courier New" w:hAnsi="Courier New" w:cs="Courier New"/>
        </w:rPr>
      </w:pPr>
      <w:r w:rsidRPr="00B72EC7">
        <w:rPr>
          <w:rFonts w:ascii="Courier New" w:hAnsi="Courier New" w:cs="Courier New"/>
        </w:rPr>
        <w:tab/>
        <w:t xml:space="preserve">Several respondents stated that the burden is currently underestimated.  According to </w:t>
      </w:r>
      <w:r w:rsidR="00CC2F43">
        <w:rPr>
          <w:rFonts w:ascii="Courier New" w:hAnsi="Courier New" w:cs="Courier New"/>
        </w:rPr>
        <w:t>one</w:t>
      </w:r>
      <w:r w:rsidRPr="00B72EC7">
        <w:rPr>
          <w:rFonts w:ascii="Courier New" w:hAnsi="Courier New" w:cs="Courier New"/>
        </w:rPr>
        <w:t xml:space="preserve"> respondent, the estimate of 474,000 reports underestimates the potential burden of the expanded reporting requirements because it failed to account for the growth in GIDEP reporting entities and relies on the number of companies currently participating in GIDEP.</w:t>
      </w:r>
    </w:p>
    <w:p w:rsidR="002D639B" w:rsidRPr="00B72EC7" w:rsidRDefault="002D639B" w:rsidP="002D639B">
      <w:pPr>
        <w:rPr>
          <w:rFonts w:ascii="Courier New" w:hAnsi="Courier New" w:cs="Courier New"/>
        </w:rPr>
      </w:pPr>
      <w:r w:rsidRPr="00B72EC7">
        <w:rPr>
          <w:rFonts w:ascii="Courier New" w:hAnsi="Courier New" w:cs="Courier New"/>
        </w:rPr>
        <w:tab/>
        <w:t xml:space="preserve">Various respondents commented that 3 hours per report was substantially underestimated.  One respondent noted that any incident must be identified, investigated, and </w:t>
      </w:r>
      <w:r w:rsidRPr="00B72EC7">
        <w:rPr>
          <w:rFonts w:ascii="Courier New" w:hAnsi="Courier New" w:cs="Courier New"/>
        </w:rPr>
        <w:lastRenderedPageBreak/>
        <w:t xml:space="preserve">reported.  Procedures need to be followed, individuals with expertise need to be consulted, tests need to be performed and reports to memorialize findings of the review need to be prepared and filed.  Another respondent noted that a single report can take up to 100 hours to complete, including significant legal review.  Another respondent commented that the “very low estimate” seems to ignore the significant time and costs associated with training, implementation, and the risks of liability.   </w:t>
      </w:r>
    </w:p>
    <w:p w:rsidR="002D639B" w:rsidRDefault="002D639B" w:rsidP="002D639B">
      <w:pPr>
        <w:rPr>
          <w:rFonts w:ascii="Courier New" w:hAnsi="Courier New" w:cs="Courier New"/>
        </w:rPr>
      </w:pPr>
    </w:p>
    <w:p w:rsidR="002D639B" w:rsidRPr="00B72EC7" w:rsidRDefault="002D639B" w:rsidP="002D639B">
      <w:pPr>
        <w:rPr>
          <w:rFonts w:ascii="Courier New" w:hAnsi="Courier New" w:cs="Courier New"/>
        </w:rPr>
      </w:pPr>
      <w:r w:rsidRPr="00B72EC7">
        <w:rPr>
          <w:rFonts w:ascii="Courier New" w:hAnsi="Courier New" w:cs="Courier New"/>
        </w:rPr>
        <w:t xml:space="preserve">  </w:t>
      </w:r>
      <w:r>
        <w:rPr>
          <w:rFonts w:ascii="Courier New" w:hAnsi="Courier New" w:cs="Courier New"/>
        </w:rPr>
        <w:t xml:space="preserve">   </w:t>
      </w:r>
      <w:r w:rsidRPr="00B72EC7">
        <w:rPr>
          <w:rFonts w:ascii="Courier New" w:hAnsi="Courier New" w:cs="Courier New"/>
        </w:rPr>
        <w:t xml:space="preserve">DoD, GSA, and NASA have completely revised the estimated number of reports per year because the rule has been significantly de-scoped and data was also reviewed regarding the current number or participating contractors and the current number of reports submitted, resulting in an estimate of 51,657 participating contractors submitting 5,166 reports per year.  </w:t>
      </w:r>
    </w:p>
    <w:p w:rsidR="002D639B" w:rsidRPr="00B72EC7" w:rsidRDefault="002D639B" w:rsidP="002D639B">
      <w:pPr>
        <w:rPr>
          <w:rFonts w:ascii="Courier New" w:hAnsi="Courier New" w:cs="Courier New"/>
        </w:rPr>
      </w:pPr>
      <w:r>
        <w:rPr>
          <w:rFonts w:ascii="Courier New" w:hAnsi="Courier New" w:cs="Courier New"/>
        </w:rPr>
        <w:t xml:space="preserve">     </w:t>
      </w:r>
      <w:r w:rsidRPr="00B72EC7">
        <w:rPr>
          <w:rFonts w:ascii="Courier New" w:hAnsi="Courier New" w:cs="Courier New"/>
        </w:rPr>
        <w:t xml:space="preserve">Industry already has all the information necessary to prepare a GIDEP report, based on existing quality assurance systems and procedures.  However, in response to the industry comments, DoD, GSA, and NASA have reconsidered the number of estimated hours to prepare, review, and submit the report at an average of 6 hours per report. </w:t>
      </w:r>
    </w:p>
    <w:p w:rsidR="00554068" w:rsidRPr="00A512C4" w:rsidRDefault="00554068">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9.  </w:t>
      </w:r>
      <w:r w:rsidRPr="00A512C4">
        <w:rPr>
          <w:rFonts w:ascii="Courier New" w:hAnsi="Courier New" w:cs="Courier New"/>
          <w:b/>
        </w:rPr>
        <w:t>Explanation of any decision to provide any payment or gift to respondents, other than re</w:t>
      </w:r>
      <w:r w:rsidR="00353353">
        <w:rPr>
          <w:rFonts w:ascii="Courier New" w:hAnsi="Courier New" w:cs="Courier New"/>
          <w:b/>
        </w:rPr>
        <w:t>mun</w:t>
      </w:r>
      <w:r w:rsidRPr="00A512C4">
        <w:rPr>
          <w:rFonts w:ascii="Courier New" w:hAnsi="Courier New" w:cs="Courier New"/>
          <w:b/>
        </w:rPr>
        <w:t>eration of contractors or guarantees</w:t>
      </w:r>
      <w:r w:rsidRPr="00A512C4">
        <w:rPr>
          <w:rFonts w:ascii="Courier New" w:hAnsi="Courier New" w:cs="Courier New"/>
        </w:rPr>
        <w:t xml:space="preserve">.  </w:t>
      </w:r>
      <w:r w:rsidR="00167938" w:rsidRPr="00A512C4">
        <w:rPr>
          <w:rFonts w:ascii="Courier New" w:hAnsi="Courier New" w:cs="Courier New"/>
          <w:szCs w:val="24"/>
        </w:rPr>
        <w:t>No payment or gift will be provided to respondents, other than remuneration of contractors under their contracts.</w:t>
      </w:r>
    </w:p>
    <w:p w:rsidR="00FD3A86" w:rsidRPr="00A512C4" w:rsidRDefault="00FD3A86">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10. </w:t>
      </w:r>
      <w:r w:rsidRPr="00A512C4">
        <w:rPr>
          <w:rFonts w:ascii="Courier New" w:hAnsi="Courier New" w:cs="Courier New"/>
          <w:b/>
        </w:rPr>
        <w:t>Describe assurance of confidentiality provided to respondents</w:t>
      </w:r>
      <w:r w:rsidRPr="00A512C4">
        <w:rPr>
          <w:rFonts w:ascii="Courier New" w:hAnsi="Courier New" w:cs="Courier New"/>
        </w:rPr>
        <w:t>.  This information is disclosed only to the extent consistent with prudent business practices and current regulations.</w:t>
      </w:r>
    </w:p>
    <w:p w:rsidR="00FD3A86" w:rsidRPr="00A512C4" w:rsidRDefault="00FD3A86">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11. </w:t>
      </w:r>
      <w:r w:rsidRPr="00A512C4">
        <w:rPr>
          <w:rFonts w:ascii="Courier New" w:hAnsi="Courier New" w:cs="Courier New"/>
          <w:b/>
        </w:rPr>
        <w:t>Additional justification for questions of a sensitive nature</w:t>
      </w:r>
      <w:r w:rsidRPr="00A512C4">
        <w:rPr>
          <w:rFonts w:ascii="Courier New" w:hAnsi="Courier New" w:cs="Courier New"/>
        </w:rPr>
        <w:t>.  No sensitive questions are involved</w:t>
      </w:r>
    </w:p>
    <w:p w:rsidR="00FD3A86" w:rsidRPr="00A512C4" w:rsidRDefault="00FD3A86">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12 &amp; 13.  </w:t>
      </w:r>
      <w:r w:rsidRPr="00A512C4">
        <w:rPr>
          <w:rFonts w:ascii="Courier New" w:hAnsi="Courier New" w:cs="Courier New"/>
          <w:b/>
        </w:rPr>
        <w:t>Estimated total annual public hour and cost burden</w:t>
      </w:r>
      <w:r w:rsidRPr="00A512C4">
        <w:rPr>
          <w:rFonts w:ascii="Courier New" w:hAnsi="Courier New" w:cs="Courier New"/>
        </w:rPr>
        <w:t xml:space="preserve">.  </w:t>
      </w:r>
      <w:r w:rsidR="00E80ED7" w:rsidRPr="00A512C4">
        <w:rPr>
          <w:rFonts w:ascii="Courier New" w:hAnsi="Courier New" w:cs="Courier New"/>
        </w:rPr>
        <w:t xml:space="preserve">The estimated cost to the public </w:t>
      </w:r>
      <w:r w:rsidR="00D72AD8" w:rsidRPr="00A512C4">
        <w:rPr>
          <w:rFonts w:ascii="Courier New" w:hAnsi="Courier New" w:cs="Courier New"/>
        </w:rPr>
        <w:t>for</w:t>
      </w:r>
      <w:r w:rsidR="007D4455" w:rsidRPr="00A512C4">
        <w:rPr>
          <w:rFonts w:ascii="Courier New" w:hAnsi="Courier New" w:cs="Courier New"/>
        </w:rPr>
        <w:t xml:space="preserve"> reporting into GIDEP is as follows:  </w:t>
      </w:r>
    </w:p>
    <w:p w:rsidR="00814CA9" w:rsidRPr="00A512C4" w:rsidRDefault="00814CA9">
      <w:pPr>
        <w:rPr>
          <w:rFonts w:ascii="Courier New" w:hAnsi="Courier New" w:cs="Courier New"/>
        </w:rPr>
      </w:pPr>
    </w:p>
    <w:p w:rsidR="00814CA9" w:rsidRDefault="00814CA9">
      <w:pPr>
        <w:rPr>
          <w:rFonts w:ascii="Courier New" w:hAnsi="Courier New" w:cs="Courier New"/>
        </w:rPr>
      </w:pPr>
      <w:r w:rsidRPr="00A512C4">
        <w:rPr>
          <w:rFonts w:ascii="Courier New" w:hAnsi="Courier New" w:cs="Courier New"/>
        </w:rPr>
        <w:t xml:space="preserve">The total number of respondents </w:t>
      </w:r>
      <w:r w:rsidR="00FD1511">
        <w:rPr>
          <w:rFonts w:ascii="Courier New" w:hAnsi="Courier New" w:cs="Courier New"/>
        </w:rPr>
        <w:t xml:space="preserve">potentially </w:t>
      </w:r>
      <w:r w:rsidRPr="00A512C4">
        <w:rPr>
          <w:rFonts w:ascii="Courier New" w:hAnsi="Courier New" w:cs="Courier New"/>
        </w:rPr>
        <w:t xml:space="preserve">reporting into GIDEP is </w:t>
      </w:r>
      <w:r w:rsidR="00B43AD7" w:rsidRPr="00A512C4">
        <w:rPr>
          <w:rFonts w:ascii="Courier New" w:hAnsi="Courier New" w:cs="Courier New"/>
        </w:rPr>
        <w:t xml:space="preserve">estimated at </w:t>
      </w:r>
      <w:r w:rsidR="00FD1511" w:rsidRPr="00A0364B">
        <w:rPr>
          <w:rFonts w:ascii="Courier New" w:hAnsi="Courier New" w:cs="Courier New"/>
        </w:rPr>
        <w:t>5</w:t>
      </w:r>
      <w:r w:rsidR="006E7D89" w:rsidRPr="00A0364B">
        <w:rPr>
          <w:rFonts w:ascii="Courier New" w:hAnsi="Courier New" w:cs="Courier New"/>
        </w:rPr>
        <w:t>1</w:t>
      </w:r>
      <w:r w:rsidR="00FD1511" w:rsidRPr="00A0364B">
        <w:rPr>
          <w:rFonts w:ascii="Courier New" w:hAnsi="Courier New" w:cs="Courier New"/>
        </w:rPr>
        <w:t>,</w:t>
      </w:r>
      <w:r w:rsidR="006E7D89" w:rsidRPr="00A0364B">
        <w:rPr>
          <w:rFonts w:ascii="Courier New" w:hAnsi="Courier New" w:cs="Courier New"/>
        </w:rPr>
        <w:t>657</w:t>
      </w:r>
      <w:r w:rsidR="00FD1511">
        <w:rPr>
          <w:rFonts w:ascii="Courier New" w:hAnsi="Courier New" w:cs="Courier New"/>
        </w:rPr>
        <w:t>.</w:t>
      </w:r>
      <w:r w:rsidR="00777BEE">
        <w:rPr>
          <w:rFonts w:ascii="Courier New" w:hAnsi="Courier New" w:cs="Courier New"/>
        </w:rPr>
        <w:t xml:space="preserve">  This estimate is based on the following:</w:t>
      </w:r>
      <w:r w:rsidR="00A0364B">
        <w:rPr>
          <w:rFonts w:ascii="Courier New" w:hAnsi="Courier New" w:cs="Courier New"/>
        </w:rPr>
        <w:t xml:space="preserve"> </w:t>
      </w:r>
    </w:p>
    <w:p w:rsidR="00A0364B" w:rsidRDefault="00A0364B">
      <w:pPr>
        <w:rPr>
          <w:rFonts w:ascii="Courier New" w:hAnsi="Courier New" w:cs="Courier New"/>
        </w:rPr>
      </w:pPr>
    </w:p>
    <w:tbl>
      <w:tblPr>
        <w:tblStyle w:val="TableGrid"/>
        <w:tblpPr w:leftFromText="180" w:rightFromText="180" w:vertAnchor="text" w:horzAnchor="margin" w:tblpY="144"/>
        <w:tblW w:w="8118" w:type="dxa"/>
        <w:tblLayout w:type="fixed"/>
        <w:tblLook w:val="04A0" w:firstRow="1" w:lastRow="0" w:firstColumn="1" w:lastColumn="0" w:noHBand="0" w:noVBand="1"/>
      </w:tblPr>
      <w:tblGrid>
        <w:gridCol w:w="1908"/>
        <w:gridCol w:w="1277"/>
        <w:gridCol w:w="1153"/>
        <w:gridCol w:w="1710"/>
        <w:gridCol w:w="2070"/>
      </w:tblGrid>
      <w:tr w:rsidR="00BF32E7" w:rsidTr="00A0364B">
        <w:tc>
          <w:tcPr>
            <w:tcW w:w="1908" w:type="dxa"/>
          </w:tcPr>
          <w:p w:rsidR="00BF32E7" w:rsidRDefault="00BF32E7" w:rsidP="00BF32E7">
            <w:pPr>
              <w:rPr>
                <w:rFonts w:ascii="Courier New" w:hAnsi="Courier New" w:cs="Courier New"/>
              </w:rPr>
            </w:pPr>
          </w:p>
        </w:tc>
        <w:tc>
          <w:tcPr>
            <w:tcW w:w="1277" w:type="dxa"/>
          </w:tcPr>
          <w:p w:rsidR="00BF32E7" w:rsidRDefault="00BF32E7" w:rsidP="00BF32E7">
            <w:pPr>
              <w:rPr>
                <w:rFonts w:ascii="Courier New" w:hAnsi="Courier New" w:cs="Courier New"/>
              </w:rPr>
            </w:pPr>
            <w:r>
              <w:rPr>
                <w:rFonts w:ascii="Courier New" w:hAnsi="Courier New" w:cs="Courier New"/>
              </w:rPr>
              <w:t>52.246-11</w:t>
            </w:r>
          </w:p>
        </w:tc>
        <w:tc>
          <w:tcPr>
            <w:tcW w:w="1153" w:type="dxa"/>
          </w:tcPr>
          <w:p w:rsidR="00BF32E7" w:rsidRDefault="00BF32E7" w:rsidP="00BF32E7">
            <w:pPr>
              <w:rPr>
                <w:rFonts w:ascii="Courier New" w:hAnsi="Courier New" w:cs="Courier New"/>
              </w:rPr>
            </w:pPr>
            <w:r>
              <w:rPr>
                <w:rFonts w:ascii="Courier New" w:hAnsi="Courier New" w:cs="Courier New"/>
              </w:rPr>
              <w:t>Critical</w:t>
            </w:r>
          </w:p>
        </w:tc>
        <w:tc>
          <w:tcPr>
            <w:tcW w:w="1710" w:type="dxa"/>
          </w:tcPr>
          <w:p w:rsidR="00BF32E7" w:rsidRDefault="00BF32E7" w:rsidP="00BF32E7">
            <w:pPr>
              <w:rPr>
                <w:rFonts w:ascii="Courier New" w:hAnsi="Courier New" w:cs="Courier New"/>
              </w:rPr>
            </w:pPr>
            <w:r>
              <w:rPr>
                <w:rFonts w:ascii="Courier New" w:hAnsi="Courier New" w:cs="Courier New"/>
              </w:rPr>
              <w:t>DoD-Electronic-not commercial</w:t>
            </w:r>
          </w:p>
        </w:tc>
        <w:tc>
          <w:tcPr>
            <w:tcW w:w="2070" w:type="dxa"/>
          </w:tcPr>
          <w:p w:rsidR="00BF32E7" w:rsidRDefault="00BF32E7" w:rsidP="00BF32E7">
            <w:pPr>
              <w:rPr>
                <w:rFonts w:ascii="Courier New" w:hAnsi="Courier New" w:cs="Courier New"/>
              </w:rPr>
            </w:pPr>
            <w:r>
              <w:rPr>
                <w:rFonts w:ascii="Courier New" w:hAnsi="Courier New" w:cs="Courier New"/>
              </w:rPr>
              <w:t>Total contractors and subcontractors with clause</w:t>
            </w:r>
          </w:p>
        </w:tc>
      </w:tr>
      <w:tr w:rsidR="00BF32E7" w:rsidTr="00A0364B">
        <w:tc>
          <w:tcPr>
            <w:tcW w:w="1908" w:type="dxa"/>
          </w:tcPr>
          <w:p w:rsidR="00BF32E7" w:rsidRDefault="00BF32E7" w:rsidP="00BF32E7">
            <w:pPr>
              <w:rPr>
                <w:rFonts w:ascii="Courier New" w:hAnsi="Courier New" w:cs="Courier New"/>
              </w:rPr>
            </w:pPr>
            <w:r>
              <w:rPr>
                <w:rFonts w:ascii="Courier New" w:hAnsi="Courier New" w:cs="Courier New"/>
              </w:rPr>
              <w:t>Prime-DoD (not electronic)</w:t>
            </w:r>
          </w:p>
        </w:tc>
        <w:tc>
          <w:tcPr>
            <w:tcW w:w="1277" w:type="dxa"/>
          </w:tcPr>
          <w:p w:rsidR="00BF32E7" w:rsidRDefault="00BF32E7" w:rsidP="00BF32E7">
            <w:pPr>
              <w:rPr>
                <w:rFonts w:ascii="Courier New" w:hAnsi="Courier New" w:cs="Courier New"/>
              </w:rPr>
            </w:pPr>
            <w:r>
              <w:rPr>
                <w:rFonts w:ascii="Courier New" w:hAnsi="Courier New" w:cs="Courier New"/>
              </w:rPr>
              <w:t xml:space="preserve">   905</w:t>
            </w:r>
          </w:p>
        </w:tc>
        <w:tc>
          <w:tcPr>
            <w:tcW w:w="1153" w:type="dxa"/>
          </w:tcPr>
          <w:p w:rsidR="00BF32E7" w:rsidRDefault="00BF32E7" w:rsidP="00BF32E7">
            <w:pPr>
              <w:rPr>
                <w:rFonts w:ascii="Courier New" w:hAnsi="Courier New" w:cs="Courier New"/>
              </w:rPr>
            </w:pPr>
          </w:p>
        </w:tc>
        <w:tc>
          <w:tcPr>
            <w:tcW w:w="1710" w:type="dxa"/>
          </w:tcPr>
          <w:p w:rsidR="00BF32E7" w:rsidRDefault="00BF32E7" w:rsidP="00BF32E7">
            <w:pPr>
              <w:rPr>
                <w:rFonts w:ascii="Courier New" w:hAnsi="Courier New" w:cs="Courier New"/>
              </w:rPr>
            </w:pPr>
            <w:r>
              <w:rPr>
                <w:rFonts w:ascii="Courier New" w:hAnsi="Courier New" w:cs="Courier New"/>
              </w:rPr>
              <w:t xml:space="preserve"> 9,182</w:t>
            </w:r>
          </w:p>
        </w:tc>
        <w:tc>
          <w:tcPr>
            <w:tcW w:w="2070" w:type="dxa"/>
          </w:tcPr>
          <w:p w:rsidR="00BF32E7" w:rsidRDefault="00BF32E7" w:rsidP="00BF32E7">
            <w:pPr>
              <w:rPr>
                <w:rFonts w:ascii="Courier New" w:hAnsi="Courier New" w:cs="Courier New"/>
              </w:rPr>
            </w:pPr>
          </w:p>
        </w:tc>
      </w:tr>
      <w:tr w:rsidR="00BF32E7" w:rsidTr="00A0364B">
        <w:tc>
          <w:tcPr>
            <w:tcW w:w="1908" w:type="dxa"/>
          </w:tcPr>
          <w:p w:rsidR="00BF32E7" w:rsidRDefault="00BF32E7" w:rsidP="00BF32E7">
            <w:pPr>
              <w:rPr>
                <w:rFonts w:ascii="Courier New" w:hAnsi="Courier New" w:cs="Courier New"/>
              </w:rPr>
            </w:pPr>
            <w:r>
              <w:rPr>
                <w:rFonts w:ascii="Courier New" w:hAnsi="Courier New" w:cs="Courier New"/>
              </w:rPr>
              <w:t>Prime-civilian</w:t>
            </w:r>
          </w:p>
        </w:tc>
        <w:tc>
          <w:tcPr>
            <w:tcW w:w="1277" w:type="dxa"/>
          </w:tcPr>
          <w:p w:rsidR="00BF32E7" w:rsidRDefault="00BF32E7" w:rsidP="00BF32E7">
            <w:pPr>
              <w:rPr>
                <w:rFonts w:ascii="Courier New" w:hAnsi="Courier New" w:cs="Courier New"/>
              </w:rPr>
            </w:pPr>
            <w:r>
              <w:rPr>
                <w:rFonts w:ascii="Courier New" w:hAnsi="Courier New" w:cs="Courier New"/>
              </w:rPr>
              <w:t xml:space="preserve"> 3,619</w:t>
            </w:r>
          </w:p>
        </w:tc>
        <w:tc>
          <w:tcPr>
            <w:tcW w:w="1153" w:type="dxa"/>
          </w:tcPr>
          <w:p w:rsidR="00BF32E7" w:rsidRDefault="00BF32E7" w:rsidP="00BF32E7">
            <w:pPr>
              <w:rPr>
                <w:rFonts w:ascii="Courier New" w:hAnsi="Courier New" w:cs="Courier New"/>
              </w:rPr>
            </w:pPr>
          </w:p>
        </w:tc>
        <w:tc>
          <w:tcPr>
            <w:tcW w:w="1710" w:type="dxa"/>
          </w:tcPr>
          <w:p w:rsidR="00BF32E7" w:rsidRDefault="00BF32E7" w:rsidP="00BF32E7">
            <w:pPr>
              <w:rPr>
                <w:rFonts w:ascii="Courier New" w:hAnsi="Courier New" w:cs="Courier New"/>
              </w:rPr>
            </w:pPr>
          </w:p>
        </w:tc>
        <w:tc>
          <w:tcPr>
            <w:tcW w:w="2070" w:type="dxa"/>
          </w:tcPr>
          <w:p w:rsidR="00BF32E7" w:rsidRDefault="00BF32E7" w:rsidP="00BF32E7">
            <w:pPr>
              <w:rPr>
                <w:rFonts w:ascii="Courier New" w:hAnsi="Courier New" w:cs="Courier New"/>
              </w:rPr>
            </w:pPr>
          </w:p>
        </w:tc>
      </w:tr>
      <w:tr w:rsidR="00BF32E7" w:rsidTr="00A0364B">
        <w:trPr>
          <w:trHeight w:val="710"/>
        </w:trPr>
        <w:tc>
          <w:tcPr>
            <w:tcW w:w="1908" w:type="dxa"/>
          </w:tcPr>
          <w:p w:rsidR="00BF32E7" w:rsidRDefault="00BF32E7" w:rsidP="00BF32E7">
            <w:pPr>
              <w:rPr>
                <w:rFonts w:ascii="Courier New" w:hAnsi="Courier New" w:cs="Courier New"/>
              </w:rPr>
            </w:pPr>
            <w:r>
              <w:rPr>
                <w:rFonts w:ascii="Courier New" w:hAnsi="Courier New" w:cs="Courier New"/>
              </w:rPr>
              <w:t>Total primes</w:t>
            </w:r>
          </w:p>
        </w:tc>
        <w:tc>
          <w:tcPr>
            <w:tcW w:w="1277" w:type="dxa"/>
          </w:tcPr>
          <w:p w:rsidR="00BF32E7" w:rsidRDefault="00BF32E7" w:rsidP="00BF32E7">
            <w:pPr>
              <w:rPr>
                <w:rFonts w:ascii="Courier New" w:hAnsi="Courier New" w:cs="Courier New"/>
              </w:rPr>
            </w:pPr>
            <w:r>
              <w:rPr>
                <w:rFonts w:ascii="Courier New" w:hAnsi="Courier New" w:cs="Courier New"/>
              </w:rPr>
              <w:t xml:space="preserve"> 4,524</w:t>
            </w:r>
          </w:p>
        </w:tc>
        <w:tc>
          <w:tcPr>
            <w:tcW w:w="1153" w:type="dxa"/>
          </w:tcPr>
          <w:p w:rsidR="00BF32E7" w:rsidRDefault="00BF32E7" w:rsidP="00BF32E7">
            <w:pPr>
              <w:rPr>
                <w:rFonts w:ascii="Courier New" w:hAnsi="Courier New" w:cs="Courier New"/>
              </w:rPr>
            </w:pPr>
            <w:r>
              <w:rPr>
                <w:rFonts w:ascii="Courier New" w:hAnsi="Courier New" w:cs="Courier New"/>
              </w:rPr>
              <w:t xml:space="preserve">  452</w:t>
            </w:r>
          </w:p>
        </w:tc>
        <w:tc>
          <w:tcPr>
            <w:tcW w:w="1710" w:type="dxa"/>
          </w:tcPr>
          <w:p w:rsidR="00BF32E7" w:rsidRDefault="00BF32E7" w:rsidP="00BF32E7">
            <w:pPr>
              <w:rPr>
                <w:rFonts w:ascii="Courier New" w:hAnsi="Courier New" w:cs="Courier New"/>
              </w:rPr>
            </w:pPr>
            <w:r>
              <w:rPr>
                <w:rFonts w:ascii="Courier New" w:hAnsi="Courier New" w:cs="Courier New"/>
              </w:rPr>
              <w:t xml:space="preserve"> 9,182</w:t>
            </w:r>
          </w:p>
        </w:tc>
        <w:tc>
          <w:tcPr>
            <w:tcW w:w="2070" w:type="dxa"/>
          </w:tcPr>
          <w:p w:rsidR="00BF32E7" w:rsidRDefault="00BF32E7" w:rsidP="00BF32E7">
            <w:pPr>
              <w:rPr>
                <w:rFonts w:ascii="Courier New" w:hAnsi="Courier New" w:cs="Courier New"/>
              </w:rPr>
            </w:pPr>
          </w:p>
        </w:tc>
      </w:tr>
      <w:tr w:rsidR="00BF32E7" w:rsidTr="001728F8">
        <w:tc>
          <w:tcPr>
            <w:tcW w:w="1908" w:type="dxa"/>
            <w:shd w:val="clear" w:color="auto" w:fill="F2F2F2" w:themeFill="background1" w:themeFillShade="F2"/>
          </w:tcPr>
          <w:p w:rsidR="00BF32E7" w:rsidRDefault="00BF32E7" w:rsidP="001728F8">
            <w:pPr>
              <w:rPr>
                <w:rFonts w:ascii="Courier New" w:hAnsi="Courier New" w:cs="Courier New"/>
              </w:rPr>
            </w:pPr>
            <w:r>
              <w:rPr>
                <w:rFonts w:ascii="Courier New" w:hAnsi="Courier New" w:cs="Courier New"/>
              </w:rPr>
              <w:t>Sub</w:t>
            </w:r>
            <w:r w:rsidR="001728F8">
              <w:rPr>
                <w:rFonts w:ascii="Courier New" w:hAnsi="Courier New" w:cs="Courier New"/>
              </w:rPr>
              <w:t>total</w:t>
            </w:r>
          </w:p>
        </w:tc>
        <w:tc>
          <w:tcPr>
            <w:tcW w:w="1277" w:type="dxa"/>
            <w:shd w:val="clear" w:color="auto" w:fill="F2F2F2" w:themeFill="background1" w:themeFillShade="F2"/>
          </w:tcPr>
          <w:p w:rsidR="00BF32E7" w:rsidRDefault="00BF32E7" w:rsidP="00BF32E7">
            <w:pPr>
              <w:rPr>
                <w:rFonts w:ascii="Courier New" w:hAnsi="Courier New" w:cs="Courier New"/>
              </w:rPr>
            </w:pPr>
            <w:r>
              <w:rPr>
                <w:rFonts w:ascii="Courier New" w:hAnsi="Courier New" w:cs="Courier New"/>
              </w:rPr>
              <w:t xml:space="preserve"> 9,048</w:t>
            </w:r>
          </w:p>
        </w:tc>
        <w:tc>
          <w:tcPr>
            <w:tcW w:w="1153" w:type="dxa"/>
            <w:shd w:val="clear" w:color="auto" w:fill="F2F2F2" w:themeFill="background1" w:themeFillShade="F2"/>
          </w:tcPr>
          <w:p w:rsidR="00BF32E7" w:rsidRDefault="00BF32E7" w:rsidP="00BF32E7">
            <w:pPr>
              <w:rPr>
                <w:rFonts w:ascii="Courier New" w:hAnsi="Courier New" w:cs="Courier New"/>
              </w:rPr>
            </w:pPr>
            <w:r>
              <w:rPr>
                <w:rFonts w:ascii="Courier New" w:hAnsi="Courier New" w:cs="Courier New"/>
              </w:rPr>
              <w:t xml:space="preserve">  905</w:t>
            </w:r>
          </w:p>
        </w:tc>
        <w:tc>
          <w:tcPr>
            <w:tcW w:w="1710" w:type="dxa"/>
            <w:shd w:val="clear" w:color="auto" w:fill="F2F2F2" w:themeFill="background1" w:themeFillShade="F2"/>
          </w:tcPr>
          <w:p w:rsidR="00BF32E7" w:rsidRPr="006E7D89" w:rsidRDefault="00BF32E7" w:rsidP="00BF32E7">
            <w:pPr>
              <w:rPr>
                <w:rFonts w:ascii="Courier New" w:hAnsi="Courier New" w:cs="Courier New"/>
                <w:highlight w:val="yellow"/>
              </w:rPr>
            </w:pPr>
            <w:r w:rsidRPr="00A0364B">
              <w:rPr>
                <w:rFonts w:ascii="Courier New" w:hAnsi="Courier New" w:cs="Courier New"/>
              </w:rPr>
              <w:t>27,546</w:t>
            </w:r>
          </w:p>
        </w:tc>
        <w:tc>
          <w:tcPr>
            <w:tcW w:w="2070" w:type="dxa"/>
            <w:shd w:val="clear" w:color="auto" w:fill="F2F2F2" w:themeFill="background1" w:themeFillShade="F2"/>
          </w:tcPr>
          <w:p w:rsidR="00BF32E7" w:rsidRPr="006E7D89" w:rsidRDefault="00BF32E7" w:rsidP="00BF32E7">
            <w:pPr>
              <w:rPr>
                <w:rFonts w:ascii="Courier New" w:hAnsi="Courier New" w:cs="Courier New"/>
                <w:highlight w:val="yellow"/>
              </w:rPr>
            </w:pPr>
          </w:p>
        </w:tc>
      </w:tr>
      <w:tr w:rsidR="00BF32E7" w:rsidTr="00A0364B">
        <w:tc>
          <w:tcPr>
            <w:tcW w:w="1908" w:type="dxa"/>
          </w:tcPr>
          <w:p w:rsidR="00BF32E7" w:rsidRDefault="00BF32E7" w:rsidP="00BF32E7">
            <w:pPr>
              <w:rPr>
                <w:rFonts w:ascii="Courier New" w:hAnsi="Courier New" w:cs="Courier New"/>
              </w:rPr>
            </w:pPr>
            <w:r>
              <w:rPr>
                <w:rFonts w:ascii="Courier New" w:hAnsi="Courier New" w:cs="Courier New"/>
              </w:rPr>
              <w:t xml:space="preserve">Total </w:t>
            </w:r>
          </w:p>
        </w:tc>
        <w:tc>
          <w:tcPr>
            <w:tcW w:w="1277" w:type="dxa"/>
          </w:tcPr>
          <w:p w:rsidR="00BF32E7" w:rsidRDefault="00BF32E7" w:rsidP="00BF32E7">
            <w:pPr>
              <w:rPr>
                <w:rFonts w:ascii="Courier New" w:hAnsi="Courier New" w:cs="Courier New"/>
              </w:rPr>
            </w:pPr>
            <w:r>
              <w:rPr>
                <w:rFonts w:ascii="Courier New" w:hAnsi="Courier New" w:cs="Courier New"/>
              </w:rPr>
              <w:t>13,572</w:t>
            </w:r>
          </w:p>
        </w:tc>
        <w:tc>
          <w:tcPr>
            <w:tcW w:w="1153" w:type="dxa"/>
          </w:tcPr>
          <w:p w:rsidR="00BF32E7" w:rsidRDefault="00BF32E7" w:rsidP="00BF32E7">
            <w:pPr>
              <w:rPr>
                <w:rFonts w:ascii="Courier New" w:hAnsi="Courier New" w:cs="Courier New"/>
              </w:rPr>
            </w:pPr>
            <w:r>
              <w:rPr>
                <w:rFonts w:ascii="Courier New" w:hAnsi="Courier New" w:cs="Courier New"/>
              </w:rPr>
              <w:t>1,357</w:t>
            </w:r>
          </w:p>
        </w:tc>
        <w:tc>
          <w:tcPr>
            <w:tcW w:w="1710" w:type="dxa"/>
          </w:tcPr>
          <w:p w:rsidR="00BF32E7" w:rsidRPr="006E7D89" w:rsidRDefault="00BF32E7" w:rsidP="00BF32E7">
            <w:pPr>
              <w:rPr>
                <w:rFonts w:ascii="Courier New" w:hAnsi="Courier New" w:cs="Courier New"/>
                <w:highlight w:val="yellow"/>
              </w:rPr>
            </w:pPr>
            <w:r w:rsidRPr="00A0364B">
              <w:rPr>
                <w:rFonts w:ascii="Courier New" w:hAnsi="Courier New" w:cs="Courier New"/>
              </w:rPr>
              <w:t>36,727</w:t>
            </w:r>
          </w:p>
        </w:tc>
        <w:tc>
          <w:tcPr>
            <w:tcW w:w="2070" w:type="dxa"/>
          </w:tcPr>
          <w:p w:rsidR="00BF32E7" w:rsidRPr="006E7D89" w:rsidRDefault="00BF32E7" w:rsidP="00BF32E7">
            <w:pPr>
              <w:rPr>
                <w:rFonts w:ascii="Courier New" w:hAnsi="Courier New" w:cs="Courier New"/>
                <w:highlight w:val="yellow"/>
              </w:rPr>
            </w:pPr>
            <w:r w:rsidRPr="00A0364B">
              <w:rPr>
                <w:rFonts w:ascii="Courier New" w:hAnsi="Courier New" w:cs="Courier New"/>
              </w:rPr>
              <w:t>51,657</w:t>
            </w:r>
          </w:p>
        </w:tc>
      </w:tr>
      <w:tr w:rsidR="00BF32E7" w:rsidTr="00A0364B">
        <w:tc>
          <w:tcPr>
            <w:tcW w:w="1908" w:type="dxa"/>
          </w:tcPr>
          <w:p w:rsidR="00BF32E7" w:rsidRDefault="00BF32E7" w:rsidP="00BF32E7">
            <w:pPr>
              <w:rPr>
                <w:rFonts w:ascii="Courier New" w:hAnsi="Courier New" w:cs="Courier New"/>
              </w:rPr>
            </w:pPr>
            <w:r>
              <w:rPr>
                <w:rFonts w:ascii="Courier New" w:hAnsi="Courier New" w:cs="Courier New"/>
              </w:rPr>
              <w:t>% report per year</w:t>
            </w:r>
          </w:p>
        </w:tc>
        <w:tc>
          <w:tcPr>
            <w:tcW w:w="1277" w:type="dxa"/>
          </w:tcPr>
          <w:p w:rsidR="00BF32E7" w:rsidRDefault="00BF32E7" w:rsidP="00BF32E7">
            <w:pPr>
              <w:rPr>
                <w:rFonts w:ascii="Courier New" w:hAnsi="Courier New" w:cs="Courier New"/>
              </w:rPr>
            </w:pPr>
          </w:p>
        </w:tc>
        <w:tc>
          <w:tcPr>
            <w:tcW w:w="1153" w:type="dxa"/>
          </w:tcPr>
          <w:p w:rsidR="00BF32E7" w:rsidRDefault="00BF32E7" w:rsidP="00BF32E7">
            <w:pPr>
              <w:rPr>
                <w:rFonts w:ascii="Courier New" w:hAnsi="Courier New" w:cs="Courier New"/>
              </w:rPr>
            </w:pPr>
          </w:p>
        </w:tc>
        <w:tc>
          <w:tcPr>
            <w:tcW w:w="1710" w:type="dxa"/>
          </w:tcPr>
          <w:p w:rsidR="00BF32E7" w:rsidRDefault="00BF32E7" w:rsidP="00BF32E7">
            <w:pPr>
              <w:rPr>
                <w:rFonts w:ascii="Courier New" w:hAnsi="Courier New" w:cs="Courier New"/>
              </w:rPr>
            </w:pPr>
          </w:p>
        </w:tc>
        <w:tc>
          <w:tcPr>
            <w:tcW w:w="2070" w:type="dxa"/>
          </w:tcPr>
          <w:p w:rsidR="00BF32E7" w:rsidRDefault="00BF32E7" w:rsidP="00BF32E7">
            <w:pPr>
              <w:rPr>
                <w:rFonts w:ascii="Courier New" w:hAnsi="Courier New" w:cs="Courier New"/>
              </w:rPr>
            </w:pPr>
            <w:r>
              <w:rPr>
                <w:rFonts w:ascii="Courier New" w:hAnsi="Courier New" w:cs="Courier New"/>
              </w:rPr>
              <w:t xml:space="preserve">    .10</w:t>
            </w:r>
          </w:p>
        </w:tc>
      </w:tr>
      <w:tr w:rsidR="00BF32E7" w:rsidTr="00A0364B">
        <w:tc>
          <w:tcPr>
            <w:tcW w:w="1908" w:type="dxa"/>
          </w:tcPr>
          <w:p w:rsidR="00BF32E7" w:rsidRDefault="00BF32E7" w:rsidP="00BF32E7">
            <w:pPr>
              <w:rPr>
                <w:rFonts w:ascii="Courier New" w:hAnsi="Courier New" w:cs="Courier New"/>
              </w:rPr>
            </w:pPr>
            <w:r>
              <w:rPr>
                <w:rFonts w:ascii="Courier New" w:hAnsi="Courier New" w:cs="Courier New"/>
              </w:rPr>
              <w:t>Reports to GIDEP per year</w:t>
            </w:r>
          </w:p>
        </w:tc>
        <w:tc>
          <w:tcPr>
            <w:tcW w:w="1277" w:type="dxa"/>
          </w:tcPr>
          <w:p w:rsidR="00BF32E7" w:rsidRDefault="00BF32E7" w:rsidP="00BF32E7">
            <w:pPr>
              <w:rPr>
                <w:rFonts w:ascii="Courier New" w:hAnsi="Courier New" w:cs="Courier New"/>
              </w:rPr>
            </w:pPr>
          </w:p>
        </w:tc>
        <w:tc>
          <w:tcPr>
            <w:tcW w:w="1153" w:type="dxa"/>
          </w:tcPr>
          <w:p w:rsidR="00BF32E7" w:rsidRDefault="00BF32E7" w:rsidP="00BF32E7">
            <w:pPr>
              <w:rPr>
                <w:rFonts w:ascii="Courier New" w:hAnsi="Courier New" w:cs="Courier New"/>
              </w:rPr>
            </w:pPr>
          </w:p>
        </w:tc>
        <w:tc>
          <w:tcPr>
            <w:tcW w:w="1710" w:type="dxa"/>
          </w:tcPr>
          <w:p w:rsidR="00BF32E7" w:rsidRDefault="00BF32E7" w:rsidP="00BF32E7">
            <w:pPr>
              <w:rPr>
                <w:rFonts w:ascii="Courier New" w:hAnsi="Courier New" w:cs="Courier New"/>
              </w:rPr>
            </w:pPr>
          </w:p>
        </w:tc>
        <w:tc>
          <w:tcPr>
            <w:tcW w:w="2070" w:type="dxa"/>
          </w:tcPr>
          <w:p w:rsidR="00BF32E7" w:rsidRDefault="00BF32E7" w:rsidP="00BF32E7">
            <w:pPr>
              <w:rPr>
                <w:rFonts w:ascii="Courier New" w:hAnsi="Courier New" w:cs="Courier New"/>
              </w:rPr>
            </w:pPr>
            <w:r>
              <w:rPr>
                <w:rFonts w:ascii="Courier New" w:hAnsi="Courier New" w:cs="Courier New"/>
              </w:rPr>
              <w:t xml:space="preserve"> </w:t>
            </w:r>
            <w:r w:rsidRPr="00A0364B">
              <w:rPr>
                <w:rFonts w:ascii="Courier New" w:hAnsi="Courier New" w:cs="Courier New"/>
              </w:rPr>
              <w:t>5,166</w:t>
            </w:r>
          </w:p>
        </w:tc>
      </w:tr>
    </w:tbl>
    <w:p w:rsidR="00FD1511" w:rsidRDefault="00FD1511">
      <w:pPr>
        <w:rPr>
          <w:rFonts w:ascii="Courier New" w:hAnsi="Courier New" w:cs="Courier New"/>
        </w:rPr>
      </w:pPr>
    </w:p>
    <w:p w:rsidR="00FD1511" w:rsidRPr="00A512C4" w:rsidRDefault="00FD1511">
      <w:pPr>
        <w:rPr>
          <w:rFonts w:ascii="Courier New" w:hAnsi="Courier New" w:cs="Courier New"/>
        </w:rPr>
      </w:pPr>
    </w:p>
    <w:p w:rsidR="00BF32E7" w:rsidRDefault="00777BEE">
      <w:pPr>
        <w:rPr>
          <w:rFonts w:ascii="Courier New" w:hAnsi="Courier New" w:cs="Courier New"/>
        </w:rPr>
      </w:pPr>
      <w:r>
        <w:rPr>
          <w:rFonts w:ascii="Courier New" w:hAnsi="Courier New" w:cs="Courier New"/>
        </w:rPr>
        <w:tab/>
      </w:r>
    </w:p>
    <w:p w:rsidR="00BF32E7" w:rsidRDefault="00BF32E7">
      <w:pPr>
        <w:rPr>
          <w:rFonts w:ascii="Courier New" w:hAnsi="Courier New" w:cs="Courier New"/>
        </w:rPr>
      </w:pPr>
    </w:p>
    <w:p w:rsidR="00BF32E7" w:rsidRDefault="00BF32E7">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054CDF" w:rsidRDefault="00054CDF">
      <w:pPr>
        <w:rPr>
          <w:rFonts w:ascii="Courier New" w:hAnsi="Courier New" w:cs="Courier New"/>
        </w:rPr>
      </w:pPr>
    </w:p>
    <w:p w:rsidR="00D70F8A" w:rsidRDefault="00777BEE">
      <w:pPr>
        <w:rPr>
          <w:rFonts w:ascii="Courier New" w:hAnsi="Courier New" w:cs="Courier New"/>
        </w:rPr>
      </w:pPr>
      <w:r>
        <w:rPr>
          <w:rFonts w:ascii="Courier New" w:hAnsi="Courier New" w:cs="Courier New"/>
        </w:rPr>
        <w:t>The clause FAR 52.246-XX, reporting Nonconforming Items, is prescribed in three circumstances</w:t>
      </w:r>
      <w:r w:rsidR="002E61E1">
        <w:rPr>
          <w:rFonts w:ascii="Courier New" w:hAnsi="Courier New" w:cs="Courier New"/>
        </w:rPr>
        <w:t>:</w:t>
      </w:r>
    </w:p>
    <w:p w:rsidR="00777BEE" w:rsidRDefault="00777BEE">
      <w:pPr>
        <w:rPr>
          <w:rFonts w:ascii="Courier New" w:hAnsi="Courier New" w:cs="Courier New"/>
        </w:rPr>
      </w:pPr>
    </w:p>
    <w:p w:rsidR="003E244F" w:rsidRDefault="00777BEE" w:rsidP="002E61E1">
      <w:pPr>
        <w:pStyle w:val="PlainText"/>
        <w:rPr>
          <w:rFonts w:ascii="Courier New" w:hAnsi="Courier New" w:cs="Courier New"/>
          <w:szCs w:val="24"/>
        </w:rPr>
      </w:pPr>
      <w:r w:rsidRPr="00777BEE">
        <w:rPr>
          <w:rFonts w:ascii="Courier New" w:hAnsi="Courier New" w:cs="Courier New"/>
          <w:sz w:val="24"/>
          <w:szCs w:val="24"/>
        </w:rPr>
        <w:t xml:space="preserve">    (1)  Items that are subject to higher-level quality standards in accordance with the clause at FAR 52.246-11, Higher-Lev</w:t>
      </w:r>
      <w:r>
        <w:rPr>
          <w:rFonts w:ascii="Courier New" w:hAnsi="Courier New" w:cs="Courier New"/>
          <w:szCs w:val="24"/>
        </w:rPr>
        <w:t xml:space="preserve">el Contract Quality Requirement.  </w:t>
      </w:r>
    </w:p>
    <w:p w:rsidR="003672CF" w:rsidRDefault="003672CF" w:rsidP="003E244F">
      <w:pPr>
        <w:pStyle w:val="PlainText"/>
        <w:ind w:firstLine="360"/>
        <w:rPr>
          <w:rFonts w:ascii="Courier New" w:hAnsi="Courier New" w:cs="Courier New"/>
          <w:sz w:val="24"/>
          <w:szCs w:val="24"/>
        </w:rPr>
      </w:pPr>
    </w:p>
    <w:p w:rsidR="002E61E1" w:rsidRPr="002E61E1" w:rsidRDefault="00777BEE" w:rsidP="003E244F">
      <w:pPr>
        <w:pStyle w:val="PlainText"/>
        <w:ind w:firstLine="360"/>
        <w:rPr>
          <w:rFonts w:ascii="Courier New" w:hAnsi="Courier New" w:cs="Courier New"/>
          <w:sz w:val="24"/>
          <w:szCs w:val="24"/>
        </w:rPr>
      </w:pPr>
      <w:r w:rsidRPr="002E61E1">
        <w:rPr>
          <w:rFonts w:ascii="Courier New" w:hAnsi="Courier New" w:cs="Courier New"/>
          <w:sz w:val="24"/>
          <w:szCs w:val="24"/>
        </w:rPr>
        <w:t xml:space="preserve">Data was only available for DoD usage of this clause. </w:t>
      </w:r>
      <w:r w:rsidR="002E61E1">
        <w:rPr>
          <w:rFonts w:ascii="Courier New" w:hAnsi="Courier New" w:cs="Courier New"/>
          <w:sz w:val="24"/>
          <w:szCs w:val="24"/>
        </w:rPr>
        <w:t xml:space="preserve"> The clause</w:t>
      </w:r>
      <w:r w:rsidR="002E61E1" w:rsidRPr="002E61E1">
        <w:rPr>
          <w:rFonts w:ascii="Courier New" w:hAnsi="Courier New" w:cs="Courier New"/>
          <w:sz w:val="24"/>
          <w:szCs w:val="24"/>
        </w:rPr>
        <w:t xml:space="preserve"> was used in contracts with 3,619 unique vendors.  </w:t>
      </w:r>
      <w:r w:rsidR="002E61E1">
        <w:rPr>
          <w:rFonts w:ascii="Courier New" w:hAnsi="Courier New" w:cs="Courier New"/>
          <w:sz w:val="24"/>
          <w:szCs w:val="24"/>
        </w:rPr>
        <w:t xml:space="preserve">DoD, GSA, and NASA </w:t>
      </w:r>
      <w:r w:rsidR="002E61E1" w:rsidRPr="002E61E1">
        <w:rPr>
          <w:rFonts w:ascii="Courier New" w:hAnsi="Courier New" w:cs="Courier New"/>
          <w:sz w:val="24"/>
          <w:szCs w:val="24"/>
        </w:rPr>
        <w:t>estimated an equal number of unique awardees for civilian contracts</w:t>
      </w:r>
      <w:r w:rsidR="003209A0">
        <w:rPr>
          <w:rFonts w:ascii="Courier New" w:hAnsi="Courier New" w:cs="Courier New"/>
          <w:sz w:val="24"/>
          <w:szCs w:val="24"/>
        </w:rPr>
        <w:t xml:space="preserve"> (3,619)</w:t>
      </w:r>
      <w:r w:rsidR="002E61E1" w:rsidRPr="002E61E1">
        <w:rPr>
          <w:rFonts w:ascii="Courier New" w:hAnsi="Courier New" w:cs="Courier New"/>
          <w:sz w:val="24"/>
          <w:szCs w:val="24"/>
        </w:rPr>
        <w:t>.</w:t>
      </w:r>
      <w:r w:rsidR="003209A0">
        <w:rPr>
          <w:rFonts w:ascii="Courier New" w:hAnsi="Courier New" w:cs="Courier New"/>
          <w:sz w:val="24"/>
          <w:szCs w:val="24"/>
        </w:rPr>
        <w:t xml:space="preserve">  </w:t>
      </w:r>
      <w:r w:rsidR="002E61E1" w:rsidRPr="002E61E1">
        <w:rPr>
          <w:rFonts w:ascii="Courier New" w:hAnsi="Courier New" w:cs="Courier New"/>
          <w:sz w:val="24"/>
          <w:szCs w:val="24"/>
        </w:rPr>
        <w:t xml:space="preserve">However, </w:t>
      </w:r>
      <w:r w:rsidR="002E61E1">
        <w:rPr>
          <w:rFonts w:ascii="Courier New" w:hAnsi="Courier New" w:cs="Courier New"/>
          <w:sz w:val="24"/>
          <w:szCs w:val="24"/>
        </w:rPr>
        <w:t>since</w:t>
      </w:r>
      <w:r w:rsidR="002E61E1" w:rsidRPr="002E61E1">
        <w:rPr>
          <w:rFonts w:ascii="Courier New" w:hAnsi="Courier New" w:cs="Courier New"/>
          <w:sz w:val="24"/>
          <w:szCs w:val="24"/>
        </w:rPr>
        <w:t xml:space="preserve"> there is a lot of overlap between this category and the category of </w:t>
      </w:r>
      <w:r w:rsidR="002E61E1">
        <w:rPr>
          <w:rFonts w:ascii="Courier New" w:hAnsi="Courier New" w:cs="Courier New"/>
          <w:sz w:val="24"/>
          <w:szCs w:val="24"/>
        </w:rPr>
        <w:t>DoD contracts and subcontracts for el</w:t>
      </w:r>
      <w:r w:rsidR="002E61E1" w:rsidRPr="002E61E1">
        <w:rPr>
          <w:rFonts w:ascii="Courier New" w:hAnsi="Courier New" w:cs="Courier New"/>
          <w:sz w:val="24"/>
          <w:szCs w:val="24"/>
        </w:rPr>
        <w:t>ectronic parts</w:t>
      </w:r>
      <w:r w:rsidR="002E61E1">
        <w:rPr>
          <w:rFonts w:ascii="Courier New" w:hAnsi="Courier New" w:cs="Courier New"/>
          <w:sz w:val="24"/>
          <w:szCs w:val="24"/>
        </w:rPr>
        <w:t xml:space="preserve">, DoD, GSA, and NASA estimated that </w:t>
      </w:r>
      <w:r w:rsidR="002E61E1" w:rsidRPr="002E61E1">
        <w:rPr>
          <w:rFonts w:ascii="Courier New" w:hAnsi="Courier New" w:cs="Courier New"/>
          <w:sz w:val="24"/>
          <w:szCs w:val="24"/>
        </w:rPr>
        <w:t xml:space="preserve">only 25 </w:t>
      </w:r>
      <w:r w:rsidR="002E61E1">
        <w:rPr>
          <w:rFonts w:ascii="Courier New" w:hAnsi="Courier New" w:cs="Courier New"/>
          <w:sz w:val="24"/>
          <w:szCs w:val="24"/>
        </w:rPr>
        <w:t xml:space="preserve">percent of DoD </w:t>
      </w:r>
      <w:r w:rsidR="002E61E1" w:rsidRPr="002E61E1">
        <w:rPr>
          <w:rFonts w:ascii="Courier New" w:hAnsi="Courier New" w:cs="Courier New"/>
          <w:sz w:val="24"/>
          <w:szCs w:val="24"/>
        </w:rPr>
        <w:t>contracts using this clause do not involve electronic parts</w:t>
      </w:r>
      <w:r w:rsidR="003209A0">
        <w:rPr>
          <w:rFonts w:ascii="Courier New" w:hAnsi="Courier New" w:cs="Courier New"/>
          <w:sz w:val="24"/>
          <w:szCs w:val="24"/>
        </w:rPr>
        <w:t xml:space="preserve"> (3619 x .25 = 905)</w:t>
      </w:r>
      <w:r w:rsidR="002E61E1" w:rsidRPr="002E61E1">
        <w:rPr>
          <w:rFonts w:ascii="Courier New" w:hAnsi="Courier New" w:cs="Courier New"/>
          <w:sz w:val="24"/>
          <w:szCs w:val="24"/>
        </w:rPr>
        <w:t xml:space="preserve">.  </w:t>
      </w:r>
      <w:r w:rsidR="003209A0">
        <w:rPr>
          <w:rFonts w:ascii="Courier New" w:hAnsi="Courier New" w:cs="Courier New"/>
          <w:sz w:val="24"/>
          <w:szCs w:val="24"/>
        </w:rPr>
        <w:t xml:space="preserve">Therefore, total unique prime contractors in this category = 4,524 (3,619 + 905).   </w:t>
      </w:r>
      <w:r w:rsidR="002E61E1" w:rsidRPr="002E61E1">
        <w:rPr>
          <w:rFonts w:ascii="Courier New" w:hAnsi="Courier New" w:cs="Courier New"/>
          <w:sz w:val="24"/>
          <w:szCs w:val="24"/>
        </w:rPr>
        <w:t>Because</w:t>
      </w:r>
      <w:r w:rsidR="003209A0">
        <w:rPr>
          <w:rFonts w:ascii="Courier New" w:hAnsi="Courier New" w:cs="Courier New"/>
          <w:sz w:val="24"/>
          <w:szCs w:val="24"/>
        </w:rPr>
        <w:t xml:space="preserve"> for other than DoD contracts involving electronic parts </w:t>
      </w:r>
      <w:r w:rsidR="002E61E1" w:rsidRPr="002E61E1">
        <w:rPr>
          <w:rFonts w:ascii="Courier New" w:hAnsi="Courier New" w:cs="Courier New"/>
          <w:sz w:val="24"/>
          <w:szCs w:val="24"/>
        </w:rPr>
        <w:t xml:space="preserve">the clause only flows down if </w:t>
      </w:r>
      <w:r w:rsidR="003209A0">
        <w:rPr>
          <w:rFonts w:ascii="Courier New" w:hAnsi="Courier New" w:cs="Courier New"/>
          <w:sz w:val="24"/>
          <w:szCs w:val="24"/>
        </w:rPr>
        <w:t xml:space="preserve">the subcontract </w:t>
      </w:r>
      <w:r w:rsidR="002E61E1" w:rsidRPr="002E61E1">
        <w:rPr>
          <w:rFonts w:ascii="Courier New" w:hAnsi="Courier New" w:cs="Courier New"/>
          <w:sz w:val="24"/>
          <w:szCs w:val="24"/>
        </w:rPr>
        <w:t xml:space="preserve">involves </w:t>
      </w:r>
      <w:r w:rsidR="003209A0">
        <w:rPr>
          <w:rFonts w:ascii="Courier New" w:hAnsi="Courier New" w:cs="Courier New"/>
          <w:sz w:val="24"/>
          <w:szCs w:val="24"/>
        </w:rPr>
        <w:t xml:space="preserve">higher level quality requirements </w:t>
      </w:r>
      <w:r w:rsidR="002E61E1" w:rsidRPr="002E61E1">
        <w:rPr>
          <w:rFonts w:ascii="Courier New" w:hAnsi="Courier New" w:cs="Courier New"/>
          <w:sz w:val="24"/>
          <w:szCs w:val="24"/>
        </w:rPr>
        <w:t xml:space="preserve">or critical items, </w:t>
      </w:r>
      <w:r w:rsidR="003209A0">
        <w:rPr>
          <w:rFonts w:ascii="Courier New" w:hAnsi="Courier New" w:cs="Courier New"/>
          <w:sz w:val="24"/>
          <w:szCs w:val="24"/>
        </w:rPr>
        <w:t xml:space="preserve">the calculations of unique subcontractors are based on an </w:t>
      </w:r>
      <w:r w:rsidR="002E61E1" w:rsidRPr="002E61E1">
        <w:rPr>
          <w:rFonts w:ascii="Courier New" w:hAnsi="Courier New" w:cs="Courier New"/>
          <w:sz w:val="24"/>
          <w:szCs w:val="24"/>
        </w:rPr>
        <w:t xml:space="preserve">estimate average of  </w:t>
      </w:r>
      <w:r w:rsidR="003209A0">
        <w:rPr>
          <w:rFonts w:ascii="Courier New" w:hAnsi="Courier New" w:cs="Courier New"/>
          <w:sz w:val="24"/>
          <w:szCs w:val="24"/>
        </w:rPr>
        <w:t>two</w:t>
      </w:r>
      <w:r w:rsidR="002E61E1" w:rsidRPr="002E61E1">
        <w:rPr>
          <w:rFonts w:ascii="Courier New" w:hAnsi="Courier New" w:cs="Courier New"/>
          <w:sz w:val="24"/>
          <w:szCs w:val="24"/>
        </w:rPr>
        <w:t xml:space="preserve"> unique subcontractors per prime contract.  </w:t>
      </w:r>
      <w:r w:rsidR="00745F67">
        <w:rPr>
          <w:rFonts w:ascii="Courier New" w:hAnsi="Courier New" w:cs="Courier New"/>
          <w:sz w:val="24"/>
          <w:szCs w:val="24"/>
        </w:rPr>
        <w:t>M</w:t>
      </w:r>
      <w:r w:rsidR="002E61E1" w:rsidRPr="002E61E1">
        <w:rPr>
          <w:rFonts w:ascii="Courier New" w:hAnsi="Courier New" w:cs="Courier New"/>
          <w:sz w:val="24"/>
          <w:szCs w:val="24"/>
        </w:rPr>
        <w:t xml:space="preserve">any subcontractors also have prime contracts, or subcontracts under other prime contracts. </w:t>
      </w:r>
    </w:p>
    <w:p w:rsidR="00777BEE" w:rsidRPr="00777BEE" w:rsidRDefault="00777BEE" w:rsidP="00777BEE">
      <w:pPr>
        <w:rPr>
          <w:rFonts w:ascii="Courier New" w:hAnsi="Courier New" w:cs="Courier New"/>
          <w:szCs w:val="24"/>
        </w:rPr>
      </w:pPr>
    </w:p>
    <w:p w:rsidR="003E244F" w:rsidRDefault="00777BEE" w:rsidP="00777BEE">
      <w:pPr>
        <w:rPr>
          <w:rFonts w:ascii="Courier New" w:hAnsi="Courier New" w:cs="Courier New"/>
          <w:szCs w:val="24"/>
        </w:rPr>
      </w:pPr>
      <w:r w:rsidRPr="00777BEE">
        <w:rPr>
          <w:rFonts w:ascii="Courier New" w:hAnsi="Courier New" w:cs="Courier New"/>
          <w:szCs w:val="24"/>
        </w:rPr>
        <w:tab/>
        <w:t>(2) Items that the contracting officer, in consultation with the requiring activity determines to be critical items for which u</w:t>
      </w:r>
      <w:r w:rsidR="003209A0">
        <w:rPr>
          <w:rFonts w:ascii="Courier New" w:hAnsi="Courier New" w:cs="Courier New"/>
          <w:szCs w:val="24"/>
        </w:rPr>
        <w:t xml:space="preserve">se of the clause is appropriate.  </w:t>
      </w:r>
    </w:p>
    <w:p w:rsidR="003672CF" w:rsidRDefault="003672CF" w:rsidP="00777BEE">
      <w:pPr>
        <w:rPr>
          <w:rFonts w:ascii="Courier New" w:hAnsi="Courier New" w:cs="Courier New"/>
          <w:szCs w:val="24"/>
        </w:rPr>
      </w:pPr>
    </w:p>
    <w:p w:rsidR="003209A0" w:rsidRDefault="003209A0" w:rsidP="003E244F">
      <w:pPr>
        <w:ind w:firstLine="360"/>
        <w:rPr>
          <w:rFonts w:ascii="Courier New" w:hAnsi="Courier New" w:cs="Courier New"/>
          <w:szCs w:val="24"/>
        </w:rPr>
      </w:pPr>
      <w:r>
        <w:rPr>
          <w:rFonts w:ascii="Courier New" w:hAnsi="Courier New" w:cs="Courier New"/>
          <w:szCs w:val="24"/>
        </w:rPr>
        <w:t>DoD</w:t>
      </w:r>
      <w:r w:rsidR="008C5D1D">
        <w:rPr>
          <w:rFonts w:ascii="Courier New" w:hAnsi="Courier New" w:cs="Courier New"/>
          <w:szCs w:val="24"/>
        </w:rPr>
        <w:t>,</w:t>
      </w:r>
      <w:r>
        <w:rPr>
          <w:rFonts w:ascii="Courier New" w:hAnsi="Courier New" w:cs="Courier New"/>
          <w:szCs w:val="24"/>
        </w:rPr>
        <w:t xml:space="preserve"> GSA, and NASA have estimated unique vendors of critical items in which the contract does not include the clause 52.246-11 as 10 percent of the unique vendors with contracts that do include FAR clause 52.246-11 (4,524 x .1 = 452)</w:t>
      </w:r>
      <w:r w:rsidR="00745F67">
        <w:rPr>
          <w:rFonts w:ascii="Courier New" w:hAnsi="Courier New" w:cs="Courier New"/>
          <w:szCs w:val="24"/>
        </w:rPr>
        <w:t xml:space="preserve">.  Likewise, unique subcontractors </w:t>
      </w:r>
      <w:r w:rsidR="00760988">
        <w:rPr>
          <w:rFonts w:ascii="Courier New" w:hAnsi="Courier New" w:cs="Courier New"/>
          <w:szCs w:val="24"/>
        </w:rPr>
        <w:t xml:space="preserve">for critical items that do not require higher level quality standards </w:t>
      </w:r>
      <w:r w:rsidR="00745F67">
        <w:rPr>
          <w:rFonts w:ascii="Courier New" w:hAnsi="Courier New" w:cs="Courier New"/>
          <w:szCs w:val="24"/>
        </w:rPr>
        <w:t xml:space="preserve">equals 905 (9048 x .1). </w:t>
      </w:r>
    </w:p>
    <w:p w:rsidR="003209A0" w:rsidRDefault="003209A0" w:rsidP="00777BEE">
      <w:pPr>
        <w:rPr>
          <w:rFonts w:ascii="Courier New" w:hAnsi="Courier New" w:cs="Courier New"/>
          <w:szCs w:val="24"/>
        </w:rPr>
      </w:pPr>
    </w:p>
    <w:p w:rsidR="003E244F" w:rsidRDefault="00777BEE" w:rsidP="00777BEE">
      <w:pPr>
        <w:rPr>
          <w:rFonts w:ascii="Courier New" w:hAnsi="Courier New" w:cs="Courier New"/>
          <w:szCs w:val="24"/>
        </w:rPr>
      </w:pPr>
      <w:r w:rsidRPr="00777BEE">
        <w:rPr>
          <w:rFonts w:ascii="Courier New" w:hAnsi="Courier New" w:cs="Courier New"/>
          <w:szCs w:val="24"/>
        </w:rPr>
        <w:t xml:space="preserve">    (3)  Electronic parts or end items</w:t>
      </w:r>
      <w:r w:rsidRPr="00777BEE">
        <w:rPr>
          <w:rFonts w:ascii="Courier New" w:hAnsi="Courier New" w:cs="Courier New"/>
          <w:spacing w:val="-5"/>
          <w:kern w:val="20"/>
          <w:szCs w:val="24"/>
        </w:rPr>
        <w:t>, components, parts, or assemblies containing electronic parts, if</w:t>
      </w:r>
      <w:r w:rsidRPr="00777BEE">
        <w:rPr>
          <w:rFonts w:ascii="Courier New" w:hAnsi="Courier New" w:cs="Courier New"/>
          <w:szCs w:val="24"/>
        </w:rPr>
        <w:t xml:space="preserve"> this is an acquisition by, or for, the Department of Defense, as provided in paragraph (c)(4) of section 818 of the National Defense Authorization Act for Fiscal Year 2012 (Pub. L. 112-81)</w:t>
      </w:r>
      <w:r w:rsidR="00745F67">
        <w:rPr>
          <w:rFonts w:ascii="Courier New" w:hAnsi="Courier New" w:cs="Courier New"/>
          <w:szCs w:val="24"/>
        </w:rPr>
        <w:t xml:space="preserve">.  </w:t>
      </w:r>
    </w:p>
    <w:p w:rsidR="006E7D89" w:rsidRDefault="006E7D89" w:rsidP="00777BEE">
      <w:pPr>
        <w:rPr>
          <w:rFonts w:ascii="Courier New" w:hAnsi="Courier New" w:cs="Courier New"/>
          <w:szCs w:val="24"/>
        </w:rPr>
      </w:pPr>
    </w:p>
    <w:p w:rsidR="00777BEE" w:rsidRDefault="00FB0BFA" w:rsidP="003E244F">
      <w:pPr>
        <w:ind w:firstLine="360"/>
        <w:rPr>
          <w:rFonts w:ascii="Courier New" w:hAnsi="Courier New" w:cs="Courier New"/>
          <w:spacing w:val="-5"/>
          <w:kern w:val="20"/>
          <w:szCs w:val="24"/>
        </w:rPr>
      </w:pPr>
      <w:r>
        <w:rPr>
          <w:rFonts w:ascii="Courier New" w:hAnsi="Courier New" w:cs="Courier New"/>
          <w:szCs w:val="24"/>
        </w:rPr>
        <w:t xml:space="preserve">DFARS recently </w:t>
      </w:r>
      <w:r w:rsidR="00E45FD1">
        <w:rPr>
          <w:rFonts w:ascii="Courier New" w:hAnsi="Courier New" w:cs="Courier New"/>
          <w:szCs w:val="24"/>
        </w:rPr>
        <w:t>finalized</w:t>
      </w:r>
      <w:r>
        <w:rPr>
          <w:rFonts w:ascii="Courier New" w:hAnsi="Courier New" w:cs="Courier New"/>
          <w:szCs w:val="24"/>
        </w:rPr>
        <w:t xml:space="preserve"> DFARS clause 252.246-7008, Sources of Electronic Parts, which applies to all </w:t>
      </w:r>
      <w:r w:rsidR="003E244F">
        <w:rPr>
          <w:rFonts w:ascii="Courier New" w:hAnsi="Courier New" w:cs="Courier New"/>
          <w:szCs w:val="24"/>
        </w:rPr>
        <w:t xml:space="preserve">DoD </w:t>
      </w:r>
      <w:r>
        <w:rPr>
          <w:rFonts w:ascii="Courier New" w:hAnsi="Courier New" w:cs="Courier New"/>
          <w:szCs w:val="24"/>
        </w:rPr>
        <w:t>acquisitions, when procuring electronic parts</w:t>
      </w:r>
      <w:r w:rsidRPr="00777BEE">
        <w:rPr>
          <w:rFonts w:ascii="Courier New" w:hAnsi="Courier New" w:cs="Courier New"/>
          <w:szCs w:val="24"/>
        </w:rPr>
        <w:t xml:space="preserve"> or end items</w:t>
      </w:r>
      <w:r w:rsidRPr="00777BEE">
        <w:rPr>
          <w:rFonts w:ascii="Courier New" w:hAnsi="Courier New" w:cs="Courier New"/>
          <w:spacing w:val="-5"/>
          <w:kern w:val="20"/>
          <w:szCs w:val="24"/>
        </w:rPr>
        <w:t>, components, parts, or assemblies containing electronic parts</w:t>
      </w:r>
      <w:r w:rsidR="003E244F">
        <w:rPr>
          <w:rFonts w:ascii="Courier New" w:hAnsi="Courier New" w:cs="Courier New"/>
          <w:spacing w:val="-5"/>
          <w:kern w:val="20"/>
          <w:szCs w:val="24"/>
        </w:rPr>
        <w:t>.</w:t>
      </w:r>
      <w:r w:rsidRPr="00777BEE">
        <w:rPr>
          <w:rFonts w:ascii="Courier New" w:hAnsi="Courier New" w:cs="Courier New"/>
          <w:spacing w:val="-5"/>
          <w:kern w:val="20"/>
          <w:szCs w:val="24"/>
        </w:rPr>
        <w:t xml:space="preserve"> </w:t>
      </w:r>
      <w:r w:rsidR="003E244F">
        <w:rPr>
          <w:rFonts w:ascii="Courier New" w:hAnsi="Courier New" w:cs="Courier New"/>
          <w:spacing w:val="-5"/>
          <w:kern w:val="20"/>
          <w:szCs w:val="24"/>
        </w:rPr>
        <w:t xml:space="preserve">This is the same population covered by this FAR clause 52.246-XX, except that the FAR clause does not apply to acquisitions of commercial items at the prime contract level, and does not flow down to subcontracts for </w:t>
      </w:r>
      <w:r w:rsidR="002D639B">
        <w:rPr>
          <w:rFonts w:ascii="Courier New" w:hAnsi="Courier New" w:cs="Courier New"/>
          <w:spacing w:val="-5"/>
          <w:kern w:val="20"/>
          <w:szCs w:val="24"/>
        </w:rPr>
        <w:t>commercial</w:t>
      </w:r>
      <w:r w:rsidR="003E244F">
        <w:rPr>
          <w:rFonts w:ascii="Courier New" w:hAnsi="Courier New" w:cs="Courier New"/>
          <w:spacing w:val="-5"/>
          <w:kern w:val="20"/>
          <w:szCs w:val="24"/>
        </w:rPr>
        <w:t xml:space="preserve"> items.  Therefore, the estimates in this supporting statement are based on the numbers approved by OMB OIRA on September 30, 2016, under clearance 0704-0541, but those figures have been multi</w:t>
      </w:r>
      <w:r w:rsidR="00E45FD1">
        <w:rPr>
          <w:rFonts w:ascii="Courier New" w:hAnsi="Courier New" w:cs="Courier New"/>
          <w:spacing w:val="-5"/>
          <w:kern w:val="20"/>
          <w:szCs w:val="24"/>
        </w:rPr>
        <w:t>pl</w:t>
      </w:r>
      <w:r w:rsidR="003E244F">
        <w:rPr>
          <w:rFonts w:ascii="Courier New" w:hAnsi="Courier New" w:cs="Courier New"/>
          <w:spacing w:val="-5"/>
          <w:kern w:val="20"/>
          <w:szCs w:val="24"/>
        </w:rPr>
        <w:t>ied by .5 to adjust for inapplicability to commercial items, and the ratio of subcontracts to prime contracts has been reduced from 3</w:t>
      </w:r>
      <w:r w:rsidR="00E45FD1">
        <w:rPr>
          <w:rFonts w:ascii="Courier New" w:hAnsi="Courier New" w:cs="Courier New"/>
          <w:spacing w:val="-5"/>
          <w:kern w:val="20"/>
          <w:szCs w:val="24"/>
        </w:rPr>
        <w:t>.</w:t>
      </w:r>
      <w:r w:rsidR="003E244F">
        <w:rPr>
          <w:rFonts w:ascii="Courier New" w:hAnsi="Courier New" w:cs="Courier New"/>
          <w:spacing w:val="-5"/>
          <w:kern w:val="20"/>
          <w:szCs w:val="24"/>
        </w:rPr>
        <w:t xml:space="preserve">3 to 3, to adjust for exclusion of subcontracts for </w:t>
      </w:r>
      <w:r w:rsidR="002D639B">
        <w:rPr>
          <w:rFonts w:ascii="Courier New" w:hAnsi="Courier New" w:cs="Courier New"/>
          <w:spacing w:val="-5"/>
          <w:kern w:val="20"/>
          <w:szCs w:val="24"/>
        </w:rPr>
        <w:t>commercial</w:t>
      </w:r>
      <w:r w:rsidR="003E244F">
        <w:rPr>
          <w:rFonts w:ascii="Courier New" w:hAnsi="Courier New" w:cs="Courier New"/>
          <w:spacing w:val="-5"/>
          <w:kern w:val="20"/>
          <w:szCs w:val="24"/>
        </w:rPr>
        <w:t xml:space="preserve"> items </w:t>
      </w:r>
      <w:r w:rsidR="00E45FD1">
        <w:rPr>
          <w:rFonts w:ascii="Courier New" w:hAnsi="Courier New" w:cs="Courier New"/>
          <w:spacing w:val="-5"/>
          <w:kern w:val="20"/>
          <w:szCs w:val="24"/>
        </w:rPr>
        <w:t>(18,363 x .5 = 9,182 prime contractors x 3 = 27,546 subcontractors).</w:t>
      </w:r>
    </w:p>
    <w:p w:rsidR="00E45FD1" w:rsidRDefault="00E45FD1" w:rsidP="003E244F">
      <w:pPr>
        <w:ind w:firstLine="360"/>
        <w:rPr>
          <w:rFonts w:ascii="Courier New" w:hAnsi="Courier New" w:cs="Courier New"/>
          <w:spacing w:val="-5"/>
          <w:kern w:val="20"/>
          <w:szCs w:val="24"/>
        </w:rPr>
      </w:pPr>
    </w:p>
    <w:p w:rsidR="00E45FD1" w:rsidRPr="00BF32E7" w:rsidRDefault="00E45FD1" w:rsidP="00BF32E7">
      <w:pPr>
        <w:ind w:firstLine="360"/>
        <w:rPr>
          <w:rFonts w:ascii="Courier New" w:hAnsi="Courier New" w:cs="Courier New"/>
          <w:spacing w:val="-5"/>
          <w:kern w:val="20"/>
          <w:szCs w:val="24"/>
        </w:rPr>
      </w:pPr>
      <w:r>
        <w:rPr>
          <w:rFonts w:ascii="Courier New" w:hAnsi="Courier New" w:cs="Courier New"/>
          <w:spacing w:val="-5"/>
          <w:kern w:val="20"/>
          <w:szCs w:val="24"/>
        </w:rPr>
        <w:tab/>
        <w:t xml:space="preserve">Adding together total primes and subcontractors in all three categories results in an estimated total of 51,627 contractors and subcontractors with a potential obligation to report nonconforming parts to GIDEP.  </w:t>
      </w:r>
      <w:r w:rsidR="00D96ADC">
        <w:rPr>
          <w:rFonts w:ascii="Courier New" w:hAnsi="Courier New" w:cs="Courier New"/>
          <w:spacing w:val="-5"/>
          <w:kern w:val="20"/>
          <w:szCs w:val="24"/>
        </w:rPr>
        <w:t>I</w:t>
      </w:r>
      <w:r w:rsidR="00CC2F43">
        <w:rPr>
          <w:rFonts w:ascii="Courier New" w:hAnsi="Courier New" w:cs="Courier New"/>
          <w:spacing w:val="-5"/>
          <w:kern w:val="20"/>
          <w:szCs w:val="24"/>
        </w:rPr>
        <w:t>n</w:t>
      </w:r>
      <w:r w:rsidR="00D96ADC">
        <w:rPr>
          <w:rFonts w:ascii="Courier New" w:hAnsi="Courier New" w:cs="Courier New"/>
          <w:spacing w:val="-5"/>
          <w:kern w:val="20"/>
          <w:szCs w:val="24"/>
        </w:rPr>
        <w:t xml:space="preserve"> fiscal year 2016 there were approximately 2,500 </w:t>
      </w:r>
      <w:r w:rsidR="00E622F0">
        <w:rPr>
          <w:rFonts w:ascii="Courier New" w:hAnsi="Courier New" w:cs="Courier New"/>
          <w:spacing w:val="-5"/>
          <w:kern w:val="20"/>
          <w:szCs w:val="24"/>
        </w:rPr>
        <w:t>contractors</w:t>
      </w:r>
      <w:r w:rsidR="00D96ADC">
        <w:rPr>
          <w:rFonts w:ascii="Courier New" w:hAnsi="Courier New" w:cs="Courier New"/>
          <w:spacing w:val="-5"/>
          <w:kern w:val="20"/>
          <w:szCs w:val="24"/>
        </w:rPr>
        <w:t xml:space="preserve"> participating voluntarily in GIDEP</w:t>
      </w:r>
      <w:r w:rsidR="00E622F0">
        <w:rPr>
          <w:rFonts w:ascii="Courier New" w:hAnsi="Courier New" w:cs="Courier New"/>
          <w:spacing w:val="-5"/>
          <w:kern w:val="20"/>
          <w:szCs w:val="24"/>
        </w:rPr>
        <w:t xml:space="preserve"> (out of 10,249 total participants)</w:t>
      </w:r>
      <w:r w:rsidR="00D96ADC">
        <w:rPr>
          <w:rFonts w:ascii="Courier New" w:hAnsi="Courier New" w:cs="Courier New"/>
          <w:spacing w:val="-5"/>
          <w:kern w:val="20"/>
          <w:szCs w:val="24"/>
        </w:rPr>
        <w:t xml:space="preserve">, and 168 reports were submitted </w:t>
      </w:r>
      <w:r w:rsidR="00E622F0">
        <w:rPr>
          <w:rFonts w:ascii="Courier New" w:hAnsi="Courier New" w:cs="Courier New"/>
          <w:spacing w:val="-5"/>
          <w:kern w:val="20"/>
          <w:szCs w:val="24"/>
        </w:rPr>
        <w:t>from industry</w:t>
      </w:r>
      <w:r w:rsidR="00D96ADC">
        <w:rPr>
          <w:rFonts w:ascii="Courier New" w:hAnsi="Courier New" w:cs="Courier New"/>
          <w:spacing w:val="-5"/>
          <w:kern w:val="20"/>
          <w:szCs w:val="24"/>
        </w:rPr>
        <w:t xml:space="preserve">.  </w:t>
      </w:r>
      <w:r>
        <w:rPr>
          <w:rFonts w:ascii="Courier New" w:hAnsi="Courier New" w:cs="Courier New"/>
          <w:spacing w:val="-5"/>
          <w:kern w:val="20"/>
          <w:szCs w:val="24"/>
        </w:rPr>
        <w:t xml:space="preserve">Based on </w:t>
      </w:r>
      <w:r w:rsidR="00E622F0">
        <w:rPr>
          <w:rFonts w:ascii="Courier New" w:hAnsi="Courier New" w:cs="Courier New"/>
          <w:spacing w:val="-5"/>
          <w:kern w:val="20"/>
          <w:szCs w:val="24"/>
        </w:rPr>
        <w:t xml:space="preserve">this </w:t>
      </w:r>
      <w:r>
        <w:rPr>
          <w:rFonts w:ascii="Courier New" w:hAnsi="Courier New" w:cs="Courier New"/>
          <w:spacing w:val="-5"/>
          <w:kern w:val="20"/>
          <w:szCs w:val="24"/>
        </w:rPr>
        <w:t xml:space="preserve">historical GIDEP data regarding number of reports by source received compared to number of contractors participating in GIDEP, </w:t>
      </w:r>
      <w:r w:rsidR="00E622F0">
        <w:rPr>
          <w:rFonts w:ascii="Courier New" w:hAnsi="Courier New" w:cs="Courier New"/>
          <w:spacing w:val="-5"/>
          <w:kern w:val="20"/>
          <w:szCs w:val="24"/>
        </w:rPr>
        <w:t xml:space="preserve">while recognizing that reporting is now mandatory, </w:t>
      </w:r>
      <w:r>
        <w:rPr>
          <w:rFonts w:ascii="Courier New" w:hAnsi="Courier New" w:cs="Courier New"/>
          <w:spacing w:val="-5"/>
          <w:kern w:val="20"/>
          <w:szCs w:val="24"/>
        </w:rPr>
        <w:t>DoD, GSA, and NASA estimate approximately 10 percent of the participating contractors will submit a report in a particular year</w:t>
      </w:r>
      <w:r w:rsidR="00AC01BA">
        <w:rPr>
          <w:rFonts w:ascii="Courier New" w:hAnsi="Courier New" w:cs="Courier New"/>
          <w:spacing w:val="-5"/>
          <w:kern w:val="20"/>
          <w:szCs w:val="24"/>
        </w:rPr>
        <w:t>, i.e. 5,166 reports (51,657 x .1)</w:t>
      </w:r>
      <w:r>
        <w:rPr>
          <w:rFonts w:ascii="Courier New" w:hAnsi="Courier New" w:cs="Courier New"/>
          <w:spacing w:val="-5"/>
          <w:kern w:val="20"/>
          <w:szCs w:val="24"/>
        </w:rPr>
        <w:t xml:space="preserve">. </w:t>
      </w:r>
      <w:r w:rsidR="00D96ADC">
        <w:rPr>
          <w:rFonts w:ascii="Courier New" w:hAnsi="Courier New" w:cs="Courier New"/>
          <w:spacing w:val="-5"/>
          <w:kern w:val="20"/>
          <w:szCs w:val="24"/>
        </w:rPr>
        <w:t xml:space="preserve"> </w:t>
      </w:r>
    </w:p>
    <w:p w:rsidR="00FD3A86" w:rsidRPr="00A512C4" w:rsidRDefault="00FD3A86">
      <w:pPr>
        <w:rPr>
          <w:rFonts w:ascii="Courier New" w:hAnsi="Courier New" w:cs="Courier New"/>
        </w:rPr>
      </w:pPr>
    </w:p>
    <w:p w:rsidR="0032468C" w:rsidRPr="00A512C4" w:rsidRDefault="006E12E9" w:rsidP="00D72AD8">
      <w:pPr>
        <w:tabs>
          <w:tab w:val="left" w:pos="360"/>
          <w:tab w:val="right" w:pos="9270"/>
        </w:tabs>
        <w:rPr>
          <w:rFonts w:ascii="Courier New" w:hAnsi="Courier New" w:cs="Courier New"/>
        </w:rPr>
      </w:pPr>
      <w:r w:rsidRPr="00A512C4">
        <w:rPr>
          <w:rFonts w:ascii="Courier New" w:hAnsi="Courier New" w:cs="Courier New"/>
          <w:u w:val="single"/>
        </w:rPr>
        <w:t xml:space="preserve">GIDEP </w:t>
      </w:r>
      <w:r w:rsidR="0032468C" w:rsidRPr="00A512C4">
        <w:rPr>
          <w:rFonts w:ascii="Courier New" w:hAnsi="Courier New" w:cs="Courier New"/>
          <w:u w:val="single"/>
        </w:rPr>
        <w:t>Reporting Burden</w:t>
      </w:r>
      <w:r w:rsidR="0032468C" w:rsidRPr="00A512C4">
        <w:rPr>
          <w:rFonts w:ascii="Courier New" w:hAnsi="Courier New" w:cs="Courier New"/>
        </w:rPr>
        <w:t>:</w:t>
      </w:r>
    </w:p>
    <w:p w:rsidR="00D72AD8" w:rsidRPr="00A512C4" w:rsidRDefault="00E80ED7" w:rsidP="00D72AD8">
      <w:pPr>
        <w:tabs>
          <w:tab w:val="left" w:pos="360"/>
          <w:tab w:val="right" w:pos="9270"/>
        </w:tabs>
        <w:rPr>
          <w:rFonts w:ascii="Courier New" w:hAnsi="Courier New" w:cs="Courier New"/>
        </w:rPr>
      </w:pPr>
      <w:r w:rsidRPr="00A512C4">
        <w:rPr>
          <w:rFonts w:ascii="Courier New" w:hAnsi="Courier New" w:cs="Courier New"/>
        </w:rPr>
        <w:t xml:space="preserve">Number of respondents </w:t>
      </w:r>
      <w:r w:rsidR="00FD3A86" w:rsidRPr="00A512C4">
        <w:rPr>
          <w:rFonts w:ascii="Courier New" w:hAnsi="Courier New" w:cs="Courier New"/>
        </w:rPr>
        <w:t>.....................</w:t>
      </w:r>
      <w:r w:rsidRPr="00A512C4">
        <w:rPr>
          <w:rFonts w:ascii="Courier New" w:hAnsi="Courier New" w:cs="Courier New"/>
        </w:rPr>
        <w:t>...</w:t>
      </w:r>
      <w:r w:rsidR="00FD3A86" w:rsidRPr="00A512C4">
        <w:rPr>
          <w:rFonts w:ascii="Courier New" w:hAnsi="Courier New" w:cs="Courier New"/>
        </w:rPr>
        <w:t xml:space="preserve"> </w:t>
      </w:r>
      <w:r w:rsidR="00D72AD8" w:rsidRPr="00A512C4">
        <w:rPr>
          <w:rFonts w:ascii="Courier New" w:hAnsi="Courier New" w:cs="Courier New"/>
        </w:rPr>
        <w:t xml:space="preserve"> </w:t>
      </w:r>
      <w:r w:rsidR="008A66C2">
        <w:rPr>
          <w:rFonts w:ascii="Courier New" w:hAnsi="Courier New" w:cs="Courier New"/>
        </w:rPr>
        <w:t xml:space="preserve"> </w:t>
      </w:r>
      <w:r w:rsidR="00776D0C">
        <w:rPr>
          <w:rFonts w:ascii="Courier New" w:hAnsi="Courier New" w:cs="Courier New"/>
        </w:rPr>
        <w:t xml:space="preserve"> </w:t>
      </w:r>
      <w:r w:rsidR="008A66C2">
        <w:rPr>
          <w:rFonts w:ascii="Courier New" w:hAnsi="Courier New" w:cs="Courier New"/>
        </w:rPr>
        <w:t>5,</w:t>
      </w:r>
      <w:r w:rsidR="00AC01BA">
        <w:rPr>
          <w:rFonts w:ascii="Courier New" w:hAnsi="Courier New" w:cs="Courier New"/>
        </w:rPr>
        <w:t>166</w:t>
      </w:r>
    </w:p>
    <w:p w:rsidR="00CF4575" w:rsidRPr="00A512C4" w:rsidRDefault="00FD3A86" w:rsidP="00D72AD8">
      <w:pPr>
        <w:tabs>
          <w:tab w:val="left" w:pos="360"/>
          <w:tab w:val="right" w:pos="9270"/>
        </w:tabs>
        <w:rPr>
          <w:rFonts w:ascii="Courier New" w:hAnsi="Courier New" w:cs="Courier New"/>
        </w:rPr>
      </w:pPr>
      <w:r w:rsidRPr="00A512C4">
        <w:rPr>
          <w:rFonts w:ascii="Courier New" w:hAnsi="Courier New" w:cs="Courier New"/>
        </w:rPr>
        <w:t xml:space="preserve">Responses </w:t>
      </w:r>
      <w:r w:rsidR="00E80ED7" w:rsidRPr="00A512C4">
        <w:rPr>
          <w:rFonts w:ascii="Courier New" w:hAnsi="Courier New" w:cs="Courier New"/>
        </w:rPr>
        <w:t xml:space="preserve">per respondent </w:t>
      </w:r>
      <w:r w:rsidRPr="00A512C4">
        <w:rPr>
          <w:rFonts w:ascii="Courier New" w:hAnsi="Courier New" w:cs="Courier New"/>
        </w:rPr>
        <w:t>...................</w:t>
      </w:r>
      <w:r w:rsidR="00E80ED7" w:rsidRPr="00A512C4">
        <w:rPr>
          <w:rFonts w:ascii="Courier New" w:hAnsi="Courier New" w:cs="Courier New"/>
        </w:rPr>
        <w:t xml:space="preserve">..  </w:t>
      </w:r>
      <w:r w:rsidR="00EB4F47" w:rsidRPr="00A512C4">
        <w:rPr>
          <w:rFonts w:ascii="Courier New" w:hAnsi="Courier New" w:cs="Courier New"/>
        </w:rPr>
        <w:t xml:space="preserve"> </w:t>
      </w:r>
      <w:r w:rsidRPr="00A512C4">
        <w:rPr>
          <w:rFonts w:ascii="Courier New" w:hAnsi="Courier New" w:cs="Courier New"/>
          <w:u w:val="single"/>
        </w:rPr>
        <w:t xml:space="preserve">x  </w:t>
      </w:r>
      <w:r w:rsidR="00EE084D" w:rsidRPr="00A512C4">
        <w:rPr>
          <w:rFonts w:ascii="Courier New" w:hAnsi="Courier New" w:cs="Courier New"/>
          <w:u w:val="single"/>
        </w:rPr>
        <w:t xml:space="preserve"> </w:t>
      </w:r>
      <w:r w:rsidR="008A66C2">
        <w:rPr>
          <w:rFonts w:ascii="Courier New" w:hAnsi="Courier New" w:cs="Courier New"/>
          <w:u w:val="single"/>
        </w:rPr>
        <w:t xml:space="preserve"> 1</w:t>
      </w:r>
    </w:p>
    <w:p w:rsidR="00CF4575" w:rsidRPr="00A512C4" w:rsidRDefault="00FD3A86" w:rsidP="00CF4575">
      <w:pPr>
        <w:tabs>
          <w:tab w:val="left" w:pos="360"/>
          <w:tab w:val="left" w:leader="dot" w:pos="7740"/>
          <w:tab w:val="left" w:pos="7920"/>
          <w:tab w:val="right" w:pos="9270"/>
        </w:tabs>
        <w:rPr>
          <w:rFonts w:ascii="Courier New" w:hAnsi="Courier New" w:cs="Courier New"/>
        </w:rPr>
      </w:pPr>
      <w:r w:rsidRPr="00A512C4">
        <w:rPr>
          <w:rFonts w:ascii="Courier New" w:hAnsi="Courier New" w:cs="Courier New"/>
        </w:rPr>
        <w:t>Total annual responses</w:t>
      </w:r>
      <w:r w:rsidR="00E80ED7" w:rsidRPr="00A512C4">
        <w:rPr>
          <w:rFonts w:ascii="Courier New" w:hAnsi="Courier New" w:cs="Courier New"/>
        </w:rPr>
        <w:t xml:space="preserve"> </w:t>
      </w:r>
      <w:r w:rsidR="003938CE" w:rsidRPr="00A512C4">
        <w:rPr>
          <w:rFonts w:ascii="Courier New" w:hAnsi="Courier New" w:cs="Courier New"/>
        </w:rPr>
        <w:t>....................</w:t>
      </w:r>
      <w:r w:rsidRPr="00A512C4">
        <w:rPr>
          <w:rFonts w:ascii="Courier New" w:hAnsi="Courier New" w:cs="Courier New"/>
        </w:rPr>
        <w:t xml:space="preserve"> </w:t>
      </w:r>
      <w:r w:rsidR="00D72AD8" w:rsidRPr="00A512C4">
        <w:rPr>
          <w:rFonts w:ascii="Courier New" w:hAnsi="Courier New" w:cs="Courier New"/>
        </w:rPr>
        <w:t xml:space="preserve">  </w:t>
      </w:r>
      <w:r w:rsidR="008A66C2">
        <w:rPr>
          <w:rFonts w:ascii="Courier New" w:hAnsi="Courier New" w:cs="Courier New"/>
        </w:rPr>
        <w:t xml:space="preserve">    5,</w:t>
      </w:r>
      <w:r w:rsidR="00AC01BA">
        <w:rPr>
          <w:rFonts w:ascii="Courier New" w:hAnsi="Courier New" w:cs="Courier New"/>
        </w:rPr>
        <w:t>166</w:t>
      </w:r>
      <w:r w:rsidR="00CF4575" w:rsidRPr="00A512C4">
        <w:rPr>
          <w:rFonts w:ascii="Courier New" w:hAnsi="Courier New" w:cs="Courier New"/>
        </w:rPr>
        <w:tab/>
      </w:r>
    </w:p>
    <w:p w:rsidR="00CF4575" w:rsidRPr="00A512C4" w:rsidRDefault="00E80ED7" w:rsidP="00CF4575">
      <w:pPr>
        <w:tabs>
          <w:tab w:val="left" w:pos="360"/>
          <w:tab w:val="left" w:leader="dot" w:pos="7740"/>
          <w:tab w:val="left" w:pos="7920"/>
          <w:tab w:val="right" w:pos="9270"/>
        </w:tabs>
        <w:rPr>
          <w:rFonts w:ascii="Courier New" w:hAnsi="Courier New" w:cs="Courier New"/>
        </w:rPr>
      </w:pPr>
      <w:r w:rsidRPr="00A512C4">
        <w:rPr>
          <w:rFonts w:ascii="Courier New" w:hAnsi="Courier New" w:cs="Courier New"/>
        </w:rPr>
        <w:t>Hours per response</w:t>
      </w:r>
      <w:r w:rsidR="00EB4F47" w:rsidRPr="00A512C4">
        <w:rPr>
          <w:rStyle w:val="FootnoteReference"/>
          <w:rFonts w:ascii="Courier New" w:hAnsi="Courier New" w:cs="Courier New"/>
        </w:rPr>
        <w:footnoteReference w:id="1"/>
      </w:r>
      <w:r w:rsidRPr="00A512C4">
        <w:rPr>
          <w:rFonts w:ascii="Courier New" w:hAnsi="Courier New" w:cs="Courier New"/>
        </w:rPr>
        <w:t xml:space="preserve"> </w:t>
      </w:r>
      <w:r w:rsidR="00FD3A86" w:rsidRPr="00A512C4">
        <w:rPr>
          <w:rFonts w:ascii="Courier New" w:hAnsi="Courier New" w:cs="Courier New"/>
        </w:rPr>
        <w:t>.......................</w:t>
      </w:r>
      <w:r w:rsidRPr="00A512C4">
        <w:rPr>
          <w:rFonts w:ascii="Courier New" w:hAnsi="Courier New" w:cs="Courier New"/>
        </w:rPr>
        <w:t>.</w:t>
      </w:r>
      <w:r w:rsidR="00FD3A86" w:rsidRPr="00A512C4">
        <w:rPr>
          <w:rFonts w:ascii="Courier New" w:hAnsi="Courier New" w:cs="Courier New"/>
        </w:rPr>
        <w:t>.</w:t>
      </w:r>
      <w:r w:rsidRPr="00A512C4">
        <w:rPr>
          <w:rFonts w:ascii="Courier New" w:hAnsi="Courier New" w:cs="Courier New"/>
        </w:rPr>
        <w:t xml:space="preserve">..  </w:t>
      </w:r>
      <w:r w:rsidR="00FD3A86" w:rsidRPr="00A512C4">
        <w:rPr>
          <w:rFonts w:ascii="Courier New" w:hAnsi="Courier New" w:cs="Courier New"/>
          <w:u w:val="single"/>
        </w:rPr>
        <w:t xml:space="preserve">x </w:t>
      </w:r>
      <w:r w:rsidRPr="00A512C4">
        <w:rPr>
          <w:rFonts w:ascii="Courier New" w:hAnsi="Courier New" w:cs="Courier New"/>
          <w:u w:val="single"/>
        </w:rPr>
        <w:t xml:space="preserve"> </w:t>
      </w:r>
      <w:r w:rsidR="00D72AD8" w:rsidRPr="00A512C4">
        <w:rPr>
          <w:rFonts w:ascii="Courier New" w:hAnsi="Courier New" w:cs="Courier New"/>
          <w:u w:val="single"/>
        </w:rPr>
        <w:t xml:space="preserve"> </w:t>
      </w:r>
      <w:r w:rsidR="00B3084D" w:rsidRPr="00A512C4">
        <w:rPr>
          <w:rFonts w:ascii="Courier New" w:hAnsi="Courier New" w:cs="Courier New"/>
          <w:u w:val="single"/>
        </w:rPr>
        <w:t xml:space="preserve"> </w:t>
      </w:r>
      <w:r w:rsidR="008A66C2">
        <w:rPr>
          <w:rFonts w:ascii="Courier New" w:hAnsi="Courier New" w:cs="Courier New"/>
          <w:u w:val="single"/>
        </w:rPr>
        <w:t>6</w:t>
      </w:r>
      <w:r w:rsidR="00776D0C">
        <w:rPr>
          <w:rFonts w:ascii="Courier New" w:hAnsi="Courier New" w:cs="Courier New"/>
          <w:u w:val="single"/>
        </w:rPr>
        <w:t>*</w:t>
      </w:r>
    </w:p>
    <w:p w:rsidR="00BF32E7" w:rsidRDefault="00E80ED7" w:rsidP="00CF4575">
      <w:pPr>
        <w:tabs>
          <w:tab w:val="left" w:pos="360"/>
          <w:tab w:val="left" w:leader="dot" w:pos="7740"/>
          <w:tab w:val="left" w:pos="7920"/>
          <w:tab w:val="right" w:pos="9270"/>
        </w:tabs>
        <w:rPr>
          <w:rFonts w:ascii="Courier New" w:hAnsi="Courier New" w:cs="Courier New"/>
        </w:rPr>
      </w:pPr>
      <w:r w:rsidRPr="00A512C4">
        <w:rPr>
          <w:rFonts w:ascii="Courier New" w:hAnsi="Courier New" w:cs="Courier New"/>
        </w:rPr>
        <w:t>T</w:t>
      </w:r>
      <w:r w:rsidR="00FD3A86" w:rsidRPr="00A512C4">
        <w:rPr>
          <w:rFonts w:ascii="Courier New" w:hAnsi="Courier New" w:cs="Courier New"/>
        </w:rPr>
        <w:t xml:space="preserve">otal </w:t>
      </w:r>
      <w:r w:rsidR="00726031" w:rsidRPr="00A512C4">
        <w:rPr>
          <w:rFonts w:ascii="Courier New" w:hAnsi="Courier New" w:cs="Courier New"/>
        </w:rPr>
        <w:t>hours ....</w:t>
      </w:r>
      <w:r w:rsidRPr="00A512C4">
        <w:rPr>
          <w:rFonts w:ascii="Courier New" w:hAnsi="Courier New" w:cs="Courier New"/>
        </w:rPr>
        <w:t xml:space="preserve"> </w:t>
      </w:r>
      <w:r w:rsidR="00FD3A86" w:rsidRPr="00A512C4">
        <w:rPr>
          <w:rFonts w:ascii="Courier New" w:hAnsi="Courier New" w:cs="Courier New"/>
        </w:rPr>
        <w:t>..................</w:t>
      </w:r>
      <w:r w:rsidRPr="00A512C4">
        <w:rPr>
          <w:rFonts w:ascii="Courier New" w:hAnsi="Courier New" w:cs="Courier New"/>
        </w:rPr>
        <w:t>........</w:t>
      </w:r>
      <w:r w:rsidR="00FD3A86" w:rsidRPr="00A512C4">
        <w:rPr>
          <w:rFonts w:ascii="Courier New" w:hAnsi="Courier New" w:cs="Courier New"/>
        </w:rPr>
        <w:t>.</w:t>
      </w:r>
      <w:r w:rsidR="008A66C2">
        <w:rPr>
          <w:rFonts w:ascii="Courier New" w:hAnsi="Courier New" w:cs="Courier New"/>
        </w:rPr>
        <w:t>.    3</w:t>
      </w:r>
      <w:r w:rsidR="00AC01BA">
        <w:rPr>
          <w:rFonts w:ascii="Courier New" w:hAnsi="Courier New" w:cs="Courier New"/>
        </w:rPr>
        <w:t>0</w:t>
      </w:r>
      <w:r w:rsidR="008A66C2">
        <w:rPr>
          <w:rFonts w:ascii="Courier New" w:hAnsi="Courier New" w:cs="Courier New"/>
        </w:rPr>
        <w:t>,9</w:t>
      </w:r>
      <w:r w:rsidR="00AC01BA">
        <w:rPr>
          <w:rFonts w:ascii="Courier New" w:hAnsi="Courier New" w:cs="Courier New"/>
        </w:rPr>
        <w:t xml:space="preserve">96 </w:t>
      </w:r>
      <w:r w:rsidR="00CF4575" w:rsidRPr="00A512C4">
        <w:rPr>
          <w:rFonts w:ascii="Courier New" w:hAnsi="Courier New" w:cs="Courier New"/>
        </w:rPr>
        <w:tab/>
      </w:r>
    </w:p>
    <w:p w:rsidR="00CF4575" w:rsidRPr="001728F8" w:rsidRDefault="00CF4575" w:rsidP="00CF4575">
      <w:pPr>
        <w:tabs>
          <w:tab w:val="left" w:pos="360"/>
          <w:tab w:val="left" w:leader="dot" w:pos="7740"/>
          <w:tab w:val="left" w:pos="7920"/>
          <w:tab w:val="right" w:pos="9270"/>
        </w:tabs>
        <w:rPr>
          <w:rFonts w:ascii="Courier New" w:hAnsi="Courier New" w:cs="Courier New"/>
        </w:rPr>
      </w:pPr>
      <w:r w:rsidRPr="00A512C4">
        <w:rPr>
          <w:rFonts w:ascii="Courier New" w:hAnsi="Courier New" w:cs="Courier New"/>
        </w:rPr>
        <w:t>C</w:t>
      </w:r>
      <w:r w:rsidR="00E80ED7" w:rsidRPr="00A512C4">
        <w:rPr>
          <w:rFonts w:ascii="Courier New" w:hAnsi="Courier New" w:cs="Courier New"/>
        </w:rPr>
        <w:t>ost per hour ............................</w:t>
      </w:r>
      <w:r w:rsidR="00B3084D" w:rsidRPr="00A512C4">
        <w:rPr>
          <w:rFonts w:ascii="Courier New" w:hAnsi="Courier New" w:cs="Courier New"/>
        </w:rPr>
        <w:t>..</w:t>
      </w:r>
      <w:r w:rsidR="00EB4F47" w:rsidRPr="00A512C4">
        <w:rPr>
          <w:rFonts w:ascii="Courier New" w:hAnsi="Courier New" w:cs="Courier New"/>
        </w:rPr>
        <w:t>.</w:t>
      </w:r>
      <w:r w:rsidR="00B3084D" w:rsidRPr="00A512C4">
        <w:rPr>
          <w:rFonts w:ascii="Courier New" w:hAnsi="Courier New" w:cs="Courier New"/>
        </w:rPr>
        <w:t xml:space="preserve"> </w:t>
      </w:r>
      <w:r w:rsidR="00776D0C">
        <w:rPr>
          <w:rFonts w:ascii="Courier New" w:hAnsi="Courier New" w:cs="Courier New"/>
        </w:rPr>
        <w:t xml:space="preserve"> </w:t>
      </w:r>
      <w:r w:rsidR="00B3084D" w:rsidRPr="005D0445">
        <w:rPr>
          <w:rFonts w:ascii="Courier New" w:hAnsi="Courier New" w:cs="Courier New"/>
          <w:u w:val="single"/>
        </w:rPr>
        <w:t xml:space="preserve">x </w:t>
      </w:r>
      <w:r w:rsidR="00E80ED7" w:rsidRPr="001728F8">
        <w:rPr>
          <w:rFonts w:ascii="Courier New" w:hAnsi="Courier New" w:cs="Courier New"/>
          <w:u w:val="single"/>
        </w:rPr>
        <w:t>$</w:t>
      </w:r>
      <w:r w:rsidR="004339C5" w:rsidRPr="001728F8">
        <w:rPr>
          <w:rFonts w:ascii="Courier New" w:hAnsi="Courier New" w:cs="Courier New"/>
          <w:u w:val="single"/>
        </w:rPr>
        <w:t>73.83</w:t>
      </w:r>
      <w:r w:rsidR="00776D0C" w:rsidRPr="001728F8">
        <w:rPr>
          <w:rFonts w:ascii="Courier New" w:hAnsi="Courier New" w:cs="Courier New"/>
          <w:u w:val="single"/>
        </w:rPr>
        <w:t>**</w:t>
      </w:r>
    </w:p>
    <w:p w:rsidR="00FD3A86" w:rsidRPr="00A512C4" w:rsidRDefault="00E80ED7" w:rsidP="00CF4575">
      <w:pPr>
        <w:tabs>
          <w:tab w:val="left" w:pos="360"/>
          <w:tab w:val="left" w:leader="dot" w:pos="7740"/>
          <w:tab w:val="left" w:pos="7920"/>
          <w:tab w:val="right" w:pos="9270"/>
        </w:tabs>
        <w:rPr>
          <w:rFonts w:ascii="Courier New" w:hAnsi="Courier New" w:cs="Courier New"/>
        </w:rPr>
      </w:pPr>
      <w:r w:rsidRPr="001728F8">
        <w:rPr>
          <w:rFonts w:ascii="Courier New" w:hAnsi="Courier New" w:cs="Courier New"/>
        </w:rPr>
        <w:t>Total annual cost to respondents ...........</w:t>
      </w:r>
      <w:r w:rsidR="005D0445" w:rsidRPr="001728F8">
        <w:rPr>
          <w:rFonts w:ascii="Courier New" w:hAnsi="Courier New" w:cs="Courier New"/>
        </w:rPr>
        <w:t xml:space="preserve"> $2,</w:t>
      </w:r>
      <w:r w:rsidR="004339C5" w:rsidRPr="001728F8">
        <w:rPr>
          <w:rFonts w:ascii="Courier New" w:hAnsi="Courier New" w:cs="Courier New"/>
        </w:rPr>
        <w:t>288</w:t>
      </w:r>
      <w:r w:rsidR="005D0445" w:rsidRPr="001728F8">
        <w:rPr>
          <w:rFonts w:ascii="Courier New" w:hAnsi="Courier New" w:cs="Courier New"/>
        </w:rPr>
        <w:t>,</w:t>
      </w:r>
      <w:r w:rsidR="004339C5" w:rsidRPr="001728F8">
        <w:rPr>
          <w:rFonts w:ascii="Courier New" w:hAnsi="Courier New" w:cs="Courier New"/>
        </w:rPr>
        <w:t>434</w:t>
      </w:r>
    </w:p>
    <w:p w:rsidR="00D72AD8" w:rsidRDefault="00D72AD8" w:rsidP="00D72AD8">
      <w:pPr>
        <w:tabs>
          <w:tab w:val="right" w:pos="9270"/>
        </w:tabs>
        <w:rPr>
          <w:rFonts w:ascii="Courier New" w:hAnsi="Courier New" w:cs="Courier New"/>
        </w:rPr>
      </w:pPr>
    </w:p>
    <w:p w:rsidR="00776D0C" w:rsidRPr="001728F8" w:rsidRDefault="00776D0C" w:rsidP="00776D0C">
      <w:pPr>
        <w:pStyle w:val="FootnoteText"/>
        <w:rPr>
          <w:rFonts w:ascii="Courier New" w:hAnsi="Courier New" w:cs="Courier New"/>
          <w:sz w:val="24"/>
        </w:rPr>
      </w:pPr>
      <w:r w:rsidRPr="001728F8">
        <w:rPr>
          <w:rFonts w:ascii="Courier New" w:hAnsi="Courier New" w:cs="Courier New"/>
          <w:sz w:val="24"/>
        </w:rPr>
        <w:t>* The hours per response consists of time to complete the GIDEP Alert/Safe Alert form (approx. 3 hour), have the form reviewed (approx. 2.75 hours) and approved and submit this form to GIDEP (approx .25 hours).</w:t>
      </w:r>
    </w:p>
    <w:p w:rsidR="00776D0C" w:rsidRPr="001728F8" w:rsidRDefault="00776D0C" w:rsidP="00776D0C">
      <w:pPr>
        <w:pStyle w:val="FootnoteText"/>
        <w:rPr>
          <w:rFonts w:ascii="Courier New" w:hAnsi="Courier New" w:cs="Courier New"/>
          <w:sz w:val="24"/>
        </w:rPr>
      </w:pPr>
    </w:p>
    <w:p w:rsidR="004339C5" w:rsidRPr="001728F8" w:rsidRDefault="00776D0C" w:rsidP="00776D0C">
      <w:pPr>
        <w:pStyle w:val="FootnoteText"/>
        <w:rPr>
          <w:rFonts w:ascii="Courier New" w:hAnsi="Courier New" w:cs="Courier New"/>
          <w:sz w:val="24"/>
        </w:rPr>
      </w:pPr>
      <w:r w:rsidRPr="001728F8">
        <w:rPr>
          <w:rFonts w:ascii="Courier New" w:hAnsi="Courier New" w:cs="Courier New"/>
          <w:sz w:val="24"/>
        </w:rPr>
        <w:t>**</w:t>
      </w:r>
    </w:p>
    <w:tbl>
      <w:tblPr>
        <w:tblW w:w="8748" w:type="dxa"/>
        <w:tblLook w:val="04A0" w:firstRow="1" w:lastRow="0" w:firstColumn="1" w:lastColumn="0" w:noHBand="0" w:noVBand="1"/>
      </w:tblPr>
      <w:tblGrid>
        <w:gridCol w:w="1278"/>
        <w:gridCol w:w="1702"/>
        <w:gridCol w:w="5768"/>
      </w:tblGrid>
      <w:tr w:rsidR="004339C5" w:rsidRPr="001728F8" w:rsidTr="001728F8">
        <w:trPr>
          <w:trHeight w:val="206"/>
        </w:trPr>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339C5" w:rsidRPr="001728F8" w:rsidRDefault="004339C5" w:rsidP="004339C5">
            <w:pPr>
              <w:rPr>
                <w:rFonts w:ascii="Courier New" w:hAnsi="Courier New" w:cs="Courier New"/>
              </w:rPr>
            </w:pPr>
            <w:r w:rsidRPr="001728F8">
              <w:rPr>
                <w:rFonts w:ascii="Courier New" w:hAnsi="Courier New" w:cs="Courier New"/>
              </w:rPr>
              <w:t>Senior</w:t>
            </w:r>
          </w:p>
        </w:tc>
        <w:tc>
          <w:tcPr>
            <w:tcW w:w="1702" w:type="dxa"/>
            <w:tcBorders>
              <w:top w:val="single" w:sz="4" w:space="0" w:color="000000"/>
              <w:left w:val="nil"/>
              <w:bottom w:val="single" w:sz="4" w:space="0" w:color="000000"/>
              <w:right w:val="single" w:sz="4" w:space="0" w:color="000000"/>
            </w:tcBorders>
            <w:shd w:val="clear" w:color="auto" w:fill="auto"/>
            <w:noWrap/>
            <w:vAlign w:val="bottom"/>
            <w:hideMark/>
          </w:tcPr>
          <w:p w:rsidR="004339C5" w:rsidRPr="001728F8" w:rsidRDefault="004339C5" w:rsidP="001728F8">
            <w:pPr>
              <w:rPr>
                <w:rFonts w:ascii="Courier New" w:hAnsi="Courier New" w:cs="Courier New"/>
              </w:rPr>
            </w:pPr>
            <w:r w:rsidRPr="001728F8">
              <w:rPr>
                <w:rFonts w:ascii="Courier New" w:hAnsi="Courier New" w:cs="Courier New"/>
              </w:rPr>
              <w:t xml:space="preserve">    </w:t>
            </w:r>
            <w:r w:rsidR="001728F8">
              <w:rPr>
                <w:rFonts w:ascii="Courier New" w:hAnsi="Courier New" w:cs="Courier New"/>
              </w:rPr>
              <w:t>$</w:t>
            </w:r>
            <w:r w:rsidRPr="001728F8">
              <w:rPr>
                <w:rFonts w:ascii="Courier New" w:hAnsi="Courier New" w:cs="Courier New"/>
              </w:rPr>
              <w:t xml:space="preserve">73.83 </w:t>
            </w:r>
          </w:p>
        </w:tc>
        <w:tc>
          <w:tcPr>
            <w:tcW w:w="5768" w:type="dxa"/>
            <w:tcBorders>
              <w:top w:val="single" w:sz="4" w:space="0" w:color="000000"/>
              <w:left w:val="nil"/>
              <w:bottom w:val="single" w:sz="4" w:space="0" w:color="000000"/>
              <w:right w:val="single" w:sz="4" w:space="0" w:color="000000"/>
            </w:tcBorders>
            <w:shd w:val="clear" w:color="auto" w:fill="auto"/>
            <w:noWrap/>
            <w:vAlign w:val="bottom"/>
            <w:hideMark/>
          </w:tcPr>
          <w:p w:rsidR="004339C5" w:rsidRPr="001728F8" w:rsidRDefault="004339C5" w:rsidP="004339C5">
            <w:pPr>
              <w:rPr>
                <w:rFonts w:ascii="Courier New" w:hAnsi="Courier New" w:cs="Courier New"/>
              </w:rPr>
            </w:pPr>
            <w:r w:rsidRPr="001728F8">
              <w:rPr>
                <w:rFonts w:ascii="Courier New" w:hAnsi="Courier New" w:cs="Courier New"/>
              </w:rPr>
              <w:t>2016 GS-14, Step 5 Base Pay + Rest of US Locality pay + Fringe*</w:t>
            </w:r>
          </w:p>
        </w:tc>
      </w:tr>
      <w:tr w:rsidR="004339C5" w:rsidRPr="001728F8" w:rsidTr="001728F8">
        <w:trPr>
          <w:trHeight w:val="255"/>
        </w:trPr>
        <w:tc>
          <w:tcPr>
            <w:tcW w:w="12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339C5" w:rsidRPr="001728F8" w:rsidRDefault="004339C5" w:rsidP="004339C5">
            <w:pPr>
              <w:rPr>
                <w:rFonts w:ascii="Courier New" w:hAnsi="Courier New" w:cs="Courier New"/>
              </w:rPr>
            </w:pPr>
            <w:r w:rsidRPr="001728F8">
              <w:rPr>
                <w:rFonts w:ascii="Courier New" w:hAnsi="Courier New" w:cs="Courier New"/>
              </w:rPr>
              <w:t>*Fringe Rate</w:t>
            </w:r>
          </w:p>
        </w:tc>
        <w:tc>
          <w:tcPr>
            <w:tcW w:w="1702" w:type="dxa"/>
            <w:tcBorders>
              <w:top w:val="single" w:sz="4" w:space="0" w:color="000000"/>
              <w:left w:val="nil"/>
              <w:bottom w:val="single" w:sz="4" w:space="0" w:color="000000"/>
              <w:right w:val="single" w:sz="4" w:space="0" w:color="000000"/>
            </w:tcBorders>
            <w:shd w:val="clear" w:color="auto" w:fill="auto"/>
            <w:noWrap/>
            <w:vAlign w:val="bottom"/>
            <w:hideMark/>
          </w:tcPr>
          <w:p w:rsidR="004339C5" w:rsidRPr="001728F8" w:rsidRDefault="004339C5" w:rsidP="004339C5">
            <w:pPr>
              <w:rPr>
                <w:rFonts w:ascii="Courier New" w:hAnsi="Courier New" w:cs="Courier New"/>
              </w:rPr>
            </w:pPr>
            <w:r w:rsidRPr="001728F8">
              <w:rPr>
                <w:rFonts w:ascii="Courier New" w:hAnsi="Courier New" w:cs="Courier New"/>
              </w:rPr>
              <w:t>1.3625</w:t>
            </w:r>
          </w:p>
        </w:tc>
        <w:tc>
          <w:tcPr>
            <w:tcW w:w="5768" w:type="dxa"/>
            <w:tcBorders>
              <w:top w:val="single" w:sz="4" w:space="0" w:color="000000"/>
              <w:left w:val="nil"/>
              <w:bottom w:val="single" w:sz="4" w:space="0" w:color="000000"/>
              <w:right w:val="single" w:sz="4" w:space="0" w:color="000000"/>
            </w:tcBorders>
            <w:shd w:val="clear" w:color="auto" w:fill="auto"/>
            <w:noWrap/>
            <w:vAlign w:val="bottom"/>
            <w:hideMark/>
          </w:tcPr>
          <w:p w:rsidR="004339C5" w:rsidRPr="001728F8" w:rsidRDefault="004339C5" w:rsidP="004339C5">
            <w:pPr>
              <w:rPr>
                <w:rFonts w:ascii="Courier New" w:hAnsi="Courier New" w:cs="Courier New"/>
              </w:rPr>
            </w:pPr>
            <w:r w:rsidRPr="001728F8">
              <w:rPr>
                <w:rFonts w:ascii="Courier New" w:hAnsi="Courier New" w:cs="Courier New"/>
              </w:rPr>
              <w:t>OMB Memo M-08-13, dated March 11, 2008</w:t>
            </w:r>
          </w:p>
        </w:tc>
      </w:tr>
    </w:tbl>
    <w:p w:rsidR="00776D0C" w:rsidRPr="001728F8" w:rsidRDefault="00776D0C" w:rsidP="00776D0C">
      <w:pPr>
        <w:pStyle w:val="FootnoteText"/>
        <w:rPr>
          <w:rFonts w:ascii="Courier New" w:hAnsi="Courier New" w:cs="Courier New"/>
          <w:sz w:val="24"/>
        </w:rPr>
      </w:pPr>
      <w:r w:rsidRPr="001728F8">
        <w:rPr>
          <w:rFonts w:ascii="Courier New" w:hAnsi="Courier New" w:cs="Courier New"/>
          <w:sz w:val="24"/>
        </w:rPr>
        <w:t>It is estimated that the form will be completed by a high-level engineer and will be reviewed by a high-level administrative/attorney.</w:t>
      </w:r>
      <w:r w:rsidR="004339C5" w:rsidRPr="001728F8">
        <w:rPr>
          <w:rFonts w:ascii="Courier New" w:hAnsi="Courier New" w:cs="Courier New"/>
          <w:sz w:val="24"/>
        </w:rPr>
        <w:t xml:space="preserve">  </w:t>
      </w:r>
      <w:r w:rsidR="0010733D" w:rsidRPr="001728F8">
        <w:rPr>
          <w:rFonts w:ascii="Courier New" w:hAnsi="Courier New" w:cs="Courier New"/>
          <w:sz w:val="24"/>
        </w:rPr>
        <w:t>Although predominantly at the senior level, t</w:t>
      </w:r>
      <w:r w:rsidR="004339C5" w:rsidRPr="001728F8">
        <w:rPr>
          <w:rFonts w:ascii="Courier New" w:hAnsi="Courier New" w:cs="Courier New"/>
          <w:sz w:val="24"/>
        </w:rPr>
        <w:t>his rate is a composite rate, with a mix of journeyman, senior, and executive/attorney</w:t>
      </w:r>
      <w:r w:rsidR="0010733D" w:rsidRPr="001728F8">
        <w:rPr>
          <w:rFonts w:ascii="Courier New" w:hAnsi="Courier New" w:cs="Courier New"/>
          <w:sz w:val="24"/>
        </w:rPr>
        <w:t xml:space="preserve"> rates</w:t>
      </w:r>
      <w:r w:rsidR="004339C5" w:rsidRPr="001728F8">
        <w:rPr>
          <w:rFonts w:ascii="Courier New" w:hAnsi="Courier New" w:cs="Courier New"/>
          <w:sz w:val="24"/>
        </w:rPr>
        <w:t xml:space="preserve">. </w:t>
      </w:r>
    </w:p>
    <w:p w:rsidR="00776D0C" w:rsidRDefault="00776D0C">
      <w:pPr>
        <w:rPr>
          <w:rFonts w:ascii="Courier New" w:hAnsi="Courier New" w:cs="Courier New"/>
        </w:rPr>
      </w:pPr>
    </w:p>
    <w:p w:rsidR="00776D0C" w:rsidRDefault="00776D0C">
      <w:pPr>
        <w:rPr>
          <w:rFonts w:ascii="Courier New" w:hAnsi="Courier New" w:cs="Courier New"/>
        </w:rPr>
      </w:pPr>
    </w:p>
    <w:p w:rsidR="00FD3A86" w:rsidRPr="00A512C4" w:rsidRDefault="00FD3A86">
      <w:pPr>
        <w:rPr>
          <w:rFonts w:ascii="Courier New" w:hAnsi="Courier New" w:cs="Courier New"/>
        </w:rPr>
      </w:pPr>
      <w:r w:rsidRPr="00A512C4">
        <w:rPr>
          <w:rFonts w:ascii="Courier New" w:hAnsi="Courier New" w:cs="Courier New"/>
        </w:rPr>
        <w:t xml:space="preserve">14. </w:t>
      </w:r>
      <w:r w:rsidRPr="00A512C4">
        <w:rPr>
          <w:rFonts w:ascii="Courier New" w:hAnsi="Courier New" w:cs="Courier New"/>
          <w:b/>
        </w:rPr>
        <w:t>Estimated cost to the Government</w:t>
      </w:r>
      <w:r w:rsidRPr="00A512C4">
        <w:rPr>
          <w:rFonts w:ascii="Courier New" w:hAnsi="Courier New" w:cs="Courier New"/>
        </w:rPr>
        <w:t xml:space="preserve">.  </w:t>
      </w:r>
      <w:r w:rsidR="005D0E31" w:rsidRPr="00A512C4">
        <w:rPr>
          <w:rFonts w:ascii="Courier New" w:hAnsi="Courier New" w:cs="Courier New"/>
        </w:rPr>
        <w:t>The time estimates are based on receiving, reviewing and analyzing the information submitted by the contractor</w:t>
      </w:r>
      <w:r w:rsidRPr="00A512C4">
        <w:rPr>
          <w:rFonts w:ascii="Courier New" w:hAnsi="Courier New" w:cs="Courier New"/>
        </w:rPr>
        <w:t>.</w:t>
      </w:r>
    </w:p>
    <w:p w:rsidR="005D0E31" w:rsidRPr="00A512C4" w:rsidRDefault="005D0E31">
      <w:pPr>
        <w:rPr>
          <w:rFonts w:ascii="Courier New" w:hAnsi="Courier New" w:cs="Courier New"/>
        </w:rPr>
      </w:pPr>
    </w:p>
    <w:p w:rsidR="005D0E31" w:rsidRPr="00A512C4" w:rsidRDefault="005D0E31" w:rsidP="005D0E31">
      <w:pPr>
        <w:rPr>
          <w:rFonts w:ascii="Courier New" w:hAnsi="Courier New" w:cs="Courier New"/>
        </w:rPr>
      </w:pPr>
      <w:r w:rsidRPr="00A512C4">
        <w:rPr>
          <w:rFonts w:ascii="Courier New" w:hAnsi="Courier New" w:cs="Courier New"/>
        </w:rPr>
        <w:t xml:space="preserve">The estimated cost to the </w:t>
      </w:r>
      <w:r w:rsidR="00D009FA" w:rsidRPr="00A512C4">
        <w:rPr>
          <w:rFonts w:ascii="Courier New" w:hAnsi="Courier New" w:cs="Courier New"/>
        </w:rPr>
        <w:t>Government</w:t>
      </w:r>
      <w:r w:rsidRPr="00A512C4">
        <w:rPr>
          <w:rFonts w:ascii="Courier New" w:hAnsi="Courier New" w:cs="Courier New"/>
        </w:rPr>
        <w:t xml:space="preserve"> for the compliance plan is as follows:</w:t>
      </w:r>
    </w:p>
    <w:p w:rsidR="005D0E31" w:rsidRPr="00A512C4" w:rsidRDefault="005D0E31">
      <w:pPr>
        <w:rPr>
          <w:rFonts w:ascii="Courier New" w:hAnsi="Courier New" w:cs="Courier New"/>
        </w:rPr>
      </w:pPr>
    </w:p>
    <w:p w:rsidR="00D009FA" w:rsidRPr="00A512C4" w:rsidRDefault="00D009FA" w:rsidP="009762FD">
      <w:pPr>
        <w:tabs>
          <w:tab w:val="left" w:pos="360"/>
          <w:tab w:val="right" w:pos="9270"/>
        </w:tabs>
        <w:rPr>
          <w:rFonts w:ascii="Courier New" w:hAnsi="Courier New" w:cs="Courier New"/>
        </w:rPr>
      </w:pPr>
      <w:r w:rsidRPr="00A512C4">
        <w:rPr>
          <w:rFonts w:ascii="Courier New" w:hAnsi="Courier New" w:cs="Courier New"/>
        </w:rPr>
        <w:tab/>
      </w:r>
    </w:p>
    <w:p w:rsidR="00D009FA" w:rsidRPr="00A512C4" w:rsidRDefault="00D009FA" w:rsidP="00D009FA">
      <w:pPr>
        <w:tabs>
          <w:tab w:val="left" w:pos="360"/>
          <w:tab w:val="left" w:leader="dot" w:pos="7740"/>
          <w:tab w:val="left" w:pos="7920"/>
          <w:tab w:val="right" w:pos="9270"/>
        </w:tabs>
        <w:rPr>
          <w:rFonts w:ascii="Courier New" w:hAnsi="Courier New" w:cs="Courier New"/>
        </w:rPr>
      </w:pPr>
      <w:r w:rsidRPr="00A512C4">
        <w:rPr>
          <w:rFonts w:ascii="Courier New" w:hAnsi="Courier New" w:cs="Courier New"/>
        </w:rPr>
        <w:tab/>
        <w:t>Total annual responses .....................</w:t>
      </w:r>
      <w:r w:rsidR="009762FD">
        <w:rPr>
          <w:rFonts w:ascii="Courier New" w:hAnsi="Courier New" w:cs="Courier New"/>
        </w:rPr>
        <w:t xml:space="preserve">    5,</w:t>
      </w:r>
      <w:r w:rsidR="00690797">
        <w:rPr>
          <w:rFonts w:ascii="Courier New" w:hAnsi="Courier New" w:cs="Courier New"/>
        </w:rPr>
        <w:t>166</w:t>
      </w:r>
      <w:r w:rsidRPr="00A512C4">
        <w:rPr>
          <w:rFonts w:ascii="Courier New" w:hAnsi="Courier New" w:cs="Courier New"/>
        </w:rPr>
        <w:tab/>
      </w:r>
    </w:p>
    <w:p w:rsidR="00D009FA" w:rsidRPr="005D0445" w:rsidRDefault="00D009FA" w:rsidP="00D009FA">
      <w:pPr>
        <w:tabs>
          <w:tab w:val="left" w:pos="360"/>
          <w:tab w:val="left" w:leader="dot" w:pos="7740"/>
          <w:tab w:val="left" w:pos="7920"/>
          <w:tab w:val="right" w:pos="9270"/>
        </w:tabs>
        <w:rPr>
          <w:rFonts w:ascii="Courier New" w:hAnsi="Courier New" w:cs="Courier New"/>
        </w:rPr>
      </w:pPr>
      <w:r w:rsidRPr="00A512C4">
        <w:rPr>
          <w:rFonts w:ascii="Courier New" w:hAnsi="Courier New" w:cs="Courier New"/>
        </w:rPr>
        <w:tab/>
        <w:t xml:space="preserve">Hours per response </w:t>
      </w:r>
      <w:r w:rsidRPr="005D0445">
        <w:rPr>
          <w:rFonts w:ascii="Courier New" w:hAnsi="Courier New" w:cs="Courier New"/>
        </w:rPr>
        <w:t xml:space="preserve">...........................  </w:t>
      </w:r>
      <w:r w:rsidRPr="005D0445">
        <w:rPr>
          <w:rFonts w:ascii="Courier New" w:hAnsi="Courier New" w:cs="Courier New"/>
          <w:u w:val="single"/>
        </w:rPr>
        <w:t xml:space="preserve">x </w:t>
      </w:r>
      <w:r w:rsidR="009762FD" w:rsidRPr="005D0445">
        <w:rPr>
          <w:rFonts w:ascii="Courier New" w:hAnsi="Courier New" w:cs="Courier New"/>
          <w:u w:val="single"/>
        </w:rPr>
        <w:t xml:space="preserve">  1</w:t>
      </w:r>
    </w:p>
    <w:p w:rsidR="00D009FA" w:rsidRPr="005D0445" w:rsidRDefault="00D009FA" w:rsidP="00D009FA">
      <w:pPr>
        <w:tabs>
          <w:tab w:val="left" w:pos="360"/>
          <w:tab w:val="left" w:leader="dot" w:pos="7740"/>
          <w:tab w:val="left" w:pos="7920"/>
          <w:tab w:val="right" w:pos="9270"/>
        </w:tabs>
        <w:rPr>
          <w:rFonts w:ascii="Courier New" w:hAnsi="Courier New" w:cs="Courier New"/>
        </w:rPr>
      </w:pPr>
      <w:r w:rsidRPr="005D0445">
        <w:rPr>
          <w:rFonts w:ascii="Courier New" w:hAnsi="Courier New" w:cs="Courier New"/>
        </w:rPr>
        <w:tab/>
        <w:t>Total hours ........</w:t>
      </w:r>
      <w:r w:rsidR="001F21ED" w:rsidRPr="005D0445">
        <w:rPr>
          <w:rFonts w:ascii="Courier New" w:hAnsi="Courier New" w:cs="Courier New"/>
        </w:rPr>
        <w:t>..</w:t>
      </w:r>
      <w:r w:rsidRPr="005D0445">
        <w:rPr>
          <w:rFonts w:ascii="Courier New" w:hAnsi="Courier New" w:cs="Courier New"/>
        </w:rPr>
        <w:t>.</w:t>
      </w:r>
      <w:r w:rsidR="001F21ED" w:rsidRPr="005D0445">
        <w:rPr>
          <w:rFonts w:ascii="Courier New" w:hAnsi="Courier New" w:cs="Courier New"/>
        </w:rPr>
        <w:t>..</w:t>
      </w:r>
      <w:r w:rsidRPr="005D0445">
        <w:rPr>
          <w:rFonts w:ascii="Courier New" w:hAnsi="Courier New" w:cs="Courier New"/>
        </w:rPr>
        <w:t>.</w:t>
      </w:r>
      <w:r w:rsidR="001F21ED" w:rsidRPr="005D0445">
        <w:rPr>
          <w:rFonts w:ascii="Courier New" w:hAnsi="Courier New" w:cs="Courier New"/>
        </w:rPr>
        <w:t>..</w:t>
      </w:r>
      <w:r w:rsidRPr="005D0445">
        <w:rPr>
          <w:rFonts w:ascii="Courier New" w:hAnsi="Courier New" w:cs="Courier New"/>
        </w:rPr>
        <w:t>.</w:t>
      </w:r>
      <w:r w:rsidR="001F21ED" w:rsidRPr="005D0445">
        <w:rPr>
          <w:rFonts w:ascii="Courier New" w:hAnsi="Courier New" w:cs="Courier New"/>
        </w:rPr>
        <w:t>..</w:t>
      </w:r>
      <w:r w:rsidRPr="005D0445">
        <w:rPr>
          <w:rFonts w:ascii="Courier New" w:hAnsi="Courier New" w:cs="Courier New"/>
        </w:rPr>
        <w:t>.</w:t>
      </w:r>
      <w:r w:rsidR="001F21ED" w:rsidRPr="005D0445">
        <w:rPr>
          <w:rFonts w:ascii="Courier New" w:hAnsi="Courier New" w:cs="Courier New"/>
        </w:rPr>
        <w:t>..</w:t>
      </w:r>
      <w:r w:rsidRPr="005D0445">
        <w:rPr>
          <w:rFonts w:ascii="Courier New" w:hAnsi="Courier New" w:cs="Courier New"/>
        </w:rPr>
        <w:t>.</w:t>
      </w:r>
      <w:r w:rsidR="001F21ED" w:rsidRPr="005D0445">
        <w:rPr>
          <w:rFonts w:ascii="Courier New" w:hAnsi="Courier New" w:cs="Courier New"/>
        </w:rPr>
        <w:t>..</w:t>
      </w:r>
      <w:r w:rsidRPr="005D0445">
        <w:rPr>
          <w:rFonts w:ascii="Courier New" w:hAnsi="Courier New" w:cs="Courier New"/>
        </w:rPr>
        <w:t>.</w:t>
      </w:r>
      <w:r w:rsidR="001F21ED" w:rsidRPr="005D0445">
        <w:rPr>
          <w:rFonts w:ascii="Courier New" w:hAnsi="Courier New" w:cs="Courier New"/>
        </w:rPr>
        <w:t>..</w:t>
      </w:r>
      <w:r w:rsidRPr="005D0445">
        <w:rPr>
          <w:rFonts w:ascii="Courier New" w:hAnsi="Courier New" w:cs="Courier New"/>
        </w:rPr>
        <w:t xml:space="preserve">....  </w:t>
      </w:r>
      <w:r w:rsidR="009762FD" w:rsidRPr="005D0445">
        <w:rPr>
          <w:rFonts w:ascii="Courier New" w:hAnsi="Courier New" w:cs="Courier New"/>
        </w:rPr>
        <w:t xml:space="preserve">  </w:t>
      </w:r>
      <w:r w:rsidR="004341E9" w:rsidRPr="005D0445">
        <w:rPr>
          <w:rFonts w:ascii="Courier New" w:hAnsi="Courier New" w:cs="Courier New"/>
        </w:rPr>
        <w:t>5,</w:t>
      </w:r>
      <w:r w:rsidR="00690797">
        <w:rPr>
          <w:rFonts w:ascii="Courier New" w:hAnsi="Courier New" w:cs="Courier New"/>
        </w:rPr>
        <w:t>166</w:t>
      </w:r>
    </w:p>
    <w:p w:rsidR="00D009FA" w:rsidRPr="005D0445" w:rsidRDefault="00D009FA" w:rsidP="00D009FA">
      <w:pPr>
        <w:tabs>
          <w:tab w:val="left" w:pos="360"/>
          <w:tab w:val="left" w:leader="dot" w:pos="7740"/>
          <w:tab w:val="left" w:pos="7920"/>
          <w:tab w:val="right" w:pos="9270"/>
        </w:tabs>
        <w:rPr>
          <w:rFonts w:ascii="Courier New" w:hAnsi="Courier New" w:cs="Courier New"/>
        </w:rPr>
      </w:pPr>
      <w:r w:rsidRPr="005D0445">
        <w:rPr>
          <w:rFonts w:ascii="Courier New" w:hAnsi="Courier New" w:cs="Courier New"/>
        </w:rPr>
        <w:tab/>
        <w:t xml:space="preserve">Cost per hour .............................. </w:t>
      </w:r>
      <w:r w:rsidRPr="005D0445">
        <w:rPr>
          <w:rFonts w:ascii="Courier New" w:hAnsi="Courier New" w:cs="Courier New"/>
          <w:u w:val="single"/>
        </w:rPr>
        <w:t>x $</w:t>
      </w:r>
      <w:r w:rsidR="007441D5">
        <w:rPr>
          <w:rFonts w:ascii="Courier New" w:hAnsi="Courier New" w:cs="Courier New"/>
          <w:u w:val="single"/>
        </w:rPr>
        <w:t>52</w:t>
      </w:r>
      <w:r w:rsidRPr="005D0445">
        <w:rPr>
          <w:rFonts w:ascii="Courier New" w:hAnsi="Courier New" w:cs="Courier New"/>
          <w:u w:val="single"/>
        </w:rPr>
        <w:t>.</w:t>
      </w:r>
      <w:r w:rsidR="007441D5">
        <w:rPr>
          <w:rFonts w:ascii="Courier New" w:hAnsi="Courier New" w:cs="Courier New"/>
          <w:u w:val="single"/>
        </w:rPr>
        <w:t>54</w:t>
      </w:r>
      <w:r w:rsidR="00776D0C">
        <w:rPr>
          <w:rFonts w:ascii="Courier New" w:hAnsi="Courier New" w:cs="Courier New"/>
          <w:u w:val="single"/>
        </w:rPr>
        <w:t>*</w:t>
      </w:r>
    </w:p>
    <w:p w:rsidR="001F21ED" w:rsidRDefault="00D009FA" w:rsidP="009762FD">
      <w:pPr>
        <w:tabs>
          <w:tab w:val="left" w:pos="360"/>
          <w:tab w:val="left" w:leader="dot" w:pos="7740"/>
          <w:tab w:val="left" w:pos="7920"/>
          <w:tab w:val="right" w:pos="9270"/>
        </w:tabs>
        <w:rPr>
          <w:rFonts w:ascii="Courier New" w:hAnsi="Courier New" w:cs="Courier New"/>
        </w:rPr>
      </w:pPr>
      <w:r w:rsidRPr="005D0445">
        <w:rPr>
          <w:rFonts w:ascii="Courier New" w:hAnsi="Courier New" w:cs="Courier New"/>
        </w:rPr>
        <w:tab/>
        <w:t>Total annual estimate of burden .</w:t>
      </w:r>
      <w:r w:rsidR="001F21ED" w:rsidRPr="005D0445">
        <w:rPr>
          <w:rFonts w:ascii="Courier New" w:hAnsi="Courier New" w:cs="Courier New"/>
        </w:rPr>
        <w:t>..</w:t>
      </w:r>
      <w:r w:rsidRPr="005D0445">
        <w:rPr>
          <w:rFonts w:ascii="Courier New" w:hAnsi="Courier New" w:cs="Courier New"/>
        </w:rPr>
        <w:t>.</w:t>
      </w:r>
      <w:r w:rsidR="001F21ED" w:rsidRPr="005D0445">
        <w:rPr>
          <w:rFonts w:ascii="Courier New" w:hAnsi="Courier New" w:cs="Courier New"/>
        </w:rPr>
        <w:t>.</w:t>
      </w:r>
      <w:r w:rsidRPr="005D0445">
        <w:rPr>
          <w:rFonts w:ascii="Courier New" w:hAnsi="Courier New" w:cs="Courier New"/>
        </w:rPr>
        <w:t>...</w:t>
      </w:r>
      <w:r w:rsidR="004341E9" w:rsidRPr="005D0445">
        <w:rPr>
          <w:rFonts w:ascii="Courier New" w:hAnsi="Courier New" w:cs="Courier New"/>
        </w:rPr>
        <w:t>..</w:t>
      </w:r>
      <w:r w:rsidR="005D0445">
        <w:rPr>
          <w:rFonts w:ascii="Courier New" w:hAnsi="Courier New" w:cs="Courier New"/>
        </w:rPr>
        <w:t xml:space="preserve">   $</w:t>
      </w:r>
      <w:r w:rsidR="007441D5">
        <w:rPr>
          <w:rFonts w:ascii="Courier New" w:hAnsi="Courier New" w:cs="Courier New"/>
        </w:rPr>
        <w:t>271,422</w:t>
      </w:r>
    </w:p>
    <w:p w:rsidR="00776D0C" w:rsidRPr="005D0445" w:rsidRDefault="00776D0C" w:rsidP="009762FD">
      <w:pPr>
        <w:tabs>
          <w:tab w:val="left" w:pos="360"/>
          <w:tab w:val="left" w:leader="dot" w:pos="7740"/>
          <w:tab w:val="left" w:pos="7920"/>
          <w:tab w:val="right" w:pos="9270"/>
        </w:tabs>
        <w:rPr>
          <w:rFonts w:ascii="Courier New" w:hAnsi="Courier New" w:cs="Courier New"/>
        </w:rPr>
      </w:pPr>
    </w:p>
    <w:p w:rsidR="004339C5" w:rsidRPr="001728F8" w:rsidRDefault="00776D0C" w:rsidP="00776D0C">
      <w:pPr>
        <w:pStyle w:val="FootnoteText"/>
        <w:rPr>
          <w:rFonts w:ascii="Courier New" w:hAnsi="Courier New" w:cs="Courier New"/>
          <w:sz w:val="24"/>
        </w:rPr>
      </w:pPr>
      <w:r w:rsidRPr="001728F8">
        <w:rPr>
          <w:rFonts w:ascii="Courier New" w:hAnsi="Courier New" w:cs="Courier New"/>
          <w:sz w:val="24"/>
        </w:rPr>
        <w:t>*</w:t>
      </w:r>
      <w:r w:rsidR="003672CF" w:rsidRPr="001728F8">
        <w:rPr>
          <w:rFonts w:ascii="Courier New" w:hAnsi="Courier New" w:cs="Courier New"/>
          <w:sz w:val="24"/>
        </w:rPr>
        <w:t xml:space="preserve"> </w:t>
      </w:r>
      <w:r w:rsidR="001728F8" w:rsidRPr="001728F8">
        <w:rPr>
          <w:rFonts w:ascii="Courier New" w:hAnsi="Courier New" w:cs="Courier New"/>
          <w:sz w:val="24"/>
        </w:rPr>
        <w:t>J</w:t>
      </w:r>
      <w:r w:rsidR="003672CF" w:rsidRPr="001728F8">
        <w:rPr>
          <w:rFonts w:ascii="Courier New" w:hAnsi="Courier New" w:cs="Courier New"/>
          <w:sz w:val="24"/>
        </w:rPr>
        <w:t>ourneyman hourly rate (GS-12, step 5) of $52.54</w:t>
      </w:r>
    </w:p>
    <w:p w:rsidR="00776D0C" w:rsidRPr="00BF32E7" w:rsidRDefault="00776D0C" w:rsidP="00776D0C">
      <w:pPr>
        <w:pStyle w:val="FootnoteText"/>
        <w:rPr>
          <w:strike/>
        </w:rPr>
      </w:pPr>
    </w:p>
    <w:p w:rsidR="009762FD" w:rsidRPr="005D0445" w:rsidRDefault="009762FD" w:rsidP="009762FD">
      <w:pPr>
        <w:tabs>
          <w:tab w:val="left" w:pos="360"/>
          <w:tab w:val="left" w:leader="dot" w:pos="7740"/>
          <w:tab w:val="left" w:pos="7920"/>
          <w:tab w:val="right" w:pos="9270"/>
        </w:tabs>
        <w:rPr>
          <w:rFonts w:ascii="Courier New" w:hAnsi="Courier New" w:cs="Courier New"/>
        </w:rPr>
      </w:pPr>
    </w:p>
    <w:p w:rsidR="00FD3A86" w:rsidRPr="005D0445" w:rsidRDefault="00FD3A86">
      <w:pPr>
        <w:rPr>
          <w:rFonts w:ascii="Courier New" w:hAnsi="Courier New" w:cs="Courier New"/>
        </w:rPr>
      </w:pPr>
      <w:r w:rsidRPr="005D0445">
        <w:rPr>
          <w:rFonts w:ascii="Courier New" w:hAnsi="Courier New" w:cs="Courier New"/>
        </w:rPr>
        <w:t xml:space="preserve">15. </w:t>
      </w:r>
      <w:r w:rsidRPr="005D0445">
        <w:rPr>
          <w:rFonts w:ascii="Courier New" w:hAnsi="Courier New" w:cs="Courier New"/>
          <w:b/>
        </w:rPr>
        <w:t>Explain reasons for program changes or adjustments reported in Item 13 or 14</w:t>
      </w:r>
      <w:r w:rsidRPr="005D0445">
        <w:rPr>
          <w:rFonts w:ascii="Courier New" w:hAnsi="Courier New" w:cs="Courier New"/>
        </w:rPr>
        <w:t>.  This submission requests a</w:t>
      </w:r>
      <w:r w:rsidR="00B53DD0" w:rsidRPr="005D0445">
        <w:rPr>
          <w:rFonts w:ascii="Courier New" w:hAnsi="Courier New" w:cs="Courier New"/>
        </w:rPr>
        <w:t xml:space="preserve"> </w:t>
      </w:r>
      <w:r w:rsidRPr="005D0445">
        <w:rPr>
          <w:rFonts w:ascii="Courier New" w:hAnsi="Courier New" w:cs="Courier New"/>
        </w:rPr>
        <w:t>n</w:t>
      </w:r>
      <w:r w:rsidR="00B53DD0" w:rsidRPr="005D0445">
        <w:rPr>
          <w:rFonts w:ascii="Courier New" w:hAnsi="Courier New" w:cs="Courier New"/>
        </w:rPr>
        <w:t>ew</w:t>
      </w:r>
      <w:r w:rsidRPr="005D0445">
        <w:rPr>
          <w:rFonts w:ascii="Courier New" w:hAnsi="Courier New" w:cs="Courier New"/>
        </w:rPr>
        <w:t xml:space="preserve"> OMB approval </w:t>
      </w:r>
      <w:r w:rsidR="00B53DD0" w:rsidRPr="005D0445">
        <w:rPr>
          <w:rFonts w:ascii="Courier New" w:hAnsi="Courier New" w:cs="Courier New"/>
        </w:rPr>
        <w:t>for</w:t>
      </w:r>
      <w:r w:rsidRPr="005D0445">
        <w:rPr>
          <w:rFonts w:ascii="Courier New" w:hAnsi="Courier New" w:cs="Courier New"/>
        </w:rPr>
        <w:t xml:space="preserve"> an information collection requirement in the FAR.  </w:t>
      </w:r>
    </w:p>
    <w:p w:rsidR="00FD3A86" w:rsidRPr="005D0445" w:rsidRDefault="00FD3A86">
      <w:pPr>
        <w:rPr>
          <w:rFonts w:ascii="Courier New" w:hAnsi="Courier New" w:cs="Courier New"/>
        </w:rPr>
      </w:pPr>
    </w:p>
    <w:p w:rsidR="00FD3A86" w:rsidRPr="005D0445" w:rsidRDefault="00FD3A86">
      <w:pPr>
        <w:rPr>
          <w:rFonts w:ascii="Courier New" w:hAnsi="Courier New" w:cs="Courier New"/>
        </w:rPr>
      </w:pPr>
      <w:r w:rsidRPr="005D0445">
        <w:rPr>
          <w:rFonts w:ascii="Courier New" w:hAnsi="Courier New" w:cs="Courier New"/>
        </w:rPr>
        <w:t xml:space="preserve">16.  </w:t>
      </w:r>
      <w:r w:rsidRPr="005D0445">
        <w:rPr>
          <w:rFonts w:ascii="Courier New" w:hAnsi="Courier New" w:cs="Courier New"/>
          <w:b/>
        </w:rPr>
        <w:t>Outline plans for published results of information collections</w:t>
      </w:r>
      <w:r w:rsidRPr="005D0445">
        <w:rPr>
          <w:rFonts w:ascii="Courier New" w:hAnsi="Courier New" w:cs="Courier New"/>
        </w:rPr>
        <w:t>.  Results will not be tabulated or published.</w:t>
      </w:r>
    </w:p>
    <w:p w:rsidR="00FD3A86" w:rsidRPr="005D0445" w:rsidRDefault="00FD3A86">
      <w:pPr>
        <w:rPr>
          <w:rFonts w:ascii="Courier New" w:hAnsi="Courier New" w:cs="Courier New"/>
        </w:rPr>
      </w:pPr>
    </w:p>
    <w:p w:rsidR="00FD3A86" w:rsidRPr="005D0445" w:rsidRDefault="00FD3A86" w:rsidP="00B53DD0">
      <w:pPr>
        <w:rPr>
          <w:rFonts w:ascii="Courier New" w:hAnsi="Courier New" w:cs="Courier New"/>
        </w:rPr>
      </w:pPr>
      <w:r w:rsidRPr="005D0445">
        <w:rPr>
          <w:rFonts w:ascii="Courier New" w:hAnsi="Courier New" w:cs="Courier New"/>
        </w:rPr>
        <w:t xml:space="preserve">17.  </w:t>
      </w:r>
      <w:r w:rsidRPr="005D0445">
        <w:rPr>
          <w:rFonts w:ascii="Courier New" w:hAnsi="Courier New" w:cs="Courier New"/>
          <w:b/>
        </w:rPr>
        <w:t xml:space="preserve">Approval not to display expiration date. </w:t>
      </w:r>
      <w:r w:rsidRPr="005D0445">
        <w:rPr>
          <w:rFonts w:ascii="Courier New" w:hAnsi="Courier New" w:cs="Courier New"/>
        </w:rPr>
        <w:t xml:space="preserve"> </w:t>
      </w:r>
      <w:r w:rsidR="00B53DD0" w:rsidRPr="005D0445">
        <w:rPr>
          <w:rFonts w:ascii="Courier New" w:hAnsi="Courier New" w:cs="Courier New"/>
        </w:rPr>
        <w:t>We do not seek approval not to display the expiration date for OMB approval of the information collection</w:t>
      </w:r>
      <w:r w:rsidRPr="005D0445">
        <w:rPr>
          <w:rFonts w:ascii="Courier New" w:hAnsi="Courier New" w:cs="Courier New"/>
        </w:rPr>
        <w:t>.</w:t>
      </w:r>
    </w:p>
    <w:p w:rsidR="00FD3A86" w:rsidRPr="005D0445" w:rsidRDefault="00FD3A86">
      <w:pPr>
        <w:rPr>
          <w:rFonts w:ascii="Courier New" w:hAnsi="Courier New" w:cs="Courier New"/>
        </w:rPr>
      </w:pPr>
    </w:p>
    <w:p w:rsidR="00FD3A86" w:rsidRPr="005D0445" w:rsidRDefault="00FD3A86">
      <w:pPr>
        <w:rPr>
          <w:rFonts w:ascii="Courier New" w:hAnsi="Courier New" w:cs="Courier New"/>
        </w:rPr>
      </w:pPr>
      <w:r w:rsidRPr="005D0445">
        <w:rPr>
          <w:rFonts w:ascii="Courier New" w:hAnsi="Courier New" w:cs="Courier New"/>
        </w:rPr>
        <w:t xml:space="preserve">18.  </w:t>
      </w:r>
      <w:r w:rsidRPr="005D0445">
        <w:rPr>
          <w:rFonts w:ascii="Courier New" w:hAnsi="Courier New" w:cs="Courier New"/>
          <w:b/>
        </w:rPr>
        <w:t>Explanation of exception to certification statement</w:t>
      </w:r>
      <w:r w:rsidRPr="005D0445">
        <w:rPr>
          <w:rFonts w:ascii="Courier New" w:hAnsi="Courier New" w:cs="Courier New"/>
        </w:rPr>
        <w:t xml:space="preserve">.  </w:t>
      </w:r>
      <w:r w:rsidR="00B53DD0" w:rsidRPr="005D0445">
        <w:rPr>
          <w:rFonts w:ascii="Courier New" w:hAnsi="Courier New" w:cs="Courier New"/>
        </w:rPr>
        <w:t>There are no exceptions to the certification accompanying this Paperwork Reduction Act submission</w:t>
      </w:r>
      <w:r w:rsidRPr="005D0445">
        <w:rPr>
          <w:rFonts w:ascii="Courier New" w:hAnsi="Courier New" w:cs="Courier New"/>
        </w:rPr>
        <w:t>.</w:t>
      </w:r>
    </w:p>
    <w:p w:rsidR="00FD3A86" w:rsidRPr="005D0445" w:rsidRDefault="00FD3A86">
      <w:pPr>
        <w:rPr>
          <w:rFonts w:ascii="Courier New" w:hAnsi="Courier New" w:cs="Courier New"/>
          <w:b/>
        </w:rPr>
      </w:pPr>
    </w:p>
    <w:p w:rsidR="00FD3A86" w:rsidRPr="005D0445" w:rsidRDefault="00FD3A86">
      <w:pPr>
        <w:rPr>
          <w:rFonts w:ascii="Courier New" w:hAnsi="Courier New" w:cs="Courier New"/>
          <w:b/>
        </w:rPr>
      </w:pPr>
      <w:r w:rsidRPr="005D0445">
        <w:rPr>
          <w:rFonts w:ascii="Courier New" w:hAnsi="Courier New" w:cs="Courier New"/>
          <w:b/>
        </w:rPr>
        <w:t xml:space="preserve">B.  Collections of Information Employing </w:t>
      </w:r>
      <w:r w:rsidR="00565D08" w:rsidRPr="005D0445">
        <w:rPr>
          <w:rFonts w:ascii="Courier New" w:hAnsi="Courier New" w:cs="Courier New"/>
          <w:b/>
        </w:rPr>
        <w:t>Statistical Methods</w:t>
      </w:r>
      <w:r w:rsidRPr="005D0445">
        <w:rPr>
          <w:rFonts w:ascii="Courier New" w:hAnsi="Courier New" w:cs="Courier New"/>
          <w:b/>
        </w:rPr>
        <w:t>.</w:t>
      </w:r>
    </w:p>
    <w:p w:rsidR="00FD3A86" w:rsidRPr="005D0445" w:rsidRDefault="00FD3A86">
      <w:pPr>
        <w:rPr>
          <w:rFonts w:ascii="Courier New" w:hAnsi="Courier New" w:cs="Courier New"/>
        </w:rPr>
      </w:pPr>
    </w:p>
    <w:p w:rsidR="00FD3A86" w:rsidRPr="00A512C4" w:rsidRDefault="00FD3A86" w:rsidP="008A682A">
      <w:pPr>
        <w:rPr>
          <w:rFonts w:ascii="Courier New" w:hAnsi="Courier New" w:cs="Courier New"/>
        </w:rPr>
      </w:pPr>
      <w:r w:rsidRPr="005D0445">
        <w:rPr>
          <w:rFonts w:ascii="Courier New" w:hAnsi="Courier New" w:cs="Courier New"/>
        </w:rPr>
        <w:t>Statistical methods are not used in this information collection.</w:t>
      </w:r>
    </w:p>
    <w:sectPr w:rsidR="00FD3A86" w:rsidRPr="00A512C4" w:rsidSect="004B719D">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B1" w:rsidRDefault="00F820B1">
      <w:r>
        <w:separator/>
      </w:r>
    </w:p>
  </w:endnote>
  <w:endnote w:type="continuationSeparator" w:id="0">
    <w:p w:rsidR="00F820B1" w:rsidRDefault="00F8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E9" w:rsidRDefault="00434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41E9" w:rsidRDefault="00434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9B" w:rsidRDefault="002D639B" w:rsidP="002D639B">
    <w:pPr>
      <w:pStyle w:val="Footer"/>
    </w:pPr>
  </w:p>
  <w:p w:rsidR="002D639B" w:rsidRDefault="002D639B" w:rsidP="002D639B">
    <w:pPr>
      <w:ind w:right="720"/>
      <w:jc w:val="both"/>
      <w:rPr>
        <w:rFonts w:ascii="Arial" w:hAnsi="Arial" w:cs="Arial"/>
        <w:b/>
        <w:sz w:val="16"/>
        <w:szCs w:val="16"/>
      </w:rPr>
    </w:pPr>
  </w:p>
  <w:p w:rsidR="00B633C0" w:rsidRDefault="002D639B">
    <w:pPr>
      <w:pStyle w:val="Footer"/>
    </w:pPr>
    <w:r>
      <w:rPr>
        <w:rFonts w:asciiTheme="majorHAnsi" w:hAnsiTheme="majorHAnsi"/>
      </w:rPr>
      <w:tab/>
      <w:t xml:space="preserve">    Page </w:t>
    </w:r>
    <w:r>
      <w:rPr>
        <w:rFonts w:asciiTheme="majorHAnsi" w:hAnsiTheme="majorHAnsi"/>
      </w:rPr>
      <w:fldChar w:fldCharType="begin"/>
    </w:r>
    <w:r>
      <w:rPr>
        <w:rFonts w:asciiTheme="majorHAnsi" w:hAnsiTheme="majorHAnsi"/>
      </w:rPr>
      <w:instrText xml:space="preserve"> PAGE  \* Arabic  \* MERGEFORMAT </w:instrText>
    </w:r>
    <w:r>
      <w:rPr>
        <w:rFonts w:asciiTheme="majorHAnsi" w:hAnsiTheme="majorHAnsi"/>
      </w:rPr>
      <w:fldChar w:fldCharType="separate"/>
    </w:r>
    <w:r w:rsidR="00992424">
      <w:rPr>
        <w:rFonts w:asciiTheme="majorHAnsi" w:hAnsiTheme="majorHAnsi"/>
        <w:noProof/>
      </w:rPr>
      <w:t>1</w:t>
    </w:r>
    <w:r>
      <w:rPr>
        <w:rFonts w:asciiTheme="majorHAnsi" w:hAnsiTheme="majorHAnsi"/>
      </w:rPr>
      <w:fldChar w:fldCharType="end"/>
    </w:r>
    <w:r>
      <w:rPr>
        <w:rFonts w:asciiTheme="majorHAnsi" w:hAnsiTheme="majorHAnsi"/>
      </w:rPr>
      <w:t xml:space="preserve"> of </w:t>
    </w:r>
    <w:r w:rsidR="00054CDF">
      <w:fldChar w:fldCharType="begin"/>
    </w:r>
    <w:r w:rsidR="00054CDF">
      <w:instrText xml:space="preserve"> NUMPAGES  \* Arabic  \* MERGEFORMAT </w:instrText>
    </w:r>
    <w:r w:rsidR="00054CDF">
      <w:fldChar w:fldCharType="separate"/>
    </w:r>
    <w:r w:rsidR="00992424" w:rsidRPr="00992424">
      <w:rPr>
        <w:rFonts w:asciiTheme="majorHAnsi" w:hAnsiTheme="majorHAnsi"/>
        <w:noProof/>
      </w:rPr>
      <w:t>3</w:t>
    </w:r>
    <w:r w:rsidR="00054CDF">
      <w:rPr>
        <w:rFonts w:asciiTheme="majorHAnsi" w:hAnsiTheme="majorHAnsi"/>
        <w:noProof/>
      </w:rPr>
      <w:fldChar w:fldCharType="end"/>
    </w:r>
    <w:r>
      <w:t xml:space="preserve">                                                                                                                                            </w:t>
    </w:r>
    <w:r w:rsidR="00B633C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B1" w:rsidRDefault="00F820B1">
      <w:r>
        <w:separator/>
      </w:r>
    </w:p>
  </w:footnote>
  <w:footnote w:type="continuationSeparator" w:id="0">
    <w:p w:rsidR="00F820B1" w:rsidRDefault="00F820B1">
      <w:r>
        <w:continuationSeparator/>
      </w:r>
    </w:p>
  </w:footnote>
  <w:footnote w:id="1">
    <w:p w:rsidR="004341E9" w:rsidRPr="004339C5" w:rsidRDefault="004341E9" w:rsidP="004339C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D3206"/>
    <w:multiLevelType w:val="hybridMultilevel"/>
    <w:tmpl w:val="D5E2BCDA"/>
    <w:lvl w:ilvl="0" w:tplc="9AD0C248">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9D"/>
    <w:rsid w:val="00054CDF"/>
    <w:rsid w:val="000775F4"/>
    <w:rsid w:val="00097D75"/>
    <w:rsid w:val="000B408A"/>
    <w:rsid w:val="000E05DE"/>
    <w:rsid w:val="0010733D"/>
    <w:rsid w:val="001205E8"/>
    <w:rsid w:val="00126130"/>
    <w:rsid w:val="00155946"/>
    <w:rsid w:val="00160D6B"/>
    <w:rsid w:val="00167938"/>
    <w:rsid w:val="00171E29"/>
    <w:rsid w:val="001728F8"/>
    <w:rsid w:val="00186879"/>
    <w:rsid w:val="001B33B3"/>
    <w:rsid w:val="001D4652"/>
    <w:rsid w:val="001F21ED"/>
    <w:rsid w:val="00201623"/>
    <w:rsid w:val="002474FF"/>
    <w:rsid w:val="002D2B3C"/>
    <w:rsid w:val="002D639B"/>
    <w:rsid w:val="002E599B"/>
    <w:rsid w:val="002E61E1"/>
    <w:rsid w:val="00305434"/>
    <w:rsid w:val="003209A0"/>
    <w:rsid w:val="003230C2"/>
    <w:rsid w:val="0032468C"/>
    <w:rsid w:val="003374E8"/>
    <w:rsid w:val="0034089B"/>
    <w:rsid w:val="00353353"/>
    <w:rsid w:val="003672CF"/>
    <w:rsid w:val="00392C65"/>
    <w:rsid w:val="003938CE"/>
    <w:rsid w:val="003D1E70"/>
    <w:rsid w:val="003E244F"/>
    <w:rsid w:val="004008E4"/>
    <w:rsid w:val="004339C5"/>
    <w:rsid w:val="004341E9"/>
    <w:rsid w:val="00487D41"/>
    <w:rsid w:val="004B1CE3"/>
    <w:rsid w:val="004B719D"/>
    <w:rsid w:val="004C6A0B"/>
    <w:rsid w:val="004C6D4A"/>
    <w:rsid w:val="004D07FE"/>
    <w:rsid w:val="00506D35"/>
    <w:rsid w:val="00544D07"/>
    <w:rsid w:val="00554068"/>
    <w:rsid w:val="0055691D"/>
    <w:rsid w:val="00565D08"/>
    <w:rsid w:val="00592F25"/>
    <w:rsid w:val="005B2EF0"/>
    <w:rsid w:val="005C7335"/>
    <w:rsid w:val="005D0445"/>
    <w:rsid w:val="005D0E31"/>
    <w:rsid w:val="005D5121"/>
    <w:rsid w:val="005E1AB1"/>
    <w:rsid w:val="00614411"/>
    <w:rsid w:val="00647EEF"/>
    <w:rsid w:val="00687BD6"/>
    <w:rsid w:val="00690797"/>
    <w:rsid w:val="006B7788"/>
    <w:rsid w:val="006C0DA9"/>
    <w:rsid w:val="006E12E9"/>
    <w:rsid w:val="006E7D89"/>
    <w:rsid w:val="007111C4"/>
    <w:rsid w:val="00712FC4"/>
    <w:rsid w:val="00726031"/>
    <w:rsid w:val="00726F06"/>
    <w:rsid w:val="007441D5"/>
    <w:rsid w:val="00745F67"/>
    <w:rsid w:val="00760988"/>
    <w:rsid w:val="00760B5E"/>
    <w:rsid w:val="00776D0C"/>
    <w:rsid w:val="00777BEE"/>
    <w:rsid w:val="007A105F"/>
    <w:rsid w:val="007A341F"/>
    <w:rsid w:val="007B2E9F"/>
    <w:rsid w:val="007D4455"/>
    <w:rsid w:val="007F76BB"/>
    <w:rsid w:val="00814CA9"/>
    <w:rsid w:val="0082131D"/>
    <w:rsid w:val="00836774"/>
    <w:rsid w:val="008519CF"/>
    <w:rsid w:val="00852926"/>
    <w:rsid w:val="00870602"/>
    <w:rsid w:val="008A66C2"/>
    <w:rsid w:val="008A682A"/>
    <w:rsid w:val="008B267C"/>
    <w:rsid w:val="008C5D1D"/>
    <w:rsid w:val="008D7B7D"/>
    <w:rsid w:val="008F630A"/>
    <w:rsid w:val="00904441"/>
    <w:rsid w:val="0096338D"/>
    <w:rsid w:val="009762FD"/>
    <w:rsid w:val="00992424"/>
    <w:rsid w:val="009D3F16"/>
    <w:rsid w:val="009F7BB5"/>
    <w:rsid w:val="00A002D8"/>
    <w:rsid w:val="00A023C7"/>
    <w:rsid w:val="00A0364B"/>
    <w:rsid w:val="00A16C72"/>
    <w:rsid w:val="00A1764A"/>
    <w:rsid w:val="00A35EEE"/>
    <w:rsid w:val="00A512C4"/>
    <w:rsid w:val="00A61C38"/>
    <w:rsid w:val="00A662AA"/>
    <w:rsid w:val="00A97F20"/>
    <w:rsid w:val="00AB4D61"/>
    <w:rsid w:val="00AC01BA"/>
    <w:rsid w:val="00AD1EDC"/>
    <w:rsid w:val="00B3084D"/>
    <w:rsid w:val="00B3189E"/>
    <w:rsid w:val="00B43AD7"/>
    <w:rsid w:val="00B53DD0"/>
    <w:rsid w:val="00B559FF"/>
    <w:rsid w:val="00B633C0"/>
    <w:rsid w:val="00B729F0"/>
    <w:rsid w:val="00BB3157"/>
    <w:rsid w:val="00BB376C"/>
    <w:rsid w:val="00BC0650"/>
    <w:rsid w:val="00BF32E7"/>
    <w:rsid w:val="00BF38B3"/>
    <w:rsid w:val="00C34B1A"/>
    <w:rsid w:val="00C75F38"/>
    <w:rsid w:val="00CA369D"/>
    <w:rsid w:val="00CA672C"/>
    <w:rsid w:val="00CB2274"/>
    <w:rsid w:val="00CC2F43"/>
    <w:rsid w:val="00CD28C6"/>
    <w:rsid w:val="00CF4575"/>
    <w:rsid w:val="00CF7410"/>
    <w:rsid w:val="00D009FA"/>
    <w:rsid w:val="00D117AC"/>
    <w:rsid w:val="00D70F8A"/>
    <w:rsid w:val="00D71EA4"/>
    <w:rsid w:val="00D72AD8"/>
    <w:rsid w:val="00D73777"/>
    <w:rsid w:val="00D92983"/>
    <w:rsid w:val="00D94928"/>
    <w:rsid w:val="00D96ADC"/>
    <w:rsid w:val="00DA52DD"/>
    <w:rsid w:val="00DC141C"/>
    <w:rsid w:val="00E06846"/>
    <w:rsid w:val="00E07D9D"/>
    <w:rsid w:val="00E45FD1"/>
    <w:rsid w:val="00E622F0"/>
    <w:rsid w:val="00E80ED7"/>
    <w:rsid w:val="00E861C1"/>
    <w:rsid w:val="00EB4F47"/>
    <w:rsid w:val="00ED769A"/>
    <w:rsid w:val="00EE084D"/>
    <w:rsid w:val="00EE3423"/>
    <w:rsid w:val="00F22085"/>
    <w:rsid w:val="00F62953"/>
    <w:rsid w:val="00F6521D"/>
    <w:rsid w:val="00F729CC"/>
    <w:rsid w:val="00F820B1"/>
    <w:rsid w:val="00F84EEA"/>
    <w:rsid w:val="00FB0BFA"/>
    <w:rsid w:val="00FD1511"/>
    <w:rsid w:val="00FD3A86"/>
    <w:rsid w:val="00FD4CEA"/>
    <w:rsid w:val="00FF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4B719D"/>
    <w:pPr>
      <w:tabs>
        <w:tab w:val="center" w:pos="4320"/>
        <w:tab w:val="right" w:pos="8640"/>
      </w:tabs>
    </w:pPr>
  </w:style>
  <w:style w:type="paragraph" w:styleId="ListParagraph">
    <w:name w:val="List Paragraph"/>
    <w:basedOn w:val="Normal"/>
    <w:uiPriority w:val="34"/>
    <w:qFormat/>
    <w:rsid w:val="00687BD6"/>
    <w:pPr>
      <w:ind w:left="720"/>
      <w:contextualSpacing/>
    </w:pPr>
  </w:style>
  <w:style w:type="paragraph" w:styleId="EndnoteText">
    <w:name w:val="endnote text"/>
    <w:basedOn w:val="Normal"/>
    <w:link w:val="EndnoteTextChar"/>
    <w:rsid w:val="00B559FF"/>
    <w:rPr>
      <w:sz w:val="20"/>
    </w:rPr>
  </w:style>
  <w:style w:type="character" w:customStyle="1" w:styleId="EndnoteTextChar">
    <w:name w:val="Endnote Text Char"/>
    <w:basedOn w:val="DefaultParagraphFont"/>
    <w:link w:val="EndnoteText"/>
    <w:rsid w:val="00B559FF"/>
  </w:style>
  <w:style w:type="character" w:styleId="EndnoteReference">
    <w:name w:val="endnote reference"/>
    <w:basedOn w:val="DefaultParagraphFont"/>
    <w:rsid w:val="00B559FF"/>
    <w:rPr>
      <w:vertAlign w:val="superscript"/>
    </w:rPr>
  </w:style>
  <w:style w:type="paragraph" w:styleId="FootnoteText">
    <w:name w:val="footnote text"/>
    <w:basedOn w:val="Normal"/>
    <w:link w:val="FootnoteTextChar"/>
    <w:uiPriority w:val="99"/>
    <w:rsid w:val="00EB4F47"/>
    <w:rPr>
      <w:sz w:val="20"/>
    </w:rPr>
  </w:style>
  <w:style w:type="character" w:customStyle="1" w:styleId="FootnoteTextChar">
    <w:name w:val="Footnote Text Char"/>
    <w:basedOn w:val="DefaultParagraphFont"/>
    <w:link w:val="FootnoteText"/>
    <w:uiPriority w:val="99"/>
    <w:rsid w:val="00EB4F47"/>
  </w:style>
  <w:style w:type="character" w:styleId="FootnoteReference">
    <w:name w:val="footnote reference"/>
    <w:basedOn w:val="DefaultParagraphFont"/>
    <w:uiPriority w:val="99"/>
    <w:rsid w:val="00EB4F47"/>
    <w:rPr>
      <w:vertAlign w:val="superscript"/>
    </w:rPr>
  </w:style>
  <w:style w:type="paragraph" w:styleId="BalloonText">
    <w:name w:val="Balloon Text"/>
    <w:basedOn w:val="Normal"/>
    <w:link w:val="BalloonTextChar"/>
    <w:rsid w:val="004D07FE"/>
    <w:rPr>
      <w:rFonts w:ascii="Tahoma" w:hAnsi="Tahoma" w:cs="Tahoma"/>
      <w:sz w:val="16"/>
      <w:szCs w:val="16"/>
    </w:rPr>
  </w:style>
  <w:style w:type="character" w:customStyle="1" w:styleId="BalloonTextChar">
    <w:name w:val="Balloon Text Char"/>
    <w:basedOn w:val="DefaultParagraphFont"/>
    <w:link w:val="BalloonText"/>
    <w:rsid w:val="004D07FE"/>
    <w:rPr>
      <w:rFonts w:ascii="Tahoma" w:hAnsi="Tahoma" w:cs="Tahoma"/>
      <w:sz w:val="16"/>
      <w:szCs w:val="16"/>
    </w:rPr>
  </w:style>
  <w:style w:type="table" w:styleId="TableGrid">
    <w:name w:val="Table Grid"/>
    <w:basedOn w:val="TableNormal"/>
    <w:rsid w:val="00FD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E61E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E61E1"/>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2D639B"/>
    <w:rPr>
      <w:sz w:val="24"/>
    </w:rPr>
  </w:style>
  <w:style w:type="character" w:customStyle="1" w:styleId="HeaderChar">
    <w:name w:val="Header Char"/>
    <w:basedOn w:val="DefaultParagraphFont"/>
    <w:link w:val="Header"/>
    <w:uiPriority w:val="99"/>
    <w:rsid w:val="003374E8"/>
    <w:rPr>
      <w:sz w:val="24"/>
    </w:rPr>
  </w:style>
  <w:style w:type="character" w:styleId="CommentReference">
    <w:name w:val="annotation reference"/>
    <w:basedOn w:val="DefaultParagraphFont"/>
    <w:semiHidden/>
    <w:unhideWhenUsed/>
    <w:rsid w:val="003374E8"/>
    <w:rPr>
      <w:sz w:val="16"/>
      <w:szCs w:val="16"/>
    </w:rPr>
  </w:style>
  <w:style w:type="paragraph" w:styleId="CommentText">
    <w:name w:val="annotation text"/>
    <w:basedOn w:val="Normal"/>
    <w:link w:val="CommentTextChar"/>
    <w:semiHidden/>
    <w:unhideWhenUsed/>
    <w:rsid w:val="003374E8"/>
    <w:rPr>
      <w:sz w:val="20"/>
    </w:rPr>
  </w:style>
  <w:style w:type="character" w:customStyle="1" w:styleId="CommentTextChar">
    <w:name w:val="Comment Text Char"/>
    <w:basedOn w:val="DefaultParagraphFont"/>
    <w:link w:val="CommentText"/>
    <w:semiHidden/>
    <w:rsid w:val="003374E8"/>
  </w:style>
  <w:style w:type="paragraph" w:styleId="CommentSubject">
    <w:name w:val="annotation subject"/>
    <w:basedOn w:val="CommentText"/>
    <w:next w:val="CommentText"/>
    <w:link w:val="CommentSubjectChar"/>
    <w:semiHidden/>
    <w:unhideWhenUsed/>
    <w:rsid w:val="003374E8"/>
    <w:rPr>
      <w:b/>
      <w:bCs/>
    </w:rPr>
  </w:style>
  <w:style w:type="character" w:customStyle="1" w:styleId="CommentSubjectChar">
    <w:name w:val="Comment Subject Char"/>
    <w:basedOn w:val="CommentTextChar"/>
    <w:link w:val="CommentSubject"/>
    <w:semiHidden/>
    <w:rsid w:val="00337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4B719D"/>
    <w:pPr>
      <w:tabs>
        <w:tab w:val="center" w:pos="4320"/>
        <w:tab w:val="right" w:pos="8640"/>
      </w:tabs>
    </w:pPr>
  </w:style>
  <w:style w:type="paragraph" w:styleId="ListParagraph">
    <w:name w:val="List Paragraph"/>
    <w:basedOn w:val="Normal"/>
    <w:uiPriority w:val="34"/>
    <w:qFormat/>
    <w:rsid w:val="00687BD6"/>
    <w:pPr>
      <w:ind w:left="720"/>
      <w:contextualSpacing/>
    </w:pPr>
  </w:style>
  <w:style w:type="paragraph" w:styleId="EndnoteText">
    <w:name w:val="endnote text"/>
    <w:basedOn w:val="Normal"/>
    <w:link w:val="EndnoteTextChar"/>
    <w:rsid w:val="00B559FF"/>
    <w:rPr>
      <w:sz w:val="20"/>
    </w:rPr>
  </w:style>
  <w:style w:type="character" w:customStyle="1" w:styleId="EndnoteTextChar">
    <w:name w:val="Endnote Text Char"/>
    <w:basedOn w:val="DefaultParagraphFont"/>
    <w:link w:val="EndnoteText"/>
    <w:rsid w:val="00B559FF"/>
  </w:style>
  <w:style w:type="character" w:styleId="EndnoteReference">
    <w:name w:val="endnote reference"/>
    <w:basedOn w:val="DefaultParagraphFont"/>
    <w:rsid w:val="00B559FF"/>
    <w:rPr>
      <w:vertAlign w:val="superscript"/>
    </w:rPr>
  </w:style>
  <w:style w:type="paragraph" w:styleId="FootnoteText">
    <w:name w:val="footnote text"/>
    <w:basedOn w:val="Normal"/>
    <w:link w:val="FootnoteTextChar"/>
    <w:uiPriority w:val="99"/>
    <w:rsid w:val="00EB4F47"/>
    <w:rPr>
      <w:sz w:val="20"/>
    </w:rPr>
  </w:style>
  <w:style w:type="character" w:customStyle="1" w:styleId="FootnoteTextChar">
    <w:name w:val="Footnote Text Char"/>
    <w:basedOn w:val="DefaultParagraphFont"/>
    <w:link w:val="FootnoteText"/>
    <w:uiPriority w:val="99"/>
    <w:rsid w:val="00EB4F47"/>
  </w:style>
  <w:style w:type="character" w:styleId="FootnoteReference">
    <w:name w:val="footnote reference"/>
    <w:basedOn w:val="DefaultParagraphFont"/>
    <w:uiPriority w:val="99"/>
    <w:rsid w:val="00EB4F47"/>
    <w:rPr>
      <w:vertAlign w:val="superscript"/>
    </w:rPr>
  </w:style>
  <w:style w:type="paragraph" w:styleId="BalloonText">
    <w:name w:val="Balloon Text"/>
    <w:basedOn w:val="Normal"/>
    <w:link w:val="BalloonTextChar"/>
    <w:rsid w:val="004D07FE"/>
    <w:rPr>
      <w:rFonts w:ascii="Tahoma" w:hAnsi="Tahoma" w:cs="Tahoma"/>
      <w:sz w:val="16"/>
      <w:szCs w:val="16"/>
    </w:rPr>
  </w:style>
  <w:style w:type="character" w:customStyle="1" w:styleId="BalloonTextChar">
    <w:name w:val="Balloon Text Char"/>
    <w:basedOn w:val="DefaultParagraphFont"/>
    <w:link w:val="BalloonText"/>
    <w:rsid w:val="004D07FE"/>
    <w:rPr>
      <w:rFonts w:ascii="Tahoma" w:hAnsi="Tahoma" w:cs="Tahoma"/>
      <w:sz w:val="16"/>
      <w:szCs w:val="16"/>
    </w:rPr>
  </w:style>
  <w:style w:type="table" w:styleId="TableGrid">
    <w:name w:val="Table Grid"/>
    <w:basedOn w:val="TableNormal"/>
    <w:rsid w:val="00FD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E61E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E61E1"/>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2D639B"/>
    <w:rPr>
      <w:sz w:val="24"/>
    </w:rPr>
  </w:style>
  <w:style w:type="character" w:customStyle="1" w:styleId="HeaderChar">
    <w:name w:val="Header Char"/>
    <w:basedOn w:val="DefaultParagraphFont"/>
    <w:link w:val="Header"/>
    <w:uiPriority w:val="99"/>
    <w:rsid w:val="003374E8"/>
    <w:rPr>
      <w:sz w:val="24"/>
    </w:rPr>
  </w:style>
  <w:style w:type="character" w:styleId="CommentReference">
    <w:name w:val="annotation reference"/>
    <w:basedOn w:val="DefaultParagraphFont"/>
    <w:semiHidden/>
    <w:unhideWhenUsed/>
    <w:rsid w:val="003374E8"/>
    <w:rPr>
      <w:sz w:val="16"/>
      <w:szCs w:val="16"/>
    </w:rPr>
  </w:style>
  <w:style w:type="paragraph" w:styleId="CommentText">
    <w:name w:val="annotation text"/>
    <w:basedOn w:val="Normal"/>
    <w:link w:val="CommentTextChar"/>
    <w:semiHidden/>
    <w:unhideWhenUsed/>
    <w:rsid w:val="003374E8"/>
    <w:rPr>
      <w:sz w:val="20"/>
    </w:rPr>
  </w:style>
  <w:style w:type="character" w:customStyle="1" w:styleId="CommentTextChar">
    <w:name w:val="Comment Text Char"/>
    <w:basedOn w:val="DefaultParagraphFont"/>
    <w:link w:val="CommentText"/>
    <w:semiHidden/>
    <w:rsid w:val="003374E8"/>
  </w:style>
  <w:style w:type="paragraph" w:styleId="CommentSubject">
    <w:name w:val="annotation subject"/>
    <w:basedOn w:val="CommentText"/>
    <w:next w:val="CommentText"/>
    <w:link w:val="CommentSubjectChar"/>
    <w:semiHidden/>
    <w:unhideWhenUsed/>
    <w:rsid w:val="003374E8"/>
    <w:rPr>
      <w:b/>
      <w:bCs/>
    </w:rPr>
  </w:style>
  <w:style w:type="character" w:customStyle="1" w:styleId="CommentSubjectChar">
    <w:name w:val="Comment Subject Char"/>
    <w:basedOn w:val="CommentTextChar"/>
    <w:link w:val="CommentSubject"/>
    <w:semiHidden/>
    <w:rsid w:val="00337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9473">
      <w:bodyDiv w:val="1"/>
      <w:marLeft w:val="0"/>
      <w:marRight w:val="0"/>
      <w:marTop w:val="0"/>
      <w:marBottom w:val="0"/>
      <w:divBdr>
        <w:top w:val="none" w:sz="0" w:space="0" w:color="auto"/>
        <w:left w:val="none" w:sz="0" w:space="0" w:color="auto"/>
        <w:bottom w:val="none" w:sz="0" w:space="0" w:color="auto"/>
        <w:right w:val="none" w:sz="0" w:space="0" w:color="auto"/>
      </w:divBdr>
    </w:div>
    <w:div w:id="890656538">
      <w:bodyDiv w:val="1"/>
      <w:marLeft w:val="0"/>
      <w:marRight w:val="0"/>
      <w:marTop w:val="0"/>
      <w:marBottom w:val="0"/>
      <w:divBdr>
        <w:top w:val="none" w:sz="0" w:space="0" w:color="auto"/>
        <w:left w:val="none" w:sz="0" w:space="0" w:color="auto"/>
        <w:bottom w:val="none" w:sz="0" w:space="0" w:color="auto"/>
        <w:right w:val="none" w:sz="0" w:space="0" w:color="auto"/>
      </w:divBdr>
    </w:div>
    <w:div w:id="2139180370">
      <w:bodyDiv w:val="1"/>
      <w:marLeft w:val="0"/>
      <w:marRight w:val="0"/>
      <w:marTop w:val="0"/>
      <w:marBottom w:val="0"/>
      <w:divBdr>
        <w:top w:val="none" w:sz="0" w:space="0" w:color="auto"/>
        <w:left w:val="none" w:sz="0" w:space="0" w:color="auto"/>
        <w:bottom w:val="none" w:sz="0" w:space="0" w:color="auto"/>
        <w:right w:val="none" w:sz="0" w:space="0" w:color="auto"/>
      </w:divBdr>
    </w:div>
    <w:div w:id="21419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407F-7869-4321-BB16-7E975B2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2019-06-18T11:42:00Z</dcterms:created>
  <dcterms:modified xsi:type="dcterms:W3CDTF">2019-06-18T11:42:00Z</dcterms:modified>
</cp:coreProperties>
</file>