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w:t>
      </w:r>
      <w:r w:rsidR="000B188A">
        <w:t xml:space="preserve"> the Tennessee Valley Authority (TVA)</w:t>
      </w:r>
      <w:r w:rsidR="00834744">
        <w:t>,</w:t>
      </w:r>
      <w:r w:rsidR="000B188A">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w:t>
      </w:r>
      <w:r w:rsidR="00741DE1">
        <w:t>l</w:t>
      </w:r>
      <w:r w:rsidR="00572831">
        <w:t xml:space="preserve">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w:t>
      </w:r>
      <w:r w:rsidR="00741DE1">
        <w:t>formation needed to provide re</w:t>
      </w:r>
      <w:r>
        <w:t>m</w:t>
      </w:r>
      <w:r w:rsidR="00741DE1">
        <w:t>un</w:t>
      </w:r>
      <w:r>
        <w:t>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96049" w:rsidRDefault="00996049">
      <w:pPr>
        <w:spacing w:after="0" w:line="240" w:lineRule="auto"/>
      </w:pPr>
      <w:r>
        <w:t>O</w:t>
      </w:r>
      <w:r w:rsidR="000B188A">
        <w:t xml:space="preserve">n </w:t>
      </w:r>
      <w:r>
        <w:t xml:space="preserve">August </w:t>
      </w:r>
      <w:r w:rsidR="000B188A">
        <w:t>2</w:t>
      </w:r>
      <w:r>
        <w:t>1</w:t>
      </w:r>
      <w:r w:rsidR="000B188A">
        <w:t>, 201</w:t>
      </w:r>
      <w:r>
        <w:t>9</w:t>
      </w:r>
      <w:r w:rsidR="000C0A7E" w:rsidRPr="001E44AB">
        <w:t xml:space="preserve">, a 60-day notice for public comment was published in the </w:t>
      </w:r>
      <w:r w:rsidR="00982095" w:rsidRPr="001E44AB">
        <w:rPr>
          <w:i/>
        </w:rPr>
        <w:t>Federal Register</w:t>
      </w:r>
      <w:r w:rsidR="000C0A7E" w:rsidRPr="001E44AB">
        <w:t xml:space="preserve">. </w:t>
      </w:r>
      <w:r>
        <w:t xml:space="preserve">  No comments were received.</w:t>
      </w:r>
    </w:p>
    <w:p w:rsidR="00996049" w:rsidRDefault="00996049">
      <w:pPr>
        <w:spacing w:after="0" w:line="240" w:lineRule="auto"/>
      </w:pPr>
    </w:p>
    <w:p w:rsidR="00982095" w:rsidRDefault="000C0A7E">
      <w:pPr>
        <w:spacing w:after="0" w:line="240" w:lineRule="auto"/>
      </w:pPr>
      <w:r w:rsidRPr="001E44AB">
        <w:t xml:space="preserve"> </w:t>
      </w:r>
      <w:r w:rsidR="000B188A">
        <w:t xml:space="preserve">A 30-day Federal Register notice was published on </w:t>
      </w:r>
      <w:r w:rsidR="00996049">
        <w:t>November 7, 2019.  The public is requested to provide comments to TVA and OMB.</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7C1DF3">
        <w:t>2</w:t>
      </w:r>
      <w:r>
        <w:t>,</w:t>
      </w:r>
      <w:r w:rsidR="007C1DF3">
        <w:t>5</w:t>
      </w:r>
      <w:r>
        <w:t xml:space="preserve">00) are based on the number of collections we expect to conduct over the requested period for this clearance .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7C1DF3">
            <w:pPr>
              <w:tabs>
                <w:tab w:val="left" w:pos="-1080"/>
                <w:tab w:val="left" w:pos="-720"/>
                <w:tab w:val="left" w:pos="0"/>
                <w:tab w:val="left" w:pos="450"/>
                <w:tab w:val="left" w:pos="720"/>
                <w:tab w:val="left" w:pos="2160"/>
              </w:tabs>
              <w:spacing w:after="0" w:line="240" w:lineRule="auto"/>
              <w:rPr>
                <w:sz w:val="20"/>
              </w:rPr>
            </w:pPr>
            <w:r>
              <w:t>Customer comment cards/complaint forms</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7C1DF3">
            <w:pPr>
              <w:tabs>
                <w:tab w:val="left" w:pos="-1080"/>
                <w:tab w:val="left" w:pos="-720"/>
                <w:tab w:val="left" w:pos="0"/>
                <w:tab w:val="left" w:pos="450"/>
                <w:tab w:val="left" w:pos="720"/>
                <w:tab w:val="left" w:pos="2160"/>
              </w:tabs>
              <w:spacing w:after="0" w:line="240" w:lineRule="auto"/>
              <w:rPr>
                <w:sz w:val="20"/>
              </w:rPr>
            </w:pPr>
            <w:r>
              <w:rPr>
                <w:sz w:val="20"/>
              </w:rPr>
              <w:t>3,000</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7C1DF3">
            <w:pPr>
              <w:tabs>
                <w:tab w:val="left" w:pos="-1080"/>
                <w:tab w:val="left" w:pos="-720"/>
                <w:tab w:val="left" w:pos="0"/>
                <w:tab w:val="left" w:pos="450"/>
                <w:tab w:val="left" w:pos="720"/>
                <w:tab w:val="left" w:pos="2160"/>
              </w:tabs>
              <w:spacing w:after="0" w:line="240" w:lineRule="auto"/>
              <w:rPr>
                <w:sz w:val="20"/>
              </w:rPr>
            </w:pPr>
            <w:r>
              <w:rPr>
                <w:sz w:val="20"/>
              </w:rPr>
              <w:t>Once per request</w:t>
            </w:r>
          </w:p>
        </w:tc>
        <w:tc>
          <w:tcPr>
            <w:tcW w:w="180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7C1DF3">
            <w:pPr>
              <w:tabs>
                <w:tab w:val="left" w:pos="-1080"/>
                <w:tab w:val="left" w:pos="-720"/>
                <w:tab w:val="left" w:pos="0"/>
                <w:tab w:val="left" w:pos="450"/>
                <w:tab w:val="left" w:pos="720"/>
                <w:tab w:val="left" w:pos="2160"/>
              </w:tabs>
              <w:spacing w:after="0" w:line="240" w:lineRule="auto"/>
              <w:rPr>
                <w:sz w:val="20"/>
              </w:rPr>
            </w:pPr>
            <w:r>
              <w:rPr>
                <w:sz w:val="20"/>
              </w:rPr>
              <w:t>.21</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7C1DF3" w:rsidP="007C1DF3">
            <w:pPr>
              <w:tabs>
                <w:tab w:val="left" w:pos="-1080"/>
                <w:tab w:val="left" w:pos="-720"/>
                <w:tab w:val="left" w:pos="0"/>
                <w:tab w:val="left" w:pos="450"/>
                <w:tab w:val="left" w:pos="720"/>
                <w:tab w:val="left" w:pos="2160"/>
              </w:tabs>
              <w:spacing w:after="0" w:line="240" w:lineRule="auto"/>
              <w:jc w:val="center"/>
              <w:rPr>
                <w:sz w:val="20"/>
              </w:rPr>
            </w:pPr>
            <w:r w:rsidRPr="007C1DF3">
              <w:rPr>
                <w:sz w:val="20"/>
              </w:rPr>
              <w:t>630</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7C1DF3">
            <w:pPr>
              <w:spacing w:after="0" w:line="240" w:lineRule="auto"/>
              <w:rPr>
                <w:sz w:val="20"/>
                <w:highlight w:val="yellow"/>
              </w:rPr>
            </w:pPr>
            <w:r>
              <w:t>Qualitative customer satisfaction surveys (e.g., post-transaction surveys; opt-out web surveys)</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7C1DF3">
            <w:pPr>
              <w:spacing w:after="0" w:line="240" w:lineRule="auto"/>
              <w:rPr>
                <w:sz w:val="20"/>
                <w:highlight w:val="yellow"/>
              </w:rPr>
            </w:pPr>
            <w:r w:rsidRPr="007C1DF3">
              <w:rPr>
                <w:sz w:val="20"/>
              </w:rPr>
              <w:t>6,850</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7C1DF3">
            <w:pPr>
              <w:spacing w:after="0" w:line="240" w:lineRule="auto"/>
              <w:rPr>
                <w:sz w:val="20"/>
                <w:highlight w:val="yellow"/>
              </w:rPr>
            </w:pPr>
            <w:r>
              <w:rPr>
                <w:sz w:val="20"/>
              </w:rPr>
              <w:t>Once per request</w:t>
            </w:r>
          </w:p>
        </w:tc>
        <w:tc>
          <w:tcPr>
            <w:tcW w:w="180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7C1DF3" w:rsidP="007C1DF3">
            <w:pPr>
              <w:spacing w:after="0" w:line="240" w:lineRule="auto"/>
              <w:rPr>
                <w:sz w:val="20"/>
                <w:highlight w:val="yellow"/>
              </w:rPr>
            </w:pPr>
            <w:r w:rsidRPr="007C1DF3">
              <w:rPr>
                <w:sz w:val="20"/>
              </w:rPr>
              <w:t>.25</w:t>
            </w:r>
          </w:p>
        </w:tc>
        <w:tc>
          <w:tcPr>
            <w:tcW w:w="1260" w:type="dxa"/>
            <w:tcBorders>
              <w:top w:val="single" w:sz="7" w:space="0" w:color="000000"/>
              <w:left w:val="single" w:sz="7" w:space="0" w:color="000000"/>
              <w:bottom w:val="single" w:sz="7" w:space="0" w:color="000000"/>
              <w:right w:val="single" w:sz="7" w:space="0" w:color="000000"/>
            </w:tcBorders>
            <w:vAlign w:val="bottom"/>
          </w:tcPr>
          <w:p w:rsidR="007C1DF3" w:rsidRDefault="007C1DF3" w:rsidP="007C1DF3">
            <w:pPr>
              <w:tabs>
                <w:tab w:val="left" w:pos="-1080"/>
                <w:tab w:val="left" w:pos="-720"/>
                <w:tab w:val="left" w:pos="0"/>
                <w:tab w:val="left" w:pos="450"/>
                <w:tab w:val="left" w:pos="720"/>
                <w:tab w:val="left" w:pos="2160"/>
              </w:tabs>
              <w:spacing w:after="0" w:line="240" w:lineRule="auto"/>
              <w:jc w:val="center"/>
              <w:rPr>
                <w:sz w:val="20"/>
                <w:highlight w:val="yellow"/>
              </w:rPr>
            </w:pPr>
            <w:r w:rsidRPr="007C1DF3">
              <w:rPr>
                <w:sz w:val="20"/>
              </w:rPr>
              <w:t>1720</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7C1DF3">
            <w:pPr>
              <w:spacing w:after="0" w:line="240" w:lineRule="auto"/>
              <w:rPr>
                <w:sz w:val="20"/>
                <w:highlight w:val="yellow"/>
              </w:rPr>
            </w:pPr>
            <w:r>
              <w:t>Focus Groups of customers, potential customers, delivery partners, or other stakeholders</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7C1DF3">
            <w:pPr>
              <w:spacing w:after="0" w:line="240" w:lineRule="auto"/>
              <w:rPr>
                <w:sz w:val="20"/>
                <w:highlight w:val="yellow"/>
              </w:rPr>
            </w:pPr>
            <w:r w:rsidRPr="007C1DF3">
              <w:rPr>
                <w:sz w:val="20"/>
              </w:rPr>
              <w:t>150</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7C1DF3">
            <w:pPr>
              <w:spacing w:after="0" w:line="240" w:lineRule="auto"/>
              <w:rPr>
                <w:sz w:val="20"/>
                <w:highlight w:val="yellow"/>
              </w:rPr>
            </w:pPr>
            <w:r>
              <w:rPr>
                <w:sz w:val="20"/>
              </w:rPr>
              <w:t>Once per request</w:t>
            </w:r>
          </w:p>
        </w:tc>
        <w:tc>
          <w:tcPr>
            <w:tcW w:w="180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7C1DF3">
            <w:pPr>
              <w:spacing w:after="0" w:line="240" w:lineRule="auto"/>
              <w:rPr>
                <w:sz w:val="20"/>
                <w:highlight w:val="yellow"/>
              </w:rPr>
            </w:pPr>
            <w:r w:rsidRPr="007C1DF3">
              <w:rPr>
                <w:sz w:val="20"/>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7C1DF3">
            <w:pPr>
              <w:tabs>
                <w:tab w:val="left" w:pos="-1080"/>
                <w:tab w:val="left" w:pos="-720"/>
                <w:tab w:val="left" w:pos="0"/>
                <w:tab w:val="left" w:pos="450"/>
                <w:tab w:val="left" w:pos="720"/>
                <w:tab w:val="left" w:pos="2160"/>
              </w:tabs>
              <w:spacing w:after="0" w:line="240" w:lineRule="auto"/>
              <w:jc w:val="center"/>
              <w:rPr>
                <w:sz w:val="20"/>
                <w:highlight w:val="yellow"/>
              </w:rPr>
            </w:pPr>
            <w:r w:rsidRPr="007C1DF3">
              <w:rPr>
                <w:sz w:val="20"/>
              </w:rPr>
              <w:t>150</w:t>
            </w:r>
          </w:p>
        </w:tc>
      </w:tr>
      <w:tr w:rsidR="00C15EAA">
        <w:tc>
          <w:tcPr>
            <w:tcW w:w="2880" w:type="dxa"/>
            <w:tcBorders>
              <w:top w:val="single" w:sz="7" w:space="0" w:color="000000"/>
              <w:left w:val="single" w:sz="7" w:space="0" w:color="000000"/>
              <w:bottom w:val="single" w:sz="7" w:space="0" w:color="000000"/>
              <w:right w:val="single" w:sz="6" w:space="0" w:color="FFFFFF"/>
            </w:tcBorders>
          </w:tcPr>
          <w:p w:rsidR="00C15EAA" w:rsidRPr="00C15EAA" w:rsidRDefault="00C15EAA">
            <w:pPr>
              <w:spacing w:after="0" w:line="240" w:lineRule="auto"/>
              <w:rPr>
                <w:b/>
                <w:sz w:val="20"/>
              </w:rPr>
            </w:pPr>
            <w:r w:rsidRPr="00C15EAA">
              <w:rPr>
                <w:b/>
                <w:sz w:val="20"/>
              </w:rPr>
              <w:t>Total</w:t>
            </w:r>
          </w:p>
        </w:tc>
        <w:tc>
          <w:tcPr>
            <w:tcW w:w="1710" w:type="dxa"/>
            <w:tcBorders>
              <w:top w:val="single" w:sz="7" w:space="0" w:color="000000"/>
              <w:left w:val="single" w:sz="7" w:space="0" w:color="000000"/>
              <w:bottom w:val="single" w:sz="7" w:space="0" w:color="000000"/>
              <w:right w:val="single" w:sz="6" w:space="0" w:color="FFFFFF"/>
            </w:tcBorders>
          </w:tcPr>
          <w:p w:rsidR="00C15EAA" w:rsidRPr="00C15EAA" w:rsidRDefault="00C15EAA">
            <w:pPr>
              <w:spacing w:after="0" w:line="240" w:lineRule="auto"/>
              <w:rPr>
                <w:b/>
                <w:sz w:val="20"/>
              </w:rPr>
            </w:pPr>
            <w:r w:rsidRPr="00C15EAA">
              <w:rPr>
                <w:b/>
                <w:sz w:val="20"/>
              </w:rPr>
              <w:t>10,000</w:t>
            </w:r>
          </w:p>
        </w:tc>
        <w:tc>
          <w:tcPr>
            <w:tcW w:w="1710" w:type="dxa"/>
            <w:tcBorders>
              <w:top w:val="single" w:sz="7" w:space="0" w:color="000000"/>
              <w:left w:val="single" w:sz="7" w:space="0" w:color="000000"/>
              <w:bottom w:val="single" w:sz="7" w:space="0" w:color="000000"/>
              <w:right w:val="single" w:sz="6" w:space="0" w:color="FFFFFF"/>
            </w:tcBorders>
          </w:tcPr>
          <w:p w:rsidR="00C15EAA" w:rsidRPr="00C15EAA" w:rsidRDefault="00C15EAA">
            <w:pPr>
              <w:spacing w:after="0" w:line="240" w:lineRule="auto"/>
              <w:rPr>
                <w:b/>
                <w:sz w:val="20"/>
                <w:highlight w:val="yellow"/>
              </w:rPr>
            </w:pPr>
          </w:p>
        </w:tc>
        <w:tc>
          <w:tcPr>
            <w:tcW w:w="1800" w:type="dxa"/>
            <w:tcBorders>
              <w:top w:val="single" w:sz="7" w:space="0" w:color="000000"/>
              <w:left w:val="single" w:sz="7" w:space="0" w:color="000000"/>
              <w:bottom w:val="single" w:sz="7" w:space="0" w:color="000000"/>
              <w:right w:val="single" w:sz="6" w:space="0" w:color="FFFFFF"/>
            </w:tcBorders>
          </w:tcPr>
          <w:p w:rsidR="00C15EAA" w:rsidRPr="00C15EAA" w:rsidRDefault="00C15EAA">
            <w:pPr>
              <w:spacing w:after="0" w:line="240" w:lineRule="auto"/>
              <w:rPr>
                <w:b/>
                <w:sz w:val="20"/>
                <w:highlight w:val="yellow"/>
              </w:rPr>
            </w:pPr>
          </w:p>
        </w:tc>
        <w:tc>
          <w:tcPr>
            <w:tcW w:w="1260" w:type="dxa"/>
            <w:tcBorders>
              <w:top w:val="single" w:sz="7" w:space="0" w:color="000000"/>
              <w:left w:val="single" w:sz="7" w:space="0" w:color="000000"/>
              <w:bottom w:val="single" w:sz="7" w:space="0" w:color="000000"/>
              <w:right w:val="single" w:sz="7" w:space="0" w:color="000000"/>
            </w:tcBorders>
            <w:vAlign w:val="bottom"/>
          </w:tcPr>
          <w:p w:rsidR="00C15EAA" w:rsidRPr="00C15EAA" w:rsidRDefault="00C15EAA">
            <w:pPr>
              <w:tabs>
                <w:tab w:val="left" w:pos="-1080"/>
                <w:tab w:val="left" w:pos="-720"/>
                <w:tab w:val="left" w:pos="0"/>
                <w:tab w:val="left" w:pos="450"/>
                <w:tab w:val="left" w:pos="720"/>
                <w:tab w:val="left" w:pos="2160"/>
              </w:tabs>
              <w:spacing w:after="0" w:line="240" w:lineRule="auto"/>
              <w:jc w:val="center"/>
              <w:rPr>
                <w:b/>
                <w:sz w:val="20"/>
              </w:rPr>
            </w:pPr>
            <w:r w:rsidRPr="00C15EAA">
              <w:rPr>
                <w:b/>
                <w:sz w:val="20"/>
              </w:rPr>
              <w:t>2,500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pPr>
        <w:pStyle w:val="ListParagraph"/>
        <w:spacing w:after="0" w:line="240" w:lineRule="auto"/>
        <w:ind w:left="0"/>
      </w:pPr>
      <w:r>
        <w:t xml:space="preserve">The anticipated cost to the Federal Government is </w:t>
      </w:r>
      <w:r w:rsidR="006C068A">
        <w:t xml:space="preserve">approximately </w:t>
      </w:r>
      <w:r>
        <w:t>$</w:t>
      </w:r>
      <w:r w:rsidR="007C1DF3">
        <w:t>80,000</w:t>
      </w:r>
      <w:r>
        <w:t xml:space="preserve"> annually.  These costs are comprised of:</w:t>
      </w:r>
      <w:r w:rsidR="00D64AAF" w:rsidRPr="007C1DF3">
        <w:t xml:space="preserve"> </w:t>
      </w:r>
      <w:r w:rsidR="007C1DF3" w:rsidRPr="007C1DF3">
        <w:t xml:space="preserve"> postage ($10,000), printing</w:t>
      </w:r>
      <w:r w:rsidR="007C1DF3">
        <w:t xml:space="preserve"> and </w:t>
      </w:r>
      <w:r w:rsidR="007C1DF3" w:rsidRPr="007C1DF3">
        <w:t>reproduction ($20,000), and TVA administrative and program support ($50,000).</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 xml:space="preserve">Not applicable.  This is a request for </w:t>
      </w:r>
      <w:r w:rsidR="00996049">
        <w:t>reinstatement of approval without change for the</w:t>
      </w:r>
      <w:r>
        <w:t xml:space="preserve">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Default="00982095" w:rsidP="007C1DF3"/>
    <w:sectPr w:rsidR="00982095"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3CD" w:rsidRDefault="00BC63CD">
      <w:pPr>
        <w:spacing w:after="0" w:line="240" w:lineRule="auto"/>
      </w:pPr>
      <w:r>
        <w:separator/>
      </w:r>
    </w:p>
  </w:endnote>
  <w:endnote w:type="continuationSeparator" w:id="0">
    <w:p w:rsidR="00BC63CD" w:rsidRDefault="00BC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3CD" w:rsidRDefault="00BC63CD">
      <w:pPr>
        <w:spacing w:after="0" w:line="240" w:lineRule="auto"/>
      </w:pPr>
      <w:r>
        <w:separator/>
      </w:r>
    </w:p>
  </w:footnote>
  <w:footnote w:type="continuationSeparator" w:id="0">
    <w:p w:rsidR="00BC63CD" w:rsidRDefault="00BC63CD">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332A8"/>
    <w:rsid w:val="00043B2E"/>
    <w:rsid w:val="00066515"/>
    <w:rsid w:val="000A410F"/>
    <w:rsid w:val="000B188A"/>
    <w:rsid w:val="000B4026"/>
    <w:rsid w:val="000C0A7E"/>
    <w:rsid w:val="00120A60"/>
    <w:rsid w:val="00153E20"/>
    <w:rsid w:val="001628A1"/>
    <w:rsid w:val="00172EEC"/>
    <w:rsid w:val="001A1E1C"/>
    <w:rsid w:val="001B43EE"/>
    <w:rsid w:val="001B5644"/>
    <w:rsid w:val="001E44AB"/>
    <w:rsid w:val="001E7A97"/>
    <w:rsid w:val="001F7BC9"/>
    <w:rsid w:val="00256D0E"/>
    <w:rsid w:val="0029408A"/>
    <w:rsid w:val="002A35E6"/>
    <w:rsid w:val="002B0B32"/>
    <w:rsid w:val="00324AF8"/>
    <w:rsid w:val="00336169"/>
    <w:rsid w:val="00377B51"/>
    <w:rsid w:val="003A2F20"/>
    <w:rsid w:val="003A7A16"/>
    <w:rsid w:val="003E339C"/>
    <w:rsid w:val="003F5F2D"/>
    <w:rsid w:val="00404071"/>
    <w:rsid w:val="0044553C"/>
    <w:rsid w:val="00460EB1"/>
    <w:rsid w:val="00474C83"/>
    <w:rsid w:val="004970C8"/>
    <w:rsid w:val="004A1CF9"/>
    <w:rsid w:val="00513A34"/>
    <w:rsid w:val="005362FC"/>
    <w:rsid w:val="00562B18"/>
    <w:rsid w:val="00571BDB"/>
    <w:rsid w:val="00572831"/>
    <w:rsid w:val="005A10E3"/>
    <w:rsid w:val="005E5A3B"/>
    <w:rsid w:val="00607287"/>
    <w:rsid w:val="006656C5"/>
    <w:rsid w:val="0067270D"/>
    <w:rsid w:val="006B2FF7"/>
    <w:rsid w:val="006C068A"/>
    <w:rsid w:val="00701CF7"/>
    <w:rsid w:val="00731D48"/>
    <w:rsid w:val="00737F44"/>
    <w:rsid w:val="00741DE1"/>
    <w:rsid w:val="0074733F"/>
    <w:rsid w:val="00783842"/>
    <w:rsid w:val="007903D0"/>
    <w:rsid w:val="007A268D"/>
    <w:rsid w:val="007C1DF3"/>
    <w:rsid w:val="007E102D"/>
    <w:rsid w:val="00834744"/>
    <w:rsid w:val="00894356"/>
    <w:rsid w:val="008A6FC5"/>
    <w:rsid w:val="008F21DF"/>
    <w:rsid w:val="00914716"/>
    <w:rsid w:val="00915BDA"/>
    <w:rsid w:val="00982095"/>
    <w:rsid w:val="00996049"/>
    <w:rsid w:val="009B5B58"/>
    <w:rsid w:val="009E75C8"/>
    <w:rsid w:val="00A12AC9"/>
    <w:rsid w:val="00A52F7E"/>
    <w:rsid w:val="00A666FD"/>
    <w:rsid w:val="00A96367"/>
    <w:rsid w:val="00AA3F96"/>
    <w:rsid w:val="00AC207F"/>
    <w:rsid w:val="00AC2497"/>
    <w:rsid w:val="00AF55E9"/>
    <w:rsid w:val="00BA1806"/>
    <w:rsid w:val="00BC63CD"/>
    <w:rsid w:val="00BD13BB"/>
    <w:rsid w:val="00BE0599"/>
    <w:rsid w:val="00BF2E89"/>
    <w:rsid w:val="00BF7558"/>
    <w:rsid w:val="00C15EAA"/>
    <w:rsid w:val="00C200D1"/>
    <w:rsid w:val="00C61970"/>
    <w:rsid w:val="00C62FA2"/>
    <w:rsid w:val="00CC2FDD"/>
    <w:rsid w:val="00D30F06"/>
    <w:rsid w:val="00D64405"/>
    <w:rsid w:val="00D64AAF"/>
    <w:rsid w:val="00D93FE0"/>
    <w:rsid w:val="00DA3831"/>
    <w:rsid w:val="00DA3AFF"/>
    <w:rsid w:val="00DE07E7"/>
    <w:rsid w:val="00E61CEE"/>
    <w:rsid w:val="00EB2D61"/>
    <w:rsid w:val="00F15BAA"/>
    <w:rsid w:val="00F203D5"/>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5928B-4A31-4147-A67D-541824911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1580</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Winter, Mark R</dc:creator>
  <cp:lastModifiedBy>SYSTEM</cp:lastModifiedBy>
  <cp:revision>2</cp:revision>
  <cp:lastPrinted>2010-10-14T15:18:00Z</cp:lastPrinted>
  <dcterms:created xsi:type="dcterms:W3CDTF">2019-11-08T16:15:00Z</dcterms:created>
  <dcterms:modified xsi:type="dcterms:W3CDTF">2019-11-08T16:15:00Z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