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BCB7D" w14:textId="6664775C" w:rsidR="003142F0" w:rsidRDefault="003142F0" w:rsidP="003142F0">
      <w:pPr>
        <w:pStyle w:val="CM12"/>
        <w:jc w:val="center"/>
        <w:rPr>
          <w:b/>
          <w:bCs/>
          <w:color w:val="000000"/>
        </w:rPr>
      </w:pPr>
      <w:bookmarkStart w:id="0" w:name="_GoBack"/>
      <w:bookmarkEnd w:id="0"/>
      <w:r w:rsidRPr="00DC3E30">
        <w:rPr>
          <w:b/>
          <w:bCs/>
          <w:color w:val="000000"/>
        </w:rPr>
        <w:t>BUREAU OF CONSUMER FINANCIAL PROTECTION</w:t>
      </w:r>
    </w:p>
    <w:p w14:paraId="3743F62A" w14:textId="77777777" w:rsidR="008B0A42" w:rsidRPr="008B0A42" w:rsidRDefault="008B0A42" w:rsidP="008B0A42">
      <w:pPr>
        <w:pStyle w:val="Default"/>
      </w:pPr>
    </w:p>
    <w:p w14:paraId="135A4352" w14:textId="77777777" w:rsidR="003142F0" w:rsidRPr="00DC3E30" w:rsidRDefault="003142F0" w:rsidP="003142F0">
      <w:pPr>
        <w:pStyle w:val="CM12"/>
        <w:jc w:val="center"/>
        <w:rPr>
          <w:b/>
          <w:bCs/>
          <w:color w:val="000000"/>
        </w:rPr>
      </w:pPr>
      <w:r w:rsidRPr="00DC3E30">
        <w:rPr>
          <w:b/>
          <w:bCs/>
          <w:color w:val="000000"/>
        </w:rPr>
        <w:t>PAPERWORK REDUCTION ACT SUBMISSION</w:t>
      </w:r>
    </w:p>
    <w:p w14:paraId="08D54A27" w14:textId="77777777" w:rsidR="003142F0" w:rsidRPr="00DC3E30" w:rsidRDefault="003142F0" w:rsidP="003142F0">
      <w:pPr>
        <w:pStyle w:val="CM12"/>
        <w:jc w:val="center"/>
        <w:rPr>
          <w:b/>
          <w:bCs/>
          <w:color w:val="000000"/>
        </w:rPr>
      </w:pPr>
      <w:r w:rsidRPr="00DC3E30">
        <w:rPr>
          <w:b/>
          <w:bCs/>
          <w:color w:val="000000"/>
        </w:rPr>
        <w:t>INFORMATION COLLECTION REQUEST</w:t>
      </w:r>
    </w:p>
    <w:p w14:paraId="798A77D5" w14:textId="77777777" w:rsidR="003142F0" w:rsidRPr="00DC3E30" w:rsidRDefault="003142F0" w:rsidP="003142F0">
      <w:pPr>
        <w:pStyle w:val="CM12"/>
        <w:rPr>
          <w:b/>
          <w:bCs/>
          <w:color w:val="000000"/>
        </w:rPr>
      </w:pPr>
    </w:p>
    <w:p w14:paraId="50241306" w14:textId="77777777" w:rsidR="003142F0" w:rsidRPr="00DC3E30" w:rsidRDefault="003142F0" w:rsidP="003142F0">
      <w:pPr>
        <w:pStyle w:val="CM12"/>
        <w:jc w:val="center"/>
        <w:rPr>
          <w:b/>
          <w:bCs/>
          <w:color w:val="000000"/>
        </w:rPr>
      </w:pPr>
      <w:r w:rsidRPr="00DC3E30">
        <w:rPr>
          <w:b/>
          <w:bCs/>
          <w:color w:val="000000"/>
        </w:rPr>
        <w:t>SUPPORTING STATEMENT PART A</w:t>
      </w:r>
    </w:p>
    <w:p w14:paraId="12FAB5B5" w14:textId="77777777" w:rsidR="002D2F5F" w:rsidRDefault="002D2F5F" w:rsidP="0084450E">
      <w:pPr>
        <w:jc w:val="center"/>
        <w:rPr>
          <w:b/>
        </w:rPr>
      </w:pPr>
    </w:p>
    <w:p w14:paraId="3719A324" w14:textId="6975EDE5" w:rsidR="002D2F5F" w:rsidRDefault="00277EE1" w:rsidP="0084450E">
      <w:pPr>
        <w:jc w:val="center"/>
        <w:rPr>
          <w:b/>
        </w:rPr>
      </w:pPr>
      <w:r w:rsidRPr="00E108A1">
        <w:rPr>
          <w:b/>
        </w:rPr>
        <w:t>GENERIC INFORMATION COLLECTION PLAN FOR SURVEYS USING THE CONSUMER CREDIT PANEL</w:t>
      </w:r>
    </w:p>
    <w:p w14:paraId="6D94735E" w14:textId="77777777" w:rsidR="002D2F5F" w:rsidRDefault="002D2F5F" w:rsidP="0084450E">
      <w:pPr>
        <w:jc w:val="center"/>
        <w:rPr>
          <w:b/>
        </w:rPr>
      </w:pPr>
    </w:p>
    <w:p w14:paraId="731ACE70" w14:textId="6DCD1027" w:rsidR="0084450E" w:rsidRDefault="002D2F5F" w:rsidP="003A3C3F">
      <w:pPr>
        <w:pBdr>
          <w:bottom w:val="single" w:sz="6" w:space="1" w:color="auto"/>
        </w:pBdr>
        <w:jc w:val="center"/>
        <w:rPr>
          <w:b/>
        </w:rPr>
      </w:pPr>
      <w:r w:rsidRPr="0084450E">
        <w:rPr>
          <w:b/>
        </w:rPr>
        <w:t xml:space="preserve"> </w:t>
      </w:r>
      <w:r w:rsidR="0084450E" w:rsidRPr="0084450E">
        <w:rPr>
          <w:b/>
        </w:rPr>
        <w:t>(OMB C</w:t>
      </w:r>
      <w:r>
        <w:rPr>
          <w:b/>
        </w:rPr>
        <w:t>ONTROL NUMBER</w:t>
      </w:r>
      <w:r w:rsidR="0084450E" w:rsidRPr="0084450E">
        <w:rPr>
          <w:b/>
        </w:rPr>
        <w:t>:  3170-</w:t>
      </w:r>
      <w:r w:rsidR="00955BA3">
        <w:rPr>
          <w:b/>
        </w:rPr>
        <w:t>0066)</w:t>
      </w:r>
    </w:p>
    <w:p w14:paraId="666E911A" w14:textId="77777777" w:rsidR="0084450E" w:rsidRDefault="0084450E" w:rsidP="0084450E"/>
    <w:p w14:paraId="3AC17A5F" w14:textId="066AA3EB" w:rsidR="0084450E" w:rsidRDefault="003142F0" w:rsidP="00F835B3">
      <w:pPr>
        <w:spacing w:line="360" w:lineRule="auto"/>
      </w:pPr>
      <w:r w:rsidRPr="00B91887">
        <w:rPr>
          <w:b/>
        </w:rPr>
        <w:t>TERMS OF CLEARANCE</w:t>
      </w:r>
      <w:r>
        <w:t xml:space="preserve">: </w:t>
      </w:r>
      <w:r w:rsidR="00277EE1">
        <w:t>When OMB last approved this request on 10/20/2016 they added the following Term of Clearance:</w:t>
      </w:r>
      <w:r w:rsidR="00277EE1" w:rsidRPr="00277EE1">
        <w:t xml:space="preserve"> </w:t>
      </w:r>
      <w:r w:rsidR="00277EE1">
        <w:t xml:space="preserve">“The agency is required to display the OMB Control Number and inform respondents of its legal significance in accordance with 5 </w:t>
      </w:r>
      <w:r w:rsidR="00411912">
        <w:t>C.F.R.</w:t>
      </w:r>
      <w:r w:rsidR="00277EE1">
        <w:t xml:space="preserve"> 1320.5(b).” </w:t>
      </w:r>
      <w:r w:rsidR="00DA56E4">
        <w:t>The B</w:t>
      </w:r>
      <w:r w:rsidR="00277EE1">
        <w:t xml:space="preserve">ureau ensures that all collection instruments submitted under this plan have the appropriate </w:t>
      </w:r>
      <w:r w:rsidR="005E3BD5">
        <w:t>information displayed</w:t>
      </w:r>
      <w:r w:rsidR="00277EE1">
        <w:t>.</w:t>
      </w:r>
    </w:p>
    <w:p w14:paraId="2B8065E1" w14:textId="77777777" w:rsidR="003142F0" w:rsidRDefault="003142F0" w:rsidP="0084450E"/>
    <w:p w14:paraId="0F07CA71" w14:textId="09BC8FB2" w:rsidR="005E3BD5" w:rsidRDefault="0084450E" w:rsidP="001C2152">
      <w:pPr>
        <w:pStyle w:val="NoSpacing"/>
        <w:spacing w:line="360" w:lineRule="auto"/>
      </w:pPr>
      <w:r>
        <w:rPr>
          <w:b/>
        </w:rPr>
        <w:t xml:space="preserve">ABSTRACT:  </w:t>
      </w:r>
      <w:bookmarkStart w:id="1" w:name="_Hlk25302510"/>
      <w:r w:rsidR="00904E7E">
        <w:t>U</w:t>
      </w:r>
      <w:r w:rsidR="00904E7E" w:rsidRPr="00881678">
        <w:t>nder the Dodd-Frank Wall Street Reform and Consumer Protection Act</w:t>
      </w:r>
      <w:r w:rsidR="005E3BD5">
        <w:t xml:space="preserve"> (Dodd-Frank Act)</w:t>
      </w:r>
      <w:r w:rsidR="00904E7E" w:rsidRPr="00881678">
        <w:t xml:space="preserve">, the Consumer Financial Protection Bureau </w:t>
      </w:r>
      <w:r w:rsidR="005E3BD5">
        <w:t xml:space="preserve">(CFPB or </w:t>
      </w:r>
      <w:r w:rsidR="005E3BD5" w:rsidRPr="005E3BD5">
        <w:t>Bureau</w:t>
      </w:r>
      <w:r w:rsidR="005E3BD5">
        <w:t>)</w:t>
      </w:r>
      <w:r w:rsidR="005E3BD5" w:rsidRPr="005E3BD5">
        <w:t xml:space="preserve"> </w:t>
      </w:r>
      <w:r w:rsidR="00904E7E" w:rsidRPr="00881678">
        <w:t xml:space="preserve">is </w:t>
      </w:r>
      <w:r w:rsidR="008B4B06" w:rsidRPr="00881678">
        <w:t xml:space="preserve">charged </w:t>
      </w:r>
      <w:r w:rsidR="00904E7E" w:rsidRPr="00881678">
        <w:t xml:space="preserve">with researching, analyzing, and reporting on topics relating to the Bureau’s mission, including </w:t>
      </w:r>
      <w:r w:rsidR="008B4B06" w:rsidRPr="00881678">
        <w:t xml:space="preserve">consumer behavior, consumer awareness, and </w:t>
      </w:r>
      <w:r w:rsidR="00904E7E" w:rsidRPr="00881678">
        <w:t>developments in markets for consumer financial products and services</w:t>
      </w:r>
      <w:r w:rsidR="006E4207" w:rsidRPr="00881678">
        <w:t xml:space="preserve">.  In order to improve its understanding of how consumers engage with financial markets, the CFPB </w:t>
      </w:r>
      <w:r w:rsidR="002A0E9C">
        <w:t>has  used</w:t>
      </w:r>
      <w:r w:rsidR="002A0E9C" w:rsidRPr="00881678">
        <w:t xml:space="preserve"> </w:t>
      </w:r>
      <w:r w:rsidR="006E4207" w:rsidRPr="00881678">
        <w:t>the Consumer Credit Panel (CCP), a proprietary sample dataset from one of the national credit reporting agencies</w:t>
      </w:r>
      <w:r w:rsidR="00792868" w:rsidRPr="00881678">
        <w:t xml:space="preserve">, </w:t>
      </w:r>
      <w:r w:rsidR="00BE2074" w:rsidRPr="00881678">
        <w:t xml:space="preserve">as a frame </w:t>
      </w:r>
      <w:r w:rsidR="00792868" w:rsidRPr="00881678">
        <w:t>to survey people about their experiences in consumer credit markets</w:t>
      </w:r>
      <w:r w:rsidR="006E4207" w:rsidRPr="00881678">
        <w:t xml:space="preserve">.  </w:t>
      </w:r>
      <w:r w:rsidR="00904E7E" w:rsidRPr="00881678">
        <w:t xml:space="preserve">The Bureau seeks to obtain approval for a </w:t>
      </w:r>
      <w:r w:rsidR="003142F0" w:rsidRPr="00881678">
        <w:t>generic information collection plan</w:t>
      </w:r>
      <w:r w:rsidR="00792868" w:rsidRPr="00881678">
        <w:t xml:space="preserve"> for these types of surveys</w:t>
      </w:r>
      <w:r w:rsidR="00904E7E" w:rsidRPr="00881678">
        <w:t xml:space="preserve">.  </w:t>
      </w:r>
      <w:r w:rsidR="002A0E9C">
        <w:t>Surveys conducted under this generic information collection plan will support</w:t>
      </w:r>
      <w:r w:rsidR="003D1D83">
        <w:t xml:space="preserve"> the Bureau’s mission to conduct research in </w:t>
      </w:r>
      <w:r w:rsidR="00235BE6">
        <w:t xml:space="preserve">areas related to </w:t>
      </w:r>
      <w:r w:rsidR="003D1D83">
        <w:t xml:space="preserve">consumer finance including </w:t>
      </w:r>
      <w:r w:rsidR="002A0E9C">
        <w:t xml:space="preserve">research to </w:t>
      </w:r>
      <w:r w:rsidR="002E200F">
        <w:t>monitor developments in</w:t>
      </w:r>
      <w:r w:rsidR="002A0E9C">
        <w:t xml:space="preserve"> </w:t>
      </w:r>
      <w:r w:rsidR="002E200F">
        <w:t xml:space="preserve">consumers’ financial situations, related changes in their use of </w:t>
      </w:r>
      <w:r w:rsidR="002A0E9C">
        <w:t>financial products</w:t>
      </w:r>
      <w:r w:rsidR="002E200F">
        <w:t>, and the impacts that these decisions have on their balance sheets</w:t>
      </w:r>
      <w:r w:rsidR="00427844">
        <w:t xml:space="preserve">. </w:t>
      </w:r>
      <w:r w:rsidR="002A0E9C">
        <w:t xml:space="preserve">All research under this </w:t>
      </w:r>
      <w:r w:rsidR="00A83189">
        <w:t xml:space="preserve">plan </w:t>
      </w:r>
      <w:r w:rsidR="002A0E9C">
        <w:t>will be for</w:t>
      </w:r>
      <w:r w:rsidR="000B6936" w:rsidRPr="00881678">
        <w:t xml:space="preserve"> general, </w:t>
      </w:r>
      <w:r w:rsidR="003142F0" w:rsidRPr="00881678">
        <w:t xml:space="preserve">formative, and </w:t>
      </w:r>
      <w:r w:rsidR="000B6936" w:rsidRPr="00881678">
        <w:t>informational research on consumer financial markets and consumers’ use of financial products and</w:t>
      </w:r>
      <w:r w:rsidR="00904E7E" w:rsidRPr="00881678">
        <w:t xml:space="preserve"> will not directly provide the basis for specific policymaking at the Bureau.</w:t>
      </w:r>
      <w:r w:rsidR="001C2152">
        <w:t xml:space="preserve"> The CFPB requests approval from the Office of Management and Budget (OMB) for a generic information </w:t>
      </w:r>
      <w:r w:rsidR="001C2152">
        <w:lastRenderedPageBreak/>
        <w:t>collection plan which will allow the Bureau to collect data by administering surveys which use the CCP as a survey frame.</w:t>
      </w:r>
    </w:p>
    <w:bookmarkEnd w:id="1"/>
    <w:p w14:paraId="2A66C7FE" w14:textId="77777777" w:rsidR="005E097B" w:rsidRDefault="005E097B" w:rsidP="0084450E">
      <w:pPr>
        <w:rPr>
          <w:b/>
          <w:u w:val="single"/>
        </w:rPr>
      </w:pPr>
    </w:p>
    <w:p w14:paraId="1BA9F300" w14:textId="5453B580" w:rsidR="0084450E" w:rsidRPr="0084450E" w:rsidRDefault="0084450E" w:rsidP="0084450E">
      <w:pPr>
        <w:rPr>
          <w:b/>
          <w:u w:val="single"/>
        </w:rPr>
      </w:pPr>
      <w:r w:rsidRPr="0084450E">
        <w:rPr>
          <w:b/>
          <w:u w:val="single"/>
        </w:rPr>
        <w:t>JUSTIFICATION</w:t>
      </w:r>
    </w:p>
    <w:p w14:paraId="61DC0869" w14:textId="77777777" w:rsidR="0084450E" w:rsidRDefault="0084450E" w:rsidP="0084450E">
      <w:pPr>
        <w:rPr>
          <w:b/>
        </w:rPr>
      </w:pPr>
    </w:p>
    <w:p w14:paraId="513B93F0" w14:textId="77777777" w:rsidR="0084450E" w:rsidRPr="0084450E" w:rsidRDefault="0084450E" w:rsidP="0084450E">
      <w:pPr>
        <w:rPr>
          <w:b/>
        </w:rPr>
      </w:pPr>
      <w:r w:rsidRPr="0084450E">
        <w:rPr>
          <w:b/>
        </w:rPr>
        <w:t>1.</w:t>
      </w:r>
      <w:r>
        <w:rPr>
          <w:b/>
        </w:rPr>
        <w:t xml:space="preserve">  </w:t>
      </w:r>
      <w:r w:rsidRPr="0084450E">
        <w:rPr>
          <w:b/>
          <w:u w:val="single"/>
        </w:rPr>
        <w:t>Circumstances Necessitating the Data Collection</w:t>
      </w:r>
    </w:p>
    <w:p w14:paraId="75A73853" w14:textId="77777777" w:rsidR="00881678" w:rsidRDefault="00881678" w:rsidP="00881678">
      <w:pPr>
        <w:spacing w:line="360" w:lineRule="auto"/>
      </w:pPr>
    </w:p>
    <w:p w14:paraId="2B28B5B3" w14:textId="4260B8BE" w:rsidR="00156225" w:rsidRDefault="002174D6" w:rsidP="00881678">
      <w:pPr>
        <w:spacing w:line="360" w:lineRule="auto"/>
        <w:ind w:firstLine="720"/>
      </w:pPr>
      <w:r>
        <w:t xml:space="preserve">Much of </w:t>
      </w:r>
      <w:r w:rsidR="005E3BD5">
        <w:t>CFPB</w:t>
      </w:r>
      <w:r>
        <w:t>’s mission focuse</w:t>
      </w:r>
      <w:r w:rsidR="008B4B06">
        <w:t>s</w:t>
      </w:r>
      <w:r>
        <w:t xml:space="preserve"> on understanding how consumer financial markets work, highlighting avenues for innovation in financial products and services, and identifying and mitigating potential risks to consumers.</w:t>
      </w:r>
      <w:r>
        <w:rPr>
          <w:rStyle w:val="FootnoteReference"/>
        </w:rPr>
        <w:footnoteReference w:id="1"/>
      </w:r>
      <w:r>
        <w:t xml:space="preserve"> The </w:t>
      </w:r>
      <w:r w:rsidR="005E3BD5">
        <w:t xml:space="preserve">Dodd-Frank Act </w:t>
      </w:r>
      <w:r>
        <w:t xml:space="preserve">authorizes the CFPB to engage in research and market monitoring activities to assess trends and </w:t>
      </w:r>
      <w:r w:rsidR="008B4B06">
        <w:t xml:space="preserve">to </w:t>
      </w:r>
      <w:r>
        <w:t xml:space="preserve">identify </w:t>
      </w:r>
      <w:r w:rsidR="003A3C3F">
        <w:t>emerging risks in consumer financial markets.</w:t>
      </w:r>
      <w:r w:rsidR="003A3C3F">
        <w:rPr>
          <w:rStyle w:val="FootnoteReference"/>
        </w:rPr>
        <w:footnoteReference w:id="2"/>
      </w:r>
      <w:r w:rsidR="009D3C51">
        <w:t xml:space="preserve">  Section 1013(b)(1) of the Dodd-Frank Act establishes the Office of Research </w:t>
      </w:r>
      <w:r w:rsidR="00590181">
        <w:t xml:space="preserve">for the purpose of </w:t>
      </w:r>
      <w:r w:rsidR="009D3C51">
        <w:t>researching, analyzing, and reporting on topics relat</w:t>
      </w:r>
      <w:r w:rsidR="00590181">
        <w:t>ed</w:t>
      </w:r>
      <w:r w:rsidR="009D3C51">
        <w:t xml:space="preserve"> to the Bureau’s mission, including </w:t>
      </w:r>
      <w:r w:rsidR="00590181">
        <w:t xml:space="preserve">consumer behavior, consumer awareness, and </w:t>
      </w:r>
      <w:r w:rsidR="009D3C51">
        <w:t xml:space="preserve">developments in markets for consumer financial products and services.  </w:t>
      </w:r>
      <w:r w:rsidR="00307669">
        <w:t xml:space="preserve">The Office of Research </w:t>
      </w:r>
      <w:r w:rsidR="00BA6A5F">
        <w:t>grounds its</w:t>
      </w:r>
      <w:r w:rsidR="00307669">
        <w:t xml:space="preserve"> understanding in these areas </w:t>
      </w:r>
      <w:r w:rsidR="00BA6A5F">
        <w:t xml:space="preserve">in </w:t>
      </w:r>
      <w:r w:rsidR="00307669">
        <w:t xml:space="preserve">rigorous </w:t>
      </w:r>
      <w:r w:rsidR="00BA6A5F">
        <w:t xml:space="preserve">empirical </w:t>
      </w:r>
      <w:r w:rsidR="00307669">
        <w:t>analyses that can</w:t>
      </w:r>
      <w:r w:rsidR="00BA6A5F">
        <w:t>, in turn,</w:t>
      </w:r>
      <w:r w:rsidR="00307669">
        <w:t xml:space="preserve"> be used to benefit consumers, businesses, researchers, </w:t>
      </w:r>
      <w:r w:rsidR="00A83189">
        <w:t>etc</w:t>
      </w:r>
      <w:r w:rsidR="00BA6420">
        <w:t>.</w:t>
      </w:r>
    </w:p>
    <w:p w14:paraId="53CF5D15" w14:textId="5CE9A981" w:rsidR="005A1EEA" w:rsidRDefault="00AD112F" w:rsidP="00881678">
      <w:pPr>
        <w:spacing w:line="360" w:lineRule="auto"/>
        <w:ind w:firstLine="720"/>
      </w:pPr>
      <w:r>
        <w:t xml:space="preserve">Developing a comprehensive understanding of </w:t>
      </w:r>
      <w:r w:rsidR="002E200F">
        <w:t xml:space="preserve">the evolution of </w:t>
      </w:r>
      <w:r>
        <w:t xml:space="preserve">consumers’ and households’ financial lives is one of </w:t>
      </w:r>
      <w:r w:rsidR="00343DF2">
        <w:t xml:space="preserve">the </w:t>
      </w:r>
      <w:r>
        <w:t xml:space="preserve">areas the Office of Research has identified as </w:t>
      </w:r>
      <w:r w:rsidR="00343DF2">
        <w:t xml:space="preserve">a </w:t>
      </w:r>
      <w:r>
        <w:t>research priorit</w:t>
      </w:r>
      <w:r w:rsidR="00343DF2">
        <w:t>y</w:t>
      </w:r>
      <w:r w:rsidR="00CF1B63">
        <w:t xml:space="preserve"> because of the need for </w:t>
      </w:r>
      <w:r w:rsidR="00B920C3">
        <w:t>foundational</w:t>
      </w:r>
      <w:r w:rsidR="00CF1B63">
        <w:t xml:space="preserve"> research</w:t>
      </w:r>
      <w:r>
        <w:t xml:space="preserve">.  </w:t>
      </w:r>
      <w:r w:rsidR="00BC138B">
        <w:t xml:space="preserve">This </w:t>
      </w:r>
      <w:r w:rsidR="00343DF2">
        <w:t xml:space="preserve">research agenda </w:t>
      </w:r>
      <w:r w:rsidR="00B920C3">
        <w:t xml:space="preserve">encompasses basic </w:t>
      </w:r>
      <w:r w:rsidR="00B920C3">
        <w:rPr>
          <w:rFonts w:cs="Times New Roman"/>
          <w:szCs w:val="24"/>
        </w:rPr>
        <w:t>research about consumer credit markets and household finance, rather than focus</w:t>
      </w:r>
      <w:r w:rsidR="002E200F">
        <w:rPr>
          <w:rFonts w:cs="Times New Roman"/>
          <w:szCs w:val="24"/>
        </w:rPr>
        <w:t>ing</w:t>
      </w:r>
      <w:r w:rsidR="00B920C3">
        <w:rPr>
          <w:rFonts w:cs="Times New Roman"/>
          <w:szCs w:val="24"/>
        </w:rPr>
        <w:t xml:space="preserve"> on a particular area of regulatory interest.</w:t>
      </w:r>
      <w:r w:rsidR="00BC138B">
        <w:t xml:space="preserve"> </w:t>
      </w:r>
      <w:r w:rsidR="00826FD5">
        <w:t xml:space="preserve">Research under this information collection will support this </w:t>
      </w:r>
      <w:r w:rsidR="00BA6420">
        <w:t>and similar foundational research</w:t>
      </w:r>
      <w:r w:rsidR="00632F54">
        <w:t xml:space="preserve"> as well as generally informing many other aspects of the Bureau’s work.  </w:t>
      </w:r>
      <w:r w:rsidR="00FC5B4B">
        <w:t xml:space="preserve">Such research also will </w:t>
      </w:r>
      <w:r w:rsidR="00CF1B63">
        <w:t xml:space="preserve">allow the Bureau to </w:t>
      </w:r>
      <w:r w:rsidR="00BC138B">
        <w:t xml:space="preserve">readily </w:t>
      </w:r>
      <w:r w:rsidR="00CF1B63">
        <w:t xml:space="preserve">identify </w:t>
      </w:r>
      <w:r w:rsidR="005A1EEA">
        <w:t xml:space="preserve">issues for future deeper study.  </w:t>
      </w:r>
    </w:p>
    <w:p w14:paraId="5532CC4A" w14:textId="38C0C098" w:rsidR="00E9791D" w:rsidRDefault="000B772C" w:rsidP="00826FD5">
      <w:pPr>
        <w:spacing w:line="360" w:lineRule="auto"/>
        <w:ind w:firstLine="720"/>
        <w:rPr>
          <w:color w:val="000000"/>
          <w:szCs w:val="24"/>
        </w:rPr>
      </w:pPr>
      <w:r>
        <w:lastRenderedPageBreak/>
        <w:t xml:space="preserve">The CFPB seeks to use this generic information collection </w:t>
      </w:r>
      <w:r w:rsidR="00A83189">
        <w:t xml:space="preserve">plan </w:t>
      </w:r>
      <w:r>
        <w:t xml:space="preserve">to survey </w:t>
      </w:r>
      <w:r w:rsidR="00B2376D">
        <w:t>consumers of financial products and services</w:t>
      </w:r>
      <w:r w:rsidR="00590181">
        <w:t xml:space="preserve"> based on credit records sampled from the CCP</w:t>
      </w:r>
      <w:r w:rsidR="00826FD5">
        <w:t xml:space="preserve"> in support of</w:t>
      </w:r>
      <w:r w:rsidR="00FD4C93">
        <w:t xml:space="preserve"> its</w:t>
      </w:r>
      <w:r w:rsidR="00235BE6">
        <w:t xml:space="preserve"> </w:t>
      </w:r>
      <w:r w:rsidR="005C4051">
        <w:t>research</w:t>
      </w:r>
      <w:r w:rsidR="00965FE5" w:rsidRPr="00360F33">
        <w:rPr>
          <w:szCs w:val="24"/>
        </w:rPr>
        <w:t>.</w:t>
      </w:r>
      <w:r w:rsidR="00DD6846">
        <w:rPr>
          <w:szCs w:val="24"/>
        </w:rPr>
        <w:t xml:space="preserve">  </w:t>
      </w:r>
      <w:r w:rsidR="00BC138B">
        <w:rPr>
          <w:szCs w:val="24"/>
        </w:rPr>
        <w:t xml:space="preserve">Because the Consumer Credit Panel includes extensive historical credit-record information, </w:t>
      </w:r>
      <w:r w:rsidR="006245A5">
        <w:rPr>
          <w:szCs w:val="24"/>
        </w:rPr>
        <w:t>s</w:t>
      </w:r>
      <w:r w:rsidR="00BC138B">
        <w:rPr>
          <w:szCs w:val="24"/>
        </w:rPr>
        <w:t xml:space="preserve">urveys based off the Consumer Credit Panel will be especially helpful in </w:t>
      </w:r>
      <w:r w:rsidR="00965FE5" w:rsidRPr="00360F33">
        <w:rPr>
          <w:color w:val="000000"/>
          <w:szCs w:val="24"/>
        </w:rPr>
        <w:t>understand</w:t>
      </w:r>
      <w:r w:rsidR="00BC138B">
        <w:rPr>
          <w:color w:val="000000"/>
          <w:szCs w:val="24"/>
        </w:rPr>
        <w:t>ing</w:t>
      </w:r>
      <w:r w:rsidR="00593FDA">
        <w:rPr>
          <w:color w:val="000000"/>
          <w:szCs w:val="24"/>
        </w:rPr>
        <w:t xml:space="preserve"> </w:t>
      </w:r>
      <w:r w:rsidR="00387290">
        <w:rPr>
          <w:color w:val="000000"/>
          <w:szCs w:val="24"/>
        </w:rPr>
        <w:t xml:space="preserve">how </w:t>
      </w:r>
      <w:r w:rsidR="00593FDA">
        <w:rPr>
          <w:color w:val="000000"/>
          <w:szCs w:val="24"/>
        </w:rPr>
        <w:t>household’s use of financial products and services evolve</w:t>
      </w:r>
      <w:r w:rsidR="00387290">
        <w:rPr>
          <w:color w:val="000000"/>
          <w:szCs w:val="24"/>
        </w:rPr>
        <w:t>.</w:t>
      </w:r>
      <w:r w:rsidR="00593FDA">
        <w:rPr>
          <w:color w:val="000000"/>
          <w:szCs w:val="24"/>
        </w:rPr>
        <w:t xml:space="preserve"> </w:t>
      </w:r>
      <w:r w:rsidR="00965FE5" w:rsidRPr="00360F33">
        <w:rPr>
          <w:color w:val="000000"/>
          <w:szCs w:val="24"/>
        </w:rPr>
        <w:t xml:space="preserve"> </w:t>
      </w:r>
      <w:r w:rsidR="00826FD5">
        <w:rPr>
          <w:color w:val="000000"/>
          <w:szCs w:val="24"/>
        </w:rPr>
        <w:t>T</w:t>
      </w:r>
      <w:r w:rsidR="00BC138B">
        <w:rPr>
          <w:color w:val="000000"/>
          <w:szCs w:val="24"/>
        </w:rPr>
        <w:t>he size of the CCP and auxiliary information it includes, such as estimated demographic information, will help in identifying specific subpopulations for whom obtaining or using a specific financial product may warrant deeper future research</w:t>
      </w:r>
      <w:r w:rsidR="00632F54">
        <w:rPr>
          <w:color w:val="000000"/>
          <w:szCs w:val="24"/>
        </w:rPr>
        <w:t xml:space="preserve"> and in generally informing other aspects of the Bureau’s work relating to those populations</w:t>
      </w:r>
      <w:r w:rsidR="00BC138B">
        <w:rPr>
          <w:color w:val="000000"/>
          <w:szCs w:val="24"/>
        </w:rPr>
        <w:t>.</w:t>
      </w:r>
      <w:r w:rsidR="0022532E">
        <w:rPr>
          <w:color w:val="000000"/>
          <w:szCs w:val="24"/>
        </w:rPr>
        <w:t xml:space="preserve"> </w:t>
      </w:r>
    </w:p>
    <w:p w14:paraId="18D40EAC" w14:textId="77777777" w:rsidR="00E9791D" w:rsidRDefault="00E9791D" w:rsidP="00360F33">
      <w:pPr>
        <w:spacing w:line="360" w:lineRule="auto"/>
        <w:ind w:firstLine="720"/>
        <w:rPr>
          <w:color w:val="000000"/>
          <w:szCs w:val="24"/>
        </w:rPr>
      </w:pPr>
    </w:p>
    <w:p w14:paraId="1A43A385" w14:textId="126E5183" w:rsidR="00352D0F" w:rsidRDefault="00352D0F" w:rsidP="00881678">
      <w:pPr>
        <w:spacing w:line="360" w:lineRule="auto"/>
        <w:ind w:firstLine="720"/>
        <w:rPr>
          <w:rFonts w:cs="Times New Roman"/>
          <w:szCs w:val="24"/>
        </w:rPr>
      </w:pPr>
      <w:r>
        <w:rPr>
          <w:rFonts w:cs="Times New Roman"/>
          <w:szCs w:val="24"/>
        </w:rPr>
        <w:t>When collecting</w:t>
      </w:r>
      <w:r w:rsidR="00FC5B4B">
        <w:rPr>
          <w:rFonts w:cs="Times New Roman"/>
          <w:szCs w:val="24"/>
        </w:rPr>
        <w:t xml:space="preserve">, maintaining, and using </w:t>
      </w:r>
      <w:r>
        <w:rPr>
          <w:rFonts w:cs="Times New Roman"/>
          <w:szCs w:val="24"/>
        </w:rPr>
        <w:t xml:space="preserve">information about consumer credit markets, the CFPB recognizes that there are privacy and data security risks.  </w:t>
      </w:r>
      <w:r w:rsidR="00FC5B4B">
        <w:rPr>
          <w:rFonts w:cs="Times New Roman"/>
          <w:szCs w:val="24"/>
        </w:rPr>
        <w:t xml:space="preserve">As outlined in this supporting statement, the </w:t>
      </w:r>
      <w:r>
        <w:rPr>
          <w:rFonts w:cs="Times New Roman"/>
          <w:szCs w:val="24"/>
        </w:rPr>
        <w:t xml:space="preserve">CFPB plans to mitigate these risks when collecting data </w:t>
      </w:r>
      <w:r w:rsidR="00FC5B4B">
        <w:rPr>
          <w:rFonts w:cs="Times New Roman"/>
          <w:szCs w:val="24"/>
        </w:rPr>
        <w:t xml:space="preserve">pursuant to this </w:t>
      </w:r>
      <w:r>
        <w:rPr>
          <w:rFonts w:cs="Times New Roman"/>
          <w:szCs w:val="24"/>
        </w:rPr>
        <w:t xml:space="preserve">generic </w:t>
      </w:r>
      <w:r w:rsidR="00A83189">
        <w:rPr>
          <w:rFonts w:cs="Times New Roman"/>
          <w:szCs w:val="24"/>
        </w:rPr>
        <w:t>information collection plan</w:t>
      </w:r>
      <w:r w:rsidR="00FC5B4B">
        <w:rPr>
          <w:rFonts w:cs="Times New Roman"/>
          <w:szCs w:val="24"/>
        </w:rPr>
        <w:t xml:space="preserve">.  </w:t>
      </w:r>
    </w:p>
    <w:p w14:paraId="2FE4E049" w14:textId="77777777" w:rsidR="00352D0F" w:rsidRPr="000D2649" w:rsidRDefault="00352D0F" w:rsidP="000D2649">
      <w:pPr>
        <w:spacing w:line="360" w:lineRule="auto"/>
        <w:ind w:left="720" w:firstLine="360"/>
        <w:rPr>
          <w:rFonts w:cs="Times New Roman"/>
          <w:szCs w:val="24"/>
        </w:rPr>
      </w:pPr>
    </w:p>
    <w:p w14:paraId="7A7D287B" w14:textId="77777777" w:rsidR="0084450E" w:rsidRDefault="0084450E" w:rsidP="0084450E"/>
    <w:p w14:paraId="2E870054" w14:textId="77777777" w:rsidR="0084450E" w:rsidRDefault="0084450E" w:rsidP="0084450E">
      <w:pPr>
        <w:rPr>
          <w:b/>
          <w:u w:val="single"/>
        </w:rPr>
      </w:pPr>
      <w:r w:rsidRPr="0084450E">
        <w:rPr>
          <w:b/>
        </w:rPr>
        <w:t xml:space="preserve">2.  </w:t>
      </w:r>
      <w:r w:rsidRPr="0084450E">
        <w:rPr>
          <w:b/>
          <w:u w:val="single"/>
        </w:rPr>
        <w:t>Use of the Information</w:t>
      </w:r>
    </w:p>
    <w:p w14:paraId="0C2463EC" w14:textId="77777777" w:rsidR="0084450E" w:rsidRDefault="0084450E" w:rsidP="0084450E"/>
    <w:p w14:paraId="6B19FA32" w14:textId="55F064CA" w:rsidR="007A3157" w:rsidRDefault="005F6D1A" w:rsidP="007A3157">
      <w:pPr>
        <w:spacing w:line="360" w:lineRule="auto"/>
        <w:ind w:firstLine="720"/>
        <w:rPr>
          <w:rFonts w:cs="Times New Roman"/>
          <w:szCs w:val="24"/>
        </w:rPr>
      </w:pPr>
      <w:r>
        <w:t>The</w:t>
      </w:r>
      <w:r w:rsidR="0060195E">
        <w:t xml:space="preserve"> Office of Research envisions a </w:t>
      </w:r>
      <w:r w:rsidR="00080142">
        <w:t>multifaceted set of data collection effo</w:t>
      </w:r>
      <w:r w:rsidR="007B0F70">
        <w:t>r</w:t>
      </w:r>
      <w:r w:rsidR="00080142">
        <w:t>ts</w:t>
      </w:r>
      <w:r w:rsidR="0060195E">
        <w:t xml:space="preserve">, and this generic clearance will </w:t>
      </w:r>
      <w:r w:rsidR="000B6936">
        <w:t>facilitate and expedite</w:t>
      </w:r>
      <w:r w:rsidR="0075725B">
        <w:t xml:space="preserve"> </w:t>
      </w:r>
      <w:r w:rsidR="0060195E">
        <w:t>monitor</w:t>
      </w:r>
      <w:r w:rsidR="0075725B">
        <w:t>ing</w:t>
      </w:r>
      <w:r w:rsidR="0060195E">
        <w:t xml:space="preserve"> and research </w:t>
      </w:r>
      <w:r w:rsidR="0075725B">
        <w:t xml:space="preserve">of </w:t>
      </w:r>
      <w:r w:rsidR="0060195E">
        <w:t>market developments</w:t>
      </w:r>
      <w:r w:rsidR="004D2EEC">
        <w:t xml:space="preserve">, by, for instance, conducting surveys of consumers shortly after they faced an economic shock or </w:t>
      </w:r>
      <w:r w:rsidR="00B920C3">
        <w:t xml:space="preserve">obtained a </w:t>
      </w:r>
      <w:r w:rsidR="004D2EEC">
        <w:t>new financial product</w:t>
      </w:r>
      <w:r w:rsidR="00B920C3">
        <w:t xml:space="preserve">. </w:t>
      </w:r>
      <w:r w:rsidR="004D2EEC">
        <w:t xml:space="preserve">Further, </w:t>
      </w:r>
      <w:r w:rsidR="004D2EEC">
        <w:rPr>
          <w:rFonts w:cs="Times New Roman"/>
          <w:szCs w:val="24"/>
        </w:rPr>
        <w:t>t</w:t>
      </w:r>
      <w:r w:rsidR="007B0F70">
        <w:rPr>
          <w:rFonts w:cs="Times New Roman"/>
          <w:szCs w:val="24"/>
        </w:rPr>
        <w:t>his generic clearance will allow the Bureau to conduct data collections which will achieve our research goals with the least amount of burden on the public while ensuring strong privacy and data protections throughout these projects.</w:t>
      </w:r>
    </w:p>
    <w:p w14:paraId="5EA04979" w14:textId="12D9B8CF" w:rsidR="007A3157" w:rsidRPr="007A3157" w:rsidRDefault="007A3157" w:rsidP="00E9791D">
      <w:pPr>
        <w:spacing w:line="360" w:lineRule="auto"/>
        <w:ind w:firstLine="720"/>
        <w:rPr>
          <w:rFonts w:cs="Times New Roman"/>
          <w:szCs w:val="24"/>
        </w:rPr>
      </w:pPr>
      <w:r>
        <w:t xml:space="preserve">The specific purpose of this generic clearance is for surveys relating to the Office of Research’s </w:t>
      </w:r>
      <w:r w:rsidR="00FD4C93">
        <w:t xml:space="preserve">research </w:t>
      </w:r>
      <w:r w:rsidR="00E474CE">
        <w:t>t</w:t>
      </w:r>
      <w:r>
        <w:t>o inform and advance scientific understanding of consumer credit markets and household finance</w:t>
      </w:r>
      <w:r w:rsidRPr="00360F33">
        <w:rPr>
          <w:szCs w:val="24"/>
        </w:rPr>
        <w:t xml:space="preserve">.  </w:t>
      </w:r>
      <w:r w:rsidRPr="00360F33">
        <w:rPr>
          <w:color w:val="000000"/>
          <w:szCs w:val="24"/>
        </w:rPr>
        <w:t>This research aims to help the Bureau and stakeholders better understand</w:t>
      </w:r>
      <w:r>
        <w:rPr>
          <w:color w:val="000000"/>
          <w:szCs w:val="24"/>
        </w:rPr>
        <w:t xml:space="preserve"> how consumer experiences</w:t>
      </w:r>
      <w:r w:rsidR="004D2EEC">
        <w:rPr>
          <w:color w:val="000000"/>
          <w:szCs w:val="24"/>
        </w:rPr>
        <w:t>, perceptions,</w:t>
      </w:r>
      <w:r>
        <w:rPr>
          <w:color w:val="000000"/>
          <w:szCs w:val="24"/>
        </w:rPr>
        <w:t xml:space="preserve"> and </w:t>
      </w:r>
      <w:r w:rsidR="004D2EEC">
        <w:rPr>
          <w:color w:val="000000"/>
          <w:szCs w:val="24"/>
        </w:rPr>
        <w:t xml:space="preserve">decisions </w:t>
      </w:r>
      <w:r>
        <w:rPr>
          <w:color w:val="000000"/>
          <w:szCs w:val="24"/>
        </w:rPr>
        <w:t xml:space="preserve">affect </w:t>
      </w:r>
      <w:r w:rsidR="004D2EEC">
        <w:rPr>
          <w:color w:val="000000"/>
          <w:szCs w:val="24"/>
        </w:rPr>
        <w:t>households’</w:t>
      </w:r>
      <w:r>
        <w:rPr>
          <w:color w:val="000000"/>
          <w:szCs w:val="24"/>
        </w:rPr>
        <w:t xml:space="preserve"> </w:t>
      </w:r>
      <w:r w:rsidR="00E474CE">
        <w:rPr>
          <w:color w:val="000000"/>
          <w:szCs w:val="24"/>
        </w:rPr>
        <w:t xml:space="preserve">financial </w:t>
      </w:r>
      <w:r w:rsidR="00FD4C93">
        <w:rPr>
          <w:color w:val="000000"/>
          <w:szCs w:val="24"/>
        </w:rPr>
        <w:t>situations</w:t>
      </w:r>
      <w:r w:rsidR="00E474CE">
        <w:rPr>
          <w:color w:val="000000"/>
          <w:szCs w:val="24"/>
        </w:rPr>
        <w:t xml:space="preserve">. </w:t>
      </w:r>
      <w:r w:rsidR="00E9791D">
        <w:t>These data collections will allow the CFPB to</w:t>
      </w:r>
      <w:r w:rsidR="00A46731">
        <w:t xml:space="preserve"> understand</w:t>
      </w:r>
      <w:r w:rsidR="00E9791D">
        <w:t xml:space="preserve"> how markets are evolving, and </w:t>
      </w:r>
      <w:r w:rsidR="00B920C3">
        <w:t xml:space="preserve">to </w:t>
      </w:r>
      <w:r w:rsidR="00E9791D">
        <w:t>discover problems or concerns</w:t>
      </w:r>
      <w:r w:rsidR="009B0538">
        <w:t xml:space="preserve">, providing opportunity for </w:t>
      </w:r>
      <w:r w:rsidR="004C7ED2">
        <w:t>further study with more targeted research projects</w:t>
      </w:r>
      <w:r w:rsidR="00E9791D">
        <w:t>.</w:t>
      </w:r>
    </w:p>
    <w:p w14:paraId="462F83CB" w14:textId="77777777" w:rsidR="007A3157" w:rsidRPr="008E3A4F" w:rsidRDefault="007A3157" w:rsidP="007A3157">
      <w:pPr>
        <w:spacing w:line="360" w:lineRule="auto"/>
        <w:ind w:firstLine="720"/>
      </w:pPr>
      <w:r w:rsidRPr="004271AA">
        <w:rPr>
          <w:bCs/>
          <w:color w:val="000000"/>
          <w:kern w:val="24"/>
          <w:szCs w:val="24"/>
        </w:rPr>
        <w:t xml:space="preserve">Surveys that are directly linked to the CCP are incredibly valuable to this research agenda because </w:t>
      </w:r>
      <w:r w:rsidR="004D2EEC">
        <w:rPr>
          <w:bCs/>
          <w:color w:val="000000"/>
          <w:kern w:val="24"/>
          <w:szCs w:val="24"/>
        </w:rPr>
        <w:t xml:space="preserve">the CCP provides extensive longitudinal data on households’ liabilities and their credit score—a key measure of creditworthiness as perceived by lenders. Surveys linked to the CCP </w:t>
      </w:r>
      <w:r w:rsidRPr="004271AA">
        <w:rPr>
          <w:bCs/>
          <w:color w:val="000000"/>
          <w:kern w:val="24"/>
          <w:szCs w:val="24"/>
        </w:rPr>
        <w:t xml:space="preserve">can </w:t>
      </w:r>
      <w:r w:rsidR="004D2EEC">
        <w:rPr>
          <w:bCs/>
          <w:color w:val="000000"/>
          <w:kern w:val="24"/>
          <w:szCs w:val="24"/>
        </w:rPr>
        <w:t xml:space="preserve">provide information </w:t>
      </w:r>
      <w:r w:rsidRPr="004271AA">
        <w:rPr>
          <w:bCs/>
          <w:color w:val="000000"/>
          <w:kern w:val="24"/>
          <w:szCs w:val="24"/>
        </w:rPr>
        <w:t>about household</w:t>
      </w:r>
      <w:r w:rsidR="004D2EEC">
        <w:rPr>
          <w:bCs/>
          <w:color w:val="000000"/>
          <w:kern w:val="24"/>
          <w:szCs w:val="24"/>
        </w:rPr>
        <w:t xml:space="preserve">s’ balance sheets, perceptions, </w:t>
      </w:r>
      <w:r w:rsidRPr="004271AA">
        <w:rPr>
          <w:bCs/>
          <w:color w:val="000000"/>
          <w:kern w:val="24"/>
          <w:szCs w:val="24"/>
        </w:rPr>
        <w:t>behaviors</w:t>
      </w:r>
      <w:r w:rsidR="004D2EEC">
        <w:rPr>
          <w:bCs/>
          <w:color w:val="000000"/>
          <w:kern w:val="24"/>
          <w:szCs w:val="24"/>
        </w:rPr>
        <w:t>,</w:t>
      </w:r>
      <w:r w:rsidRPr="004271AA">
        <w:rPr>
          <w:bCs/>
          <w:color w:val="000000"/>
          <w:kern w:val="24"/>
          <w:szCs w:val="24"/>
        </w:rPr>
        <w:t xml:space="preserve"> and experiences</w:t>
      </w:r>
      <w:r w:rsidR="00DC78A4">
        <w:rPr>
          <w:bCs/>
          <w:color w:val="000000"/>
          <w:kern w:val="24"/>
          <w:szCs w:val="24"/>
        </w:rPr>
        <w:t>, such</w:t>
      </w:r>
      <w:r w:rsidRPr="004271AA">
        <w:rPr>
          <w:bCs/>
          <w:color w:val="000000"/>
          <w:kern w:val="24"/>
          <w:szCs w:val="24"/>
        </w:rPr>
        <w:t xml:space="preserve"> as </w:t>
      </w:r>
      <w:r w:rsidR="004D2EEC">
        <w:rPr>
          <w:bCs/>
          <w:color w:val="000000"/>
          <w:kern w:val="24"/>
          <w:szCs w:val="24"/>
        </w:rPr>
        <w:t xml:space="preserve">ownership and values of various </w:t>
      </w:r>
      <w:r w:rsidRPr="004271AA">
        <w:rPr>
          <w:bCs/>
          <w:color w:val="000000"/>
          <w:kern w:val="24"/>
          <w:szCs w:val="24"/>
        </w:rPr>
        <w:t>assets (</w:t>
      </w:r>
      <w:r w:rsidR="004D2EEC">
        <w:rPr>
          <w:bCs/>
          <w:color w:val="000000"/>
          <w:kern w:val="24"/>
          <w:szCs w:val="24"/>
        </w:rPr>
        <w:t xml:space="preserve">homes, </w:t>
      </w:r>
      <w:r w:rsidRPr="004271AA">
        <w:rPr>
          <w:bCs/>
          <w:color w:val="000000"/>
          <w:kern w:val="24"/>
          <w:szCs w:val="24"/>
        </w:rPr>
        <w:t>savings accounts, etc), income, expenditures</w:t>
      </w:r>
      <w:r w:rsidR="004D2EEC">
        <w:rPr>
          <w:bCs/>
          <w:color w:val="000000"/>
          <w:kern w:val="24"/>
          <w:szCs w:val="24"/>
        </w:rPr>
        <w:t>, and economic shocks</w:t>
      </w:r>
      <w:r w:rsidRPr="004271AA">
        <w:rPr>
          <w:bCs/>
          <w:color w:val="000000"/>
          <w:kern w:val="24"/>
          <w:szCs w:val="24"/>
        </w:rPr>
        <w:t xml:space="preserve">. </w:t>
      </w:r>
    </w:p>
    <w:p w14:paraId="27DFDE9C" w14:textId="77777777" w:rsidR="007A3157" w:rsidRDefault="007A3157" w:rsidP="007A3157">
      <w:pPr>
        <w:spacing w:line="276" w:lineRule="auto"/>
        <w:rPr>
          <w:bCs/>
          <w:color w:val="000000"/>
          <w:kern w:val="24"/>
          <w:sz w:val="22"/>
        </w:rPr>
      </w:pPr>
    </w:p>
    <w:p w14:paraId="526BD4AC" w14:textId="34A65023" w:rsidR="007A3157" w:rsidRPr="00CC04FB" w:rsidRDefault="007A3157" w:rsidP="007A3157">
      <w:pPr>
        <w:spacing w:line="276" w:lineRule="auto"/>
        <w:rPr>
          <w:b/>
          <w:bCs/>
          <w:color w:val="000000"/>
          <w:kern w:val="24"/>
          <w:szCs w:val="24"/>
        </w:rPr>
      </w:pPr>
      <w:r w:rsidRPr="00CC04FB">
        <w:rPr>
          <w:bCs/>
          <w:color w:val="000000"/>
          <w:kern w:val="24"/>
          <w:szCs w:val="24"/>
        </w:rPr>
        <w:t>We are considering four key research questions</w:t>
      </w:r>
      <w:r w:rsidR="00E474CE">
        <w:rPr>
          <w:bCs/>
          <w:color w:val="000000"/>
          <w:kern w:val="24"/>
          <w:szCs w:val="24"/>
        </w:rPr>
        <w:t xml:space="preserve"> as part of </w:t>
      </w:r>
      <w:r w:rsidR="00690444">
        <w:rPr>
          <w:bCs/>
          <w:color w:val="000000"/>
          <w:kern w:val="24"/>
          <w:szCs w:val="24"/>
        </w:rPr>
        <w:t>its broader</w:t>
      </w:r>
      <w:r w:rsidR="00E474CE">
        <w:rPr>
          <w:bCs/>
          <w:color w:val="000000"/>
          <w:kern w:val="24"/>
          <w:szCs w:val="24"/>
        </w:rPr>
        <w:t xml:space="preserve"> research agenda</w:t>
      </w:r>
      <w:r w:rsidRPr="00CC04FB">
        <w:rPr>
          <w:bCs/>
          <w:color w:val="000000"/>
          <w:kern w:val="24"/>
          <w:szCs w:val="24"/>
        </w:rPr>
        <w:t>:</w:t>
      </w:r>
    </w:p>
    <w:p w14:paraId="0DCAA7B3" w14:textId="77777777" w:rsidR="007A3157" w:rsidRPr="00CC04FB" w:rsidRDefault="007A3157" w:rsidP="007A3157">
      <w:pPr>
        <w:spacing w:line="276" w:lineRule="auto"/>
        <w:rPr>
          <w:bCs/>
          <w:color w:val="000000"/>
          <w:kern w:val="24"/>
          <w:szCs w:val="24"/>
        </w:rPr>
      </w:pPr>
    </w:p>
    <w:p w14:paraId="32903001" w14:textId="77777777" w:rsidR="007A3157" w:rsidRPr="00CC04FB" w:rsidRDefault="007A3157" w:rsidP="007A3157">
      <w:pPr>
        <w:numPr>
          <w:ilvl w:val="0"/>
          <w:numId w:val="7"/>
        </w:numPr>
        <w:spacing w:line="276" w:lineRule="auto"/>
        <w:rPr>
          <w:bCs/>
          <w:color w:val="000000"/>
          <w:kern w:val="24"/>
          <w:szCs w:val="24"/>
        </w:rPr>
      </w:pPr>
      <w:r w:rsidRPr="00CC04FB">
        <w:rPr>
          <w:b/>
          <w:bCs/>
          <w:color w:val="000000"/>
          <w:kern w:val="24"/>
          <w:szCs w:val="24"/>
        </w:rPr>
        <w:t>Path dependence</w:t>
      </w:r>
      <w:r w:rsidRPr="00CC04FB">
        <w:rPr>
          <w:bCs/>
          <w:color w:val="000000"/>
          <w:kern w:val="24"/>
          <w:szCs w:val="24"/>
        </w:rPr>
        <w:t xml:space="preserve">: The financial decisions made by households today (or in prior years) may have ramifications that last for years, or indeed for a lifetime.  This part of the agenda </w:t>
      </w:r>
      <w:r>
        <w:rPr>
          <w:bCs/>
          <w:color w:val="000000"/>
          <w:kern w:val="24"/>
          <w:szCs w:val="24"/>
        </w:rPr>
        <w:t>seeks to develop</w:t>
      </w:r>
      <w:r w:rsidRPr="00CC04FB">
        <w:rPr>
          <w:bCs/>
          <w:color w:val="000000"/>
          <w:kern w:val="24"/>
          <w:szCs w:val="24"/>
        </w:rPr>
        <w:t xml:space="preserve"> a better understanding of how specific behaviors affect subsequent outcomes.</w:t>
      </w:r>
    </w:p>
    <w:p w14:paraId="608E761F" w14:textId="77777777" w:rsidR="007A3157" w:rsidRPr="00CC04FB" w:rsidRDefault="007A3157" w:rsidP="007A3157">
      <w:pPr>
        <w:spacing w:line="276" w:lineRule="auto"/>
        <w:rPr>
          <w:bCs/>
          <w:color w:val="000000"/>
          <w:kern w:val="24"/>
          <w:szCs w:val="24"/>
        </w:rPr>
      </w:pPr>
    </w:p>
    <w:p w14:paraId="54566258" w14:textId="77777777" w:rsidR="007A3157" w:rsidRPr="00CC04FB" w:rsidRDefault="007A3157" w:rsidP="007A3157">
      <w:pPr>
        <w:numPr>
          <w:ilvl w:val="0"/>
          <w:numId w:val="7"/>
        </w:numPr>
        <w:spacing w:line="276" w:lineRule="auto"/>
        <w:rPr>
          <w:bCs/>
          <w:color w:val="000000"/>
          <w:kern w:val="24"/>
          <w:szCs w:val="24"/>
        </w:rPr>
      </w:pPr>
      <w:r w:rsidRPr="00CC04FB">
        <w:rPr>
          <w:b/>
          <w:bCs/>
          <w:color w:val="000000"/>
          <w:kern w:val="24"/>
          <w:szCs w:val="24"/>
        </w:rPr>
        <w:t>Persistence</w:t>
      </w:r>
      <w:r w:rsidRPr="00CC04FB">
        <w:rPr>
          <w:bCs/>
          <w:color w:val="000000"/>
          <w:kern w:val="24"/>
          <w:szCs w:val="24"/>
        </w:rPr>
        <w:t xml:space="preserve">.  External shocks also affect the dynamics of household balance sheets.  Because the necessary data have never before been available, very little is known about the persistence of these effects over time.  </w:t>
      </w:r>
      <w:r w:rsidR="00A46731">
        <w:rPr>
          <w:bCs/>
          <w:color w:val="000000"/>
          <w:kern w:val="24"/>
          <w:szCs w:val="24"/>
        </w:rPr>
        <w:t>For example, a</w:t>
      </w:r>
      <w:r w:rsidR="00A46731" w:rsidRPr="00CC04FB">
        <w:rPr>
          <w:bCs/>
          <w:color w:val="000000"/>
          <w:kern w:val="24"/>
          <w:szCs w:val="24"/>
        </w:rPr>
        <w:t xml:space="preserve">re </w:t>
      </w:r>
      <w:r w:rsidRPr="00CC04FB">
        <w:rPr>
          <w:bCs/>
          <w:color w:val="000000"/>
          <w:kern w:val="24"/>
          <w:szCs w:val="24"/>
        </w:rPr>
        <w:t xml:space="preserve">consumers able to use credit effectively to smooth these types of shocks and recover relatively quickly? Or does the income disruption have ramifications that affect the household’s balance sheet for years, or a lifetime?  </w:t>
      </w:r>
      <w:r w:rsidR="009B0538">
        <w:rPr>
          <w:bCs/>
          <w:color w:val="000000"/>
          <w:kern w:val="24"/>
          <w:szCs w:val="24"/>
        </w:rPr>
        <w:t>How can financial markets affect these outcomes?</w:t>
      </w:r>
    </w:p>
    <w:p w14:paraId="1107B711" w14:textId="77777777" w:rsidR="007A3157" w:rsidRPr="00CC04FB" w:rsidRDefault="007A3157" w:rsidP="007A3157">
      <w:pPr>
        <w:pStyle w:val="ListParagraph"/>
        <w:rPr>
          <w:bCs/>
          <w:color w:val="000000"/>
          <w:kern w:val="24"/>
          <w:szCs w:val="24"/>
        </w:rPr>
      </w:pPr>
    </w:p>
    <w:p w14:paraId="7006CCA2" w14:textId="77777777" w:rsidR="007A3157" w:rsidRPr="00CC04FB" w:rsidRDefault="007A3157" w:rsidP="007A3157">
      <w:pPr>
        <w:numPr>
          <w:ilvl w:val="0"/>
          <w:numId w:val="7"/>
        </w:numPr>
        <w:spacing w:line="276" w:lineRule="auto"/>
        <w:rPr>
          <w:b/>
          <w:bCs/>
          <w:color w:val="000000"/>
          <w:kern w:val="24"/>
          <w:szCs w:val="24"/>
        </w:rPr>
      </w:pPr>
      <w:r w:rsidRPr="00CC04FB">
        <w:rPr>
          <w:b/>
          <w:bCs/>
          <w:color w:val="000000"/>
          <w:kern w:val="24"/>
          <w:szCs w:val="24"/>
        </w:rPr>
        <w:t>Behavior patterns and consumer types</w:t>
      </w:r>
      <w:r w:rsidRPr="00CC04FB">
        <w:rPr>
          <w:bCs/>
          <w:color w:val="000000"/>
          <w:kern w:val="24"/>
          <w:szCs w:val="24"/>
        </w:rPr>
        <w:t xml:space="preserve">.  Some financial products might be a boon to some consumers and </w:t>
      </w:r>
      <w:r w:rsidR="00A46731">
        <w:rPr>
          <w:bCs/>
          <w:color w:val="000000"/>
          <w:kern w:val="24"/>
          <w:szCs w:val="24"/>
        </w:rPr>
        <w:t>pose difficulties for</w:t>
      </w:r>
      <w:r w:rsidR="00E474CE">
        <w:rPr>
          <w:bCs/>
          <w:color w:val="000000"/>
          <w:kern w:val="24"/>
          <w:szCs w:val="24"/>
        </w:rPr>
        <w:t xml:space="preserve"> </w:t>
      </w:r>
      <w:r w:rsidRPr="00CC04FB">
        <w:rPr>
          <w:bCs/>
          <w:color w:val="000000"/>
          <w:kern w:val="24"/>
          <w:szCs w:val="24"/>
        </w:rPr>
        <w:t xml:space="preserve">others.  This part of the agenda seeks to identify distinct behaviors or characteristics associated with consumers who are more likely to have financial success or financial problems.  </w:t>
      </w:r>
    </w:p>
    <w:p w14:paraId="4FE54B4D" w14:textId="77777777" w:rsidR="007A3157" w:rsidRPr="00CC04FB" w:rsidRDefault="007A3157" w:rsidP="007A3157">
      <w:pPr>
        <w:spacing w:line="276" w:lineRule="auto"/>
        <w:ind w:left="1440"/>
        <w:rPr>
          <w:b/>
          <w:bCs/>
          <w:color w:val="000000"/>
          <w:kern w:val="24"/>
          <w:szCs w:val="24"/>
        </w:rPr>
      </w:pPr>
    </w:p>
    <w:p w14:paraId="2A86AAE8" w14:textId="0B1850C0" w:rsidR="007A3157" w:rsidRPr="00CC04FB" w:rsidRDefault="007A3157" w:rsidP="007A3157">
      <w:pPr>
        <w:numPr>
          <w:ilvl w:val="0"/>
          <w:numId w:val="7"/>
        </w:numPr>
        <w:spacing w:line="276" w:lineRule="auto"/>
        <w:rPr>
          <w:bCs/>
          <w:color w:val="000000"/>
          <w:kern w:val="24"/>
          <w:szCs w:val="24"/>
        </w:rPr>
      </w:pPr>
      <w:r w:rsidRPr="00CC04FB">
        <w:rPr>
          <w:b/>
          <w:bCs/>
          <w:color w:val="000000"/>
          <w:kern w:val="24"/>
          <w:szCs w:val="24"/>
        </w:rPr>
        <w:t>Modeling Optimal and Actual Behavior</w:t>
      </w:r>
      <w:r w:rsidRPr="00CC04FB">
        <w:rPr>
          <w:bCs/>
          <w:color w:val="000000"/>
          <w:kern w:val="24"/>
          <w:szCs w:val="24"/>
        </w:rPr>
        <w:t>.</w:t>
      </w:r>
      <w:r w:rsidRPr="00CC04FB">
        <w:rPr>
          <w:b/>
          <w:bCs/>
          <w:color w:val="000000"/>
          <w:kern w:val="24"/>
          <w:szCs w:val="24"/>
        </w:rPr>
        <w:t xml:space="preserve">  </w:t>
      </w:r>
      <w:r w:rsidRPr="00CC04FB">
        <w:rPr>
          <w:bCs/>
          <w:color w:val="000000"/>
          <w:kern w:val="24"/>
          <w:szCs w:val="24"/>
        </w:rPr>
        <w:t xml:space="preserve">This part of the agenda will combine the mathematical tools of optimal decision-making to rigorously measure </w:t>
      </w:r>
      <w:r w:rsidR="007F48EF">
        <w:rPr>
          <w:bCs/>
          <w:color w:val="000000"/>
          <w:kern w:val="24"/>
          <w:szCs w:val="24"/>
        </w:rPr>
        <w:t xml:space="preserve">how consumers’ </w:t>
      </w:r>
      <w:r w:rsidRPr="00CC04FB">
        <w:rPr>
          <w:bCs/>
          <w:color w:val="000000"/>
          <w:kern w:val="24"/>
          <w:szCs w:val="24"/>
        </w:rPr>
        <w:t>observed choices deviate from those that the perfectly informed agents of economic theory would make</w:t>
      </w:r>
      <w:r w:rsidR="007F48EF">
        <w:rPr>
          <w:bCs/>
          <w:color w:val="000000"/>
          <w:kern w:val="24"/>
          <w:szCs w:val="24"/>
        </w:rPr>
        <w:t xml:space="preserve"> and, similarly, </w:t>
      </w:r>
      <w:r w:rsidR="00A856E6">
        <w:rPr>
          <w:bCs/>
          <w:color w:val="000000"/>
          <w:kern w:val="24"/>
          <w:szCs w:val="24"/>
        </w:rPr>
        <w:t xml:space="preserve">how </w:t>
      </w:r>
      <w:r w:rsidR="007F48EF">
        <w:rPr>
          <w:bCs/>
          <w:color w:val="000000"/>
          <w:kern w:val="24"/>
          <w:szCs w:val="24"/>
        </w:rPr>
        <w:t>more-informed consumers</w:t>
      </w:r>
      <w:r w:rsidR="00A856E6">
        <w:rPr>
          <w:bCs/>
          <w:color w:val="000000"/>
          <w:kern w:val="24"/>
          <w:szCs w:val="24"/>
        </w:rPr>
        <w:t>’ choices</w:t>
      </w:r>
      <w:r w:rsidR="007F48EF">
        <w:rPr>
          <w:bCs/>
          <w:color w:val="000000"/>
          <w:kern w:val="24"/>
          <w:szCs w:val="24"/>
        </w:rPr>
        <w:t xml:space="preserve"> differ from those of less-informed consumers</w:t>
      </w:r>
      <w:r w:rsidRPr="00CC04FB">
        <w:rPr>
          <w:bCs/>
          <w:color w:val="000000"/>
          <w:kern w:val="24"/>
          <w:szCs w:val="24"/>
        </w:rPr>
        <w:t xml:space="preserve">.  </w:t>
      </w:r>
    </w:p>
    <w:p w14:paraId="2EA29E61" w14:textId="3A6B76BC" w:rsidR="00F04951" w:rsidRDefault="00F04951" w:rsidP="00CC04FB">
      <w:pPr>
        <w:spacing w:line="360" w:lineRule="auto"/>
      </w:pPr>
    </w:p>
    <w:p w14:paraId="2FA2BF90" w14:textId="6B5D2362" w:rsidR="00385F0F" w:rsidRDefault="00690444" w:rsidP="00881678">
      <w:pPr>
        <w:spacing w:line="360" w:lineRule="auto"/>
        <w:ind w:firstLine="720"/>
      </w:pPr>
      <w:r>
        <w:t>T</w:t>
      </w:r>
      <w:r w:rsidR="00385F0F">
        <w:t>o answer these research questions, surveys will likely include questions relating to:</w:t>
      </w:r>
    </w:p>
    <w:p w14:paraId="119BC65D" w14:textId="77777777" w:rsidR="00385F0F" w:rsidRDefault="00385F0F" w:rsidP="00385F0F">
      <w:pPr>
        <w:pStyle w:val="ListParagraph"/>
        <w:numPr>
          <w:ilvl w:val="0"/>
          <w:numId w:val="9"/>
        </w:numPr>
        <w:shd w:val="clear" w:color="auto" w:fill="FFFFFF"/>
        <w:spacing w:after="48" w:line="360" w:lineRule="auto"/>
        <w:rPr>
          <w:rFonts w:eastAsia="Times New Roman" w:cs="Times New Roman"/>
          <w:color w:val="222222"/>
        </w:rPr>
      </w:pPr>
      <w:r>
        <w:rPr>
          <w:rFonts w:eastAsia="Times New Roman" w:cs="Times New Roman"/>
          <w:color w:val="222222"/>
        </w:rPr>
        <w:t xml:space="preserve">Financial well-being and </w:t>
      </w:r>
      <w:r w:rsidR="007A3157">
        <w:rPr>
          <w:rFonts w:eastAsia="Times New Roman" w:cs="Times New Roman"/>
          <w:color w:val="222222"/>
        </w:rPr>
        <w:t xml:space="preserve">financial </w:t>
      </w:r>
      <w:r>
        <w:rPr>
          <w:rFonts w:eastAsia="Times New Roman" w:cs="Times New Roman"/>
          <w:color w:val="222222"/>
        </w:rPr>
        <w:t>health of the household</w:t>
      </w:r>
    </w:p>
    <w:p w14:paraId="2015A977" w14:textId="77777777" w:rsidR="00385F0F" w:rsidRPr="00385F0F" w:rsidRDefault="00385F0F" w:rsidP="00385F0F">
      <w:pPr>
        <w:pStyle w:val="ListParagraph"/>
        <w:numPr>
          <w:ilvl w:val="0"/>
          <w:numId w:val="9"/>
        </w:numPr>
        <w:shd w:val="clear" w:color="auto" w:fill="FFFFFF"/>
        <w:spacing w:after="48" w:line="360" w:lineRule="auto"/>
        <w:rPr>
          <w:rFonts w:eastAsia="Times New Roman" w:cs="Times New Roman"/>
          <w:color w:val="222222"/>
        </w:rPr>
      </w:pPr>
      <w:r w:rsidRPr="00385F0F">
        <w:rPr>
          <w:rFonts w:eastAsia="Times New Roman" w:cs="Times New Roman"/>
          <w:color w:val="222222"/>
        </w:rPr>
        <w:t>Consume</w:t>
      </w:r>
      <w:r w:rsidR="00F125A8">
        <w:rPr>
          <w:rFonts w:eastAsia="Times New Roman" w:cs="Times New Roman"/>
          <w:color w:val="222222"/>
        </w:rPr>
        <w:t>r decision-making, information, and beliefs</w:t>
      </w:r>
    </w:p>
    <w:p w14:paraId="7A12FF3C" w14:textId="77777777" w:rsidR="00385F0F" w:rsidRPr="00385F0F" w:rsidRDefault="00385F0F" w:rsidP="00385F0F">
      <w:pPr>
        <w:pStyle w:val="ListParagraph"/>
        <w:numPr>
          <w:ilvl w:val="0"/>
          <w:numId w:val="9"/>
        </w:numPr>
        <w:shd w:val="clear" w:color="auto" w:fill="FFFFFF"/>
        <w:spacing w:after="48" w:line="360" w:lineRule="auto"/>
        <w:rPr>
          <w:rFonts w:eastAsia="Times New Roman" w:cs="Times New Roman"/>
          <w:color w:val="222222"/>
        </w:rPr>
      </w:pPr>
      <w:r w:rsidRPr="00385F0F">
        <w:rPr>
          <w:rFonts w:eastAsia="Times New Roman" w:cs="Times New Roman"/>
          <w:color w:val="222222"/>
        </w:rPr>
        <w:t>Time preferences</w:t>
      </w:r>
      <w:r w:rsidR="00F125A8">
        <w:rPr>
          <w:rFonts w:eastAsia="Times New Roman" w:cs="Times New Roman"/>
          <w:color w:val="222222"/>
        </w:rPr>
        <w:t xml:space="preserve"> and other individual household characteristics</w:t>
      </w:r>
    </w:p>
    <w:p w14:paraId="45D6AC2A" w14:textId="77777777" w:rsidR="00F125A8" w:rsidRPr="00F125A8" w:rsidRDefault="00F125A8" w:rsidP="00F125A8">
      <w:pPr>
        <w:pStyle w:val="ListParagraph"/>
        <w:numPr>
          <w:ilvl w:val="0"/>
          <w:numId w:val="9"/>
        </w:numPr>
        <w:shd w:val="clear" w:color="auto" w:fill="FFFFFF"/>
        <w:spacing w:after="48" w:line="360" w:lineRule="auto"/>
      </w:pPr>
      <w:r>
        <w:rPr>
          <w:rFonts w:cs="Times New Roman"/>
        </w:rPr>
        <w:t>Financial p</w:t>
      </w:r>
      <w:r w:rsidR="00385F0F" w:rsidRPr="00385F0F">
        <w:rPr>
          <w:rFonts w:cs="Times New Roman"/>
        </w:rPr>
        <w:t>roduct use</w:t>
      </w:r>
      <w:r w:rsidR="00AD7BBA">
        <w:rPr>
          <w:rFonts w:cs="Times New Roman"/>
        </w:rPr>
        <w:t>, payments behavior, income (including inter-household transfers), assets (including human capital investment) and other</w:t>
      </w:r>
      <w:r w:rsidR="00462355">
        <w:rPr>
          <w:rFonts w:cs="Times New Roman"/>
        </w:rPr>
        <w:t xml:space="preserve"> relevant </w:t>
      </w:r>
      <w:r w:rsidR="00AD7BBA">
        <w:rPr>
          <w:rFonts w:cs="Times New Roman"/>
        </w:rPr>
        <w:t>household balance sheet information.</w:t>
      </w:r>
    </w:p>
    <w:p w14:paraId="57979B67" w14:textId="77777777" w:rsidR="00F125A8" w:rsidRDefault="00F125A8" w:rsidP="00F125A8">
      <w:pPr>
        <w:shd w:val="clear" w:color="auto" w:fill="FFFFFF"/>
        <w:spacing w:after="48" w:line="360" w:lineRule="auto"/>
      </w:pPr>
    </w:p>
    <w:p w14:paraId="7F910ECF" w14:textId="38E97A04" w:rsidR="002D29DE" w:rsidRDefault="005F61DE" w:rsidP="001C2152">
      <w:pPr>
        <w:shd w:val="clear" w:color="auto" w:fill="FFFFFF"/>
        <w:spacing w:after="48" w:line="360" w:lineRule="auto"/>
        <w:ind w:firstLine="720"/>
      </w:pPr>
      <w:r>
        <w:t xml:space="preserve">Research conducted under the requested clearance will not be </w:t>
      </w:r>
      <w:r w:rsidR="0075725B">
        <w:t xml:space="preserve">the primary basis for </w:t>
      </w:r>
      <w:r w:rsidR="007B0F70">
        <w:t xml:space="preserve">particular </w:t>
      </w:r>
      <w:r>
        <w:t xml:space="preserve">regulatory decisions or </w:t>
      </w:r>
      <w:r w:rsidR="009A7536">
        <w:t xml:space="preserve">for </w:t>
      </w:r>
      <w:r w:rsidR="0029367C">
        <w:t xml:space="preserve">the </w:t>
      </w:r>
      <w:r>
        <w:t>develop</w:t>
      </w:r>
      <w:r w:rsidR="009A7536">
        <w:t>ment</w:t>
      </w:r>
      <w:r>
        <w:t xml:space="preserve"> </w:t>
      </w:r>
      <w:r w:rsidR="009A7536">
        <w:t>and</w:t>
      </w:r>
      <w:r>
        <w:t xml:space="preserve"> evaluat</w:t>
      </w:r>
      <w:r w:rsidR="009A7536">
        <w:t>ion</w:t>
      </w:r>
      <w:r>
        <w:t xml:space="preserve"> </w:t>
      </w:r>
      <w:r w:rsidR="0029367C">
        <w:t xml:space="preserve">of </w:t>
      </w:r>
      <w:r>
        <w:t xml:space="preserve">specific policies.  Studies conducted under this generic approval </w:t>
      </w:r>
      <w:r w:rsidR="00DC78A4">
        <w:t xml:space="preserve">aim to </w:t>
      </w:r>
      <w:r>
        <w:t xml:space="preserve">identify opportunities for enhanced or improved </w:t>
      </w:r>
      <w:r w:rsidR="00540F81">
        <w:t>attention by the Bureau</w:t>
      </w:r>
      <w:r>
        <w:t xml:space="preserve"> actions; however, as noted, the Bureau will not initiate any</w:t>
      </w:r>
      <w:r w:rsidR="00E22196">
        <w:t xml:space="preserve"> regulatory or policy</w:t>
      </w:r>
      <w:r>
        <w:t xml:space="preserve"> changes </w:t>
      </w:r>
      <w:r w:rsidR="00B25591">
        <w:t xml:space="preserve">without further, more rigorous study.  </w:t>
      </w:r>
    </w:p>
    <w:p w14:paraId="7AF219C0" w14:textId="2B2685FE" w:rsidR="00261DBD" w:rsidRDefault="00DD7FDB" w:rsidP="00881678">
      <w:pPr>
        <w:spacing w:line="360" w:lineRule="auto"/>
        <w:ind w:firstLine="720"/>
      </w:pPr>
      <w:r>
        <w:t>T</w:t>
      </w:r>
      <w:r w:rsidR="000E5577">
        <w:t>he CCP</w:t>
      </w:r>
      <w:r>
        <w:t xml:space="preserve"> is</w:t>
      </w:r>
      <w:r w:rsidR="000E5577">
        <w:t xml:space="preserve"> a 1-in-48 </w:t>
      </w:r>
      <w:r w:rsidR="00BE2074">
        <w:t xml:space="preserve">nationally representative </w:t>
      </w:r>
      <w:r w:rsidR="000E5577">
        <w:t>random sample of de-identified credit records from one of the three</w:t>
      </w:r>
      <w:r w:rsidR="00DF157A">
        <w:t xml:space="preserve"> major </w:t>
      </w:r>
      <w:r w:rsidR="000E5577">
        <w:t xml:space="preserve">national credit reporting agencies.  </w:t>
      </w:r>
      <w:r>
        <w:t>Using th</w:t>
      </w:r>
      <w:r w:rsidR="009A7536">
        <w:t>e</w:t>
      </w:r>
      <w:r>
        <w:t>s</w:t>
      </w:r>
      <w:r w:rsidR="009A7536">
        <w:t>e</w:t>
      </w:r>
      <w:r>
        <w:t xml:space="preserve"> data, the CFPB </w:t>
      </w:r>
      <w:r w:rsidR="00B17C63">
        <w:t>will</w:t>
      </w:r>
      <w:r>
        <w:t xml:space="preserve"> </w:t>
      </w:r>
      <w:r w:rsidR="000B6936">
        <w:t>select survey samples</w:t>
      </w:r>
      <w:r>
        <w:t xml:space="preserve"> </w:t>
      </w:r>
      <w:r w:rsidR="009A7536">
        <w:t>and then inform</w:t>
      </w:r>
      <w:r w:rsidR="000E5577">
        <w:t xml:space="preserve"> the credit reporting agency of which credit records are selected</w:t>
      </w:r>
      <w:r>
        <w:t>.  T</w:t>
      </w:r>
      <w:r w:rsidR="000E5577">
        <w:t xml:space="preserve">he credit reporting agency (which, unlike the CFPB, has access to direct identifying information related to these records) will mail a copy of the survey instrument to </w:t>
      </w:r>
      <w:r w:rsidR="009A7536">
        <w:t>the consumer associated with each sampled credit record</w:t>
      </w:r>
      <w:r w:rsidR="000E5577">
        <w:t>.</w:t>
      </w:r>
      <w:r w:rsidR="006F0AE8">
        <w:t xml:space="preserve">  </w:t>
      </w:r>
      <w:r w:rsidR="000B6936">
        <w:t>The Bureau expects that for most surveys to be conducted under this clearance, c</w:t>
      </w:r>
      <w:r w:rsidR="006F0AE8">
        <w:t>onsumers will be able to respond to the survey either online or by mail using a prepaid envelope.</w:t>
      </w:r>
      <w:r w:rsidR="00860CBF">
        <w:t xml:space="preserve">  All responses will be collected by the credit reporting agency or a subcontractor, wh</w:t>
      </w:r>
      <w:r w:rsidR="009A7536">
        <w:t>o</w:t>
      </w:r>
      <w:r w:rsidR="00860CBF">
        <w:t xml:space="preserve"> will remove any direct</w:t>
      </w:r>
      <w:r w:rsidR="00540F81">
        <w:t xml:space="preserve"> personally</w:t>
      </w:r>
      <w:r w:rsidR="00860CBF">
        <w:t xml:space="preserve"> identifying information</w:t>
      </w:r>
      <w:r w:rsidR="00066451">
        <w:t xml:space="preserve"> (PII)</w:t>
      </w:r>
      <w:r w:rsidR="00860CBF">
        <w:t xml:space="preserve"> that respondents may have </w:t>
      </w:r>
      <w:r w:rsidR="009A7536">
        <w:t xml:space="preserve">inadvertently </w:t>
      </w:r>
      <w:r w:rsidR="00860CBF">
        <w:t xml:space="preserve">included, convert the responses into an electronic format, and transmit the </w:t>
      </w:r>
      <w:r w:rsidR="009A7536">
        <w:t>data</w:t>
      </w:r>
      <w:r w:rsidR="00860CBF">
        <w:t xml:space="preserve"> to the Bureau.  </w:t>
      </w:r>
      <w:r w:rsidR="009A7536">
        <w:t>T</w:t>
      </w:r>
      <w:r w:rsidR="00860CBF">
        <w:t xml:space="preserve">he respondents will remain anonymous to the CFPB, </w:t>
      </w:r>
      <w:r w:rsidR="009A7536">
        <w:t xml:space="preserve">but </w:t>
      </w:r>
      <w:r w:rsidR="00860CBF">
        <w:t>the survey responses will include a unique key that</w:t>
      </w:r>
      <w:r w:rsidR="009A7536">
        <w:t xml:space="preserve"> will</w:t>
      </w:r>
      <w:r w:rsidR="00860CBF">
        <w:t xml:space="preserve"> allow responses to be matched with the associated de-identified credit record.</w:t>
      </w:r>
      <w:r w:rsidR="000B6936">
        <w:t xml:space="preserve">  The Bureau has experience using </w:t>
      </w:r>
      <w:r w:rsidR="00047468">
        <w:t xml:space="preserve">de-identified credit records </w:t>
      </w:r>
      <w:r w:rsidR="000B6936">
        <w:t>as a sampling frame and with conducting mail and web surveys through this type of arrangement with the credit bureau and a survey subcontractor through its work with FHFA on the National Survey of Mortgage Borrowers</w:t>
      </w:r>
      <w:r w:rsidR="00B17C63">
        <w:t>,</w:t>
      </w:r>
      <w:r w:rsidR="00335DD6">
        <w:t xml:space="preserve"> </w:t>
      </w:r>
      <w:r w:rsidR="000B6936">
        <w:t>Survey of Consumer Views on Debt</w:t>
      </w:r>
      <w:r w:rsidR="00B17C63">
        <w:t xml:space="preserve">, and the Making Ends Meet survey which was successfully piloted and </w:t>
      </w:r>
      <w:r w:rsidR="008000EB">
        <w:t xml:space="preserve">full-scale version of which </w:t>
      </w:r>
      <w:r w:rsidR="00B17C63">
        <w:t>is currently in the fi</w:t>
      </w:r>
      <w:r w:rsidR="008000EB">
        <w:t>eld</w:t>
      </w:r>
      <w:r w:rsidR="000B6936">
        <w:t>.</w:t>
      </w:r>
    </w:p>
    <w:p w14:paraId="34D2D303" w14:textId="4C19249C" w:rsidR="000E5577" w:rsidRPr="0046418E" w:rsidRDefault="00261DBD" w:rsidP="00881678">
      <w:pPr>
        <w:spacing w:line="360" w:lineRule="auto"/>
        <w:ind w:firstLine="720"/>
      </w:pPr>
      <w:r>
        <w:t xml:space="preserve">The CCP data are </w:t>
      </w:r>
      <w:r w:rsidR="007207DC">
        <w:t>the property of the credit reporting agency and the Bureau is prohibited by contract from sharing th</w:t>
      </w:r>
      <w:r w:rsidR="00A856E6">
        <w:t>e</w:t>
      </w:r>
      <w:r w:rsidR="007207DC">
        <w:t>s</w:t>
      </w:r>
      <w:r w:rsidR="00A856E6">
        <w:t>e</w:t>
      </w:r>
      <w:r w:rsidR="007207DC">
        <w:t xml:space="preserve"> data with the public.  </w:t>
      </w:r>
      <w:r>
        <w:t xml:space="preserve"> To allow outside researchers and other interested parties to benefit from research conducted by the Bureau, the CFPB may make a version of the survey data available publicly to the extent that such releases are legally permissible and consistent with protecting consumers’ privacy. Any public-release version of the data would be de-identified and exclude any direct identifying information.  In addition, the CFPB may</w:t>
      </w:r>
      <w:r w:rsidR="009A7536">
        <w:t>, for example,</w:t>
      </w:r>
      <w:r>
        <w:t xml:space="preserve"> withhold some data elements</w:t>
      </w:r>
      <w:r w:rsidR="009A7536">
        <w:t>, aggregate response categories,</w:t>
      </w:r>
      <w:r>
        <w:t xml:space="preserve"> or take </w:t>
      </w:r>
      <w:r w:rsidR="009A7536">
        <w:t xml:space="preserve">other </w:t>
      </w:r>
      <w:r>
        <w:t>steps to protect the privacy of respondents in any publicly available version of the data.</w:t>
      </w:r>
    </w:p>
    <w:p w14:paraId="16F5E219" w14:textId="77777777" w:rsidR="00156225" w:rsidRDefault="00156225" w:rsidP="0084450E">
      <w:pPr>
        <w:rPr>
          <w:b/>
          <w:u w:val="single"/>
        </w:rPr>
      </w:pPr>
    </w:p>
    <w:p w14:paraId="71EFA1E9" w14:textId="77777777" w:rsidR="00881678" w:rsidRDefault="00881678" w:rsidP="0084450E">
      <w:pPr>
        <w:rPr>
          <w:b/>
          <w:u w:val="single"/>
        </w:rPr>
      </w:pPr>
    </w:p>
    <w:p w14:paraId="112356C4" w14:textId="77777777" w:rsidR="0084450E" w:rsidRDefault="0084450E" w:rsidP="0084450E">
      <w:pPr>
        <w:rPr>
          <w:b/>
          <w:u w:val="single"/>
        </w:rPr>
      </w:pPr>
      <w:r>
        <w:rPr>
          <w:b/>
        </w:rPr>
        <w:t xml:space="preserve">3.  </w:t>
      </w:r>
      <w:r w:rsidRPr="0084450E">
        <w:rPr>
          <w:b/>
          <w:u w:val="single"/>
        </w:rPr>
        <w:t>Use of Information Technology</w:t>
      </w:r>
    </w:p>
    <w:p w14:paraId="13C45F11" w14:textId="77777777" w:rsidR="00156225" w:rsidRDefault="00156225" w:rsidP="0084450E">
      <w:pPr>
        <w:rPr>
          <w:b/>
          <w:u w:val="single"/>
        </w:rPr>
      </w:pPr>
    </w:p>
    <w:p w14:paraId="6F7FDC0D" w14:textId="77777777" w:rsidR="00956894" w:rsidRDefault="00290002" w:rsidP="00881678">
      <w:pPr>
        <w:spacing w:line="360" w:lineRule="auto"/>
        <w:ind w:firstLine="720"/>
      </w:pPr>
      <w:r>
        <w:t>Surveys will be sent by mail to sampled consumers</w:t>
      </w:r>
      <w:r w:rsidR="00142A0F">
        <w:t xml:space="preserve">.  The Bureau expects to typically allow respondents to </w:t>
      </w:r>
      <w:r w:rsidR="009A7536">
        <w:t xml:space="preserve">complete the survey </w:t>
      </w:r>
      <w:r w:rsidR="00142A0F">
        <w:t xml:space="preserve">either </w:t>
      </w:r>
      <w:r w:rsidR="009A7536">
        <w:t>online or by mail</w:t>
      </w:r>
      <w:r>
        <w:t xml:space="preserve"> using a prepaid envelope.  </w:t>
      </w:r>
      <w:r w:rsidR="00956894">
        <w:rPr>
          <w:szCs w:val="24"/>
        </w:rPr>
        <w:t xml:space="preserve">The website to complete the survey online will be hosted on servers owned and operated by the credit reporting agency’s subcontractor.  </w:t>
      </w:r>
    </w:p>
    <w:p w14:paraId="1729C680" w14:textId="4F647A2A" w:rsidR="00156225" w:rsidRPr="0046418E" w:rsidRDefault="00142A0F" w:rsidP="00881678">
      <w:pPr>
        <w:spacing w:line="360" w:lineRule="auto"/>
        <w:ind w:firstLine="720"/>
      </w:pPr>
      <w:r>
        <w:t xml:space="preserve">The Bureau generally expects to provide a Spanish </w:t>
      </w:r>
      <w:r w:rsidR="007207DC">
        <w:t xml:space="preserve">language </w:t>
      </w:r>
      <w:r>
        <w:t>version of the survey instrument at least online for any survey.  Returned p</w:t>
      </w:r>
      <w:r w:rsidR="00290002">
        <w:t xml:space="preserve">aper surveys will be electronically scanned by a subcontractor of the credit reporting agency, stripped of any direct identifying information that the respondent may have </w:t>
      </w:r>
      <w:r w:rsidR="008035D0">
        <w:t xml:space="preserve">inadvertently </w:t>
      </w:r>
      <w:r w:rsidR="00290002">
        <w:t>included, and converted to an electronic format.  The data will then be transmitted to the CFPB using a secure FTP server.</w:t>
      </w:r>
    </w:p>
    <w:p w14:paraId="38B0E601" w14:textId="77777777" w:rsidR="0084450E" w:rsidRDefault="0084450E" w:rsidP="0084450E">
      <w:pPr>
        <w:rPr>
          <w:b/>
          <w:u w:val="single"/>
        </w:rPr>
      </w:pPr>
    </w:p>
    <w:p w14:paraId="75749578" w14:textId="77777777" w:rsidR="00881678" w:rsidRDefault="00881678" w:rsidP="0084450E">
      <w:pPr>
        <w:rPr>
          <w:b/>
          <w:u w:val="single"/>
        </w:rPr>
      </w:pPr>
    </w:p>
    <w:p w14:paraId="14970605" w14:textId="77777777" w:rsidR="0084450E" w:rsidRDefault="0084450E" w:rsidP="0084450E">
      <w:pPr>
        <w:rPr>
          <w:b/>
          <w:u w:val="single"/>
        </w:rPr>
      </w:pPr>
      <w:r w:rsidRPr="0084450E">
        <w:rPr>
          <w:b/>
        </w:rPr>
        <w:t>4</w:t>
      </w:r>
      <w:r>
        <w:rPr>
          <w:b/>
        </w:rPr>
        <w:t xml:space="preserve">.  </w:t>
      </w:r>
      <w:r w:rsidRPr="0084450E">
        <w:rPr>
          <w:b/>
          <w:u w:val="single"/>
        </w:rPr>
        <w:t>Efforts to Identify Duplication</w:t>
      </w:r>
    </w:p>
    <w:p w14:paraId="00CEB72D" w14:textId="77777777" w:rsidR="00156225" w:rsidRDefault="00156225" w:rsidP="0084450E">
      <w:pPr>
        <w:rPr>
          <w:b/>
          <w:u w:val="single"/>
        </w:rPr>
      </w:pPr>
    </w:p>
    <w:p w14:paraId="1555E628" w14:textId="1BAD6DA6" w:rsidR="00156225" w:rsidRPr="0046418E" w:rsidRDefault="009E2D7D" w:rsidP="00881678">
      <w:pPr>
        <w:spacing w:line="360" w:lineRule="auto"/>
        <w:ind w:firstLine="720"/>
      </w:pPr>
      <w:r>
        <w:t xml:space="preserve">The CFPB will design surveys to address questions that have not yet been satisfactorily answered in the relevant research literature.  </w:t>
      </w:r>
      <w:r w:rsidR="00CE5FA6">
        <w:t>For topics on which there exists previous research, the CFPB will detail the relationship between the proposal and existing studies and will describe how the data collection supports the CFPB’s mission.  A review of the existing relevant literature will be undertaken befor</w:t>
      </w:r>
      <w:r w:rsidR="00CE489E">
        <w:t>e proceeding with any project initiated under this generic clearance.</w:t>
      </w:r>
      <w:r w:rsidR="00142A0F">
        <w:t xml:space="preserve">  Surveys may include questions that are asked on existing surveys to, for example, </w:t>
      </w:r>
      <w:r w:rsidR="009F3EF8">
        <w:t>draw rough conclusions about how characteristics measured in the CFPB survey relate to those measured in other surveys.</w:t>
      </w:r>
    </w:p>
    <w:p w14:paraId="1B6B57D7" w14:textId="77777777" w:rsidR="0084450E" w:rsidRDefault="0084450E" w:rsidP="0084450E">
      <w:pPr>
        <w:rPr>
          <w:b/>
        </w:rPr>
      </w:pPr>
    </w:p>
    <w:p w14:paraId="001580C7" w14:textId="77777777" w:rsidR="00881678" w:rsidRDefault="00881678" w:rsidP="0084450E">
      <w:pPr>
        <w:rPr>
          <w:b/>
        </w:rPr>
      </w:pPr>
    </w:p>
    <w:p w14:paraId="53FA0DD3" w14:textId="77777777" w:rsidR="0084450E" w:rsidRDefault="0084450E" w:rsidP="0084450E">
      <w:pPr>
        <w:rPr>
          <w:b/>
        </w:rPr>
      </w:pPr>
      <w:r>
        <w:rPr>
          <w:b/>
        </w:rPr>
        <w:t xml:space="preserve">5.  </w:t>
      </w:r>
      <w:r w:rsidRPr="004C034A">
        <w:rPr>
          <w:b/>
          <w:u w:val="single"/>
        </w:rPr>
        <w:t>Efforts to Minimize Burdens on Small Entities</w:t>
      </w:r>
    </w:p>
    <w:p w14:paraId="3AF12A56" w14:textId="77777777" w:rsidR="0084450E" w:rsidRDefault="0084450E" w:rsidP="0084450E">
      <w:pPr>
        <w:rPr>
          <w:b/>
        </w:rPr>
      </w:pPr>
    </w:p>
    <w:p w14:paraId="31DC21E4" w14:textId="448237B6" w:rsidR="001C2152" w:rsidRPr="00C27C83" w:rsidRDefault="00EE7954" w:rsidP="00C27C83">
      <w:pPr>
        <w:spacing w:line="360" w:lineRule="auto"/>
        <w:ind w:firstLine="720"/>
      </w:pPr>
      <w:r>
        <w:t xml:space="preserve">No small businesses will be </w:t>
      </w:r>
      <w:r w:rsidR="007207DC">
        <w:t xml:space="preserve">affected </w:t>
      </w:r>
      <w:r>
        <w:t>by this study, as survey respondents will be individuals only.</w:t>
      </w:r>
    </w:p>
    <w:p w14:paraId="40A234BE" w14:textId="77777777" w:rsidR="00881678" w:rsidRDefault="00881678" w:rsidP="0084450E">
      <w:pPr>
        <w:rPr>
          <w:b/>
        </w:rPr>
      </w:pPr>
    </w:p>
    <w:p w14:paraId="29CE3DE8" w14:textId="77777777" w:rsidR="0084450E" w:rsidRDefault="0084450E" w:rsidP="0084450E">
      <w:pPr>
        <w:rPr>
          <w:b/>
        </w:rPr>
      </w:pPr>
      <w:r>
        <w:rPr>
          <w:b/>
        </w:rPr>
        <w:t xml:space="preserve">6.  </w:t>
      </w:r>
      <w:r w:rsidRPr="004C034A">
        <w:rPr>
          <w:b/>
          <w:u w:val="single"/>
        </w:rPr>
        <w:t>Consequences of Less Frequent Collection and Obstacles to Burden Reduction</w:t>
      </w:r>
    </w:p>
    <w:p w14:paraId="6829C1CC" w14:textId="77777777" w:rsidR="0084450E" w:rsidRDefault="0084450E" w:rsidP="0084450E">
      <w:pPr>
        <w:rPr>
          <w:b/>
        </w:rPr>
      </w:pPr>
    </w:p>
    <w:p w14:paraId="24FCAB1E" w14:textId="77777777" w:rsidR="000D0404" w:rsidRDefault="000D0404" w:rsidP="00881678">
      <w:pPr>
        <w:pStyle w:val="Default"/>
        <w:spacing w:line="360" w:lineRule="auto"/>
        <w:ind w:firstLine="720"/>
      </w:pPr>
      <w:r w:rsidRPr="000D0404">
        <w:t xml:space="preserve">We envision a series of </w:t>
      </w:r>
      <w:r>
        <w:t xml:space="preserve">one-time </w:t>
      </w:r>
      <w:r w:rsidRPr="000D0404">
        <w:t>data collections, not an on-going collection of the same information</w:t>
      </w:r>
      <w:r>
        <w:t>.  For this reason, less frequent collections are not possible.</w:t>
      </w:r>
    </w:p>
    <w:p w14:paraId="0C3D68FB" w14:textId="1FE8D00D" w:rsidR="000D0404" w:rsidRDefault="009C7F41" w:rsidP="00881678">
      <w:pPr>
        <w:pStyle w:val="Default"/>
        <w:spacing w:line="360" w:lineRule="auto"/>
        <w:ind w:firstLine="720"/>
      </w:pPr>
      <w:r w:rsidRPr="000D0404">
        <w:t xml:space="preserve">The proposed clearance will allow the Bureau to collect information </w:t>
      </w:r>
      <w:r w:rsidR="005D5C30">
        <w:t xml:space="preserve">from consumers </w:t>
      </w:r>
      <w:r w:rsidRPr="000D0404">
        <w:t>on the market</w:t>
      </w:r>
      <w:r w:rsidR="000D0404">
        <w:t>s we regulate</w:t>
      </w:r>
      <w:r w:rsidRPr="000D0404">
        <w:t xml:space="preserve">, allowing </w:t>
      </w:r>
      <w:r w:rsidR="00C126C9">
        <w:t>the Bureau</w:t>
      </w:r>
      <w:r w:rsidR="00C126C9" w:rsidRPr="000D0404">
        <w:t xml:space="preserve"> </w:t>
      </w:r>
      <w:r w:rsidRPr="000D0404">
        <w:t xml:space="preserve">to develop a more complete understanding of </w:t>
      </w:r>
      <w:r w:rsidR="00C126C9" w:rsidRPr="000D0404">
        <w:t>th</w:t>
      </w:r>
      <w:r w:rsidR="00C126C9">
        <w:t>ese</w:t>
      </w:r>
      <w:r w:rsidR="00C126C9" w:rsidRPr="000D0404">
        <w:t xml:space="preserve"> </w:t>
      </w:r>
      <w:r w:rsidRPr="000D0404">
        <w:t>market</w:t>
      </w:r>
      <w:r w:rsidR="00C126C9">
        <w:t>s</w:t>
      </w:r>
      <w:r w:rsidRPr="000D0404">
        <w:t xml:space="preserve"> and consumers’ experiences with </w:t>
      </w:r>
      <w:r w:rsidR="00C126C9">
        <w:t>them</w:t>
      </w:r>
      <w:r w:rsidRPr="000D0404">
        <w:t xml:space="preserve">. Without this data collection, the Bureau will not be as well informed and will not be able to achieve its mission as effectively. </w:t>
      </w:r>
    </w:p>
    <w:p w14:paraId="2AF118D0" w14:textId="6FDC5D71" w:rsidR="009C7F41" w:rsidRPr="00881678" w:rsidRDefault="009C7F41" w:rsidP="00881678">
      <w:pPr>
        <w:pStyle w:val="Default"/>
        <w:spacing w:line="360" w:lineRule="auto"/>
        <w:ind w:firstLine="720"/>
      </w:pPr>
      <w:r w:rsidRPr="000D0404">
        <w:t>Whe</w:t>
      </w:r>
      <w:r w:rsidR="001B4CBB">
        <w:t>never possible and</w:t>
      </w:r>
      <w:r w:rsidRPr="000D0404">
        <w:t xml:space="preserve"> appropriate, the CFPB plans to make the results of any research conducted using these data publicly available. Additionally, where legally permissible and consistent with protecting consumers’ privacy, we envision</w:t>
      </w:r>
      <w:r w:rsidR="005D1EEE">
        <w:t xml:space="preserve"> </w:t>
      </w:r>
      <w:r w:rsidRPr="000D0404">
        <w:t xml:space="preserve">making the collected survey data available to researchers outside of the CFPB and to the public. Therefore, the data to be collected under this proposed clearance will not only improve the CFPB’s understanding of consumer financial markets but also increase </w:t>
      </w:r>
      <w:r w:rsidR="001B4CBB">
        <w:t xml:space="preserve">other </w:t>
      </w:r>
      <w:r w:rsidRPr="000D0404">
        <w:t>researchers</w:t>
      </w:r>
      <w:r w:rsidR="001B4CBB">
        <w:t>’</w:t>
      </w:r>
      <w:r w:rsidRPr="000D0404">
        <w:t xml:space="preserve"> and </w:t>
      </w:r>
      <w:r w:rsidR="001B4CBB">
        <w:t>policymakers’ knowledge</w:t>
      </w:r>
      <w:r w:rsidRPr="000D0404">
        <w:t>.</w:t>
      </w:r>
      <w:r w:rsidR="00A70FDD">
        <w:t xml:space="preserve">  </w:t>
      </w:r>
      <w:r w:rsidR="007207DC">
        <w:t xml:space="preserve">If </w:t>
      </w:r>
      <w:r w:rsidR="00A70FDD">
        <w:t xml:space="preserve">the CFPB shares data collected under this generic clearance, the data </w:t>
      </w:r>
      <w:r w:rsidR="001B4CBB">
        <w:t>are</w:t>
      </w:r>
      <w:r w:rsidR="00A70FDD">
        <w:t xml:space="preserve"> not intended to be an official government statistic or definitive representation of a population of interest, but instead to spur further research in the area.</w:t>
      </w:r>
      <w:r w:rsidR="000D0404">
        <w:rPr>
          <w:sz w:val="23"/>
          <w:szCs w:val="23"/>
        </w:rPr>
        <w:tab/>
      </w:r>
    </w:p>
    <w:p w14:paraId="7E519CCE" w14:textId="77777777" w:rsidR="00156225" w:rsidRDefault="00156225" w:rsidP="0084450E">
      <w:pPr>
        <w:rPr>
          <w:b/>
        </w:rPr>
      </w:pPr>
    </w:p>
    <w:p w14:paraId="1BF98259" w14:textId="77777777" w:rsidR="00881678" w:rsidRDefault="00881678" w:rsidP="0084450E">
      <w:pPr>
        <w:rPr>
          <w:b/>
        </w:rPr>
      </w:pPr>
    </w:p>
    <w:p w14:paraId="4E0A5F61" w14:textId="77777777" w:rsidR="0084450E" w:rsidRDefault="0084450E" w:rsidP="0084450E">
      <w:pPr>
        <w:rPr>
          <w:b/>
        </w:rPr>
      </w:pPr>
      <w:r>
        <w:rPr>
          <w:b/>
        </w:rPr>
        <w:t xml:space="preserve">7.  </w:t>
      </w:r>
      <w:r w:rsidRPr="004C034A">
        <w:rPr>
          <w:b/>
          <w:u w:val="single"/>
        </w:rPr>
        <w:t>Circumstances Requiring Special Information Collection</w:t>
      </w:r>
    </w:p>
    <w:p w14:paraId="7EF9FE47" w14:textId="77777777" w:rsidR="0084450E" w:rsidRDefault="0084450E" w:rsidP="0084450E">
      <w:pPr>
        <w:rPr>
          <w:b/>
        </w:rPr>
      </w:pPr>
    </w:p>
    <w:p w14:paraId="579CD52A" w14:textId="7AC9A356" w:rsidR="00FA3740" w:rsidRPr="00A85796" w:rsidRDefault="00AF0F95" w:rsidP="00881678">
      <w:pPr>
        <w:pStyle w:val="Num-DocParagraph"/>
        <w:spacing w:line="360" w:lineRule="auto"/>
        <w:ind w:firstLine="720"/>
        <w:rPr>
          <w:rFonts w:ascii="Times New Roman" w:hAnsi="Times New Roman" w:cs="Times New Roman"/>
          <w:sz w:val="24"/>
          <w:szCs w:val="24"/>
        </w:rPr>
      </w:pPr>
      <w:r>
        <w:rPr>
          <w:rFonts w:ascii="Times New Roman" w:hAnsi="Times New Roman" w:cs="Times New Roman"/>
          <w:sz w:val="24"/>
          <w:szCs w:val="24"/>
        </w:rPr>
        <w:t>Generally, m</w:t>
      </w:r>
      <w:r w:rsidR="00FA3740" w:rsidRPr="002E3B97">
        <w:rPr>
          <w:rFonts w:ascii="Times New Roman" w:hAnsi="Times New Roman" w:cs="Times New Roman"/>
          <w:sz w:val="24"/>
          <w:szCs w:val="24"/>
        </w:rPr>
        <w:t xml:space="preserve">ost information collections under this generic clearance </w:t>
      </w:r>
      <w:r>
        <w:rPr>
          <w:rFonts w:ascii="Times New Roman" w:hAnsi="Times New Roman" w:cs="Times New Roman"/>
          <w:sz w:val="24"/>
          <w:szCs w:val="24"/>
        </w:rPr>
        <w:t>will be</w:t>
      </w:r>
      <w:r w:rsidRPr="00AF0F95">
        <w:rPr>
          <w:rFonts w:ascii="Times New Roman" w:hAnsi="Times New Roman" w:cs="Times New Roman"/>
          <w:sz w:val="24"/>
          <w:szCs w:val="24"/>
        </w:rPr>
        <w:t xml:space="preserve"> conducted in a manner consistent with the gu</w:t>
      </w:r>
      <w:r>
        <w:rPr>
          <w:rFonts w:ascii="Times New Roman" w:hAnsi="Times New Roman" w:cs="Times New Roman"/>
          <w:sz w:val="24"/>
          <w:szCs w:val="24"/>
        </w:rPr>
        <w:t xml:space="preserve">idelines in 5 </w:t>
      </w:r>
      <w:r w:rsidR="00411912">
        <w:rPr>
          <w:rFonts w:ascii="Times New Roman" w:hAnsi="Times New Roman" w:cs="Times New Roman"/>
          <w:sz w:val="24"/>
          <w:szCs w:val="24"/>
        </w:rPr>
        <w:t>C.F.R.</w:t>
      </w:r>
      <w:r>
        <w:rPr>
          <w:rFonts w:ascii="Times New Roman" w:hAnsi="Times New Roman" w:cs="Times New Roman"/>
          <w:sz w:val="24"/>
          <w:szCs w:val="24"/>
        </w:rPr>
        <w:t xml:space="preserve"> 1320. 5(d)(2). Most collections </w:t>
      </w:r>
      <w:r w:rsidR="00FA3740" w:rsidRPr="002E3B97">
        <w:rPr>
          <w:rFonts w:ascii="Times New Roman" w:hAnsi="Times New Roman" w:cs="Times New Roman"/>
          <w:sz w:val="24"/>
          <w:szCs w:val="24"/>
        </w:rPr>
        <w:t xml:space="preserve">will require a single interaction between the agency and respondents, but some information </w:t>
      </w:r>
      <w:r w:rsidR="00FA3740" w:rsidRPr="00A85796">
        <w:rPr>
          <w:rFonts w:ascii="Times New Roman" w:hAnsi="Times New Roman" w:cs="Times New Roman"/>
          <w:sz w:val="24"/>
          <w:szCs w:val="24"/>
        </w:rPr>
        <w:t xml:space="preserve">collections could require multiple interactions. For example, some studies may ask for subjects to </w:t>
      </w:r>
      <w:r w:rsidR="00413B07">
        <w:rPr>
          <w:rFonts w:ascii="Times New Roman" w:hAnsi="Times New Roman" w:cs="Times New Roman"/>
          <w:sz w:val="24"/>
          <w:szCs w:val="24"/>
        </w:rPr>
        <w:t>be surveyed more than once</w:t>
      </w:r>
      <w:r w:rsidR="00EC22BA">
        <w:rPr>
          <w:rFonts w:ascii="Times New Roman" w:hAnsi="Times New Roman" w:cs="Times New Roman"/>
          <w:sz w:val="24"/>
          <w:szCs w:val="24"/>
        </w:rPr>
        <w:t>, and possibly more than once in a quarter</w:t>
      </w:r>
      <w:r w:rsidR="00FA3740" w:rsidRPr="00A85796">
        <w:rPr>
          <w:rFonts w:ascii="Times New Roman" w:hAnsi="Times New Roman" w:cs="Times New Roman"/>
          <w:sz w:val="24"/>
          <w:szCs w:val="24"/>
        </w:rPr>
        <w:t>. The CFPB will work to limit the burden on respondents and ensure that studies only include repeated interactions when the additional information gained is anticipated to be substantial and valuable to the study.</w:t>
      </w:r>
    </w:p>
    <w:p w14:paraId="36AA9156" w14:textId="77777777" w:rsidR="00156225" w:rsidRDefault="00156225" w:rsidP="0084450E">
      <w:pPr>
        <w:rPr>
          <w:b/>
        </w:rPr>
      </w:pPr>
    </w:p>
    <w:p w14:paraId="48966B5B" w14:textId="77777777" w:rsidR="0084450E" w:rsidRDefault="0084450E" w:rsidP="0084450E">
      <w:pPr>
        <w:rPr>
          <w:b/>
        </w:rPr>
      </w:pPr>
      <w:r>
        <w:rPr>
          <w:b/>
        </w:rPr>
        <w:t xml:space="preserve">8.  </w:t>
      </w:r>
      <w:r w:rsidRPr="004C034A">
        <w:rPr>
          <w:b/>
          <w:u w:val="single"/>
        </w:rPr>
        <w:t>Consultation Outside the Agency</w:t>
      </w:r>
    </w:p>
    <w:p w14:paraId="4DA1571A" w14:textId="77777777" w:rsidR="0084450E" w:rsidRDefault="0084450E" w:rsidP="0084450E">
      <w:pPr>
        <w:rPr>
          <w:b/>
        </w:rPr>
      </w:pPr>
    </w:p>
    <w:p w14:paraId="41976081" w14:textId="42FF1D99" w:rsidR="00156225" w:rsidRDefault="004A7DA2" w:rsidP="00881678">
      <w:pPr>
        <w:spacing w:line="360" w:lineRule="auto"/>
        <w:ind w:firstLine="720"/>
      </w:pPr>
      <w:r w:rsidRPr="00211F5C">
        <w:t xml:space="preserve">In accordance with 5 </w:t>
      </w:r>
      <w:r w:rsidR="00411912">
        <w:t>C.F.R.</w:t>
      </w:r>
      <w:r w:rsidRPr="00211F5C">
        <w:t xml:space="preserve"> 1320.8(d)(1), the Bureau has published a notice </w:t>
      </w:r>
      <w:r w:rsidR="007207DC">
        <w:t xml:space="preserve">in the </w:t>
      </w:r>
      <w:r w:rsidRPr="00211F5C">
        <w:t xml:space="preserve">Federal Register allowing the public 60 days to comment on </w:t>
      </w:r>
      <w:r w:rsidR="00F42F8B">
        <w:t xml:space="preserve">the renewal of this </w:t>
      </w:r>
      <w:r w:rsidRPr="00211F5C">
        <w:t xml:space="preserve"> gene</w:t>
      </w:r>
      <w:r w:rsidR="001C2152">
        <w:t>ric information collection plan</w:t>
      </w:r>
      <w:r w:rsidR="003D4418">
        <w:t xml:space="preserve">. </w:t>
      </w:r>
      <w:r w:rsidR="00F42F8B">
        <w:t xml:space="preserve">No Comments were received.  </w:t>
      </w:r>
      <w:r w:rsidRPr="00211F5C">
        <w:t xml:space="preserve">Further and in accordance with 5 </w:t>
      </w:r>
      <w:r w:rsidR="00411912">
        <w:t>C.F.R.</w:t>
      </w:r>
      <w:r w:rsidRPr="00211F5C">
        <w:t xml:space="preserve"> 1320.5(a)(1)(iv), the Bureau </w:t>
      </w:r>
      <w:r w:rsidR="00EF234A">
        <w:t xml:space="preserve">also </w:t>
      </w:r>
      <w:r w:rsidRPr="00211F5C">
        <w:t>publish</w:t>
      </w:r>
      <w:r w:rsidR="0069136F">
        <w:t>ed</w:t>
      </w:r>
      <w:r w:rsidRPr="00211F5C">
        <w:t xml:space="preserve"> a notice in the Federal Register allowing the public 30 days to comment on the submission of this information collection request to the Office of Management and Budget.</w:t>
      </w:r>
    </w:p>
    <w:p w14:paraId="4C010F57" w14:textId="77777777" w:rsidR="00D46D0C" w:rsidRDefault="00D46D0C" w:rsidP="00D46D0C">
      <w:pPr>
        <w:spacing w:line="360" w:lineRule="auto"/>
        <w:ind w:firstLine="720"/>
      </w:pPr>
      <w:r w:rsidRPr="00BC545E">
        <w:t>Additionally, Bureau will publish a 30-Day Notice in the Federal Register to invite public comment for each individual information collection conducted under this clearance prior to submitting the collection to OMB for review.  When the information collection is submitted to OMB for review after the 30-Day Notice concludes, the Bureau will include in the submission to OMB a copy of the 30-Day Federal Register Notice, any comments received and a summary response to them. This approach will enable OMB to gather comments to improve the quality of the information collection.</w:t>
      </w:r>
    </w:p>
    <w:p w14:paraId="1D9DAA1E" w14:textId="77777777" w:rsidR="00211F5C" w:rsidRDefault="00211F5C" w:rsidP="00AB1EBD">
      <w:pPr>
        <w:spacing w:line="360" w:lineRule="auto"/>
      </w:pPr>
    </w:p>
    <w:p w14:paraId="449407DB" w14:textId="77777777" w:rsidR="00881678" w:rsidRPr="00211F5C" w:rsidRDefault="00881678" w:rsidP="0084450E"/>
    <w:p w14:paraId="7DFE36EB" w14:textId="77777777" w:rsidR="0084450E" w:rsidRDefault="0084450E" w:rsidP="0084450E">
      <w:pPr>
        <w:rPr>
          <w:b/>
        </w:rPr>
      </w:pPr>
      <w:r>
        <w:rPr>
          <w:b/>
        </w:rPr>
        <w:t xml:space="preserve">9.  </w:t>
      </w:r>
      <w:r w:rsidRPr="004C034A">
        <w:rPr>
          <w:b/>
          <w:u w:val="single"/>
        </w:rPr>
        <w:t>Payment or Gifts to Respondents</w:t>
      </w:r>
    </w:p>
    <w:p w14:paraId="1C8DD7D3" w14:textId="77777777" w:rsidR="0084450E" w:rsidRDefault="0084450E" w:rsidP="0084450E">
      <w:pPr>
        <w:rPr>
          <w:b/>
        </w:rPr>
      </w:pPr>
    </w:p>
    <w:p w14:paraId="089D7646" w14:textId="1B52C829" w:rsidR="00956894" w:rsidRPr="005B1CD2" w:rsidRDefault="00956894" w:rsidP="00881678">
      <w:pPr>
        <w:spacing w:line="360" w:lineRule="auto"/>
        <w:ind w:firstLine="720"/>
        <w:rPr>
          <w:szCs w:val="24"/>
        </w:rPr>
      </w:pPr>
      <w:r w:rsidRPr="005B1CD2">
        <w:rPr>
          <w:szCs w:val="24"/>
        </w:rPr>
        <w:t xml:space="preserve">Survey recipients will receive a </w:t>
      </w:r>
      <w:r>
        <w:rPr>
          <w:szCs w:val="24"/>
        </w:rPr>
        <w:t xml:space="preserve">pre-paid </w:t>
      </w:r>
      <w:r w:rsidRPr="005B1CD2">
        <w:rPr>
          <w:szCs w:val="24"/>
        </w:rPr>
        <w:t xml:space="preserve">cash </w:t>
      </w:r>
      <w:r>
        <w:rPr>
          <w:szCs w:val="24"/>
        </w:rPr>
        <w:t xml:space="preserve">incentive </w:t>
      </w:r>
      <w:r w:rsidRPr="005B1CD2">
        <w:rPr>
          <w:szCs w:val="24"/>
        </w:rPr>
        <w:t>as an</w:t>
      </w:r>
      <w:r>
        <w:rPr>
          <w:szCs w:val="24"/>
        </w:rPr>
        <w:t xml:space="preserve"> </w:t>
      </w:r>
      <w:r w:rsidRPr="005B1CD2">
        <w:rPr>
          <w:szCs w:val="24"/>
        </w:rPr>
        <w:t>inducement to complete and return the survey questionnaire</w:t>
      </w:r>
      <w:r w:rsidR="00D245D8">
        <w:rPr>
          <w:szCs w:val="24"/>
        </w:rPr>
        <w:t xml:space="preserve"> (ex: five dollars)</w:t>
      </w:r>
      <w:r w:rsidRPr="005B1CD2">
        <w:rPr>
          <w:szCs w:val="24"/>
        </w:rPr>
        <w:t>. Recipi</w:t>
      </w:r>
      <w:r>
        <w:rPr>
          <w:szCs w:val="24"/>
        </w:rPr>
        <w:t xml:space="preserve">ents who fail to respond to the initial </w:t>
      </w:r>
      <w:r w:rsidRPr="005B1CD2">
        <w:rPr>
          <w:szCs w:val="24"/>
        </w:rPr>
        <w:t xml:space="preserve">survey solicitation </w:t>
      </w:r>
      <w:r>
        <w:rPr>
          <w:szCs w:val="24"/>
        </w:rPr>
        <w:t>will</w:t>
      </w:r>
      <w:r w:rsidRPr="005B1CD2">
        <w:rPr>
          <w:szCs w:val="24"/>
        </w:rPr>
        <w:t xml:space="preserve"> receive </w:t>
      </w:r>
      <w:r>
        <w:rPr>
          <w:szCs w:val="24"/>
        </w:rPr>
        <w:t>a second cash incentive</w:t>
      </w:r>
      <w:r w:rsidR="00D245D8">
        <w:rPr>
          <w:szCs w:val="24"/>
        </w:rPr>
        <w:t xml:space="preserve"> (ex: another five dollars)</w:t>
      </w:r>
      <w:r w:rsidRPr="005B1CD2">
        <w:rPr>
          <w:szCs w:val="24"/>
        </w:rPr>
        <w:t>.</w:t>
      </w:r>
      <w:r>
        <w:rPr>
          <w:szCs w:val="24"/>
        </w:rPr>
        <w:t xml:space="preserve">  This incentive strategy is identical to that used by the National Survey of Mortgage Borrowers</w:t>
      </w:r>
      <w:r w:rsidR="00242DC7">
        <w:rPr>
          <w:szCs w:val="24"/>
        </w:rPr>
        <w:t xml:space="preserve"> and the</w:t>
      </w:r>
      <w:r>
        <w:rPr>
          <w:szCs w:val="24"/>
        </w:rPr>
        <w:t xml:space="preserve"> Survey of Consumer Views on Debt.</w:t>
      </w:r>
    </w:p>
    <w:p w14:paraId="1BCF0CE3" w14:textId="77777777" w:rsidR="006D1BBF" w:rsidRPr="0046022A" w:rsidRDefault="006D1BBF" w:rsidP="00881678">
      <w:pPr>
        <w:spacing w:line="360" w:lineRule="auto"/>
        <w:ind w:firstLine="720"/>
      </w:pPr>
      <w:r>
        <w:t>Meta-analyses of mail surveys find that incentives given initially with the questionnaire yield significantly higher response rates than do incentives contingent on return of the survey or no incentives; furthermore, monetary incentives produce a stronger effect than non-monetary incentives.</w:t>
      </w:r>
      <w:r>
        <w:rPr>
          <w:rStyle w:val="FootnoteReference"/>
        </w:rPr>
        <w:footnoteReference w:id="3"/>
      </w:r>
      <w:r w:rsidR="00E2607C" w:rsidRPr="00E2607C">
        <w:rPr>
          <w:vertAlign w:val="superscript"/>
        </w:rPr>
        <w:t>,</w:t>
      </w:r>
      <w:r w:rsidR="00E2607C">
        <w:rPr>
          <w:rStyle w:val="FootnoteReference"/>
        </w:rPr>
        <w:footnoteReference w:id="4"/>
      </w:r>
      <w:r w:rsidR="00AC4AEE">
        <w:rPr>
          <w:vertAlign w:val="superscript"/>
        </w:rPr>
        <w:t xml:space="preserve">    </w:t>
      </w:r>
      <w:r w:rsidR="00AC4AEE">
        <w:t>Many recurring federally-funded surveys use monetary incentives, including the Survey of Consumer Finances, the Survey of Income and Program Participation, and the National Survey of Drug Use and Health, and self-administered surveys such as the Survey of Doctorate Recipients, the National Survey of Recent College Graduates, and the National Survey of Mortgage Borrowers.</w:t>
      </w:r>
      <w:r w:rsidR="00AC4AEE">
        <w:rPr>
          <w:rStyle w:val="FootnoteReference"/>
        </w:rPr>
        <w:footnoteReference w:id="5"/>
      </w:r>
      <w:r w:rsidR="00D06429">
        <w:t xml:space="preserve">  Incentives have consistently been found to improve response rates across a variety of survey topics and modes.</w:t>
      </w:r>
      <w:r w:rsidR="00D06429">
        <w:rPr>
          <w:rStyle w:val="FootnoteReference"/>
        </w:rPr>
        <w:footnoteReference w:id="6"/>
      </w:r>
      <w:r w:rsidR="00353219" w:rsidRPr="00353219">
        <w:rPr>
          <w:vertAlign w:val="superscript"/>
        </w:rPr>
        <w:t>,</w:t>
      </w:r>
      <w:r w:rsidR="00353219">
        <w:rPr>
          <w:rStyle w:val="FootnoteReference"/>
        </w:rPr>
        <w:footnoteReference w:id="7"/>
      </w:r>
      <w:r w:rsidR="0046022A">
        <w:t xml:space="preserve">  Incentives have been found to be cost-effective in different modes</w:t>
      </w:r>
      <w:r w:rsidR="009F3EF8">
        <w:t xml:space="preserve"> and</w:t>
      </w:r>
      <w:r w:rsidR="0046022A">
        <w:t xml:space="preserve"> often reduc</w:t>
      </w:r>
      <w:r w:rsidR="009F3EF8">
        <w:t>e</w:t>
      </w:r>
      <w:r w:rsidR="0046022A">
        <w:t xml:space="preserve"> the effort required to contact and interview sample persons or the number of follow-up mailings.</w:t>
      </w:r>
      <w:r w:rsidR="0046022A">
        <w:rPr>
          <w:rStyle w:val="FootnoteReference"/>
        </w:rPr>
        <w:footnoteReference w:id="8"/>
      </w:r>
      <w:r w:rsidR="005169E4" w:rsidRPr="00EE083C">
        <w:rPr>
          <w:vertAlign w:val="superscript"/>
        </w:rPr>
        <w:t>,</w:t>
      </w:r>
      <w:r w:rsidR="005169E4">
        <w:rPr>
          <w:rStyle w:val="FootnoteReference"/>
        </w:rPr>
        <w:footnoteReference w:id="9"/>
      </w:r>
      <w:r w:rsidR="00EE083C" w:rsidRPr="00EE083C">
        <w:rPr>
          <w:vertAlign w:val="superscript"/>
        </w:rPr>
        <w:t>,</w:t>
      </w:r>
      <w:r w:rsidR="00B4277B">
        <w:rPr>
          <w:rStyle w:val="FootnoteReference"/>
        </w:rPr>
        <w:footnoteReference w:id="10"/>
      </w:r>
    </w:p>
    <w:p w14:paraId="712E0F71" w14:textId="77777777" w:rsidR="00156225" w:rsidRDefault="00156225" w:rsidP="0084450E">
      <w:pPr>
        <w:rPr>
          <w:b/>
        </w:rPr>
      </w:pPr>
    </w:p>
    <w:p w14:paraId="0F135DFC" w14:textId="77777777" w:rsidR="00881678" w:rsidRDefault="00881678" w:rsidP="0084450E">
      <w:pPr>
        <w:rPr>
          <w:b/>
        </w:rPr>
      </w:pPr>
    </w:p>
    <w:p w14:paraId="750950CE" w14:textId="77777777" w:rsidR="0084450E" w:rsidRDefault="0084450E" w:rsidP="0084450E">
      <w:pPr>
        <w:rPr>
          <w:b/>
        </w:rPr>
      </w:pPr>
      <w:r>
        <w:rPr>
          <w:b/>
        </w:rPr>
        <w:t xml:space="preserve">10.  </w:t>
      </w:r>
      <w:r w:rsidRPr="004C034A">
        <w:rPr>
          <w:b/>
          <w:u w:val="single"/>
        </w:rPr>
        <w:t>Assurances of Confidentiality</w:t>
      </w:r>
    </w:p>
    <w:p w14:paraId="016DDAE3" w14:textId="77777777" w:rsidR="0084450E" w:rsidRDefault="0084450E" w:rsidP="0084450E">
      <w:pPr>
        <w:rPr>
          <w:b/>
        </w:rPr>
      </w:pPr>
    </w:p>
    <w:p w14:paraId="6E72E73E" w14:textId="41B26A4B" w:rsidR="007B0F70" w:rsidRDefault="00EC19BC" w:rsidP="00881678">
      <w:pPr>
        <w:pStyle w:val="PlainText"/>
        <w:spacing w:after="120" w:line="360" w:lineRule="auto"/>
        <w:ind w:firstLine="432"/>
        <w:rPr>
          <w:rFonts w:ascii="Times New Roman" w:hAnsi="Times New Roman" w:cs="Times New Roman"/>
          <w:sz w:val="24"/>
          <w:szCs w:val="24"/>
        </w:rPr>
      </w:pPr>
      <w:r>
        <w:rPr>
          <w:rFonts w:ascii="Times New Roman" w:hAnsi="Times New Roman" w:cs="Times New Roman"/>
          <w:sz w:val="24"/>
          <w:szCs w:val="24"/>
        </w:rPr>
        <w:t xml:space="preserve">The </w:t>
      </w:r>
      <w:r w:rsidR="007B0F70">
        <w:rPr>
          <w:rFonts w:ascii="Times New Roman" w:hAnsi="Times New Roman" w:cs="Times New Roman"/>
          <w:sz w:val="24"/>
          <w:szCs w:val="24"/>
        </w:rPr>
        <w:t>CFPB shall treat the information in accordance with applicable federal law, including</w:t>
      </w:r>
      <w:r w:rsidR="005A7E19">
        <w:rPr>
          <w:rFonts w:ascii="Times New Roman" w:hAnsi="Times New Roman" w:cs="Times New Roman"/>
          <w:sz w:val="24"/>
          <w:szCs w:val="24"/>
        </w:rPr>
        <w:t>,</w:t>
      </w:r>
      <w:r w:rsidR="007B0F70">
        <w:rPr>
          <w:rFonts w:ascii="Times New Roman" w:hAnsi="Times New Roman" w:cs="Times New Roman"/>
          <w:sz w:val="24"/>
          <w:szCs w:val="24"/>
        </w:rPr>
        <w:t xml:space="preserve"> but not limited to</w:t>
      </w:r>
      <w:r w:rsidR="005A7E19">
        <w:rPr>
          <w:rFonts w:ascii="Times New Roman" w:hAnsi="Times New Roman" w:cs="Times New Roman"/>
          <w:sz w:val="24"/>
          <w:szCs w:val="24"/>
        </w:rPr>
        <w:t>,</w:t>
      </w:r>
      <w:r w:rsidR="007B0F70">
        <w:rPr>
          <w:rFonts w:ascii="Times New Roman" w:hAnsi="Times New Roman" w:cs="Times New Roman"/>
          <w:sz w:val="24"/>
          <w:szCs w:val="24"/>
        </w:rPr>
        <w:t xml:space="preserve"> the Bureau’s confidentiality rules, 12 C.F.R. Part 1070, and the federal laws and regulations that apply to federal agencies for the protection of privacy, confidentiality, security and integrity. </w:t>
      </w:r>
    </w:p>
    <w:p w14:paraId="491E18E1" w14:textId="77777777" w:rsidR="007B0F70" w:rsidRDefault="007B0F70" w:rsidP="00881678">
      <w:pPr>
        <w:pStyle w:val="Num-DocParagraph"/>
        <w:spacing w:line="360" w:lineRule="auto"/>
        <w:ind w:firstLine="432"/>
      </w:pPr>
      <w:r>
        <w:rPr>
          <w:rFonts w:ascii="Times New Roman" w:hAnsi="Times New Roman" w:cs="Times New Roman"/>
          <w:sz w:val="24"/>
          <w:szCs w:val="24"/>
        </w:rPr>
        <w:t xml:space="preserve">The CFPB uses best practices of social science research design to inform the notice and consent vehicles. </w:t>
      </w:r>
      <w:r>
        <w:rPr>
          <w:rFonts w:ascii="Times New Roman" w:hAnsi="Times New Roman" w:cs="Times New Roman"/>
          <w:bCs/>
          <w:sz w:val="24"/>
          <w:szCs w:val="24"/>
        </w:rPr>
        <w:t xml:space="preserve">For research studies under this generic clearance, the CFPB provides notice to individuals that explain how their information will be used through </w:t>
      </w:r>
      <w:r w:rsidR="000653A2">
        <w:rPr>
          <w:rFonts w:ascii="Times New Roman" w:hAnsi="Times New Roman" w:cs="Times New Roman"/>
          <w:bCs/>
          <w:sz w:val="24"/>
          <w:szCs w:val="24"/>
        </w:rPr>
        <w:t>Privacy Act Statements. Privacy Act Statements are</w:t>
      </w:r>
      <w:r>
        <w:rPr>
          <w:rFonts w:ascii="Times New Roman" w:hAnsi="Times New Roman" w:cs="Times New Roman"/>
          <w:bCs/>
          <w:sz w:val="24"/>
          <w:szCs w:val="24"/>
        </w:rPr>
        <w:t xml:space="preserve"> made available prior to the collection of information and explain whether the information is mandatory or voluntary; </w:t>
      </w:r>
      <w:r w:rsidR="000653A2">
        <w:rPr>
          <w:rFonts w:ascii="Times New Roman" w:hAnsi="Times New Roman" w:cs="Times New Roman"/>
          <w:bCs/>
          <w:sz w:val="24"/>
          <w:szCs w:val="24"/>
        </w:rPr>
        <w:t xml:space="preserve">the authority for the information collection; </w:t>
      </w:r>
      <w:r>
        <w:rPr>
          <w:rFonts w:ascii="Times New Roman" w:hAnsi="Times New Roman" w:cs="Times New Roman"/>
          <w:bCs/>
          <w:sz w:val="24"/>
          <w:szCs w:val="24"/>
        </w:rPr>
        <w:t xml:space="preserve">whether there are any opportunities to consent to sharing and submission of information; how the information will be secured and </w:t>
      </w:r>
      <w:r w:rsidR="000653A2">
        <w:rPr>
          <w:rFonts w:ascii="Times New Roman" w:hAnsi="Times New Roman" w:cs="Times New Roman"/>
          <w:bCs/>
          <w:sz w:val="24"/>
          <w:szCs w:val="24"/>
        </w:rPr>
        <w:t xml:space="preserve">what </w:t>
      </w:r>
      <w:r>
        <w:rPr>
          <w:rFonts w:ascii="Times New Roman" w:hAnsi="Times New Roman" w:cs="Times New Roman"/>
          <w:bCs/>
          <w:sz w:val="24"/>
          <w:szCs w:val="24"/>
        </w:rPr>
        <w:t xml:space="preserve">System of Records </w:t>
      </w:r>
      <w:r w:rsidR="000653A2">
        <w:rPr>
          <w:rFonts w:ascii="Times New Roman" w:hAnsi="Times New Roman" w:cs="Times New Roman"/>
          <w:bCs/>
          <w:sz w:val="24"/>
          <w:szCs w:val="24"/>
        </w:rPr>
        <w:t>applies</w:t>
      </w:r>
      <w:r>
        <w:rPr>
          <w:rFonts w:ascii="Times New Roman" w:hAnsi="Times New Roman" w:cs="Times New Roman"/>
          <w:bCs/>
          <w:sz w:val="24"/>
          <w:szCs w:val="24"/>
        </w:rPr>
        <w:t xml:space="preserve">. </w:t>
      </w:r>
    </w:p>
    <w:p w14:paraId="22AD4F93" w14:textId="40EDAEEA" w:rsidR="007B0F70" w:rsidRDefault="007B0F70" w:rsidP="00881678">
      <w:pPr>
        <w:pStyle w:val="PlainText"/>
        <w:spacing w:after="120" w:line="360" w:lineRule="auto"/>
        <w:ind w:firstLine="432"/>
        <w:rPr>
          <w:rFonts w:ascii="Times New Roman" w:hAnsi="Times New Roman" w:cs="Times New Roman"/>
          <w:sz w:val="24"/>
          <w:szCs w:val="24"/>
        </w:rPr>
      </w:pPr>
      <w:r>
        <w:rPr>
          <w:rFonts w:ascii="Times New Roman" w:hAnsi="Times New Roman" w:cs="Times New Roman"/>
          <w:sz w:val="24"/>
          <w:szCs w:val="24"/>
        </w:rPr>
        <w:t xml:space="preserve">The information collected under this generic clearance </w:t>
      </w:r>
      <w:r w:rsidR="009014F1">
        <w:rPr>
          <w:rFonts w:ascii="Times New Roman" w:hAnsi="Times New Roman" w:cs="Times New Roman"/>
          <w:sz w:val="24"/>
          <w:szCs w:val="24"/>
        </w:rPr>
        <w:t xml:space="preserve">by contractors will </w:t>
      </w:r>
      <w:r>
        <w:rPr>
          <w:rFonts w:ascii="Times New Roman" w:hAnsi="Times New Roman" w:cs="Times New Roman"/>
          <w:sz w:val="24"/>
          <w:szCs w:val="24"/>
        </w:rPr>
        <w:t xml:space="preserve">include direct identifying </w:t>
      </w:r>
      <w:r w:rsidR="004D6C54">
        <w:rPr>
          <w:rFonts w:ascii="Times New Roman" w:hAnsi="Times New Roman" w:cs="Times New Roman"/>
          <w:sz w:val="24"/>
          <w:szCs w:val="24"/>
        </w:rPr>
        <w:t>PII</w:t>
      </w:r>
      <w:r w:rsidR="009014F1">
        <w:rPr>
          <w:rFonts w:ascii="Times New Roman" w:hAnsi="Times New Roman" w:cs="Times New Roman"/>
          <w:sz w:val="24"/>
          <w:szCs w:val="24"/>
        </w:rPr>
        <w:t xml:space="preserve"> in order to contact survey participants and match the survey data to administrative records</w:t>
      </w:r>
      <w:r>
        <w:rPr>
          <w:rFonts w:ascii="Times New Roman" w:hAnsi="Times New Roman" w:cs="Times New Roman"/>
          <w:sz w:val="24"/>
          <w:szCs w:val="24"/>
        </w:rPr>
        <w:t xml:space="preserve">. </w:t>
      </w:r>
      <w:r w:rsidR="009014F1">
        <w:rPr>
          <w:rFonts w:ascii="Times New Roman" w:hAnsi="Times New Roman" w:cs="Times New Roman"/>
          <w:sz w:val="24"/>
          <w:szCs w:val="24"/>
        </w:rPr>
        <w:t>The CFPB will only receive and keep</w:t>
      </w:r>
      <w:r>
        <w:rPr>
          <w:rFonts w:ascii="Times New Roman" w:hAnsi="Times New Roman" w:cs="Times New Roman"/>
          <w:sz w:val="24"/>
          <w:szCs w:val="24"/>
        </w:rPr>
        <w:t xml:space="preserve"> response data </w:t>
      </w:r>
      <w:r w:rsidR="009014F1">
        <w:rPr>
          <w:rFonts w:ascii="Times New Roman" w:hAnsi="Times New Roman" w:cs="Times New Roman"/>
          <w:sz w:val="24"/>
          <w:szCs w:val="24"/>
        </w:rPr>
        <w:t xml:space="preserve">stripped of </w:t>
      </w:r>
      <w:r w:rsidR="0039170D">
        <w:rPr>
          <w:rFonts w:ascii="Times New Roman" w:hAnsi="Times New Roman" w:cs="Times New Roman"/>
          <w:sz w:val="24"/>
          <w:szCs w:val="24"/>
        </w:rPr>
        <w:t xml:space="preserve">direct identifying </w:t>
      </w:r>
      <w:r w:rsidR="009014F1">
        <w:rPr>
          <w:rFonts w:ascii="Times New Roman" w:hAnsi="Times New Roman" w:cs="Times New Roman"/>
          <w:sz w:val="24"/>
          <w:szCs w:val="24"/>
        </w:rPr>
        <w:t>PII</w:t>
      </w:r>
      <w:r>
        <w:rPr>
          <w:rFonts w:ascii="Times New Roman" w:hAnsi="Times New Roman" w:cs="Times New Roman"/>
          <w:sz w:val="24"/>
          <w:szCs w:val="24"/>
        </w:rPr>
        <w:t xml:space="preserve">. </w:t>
      </w:r>
    </w:p>
    <w:p w14:paraId="6DD27A17" w14:textId="0D2B732F" w:rsidR="007B0F70" w:rsidRDefault="007B0F70" w:rsidP="00881678">
      <w:pPr>
        <w:pStyle w:val="Num-DocParagraph"/>
        <w:spacing w:after="120" w:line="360" w:lineRule="auto"/>
        <w:ind w:firstLine="432"/>
        <w:rPr>
          <w:rFonts w:ascii="Times New Roman" w:hAnsi="Times New Roman" w:cs="Times New Roman"/>
          <w:sz w:val="24"/>
          <w:szCs w:val="24"/>
        </w:rPr>
      </w:pPr>
      <w:r>
        <w:rPr>
          <w:rFonts w:ascii="Times New Roman" w:hAnsi="Times New Roman" w:cs="Times New Roman"/>
          <w:sz w:val="24"/>
          <w:szCs w:val="24"/>
        </w:rPr>
        <w:t xml:space="preserve">Conducting </w:t>
      </w:r>
      <w:r w:rsidR="00F30881">
        <w:rPr>
          <w:rFonts w:ascii="Times New Roman" w:hAnsi="Times New Roman" w:cs="Times New Roman"/>
          <w:sz w:val="24"/>
          <w:szCs w:val="24"/>
        </w:rPr>
        <w:t>these research</w:t>
      </w:r>
      <w:r>
        <w:rPr>
          <w:rFonts w:ascii="Times New Roman" w:hAnsi="Times New Roman" w:cs="Times New Roman"/>
          <w:sz w:val="24"/>
          <w:szCs w:val="24"/>
        </w:rPr>
        <w:t xml:space="preserve"> studies implicates privacy concerns because a breach of confidentiality, or re-identification, could result in individual</w:t>
      </w:r>
      <w:r w:rsidR="007207DC">
        <w:rPr>
          <w:rFonts w:ascii="Times New Roman" w:hAnsi="Times New Roman" w:cs="Times New Roman"/>
          <w:sz w:val="24"/>
          <w:szCs w:val="24"/>
        </w:rPr>
        <w:t>s</w:t>
      </w:r>
      <w:r>
        <w:rPr>
          <w:rFonts w:ascii="Times New Roman" w:hAnsi="Times New Roman" w:cs="Times New Roman"/>
          <w:sz w:val="24"/>
          <w:szCs w:val="24"/>
        </w:rPr>
        <w:t xml:space="preserve"> suffering harm.</w:t>
      </w:r>
      <w:r>
        <w:t xml:space="preserve">  </w:t>
      </w:r>
      <w:r>
        <w:rPr>
          <w:rFonts w:ascii="Times New Roman" w:hAnsi="Times New Roman" w:cs="Times New Roman"/>
          <w:sz w:val="24"/>
          <w:szCs w:val="24"/>
        </w:rPr>
        <w:t xml:space="preserve">To reduce the risk of breaches of confidentiality, the CFPB designs recruitment materials so as not to disclose sensitive information about those it seeks to recruit and uses appropriate security controls to protect information </w:t>
      </w:r>
      <w:r w:rsidR="00B757F1">
        <w:rPr>
          <w:rFonts w:ascii="Times New Roman" w:hAnsi="Times New Roman" w:cs="Times New Roman"/>
          <w:sz w:val="24"/>
          <w:szCs w:val="24"/>
        </w:rPr>
        <w:t xml:space="preserve">obtained, used, and maintained </w:t>
      </w:r>
      <w:r>
        <w:rPr>
          <w:rFonts w:ascii="Times New Roman" w:hAnsi="Times New Roman" w:cs="Times New Roman"/>
          <w:sz w:val="24"/>
          <w:szCs w:val="24"/>
        </w:rPr>
        <w:t>in research. There is also risk related to misuse of information collected for research. Misuse might involve secondary types of research that are incompatible with the purposes of the initial collection or a use of the information that individuals do not understand or to which they have not provided consent.</w:t>
      </w:r>
    </w:p>
    <w:p w14:paraId="3EA2AD55" w14:textId="6014231A" w:rsidR="007B0F70" w:rsidRDefault="007B0F70" w:rsidP="00881678">
      <w:pPr>
        <w:pStyle w:val="Num-DocParagraph"/>
        <w:spacing w:after="120" w:line="360" w:lineRule="auto"/>
        <w:ind w:firstLine="432"/>
        <w:rPr>
          <w:rFonts w:ascii="Times New Roman" w:hAnsi="Times New Roman" w:cs="Times New Roman"/>
          <w:sz w:val="24"/>
          <w:szCs w:val="24"/>
        </w:rPr>
      </w:pPr>
      <w:r>
        <w:rPr>
          <w:rFonts w:ascii="Times New Roman" w:hAnsi="Times New Roman" w:cs="Times New Roman"/>
          <w:sz w:val="24"/>
          <w:szCs w:val="24"/>
        </w:rPr>
        <w:t xml:space="preserve">To reduce the risk of misuse, the CFPB minimizes access to PII </w:t>
      </w:r>
      <w:r w:rsidR="00B757F1">
        <w:rPr>
          <w:rFonts w:ascii="Times New Roman" w:hAnsi="Times New Roman" w:cs="Times New Roman"/>
          <w:sz w:val="24"/>
          <w:szCs w:val="24"/>
        </w:rPr>
        <w:t>to those who need to know that information and requires</w:t>
      </w:r>
      <w:r>
        <w:rPr>
          <w:rFonts w:ascii="Times New Roman" w:hAnsi="Times New Roman" w:cs="Times New Roman"/>
          <w:sz w:val="24"/>
          <w:szCs w:val="24"/>
        </w:rPr>
        <w:t xml:space="preserve">, in most instances, that contractors that collect data on behalf of the Bureau remove or redact all direct identifying PII, as defined by the Bureau’s privacy office, before transmitting data to the Bureau.  Any contractor staff assigned to the project also sign confidentiality agreements. </w:t>
      </w:r>
      <w:r w:rsidR="00B757F1">
        <w:rPr>
          <w:rFonts w:ascii="Times New Roman" w:hAnsi="Times New Roman" w:cs="Times New Roman"/>
          <w:sz w:val="24"/>
          <w:szCs w:val="24"/>
        </w:rPr>
        <w:t xml:space="preserve">If </w:t>
      </w:r>
      <w:r>
        <w:rPr>
          <w:rFonts w:ascii="Times New Roman" w:hAnsi="Times New Roman" w:cs="Times New Roman"/>
          <w:sz w:val="24"/>
          <w:szCs w:val="24"/>
        </w:rPr>
        <w:t xml:space="preserve">appropriate, research results will be presented in aggregated form to protect the confidentiality of firms or consumers, and any publicly released version of data will use disclosure protection techniques (e.g., rounding, imputation, exclusion of some variables, aggregation of categorical responses) to minimize the risk of releasing </w:t>
      </w:r>
      <w:r w:rsidR="004D6C54">
        <w:rPr>
          <w:rFonts w:ascii="Times New Roman" w:hAnsi="Times New Roman" w:cs="Times New Roman"/>
          <w:sz w:val="24"/>
          <w:szCs w:val="24"/>
        </w:rPr>
        <w:t>PII</w:t>
      </w:r>
      <w:r>
        <w:rPr>
          <w:rFonts w:ascii="Times New Roman" w:hAnsi="Times New Roman" w:cs="Times New Roman"/>
          <w:sz w:val="24"/>
          <w:szCs w:val="24"/>
        </w:rPr>
        <w:t xml:space="preserve"> or otherwise sensitive information (12 </w:t>
      </w:r>
      <w:r w:rsidR="00411912">
        <w:rPr>
          <w:rFonts w:ascii="Times New Roman" w:hAnsi="Times New Roman" w:cs="Times New Roman"/>
          <w:sz w:val="24"/>
          <w:szCs w:val="24"/>
        </w:rPr>
        <w:t>C.F.R.</w:t>
      </w:r>
      <w:r>
        <w:rPr>
          <w:rFonts w:ascii="Times New Roman" w:hAnsi="Times New Roman" w:cs="Times New Roman"/>
          <w:sz w:val="24"/>
          <w:szCs w:val="24"/>
        </w:rPr>
        <w:t xml:space="preserve"> 1070.40 </w:t>
      </w:r>
      <w:r>
        <w:rPr>
          <w:rFonts w:ascii="Times New Roman" w:hAnsi="Times New Roman" w:cs="Times New Roman"/>
          <w:i/>
          <w:sz w:val="24"/>
          <w:szCs w:val="24"/>
        </w:rPr>
        <w:t>et seq.</w:t>
      </w:r>
      <w:r>
        <w:rPr>
          <w:rFonts w:ascii="Times New Roman" w:hAnsi="Times New Roman" w:cs="Times New Roman"/>
          <w:sz w:val="24"/>
          <w:szCs w:val="24"/>
        </w:rPr>
        <w:t xml:space="preserve">). The Bureau treats the information collected from participating persons and institutions in a manner consistent with our confidentiality regulations, and all data and analyses are subject to legal and privacy review prior to their release. </w:t>
      </w:r>
    </w:p>
    <w:p w14:paraId="01E05BCB" w14:textId="5C356641" w:rsidR="007B0F70" w:rsidRDefault="0039170D" w:rsidP="00881678">
      <w:pPr>
        <w:pStyle w:val="Num-DocParagraph"/>
        <w:spacing w:line="360" w:lineRule="auto"/>
        <w:ind w:firstLine="432"/>
        <w:rPr>
          <w:rFonts w:ascii="Times New Roman" w:hAnsi="Times New Roman" w:cs="Times New Roman"/>
          <w:sz w:val="24"/>
          <w:szCs w:val="24"/>
        </w:rPr>
      </w:pPr>
      <w:r>
        <w:rPr>
          <w:rFonts w:ascii="Times New Roman" w:hAnsi="Times New Roman" w:cs="Times New Roman"/>
          <w:sz w:val="24"/>
          <w:szCs w:val="24"/>
        </w:rPr>
        <w:t>The Bureau also evaluates the potential privacy risk and harm to individuals of specific research relative to</w:t>
      </w:r>
      <w:r w:rsidR="00D10FE1">
        <w:rPr>
          <w:rFonts w:ascii="Times New Roman" w:hAnsi="Times New Roman" w:cs="Times New Roman"/>
          <w:sz w:val="24"/>
          <w:szCs w:val="24"/>
        </w:rPr>
        <w:t xml:space="preserve"> </w:t>
      </w:r>
      <w:r w:rsidR="00B939BA">
        <w:rPr>
          <w:rFonts w:ascii="Times New Roman" w:hAnsi="Times New Roman" w:cs="Times New Roman"/>
          <w:sz w:val="24"/>
          <w:szCs w:val="24"/>
        </w:rPr>
        <w:t>an</w:t>
      </w:r>
      <w:r w:rsidR="00D10FE1">
        <w:rPr>
          <w:rFonts w:ascii="Times New Roman" w:hAnsi="Times New Roman" w:cs="Times New Roman"/>
          <w:sz w:val="24"/>
          <w:szCs w:val="24"/>
        </w:rPr>
        <w:t xml:space="preserve"> approved purpose </w:t>
      </w:r>
      <w:r w:rsidR="00B939BA">
        <w:rPr>
          <w:rFonts w:ascii="Times New Roman" w:hAnsi="Times New Roman" w:cs="Times New Roman"/>
          <w:sz w:val="24"/>
          <w:szCs w:val="24"/>
        </w:rPr>
        <w:t>related to the statutory authority of the Bureau</w:t>
      </w:r>
      <w:r>
        <w:rPr>
          <w:rFonts w:ascii="Times New Roman" w:hAnsi="Times New Roman" w:cs="Times New Roman"/>
          <w:sz w:val="24"/>
          <w:szCs w:val="24"/>
        </w:rPr>
        <w:t xml:space="preserve"> and vets research proposals to ensure that they serve </w:t>
      </w:r>
      <w:r w:rsidR="00B939BA">
        <w:rPr>
          <w:rFonts w:ascii="Times New Roman" w:hAnsi="Times New Roman" w:cs="Times New Roman"/>
          <w:sz w:val="24"/>
          <w:szCs w:val="24"/>
        </w:rPr>
        <w:t xml:space="preserve">an approved </w:t>
      </w:r>
      <w:r>
        <w:rPr>
          <w:rFonts w:ascii="Times New Roman" w:hAnsi="Times New Roman" w:cs="Times New Roman"/>
          <w:sz w:val="24"/>
          <w:szCs w:val="24"/>
        </w:rPr>
        <w:t>purpose</w:t>
      </w:r>
      <w:r w:rsidR="00B939BA">
        <w:rPr>
          <w:rFonts w:ascii="Times New Roman" w:hAnsi="Times New Roman" w:cs="Times New Roman"/>
          <w:sz w:val="24"/>
          <w:szCs w:val="24"/>
        </w:rPr>
        <w:t xml:space="preserve"> related to the statutory authority of the Bureau</w:t>
      </w:r>
      <w:r>
        <w:rPr>
          <w:rFonts w:ascii="Times New Roman" w:hAnsi="Times New Roman" w:cs="Times New Roman"/>
          <w:sz w:val="24"/>
          <w:szCs w:val="24"/>
        </w:rPr>
        <w:t>. Research conduct</w:t>
      </w:r>
      <w:r w:rsidR="00EB733D">
        <w:rPr>
          <w:rFonts w:ascii="Times New Roman" w:hAnsi="Times New Roman" w:cs="Times New Roman"/>
          <w:sz w:val="24"/>
          <w:szCs w:val="24"/>
        </w:rPr>
        <w:t>ed</w:t>
      </w:r>
      <w:r>
        <w:rPr>
          <w:rFonts w:ascii="Times New Roman" w:hAnsi="Times New Roman" w:cs="Times New Roman"/>
          <w:sz w:val="24"/>
          <w:szCs w:val="24"/>
        </w:rPr>
        <w:t xml:space="preserve"> under this generic clearance will be consistent with the Privacy Act and the E-Government Act.  </w:t>
      </w:r>
      <w:r>
        <w:rPr>
          <w:rFonts w:ascii="Times New Roman" w:hAnsi="Times New Roman" w:cs="Times New Roman"/>
          <w:bCs/>
          <w:sz w:val="24"/>
          <w:szCs w:val="24"/>
        </w:rPr>
        <w:t xml:space="preserve">The requisite SORNs and PIAs will document the collection, use, disclosure, and retention of PII; the technical, administrative, and physical controls used to minimize privacy risks. The </w:t>
      </w:r>
      <w:r w:rsidRPr="0039170D">
        <w:rPr>
          <w:rFonts w:ascii="Times New Roman" w:hAnsi="Times New Roman" w:cs="Times New Roman"/>
          <w:sz w:val="24"/>
          <w:szCs w:val="24"/>
        </w:rPr>
        <w:t>CFPB.022</w:t>
      </w:r>
      <w:r>
        <w:rPr>
          <w:rFonts w:ascii="Times New Roman" w:hAnsi="Times New Roman" w:cs="Times New Roman"/>
          <w:sz w:val="24"/>
          <w:szCs w:val="24"/>
        </w:rPr>
        <w:t xml:space="preserve"> </w:t>
      </w:r>
      <w:r w:rsidRPr="0039170D">
        <w:rPr>
          <w:rFonts w:ascii="Times New Roman" w:hAnsi="Times New Roman" w:cs="Times New Roman"/>
          <w:sz w:val="24"/>
          <w:szCs w:val="24"/>
        </w:rPr>
        <w:t>Market and Consumer Research Records</w:t>
      </w:r>
      <w:r>
        <w:rPr>
          <w:rFonts w:ascii="Times New Roman" w:hAnsi="Times New Roman" w:cs="Times New Roman"/>
          <w:sz w:val="24"/>
          <w:szCs w:val="24"/>
        </w:rPr>
        <w:t xml:space="preserve">, </w:t>
      </w:r>
      <w:r w:rsidR="00923403">
        <w:rPr>
          <w:rFonts w:ascii="Times New Roman" w:hAnsi="Times New Roman" w:cs="Times New Roman"/>
          <w:sz w:val="24"/>
          <w:szCs w:val="24"/>
        </w:rPr>
        <w:t>83 FR 23435</w:t>
      </w:r>
      <w:r>
        <w:rPr>
          <w:rFonts w:ascii="Times New Roman" w:hAnsi="Times New Roman" w:cs="Times New Roman"/>
          <w:sz w:val="24"/>
          <w:szCs w:val="24"/>
        </w:rPr>
        <w:t xml:space="preserve"> System of Records Notice</w:t>
      </w:r>
      <w:r w:rsidR="00A5507B">
        <w:rPr>
          <w:rFonts w:ascii="Times New Roman" w:hAnsi="Times New Roman" w:cs="Times New Roman"/>
          <w:sz w:val="24"/>
          <w:szCs w:val="24"/>
        </w:rPr>
        <w:t xml:space="preserve"> (SORN)</w:t>
      </w:r>
      <w:r>
        <w:rPr>
          <w:rFonts w:ascii="Times New Roman" w:hAnsi="Times New Roman" w:cs="Times New Roman"/>
          <w:sz w:val="24"/>
          <w:szCs w:val="24"/>
        </w:rPr>
        <w:t xml:space="preserve">, and the Market Analysis of Administrative Data under Research Authorities </w:t>
      </w:r>
      <w:r w:rsidR="00A5507B">
        <w:rPr>
          <w:rFonts w:ascii="Times New Roman" w:hAnsi="Times New Roman" w:cs="Times New Roman"/>
          <w:sz w:val="24"/>
          <w:szCs w:val="24"/>
        </w:rPr>
        <w:t xml:space="preserve">Privacy Impact Assessment (PIA) </w:t>
      </w:r>
      <w:r>
        <w:rPr>
          <w:rFonts w:ascii="Times New Roman" w:hAnsi="Times New Roman" w:cs="Times New Roman"/>
          <w:sz w:val="24"/>
          <w:szCs w:val="24"/>
        </w:rPr>
        <w:t xml:space="preserve">cover the use of administrative data and the matching required to contact potential survey respondents. </w:t>
      </w:r>
      <w:r w:rsidR="00EB733D">
        <w:rPr>
          <w:rFonts w:ascii="Times New Roman" w:hAnsi="Times New Roman" w:cs="Times New Roman"/>
          <w:sz w:val="24"/>
          <w:szCs w:val="24"/>
        </w:rPr>
        <w:t>The</w:t>
      </w:r>
      <w:r>
        <w:rPr>
          <w:rFonts w:ascii="Times New Roman" w:hAnsi="Times New Roman" w:cs="Times New Roman"/>
          <w:sz w:val="24"/>
          <w:szCs w:val="24"/>
        </w:rPr>
        <w:t xml:space="preserve"> </w:t>
      </w:r>
      <w:r w:rsidR="00EB733D">
        <w:rPr>
          <w:rFonts w:ascii="Times New Roman" w:hAnsi="Times New Roman" w:cs="Times New Roman"/>
          <w:sz w:val="24"/>
          <w:szCs w:val="24"/>
        </w:rPr>
        <w:t xml:space="preserve">Consumer Experience Research PIA covers the collection of survey responses. </w:t>
      </w:r>
      <w:r w:rsidR="007B0F70">
        <w:rPr>
          <w:rFonts w:ascii="Times New Roman" w:hAnsi="Times New Roman" w:cs="Times New Roman"/>
          <w:bCs/>
          <w:sz w:val="24"/>
          <w:szCs w:val="24"/>
        </w:rPr>
        <w:t xml:space="preserve">The SORNs and PIAs will be updated </w:t>
      </w:r>
      <w:r w:rsidR="00EB733D">
        <w:rPr>
          <w:rFonts w:ascii="Times New Roman" w:hAnsi="Times New Roman" w:cs="Times New Roman"/>
          <w:bCs/>
          <w:sz w:val="24"/>
          <w:szCs w:val="24"/>
        </w:rPr>
        <w:t xml:space="preserve">as appropriate, and details regarding </w:t>
      </w:r>
      <w:r w:rsidR="007B0F70">
        <w:rPr>
          <w:rFonts w:ascii="Times New Roman" w:hAnsi="Times New Roman" w:cs="Times New Roman"/>
          <w:bCs/>
          <w:sz w:val="24"/>
          <w:szCs w:val="24"/>
        </w:rPr>
        <w:t>information handling will be specified in individual submissions under this generic clearance</w:t>
      </w:r>
      <w:r w:rsidR="00EB733D">
        <w:rPr>
          <w:rFonts w:ascii="Times New Roman" w:hAnsi="Times New Roman" w:cs="Times New Roman"/>
          <w:bCs/>
          <w:sz w:val="24"/>
          <w:szCs w:val="24"/>
        </w:rPr>
        <w:t>.</w:t>
      </w:r>
    </w:p>
    <w:p w14:paraId="172E19EB" w14:textId="397318DA" w:rsidR="00156225" w:rsidRDefault="00156225" w:rsidP="0084450E">
      <w:pPr>
        <w:rPr>
          <w:b/>
        </w:rPr>
      </w:pPr>
    </w:p>
    <w:p w14:paraId="0F8D25F6" w14:textId="230B7148" w:rsidR="00F51D08" w:rsidRDefault="00F51D08" w:rsidP="0084450E">
      <w:pPr>
        <w:rPr>
          <w:b/>
        </w:rPr>
      </w:pPr>
    </w:p>
    <w:p w14:paraId="0905AD41" w14:textId="39234B59" w:rsidR="00F51D08" w:rsidRDefault="00F51D08" w:rsidP="0084450E">
      <w:pPr>
        <w:rPr>
          <w:b/>
        </w:rPr>
      </w:pPr>
    </w:p>
    <w:p w14:paraId="1A0E5865" w14:textId="77777777" w:rsidR="00F51D08" w:rsidRDefault="00F51D08" w:rsidP="0084450E">
      <w:pPr>
        <w:rPr>
          <w:b/>
        </w:rPr>
      </w:pPr>
    </w:p>
    <w:p w14:paraId="5EA5156D" w14:textId="77777777" w:rsidR="0084450E" w:rsidRDefault="0084450E" w:rsidP="0084450E">
      <w:pPr>
        <w:rPr>
          <w:b/>
        </w:rPr>
      </w:pPr>
      <w:r>
        <w:rPr>
          <w:b/>
        </w:rPr>
        <w:t xml:space="preserve">11.  </w:t>
      </w:r>
      <w:r w:rsidRPr="004C034A">
        <w:rPr>
          <w:b/>
          <w:u w:val="single"/>
        </w:rPr>
        <w:t>Justification for Sensitive Questions</w:t>
      </w:r>
    </w:p>
    <w:p w14:paraId="7E33EB42" w14:textId="77777777" w:rsidR="00881678" w:rsidRDefault="00881678" w:rsidP="00881678">
      <w:pPr>
        <w:spacing w:line="360" w:lineRule="auto"/>
        <w:rPr>
          <w:b/>
        </w:rPr>
      </w:pPr>
    </w:p>
    <w:p w14:paraId="28D53C10" w14:textId="08BB501E" w:rsidR="00156225" w:rsidRDefault="007B40AC" w:rsidP="00881678">
      <w:pPr>
        <w:spacing w:line="360" w:lineRule="auto"/>
        <w:ind w:firstLine="720"/>
      </w:pPr>
      <w:r>
        <w:t>Questions about</w:t>
      </w:r>
      <w:r w:rsidR="00CF116B">
        <w:t xml:space="preserve"> an individual’s finances</w:t>
      </w:r>
      <w:r w:rsidR="00B757F1">
        <w:t xml:space="preserve">, </w:t>
      </w:r>
      <w:r w:rsidR="00387E02">
        <w:t>such as</w:t>
      </w:r>
      <w:r w:rsidR="00CF116B">
        <w:t xml:space="preserve"> </w:t>
      </w:r>
      <w:r w:rsidR="00DD2976">
        <w:t>monthly income or mortgage payments</w:t>
      </w:r>
      <w:r w:rsidR="00CF116B">
        <w:t>, are commonly considered sensitive.  Nonetheless, the CFPB must ask these questions to understand consumer</w:t>
      </w:r>
      <w:r w:rsidR="00A65425">
        <w:t>s’ financial situations and</w:t>
      </w:r>
      <w:r w:rsidR="00CF116B">
        <w:t xml:space="preserve"> behavior and </w:t>
      </w:r>
      <w:r w:rsidR="0009548B">
        <w:t xml:space="preserve">to </w:t>
      </w:r>
      <w:r w:rsidR="00CF116B">
        <w:t>recognize financial trends and emerg</w:t>
      </w:r>
      <w:r w:rsidR="008E0DC2">
        <w:t>ing</w:t>
      </w:r>
      <w:r w:rsidR="00CF116B">
        <w:t xml:space="preserve"> risks relevant to consumers.  The Bureau believes that </w:t>
      </w:r>
      <w:r w:rsidR="0009548B">
        <w:t xml:space="preserve">these questions are justified </w:t>
      </w:r>
      <w:r w:rsidR="001A32D1">
        <w:t>because responses to these quest</w:t>
      </w:r>
      <w:r w:rsidR="00A63884">
        <w:t>ion</w:t>
      </w:r>
      <w:r w:rsidR="00A5507B">
        <w:t>s</w:t>
      </w:r>
      <w:r w:rsidR="00A63884">
        <w:t xml:space="preserve"> provide information that </w:t>
      </w:r>
      <w:r w:rsidR="001A32D1">
        <w:t xml:space="preserve">is of </w:t>
      </w:r>
      <w:r w:rsidR="0009548B">
        <w:t>central importance to the Bureau’s mission.</w:t>
      </w:r>
    </w:p>
    <w:p w14:paraId="176DF9AC" w14:textId="6BE9C913" w:rsidR="00603B2A" w:rsidRDefault="00603B2A" w:rsidP="00881678">
      <w:pPr>
        <w:spacing w:line="360" w:lineRule="auto"/>
        <w:ind w:firstLine="720"/>
      </w:pPr>
      <w:r>
        <w:t xml:space="preserve">In addition, some people may </w:t>
      </w:r>
      <w:r w:rsidR="00A65425">
        <w:t>consider</w:t>
      </w:r>
      <w:r w:rsidR="00037C67">
        <w:t xml:space="preserve"> questions about race and</w:t>
      </w:r>
      <w:r>
        <w:t xml:space="preserve"> other socioeconomic factors </w:t>
      </w:r>
      <w:r w:rsidR="00117B66">
        <w:t xml:space="preserve">to be </w:t>
      </w:r>
      <w:r>
        <w:t>sensitive.</w:t>
      </w:r>
      <w:r w:rsidR="00037C67">
        <w:t xml:space="preserve">  </w:t>
      </w:r>
      <w:r w:rsidR="00117B66">
        <w:t xml:space="preserve">The </w:t>
      </w:r>
      <w:r w:rsidR="00037C67">
        <w:t>CFPB is mandated to enforce fair lending laws and focus on the risks to vulnerable populations, including service members</w:t>
      </w:r>
      <w:r w:rsidR="00DD2976">
        <w:t xml:space="preserve"> and </w:t>
      </w:r>
      <w:r w:rsidR="00037C67">
        <w:t>older Americans.  For this reason</w:t>
      </w:r>
      <w:r w:rsidR="002748D9">
        <w:t>, the</w:t>
      </w:r>
      <w:r w:rsidR="00037C67">
        <w:t xml:space="preserve"> Bureau often needs to ask these types of </w:t>
      </w:r>
      <w:r w:rsidR="00117B66">
        <w:t xml:space="preserve">sensitive </w:t>
      </w:r>
      <w:r w:rsidR="00037C67">
        <w:t>questions.  For information collections involving questions of race/ethnicity, the CFPB will ensure that the OMB standards for Classification of Federal Data on Race and Ethnicity</w:t>
      </w:r>
      <w:r w:rsidR="00A76726">
        <w:t>, 62 FR 210,</w:t>
      </w:r>
      <w:r w:rsidR="00037C67">
        <w:t xml:space="preserve"> are followed.</w:t>
      </w:r>
    </w:p>
    <w:p w14:paraId="710FF660" w14:textId="02D3D950" w:rsidR="00FB22FA" w:rsidRDefault="00FB22FA" w:rsidP="00881678">
      <w:pPr>
        <w:spacing w:line="360" w:lineRule="auto"/>
        <w:ind w:firstLine="432"/>
      </w:pPr>
      <w:r>
        <w:t>Respondent participation will be voluntary for each survey distributed under this generic clearance</w:t>
      </w:r>
      <w:r w:rsidR="00975B22">
        <w:t>; subjects will be made aware of this fact.  All respondents shall be free to opt</w:t>
      </w:r>
      <w:r w:rsidR="00A63A6E">
        <w:t xml:space="preserve"> </w:t>
      </w:r>
      <w:r w:rsidR="00975B22">
        <w:t>out of a data collection at any time and for any reason.</w:t>
      </w:r>
      <w:r w:rsidR="00C55105">
        <w:t xml:space="preserve">  Administrative data for the respondents and non</w:t>
      </w:r>
      <w:r w:rsidR="001B347C">
        <w:t>-</w:t>
      </w:r>
      <w:r w:rsidR="00C55105">
        <w:t>respondents will be used to analyze nonresponse bias.</w:t>
      </w:r>
    </w:p>
    <w:p w14:paraId="0C6BB83D" w14:textId="6512709F" w:rsidR="00956894" w:rsidRPr="009555A4" w:rsidRDefault="00956894" w:rsidP="00881678">
      <w:pPr>
        <w:pStyle w:val="Num-DocParagraph"/>
        <w:spacing w:line="360" w:lineRule="auto"/>
        <w:ind w:firstLine="432"/>
        <w:rPr>
          <w:rFonts w:ascii="Times New Roman" w:hAnsi="Times New Roman" w:cs="Times New Roman"/>
          <w:sz w:val="24"/>
          <w:szCs w:val="24"/>
        </w:rPr>
      </w:pPr>
      <w:r>
        <w:rPr>
          <w:rFonts w:ascii="Times New Roman" w:hAnsi="Times New Roman" w:cs="Times New Roman"/>
          <w:sz w:val="24"/>
          <w:szCs w:val="24"/>
        </w:rPr>
        <w:t>The CFPB will ensure that a</w:t>
      </w:r>
      <w:r w:rsidRPr="009555A4">
        <w:rPr>
          <w:rFonts w:ascii="Times New Roman" w:hAnsi="Times New Roman" w:cs="Times New Roman"/>
          <w:sz w:val="24"/>
          <w:szCs w:val="24"/>
        </w:rPr>
        <w:t xml:space="preserve"> citation</w:t>
      </w:r>
      <w:r>
        <w:rPr>
          <w:rFonts w:ascii="Times New Roman" w:hAnsi="Times New Roman" w:cs="Times New Roman"/>
          <w:sz w:val="24"/>
          <w:szCs w:val="24"/>
        </w:rPr>
        <w:t xml:space="preserve"> is made</w:t>
      </w:r>
      <w:r w:rsidRPr="009555A4">
        <w:rPr>
          <w:rFonts w:ascii="Times New Roman" w:hAnsi="Times New Roman" w:cs="Times New Roman"/>
          <w:sz w:val="24"/>
          <w:szCs w:val="24"/>
        </w:rPr>
        <w:t xml:space="preserve"> to any applicable </w:t>
      </w:r>
      <w:r w:rsidR="00A5507B">
        <w:rPr>
          <w:rFonts w:ascii="Times New Roman" w:hAnsi="Times New Roman" w:cs="Times New Roman"/>
          <w:sz w:val="24"/>
          <w:szCs w:val="24"/>
        </w:rPr>
        <w:t>SORNs</w:t>
      </w:r>
      <w:r>
        <w:rPr>
          <w:rFonts w:ascii="Times New Roman" w:hAnsi="Times New Roman" w:cs="Times New Roman"/>
          <w:sz w:val="24"/>
          <w:szCs w:val="24"/>
        </w:rPr>
        <w:t xml:space="preserve"> for the collection of direct identifying information, and that a </w:t>
      </w:r>
      <w:r w:rsidR="00A5507B">
        <w:rPr>
          <w:rFonts w:ascii="Times New Roman" w:hAnsi="Times New Roman" w:cs="Times New Roman"/>
          <w:sz w:val="24"/>
          <w:szCs w:val="24"/>
        </w:rPr>
        <w:t xml:space="preserve">PIA </w:t>
      </w:r>
      <w:r w:rsidRPr="009555A4">
        <w:rPr>
          <w:rFonts w:ascii="Times New Roman" w:hAnsi="Times New Roman" w:cs="Times New Roman"/>
          <w:sz w:val="24"/>
          <w:szCs w:val="24"/>
        </w:rPr>
        <w:t>is published.</w:t>
      </w:r>
    </w:p>
    <w:p w14:paraId="1B87BD47" w14:textId="77777777" w:rsidR="00156225" w:rsidRDefault="00156225" w:rsidP="0084450E">
      <w:pPr>
        <w:rPr>
          <w:b/>
        </w:rPr>
      </w:pPr>
    </w:p>
    <w:p w14:paraId="4174FA5A" w14:textId="77777777" w:rsidR="0084450E" w:rsidRPr="004C034A" w:rsidRDefault="0084450E" w:rsidP="0084450E">
      <w:pPr>
        <w:rPr>
          <w:b/>
          <w:u w:val="single"/>
        </w:rPr>
      </w:pPr>
      <w:r>
        <w:rPr>
          <w:b/>
        </w:rPr>
        <w:t xml:space="preserve">12.  </w:t>
      </w:r>
      <w:r w:rsidRPr="004C034A">
        <w:rPr>
          <w:b/>
          <w:u w:val="single"/>
        </w:rPr>
        <w:t>Estimated Burden of Information Collection</w:t>
      </w:r>
    </w:p>
    <w:p w14:paraId="3FB512F5" w14:textId="77777777" w:rsidR="0084450E" w:rsidRDefault="0084450E" w:rsidP="0084450E">
      <w:pPr>
        <w:rPr>
          <w:b/>
        </w:rPr>
      </w:pPr>
    </w:p>
    <w:p w14:paraId="20A506B1" w14:textId="77777777" w:rsidR="00F77FF0" w:rsidRPr="00952B75" w:rsidRDefault="00F77FF0" w:rsidP="00F77F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 xml:space="preserve">Exhibit 1: Burden Hour Summary </w:t>
      </w:r>
    </w:p>
    <w:tbl>
      <w:tblPr>
        <w:tblStyle w:val="TableGrid"/>
        <w:tblW w:w="9427" w:type="dxa"/>
        <w:tblInd w:w="108" w:type="dxa"/>
        <w:tblLook w:val="04A0" w:firstRow="1" w:lastRow="0" w:firstColumn="1" w:lastColumn="0" w:noHBand="0" w:noVBand="1"/>
      </w:tblPr>
      <w:tblGrid>
        <w:gridCol w:w="1867"/>
        <w:gridCol w:w="1710"/>
        <w:gridCol w:w="1403"/>
        <w:gridCol w:w="1267"/>
        <w:gridCol w:w="1796"/>
        <w:gridCol w:w="1384"/>
      </w:tblGrid>
      <w:tr w:rsidR="00ED7987" w:rsidRPr="00F51D08" w14:paraId="1F4B54D0" w14:textId="77777777" w:rsidTr="00F51D08">
        <w:trPr>
          <w:trHeight w:val="775"/>
        </w:trPr>
        <w:tc>
          <w:tcPr>
            <w:tcW w:w="1867" w:type="dxa"/>
            <w:shd w:val="clear" w:color="auto" w:fill="D9D9D9" w:themeFill="background1" w:themeFillShade="D9"/>
          </w:tcPr>
          <w:p w14:paraId="75FE64ED" w14:textId="503DF444" w:rsidR="00ED7987" w:rsidRPr="00F51D08" w:rsidRDefault="00ED7987" w:rsidP="00F51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F51D08">
              <w:rPr>
                <w:b/>
                <w:sz w:val="24"/>
                <w:szCs w:val="24"/>
              </w:rPr>
              <w:t>Information Collection</w:t>
            </w:r>
          </w:p>
        </w:tc>
        <w:tc>
          <w:tcPr>
            <w:tcW w:w="1710" w:type="dxa"/>
            <w:shd w:val="clear" w:color="auto" w:fill="D9D9D9" w:themeFill="background1" w:themeFillShade="D9"/>
          </w:tcPr>
          <w:p w14:paraId="3B72D3E1" w14:textId="77777777" w:rsidR="00ED7987" w:rsidRPr="00F51D08" w:rsidRDefault="00ED7987" w:rsidP="00F51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F51D08">
              <w:rPr>
                <w:b/>
                <w:sz w:val="24"/>
                <w:szCs w:val="24"/>
              </w:rPr>
              <w:t>No. of Respondents</w:t>
            </w:r>
          </w:p>
        </w:tc>
        <w:tc>
          <w:tcPr>
            <w:tcW w:w="1403" w:type="dxa"/>
            <w:shd w:val="clear" w:color="auto" w:fill="D9D9D9" w:themeFill="background1" w:themeFillShade="D9"/>
          </w:tcPr>
          <w:p w14:paraId="3F373B46" w14:textId="73D0C458" w:rsidR="00ED7987" w:rsidRPr="00F51D08" w:rsidRDefault="00ED7987" w:rsidP="00F51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F51D08">
              <w:rPr>
                <w:b/>
                <w:sz w:val="24"/>
                <w:szCs w:val="24"/>
              </w:rPr>
              <w:t>Frequency</w:t>
            </w:r>
          </w:p>
        </w:tc>
        <w:tc>
          <w:tcPr>
            <w:tcW w:w="1267" w:type="dxa"/>
            <w:shd w:val="clear" w:color="auto" w:fill="D9D9D9" w:themeFill="background1" w:themeFillShade="D9"/>
          </w:tcPr>
          <w:p w14:paraId="44E9D2C8" w14:textId="77777777" w:rsidR="00ED7987" w:rsidRPr="00F51D08" w:rsidRDefault="00ED7987" w:rsidP="00F51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F51D08">
              <w:rPr>
                <w:b/>
                <w:sz w:val="24"/>
                <w:szCs w:val="24"/>
              </w:rPr>
              <w:t>Annual Responses</w:t>
            </w:r>
          </w:p>
        </w:tc>
        <w:tc>
          <w:tcPr>
            <w:tcW w:w="1796" w:type="dxa"/>
            <w:shd w:val="clear" w:color="auto" w:fill="D9D9D9" w:themeFill="background1" w:themeFillShade="D9"/>
          </w:tcPr>
          <w:p w14:paraId="59482124" w14:textId="77777777" w:rsidR="00ED7987" w:rsidRPr="00F51D08" w:rsidRDefault="00ED7987" w:rsidP="00F51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F51D08">
              <w:rPr>
                <w:b/>
                <w:sz w:val="24"/>
                <w:szCs w:val="24"/>
              </w:rPr>
              <w:t>Average Response Time</w:t>
            </w:r>
          </w:p>
        </w:tc>
        <w:tc>
          <w:tcPr>
            <w:tcW w:w="1384" w:type="dxa"/>
            <w:shd w:val="clear" w:color="auto" w:fill="D9D9D9" w:themeFill="background1" w:themeFillShade="D9"/>
          </w:tcPr>
          <w:p w14:paraId="3F2C3DCA" w14:textId="77777777" w:rsidR="00ED7987" w:rsidRPr="00F51D08" w:rsidRDefault="00ED7987" w:rsidP="00F51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F51D08">
              <w:rPr>
                <w:b/>
                <w:sz w:val="24"/>
                <w:szCs w:val="24"/>
              </w:rPr>
              <w:t>Annual Burden Hours</w:t>
            </w:r>
          </w:p>
        </w:tc>
      </w:tr>
      <w:tr w:rsidR="00ED7987" w:rsidRPr="00F51D08" w14:paraId="26302C2A" w14:textId="77777777" w:rsidTr="00F51D08">
        <w:trPr>
          <w:trHeight w:val="245"/>
        </w:trPr>
        <w:tc>
          <w:tcPr>
            <w:tcW w:w="1867" w:type="dxa"/>
          </w:tcPr>
          <w:p w14:paraId="28016EA7" w14:textId="77777777" w:rsidR="00ED7987" w:rsidRPr="00F51D08" w:rsidRDefault="00ED7987"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51D08">
              <w:rPr>
                <w:sz w:val="24"/>
                <w:szCs w:val="24"/>
              </w:rPr>
              <w:t>Surveys</w:t>
            </w:r>
          </w:p>
        </w:tc>
        <w:tc>
          <w:tcPr>
            <w:tcW w:w="1710" w:type="dxa"/>
          </w:tcPr>
          <w:p w14:paraId="59FED442" w14:textId="67DE3A78" w:rsidR="00ED7987" w:rsidRPr="00F51D08" w:rsidRDefault="00BD5865"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51D08">
              <w:rPr>
                <w:sz w:val="24"/>
                <w:szCs w:val="24"/>
              </w:rPr>
              <w:t>6,</w:t>
            </w:r>
            <w:r w:rsidR="00152509" w:rsidRPr="00F51D08">
              <w:rPr>
                <w:sz w:val="24"/>
                <w:szCs w:val="24"/>
              </w:rPr>
              <w:t>0</w:t>
            </w:r>
            <w:r w:rsidRPr="00F51D08">
              <w:rPr>
                <w:sz w:val="24"/>
                <w:szCs w:val="24"/>
              </w:rPr>
              <w:t>00</w:t>
            </w:r>
          </w:p>
        </w:tc>
        <w:tc>
          <w:tcPr>
            <w:tcW w:w="1403" w:type="dxa"/>
          </w:tcPr>
          <w:p w14:paraId="2021CEC8" w14:textId="77777777" w:rsidR="00ED7987" w:rsidRPr="00F51D08" w:rsidRDefault="00ED7987"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51D08">
              <w:rPr>
                <w:sz w:val="24"/>
                <w:szCs w:val="24"/>
              </w:rPr>
              <w:t>1</w:t>
            </w:r>
          </w:p>
        </w:tc>
        <w:tc>
          <w:tcPr>
            <w:tcW w:w="1267" w:type="dxa"/>
          </w:tcPr>
          <w:p w14:paraId="4C068A39" w14:textId="7634A6D2" w:rsidR="00ED7987" w:rsidRPr="00F51D08" w:rsidRDefault="00BD5865" w:rsidP="007B67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51D08">
              <w:rPr>
                <w:sz w:val="24"/>
                <w:szCs w:val="24"/>
              </w:rPr>
              <w:t>6,</w:t>
            </w:r>
            <w:r w:rsidR="007B67C6" w:rsidRPr="00F51D08">
              <w:rPr>
                <w:sz w:val="24"/>
                <w:szCs w:val="24"/>
              </w:rPr>
              <w:t>0</w:t>
            </w:r>
            <w:r w:rsidRPr="00F51D08">
              <w:rPr>
                <w:sz w:val="24"/>
                <w:szCs w:val="24"/>
              </w:rPr>
              <w:t>00</w:t>
            </w:r>
          </w:p>
        </w:tc>
        <w:tc>
          <w:tcPr>
            <w:tcW w:w="1796" w:type="dxa"/>
          </w:tcPr>
          <w:p w14:paraId="31F1960F" w14:textId="77777777" w:rsidR="00ED7987" w:rsidRPr="00F51D08" w:rsidRDefault="00ED7987"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51D08">
              <w:rPr>
                <w:sz w:val="24"/>
                <w:szCs w:val="24"/>
              </w:rPr>
              <w:t>.5 hours</w:t>
            </w:r>
          </w:p>
        </w:tc>
        <w:tc>
          <w:tcPr>
            <w:tcW w:w="1384" w:type="dxa"/>
          </w:tcPr>
          <w:p w14:paraId="1C167FC3" w14:textId="2147D66C" w:rsidR="00ED7987" w:rsidRPr="00F51D08" w:rsidRDefault="00BD5865"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51D08">
              <w:rPr>
                <w:rStyle w:val="cwcot"/>
                <w:color w:val="222222"/>
                <w:sz w:val="24"/>
                <w:szCs w:val="24"/>
                <w:lang w:val="en"/>
              </w:rPr>
              <w:t>3,</w:t>
            </w:r>
            <w:r w:rsidR="00152509" w:rsidRPr="00F51D08">
              <w:rPr>
                <w:rStyle w:val="cwcot"/>
                <w:color w:val="222222"/>
                <w:sz w:val="24"/>
                <w:szCs w:val="24"/>
                <w:lang w:val="en"/>
              </w:rPr>
              <w:t>0</w:t>
            </w:r>
            <w:r w:rsidRPr="00F51D08">
              <w:rPr>
                <w:rStyle w:val="cwcot"/>
                <w:color w:val="222222"/>
                <w:sz w:val="24"/>
                <w:szCs w:val="24"/>
                <w:lang w:val="en"/>
              </w:rPr>
              <w:t>00</w:t>
            </w:r>
          </w:p>
        </w:tc>
      </w:tr>
      <w:tr w:rsidR="00ED7987" w:rsidRPr="00F51D08" w14:paraId="5820F5BE" w14:textId="77777777" w:rsidTr="00F51D08">
        <w:trPr>
          <w:trHeight w:val="245"/>
        </w:trPr>
        <w:tc>
          <w:tcPr>
            <w:tcW w:w="1867" w:type="dxa"/>
          </w:tcPr>
          <w:p w14:paraId="211B164F" w14:textId="77777777" w:rsidR="00ED7987" w:rsidRPr="00F51D08" w:rsidRDefault="00ED7987"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51D08">
              <w:rPr>
                <w:sz w:val="24"/>
                <w:szCs w:val="24"/>
              </w:rPr>
              <w:t>3 Year  Total:</w:t>
            </w:r>
          </w:p>
        </w:tc>
        <w:tc>
          <w:tcPr>
            <w:tcW w:w="1710" w:type="dxa"/>
          </w:tcPr>
          <w:p w14:paraId="2733A061" w14:textId="42454E1F" w:rsidR="00ED7987" w:rsidRPr="00F51D08" w:rsidRDefault="0084023A"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18,000</w:t>
            </w:r>
          </w:p>
        </w:tc>
        <w:tc>
          <w:tcPr>
            <w:tcW w:w="1403" w:type="dxa"/>
          </w:tcPr>
          <w:p w14:paraId="029C6E40" w14:textId="551765E2" w:rsidR="00ED7987" w:rsidRPr="00F51D08" w:rsidRDefault="00F51D08"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b/>
                <w:sz w:val="24"/>
                <w:szCs w:val="24"/>
              </w:rPr>
              <w:t>///////////</w:t>
            </w:r>
          </w:p>
        </w:tc>
        <w:tc>
          <w:tcPr>
            <w:tcW w:w="1267" w:type="dxa"/>
          </w:tcPr>
          <w:p w14:paraId="463E4BE4" w14:textId="45D88A82" w:rsidR="00ED7987" w:rsidRPr="00F51D08" w:rsidRDefault="0084023A"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18,000</w:t>
            </w:r>
          </w:p>
        </w:tc>
        <w:tc>
          <w:tcPr>
            <w:tcW w:w="1796" w:type="dxa"/>
          </w:tcPr>
          <w:p w14:paraId="5EF23DF9" w14:textId="77777777" w:rsidR="00ED7987" w:rsidRPr="00F51D08" w:rsidRDefault="00ED7987"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51D08">
              <w:rPr>
                <w:b/>
                <w:sz w:val="24"/>
                <w:szCs w:val="24"/>
              </w:rPr>
              <w:t>///////////////</w:t>
            </w:r>
          </w:p>
        </w:tc>
        <w:tc>
          <w:tcPr>
            <w:tcW w:w="1384" w:type="dxa"/>
          </w:tcPr>
          <w:p w14:paraId="0E4069A1" w14:textId="29C8499A" w:rsidR="00ED7987" w:rsidRPr="00F51D08" w:rsidRDefault="0084023A" w:rsidP="00C60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9,000</w:t>
            </w:r>
          </w:p>
        </w:tc>
      </w:tr>
    </w:tbl>
    <w:p w14:paraId="038052F8" w14:textId="77777777" w:rsidR="00881678" w:rsidRDefault="00881678" w:rsidP="00881678">
      <w:pPr>
        <w:spacing w:line="360" w:lineRule="auto"/>
      </w:pPr>
    </w:p>
    <w:p w14:paraId="6CFB9882" w14:textId="7D075A70" w:rsidR="00156225" w:rsidRPr="0046418E" w:rsidRDefault="00B13992" w:rsidP="00881678">
      <w:pPr>
        <w:spacing w:line="360" w:lineRule="auto"/>
        <w:ind w:firstLine="720"/>
      </w:pPr>
      <w:r>
        <w:t xml:space="preserve">The CFPB plans to mail surveys to up to </w:t>
      </w:r>
      <w:r w:rsidR="00BD5865">
        <w:t>20,000</w:t>
      </w:r>
      <w:r>
        <w:t xml:space="preserve"> consumers per year under this generic clearance and estimates an average response rate of 3</w:t>
      </w:r>
      <w:r w:rsidR="00152509">
        <w:t>0</w:t>
      </w:r>
      <w:r>
        <w:t xml:space="preserve"> percent.  For the estimated </w:t>
      </w:r>
      <w:r w:rsidR="00BD5865">
        <w:t>6,</w:t>
      </w:r>
      <w:r w:rsidR="00152509">
        <w:t>0</w:t>
      </w:r>
      <w:r w:rsidR="00BD5865">
        <w:t>00</w:t>
      </w:r>
      <w:r>
        <w:t xml:space="preserve"> respondents per year who fill out the survey, we estimate that completing a survey will take 30 minutes on average, for a total burden of </w:t>
      </w:r>
      <w:r w:rsidR="00BD5865">
        <w:rPr>
          <w:rStyle w:val="cwcot"/>
          <w:rFonts w:cs="Times New Roman"/>
          <w:color w:val="222222"/>
          <w:lang w:val="en"/>
        </w:rPr>
        <w:t>3,</w:t>
      </w:r>
      <w:r w:rsidR="00152509">
        <w:rPr>
          <w:rStyle w:val="cwcot"/>
          <w:rFonts w:cs="Times New Roman"/>
          <w:color w:val="222222"/>
          <w:lang w:val="en"/>
        </w:rPr>
        <w:t>0</w:t>
      </w:r>
      <w:r w:rsidR="00BD5865">
        <w:rPr>
          <w:rStyle w:val="cwcot"/>
          <w:rFonts w:cs="Times New Roman"/>
          <w:color w:val="222222"/>
          <w:lang w:val="en"/>
        </w:rPr>
        <w:t>00</w:t>
      </w:r>
      <w:r w:rsidR="00F12920" w:rsidRPr="00F12920">
        <w:rPr>
          <w:rStyle w:val="cwcot"/>
          <w:rFonts w:cs="Times New Roman"/>
          <w:color w:val="222222"/>
          <w:lang w:val="en"/>
        </w:rPr>
        <w:t xml:space="preserve"> hours</w:t>
      </w:r>
      <w:r w:rsidR="00F12920">
        <w:rPr>
          <w:rStyle w:val="cwcot"/>
          <w:rFonts w:cs="Times New Roman"/>
          <w:color w:val="222222"/>
          <w:lang w:val="en"/>
        </w:rPr>
        <w:t xml:space="preserve"> </w:t>
      </w:r>
      <w:r>
        <w:t xml:space="preserve">per year. </w:t>
      </w:r>
    </w:p>
    <w:p w14:paraId="0B1697B5" w14:textId="77777777" w:rsidR="00156225" w:rsidRDefault="00156225" w:rsidP="0084450E">
      <w:pPr>
        <w:rPr>
          <w:b/>
        </w:rPr>
      </w:pPr>
    </w:p>
    <w:p w14:paraId="7CC6C48E" w14:textId="77777777" w:rsidR="00881678" w:rsidRDefault="00881678" w:rsidP="0084450E">
      <w:pPr>
        <w:rPr>
          <w:b/>
        </w:rPr>
      </w:pPr>
    </w:p>
    <w:p w14:paraId="706F7890" w14:textId="77777777" w:rsidR="0084450E" w:rsidRDefault="0084450E" w:rsidP="0084450E">
      <w:pPr>
        <w:rPr>
          <w:b/>
        </w:rPr>
      </w:pPr>
      <w:r>
        <w:rPr>
          <w:b/>
        </w:rPr>
        <w:t xml:space="preserve">13.  </w:t>
      </w:r>
      <w:r w:rsidRPr="004C034A">
        <w:rPr>
          <w:b/>
          <w:u w:val="single"/>
        </w:rPr>
        <w:t>Estimated Total Annual Cost Burden to Respondents or Recordkeepers</w:t>
      </w:r>
    </w:p>
    <w:p w14:paraId="7F712B9D" w14:textId="77777777" w:rsidR="0084450E" w:rsidRDefault="0084450E" w:rsidP="0084450E">
      <w:pPr>
        <w:rPr>
          <w:b/>
        </w:rPr>
      </w:pPr>
    </w:p>
    <w:p w14:paraId="33A31741" w14:textId="77777777" w:rsidR="00156225" w:rsidRPr="0046418E" w:rsidRDefault="00D0454A" w:rsidP="00881678">
      <w:pPr>
        <w:spacing w:line="360" w:lineRule="auto"/>
        <w:ind w:firstLine="720"/>
      </w:pPr>
      <w:r>
        <w:t>There are no capital/start-up or ongoing operation/maintenance costs associated with this informatio</w:t>
      </w:r>
      <w:r w:rsidR="00E10D6E">
        <w:t>n collection.  Postage costs</w:t>
      </w:r>
      <w:r>
        <w:t xml:space="preserve"> to return the survey questionnaire will be pre-paid by the survey contractor.</w:t>
      </w:r>
    </w:p>
    <w:p w14:paraId="12BFDDC6" w14:textId="77777777" w:rsidR="00156225" w:rsidRDefault="00156225" w:rsidP="0084450E">
      <w:pPr>
        <w:rPr>
          <w:b/>
        </w:rPr>
      </w:pPr>
    </w:p>
    <w:p w14:paraId="65ABC181" w14:textId="77777777" w:rsidR="00881678" w:rsidRDefault="00881678" w:rsidP="0084450E">
      <w:pPr>
        <w:rPr>
          <w:b/>
        </w:rPr>
      </w:pPr>
    </w:p>
    <w:p w14:paraId="092B6422" w14:textId="77777777" w:rsidR="0084450E" w:rsidRDefault="0084450E" w:rsidP="0084450E">
      <w:pPr>
        <w:rPr>
          <w:b/>
        </w:rPr>
      </w:pPr>
      <w:r>
        <w:rPr>
          <w:b/>
        </w:rPr>
        <w:t xml:space="preserve">14.  </w:t>
      </w:r>
      <w:r w:rsidRPr="004C034A">
        <w:rPr>
          <w:b/>
          <w:u w:val="single"/>
        </w:rPr>
        <w:t>Estimated Cost to the Federal Government</w:t>
      </w:r>
    </w:p>
    <w:p w14:paraId="60AD1FE7" w14:textId="77777777" w:rsidR="0084450E" w:rsidRDefault="0084450E" w:rsidP="0084450E">
      <w:pPr>
        <w:rPr>
          <w:b/>
        </w:rPr>
      </w:pPr>
    </w:p>
    <w:p w14:paraId="6CADB98E" w14:textId="77777777" w:rsidR="00156225" w:rsidRPr="0046418E" w:rsidRDefault="005C0344" w:rsidP="00881678">
      <w:pPr>
        <w:spacing w:line="360" w:lineRule="auto"/>
        <w:ind w:firstLine="720"/>
      </w:pPr>
      <w:r>
        <w:t xml:space="preserve">The costs of each individual survey distributed under this generic </w:t>
      </w:r>
      <w:r w:rsidR="00EB5C51">
        <w:t xml:space="preserve">clearance will vary based on the number individuals surveyed and the size of any payments made to incentivize participation.  We expect the cost of each survey to range from </w:t>
      </w:r>
      <w:r w:rsidR="00EB5C51" w:rsidRPr="00B609F9">
        <w:t>$</w:t>
      </w:r>
      <w:r w:rsidR="00FC1336" w:rsidRPr="00B609F9">
        <w:t>250,000</w:t>
      </w:r>
      <w:r w:rsidR="00EB5C51" w:rsidRPr="00B609F9">
        <w:t xml:space="preserve"> to </w:t>
      </w:r>
      <w:r w:rsidR="00B609F9">
        <w:t>$</w:t>
      </w:r>
      <w:r w:rsidR="00B91887">
        <w:t>6</w:t>
      </w:r>
      <w:r w:rsidR="00F12920">
        <w:t>00</w:t>
      </w:r>
      <w:r w:rsidR="00B609F9">
        <w:t>,000.</w:t>
      </w:r>
    </w:p>
    <w:p w14:paraId="5FB47837" w14:textId="77777777" w:rsidR="00156225" w:rsidRDefault="00156225" w:rsidP="0084450E">
      <w:pPr>
        <w:rPr>
          <w:b/>
        </w:rPr>
      </w:pPr>
    </w:p>
    <w:p w14:paraId="2974CB18" w14:textId="77777777" w:rsidR="00881678" w:rsidRDefault="00881678" w:rsidP="0084450E">
      <w:pPr>
        <w:rPr>
          <w:b/>
        </w:rPr>
      </w:pPr>
    </w:p>
    <w:p w14:paraId="00A02DE4" w14:textId="77777777" w:rsidR="0084450E" w:rsidRPr="004C034A" w:rsidRDefault="0084450E" w:rsidP="0084450E">
      <w:pPr>
        <w:rPr>
          <w:b/>
          <w:u w:val="single"/>
        </w:rPr>
      </w:pPr>
      <w:r>
        <w:rPr>
          <w:b/>
        </w:rPr>
        <w:t xml:space="preserve">15.  </w:t>
      </w:r>
      <w:r w:rsidRPr="004C034A">
        <w:rPr>
          <w:b/>
          <w:u w:val="single"/>
        </w:rPr>
        <w:t>Program Changes or Adjustments</w:t>
      </w:r>
    </w:p>
    <w:p w14:paraId="1C0D32F6" w14:textId="77777777" w:rsidR="00156225" w:rsidRDefault="00156225" w:rsidP="0084450E">
      <w:pPr>
        <w:rPr>
          <w:b/>
        </w:rPr>
      </w:pPr>
    </w:p>
    <w:p w14:paraId="00D2A1D8" w14:textId="47B8DEB2" w:rsidR="00C24C39" w:rsidRDefault="00A63E24" w:rsidP="00A63E24">
      <w:pPr>
        <w:spacing w:before="90"/>
        <w:rPr>
          <w:b/>
        </w:rPr>
      </w:pPr>
      <w:r>
        <w:rPr>
          <w:b/>
        </w:rPr>
        <w:t xml:space="preserve">      </w:t>
      </w:r>
      <w:r w:rsidR="00C24C39">
        <w:rPr>
          <w:b/>
        </w:rPr>
        <w:t>Exhibit 2: Summary of Burden</w:t>
      </w:r>
      <w:r w:rsidR="00C24C39">
        <w:rPr>
          <w:b/>
          <w:spacing w:val="-14"/>
        </w:rPr>
        <w:t xml:space="preserve"> </w:t>
      </w:r>
      <w:r w:rsidR="00C24C39">
        <w:rPr>
          <w:b/>
        </w:rPr>
        <w:t>Changes</w:t>
      </w:r>
    </w:p>
    <w:tbl>
      <w:tblPr>
        <w:tblW w:w="9214"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2160"/>
        <w:gridCol w:w="1890"/>
        <w:gridCol w:w="2010"/>
        <w:gridCol w:w="1066"/>
      </w:tblGrid>
      <w:tr w:rsidR="00C24C39" w14:paraId="384F2D70" w14:textId="77777777" w:rsidTr="00411912">
        <w:trPr>
          <w:trHeight w:val="755"/>
        </w:trPr>
        <w:tc>
          <w:tcPr>
            <w:tcW w:w="2088" w:type="dxa"/>
            <w:shd w:val="clear" w:color="auto" w:fill="D9D9D9" w:themeFill="background1" w:themeFillShade="D9"/>
          </w:tcPr>
          <w:p w14:paraId="2B9789ED" w14:textId="77777777" w:rsidR="00C24C39" w:rsidRDefault="00C24C39" w:rsidP="00411912">
            <w:pPr>
              <w:pStyle w:val="TableParagraph"/>
              <w:spacing w:line="240" w:lineRule="auto"/>
              <w:jc w:val="center"/>
            </w:pPr>
          </w:p>
        </w:tc>
        <w:tc>
          <w:tcPr>
            <w:tcW w:w="2160" w:type="dxa"/>
            <w:shd w:val="clear" w:color="auto" w:fill="D9D9D9" w:themeFill="background1" w:themeFillShade="D9"/>
          </w:tcPr>
          <w:p w14:paraId="6F931440" w14:textId="77777777" w:rsidR="00C24C39" w:rsidRDefault="00C24C39" w:rsidP="00411912">
            <w:pPr>
              <w:pStyle w:val="TableParagraph"/>
              <w:spacing w:before="8" w:line="240" w:lineRule="auto"/>
              <w:jc w:val="center"/>
              <w:rPr>
                <w:b/>
                <w:sz w:val="18"/>
              </w:rPr>
            </w:pPr>
          </w:p>
          <w:p w14:paraId="6C0F0295" w14:textId="77777777" w:rsidR="00C24C39" w:rsidRDefault="00C24C39" w:rsidP="00411912">
            <w:pPr>
              <w:pStyle w:val="TableParagraph"/>
              <w:spacing w:line="240" w:lineRule="auto"/>
              <w:ind w:left="281"/>
              <w:jc w:val="center"/>
              <w:rPr>
                <w:b/>
                <w:sz w:val="20"/>
              </w:rPr>
            </w:pPr>
            <w:r>
              <w:rPr>
                <w:b/>
                <w:sz w:val="20"/>
              </w:rPr>
              <w:t>Total Respondents</w:t>
            </w:r>
          </w:p>
          <w:p w14:paraId="787CC7B5" w14:textId="6EF4D4C6" w:rsidR="00F4325D" w:rsidRDefault="00F4325D" w:rsidP="00411912">
            <w:pPr>
              <w:pStyle w:val="TableParagraph"/>
              <w:spacing w:line="240" w:lineRule="auto"/>
              <w:ind w:left="281"/>
              <w:jc w:val="center"/>
              <w:rPr>
                <w:b/>
                <w:sz w:val="20"/>
              </w:rPr>
            </w:pPr>
            <w:r>
              <w:rPr>
                <w:b/>
                <w:sz w:val="20"/>
              </w:rPr>
              <w:t>3-year Period</w:t>
            </w:r>
          </w:p>
        </w:tc>
        <w:tc>
          <w:tcPr>
            <w:tcW w:w="1890" w:type="dxa"/>
            <w:shd w:val="clear" w:color="auto" w:fill="D9D9D9" w:themeFill="background1" w:themeFillShade="D9"/>
          </w:tcPr>
          <w:p w14:paraId="796F0062" w14:textId="77777777" w:rsidR="00C24C39" w:rsidRDefault="00C24C39" w:rsidP="00411912">
            <w:pPr>
              <w:pStyle w:val="TableParagraph"/>
              <w:spacing w:line="240" w:lineRule="auto"/>
              <w:ind w:left="164"/>
              <w:jc w:val="center"/>
              <w:rPr>
                <w:b/>
                <w:sz w:val="20"/>
              </w:rPr>
            </w:pPr>
            <w:r>
              <w:rPr>
                <w:b/>
                <w:sz w:val="20"/>
              </w:rPr>
              <w:t>Responses</w:t>
            </w:r>
          </w:p>
          <w:p w14:paraId="660654ED" w14:textId="108D4723" w:rsidR="00F4325D" w:rsidRDefault="00F4325D" w:rsidP="00411912">
            <w:pPr>
              <w:pStyle w:val="TableParagraph"/>
              <w:spacing w:line="240" w:lineRule="auto"/>
              <w:ind w:left="164"/>
              <w:jc w:val="center"/>
              <w:rPr>
                <w:b/>
                <w:sz w:val="20"/>
              </w:rPr>
            </w:pPr>
            <w:r>
              <w:rPr>
                <w:b/>
                <w:sz w:val="20"/>
              </w:rPr>
              <w:t>3-year Period</w:t>
            </w:r>
          </w:p>
        </w:tc>
        <w:tc>
          <w:tcPr>
            <w:tcW w:w="2010" w:type="dxa"/>
            <w:shd w:val="clear" w:color="auto" w:fill="D9D9D9" w:themeFill="background1" w:themeFillShade="D9"/>
          </w:tcPr>
          <w:p w14:paraId="1BF4F0C6" w14:textId="0BA26491" w:rsidR="00C24C39" w:rsidRDefault="00C24C39" w:rsidP="00411912">
            <w:pPr>
              <w:pStyle w:val="TableParagraph"/>
              <w:spacing w:before="101" w:line="240" w:lineRule="auto"/>
              <w:ind w:left="450" w:right="369" w:hanging="56"/>
              <w:jc w:val="center"/>
              <w:rPr>
                <w:b/>
                <w:sz w:val="20"/>
              </w:rPr>
            </w:pPr>
            <w:r>
              <w:rPr>
                <w:b/>
                <w:sz w:val="20"/>
              </w:rPr>
              <w:t>Burden Hours</w:t>
            </w:r>
            <w:r w:rsidR="00F4325D">
              <w:rPr>
                <w:b/>
                <w:sz w:val="20"/>
              </w:rPr>
              <w:t>-3 year period</w:t>
            </w:r>
          </w:p>
        </w:tc>
        <w:tc>
          <w:tcPr>
            <w:tcW w:w="1066" w:type="dxa"/>
          </w:tcPr>
          <w:p w14:paraId="1EC5AC41" w14:textId="77777777" w:rsidR="00C24C39" w:rsidRDefault="00C24C39" w:rsidP="00411912">
            <w:pPr>
              <w:pStyle w:val="TableParagraph"/>
              <w:shd w:val="clear" w:color="auto" w:fill="D9D9D9" w:themeFill="background1" w:themeFillShade="D9"/>
              <w:spacing w:before="8" w:line="240" w:lineRule="auto"/>
              <w:jc w:val="left"/>
              <w:rPr>
                <w:b/>
                <w:sz w:val="18"/>
              </w:rPr>
            </w:pPr>
          </w:p>
          <w:p w14:paraId="206E08AA" w14:textId="77777777" w:rsidR="00C24C39" w:rsidRDefault="00C24C39" w:rsidP="00411912">
            <w:pPr>
              <w:pStyle w:val="TableParagraph"/>
              <w:shd w:val="clear" w:color="auto" w:fill="D9D9D9" w:themeFill="background1" w:themeFillShade="D9"/>
              <w:spacing w:line="240" w:lineRule="auto"/>
              <w:ind w:left="187"/>
              <w:jc w:val="center"/>
              <w:rPr>
                <w:b/>
                <w:sz w:val="20"/>
              </w:rPr>
            </w:pPr>
            <w:r w:rsidRPr="00411912">
              <w:rPr>
                <w:b/>
                <w:sz w:val="20"/>
                <w:shd w:val="clear" w:color="auto" w:fill="D9D9D9" w:themeFill="background1" w:themeFillShade="D9"/>
              </w:rPr>
              <w:t>Materials Cost</w:t>
            </w:r>
          </w:p>
        </w:tc>
      </w:tr>
      <w:tr w:rsidR="00C24C39" w14:paraId="10274CFF" w14:textId="77777777" w:rsidTr="00F4325D">
        <w:trPr>
          <w:trHeight w:val="260"/>
        </w:trPr>
        <w:tc>
          <w:tcPr>
            <w:tcW w:w="2088" w:type="dxa"/>
          </w:tcPr>
          <w:p w14:paraId="508EE6B2" w14:textId="77777777" w:rsidR="00C24C39" w:rsidRDefault="00C24C39" w:rsidP="006B42B4">
            <w:pPr>
              <w:pStyle w:val="TableParagraph"/>
              <w:spacing w:before="26"/>
              <w:ind w:left="107"/>
              <w:jc w:val="left"/>
              <w:rPr>
                <w:sz w:val="20"/>
              </w:rPr>
            </w:pPr>
            <w:r>
              <w:rPr>
                <w:sz w:val="20"/>
              </w:rPr>
              <w:t>Total Requested</w:t>
            </w:r>
          </w:p>
        </w:tc>
        <w:tc>
          <w:tcPr>
            <w:tcW w:w="2160" w:type="dxa"/>
            <w:tcBorders>
              <w:top w:val="nil"/>
              <w:left w:val="nil"/>
              <w:bottom w:val="single" w:sz="4" w:space="0" w:color="auto"/>
              <w:right w:val="single" w:sz="4" w:space="0" w:color="auto"/>
            </w:tcBorders>
            <w:shd w:val="clear" w:color="auto" w:fill="auto"/>
            <w:vAlign w:val="bottom"/>
          </w:tcPr>
          <w:p w14:paraId="15351FAC" w14:textId="3A8387DF" w:rsidR="00C24C39" w:rsidRPr="00A2422A" w:rsidRDefault="0084023A" w:rsidP="006B42B4">
            <w:pPr>
              <w:jc w:val="right"/>
              <w:rPr>
                <w:color w:val="000000"/>
              </w:rPr>
            </w:pPr>
            <w:r>
              <w:rPr>
                <w:color w:val="000000"/>
              </w:rPr>
              <w:t>18,000</w:t>
            </w:r>
          </w:p>
        </w:tc>
        <w:tc>
          <w:tcPr>
            <w:tcW w:w="1890" w:type="dxa"/>
            <w:tcBorders>
              <w:top w:val="single" w:sz="4" w:space="0" w:color="auto"/>
              <w:left w:val="nil"/>
              <w:bottom w:val="single" w:sz="4" w:space="0" w:color="auto"/>
              <w:right w:val="single" w:sz="4" w:space="0" w:color="auto"/>
            </w:tcBorders>
            <w:vAlign w:val="bottom"/>
          </w:tcPr>
          <w:p w14:paraId="320CB744" w14:textId="7308471F" w:rsidR="00C24C39" w:rsidRDefault="0084023A" w:rsidP="006B42B4">
            <w:pPr>
              <w:jc w:val="right"/>
              <w:rPr>
                <w:color w:val="000000"/>
              </w:rPr>
            </w:pPr>
            <w:r>
              <w:rPr>
                <w:color w:val="000000"/>
              </w:rPr>
              <w:t>18,000</w:t>
            </w:r>
          </w:p>
        </w:tc>
        <w:tc>
          <w:tcPr>
            <w:tcW w:w="2010" w:type="dxa"/>
            <w:tcBorders>
              <w:top w:val="nil"/>
              <w:left w:val="single" w:sz="4" w:space="0" w:color="auto"/>
              <w:bottom w:val="single" w:sz="4" w:space="0" w:color="auto"/>
              <w:right w:val="single" w:sz="4" w:space="0" w:color="auto"/>
            </w:tcBorders>
            <w:shd w:val="clear" w:color="auto" w:fill="auto"/>
            <w:vAlign w:val="bottom"/>
          </w:tcPr>
          <w:p w14:paraId="2CDF84DF" w14:textId="5A4B627B" w:rsidR="00C24C39" w:rsidRPr="00A2422A" w:rsidRDefault="0084023A" w:rsidP="006B42B4">
            <w:pPr>
              <w:jc w:val="right"/>
              <w:rPr>
                <w:color w:val="000000"/>
              </w:rPr>
            </w:pPr>
            <w:r>
              <w:rPr>
                <w:color w:val="000000"/>
              </w:rPr>
              <w:t>9</w:t>
            </w:r>
            <w:r w:rsidR="00C0618B">
              <w:rPr>
                <w:color w:val="000000"/>
              </w:rPr>
              <w:t>,000</w:t>
            </w:r>
          </w:p>
        </w:tc>
        <w:tc>
          <w:tcPr>
            <w:tcW w:w="1066" w:type="dxa"/>
            <w:tcBorders>
              <w:top w:val="nil"/>
              <w:left w:val="nil"/>
              <w:bottom w:val="single" w:sz="4" w:space="0" w:color="auto"/>
              <w:right w:val="single" w:sz="4" w:space="0" w:color="auto"/>
            </w:tcBorders>
            <w:shd w:val="clear" w:color="auto" w:fill="auto"/>
            <w:vAlign w:val="bottom"/>
          </w:tcPr>
          <w:p w14:paraId="15F91856" w14:textId="77777777" w:rsidR="00C24C39" w:rsidRPr="00A2422A" w:rsidRDefault="00C24C39" w:rsidP="006B42B4">
            <w:pPr>
              <w:jc w:val="right"/>
              <w:rPr>
                <w:color w:val="000000"/>
              </w:rPr>
            </w:pPr>
            <w:r>
              <w:rPr>
                <w:color w:val="000000"/>
              </w:rPr>
              <w:t>0</w:t>
            </w:r>
          </w:p>
        </w:tc>
      </w:tr>
      <w:tr w:rsidR="00C24C39" w14:paraId="67583178" w14:textId="77777777" w:rsidTr="00F4325D">
        <w:trPr>
          <w:trHeight w:val="459"/>
        </w:trPr>
        <w:tc>
          <w:tcPr>
            <w:tcW w:w="2088" w:type="dxa"/>
          </w:tcPr>
          <w:p w14:paraId="4EC19D7D" w14:textId="77777777" w:rsidR="00C24C39" w:rsidRDefault="00C24C39" w:rsidP="006B42B4">
            <w:pPr>
              <w:pStyle w:val="TableParagraph"/>
              <w:spacing w:line="227" w:lineRule="exact"/>
              <w:ind w:left="107"/>
              <w:jc w:val="left"/>
              <w:rPr>
                <w:sz w:val="20"/>
              </w:rPr>
            </w:pPr>
            <w:r>
              <w:rPr>
                <w:sz w:val="20"/>
              </w:rPr>
              <w:t>Current OMB</w:t>
            </w:r>
          </w:p>
          <w:p w14:paraId="74C3AFDB" w14:textId="77777777" w:rsidR="00C24C39" w:rsidRDefault="00C24C39" w:rsidP="006B42B4">
            <w:pPr>
              <w:pStyle w:val="TableParagraph"/>
              <w:spacing w:line="212" w:lineRule="exact"/>
              <w:ind w:left="107"/>
              <w:jc w:val="left"/>
              <w:rPr>
                <w:sz w:val="20"/>
              </w:rPr>
            </w:pPr>
            <w:r>
              <w:rPr>
                <w:sz w:val="20"/>
              </w:rPr>
              <w:t>Inventory</w:t>
            </w:r>
          </w:p>
        </w:tc>
        <w:tc>
          <w:tcPr>
            <w:tcW w:w="2160" w:type="dxa"/>
            <w:tcBorders>
              <w:top w:val="nil"/>
              <w:left w:val="nil"/>
              <w:bottom w:val="single" w:sz="4" w:space="0" w:color="auto"/>
              <w:right w:val="single" w:sz="4" w:space="0" w:color="auto"/>
            </w:tcBorders>
            <w:shd w:val="clear" w:color="auto" w:fill="auto"/>
            <w:vAlign w:val="bottom"/>
          </w:tcPr>
          <w:p w14:paraId="123E5089" w14:textId="4935CC9F" w:rsidR="00C24C39" w:rsidRPr="00A2422A" w:rsidRDefault="00C0618B" w:rsidP="000E21F5">
            <w:pPr>
              <w:jc w:val="right"/>
              <w:rPr>
                <w:color w:val="000000"/>
              </w:rPr>
            </w:pPr>
            <w:r>
              <w:rPr>
                <w:color w:val="000000"/>
              </w:rPr>
              <w:t>0</w:t>
            </w:r>
          </w:p>
        </w:tc>
        <w:tc>
          <w:tcPr>
            <w:tcW w:w="1890" w:type="dxa"/>
            <w:tcBorders>
              <w:top w:val="single" w:sz="4" w:space="0" w:color="auto"/>
              <w:left w:val="nil"/>
              <w:bottom w:val="single" w:sz="4" w:space="0" w:color="auto"/>
              <w:right w:val="single" w:sz="4" w:space="0" w:color="auto"/>
            </w:tcBorders>
            <w:vAlign w:val="bottom"/>
          </w:tcPr>
          <w:p w14:paraId="7BA44180" w14:textId="501AA953" w:rsidR="00C24C39" w:rsidRDefault="00C0618B" w:rsidP="006B42B4">
            <w:pPr>
              <w:jc w:val="right"/>
              <w:rPr>
                <w:color w:val="000000"/>
              </w:rPr>
            </w:pPr>
            <w:r>
              <w:rPr>
                <w:color w:val="000000"/>
              </w:rPr>
              <w:t>0</w:t>
            </w:r>
          </w:p>
        </w:tc>
        <w:tc>
          <w:tcPr>
            <w:tcW w:w="2010" w:type="dxa"/>
            <w:tcBorders>
              <w:top w:val="nil"/>
              <w:left w:val="single" w:sz="4" w:space="0" w:color="auto"/>
              <w:bottom w:val="single" w:sz="4" w:space="0" w:color="auto"/>
              <w:right w:val="single" w:sz="4" w:space="0" w:color="auto"/>
            </w:tcBorders>
            <w:shd w:val="clear" w:color="auto" w:fill="auto"/>
            <w:vAlign w:val="bottom"/>
          </w:tcPr>
          <w:p w14:paraId="6771D25E" w14:textId="5E6D9DA2" w:rsidR="00C24C39" w:rsidRPr="00A2422A" w:rsidRDefault="00C0618B" w:rsidP="006B42B4">
            <w:pPr>
              <w:jc w:val="right"/>
              <w:rPr>
                <w:color w:val="000000"/>
              </w:rPr>
            </w:pPr>
            <w:r>
              <w:rPr>
                <w:color w:val="000000"/>
              </w:rPr>
              <w:t>0</w:t>
            </w:r>
          </w:p>
        </w:tc>
        <w:tc>
          <w:tcPr>
            <w:tcW w:w="1066" w:type="dxa"/>
            <w:tcBorders>
              <w:top w:val="nil"/>
              <w:left w:val="nil"/>
              <w:bottom w:val="single" w:sz="4" w:space="0" w:color="auto"/>
              <w:right w:val="single" w:sz="4" w:space="0" w:color="auto"/>
            </w:tcBorders>
            <w:shd w:val="clear" w:color="auto" w:fill="auto"/>
            <w:vAlign w:val="bottom"/>
          </w:tcPr>
          <w:p w14:paraId="14A05E8E" w14:textId="77777777" w:rsidR="00C24C39" w:rsidRPr="00A2422A" w:rsidRDefault="00C24C39" w:rsidP="006B42B4">
            <w:pPr>
              <w:jc w:val="right"/>
              <w:rPr>
                <w:color w:val="000000"/>
              </w:rPr>
            </w:pPr>
            <w:r>
              <w:rPr>
                <w:color w:val="000000"/>
              </w:rPr>
              <w:t>0</w:t>
            </w:r>
          </w:p>
        </w:tc>
      </w:tr>
      <w:tr w:rsidR="00C24C39" w14:paraId="165BA4A3" w14:textId="77777777" w:rsidTr="00F4325D">
        <w:trPr>
          <w:trHeight w:val="354"/>
        </w:trPr>
        <w:tc>
          <w:tcPr>
            <w:tcW w:w="2088" w:type="dxa"/>
          </w:tcPr>
          <w:p w14:paraId="3D6EB82A" w14:textId="77777777" w:rsidR="00C24C39" w:rsidRPr="00411912" w:rsidRDefault="00C24C39" w:rsidP="006B42B4">
            <w:pPr>
              <w:pStyle w:val="TableParagraph"/>
              <w:spacing w:before="121"/>
              <w:ind w:left="107"/>
              <w:jc w:val="left"/>
              <w:rPr>
                <w:b/>
                <w:sz w:val="20"/>
              </w:rPr>
            </w:pPr>
            <w:r w:rsidRPr="00411912">
              <w:rPr>
                <w:b/>
                <w:sz w:val="20"/>
              </w:rPr>
              <w:t>Difference</w:t>
            </w:r>
          </w:p>
        </w:tc>
        <w:tc>
          <w:tcPr>
            <w:tcW w:w="2160" w:type="dxa"/>
            <w:tcBorders>
              <w:top w:val="nil"/>
              <w:left w:val="nil"/>
              <w:bottom w:val="single" w:sz="4" w:space="0" w:color="auto"/>
              <w:right w:val="single" w:sz="4" w:space="0" w:color="auto"/>
            </w:tcBorders>
            <w:shd w:val="clear" w:color="auto" w:fill="auto"/>
            <w:vAlign w:val="bottom"/>
          </w:tcPr>
          <w:p w14:paraId="5B9BE87D" w14:textId="240AA3EB" w:rsidR="00C24C39" w:rsidRPr="00411912" w:rsidRDefault="00C0618B" w:rsidP="006B42B4">
            <w:pPr>
              <w:jc w:val="right"/>
              <w:rPr>
                <w:b/>
                <w:color w:val="000000"/>
              </w:rPr>
            </w:pPr>
            <w:r>
              <w:rPr>
                <w:b/>
                <w:color w:val="000000"/>
              </w:rPr>
              <w:t>18,00</w:t>
            </w:r>
            <w:r w:rsidR="000E21F5" w:rsidRPr="00411912">
              <w:rPr>
                <w:b/>
                <w:color w:val="000000"/>
              </w:rPr>
              <w:t>0</w:t>
            </w:r>
          </w:p>
        </w:tc>
        <w:tc>
          <w:tcPr>
            <w:tcW w:w="1890" w:type="dxa"/>
            <w:tcBorders>
              <w:top w:val="single" w:sz="4" w:space="0" w:color="auto"/>
              <w:left w:val="nil"/>
              <w:bottom w:val="single" w:sz="4" w:space="0" w:color="auto"/>
              <w:right w:val="single" w:sz="4" w:space="0" w:color="auto"/>
            </w:tcBorders>
            <w:vAlign w:val="bottom"/>
          </w:tcPr>
          <w:p w14:paraId="0732FD53" w14:textId="66154EF9" w:rsidR="00C24C39" w:rsidRPr="00411912" w:rsidRDefault="00C0618B" w:rsidP="006B42B4">
            <w:pPr>
              <w:jc w:val="right"/>
              <w:rPr>
                <w:b/>
                <w:color w:val="000000"/>
              </w:rPr>
            </w:pPr>
            <w:r>
              <w:rPr>
                <w:b/>
                <w:color w:val="000000"/>
              </w:rPr>
              <w:t>18,000</w:t>
            </w:r>
          </w:p>
        </w:tc>
        <w:tc>
          <w:tcPr>
            <w:tcW w:w="2010" w:type="dxa"/>
            <w:tcBorders>
              <w:top w:val="nil"/>
              <w:left w:val="single" w:sz="4" w:space="0" w:color="auto"/>
              <w:bottom w:val="single" w:sz="4" w:space="0" w:color="auto"/>
              <w:right w:val="single" w:sz="4" w:space="0" w:color="auto"/>
            </w:tcBorders>
            <w:shd w:val="clear" w:color="auto" w:fill="auto"/>
            <w:vAlign w:val="bottom"/>
          </w:tcPr>
          <w:p w14:paraId="4A2CFA92" w14:textId="6256474A" w:rsidR="00C24C39" w:rsidRPr="00411912" w:rsidRDefault="00C0618B" w:rsidP="006B42B4">
            <w:pPr>
              <w:jc w:val="right"/>
              <w:rPr>
                <w:b/>
                <w:color w:val="000000"/>
              </w:rPr>
            </w:pPr>
            <w:r>
              <w:rPr>
                <w:b/>
                <w:color w:val="000000"/>
              </w:rPr>
              <w:t>9,000</w:t>
            </w:r>
          </w:p>
        </w:tc>
        <w:tc>
          <w:tcPr>
            <w:tcW w:w="1066" w:type="dxa"/>
            <w:tcBorders>
              <w:top w:val="nil"/>
              <w:left w:val="nil"/>
              <w:bottom w:val="single" w:sz="4" w:space="0" w:color="auto"/>
              <w:right w:val="single" w:sz="4" w:space="0" w:color="auto"/>
            </w:tcBorders>
            <w:shd w:val="clear" w:color="auto" w:fill="auto"/>
            <w:vAlign w:val="bottom"/>
          </w:tcPr>
          <w:p w14:paraId="3A958D54" w14:textId="77777777" w:rsidR="00C24C39" w:rsidRPr="00411912" w:rsidRDefault="00C24C39" w:rsidP="006B42B4">
            <w:pPr>
              <w:jc w:val="right"/>
              <w:rPr>
                <w:b/>
                <w:color w:val="000000"/>
              </w:rPr>
            </w:pPr>
            <w:r w:rsidRPr="00411912">
              <w:rPr>
                <w:b/>
                <w:color w:val="000000"/>
              </w:rPr>
              <w:t>0</w:t>
            </w:r>
          </w:p>
        </w:tc>
      </w:tr>
      <w:tr w:rsidR="00C0618B" w14:paraId="0A8C3868" w14:textId="77777777" w:rsidTr="00F4325D">
        <w:trPr>
          <w:trHeight w:val="308"/>
        </w:trPr>
        <w:tc>
          <w:tcPr>
            <w:tcW w:w="2088" w:type="dxa"/>
            <w:shd w:val="clear" w:color="auto" w:fill="F1F1F1"/>
          </w:tcPr>
          <w:p w14:paraId="54C7C1E1" w14:textId="77777777" w:rsidR="00C0618B" w:rsidRDefault="00C0618B" w:rsidP="00C0618B">
            <w:pPr>
              <w:pStyle w:val="TableParagraph"/>
              <w:spacing w:before="74"/>
              <w:ind w:left="208"/>
              <w:jc w:val="left"/>
              <w:rPr>
                <w:sz w:val="20"/>
              </w:rPr>
            </w:pPr>
            <w:r>
              <w:rPr>
                <w:sz w:val="20"/>
              </w:rPr>
              <w:t>Program Change</w:t>
            </w:r>
          </w:p>
        </w:tc>
        <w:tc>
          <w:tcPr>
            <w:tcW w:w="2160" w:type="dxa"/>
            <w:tcBorders>
              <w:top w:val="nil"/>
              <w:left w:val="nil"/>
              <w:bottom w:val="single" w:sz="4" w:space="0" w:color="auto"/>
              <w:right w:val="single" w:sz="4" w:space="0" w:color="auto"/>
            </w:tcBorders>
            <w:shd w:val="clear" w:color="000000" w:fill="F2F2F2"/>
            <w:vAlign w:val="bottom"/>
          </w:tcPr>
          <w:p w14:paraId="0E65A537" w14:textId="7CA83387" w:rsidR="00C0618B" w:rsidRPr="00C0618B" w:rsidRDefault="00C0618B" w:rsidP="00C0618B">
            <w:pPr>
              <w:jc w:val="right"/>
              <w:rPr>
                <w:color w:val="000000"/>
              </w:rPr>
            </w:pPr>
            <w:r w:rsidRPr="00C0618B">
              <w:rPr>
                <w:color w:val="000000"/>
              </w:rPr>
              <w:t>18,000</w:t>
            </w:r>
          </w:p>
        </w:tc>
        <w:tc>
          <w:tcPr>
            <w:tcW w:w="1890" w:type="dxa"/>
            <w:tcBorders>
              <w:top w:val="single" w:sz="4" w:space="0" w:color="auto"/>
              <w:left w:val="nil"/>
              <w:bottom w:val="single" w:sz="4" w:space="0" w:color="auto"/>
              <w:right w:val="single" w:sz="4" w:space="0" w:color="auto"/>
            </w:tcBorders>
            <w:shd w:val="clear" w:color="000000" w:fill="F2F2F2"/>
            <w:vAlign w:val="bottom"/>
          </w:tcPr>
          <w:p w14:paraId="6C7FE59A" w14:textId="009331C6" w:rsidR="00C0618B" w:rsidRPr="00C0618B" w:rsidRDefault="00C0618B" w:rsidP="00C0618B">
            <w:pPr>
              <w:jc w:val="right"/>
              <w:rPr>
                <w:color w:val="000000"/>
              </w:rPr>
            </w:pPr>
            <w:r w:rsidRPr="00C0618B">
              <w:rPr>
                <w:color w:val="000000"/>
              </w:rPr>
              <w:t>18,000</w:t>
            </w:r>
          </w:p>
        </w:tc>
        <w:tc>
          <w:tcPr>
            <w:tcW w:w="2010" w:type="dxa"/>
            <w:tcBorders>
              <w:top w:val="nil"/>
              <w:left w:val="single" w:sz="4" w:space="0" w:color="auto"/>
              <w:bottom w:val="single" w:sz="4" w:space="0" w:color="auto"/>
              <w:right w:val="single" w:sz="4" w:space="0" w:color="auto"/>
            </w:tcBorders>
            <w:shd w:val="clear" w:color="000000" w:fill="F2F2F2"/>
            <w:vAlign w:val="bottom"/>
          </w:tcPr>
          <w:p w14:paraId="01982EC0" w14:textId="7230F9C1" w:rsidR="00C0618B" w:rsidRPr="00C0618B" w:rsidRDefault="00C0618B" w:rsidP="00C0618B">
            <w:pPr>
              <w:jc w:val="right"/>
              <w:rPr>
                <w:color w:val="000000"/>
              </w:rPr>
            </w:pPr>
            <w:r w:rsidRPr="00C0618B">
              <w:rPr>
                <w:color w:val="000000"/>
              </w:rPr>
              <w:t>9,000</w:t>
            </w:r>
          </w:p>
        </w:tc>
        <w:tc>
          <w:tcPr>
            <w:tcW w:w="1066" w:type="dxa"/>
            <w:tcBorders>
              <w:top w:val="nil"/>
              <w:left w:val="nil"/>
              <w:bottom w:val="single" w:sz="4" w:space="0" w:color="auto"/>
              <w:right w:val="single" w:sz="4" w:space="0" w:color="auto"/>
            </w:tcBorders>
            <w:shd w:val="clear" w:color="000000" w:fill="F2F2F2"/>
            <w:vAlign w:val="bottom"/>
          </w:tcPr>
          <w:p w14:paraId="46461B25" w14:textId="77777777" w:rsidR="00C0618B" w:rsidRPr="00A2422A" w:rsidRDefault="00C0618B" w:rsidP="00C0618B">
            <w:pPr>
              <w:jc w:val="right"/>
              <w:rPr>
                <w:color w:val="000000"/>
              </w:rPr>
            </w:pPr>
            <w:r>
              <w:rPr>
                <w:color w:val="000000"/>
              </w:rPr>
              <w:t xml:space="preserve">$0 </w:t>
            </w:r>
            <w:r w:rsidRPr="00A2422A">
              <w:rPr>
                <w:color w:val="000000"/>
              </w:rPr>
              <w:t xml:space="preserve"> </w:t>
            </w:r>
          </w:p>
        </w:tc>
      </w:tr>
      <w:tr w:rsidR="00C0618B" w14:paraId="5DF9E89B" w14:textId="77777777" w:rsidTr="00F4325D">
        <w:trPr>
          <w:trHeight w:val="307"/>
        </w:trPr>
        <w:tc>
          <w:tcPr>
            <w:tcW w:w="2088" w:type="dxa"/>
            <w:shd w:val="clear" w:color="auto" w:fill="F1F1F1"/>
          </w:tcPr>
          <w:p w14:paraId="405CA42E" w14:textId="77777777" w:rsidR="00C0618B" w:rsidRDefault="00C0618B" w:rsidP="00C0618B">
            <w:pPr>
              <w:pStyle w:val="TableParagraph"/>
              <w:spacing w:before="74"/>
              <w:ind w:left="308"/>
              <w:jc w:val="left"/>
              <w:rPr>
                <w:sz w:val="20"/>
              </w:rPr>
            </w:pPr>
            <w:r>
              <w:rPr>
                <w:sz w:val="20"/>
              </w:rPr>
              <w:t>Discretionary</w:t>
            </w:r>
          </w:p>
        </w:tc>
        <w:tc>
          <w:tcPr>
            <w:tcW w:w="2160" w:type="dxa"/>
            <w:tcBorders>
              <w:top w:val="nil"/>
              <w:left w:val="nil"/>
              <w:bottom w:val="single" w:sz="4" w:space="0" w:color="auto"/>
              <w:right w:val="single" w:sz="4" w:space="0" w:color="auto"/>
            </w:tcBorders>
            <w:shd w:val="clear" w:color="000000" w:fill="F2F2F2"/>
            <w:vAlign w:val="bottom"/>
          </w:tcPr>
          <w:p w14:paraId="3D134D9B" w14:textId="46725A7A" w:rsidR="00C0618B" w:rsidRPr="00A2422A" w:rsidRDefault="00C0618B" w:rsidP="00C0618B">
            <w:pPr>
              <w:jc w:val="right"/>
              <w:rPr>
                <w:color w:val="000000"/>
              </w:rPr>
            </w:pPr>
            <w:r>
              <w:rPr>
                <w:color w:val="000000"/>
              </w:rPr>
              <w:t>0</w:t>
            </w:r>
          </w:p>
        </w:tc>
        <w:tc>
          <w:tcPr>
            <w:tcW w:w="1890" w:type="dxa"/>
            <w:tcBorders>
              <w:top w:val="single" w:sz="4" w:space="0" w:color="auto"/>
              <w:left w:val="nil"/>
              <w:bottom w:val="single" w:sz="4" w:space="0" w:color="auto"/>
              <w:right w:val="single" w:sz="4" w:space="0" w:color="auto"/>
            </w:tcBorders>
            <w:shd w:val="clear" w:color="000000" w:fill="F2F2F2"/>
            <w:vAlign w:val="bottom"/>
          </w:tcPr>
          <w:p w14:paraId="2895056F" w14:textId="368FA1D8" w:rsidR="00C0618B" w:rsidRPr="00A2422A" w:rsidRDefault="00C0618B" w:rsidP="00C0618B">
            <w:pPr>
              <w:jc w:val="right"/>
              <w:rPr>
                <w:color w:val="000000"/>
              </w:rPr>
            </w:pPr>
            <w:r>
              <w:rPr>
                <w:color w:val="000000"/>
              </w:rPr>
              <w:t>0</w:t>
            </w:r>
          </w:p>
        </w:tc>
        <w:tc>
          <w:tcPr>
            <w:tcW w:w="2010" w:type="dxa"/>
            <w:tcBorders>
              <w:top w:val="nil"/>
              <w:left w:val="single" w:sz="4" w:space="0" w:color="auto"/>
              <w:bottom w:val="single" w:sz="4" w:space="0" w:color="auto"/>
              <w:right w:val="single" w:sz="4" w:space="0" w:color="auto"/>
            </w:tcBorders>
            <w:shd w:val="clear" w:color="000000" w:fill="F2F2F2"/>
            <w:vAlign w:val="bottom"/>
          </w:tcPr>
          <w:p w14:paraId="77FE29CB" w14:textId="0131CC27" w:rsidR="00C0618B" w:rsidRPr="00A2422A" w:rsidRDefault="00C0618B" w:rsidP="00C0618B">
            <w:pPr>
              <w:jc w:val="right"/>
              <w:rPr>
                <w:color w:val="000000"/>
              </w:rPr>
            </w:pPr>
            <w:r>
              <w:rPr>
                <w:color w:val="000000"/>
              </w:rPr>
              <w:t>0</w:t>
            </w:r>
          </w:p>
        </w:tc>
        <w:tc>
          <w:tcPr>
            <w:tcW w:w="1066" w:type="dxa"/>
            <w:tcBorders>
              <w:top w:val="nil"/>
              <w:left w:val="nil"/>
              <w:bottom w:val="single" w:sz="4" w:space="0" w:color="auto"/>
              <w:right w:val="single" w:sz="4" w:space="0" w:color="auto"/>
            </w:tcBorders>
            <w:shd w:val="clear" w:color="000000" w:fill="F2F2F2"/>
            <w:vAlign w:val="bottom"/>
          </w:tcPr>
          <w:p w14:paraId="6C9652F8" w14:textId="77777777" w:rsidR="00C0618B" w:rsidRPr="00A2422A" w:rsidRDefault="00C0618B" w:rsidP="00C0618B">
            <w:pPr>
              <w:jc w:val="right"/>
              <w:rPr>
                <w:color w:val="000000"/>
              </w:rPr>
            </w:pPr>
            <w:r w:rsidRPr="00A2422A">
              <w:rPr>
                <w:color w:val="000000"/>
              </w:rPr>
              <w:t>$</w:t>
            </w:r>
            <w:r>
              <w:rPr>
                <w:color w:val="000000"/>
              </w:rPr>
              <w:t xml:space="preserve">0 </w:t>
            </w:r>
          </w:p>
        </w:tc>
      </w:tr>
      <w:tr w:rsidR="00C0618B" w14:paraId="32F6CE7B" w14:textId="77777777" w:rsidTr="00F4325D">
        <w:trPr>
          <w:trHeight w:val="307"/>
        </w:trPr>
        <w:tc>
          <w:tcPr>
            <w:tcW w:w="2088" w:type="dxa"/>
            <w:shd w:val="clear" w:color="auto" w:fill="F1F1F1"/>
          </w:tcPr>
          <w:p w14:paraId="575D6D88" w14:textId="77777777" w:rsidR="00C0618B" w:rsidRDefault="00C0618B" w:rsidP="00C0618B">
            <w:pPr>
              <w:pStyle w:val="TableParagraph"/>
              <w:spacing w:before="74"/>
              <w:ind w:left="308"/>
              <w:jc w:val="left"/>
              <w:rPr>
                <w:sz w:val="20"/>
              </w:rPr>
            </w:pPr>
            <w:r>
              <w:rPr>
                <w:sz w:val="20"/>
              </w:rPr>
              <w:t>New Statute</w:t>
            </w:r>
          </w:p>
        </w:tc>
        <w:tc>
          <w:tcPr>
            <w:tcW w:w="2160" w:type="dxa"/>
            <w:tcBorders>
              <w:top w:val="nil"/>
              <w:left w:val="nil"/>
              <w:bottom w:val="single" w:sz="4" w:space="0" w:color="auto"/>
              <w:right w:val="single" w:sz="4" w:space="0" w:color="auto"/>
            </w:tcBorders>
            <w:shd w:val="clear" w:color="000000" w:fill="F2F2F2"/>
            <w:vAlign w:val="bottom"/>
          </w:tcPr>
          <w:p w14:paraId="363FD179" w14:textId="77777777" w:rsidR="00C0618B" w:rsidRPr="00A2422A" w:rsidRDefault="00C0618B" w:rsidP="00C0618B">
            <w:pPr>
              <w:jc w:val="right"/>
              <w:rPr>
                <w:color w:val="000000"/>
              </w:rPr>
            </w:pPr>
            <w:r w:rsidRPr="00A2422A">
              <w:rPr>
                <w:color w:val="000000"/>
              </w:rPr>
              <w:t>0</w:t>
            </w:r>
          </w:p>
        </w:tc>
        <w:tc>
          <w:tcPr>
            <w:tcW w:w="1890" w:type="dxa"/>
            <w:tcBorders>
              <w:top w:val="single" w:sz="4" w:space="0" w:color="auto"/>
              <w:left w:val="nil"/>
              <w:bottom w:val="single" w:sz="4" w:space="0" w:color="auto"/>
              <w:right w:val="single" w:sz="4" w:space="0" w:color="auto"/>
            </w:tcBorders>
            <w:shd w:val="clear" w:color="000000" w:fill="F2F2F2"/>
            <w:vAlign w:val="bottom"/>
          </w:tcPr>
          <w:p w14:paraId="4953EB58" w14:textId="77777777" w:rsidR="00C0618B" w:rsidRPr="00A2422A" w:rsidRDefault="00C0618B" w:rsidP="00C0618B">
            <w:pPr>
              <w:jc w:val="right"/>
              <w:rPr>
                <w:color w:val="000000"/>
              </w:rPr>
            </w:pPr>
            <w:r w:rsidRPr="00A2422A">
              <w:rPr>
                <w:color w:val="000000"/>
              </w:rPr>
              <w:t>0</w:t>
            </w:r>
          </w:p>
        </w:tc>
        <w:tc>
          <w:tcPr>
            <w:tcW w:w="2010" w:type="dxa"/>
            <w:tcBorders>
              <w:top w:val="nil"/>
              <w:left w:val="single" w:sz="4" w:space="0" w:color="auto"/>
              <w:bottom w:val="single" w:sz="4" w:space="0" w:color="auto"/>
              <w:right w:val="single" w:sz="4" w:space="0" w:color="auto"/>
            </w:tcBorders>
            <w:shd w:val="clear" w:color="000000" w:fill="F2F2F2"/>
            <w:vAlign w:val="bottom"/>
          </w:tcPr>
          <w:p w14:paraId="33786763" w14:textId="77777777" w:rsidR="00C0618B" w:rsidRPr="00A2422A" w:rsidRDefault="00C0618B" w:rsidP="00C0618B">
            <w:pPr>
              <w:jc w:val="right"/>
              <w:rPr>
                <w:color w:val="000000"/>
              </w:rPr>
            </w:pPr>
            <w:r w:rsidRPr="00A2422A">
              <w:rPr>
                <w:color w:val="000000"/>
              </w:rPr>
              <w:t>0</w:t>
            </w:r>
          </w:p>
        </w:tc>
        <w:tc>
          <w:tcPr>
            <w:tcW w:w="1066" w:type="dxa"/>
            <w:tcBorders>
              <w:top w:val="nil"/>
              <w:left w:val="nil"/>
              <w:bottom w:val="single" w:sz="4" w:space="0" w:color="auto"/>
              <w:right w:val="single" w:sz="4" w:space="0" w:color="auto"/>
            </w:tcBorders>
            <w:shd w:val="clear" w:color="000000" w:fill="F2F2F2"/>
            <w:vAlign w:val="bottom"/>
          </w:tcPr>
          <w:p w14:paraId="2D230154" w14:textId="77777777" w:rsidR="00C0618B" w:rsidRPr="00A2422A" w:rsidRDefault="00C0618B" w:rsidP="00C0618B">
            <w:pPr>
              <w:jc w:val="right"/>
              <w:rPr>
                <w:color w:val="000000"/>
              </w:rPr>
            </w:pPr>
            <w:r>
              <w:rPr>
                <w:color w:val="000000"/>
              </w:rPr>
              <w:t>$0</w:t>
            </w:r>
            <w:r w:rsidRPr="00A2422A">
              <w:rPr>
                <w:color w:val="000000"/>
              </w:rPr>
              <w:t xml:space="preserve"> </w:t>
            </w:r>
          </w:p>
        </w:tc>
      </w:tr>
      <w:tr w:rsidR="00C0618B" w14:paraId="1AB7C0C0" w14:textId="77777777" w:rsidTr="00F4325D">
        <w:trPr>
          <w:trHeight w:val="308"/>
        </w:trPr>
        <w:tc>
          <w:tcPr>
            <w:tcW w:w="2088" w:type="dxa"/>
            <w:shd w:val="clear" w:color="auto" w:fill="F1F1F1"/>
          </w:tcPr>
          <w:p w14:paraId="415C0BCA" w14:textId="77777777" w:rsidR="00C0618B" w:rsidRDefault="00C0618B" w:rsidP="00C0618B">
            <w:pPr>
              <w:pStyle w:val="TableParagraph"/>
              <w:spacing w:before="74"/>
              <w:ind w:left="308"/>
              <w:jc w:val="left"/>
              <w:rPr>
                <w:sz w:val="20"/>
              </w:rPr>
            </w:pPr>
            <w:r>
              <w:rPr>
                <w:sz w:val="20"/>
              </w:rPr>
              <w:t>Violation</w:t>
            </w:r>
          </w:p>
        </w:tc>
        <w:tc>
          <w:tcPr>
            <w:tcW w:w="2160" w:type="dxa"/>
            <w:tcBorders>
              <w:top w:val="nil"/>
              <w:left w:val="nil"/>
              <w:bottom w:val="single" w:sz="4" w:space="0" w:color="auto"/>
              <w:right w:val="single" w:sz="4" w:space="0" w:color="auto"/>
            </w:tcBorders>
            <w:shd w:val="clear" w:color="000000" w:fill="F2F2F2"/>
            <w:vAlign w:val="bottom"/>
          </w:tcPr>
          <w:p w14:paraId="033D2CB0" w14:textId="77777777" w:rsidR="00C0618B" w:rsidRPr="00A2422A" w:rsidRDefault="00C0618B" w:rsidP="00C0618B">
            <w:pPr>
              <w:jc w:val="right"/>
              <w:rPr>
                <w:color w:val="000000"/>
              </w:rPr>
            </w:pPr>
            <w:r w:rsidRPr="00A2422A">
              <w:rPr>
                <w:color w:val="000000"/>
              </w:rPr>
              <w:t>0</w:t>
            </w:r>
          </w:p>
        </w:tc>
        <w:tc>
          <w:tcPr>
            <w:tcW w:w="1890" w:type="dxa"/>
            <w:tcBorders>
              <w:top w:val="single" w:sz="4" w:space="0" w:color="auto"/>
              <w:left w:val="nil"/>
              <w:bottom w:val="single" w:sz="4" w:space="0" w:color="auto"/>
              <w:right w:val="single" w:sz="4" w:space="0" w:color="auto"/>
            </w:tcBorders>
            <w:shd w:val="clear" w:color="000000" w:fill="F2F2F2"/>
            <w:vAlign w:val="bottom"/>
          </w:tcPr>
          <w:p w14:paraId="5CE8096B" w14:textId="77777777" w:rsidR="00C0618B" w:rsidRPr="00A2422A" w:rsidRDefault="00C0618B" w:rsidP="00C0618B">
            <w:pPr>
              <w:jc w:val="right"/>
              <w:rPr>
                <w:color w:val="000000"/>
              </w:rPr>
            </w:pPr>
            <w:r w:rsidRPr="00A2422A">
              <w:rPr>
                <w:color w:val="000000"/>
              </w:rPr>
              <w:t>0</w:t>
            </w:r>
          </w:p>
        </w:tc>
        <w:tc>
          <w:tcPr>
            <w:tcW w:w="2010" w:type="dxa"/>
            <w:tcBorders>
              <w:top w:val="nil"/>
              <w:left w:val="single" w:sz="4" w:space="0" w:color="auto"/>
              <w:bottom w:val="single" w:sz="4" w:space="0" w:color="auto"/>
              <w:right w:val="single" w:sz="4" w:space="0" w:color="auto"/>
            </w:tcBorders>
            <w:shd w:val="clear" w:color="000000" w:fill="F2F2F2"/>
            <w:vAlign w:val="bottom"/>
          </w:tcPr>
          <w:p w14:paraId="4CBE3187" w14:textId="77777777" w:rsidR="00C0618B" w:rsidRPr="00A2422A" w:rsidRDefault="00C0618B" w:rsidP="00C0618B">
            <w:pPr>
              <w:jc w:val="right"/>
              <w:rPr>
                <w:color w:val="000000"/>
              </w:rPr>
            </w:pPr>
            <w:r w:rsidRPr="00A2422A">
              <w:rPr>
                <w:color w:val="000000"/>
              </w:rPr>
              <w:t>0</w:t>
            </w:r>
          </w:p>
        </w:tc>
        <w:tc>
          <w:tcPr>
            <w:tcW w:w="1066" w:type="dxa"/>
            <w:tcBorders>
              <w:top w:val="nil"/>
              <w:left w:val="nil"/>
              <w:bottom w:val="single" w:sz="4" w:space="0" w:color="auto"/>
              <w:right w:val="single" w:sz="4" w:space="0" w:color="auto"/>
            </w:tcBorders>
            <w:shd w:val="clear" w:color="000000" w:fill="F2F2F2"/>
            <w:vAlign w:val="bottom"/>
          </w:tcPr>
          <w:p w14:paraId="377EE8DA" w14:textId="77777777" w:rsidR="00C0618B" w:rsidRPr="00A2422A" w:rsidRDefault="00C0618B" w:rsidP="00C0618B">
            <w:pPr>
              <w:jc w:val="right"/>
              <w:rPr>
                <w:color w:val="000000"/>
              </w:rPr>
            </w:pPr>
            <w:r>
              <w:rPr>
                <w:color w:val="000000"/>
              </w:rPr>
              <w:t>$0</w:t>
            </w:r>
            <w:r w:rsidRPr="00A2422A">
              <w:rPr>
                <w:color w:val="000000"/>
              </w:rPr>
              <w:t xml:space="preserve"> </w:t>
            </w:r>
          </w:p>
        </w:tc>
      </w:tr>
      <w:tr w:rsidR="00C0618B" w14:paraId="76BF44CA" w14:textId="77777777" w:rsidTr="00F4325D">
        <w:trPr>
          <w:trHeight w:val="307"/>
        </w:trPr>
        <w:tc>
          <w:tcPr>
            <w:tcW w:w="2088" w:type="dxa"/>
            <w:shd w:val="clear" w:color="auto" w:fill="F1F1F1"/>
          </w:tcPr>
          <w:p w14:paraId="166A3927" w14:textId="77777777" w:rsidR="00C0618B" w:rsidRDefault="00C0618B" w:rsidP="00C0618B">
            <w:pPr>
              <w:pStyle w:val="TableParagraph"/>
              <w:spacing w:before="74"/>
              <w:ind w:left="208"/>
              <w:jc w:val="left"/>
              <w:rPr>
                <w:sz w:val="20"/>
              </w:rPr>
            </w:pPr>
            <w:r>
              <w:rPr>
                <w:sz w:val="20"/>
              </w:rPr>
              <w:t>Adjustment</w:t>
            </w:r>
          </w:p>
        </w:tc>
        <w:tc>
          <w:tcPr>
            <w:tcW w:w="2160" w:type="dxa"/>
            <w:tcBorders>
              <w:top w:val="nil"/>
              <w:left w:val="nil"/>
              <w:bottom w:val="single" w:sz="4" w:space="0" w:color="auto"/>
              <w:right w:val="single" w:sz="4" w:space="0" w:color="auto"/>
            </w:tcBorders>
            <w:shd w:val="clear" w:color="000000" w:fill="F2F2F2"/>
            <w:vAlign w:val="bottom"/>
          </w:tcPr>
          <w:p w14:paraId="041F57E0" w14:textId="6532B0E1" w:rsidR="00C0618B" w:rsidRPr="00A2422A" w:rsidRDefault="00C0618B" w:rsidP="00C0618B">
            <w:pPr>
              <w:jc w:val="right"/>
              <w:rPr>
                <w:color w:val="000000"/>
              </w:rPr>
            </w:pPr>
            <w:r>
              <w:rPr>
                <w:color w:val="000000"/>
              </w:rPr>
              <w:t>0</w:t>
            </w:r>
          </w:p>
        </w:tc>
        <w:tc>
          <w:tcPr>
            <w:tcW w:w="1890" w:type="dxa"/>
            <w:tcBorders>
              <w:top w:val="single" w:sz="4" w:space="0" w:color="auto"/>
              <w:left w:val="nil"/>
              <w:bottom w:val="single" w:sz="4" w:space="0" w:color="auto"/>
              <w:right w:val="single" w:sz="4" w:space="0" w:color="auto"/>
            </w:tcBorders>
            <w:shd w:val="clear" w:color="000000" w:fill="F2F2F2"/>
            <w:vAlign w:val="bottom"/>
          </w:tcPr>
          <w:p w14:paraId="417AE386" w14:textId="1AB0BE7E" w:rsidR="00C0618B" w:rsidRPr="00A2422A" w:rsidRDefault="00C0618B" w:rsidP="00C0618B">
            <w:pPr>
              <w:jc w:val="right"/>
              <w:rPr>
                <w:color w:val="000000"/>
              </w:rPr>
            </w:pPr>
            <w:r>
              <w:rPr>
                <w:color w:val="000000"/>
              </w:rPr>
              <w:t>0</w:t>
            </w:r>
          </w:p>
        </w:tc>
        <w:tc>
          <w:tcPr>
            <w:tcW w:w="2010" w:type="dxa"/>
            <w:tcBorders>
              <w:top w:val="nil"/>
              <w:left w:val="single" w:sz="4" w:space="0" w:color="auto"/>
              <w:bottom w:val="single" w:sz="4" w:space="0" w:color="auto"/>
              <w:right w:val="single" w:sz="4" w:space="0" w:color="auto"/>
            </w:tcBorders>
            <w:shd w:val="clear" w:color="000000" w:fill="F2F2F2"/>
            <w:vAlign w:val="bottom"/>
          </w:tcPr>
          <w:p w14:paraId="22775988" w14:textId="5BC9749D" w:rsidR="00C0618B" w:rsidRPr="00A2422A" w:rsidRDefault="00C0618B" w:rsidP="00C0618B">
            <w:pPr>
              <w:jc w:val="right"/>
              <w:rPr>
                <w:color w:val="000000"/>
              </w:rPr>
            </w:pPr>
            <w:r>
              <w:rPr>
                <w:color w:val="000000"/>
              </w:rPr>
              <w:t>0</w:t>
            </w:r>
          </w:p>
        </w:tc>
        <w:tc>
          <w:tcPr>
            <w:tcW w:w="1066" w:type="dxa"/>
            <w:tcBorders>
              <w:top w:val="nil"/>
              <w:left w:val="nil"/>
              <w:bottom w:val="single" w:sz="4" w:space="0" w:color="auto"/>
              <w:right w:val="single" w:sz="4" w:space="0" w:color="auto"/>
            </w:tcBorders>
            <w:shd w:val="clear" w:color="000000" w:fill="F2F2F2"/>
            <w:vAlign w:val="bottom"/>
          </w:tcPr>
          <w:p w14:paraId="57B285AE" w14:textId="77777777" w:rsidR="00C0618B" w:rsidRPr="00A2422A" w:rsidRDefault="00C0618B" w:rsidP="00C0618B">
            <w:pPr>
              <w:jc w:val="right"/>
              <w:rPr>
                <w:color w:val="000000"/>
              </w:rPr>
            </w:pPr>
            <w:r>
              <w:rPr>
                <w:color w:val="000000"/>
              </w:rPr>
              <w:t>$0</w:t>
            </w:r>
          </w:p>
        </w:tc>
      </w:tr>
    </w:tbl>
    <w:p w14:paraId="22BEFEC2" w14:textId="77777777" w:rsidR="00C24C39" w:rsidRDefault="00C24C39" w:rsidP="00C24C39">
      <w:pPr>
        <w:pStyle w:val="BodyText"/>
        <w:spacing w:before="8"/>
        <w:rPr>
          <w:b/>
          <w:sz w:val="23"/>
        </w:rPr>
      </w:pPr>
    </w:p>
    <w:p w14:paraId="52B571A1" w14:textId="77777777" w:rsidR="00464D63" w:rsidRDefault="00C0618B" w:rsidP="0084450E">
      <w:r>
        <w:t xml:space="preserve"> </w:t>
      </w:r>
    </w:p>
    <w:p w14:paraId="6B479CF5" w14:textId="16EB0F44" w:rsidR="00156225" w:rsidRDefault="00C0618B" w:rsidP="0084450E">
      <w:r>
        <w:t xml:space="preserve">This is a reinstatement of a previously approved </w:t>
      </w:r>
      <w:r w:rsidR="00CF0E44">
        <w:t>collection;</w:t>
      </w:r>
      <w:r w:rsidR="009D0331">
        <w:t xml:space="preserve"> therefore</w:t>
      </w:r>
      <w:r w:rsidR="00CF0E44">
        <w:t>,</w:t>
      </w:r>
      <w:r w:rsidR="009D0331">
        <w:t xml:space="preserve"> all burden is considered new burden for this submission.  However, the Bureau’s prior experiences </w:t>
      </w:r>
      <w:r w:rsidR="00CF0E44">
        <w:t>using this</w:t>
      </w:r>
      <w:r w:rsidR="009D0331">
        <w:t xml:space="preserve"> collection has led it to revise downward the burden estimates of this collection by </w:t>
      </w:r>
      <w:r w:rsidR="00CF0E44">
        <w:t>7,500 responses and 3,750 burden hours over the next three-year approval period.</w:t>
      </w:r>
    </w:p>
    <w:p w14:paraId="2B88C569" w14:textId="15D503BC" w:rsidR="00CF0E44" w:rsidRDefault="00CF0E44" w:rsidP="0084450E"/>
    <w:p w14:paraId="27FCF966" w14:textId="2EF87714" w:rsidR="00464D63" w:rsidRDefault="00464D63" w:rsidP="0084450E"/>
    <w:p w14:paraId="0CFCF683" w14:textId="5F89B490" w:rsidR="00464D63" w:rsidRDefault="00464D63" w:rsidP="0084450E"/>
    <w:p w14:paraId="40E0E243" w14:textId="77777777" w:rsidR="00464D63" w:rsidRDefault="00464D63" w:rsidP="0084450E"/>
    <w:p w14:paraId="72C98A51" w14:textId="77777777" w:rsidR="00AF5912" w:rsidRPr="00C0618B" w:rsidRDefault="00AF5912" w:rsidP="0084450E"/>
    <w:p w14:paraId="57E7FA47" w14:textId="73E0753A" w:rsidR="00881678" w:rsidRDefault="0084450E" w:rsidP="00C0618B">
      <w:pPr>
        <w:rPr>
          <w:b/>
        </w:rPr>
      </w:pPr>
      <w:r>
        <w:rPr>
          <w:b/>
        </w:rPr>
        <w:t xml:space="preserve">16.  </w:t>
      </w:r>
      <w:r w:rsidRPr="004C034A">
        <w:rPr>
          <w:b/>
          <w:u w:val="single"/>
        </w:rPr>
        <w:t>Plans for Tabulation, Statistical Analysis, and Publication</w:t>
      </w:r>
    </w:p>
    <w:p w14:paraId="6CBC46FC" w14:textId="77777777" w:rsidR="00464D63" w:rsidRDefault="00464D63" w:rsidP="00881678">
      <w:pPr>
        <w:spacing w:line="360" w:lineRule="auto"/>
        <w:ind w:firstLine="720"/>
      </w:pPr>
    </w:p>
    <w:p w14:paraId="79795373" w14:textId="0E54F80A" w:rsidR="00A73891" w:rsidRPr="0046418E" w:rsidRDefault="00EB5C51" w:rsidP="00881678">
      <w:pPr>
        <w:spacing w:line="360" w:lineRule="auto"/>
        <w:ind w:firstLine="720"/>
      </w:pPr>
      <w:r>
        <w:t xml:space="preserve">All survey responses gathered under this generic clearance will be tabulated and analyzed once received.  </w:t>
      </w:r>
      <w:r w:rsidR="00A73891" w:rsidRPr="009F05A6">
        <w:t xml:space="preserve">Generally, data collection will take at least two to three months. Once the data have been received, we expect data </w:t>
      </w:r>
      <w:r w:rsidR="00066D90" w:rsidRPr="009F05A6">
        <w:t>tabulation</w:t>
      </w:r>
      <w:r w:rsidR="00A73891" w:rsidRPr="009F05A6">
        <w:t xml:space="preserve"> and preliminary data analyses to last another four to five months normally.</w:t>
      </w:r>
      <w:r w:rsidR="00A73891">
        <w:rPr>
          <w:sz w:val="23"/>
          <w:szCs w:val="23"/>
        </w:rPr>
        <w:t xml:space="preserve">  </w:t>
      </w:r>
      <w:r w:rsidR="00956894">
        <w:rPr>
          <w:rFonts w:cs="Times New Roman"/>
          <w:szCs w:val="24"/>
        </w:rPr>
        <w:t xml:space="preserve">We expect the analysis will include providing descriptive statistics </w:t>
      </w:r>
      <w:r w:rsidR="00F322D1">
        <w:rPr>
          <w:rFonts w:cs="Times New Roman"/>
          <w:szCs w:val="24"/>
        </w:rPr>
        <w:t>for those variables of primary interest in a given survey, which may include statistics for which there are currently no reliable estimates</w:t>
      </w:r>
      <w:r w:rsidR="00956894">
        <w:rPr>
          <w:rFonts w:cs="Times New Roman"/>
          <w:szCs w:val="24"/>
        </w:rPr>
        <w:t xml:space="preserve">.  These and any other analysis would incorporate </w:t>
      </w:r>
      <w:r w:rsidR="001B347C">
        <w:rPr>
          <w:rFonts w:cs="Times New Roman"/>
          <w:szCs w:val="24"/>
        </w:rPr>
        <w:t>nonresponse</w:t>
      </w:r>
      <w:r w:rsidR="00DC259C">
        <w:rPr>
          <w:rFonts w:cs="Times New Roman"/>
          <w:szCs w:val="24"/>
        </w:rPr>
        <w:t>-</w:t>
      </w:r>
      <w:r w:rsidR="00956894">
        <w:rPr>
          <w:rFonts w:cs="Times New Roman"/>
          <w:szCs w:val="24"/>
        </w:rPr>
        <w:t>adjusted sample weights. We also expect to pro</w:t>
      </w:r>
      <w:r w:rsidR="00F322D1">
        <w:rPr>
          <w:rFonts w:cs="Times New Roman"/>
          <w:szCs w:val="24"/>
        </w:rPr>
        <w:t>duce cross-tabulations of these key</w:t>
      </w:r>
      <w:r w:rsidR="00956894">
        <w:rPr>
          <w:rFonts w:cs="Times New Roman"/>
          <w:szCs w:val="24"/>
        </w:rPr>
        <w:t xml:space="preserve"> measures by, for example, demographic characteristics</w:t>
      </w:r>
      <w:r w:rsidR="00F322D1">
        <w:rPr>
          <w:rFonts w:cs="Times New Roman"/>
          <w:szCs w:val="24"/>
        </w:rPr>
        <w:t>.</w:t>
      </w:r>
      <w:r w:rsidR="00956894">
        <w:t xml:space="preserve"> </w:t>
      </w:r>
      <w:r>
        <w:t xml:space="preserve">The tabulations and analytical results will be published as technical articles that </w:t>
      </w:r>
      <w:r w:rsidR="0009548B">
        <w:t xml:space="preserve">will be </w:t>
      </w:r>
      <w:r>
        <w:t>publically disseminated as working papers, published in peer-reviewed journals, or published as CFPB white papers.  If any survey</w:t>
      </w:r>
      <w:r w:rsidR="0009548B">
        <w:t xml:space="preserve"> data are publicly released, the data release will generally </w:t>
      </w:r>
      <w:r w:rsidR="003E6FD7">
        <w:t>follow</w:t>
      </w:r>
      <w:r w:rsidR="0009548B">
        <w:t xml:space="preserve"> the publication of</w:t>
      </w:r>
      <w:r>
        <w:t xml:space="preserve"> documents presenting the results of their analysis.</w:t>
      </w:r>
    </w:p>
    <w:p w14:paraId="3E8364EE" w14:textId="77777777" w:rsidR="00156225" w:rsidRDefault="00156225" w:rsidP="0084450E">
      <w:pPr>
        <w:rPr>
          <w:b/>
        </w:rPr>
      </w:pPr>
    </w:p>
    <w:p w14:paraId="51C3C591" w14:textId="77777777" w:rsidR="00881678" w:rsidRDefault="00881678" w:rsidP="0084450E">
      <w:pPr>
        <w:rPr>
          <w:b/>
        </w:rPr>
      </w:pPr>
    </w:p>
    <w:p w14:paraId="5E7F33F9" w14:textId="77777777" w:rsidR="0084450E" w:rsidRDefault="0084450E" w:rsidP="0084450E">
      <w:pPr>
        <w:rPr>
          <w:b/>
          <w:u w:val="single"/>
        </w:rPr>
      </w:pPr>
      <w:r>
        <w:rPr>
          <w:b/>
        </w:rPr>
        <w:t xml:space="preserve">17.  </w:t>
      </w:r>
      <w:r w:rsidRPr="004C034A">
        <w:rPr>
          <w:b/>
          <w:u w:val="single"/>
        </w:rPr>
        <w:t>Display of Expiration Date</w:t>
      </w:r>
    </w:p>
    <w:p w14:paraId="50F9D1AA" w14:textId="77777777" w:rsidR="00881678" w:rsidRDefault="00881678" w:rsidP="00881678">
      <w:pPr>
        <w:spacing w:line="360" w:lineRule="auto"/>
        <w:rPr>
          <w:b/>
        </w:rPr>
      </w:pPr>
    </w:p>
    <w:p w14:paraId="1AED4A6A" w14:textId="77777777" w:rsidR="00156225" w:rsidRPr="0046418E" w:rsidRDefault="00C84E5E" w:rsidP="00881678">
      <w:pPr>
        <w:spacing w:line="360" w:lineRule="auto"/>
        <w:ind w:firstLine="720"/>
      </w:pPr>
      <w:r>
        <w:t>The Bureau plans to display the expiration date for OMB approval of the information collection on all instruments.</w:t>
      </w:r>
      <w:r w:rsidR="00AF0F95">
        <w:t xml:space="preserve"> </w:t>
      </w:r>
      <w:r w:rsidR="00184AB6" w:rsidRPr="00184AB6">
        <w:t xml:space="preserve">Further, the OMB control number and expiration date will be displayed on the Federal government’s electronic PRA docket at </w:t>
      </w:r>
      <w:hyperlink r:id="rId9" w:history="1">
        <w:r w:rsidR="00184AB6" w:rsidRPr="008D42ED">
          <w:rPr>
            <w:rStyle w:val="Hyperlink"/>
          </w:rPr>
          <w:t>www.reginfo.gov</w:t>
        </w:r>
      </w:hyperlink>
      <w:r w:rsidR="00184AB6" w:rsidRPr="00184AB6">
        <w:t>.</w:t>
      </w:r>
      <w:r w:rsidR="00184AB6">
        <w:t xml:space="preserve"> </w:t>
      </w:r>
    </w:p>
    <w:p w14:paraId="1C4C8E51" w14:textId="77777777" w:rsidR="0084450E" w:rsidRDefault="0084450E" w:rsidP="0084450E">
      <w:pPr>
        <w:rPr>
          <w:b/>
        </w:rPr>
      </w:pPr>
    </w:p>
    <w:p w14:paraId="3FFC69AE" w14:textId="77777777" w:rsidR="00881678" w:rsidRDefault="00881678" w:rsidP="0084450E">
      <w:pPr>
        <w:rPr>
          <w:b/>
        </w:rPr>
      </w:pPr>
    </w:p>
    <w:p w14:paraId="516F1126" w14:textId="77777777" w:rsidR="0084450E" w:rsidRDefault="0084450E" w:rsidP="0084450E">
      <w:pPr>
        <w:rPr>
          <w:b/>
          <w:u w:val="single"/>
        </w:rPr>
      </w:pPr>
      <w:r>
        <w:rPr>
          <w:b/>
        </w:rPr>
        <w:t xml:space="preserve">18.  </w:t>
      </w:r>
      <w:r w:rsidRPr="004C034A">
        <w:rPr>
          <w:b/>
          <w:u w:val="single"/>
        </w:rPr>
        <w:t xml:space="preserve">Exceptions </w:t>
      </w:r>
      <w:r w:rsidR="004C034A" w:rsidRPr="004C034A">
        <w:rPr>
          <w:b/>
          <w:u w:val="single"/>
        </w:rPr>
        <w:t>to the Certification Requirement</w:t>
      </w:r>
    </w:p>
    <w:p w14:paraId="2CF1CFF3" w14:textId="77777777" w:rsidR="00156225" w:rsidRDefault="00156225" w:rsidP="0084450E">
      <w:pPr>
        <w:rPr>
          <w:b/>
          <w:u w:val="single"/>
        </w:rPr>
      </w:pPr>
    </w:p>
    <w:p w14:paraId="53C35B64" w14:textId="49366329" w:rsidR="00885397" w:rsidRPr="00A85796" w:rsidRDefault="00881678" w:rsidP="008816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b/>
          <w:bCs/>
          <w:szCs w:val="24"/>
          <w:u w:val="single"/>
        </w:rPr>
      </w:pPr>
      <w:r>
        <w:rPr>
          <w:rFonts w:cs="Times New Roman"/>
          <w:szCs w:val="24"/>
        </w:rPr>
        <w:tab/>
      </w:r>
      <w:r w:rsidR="00885397" w:rsidRPr="00A85796">
        <w:rPr>
          <w:rFonts w:cs="Times New Roman"/>
          <w:szCs w:val="24"/>
        </w:rPr>
        <w:t xml:space="preserve">The Bureau certifies that this collection of information is consistent with the requirements of 5 </w:t>
      </w:r>
      <w:r w:rsidR="00411912">
        <w:rPr>
          <w:rFonts w:cs="Times New Roman"/>
          <w:szCs w:val="24"/>
        </w:rPr>
        <w:t>C.F.R.</w:t>
      </w:r>
      <w:r w:rsidR="00885397" w:rsidRPr="00A85796">
        <w:rPr>
          <w:rFonts w:cs="Times New Roman"/>
          <w:szCs w:val="24"/>
        </w:rPr>
        <w:t xml:space="preserve"> 1320.9, and the related provisions of 5 </w:t>
      </w:r>
      <w:r w:rsidR="00411912">
        <w:rPr>
          <w:rFonts w:cs="Times New Roman"/>
          <w:szCs w:val="24"/>
        </w:rPr>
        <w:t>C.F.R.</w:t>
      </w:r>
      <w:r w:rsidR="00885397" w:rsidRPr="00A85796">
        <w:rPr>
          <w:rFonts w:cs="Times New Roman"/>
          <w:szCs w:val="24"/>
        </w:rPr>
        <w:t xml:space="preserve"> 1320.8(b)(3) and is not seeking an exemption to these certification requirements.</w:t>
      </w:r>
    </w:p>
    <w:p w14:paraId="0895FB6D" w14:textId="77777777" w:rsidR="004C034A" w:rsidRPr="006637A5" w:rsidRDefault="004C034A" w:rsidP="004942D5">
      <w:pPr>
        <w:spacing w:line="360" w:lineRule="auto"/>
      </w:pPr>
    </w:p>
    <w:sectPr w:rsidR="004C034A" w:rsidRPr="006637A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E9261" w14:textId="77777777" w:rsidR="00AE6301" w:rsidRDefault="00AE6301" w:rsidP="002174D6">
      <w:r>
        <w:separator/>
      </w:r>
    </w:p>
  </w:endnote>
  <w:endnote w:type="continuationSeparator" w:id="0">
    <w:p w14:paraId="520885ED" w14:textId="77777777" w:rsidR="00AE6301" w:rsidRDefault="00AE6301" w:rsidP="0021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268290"/>
      <w:docPartObj>
        <w:docPartGallery w:val="Page Numbers (Bottom of Page)"/>
        <w:docPartUnique/>
      </w:docPartObj>
    </w:sdtPr>
    <w:sdtEndPr/>
    <w:sdtContent>
      <w:sdt>
        <w:sdtPr>
          <w:id w:val="860082579"/>
          <w:docPartObj>
            <w:docPartGallery w:val="Page Numbers (Top of Page)"/>
            <w:docPartUnique/>
          </w:docPartObj>
        </w:sdtPr>
        <w:sdtEndPr/>
        <w:sdtContent>
          <w:p w14:paraId="4DE068BD" w14:textId="52000662" w:rsidR="00881678" w:rsidRDefault="0088167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5676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56763">
              <w:rPr>
                <w:b/>
                <w:bCs/>
                <w:noProof/>
              </w:rPr>
              <w:t>3</w:t>
            </w:r>
            <w:r>
              <w:rPr>
                <w:b/>
                <w:bCs/>
                <w:szCs w:val="24"/>
              </w:rPr>
              <w:fldChar w:fldCharType="end"/>
            </w:r>
          </w:p>
        </w:sdtContent>
      </w:sdt>
    </w:sdtContent>
  </w:sdt>
  <w:p w14:paraId="351EF480" w14:textId="77777777" w:rsidR="00881678" w:rsidRDefault="00881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E779F" w14:textId="77777777" w:rsidR="00AE6301" w:rsidRDefault="00AE6301" w:rsidP="002174D6">
      <w:r>
        <w:separator/>
      </w:r>
    </w:p>
  </w:footnote>
  <w:footnote w:type="continuationSeparator" w:id="0">
    <w:p w14:paraId="26AE4DE1" w14:textId="77777777" w:rsidR="00AE6301" w:rsidRDefault="00AE6301" w:rsidP="002174D6">
      <w:r>
        <w:continuationSeparator/>
      </w:r>
    </w:p>
  </w:footnote>
  <w:footnote w:id="1">
    <w:p w14:paraId="144C022E" w14:textId="77777777" w:rsidR="000E6E95" w:rsidRDefault="000E6E95">
      <w:pPr>
        <w:pStyle w:val="FootnoteText"/>
      </w:pPr>
      <w:r>
        <w:rPr>
          <w:rStyle w:val="FootnoteReference"/>
        </w:rPr>
        <w:footnoteRef/>
      </w:r>
      <w:r>
        <w:t xml:space="preserve"> </w:t>
      </w:r>
      <w:r w:rsidRPr="00EA11BC">
        <w:rPr>
          <w:rFonts w:cs="Times New Roman"/>
        </w:rPr>
        <w:t>CFPB FY 2013 – FY 2017 Strategic Plan, goal 3, http://www.consumerfinance.gov/strategic-plan/</w:t>
      </w:r>
    </w:p>
  </w:footnote>
  <w:footnote w:id="2">
    <w:p w14:paraId="42FC4B12" w14:textId="77777777" w:rsidR="000E6E95" w:rsidRDefault="000E6E95">
      <w:pPr>
        <w:pStyle w:val="FootnoteText"/>
      </w:pPr>
      <w:r>
        <w:rPr>
          <w:rStyle w:val="FootnoteReference"/>
        </w:rPr>
        <w:footnoteRef/>
      </w:r>
      <w:r>
        <w:t xml:space="preserve"> </w:t>
      </w:r>
      <w:r w:rsidRPr="000828E8">
        <w:rPr>
          <w:rFonts w:cs="Times New Roman"/>
        </w:rPr>
        <w:t>DFA Section 1013(b)(1) mandates that the Bureau have research staff whose responsibilities include “[r]esearching, analyzing, and reporting on (A) developments in markets for consumer financial products or services, including market areas of alternative consumer financial products or services with high growth rates and areas of risk to consumers; (B) access to fair and affordable credit for traditionally underserved communities; (C)</w:t>
      </w:r>
      <w:r>
        <w:rPr>
          <w:rFonts w:cs="Times New Roman"/>
        </w:rPr>
        <w:t xml:space="preserve"> </w:t>
      </w:r>
      <w:r w:rsidRPr="000828E8">
        <w:rPr>
          <w:rFonts w:cs="Times New Roman"/>
        </w:rPr>
        <w:t>consumer awareness, understanding, and use of disclosures and communications regarding consumer financial products or services; (D) consumer awareness and understanding of costs, risks, and benefits of consumer financial products or services; (E) consumer behavior with respect to consumer financial products or services, including performance on mortgage loans; and (F) experiences of traditionally underserved consumers, including un</w:t>
      </w:r>
      <w:r w:rsidRPr="000828E8">
        <w:rPr>
          <w:rFonts w:ascii="Cambria Math" w:hAnsi="Cambria Math" w:cs="Cambria Math"/>
        </w:rPr>
        <w:t>‐</w:t>
      </w:r>
      <w:r w:rsidRPr="000828E8">
        <w:rPr>
          <w:rFonts w:cs="Times New Roman"/>
        </w:rPr>
        <w:t>banked and under</w:t>
      </w:r>
      <w:r w:rsidRPr="000828E8">
        <w:rPr>
          <w:rFonts w:ascii="Cambria Math" w:hAnsi="Cambria Math" w:cs="Cambria Math"/>
        </w:rPr>
        <w:t>‐</w:t>
      </w:r>
      <w:r w:rsidRPr="000828E8">
        <w:rPr>
          <w:rFonts w:cs="Times New Roman"/>
        </w:rPr>
        <w:t>banked consumers.”</w:t>
      </w:r>
    </w:p>
  </w:footnote>
  <w:footnote w:id="3">
    <w:p w14:paraId="63D8B965" w14:textId="77777777" w:rsidR="000E6E95" w:rsidRDefault="000E6E95">
      <w:pPr>
        <w:pStyle w:val="FootnoteText"/>
      </w:pPr>
      <w:r>
        <w:rPr>
          <w:rStyle w:val="FootnoteReference"/>
        </w:rPr>
        <w:footnoteRef/>
      </w:r>
      <w:r>
        <w:t xml:space="preserve"> Allan H. Church (1993), “Estimating the Effects of Incentives on Mail Survey Response Rates: A Meta-Analysis.” </w:t>
      </w:r>
      <w:r w:rsidRPr="006D1BBF">
        <w:rPr>
          <w:i/>
        </w:rPr>
        <w:t>Public Opinion Quarterly</w:t>
      </w:r>
      <w:r>
        <w:rPr>
          <w:i/>
        </w:rPr>
        <w:t>,</w:t>
      </w:r>
      <w:r>
        <w:t xml:space="preserve"> 57(1): 62-79</w:t>
      </w:r>
    </w:p>
  </w:footnote>
  <w:footnote w:id="4">
    <w:p w14:paraId="0C4D38F4" w14:textId="77777777" w:rsidR="000E6E95" w:rsidRPr="00E2607C" w:rsidRDefault="000E6E95">
      <w:pPr>
        <w:pStyle w:val="FootnoteText"/>
      </w:pPr>
      <w:r>
        <w:rPr>
          <w:rStyle w:val="FootnoteReference"/>
        </w:rPr>
        <w:footnoteRef/>
      </w:r>
      <w:r>
        <w:t xml:space="preserve"> Phil Edwards et al. (2002), “Increasing Response Rates to Postal Questionnaires: Systematic Review.” </w:t>
      </w:r>
      <w:r>
        <w:rPr>
          <w:i/>
        </w:rPr>
        <w:t xml:space="preserve">British Medical Journal, </w:t>
      </w:r>
      <w:r>
        <w:t>324: 1183-1189.</w:t>
      </w:r>
    </w:p>
  </w:footnote>
  <w:footnote w:id="5">
    <w:p w14:paraId="098E9347" w14:textId="77777777" w:rsidR="000E6E95" w:rsidRDefault="000E6E95">
      <w:pPr>
        <w:pStyle w:val="FootnoteText"/>
      </w:pPr>
      <w:r>
        <w:rPr>
          <w:rStyle w:val="FootnoteReference"/>
        </w:rPr>
        <w:footnoteRef/>
      </w:r>
      <w:r>
        <w:t xml:space="preserve"> Fan Zhang (2010), “Incentive Experiments: NSF Experiences.” NSF Working Paper.</w:t>
      </w:r>
    </w:p>
  </w:footnote>
  <w:footnote w:id="6">
    <w:p w14:paraId="3DB4CBD5" w14:textId="77777777" w:rsidR="000E6E95" w:rsidRPr="00D06429" w:rsidRDefault="000E6E95">
      <w:pPr>
        <w:pStyle w:val="FootnoteText"/>
      </w:pPr>
      <w:r>
        <w:rPr>
          <w:rStyle w:val="FootnoteReference"/>
        </w:rPr>
        <w:footnoteRef/>
      </w:r>
      <w:r>
        <w:t xml:space="preserve"> Eleanor Singer (2002), “The Use of Incentives to Reduce Nonresponse in Household Surveys.”  In R.M. Groves, D.A. Dillman, J.L. Eltinge, and R.J.A. Little (eds), </w:t>
      </w:r>
      <w:r>
        <w:rPr>
          <w:i/>
        </w:rPr>
        <w:t>Survey Nonresponse</w:t>
      </w:r>
      <w:r>
        <w:t>.  New York: Wiley, pp 163-177.</w:t>
      </w:r>
    </w:p>
  </w:footnote>
  <w:footnote w:id="7">
    <w:p w14:paraId="5BFC7754" w14:textId="77777777" w:rsidR="000E6E95" w:rsidRPr="00353219" w:rsidRDefault="000E6E95">
      <w:pPr>
        <w:pStyle w:val="FootnoteText"/>
      </w:pPr>
      <w:r>
        <w:rPr>
          <w:rStyle w:val="FootnoteReference"/>
        </w:rPr>
        <w:footnoteRef/>
      </w:r>
      <w:r>
        <w:t xml:space="preserve"> Eleanor Singer, Cong Ye (2013), “The Use and Effects of Incentives in Surveys.”  </w:t>
      </w:r>
      <w:r>
        <w:rPr>
          <w:i/>
        </w:rPr>
        <w:t>The Annals of the American Academy of Political and Social Science</w:t>
      </w:r>
      <w:r>
        <w:t>, 645</w:t>
      </w:r>
    </w:p>
  </w:footnote>
  <w:footnote w:id="8">
    <w:p w14:paraId="7F7AC042" w14:textId="77777777" w:rsidR="000E6E95" w:rsidRPr="00B96B71" w:rsidRDefault="000E6E95">
      <w:pPr>
        <w:pStyle w:val="FootnoteText"/>
      </w:pPr>
      <w:r>
        <w:rPr>
          <w:rStyle w:val="FootnoteReference"/>
        </w:rPr>
        <w:footnoteRef/>
      </w:r>
      <w:r>
        <w:t xml:space="preserve"> Martha </w:t>
      </w:r>
      <w:r w:rsidR="006F4134">
        <w:t>B</w:t>
      </w:r>
      <w:r>
        <w:t xml:space="preserve">erlin et al. (1992), “An Experiment in Monetary Incentives.” </w:t>
      </w:r>
      <w:r>
        <w:rPr>
          <w:i/>
        </w:rPr>
        <w:t>Proceedings of Survey Research Methods Section, American Statistical Association</w:t>
      </w:r>
      <w:r>
        <w:t>, pp. 393-398.</w:t>
      </w:r>
    </w:p>
  </w:footnote>
  <w:footnote w:id="9">
    <w:p w14:paraId="232E8FA7" w14:textId="77777777" w:rsidR="000E6E95" w:rsidRPr="00B4277B" w:rsidRDefault="000E6E95">
      <w:pPr>
        <w:pStyle w:val="FootnoteText"/>
      </w:pPr>
      <w:r>
        <w:rPr>
          <w:rStyle w:val="FootnoteReference"/>
        </w:rPr>
        <w:footnoteRef/>
      </w:r>
      <w:r>
        <w:t xml:space="preserve"> Eleanor Singer et al. (2000), “Experiments with Incentives in Telephone Surveys.”  </w:t>
      </w:r>
      <w:r>
        <w:rPr>
          <w:i/>
        </w:rPr>
        <w:t>Public Opinion Quarterly,</w:t>
      </w:r>
      <w:r>
        <w:t xml:space="preserve"> 64(2): 171-188.</w:t>
      </w:r>
    </w:p>
  </w:footnote>
  <w:footnote w:id="10">
    <w:p w14:paraId="4C49ADE4" w14:textId="77777777" w:rsidR="000E6E95" w:rsidRPr="00B4277B" w:rsidRDefault="000E6E95">
      <w:pPr>
        <w:pStyle w:val="FootnoteText"/>
      </w:pPr>
      <w:r>
        <w:rPr>
          <w:rStyle w:val="FootnoteReference"/>
        </w:rPr>
        <w:footnoteRef/>
      </w:r>
      <w:r>
        <w:t xml:space="preserve"> Gwen L. Alexander et al. (2008), “Effects of Incentives and Mailing Features on Recruitment for an Online Health Program.”  </w:t>
      </w:r>
      <w:r>
        <w:rPr>
          <w:i/>
        </w:rPr>
        <w:t>American Journal of Preventative Medicine</w:t>
      </w:r>
      <w:r>
        <w:t>, 34(5): 382-388.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56C05" w14:textId="2CBF818A" w:rsidR="00DA56E4" w:rsidRDefault="00F42F8B" w:rsidP="00DA56E4">
    <w:pPr>
      <w:pStyle w:val="Header"/>
      <w:jc w:val="right"/>
    </w:pPr>
    <w:r>
      <w:t>3</w:t>
    </w:r>
    <w:r w:rsidR="00DA56E4">
      <w:t>0-day Federal Register Version</w:t>
    </w:r>
  </w:p>
  <w:p w14:paraId="0989476B" w14:textId="77777777" w:rsidR="00DA56E4" w:rsidRDefault="00DA5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275"/>
    <w:multiLevelType w:val="hybridMultilevel"/>
    <w:tmpl w:val="511AE9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8A37CD"/>
    <w:multiLevelType w:val="hybridMultilevel"/>
    <w:tmpl w:val="A0264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1345E"/>
    <w:multiLevelType w:val="hybridMultilevel"/>
    <w:tmpl w:val="A370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C072E"/>
    <w:multiLevelType w:val="hybridMultilevel"/>
    <w:tmpl w:val="CE06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E0F76"/>
    <w:multiLevelType w:val="hybridMultilevel"/>
    <w:tmpl w:val="B86E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EA5C88"/>
    <w:multiLevelType w:val="hybridMultilevel"/>
    <w:tmpl w:val="15DA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FA7471"/>
    <w:multiLevelType w:val="hybridMultilevel"/>
    <w:tmpl w:val="B268F3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58A2BF7"/>
    <w:multiLevelType w:val="hybridMultilevel"/>
    <w:tmpl w:val="AEE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C61873"/>
    <w:multiLevelType w:val="hybridMultilevel"/>
    <w:tmpl w:val="D3CE39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4"/>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0E"/>
    <w:rsid w:val="00006E0F"/>
    <w:rsid w:val="00020AEC"/>
    <w:rsid w:val="000233EB"/>
    <w:rsid w:val="00037C67"/>
    <w:rsid w:val="00040235"/>
    <w:rsid w:val="000445F3"/>
    <w:rsid w:val="00046BFC"/>
    <w:rsid w:val="00047468"/>
    <w:rsid w:val="0005377C"/>
    <w:rsid w:val="00053B85"/>
    <w:rsid w:val="000653A2"/>
    <w:rsid w:val="00065F85"/>
    <w:rsid w:val="00066451"/>
    <w:rsid w:val="00066D90"/>
    <w:rsid w:val="00080142"/>
    <w:rsid w:val="000830A2"/>
    <w:rsid w:val="00090735"/>
    <w:rsid w:val="00090F51"/>
    <w:rsid w:val="0009233C"/>
    <w:rsid w:val="0009548B"/>
    <w:rsid w:val="000A438E"/>
    <w:rsid w:val="000B6936"/>
    <w:rsid w:val="000B772C"/>
    <w:rsid w:val="000C0744"/>
    <w:rsid w:val="000D0404"/>
    <w:rsid w:val="000D2649"/>
    <w:rsid w:val="000E21F5"/>
    <w:rsid w:val="000E5577"/>
    <w:rsid w:val="000E6E95"/>
    <w:rsid w:val="001049BC"/>
    <w:rsid w:val="001051A3"/>
    <w:rsid w:val="00105738"/>
    <w:rsid w:val="001169A0"/>
    <w:rsid w:val="00117B66"/>
    <w:rsid w:val="00140456"/>
    <w:rsid w:val="00142A0F"/>
    <w:rsid w:val="00152509"/>
    <w:rsid w:val="00156225"/>
    <w:rsid w:val="0016771E"/>
    <w:rsid w:val="00167BC4"/>
    <w:rsid w:val="00174B2F"/>
    <w:rsid w:val="00184AB6"/>
    <w:rsid w:val="00187AAF"/>
    <w:rsid w:val="00192F9B"/>
    <w:rsid w:val="001A32D1"/>
    <w:rsid w:val="001B347C"/>
    <w:rsid w:val="001B4CBB"/>
    <w:rsid w:val="001C2152"/>
    <w:rsid w:val="001C28DE"/>
    <w:rsid w:val="001D5BB5"/>
    <w:rsid w:val="002002E5"/>
    <w:rsid w:val="002114C0"/>
    <w:rsid w:val="00211F5C"/>
    <w:rsid w:val="002174D6"/>
    <w:rsid w:val="00224B6A"/>
    <w:rsid w:val="0022532E"/>
    <w:rsid w:val="00235BE6"/>
    <w:rsid w:val="00236C87"/>
    <w:rsid w:val="00240058"/>
    <w:rsid w:val="00242DC7"/>
    <w:rsid w:val="002437B1"/>
    <w:rsid w:val="00245B43"/>
    <w:rsid w:val="00261DBD"/>
    <w:rsid w:val="00262563"/>
    <w:rsid w:val="00263776"/>
    <w:rsid w:val="0026750D"/>
    <w:rsid w:val="00272EDE"/>
    <w:rsid w:val="00272F79"/>
    <w:rsid w:val="002748D9"/>
    <w:rsid w:val="00277EE1"/>
    <w:rsid w:val="0028034C"/>
    <w:rsid w:val="00290002"/>
    <w:rsid w:val="0029367C"/>
    <w:rsid w:val="002A0E9C"/>
    <w:rsid w:val="002B24F6"/>
    <w:rsid w:val="002B2F28"/>
    <w:rsid w:val="002B7E79"/>
    <w:rsid w:val="002C2986"/>
    <w:rsid w:val="002C757D"/>
    <w:rsid w:val="002D29DE"/>
    <w:rsid w:val="002D2CD8"/>
    <w:rsid w:val="002D2F5F"/>
    <w:rsid w:val="002E200F"/>
    <w:rsid w:val="002F104E"/>
    <w:rsid w:val="003031DD"/>
    <w:rsid w:val="003044E8"/>
    <w:rsid w:val="00304D39"/>
    <w:rsid w:val="00305557"/>
    <w:rsid w:val="00306D3F"/>
    <w:rsid w:val="00307669"/>
    <w:rsid w:val="003142F0"/>
    <w:rsid w:val="003241AF"/>
    <w:rsid w:val="003250D7"/>
    <w:rsid w:val="0033162C"/>
    <w:rsid w:val="00335DD6"/>
    <w:rsid w:val="00343DF2"/>
    <w:rsid w:val="00347E97"/>
    <w:rsid w:val="00352D0F"/>
    <w:rsid w:val="00353219"/>
    <w:rsid w:val="00360F33"/>
    <w:rsid w:val="0036204B"/>
    <w:rsid w:val="00385F0F"/>
    <w:rsid w:val="00387290"/>
    <w:rsid w:val="00387E02"/>
    <w:rsid w:val="0039170D"/>
    <w:rsid w:val="003A3B7D"/>
    <w:rsid w:val="003A3C3F"/>
    <w:rsid w:val="003A44EC"/>
    <w:rsid w:val="003A5DDB"/>
    <w:rsid w:val="003C091A"/>
    <w:rsid w:val="003C1319"/>
    <w:rsid w:val="003D1D83"/>
    <w:rsid w:val="003D4418"/>
    <w:rsid w:val="003D4A4E"/>
    <w:rsid w:val="003E6FD7"/>
    <w:rsid w:val="003F39BD"/>
    <w:rsid w:val="003F6EEC"/>
    <w:rsid w:val="00403C1C"/>
    <w:rsid w:val="00411912"/>
    <w:rsid w:val="00413B07"/>
    <w:rsid w:val="004204EB"/>
    <w:rsid w:val="0042554A"/>
    <w:rsid w:val="004271AA"/>
    <w:rsid w:val="00427844"/>
    <w:rsid w:val="00440E59"/>
    <w:rsid w:val="00441F0E"/>
    <w:rsid w:val="00441FA7"/>
    <w:rsid w:val="00442EA4"/>
    <w:rsid w:val="004461F4"/>
    <w:rsid w:val="00451083"/>
    <w:rsid w:val="004534B4"/>
    <w:rsid w:val="004536FB"/>
    <w:rsid w:val="00457A7A"/>
    <w:rsid w:val="0046022A"/>
    <w:rsid w:val="00462355"/>
    <w:rsid w:val="0046418E"/>
    <w:rsid w:val="00464D63"/>
    <w:rsid w:val="00485EC1"/>
    <w:rsid w:val="004942D5"/>
    <w:rsid w:val="00494CA5"/>
    <w:rsid w:val="00496643"/>
    <w:rsid w:val="004A0814"/>
    <w:rsid w:val="004A7DA2"/>
    <w:rsid w:val="004B6509"/>
    <w:rsid w:val="004B67BC"/>
    <w:rsid w:val="004C034A"/>
    <w:rsid w:val="004C2AEA"/>
    <w:rsid w:val="004C7ED2"/>
    <w:rsid w:val="004D2EEC"/>
    <w:rsid w:val="004D3EB7"/>
    <w:rsid w:val="004D6C54"/>
    <w:rsid w:val="004E1FE0"/>
    <w:rsid w:val="004E5920"/>
    <w:rsid w:val="004E6AC5"/>
    <w:rsid w:val="00510E0E"/>
    <w:rsid w:val="005135CF"/>
    <w:rsid w:val="005169E4"/>
    <w:rsid w:val="00532DC5"/>
    <w:rsid w:val="00533140"/>
    <w:rsid w:val="00540F81"/>
    <w:rsid w:val="00565B69"/>
    <w:rsid w:val="00575D65"/>
    <w:rsid w:val="0057749C"/>
    <w:rsid w:val="00580150"/>
    <w:rsid w:val="00590181"/>
    <w:rsid w:val="00593FDA"/>
    <w:rsid w:val="005A1EEA"/>
    <w:rsid w:val="005A7E19"/>
    <w:rsid w:val="005C0344"/>
    <w:rsid w:val="005C4051"/>
    <w:rsid w:val="005C463D"/>
    <w:rsid w:val="005C7319"/>
    <w:rsid w:val="005D1EEE"/>
    <w:rsid w:val="005D5C30"/>
    <w:rsid w:val="005D64FF"/>
    <w:rsid w:val="005E097B"/>
    <w:rsid w:val="005E3BD5"/>
    <w:rsid w:val="005E5861"/>
    <w:rsid w:val="005E7E9F"/>
    <w:rsid w:val="005F61DE"/>
    <w:rsid w:val="005F6D1A"/>
    <w:rsid w:val="0060195E"/>
    <w:rsid w:val="00603B2A"/>
    <w:rsid w:val="00607F89"/>
    <w:rsid w:val="00610A88"/>
    <w:rsid w:val="0061167C"/>
    <w:rsid w:val="00622AE4"/>
    <w:rsid w:val="006245A5"/>
    <w:rsid w:val="00631765"/>
    <w:rsid w:val="00632F54"/>
    <w:rsid w:val="006529C4"/>
    <w:rsid w:val="006637A5"/>
    <w:rsid w:val="00667565"/>
    <w:rsid w:val="00674F0E"/>
    <w:rsid w:val="00675A0F"/>
    <w:rsid w:val="00683721"/>
    <w:rsid w:val="00690444"/>
    <w:rsid w:val="0069136F"/>
    <w:rsid w:val="006A30D4"/>
    <w:rsid w:val="006B43DC"/>
    <w:rsid w:val="006B7B4F"/>
    <w:rsid w:val="006C1D45"/>
    <w:rsid w:val="006C3D28"/>
    <w:rsid w:val="006D089C"/>
    <w:rsid w:val="006D1BBF"/>
    <w:rsid w:val="006E4207"/>
    <w:rsid w:val="006E4D0E"/>
    <w:rsid w:val="006F0AE8"/>
    <w:rsid w:val="006F4134"/>
    <w:rsid w:val="006F5D54"/>
    <w:rsid w:val="006F770B"/>
    <w:rsid w:val="00704C6B"/>
    <w:rsid w:val="007207DC"/>
    <w:rsid w:val="007374EF"/>
    <w:rsid w:val="007464BE"/>
    <w:rsid w:val="00747AAA"/>
    <w:rsid w:val="007531ED"/>
    <w:rsid w:val="00754F78"/>
    <w:rsid w:val="0075725B"/>
    <w:rsid w:val="0077097E"/>
    <w:rsid w:val="00780C67"/>
    <w:rsid w:val="00784116"/>
    <w:rsid w:val="00792868"/>
    <w:rsid w:val="00797BF3"/>
    <w:rsid w:val="007A3157"/>
    <w:rsid w:val="007B0F70"/>
    <w:rsid w:val="007B40AC"/>
    <w:rsid w:val="007B67C6"/>
    <w:rsid w:val="007C015D"/>
    <w:rsid w:val="007E185C"/>
    <w:rsid w:val="007F48EF"/>
    <w:rsid w:val="007F5C5A"/>
    <w:rsid w:val="008000EB"/>
    <w:rsid w:val="008035D0"/>
    <w:rsid w:val="0080420F"/>
    <w:rsid w:val="00804948"/>
    <w:rsid w:val="00826FD5"/>
    <w:rsid w:val="0084023A"/>
    <w:rsid w:val="00841F4F"/>
    <w:rsid w:val="0084450E"/>
    <w:rsid w:val="008545A2"/>
    <w:rsid w:val="00860CBF"/>
    <w:rsid w:val="00874CC1"/>
    <w:rsid w:val="00881678"/>
    <w:rsid w:val="00882BF7"/>
    <w:rsid w:val="0088425E"/>
    <w:rsid w:val="00885397"/>
    <w:rsid w:val="00887410"/>
    <w:rsid w:val="008B0A42"/>
    <w:rsid w:val="008B1210"/>
    <w:rsid w:val="008B4B06"/>
    <w:rsid w:val="008C1AF1"/>
    <w:rsid w:val="008E0DC2"/>
    <w:rsid w:val="008E3A4F"/>
    <w:rsid w:val="008E3E5C"/>
    <w:rsid w:val="009014F1"/>
    <w:rsid w:val="00904E7E"/>
    <w:rsid w:val="0091260C"/>
    <w:rsid w:val="00915832"/>
    <w:rsid w:val="00923403"/>
    <w:rsid w:val="00924F32"/>
    <w:rsid w:val="00935040"/>
    <w:rsid w:val="00942501"/>
    <w:rsid w:val="009462D3"/>
    <w:rsid w:val="00946E03"/>
    <w:rsid w:val="00952674"/>
    <w:rsid w:val="00955BA3"/>
    <w:rsid w:val="00956894"/>
    <w:rsid w:val="009641C6"/>
    <w:rsid w:val="00965FE5"/>
    <w:rsid w:val="00975B22"/>
    <w:rsid w:val="00977859"/>
    <w:rsid w:val="009840C4"/>
    <w:rsid w:val="0098456B"/>
    <w:rsid w:val="0099088D"/>
    <w:rsid w:val="009A0A95"/>
    <w:rsid w:val="009A2014"/>
    <w:rsid w:val="009A6D11"/>
    <w:rsid w:val="009A7536"/>
    <w:rsid w:val="009B0538"/>
    <w:rsid w:val="009B56CE"/>
    <w:rsid w:val="009C7F41"/>
    <w:rsid w:val="009D0331"/>
    <w:rsid w:val="009D3C51"/>
    <w:rsid w:val="009E18A0"/>
    <w:rsid w:val="009E2D7D"/>
    <w:rsid w:val="009E57F4"/>
    <w:rsid w:val="009F05A6"/>
    <w:rsid w:val="009F3EF8"/>
    <w:rsid w:val="00A078DA"/>
    <w:rsid w:val="00A15E98"/>
    <w:rsid w:val="00A27CB4"/>
    <w:rsid w:val="00A33780"/>
    <w:rsid w:val="00A46731"/>
    <w:rsid w:val="00A5507B"/>
    <w:rsid w:val="00A56D67"/>
    <w:rsid w:val="00A636D4"/>
    <w:rsid w:val="00A63884"/>
    <w:rsid w:val="00A63A6E"/>
    <w:rsid w:val="00A63E24"/>
    <w:rsid w:val="00A65425"/>
    <w:rsid w:val="00A70FDD"/>
    <w:rsid w:val="00A72F34"/>
    <w:rsid w:val="00A73891"/>
    <w:rsid w:val="00A74C81"/>
    <w:rsid w:val="00A76726"/>
    <w:rsid w:val="00A83189"/>
    <w:rsid w:val="00A856E6"/>
    <w:rsid w:val="00A86BC7"/>
    <w:rsid w:val="00AB1EBD"/>
    <w:rsid w:val="00AB65D8"/>
    <w:rsid w:val="00AC0B6A"/>
    <w:rsid w:val="00AC4AEE"/>
    <w:rsid w:val="00AC7933"/>
    <w:rsid w:val="00AD112F"/>
    <w:rsid w:val="00AD4FBC"/>
    <w:rsid w:val="00AD71AA"/>
    <w:rsid w:val="00AD7BBA"/>
    <w:rsid w:val="00AE6301"/>
    <w:rsid w:val="00AF0F95"/>
    <w:rsid w:val="00AF345E"/>
    <w:rsid w:val="00AF5912"/>
    <w:rsid w:val="00B000D5"/>
    <w:rsid w:val="00B01BC7"/>
    <w:rsid w:val="00B13992"/>
    <w:rsid w:val="00B16E19"/>
    <w:rsid w:val="00B17C63"/>
    <w:rsid w:val="00B2376D"/>
    <w:rsid w:val="00B25591"/>
    <w:rsid w:val="00B33311"/>
    <w:rsid w:val="00B4277B"/>
    <w:rsid w:val="00B453E8"/>
    <w:rsid w:val="00B4555D"/>
    <w:rsid w:val="00B609F9"/>
    <w:rsid w:val="00B67148"/>
    <w:rsid w:val="00B74AF3"/>
    <w:rsid w:val="00B757F1"/>
    <w:rsid w:val="00B8023D"/>
    <w:rsid w:val="00B819B6"/>
    <w:rsid w:val="00B827E9"/>
    <w:rsid w:val="00B91887"/>
    <w:rsid w:val="00B920C3"/>
    <w:rsid w:val="00B939BA"/>
    <w:rsid w:val="00B96B71"/>
    <w:rsid w:val="00BA089E"/>
    <w:rsid w:val="00BA6420"/>
    <w:rsid w:val="00BA6A5F"/>
    <w:rsid w:val="00BB789E"/>
    <w:rsid w:val="00BC138B"/>
    <w:rsid w:val="00BC545E"/>
    <w:rsid w:val="00BC7A31"/>
    <w:rsid w:val="00BD5865"/>
    <w:rsid w:val="00BD742C"/>
    <w:rsid w:val="00BE2074"/>
    <w:rsid w:val="00BF43A6"/>
    <w:rsid w:val="00C0618B"/>
    <w:rsid w:val="00C126C9"/>
    <w:rsid w:val="00C16FF5"/>
    <w:rsid w:val="00C20BD6"/>
    <w:rsid w:val="00C24C39"/>
    <w:rsid w:val="00C27C83"/>
    <w:rsid w:val="00C55105"/>
    <w:rsid w:val="00C84E5E"/>
    <w:rsid w:val="00CA21DB"/>
    <w:rsid w:val="00CA5D85"/>
    <w:rsid w:val="00CB2E17"/>
    <w:rsid w:val="00CB4537"/>
    <w:rsid w:val="00CB4CB4"/>
    <w:rsid w:val="00CC04FB"/>
    <w:rsid w:val="00CC62FA"/>
    <w:rsid w:val="00CD4D3C"/>
    <w:rsid w:val="00CD5C7D"/>
    <w:rsid w:val="00CE37F8"/>
    <w:rsid w:val="00CE4874"/>
    <w:rsid w:val="00CE489E"/>
    <w:rsid w:val="00CE5FA6"/>
    <w:rsid w:val="00CF0E44"/>
    <w:rsid w:val="00CF116B"/>
    <w:rsid w:val="00CF1274"/>
    <w:rsid w:val="00CF1B63"/>
    <w:rsid w:val="00CF4663"/>
    <w:rsid w:val="00D03A89"/>
    <w:rsid w:val="00D0454A"/>
    <w:rsid w:val="00D058B7"/>
    <w:rsid w:val="00D06429"/>
    <w:rsid w:val="00D10FE1"/>
    <w:rsid w:val="00D242D1"/>
    <w:rsid w:val="00D245D8"/>
    <w:rsid w:val="00D26D6E"/>
    <w:rsid w:val="00D46D0C"/>
    <w:rsid w:val="00D56763"/>
    <w:rsid w:val="00D67E8F"/>
    <w:rsid w:val="00D709A4"/>
    <w:rsid w:val="00DA56E4"/>
    <w:rsid w:val="00DB0B13"/>
    <w:rsid w:val="00DC259C"/>
    <w:rsid w:val="00DC2B2D"/>
    <w:rsid w:val="00DC78A4"/>
    <w:rsid w:val="00DD2976"/>
    <w:rsid w:val="00DD35B8"/>
    <w:rsid w:val="00DD6846"/>
    <w:rsid w:val="00DD7FDB"/>
    <w:rsid w:val="00DE2075"/>
    <w:rsid w:val="00DF157A"/>
    <w:rsid w:val="00DF1F0E"/>
    <w:rsid w:val="00DF7A68"/>
    <w:rsid w:val="00DF7AAD"/>
    <w:rsid w:val="00E056C8"/>
    <w:rsid w:val="00E108A1"/>
    <w:rsid w:val="00E10D6E"/>
    <w:rsid w:val="00E22196"/>
    <w:rsid w:val="00E24FFE"/>
    <w:rsid w:val="00E25201"/>
    <w:rsid w:val="00E2607C"/>
    <w:rsid w:val="00E26601"/>
    <w:rsid w:val="00E31D10"/>
    <w:rsid w:val="00E378C3"/>
    <w:rsid w:val="00E474CE"/>
    <w:rsid w:val="00E54063"/>
    <w:rsid w:val="00E7087D"/>
    <w:rsid w:val="00E75D72"/>
    <w:rsid w:val="00E76BF7"/>
    <w:rsid w:val="00E76E0C"/>
    <w:rsid w:val="00E90329"/>
    <w:rsid w:val="00E9791D"/>
    <w:rsid w:val="00EB0B09"/>
    <w:rsid w:val="00EB213A"/>
    <w:rsid w:val="00EB39EF"/>
    <w:rsid w:val="00EB5C51"/>
    <w:rsid w:val="00EB733D"/>
    <w:rsid w:val="00EC19BC"/>
    <w:rsid w:val="00EC22BA"/>
    <w:rsid w:val="00ED35B2"/>
    <w:rsid w:val="00ED7987"/>
    <w:rsid w:val="00EE083C"/>
    <w:rsid w:val="00EE7954"/>
    <w:rsid w:val="00EF234A"/>
    <w:rsid w:val="00F04951"/>
    <w:rsid w:val="00F10766"/>
    <w:rsid w:val="00F11BB7"/>
    <w:rsid w:val="00F125A8"/>
    <w:rsid w:val="00F12920"/>
    <w:rsid w:val="00F142CF"/>
    <w:rsid w:val="00F14D38"/>
    <w:rsid w:val="00F23568"/>
    <w:rsid w:val="00F236D9"/>
    <w:rsid w:val="00F30881"/>
    <w:rsid w:val="00F322D1"/>
    <w:rsid w:val="00F37BD3"/>
    <w:rsid w:val="00F42F8B"/>
    <w:rsid w:val="00F4325D"/>
    <w:rsid w:val="00F51376"/>
    <w:rsid w:val="00F51D08"/>
    <w:rsid w:val="00F77FF0"/>
    <w:rsid w:val="00F835B3"/>
    <w:rsid w:val="00F8685A"/>
    <w:rsid w:val="00F87A57"/>
    <w:rsid w:val="00F9179A"/>
    <w:rsid w:val="00FA3740"/>
    <w:rsid w:val="00FB22FA"/>
    <w:rsid w:val="00FC1336"/>
    <w:rsid w:val="00FC5B4B"/>
    <w:rsid w:val="00FC6E8D"/>
    <w:rsid w:val="00FC74EC"/>
    <w:rsid w:val="00FD053D"/>
    <w:rsid w:val="00FD4C93"/>
    <w:rsid w:val="00FE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50E"/>
    <w:pPr>
      <w:ind w:left="720"/>
      <w:contextualSpacing/>
    </w:pPr>
  </w:style>
  <w:style w:type="paragraph" w:styleId="NoSpacing">
    <w:name w:val="No Spacing"/>
    <w:uiPriority w:val="1"/>
    <w:qFormat/>
    <w:rsid w:val="0088425E"/>
  </w:style>
  <w:style w:type="paragraph" w:styleId="FootnoteText">
    <w:name w:val="footnote text"/>
    <w:basedOn w:val="Normal"/>
    <w:link w:val="FootnoteTextChar"/>
    <w:uiPriority w:val="99"/>
    <w:semiHidden/>
    <w:unhideWhenUsed/>
    <w:rsid w:val="002174D6"/>
    <w:rPr>
      <w:sz w:val="20"/>
      <w:szCs w:val="20"/>
    </w:rPr>
  </w:style>
  <w:style w:type="character" w:customStyle="1" w:styleId="FootnoteTextChar">
    <w:name w:val="Footnote Text Char"/>
    <w:basedOn w:val="DefaultParagraphFont"/>
    <w:link w:val="FootnoteText"/>
    <w:uiPriority w:val="99"/>
    <w:semiHidden/>
    <w:rsid w:val="002174D6"/>
    <w:rPr>
      <w:sz w:val="20"/>
      <w:szCs w:val="20"/>
    </w:rPr>
  </w:style>
  <w:style w:type="character" w:styleId="FootnoteReference">
    <w:name w:val="footnote reference"/>
    <w:basedOn w:val="DefaultParagraphFont"/>
    <w:uiPriority w:val="99"/>
    <w:semiHidden/>
    <w:unhideWhenUsed/>
    <w:rsid w:val="002174D6"/>
    <w:rPr>
      <w:vertAlign w:val="superscript"/>
    </w:rPr>
  </w:style>
  <w:style w:type="character" w:styleId="CommentReference">
    <w:name w:val="annotation reference"/>
    <w:basedOn w:val="DefaultParagraphFont"/>
    <w:uiPriority w:val="99"/>
    <w:semiHidden/>
    <w:unhideWhenUsed/>
    <w:rsid w:val="009D3C51"/>
    <w:rPr>
      <w:sz w:val="16"/>
      <w:szCs w:val="16"/>
    </w:rPr>
  </w:style>
  <w:style w:type="paragraph" w:styleId="CommentText">
    <w:name w:val="annotation text"/>
    <w:basedOn w:val="Normal"/>
    <w:link w:val="CommentTextChar"/>
    <w:uiPriority w:val="99"/>
    <w:semiHidden/>
    <w:unhideWhenUsed/>
    <w:rsid w:val="009D3C51"/>
    <w:rPr>
      <w:sz w:val="20"/>
      <w:szCs w:val="20"/>
    </w:rPr>
  </w:style>
  <w:style w:type="character" w:customStyle="1" w:styleId="CommentTextChar">
    <w:name w:val="Comment Text Char"/>
    <w:basedOn w:val="DefaultParagraphFont"/>
    <w:link w:val="CommentText"/>
    <w:uiPriority w:val="99"/>
    <w:semiHidden/>
    <w:rsid w:val="009D3C51"/>
    <w:rPr>
      <w:sz w:val="20"/>
      <w:szCs w:val="20"/>
    </w:rPr>
  </w:style>
  <w:style w:type="paragraph" w:styleId="CommentSubject">
    <w:name w:val="annotation subject"/>
    <w:basedOn w:val="CommentText"/>
    <w:next w:val="CommentText"/>
    <w:link w:val="CommentSubjectChar"/>
    <w:uiPriority w:val="99"/>
    <w:semiHidden/>
    <w:unhideWhenUsed/>
    <w:rsid w:val="009D3C51"/>
    <w:rPr>
      <w:b/>
      <w:bCs/>
    </w:rPr>
  </w:style>
  <w:style w:type="character" w:customStyle="1" w:styleId="CommentSubjectChar">
    <w:name w:val="Comment Subject Char"/>
    <w:basedOn w:val="CommentTextChar"/>
    <w:link w:val="CommentSubject"/>
    <w:uiPriority w:val="99"/>
    <w:semiHidden/>
    <w:rsid w:val="009D3C51"/>
    <w:rPr>
      <w:b/>
      <w:bCs/>
      <w:sz w:val="20"/>
      <w:szCs w:val="20"/>
    </w:rPr>
  </w:style>
  <w:style w:type="paragraph" w:styleId="BalloonText">
    <w:name w:val="Balloon Text"/>
    <w:basedOn w:val="Normal"/>
    <w:link w:val="BalloonTextChar"/>
    <w:uiPriority w:val="99"/>
    <w:semiHidden/>
    <w:unhideWhenUsed/>
    <w:rsid w:val="009D3C51"/>
    <w:rPr>
      <w:rFonts w:ascii="Tahoma" w:hAnsi="Tahoma" w:cs="Tahoma"/>
      <w:sz w:val="16"/>
      <w:szCs w:val="16"/>
    </w:rPr>
  </w:style>
  <w:style w:type="character" w:customStyle="1" w:styleId="BalloonTextChar">
    <w:name w:val="Balloon Text Char"/>
    <w:basedOn w:val="DefaultParagraphFont"/>
    <w:link w:val="BalloonText"/>
    <w:uiPriority w:val="99"/>
    <w:semiHidden/>
    <w:rsid w:val="009D3C51"/>
    <w:rPr>
      <w:rFonts w:ascii="Tahoma" w:hAnsi="Tahoma" w:cs="Tahoma"/>
      <w:sz w:val="16"/>
      <w:szCs w:val="16"/>
    </w:rPr>
  </w:style>
  <w:style w:type="paragraph" w:customStyle="1" w:styleId="Default">
    <w:name w:val="Default"/>
    <w:rsid w:val="00792868"/>
    <w:pPr>
      <w:autoSpaceDE w:val="0"/>
      <w:autoSpaceDN w:val="0"/>
      <w:adjustRightInd w:val="0"/>
    </w:pPr>
    <w:rPr>
      <w:rFonts w:cs="Times New Roman"/>
      <w:color w:val="000000"/>
      <w:szCs w:val="24"/>
    </w:rPr>
  </w:style>
  <w:style w:type="paragraph" w:customStyle="1" w:styleId="Num-DocParagraph">
    <w:name w:val="Num-Doc Paragraph"/>
    <w:link w:val="Num-DocParagraphChar1"/>
    <w:uiPriority w:val="99"/>
    <w:rsid w:val="00FA3740"/>
    <w:pPr>
      <w:spacing w:after="200" w:line="276" w:lineRule="auto"/>
    </w:pPr>
    <w:rPr>
      <w:rFonts w:ascii="Calibri" w:eastAsia="Calibri" w:hAnsi="Calibri" w:cs="Calibri"/>
      <w:sz w:val="22"/>
    </w:rPr>
  </w:style>
  <w:style w:type="character" w:customStyle="1" w:styleId="Num-DocParagraphChar1">
    <w:name w:val="Num-Doc Paragraph Char1"/>
    <w:basedOn w:val="DefaultParagraphFont"/>
    <w:link w:val="Num-DocParagraph"/>
    <w:uiPriority w:val="99"/>
    <w:rsid w:val="00FA3740"/>
    <w:rPr>
      <w:rFonts w:ascii="Calibri" w:eastAsia="Calibri" w:hAnsi="Calibri" w:cs="Calibri"/>
      <w:sz w:val="22"/>
    </w:rPr>
  </w:style>
  <w:style w:type="paragraph" w:styleId="Header">
    <w:name w:val="header"/>
    <w:basedOn w:val="Normal"/>
    <w:link w:val="HeaderChar"/>
    <w:uiPriority w:val="99"/>
    <w:unhideWhenUsed/>
    <w:rsid w:val="00E7087D"/>
    <w:pPr>
      <w:tabs>
        <w:tab w:val="center" w:pos="4680"/>
        <w:tab w:val="right" w:pos="9360"/>
      </w:tabs>
    </w:pPr>
  </w:style>
  <w:style w:type="character" w:customStyle="1" w:styleId="HeaderChar">
    <w:name w:val="Header Char"/>
    <w:basedOn w:val="DefaultParagraphFont"/>
    <w:link w:val="Header"/>
    <w:uiPriority w:val="99"/>
    <w:rsid w:val="00E7087D"/>
  </w:style>
  <w:style w:type="paragraph" w:styleId="Footer">
    <w:name w:val="footer"/>
    <w:basedOn w:val="Normal"/>
    <w:link w:val="FooterChar"/>
    <w:uiPriority w:val="99"/>
    <w:unhideWhenUsed/>
    <w:rsid w:val="00E7087D"/>
    <w:pPr>
      <w:tabs>
        <w:tab w:val="center" w:pos="4680"/>
        <w:tab w:val="right" w:pos="9360"/>
      </w:tabs>
    </w:pPr>
  </w:style>
  <w:style w:type="character" w:customStyle="1" w:styleId="FooterChar">
    <w:name w:val="Footer Char"/>
    <w:basedOn w:val="DefaultParagraphFont"/>
    <w:link w:val="Footer"/>
    <w:uiPriority w:val="99"/>
    <w:rsid w:val="00E7087D"/>
  </w:style>
  <w:style w:type="table" w:styleId="TableGrid">
    <w:name w:val="Table Grid"/>
    <w:basedOn w:val="TableNormal"/>
    <w:uiPriority w:val="59"/>
    <w:rsid w:val="00440E59"/>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B0F70"/>
    <w:rPr>
      <w:rFonts w:ascii="Calibri" w:hAnsi="Calibri"/>
      <w:sz w:val="22"/>
      <w:szCs w:val="21"/>
    </w:rPr>
  </w:style>
  <w:style w:type="character" w:customStyle="1" w:styleId="PlainTextChar">
    <w:name w:val="Plain Text Char"/>
    <w:basedOn w:val="DefaultParagraphFont"/>
    <w:link w:val="PlainText"/>
    <w:uiPriority w:val="99"/>
    <w:semiHidden/>
    <w:rsid w:val="007B0F70"/>
    <w:rPr>
      <w:rFonts w:ascii="Calibri" w:hAnsi="Calibri"/>
      <w:sz w:val="22"/>
      <w:szCs w:val="21"/>
    </w:rPr>
  </w:style>
  <w:style w:type="character" w:customStyle="1" w:styleId="cwcot">
    <w:name w:val="cwcot"/>
    <w:basedOn w:val="DefaultParagraphFont"/>
    <w:rsid w:val="00F12920"/>
  </w:style>
  <w:style w:type="paragraph" w:customStyle="1" w:styleId="CM12">
    <w:name w:val="CM12"/>
    <w:basedOn w:val="Default"/>
    <w:next w:val="Default"/>
    <w:uiPriority w:val="99"/>
    <w:rsid w:val="003142F0"/>
    <w:pPr>
      <w:widowControl w:val="0"/>
    </w:pPr>
    <w:rPr>
      <w:rFonts w:eastAsia="Times New Roman"/>
      <w:color w:val="auto"/>
    </w:rPr>
  </w:style>
  <w:style w:type="character" w:styleId="Hyperlink">
    <w:name w:val="Hyperlink"/>
    <w:basedOn w:val="DefaultParagraphFont"/>
    <w:uiPriority w:val="99"/>
    <w:unhideWhenUsed/>
    <w:rsid w:val="00184AB6"/>
    <w:rPr>
      <w:color w:val="0000FF" w:themeColor="hyperlink"/>
      <w:u w:val="single"/>
    </w:rPr>
  </w:style>
  <w:style w:type="paragraph" w:styleId="BodyText">
    <w:name w:val="Body Text"/>
    <w:basedOn w:val="Normal"/>
    <w:link w:val="BodyTextChar"/>
    <w:uiPriority w:val="1"/>
    <w:qFormat/>
    <w:rsid w:val="00C24C39"/>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C24C39"/>
    <w:rPr>
      <w:rFonts w:eastAsia="Times New Roman" w:cs="Times New Roman"/>
      <w:szCs w:val="24"/>
    </w:rPr>
  </w:style>
  <w:style w:type="paragraph" w:customStyle="1" w:styleId="TableParagraph">
    <w:name w:val="Table Paragraph"/>
    <w:basedOn w:val="Normal"/>
    <w:uiPriority w:val="1"/>
    <w:qFormat/>
    <w:rsid w:val="00C24C39"/>
    <w:pPr>
      <w:widowControl w:val="0"/>
      <w:autoSpaceDE w:val="0"/>
      <w:autoSpaceDN w:val="0"/>
      <w:spacing w:line="213" w:lineRule="exact"/>
      <w:jc w:val="right"/>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50E"/>
    <w:pPr>
      <w:ind w:left="720"/>
      <w:contextualSpacing/>
    </w:pPr>
  </w:style>
  <w:style w:type="paragraph" w:styleId="NoSpacing">
    <w:name w:val="No Spacing"/>
    <w:uiPriority w:val="1"/>
    <w:qFormat/>
    <w:rsid w:val="0088425E"/>
  </w:style>
  <w:style w:type="paragraph" w:styleId="FootnoteText">
    <w:name w:val="footnote text"/>
    <w:basedOn w:val="Normal"/>
    <w:link w:val="FootnoteTextChar"/>
    <w:uiPriority w:val="99"/>
    <w:semiHidden/>
    <w:unhideWhenUsed/>
    <w:rsid w:val="002174D6"/>
    <w:rPr>
      <w:sz w:val="20"/>
      <w:szCs w:val="20"/>
    </w:rPr>
  </w:style>
  <w:style w:type="character" w:customStyle="1" w:styleId="FootnoteTextChar">
    <w:name w:val="Footnote Text Char"/>
    <w:basedOn w:val="DefaultParagraphFont"/>
    <w:link w:val="FootnoteText"/>
    <w:uiPriority w:val="99"/>
    <w:semiHidden/>
    <w:rsid w:val="002174D6"/>
    <w:rPr>
      <w:sz w:val="20"/>
      <w:szCs w:val="20"/>
    </w:rPr>
  </w:style>
  <w:style w:type="character" w:styleId="FootnoteReference">
    <w:name w:val="footnote reference"/>
    <w:basedOn w:val="DefaultParagraphFont"/>
    <w:uiPriority w:val="99"/>
    <w:semiHidden/>
    <w:unhideWhenUsed/>
    <w:rsid w:val="002174D6"/>
    <w:rPr>
      <w:vertAlign w:val="superscript"/>
    </w:rPr>
  </w:style>
  <w:style w:type="character" w:styleId="CommentReference">
    <w:name w:val="annotation reference"/>
    <w:basedOn w:val="DefaultParagraphFont"/>
    <w:uiPriority w:val="99"/>
    <w:semiHidden/>
    <w:unhideWhenUsed/>
    <w:rsid w:val="009D3C51"/>
    <w:rPr>
      <w:sz w:val="16"/>
      <w:szCs w:val="16"/>
    </w:rPr>
  </w:style>
  <w:style w:type="paragraph" w:styleId="CommentText">
    <w:name w:val="annotation text"/>
    <w:basedOn w:val="Normal"/>
    <w:link w:val="CommentTextChar"/>
    <w:uiPriority w:val="99"/>
    <w:semiHidden/>
    <w:unhideWhenUsed/>
    <w:rsid w:val="009D3C51"/>
    <w:rPr>
      <w:sz w:val="20"/>
      <w:szCs w:val="20"/>
    </w:rPr>
  </w:style>
  <w:style w:type="character" w:customStyle="1" w:styleId="CommentTextChar">
    <w:name w:val="Comment Text Char"/>
    <w:basedOn w:val="DefaultParagraphFont"/>
    <w:link w:val="CommentText"/>
    <w:uiPriority w:val="99"/>
    <w:semiHidden/>
    <w:rsid w:val="009D3C51"/>
    <w:rPr>
      <w:sz w:val="20"/>
      <w:szCs w:val="20"/>
    </w:rPr>
  </w:style>
  <w:style w:type="paragraph" w:styleId="CommentSubject">
    <w:name w:val="annotation subject"/>
    <w:basedOn w:val="CommentText"/>
    <w:next w:val="CommentText"/>
    <w:link w:val="CommentSubjectChar"/>
    <w:uiPriority w:val="99"/>
    <w:semiHidden/>
    <w:unhideWhenUsed/>
    <w:rsid w:val="009D3C51"/>
    <w:rPr>
      <w:b/>
      <w:bCs/>
    </w:rPr>
  </w:style>
  <w:style w:type="character" w:customStyle="1" w:styleId="CommentSubjectChar">
    <w:name w:val="Comment Subject Char"/>
    <w:basedOn w:val="CommentTextChar"/>
    <w:link w:val="CommentSubject"/>
    <w:uiPriority w:val="99"/>
    <w:semiHidden/>
    <w:rsid w:val="009D3C51"/>
    <w:rPr>
      <w:b/>
      <w:bCs/>
      <w:sz w:val="20"/>
      <w:szCs w:val="20"/>
    </w:rPr>
  </w:style>
  <w:style w:type="paragraph" w:styleId="BalloonText">
    <w:name w:val="Balloon Text"/>
    <w:basedOn w:val="Normal"/>
    <w:link w:val="BalloonTextChar"/>
    <w:uiPriority w:val="99"/>
    <w:semiHidden/>
    <w:unhideWhenUsed/>
    <w:rsid w:val="009D3C51"/>
    <w:rPr>
      <w:rFonts w:ascii="Tahoma" w:hAnsi="Tahoma" w:cs="Tahoma"/>
      <w:sz w:val="16"/>
      <w:szCs w:val="16"/>
    </w:rPr>
  </w:style>
  <w:style w:type="character" w:customStyle="1" w:styleId="BalloonTextChar">
    <w:name w:val="Balloon Text Char"/>
    <w:basedOn w:val="DefaultParagraphFont"/>
    <w:link w:val="BalloonText"/>
    <w:uiPriority w:val="99"/>
    <w:semiHidden/>
    <w:rsid w:val="009D3C51"/>
    <w:rPr>
      <w:rFonts w:ascii="Tahoma" w:hAnsi="Tahoma" w:cs="Tahoma"/>
      <w:sz w:val="16"/>
      <w:szCs w:val="16"/>
    </w:rPr>
  </w:style>
  <w:style w:type="paragraph" w:customStyle="1" w:styleId="Default">
    <w:name w:val="Default"/>
    <w:rsid w:val="00792868"/>
    <w:pPr>
      <w:autoSpaceDE w:val="0"/>
      <w:autoSpaceDN w:val="0"/>
      <w:adjustRightInd w:val="0"/>
    </w:pPr>
    <w:rPr>
      <w:rFonts w:cs="Times New Roman"/>
      <w:color w:val="000000"/>
      <w:szCs w:val="24"/>
    </w:rPr>
  </w:style>
  <w:style w:type="paragraph" w:customStyle="1" w:styleId="Num-DocParagraph">
    <w:name w:val="Num-Doc Paragraph"/>
    <w:link w:val="Num-DocParagraphChar1"/>
    <w:uiPriority w:val="99"/>
    <w:rsid w:val="00FA3740"/>
    <w:pPr>
      <w:spacing w:after="200" w:line="276" w:lineRule="auto"/>
    </w:pPr>
    <w:rPr>
      <w:rFonts w:ascii="Calibri" w:eastAsia="Calibri" w:hAnsi="Calibri" w:cs="Calibri"/>
      <w:sz w:val="22"/>
    </w:rPr>
  </w:style>
  <w:style w:type="character" w:customStyle="1" w:styleId="Num-DocParagraphChar1">
    <w:name w:val="Num-Doc Paragraph Char1"/>
    <w:basedOn w:val="DefaultParagraphFont"/>
    <w:link w:val="Num-DocParagraph"/>
    <w:uiPriority w:val="99"/>
    <w:rsid w:val="00FA3740"/>
    <w:rPr>
      <w:rFonts w:ascii="Calibri" w:eastAsia="Calibri" w:hAnsi="Calibri" w:cs="Calibri"/>
      <w:sz w:val="22"/>
    </w:rPr>
  </w:style>
  <w:style w:type="paragraph" w:styleId="Header">
    <w:name w:val="header"/>
    <w:basedOn w:val="Normal"/>
    <w:link w:val="HeaderChar"/>
    <w:uiPriority w:val="99"/>
    <w:unhideWhenUsed/>
    <w:rsid w:val="00E7087D"/>
    <w:pPr>
      <w:tabs>
        <w:tab w:val="center" w:pos="4680"/>
        <w:tab w:val="right" w:pos="9360"/>
      </w:tabs>
    </w:pPr>
  </w:style>
  <w:style w:type="character" w:customStyle="1" w:styleId="HeaderChar">
    <w:name w:val="Header Char"/>
    <w:basedOn w:val="DefaultParagraphFont"/>
    <w:link w:val="Header"/>
    <w:uiPriority w:val="99"/>
    <w:rsid w:val="00E7087D"/>
  </w:style>
  <w:style w:type="paragraph" w:styleId="Footer">
    <w:name w:val="footer"/>
    <w:basedOn w:val="Normal"/>
    <w:link w:val="FooterChar"/>
    <w:uiPriority w:val="99"/>
    <w:unhideWhenUsed/>
    <w:rsid w:val="00E7087D"/>
    <w:pPr>
      <w:tabs>
        <w:tab w:val="center" w:pos="4680"/>
        <w:tab w:val="right" w:pos="9360"/>
      </w:tabs>
    </w:pPr>
  </w:style>
  <w:style w:type="character" w:customStyle="1" w:styleId="FooterChar">
    <w:name w:val="Footer Char"/>
    <w:basedOn w:val="DefaultParagraphFont"/>
    <w:link w:val="Footer"/>
    <w:uiPriority w:val="99"/>
    <w:rsid w:val="00E7087D"/>
  </w:style>
  <w:style w:type="table" w:styleId="TableGrid">
    <w:name w:val="Table Grid"/>
    <w:basedOn w:val="TableNormal"/>
    <w:uiPriority w:val="59"/>
    <w:rsid w:val="00440E59"/>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B0F70"/>
    <w:rPr>
      <w:rFonts w:ascii="Calibri" w:hAnsi="Calibri"/>
      <w:sz w:val="22"/>
      <w:szCs w:val="21"/>
    </w:rPr>
  </w:style>
  <w:style w:type="character" w:customStyle="1" w:styleId="PlainTextChar">
    <w:name w:val="Plain Text Char"/>
    <w:basedOn w:val="DefaultParagraphFont"/>
    <w:link w:val="PlainText"/>
    <w:uiPriority w:val="99"/>
    <w:semiHidden/>
    <w:rsid w:val="007B0F70"/>
    <w:rPr>
      <w:rFonts w:ascii="Calibri" w:hAnsi="Calibri"/>
      <w:sz w:val="22"/>
      <w:szCs w:val="21"/>
    </w:rPr>
  </w:style>
  <w:style w:type="character" w:customStyle="1" w:styleId="cwcot">
    <w:name w:val="cwcot"/>
    <w:basedOn w:val="DefaultParagraphFont"/>
    <w:rsid w:val="00F12920"/>
  </w:style>
  <w:style w:type="paragraph" w:customStyle="1" w:styleId="CM12">
    <w:name w:val="CM12"/>
    <w:basedOn w:val="Default"/>
    <w:next w:val="Default"/>
    <w:uiPriority w:val="99"/>
    <w:rsid w:val="003142F0"/>
    <w:pPr>
      <w:widowControl w:val="0"/>
    </w:pPr>
    <w:rPr>
      <w:rFonts w:eastAsia="Times New Roman"/>
      <w:color w:val="auto"/>
    </w:rPr>
  </w:style>
  <w:style w:type="character" w:styleId="Hyperlink">
    <w:name w:val="Hyperlink"/>
    <w:basedOn w:val="DefaultParagraphFont"/>
    <w:uiPriority w:val="99"/>
    <w:unhideWhenUsed/>
    <w:rsid w:val="00184AB6"/>
    <w:rPr>
      <w:color w:val="0000FF" w:themeColor="hyperlink"/>
      <w:u w:val="single"/>
    </w:rPr>
  </w:style>
  <w:style w:type="paragraph" w:styleId="BodyText">
    <w:name w:val="Body Text"/>
    <w:basedOn w:val="Normal"/>
    <w:link w:val="BodyTextChar"/>
    <w:uiPriority w:val="1"/>
    <w:qFormat/>
    <w:rsid w:val="00C24C39"/>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C24C39"/>
    <w:rPr>
      <w:rFonts w:eastAsia="Times New Roman" w:cs="Times New Roman"/>
      <w:szCs w:val="24"/>
    </w:rPr>
  </w:style>
  <w:style w:type="paragraph" w:customStyle="1" w:styleId="TableParagraph">
    <w:name w:val="Table Paragraph"/>
    <w:basedOn w:val="Normal"/>
    <w:uiPriority w:val="1"/>
    <w:qFormat/>
    <w:rsid w:val="00C24C39"/>
    <w:pPr>
      <w:widowControl w:val="0"/>
      <w:autoSpaceDE w:val="0"/>
      <w:autoSpaceDN w:val="0"/>
      <w:spacing w:line="213" w:lineRule="exact"/>
      <w:jc w:val="righ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5014">
      <w:bodyDiv w:val="1"/>
      <w:marLeft w:val="0"/>
      <w:marRight w:val="0"/>
      <w:marTop w:val="0"/>
      <w:marBottom w:val="0"/>
      <w:divBdr>
        <w:top w:val="none" w:sz="0" w:space="0" w:color="auto"/>
        <w:left w:val="none" w:sz="0" w:space="0" w:color="auto"/>
        <w:bottom w:val="none" w:sz="0" w:space="0" w:color="auto"/>
        <w:right w:val="none" w:sz="0" w:space="0" w:color="auto"/>
      </w:divBdr>
    </w:div>
    <w:div w:id="259916835">
      <w:bodyDiv w:val="1"/>
      <w:marLeft w:val="0"/>
      <w:marRight w:val="0"/>
      <w:marTop w:val="0"/>
      <w:marBottom w:val="0"/>
      <w:divBdr>
        <w:top w:val="none" w:sz="0" w:space="0" w:color="auto"/>
        <w:left w:val="none" w:sz="0" w:space="0" w:color="auto"/>
        <w:bottom w:val="none" w:sz="0" w:space="0" w:color="auto"/>
        <w:right w:val="none" w:sz="0" w:space="0" w:color="auto"/>
      </w:divBdr>
    </w:div>
    <w:div w:id="1055742774">
      <w:bodyDiv w:val="1"/>
      <w:marLeft w:val="0"/>
      <w:marRight w:val="0"/>
      <w:marTop w:val="0"/>
      <w:marBottom w:val="0"/>
      <w:divBdr>
        <w:top w:val="none" w:sz="0" w:space="0" w:color="auto"/>
        <w:left w:val="none" w:sz="0" w:space="0" w:color="auto"/>
        <w:bottom w:val="none" w:sz="0" w:space="0" w:color="auto"/>
        <w:right w:val="none" w:sz="0" w:space="0" w:color="auto"/>
      </w:divBdr>
    </w:div>
    <w:div w:id="123627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7A27-DD3F-4845-975D-22082C85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Owusu, Felix (CFPB)</dc:creator>
  <cp:lastModifiedBy>SYSTEM</cp:lastModifiedBy>
  <cp:revision>2</cp:revision>
  <cp:lastPrinted>2015-01-07T17:30:00Z</cp:lastPrinted>
  <dcterms:created xsi:type="dcterms:W3CDTF">2019-11-26T14:40:00Z</dcterms:created>
  <dcterms:modified xsi:type="dcterms:W3CDTF">2019-11-26T14:40:00Z</dcterms:modified>
</cp:coreProperties>
</file>