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8F99E" w14:textId="435D8452" w:rsidR="0073749B" w:rsidRDefault="00612795" w:rsidP="0073749B">
      <w:pPr>
        <w:pStyle w:val="Header"/>
        <w:jc w:val="right"/>
      </w:pPr>
      <w:bookmarkStart w:id="0" w:name="_GoBack"/>
      <w:bookmarkEnd w:id="0"/>
      <w:r>
        <w:t>3</w:t>
      </w:r>
      <w:r w:rsidR="0073749B">
        <w:t xml:space="preserve">0-day </w:t>
      </w:r>
      <w:r w:rsidR="0073749B" w:rsidRPr="0073749B">
        <w:rPr>
          <w:i/>
        </w:rPr>
        <w:t>Federal Register</w:t>
      </w:r>
      <w:r w:rsidR="0073749B">
        <w:t xml:space="preserve"> </w:t>
      </w:r>
      <w:r w:rsidR="00A81BA4">
        <w:t>n</w:t>
      </w:r>
      <w:r w:rsidR="0073749B">
        <w:t>otice version</w:t>
      </w:r>
    </w:p>
    <w:p w14:paraId="4E3CF6C4" w14:textId="77777777" w:rsidR="0073749B" w:rsidRDefault="0073749B" w:rsidP="0073749B">
      <w:pPr>
        <w:spacing w:before="59" w:after="0" w:line="239" w:lineRule="auto"/>
        <w:ind w:left="224" w:right="201" w:hanging="5"/>
        <w:jc w:val="right"/>
        <w:rPr>
          <w:rFonts w:ascii="Times New Roman" w:eastAsia="Times New Roman" w:hAnsi="Times New Roman" w:cs="Times New Roman"/>
          <w:b/>
          <w:bCs/>
          <w:sz w:val="24"/>
          <w:szCs w:val="24"/>
        </w:rPr>
      </w:pPr>
    </w:p>
    <w:p w14:paraId="13D3AB47" w14:textId="77777777" w:rsidR="0073749B" w:rsidRDefault="0073749B" w:rsidP="0073749B">
      <w:pPr>
        <w:spacing w:before="59" w:after="0" w:line="239" w:lineRule="auto"/>
        <w:ind w:left="224" w:right="201" w:hanging="5"/>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EAU OF CONSU</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 xml:space="preserve">ER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IAL </w:t>
      </w:r>
      <w:r>
        <w:rPr>
          <w:rFonts w:ascii="Times New Roman" w:eastAsia="Times New Roman" w:hAnsi="Times New Roman" w:cs="Times New Roman"/>
          <w:b/>
          <w:bCs/>
          <w:spacing w:val="-2"/>
          <w:sz w:val="24"/>
          <w:szCs w:val="24"/>
        </w:rPr>
        <w:t>P</w:t>
      </w:r>
      <w:r>
        <w:rPr>
          <w:rFonts w:ascii="Times New Roman" w:eastAsia="Times New Roman" w:hAnsi="Times New Roman" w:cs="Times New Roman"/>
          <w:b/>
          <w:bCs/>
          <w:sz w:val="24"/>
          <w:szCs w:val="24"/>
        </w:rPr>
        <w:t>ROTECTI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 xml:space="preserve">N </w:t>
      </w:r>
    </w:p>
    <w:p w14:paraId="3A5E6FC0" w14:textId="77777777" w:rsidR="0073749B" w:rsidRDefault="0073749B" w:rsidP="0073749B">
      <w:pPr>
        <w:spacing w:before="59" w:after="0" w:line="239" w:lineRule="auto"/>
        <w:ind w:left="224" w:right="201" w:hanging="5"/>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z w:val="24"/>
          <w:szCs w:val="24"/>
        </w:rPr>
        <w:t>IN</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LECTI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EQUE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w:t>
      </w:r>
    </w:p>
    <w:p w14:paraId="53F1F1FD" w14:textId="77777777" w:rsidR="0073749B" w:rsidRDefault="0073749B" w:rsidP="0073749B">
      <w:pPr>
        <w:spacing w:before="59" w:after="0" w:line="239" w:lineRule="auto"/>
        <w:ind w:left="224" w:right="201" w:hanging="5"/>
        <w:jc w:val="center"/>
        <w:rPr>
          <w:rFonts w:ascii="Times New Roman" w:eastAsia="Times New Roman" w:hAnsi="Times New Roman" w:cs="Times New Roman"/>
          <w:b/>
          <w:bCs/>
          <w:spacing w:val="1"/>
          <w:sz w:val="24"/>
          <w:szCs w:val="24"/>
        </w:rPr>
      </w:pPr>
    </w:p>
    <w:p w14:paraId="03DD5D91" w14:textId="592AE495" w:rsidR="0073749B" w:rsidRDefault="0073749B" w:rsidP="0092573C">
      <w:pPr>
        <w:spacing w:before="59" w:after="0" w:line="240" w:lineRule="auto"/>
        <w:ind w:left="224" w:right="201" w:hanging="5"/>
        <w:jc w:val="center"/>
        <w:rPr>
          <w:rFonts w:ascii="Times New Roman" w:eastAsia="Times New Roman" w:hAnsi="Times New Roman" w:cs="Times New Roman"/>
          <w:b/>
          <w:bCs/>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UP</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ORTI</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TAT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 xml:space="preserve">ENT PART A </w:t>
      </w:r>
    </w:p>
    <w:p w14:paraId="5D900C75" w14:textId="77777777" w:rsidR="002835D1" w:rsidRDefault="002835D1" w:rsidP="0092573C">
      <w:pPr>
        <w:spacing w:before="59" w:after="0" w:line="240" w:lineRule="auto"/>
        <w:ind w:left="224" w:right="201" w:hanging="5"/>
        <w:jc w:val="center"/>
        <w:rPr>
          <w:rFonts w:ascii="Times New Roman" w:eastAsia="Times New Roman" w:hAnsi="Times New Roman" w:cs="Times New Roman"/>
          <w:b/>
          <w:bCs/>
          <w:sz w:val="24"/>
          <w:szCs w:val="24"/>
        </w:rPr>
      </w:pPr>
    </w:p>
    <w:p w14:paraId="6B7F6EED" w14:textId="795E0C4B" w:rsidR="0073749B" w:rsidRDefault="0073749B" w:rsidP="0092573C">
      <w:pPr>
        <w:spacing w:before="59" w:after="0" w:line="240" w:lineRule="auto"/>
        <w:ind w:left="224" w:right="201" w:hanging="5"/>
        <w:jc w:val="center"/>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 xml:space="preserve">APPLICATION FOR </w:t>
      </w:r>
      <w:r w:rsidR="00352AD6">
        <w:rPr>
          <w:rFonts w:ascii="Times New Roman" w:eastAsia="Times New Roman" w:hAnsi="Times New Roman" w:cs="Times New Roman"/>
          <w:b/>
          <w:bCs/>
          <w:spacing w:val="-2"/>
          <w:sz w:val="24"/>
          <w:szCs w:val="24"/>
        </w:rPr>
        <w:t xml:space="preserve">THE BUREAU’S ADVISORY </w:t>
      </w:r>
      <w:r>
        <w:rPr>
          <w:rFonts w:ascii="Times New Roman" w:eastAsia="Times New Roman" w:hAnsi="Times New Roman" w:cs="Times New Roman"/>
          <w:b/>
          <w:bCs/>
          <w:spacing w:val="-2"/>
          <w:sz w:val="24"/>
          <w:szCs w:val="24"/>
        </w:rPr>
        <w:t>COMMITTEES</w:t>
      </w:r>
    </w:p>
    <w:p w14:paraId="38F0579F" w14:textId="77777777" w:rsidR="0073749B" w:rsidRDefault="0073749B" w:rsidP="0092573C">
      <w:pPr>
        <w:spacing w:before="2" w:after="0" w:line="240" w:lineRule="auto"/>
        <w:ind w:left="100" w:right="2455" w:firstLine="2417"/>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B CONTROL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UM</w:t>
      </w:r>
      <w:r>
        <w:rPr>
          <w:rFonts w:ascii="Times New Roman" w:eastAsia="Times New Roman" w:hAnsi="Times New Roman" w:cs="Times New Roman"/>
          <w:b/>
          <w:bCs/>
          <w:sz w:val="24"/>
          <w:szCs w:val="24"/>
        </w:rPr>
        <w:t>BER: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317</w:t>
      </w:r>
      <w:r>
        <w:rPr>
          <w:rFonts w:ascii="Times New Roman" w:eastAsia="Times New Roman" w:hAnsi="Times New Roman" w:cs="Times New Roman"/>
          <w:b/>
          <w:bCs/>
          <w:spacing w:val="2"/>
          <w:sz w:val="24"/>
          <w:szCs w:val="24"/>
        </w:rPr>
        <w:t>0</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 xml:space="preserve">0037) </w:t>
      </w:r>
    </w:p>
    <w:p w14:paraId="775E47A0" w14:textId="77777777" w:rsidR="0073749B" w:rsidRDefault="0073749B" w:rsidP="0073749B">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6EEAF4C" w14:textId="77777777" w:rsidR="0073749B" w:rsidRDefault="0073749B" w:rsidP="00737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TER</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CL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E</w:t>
      </w:r>
      <w:r w:rsidRPr="000D7FCF">
        <w:rPr>
          <w:rFonts w:ascii="Times New Roman" w:eastAsia="Times New Roman" w:hAnsi="Times New Roman" w:cs="Times New Roman"/>
          <w:b/>
          <w:bCs/>
          <w:sz w:val="24"/>
          <w:szCs w:val="24"/>
        </w:rPr>
        <w:t xml:space="preserve">: </w:t>
      </w:r>
      <w:r w:rsidRPr="000D7FCF">
        <w:rPr>
          <w:rFonts w:ascii="Times New Roman" w:eastAsia="Times New Roman" w:hAnsi="Times New Roman" w:cs="Times New Roman"/>
          <w:b/>
          <w:bCs/>
          <w:spacing w:val="1"/>
          <w:sz w:val="24"/>
          <w:szCs w:val="24"/>
        </w:rPr>
        <w:t xml:space="preserve"> </w:t>
      </w:r>
      <w:r w:rsidRPr="000D7FCF">
        <w:rPr>
          <w:rFonts w:ascii="Times New Roman" w:eastAsia="Times New Roman" w:hAnsi="Times New Roman" w:cs="Times New Roman"/>
          <w:sz w:val="24"/>
          <w:szCs w:val="24"/>
        </w:rPr>
        <w:t>Non</w:t>
      </w:r>
      <w:r w:rsidRPr="000D7FCF">
        <w:rPr>
          <w:rFonts w:ascii="Times New Roman" w:eastAsia="Times New Roman" w:hAnsi="Times New Roman" w:cs="Times New Roman"/>
          <w:spacing w:val="-1"/>
          <w:sz w:val="24"/>
          <w:szCs w:val="24"/>
        </w:rPr>
        <w:t>e</w:t>
      </w:r>
      <w:r w:rsidRPr="000D7FCF">
        <w:rPr>
          <w:rFonts w:ascii="Times New Roman" w:eastAsia="Times New Roman" w:hAnsi="Times New Roman" w:cs="Times New Roman"/>
          <w:sz w:val="24"/>
          <w:szCs w:val="24"/>
        </w:rPr>
        <w:t>.  The Office of Management and Budget (OMB) provided no terms of clearance when it last approved this information collection in</w:t>
      </w:r>
      <w:r w:rsidR="000D7FCF" w:rsidRPr="000D7FCF">
        <w:rPr>
          <w:rFonts w:ascii="Times New Roman" w:eastAsia="Times New Roman" w:hAnsi="Times New Roman" w:cs="Times New Roman"/>
          <w:sz w:val="24"/>
          <w:szCs w:val="24"/>
        </w:rPr>
        <w:t xml:space="preserve"> September 2016</w:t>
      </w:r>
      <w:r w:rsidRPr="000D7FCF">
        <w:rPr>
          <w:rFonts w:ascii="Times New Roman" w:eastAsia="Times New Roman" w:hAnsi="Times New Roman" w:cs="Times New Roman"/>
          <w:sz w:val="24"/>
          <w:szCs w:val="24"/>
        </w:rPr>
        <w:t>.</w:t>
      </w:r>
    </w:p>
    <w:p w14:paraId="3DC7DF49" w14:textId="77777777" w:rsidR="0073749B" w:rsidRDefault="0073749B" w:rsidP="0073749B">
      <w:pPr>
        <w:spacing w:after="0" w:line="240" w:lineRule="auto"/>
        <w:rPr>
          <w:rFonts w:ascii="Times New Roman" w:eastAsia="Times New Roman" w:hAnsi="Times New Roman" w:cs="Times New Roman"/>
          <w:sz w:val="24"/>
          <w:szCs w:val="24"/>
        </w:rPr>
      </w:pPr>
    </w:p>
    <w:p w14:paraId="37CDC3EB" w14:textId="3034CF1F" w:rsidR="0073749B" w:rsidRDefault="0073749B" w:rsidP="0073749B">
      <w:pPr>
        <w:spacing w:after="0" w:line="240" w:lineRule="auto"/>
        <w:rPr>
          <w:rFonts w:ascii="Times New Roman" w:eastAsia="Times New Roman" w:hAnsi="Times New Roman" w:cs="Times New Roman"/>
          <w:sz w:val="24"/>
          <w:szCs w:val="24"/>
        </w:rPr>
      </w:pPr>
      <w:r w:rsidRPr="00981F51">
        <w:rPr>
          <w:rFonts w:ascii="Times New Roman" w:eastAsia="Times New Roman" w:hAnsi="Times New Roman" w:cs="Times New Roman"/>
          <w:b/>
          <w:sz w:val="24"/>
          <w:szCs w:val="24"/>
        </w:rPr>
        <w:t xml:space="preserve">ABSTRACT: </w:t>
      </w:r>
      <w:r>
        <w:rPr>
          <w:rFonts w:ascii="Times New Roman" w:eastAsia="Times New Roman" w:hAnsi="Times New Roman" w:cs="Times New Roman"/>
          <w:sz w:val="24"/>
          <w:szCs w:val="24"/>
        </w:rPr>
        <w:t xml:space="preserve"> </w:t>
      </w:r>
      <w:r w:rsidR="00352AD6">
        <w:rPr>
          <w:rFonts w:ascii="Times New Roman" w:hAnsi="Times New Roman" w:cs="Times New Roman"/>
        </w:rPr>
        <w:t xml:space="preserve">The </w:t>
      </w:r>
      <w:r w:rsidR="008D14CB">
        <w:rPr>
          <w:rFonts w:ascii="Times New Roman" w:hAnsi="Times New Roman" w:cs="Times New Roman"/>
        </w:rPr>
        <w:t xml:space="preserve">Director of the </w:t>
      </w:r>
      <w:r w:rsidR="00177564">
        <w:rPr>
          <w:rFonts w:ascii="Times New Roman" w:hAnsi="Times New Roman" w:cs="Times New Roman"/>
        </w:rPr>
        <w:t xml:space="preserve">Consumer Financial Protection </w:t>
      </w:r>
      <w:r w:rsidR="00352AD6">
        <w:rPr>
          <w:rFonts w:ascii="Times New Roman" w:hAnsi="Times New Roman" w:cs="Times New Roman"/>
        </w:rPr>
        <w:t>Bureau</w:t>
      </w:r>
      <w:r w:rsidR="00F90204" w:rsidRPr="0073749B">
        <w:rPr>
          <w:rFonts w:ascii="Times New Roman" w:hAnsi="Times New Roman" w:cs="Times New Roman"/>
        </w:rPr>
        <w:t xml:space="preserve"> </w:t>
      </w:r>
      <w:r w:rsidR="00177564">
        <w:rPr>
          <w:rFonts w:ascii="Times New Roman" w:hAnsi="Times New Roman" w:cs="Times New Roman"/>
        </w:rPr>
        <w:t>(</w:t>
      </w:r>
      <w:r w:rsidR="00FC3C4A">
        <w:rPr>
          <w:rFonts w:ascii="Times New Roman" w:hAnsi="Times New Roman" w:cs="Times New Roman"/>
        </w:rPr>
        <w:t>CFPB</w:t>
      </w:r>
      <w:r w:rsidR="00177564">
        <w:rPr>
          <w:rFonts w:ascii="Times New Roman" w:hAnsi="Times New Roman" w:cs="Times New Roman"/>
        </w:rPr>
        <w:t xml:space="preserve"> </w:t>
      </w:r>
      <w:r w:rsidR="00177564" w:rsidRPr="00177564">
        <w:rPr>
          <w:rFonts w:ascii="Times New Roman" w:hAnsi="Times New Roman" w:cs="Times New Roman"/>
        </w:rPr>
        <w:t>or the Bureau</w:t>
      </w:r>
      <w:r w:rsidR="00177564">
        <w:rPr>
          <w:rFonts w:ascii="Times New Roman" w:hAnsi="Times New Roman" w:cs="Times New Roman"/>
        </w:rPr>
        <w:t xml:space="preserve">) </w:t>
      </w:r>
      <w:r w:rsidRPr="0073749B">
        <w:rPr>
          <w:rFonts w:ascii="Times New Roman" w:hAnsi="Times New Roman" w:cs="Times New Roman"/>
        </w:rPr>
        <w:t xml:space="preserve">may invite individuals with special expertise to </w:t>
      </w:r>
      <w:r w:rsidR="008D14CB">
        <w:rPr>
          <w:rFonts w:ascii="Times New Roman" w:hAnsi="Times New Roman" w:cs="Times New Roman"/>
        </w:rPr>
        <w:t xml:space="preserve">serve on the Bureau’s advisory </w:t>
      </w:r>
      <w:r w:rsidR="009E5F9D">
        <w:rPr>
          <w:rFonts w:ascii="Times New Roman" w:hAnsi="Times New Roman" w:cs="Times New Roman"/>
        </w:rPr>
        <w:t>committees</w:t>
      </w:r>
      <w:r w:rsidRPr="0073749B">
        <w:rPr>
          <w:rFonts w:ascii="Times New Roman" w:hAnsi="Times New Roman" w:cs="Times New Roman"/>
        </w:rPr>
        <w:t xml:space="preserve">. The selection-related </w:t>
      </w:r>
      <w:r w:rsidR="008D14CB" w:rsidRPr="0073749B">
        <w:rPr>
          <w:rFonts w:ascii="Times New Roman" w:hAnsi="Times New Roman" w:cs="Times New Roman"/>
        </w:rPr>
        <w:t>material</w:t>
      </w:r>
      <w:r w:rsidRPr="0073749B">
        <w:rPr>
          <w:rFonts w:ascii="Times New Roman" w:hAnsi="Times New Roman" w:cs="Times New Roman"/>
        </w:rPr>
        <w:t xml:space="preserve"> will allow the Bureau to obtain information on the qualifications of individuals nominated to </w:t>
      </w:r>
      <w:r w:rsidR="008D14CB">
        <w:rPr>
          <w:rFonts w:ascii="Times New Roman" w:hAnsi="Times New Roman" w:cs="Times New Roman"/>
        </w:rPr>
        <w:t xml:space="preserve">an advisory committee </w:t>
      </w:r>
      <w:r w:rsidRPr="0073749B">
        <w:rPr>
          <w:rFonts w:ascii="Times New Roman" w:hAnsi="Times New Roman" w:cs="Times New Roman"/>
        </w:rPr>
        <w:t xml:space="preserve">and will aid the Bureau in selecting members for </w:t>
      </w:r>
      <w:r w:rsidR="00FD5AA3">
        <w:rPr>
          <w:rFonts w:ascii="Times New Roman" w:hAnsi="Times New Roman" w:cs="Times New Roman"/>
        </w:rPr>
        <w:t>service on an advisory committee</w:t>
      </w:r>
      <w:r w:rsidRPr="0073749B">
        <w:rPr>
          <w:rFonts w:ascii="Times New Roman" w:hAnsi="Times New Roman" w:cs="Times New Roman"/>
        </w:rPr>
        <w:t>. The selection-related information will also aid the Bureau in determining the appropriateness of participation in</w:t>
      </w:r>
      <w:r w:rsidRPr="0073749B">
        <w:rPr>
          <w:rFonts w:ascii="Times New Roman" w:hAnsi="Times New Roman" w:cs="Times New Roman"/>
          <w:spacing w:val="-11"/>
        </w:rPr>
        <w:t xml:space="preserve"> </w:t>
      </w:r>
      <w:r w:rsidRPr="0073749B">
        <w:rPr>
          <w:rFonts w:ascii="Times New Roman" w:hAnsi="Times New Roman" w:cs="Times New Roman"/>
        </w:rPr>
        <w:t>particular</w:t>
      </w:r>
      <w:r w:rsidRPr="0073749B">
        <w:rPr>
          <w:rFonts w:ascii="Times New Roman" w:hAnsi="Times New Roman" w:cs="Times New Roman"/>
          <w:spacing w:val="-4"/>
        </w:rPr>
        <w:t xml:space="preserve"> </w:t>
      </w:r>
      <w:r w:rsidRPr="0073749B">
        <w:rPr>
          <w:rFonts w:ascii="Times New Roman" w:hAnsi="Times New Roman" w:cs="Times New Roman"/>
        </w:rPr>
        <w:t xml:space="preserve">matters.  </w:t>
      </w:r>
      <w:r w:rsidR="00FD5AA3">
        <w:rPr>
          <w:rFonts w:ascii="Times New Roman" w:hAnsi="Times New Roman" w:cs="Times New Roman"/>
        </w:rPr>
        <w:t xml:space="preserve">The information collected </w:t>
      </w:r>
      <w:r w:rsidR="00FD5AA3" w:rsidRPr="0073749B">
        <w:rPr>
          <w:rFonts w:ascii="Times New Roman" w:hAnsi="Times New Roman" w:cs="Times New Roman"/>
          <w:spacing w:val="-14"/>
        </w:rPr>
        <w:t>from</w:t>
      </w:r>
      <w:r w:rsidRPr="0073749B">
        <w:rPr>
          <w:rFonts w:ascii="Times New Roman" w:hAnsi="Times New Roman" w:cs="Times New Roman"/>
        </w:rPr>
        <w:t xml:space="preserve"> </w:t>
      </w:r>
      <w:r w:rsidR="00A51491">
        <w:rPr>
          <w:rFonts w:ascii="Times New Roman" w:hAnsi="Times New Roman" w:cs="Times New Roman"/>
        </w:rPr>
        <w:t>applicants</w:t>
      </w:r>
      <w:r w:rsidRPr="0073749B">
        <w:rPr>
          <w:rFonts w:ascii="Times New Roman" w:hAnsi="Times New Roman" w:cs="Times New Roman"/>
        </w:rPr>
        <w:t xml:space="preserve"> will aid the Bureau in the exercise of</w:t>
      </w:r>
      <w:r w:rsidRPr="0073749B">
        <w:rPr>
          <w:rFonts w:ascii="Times New Roman" w:hAnsi="Times New Roman" w:cs="Times New Roman"/>
          <w:spacing w:val="-20"/>
        </w:rPr>
        <w:t xml:space="preserve"> </w:t>
      </w:r>
      <w:r w:rsidRPr="0073749B">
        <w:rPr>
          <w:rFonts w:ascii="Times New Roman" w:hAnsi="Times New Roman" w:cs="Times New Roman"/>
        </w:rPr>
        <w:t>its</w:t>
      </w:r>
      <w:r w:rsidRPr="0073749B">
        <w:rPr>
          <w:rFonts w:ascii="Times New Roman" w:hAnsi="Times New Roman" w:cs="Times New Roman"/>
          <w:spacing w:val="-2"/>
        </w:rPr>
        <w:t xml:space="preserve"> </w:t>
      </w:r>
      <w:r w:rsidRPr="0073749B">
        <w:rPr>
          <w:rFonts w:ascii="Times New Roman" w:hAnsi="Times New Roman" w:cs="Times New Roman"/>
        </w:rPr>
        <w:t xml:space="preserve">functions. The feedback collected will allow the Bureau to evaluate and improve its advisory </w:t>
      </w:r>
      <w:r w:rsidR="00A51491">
        <w:rPr>
          <w:rFonts w:ascii="Times New Roman" w:hAnsi="Times New Roman" w:cs="Times New Roman"/>
        </w:rPr>
        <w:t xml:space="preserve">committee </w:t>
      </w:r>
      <w:r w:rsidRPr="0073749B">
        <w:rPr>
          <w:rFonts w:ascii="Times New Roman" w:hAnsi="Times New Roman" w:cs="Times New Roman"/>
        </w:rPr>
        <w:t xml:space="preserve">program. Information collected will be used </w:t>
      </w:r>
      <w:r w:rsidR="00EC5430">
        <w:rPr>
          <w:rFonts w:ascii="Times New Roman" w:hAnsi="Times New Roman" w:cs="Times New Roman"/>
        </w:rPr>
        <w:t xml:space="preserve">for vetting candidates, </w:t>
      </w:r>
      <w:r w:rsidRPr="0073749B">
        <w:rPr>
          <w:rFonts w:ascii="Times New Roman" w:hAnsi="Times New Roman" w:cs="Times New Roman"/>
        </w:rPr>
        <w:t>issue travel orders or provide reimbursement for travel expenses, as</w:t>
      </w:r>
      <w:r w:rsidRPr="0073749B">
        <w:rPr>
          <w:rFonts w:ascii="Times New Roman" w:hAnsi="Times New Roman" w:cs="Times New Roman"/>
          <w:spacing w:val="-1"/>
        </w:rPr>
        <w:t xml:space="preserve"> </w:t>
      </w:r>
      <w:r w:rsidRPr="0073749B">
        <w:rPr>
          <w:rFonts w:ascii="Times New Roman" w:hAnsi="Times New Roman" w:cs="Times New Roman"/>
        </w:rPr>
        <w:t>applicable.</w:t>
      </w:r>
    </w:p>
    <w:p w14:paraId="6BE1E463" w14:textId="77777777" w:rsidR="0073749B" w:rsidRDefault="0073749B" w:rsidP="0073749B">
      <w:pPr>
        <w:spacing w:after="0" w:line="240" w:lineRule="auto"/>
        <w:rPr>
          <w:rFonts w:ascii="Times New Roman" w:eastAsia="Times New Roman" w:hAnsi="Times New Roman" w:cs="Times New Roman"/>
          <w:sz w:val="24"/>
          <w:szCs w:val="24"/>
        </w:rPr>
      </w:pPr>
    </w:p>
    <w:p w14:paraId="540397E2" w14:textId="129EE3D8" w:rsidR="0073749B" w:rsidRPr="00F25F15" w:rsidRDefault="0073749B" w:rsidP="0073749B">
      <w:pPr>
        <w:spacing w:after="0" w:line="240" w:lineRule="auto"/>
        <w:rPr>
          <w:rFonts w:ascii="Times New Roman" w:eastAsia="Times New Roman" w:hAnsi="Times New Roman" w:cs="Times New Roman"/>
        </w:rPr>
      </w:pPr>
      <w:r w:rsidRPr="00F25F15">
        <w:rPr>
          <w:rFonts w:ascii="Times New Roman" w:eastAsia="Times New Roman" w:hAnsi="Times New Roman" w:cs="Times New Roman"/>
        </w:rPr>
        <w:t xml:space="preserve">This submission is requesting OMB to </w:t>
      </w:r>
      <w:r w:rsidR="002E7C2F">
        <w:rPr>
          <w:rFonts w:ascii="Times New Roman" w:eastAsia="Times New Roman" w:hAnsi="Times New Roman" w:cs="Times New Roman"/>
        </w:rPr>
        <w:t xml:space="preserve">reinstate and thereby </w:t>
      </w:r>
      <w:r w:rsidRPr="00F25F15">
        <w:rPr>
          <w:rFonts w:ascii="Times New Roman" w:eastAsia="Times New Roman" w:hAnsi="Times New Roman" w:cs="Times New Roman"/>
        </w:rPr>
        <w:t xml:space="preserve">renew, for </w:t>
      </w:r>
      <w:r w:rsidR="00DA360D">
        <w:rPr>
          <w:rFonts w:ascii="Times New Roman" w:eastAsia="Times New Roman" w:hAnsi="Times New Roman" w:cs="Times New Roman"/>
        </w:rPr>
        <w:t xml:space="preserve">an </w:t>
      </w:r>
      <w:r w:rsidRPr="00F25F15">
        <w:rPr>
          <w:rFonts w:ascii="Times New Roman" w:eastAsia="Times New Roman" w:hAnsi="Times New Roman" w:cs="Times New Roman"/>
        </w:rPr>
        <w:t>additional three (3) years, its approval of this information collection</w:t>
      </w:r>
      <w:r w:rsidR="00F25F15">
        <w:rPr>
          <w:rFonts w:ascii="Times New Roman" w:eastAsia="Times New Roman" w:hAnsi="Times New Roman" w:cs="Times New Roman"/>
        </w:rPr>
        <w:t xml:space="preserve"> request</w:t>
      </w:r>
      <w:r w:rsidRPr="00F25F15">
        <w:rPr>
          <w:rFonts w:ascii="Times New Roman" w:eastAsia="Times New Roman" w:hAnsi="Times New Roman" w:cs="Times New Roman"/>
        </w:rPr>
        <w:t>.</w:t>
      </w:r>
    </w:p>
    <w:p w14:paraId="28E6A4ED" w14:textId="77777777" w:rsidR="0073749B" w:rsidRDefault="0073749B" w:rsidP="0073749B">
      <w:pPr>
        <w:tabs>
          <w:tab w:val="left" w:pos="820"/>
        </w:tabs>
        <w:spacing w:before="54" w:after="0" w:line="271" w:lineRule="exact"/>
        <w:rPr>
          <w:rFonts w:ascii="Times New Roman" w:eastAsia="Times New Roman" w:hAnsi="Times New Roman" w:cs="Times New Roman"/>
          <w:b/>
          <w:bCs/>
          <w:position w:val="-1"/>
          <w:sz w:val="24"/>
          <w:szCs w:val="24"/>
        </w:rPr>
      </w:pPr>
    </w:p>
    <w:p w14:paraId="3351DA2F" w14:textId="77777777" w:rsidR="0073749B" w:rsidRPr="008F5558" w:rsidRDefault="0073749B" w:rsidP="0073749B">
      <w:pPr>
        <w:tabs>
          <w:tab w:val="left" w:pos="820"/>
        </w:tabs>
        <w:spacing w:before="54" w:after="0" w:line="271" w:lineRule="exact"/>
        <w:ind w:left="100" w:right="-20"/>
        <w:rPr>
          <w:rFonts w:ascii="Times New Roman" w:eastAsia="Times New Roman" w:hAnsi="Times New Roman" w:cs="Times New Roman"/>
          <w:sz w:val="24"/>
          <w:szCs w:val="24"/>
        </w:rPr>
      </w:pPr>
      <w:r w:rsidRPr="008F5558">
        <w:rPr>
          <w:rFonts w:ascii="Times New Roman" w:eastAsia="Times New Roman" w:hAnsi="Times New Roman" w:cs="Times New Roman"/>
          <w:b/>
          <w:bCs/>
          <w:position w:val="-1"/>
          <w:sz w:val="24"/>
          <w:szCs w:val="24"/>
        </w:rPr>
        <w:t>JUS</w:t>
      </w:r>
      <w:r w:rsidRPr="008F5558">
        <w:rPr>
          <w:rFonts w:ascii="Times New Roman" w:eastAsia="Times New Roman" w:hAnsi="Times New Roman" w:cs="Times New Roman"/>
          <w:b/>
          <w:bCs/>
          <w:spacing w:val="1"/>
          <w:position w:val="-1"/>
          <w:sz w:val="24"/>
          <w:szCs w:val="24"/>
        </w:rPr>
        <w:t>T</w:t>
      </w:r>
      <w:r w:rsidRPr="008F5558">
        <w:rPr>
          <w:rFonts w:ascii="Times New Roman" w:eastAsia="Times New Roman" w:hAnsi="Times New Roman" w:cs="Times New Roman"/>
          <w:b/>
          <w:bCs/>
          <w:position w:val="-1"/>
          <w:sz w:val="24"/>
          <w:szCs w:val="24"/>
        </w:rPr>
        <w:t>I</w:t>
      </w:r>
      <w:r w:rsidRPr="008F5558">
        <w:rPr>
          <w:rFonts w:ascii="Times New Roman" w:eastAsia="Times New Roman" w:hAnsi="Times New Roman" w:cs="Times New Roman"/>
          <w:b/>
          <w:bCs/>
          <w:spacing w:val="-2"/>
          <w:position w:val="-1"/>
          <w:sz w:val="24"/>
          <w:szCs w:val="24"/>
        </w:rPr>
        <w:t>F</w:t>
      </w:r>
      <w:r w:rsidRPr="008F5558">
        <w:rPr>
          <w:rFonts w:ascii="Times New Roman" w:eastAsia="Times New Roman" w:hAnsi="Times New Roman" w:cs="Times New Roman"/>
          <w:b/>
          <w:bCs/>
          <w:position w:val="-1"/>
          <w:sz w:val="24"/>
          <w:szCs w:val="24"/>
        </w:rPr>
        <w:t>IC</w:t>
      </w:r>
      <w:r w:rsidRPr="008F5558">
        <w:rPr>
          <w:rFonts w:ascii="Times New Roman" w:eastAsia="Times New Roman" w:hAnsi="Times New Roman" w:cs="Times New Roman"/>
          <w:b/>
          <w:bCs/>
          <w:spacing w:val="-1"/>
          <w:position w:val="-1"/>
          <w:sz w:val="24"/>
          <w:szCs w:val="24"/>
        </w:rPr>
        <w:t>A</w:t>
      </w:r>
      <w:r w:rsidRPr="008F5558">
        <w:rPr>
          <w:rFonts w:ascii="Times New Roman" w:eastAsia="Times New Roman" w:hAnsi="Times New Roman" w:cs="Times New Roman"/>
          <w:b/>
          <w:bCs/>
          <w:position w:val="-1"/>
          <w:sz w:val="24"/>
          <w:szCs w:val="24"/>
        </w:rPr>
        <w:t>TION</w:t>
      </w:r>
    </w:p>
    <w:p w14:paraId="662C1EDB" w14:textId="77777777" w:rsidR="0073749B" w:rsidRDefault="0073749B" w:rsidP="0073749B">
      <w:pPr>
        <w:spacing w:before="12" w:after="0" w:line="240" w:lineRule="exact"/>
        <w:rPr>
          <w:sz w:val="24"/>
          <w:szCs w:val="24"/>
        </w:rPr>
      </w:pPr>
    </w:p>
    <w:p w14:paraId="45A892F9" w14:textId="77777777" w:rsidR="0073749B" w:rsidRDefault="0073749B" w:rsidP="0073749B">
      <w:pPr>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1. </w:t>
      </w:r>
      <w:r>
        <w:rPr>
          <w:rFonts w:ascii="Times New Roman" w:eastAsia="Times New Roman" w:hAnsi="Times New Roman" w:cs="Times New Roman"/>
          <w:b/>
          <w:bCs/>
          <w:position w:val="-1"/>
          <w:sz w:val="24"/>
          <w:szCs w:val="24"/>
          <w:u w:val="thick" w:color="000000"/>
        </w:rPr>
        <w:t>Ci</w:t>
      </w:r>
      <w:r>
        <w:rPr>
          <w:rFonts w:ascii="Times New Roman" w:eastAsia="Times New Roman" w:hAnsi="Times New Roman" w:cs="Times New Roman"/>
          <w:b/>
          <w:bCs/>
          <w:spacing w:val="-1"/>
          <w:position w:val="-1"/>
          <w:sz w:val="24"/>
          <w:szCs w:val="24"/>
          <w:u w:val="thick" w:color="000000"/>
        </w:rPr>
        <w:t>rc</w:t>
      </w:r>
      <w:r>
        <w:rPr>
          <w:rFonts w:ascii="Times New Roman" w:eastAsia="Times New Roman" w:hAnsi="Times New Roman" w:cs="Times New Roman"/>
          <w:b/>
          <w:bCs/>
          <w:spacing w:val="3"/>
          <w:position w:val="-1"/>
          <w:sz w:val="24"/>
          <w:szCs w:val="24"/>
          <w:u w:val="thick" w:color="000000"/>
        </w:rPr>
        <w:t>u</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stanc</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 xml:space="preserve">s </w:t>
      </w:r>
      <w:r>
        <w:rPr>
          <w:rFonts w:ascii="Times New Roman" w:eastAsia="Times New Roman" w:hAnsi="Times New Roman" w:cs="Times New Roman"/>
          <w:b/>
          <w:bCs/>
          <w:spacing w:val="2"/>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2"/>
          <w:position w:val="-1"/>
          <w:sz w:val="24"/>
          <w:szCs w:val="24"/>
          <w:u w:val="thick" w:color="000000"/>
        </w:rPr>
        <w:t>s</w:t>
      </w:r>
      <w:r>
        <w:rPr>
          <w:rFonts w:ascii="Times New Roman" w:eastAsia="Times New Roman" w:hAnsi="Times New Roman" w:cs="Times New Roman"/>
          <w:b/>
          <w:bCs/>
          <w:position w:val="-1"/>
          <w:sz w:val="24"/>
          <w:szCs w:val="24"/>
          <w:u w:val="thick" w:color="000000"/>
        </w:rPr>
        <w:t>sitating the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Da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a Colle</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tion</w:t>
      </w:r>
    </w:p>
    <w:p w14:paraId="6F1B2502" w14:textId="77777777" w:rsidR="0073749B" w:rsidRDefault="0073749B" w:rsidP="0073749B">
      <w:pPr>
        <w:spacing w:before="5" w:after="0" w:line="240" w:lineRule="exact"/>
        <w:rPr>
          <w:sz w:val="24"/>
          <w:szCs w:val="24"/>
        </w:rPr>
      </w:pPr>
    </w:p>
    <w:p w14:paraId="7F67B3A9" w14:textId="57949911" w:rsidR="0073749B" w:rsidRDefault="0073749B" w:rsidP="00E34007">
      <w:pPr>
        <w:pStyle w:val="BodyText"/>
        <w:tabs>
          <w:tab w:val="left" w:pos="8843"/>
        </w:tabs>
        <w:spacing w:before="90" w:line="244" w:lineRule="auto"/>
        <w:ind w:right="285"/>
      </w:pPr>
      <w:r>
        <w:t>On July 21, 2010, the Dodd-Frank Wall Street</w:t>
      </w:r>
      <w:r>
        <w:rPr>
          <w:spacing w:val="-40"/>
        </w:rPr>
        <w:t xml:space="preserve"> </w:t>
      </w:r>
      <w:r>
        <w:t>Reform and Consumer Protection Act</w:t>
      </w:r>
      <w:r w:rsidR="00A51491">
        <w:t xml:space="preserve"> was enacted,</w:t>
      </w:r>
      <w:r>
        <w:t xml:space="preserve"> </w:t>
      </w:r>
      <w:r>
        <w:rPr>
          <w:spacing w:val="-3"/>
        </w:rPr>
        <w:t xml:space="preserve">P.L. </w:t>
      </w:r>
      <w:r>
        <w:t>111-203, 124 Stat. 1376 (2010)</w:t>
      </w:r>
      <w:r>
        <w:rPr>
          <w:spacing w:val="-13"/>
        </w:rPr>
        <w:t xml:space="preserve"> </w:t>
      </w:r>
      <w:r>
        <w:t>(Dodd-Frank</w:t>
      </w:r>
      <w:r>
        <w:rPr>
          <w:spacing w:val="-2"/>
        </w:rPr>
        <w:t xml:space="preserve"> </w:t>
      </w:r>
      <w:r w:rsidR="0081279F">
        <w:t xml:space="preserve">Act).  </w:t>
      </w:r>
      <w:r>
        <w:t xml:space="preserve">Title X of the Dodd-Frank Act created the CFPB and provides that the Director of the CFPB “shall establish a Consumer Advisory Board </w:t>
      </w:r>
      <w:r w:rsidR="00BC55D3">
        <w:t xml:space="preserve">(CAB) </w:t>
      </w:r>
      <w:r>
        <w:t xml:space="preserve">to advise and consult with the Bureau in the exercise of its functions under the Federal consumer financial laws, and to provide information on emerging practices in the consumer financial products or services industry, including regional trends, concerns, and other relevant information.” </w:t>
      </w:r>
      <w:r w:rsidR="00E34007">
        <w:t xml:space="preserve"> </w:t>
      </w:r>
      <w:r>
        <w:rPr>
          <w:i/>
        </w:rPr>
        <w:t xml:space="preserve">See </w:t>
      </w:r>
      <w:r>
        <w:t>Dodd-Frank Act §</w:t>
      </w:r>
      <w:r>
        <w:rPr>
          <w:spacing w:val="-3"/>
        </w:rPr>
        <w:t xml:space="preserve"> </w:t>
      </w:r>
      <w:r>
        <w:t>1014.</w:t>
      </w:r>
    </w:p>
    <w:p w14:paraId="48645700" w14:textId="77777777" w:rsidR="0073749B" w:rsidRDefault="0073749B" w:rsidP="0073749B">
      <w:pPr>
        <w:pStyle w:val="BodyText"/>
        <w:spacing w:before="2"/>
        <w:rPr>
          <w:sz w:val="26"/>
        </w:rPr>
      </w:pPr>
    </w:p>
    <w:p w14:paraId="4C6A7789" w14:textId="77777777" w:rsidR="0073749B" w:rsidRDefault="0073749B" w:rsidP="00E34007">
      <w:pPr>
        <w:pStyle w:val="BodyText"/>
        <w:spacing w:line="247" w:lineRule="auto"/>
        <w:ind w:right="567"/>
        <w:jc w:val="both"/>
      </w:pPr>
      <w:r>
        <w:t>Pursuant to Section 1014(b) of the Dodd-Frank Act, in appointing members to the</w:t>
      </w:r>
      <w:r>
        <w:rPr>
          <w:spacing w:val="-25"/>
        </w:rPr>
        <w:t xml:space="preserve"> </w:t>
      </w:r>
      <w:r w:rsidR="00D86786">
        <w:t>CAB,</w:t>
      </w:r>
      <w:r>
        <w:t xml:space="preserve"> “the Director shall seek to assemble experts in consumer protection, financial services, community development, fair lending and civil rights, and</w:t>
      </w:r>
      <w:r>
        <w:rPr>
          <w:spacing w:val="-28"/>
        </w:rPr>
        <w:t xml:space="preserve"> </w:t>
      </w:r>
      <w:r>
        <w:t>consumer</w:t>
      </w:r>
      <w:r w:rsidR="00E34007">
        <w:t xml:space="preserve"> </w:t>
      </w:r>
      <w:r>
        <w:t xml:space="preserve">financial products or services and representatives of depository institutions that primarily serve underserved communities, and representatives of communities that have been significantly impacted by </w:t>
      </w:r>
      <w:r>
        <w:lastRenderedPageBreak/>
        <w:t>higher-priced mortgage loans, and seek representation of the interests of covered persons and consumers, without regard to party affiliation.”</w:t>
      </w:r>
    </w:p>
    <w:p w14:paraId="2B78A920" w14:textId="77777777" w:rsidR="0073749B" w:rsidRDefault="0073749B" w:rsidP="0073749B">
      <w:pPr>
        <w:pStyle w:val="BodyText"/>
        <w:spacing w:before="10"/>
        <w:rPr>
          <w:sz w:val="25"/>
        </w:rPr>
      </w:pPr>
    </w:p>
    <w:p w14:paraId="4EFCE8BF" w14:textId="20D282BB" w:rsidR="0073749B" w:rsidRDefault="0073749B" w:rsidP="00E34007">
      <w:pPr>
        <w:pStyle w:val="BodyText"/>
        <w:tabs>
          <w:tab w:val="left" w:pos="3258"/>
          <w:tab w:val="left" w:pos="5139"/>
          <w:tab w:val="left" w:pos="8792"/>
        </w:tabs>
        <w:spacing w:line="247" w:lineRule="auto"/>
        <w:ind w:right="494"/>
      </w:pPr>
      <w:r>
        <w:rPr>
          <w:noProof/>
          <w:lang w:bidi="ar-SA"/>
        </w:rPr>
        <mc:AlternateContent>
          <mc:Choice Requires="wps">
            <w:drawing>
              <wp:anchor distT="0" distB="0" distL="114300" distR="114300" simplePos="0" relativeHeight="251658240" behindDoc="1" locked="0" layoutInCell="1" allowOverlap="1" wp14:anchorId="6D3ABCFF" wp14:editId="017183E4">
                <wp:simplePos x="0" y="0"/>
                <wp:positionH relativeFrom="page">
                  <wp:posOffset>3852545</wp:posOffset>
                </wp:positionH>
                <wp:positionV relativeFrom="paragraph">
                  <wp:posOffset>691515</wp:posOffset>
                </wp:positionV>
                <wp:extent cx="32385" cy="71120"/>
                <wp:effectExtent l="4445" t="0" r="127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1CA25" w14:textId="77777777" w:rsidR="0073749B" w:rsidRDefault="009F5BA0" w:rsidP="0073749B">
                            <w:pPr>
                              <w:spacing w:line="111" w:lineRule="exact"/>
                              <w:rPr>
                                <w:sz w:val="10"/>
                              </w:rPr>
                            </w:pPr>
                            <w:hyperlink w:anchor="_bookmark0" w:history="1">
                              <w:r w:rsidR="0073749B">
                                <w:rPr>
                                  <w:sz w:val="10"/>
                                </w:rPr>
                                <w:t>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3.35pt;margin-top:54.45pt;width:2.55pt;height: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JvXrQIAAKY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4x4qSFFj3SQaM7MaCZqU7fqQScHjpw0wNsQ5dtpqq7F8V3hbhY14Tv6K2Uoq8pKYGdb266L66O&#10;OMqAbPtPooQwZK+FBRoq2ZrSQTEQoEOXnk6dMVQK2JwFs2iOUQEnS98PbN9ckkxXO6n0BypaZIwU&#10;S2i7hSaHe6UNFZJMLiYSFzlrGtv6hl9sgOO4A4HhqjkzFGwnn2Mv3kSbKHTCYLFxQi/LnNt8HTqL&#10;3F/Os1m2Xmf+LxPXD5OalSXlJsykKj/8s64d9T3q4aQrJRpWGjhDScnddt1IdCCg6tx+tuBwcnZz&#10;L2nYIkAur1Lyg9C7C2InX0RLJ8zDuRMvvcjx/PguXnhhHGb5ZUr3jNN/Twn1KY7nwXxU0pn0q9w8&#10;+73NjSQt0zA3GtamODo5kcTob8NL21pNWDPaL0ph6J9LAe2eGm3VagQ6SlUP2wFQjIS3onwC3UoB&#10;ygJxwrADoxbyJ0Y9DI4Uqx97IilGzUcO2jdTZjLkZGwng/ACrqZYYzSaaz1Oo30n2a4G5PF1cXEL&#10;76NiVr1nFsdXBcPAJnEcXGbavPy3XufxuvoNAAD//wMAUEsDBBQABgAIAAAAIQBUcH1W3wAAAAsB&#10;AAAPAAAAZHJzL2Rvd25yZXYueG1sTI/BTsMwEETvSPyDtUjcqJ0eTBviVBWCE1JFmh44OrGbWI3X&#10;IXbb9O9ZTnDcmafZmWIz+4Fd7BRdQAXZQgCz2AbjsFNwqN+fVsBi0mj0ENAquNkIm/L+rtC5CVes&#10;7GWfOkYhGHOtoE9pzDmPbW+9joswWiTvGCavE51Tx82krxTuB74UQnKvHdKHXo/2tbftaX/2CrZf&#10;WL25713zWR0rV9drgR/ypNTjw7x9AZbsnP5g+K1P1aGkTk04o4lsUCCFfCaUDLFaAyNCZhmNaUhZ&#10;igx4WfD/G8ofAAAA//8DAFBLAQItABQABgAIAAAAIQC2gziS/gAAAOEBAAATAAAAAAAAAAAAAAAA&#10;AAAAAABbQ29udGVudF9UeXBlc10ueG1sUEsBAi0AFAAGAAgAAAAhADj9If/WAAAAlAEAAAsAAAAA&#10;AAAAAAAAAAAALwEAAF9yZWxzLy5yZWxzUEsBAi0AFAAGAAgAAAAhAHJwm9etAgAApgUAAA4AAAAA&#10;AAAAAAAAAAAALgIAAGRycy9lMm9Eb2MueG1sUEsBAi0AFAAGAAgAAAAhAFRwfVbfAAAACwEAAA8A&#10;AAAAAAAAAAAAAAAABwUAAGRycy9kb3ducmV2LnhtbFBLBQYAAAAABAAEAPMAAAATBgAAAAA=&#10;" filled="f" stroked="f">
                <v:textbox inset="0,0,0,0">
                  <w:txbxContent>
                    <w:p w14:paraId="3EE1CA25" w14:textId="77777777" w:rsidR="0073749B" w:rsidRDefault="009F5BA0" w:rsidP="0073749B">
                      <w:pPr>
                        <w:spacing w:line="111" w:lineRule="exact"/>
                        <w:rPr>
                          <w:sz w:val="10"/>
                        </w:rPr>
                      </w:pPr>
                      <w:hyperlink w:anchor="_bookmark0" w:history="1">
                        <w:r w:rsidR="0073749B">
                          <w:rPr>
                            <w:sz w:val="10"/>
                          </w:rPr>
                          <w:t>1</w:t>
                        </w:r>
                      </w:hyperlink>
                    </w:p>
                  </w:txbxContent>
                </v:textbox>
                <w10:wrap anchorx="page"/>
              </v:shape>
            </w:pict>
          </mc:Fallback>
        </mc:AlternateContent>
      </w:r>
      <w:r>
        <w:rPr>
          <w:spacing w:val="-6"/>
        </w:rPr>
        <w:t xml:space="preserve">In </w:t>
      </w:r>
      <w:r>
        <w:t xml:space="preserve">addition to the CAB, the Bureau </w:t>
      </w:r>
      <w:r w:rsidR="00EC5430">
        <w:t>established three</w:t>
      </w:r>
      <w:r>
        <w:t xml:space="preserve"> additional advisory </w:t>
      </w:r>
      <w:r w:rsidR="00715B36">
        <w:t xml:space="preserve">committees: </w:t>
      </w:r>
      <w:r w:rsidR="006D70FB">
        <w:t>The</w:t>
      </w:r>
      <w:r w:rsidR="00715B36">
        <w:t xml:space="preserve"> Academic Research Council (ARC), the Community Bank Advisory Council (CBAC) and the Credit Union Advisory Council (CUAC). The Bureau may also establish</w:t>
      </w:r>
      <w:r w:rsidR="00052780">
        <w:t xml:space="preserve"> additional</w:t>
      </w:r>
      <w:r>
        <w:t xml:space="preserve"> bodies, panels, groups, </w:t>
      </w:r>
      <w:r w:rsidR="00052780">
        <w:t>sub-</w:t>
      </w:r>
      <w:r>
        <w:t>committees, or other similar groups (collectively</w:t>
      </w:r>
      <w:r>
        <w:rPr>
          <w:spacing w:val="-7"/>
        </w:rPr>
        <w:t xml:space="preserve"> </w:t>
      </w:r>
      <w:r>
        <w:t>referred</w:t>
      </w:r>
      <w:r>
        <w:rPr>
          <w:spacing w:val="-2"/>
        </w:rPr>
        <w:t xml:space="preserve"> </w:t>
      </w:r>
      <w:r>
        <w:t>to</w:t>
      </w:r>
      <w:r>
        <w:rPr>
          <w:spacing w:val="-2"/>
        </w:rPr>
        <w:t xml:space="preserve"> </w:t>
      </w:r>
      <w:r>
        <w:t>as</w:t>
      </w:r>
      <w:r>
        <w:rPr>
          <w:spacing w:val="-2"/>
        </w:rPr>
        <w:t xml:space="preserve"> </w:t>
      </w:r>
      <w:r>
        <w:t>“other</w:t>
      </w:r>
      <w:r>
        <w:rPr>
          <w:spacing w:val="-3"/>
        </w:rPr>
        <w:t xml:space="preserve"> </w:t>
      </w:r>
      <w:r>
        <w:t>Advisory</w:t>
      </w:r>
      <w:r>
        <w:rPr>
          <w:spacing w:val="-14"/>
        </w:rPr>
        <w:t xml:space="preserve"> </w:t>
      </w:r>
      <w:r w:rsidR="00715B36">
        <w:t>Committees</w:t>
      </w:r>
      <w:r>
        <w:t>”)</w:t>
      </w:r>
      <w:r>
        <w:rPr>
          <w:spacing w:val="-3"/>
        </w:rPr>
        <w:t xml:space="preserve"> </w:t>
      </w:r>
      <w:r>
        <w:t>to</w:t>
      </w:r>
      <w:r>
        <w:rPr>
          <w:spacing w:val="-2"/>
        </w:rPr>
        <w:t xml:space="preserve"> </w:t>
      </w:r>
      <w:r>
        <w:t>advise</w:t>
      </w:r>
      <w:r>
        <w:rPr>
          <w:spacing w:val="-3"/>
        </w:rPr>
        <w:t xml:space="preserve"> </w:t>
      </w:r>
      <w:r>
        <w:t>and</w:t>
      </w:r>
      <w:r>
        <w:rPr>
          <w:spacing w:val="-2"/>
        </w:rPr>
        <w:t xml:space="preserve"> </w:t>
      </w:r>
      <w:r>
        <w:t>consult</w:t>
      </w:r>
      <w:r>
        <w:rPr>
          <w:spacing w:val="-2"/>
        </w:rPr>
        <w:t xml:space="preserve"> </w:t>
      </w:r>
      <w:r>
        <w:t>with</w:t>
      </w:r>
      <w:r>
        <w:rPr>
          <w:spacing w:val="-2"/>
        </w:rPr>
        <w:t xml:space="preserve"> </w:t>
      </w:r>
      <w:r>
        <w:t>the</w:t>
      </w:r>
      <w:r>
        <w:rPr>
          <w:spacing w:val="-3"/>
        </w:rPr>
        <w:t xml:space="preserve"> </w:t>
      </w:r>
      <w:r>
        <w:t>Bureau</w:t>
      </w:r>
      <w:r>
        <w:rPr>
          <w:spacing w:val="-2"/>
        </w:rPr>
        <w:t xml:space="preserve"> </w:t>
      </w:r>
      <w:r>
        <w:t>in the exercise of</w:t>
      </w:r>
      <w:r>
        <w:rPr>
          <w:spacing w:val="-6"/>
        </w:rPr>
        <w:t xml:space="preserve"> </w:t>
      </w:r>
      <w:r>
        <w:t>its</w:t>
      </w:r>
      <w:r>
        <w:rPr>
          <w:spacing w:val="-1"/>
        </w:rPr>
        <w:t xml:space="preserve"> </w:t>
      </w:r>
      <w:r w:rsidR="00E34007">
        <w:t xml:space="preserve">functions.  </w:t>
      </w:r>
      <w:r w:rsidR="00D86652">
        <w:t xml:space="preserve">The ARC, CBAC and </w:t>
      </w:r>
      <w:r w:rsidR="00403EBA">
        <w:t>CUAC are</w:t>
      </w:r>
      <w:r>
        <w:t xml:space="preserve"> discretionary</w:t>
      </w:r>
      <w:r w:rsidR="00D86652">
        <w:t xml:space="preserve"> advisory committees. </w:t>
      </w:r>
      <w:r w:rsidR="00E34007">
        <w:t xml:space="preserve"> </w:t>
      </w:r>
      <w:r w:rsidR="00D86652">
        <w:t xml:space="preserve">All of the advisory committees </w:t>
      </w:r>
      <w:r w:rsidR="00592329">
        <w:t>have been governed</w:t>
      </w:r>
      <w:r w:rsidR="00D86652">
        <w:t xml:space="preserve"> by the Federal Advisory Committee Act (FACA)</w:t>
      </w:r>
      <w:r w:rsidR="00592329">
        <w:t xml:space="preserve"> </w:t>
      </w:r>
      <w:r w:rsidR="009107D7">
        <w:t xml:space="preserve"> </w:t>
      </w:r>
      <w:r w:rsidR="00742BB7">
        <w:t>as required by</w:t>
      </w:r>
      <w:r w:rsidR="009107D7">
        <w:t xml:space="preserve"> the Consolidated Appropriations Act, 2016, Pub.L. 114-113 (Dec. 18, 2015) (“Omnibus bill”) </w:t>
      </w:r>
      <w:r w:rsidR="009107D7">
        <w:rPr>
          <w:color w:val="231F20"/>
        </w:rPr>
        <w:t>amended the Consumer Financial Protection Act (CFPA) to clarify the applicability of the Federal Advisory Committee Act, 5 U.S.C. App. (FACA) to the Bureau</w:t>
      </w:r>
      <w:r w:rsidR="009107D7">
        <w:t xml:space="preserve">. FACA established </w:t>
      </w:r>
      <w:r w:rsidR="00D86652">
        <w:t xml:space="preserve">charters and </w:t>
      </w:r>
      <w:r w:rsidR="00742BB7">
        <w:t xml:space="preserve">advisory committee </w:t>
      </w:r>
      <w:r w:rsidR="00052780">
        <w:t xml:space="preserve">members are </w:t>
      </w:r>
      <w:r w:rsidR="00D86652">
        <w:t xml:space="preserve">appointed by the Bureau’s Director. </w:t>
      </w:r>
    </w:p>
    <w:p w14:paraId="5779C319" w14:textId="77777777" w:rsidR="0073749B" w:rsidRDefault="0073749B" w:rsidP="0073749B">
      <w:pPr>
        <w:pStyle w:val="BodyText"/>
        <w:spacing w:before="11"/>
        <w:rPr>
          <w:sz w:val="25"/>
        </w:rPr>
      </w:pPr>
    </w:p>
    <w:p w14:paraId="77C526F3" w14:textId="26BEBA05" w:rsidR="00E34007" w:rsidRDefault="0073749B" w:rsidP="00E34007">
      <w:pPr>
        <w:pStyle w:val="BodyText"/>
        <w:tabs>
          <w:tab w:val="left" w:pos="8329"/>
        </w:tabs>
        <w:spacing w:line="244" w:lineRule="auto"/>
        <w:ind w:right="345"/>
      </w:pPr>
      <w:r>
        <w:t>The</w:t>
      </w:r>
      <w:r>
        <w:rPr>
          <w:spacing w:val="-5"/>
        </w:rPr>
        <w:t xml:space="preserve"> </w:t>
      </w:r>
      <w:r>
        <w:t>Bureau</w:t>
      </w:r>
      <w:r>
        <w:rPr>
          <w:spacing w:val="-4"/>
        </w:rPr>
        <w:t xml:space="preserve"> </w:t>
      </w:r>
      <w:r>
        <w:t>seeks</w:t>
      </w:r>
      <w:r>
        <w:rPr>
          <w:spacing w:val="-4"/>
        </w:rPr>
        <w:t xml:space="preserve"> </w:t>
      </w:r>
      <w:r>
        <w:t>a</w:t>
      </w:r>
      <w:r>
        <w:rPr>
          <w:spacing w:val="-5"/>
        </w:rPr>
        <w:t xml:space="preserve"> </w:t>
      </w:r>
      <w:r>
        <w:t>standard</w:t>
      </w:r>
      <w:r>
        <w:rPr>
          <w:spacing w:val="-4"/>
        </w:rPr>
        <w:t xml:space="preserve"> </w:t>
      </w:r>
      <w:r>
        <w:t>clearance</w:t>
      </w:r>
      <w:r>
        <w:rPr>
          <w:spacing w:val="-5"/>
        </w:rPr>
        <w:t xml:space="preserve"> </w:t>
      </w:r>
      <w:r>
        <w:t>from</w:t>
      </w:r>
      <w:r>
        <w:rPr>
          <w:spacing w:val="-4"/>
        </w:rPr>
        <w:t xml:space="preserve"> </w:t>
      </w:r>
      <w:r>
        <w:t>OMB</w:t>
      </w:r>
      <w:r>
        <w:rPr>
          <w:spacing w:val="-6"/>
        </w:rPr>
        <w:t xml:space="preserve"> </w:t>
      </w:r>
      <w:r>
        <w:t>to</w:t>
      </w:r>
      <w:r>
        <w:rPr>
          <w:spacing w:val="-4"/>
        </w:rPr>
        <w:t xml:space="preserve"> </w:t>
      </w:r>
      <w:r>
        <w:t>collect</w:t>
      </w:r>
      <w:r>
        <w:rPr>
          <w:spacing w:val="-4"/>
        </w:rPr>
        <w:t xml:space="preserve"> </w:t>
      </w:r>
      <w:r>
        <w:t>selection-related</w:t>
      </w:r>
      <w:r>
        <w:rPr>
          <w:spacing w:val="-4"/>
        </w:rPr>
        <w:t xml:space="preserve"> </w:t>
      </w:r>
      <w:r>
        <w:t>information</w:t>
      </w:r>
      <w:r>
        <w:rPr>
          <w:spacing w:val="-4"/>
        </w:rPr>
        <w:t xml:space="preserve"> </w:t>
      </w:r>
      <w:r>
        <w:t xml:space="preserve">from nominees to the </w:t>
      </w:r>
      <w:r w:rsidR="00052780">
        <w:t>advisory committees</w:t>
      </w:r>
      <w:r>
        <w:t>, such as background information, information related to financial holdings, and other supplemental information relevant to the</w:t>
      </w:r>
      <w:r>
        <w:rPr>
          <w:spacing w:val="-17"/>
        </w:rPr>
        <w:t xml:space="preserve"> </w:t>
      </w:r>
      <w:r>
        <w:t>application</w:t>
      </w:r>
      <w:r>
        <w:rPr>
          <w:spacing w:val="-2"/>
        </w:rPr>
        <w:t xml:space="preserve"> </w:t>
      </w:r>
      <w:r>
        <w:t>process.</w:t>
      </w:r>
      <w:r w:rsidR="00052780">
        <w:br/>
      </w:r>
      <w:r>
        <w:tab/>
      </w:r>
    </w:p>
    <w:p w14:paraId="61742D17" w14:textId="36EE3DAE" w:rsidR="0073749B" w:rsidRDefault="0073749B" w:rsidP="00E34007">
      <w:pPr>
        <w:pStyle w:val="BodyText"/>
        <w:tabs>
          <w:tab w:val="left" w:pos="8329"/>
        </w:tabs>
        <w:spacing w:line="244" w:lineRule="auto"/>
        <w:ind w:right="345"/>
      </w:pPr>
      <w:r>
        <w:t>The</w:t>
      </w:r>
      <w:r>
        <w:rPr>
          <w:spacing w:val="-9"/>
        </w:rPr>
        <w:t xml:space="preserve"> </w:t>
      </w:r>
      <w:r>
        <w:t>Bureau may</w:t>
      </w:r>
      <w:r>
        <w:rPr>
          <w:spacing w:val="-14"/>
        </w:rPr>
        <w:t xml:space="preserve"> </w:t>
      </w:r>
      <w:r>
        <w:t>collect</w:t>
      </w:r>
      <w:r>
        <w:rPr>
          <w:spacing w:val="-2"/>
        </w:rPr>
        <w:t xml:space="preserve"> </w:t>
      </w:r>
      <w:r>
        <w:t>similar</w:t>
      </w:r>
      <w:r>
        <w:rPr>
          <w:spacing w:val="-3"/>
        </w:rPr>
        <w:t xml:space="preserve"> </w:t>
      </w:r>
      <w:r>
        <w:t>information</w:t>
      </w:r>
      <w:r>
        <w:rPr>
          <w:spacing w:val="-2"/>
        </w:rPr>
        <w:t xml:space="preserve"> </w:t>
      </w:r>
      <w:r>
        <w:t>from</w:t>
      </w:r>
      <w:r>
        <w:rPr>
          <w:spacing w:val="-2"/>
        </w:rPr>
        <w:t xml:space="preserve"> </w:t>
      </w:r>
      <w:r>
        <w:t>potential</w:t>
      </w:r>
      <w:r>
        <w:rPr>
          <w:spacing w:val="-2"/>
        </w:rPr>
        <w:t xml:space="preserve"> </w:t>
      </w:r>
      <w:r>
        <w:t>candidates</w:t>
      </w:r>
      <w:r>
        <w:rPr>
          <w:spacing w:val="-2"/>
        </w:rPr>
        <w:t xml:space="preserve"> </w:t>
      </w:r>
      <w:r>
        <w:t>for</w:t>
      </w:r>
      <w:r>
        <w:rPr>
          <w:spacing w:val="-3"/>
        </w:rPr>
        <w:t xml:space="preserve"> </w:t>
      </w:r>
      <w:r>
        <w:t>other</w:t>
      </w:r>
      <w:r>
        <w:rPr>
          <w:spacing w:val="-3"/>
        </w:rPr>
        <w:t xml:space="preserve"> </w:t>
      </w:r>
      <w:r>
        <w:t>Advisory</w:t>
      </w:r>
      <w:r>
        <w:rPr>
          <w:spacing w:val="-14"/>
        </w:rPr>
        <w:t xml:space="preserve"> </w:t>
      </w:r>
      <w:r w:rsidR="00052780">
        <w:t>Committees</w:t>
      </w:r>
      <w:r w:rsidR="00F678E2">
        <w:t xml:space="preserve"> as necessary to fulfill the Bureau’s functions under the Dodd-Frank Act.</w:t>
      </w:r>
      <w:r>
        <w:t xml:space="preserve"> </w:t>
      </w:r>
    </w:p>
    <w:p w14:paraId="40F2AC17" w14:textId="77777777" w:rsidR="0073749B" w:rsidRDefault="0073749B" w:rsidP="0073749B">
      <w:pPr>
        <w:pStyle w:val="BodyText"/>
        <w:spacing w:before="7"/>
        <w:rPr>
          <w:sz w:val="25"/>
        </w:rPr>
      </w:pPr>
    </w:p>
    <w:p w14:paraId="38C0B4F0" w14:textId="45EDC89A" w:rsidR="0073749B" w:rsidRDefault="0073749B" w:rsidP="00E34007">
      <w:pPr>
        <w:pStyle w:val="BodyText"/>
        <w:spacing w:line="244" w:lineRule="auto"/>
        <w:ind w:right="735"/>
      </w:pPr>
      <w:r>
        <w:t xml:space="preserve">Once selected, Bureau staff may ask members of the </w:t>
      </w:r>
      <w:r w:rsidR="00C32E8B">
        <w:t>advisory committees</w:t>
      </w:r>
      <w:r>
        <w:t xml:space="preserve">, as part of their participation, to respond to questions, or to provide information/advice based upon their expertise on issues before the </w:t>
      </w:r>
      <w:r w:rsidR="00C32E8B">
        <w:t>advisory committees</w:t>
      </w:r>
      <w:r>
        <w:t xml:space="preserve"> that are relat</w:t>
      </w:r>
      <w:r w:rsidR="00744263">
        <w:t>ed to the Bureau’s mission.</w:t>
      </w:r>
    </w:p>
    <w:p w14:paraId="53EA3912" w14:textId="77777777" w:rsidR="0073749B" w:rsidRDefault="0073749B" w:rsidP="0073749B">
      <w:pPr>
        <w:pStyle w:val="BodyText"/>
        <w:rPr>
          <w:sz w:val="25"/>
        </w:rPr>
      </w:pPr>
    </w:p>
    <w:p w14:paraId="5B9C583B" w14:textId="033BDACC" w:rsidR="0073749B" w:rsidRDefault="0073749B" w:rsidP="00E34007">
      <w:pPr>
        <w:pStyle w:val="BodyText"/>
        <w:tabs>
          <w:tab w:val="left" w:pos="2888"/>
        </w:tabs>
        <w:spacing w:line="244" w:lineRule="auto"/>
        <w:ind w:right="643"/>
      </w:pPr>
      <w:r>
        <w:t xml:space="preserve">Collection instruments for the </w:t>
      </w:r>
      <w:r w:rsidR="00C32E8B">
        <w:t xml:space="preserve">advisory </w:t>
      </w:r>
      <w:r w:rsidR="004E4EAD">
        <w:t>committees include</w:t>
      </w:r>
      <w:r>
        <w:t xml:space="preserve"> an application form</w:t>
      </w:r>
      <w:r w:rsidR="004E4EAD">
        <w:t xml:space="preserve"> to serve in an advisory committee</w:t>
      </w:r>
      <w:r w:rsidR="00340968">
        <w:t xml:space="preserve">, </w:t>
      </w:r>
      <w:r w:rsidR="004E4EAD">
        <w:t xml:space="preserve">application to serve as a small entity representative, </w:t>
      </w:r>
      <w:r w:rsidR="00340968">
        <w:t>a financial disclosure form</w:t>
      </w:r>
      <w:r>
        <w:t xml:space="preserve"> with q</w:t>
      </w:r>
      <w:r w:rsidR="00DD3BF5">
        <w:t>uestions about assets,</w:t>
      </w:r>
      <w:r>
        <w:t xml:space="preserve"> affiliations</w:t>
      </w:r>
      <w:r w:rsidR="00DD3BF5">
        <w:t xml:space="preserve">, </w:t>
      </w:r>
      <w:r>
        <w:t>representations, financial interests and liabilities, and relevant professional</w:t>
      </w:r>
      <w:r>
        <w:rPr>
          <w:spacing w:val="-2"/>
        </w:rPr>
        <w:t xml:space="preserve"> </w:t>
      </w:r>
      <w:r w:rsidR="00DD3BF5">
        <w:t xml:space="preserve">experience.  </w:t>
      </w:r>
      <w:r w:rsidR="00744263">
        <w:t>Collection</w:t>
      </w:r>
      <w:r>
        <w:t xml:space="preserve"> instruments for other </w:t>
      </w:r>
      <w:r w:rsidR="00C32E8B">
        <w:t xml:space="preserve">advisory </w:t>
      </w:r>
      <w:r w:rsidR="0018062C">
        <w:t xml:space="preserve">committees also include </w:t>
      </w:r>
      <w:r>
        <w:t xml:space="preserve">questions about professional experience </w:t>
      </w:r>
      <w:r w:rsidR="0018062C">
        <w:t>relevant to the particular advisory committee</w:t>
      </w:r>
      <w:r>
        <w:t xml:space="preserve"> and/or</w:t>
      </w:r>
      <w:r>
        <w:rPr>
          <w:spacing w:val="-32"/>
        </w:rPr>
        <w:t xml:space="preserve"> </w:t>
      </w:r>
      <w:r>
        <w:t>certifications regarding financial interests relevant to a particul</w:t>
      </w:r>
      <w:r w:rsidR="0018062C">
        <w:t>ar external group or a particular financial interest.</w:t>
      </w:r>
      <w:r w:rsidR="00340968">
        <w:t xml:space="preserve"> </w:t>
      </w:r>
      <w:r w:rsidR="004E4EAD">
        <w:t>O</w:t>
      </w:r>
      <w:r w:rsidR="00B66CB8">
        <w:t>t</w:t>
      </w:r>
      <w:r w:rsidR="004E4EAD">
        <w:t xml:space="preserve">her collection instruments include: </w:t>
      </w:r>
      <w:r w:rsidR="00340968">
        <w:t>FBI background check form used for vetting applicants, a Travel Information form to process applicant’s travel vouchers</w:t>
      </w:r>
      <w:r w:rsidR="00530CC7">
        <w:t>.</w:t>
      </w:r>
      <w:r w:rsidR="004E4EAD">
        <w:t xml:space="preserve"> </w:t>
      </w:r>
    </w:p>
    <w:p w14:paraId="17F1B078" w14:textId="59525691" w:rsidR="0073749B" w:rsidRDefault="0073749B" w:rsidP="0073749B">
      <w:pPr>
        <w:pStyle w:val="BodyText"/>
        <w:spacing w:before="9"/>
        <w:rPr>
          <w:sz w:val="16"/>
        </w:rPr>
      </w:pPr>
    </w:p>
    <w:p w14:paraId="23744D6F" w14:textId="77777777" w:rsidR="0073749B" w:rsidRDefault="0073749B" w:rsidP="0073749B">
      <w:pPr>
        <w:pStyle w:val="BodyText"/>
        <w:spacing w:before="2"/>
      </w:pPr>
      <w:bookmarkStart w:id="1" w:name="_bookmark0"/>
      <w:bookmarkEnd w:id="1"/>
    </w:p>
    <w:p w14:paraId="3FCB6E45" w14:textId="77777777" w:rsidR="0073749B" w:rsidRDefault="0073749B" w:rsidP="004D7AB2">
      <w:pPr>
        <w:pStyle w:val="BodyText"/>
        <w:spacing w:line="244" w:lineRule="auto"/>
        <w:ind w:right="494"/>
      </w:pPr>
      <w:r>
        <w:t>Collection instruments also include certifications, travel order forms and travel reimbursement forms.</w:t>
      </w:r>
    </w:p>
    <w:p w14:paraId="7A5229D3" w14:textId="77777777" w:rsidR="0073749B" w:rsidRDefault="0073749B" w:rsidP="0073749B">
      <w:pPr>
        <w:spacing w:before="1" w:after="0" w:line="280" w:lineRule="exact"/>
        <w:rPr>
          <w:sz w:val="28"/>
          <w:szCs w:val="28"/>
        </w:rPr>
      </w:pPr>
    </w:p>
    <w:p w14:paraId="3D1B7EE9" w14:textId="77777777" w:rsidR="0073749B" w:rsidRDefault="0073749B" w:rsidP="0073749B">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2. </w:t>
      </w:r>
      <w:r>
        <w:rPr>
          <w:rFonts w:ascii="Times New Roman" w:eastAsia="Times New Roman" w:hAnsi="Times New Roman" w:cs="Times New Roman"/>
          <w:b/>
          <w:bCs/>
          <w:position w:val="-1"/>
          <w:sz w:val="24"/>
          <w:szCs w:val="24"/>
          <w:u w:val="thick" w:color="000000"/>
        </w:rPr>
        <w:t>Use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h</w:t>
      </w:r>
      <w:r>
        <w:rPr>
          <w:rFonts w:ascii="Times New Roman" w:eastAsia="Times New Roman" w:hAnsi="Times New Roman" w:cs="Times New Roman"/>
          <w:b/>
          <w:bCs/>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nf</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3"/>
          <w:position w:val="-1"/>
          <w:sz w:val="24"/>
          <w:szCs w:val="24"/>
          <w:u w:val="thick" w:color="000000"/>
        </w:rPr>
        <w:t>o</w:t>
      </w:r>
      <w:r>
        <w:rPr>
          <w:rFonts w:ascii="Times New Roman" w:eastAsia="Times New Roman" w:hAnsi="Times New Roman" w:cs="Times New Roman"/>
          <w:b/>
          <w:bCs/>
          <w:position w:val="-1"/>
          <w:sz w:val="24"/>
          <w:szCs w:val="24"/>
          <w:u w:val="thick" w:color="000000"/>
        </w:rPr>
        <w:t>n</w:t>
      </w:r>
    </w:p>
    <w:p w14:paraId="62E082D7" w14:textId="77777777" w:rsidR="0073749B" w:rsidRDefault="0073749B" w:rsidP="0073749B">
      <w:pPr>
        <w:spacing w:before="7" w:after="0" w:line="240" w:lineRule="exact"/>
        <w:rPr>
          <w:sz w:val="24"/>
          <w:szCs w:val="24"/>
        </w:rPr>
      </w:pPr>
    </w:p>
    <w:p w14:paraId="5A0855E9" w14:textId="3634CB84" w:rsidR="0073749B" w:rsidRDefault="0073749B" w:rsidP="004D7AB2">
      <w:pPr>
        <w:pStyle w:val="BodyText"/>
        <w:tabs>
          <w:tab w:val="left" w:pos="2276"/>
          <w:tab w:val="left" w:pos="4100"/>
          <w:tab w:val="left" w:pos="5996"/>
          <w:tab w:val="left" w:pos="8958"/>
        </w:tabs>
        <w:spacing w:before="90" w:line="247" w:lineRule="auto"/>
        <w:ind w:right="466"/>
      </w:pPr>
      <w:r>
        <w:lastRenderedPageBreak/>
        <w:t xml:space="preserve">The selection-related information will allow the Bureau to obtain information on the qualifications of individuals nominated to the </w:t>
      </w:r>
      <w:r w:rsidR="003A4E2C">
        <w:t xml:space="preserve">advisory committees </w:t>
      </w:r>
      <w:r>
        <w:t>and will aid the Bureau in selecting members for other</w:t>
      </w:r>
      <w:r>
        <w:rPr>
          <w:spacing w:val="-6"/>
        </w:rPr>
        <w:t xml:space="preserve"> </w:t>
      </w:r>
      <w:r>
        <w:t>Advisory</w:t>
      </w:r>
      <w:r>
        <w:rPr>
          <w:spacing w:val="-13"/>
        </w:rPr>
        <w:t xml:space="preserve"> </w:t>
      </w:r>
      <w:r w:rsidR="00B82B2A">
        <w:t>Committees</w:t>
      </w:r>
      <w:r w:rsidR="008D5416">
        <w:t xml:space="preserve">. </w:t>
      </w:r>
      <w:r>
        <w:t>The selection-related information will also aid the Bureau in determining the appropriateness of participation in</w:t>
      </w:r>
      <w:r>
        <w:rPr>
          <w:spacing w:val="-13"/>
        </w:rPr>
        <w:t xml:space="preserve"> </w:t>
      </w:r>
      <w:r>
        <w:t>particular</w:t>
      </w:r>
      <w:r>
        <w:rPr>
          <w:spacing w:val="-4"/>
        </w:rPr>
        <w:t xml:space="preserve"> </w:t>
      </w:r>
      <w:r w:rsidR="008D5416">
        <w:t xml:space="preserve">matters.  </w:t>
      </w:r>
      <w:r w:rsidR="00CE4E6E">
        <w:t>The information collected</w:t>
      </w:r>
      <w:r>
        <w:t xml:space="preserve"> from members will aid the Bureau in the exercise of</w:t>
      </w:r>
      <w:r>
        <w:rPr>
          <w:spacing w:val="-25"/>
        </w:rPr>
        <w:t xml:space="preserve"> </w:t>
      </w:r>
      <w:r>
        <w:t>its</w:t>
      </w:r>
      <w:r>
        <w:rPr>
          <w:spacing w:val="-2"/>
        </w:rPr>
        <w:t xml:space="preserve"> </w:t>
      </w:r>
      <w:r w:rsidR="008D5416">
        <w:t xml:space="preserve">functions.  </w:t>
      </w:r>
      <w:r>
        <w:t>. Information collected will be used to issue travel orders or provide reimbursement for travel expenses, as</w:t>
      </w:r>
      <w:r>
        <w:rPr>
          <w:spacing w:val="-1"/>
        </w:rPr>
        <w:t xml:space="preserve"> </w:t>
      </w:r>
      <w:r>
        <w:t>applicable.</w:t>
      </w:r>
    </w:p>
    <w:p w14:paraId="0CD4A364" w14:textId="77777777" w:rsidR="0073749B" w:rsidRDefault="0073749B" w:rsidP="0073749B">
      <w:pPr>
        <w:tabs>
          <w:tab w:val="left" w:pos="820"/>
        </w:tabs>
        <w:spacing w:before="3" w:after="0" w:line="238" w:lineRule="auto"/>
        <w:ind w:right="72"/>
        <w:rPr>
          <w:rFonts w:ascii="Times New Roman" w:eastAsia="Times New Roman" w:hAnsi="Times New Roman" w:cs="Times New Roman"/>
          <w:sz w:val="24"/>
          <w:szCs w:val="24"/>
        </w:rPr>
      </w:pPr>
    </w:p>
    <w:p w14:paraId="548CDB57" w14:textId="77777777" w:rsidR="0073749B" w:rsidRDefault="0073749B" w:rsidP="0073749B">
      <w:pPr>
        <w:spacing w:before="76"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3. </w:t>
      </w:r>
      <w:r>
        <w:rPr>
          <w:rFonts w:ascii="Times New Roman" w:eastAsia="Times New Roman" w:hAnsi="Times New Roman" w:cs="Times New Roman"/>
          <w:b/>
          <w:bCs/>
          <w:position w:val="-1"/>
          <w:sz w:val="24"/>
          <w:szCs w:val="24"/>
          <w:u w:val="thick" w:color="000000"/>
        </w:rPr>
        <w:t>Use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nf</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ec</w:t>
      </w:r>
      <w:r>
        <w:rPr>
          <w:rFonts w:ascii="Times New Roman" w:eastAsia="Times New Roman" w:hAnsi="Times New Roman" w:cs="Times New Roman"/>
          <w:b/>
          <w:bCs/>
          <w:spacing w:val="1"/>
          <w:position w:val="-1"/>
          <w:sz w:val="24"/>
          <w:szCs w:val="24"/>
          <w:u w:val="thick" w:color="000000"/>
        </w:rPr>
        <w:t>hn</w:t>
      </w:r>
      <w:r>
        <w:rPr>
          <w:rFonts w:ascii="Times New Roman" w:eastAsia="Times New Roman" w:hAnsi="Times New Roman" w:cs="Times New Roman"/>
          <w:b/>
          <w:bCs/>
          <w:position w:val="-1"/>
          <w:sz w:val="24"/>
          <w:szCs w:val="24"/>
          <w:u w:val="thick" w:color="000000"/>
        </w:rPr>
        <w:t>ology</w:t>
      </w:r>
    </w:p>
    <w:p w14:paraId="3AC7724C" w14:textId="77777777" w:rsidR="0073749B" w:rsidRDefault="0073749B" w:rsidP="0073749B">
      <w:pPr>
        <w:spacing w:before="8" w:after="0" w:line="240" w:lineRule="exact"/>
        <w:rPr>
          <w:sz w:val="24"/>
          <w:szCs w:val="24"/>
        </w:rPr>
      </w:pPr>
    </w:p>
    <w:p w14:paraId="10789159" w14:textId="5E928B2B" w:rsidR="00CA100D" w:rsidRDefault="00CA100D" w:rsidP="004D7AB2">
      <w:pPr>
        <w:pStyle w:val="BodyText"/>
        <w:tabs>
          <w:tab w:val="left" w:pos="6704"/>
        </w:tabs>
        <w:spacing w:before="90" w:line="244" w:lineRule="auto"/>
        <w:ind w:right="1275"/>
      </w:pPr>
      <w:r>
        <w:t>Selection-rela</w:t>
      </w:r>
      <w:r w:rsidR="00CE4E6E">
        <w:t>ted materials and advisory committee</w:t>
      </w:r>
      <w:r>
        <w:t xml:space="preserve"> </w:t>
      </w:r>
      <w:r w:rsidR="00985EB6">
        <w:t xml:space="preserve">materials </w:t>
      </w:r>
      <w:r w:rsidR="00425026">
        <w:t>are collected online only through the Bureau’s portal for such applications, unless an applicant request an accommodation for a disability that would render using the portal impractical.</w:t>
      </w:r>
    </w:p>
    <w:p w14:paraId="7C6CBE99" w14:textId="77777777" w:rsidR="0073749B" w:rsidRDefault="0073749B" w:rsidP="0073749B">
      <w:pPr>
        <w:spacing w:before="1" w:after="0" w:line="280" w:lineRule="exact"/>
        <w:rPr>
          <w:sz w:val="28"/>
          <w:szCs w:val="28"/>
        </w:rPr>
      </w:pPr>
    </w:p>
    <w:p w14:paraId="72D8E76B" w14:textId="77777777" w:rsidR="0073749B" w:rsidRDefault="0073749B" w:rsidP="0073749B">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4. </w:t>
      </w:r>
      <w:r>
        <w:rPr>
          <w:rFonts w:ascii="Times New Roman" w:eastAsia="Times New Roman" w:hAnsi="Times New Roman" w:cs="Times New Roman"/>
          <w:b/>
          <w:bCs/>
          <w:position w:val="-1"/>
          <w:sz w:val="24"/>
          <w:szCs w:val="24"/>
          <w:u w:val="thick" w:color="000000"/>
        </w:rPr>
        <w:t>Ef</w:t>
      </w:r>
      <w:r>
        <w:rPr>
          <w:rFonts w:ascii="Times New Roman" w:eastAsia="Times New Roman" w:hAnsi="Times New Roman" w:cs="Times New Roman"/>
          <w:b/>
          <w:bCs/>
          <w:spacing w:val="1"/>
          <w:position w:val="-1"/>
          <w:sz w:val="24"/>
          <w:szCs w:val="24"/>
          <w:u w:val="thick" w:color="000000"/>
        </w:rPr>
        <w:t>f</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 xml:space="preserve">ts </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o I</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ti</w:t>
      </w:r>
      <w:r>
        <w:rPr>
          <w:rFonts w:ascii="Times New Roman" w:eastAsia="Times New Roman" w:hAnsi="Times New Roman" w:cs="Times New Roman"/>
          <w:b/>
          <w:bCs/>
          <w:spacing w:val="1"/>
          <w:position w:val="-1"/>
          <w:sz w:val="24"/>
          <w:szCs w:val="24"/>
          <w:u w:val="thick" w:color="000000"/>
        </w:rPr>
        <w:t>f</w:t>
      </w:r>
      <w:r>
        <w:rPr>
          <w:rFonts w:ascii="Times New Roman" w:eastAsia="Times New Roman" w:hAnsi="Times New Roman" w:cs="Times New Roman"/>
          <w:b/>
          <w:bCs/>
          <w:position w:val="-1"/>
          <w:sz w:val="24"/>
          <w:szCs w:val="24"/>
          <w:u w:val="thick" w:color="000000"/>
        </w:rPr>
        <w:t xml:space="preserve">y </w:t>
      </w:r>
      <w:r>
        <w:rPr>
          <w:rFonts w:ascii="Times New Roman" w:eastAsia="Times New Roman" w:hAnsi="Times New Roman" w:cs="Times New Roman"/>
          <w:b/>
          <w:bCs/>
          <w:spacing w:val="-3"/>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up</w:t>
      </w:r>
      <w:r>
        <w:rPr>
          <w:rFonts w:ascii="Times New Roman" w:eastAsia="Times New Roman" w:hAnsi="Times New Roman" w:cs="Times New Roman"/>
          <w:b/>
          <w:bCs/>
          <w:position w:val="-1"/>
          <w:sz w:val="24"/>
          <w:szCs w:val="24"/>
          <w:u w:val="thick" w:color="000000"/>
        </w:rPr>
        <w:t>l</w:t>
      </w:r>
      <w:r>
        <w:rPr>
          <w:rFonts w:ascii="Times New Roman" w:eastAsia="Times New Roman" w:hAnsi="Times New Roman" w:cs="Times New Roman"/>
          <w:b/>
          <w:bCs/>
          <w:spacing w:val="1"/>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ion</w:t>
      </w:r>
    </w:p>
    <w:p w14:paraId="0632ED2F" w14:textId="77777777" w:rsidR="0073749B" w:rsidRDefault="0073749B" w:rsidP="0073749B">
      <w:pPr>
        <w:spacing w:before="7" w:after="0" w:line="240" w:lineRule="exact"/>
        <w:rPr>
          <w:sz w:val="24"/>
          <w:szCs w:val="24"/>
        </w:rPr>
      </w:pPr>
    </w:p>
    <w:p w14:paraId="6AC1DA8B" w14:textId="1C472138" w:rsidR="00CA100D" w:rsidRDefault="00CA100D" w:rsidP="004D7AB2">
      <w:pPr>
        <w:pStyle w:val="BodyText"/>
        <w:tabs>
          <w:tab w:val="left" w:pos="2483"/>
          <w:tab w:val="left" w:pos="5175"/>
        </w:tabs>
        <w:spacing w:before="90" w:line="247" w:lineRule="auto"/>
        <w:ind w:right="383"/>
      </w:pPr>
      <w:r>
        <w:t xml:space="preserve">Because qualifications for membership on the </w:t>
      </w:r>
      <w:r w:rsidR="003A4E2C">
        <w:t>advisory committees</w:t>
      </w:r>
      <w:r>
        <w:t xml:space="preserve"> are unique to the individual a</w:t>
      </w:r>
      <w:r w:rsidR="00CE4E6E">
        <w:t>nd the particular advisory committee</w:t>
      </w:r>
      <w:r>
        <w:t>, there is no opportunity to obtain this information from other sources, and this information collection therefore does not duplicate existing</w:t>
      </w:r>
      <w:r>
        <w:rPr>
          <w:spacing w:val="-4"/>
        </w:rPr>
        <w:t xml:space="preserve"> </w:t>
      </w:r>
      <w:r>
        <w:t xml:space="preserve">collections. The Bureau will not duplicate existing information when it asks members of the </w:t>
      </w:r>
      <w:r w:rsidR="003A4E2C">
        <w:t>advisory committees</w:t>
      </w:r>
      <w:r>
        <w:t xml:space="preserve"> to answer questions and to provide information and advice based on</w:t>
      </w:r>
      <w:r>
        <w:rPr>
          <w:spacing w:val="-7"/>
        </w:rPr>
        <w:t xml:space="preserve"> </w:t>
      </w:r>
      <w:r>
        <w:t>their</w:t>
      </w:r>
      <w:r>
        <w:rPr>
          <w:spacing w:val="-3"/>
        </w:rPr>
        <w:t xml:space="preserve"> </w:t>
      </w:r>
      <w:r w:rsidR="00985EB6">
        <w:t xml:space="preserve">expertise.  </w:t>
      </w:r>
      <w:r>
        <w:t>These answers, information, and advice</w:t>
      </w:r>
      <w:r>
        <w:rPr>
          <w:spacing w:val="-15"/>
        </w:rPr>
        <w:t xml:space="preserve"> </w:t>
      </w:r>
      <w:r>
        <w:t xml:space="preserve">will be based on the unique </w:t>
      </w:r>
      <w:r w:rsidR="00CE4E6E">
        <w:t>interaction among the advisory committee</w:t>
      </w:r>
      <w:r>
        <w:t xml:space="preserve"> members and the</w:t>
      </w:r>
      <w:r>
        <w:rPr>
          <w:spacing w:val="-15"/>
        </w:rPr>
        <w:t xml:space="preserve"> </w:t>
      </w:r>
      <w:r>
        <w:t>Bureau.</w:t>
      </w:r>
      <w:r w:rsidR="000E196B">
        <w:t xml:space="preserve"> </w:t>
      </w:r>
    </w:p>
    <w:p w14:paraId="29EA08B9" w14:textId="77777777" w:rsidR="0073749B" w:rsidRDefault="0073749B" w:rsidP="0073749B">
      <w:pPr>
        <w:spacing w:before="1" w:after="0" w:line="280" w:lineRule="exact"/>
        <w:rPr>
          <w:sz w:val="28"/>
          <w:szCs w:val="28"/>
        </w:rPr>
      </w:pPr>
    </w:p>
    <w:p w14:paraId="125D6F36" w14:textId="77777777" w:rsidR="0073749B" w:rsidRDefault="0073749B" w:rsidP="0073749B">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5. </w:t>
      </w:r>
      <w:r>
        <w:rPr>
          <w:rFonts w:ascii="Times New Roman" w:eastAsia="Times New Roman" w:hAnsi="Times New Roman" w:cs="Times New Roman"/>
          <w:b/>
          <w:bCs/>
          <w:position w:val="-1"/>
          <w:sz w:val="24"/>
          <w:szCs w:val="24"/>
          <w:u w:val="thick" w:color="000000"/>
        </w:rPr>
        <w:t>Ef</w:t>
      </w:r>
      <w:r>
        <w:rPr>
          <w:rFonts w:ascii="Times New Roman" w:eastAsia="Times New Roman" w:hAnsi="Times New Roman" w:cs="Times New Roman"/>
          <w:b/>
          <w:bCs/>
          <w:spacing w:val="1"/>
          <w:position w:val="-1"/>
          <w:sz w:val="24"/>
          <w:szCs w:val="24"/>
          <w:u w:val="thick" w:color="000000"/>
        </w:rPr>
        <w:t>f</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 xml:space="preserve">ts </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 xml:space="preserve">o </w:t>
      </w:r>
      <w:r>
        <w:rPr>
          <w:rFonts w:ascii="Times New Roman" w:eastAsia="Times New Roman" w:hAnsi="Times New Roman" w:cs="Times New Roman"/>
          <w:b/>
          <w:bCs/>
          <w:spacing w:val="-1"/>
          <w:position w:val="-1"/>
          <w:sz w:val="24"/>
          <w:szCs w:val="24"/>
          <w:u w:val="thick" w:color="000000"/>
        </w:rPr>
        <w:t>M</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z</w:t>
      </w:r>
      <w:r>
        <w:rPr>
          <w:rFonts w:ascii="Times New Roman" w:eastAsia="Times New Roman" w:hAnsi="Times New Roman" w:cs="Times New Roman"/>
          <w:b/>
          <w:bCs/>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B</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s on</w:t>
      </w:r>
      <w:r>
        <w:rPr>
          <w:rFonts w:ascii="Times New Roman" w:eastAsia="Times New Roman" w:hAnsi="Times New Roman" w:cs="Times New Roman"/>
          <w:b/>
          <w:bCs/>
          <w:spacing w:val="1"/>
          <w:position w:val="-1"/>
          <w:sz w:val="24"/>
          <w:szCs w:val="24"/>
          <w:u w:val="thick" w:color="000000"/>
        </w:rPr>
        <w:t xml:space="preserve"> S</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all</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ti</w:t>
      </w:r>
      <w:r>
        <w:rPr>
          <w:rFonts w:ascii="Times New Roman" w:eastAsia="Times New Roman" w:hAnsi="Times New Roman" w:cs="Times New Roman"/>
          <w:b/>
          <w:bCs/>
          <w:spacing w:val="-3"/>
          <w:position w:val="-1"/>
          <w:sz w:val="24"/>
          <w:szCs w:val="24"/>
          <w:u w:val="thick" w:color="000000"/>
        </w:rPr>
        <w:t>t</w:t>
      </w:r>
      <w:r>
        <w:rPr>
          <w:rFonts w:ascii="Times New Roman" w:eastAsia="Times New Roman" w:hAnsi="Times New Roman" w:cs="Times New Roman"/>
          <w:b/>
          <w:bCs/>
          <w:position w:val="-1"/>
          <w:sz w:val="24"/>
          <w:szCs w:val="24"/>
          <w:u w:val="thick" w:color="000000"/>
        </w:rPr>
        <w:t>ies</w:t>
      </w:r>
    </w:p>
    <w:p w14:paraId="25802177" w14:textId="77777777" w:rsidR="0073749B" w:rsidRDefault="0073749B" w:rsidP="0073749B">
      <w:pPr>
        <w:spacing w:before="7" w:after="0" w:line="240" w:lineRule="exact"/>
        <w:rPr>
          <w:sz w:val="24"/>
          <w:szCs w:val="24"/>
        </w:rPr>
      </w:pPr>
    </w:p>
    <w:p w14:paraId="3F90AA92" w14:textId="17936DE7" w:rsidR="00CA100D" w:rsidRDefault="00CA100D" w:rsidP="00985EB6">
      <w:pPr>
        <w:pStyle w:val="BodyText"/>
        <w:spacing w:before="90"/>
      </w:pPr>
      <w:r>
        <w:t>Information collections under this clearance are not anticipated to burden small entities.</w:t>
      </w:r>
      <w:r w:rsidR="00985EB6">
        <w:t xml:space="preserve"> </w:t>
      </w:r>
      <w:r>
        <w:t>The Bureau anticipates that the majority of information collected will be from individuals,</w:t>
      </w:r>
      <w:r>
        <w:rPr>
          <w:spacing w:val="-35"/>
        </w:rPr>
        <w:t xml:space="preserve"> </w:t>
      </w:r>
      <w:r>
        <w:t>not small</w:t>
      </w:r>
      <w:r>
        <w:rPr>
          <w:spacing w:val="-1"/>
        </w:rPr>
        <w:t xml:space="preserve"> </w:t>
      </w:r>
      <w:r w:rsidR="00CE4E6E">
        <w:t>entities. Individuals</w:t>
      </w:r>
      <w:r>
        <w:t xml:space="preserve"> from small business and other small entities may be asked to participate voluntari</w:t>
      </w:r>
      <w:r w:rsidR="00CE4E6E">
        <w:t>ly in particular advisory committees</w:t>
      </w:r>
      <w:r>
        <w:t>, but this information collection should</w:t>
      </w:r>
      <w:r>
        <w:rPr>
          <w:spacing w:val="-40"/>
        </w:rPr>
        <w:t xml:space="preserve"> </w:t>
      </w:r>
      <w:r>
        <w:t>not significantly burden small businesses or other small</w:t>
      </w:r>
      <w:r>
        <w:rPr>
          <w:spacing w:val="-9"/>
        </w:rPr>
        <w:t xml:space="preserve"> </w:t>
      </w:r>
      <w:r>
        <w:t>entities.</w:t>
      </w:r>
    </w:p>
    <w:p w14:paraId="2BEC82CD" w14:textId="77777777" w:rsidR="0073749B" w:rsidRDefault="0073749B" w:rsidP="0073749B">
      <w:pPr>
        <w:spacing w:before="1" w:after="0" w:line="280" w:lineRule="exact"/>
        <w:rPr>
          <w:sz w:val="28"/>
          <w:szCs w:val="28"/>
        </w:rPr>
      </w:pPr>
    </w:p>
    <w:p w14:paraId="2B62AB32" w14:textId="77777777" w:rsidR="0073749B" w:rsidRDefault="0073749B" w:rsidP="0073749B">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6. </w:t>
      </w:r>
      <w:r>
        <w:rPr>
          <w:rFonts w:ascii="Times New Roman" w:eastAsia="Times New Roman" w:hAnsi="Times New Roman" w:cs="Times New Roman"/>
          <w:b/>
          <w:bCs/>
          <w:position w:val="-1"/>
          <w:sz w:val="24"/>
          <w:szCs w:val="24"/>
          <w:u w:val="thick" w:color="000000"/>
        </w:rPr>
        <w:t>Cons</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qu</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ce</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L</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ss</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3"/>
          <w:position w:val="-1"/>
          <w:sz w:val="24"/>
          <w:szCs w:val="24"/>
          <w:u w:val="thick" w:color="000000"/>
        </w:rPr>
        <w:t>F</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qu</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 xml:space="preserve">t </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ol</w:t>
      </w:r>
      <w:r>
        <w:rPr>
          <w:rFonts w:ascii="Times New Roman" w:eastAsia="Times New Roman" w:hAnsi="Times New Roman" w:cs="Times New Roman"/>
          <w:b/>
          <w:bCs/>
          <w:spacing w:val="1"/>
          <w:position w:val="-1"/>
          <w:sz w:val="24"/>
          <w:szCs w:val="24"/>
          <w:u w:val="thick" w:color="000000"/>
        </w:rPr>
        <w:t>l</w:t>
      </w:r>
      <w:r>
        <w:rPr>
          <w:rFonts w:ascii="Times New Roman" w:eastAsia="Times New Roman" w:hAnsi="Times New Roman" w:cs="Times New Roman"/>
          <w:b/>
          <w:bCs/>
          <w:spacing w:val="-1"/>
          <w:position w:val="-1"/>
          <w:sz w:val="24"/>
          <w:szCs w:val="24"/>
          <w:u w:val="thick" w:color="000000"/>
        </w:rPr>
        <w:t>ec</w:t>
      </w:r>
      <w:r>
        <w:rPr>
          <w:rFonts w:ascii="Times New Roman" w:eastAsia="Times New Roman" w:hAnsi="Times New Roman" w:cs="Times New Roman"/>
          <w:b/>
          <w:bCs/>
          <w:position w:val="-1"/>
          <w:sz w:val="24"/>
          <w:szCs w:val="24"/>
          <w:u w:val="thick" w:color="000000"/>
        </w:rPr>
        <w:t>tion 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b</w:t>
      </w:r>
      <w:r>
        <w:rPr>
          <w:rFonts w:ascii="Times New Roman" w:eastAsia="Times New Roman" w:hAnsi="Times New Roman" w:cs="Times New Roman"/>
          <w:b/>
          <w:bCs/>
          <w:position w:val="-1"/>
          <w:sz w:val="24"/>
          <w:szCs w:val="24"/>
          <w:u w:val="thick" w:color="000000"/>
        </w:rPr>
        <w:t>sta</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 xml:space="preserve">les </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o B</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n</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du</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tion</w:t>
      </w:r>
    </w:p>
    <w:p w14:paraId="034E63E7" w14:textId="77777777" w:rsidR="0073749B" w:rsidRDefault="0073749B" w:rsidP="0073749B">
      <w:pPr>
        <w:spacing w:before="7" w:after="0" w:line="240" w:lineRule="exact"/>
        <w:rPr>
          <w:sz w:val="24"/>
          <w:szCs w:val="24"/>
        </w:rPr>
      </w:pPr>
    </w:p>
    <w:p w14:paraId="715B3403" w14:textId="6FD23509" w:rsidR="00CA100D" w:rsidRDefault="00CA100D" w:rsidP="004D7AB2">
      <w:pPr>
        <w:pStyle w:val="BodyText"/>
        <w:spacing w:before="90" w:line="244" w:lineRule="auto"/>
        <w:ind w:right="383"/>
      </w:pPr>
      <w:r>
        <w:t xml:space="preserve">Without this collection, the Bureau could not ensure that the </w:t>
      </w:r>
      <w:r w:rsidR="003A4E2C">
        <w:t>advisory committees</w:t>
      </w:r>
      <w:r>
        <w:t xml:space="preserve"> have qualified candidates who meet established requirements relevant </w:t>
      </w:r>
      <w:r w:rsidR="00CE4E6E">
        <w:t>to the particular advisory committees</w:t>
      </w:r>
      <w:r>
        <w:t xml:space="preserve"> and who can provide advice to the Bureau on topics befor</w:t>
      </w:r>
      <w:r w:rsidR="00CE4E6E">
        <w:t>e the particular advisory committee.</w:t>
      </w:r>
    </w:p>
    <w:p w14:paraId="52E73F8B" w14:textId="77777777" w:rsidR="0073749B" w:rsidRDefault="0073749B" w:rsidP="0073749B">
      <w:pPr>
        <w:spacing w:before="1" w:after="0" w:line="280" w:lineRule="exact"/>
        <w:rPr>
          <w:sz w:val="28"/>
          <w:szCs w:val="28"/>
        </w:rPr>
      </w:pPr>
    </w:p>
    <w:p w14:paraId="0C7D89FF" w14:textId="77777777" w:rsidR="0073749B" w:rsidRDefault="0073749B" w:rsidP="0073749B">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7. </w:t>
      </w:r>
      <w:r>
        <w:rPr>
          <w:rFonts w:ascii="Times New Roman" w:eastAsia="Times New Roman" w:hAnsi="Times New Roman" w:cs="Times New Roman"/>
          <w:b/>
          <w:bCs/>
          <w:position w:val="-1"/>
          <w:sz w:val="24"/>
          <w:szCs w:val="24"/>
          <w:u w:val="thick" w:color="000000"/>
        </w:rPr>
        <w:t>Ci</w:t>
      </w:r>
      <w:r>
        <w:rPr>
          <w:rFonts w:ascii="Times New Roman" w:eastAsia="Times New Roman" w:hAnsi="Times New Roman" w:cs="Times New Roman"/>
          <w:b/>
          <w:bCs/>
          <w:spacing w:val="-1"/>
          <w:position w:val="-1"/>
          <w:sz w:val="24"/>
          <w:szCs w:val="24"/>
          <w:u w:val="thick" w:color="000000"/>
        </w:rPr>
        <w:t>rc</w:t>
      </w:r>
      <w:r>
        <w:rPr>
          <w:rFonts w:ascii="Times New Roman" w:eastAsia="Times New Roman" w:hAnsi="Times New Roman" w:cs="Times New Roman"/>
          <w:b/>
          <w:bCs/>
          <w:spacing w:val="3"/>
          <w:position w:val="-1"/>
          <w:sz w:val="24"/>
          <w:szCs w:val="24"/>
          <w:u w:val="thick" w:color="000000"/>
        </w:rPr>
        <w:t>u</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stanc</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 xml:space="preserve">s </w:t>
      </w:r>
      <w:r>
        <w:rPr>
          <w:rFonts w:ascii="Times New Roman" w:eastAsia="Times New Roman" w:hAnsi="Times New Roman" w:cs="Times New Roman"/>
          <w:b/>
          <w:bCs/>
          <w:spacing w:val="2"/>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qu</w:t>
      </w:r>
      <w:r>
        <w:rPr>
          <w:rFonts w:ascii="Times New Roman" w:eastAsia="Times New Roman" w:hAnsi="Times New Roman" w:cs="Times New Roman"/>
          <w:b/>
          <w:bCs/>
          <w:position w:val="-1"/>
          <w:sz w:val="24"/>
          <w:szCs w:val="24"/>
          <w:u w:val="thick" w:color="000000"/>
        </w:rPr>
        <w:t>iri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 xml:space="preserve">g </w:t>
      </w:r>
      <w:r>
        <w:rPr>
          <w:rFonts w:ascii="Times New Roman" w:eastAsia="Times New Roman" w:hAnsi="Times New Roman" w:cs="Times New Roman"/>
          <w:b/>
          <w:bCs/>
          <w:spacing w:val="1"/>
          <w:position w:val="-1"/>
          <w:sz w:val="24"/>
          <w:szCs w:val="24"/>
          <w:u w:val="thick" w:color="000000"/>
        </w:rPr>
        <w:t>Sp</w:t>
      </w:r>
      <w:r>
        <w:rPr>
          <w:rFonts w:ascii="Times New Roman" w:eastAsia="Times New Roman" w:hAnsi="Times New Roman" w:cs="Times New Roman"/>
          <w:b/>
          <w:bCs/>
          <w:spacing w:val="-1"/>
          <w:position w:val="-1"/>
          <w:sz w:val="24"/>
          <w:szCs w:val="24"/>
          <w:u w:val="thick" w:color="000000"/>
        </w:rPr>
        <w:t>ec</w:t>
      </w:r>
      <w:r>
        <w:rPr>
          <w:rFonts w:ascii="Times New Roman" w:eastAsia="Times New Roman" w:hAnsi="Times New Roman" w:cs="Times New Roman"/>
          <w:b/>
          <w:bCs/>
          <w:position w:val="-1"/>
          <w:sz w:val="24"/>
          <w:szCs w:val="24"/>
          <w:u w:val="thick" w:color="000000"/>
        </w:rPr>
        <w:t>ial</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f</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3"/>
          <w:position w:val="-1"/>
          <w:sz w:val="24"/>
          <w:szCs w:val="24"/>
          <w:u w:val="thick" w:color="000000"/>
        </w:rPr>
        <w:t>o</w:t>
      </w:r>
      <w:r>
        <w:rPr>
          <w:rFonts w:ascii="Times New Roman" w:eastAsia="Times New Roman" w:hAnsi="Times New Roman" w:cs="Times New Roman"/>
          <w:b/>
          <w:bCs/>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Colle</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tion</w:t>
      </w:r>
    </w:p>
    <w:p w14:paraId="4723AE96" w14:textId="77777777" w:rsidR="0073749B" w:rsidRDefault="0073749B" w:rsidP="0073749B">
      <w:pPr>
        <w:spacing w:before="7" w:after="0" w:line="240" w:lineRule="exact"/>
        <w:rPr>
          <w:sz w:val="24"/>
          <w:szCs w:val="24"/>
        </w:rPr>
      </w:pPr>
    </w:p>
    <w:p w14:paraId="3EED9E1D" w14:textId="6E499659" w:rsidR="00CA100D" w:rsidRDefault="00CA100D" w:rsidP="004D7AB2">
      <w:pPr>
        <w:pStyle w:val="BodyText"/>
        <w:tabs>
          <w:tab w:val="left" w:pos="3877"/>
        </w:tabs>
        <w:spacing w:before="90" w:line="244" w:lineRule="auto"/>
        <w:ind w:right="628"/>
      </w:pPr>
      <w:r>
        <w:t>There are no</w:t>
      </w:r>
      <w:r>
        <w:rPr>
          <w:spacing w:val="-4"/>
        </w:rPr>
        <w:t xml:space="preserve"> </w:t>
      </w:r>
      <w:r>
        <w:t>special</w:t>
      </w:r>
      <w:r>
        <w:rPr>
          <w:spacing w:val="-2"/>
        </w:rPr>
        <w:t xml:space="preserve"> </w:t>
      </w:r>
      <w:r w:rsidR="004D7AB2">
        <w:t xml:space="preserve">circumstances.  </w:t>
      </w:r>
      <w:r>
        <w:t>The collection of information is conducted in a manner consistent with the guidelines in 5 C.F.R. 1320.</w:t>
      </w:r>
      <w:r>
        <w:rPr>
          <w:spacing w:val="-3"/>
        </w:rPr>
        <w:t xml:space="preserve"> </w:t>
      </w:r>
      <w:r>
        <w:t>5(d</w:t>
      </w:r>
      <w:r w:rsidR="00E97F1B">
        <w:t>) (</w:t>
      </w:r>
      <w:r>
        <w:t>2).</w:t>
      </w:r>
    </w:p>
    <w:p w14:paraId="3CD78E69" w14:textId="77777777" w:rsidR="0073749B" w:rsidRDefault="0073749B" w:rsidP="0073749B">
      <w:pPr>
        <w:spacing w:before="1" w:after="0" w:line="280" w:lineRule="exact"/>
        <w:rPr>
          <w:sz w:val="28"/>
          <w:szCs w:val="28"/>
        </w:rPr>
      </w:pPr>
    </w:p>
    <w:p w14:paraId="347F1DC0" w14:textId="008DFCF1" w:rsidR="0073749B" w:rsidRDefault="0073749B" w:rsidP="0073749B">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 </w:t>
      </w:r>
      <w:r>
        <w:rPr>
          <w:rFonts w:ascii="Times New Roman" w:eastAsia="Times New Roman" w:hAnsi="Times New Roman" w:cs="Times New Roman"/>
          <w:b/>
          <w:bCs/>
          <w:sz w:val="24"/>
          <w:szCs w:val="24"/>
          <w:u w:val="thick" w:color="000000"/>
        </w:rPr>
        <w:t>Cons</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lta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2"/>
          <w:sz w:val="24"/>
          <w:szCs w:val="24"/>
          <w:u w:val="thick" w:color="000000"/>
        </w:rPr>
        <w:t xml:space="preserve"> </w:t>
      </w:r>
      <w:r w:rsidR="00E97F1B">
        <w:rPr>
          <w:rFonts w:ascii="Times New Roman" w:eastAsia="Times New Roman" w:hAnsi="Times New Roman" w:cs="Times New Roman"/>
          <w:b/>
          <w:bCs/>
          <w:sz w:val="24"/>
          <w:szCs w:val="24"/>
          <w:u w:val="thick" w:color="000000"/>
        </w:rPr>
        <w:t>outside</w:t>
      </w:r>
      <w:r>
        <w:rPr>
          <w:rFonts w:ascii="Times New Roman" w:eastAsia="Times New Roman" w:hAnsi="Times New Roman" w:cs="Times New Roman"/>
          <w:b/>
          <w:bCs/>
          <w:spacing w:val="-1"/>
          <w:sz w:val="24"/>
          <w:szCs w:val="24"/>
          <w:u w:val="thick" w:color="000000"/>
        </w:rPr>
        <w:t xml:space="preserve"> 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Ag</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y</w:t>
      </w:r>
    </w:p>
    <w:p w14:paraId="0BA50CCB" w14:textId="77777777" w:rsidR="0073749B" w:rsidRDefault="0073749B" w:rsidP="0073749B">
      <w:pPr>
        <w:spacing w:before="3" w:after="0" w:line="240" w:lineRule="exact"/>
        <w:rPr>
          <w:sz w:val="24"/>
          <w:szCs w:val="24"/>
        </w:rPr>
      </w:pPr>
    </w:p>
    <w:p w14:paraId="4D903515" w14:textId="22F99845" w:rsidR="003370DC" w:rsidRDefault="003370DC" w:rsidP="003370DC">
      <w:pPr>
        <w:spacing w:before="29" w:after="0" w:line="240" w:lineRule="auto"/>
        <w:ind w:right="518"/>
        <w:rPr>
          <w:rFonts w:ascii="Times New Roman" w:eastAsia="Times New Roman" w:hAnsi="Times New Roman" w:cs="Times New Roman"/>
          <w:sz w:val="24"/>
          <w:szCs w:val="24"/>
        </w:rPr>
      </w:pPr>
      <w:r w:rsidRPr="00960E67">
        <w:rPr>
          <w:rFonts w:ascii="Times New Roman" w:eastAsia="Times New Roman" w:hAnsi="Times New Roman" w:cs="Times New Roman"/>
          <w:spacing w:val="-3"/>
          <w:sz w:val="24"/>
          <w:szCs w:val="24"/>
        </w:rPr>
        <w:t xml:space="preserve">In accordance with 5 </w:t>
      </w:r>
      <w:r w:rsidR="001809FB">
        <w:rPr>
          <w:rFonts w:ascii="Times New Roman" w:eastAsia="Times New Roman" w:hAnsi="Times New Roman" w:cs="Times New Roman"/>
          <w:spacing w:val="-3"/>
          <w:sz w:val="24"/>
          <w:szCs w:val="24"/>
        </w:rPr>
        <w:t>C.F.R.</w:t>
      </w:r>
      <w:r w:rsidRPr="00960E67">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 </w:t>
      </w:r>
      <w:r w:rsidRPr="00960E67">
        <w:rPr>
          <w:rFonts w:ascii="Times New Roman" w:eastAsia="Times New Roman" w:hAnsi="Times New Roman" w:cs="Times New Roman"/>
          <w:spacing w:val="-3"/>
          <w:sz w:val="24"/>
          <w:szCs w:val="24"/>
        </w:rPr>
        <w:t xml:space="preserve">1320.8(d)(1), the Bureau has published a notice </w:t>
      </w:r>
      <w:r w:rsidRPr="001809FB">
        <w:rPr>
          <w:rFonts w:ascii="Times New Roman" w:eastAsia="Times New Roman" w:hAnsi="Times New Roman" w:cs="Times New Roman"/>
          <w:i/>
          <w:spacing w:val="-3"/>
          <w:sz w:val="24"/>
          <w:szCs w:val="24"/>
        </w:rPr>
        <w:t>Federal Register</w:t>
      </w:r>
      <w:r w:rsidRPr="00960E67">
        <w:rPr>
          <w:rFonts w:ascii="Times New Roman" w:eastAsia="Times New Roman" w:hAnsi="Times New Roman" w:cs="Times New Roman"/>
          <w:spacing w:val="-3"/>
          <w:sz w:val="24"/>
          <w:szCs w:val="24"/>
        </w:rPr>
        <w:t xml:space="preserve"> allowing the p</w:t>
      </w:r>
      <w:r>
        <w:rPr>
          <w:rFonts w:ascii="Times New Roman" w:eastAsia="Times New Roman" w:hAnsi="Times New Roman" w:cs="Times New Roman"/>
          <w:spacing w:val="-3"/>
          <w:sz w:val="24"/>
          <w:szCs w:val="24"/>
        </w:rPr>
        <w:t>ublic 60 days to comment on the</w:t>
      </w:r>
      <w:r w:rsidRPr="00960E67">
        <w:rPr>
          <w:rFonts w:ascii="Times New Roman" w:eastAsia="Times New Roman" w:hAnsi="Times New Roman" w:cs="Times New Roman"/>
          <w:spacing w:val="-3"/>
          <w:sz w:val="24"/>
          <w:szCs w:val="24"/>
        </w:rPr>
        <w:t xml:space="preserve"> proposed</w:t>
      </w:r>
      <w:r>
        <w:rPr>
          <w:rFonts w:ascii="Times New Roman" w:eastAsia="Times New Roman" w:hAnsi="Times New Roman" w:cs="Times New Roman"/>
          <w:spacing w:val="-3"/>
          <w:sz w:val="24"/>
          <w:szCs w:val="24"/>
        </w:rPr>
        <w:t xml:space="preserve"> </w:t>
      </w:r>
      <w:r w:rsidRPr="00960E67">
        <w:rPr>
          <w:rFonts w:ascii="Times New Roman" w:eastAsia="Times New Roman" w:hAnsi="Times New Roman" w:cs="Times New Roman"/>
          <w:spacing w:val="-3"/>
          <w:sz w:val="24"/>
          <w:szCs w:val="24"/>
        </w:rPr>
        <w:t>exten</w:t>
      </w:r>
      <w:r>
        <w:rPr>
          <w:rFonts w:ascii="Times New Roman" w:eastAsia="Times New Roman" w:hAnsi="Times New Roman" w:cs="Times New Roman"/>
          <w:spacing w:val="-3"/>
          <w:sz w:val="24"/>
          <w:szCs w:val="24"/>
        </w:rPr>
        <w:t>sion of this currently approved</w:t>
      </w:r>
      <w:r w:rsidRPr="00960E67">
        <w:rPr>
          <w:rFonts w:ascii="Times New Roman" w:eastAsia="Times New Roman" w:hAnsi="Times New Roman" w:cs="Times New Roman"/>
          <w:spacing w:val="-3"/>
          <w:sz w:val="24"/>
          <w:szCs w:val="24"/>
        </w:rPr>
        <w:t xml:space="preserve"> collection of information. </w:t>
      </w:r>
      <w:r>
        <w:rPr>
          <w:rFonts w:ascii="Times New Roman" w:eastAsia="Times New Roman" w:hAnsi="Times New Roman" w:cs="Times New Roman"/>
          <w:spacing w:val="-3"/>
          <w:sz w:val="24"/>
          <w:szCs w:val="24"/>
        </w:rPr>
        <w:t xml:space="preserve"> </w:t>
      </w:r>
      <w:r w:rsidR="00612795">
        <w:rPr>
          <w:rFonts w:ascii="Times New Roman" w:eastAsia="Times New Roman" w:hAnsi="Times New Roman" w:cs="Times New Roman"/>
          <w:spacing w:val="-3"/>
          <w:sz w:val="24"/>
          <w:szCs w:val="24"/>
        </w:rPr>
        <w:t xml:space="preserve">No responsive comments were received.  </w:t>
      </w:r>
      <w:r w:rsidRPr="00960E67">
        <w:rPr>
          <w:rFonts w:ascii="Times New Roman" w:eastAsia="Times New Roman" w:hAnsi="Times New Roman" w:cs="Times New Roman"/>
          <w:spacing w:val="-3"/>
          <w:sz w:val="24"/>
          <w:szCs w:val="24"/>
        </w:rPr>
        <w:t xml:space="preserve">Further and in accordance with 5 </w:t>
      </w:r>
      <w:r w:rsidR="001809FB">
        <w:rPr>
          <w:rFonts w:ascii="Times New Roman" w:eastAsia="Times New Roman" w:hAnsi="Times New Roman" w:cs="Times New Roman"/>
          <w:spacing w:val="-3"/>
          <w:sz w:val="24"/>
          <w:szCs w:val="24"/>
        </w:rPr>
        <w:t>C.F.R.</w:t>
      </w:r>
      <w:r w:rsidRPr="00960E67">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 </w:t>
      </w:r>
      <w:r w:rsidRPr="00960E67">
        <w:rPr>
          <w:rFonts w:ascii="Times New Roman" w:eastAsia="Times New Roman" w:hAnsi="Times New Roman" w:cs="Times New Roman"/>
          <w:spacing w:val="-3"/>
          <w:sz w:val="24"/>
          <w:szCs w:val="24"/>
        </w:rPr>
        <w:t>1320.5(a</w:t>
      </w:r>
      <w:r>
        <w:rPr>
          <w:rFonts w:ascii="Times New Roman" w:eastAsia="Times New Roman" w:hAnsi="Times New Roman" w:cs="Times New Roman"/>
          <w:spacing w:val="-3"/>
          <w:sz w:val="24"/>
          <w:szCs w:val="24"/>
        </w:rPr>
        <w:t xml:space="preserve">)(1)(iv), the Bureau </w:t>
      </w:r>
      <w:r w:rsidR="00612795">
        <w:rPr>
          <w:rFonts w:ascii="Times New Roman" w:eastAsia="Times New Roman" w:hAnsi="Times New Roman" w:cs="Times New Roman"/>
          <w:spacing w:val="-3"/>
          <w:sz w:val="24"/>
          <w:szCs w:val="24"/>
        </w:rPr>
        <w:t>has published</w:t>
      </w:r>
      <w:r>
        <w:rPr>
          <w:rFonts w:ascii="Times New Roman" w:eastAsia="Times New Roman" w:hAnsi="Times New Roman" w:cs="Times New Roman"/>
          <w:spacing w:val="-3"/>
          <w:sz w:val="24"/>
          <w:szCs w:val="24"/>
        </w:rPr>
        <w:t xml:space="preserve"> </w:t>
      </w:r>
      <w:r w:rsidRPr="00960E67">
        <w:rPr>
          <w:rFonts w:ascii="Times New Roman" w:eastAsia="Times New Roman" w:hAnsi="Times New Roman" w:cs="Times New Roman"/>
          <w:spacing w:val="-3"/>
          <w:sz w:val="24"/>
          <w:szCs w:val="24"/>
        </w:rPr>
        <w:t xml:space="preserve">a notice in the </w:t>
      </w:r>
      <w:r w:rsidRPr="00C85F79">
        <w:rPr>
          <w:rFonts w:ascii="Times New Roman" w:eastAsia="Times New Roman" w:hAnsi="Times New Roman" w:cs="Times New Roman"/>
          <w:i/>
          <w:spacing w:val="-3"/>
          <w:sz w:val="24"/>
          <w:szCs w:val="24"/>
        </w:rPr>
        <w:t>Federal Register</w:t>
      </w:r>
      <w:r w:rsidRPr="00960E67">
        <w:rPr>
          <w:rFonts w:ascii="Times New Roman" w:eastAsia="Times New Roman" w:hAnsi="Times New Roman" w:cs="Times New Roman"/>
          <w:spacing w:val="-3"/>
          <w:sz w:val="24"/>
          <w:szCs w:val="24"/>
        </w:rPr>
        <w:t xml:space="preserve"> allowing the public 30 days to comment on the submission of this information collection request to the </w:t>
      </w:r>
      <w:r w:rsidR="00A04DAA">
        <w:rPr>
          <w:rFonts w:ascii="Times New Roman" w:eastAsia="Times New Roman" w:hAnsi="Times New Roman" w:cs="Times New Roman"/>
          <w:spacing w:val="-3"/>
          <w:sz w:val="24"/>
          <w:szCs w:val="24"/>
        </w:rPr>
        <w:t>OMB.</w:t>
      </w:r>
    </w:p>
    <w:p w14:paraId="551670FF" w14:textId="77777777" w:rsidR="00CA100D" w:rsidRDefault="00CA100D" w:rsidP="00CA100D">
      <w:pPr>
        <w:pStyle w:val="BodyText"/>
      </w:pPr>
    </w:p>
    <w:p w14:paraId="58F9C352" w14:textId="622D4C77" w:rsidR="00CA100D" w:rsidRDefault="00CA100D" w:rsidP="004D7AB2">
      <w:pPr>
        <w:pStyle w:val="BodyText"/>
        <w:spacing w:before="1"/>
        <w:ind w:right="243"/>
      </w:pPr>
      <w:r>
        <w:t xml:space="preserve">Additionally, as part of standard practice, the </w:t>
      </w:r>
      <w:r w:rsidR="003A4E2C">
        <w:t>advisory committees</w:t>
      </w:r>
      <w:r>
        <w:t xml:space="preserve"> provide an opportunity for participants to provide feedback on the experience, inclu</w:t>
      </w:r>
      <w:r w:rsidR="004D7AB2">
        <w:t>ding the feedback on the forms.</w:t>
      </w:r>
    </w:p>
    <w:p w14:paraId="00C71515" w14:textId="77777777" w:rsidR="0073749B" w:rsidRDefault="0073749B" w:rsidP="0073749B">
      <w:pPr>
        <w:spacing w:before="15" w:after="0" w:line="200" w:lineRule="exact"/>
        <w:rPr>
          <w:sz w:val="20"/>
          <w:szCs w:val="20"/>
        </w:rPr>
      </w:pPr>
    </w:p>
    <w:p w14:paraId="70807681" w14:textId="77777777" w:rsidR="0073749B" w:rsidRDefault="0073749B" w:rsidP="0073749B">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9. </w:t>
      </w: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2"/>
          <w:position w:val="-1"/>
          <w:sz w:val="24"/>
          <w:szCs w:val="24"/>
          <w:u w:val="thick" w:color="000000"/>
        </w:rPr>
        <w:t>y</w:t>
      </w:r>
      <w:r>
        <w:rPr>
          <w:rFonts w:ascii="Times New Roman" w:eastAsia="Times New Roman" w:hAnsi="Times New Roman" w:cs="Times New Roman"/>
          <w:b/>
          <w:bCs/>
          <w:spacing w:val="-1"/>
          <w:position w:val="-1"/>
          <w:sz w:val="24"/>
          <w:szCs w:val="24"/>
          <w:u w:val="thick" w:color="000000"/>
        </w:rPr>
        <w:t>me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ts or</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2"/>
          <w:position w:val="-1"/>
          <w:sz w:val="24"/>
          <w:szCs w:val="24"/>
          <w:u w:val="thick" w:color="000000"/>
        </w:rPr>
        <w:t>G</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 xml:space="preserve">ts </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nd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ts</w:t>
      </w:r>
    </w:p>
    <w:p w14:paraId="0B4F35B1" w14:textId="77777777" w:rsidR="0073749B" w:rsidRDefault="0073749B" w:rsidP="0073749B">
      <w:pPr>
        <w:spacing w:before="5" w:after="0" w:line="240" w:lineRule="exact"/>
        <w:rPr>
          <w:sz w:val="24"/>
          <w:szCs w:val="24"/>
        </w:rPr>
      </w:pPr>
    </w:p>
    <w:p w14:paraId="33C1587B" w14:textId="419063FF" w:rsidR="00CA100D" w:rsidRDefault="00D468A5" w:rsidP="00EF1883">
      <w:pPr>
        <w:pStyle w:val="BodyText"/>
        <w:spacing w:before="90" w:line="247" w:lineRule="auto"/>
        <w:ind w:right="236"/>
      </w:pPr>
      <w:r>
        <w:t>C</w:t>
      </w:r>
      <w:r w:rsidR="00CA100D">
        <w:t>onsistent with Section 1014(d) of the</w:t>
      </w:r>
      <w:r w:rsidR="003A4E2C">
        <w:t xml:space="preserve"> </w:t>
      </w:r>
      <w:r w:rsidR="00CA100D">
        <w:t>Dodd-Frank</w:t>
      </w:r>
      <w:r w:rsidR="00CA100D">
        <w:rPr>
          <w:spacing w:val="-4"/>
        </w:rPr>
        <w:t xml:space="preserve"> </w:t>
      </w:r>
      <w:r>
        <w:t>Act, al</w:t>
      </w:r>
      <w:r w:rsidR="00285580">
        <w:t>l m</w:t>
      </w:r>
      <w:r w:rsidR="00CA100D">
        <w:t xml:space="preserve">embers of </w:t>
      </w:r>
      <w:r w:rsidR="004877D0">
        <w:t>the advisory committees</w:t>
      </w:r>
      <w:r w:rsidR="0085093E">
        <w:t xml:space="preserve"> </w:t>
      </w:r>
      <w:r w:rsidR="00CA100D">
        <w:t>may also receive compensation and may be allowed travel expenses, including transportation and subsistence, while away from their homes or regular places</w:t>
      </w:r>
      <w:r w:rsidR="00CA100D">
        <w:rPr>
          <w:spacing w:val="-5"/>
        </w:rPr>
        <w:t xml:space="preserve"> </w:t>
      </w:r>
      <w:r w:rsidR="00CA100D">
        <w:t>of</w:t>
      </w:r>
      <w:r w:rsidR="00CA100D">
        <w:rPr>
          <w:spacing w:val="-3"/>
        </w:rPr>
        <w:t xml:space="preserve"> </w:t>
      </w:r>
      <w:r w:rsidR="0097516F">
        <w:t xml:space="preserve">business.  </w:t>
      </w:r>
      <w:r w:rsidR="00CA2627">
        <w:t>Whether an advisory committee</w:t>
      </w:r>
      <w:r w:rsidR="00CA100D">
        <w:t xml:space="preserve"> is compensated and allowed travel expenses</w:t>
      </w:r>
      <w:r w:rsidR="00CA100D">
        <w:rPr>
          <w:spacing w:val="-16"/>
        </w:rPr>
        <w:t xml:space="preserve"> </w:t>
      </w:r>
      <w:r w:rsidR="00CA100D">
        <w:t>will be based upon a determination by the Bureau, and will depend on the unique circumstances of the particular advisory</w:t>
      </w:r>
      <w:r w:rsidR="00CA100D">
        <w:rPr>
          <w:spacing w:val="-13"/>
        </w:rPr>
        <w:t xml:space="preserve"> </w:t>
      </w:r>
      <w:r w:rsidR="00E10694">
        <w:t>committee</w:t>
      </w:r>
      <w:r w:rsidR="00CA100D">
        <w:t>.</w:t>
      </w:r>
    </w:p>
    <w:p w14:paraId="1B6C2D58" w14:textId="77777777" w:rsidR="0073749B" w:rsidRDefault="0073749B" w:rsidP="0073749B">
      <w:pPr>
        <w:spacing w:before="4" w:after="0" w:line="200" w:lineRule="exact"/>
        <w:rPr>
          <w:sz w:val="20"/>
          <w:szCs w:val="20"/>
        </w:rPr>
      </w:pPr>
    </w:p>
    <w:p w14:paraId="20144776" w14:textId="77777777" w:rsidR="0073749B" w:rsidRDefault="0073749B" w:rsidP="0073749B">
      <w:pPr>
        <w:spacing w:before="29"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10. </w:t>
      </w:r>
      <w:r>
        <w:rPr>
          <w:rFonts w:ascii="Times New Roman" w:eastAsia="Times New Roman" w:hAnsi="Times New Roman" w:cs="Times New Roman"/>
          <w:b/>
          <w:bCs/>
          <w:position w:val="-1"/>
          <w:sz w:val="24"/>
          <w:szCs w:val="24"/>
          <w:u w:val="thick" w:color="000000"/>
        </w:rPr>
        <w:t>Ass</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ce</w:t>
      </w:r>
      <w:r>
        <w:rPr>
          <w:rFonts w:ascii="Times New Roman" w:eastAsia="Times New Roman" w:hAnsi="Times New Roman" w:cs="Times New Roman"/>
          <w:b/>
          <w:bCs/>
          <w:position w:val="-1"/>
          <w:sz w:val="24"/>
          <w:szCs w:val="24"/>
          <w:u w:val="thick" w:color="000000"/>
        </w:rPr>
        <w:t>s of</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Con</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spacing w:val="-2"/>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tiality</w:t>
      </w:r>
    </w:p>
    <w:p w14:paraId="45064013" w14:textId="77777777" w:rsidR="0073749B" w:rsidRDefault="0073749B" w:rsidP="0073749B">
      <w:pPr>
        <w:spacing w:before="7" w:after="0" w:line="240" w:lineRule="exact"/>
        <w:rPr>
          <w:sz w:val="24"/>
          <w:szCs w:val="24"/>
        </w:rPr>
      </w:pPr>
    </w:p>
    <w:p w14:paraId="42E4942C" w14:textId="77777777" w:rsidR="00B86D77" w:rsidRDefault="00B86D77" w:rsidP="00B86D77">
      <w:pPr>
        <w:pStyle w:val="BodyText"/>
        <w:tabs>
          <w:tab w:val="left" w:pos="4566"/>
        </w:tabs>
        <w:spacing w:before="90" w:line="244" w:lineRule="auto"/>
        <w:ind w:right="495"/>
      </w:pPr>
      <w:r>
        <w:t xml:space="preserve">All information collection activities will be conducted in full compliance with the requirements of the Privacy Act, 5 U.S.C. </w:t>
      </w:r>
      <w:r>
        <w:rPr>
          <w:rFonts w:ascii="Calibri" w:hAnsi="Calibri"/>
          <w:sz w:val="20"/>
        </w:rPr>
        <w:t xml:space="preserve">§ </w:t>
      </w:r>
      <w:r>
        <w:t>552a, and collection instruments will contain a Privacy Act Statement consistent with the Privacy Act and the Bureau’s confidentiality regulations at 12 C.F.R. Part 1070,</w:t>
      </w:r>
      <w:r>
        <w:rPr>
          <w:spacing w:val="-10"/>
        </w:rPr>
        <w:t xml:space="preserve"> </w:t>
      </w:r>
      <w:r>
        <w:t>et</w:t>
      </w:r>
      <w:r>
        <w:rPr>
          <w:spacing w:val="-2"/>
        </w:rPr>
        <w:t xml:space="preserve"> </w:t>
      </w:r>
      <w:r>
        <w:t>seq.  For the advisory committees, the names, business affiliations and other agreed-upon biographical information of members may be released in a press release, on the Bureau’s website and in other similar publications. This information is covered by the System of Records Notices</w:t>
      </w:r>
      <w:r>
        <w:rPr>
          <w:spacing w:val="-25"/>
        </w:rPr>
        <w:t xml:space="preserve"> </w:t>
      </w:r>
      <w:r>
        <w:t>(SORN), CFPB.016: CFPB Advisory Boards and Committees (83 FR 23435), published May, 2013and the Industry, Expert, and Community Input and Engagement Privacy Impact Assessment (PIA), published November 21,</w:t>
      </w:r>
      <w:r>
        <w:rPr>
          <w:spacing w:val="-5"/>
        </w:rPr>
        <w:t xml:space="preserve"> </w:t>
      </w:r>
      <w:r>
        <w:t xml:space="preserve">2014. Each of the information collection instruments contain a Privacy Act Statement informing them of expectations with respect to privacy. </w:t>
      </w:r>
    </w:p>
    <w:p w14:paraId="549387A2" w14:textId="77777777" w:rsidR="0073749B" w:rsidRDefault="0073749B" w:rsidP="0073749B">
      <w:pPr>
        <w:spacing w:before="1" w:after="0" w:line="280" w:lineRule="exact"/>
        <w:rPr>
          <w:sz w:val="28"/>
          <w:szCs w:val="28"/>
        </w:rPr>
      </w:pPr>
      <w:r>
        <w:rPr>
          <w:sz w:val="28"/>
          <w:szCs w:val="28"/>
        </w:rPr>
        <w:tab/>
      </w:r>
    </w:p>
    <w:p w14:paraId="3AC73103" w14:textId="77777777" w:rsidR="0073749B" w:rsidRDefault="0073749B" w:rsidP="0073749B">
      <w:pPr>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11.  </w:t>
      </w:r>
      <w:r>
        <w:rPr>
          <w:rFonts w:ascii="Times New Roman" w:eastAsia="Times New Roman" w:hAnsi="Times New Roman" w:cs="Times New Roman"/>
          <w:b/>
          <w:bCs/>
          <w:position w:val="-1"/>
          <w:sz w:val="24"/>
          <w:szCs w:val="24"/>
          <w:u w:val="thick" w:color="000000"/>
        </w:rPr>
        <w:t>J</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position w:val="-1"/>
          <w:sz w:val="24"/>
          <w:szCs w:val="24"/>
          <w:u w:val="thick" w:color="000000"/>
        </w:rPr>
        <w:t>sti</w:t>
      </w:r>
      <w:r>
        <w:rPr>
          <w:rFonts w:ascii="Times New Roman" w:eastAsia="Times New Roman" w:hAnsi="Times New Roman" w:cs="Times New Roman"/>
          <w:b/>
          <w:bCs/>
          <w:spacing w:val="1"/>
          <w:position w:val="-1"/>
          <w:sz w:val="24"/>
          <w:szCs w:val="24"/>
          <w:u w:val="thick" w:color="000000"/>
        </w:rPr>
        <w:t>f</w:t>
      </w:r>
      <w:r>
        <w:rPr>
          <w:rFonts w:ascii="Times New Roman" w:eastAsia="Times New Roman" w:hAnsi="Times New Roman" w:cs="Times New Roman"/>
          <w:b/>
          <w:bCs/>
          <w:position w:val="-1"/>
          <w:sz w:val="24"/>
          <w:szCs w:val="24"/>
          <w:u w:val="thick" w:color="000000"/>
        </w:rPr>
        <w:t>ica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f</w:t>
      </w:r>
      <w:r>
        <w:rPr>
          <w:rFonts w:ascii="Times New Roman" w:eastAsia="Times New Roman" w:hAnsi="Times New Roman" w:cs="Times New Roman"/>
          <w:b/>
          <w:bCs/>
          <w:position w:val="-1"/>
          <w:sz w:val="24"/>
          <w:szCs w:val="24"/>
          <w:u w:val="thick" w:color="000000"/>
        </w:rPr>
        <w:t>or</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sitive Q</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stio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s</w:t>
      </w:r>
    </w:p>
    <w:p w14:paraId="06B00DCB" w14:textId="77777777" w:rsidR="0073749B" w:rsidRDefault="0073749B" w:rsidP="0073749B">
      <w:pPr>
        <w:spacing w:before="7" w:after="0" w:line="240" w:lineRule="exact"/>
        <w:rPr>
          <w:sz w:val="24"/>
          <w:szCs w:val="24"/>
        </w:rPr>
      </w:pPr>
    </w:p>
    <w:p w14:paraId="2B0DE616" w14:textId="77AD6CA4" w:rsidR="00CA100D" w:rsidRDefault="00CA100D" w:rsidP="00386247">
      <w:pPr>
        <w:pStyle w:val="BodyText"/>
        <w:tabs>
          <w:tab w:val="left" w:pos="6447"/>
        </w:tabs>
        <w:spacing w:before="90" w:line="244" w:lineRule="auto"/>
        <w:ind w:right="378"/>
      </w:pPr>
      <w:r>
        <w:t xml:space="preserve">The Bureau will be requesting date of birth and social security numbers from nominees to </w:t>
      </w:r>
      <w:r w:rsidR="004877D0">
        <w:t>the advisory committees</w:t>
      </w:r>
      <w:r w:rsidR="0097516F">
        <w:t xml:space="preserve">.  </w:t>
      </w:r>
      <w:r>
        <w:t>Such information will also be needed for those individuals who are receiving compensation and/or reimbursement for travel expenses. The collection of the social security number on the application form is voluntary</w:t>
      </w:r>
      <w:r>
        <w:rPr>
          <w:spacing w:val="-43"/>
        </w:rPr>
        <w:t xml:space="preserve"> </w:t>
      </w:r>
      <w:r>
        <w:t>and is noted as such on the form but the failure to provide the form may mean the Bureau is unable to respond to the applicant</w:t>
      </w:r>
      <w:r w:rsidR="00405CA3">
        <w:t>’</w:t>
      </w:r>
      <w:r>
        <w:t xml:space="preserve">s request. The Bureau will also request information necessary using the FBI Name Check form to complete a background check of potential </w:t>
      </w:r>
      <w:r w:rsidR="004877D0">
        <w:t>advisory committee</w:t>
      </w:r>
      <w:r>
        <w:t xml:space="preserve"> members.</w:t>
      </w:r>
      <w:r w:rsidR="00386247" w:rsidRPr="00386247">
        <w:rPr>
          <w:rFonts w:ascii="Garamond" w:hAnsi="Garamond" w:cs="Garamond"/>
        </w:rPr>
        <w:t xml:space="preserve"> </w:t>
      </w:r>
      <w:r w:rsidR="00386247" w:rsidRPr="00386247">
        <w:t>The collection of this information is authorized by Pub. L. No. 111-203, Title X, sections 1011, 1012, 1014, codified at 12 U.S.C. §§</w:t>
      </w:r>
      <w:r w:rsidR="00C85F79">
        <w:t xml:space="preserve"> </w:t>
      </w:r>
      <w:r w:rsidR="00386247" w:rsidRPr="00386247">
        <w:t>5491, 5492, 5494</w:t>
      </w:r>
      <w:r w:rsidR="00C85F79">
        <w:t>.</w:t>
      </w:r>
    </w:p>
    <w:p w14:paraId="4F409C74" w14:textId="77777777" w:rsidR="0073749B" w:rsidRDefault="0073749B" w:rsidP="0073749B">
      <w:pPr>
        <w:spacing w:before="29" w:after="0" w:line="240" w:lineRule="auto"/>
        <w:ind w:right="-20"/>
        <w:rPr>
          <w:rFonts w:ascii="Times New Roman" w:eastAsia="Times New Roman" w:hAnsi="Times New Roman" w:cs="Times New Roman"/>
          <w:sz w:val="24"/>
          <w:szCs w:val="24"/>
        </w:rPr>
      </w:pPr>
    </w:p>
    <w:p w14:paraId="7CBEEC66" w14:textId="77777777" w:rsidR="0073749B" w:rsidRDefault="0073749B" w:rsidP="0073749B">
      <w:pPr>
        <w:spacing w:before="1" w:after="0" w:line="280" w:lineRule="exact"/>
        <w:rPr>
          <w:sz w:val="28"/>
          <w:szCs w:val="28"/>
        </w:rPr>
      </w:pPr>
    </w:p>
    <w:p w14:paraId="437FF23A" w14:textId="77777777" w:rsidR="0073749B" w:rsidRDefault="0073749B" w:rsidP="0073749B">
      <w:pPr>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12.  </w:t>
      </w:r>
      <w:r>
        <w:rPr>
          <w:rFonts w:ascii="Times New Roman" w:eastAsia="Times New Roman" w:hAnsi="Times New Roman" w:cs="Times New Roman"/>
          <w:b/>
          <w:bCs/>
          <w:position w:val="-1"/>
          <w:sz w:val="24"/>
          <w:szCs w:val="24"/>
          <w:u w:val="thick" w:color="000000"/>
        </w:rPr>
        <w:t>Esti</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B</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f</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Colle</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t</w:t>
      </w:r>
      <w:r>
        <w:rPr>
          <w:rFonts w:ascii="Times New Roman" w:eastAsia="Times New Roman" w:hAnsi="Times New Roman" w:cs="Times New Roman"/>
          <w:b/>
          <w:bCs/>
          <w:spacing w:val="2"/>
          <w:position w:val="-1"/>
          <w:sz w:val="24"/>
          <w:szCs w:val="24"/>
          <w:u w:val="thick" w:color="000000"/>
        </w:rPr>
        <w:t>i</w:t>
      </w:r>
      <w:r>
        <w:rPr>
          <w:rFonts w:ascii="Times New Roman" w:eastAsia="Times New Roman" w:hAnsi="Times New Roman" w:cs="Times New Roman"/>
          <w:b/>
          <w:bCs/>
          <w:position w:val="-1"/>
          <w:sz w:val="24"/>
          <w:szCs w:val="24"/>
          <w:u w:val="thick" w:color="000000"/>
        </w:rPr>
        <w:t>on</w:t>
      </w:r>
    </w:p>
    <w:p w14:paraId="1E7C6793" w14:textId="77777777" w:rsidR="0073749B" w:rsidRDefault="0073749B" w:rsidP="0073749B">
      <w:pPr>
        <w:spacing w:before="7" w:after="0" w:line="240" w:lineRule="exact"/>
        <w:rPr>
          <w:sz w:val="24"/>
          <w:szCs w:val="24"/>
        </w:rPr>
      </w:pPr>
    </w:p>
    <w:p w14:paraId="259E3757" w14:textId="22706A89" w:rsidR="00CA100D" w:rsidRDefault="00CA100D" w:rsidP="0097516F">
      <w:pPr>
        <w:pStyle w:val="BodyText"/>
        <w:spacing w:before="90"/>
        <w:ind w:right="198"/>
      </w:pPr>
      <w:r>
        <w:t>Based on program records and actual use of the forms, we estimate</w:t>
      </w:r>
      <w:r w:rsidR="00D86650">
        <w:t xml:space="preserve"> that, each year an average </w:t>
      </w:r>
      <w:r w:rsidR="00C85F79">
        <w:t>about 425</w:t>
      </w:r>
      <w:r>
        <w:t xml:space="preserve"> individuals will apply to serve on the </w:t>
      </w:r>
      <w:r w:rsidR="004877D0">
        <w:t>advisory committees</w:t>
      </w:r>
      <w:r>
        <w:t>. Each of these individuals will spend between 10 and 60 minutes completing the information collections associated with the application process. Additionally, approximately 7</w:t>
      </w:r>
      <w:r w:rsidR="00D86650">
        <w:t>5</w:t>
      </w:r>
      <w:r>
        <w:t xml:space="preserve"> individuals, including some individual business representatives, will participate in the </w:t>
      </w:r>
      <w:r w:rsidR="00EF5CC0">
        <w:t>advisory committee vetting process</w:t>
      </w:r>
      <w:r>
        <w:t xml:space="preserve">. Each of these individuals will spend approximately 130 minutes completing the information collection associated with participation in the group, the FBI Name Check form, the CFPB travel information from and the feedback process, in addition to time spent in the application process. The total burden for all applicants and </w:t>
      </w:r>
      <w:r>
        <w:rPr>
          <w:position w:val="1"/>
        </w:rPr>
        <w:t xml:space="preserve">participants is estimated to be </w:t>
      </w:r>
      <w:r w:rsidR="0067597F">
        <w:rPr>
          <w:position w:val="1"/>
        </w:rPr>
        <w:t xml:space="preserve">491 </w:t>
      </w:r>
      <w:r>
        <w:rPr>
          <w:position w:val="1"/>
        </w:rPr>
        <w:t xml:space="preserve">hours, and $0 annually. </w:t>
      </w:r>
      <w:r>
        <w:t xml:space="preserve">Exhibit 1 illustrates the breakdown of the burden associated with each of the forms associated with the </w:t>
      </w:r>
      <w:r w:rsidR="003E4225">
        <w:rPr>
          <w:position w:val="1"/>
        </w:rPr>
        <w:t>Advisory Committees.</w:t>
      </w:r>
    </w:p>
    <w:p w14:paraId="26ECC80F" w14:textId="77777777" w:rsidR="0097516F" w:rsidRDefault="0097516F" w:rsidP="007374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p>
    <w:p w14:paraId="44B2C75E" w14:textId="55A87D02" w:rsidR="00CA100D" w:rsidRPr="00177AC0" w:rsidRDefault="00CA100D" w:rsidP="00177AC0">
      <w:pPr>
        <w:pStyle w:val="Heading1"/>
        <w:spacing w:before="90" w:after="4"/>
        <w:ind w:left="220" w:firstLine="0"/>
        <w:rPr>
          <w:u w:val="none"/>
        </w:rPr>
      </w:pPr>
      <w:r>
        <w:rPr>
          <w:u w:val="none"/>
        </w:rPr>
        <w:t>Exhibit 1: Burden Hour Summary</w:t>
      </w:r>
    </w:p>
    <w:tbl>
      <w:tblPr>
        <w:tblW w:w="9470"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5"/>
        <w:gridCol w:w="1530"/>
        <w:gridCol w:w="1260"/>
        <w:gridCol w:w="1170"/>
        <w:gridCol w:w="1260"/>
        <w:gridCol w:w="1145"/>
      </w:tblGrid>
      <w:tr w:rsidR="00CA100D" w14:paraId="6620773A" w14:textId="77777777" w:rsidTr="00F43BF9">
        <w:trPr>
          <w:trHeight w:val="918"/>
        </w:trPr>
        <w:tc>
          <w:tcPr>
            <w:tcW w:w="3105" w:type="dxa"/>
            <w:shd w:val="clear" w:color="auto" w:fill="E6E6E6"/>
          </w:tcPr>
          <w:p w14:paraId="19972782" w14:textId="40CCDB60" w:rsidR="00CA100D" w:rsidRPr="00F43BF9" w:rsidRDefault="00091339" w:rsidP="006B0F99">
            <w:pPr>
              <w:pStyle w:val="TableParagraph"/>
              <w:spacing w:line="228" w:lineRule="exact"/>
              <w:ind w:left="107" w:right="0"/>
              <w:jc w:val="left"/>
              <w:rPr>
                <w:b/>
                <w:sz w:val="24"/>
                <w:szCs w:val="24"/>
              </w:rPr>
            </w:pPr>
            <w:r w:rsidRPr="00F43BF9">
              <w:rPr>
                <w:b/>
                <w:sz w:val="24"/>
                <w:szCs w:val="24"/>
              </w:rPr>
              <w:t>Collection of Information</w:t>
            </w:r>
          </w:p>
        </w:tc>
        <w:tc>
          <w:tcPr>
            <w:tcW w:w="1530" w:type="dxa"/>
            <w:shd w:val="clear" w:color="auto" w:fill="E6E6E6"/>
          </w:tcPr>
          <w:p w14:paraId="56D36F35" w14:textId="77777777" w:rsidR="00CA100D" w:rsidRPr="00F43BF9" w:rsidRDefault="00CA100D" w:rsidP="006B0F99">
            <w:pPr>
              <w:pStyle w:val="TableParagraph"/>
              <w:spacing w:line="240" w:lineRule="auto"/>
              <w:ind w:left="107" w:right="0" w:firstLine="288"/>
              <w:jc w:val="left"/>
              <w:rPr>
                <w:b/>
                <w:sz w:val="24"/>
                <w:szCs w:val="24"/>
              </w:rPr>
            </w:pPr>
            <w:r w:rsidRPr="00F43BF9">
              <w:rPr>
                <w:b/>
                <w:sz w:val="24"/>
                <w:szCs w:val="24"/>
              </w:rPr>
              <w:t xml:space="preserve">No. of </w:t>
            </w:r>
            <w:r w:rsidRPr="00F43BF9">
              <w:rPr>
                <w:b/>
                <w:w w:val="95"/>
                <w:sz w:val="24"/>
                <w:szCs w:val="24"/>
              </w:rPr>
              <w:t>Respondents</w:t>
            </w:r>
          </w:p>
        </w:tc>
        <w:tc>
          <w:tcPr>
            <w:tcW w:w="1260" w:type="dxa"/>
            <w:shd w:val="clear" w:color="auto" w:fill="E6E6E6"/>
          </w:tcPr>
          <w:p w14:paraId="085E1AF3" w14:textId="77777777" w:rsidR="00CA100D" w:rsidRPr="00F43BF9" w:rsidRDefault="00CA100D" w:rsidP="006B0F99">
            <w:pPr>
              <w:pStyle w:val="TableParagraph"/>
              <w:spacing w:line="228" w:lineRule="exact"/>
              <w:ind w:right="97"/>
              <w:rPr>
                <w:b/>
                <w:sz w:val="24"/>
                <w:szCs w:val="24"/>
              </w:rPr>
            </w:pPr>
            <w:r w:rsidRPr="00F43BF9">
              <w:rPr>
                <w:b/>
                <w:sz w:val="24"/>
                <w:szCs w:val="24"/>
              </w:rPr>
              <w:t>Frequency</w:t>
            </w:r>
          </w:p>
        </w:tc>
        <w:tc>
          <w:tcPr>
            <w:tcW w:w="1170" w:type="dxa"/>
            <w:shd w:val="clear" w:color="auto" w:fill="E6E6E6"/>
          </w:tcPr>
          <w:p w14:paraId="1D3C95D3" w14:textId="77777777" w:rsidR="00CA100D" w:rsidRPr="00F43BF9" w:rsidRDefault="00CA100D" w:rsidP="006B0F99">
            <w:pPr>
              <w:pStyle w:val="TableParagraph"/>
              <w:spacing w:line="240" w:lineRule="auto"/>
              <w:ind w:left="106" w:right="0" w:firstLine="122"/>
              <w:jc w:val="left"/>
              <w:rPr>
                <w:b/>
                <w:sz w:val="24"/>
                <w:szCs w:val="24"/>
              </w:rPr>
            </w:pPr>
            <w:r w:rsidRPr="00F43BF9">
              <w:rPr>
                <w:b/>
                <w:sz w:val="24"/>
                <w:szCs w:val="24"/>
              </w:rPr>
              <w:t xml:space="preserve">Annual </w:t>
            </w:r>
            <w:r w:rsidRPr="00F43BF9">
              <w:rPr>
                <w:b/>
                <w:w w:val="95"/>
                <w:sz w:val="24"/>
                <w:szCs w:val="24"/>
              </w:rPr>
              <w:t>Responses</w:t>
            </w:r>
          </w:p>
        </w:tc>
        <w:tc>
          <w:tcPr>
            <w:tcW w:w="1260" w:type="dxa"/>
            <w:shd w:val="clear" w:color="auto" w:fill="E6E6E6"/>
          </w:tcPr>
          <w:p w14:paraId="384C864F" w14:textId="77777777" w:rsidR="00CA100D" w:rsidRPr="00F43BF9" w:rsidRDefault="00CA100D" w:rsidP="006B0F99">
            <w:pPr>
              <w:pStyle w:val="TableParagraph"/>
              <w:spacing w:line="240" w:lineRule="auto"/>
              <w:ind w:left="108" w:right="101" w:hanging="2"/>
              <w:jc w:val="center"/>
              <w:rPr>
                <w:b/>
                <w:sz w:val="24"/>
                <w:szCs w:val="24"/>
              </w:rPr>
            </w:pPr>
            <w:r w:rsidRPr="00F43BF9">
              <w:rPr>
                <w:b/>
                <w:sz w:val="24"/>
                <w:szCs w:val="24"/>
              </w:rPr>
              <w:t xml:space="preserve">Average </w:t>
            </w:r>
            <w:r w:rsidRPr="00F43BF9">
              <w:rPr>
                <w:b/>
                <w:spacing w:val="-1"/>
                <w:sz w:val="24"/>
                <w:szCs w:val="24"/>
              </w:rPr>
              <w:t xml:space="preserve">Response </w:t>
            </w:r>
            <w:r w:rsidRPr="00F43BF9">
              <w:rPr>
                <w:b/>
                <w:sz w:val="24"/>
                <w:szCs w:val="24"/>
              </w:rPr>
              <w:t>Time</w:t>
            </w:r>
          </w:p>
          <w:p w14:paraId="6AC9698D" w14:textId="6B9F705B" w:rsidR="00CA100D" w:rsidRPr="00F43BF9" w:rsidRDefault="00CA100D" w:rsidP="006B0F99">
            <w:pPr>
              <w:pStyle w:val="TableParagraph"/>
              <w:spacing w:line="211" w:lineRule="exact"/>
              <w:ind w:left="173" w:right="171"/>
              <w:jc w:val="center"/>
              <w:rPr>
                <w:b/>
                <w:sz w:val="24"/>
                <w:szCs w:val="24"/>
              </w:rPr>
            </w:pPr>
            <w:r w:rsidRPr="00F43BF9">
              <w:rPr>
                <w:b/>
                <w:sz w:val="24"/>
                <w:szCs w:val="24"/>
              </w:rPr>
              <w:t>(</w:t>
            </w:r>
            <w:r w:rsidR="009A63C9" w:rsidRPr="00F43BF9">
              <w:rPr>
                <w:b/>
                <w:sz w:val="24"/>
                <w:szCs w:val="24"/>
              </w:rPr>
              <w:t>H</w:t>
            </w:r>
            <w:r w:rsidR="00B21F5A" w:rsidRPr="00F43BF9">
              <w:rPr>
                <w:b/>
                <w:sz w:val="24"/>
                <w:szCs w:val="24"/>
              </w:rPr>
              <w:t>our</w:t>
            </w:r>
            <w:r w:rsidRPr="00F43BF9">
              <w:rPr>
                <w:b/>
                <w:sz w:val="24"/>
                <w:szCs w:val="24"/>
              </w:rPr>
              <w:t>)</w:t>
            </w:r>
          </w:p>
        </w:tc>
        <w:tc>
          <w:tcPr>
            <w:tcW w:w="1145" w:type="dxa"/>
            <w:shd w:val="clear" w:color="auto" w:fill="E6E6E6"/>
          </w:tcPr>
          <w:p w14:paraId="4BE332CB" w14:textId="44175E94" w:rsidR="00CA100D" w:rsidRPr="00F43BF9" w:rsidRDefault="00CA100D" w:rsidP="006B0F99">
            <w:pPr>
              <w:pStyle w:val="TableParagraph"/>
              <w:spacing w:line="240" w:lineRule="auto"/>
              <w:ind w:left="151" w:right="145" w:firstLine="7"/>
              <w:jc w:val="both"/>
              <w:rPr>
                <w:b/>
                <w:sz w:val="24"/>
                <w:szCs w:val="24"/>
              </w:rPr>
            </w:pPr>
            <w:r w:rsidRPr="00F43BF9">
              <w:rPr>
                <w:b/>
                <w:sz w:val="24"/>
                <w:szCs w:val="24"/>
              </w:rPr>
              <w:t xml:space="preserve">Annual Burden </w:t>
            </w:r>
            <w:r w:rsidR="00091339" w:rsidRPr="00F43BF9">
              <w:rPr>
                <w:b/>
                <w:sz w:val="24"/>
                <w:szCs w:val="24"/>
              </w:rPr>
              <w:t>(</w:t>
            </w:r>
            <w:r w:rsidR="009A63C9" w:rsidRPr="00F43BF9">
              <w:rPr>
                <w:b/>
                <w:sz w:val="24"/>
                <w:szCs w:val="24"/>
              </w:rPr>
              <w:t>H</w:t>
            </w:r>
            <w:r w:rsidRPr="00F43BF9">
              <w:rPr>
                <w:b/>
                <w:sz w:val="24"/>
                <w:szCs w:val="24"/>
              </w:rPr>
              <w:t>ours</w:t>
            </w:r>
            <w:r w:rsidR="00091339" w:rsidRPr="00F43BF9">
              <w:rPr>
                <w:b/>
                <w:sz w:val="24"/>
                <w:szCs w:val="24"/>
              </w:rPr>
              <w:t>)</w:t>
            </w:r>
          </w:p>
        </w:tc>
      </w:tr>
      <w:tr w:rsidR="00CA100D" w14:paraId="6490CEA1" w14:textId="77777777" w:rsidTr="00F43BF9">
        <w:trPr>
          <w:trHeight w:val="230"/>
        </w:trPr>
        <w:tc>
          <w:tcPr>
            <w:tcW w:w="3105" w:type="dxa"/>
          </w:tcPr>
          <w:p w14:paraId="068AD1FA" w14:textId="3FF30DE1" w:rsidR="00CA100D" w:rsidRPr="00F43BF9" w:rsidRDefault="00CA100D" w:rsidP="006B0F99">
            <w:pPr>
              <w:pStyle w:val="TableParagraph"/>
              <w:ind w:left="107" w:right="0"/>
              <w:jc w:val="left"/>
              <w:rPr>
                <w:sz w:val="24"/>
                <w:szCs w:val="24"/>
              </w:rPr>
            </w:pPr>
            <w:r w:rsidRPr="00F43BF9">
              <w:rPr>
                <w:sz w:val="24"/>
                <w:szCs w:val="24"/>
              </w:rPr>
              <w:t xml:space="preserve">Application to Serve on </w:t>
            </w:r>
            <w:r w:rsidR="002B6CD7" w:rsidRPr="00F43BF9">
              <w:rPr>
                <w:sz w:val="24"/>
                <w:szCs w:val="24"/>
              </w:rPr>
              <w:t xml:space="preserve">the Consumer </w:t>
            </w:r>
            <w:r w:rsidRPr="00F43BF9">
              <w:rPr>
                <w:sz w:val="24"/>
                <w:szCs w:val="24"/>
              </w:rPr>
              <w:t>Advisory Board</w:t>
            </w:r>
          </w:p>
        </w:tc>
        <w:tc>
          <w:tcPr>
            <w:tcW w:w="1530" w:type="dxa"/>
          </w:tcPr>
          <w:p w14:paraId="16A6187F" w14:textId="77777777" w:rsidR="00CA100D" w:rsidRPr="00F43BF9" w:rsidRDefault="00CA100D" w:rsidP="006B0F99">
            <w:pPr>
              <w:pStyle w:val="TableParagraph"/>
              <w:rPr>
                <w:sz w:val="24"/>
                <w:szCs w:val="24"/>
              </w:rPr>
            </w:pPr>
            <w:r w:rsidRPr="00F43BF9">
              <w:rPr>
                <w:sz w:val="24"/>
                <w:szCs w:val="24"/>
              </w:rPr>
              <w:t>250*</w:t>
            </w:r>
          </w:p>
        </w:tc>
        <w:tc>
          <w:tcPr>
            <w:tcW w:w="1260" w:type="dxa"/>
          </w:tcPr>
          <w:p w14:paraId="7D068E35" w14:textId="77777777" w:rsidR="00CA100D" w:rsidRPr="00F43BF9" w:rsidRDefault="00CA100D" w:rsidP="006B0F99">
            <w:pPr>
              <w:pStyle w:val="TableParagraph"/>
              <w:ind w:right="92"/>
              <w:rPr>
                <w:sz w:val="24"/>
                <w:szCs w:val="24"/>
              </w:rPr>
            </w:pPr>
            <w:r w:rsidRPr="00F43BF9">
              <w:rPr>
                <w:sz w:val="24"/>
                <w:szCs w:val="24"/>
              </w:rPr>
              <w:t>1x</w:t>
            </w:r>
          </w:p>
        </w:tc>
        <w:tc>
          <w:tcPr>
            <w:tcW w:w="1170" w:type="dxa"/>
          </w:tcPr>
          <w:p w14:paraId="7F8A91CB" w14:textId="77777777" w:rsidR="00CA100D" w:rsidRPr="00F43BF9" w:rsidRDefault="00CA100D" w:rsidP="006B0F99">
            <w:pPr>
              <w:pStyle w:val="TableParagraph"/>
              <w:rPr>
                <w:sz w:val="24"/>
                <w:szCs w:val="24"/>
              </w:rPr>
            </w:pPr>
            <w:r w:rsidRPr="00F43BF9">
              <w:rPr>
                <w:sz w:val="24"/>
                <w:szCs w:val="24"/>
              </w:rPr>
              <w:t>250</w:t>
            </w:r>
          </w:p>
        </w:tc>
        <w:tc>
          <w:tcPr>
            <w:tcW w:w="1260" w:type="dxa"/>
          </w:tcPr>
          <w:p w14:paraId="02081368" w14:textId="77777777" w:rsidR="00CA100D" w:rsidRPr="00F43BF9" w:rsidRDefault="00CA100D" w:rsidP="006B0F99">
            <w:pPr>
              <w:pStyle w:val="TableParagraph"/>
              <w:ind w:right="99"/>
              <w:rPr>
                <w:sz w:val="24"/>
                <w:szCs w:val="24"/>
              </w:rPr>
            </w:pPr>
            <w:r w:rsidRPr="00F43BF9">
              <w:rPr>
                <w:w w:val="99"/>
                <w:sz w:val="24"/>
                <w:szCs w:val="24"/>
              </w:rPr>
              <w:t>1</w:t>
            </w:r>
          </w:p>
        </w:tc>
        <w:tc>
          <w:tcPr>
            <w:tcW w:w="1145" w:type="dxa"/>
          </w:tcPr>
          <w:p w14:paraId="0ADD3D99" w14:textId="77777777" w:rsidR="00CA100D" w:rsidRPr="00F43BF9" w:rsidRDefault="00CA100D" w:rsidP="006B0F99">
            <w:pPr>
              <w:pStyle w:val="TableParagraph"/>
              <w:rPr>
                <w:sz w:val="24"/>
                <w:szCs w:val="24"/>
              </w:rPr>
            </w:pPr>
            <w:r w:rsidRPr="00F43BF9">
              <w:rPr>
                <w:sz w:val="24"/>
                <w:szCs w:val="24"/>
              </w:rPr>
              <w:t>250</w:t>
            </w:r>
          </w:p>
        </w:tc>
      </w:tr>
      <w:tr w:rsidR="00CA100D" w14:paraId="5232E33E" w14:textId="77777777" w:rsidTr="00F43BF9">
        <w:trPr>
          <w:trHeight w:val="460"/>
        </w:trPr>
        <w:tc>
          <w:tcPr>
            <w:tcW w:w="3105" w:type="dxa"/>
          </w:tcPr>
          <w:p w14:paraId="2253E23A" w14:textId="77777777" w:rsidR="00CA100D" w:rsidRPr="00F43BF9" w:rsidRDefault="00CA100D" w:rsidP="006B0F99">
            <w:pPr>
              <w:pStyle w:val="TableParagraph"/>
              <w:spacing w:line="223" w:lineRule="exact"/>
              <w:ind w:left="107" w:right="0"/>
              <w:jc w:val="left"/>
              <w:rPr>
                <w:sz w:val="24"/>
                <w:szCs w:val="24"/>
              </w:rPr>
            </w:pPr>
            <w:r w:rsidRPr="00F43BF9">
              <w:rPr>
                <w:sz w:val="24"/>
                <w:szCs w:val="24"/>
              </w:rPr>
              <w:t>Application to serve on the</w:t>
            </w:r>
          </w:p>
          <w:p w14:paraId="071A9D45" w14:textId="77777777" w:rsidR="00CA100D" w:rsidRPr="00F43BF9" w:rsidRDefault="00CA100D" w:rsidP="006B0F99">
            <w:pPr>
              <w:pStyle w:val="TableParagraph"/>
              <w:spacing w:line="217" w:lineRule="exact"/>
              <w:ind w:left="107" w:right="0"/>
              <w:jc w:val="left"/>
              <w:rPr>
                <w:sz w:val="24"/>
                <w:szCs w:val="24"/>
              </w:rPr>
            </w:pPr>
            <w:r w:rsidRPr="00F43BF9">
              <w:rPr>
                <w:sz w:val="24"/>
                <w:szCs w:val="24"/>
              </w:rPr>
              <w:t>Academic Research Council</w:t>
            </w:r>
          </w:p>
        </w:tc>
        <w:tc>
          <w:tcPr>
            <w:tcW w:w="1530" w:type="dxa"/>
          </w:tcPr>
          <w:p w14:paraId="23101D82" w14:textId="77777777" w:rsidR="00CA100D" w:rsidRPr="00F43BF9" w:rsidRDefault="00CA100D" w:rsidP="006B0F99">
            <w:pPr>
              <w:pStyle w:val="TableParagraph"/>
              <w:spacing w:line="223" w:lineRule="exact"/>
              <w:rPr>
                <w:sz w:val="24"/>
                <w:szCs w:val="24"/>
              </w:rPr>
            </w:pPr>
            <w:r w:rsidRPr="00F43BF9">
              <w:rPr>
                <w:sz w:val="24"/>
                <w:szCs w:val="24"/>
              </w:rPr>
              <w:t>15*</w:t>
            </w:r>
          </w:p>
        </w:tc>
        <w:tc>
          <w:tcPr>
            <w:tcW w:w="1260" w:type="dxa"/>
          </w:tcPr>
          <w:p w14:paraId="3C48DBF8" w14:textId="77777777" w:rsidR="00CA100D" w:rsidRPr="00F43BF9" w:rsidRDefault="00CA100D" w:rsidP="006B0F99">
            <w:pPr>
              <w:pStyle w:val="TableParagraph"/>
              <w:spacing w:line="223" w:lineRule="exact"/>
              <w:ind w:right="92"/>
              <w:rPr>
                <w:sz w:val="24"/>
                <w:szCs w:val="24"/>
              </w:rPr>
            </w:pPr>
            <w:r w:rsidRPr="00F43BF9">
              <w:rPr>
                <w:sz w:val="24"/>
                <w:szCs w:val="24"/>
              </w:rPr>
              <w:t>1x</w:t>
            </w:r>
          </w:p>
        </w:tc>
        <w:tc>
          <w:tcPr>
            <w:tcW w:w="1170" w:type="dxa"/>
          </w:tcPr>
          <w:p w14:paraId="522B8778" w14:textId="77777777" w:rsidR="00CA100D" w:rsidRPr="00F43BF9" w:rsidRDefault="00CA100D" w:rsidP="006B0F99">
            <w:pPr>
              <w:pStyle w:val="TableParagraph"/>
              <w:spacing w:line="223" w:lineRule="exact"/>
              <w:rPr>
                <w:sz w:val="24"/>
                <w:szCs w:val="24"/>
              </w:rPr>
            </w:pPr>
            <w:r w:rsidRPr="00F43BF9">
              <w:rPr>
                <w:sz w:val="24"/>
                <w:szCs w:val="24"/>
              </w:rPr>
              <w:t>15</w:t>
            </w:r>
          </w:p>
        </w:tc>
        <w:tc>
          <w:tcPr>
            <w:tcW w:w="1260" w:type="dxa"/>
          </w:tcPr>
          <w:p w14:paraId="6AF8E048" w14:textId="77777777" w:rsidR="00CA100D" w:rsidRPr="00F43BF9" w:rsidRDefault="00CA100D" w:rsidP="006B0F99">
            <w:pPr>
              <w:pStyle w:val="TableParagraph"/>
              <w:spacing w:line="223" w:lineRule="exact"/>
              <w:ind w:right="96"/>
              <w:rPr>
                <w:sz w:val="24"/>
                <w:szCs w:val="24"/>
              </w:rPr>
            </w:pPr>
            <w:r w:rsidRPr="00F43BF9">
              <w:rPr>
                <w:sz w:val="24"/>
                <w:szCs w:val="24"/>
              </w:rPr>
              <w:t>.75</w:t>
            </w:r>
          </w:p>
        </w:tc>
        <w:tc>
          <w:tcPr>
            <w:tcW w:w="1145" w:type="dxa"/>
          </w:tcPr>
          <w:p w14:paraId="68C11441" w14:textId="77777777" w:rsidR="00CA100D" w:rsidRPr="00F43BF9" w:rsidRDefault="00CA100D" w:rsidP="006B0F99">
            <w:pPr>
              <w:pStyle w:val="TableParagraph"/>
              <w:spacing w:line="223" w:lineRule="exact"/>
              <w:rPr>
                <w:sz w:val="24"/>
                <w:szCs w:val="24"/>
              </w:rPr>
            </w:pPr>
            <w:r w:rsidRPr="00F43BF9">
              <w:rPr>
                <w:sz w:val="24"/>
                <w:szCs w:val="24"/>
              </w:rPr>
              <w:t>11</w:t>
            </w:r>
          </w:p>
        </w:tc>
      </w:tr>
      <w:tr w:rsidR="00CA100D" w14:paraId="22CED749" w14:textId="77777777" w:rsidTr="00F43BF9">
        <w:trPr>
          <w:trHeight w:val="690"/>
        </w:trPr>
        <w:tc>
          <w:tcPr>
            <w:tcW w:w="3105" w:type="dxa"/>
          </w:tcPr>
          <w:p w14:paraId="0544B55E" w14:textId="77777777" w:rsidR="00CA100D" w:rsidRPr="00F43BF9" w:rsidRDefault="00CA100D" w:rsidP="006B0F99">
            <w:pPr>
              <w:pStyle w:val="TableParagraph"/>
              <w:spacing w:line="240" w:lineRule="auto"/>
              <w:ind w:left="107" w:right="753"/>
              <w:jc w:val="left"/>
              <w:rPr>
                <w:sz w:val="24"/>
                <w:szCs w:val="24"/>
              </w:rPr>
            </w:pPr>
            <w:r w:rsidRPr="00F43BF9">
              <w:rPr>
                <w:sz w:val="24"/>
                <w:szCs w:val="24"/>
              </w:rPr>
              <w:t>Application to serve on the Community Bank Advisory Council</w:t>
            </w:r>
          </w:p>
          <w:p w14:paraId="37EE8395" w14:textId="77777777" w:rsidR="00CA100D" w:rsidRPr="00F43BF9" w:rsidRDefault="00CA100D" w:rsidP="006B0F99">
            <w:pPr>
              <w:pStyle w:val="TableParagraph"/>
              <w:spacing w:line="217" w:lineRule="exact"/>
              <w:ind w:left="107" w:right="0"/>
              <w:jc w:val="left"/>
              <w:rPr>
                <w:sz w:val="24"/>
                <w:szCs w:val="24"/>
              </w:rPr>
            </w:pPr>
            <w:r w:rsidRPr="00F43BF9">
              <w:rPr>
                <w:sz w:val="24"/>
                <w:szCs w:val="24"/>
              </w:rPr>
              <w:t>or Credit Union Advisory Council</w:t>
            </w:r>
          </w:p>
        </w:tc>
        <w:tc>
          <w:tcPr>
            <w:tcW w:w="1530" w:type="dxa"/>
          </w:tcPr>
          <w:p w14:paraId="543AB9F4" w14:textId="77777777" w:rsidR="00CA100D" w:rsidRPr="00F43BF9" w:rsidRDefault="00CA100D" w:rsidP="006B0F99">
            <w:pPr>
              <w:pStyle w:val="TableParagraph"/>
              <w:spacing w:line="223" w:lineRule="exact"/>
              <w:rPr>
                <w:sz w:val="24"/>
                <w:szCs w:val="24"/>
              </w:rPr>
            </w:pPr>
            <w:r w:rsidRPr="00F43BF9">
              <w:rPr>
                <w:sz w:val="24"/>
                <w:szCs w:val="24"/>
              </w:rPr>
              <w:t>150*</w:t>
            </w:r>
          </w:p>
        </w:tc>
        <w:tc>
          <w:tcPr>
            <w:tcW w:w="1260" w:type="dxa"/>
          </w:tcPr>
          <w:p w14:paraId="6BFCA2C6" w14:textId="77777777" w:rsidR="00CA100D" w:rsidRPr="00F43BF9" w:rsidRDefault="00CA100D" w:rsidP="006B0F99">
            <w:pPr>
              <w:pStyle w:val="TableParagraph"/>
              <w:spacing w:line="223" w:lineRule="exact"/>
              <w:ind w:right="92"/>
              <w:rPr>
                <w:sz w:val="24"/>
                <w:szCs w:val="24"/>
              </w:rPr>
            </w:pPr>
            <w:r w:rsidRPr="00F43BF9">
              <w:rPr>
                <w:sz w:val="24"/>
                <w:szCs w:val="24"/>
              </w:rPr>
              <w:t>1x</w:t>
            </w:r>
          </w:p>
        </w:tc>
        <w:tc>
          <w:tcPr>
            <w:tcW w:w="1170" w:type="dxa"/>
          </w:tcPr>
          <w:p w14:paraId="55FD7DAA" w14:textId="77777777" w:rsidR="00CA100D" w:rsidRPr="00F43BF9" w:rsidRDefault="00CA100D" w:rsidP="006B0F99">
            <w:pPr>
              <w:pStyle w:val="TableParagraph"/>
              <w:spacing w:line="223" w:lineRule="exact"/>
              <w:rPr>
                <w:sz w:val="24"/>
                <w:szCs w:val="24"/>
              </w:rPr>
            </w:pPr>
            <w:r w:rsidRPr="00F43BF9">
              <w:rPr>
                <w:sz w:val="24"/>
                <w:szCs w:val="24"/>
              </w:rPr>
              <w:t>150</w:t>
            </w:r>
          </w:p>
        </w:tc>
        <w:tc>
          <w:tcPr>
            <w:tcW w:w="1260" w:type="dxa"/>
          </w:tcPr>
          <w:p w14:paraId="78CAC6C9" w14:textId="77777777" w:rsidR="00CA100D" w:rsidRPr="00F43BF9" w:rsidRDefault="00CA100D" w:rsidP="006B0F99">
            <w:pPr>
              <w:pStyle w:val="TableParagraph"/>
              <w:spacing w:line="223" w:lineRule="exact"/>
              <w:ind w:right="99"/>
              <w:rPr>
                <w:sz w:val="24"/>
                <w:szCs w:val="24"/>
              </w:rPr>
            </w:pPr>
            <w:r w:rsidRPr="00F43BF9">
              <w:rPr>
                <w:w w:val="99"/>
                <w:sz w:val="24"/>
                <w:szCs w:val="24"/>
              </w:rPr>
              <w:t>1</w:t>
            </w:r>
          </w:p>
        </w:tc>
        <w:tc>
          <w:tcPr>
            <w:tcW w:w="1145" w:type="dxa"/>
          </w:tcPr>
          <w:p w14:paraId="1638F9AB" w14:textId="77777777" w:rsidR="00CA100D" w:rsidRPr="00F43BF9" w:rsidRDefault="00CA100D" w:rsidP="006B0F99">
            <w:pPr>
              <w:pStyle w:val="TableParagraph"/>
              <w:spacing w:line="223" w:lineRule="exact"/>
              <w:rPr>
                <w:sz w:val="24"/>
                <w:szCs w:val="24"/>
              </w:rPr>
            </w:pPr>
            <w:r w:rsidRPr="00F43BF9">
              <w:rPr>
                <w:sz w:val="24"/>
                <w:szCs w:val="24"/>
              </w:rPr>
              <w:t>150</w:t>
            </w:r>
          </w:p>
        </w:tc>
      </w:tr>
      <w:tr w:rsidR="00CA100D" w14:paraId="7F14F7BE" w14:textId="77777777" w:rsidTr="00F43BF9">
        <w:trPr>
          <w:trHeight w:val="457"/>
        </w:trPr>
        <w:tc>
          <w:tcPr>
            <w:tcW w:w="3105" w:type="dxa"/>
          </w:tcPr>
          <w:p w14:paraId="7425CDE7" w14:textId="77777777" w:rsidR="00CA100D" w:rsidRPr="00F43BF9" w:rsidRDefault="00CA100D" w:rsidP="006B0F99">
            <w:pPr>
              <w:pStyle w:val="TableParagraph"/>
              <w:spacing w:line="223" w:lineRule="exact"/>
              <w:ind w:left="107" w:right="0"/>
              <w:jc w:val="left"/>
              <w:rPr>
                <w:sz w:val="24"/>
                <w:szCs w:val="24"/>
              </w:rPr>
            </w:pPr>
            <w:r w:rsidRPr="00F43BF9">
              <w:rPr>
                <w:sz w:val="24"/>
                <w:szCs w:val="24"/>
              </w:rPr>
              <w:t>Application to Serve as a Small Entity</w:t>
            </w:r>
          </w:p>
          <w:p w14:paraId="69591492" w14:textId="77777777" w:rsidR="00CA100D" w:rsidRPr="00F43BF9" w:rsidRDefault="00CA100D" w:rsidP="006B0F99">
            <w:pPr>
              <w:pStyle w:val="TableParagraph"/>
              <w:spacing w:line="215" w:lineRule="exact"/>
              <w:ind w:left="107" w:right="0"/>
              <w:jc w:val="left"/>
              <w:rPr>
                <w:sz w:val="24"/>
                <w:szCs w:val="24"/>
              </w:rPr>
            </w:pPr>
            <w:r w:rsidRPr="00F43BF9">
              <w:rPr>
                <w:sz w:val="24"/>
                <w:szCs w:val="24"/>
              </w:rPr>
              <w:t>Representative</w:t>
            </w:r>
          </w:p>
        </w:tc>
        <w:tc>
          <w:tcPr>
            <w:tcW w:w="1530" w:type="dxa"/>
          </w:tcPr>
          <w:p w14:paraId="19771669" w14:textId="77777777" w:rsidR="00CA100D" w:rsidRPr="00F43BF9" w:rsidRDefault="00CA100D" w:rsidP="006B0F99">
            <w:pPr>
              <w:pStyle w:val="TableParagraph"/>
              <w:spacing w:line="223" w:lineRule="exact"/>
              <w:rPr>
                <w:sz w:val="24"/>
                <w:szCs w:val="24"/>
              </w:rPr>
            </w:pPr>
            <w:r w:rsidRPr="00F43BF9">
              <w:rPr>
                <w:sz w:val="24"/>
                <w:szCs w:val="24"/>
              </w:rPr>
              <w:t>10*</w:t>
            </w:r>
          </w:p>
        </w:tc>
        <w:tc>
          <w:tcPr>
            <w:tcW w:w="1260" w:type="dxa"/>
          </w:tcPr>
          <w:p w14:paraId="08A366CE" w14:textId="77777777" w:rsidR="00CA100D" w:rsidRPr="00F43BF9" w:rsidRDefault="00CA100D" w:rsidP="006B0F99">
            <w:pPr>
              <w:pStyle w:val="TableParagraph"/>
              <w:spacing w:line="223" w:lineRule="exact"/>
              <w:ind w:right="92"/>
              <w:rPr>
                <w:sz w:val="24"/>
                <w:szCs w:val="24"/>
              </w:rPr>
            </w:pPr>
            <w:r w:rsidRPr="00F43BF9">
              <w:rPr>
                <w:sz w:val="24"/>
                <w:szCs w:val="24"/>
              </w:rPr>
              <w:t>1x</w:t>
            </w:r>
          </w:p>
        </w:tc>
        <w:tc>
          <w:tcPr>
            <w:tcW w:w="1170" w:type="dxa"/>
          </w:tcPr>
          <w:p w14:paraId="7FABAA33" w14:textId="77777777" w:rsidR="00CA100D" w:rsidRPr="00F43BF9" w:rsidRDefault="00CA100D" w:rsidP="006B0F99">
            <w:pPr>
              <w:pStyle w:val="TableParagraph"/>
              <w:spacing w:line="223" w:lineRule="exact"/>
              <w:rPr>
                <w:sz w:val="24"/>
                <w:szCs w:val="24"/>
              </w:rPr>
            </w:pPr>
            <w:r w:rsidRPr="00F43BF9">
              <w:rPr>
                <w:sz w:val="24"/>
                <w:szCs w:val="24"/>
              </w:rPr>
              <w:t>10</w:t>
            </w:r>
          </w:p>
        </w:tc>
        <w:tc>
          <w:tcPr>
            <w:tcW w:w="1260" w:type="dxa"/>
          </w:tcPr>
          <w:p w14:paraId="77AD5DA9" w14:textId="77777777" w:rsidR="00CA100D" w:rsidRPr="00F43BF9" w:rsidRDefault="00CA100D" w:rsidP="006B0F99">
            <w:pPr>
              <w:pStyle w:val="TableParagraph"/>
              <w:spacing w:line="223" w:lineRule="exact"/>
              <w:ind w:right="96"/>
              <w:rPr>
                <w:sz w:val="24"/>
                <w:szCs w:val="24"/>
              </w:rPr>
            </w:pPr>
            <w:r w:rsidRPr="00F43BF9">
              <w:rPr>
                <w:sz w:val="24"/>
                <w:szCs w:val="24"/>
              </w:rPr>
              <w:t>.17</w:t>
            </w:r>
          </w:p>
        </w:tc>
        <w:tc>
          <w:tcPr>
            <w:tcW w:w="1145" w:type="dxa"/>
          </w:tcPr>
          <w:p w14:paraId="50EF1567" w14:textId="77777777" w:rsidR="00CA100D" w:rsidRPr="00F43BF9" w:rsidRDefault="00CA100D" w:rsidP="006B0F99">
            <w:pPr>
              <w:pStyle w:val="TableParagraph"/>
              <w:spacing w:line="223" w:lineRule="exact"/>
              <w:ind w:right="99"/>
              <w:rPr>
                <w:sz w:val="24"/>
                <w:szCs w:val="24"/>
              </w:rPr>
            </w:pPr>
            <w:r w:rsidRPr="00F43BF9">
              <w:rPr>
                <w:w w:val="99"/>
                <w:sz w:val="24"/>
                <w:szCs w:val="24"/>
              </w:rPr>
              <w:t>2</w:t>
            </w:r>
          </w:p>
        </w:tc>
      </w:tr>
      <w:tr w:rsidR="00CA100D" w14:paraId="45C3DECB" w14:textId="77777777" w:rsidTr="00F43BF9">
        <w:trPr>
          <w:trHeight w:val="230"/>
        </w:trPr>
        <w:tc>
          <w:tcPr>
            <w:tcW w:w="3105" w:type="dxa"/>
          </w:tcPr>
          <w:p w14:paraId="6271205E" w14:textId="77777777" w:rsidR="00CA100D" w:rsidRPr="00F43BF9" w:rsidRDefault="00CA100D" w:rsidP="006B0F99">
            <w:pPr>
              <w:pStyle w:val="TableParagraph"/>
              <w:ind w:left="107" w:right="0"/>
              <w:jc w:val="left"/>
              <w:rPr>
                <w:sz w:val="24"/>
                <w:szCs w:val="24"/>
              </w:rPr>
            </w:pPr>
            <w:r w:rsidRPr="00F43BF9">
              <w:rPr>
                <w:sz w:val="24"/>
                <w:szCs w:val="24"/>
              </w:rPr>
              <w:t>FBI Name Check Form</w:t>
            </w:r>
          </w:p>
        </w:tc>
        <w:tc>
          <w:tcPr>
            <w:tcW w:w="1530" w:type="dxa"/>
            <w:shd w:val="clear" w:color="auto" w:fill="DADADA"/>
          </w:tcPr>
          <w:p w14:paraId="28F3A92A" w14:textId="77777777" w:rsidR="00CA100D" w:rsidRPr="00F43BF9" w:rsidRDefault="00CA100D" w:rsidP="006B0F99">
            <w:pPr>
              <w:pStyle w:val="TableParagraph"/>
              <w:ind w:right="94"/>
              <w:rPr>
                <w:sz w:val="24"/>
                <w:szCs w:val="24"/>
              </w:rPr>
            </w:pPr>
            <w:r w:rsidRPr="00F43BF9">
              <w:rPr>
                <w:sz w:val="24"/>
                <w:szCs w:val="24"/>
              </w:rPr>
              <w:t>30</w:t>
            </w:r>
          </w:p>
        </w:tc>
        <w:tc>
          <w:tcPr>
            <w:tcW w:w="1260" w:type="dxa"/>
          </w:tcPr>
          <w:p w14:paraId="26AD8321" w14:textId="77777777" w:rsidR="00CA100D" w:rsidRPr="00F43BF9" w:rsidRDefault="00CA100D" w:rsidP="006B0F99">
            <w:pPr>
              <w:pStyle w:val="TableParagraph"/>
              <w:ind w:right="92"/>
              <w:rPr>
                <w:sz w:val="24"/>
                <w:szCs w:val="24"/>
              </w:rPr>
            </w:pPr>
            <w:r w:rsidRPr="00F43BF9">
              <w:rPr>
                <w:sz w:val="24"/>
                <w:szCs w:val="24"/>
              </w:rPr>
              <w:t>1x</w:t>
            </w:r>
          </w:p>
        </w:tc>
        <w:tc>
          <w:tcPr>
            <w:tcW w:w="1170" w:type="dxa"/>
          </w:tcPr>
          <w:p w14:paraId="698C5EC7" w14:textId="77777777" w:rsidR="00CA100D" w:rsidRPr="00F43BF9" w:rsidRDefault="00CA100D" w:rsidP="006B0F99">
            <w:pPr>
              <w:pStyle w:val="TableParagraph"/>
              <w:rPr>
                <w:sz w:val="24"/>
                <w:szCs w:val="24"/>
              </w:rPr>
            </w:pPr>
            <w:r w:rsidRPr="00F43BF9">
              <w:rPr>
                <w:sz w:val="24"/>
                <w:szCs w:val="24"/>
              </w:rPr>
              <w:t>30</w:t>
            </w:r>
          </w:p>
        </w:tc>
        <w:tc>
          <w:tcPr>
            <w:tcW w:w="1260" w:type="dxa"/>
          </w:tcPr>
          <w:p w14:paraId="491CF7AC" w14:textId="77777777" w:rsidR="00CA100D" w:rsidRPr="00F43BF9" w:rsidRDefault="00CA100D" w:rsidP="006B0F99">
            <w:pPr>
              <w:pStyle w:val="TableParagraph"/>
              <w:ind w:right="99"/>
              <w:rPr>
                <w:sz w:val="24"/>
                <w:szCs w:val="24"/>
              </w:rPr>
            </w:pPr>
            <w:r w:rsidRPr="00F43BF9">
              <w:rPr>
                <w:w w:val="99"/>
                <w:sz w:val="24"/>
                <w:szCs w:val="24"/>
              </w:rPr>
              <w:t>1</w:t>
            </w:r>
          </w:p>
        </w:tc>
        <w:tc>
          <w:tcPr>
            <w:tcW w:w="1145" w:type="dxa"/>
          </w:tcPr>
          <w:p w14:paraId="7756533A" w14:textId="77777777" w:rsidR="00CA100D" w:rsidRPr="00F43BF9" w:rsidRDefault="00CA100D" w:rsidP="006B0F99">
            <w:pPr>
              <w:pStyle w:val="TableParagraph"/>
              <w:rPr>
                <w:sz w:val="24"/>
                <w:szCs w:val="24"/>
              </w:rPr>
            </w:pPr>
            <w:r w:rsidRPr="00F43BF9">
              <w:rPr>
                <w:sz w:val="24"/>
                <w:szCs w:val="24"/>
              </w:rPr>
              <w:t>30</w:t>
            </w:r>
          </w:p>
        </w:tc>
      </w:tr>
      <w:tr w:rsidR="00CA100D" w14:paraId="543BC9C4" w14:textId="77777777" w:rsidTr="00F43BF9">
        <w:trPr>
          <w:trHeight w:val="230"/>
        </w:trPr>
        <w:tc>
          <w:tcPr>
            <w:tcW w:w="3105" w:type="dxa"/>
          </w:tcPr>
          <w:p w14:paraId="0646DC01" w14:textId="036D724B" w:rsidR="00CA100D" w:rsidRPr="00F43BF9" w:rsidRDefault="00A84027" w:rsidP="006B0F99">
            <w:pPr>
              <w:pStyle w:val="TableParagraph"/>
              <w:ind w:left="107" w:right="0"/>
              <w:jc w:val="left"/>
              <w:rPr>
                <w:sz w:val="24"/>
                <w:szCs w:val="24"/>
              </w:rPr>
            </w:pPr>
            <w:r w:rsidRPr="00F43BF9">
              <w:rPr>
                <w:sz w:val="24"/>
                <w:szCs w:val="24"/>
              </w:rPr>
              <w:t>Financial Disclosure Form</w:t>
            </w:r>
          </w:p>
        </w:tc>
        <w:tc>
          <w:tcPr>
            <w:tcW w:w="1530" w:type="dxa"/>
            <w:shd w:val="clear" w:color="auto" w:fill="DADADA"/>
          </w:tcPr>
          <w:p w14:paraId="6772C610" w14:textId="18C65960" w:rsidR="00CA100D" w:rsidRPr="00F43BF9" w:rsidRDefault="00F53295" w:rsidP="006B0F99">
            <w:pPr>
              <w:pStyle w:val="TableParagraph"/>
              <w:ind w:right="94"/>
              <w:rPr>
                <w:sz w:val="24"/>
                <w:szCs w:val="24"/>
              </w:rPr>
            </w:pPr>
            <w:r w:rsidRPr="00F43BF9">
              <w:rPr>
                <w:sz w:val="24"/>
                <w:szCs w:val="24"/>
              </w:rPr>
              <w:t>70</w:t>
            </w:r>
          </w:p>
        </w:tc>
        <w:tc>
          <w:tcPr>
            <w:tcW w:w="1260" w:type="dxa"/>
          </w:tcPr>
          <w:p w14:paraId="39253A64" w14:textId="0C5F7F36" w:rsidR="00CA100D" w:rsidRPr="00F43BF9" w:rsidRDefault="00F53295" w:rsidP="006B0F99">
            <w:pPr>
              <w:pStyle w:val="TableParagraph"/>
              <w:ind w:right="92"/>
              <w:rPr>
                <w:sz w:val="24"/>
                <w:szCs w:val="24"/>
              </w:rPr>
            </w:pPr>
            <w:r w:rsidRPr="00F43BF9">
              <w:rPr>
                <w:sz w:val="24"/>
                <w:szCs w:val="24"/>
              </w:rPr>
              <w:t>3x</w:t>
            </w:r>
          </w:p>
        </w:tc>
        <w:tc>
          <w:tcPr>
            <w:tcW w:w="1170" w:type="dxa"/>
          </w:tcPr>
          <w:p w14:paraId="643DDB5A" w14:textId="469FEB19" w:rsidR="00CA100D" w:rsidRPr="00F43BF9" w:rsidRDefault="00F53295" w:rsidP="006B0F99">
            <w:pPr>
              <w:pStyle w:val="TableParagraph"/>
              <w:rPr>
                <w:sz w:val="24"/>
                <w:szCs w:val="24"/>
              </w:rPr>
            </w:pPr>
            <w:r w:rsidRPr="00F43BF9">
              <w:rPr>
                <w:sz w:val="24"/>
                <w:szCs w:val="24"/>
              </w:rPr>
              <w:t>70</w:t>
            </w:r>
          </w:p>
        </w:tc>
        <w:tc>
          <w:tcPr>
            <w:tcW w:w="1260" w:type="dxa"/>
          </w:tcPr>
          <w:p w14:paraId="34150169" w14:textId="000AE591" w:rsidR="00CA100D" w:rsidRPr="00F43BF9" w:rsidRDefault="00F53295" w:rsidP="00F53295">
            <w:pPr>
              <w:pStyle w:val="TableParagraph"/>
              <w:ind w:right="96"/>
              <w:rPr>
                <w:sz w:val="24"/>
                <w:szCs w:val="24"/>
              </w:rPr>
            </w:pPr>
            <w:r w:rsidRPr="00F43BF9">
              <w:rPr>
                <w:sz w:val="24"/>
                <w:szCs w:val="24"/>
              </w:rPr>
              <w:t>.17</w:t>
            </w:r>
          </w:p>
        </w:tc>
        <w:tc>
          <w:tcPr>
            <w:tcW w:w="1145" w:type="dxa"/>
          </w:tcPr>
          <w:p w14:paraId="24E3DA56" w14:textId="3D15AA17" w:rsidR="00CA100D" w:rsidRPr="00F43BF9" w:rsidRDefault="00F53295" w:rsidP="006B0F99">
            <w:pPr>
              <w:pStyle w:val="TableParagraph"/>
              <w:rPr>
                <w:sz w:val="24"/>
                <w:szCs w:val="24"/>
              </w:rPr>
            </w:pPr>
            <w:r w:rsidRPr="00F43BF9">
              <w:rPr>
                <w:sz w:val="24"/>
                <w:szCs w:val="24"/>
              </w:rPr>
              <w:t>12</w:t>
            </w:r>
          </w:p>
        </w:tc>
      </w:tr>
      <w:tr w:rsidR="00CA100D" w:rsidRPr="00B21F5A" w14:paraId="198302BA" w14:textId="77777777" w:rsidTr="00F43BF9">
        <w:trPr>
          <w:trHeight w:val="229"/>
        </w:trPr>
        <w:tc>
          <w:tcPr>
            <w:tcW w:w="3105" w:type="dxa"/>
          </w:tcPr>
          <w:p w14:paraId="14B84AB5" w14:textId="3C99A4EA" w:rsidR="00CA100D" w:rsidRPr="00F43BF9" w:rsidRDefault="00CA100D" w:rsidP="006B0F99">
            <w:pPr>
              <w:pStyle w:val="TableParagraph"/>
              <w:ind w:left="107" w:right="0"/>
              <w:jc w:val="left"/>
              <w:rPr>
                <w:sz w:val="24"/>
                <w:szCs w:val="24"/>
              </w:rPr>
            </w:pPr>
            <w:r w:rsidRPr="00F43BF9">
              <w:rPr>
                <w:sz w:val="24"/>
                <w:szCs w:val="24"/>
              </w:rPr>
              <w:t xml:space="preserve">CFPB Travel </w:t>
            </w:r>
            <w:r w:rsidR="00910DD8" w:rsidRPr="00F43BF9">
              <w:rPr>
                <w:sz w:val="24"/>
                <w:szCs w:val="24"/>
              </w:rPr>
              <w:t xml:space="preserve">Information </w:t>
            </w:r>
            <w:r w:rsidRPr="00F43BF9">
              <w:rPr>
                <w:sz w:val="24"/>
                <w:szCs w:val="24"/>
              </w:rPr>
              <w:t>Form</w:t>
            </w:r>
          </w:p>
        </w:tc>
        <w:tc>
          <w:tcPr>
            <w:tcW w:w="1530" w:type="dxa"/>
            <w:shd w:val="clear" w:color="auto" w:fill="DADADA"/>
          </w:tcPr>
          <w:p w14:paraId="7D16C7CF" w14:textId="77777777" w:rsidR="00CA100D" w:rsidRPr="00F43BF9" w:rsidRDefault="00CA100D" w:rsidP="006B0F99">
            <w:pPr>
              <w:pStyle w:val="TableParagraph"/>
              <w:ind w:right="94"/>
              <w:rPr>
                <w:sz w:val="24"/>
                <w:szCs w:val="24"/>
              </w:rPr>
            </w:pPr>
            <w:r w:rsidRPr="00F43BF9">
              <w:rPr>
                <w:sz w:val="24"/>
                <w:szCs w:val="24"/>
              </w:rPr>
              <w:t>70</w:t>
            </w:r>
          </w:p>
        </w:tc>
        <w:tc>
          <w:tcPr>
            <w:tcW w:w="1260" w:type="dxa"/>
          </w:tcPr>
          <w:p w14:paraId="6DFC4A08" w14:textId="77777777" w:rsidR="00CA100D" w:rsidRPr="00F43BF9" w:rsidRDefault="00CA100D" w:rsidP="006B0F99">
            <w:pPr>
              <w:pStyle w:val="TableParagraph"/>
              <w:ind w:right="92"/>
              <w:rPr>
                <w:sz w:val="24"/>
                <w:szCs w:val="24"/>
              </w:rPr>
            </w:pPr>
            <w:r w:rsidRPr="00F43BF9">
              <w:rPr>
                <w:sz w:val="24"/>
                <w:szCs w:val="24"/>
              </w:rPr>
              <w:t>3x</w:t>
            </w:r>
          </w:p>
        </w:tc>
        <w:tc>
          <w:tcPr>
            <w:tcW w:w="1170" w:type="dxa"/>
          </w:tcPr>
          <w:p w14:paraId="02B0FC3D" w14:textId="77777777" w:rsidR="00CA100D" w:rsidRPr="00F43BF9" w:rsidRDefault="00CA100D" w:rsidP="006B0F99">
            <w:pPr>
              <w:pStyle w:val="TableParagraph"/>
              <w:rPr>
                <w:sz w:val="24"/>
                <w:szCs w:val="24"/>
              </w:rPr>
            </w:pPr>
            <w:r w:rsidRPr="00F43BF9">
              <w:rPr>
                <w:sz w:val="24"/>
                <w:szCs w:val="24"/>
              </w:rPr>
              <w:t>210</w:t>
            </w:r>
          </w:p>
        </w:tc>
        <w:tc>
          <w:tcPr>
            <w:tcW w:w="1260" w:type="dxa"/>
          </w:tcPr>
          <w:p w14:paraId="5AC94FDB" w14:textId="77777777" w:rsidR="00CA100D" w:rsidRPr="00F43BF9" w:rsidRDefault="00CA100D" w:rsidP="006B0F99">
            <w:pPr>
              <w:pStyle w:val="TableParagraph"/>
              <w:ind w:right="96"/>
              <w:rPr>
                <w:sz w:val="24"/>
                <w:szCs w:val="24"/>
              </w:rPr>
            </w:pPr>
            <w:r w:rsidRPr="00F43BF9">
              <w:rPr>
                <w:sz w:val="24"/>
                <w:szCs w:val="24"/>
              </w:rPr>
              <w:t>.17</w:t>
            </w:r>
          </w:p>
        </w:tc>
        <w:tc>
          <w:tcPr>
            <w:tcW w:w="1145" w:type="dxa"/>
          </w:tcPr>
          <w:p w14:paraId="78095807" w14:textId="77777777" w:rsidR="00CA100D" w:rsidRPr="00F43BF9" w:rsidRDefault="00CA100D" w:rsidP="006B0F99">
            <w:pPr>
              <w:pStyle w:val="TableParagraph"/>
              <w:rPr>
                <w:sz w:val="24"/>
                <w:szCs w:val="24"/>
              </w:rPr>
            </w:pPr>
            <w:r w:rsidRPr="00F43BF9">
              <w:rPr>
                <w:sz w:val="24"/>
                <w:szCs w:val="24"/>
              </w:rPr>
              <w:t>36</w:t>
            </w:r>
          </w:p>
        </w:tc>
      </w:tr>
      <w:tr w:rsidR="00CA100D" w14:paraId="6BFF4526" w14:textId="77777777" w:rsidTr="00F43BF9">
        <w:trPr>
          <w:trHeight w:val="230"/>
        </w:trPr>
        <w:tc>
          <w:tcPr>
            <w:tcW w:w="3105" w:type="dxa"/>
          </w:tcPr>
          <w:p w14:paraId="520C488D" w14:textId="460F71ED" w:rsidR="00CA100D" w:rsidRPr="00F43BF9" w:rsidRDefault="00CA100D" w:rsidP="006B0F99">
            <w:pPr>
              <w:pStyle w:val="TableParagraph"/>
              <w:ind w:left="107" w:right="0"/>
              <w:jc w:val="left"/>
              <w:rPr>
                <w:sz w:val="24"/>
                <w:szCs w:val="24"/>
              </w:rPr>
            </w:pPr>
          </w:p>
        </w:tc>
        <w:tc>
          <w:tcPr>
            <w:tcW w:w="1530" w:type="dxa"/>
            <w:shd w:val="clear" w:color="auto" w:fill="DADADA"/>
          </w:tcPr>
          <w:p w14:paraId="3C481ECB" w14:textId="59925F66" w:rsidR="00CA100D" w:rsidRPr="00F43BF9" w:rsidRDefault="00CA100D" w:rsidP="006B0F99">
            <w:pPr>
              <w:pStyle w:val="TableParagraph"/>
              <w:ind w:right="94"/>
              <w:rPr>
                <w:sz w:val="24"/>
                <w:szCs w:val="24"/>
              </w:rPr>
            </w:pPr>
          </w:p>
        </w:tc>
        <w:tc>
          <w:tcPr>
            <w:tcW w:w="1260" w:type="dxa"/>
          </w:tcPr>
          <w:p w14:paraId="35D215DB" w14:textId="5F629EC6" w:rsidR="00CA100D" w:rsidRPr="00F43BF9" w:rsidRDefault="00CA100D" w:rsidP="006B0F99">
            <w:pPr>
              <w:pStyle w:val="TableParagraph"/>
              <w:ind w:right="92"/>
              <w:rPr>
                <w:sz w:val="24"/>
                <w:szCs w:val="24"/>
              </w:rPr>
            </w:pPr>
          </w:p>
        </w:tc>
        <w:tc>
          <w:tcPr>
            <w:tcW w:w="1170" w:type="dxa"/>
          </w:tcPr>
          <w:p w14:paraId="579D50AB" w14:textId="65720026" w:rsidR="00CA100D" w:rsidRPr="00F43BF9" w:rsidRDefault="00CA100D" w:rsidP="006B0F99">
            <w:pPr>
              <w:pStyle w:val="TableParagraph"/>
              <w:rPr>
                <w:sz w:val="24"/>
                <w:szCs w:val="24"/>
              </w:rPr>
            </w:pPr>
          </w:p>
        </w:tc>
        <w:tc>
          <w:tcPr>
            <w:tcW w:w="1260" w:type="dxa"/>
          </w:tcPr>
          <w:p w14:paraId="492C8F5B" w14:textId="617C930F" w:rsidR="00CA100D" w:rsidRPr="00F43BF9" w:rsidRDefault="00CA100D" w:rsidP="006B0F99">
            <w:pPr>
              <w:pStyle w:val="TableParagraph"/>
              <w:ind w:right="96"/>
              <w:rPr>
                <w:sz w:val="24"/>
                <w:szCs w:val="24"/>
              </w:rPr>
            </w:pPr>
          </w:p>
        </w:tc>
        <w:tc>
          <w:tcPr>
            <w:tcW w:w="1145" w:type="dxa"/>
          </w:tcPr>
          <w:p w14:paraId="4D846ABA" w14:textId="03229DD0" w:rsidR="00CA100D" w:rsidRPr="00F43BF9" w:rsidRDefault="00CA100D" w:rsidP="006B0F99">
            <w:pPr>
              <w:pStyle w:val="TableParagraph"/>
              <w:rPr>
                <w:sz w:val="24"/>
                <w:szCs w:val="24"/>
              </w:rPr>
            </w:pPr>
          </w:p>
        </w:tc>
      </w:tr>
      <w:tr w:rsidR="00CA100D" w14:paraId="2343E46E" w14:textId="77777777" w:rsidTr="00F43BF9">
        <w:trPr>
          <w:trHeight w:val="232"/>
        </w:trPr>
        <w:tc>
          <w:tcPr>
            <w:tcW w:w="3105" w:type="dxa"/>
          </w:tcPr>
          <w:p w14:paraId="3B0CAC01" w14:textId="50A5B56E" w:rsidR="00CA100D" w:rsidRPr="00F43BF9" w:rsidRDefault="00CA100D" w:rsidP="006B0F99">
            <w:pPr>
              <w:pStyle w:val="TableParagraph"/>
              <w:spacing w:line="212" w:lineRule="exact"/>
              <w:ind w:right="97"/>
              <w:rPr>
                <w:b/>
                <w:sz w:val="24"/>
                <w:szCs w:val="24"/>
              </w:rPr>
            </w:pPr>
            <w:r w:rsidRPr="00F43BF9">
              <w:rPr>
                <w:b/>
                <w:sz w:val="24"/>
                <w:szCs w:val="24"/>
              </w:rPr>
              <w:t>Totals</w:t>
            </w:r>
          </w:p>
        </w:tc>
        <w:tc>
          <w:tcPr>
            <w:tcW w:w="1530" w:type="dxa"/>
          </w:tcPr>
          <w:p w14:paraId="702F7D19" w14:textId="77777777" w:rsidR="00CA100D" w:rsidRPr="00F43BF9" w:rsidRDefault="00CA100D" w:rsidP="006B0F99">
            <w:pPr>
              <w:pStyle w:val="TableParagraph"/>
              <w:spacing w:line="212" w:lineRule="exact"/>
              <w:ind w:right="94"/>
              <w:rPr>
                <w:b/>
                <w:sz w:val="24"/>
                <w:szCs w:val="24"/>
              </w:rPr>
            </w:pPr>
            <w:r w:rsidRPr="00F43BF9">
              <w:rPr>
                <w:b/>
                <w:sz w:val="24"/>
                <w:szCs w:val="24"/>
              </w:rPr>
              <w:t>425</w:t>
            </w:r>
          </w:p>
        </w:tc>
        <w:tc>
          <w:tcPr>
            <w:tcW w:w="1260" w:type="dxa"/>
          </w:tcPr>
          <w:p w14:paraId="68DF2702" w14:textId="77777777" w:rsidR="00CA100D" w:rsidRPr="00F43BF9" w:rsidRDefault="00CA100D" w:rsidP="006B0F99">
            <w:pPr>
              <w:pStyle w:val="TableParagraph"/>
              <w:spacing w:line="212" w:lineRule="exact"/>
              <w:ind w:right="97"/>
              <w:rPr>
                <w:b/>
                <w:sz w:val="24"/>
                <w:szCs w:val="24"/>
              </w:rPr>
            </w:pPr>
            <w:r w:rsidRPr="00F43BF9">
              <w:rPr>
                <w:b/>
                <w:sz w:val="24"/>
                <w:szCs w:val="24"/>
              </w:rPr>
              <w:t>///////////</w:t>
            </w:r>
          </w:p>
        </w:tc>
        <w:tc>
          <w:tcPr>
            <w:tcW w:w="1170" w:type="dxa"/>
          </w:tcPr>
          <w:p w14:paraId="53E86C8A" w14:textId="620CF599" w:rsidR="00CA100D" w:rsidRPr="00F43BF9" w:rsidRDefault="00530CC7" w:rsidP="006B0F99">
            <w:pPr>
              <w:pStyle w:val="TableParagraph"/>
              <w:spacing w:line="212" w:lineRule="exact"/>
              <w:rPr>
                <w:b/>
                <w:sz w:val="24"/>
                <w:szCs w:val="24"/>
              </w:rPr>
            </w:pPr>
            <w:r w:rsidRPr="00F43BF9">
              <w:rPr>
                <w:b/>
                <w:sz w:val="24"/>
                <w:szCs w:val="24"/>
              </w:rPr>
              <w:t>735</w:t>
            </w:r>
          </w:p>
        </w:tc>
        <w:tc>
          <w:tcPr>
            <w:tcW w:w="1260" w:type="dxa"/>
          </w:tcPr>
          <w:p w14:paraId="1698CACB" w14:textId="77777777" w:rsidR="00CA100D" w:rsidRPr="00F43BF9" w:rsidRDefault="00CA100D" w:rsidP="006B0F99">
            <w:pPr>
              <w:pStyle w:val="TableParagraph"/>
              <w:spacing w:line="212" w:lineRule="exact"/>
              <w:ind w:right="100"/>
              <w:rPr>
                <w:b/>
                <w:sz w:val="24"/>
                <w:szCs w:val="24"/>
              </w:rPr>
            </w:pPr>
            <w:r w:rsidRPr="00F43BF9">
              <w:rPr>
                <w:b/>
                <w:sz w:val="24"/>
                <w:szCs w:val="24"/>
              </w:rPr>
              <w:t>/////////////</w:t>
            </w:r>
          </w:p>
        </w:tc>
        <w:tc>
          <w:tcPr>
            <w:tcW w:w="1145" w:type="dxa"/>
          </w:tcPr>
          <w:p w14:paraId="7EA88D5B" w14:textId="2636E1E7" w:rsidR="00CA100D" w:rsidRPr="00F43BF9" w:rsidRDefault="00530CC7" w:rsidP="006B0F99">
            <w:pPr>
              <w:pStyle w:val="TableParagraph"/>
              <w:spacing w:line="212" w:lineRule="exact"/>
              <w:rPr>
                <w:b/>
                <w:sz w:val="24"/>
                <w:szCs w:val="24"/>
              </w:rPr>
            </w:pPr>
            <w:r w:rsidRPr="00F43BF9">
              <w:rPr>
                <w:b/>
                <w:sz w:val="24"/>
                <w:szCs w:val="24"/>
              </w:rPr>
              <w:t>491</w:t>
            </w:r>
          </w:p>
        </w:tc>
      </w:tr>
    </w:tbl>
    <w:p w14:paraId="7E9F19E9" w14:textId="77777777" w:rsidR="00CA100D" w:rsidRDefault="00CA100D" w:rsidP="00CA100D">
      <w:pPr>
        <w:spacing w:before="60"/>
        <w:ind w:left="220"/>
        <w:rPr>
          <w:sz w:val="20"/>
        </w:rPr>
      </w:pPr>
      <w:r>
        <w:rPr>
          <w:sz w:val="20"/>
        </w:rPr>
        <w:t>*Unique respondents. The remaining respondents are a subset of the unique respondents.</w:t>
      </w:r>
    </w:p>
    <w:p w14:paraId="64733500" w14:textId="57D8A964" w:rsidR="00B21F5A" w:rsidRDefault="00B21F5A" w:rsidP="0073749B">
      <w:pPr>
        <w:spacing w:after="0" w:line="200" w:lineRule="exact"/>
        <w:rPr>
          <w:sz w:val="20"/>
          <w:szCs w:val="20"/>
        </w:rPr>
      </w:pPr>
    </w:p>
    <w:p w14:paraId="2DE75060" w14:textId="6F59768A" w:rsidR="00B21F5A" w:rsidRDefault="00B21F5A" w:rsidP="0073749B">
      <w:pPr>
        <w:spacing w:after="0" w:line="200" w:lineRule="exact"/>
        <w:rPr>
          <w:sz w:val="20"/>
          <w:szCs w:val="20"/>
        </w:rPr>
      </w:pPr>
    </w:p>
    <w:p w14:paraId="5625872A" w14:textId="78BF39FC" w:rsidR="00F43BF9" w:rsidRDefault="00F43BF9" w:rsidP="0073749B">
      <w:pPr>
        <w:spacing w:after="0" w:line="200" w:lineRule="exact"/>
        <w:rPr>
          <w:sz w:val="20"/>
          <w:szCs w:val="20"/>
        </w:rPr>
      </w:pPr>
    </w:p>
    <w:p w14:paraId="5B206FAE" w14:textId="06695F39" w:rsidR="00F43BF9" w:rsidRDefault="00F43BF9" w:rsidP="0073749B">
      <w:pPr>
        <w:spacing w:after="0" w:line="200" w:lineRule="exact"/>
        <w:rPr>
          <w:sz w:val="20"/>
          <w:szCs w:val="20"/>
        </w:rPr>
      </w:pPr>
    </w:p>
    <w:p w14:paraId="1376CE99" w14:textId="77777777" w:rsidR="00F43BF9" w:rsidRDefault="00F43BF9" w:rsidP="0073749B">
      <w:pPr>
        <w:spacing w:after="0" w:line="200" w:lineRule="exact"/>
        <w:rPr>
          <w:sz w:val="20"/>
          <w:szCs w:val="20"/>
        </w:rPr>
      </w:pPr>
    </w:p>
    <w:p w14:paraId="3CD1EE01" w14:textId="0CCBCDEB" w:rsidR="0073749B" w:rsidRDefault="0073749B" w:rsidP="0073749B">
      <w:pPr>
        <w:spacing w:before="29"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13.  </w:t>
      </w:r>
      <w:r>
        <w:rPr>
          <w:rFonts w:ascii="Times New Roman" w:eastAsia="Times New Roman" w:hAnsi="Times New Roman" w:cs="Times New Roman"/>
          <w:b/>
          <w:bCs/>
          <w:position w:val="-1"/>
          <w:sz w:val="24"/>
          <w:szCs w:val="24"/>
          <w:u w:val="thick" w:color="000000"/>
        </w:rPr>
        <w:t>Esti</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To</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al A</w:t>
      </w:r>
      <w:r>
        <w:rPr>
          <w:rFonts w:ascii="Times New Roman" w:eastAsia="Times New Roman" w:hAnsi="Times New Roman" w:cs="Times New Roman"/>
          <w:b/>
          <w:bCs/>
          <w:spacing w:val="1"/>
          <w:position w:val="-1"/>
          <w:sz w:val="24"/>
          <w:szCs w:val="24"/>
          <w:u w:val="thick" w:color="000000"/>
        </w:rPr>
        <w:t>nnu</w:t>
      </w:r>
      <w:r>
        <w:rPr>
          <w:rFonts w:ascii="Times New Roman" w:eastAsia="Times New Roman" w:hAnsi="Times New Roman" w:cs="Times New Roman"/>
          <w:b/>
          <w:bCs/>
          <w:position w:val="-1"/>
          <w:sz w:val="24"/>
          <w:szCs w:val="24"/>
          <w:u w:val="thick" w:color="000000"/>
        </w:rPr>
        <w:t>al Cost B</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o R</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nd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ts or</w:t>
      </w:r>
      <w:r>
        <w:rPr>
          <w:rFonts w:ascii="Times New Roman" w:eastAsia="Times New Roman" w:hAnsi="Times New Roman" w:cs="Times New Roman"/>
          <w:b/>
          <w:bCs/>
          <w:spacing w:val="-1"/>
          <w:position w:val="-1"/>
          <w:sz w:val="24"/>
          <w:szCs w:val="24"/>
          <w:u w:val="thick" w:color="000000"/>
        </w:rPr>
        <w:t xml:space="preserve"> </w:t>
      </w:r>
      <w:r w:rsidR="00E97F1B">
        <w:rPr>
          <w:rFonts w:ascii="Times New Roman" w:eastAsia="Times New Roman" w:hAnsi="Times New Roman" w:cs="Times New Roman"/>
          <w:b/>
          <w:bCs/>
          <w:position w:val="-1"/>
          <w:sz w:val="24"/>
          <w:szCs w:val="24"/>
          <w:u w:val="thick" w:color="000000"/>
        </w:rPr>
        <w:t>R</w:t>
      </w:r>
      <w:r w:rsidR="00E97F1B">
        <w:rPr>
          <w:rFonts w:ascii="Times New Roman" w:eastAsia="Times New Roman" w:hAnsi="Times New Roman" w:cs="Times New Roman"/>
          <w:b/>
          <w:bCs/>
          <w:spacing w:val="-1"/>
          <w:position w:val="-1"/>
          <w:sz w:val="24"/>
          <w:szCs w:val="24"/>
          <w:u w:val="thick" w:color="000000"/>
        </w:rPr>
        <w:t>ec</w:t>
      </w:r>
      <w:r w:rsidR="00E97F1B">
        <w:rPr>
          <w:rFonts w:ascii="Times New Roman" w:eastAsia="Times New Roman" w:hAnsi="Times New Roman" w:cs="Times New Roman"/>
          <w:b/>
          <w:bCs/>
          <w:position w:val="-1"/>
          <w:sz w:val="24"/>
          <w:szCs w:val="24"/>
          <w:u w:val="thick" w:color="000000"/>
        </w:rPr>
        <w:t>o</w:t>
      </w:r>
      <w:r w:rsidR="00E97F1B">
        <w:rPr>
          <w:rFonts w:ascii="Times New Roman" w:eastAsia="Times New Roman" w:hAnsi="Times New Roman" w:cs="Times New Roman"/>
          <w:b/>
          <w:bCs/>
          <w:spacing w:val="-1"/>
          <w:position w:val="-1"/>
          <w:sz w:val="24"/>
          <w:szCs w:val="24"/>
          <w:u w:val="thick" w:color="000000"/>
        </w:rPr>
        <w:t>r</w:t>
      </w:r>
      <w:r w:rsidR="00E97F1B">
        <w:rPr>
          <w:rFonts w:ascii="Times New Roman" w:eastAsia="Times New Roman" w:hAnsi="Times New Roman" w:cs="Times New Roman"/>
          <w:b/>
          <w:bCs/>
          <w:spacing w:val="1"/>
          <w:position w:val="-1"/>
          <w:sz w:val="24"/>
          <w:szCs w:val="24"/>
          <w:u w:val="thick" w:color="000000"/>
        </w:rPr>
        <w:t>d-</w:t>
      </w:r>
      <w:r w:rsidR="00E97F1B">
        <w:rPr>
          <w:rFonts w:ascii="Times New Roman" w:eastAsia="Times New Roman" w:hAnsi="Times New Roman" w:cs="Times New Roman"/>
          <w:b/>
          <w:bCs/>
          <w:spacing w:val="-1"/>
          <w:position w:val="-1"/>
          <w:sz w:val="24"/>
          <w:szCs w:val="24"/>
          <w:u w:val="thick" w:color="000000"/>
        </w:rPr>
        <w:t>ke</w:t>
      </w:r>
      <w:r w:rsidR="00E97F1B">
        <w:rPr>
          <w:rFonts w:ascii="Times New Roman" w:eastAsia="Times New Roman" w:hAnsi="Times New Roman" w:cs="Times New Roman"/>
          <w:b/>
          <w:bCs/>
          <w:spacing w:val="1"/>
          <w:position w:val="-1"/>
          <w:sz w:val="24"/>
          <w:szCs w:val="24"/>
          <w:u w:val="thick" w:color="000000"/>
        </w:rPr>
        <w:t>e</w:t>
      </w:r>
      <w:r w:rsidR="00E97F1B">
        <w:rPr>
          <w:rFonts w:ascii="Times New Roman" w:eastAsia="Times New Roman" w:hAnsi="Times New Roman" w:cs="Times New Roman"/>
          <w:b/>
          <w:bCs/>
          <w:spacing w:val="-1"/>
          <w:position w:val="-1"/>
          <w:sz w:val="24"/>
          <w:szCs w:val="24"/>
          <w:u w:val="thick" w:color="000000"/>
        </w:rPr>
        <w:t>pe</w:t>
      </w:r>
      <w:r w:rsidR="00E97F1B">
        <w:rPr>
          <w:rFonts w:ascii="Times New Roman" w:eastAsia="Times New Roman" w:hAnsi="Times New Roman" w:cs="Times New Roman"/>
          <w:b/>
          <w:bCs/>
          <w:position w:val="-1"/>
          <w:sz w:val="24"/>
          <w:szCs w:val="24"/>
          <w:u w:val="thick" w:color="000000"/>
        </w:rPr>
        <w:t>rs</w:t>
      </w:r>
    </w:p>
    <w:p w14:paraId="5CA46F4F" w14:textId="77777777" w:rsidR="0097516F" w:rsidRDefault="0097516F" w:rsidP="0097516F">
      <w:pPr>
        <w:pStyle w:val="BodyText"/>
        <w:spacing w:before="90" w:line="247" w:lineRule="auto"/>
        <w:ind w:right="236"/>
        <w:rPr>
          <w:rFonts w:asciiTheme="minorHAnsi" w:eastAsiaTheme="minorHAnsi" w:hAnsiTheme="minorHAnsi" w:cstheme="minorBidi"/>
          <w:lang w:bidi="ar-SA"/>
        </w:rPr>
      </w:pPr>
    </w:p>
    <w:p w14:paraId="2B4F0676" w14:textId="469310D8" w:rsidR="00CA100D" w:rsidRDefault="00CA100D" w:rsidP="0097516F">
      <w:pPr>
        <w:pStyle w:val="BodyText"/>
        <w:spacing w:before="90" w:line="247" w:lineRule="auto"/>
        <w:ind w:right="236"/>
      </w:pPr>
      <w:r>
        <w:t>There will be no annualized capital or start-up costs for the respondents to collect and submit this information.</w:t>
      </w:r>
    </w:p>
    <w:p w14:paraId="11B7B1C4" w14:textId="77777777" w:rsidR="0073749B" w:rsidRDefault="0073749B" w:rsidP="0073749B">
      <w:pPr>
        <w:spacing w:before="1" w:after="0" w:line="280" w:lineRule="exact"/>
        <w:rPr>
          <w:sz w:val="28"/>
          <w:szCs w:val="28"/>
        </w:rPr>
      </w:pPr>
    </w:p>
    <w:p w14:paraId="4F2B57F6" w14:textId="77777777" w:rsidR="0073749B" w:rsidRDefault="0073749B" w:rsidP="0073749B">
      <w:pPr>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14.  </w:t>
      </w:r>
      <w:r>
        <w:rPr>
          <w:rFonts w:ascii="Times New Roman" w:eastAsia="Times New Roman" w:hAnsi="Times New Roman" w:cs="Times New Roman"/>
          <w:b/>
          <w:bCs/>
          <w:position w:val="-1"/>
          <w:sz w:val="24"/>
          <w:szCs w:val="24"/>
          <w:u w:val="thick" w:color="000000"/>
        </w:rPr>
        <w:t>Esti</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Cost</w:t>
      </w:r>
      <w:r>
        <w:rPr>
          <w:rFonts w:ascii="Times New Roman" w:eastAsia="Times New Roman" w:hAnsi="Times New Roman" w:cs="Times New Roman"/>
          <w:b/>
          <w:bCs/>
          <w:spacing w:val="-1"/>
          <w:position w:val="-1"/>
          <w:sz w:val="24"/>
          <w:szCs w:val="24"/>
          <w:u w:val="thick" w:color="000000"/>
        </w:rPr>
        <w:t xml:space="preserve"> t</w:t>
      </w:r>
      <w:r>
        <w:rPr>
          <w:rFonts w:ascii="Times New Roman" w:eastAsia="Times New Roman" w:hAnsi="Times New Roman" w:cs="Times New Roman"/>
          <w:b/>
          <w:bCs/>
          <w:position w:val="-1"/>
          <w:sz w:val="24"/>
          <w:szCs w:val="24"/>
          <w:u w:val="thick" w:color="000000"/>
        </w:rPr>
        <w:t xml:space="preserve">o </w:t>
      </w:r>
      <w:r>
        <w:rPr>
          <w:rFonts w:ascii="Times New Roman" w:eastAsia="Times New Roman" w:hAnsi="Times New Roman" w:cs="Times New Roman"/>
          <w:b/>
          <w:bCs/>
          <w:spacing w:val="1"/>
          <w:position w:val="-1"/>
          <w:sz w:val="24"/>
          <w:szCs w:val="24"/>
          <w:u w:val="thick" w:color="000000"/>
        </w:rPr>
        <w:t>th</w:t>
      </w:r>
      <w:r>
        <w:rPr>
          <w:rFonts w:ascii="Times New Roman" w:eastAsia="Times New Roman" w:hAnsi="Times New Roman" w:cs="Times New Roman"/>
          <w:b/>
          <w:bCs/>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3"/>
          <w:position w:val="-1"/>
          <w:sz w:val="24"/>
          <w:szCs w:val="24"/>
          <w:u w:val="thick" w:color="000000"/>
        </w:rPr>
        <w:t>F</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de</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 xml:space="preserve">al </w:t>
      </w:r>
      <w:r>
        <w:rPr>
          <w:rFonts w:ascii="Times New Roman" w:eastAsia="Times New Roman" w:hAnsi="Times New Roman" w:cs="Times New Roman"/>
          <w:b/>
          <w:bCs/>
          <w:spacing w:val="-1"/>
          <w:position w:val="-1"/>
          <w:sz w:val="24"/>
          <w:szCs w:val="24"/>
          <w:u w:val="thick" w:color="000000"/>
        </w:rPr>
        <w:t>G</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2"/>
          <w:position w:val="-1"/>
          <w:sz w:val="24"/>
          <w:szCs w:val="24"/>
          <w:u w:val="thick" w:color="000000"/>
        </w:rPr>
        <w:t>v</w:t>
      </w:r>
      <w:r>
        <w:rPr>
          <w:rFonts w:ascii="Times New Roman" w:eastAsia="Times New Roman" w:hAnsi="Times New Roman" w:cs="Times New Roman"/>
          <w:b/>
          <w:bCs/>
          <w:spacing w:val="-1"/>
          <w:position w:val="-1"/>
          <w:sz w:val="24"/>
          <w:szCs w:val="24"/>
          <w:u w:val="thick" w:color="000000"/>
        </w:rPr>
        <w:t>er</w:t>
      </w:r>
      <w:r>
        <w:rPr>
          <w:rFonts w:ascii="Times New Roman" w:eastAsia="Times New Roman" w:hAnsi="Times New Roman" w:cs="Times New Roman"/>
          <w:b/>
          <w:bCs/>
          <w:spacing w:val="3"/>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me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t</w:t>
      </w:r>
    </w:p>
    <w:p w14:paraId="4CDA5534" w14:textId="77777777" w:rsidR="0097516F" w:rsidRDefault="0097516F" w:rsidP="0097516F">
      <w:pPr>
        <w:pStyle w:val="BodyText"/>
        <w:spacing w:before="92" w:line="237" w:lineRule="auto"/>
        <w:ind w:right="236"/>
      </w:pPr>
    </w:p>
    <w:p w14:paraId="6F0387C0" w14:textId="77777777" w:rsidR="000E196B" w:rsidRDefault="000E196B" w:rsidP="0097516F">
      <w:pPr>
        <w:pStyle w:val="BodyText"/>
        <w:spacing w:before="92" w:line="237" w:lineRule="auto"/>
        <w:ind w:right="236"/>
      </w:pPr>
      <w:r>
        <w:t>The Bureau does not incur any unique or additional costs as a result of this collection of information.</w:t>
      </w:r>
    </w:p>
    <w:p w14:paraId="757BC51C" w14:textId="77777777" w:rsidR="0073749B" w:rsidRDefault="0073749B" w:rsidP="0073749B">
      <w:pPr>
        <w:spacing w:after="0" w:line="271" w:lineRule="exact"/>
        <w:ind w:left="120" w:right="-20"/>
        <w:rPr>
          <w:rFonts w:ascii="Times New Roman" w:eastAsia="Times New Roman" w:hAnsi="Times New Roman" w:cs="Times New Roman"/>
          <w:b/>
          <w:bCs/>
          <w:position w:val="-1"/>
          <w:sz w:val="24"/>
          <w:szCs w:val="24"/>
        </w:rPr>
      </w:pPr>
    </w:p>
    <w:p w14:paraId="2845C6D3" w14:textId="77777777" w:rsidR="0073749B" w:rsidRDefault="0073749B" w:rsidP="0073749B">
      <w:pPr>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15.  </w:t>
      </w: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2"/>
          <w:position w:val="-1"/>
          <w:sz w:val="24"/>
          <w:szCs w:val="24"/>
          <w:u w:val="thick" w:color="000000"/>
        </w:rPr>
        <w:t>g</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2"/>
          <w:position w:val="-1"/>
          <w:sz w:val="24"/>
          <w:szCs w:val="24"/>
          <w:u w:val="thick" w:color="000000"/>
        </w:rPr>
        <w:t>a</w:t>
      </w:r>
      <w:r>
        <w:rPr>
          <w:rFonts w:ascii="Times New Roman" w:eastAsia="Times New Roman" w:hAnsi="Times New Roman" w:cs="Times New Roman"/>
          <w:b/>
          <w:bCs/>
          <w:position w:val="-1"/>
          <w:sz w:val="24"/>
          <w:szCs w:val="24"/>
          <w:u w:val="thick" w:color="000000"/>
        </w:rPr>
        <w:t>m</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Cha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g</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or</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Adjus</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ts</w:t>
      </w:r>
    </w:p>
    <w:p w14:paraId="17E945AD" w14:textId="77777777" w:rsidR="0073749B" w:rsidRDefault="0073749B" w:rsidP="0073749B">
      <w:pPr>
        <w:spacing w:before="7" w:after="0" w:line="240" w:lineRule="exact"/>
        <w:rPr>
          <w:sz w:val="24"/>
          <w:szCs w:val="24"/>
        </w:rPr>
      </w:pPr>
    </w:p>
    <w:p w14:paraId="3EB9A870" w14:textId="15E4845C" w:rsidR="004C4251" w:rsidRPr="0097516F" w:rsidRDefault="00E1383B" w:rsidP="004C4251">
      <w:pPr>
        <w:spacing w:before="1" w:line="208" w:lineRule="auto"/>
        <w:ind w:left="220" w:right="236"/>
        <w:rPr>
          <w:rFonts w:ascii="Times New Roman" w:hAnsi="Times New Roman" w:cs="Times New Roman"/>
          <w:sz w:val="24"/>
          <w:szCs w:val="24"/>
        </w:rPr>
      </w:pPr>
      <w:r>
        <w:rPr>
          <w:rFonts w:ascii="Times New Roman" w:hAnsi="Times New Roman" w:cs="Times New Roman"/>
          <w:sz w:val="24"/>
          <w:szCs w:val="24"/>
        </w:rPr>
        <w:t xml:space="preserve">The changes in </w:t>
      </w:r>
      <w:r w:rsidR="00780319">
        <w:rPr>
          <w:rFonts w:ascii="Times New Roman" w:hAnsi="Times New Roman" w:cs="Times New Roman"/>
          <w:sz w:val="24"/>
          <w:szCs w:val="24"/>
        </w:rPr>
        <w:t>b</w:t>
      </w:r>
      <w:r>
        <w:rPr>
          <w:rFonts w:ascii="Times New Roman" w:hAnsi="Times New Roman" w:cs="Times New Roman"/>
          <w:sz w:val="24"/>
          <w:szCs w:val="24"/>
        </w:rPr>
        <w:t xml:space="preserve">urden reflect the Bureau’s decision to discontinue </w:t>
      </w:r>
      <w:r w:rsidR="007C542C">
        <w:rPr>
          <w:rFonts w:ascii="Times New Roman" w:hAnsi="Times New Roman" w:cs="Times New Roman"/>
          <w:sz w:val="24"/>
          <w:szCs w:val="24"/>
        </w:rPr>
        <w:t xml:space="preserve">and </w:t>
      </w:r>
      <w:r w:rsidR="008244C1">
        <w:rPr>
          <w:rFonts w:ascii="Times New Roman" w:hAnsi="Times New Roman" w:cs="Times New Roman"/>
          <w:sz w:val="24"/>
          <w:szCs w:val="24"/>
        </w:rPr>
        <w:t xml:space="preserve">subsequently </w:t>
      </w:r>
      <w:r w:rsidR="006E16A0">
        <w:rPr>
          <w:rFonts w:ascii="Times New Roman" w:hAnsi="Times New Roman" w:cs="Times New Roman"/>
          <w:sz w:val="24"/>
          <w:szCs w:val="24"/>
        </w:rPr>
        <w:t xml:space="preserve">to seek a reinstatement of </w:t>
      </w:r>
      <w:r w:rsidR="002805C4">
        <w:rPr>
          <w:rFonts w:ascii="Times New Roman" w:hAnsi="Times New Roman" w:cs="Times New Roman"/>
          <w:sz w:val="24"/>
          <w:szCs w:val="24"/>
        </w:rPr>
        <w:t xml:space="preserve">this </w:t>
      </w:r>
      <w:r w:rsidR="004124C2">
        <w:rPr>
          <w:rFonts w:ascii="Times New Roman" w:hAnsi="Times New Roman" w:cs="Times New Roman"/>
          <w:sz w:val="24"/>
          <w:szCs w:val="24"/>
        </w:rPr>
        <w:t>collection of information</w:t>
      </w:r>
      <w:r w:rsidR="00780319">
        <w:rPr>
          <w:rFonts w:ascii="Times New Roman" w:hAnsi="Times New Roman" w:cs="Times New Roman"/>
          <w:sz w:val="24"/>
          <w:szCs w:val="24"/>
        </w:rPr>
        <w:t xml:space="preserve">; therefore, </w:t>
      </w:r>
      <w:r w:rsidR="00282DC2">
        <w:rPr>
          <w:rFonts w:ascii="Times New Roman" w:hAnsi="Times New Roman" w:cs="Times New Roman"/>
          <w:sz w:val="24"/>
          <w:szCs w:val="24"/>
        </w:rPr>
        <w:t xml:space="preserve">the burden change is considered a program change. </w:t>
      </w:r>
      <w:r w:rsidR="00D65055">
        <w:rPr>
          <w:rFonts w:ascii="Times New Roman" w:hAnsi="Times New Roman" w:cs="Times New Roman"/>
          <w:sz w:val="24"/>
          <w:szCs w:val="24"/>
        </w:rPr>
        <w:t xml:space="preserve">The Bureau discontinued </w:t>
      </w:r>
      <w:r w:rsidR="00727A1B">
        <w:rPr>
          <w:rFonts w:ascii="Times New Roman" w:hAnsi="Times New Roman" w:cs="Times New Roman"/>
          <w:sz w:val="24"/>
          <w:szCs w:val="24"/>
        </w:rPr>
        <w:t xml:space="preserve">this </w:t>
      </w:r>
      <w:r>
        <w:rPr>
          <w:rFonts w:ascii="Times New Roman" w:hAnsi="Times New Roman" w:cs="Times New Roman"/>
          <w:sz w:val="24"/>
          <w:szCs w:val="24"/>
        </w:rPr>
        <w:t xml:space="preserve"> information collection </w:t>
      </w:r>
      <w:r w:rsidR="00727A1B">
        <w:rPr>
          <w:rFonts w:ascii="Times New Roman" w:hAnsi="Times New Roman" w:cs="Times New Roman"/>
          <w:sz w:val="24"/>
          <w:szCs w:val="24"/>
        </w:rPr>
        <w:t xml:space="preserve"> as it </w:t>
      </w:r>
      <w:r w:rsidR="00252EA8">
        <w:rPr>
          <w:rFonts w:ascii="Times New Roman" w:hAnsi="Times New Roman" w:cs="Times New Roman"/>
          <w:sz w:val="24"/>
          <w:szCs w:val="24"/>
        </w:rPr>
        <w:t xml:space="preserve">was </w:t>
      </w:r>
      <w:r w:rsidR="00727A1B">
        <w:rPr>
          <w:rFonts w:ascii="Times New Roman" w:hAnsi="Times New Roman" w:cs="Times New Roman"/>
          <w:sz w:val="24"/>
          <w:szCs w:val="24"/>
        </w:rPr>
        <w:t>undergo</w:t>
      </w:r>
      <w:r w:rsidR="008817F5">
        <w:rPr>
          <w:rFonts w:ascii="Times New Roman" w:hAnsi="Times New Roman" w:cs="Times New Roman"/>
          <w:sz w:val="24"/>
          <w:szCs w:val="24"/>
        </w:rPr>
        <w:t>ing</w:t>
      </w:r>
      <w:r w:rsidR="00727A1B">
        <w:rPr>
          <w:rFonts w:ascii="Times New Roman" w:hAnsi="Times New Roman" w:cs="Times New Roman"/>
          <w:sz w:val="24"/>
          <w:szCs w:val="24"/>
        </w:rPr>
        <w:t xml:space="preserve"> </w:t>
      </w:r>
      <w:r w:rsidR="008817F5">
        <w:rPr>
          <w:rFonts w:ascii="Times New Roman" w:hAnsi="Times New Roman" w:cs="Times New Roman"/>
          <w:sz w:val="24"/>
          <w:szCs w:val="24"/>
        </w:rPr>
        <w:t xml:space="preserve">certain </w:t>
      </w:r>
      <w:r w:rsidR="00727A1B">
        <w:rPr>
          <w:rFonts w:ascii="Times New Roman" w:hAnsi="Times New Roman" w:cs="Times New Roman"/>
          <w:sz w:val="24"/>
          <w:szCs w:val="24"/>
        </w:rPr>
        <w:t>revisions</w:t>
      </w:r>
      <w:r w:rsidR="008817F5">
        <w:rPr>
          <w:rFonts w:ascii="Times New Roman" w:hAnsi="Times New Roman" w:cs="Times New Roman"/>
          <w:sz w:val="24"/>
          <w:szCs w:val="24"/>
        </w:rPr>
        <w:t xml:space="preserve"> to enhance the utility of the collection</w:t>
      </w:r>
      <w:r w:rsidR="00727A1B">
        <w:rPr>
          <w:rFonts w:ascii="Times New Roman" w:hAnsi="Times New Roman" w:cs="Times New Roman"/>
          <w:sz w:val="24"/>
          <w:szCs w:val="24"/>
        </w:rPr>
        <w:t xml:space="preserve">.  </w:t>
      </w:r>
    </w:p>
    <w:p w14:paraId="4887674F" w14:textId="509A42A7" w:rsidR="008B7001" w:rsidRDefault="00E93832" w:rsidP="000E196B">
      <w:pPr>
        <w:spacing w:before="1" w:line="208" w:lineRule="auto"/>
        <w:ind w:left="220" w:right="236"/>
        <w:rPr>
          <w:rFonts w:ascii="Times New Roman" w:hAnsi="Times New Roman" w:cs="Times New Roman"/>
          <w:sz w:val="24"/>
          <w:szCs w:val="24"/>
        </w:rPr>
      </w:pPr>
      <w:r>
        <w:rPr>
          <w:rFonts w:ascii="Times New Roman" w:hAnsi="Times New Roman" w:cs="Times New Roman"/>
          <w:sz w:val="24"/>
          <w:szCs w:val="24"/>
        </w:rPr>
        <w:t xml:space="preserve">The </w:t>
      </w:r>
      <w:r w:rsidR="00AF4883">
        <w:rPr>
          <w:rFonts w:ascii="Times New Roman" w:hAnsi="Times New Roman" w:cs="Times New Roman"/>
          <w:sz w:val="24"/>
          <w:szCs w:val="24"/>
        </w:rPr>
        <w:t>previously</w:t>
      </w:r>
      <w:r>
        <w:rPr>
          <w:rFonts w:ascii="Times New Roman" w:hAnsi="Times New Roman" w:cs="Times New Roman"/>
          <w:sz w:val="24"/>
          <w:szCs w:val="24"/>
        </w:rPr>
        <w:t xml:space="preserve"> approved burden </w:t>
      </w:r>
      <w:r w:rsidR="00AF4883">
        <w:rPr>
          <w:rFonts w:ascii="Times New Roman" w:hAnsi="Times New Roman" w:cs="Times New Roman"/>
          <w:sz w:val="24"/>
          <w:szCs w:val="24"/>
        </w:rPr>
        <w:t xml:space="preserve">was 425 respondents, 805 responses, and </w:t>
      </w:r>
      <w:r w:rsidR="003B534C">
        <w:rPr>
          <w:rFonts w:ascii="Times New Roman" w:hAnsi="Times New Roman" w:cs="Times New Roman"/>
          <w:sz w:val="24"/>
          <w:szCs w:val="24"/>
        </w:rPr>
        <w:t xml:space="preserve">503 hours. As compared to the previous approval, the </w:t>
      </w:r>
      <w:r w:rsidR="00612A45">
        <w:rPr>
          <w:rFonts w:ascii="Times New Roman" w:hAnsi="Times New Roman" w:cs="Times New Roman"/>
          <w:sz w:val="24"/>
          <w:szCs w:val="24"/>
        </w:rPr>
        <w:t xml:space="preserve">estimated </w:t>
      </w:r>
      <w:r w:rsidR="003B534C">
        <w:rPr>
          <w:rFonts w:ascii="Times New Roman" w:hAnsi="Times New Roman" w:cs="Times New Roman"/>
          <w:sz w:val="24"/>
          <w:szCs w:val="24"/>
        </w:rPr>
        <w:t xml:space="preserve">number of </w:t>
      </w:r>
      <w:r w:rsidR="00165F4E">
        <w:rPr>
          <w:rFonts w:ascii="Times New Roman" w:hAnsi="Times New Roman" w:cs="Times New Roman"/>
          <w:sz w:val="24"/>
          <w:szCs w:val="24"/>
        </w:rPr>
        <w:t>respondents</w:t>
      </w:r>
      <w:r w:rsidR="003B534C">
        <w:rPr>
          <w:rFonts w:ascii="Times New Roman" w:hAnsi="Times New Roman" w:cs="Times New Roman"/>
          <w:sz w:val="24"/>
          <w:szCs w:val="24"/>
        </w:rPr>
        <w:t xml:space="preserve"> is </w:t>
      </w:r>
      <w:r w:rsidR="00165F4E">
        <w:rPr>
          <w:rFonts w:ascii="Times New Roman" w:hAnsi="Times New Roman" w:cs="Times New Roman"/>
          <w:sz w:val="24"/>
          <w:szCs w:val="24"/>
        </w:rPr>
        <w:t>projected</w:t>
      </w:r>
      <w:r w:rsidR="003B534C">
        <w:rPr>
          <w:rFonts w:ascii="Times New Roman" w:hAnsi="Times New Roman" w:cs="Times New Roman"/>
          <w:sz w:val="24"/>
          <w:szCs w:val="24"/>
        </w:rPr>
        <w:t xml:space="preserve"> to remain at </w:t>
      </w:r>
      <w:r w:rsidR="00165F4E">
        <w:rPr>
          <w:rFonts w:ascii="Times New Roman" w:hAnsi="Times New Roman" w:cs="Times New Roman"/>
          <w:sz w:val="24"/>
          <w:szCs w:val="24"/>
        </w:rPr>
        <w:t xml:space="preserve">425, </w:t>
      </w:r>
      <w:r w:rsidR="00612A45">
        <w:rPr>
          <w:rFonts w:ascii="Times New Roman" w:hAnsi="Times New Roman" w:cs="Times New Roman"/>
          <w:sz w:val="24"/>
          <w:szCs w:val="24"/>
        </w:rPr>
        <w:t xml:space="preserve">while the estimated number of responses has decreased from 805 to 735 and the estimated number of burden hours has decreased from </w:t>
      </w:r>
      <w:r w:rsidR="00715C28">
        <w:rPr>
          <w:rFonts w:ascii="Times New Roman" w:hAnsi="Times New Roman" w:cs="Times New Roman"/>
          <w:sz w:val="24"/>
          <w:szCs w:val="24"/>
        </w:rPr>
        <w:t xml:space="preserve">503 to 491. </w:t>
      </w:r>
      <w:r w:rsidR="00EE2D32">
        <w:rPr>
          <w:rFonts w:ascii="Times New Roman" w:hAnsi="Times New Roman" w:cs="Times New Roman"/>
          <w:sz w:val="24"/>
          <w:szCs w:val="24"/>
        </w:rPr>
        <w:t>The reduction in the estimated number of response</w:t>
      </w:r>
      <w:r w:rsidR="00B352A9">
        <w:rPr>
          <w:rFonts w:ascii="Times New Roman" w:hAnsi="Times New Roman" w:cs="Times New Roman"/>
          <w:sz w:val="24"/>
          <w:szCs w:val="24"/>
        </w:rPr>
        <w:t>s</w:t>
      </w:r>
      <w:r w:rsidR="00EE2D32">
        <w:rPr>
          <w:rFonts w:ascii="Times New Roman" w:hAnsi="Times New Roman" w:cs="Times New Roman"/>
          <w:sz w:val="24"/>
          <w:szCs w:val="24"/>
        </w:rPr>
        <w:t xml:space="preserve"> and hours </w:t>
      </w:r>
      <w:r w:rsidR="009D4B30">
        <w:rPr>
          <w:rFonts w:ascii="Times New Roman" w:hAnsi="Times New Roman" w:cs="Times New Roman"/>
          <w:sz w:val="24"/>
          <w:szCs w:val="24"/>
        </w:rPr>
        <w:t>results</w:t>
      </w:r>
      <w:r w:rsidR="00EE2D32">
        <w:rPr>
          <w:rFonts w:ascii="Times New Roman" w:hAnsi="Times New Roman" w:cs="Times New Roman"/>
          <w:sz w:val="24"/>
          <w:szCs w:val="24"/>
        </w:rPr>
        <w:t xml:space="preserve"> from the </w:t>
      </w:r>
      <w:r w:rsidR="009D4B30">
        <w:rPr>
          <w:rFonts w:ascii="Times New Roman" w:hAnsi="Times New Roman" w:cs="Times New Roman"/>
          <w:sz w:val="24"/>
          <w:szCs w:val="24"/>
        </w:rPr>
        <w:t>Bureau</w:t>
      </w:r>
      <w:r w:rsidR="00EE2D32">
        <w:rPr>
          <w:rFonts w:ascii="Times New Roman" w:hAnsi="Times New Roman" w:cs="Times New Roman"/>
          <w:sz w:val="24"/>
          <w:szCs w:val="24"/>
        </w:rPr>
        <w:t xml:space="preserve"> removing the </w:t>
      </w:r>
      <w:r w:rsidR="00E85D64">
        <w:rPr>
          <w:rFonts w:ascii="Times New Roman" w:hAnsi="Times New Roman" w:cs="Times New Roman"/>
          <w:sz w:val="24"/>
          <w:szCs w:val="24"/>
        </w:rPr>
        <w:t xml:space="preserve">previously approved </w:t>
      </w:r>
      <w:r w:rsidR="009D4B30">
        <w:rPr>
          <w:rFonts w:ascii="Times New Roman" w:hAnsi="Times New Roman" w:cs="Times New Roman"/>
          <w:sz w:val="24"/>
          <w:szCs w:val="24"/>
        </w:rPr>
        <w:t xml:space="preserve"> feedback survey from this</w:t>
      </w:r>
      <w:r w:rsidR="00E85D64">
        <w:rPr>
          <w:rFonts w:ascii="Times New Roman" w:hAnsi="Times New Roman" w:cs="Times New Roman"/>
          <w:sz w:val="24"/>
          <w:szCs w:val="24"/>
        </w:rPr>
        <w:t xml:space="preserve"> OMB number. The </w:t>
      </w:r>
      <w:r w:rsidR="00164D27">
        <w:rPr>
          <w:rFonts w:ascii="Times New Roman" w:hAnsi="Times New Roman" w:cs="Times New Roman"/>
          <w:sz w:val="24"/>
          <w:szCs w:val="24"/>
        </w:rPr>
        <w:t>Bureau</w:t>
      </w:r>
      <w:r w:rsidR="00E85D64">
        <w:rPr>
          <w:rFonts w:ascii="Times New Roman" w:hAnsi="Times New Roman" w:cs="Times New Roman"/>
          <w:sz w:val="24"/>
          <w:szCs w:val="24"/>
        </w:rPr>
        <w:t xml:space="preserve"> is </w:t>
      </w:r>
      <w:r w:rsidR="00CA0217">
        <w:rPr>
          <w:rFonts w:ascii="Times New Roman" w:hAnsi="Times New Roman" w:cs="Times New Roman"/>
          <w:sz w:val="24"/>
          <w:szCs w:val="24"/>
        </w:rPr>
        <w:t>considering certain changes to t</w:t>
      </w:r>
      <w:r w:rsidR="00DA360D">
        <w:rPr>
          <w:rFonts w:ascii="Times New Roman" w:hAnsi="Times New Roman" w:cs="Times New Roman"/>
          <w:sz w:val="24"/>
          <w:szCs w:val="24"/>
        </w:rPr>
        <w:t>his</w:t>
      </w:r>
      <w:r w:rsidR="00CA0217">
        <w:rPr>
          <w:rFonts w:ascii="Times New Roman" w:hAnsi="Times New Roman" w:cs="Times New Roman"/>
          <w:sz w:val="24"/>
          <w:szCs w:val="24"/>
        </w:rPr>
        <w:t xml:space="preserve"> survey and will seek OM</w:t>
      </w:r>
      <w:r w:rsidR="00164D27">
        <w:rPr>
          <w:rFonts w:ascii="Times New Roman" w:hAnsi="Times New Roman" w:cs="Times New Roman"/>
          <w:sz w:val="24"/>
          <w:szCs w:val="24"/>
        </w:rPr>
        <w:t>B</w:t>
      </w:r>
      <w:r w:rsidR="00CA0217">
        <w:rPr>
          <w:rFonts w:ascii="Times New Roman" w:hAnsi="Times New Roman" w:cs="Times New Roman"/>
          <w:sz w:val="24"/>
          <w:szCs w:val="24"/>
        </w:rPr>
        <w:t xml:space="preserve"> approval separately in the future should it decide to </w:t>
      </w:r>
      <w:r w:rsidR="00164D27">
        <w:rPr>
          <w:rFonts w:ascii="Times New Roman" w:hAnsi="Times New Roman" w:cs="Times New Roman"/>
          <w:sz w:val="24"/>
          <w:szCs w:val="24"/>
        </w:rPr>
        <w:t xml:space="preserve">reinstate the use of that survey </w:t>
      </w:r>
      <w:r w:rsidR="0087419D">
        <w:rPr>
          <w:rFonts w:ascii="Times New Roman" w:hAnsi="Times New Roman" w:cs="Times New Roman"/>
          <w:sz w:val="24"/>
          <w:szCs w:val="24"/>
        </w:rPr>
        <w:t>instrument.</w:t>
      </w:r>
    </w:p>
    <w:p w14:paraId="2E49DFB2" w14:textId="77777777" w:rsidR="000E196B" w:rsidRDefault="000E196B" w:rsidP="0073749B">
      <w:pPr>
        <w:spacing w:before="7" w:after="0" w:line="240" w:lineRule="exact"/>
        <w:rPr>
          <w:sz w:val="24"/>
          <w:szCs w:val="24"/>
        </w:rPr>
      </w:pPr>
    </w:p>
    <w:p w14:paraId="3894B12F" w14:textId="0B46C080" w:rsidR="000E196B" w:rsidRPr="00617E41" w:rsidRDefault="0073749B" w:rsidP="007374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617E41">
        <w:rPr>
          <w:rFonts w:ascii="Times New Roman" w:hAnsi="Times New Roman" w:cs="Times New Roman"/>
          <w:b/>
          <w:sz w:val="24"/>
          <w:szCs w:val="24"/>
        </w:rPr>
        <w:t>Exhib</w:t>
      </w:r>
      <w:r w:rsidR="00650351">
        <w:rPr>
          <w:rFonts w:ascii="Times New Roman" w:hAnsi="Times New Roman" w:cs="Times New Roman"/>
          <w:b/>
          <w:sz w:val="24"/>
          <w:szCs w:val="24"/>
        </w:rPr>
        <w:t>it 2: Summary of Burden Changes</w:t>
      </w:r>
    </w:p>
    <w:tbl>
      <w:tblPr>
        <w:tblStyle w:val="TableGrid"/>
        <w:tblW w:w="0" w:type="auto"/>
        <w:tblLayout w:type="fixed"/>
        <w:tblLook w:val="04A0" w:firstRow="1" w:lastRow="0" w:firstColumn="1" w:lastColumn="0" w:noHBand="0" w:noVBand="1"/>
      </w:tblPr>
      <w:tblGrid>
        <w:gridCol w:w="2268"/>
        <w:gridCol w:w="1800"/>
        <w:gridCol w:w="1620"/>
        <w:gridCol w:w="2070"/>
        <w:gridCol w:w="1620"/>
      </w:tblGrid>
      <w:tr w:rsidR="0073749B" w:rsidRPr="0010057A" w14:paraId="7A396F32" w14:textId="77777777" w:rsidTr="006B0F99">
        <w:tc>
          <w:tcPr>
            <w:tcW w:w="2268" w:type="dxa"/>
          </w:tcPr>
          <w:p w14:paraId="3B5E1BF6" w14:textId="77777777" w:rsidR="0073749B" w:rsidRPr="00617E41" w:rsidRDefault="0073749B" w:rsidP="006B0F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p>
        </w:tc>
        <w:tc>
          <w:tcPr>
            <w:tcW w:w="1800" w:type="dxa"/>
          </w:tcPr>
          <w:p w14:paraId="24637593" w14:textId="77777777" w:rsidR="0073749B" w:rsidRPr="00F25F15" w:rsidRDefault="0073749B" w:rsidP="006B0F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F25F15">
              <w:rPr>
                <w:b/>
                <w:sz w:val="24"/>
                <w:szCs w:val="24"/>
              </w:rPr>
              <w:t>Respondents</w:t>
            </w:r>
          </w:p>
        </w:tc>
        <w:tc>
          <w:tcPr>
            <w:tcW w:w="1620" w:type="dxa"/>
          </w:tcPr>
          <w:p w14:paraId="16A24DA4" w14:textId="77777777" w:rsidR="0073749B" w:rsidRPr="00F25F15" w:rsidRDefault="0073749B" w:rsidP="006B0F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F25F15">
              <w:rPr>
                <w:b/>
                <w:sz w:val="24"/>
                <w:szCs w:val="24"/>
              </w:rPr>
              <w:t xml:space="preserve">Responses </w:t>
            </w:r>
          </w:p>
        </w:tc>
        <w:tc>
          <w:tcPr>
            <w:tcW w:w="2070" w:type="dxa"/>
          </w:tcPr>
          <w:p w14:paraId="6B8939C2" w14:textId="77777777" w:rsidR="0073749B" w:rsidRPr="00F25F15" w:rsidRDefault="0073749B" w:rsidP="006B0F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F25F15">
              <w:rPr>
                <w:b/>
                <w:sz w:val="24"/>
                <w:szCs w:val="24"/>
              </w:rPr>
              <w:t>Burden Hours</w:t>
            </w:r>
          </w:p>
        </w:tc>
        <w:tc>
          <w:tcPr>
            <w:tcW w:w="1620" w:type="dxa"/>
          </w:tcPr>
          <w:p w14:paraId="0A79B5A0" w14:textId="77777777" w:rsidR="0073749B" w:rsidRPr="00F25F15" w:rsidRDefault="0073749B" w:rsidP="006B0F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F25F15">
              <w:rPr>
                <w:b/>
                <w:sz w:val="24"/>
                <w:szCs w:val="24"/>
              </w:rPr>
              <w:t>Cost Burden (O &amp; M)</w:t>
            </w:r>
          </w:p>
        </w:tc>
      </w:tr>
      <w:tr w:rsidR="0073749B" w:rsidRPr="0010057A" w14:paraId="5935A542" w14:textId="77777777" w:rsidTr="006B0F99">
        <w:tc>
          <w:tcPr>
            <w:tcW w:w="2268" w:type="dxa"/>
          </w:tcPr>
          <w:p w14:paraId="086BDA96" w14:textId="33548427" w:rsidR="0073749B" w:rsidRPr="00F25F15" w:rsidRDefault="0073749B" w:rsidP="00A015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25F15">
              <w:rPr>
                <w:sz w:val="24"/>
                <w:szCs w:val="24"/>
              </w:rPr>
              <w:t>Total Burden Requested</w:t>
            </w:r>
          </w:p>
        </w:tc>
        <w:tc>
          <w:tcPr>
            <w:tcW w:w="1800" w:type="dxa"/>
          </w:tcPr>
          <w:p w14:paraId="2CAD6511" w14:textId="6BB1FE7D" w:rsidR="0073749B" w:rsidRPr="00F25F15" w:rsidRDefault="00A01587" w:rsidP="006B0F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425</w:t>
            </w:r>
          </w:p>
        </w:tc>
        <w:tc>
          <w:tcPr>
            <w:tcW w:w="1620" w:type="dxa"/>
          </w:tcPr>
          <w:p w14:paraId="130AF5F9" w14:textId="4606B144" w:rsidR="0073749B" w:rsidRPr="00F25F15" w:rsidRDefault="00425026" w:rsidP="006B0F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735</w:t>
            </w:r>
          </w:p>
        </w:tc>
        <w:tc>
          <w:tcPr>
            <w:tcW w:w="2070" w:type="dxa"/>
          </w:tcPr>
          <w:p w14:paraId="268B1F29" w14:textId="2AE9B36B" w:rsidR="0073749B" w:rsidRPr="00F25F15" w:rsidRDefault="00425026" w:rsidP="006B0F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491</w:t>
            </w:r>
          </w:p>
        </w:tc>
        <w:tc>
          <w:tcPr>
            <w:tcW w:w="1620" w:type="dxa"/>
          </w:tcPr>
          <w:p w14:paraId="4237293B" w14:textId="77777777" w:rsidR="0073749B" w:rsidRPr="00F25F15" w:rsidRDefault="0073749B" w:rsidP="006B0F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25F15">
              <w:rPr>
                <w:sz w:val="24"/>
                <w:szCs w:val="24"/>
              </w:rPr>
              <w:t>0</w:t>
            </w:r>
          </w:p>
        </w:tc>
      </w:tr>
      <w:tr w:rsidR="0076165F" w:rsidRPr="0010057A" w14:paraId="7208042C" w14:textId="77777777" w:rsidTr="006B0F99">
        <w:tc>
          <w:tcPr>
            <w:tcW w:w="2268" w:type="dxa"/>
          </w:tcPr>
          <w:p w14:paraId="7A11B33C" w14:textId="77777777" w:rsidR="0076165F" w:rsidRPr="00F25F15" w:rsidRDefault="0076165F" w:rsidP="007616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25F15">
              <w:rPr>
                <w:sz w:val="24"/>
                <w:szCs w:val="24"/>
              </w:rPr>
              <w:t>Current OMB Inventory</w:t>
            </w:r>
          </w:p>
        </w:tc>
        <w:tc>
          <w:tcPr>
            <w:tcW w:w="1800" w:type="dxa"/>
          </w:tcPr>
          <w:p w14:paraId="1415F1F8" w14:textId="778CCE60" w:rsidR="0076165F" w:rsidRPr="00F25F15" w:rsidRDefault="00F67060" w:rsidP="007616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0</w:t>
            </w:r>
          </w:p>
        </w:tc>
        <w:tc>
          <w:tcPr>
            <w:tcW w:w="1620" w:type="dxa"/>
          </w:tcPr>
          <w:p w14:paraId="28F08399" w14:textId="6FD637A7" w:rsidR="0076165F" w:rsidRPr="00F25F15" w:rsidRDefault="00F67060" w:rsidP="007616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0</w:t>
            </w:r>
          </w:p>
        </w:tc>
        <w:tc>
          <w:tcPr>
            <w:tcW w:w="2070" w:type="dxa"/>
          </w:tcPr>
          <w:p w14:paraId="2DF54984" w14:textId="55F4A0D5" w:rsidR="0076165F" w:rsidRPr="00F25F15" w:rsidRDefault="00F67060" w:rsidP="007616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0</w:t>
            </w:r>
          </w:p>
        </w:tc>
        <w:tc>
          <w:tcPr>
            <w:tcW w:w="1620" w:type="dxa"/>
          </w:tcPr>
          <w:p w14:paraId="36122AFD" w14:textId="3D8CEE34" w:rsidR="0076165F" w:rsidRPr="00F25F15" w:rsidRDefault="0076165F" w:rsidP="007616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0</w:t>
            </w:r>
          </w:p>
        </w:tc>
      </w:tr>
      <w:tr w:rsidR="00456417" w:rsidRPr="0010057A" w14:paraId="3DF4AC45" w14:textId="77777777" w:rsidTr="006B0F99">
        <w:tc>
          <w:tcPr>
            <w:tcW w:w="2268" w:type="dxa"/>
            <w:tcBorders>
              <w:bottom w:val="single" w:sz="4" w:space="0" w:color="auto"/>
            </w:tcBorders>
          </w:tcPr>
          <w:p w14:paraId="38950B23" w14:textId="77777777" w:rsidR="00456417" w:rsidRPr="00F25F15" w:rsidRDefault="00456417"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25F15">
              <w:rPr>
                <w:sz w:val="24"/>
                <w:szCs w:val="24"/>
              </w:rPr>
              <w:t>Difference (+/-)</w:t>
            </w:r>
          </w:p>
        </w:tc>
        <w:tc>
          <w:tcPr>
            <w:tcW w:w="1800" w:type="dxa"/>
            <w:tcBorders>
              <w:bottom w:val="single" w:sz="4" w:space="0" w:color="auto"/>
            </w:tcBorders>
          </w:tcPr>
          <w:p w14:paraId="48D920FF" w14:textId="1EC8E503" w:rsidR="00456417" w:rsidRPr="00F25F15" w:rsidRDefault="00F67060"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425</w:t>
            </w:r>
          </w:p>
        </w:tc>
        <w:tc>
          <w:tcPr>
            <w:tcW w:w="1620" w:type="dxa"/>
            <w:tcBorders>
              <w:bottom w:val="single" w:sz="4" w:space="0" w:color="auto"/>
            </w:tcBorders>
          </w:tcPr>
          <w:p w14:paraId="4CD3A3F6" w14:textId="1C0661E9" w:rsidR="00456417" w:rsidRPr="00F25F15" w:rsidRDefault="00F67060"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735</w:t>
            </w:r>
          </w:p>
        </w:tc>
        <w:tc>
          <w:tcPr>
            <w:tcW w:w="2070" w:type="dxa"/>
            <w:tcBorders>
              <w:bottom w:val="single" w:sz="4" w:space="0" w:color="auto"/>
            </w:tcBorders>
          </w:tcPr>
          <w:p w14:paraId="6E45FF96" w14:textId="3BE6D580" w:rsidR="00456417" w:rsidRPr="00F25F15" w:rsidRDefault="00F67060"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491</w:t>
            </w:r>
          </w:p>
        </w:tc>
        <w:tc>
          <w:tcPr>
            <w:tcW w:w="1620" w:type="dxa"/>
            <w:tcBorders>
              <w:bottom w:val="single" w:sz="4" w:space="0" w:color="auto"/>
            </w:tcBorders>
          </w:tcPr>
          <w:p w14:paraId="0E6B1AED" w14:textId="516D23BC" w:rsidR="00456417" w:rsidRPr="00F25F15" w:rsidRDefault="00456417"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25F15">
              <w:rPr>
                <w:sz w:val="24"/>
                <w:szCs w:val="24"/>
              </w:rPr>
              <w:t>0</w:t>
            </w:r>
          </w:p>
        </w:tc>
      </w:tr>
      <w:tr w:rsidR="00456417" w:rsidRPr="0010057A" w14:paraId="1587D5AA" w14:textId="77777777" w:rsidTr="006B0F99">
        <w:tc>
          <w:tcPr>
            <w:tcW w:w="2268" w:type="dxa"/>
            <w:tcBorders>
              <w:bottom w:val="single" w:sz="4" w:space="0" w:color="auto"/>
            </w:tcBorders>
            <w:shd w:val="pct10" w:color="auto" w:fill="auto"/>
          </w:tcPr>
          <w:p w14:paraId="6E81B96A" w14:textId="77777777" w:rsidR="00456417" w:rsidRPr="00F25F15" w:rsidRDefault="00456417"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25F15">
              <w:rPr>
                <w:sz w:val="24"/>
                <w:szCs w:val="24"/>
              </w:rPr>
              <w:tab/>
              <w:t>Program Change</w:t>
            </w:r>
          </w:p>
        </w:tc>
        <w:tc>
          <w:tcPr>
            <w:tcW w:w="1800" w:type="dxa"/>
            <w:tcBorders>
              <w:bottom w:val="single" w:sz="4" w:space="0" w:color="auto"/>
            </w:tcBorders>
            <w:shd w:val="pct10" w:color="auto" w:fill="auto"/>
          </w:tcPr>
          <w:p w14:paraId="01B31C5C" w14:textId="21996FA3" w:rsidR="00456417" w:rsidRPr="00F25F15" w:rsidRDefault="00CF09FF"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425</w:t>
            </w:r>
          </w:p>
        </w:tc>
        <w:tc>
          <w:tcPr>
            <w:tcW w:w="1620" w:type="dxa"/>
            <w:tcBorders>
              <w:bottom w:val="single" w:sz="4" w:space="0" w:color="auto"/>
            </w:tcBorders>
            <w:shd w:val="pct10" w:color="auto" w:fill="auto"/>
          </w:tcPr>
          <w:p w14:paraId="4F53AAD8" w14:textId="165C756B" w:rsidR="00456417" w:rsidRPr="00F25F15" w:rsidRDefault="00CF09FF"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735</w:t>
            </w:r>
          </w:p>
        </w:tc>
        <w:tc>
          <w:tcPr>
            <w:tcW w:w="2070" w:type="dxa"/>
            <w:tcBorders>
              <w:bottom w:val="single" w:sz="4" w:space="0" w:color="auto"/>
            </w:tcBorders>
            <w:shd w:val="pct10" w:color="auto" w:fill="auto"/>
          </w:tcPr>
          <w:p w14:paraId="57CE0DDE" w14:textId="74113BFF" w:rsidR="00456417" w:rsidRPr="00F25F15" w:rsidRDefault="00CF09FF"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491</w:t>
            </w:r>
          </w:p>
        </w:tc>
        <w:tc>
          <w:tcPr>
            <w:tcW w:w="1620" w:type="dxa"/>
            <w:tcBorders>
              <w:bottom w:val="single" w:sz="4" w:space="0" w:color="auto"/>
            </w:tcBorders>
            <w:shd w:val="pct10" w:color="auto" w:fill="auto"/>
          </w:tcPr>
          <w:p w14:paraId="16F6CF9F" w14:textId="367F50D7" w:rsidR="00456417" w:rsidRPr="00F25F15" w:rsidRDefault="00456417"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25F15">
              <w:rPr>
                <w:sz w:val="24"/>
                <w:szCs w:val="24"/>
              </w:rPr>
              <w:t>0</w:t>
            </w:r>
          </w:p>
        </w:tc>
      </w:tr>
      <w:tr w:rsidR="00456417" w:rsidRPr="0010057A" w14:paraId="62C180BB" w14:textId="77777777" w:rsidTr="006B0F99">
        <w:tc>
          <w:tcPr>
            <w:tcW w:w="2268" w:type="dxa"/>
            <w:shd w:val="pct10" w:color="auto" w:fill="auto"/>
          </w:tcPr>
          <w:p w14:paraId="171C9880" w14:textId="77777777" w:rsidR="00456417" w:rsidRPr="00F25F15" w:rsidRDefault="00456417"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25F15">
              <w:rPr>
                <w:sz w:val="24"/>
                <w:szCs w:val="24"/>
              </w:rPr>
              <w:tab/>
            </w:r>
            <w:r w:rsidRPr="00F25F15">
              <w:rPr>
                <w:sz w:val="24"/>
                <w:szCs w:val="24"/>
              </w:rPr>
              <w:tab/>
              <w:t>Discretionary</w:t>
            </w:r>
          </w:p>
        </w:tc>
        <w:tc>
          <w:tcPr>
            <w:tcW w:w="1800" w:type="dxa"/>
            <w:shd w:val="pct10" w:color="auto" w:fill="auto"/>
          </w:tcPr>
          <w:p w14:paraId="3F1333C0" w14:textId="77777777" w:rsidR="00456417" w:rsidRPr="00F25F15" w:rsidRDefault="00456417"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25F15">
              <w:rPr>
                <w:sz w:val="24"/>
                <w:szCs w:val="24"/>
              </w:rPr>
              <w:t>0</w:t>
            </w:r>
          </w:p>
        </w:tc>
        <w:tc>
          <w:tcPr>
            <w:tcW w:w="1620" w:type="dxa"/>
            <w:shd w:val="pct10" w:color="auto" w:fill="auto"/>
          </w:tcPr>
          <w:p w14:paraId="5EB53101" w14:textId="77777777" w:rsidR="00456417" w:rsidRPr="00F25F15" w:rsidRDefault="00456417"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25F15">
              <w:rPr>
                <w:sz w:val="24"/>
                <w:szCs w:val="24"/>
              </w:rPr>
              <w:t>0</w:t>
            </w:r>
          </w:p>
        </w:tc>
        <w:tc>
          <w:tcPr>
            <w:tcW w:w="2070" w:type="dxa"/>
            <w:shd w:val="pct10" w:color="auto" w:fill="auto"/>
          </w:tcPr>
          <w:p w14:paraId="6825CE8D" w14:textId="77777777" w:rsidR="00456417" w:rsidRPr="00F25F15" w:rsidRDefault="00456417"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25F15">
              <w:rPr>
                <w:sz w:val="24"/>
                <w:szCs w:val="24"/>
              </w:rPr>
              <w:t>0</w:t>
            </w:r>
          </w:p>
        </w:tc>
        <w:tc>
          <w:tcPr>
            <w:tcW w:w="1620" w:type="dxa"/>
            <w:shd w:val="pct10" w:color="auto" w:fill="auto"/>
          </w:tcPr>
          <w:p w14:paraId="0D71D33D" w14:textId="77777777" w:rsidR="00456417" w:rsidRPr="00F25F15" w:rsidRDefault="00456417"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25F15">
              <w:rPr>
                <w:sz w:val="24"/>
                <w:szCs w:val="24"/>
              </w:rPr>
              <w:t>0</w:t>
            </w:r>
          </w:p>
        </w:tc>
      </w:tr>
      <w:tr w:rsidR="00456417" w:rsidRPr="0010057A" w14:paraId="2C90DA7D" w14:textId="77777777" w:rsidTr="006B0F99">
        <w:tc>
          <w:tcPr>
            <w:tcW w:w="2268" w:type="dxa"/>
            <w:shd w:val="pct10" w:color="auto" w:fill="auto"/>
          </w:tcPr>
          <w:p w14:paraId="34748144" w14:textId="77777777" w:rsidR="00456417" w:rsidRPr="00F25F15" w:rsidRDefault="00456417"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25F15">
              <w:rPr>
                <w:sz w:val="24"/>
                <w:szCs w:val="24"/>
              </w:rPr>
              <w:tab/>
            </w:r>
            <w:r w:rsidRPr="00F25F15">
              <w:rPr>
                <w:sz w:val="24"/>
                <w:szCs w:val="24"/>
              </w:rPr>
              <w:tab/>
              <w:t>New Statute</w:t>
            </w:r>
          </w:p>
        </w:tc>
        <w:tc>
          <w:tcPr>
            <w:tcW w:w="1800" w:type="dxa"/>
            <w:shd w:val="pct10" w:color="auto" w:fill="auto"/>
          </w:tcPr>
          <w:p w14:paraId="748FE6CA" w14:textId="77777777" w:rsidR="00456417" w:rsidRPr="00F25F15" w:rsidRDefault="00456417"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25F15">
              <w:rPr>
                <w:sz w:val="24"/>
                <w:szCs w:val="24"/>
              </w:rPr>
              <w:t>0</w:t>
            </w:r>
          </w:p>
        </w:tc>
        <w:tc>
          <w:tcPr>
            <w:tcW w:w="1620" w:type="dxa"/>
            <w:shd w:val="pct10" w:color="auto" w:fill="auto"/>
          </w:tcPr>
          <w:p w14:paraId="4F95D276" w14:textId="77777777" w:rsidR="00456417" w:rsidRPr="00F25F15" w:rsidRDefault="00456417"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25F15">
              <w:rPr>
                <w:sz w:val="24"/>
                <w:szCs w:val="24"/>
              </w:rPr>
              <w:t>0</w:t>
            </w:r>
          </w:p>
        </w:tc>
        <w:tc>
          <w:tcPr>
            <w:tcW w:w="2070" w:type="dxa"/>
            <w:shd w:val="pct10" w:color="auto" w:fill="auto"/>
          </w:tcPr>
          <w:p w14:paraId="41B7D51B" w14:textId="77777777" w:rsidR="00456417" w:rsidRPr="00F25F15" w:rsidRDefault="00456417"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25F15">
              <w:rPr>
                <w:sz w:val="24"/>
                <w:szCs w:val="24"/>
              </w:rPr>
              <w:t>0</w:t>
            </w:r>
          </w:p>
        </w:tc>
        <w:tc>
          <w:tcPr>
            <w:tcW w:w="1620" w:type="dxa"/>
            <w:shd w:val="pct10" w:color="auto" w:fill="auto"/>
          </w:tcPr>
          <w:p w14:paraId="4477374A" w14:textId="77777777" w:rsidR="00456417" w:rsidRPr="00F25F15" w:rsidRDefault="00456417"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25F15">
              <w:rPr>
                <w:sz w:val="24"/>
                <w:szCs w:val="24"/>
              </w:rPr>
              <w:t>0</w:t>
            </w:r>
          </w:p>
        </w:tc>
      </w:tr>
      <w:tr w:rsidR="00456417" w:rsidRPr="0010057A" w14:paraId="13FB99A9" w14:textId="77777777" w:rsidTr="006B0F99">
        <w:tc>
          <w:tcPr>
            <w:tcW w:w="2268" w:type="dxa"/>
            <w:shd w:val="pct10" w:color="auto" w:fill="auto"/>
          </w:tcPr>
          <w:p w14:paraId="4C1AC7A0" w14:textId="77777777" w:rsidR="00456417" w:rsidRPr="00F25F15" w:rsidRDefault="00456417"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25F15">
              <w:rPr>
                <w:sz w:val="24"/>
                <w:szCs w:val="24"/>
              </w:rPr>
              <w:tab/>
            </w:r>
            <w:r w:rsidRPr="00F25F15">
              <w:rPr>
                <w:sz w:val="24"/>
                <w:szCs w:val="24"/>
              </w:rPr>
              <w:tab/>
              <w:t>Violation</w:t>
            </w:r>
          </w:p>
        </w:tc>
        <w:tc>
          <w:tcPr>
            <w:tcW w:w="1800" w:type="dxa"/>
            <w:shd w:val="pct10" w:color="auto" w:fill="auto"/>
          </w:tcPr>
          <w:p w14:paraId="3A691347" w14:textId="77777777" w:rsidR="00456417" w:rsidRPr="00F25F15" w:rsidRDefault="00456417"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25F15">
              <w:rPr>
                <w:sz w:val="24"/>
                <w:szCs w:val="24"/>
              </w:rPr>
              <w:t>0</w:t>
            </w:r>
          </w:p>
        </w:tc>
        <w:tc>
          <w:tcPr>
            <w:tcW w:w="1620" w:type="dxa"/>
            <w:shd w:val="pct10" w:color="auto" w:fill="auto"/>
          </w:tcPr>
          <w:p w14:paraId="6C154F93" w14:textId="77777777" w:rsidR="00456417" w:rsidRPr="00F25F15" w:rsidRDefault="00456417"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25F15">
              <w:rPr>
                <w:sz w:val="24"/>
                <w:szCs w:val="24"/>
              </w:rPr>
              <w:t>0</w:t>
            </w:r>
          </w:p>
        </w:tc>
        <w:tc>
          <w:tcPr>
            <w:tcW w:w="2070" w:type="dxa"/>
            <w:shd w:val="pct10" w:color="auto" w:fill="auto"/>
          </w:tcPr>
          <w:p w14:paraId="089AB0DE" w14:textId="77777777" w:rsidR="00456417" w:rsidRPr="00F25F15" w:rsidRDefault="00456417"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25F15">
              <w:rPr>
                <w:sz w:val="24"/>
                <w:szCs w:val="24"/>
              </w:rPr>
              <w:t>0</w:t>
            </w:r>
          </w:p>
        </w:tc>
        <w:tc>
          <w:tcPr>
            <w:tcW w:w="1620" w:type="dxa"/>
            <w:shd w:val="pct10" w:color="auto" w:fill="auto"/>
          </w:tcPr>
          <w:p w14:paraId="317FEEDE" w14:textId="77777777" w:rsidR="00456417" w:rsidRPr="00F25F15" w:rsidRDefault="00456417"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25F15">
              <w:rPr>
                <w:sz w:val="24"/>
                <w:szCs w:val="24"/>
              </w:rPr>
              <w:t>0</w:t>
            </w:r>
          </w:p>
        </w:tc>
      </w:tr>
      <w:tr w:rsidR="00456417" w:rsidRPr="0010057A" w14:paraId="7592E32F" w14:textId="77777777" w:rsidTr="006B0F99">
        <w:tc>
          <w:tcPr>
            <w:tcW w:w="2268" w:type="dxa"/>
            <w:shd w:val="pct10" w:color="auto" w:fill="auto"/>
          </w:tcPr>
          <w:p w14:paraId="3642A829" w14:textId="77777777" w:rsidR="00456417" w:rsidRPr="00F25F15" w:rsidRDefault="00456417"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25F15">
              <w:rPr>
                <w:sz w:val="24"/>
                <w:szCs w:val="24"/>
              </w:rPr>
              <w:tab/>
              <w:t xml:space="preserve">Adjustment </w:t>
            </w:r>
          </w:p>
        </w:tc>
        <w:tc>
          <w:tcPr>
            <w:tcW w:w="1800" w:type="dxa"/>
            <w:shd w:val="pct10" w:color="auto" w:fill="auto"/>
          </w:tcPr>
          <w:p w14:paraId="3639F67A" w14:textId="3FBEBB9D" w:rsidR="00456417" w:rsidRPr="00F25F15" w:rsidRDefault="00456417"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0</w:t>
            </w:r>
          </w:p>
        </w:tc>
        <w:tc>
          <w:tcPr>
            <w:tcW w:w="1620" w:type="dxa"/>
            <w:shd w:val="pct10" w:color="auto" w:fill="auto"/>
          </w:tcPr>
          <w:p w14:paraId="68B16808" w14:textId="67689631" w:rsidR="00456417" w:rsidRPr="00F25F15" w:rsidRDefault="00456417"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0</w:t>
            </w:r>
          </w:p>
        </w:tc>
        <w:tc>
          <w:tcPr>
            <w:tcW w:w="2070" w:type="dxa"/>
            <w:shd w:val="pct10" w:color="auto" w:fill="auto"/>
          </w:tcPr>
          <w:p w14:paraId="78F0E035" w14:textId="0EEAB63B" w:rsidR="00456417" w:rsidRPr="00F25F15" w:rsidRDefault="00456417"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0</w:t>
            </w:r>
          </w:p>
        </w:tc>
        <w:tc>
          <w:tcPr>
            <w:tcW w:w="1620" w:type="dxa"/>
            <w:shd w:val="pct10" w:color="auto" w:fill="auto"/>
          </w:tcPr>
          <w:p w14:paraId="4BD64145" w14:textId="77777777" w:rsidR="00456417" w:rsidRPr="0010057A" w:rsidRDefault="00456417" w:rsidP="004564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25F15">
              <w:rPr>
                <w:sz w:val="24"/>
                <w:szCs w:val="24"/>
              </w:rPr>
              <w:t>0</w:t>
            </w:r>
          </w:p>
        </w:tc>
      </w:tr>
    </w:tbl>
    <w:p w14:paraId="11CF3A76" w14:textId="7AB67F48" w:rsidR="0073749B" w:rsidRDefault="0073749B" w:rsidP="007374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14:paraId="463DE065" w14:textId="4ED66A9E" w:rsidR="004124C2" w:rsidRDefault="004124C2" w:rsidP="007374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14:paraId="12C506C5" w14:textId="77777777" w:rsidR="004124C2" w:rsidRPr="00886F0A" w:rsidRDefault="004124C2" w:rsidP="007374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14:paraId="560281AE" w14:textId="77777777" w:rsidR="0073749B" w:rsidRDefault="0073749B" w:rsidP="0073749B">
      <w:pPr>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16.  </w:t>
      </w: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position w:val="-1"/>
          <w:sz w:val="24"/>
          <w:szCs w:val="24"/>
          <w:u w:val="thick" w:color="000000"/>
        </w:rPr>
        <w:t>la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 xml:space="preserve">s </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or</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Ta</w:t>
      </w:r>
      <w:r>
        <w:rPr>
          <w:rFonts w:ascii="Times New Roman" w:eastAsia="Times New Roman" w:hAnsi="Times New Roman" w:cs="Times New Roman"/>
          <w:b/>
          <w:bCs/>
          <w:spacing w:val="1"/>
          <w:position w:val="-1"/>
          <w:sz w:val="24"/>
          <w:szCs w:val="24"/>
          <w:u w:val="thick" w:color="000000"/>
        </w:rPr>
        <w:t>bu</w:t>
      </w:r>
      <w:r>
        <w:rPr>
          <w:rFonts w:ascii="Times New Roman" w:eastAsia="Times New Roman" w:hAnsi="Times New Roman" w:cs="Times New Roman"/>
          <w:b/>
          <w:bCs/>
          <w:position w:val="-1"/>
          <w:sz w:val="24"/>
          <w:szCs w:val="24"/>
          <w:u w:val="thick" w:color="000000"/>
        </w:rPr>
        <w:t>lati</w:t>
      </w:r>
      <w:r>
        <w:rPr>
          <w:rFonts w:ascii="Times New Roman" w:eastAsia="Times New Roman" w:hAnsi="Times New Roman" w:cs="Times New Roman"/>
          <w:b/>
          <w:bCs/>
          <w:spacing w:val="-2"/>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S</w:t>
      </w:r>
      <w:r>
        <w:rPr>
          <w:rFonts w:ascii="Times New Roman" w:eastAsia="Times New Roman" w:hAnsi="Times New Roman" w:cs="Times New Roman"/>
          <w:b/>
          <w:bCs/>
          <w:position w:val="-1"/>
          <w:sz w:val="24"/>
          <w:szCs w:val="24"/>
          <w:u w:val="thick" w:color="000000"/>
        </w:rPr>
        <w:t>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istical Ana</w:t>
      </w:r>
      <w:r>
        <w:rPr>
          <w:rFonts w:ascii="Times New Roman" w:eastAsia="Times New Roman" w:hAnsi="Times New Roman" w:cs="Times New Roman"/>
          <w:b/>
          <w:bCs/>
          <w:spacing w:val="1"/>
          <w:position w:val="-1"/>
          <w:sz w:val="24"/>
          <w:szCs w:val="24"/>
          <w:u w:val="thick" w:color="000000"/>
        </w:rPr>
        <w:t>l</w:t>
      </w:r>
      <w:r>
        <w:rPr>
          <w:rFonts w:ascii="Times New Roman" w:eastAsia="Times New Roman" w:hAnsi="Times New Roman" w:cs="Times New Roman"/>
          <w:b/>
          <w:bCs/>
          <w:position w:val="-1"/>
          <w:sz w:val="24"/>
          <w:szCs w:val="24"/>
          <w:u w:val="thick" w:color="000000"/>
        </w:rPr>
        <w:t>ysi</w:t>
      </w:r>
      <w:r>
        <w:rPr>
          <w:rFonts w:ascii="Times New Roman" w:eastAsia="Times New Roman" w:hAnsi="Times New Roman" w:cs="Times New Roman"/>
          <w:b/>
          <w:bCs/>
          <w:spacing w:val="1"/>
          <w:position w:val="-1"/>
          <w:sz w:val="24"/>
          <w:szCs w:val="24"/>
          <w:u w:val="thick" w:color="000000"/>
        </w:rPr>
        <w:t>s</w:t>
      </w:r>
      <w:r>
        <w:rPr>
          <w:rFonts w:ascii="Times New Roman" w:eastAsia="Times New Roman" w:hAnsi="Times New Roman" w:cs="Times New Roman"/>
          <w:b/>
          <w:bCs/>
          <w:position w:val="-1"/>
          <w:sz w:val="24"/>
          <w:szCs w:val="24"/>
          <w:u w:val="thick" w:color="000000"/>
        </w:rPr>
        <w:t xml:space="preserve">, </w:t>
      </w:r>
      <w:r>
        <w:rPr>
          <w:rFonts w:ascii="Times New Roman" w:eastAsia="Times New Roman" w:hAnsi="Times New Roman" w:cs="Times New Roman"/>
          <w:b/>
          <w:bCs/>
          <w:spacing w:val="-2"/>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spacing w:val="1"/>
          <w:position w:val="-1"/>
          <w:sz w:val="24"/>
          <w:szCs w:val="24"/>
          <w:u w:val="thick" w:color="000000"/>
        </w:rPr>
        <w:t>ub</w:t>
      </w:r>
      <w:r>
        <w:rPr>
          <w:rFonts w:ascii="Times New Roman" w:eastAsia="Times New Roman" w:hAnsi="Times New Roman" w:cs="Times New Roman"/>
          <w:b/>
          <w:bCs/>
          <w:position w:val="-1"/>
          <w:sz w:val="24"/>
          <w:szCs w:val="24"/>
          <w:u w:val="thick" w:color="000000"/>
        </w:rPr>
        <w:t>l</w:t>
      </w:r>
      <w:r>
        <w:rPr>
          <w:rFonts w:ascii="Times New Roman" w:eastAsia="Times New Roman" w:hAnsi="Times New Roman" w:cs="Times New Roman"/>
          <w:b/>
          <w:bCs/>
          <w:spacing w:val="1"/>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ion</w:t>
      </w:r>
    </w:p>
    <w:p w14:paraId="3935CE9F" w14:textId="77777777" w:rsidR="0073749B" w:rsidRDefault="0073749B" w:rsidP="0073749B">
      <w:pPr>
        <w:spacing w:before="12" w:after="0" w:line="240" w:lineRule="exact"/>
        <w:rPr>
          <w:sz w:val="24"/>
          <w:szCs w:val="24"/>
        </w:rPr>
      </w:pPr>
    </w:p>
    <w:p w14:paraId="60447E81" w14:textId="21026E18" w:rsidR="000E196B" w:rsidRDefault="000E196B" w:rsidP="002B3DDF">
      <w:pPr>
        <w:pStyle w:val="BodyText"/>
        <w:spacing w:before="90" w:line="244" w:lineRule="auto"/>
        <w:ind w:right="613"/>
        <w:jc w:val="both"/>
      </w:pPr>
      <w:r>
        <w:t>The names, business affiliations and other agreed-upon biographical information for members may be released in a press release, on the Bureau’s website and in other similar publications. No other statistical analysis or publication is expected to result from this collection.</w:t>
      </w:r>
    </w:p>
    <w:p w14:paraId="3EB60569" w14:textId="77777777" w:rsidR="0073749B" w:rsidRDefault="0073749B" w:rsidP="0073749B">
      <w:pPr>
        <w:spacing w:before="5" w:after="0" w:line="280" w:lineRule="exact"/>
        <w:rPr>
          <w:sz w:val="28"/>
          <w:szCs w:val="28"/>
        </w:rPr>
      </w:pPr>
    </w:p>
    <w:p w14:paraId="67FA7238" w14:textId="77777777" w:rsidR="0073749B" w:rsidRDefault="0073749B" w:rsidP="0073749B">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17.  </w:t>
      </w:r>
      <w:r>
        <w:rPr>
          <w:rFonts w:ascii="Times New Roman" w:eastAsia="Times New Roman" w:hAnsi="Times New Roman" w:cs="Times New Roman"/>
          <w:b/>
          <w:bCs/>
          <w:position w:val="-1"/>
          <w:sz w:val="24"/>
          <w:szCs w:val="24"/>
          <w:u w:val="thick" w:color="000000"/>
        </w:rPr>
        <w:t>Dis</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position w:val="-1"/>
          <w:sz w:val="24"/>
          <w:szCs w:val="24"/>
          <w:u w:val="thick" w:color="000000"/>
        </w:rPr>
        <w:t>lay of Ex</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position w:val="-1"/>
          <w:sz w:val="24"/>
          <w:szCs w:val="24"/>
          <w:u w:val="thick" w:color="000000"/>
        </w:rPr>
        <w:t>ira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spacing w:val="-2"/>
          <w:position w:val="-1"/>
          <w:sz w:val="24"/>
          <w:szCs w:val="24"/>
          <w:u w:val="thick" w:color="000000"/>
        </w:rPr>
        <w:t>i</w:t>
      </w:r>
      <w:r>
        <w:rPr>
          <w:rFonts w:ascii="Times New Roman" w:eastAsia="Times New Roman" w:hAnsi="Times New Roman" w:cs="Times New Roman"/>
          <w:b/>
          <w:bCs/>
          <w:position w:val="-1"/>
          <w:sz w:val="24"/>
          <w:szCs w:val="24"/>
          <w:u w:val="thick" w:color="000000"/>
        </w:rPr>
        <w:t>on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Da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e</w:t>
      </w:r>
    </w:p>
    <w:p w14:paraId="0DFCCFD3" w14:textId="77777777" w:rsidR="0073749B" w:rsidRDefault="0073749B" w:rsidP="0073749B">
      <w:pPr>
        <w:spacing w:before="7" w:after="0" w:line="240" w:lineRule="exact"/>
        <w:rPr>
          <w:sz w:val="24"/>
          <w:szCs w:val="24"/>
        </w:rPr>
      </w:pPr>
    </w:p>
    <w:p w14:paraId="36BD8055" w14:textId="3F14C7B0" w:rsidR="000E196B" w:rsidRDefault="000E196B" w:rsidP="0097516F">
      <w:pPr>
        <w:pStyle w:val="BodyText"/>
        <w:spacing w:before="90" w:line="247" w:lineRule="auto"/>
        <w:ind w:right="448"/>
      </w:pPr>
      <w:r>
        <w:t xml:space="preserve">Not applicable. We intend to display the expiration date with the OMB Control Number on any instruments given to nominees, applicants, or members of the </w:t>
      </w:r>
      <w:r w:rsidR="00474CE3">
        <w:t>advisory committees</w:t>
      </w:r>
      <w:r>
        <w:t>.</w:t>
      </w:r>
    </w:p>
    <w:p w14:paraId="1EF11CF0" w14:textId="77777777" w:rsidR="0073749B" w:rsidRPr="00886F0A" w:rsidRDefault="0073749B" w:rsidP="0073749B">
      <w:pPr>
        <w:spacing w:after="0" w:line="271" w:lineRule="exact"/>
        <w:ind w:right="-20"/>
        <w:rPr>
          <w:rFonts w:ascii="Times New Roman" w:eastAsia="Times New Roman" w:hAnsi="Times New Roman" w:cs="Times New Roman"/>
          <w:b/>
          <w:bCs/>
          <w:position w:val="-1"/>
          <w:sz w:val="24"/>
          <w:szCs w:val="24"/>
        </w:rPr>
      </w:pPr>
    </w:p>
    <w:p w14:paraId="22EFF7C9" w14:textId="77777777" w:rsidR="0073749B" w:rsidRPr="00886F0A" w:rsidRDefault="0073749B" w:rsidP="0073749B">
      <w:pPr>
        <w:spacing w:after="0" w:line="271" w:lineRule="exact"/>
        <w:ind w:left="100" w:right="-20"/>
        <w:rPr>
          <w:rFonts w:ascii="Times New Roman" w:eastAsia="Times New Roman" w:hAnsi="Times New Roman" w:cs="Times New Roman"/>
          <w:b/>
          <w:bCs/>
          <w:position w:val="-1"/>
          <w:sz w:val="24"/>
          <w:szCs w:val="24"/>
          <w:u w:val="single"/>
        </w:rPr>
      </w:pPr>
      <w:r w:rsidRPr="00886F0A">
        <w:rPr>
          <w:rFonts w:ascii="Times New Roman" w:eastAsia="Times New Roman" w:hAnsi="Times New Roman" w:cs="Times New Roman"/>
          <w:b/>
          <w:bCs/>
          <w:position w:val="-1"/>
          <w:sz w:val="24"/>
          <w:szCs w:val="24"/>
          <w:u w:val="single"/>
        </w:rPr>
        <w:t>18.  Exceptions t</w:t>
      </w:r>
      <w:r>
        <w:rPr>
          <w:rFonts w:ascii="Times New Roman" w:eastAsia="Times New Roman" w:hAnsi="Times New Roman" w:cs="Times New Roman"/>
          <w:b/>
          <w:bCs/>
          <w:position w:val="-1"/>
          <w:sz w:val="24"/>
          <w:szCs w:val="24"/>
          <w:u w:val="single"/>
        </w:rPr>
        <w:t>o the Certification Requirement</w:t>
      </w:r>
    </w:p>
    <w:p w14:paraId="6B019044" w14:textId="77777777" w:rsidR="0073749B" w:rsidRDefault="0073749B" w:rsidP="0073749B">
      <w:pPr>
        <w:spacing w:after="0" w:line="271" w:lineRule="exact"/>
        <w:ind w:left="100" w:right="-20"/>
        <w:rPr>
          <w:rFonts w:ascii="Times New Roman" w:eastAsia="Times New Roman" w:hAnsi="Times New Roman" w:cs="Times New Roman"/>
          <w:bCs/>
          <w:position w:val="-1"/>
          <w:sz w:val="24"/>
          <w:szCs w:val="24"/>
        </w:rPr>
      </w:pPr>
    </w:p>
    <w:p w14:paraId="36086E06" w14:textId="77777777" w:rsidR="00952565" w:rsidRDefault="000E196B" w:rsidP="0097516F">
      <w:pPr>
        <w:pStyle w:val="BodyText"/>
      </w:pPr>
      <w:r>
        <w:t xml:space="preserve">The Bureau certifies that this collection of information is consistent with the requirements of </w:t>
      </w:r>
    </w:p>
    <w:p w14:paraId="7C71B69D" w14:textId="01A75697" w:rsidR="000E196B" w:rsidRDefault="000E196B" w:rsidP="00952565">
      <w:pPr>
        <w:pStyle w:val="BodyText"/>
      </w:pPr>
      <w:r>
        <w:t>5</w:t>
      </w:r>
      <w:r w:rsidR="00952565">
        <w:t xml:space="preserve"> </w:t>
      </w:r>
      <w:r>
        <w:t>C.F.R. 1320.9, and the related provisions of 5 C.F.R. 1320.8(b</w:t>
      </w:r>
      <w:r w:rsidR="00E97F1B">
        <w:t>) (</w:t>
      </w:r>
      <w:r>
        <w:t>3) and is not seeking an exemption to these certification requirements.</w:t>
      </w:r>
    </w:p>
    <w:p w14:paraId="3177AE74" w14:textId="77777777" w:rsidR="0073749B" w:rsidRDefault="0073749B" w:rsidP="0073749B">
      <w:pPr>
        <w:spacing w:after="0" w:line="271" w:lineRule="exact"/>
        <w:ind w:left="100" w:right="-20"/>
        <w:rPr>
          <w:rFonts w:ascii="Times New Roman" w:eastAsia="Times New Roman" w:hAnsi="Times New Roman" w:cs="Times New Roman"/>
          <w:bCs/>
          <w:position w:val="-1"/>
          <w:sz w:val="24"/>
          <w:szCs w:val="24"/>
        </w:rPr>
      </w:pPr>
    </w:p>
    <w:p w14:paraId="576C7713" w14:textId="77777777" w:rsidR="0073749B" w:rsidRDefault="0073749B" w:rsidP="0073749B">
      <w:pPr>
        <w:spacing w:after="0" w:line="271" w:lineRule="exact"/>
        <w:ind w:left="100" w:right="-20"/>
        <w:rPr>
          <w:rFonts w:ascii="Times New Roman" w:eastAsia="Times New Roman" w:hAnsi="Times New Roman" w:cs="Times New Roman"/>
          <w:bCs/>
          <w:position w:val="-1"/>
          <w:sz w:val="24"/>
          <w:szCs w:val="24"/>
        </w:rPr>
      </w:pPr>
    </w:p>
    <w:p w14:paraId="7720F30F" w14:textId="77777777" w:rsidR="000E196B" w:rsidRDefault="0097516F" w:rsidP="0097516F">
      <w:pPr>
        <w:pStyle w:val="Heading1"/>
        <w:ind w:left="220" w:right="264" w:firstLine="0"/>
        <w:rPr>
          <w:u w:val="none"/>
        </w:rPr>
      </w:pPr>
      <w:r>
        <w:rPr>
          <w:u w:val="none"/>
        </w:rPr>
        <w:t>S</w:t>
      </w:r>
      <w:r w:rsidR="000E196B">
        <w:rPr>
          <w:u w:val="none"/>
        </w:rPr>
        <w:t>UPPORTING STATEMENT PART B COLLECTIONS EMPLOYEING STATISTICAL MEHTODS</w:t>
      </w:r>
    </w:p>
    <w:p w14:paraId="46197A83" w14:textId="77777777" w:rsidR="000E196B" w:rsidRDefault="000E196B" w:rsidP="000E196B">
      <w:pPr>
        <w:pStyle w:val="BodyText"/>
        <w:spacing w:before="6"/>
        <w:rPr>
          <w:b/>
          <w:sz w:val="23"/>
        </w:rPr>
      </w:pPr>
    </w:p>
    <w:p w14:paraId="5A7DDB5D" w14:textId="77777777" w:rsidR="000E196B" w:rsidRDefault="000E196B" w:rsidP="0097516F">
      <w:pPr>
        <w:pStyle w:val="BodyText"/>
        <w:spacing w:before="1"/>
        <w:ind w:right="436"/>
      </w:pPr>
      <w:r>
        <w:t>Not applicable. The collections of information (forms) inventories under OMB control number 3170-0037 do not use statistical methods.</w:t>
      </w:r>
    </w:p>
    <w:p w14:paraId="29556E94" w14:textId="77777777" w:rsidR="0073749B" w:rsidRDefault="0073749B" w:rsidP="0073749B">
      <w:pPr>
        <w:spacing w:after="0" w:line="271" w:lineRule="exact"/>
        <w:ind w:left="100" w:right="-20"/>
        <w:rPr>
          <w:rFonts w:ascii="Times New Roman" w:eastAsia="Times New Roman" w:hAnsi="Times New Roman" w:cs="Times New Roman"/>
          <w:bCs/>
          <w:position w:val="-1"/>
          <w:sz w:val="24"/>
          <w:szCs w:val="24"/>
        </w:rPr>
      </w:pPr>
    </w:p>
    <w:p w14:paraId="4D7FFDE7" w14:textId="77777777" w:rsidR="000E196B" w:rsidRDefault="000E196B" w:rsidP="0073749B">
      <w:pPr>
        <w:spacing w:after="0" w:line="271" w:lineRule="exact"/>
        <w:ind w:left="100" w:right="-20"/>
        <w:rPr>
          <w:rFonts w:ascii="Times New Roman" w:eastAsia="Times New Roman" w:hAnsi="Times New Roman" w:cs="Times New Roman"/>
          <w:bCs/>
          <w:position w:val="-1"/>
          <w:sz w:val="24"/>
          <w:szCs w:val="24"/>
        </w:rPr>
      </w:pPr>
    </w:p>
    <w:p w14:paraId="423C7477" w14:textId="77777777" w:rsidR="000E196B" w:rsidRDefault="000E196B" w:rsidP="0073749B">
      <w:pPr>
        <w:spacing w:after="0" w:line="271" w:lineRule="exact"/>
        <w:ind w:left="100" w:right="-20"/>
        <w:rPr>
          <w:rFonts w:ascii="Times New Roman" w:eastAsia="Times New Roman" w:hAnsi="Times New Roman" w:cs="Times New Roman"/>
          <w:bCs/>
          <w:position w:val="-1"/>
          <w:sz w:val="24"/>
          <w:szCs w:val="24"/>
        </w:rPr>
      </w:pPr>
    </w:p>
    <w:p w14:paraId="244CC223" w14:textId="77777777" w:rsidR="0073749B" w:rsidRDefault="0073749B" w:rsidP="0073749B">
      <w:pPr>
        <w:spacing w:after="0" w:line="271" w:lineRule="exact"/>
        <w:ind w:left="100" w:right="-20"/>
        <w:rPr>
          <w:rFonts w:ascii="Times New Roman" w:eastAsia="Times New Roman" w:hAnsi="Times New Roman" w:cs="Times New Roman"/>
          <w:bCs/>
          <w:position w:val="-1"/>
          <w:sz w:val="24"/>
          <w:szCs w:val="24"/>
        </w:rPr>
      </w:pPr>
    </w:p>
    <w:p w14:paraId="2FC08871" w14:textId="77777777" w:rsidR="0073749B" w:rsidRDefault="0073749B" w:rsidP="0073749B">
      <w:pPr>
        <w:spacing w:after="0" w:line="271" w:lineRule="exact"/>
        <w:ind w:left="100" w:right="-20"/>
        <w:rPr>
          <w:rFonts w:ascii="Times New Roman" w:eastAsia="Times New Roman" w:hAnsi="Times New Roman" w:cs="Times New Roman"/>
          <w:bCs/>
          <w:position w:val="-1"/>
          <w:sz w:val="24"/>
          <w:szCs w:val="24"/>
        </w:rPr>
      </w:pPr>
    </w:p>
    <w:p w14:paraId="083F14B8" w14:textId="77777777" w:rsidR="0073749B" w:rsidRDefault="0073749B" w:rsidP="0073749B">
      <w:pPr>
        <w:jc w:val="center"/>
      </w:pPr>
      <w:r>
        <w:rPr>
          <w:rFonts w:ascii="Times New Roman" w:eastAsia="Times New Roman" w:hAnsi="Times New Roman" w:cs="Times New Roman"/>
          <w:bCs/>
          <w:position w:val="-1"/>
          <w:sz w:val="24"/>
          <w:szCs w:val="24"/>
        </w:rPr>
        <w:t>###</w:t>
      </w:r>
    </w:p>
    <w:p w14:paraId="770A9D20" w14:textId="77777777" w:rsidR="005C34FD" w:rsidRDefault="009F5BA0"/>
    <w:sectPr w:rsidR="005C34FD" w:rsidSect="00DC211A">
      <w:footerReference w:type="default" r:id="rId8"/>
      <w:pgSz w:w="12240" w:h="15840"/>
      <w:pgMar w:top="1360" w:right="150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AAF09" w14:textId="77777777" w:rsidR="00423A38" w:rsidRDefault="00423A38" w:rsidP="0073749B">
      <w:pPr>
        <w:spacing w:after="0" w:line="240" w:lineRule="auto"/>
      </w:pPr>
      <w:r>
        <w:separator/>
      </w:r>
    </w:p>
  </w:endnote>
  <w:endnote w:type="continuationSeparator" w:id="0">
    <w:p w14:paraId="2535543F" w14:textId="77777777" w:rsidR="00423A38" w:rsidRDefault="00423A38" w:rsidP="00737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498577"/>
      <w:docPartObj>
        <w:docPartGallery w:val="Page Numbers (Bottom of Page)"/>
        <w:docPartUnique/>
      </w:docPartObj>
    </w:sdtPr>
    <w:sdtEndPr/>
    <w:sdtContent>
      <w:sdt>
        <w:sdtPr>
          <w:id w:val="-577289394"/>
          <w:docPartObj>
            <w:docPartGallery w:val="Page Numbers (Top of Page)"/>
            <w:docPartUnique/>
          </w:docPartObj>
        </w:sdtPr>
        <w:sdtEndPr/>
        <w:sdtContent>
          <w:p w14:paraId="1D9791D9" w14:textId="729E39D7" w:rsidR="008F432B" w:rsidRDefault="006E070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F5BA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F5BA0">
              <w:rPr>
                <w:b/>
                <w:bCs/>
                <w:noProof/>
              </w:rPr>
              <w:t>3</w:t>
            </w:r>
            <w:r>
              <w:rPr>
                <w:b/>
                <w:bCs/>
                <w:sz w:val="24"/>
                <w:szCs w:val="24"/>
              </w:rPr>
              <w:fldChar w:fldCharType="end"/>
            </w:r>
          </w:p>
        </w:sdtContent>
      </w:sdt>
    </w:sdtContent>
  </w:sdt>
  <w:p w14:paraId="5AC2EC33" w14:textId="77777777" w:rsidR="008F432B" w:rsidRDefault="009F5BA0">
    <w:pPr>
      <w:pStyle w:val="Footer"/>
    </w:pPr>
  </w:p>
  <w:p w14:paraId="02EC4D7A" w14:textId="77777777" w:rsidR="002415C9" w:rsidRDefault="002415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CA01E" w14:textId="77777777" w:rsidR="00423A38" w:rsidRDefault="00423A38" w:rsidP="0073749B">
      <w:pPr>
        <w:spacing w:after="0" w:line="240" w:lineRule="auto"/>
      </w:pPr>
      <w:r>
        <w:separator/>
      </w:r>
    </w:p>
  </w:footnote>
  <w:footnote w:type="continuationSeparator" w:id="0">
    <w:p w14:paraId="36E39B1D" w14:textId="77777777" w:rsidR="00423A38" w:rsidRDefault="00423A38" w:rsidP="007374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712EC"/>
    <w:multiLevelType w:val="hybridMultilevel"/>
    <w:tmpl w:val="469E9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A2B51"/>
    <w:multiLevelType w:val="hybridMultilevel"/>
    <w:tmpl w:val="B4A6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5EE2FAF"/>
    <w:multiLevelType w:val="hybridMultilevel"/>
    <w:tmpl w:val="45646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19236E"/>
    <w:multiLevelType w:val="hybridMultilevel"/>
    <w:tmpl w:val="D19246F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
    <w:nsid w:val="42AF74D2"/>
    <w:multiLevelType w:val="hybridMultilevel"/>
    <w:tmpl w:val="C35E73D6"/>
    <w:lvl w:ilvl="0" w:tplc="04090005">
      <w:start w:val="1"/>
      <w:numFmt w:val="bullet"/>
      <w:lvlText w:val=""/>
      <w:lvlJc w:val="left"/>
      <w:pPr>
        <w:ind w:left="460" w:hanging="360"/>
      </w:pPr>
      <w:rPr>
        <w:rFonts w:ascii="Wingdings" w:hAnsi="Wingding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nsid w:val="61512688"/>
    <w:multiLevelType w:val="hybridMultilevel"/>
    <w:tmpl w:val="C226B27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49B"/>
    <w:rsid w:val="00052780"/>
    <w:rsid w:val="00054DCE"/>
    <w:rsid w:val="00091339"/>
    <w:rsid w:val="000966EF"/>
    <w:rsid w:val="000D7FCF"/>
    <w:rsid w:val="000E196B"/>
    <w:rsid w:val="0010057A"/>
    <w:rsid w:val="00110562"/>
    <w:rsid w:val="00164D27"/>
    <w:rsid w:val="00165F4E"/>
    <w:rsid w:val="00177564"/>
    <w:rsid w:val="00177AC0"/>
    <w:rsid w:val="0018062C"/>
    <w:rsid w:val="001809FB"/>
    <w:rsid w:val="00210329"/>
    <w:rsid w:val="00214D84"/>
    <w:rsid w:val="00231E75"/>
    <w:rsid w:val="002415C9"/>
    <w:rsid w:val="002457D3"/>
    <w:rsid w:val="00252EA8"/>
    <w:rsid w:val="00277443"/>
    <w:rsid w:val="002805C4"/>
    <w:rsid w:val="00282DC2"/>
    <w:rsid w:val="002835D1"/>
    <w:rsid w:val="00285580"/>
    <w:rsid w:val="002B3DDF"/>
    <w:rsid w:val="002B6CD7"/>
    <w:rsid w:val="002E7C2F"/>
    <w:rsid w:val="0032268B"/>
    <w:rsid w:val="003370DC"/>
    <w:rsid w:val="00340959"/>
    <w:rsid w:val="00340968"/>
    <w:rsid w:val="00352AD6"/>
    <w:rsid w:val="00386247"/>
    <w:rsid w:val="003969FF"/>
    <w:rsid w:val="003A0E04"/>
    <w:rsid w:val="003A4E2C"/>
    <w:rsid w:val="003B3034"/>
    <w:rsid w:val="003B35CF"/>
    <w:rsid w:val="003B534C"/>
    <w:rsid w:val="003E4225"/>
    <w:rsid w:val="00403EBA"/>
    <w:rsid w:val="00405CA3"/>
    <w:rsid w:val="004124C2"/>
    <w:rsid w:val="00423A38"/>
    <w:rsid w:val="00425026"/>
    <w:rsid w:val="00432C3A"/>
    <w:rsid w:val="00452DE1"/>
    <w:rsid w:val="00456417"/>
    <w:rsid w:val="00474CE3"/>
    <w:rsid w:val="004877D0"/>
    <w:rsid w:val="00494430"/>
    <w:rsid w:val="004C4251"/>
    <w:rsid w:val="004D7AB2"/>
    <w:rsid w:val="004E4EAD"/>
    <w:rsid w:val="00530CC7"/>
    <w:rsid w:val="005507E2"/>
    <w:rsid w:val="00565B3B"/>
    <w:rsid w:val="00576FD1"/>
    <w:rsid w:val="00592329"/>
    <w:rsid w:val="00612795"/>
    <w:rsid w:val="00612A45"/>
    <w:rsid w:val="00627BD6"/>
    <w:rsid w:val="00635849"/>
    <w:rsid w:val="00646832"/>
    <w:rsid w:val="00650351"/>
    <w:rsid w:val="0067597F"/>
    <w:rsid w:val="006D70FB"/>
    <w:rsid w:val="006E070D"/>
    <w:rsid w:val="006E16A0"/>
    <w:rsid w:val="00715B36"/>
    <w:rsid w:val="00715C28"/>
    <w:rsid w:val="00727A1B"/>
    <w:rsid w:val="0073749B"/>
    <w:rsid w:val="00742BB7"/>
    <w:rsid w:val="00744263"/>
    <w:rsid w:val="0076165F"/>
    <w:rsid w:val="00780319"/>
    <w:rsid w:val="007C542C"/>
    <w:rsid w:val="007E5191"/>
    <w:rsid w:val="007F6A92"/>
    <w:rsid w:val="0081279F"/>
    <w:rsid w:val="008244C1"/>
    <w:rsid w:val="0085093E"/>
    <w:rsid w:val="00857627"/>
    <w:rsid w:val="0087419D"/>
    <w:rsid w:val="008817F5"/>
    <w:rsid w:val="008A427C"/>
    <w:rsid w:val="008B5971"/>
    <w:rsid w:val="008B7001"/>
    <w:rsid w:val="008D1068"/>
    <w:rsid w:val="008D14CB"/>
    <w:rsid w:val="008D5416"/>
    <w:rsid w:val="008F27FB"/>
    <w:rsid w:val="009107D7"/>
    <w:rsid w:val="00910DD8"/>
    <w:rsid w:val="0092573C"/>
    <w:rsid w:val="00947BBF"/>
    <w:rsid w:val="00952565"/>
    <w:rsid w:val="0097516F"/>
    <w:rsid w:val="00985EB6"/>
    <w:rsid w:val="009A44FD"/>
    <w:rsid w:val="009A63C9"/>
    <w:rsid w:val="009B5510"/>
    <w:rsid w:val="009D4B30"/>
    <w:rsid w:val="009E5F9D"/>
    <w:rsid w:val="009F5BA0"/>
    <w:rsid w:val="00A01587"/>
    <w:rsid w:val="00A04DAA"/>
    <w:rsid w:val="00A2479B"/>
    <w:rsid w:val="00A36C97"/>
    <w:rsid w:val="00A51491"/>
    <w:rsid w:val="00A54A24"/>
    <w:rsid w:val="00A81BA4"/>
    <w:rsid w:val="00A84027"/>
    <w:rsid w:val="00AF4883"/>
    <w:rsid w:val="00B21F5A"/>
    <w:rsid w:val="00B352A9"/>
    <w:rsid w:val="00B427C0"/>
    <w:rsid w:val="00B66CB8"/>
    <w:rsid w:val="00B82B2A"/>
    <w:rsid w:val="00B86D77"/>
    <w:rsid w:val="00B875AE"/>
    <w:rsid w:val="00BC55D3"/>
    <w:rsid w:val="00BC5982"/>
    <w:rsid w:val="00C32E8B"/>
    <w:rsid w:val="00C35E19"/>
    <w:rsid w:val="00C85F79"/>
    <w:rsid w:val="00CA0217"/>
    <w:rsid w:val="00CA100D"/>
    <w:rsid w:val="00CA2627"/>
    <w:rsid w:val="00CC44B8"/>
    <w:rsid w:val="00CD37B7"/>
    <w:rsid w:val="00CE4E6E"/>
    <w:rsid w:val="00CF09FF"/>
    <w:rsid w:val="00CF161C"/>
    <w:rsid w:val="00D178F5"/>
    <w:rsid w:val="00D468A5"/>
    <w:rsid w:val="00D65055"/>
    <w:rsid w:val="00D86650"/>
    <w:rsid w:val="00D86652"/>
    <w:rsid w:val="00D86786"/>
    <w:rsid w:val="00DA360D"/>
    <w:rsid w:val="00DD3BF5"/>
    <w:rsid w:val="00E10694"/>
    <w:rsid w:val="00E1383B"/>
    <w:rsid w:val="00E34007"/>
    <w:rsid w:val="00E514AD"/>
    <w:rsid w:val="00E61916"/>
    <w:rsid w:val="00E7078C"/>
    <w:rsid w:val="00E85D64"/>
    <w:rsid w:val="00E93832"/>
    <w:rsid w:val="00E97F1B"/>
    <w:rsid w:val="00EA735C"/>
    <w:rsid w:val="00EC5430"/>
    <w:rsid w:val="00ED03F2"/>
    <w:rsid w:val="00EE2D32"/>
    <w:rsid w:val="00EF1883"/>
    <w:rsid w:val="00EF5CC0"/>
    <w:rsid w:val="00F25F15"/>
    <w:rsid w:val="00F30A95"/>
    <w:rsid w:val="00F436C8"/>
    <w:rsid w:val="00F43BF9"/>
    <w:rsid w:val="00F53295"/>
    <w:rsid w:val="00F65A25"/>
    <w:rsid w:val="00F67060"/>
    <w:rsid w:val="00F678E2"/>
    <w:rsid w:val="00F7335D"/>
    <w:rsid w:val="00F90204"/>
    <w:rsid w:val="00F96EC8"/>
    <w:rsid w:val="00FC3C4A"/>
    <w:rsid w:val="00FD5AA3"/>
    <w:rsid w:val="00FF0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D3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49B"/>
    <w:pPr>
      <w:widowControl w:val="0"/>
    </w:pPr>
  </w:style>
  <w:style w:type="paragraph" w:styleId="Heading1">
    <w:name w:val="heading 1"/>
    <w:basedOn w:val="Normal"/>
    <w:link w:val="Heading1Char"/>
    <w:uiPriority w:val="1"/>
    <w:qFormat/>
    <w:rsid w:val="00CA100D"/>
    <w:pPr>
      <w:autoSpaceDE w:val="0"/>
      <w:autoSpaceDN w:val="0"/>
      <w:spacing w:after="0" w:line="240" w:lineRule="auto"/>
      <w:ind w:left="760" w:hanging="540"/>
      <w:outlineLvl w:val="0"/>
    </w:pPr>
    <w:rPr>
      <w:rFonts w:ascii="Times New Roman" w:eastAsia="Times New Roman" w:hAnsi="Times New Roman" w:cs="Times New Roman"/>
      <w:b/>
      <w:bCs/>
      <w:sz w:val="24"/>
      <w:szCs w:val="24"/>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9B"/>
  </w:style>
  <w:style w:type="paragraph" w:styleId="Footer">
    <w:name w:val="footer"/>
    <w:basedOn w:val="Normal"/>
    <w:link w:val="FooterChar"/>
    <w:uiPriority w:val="99"/>
    <w:unhideWhenUsed/>
    <w:rsid w:val="00737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9B"/>
  </w:style>
  <w:style w:type="paragraph" w:styleId="ListParagraph">
    <w:name w:val="List Paragraph"/>
    <w:basedOn w:val="Normal"/>
    <w:uiPriority w:val="34"/>
    <w:qFormat/>
    <w:rsid w:val="0073749B"/>
    <w:pPr>
      <w:ind w:left="720"/>
      <w:contextualSpacing/>
    </w:pPr>
  </w:style>
  <w:style w:type="character" w:styleId="CommentReference">
    <w:name w:val="annotation reference"/>
    <w:basedOn w:val="DefaultParagraphFont"/>
    <w:uiPriority w:val="99"/>
    <w:semiHidden/>
    <w:unhideWhenUsed/>
    <w:rsid w:val="0073749B"/>
    <w:rPr>
      <w:sz w:val="16"/>
      <w:szCs w:val="16"/>
    </w:rPr>
  </w:style>
  <w:style w:type="paragraph" w:styleId="CommentText">
    <w:name w:val="annotation text"/>
    <w:basedOn w:val="Normal"/>
    <w:link w:val="CommentTextChar"/>
    <w:uiPriority w:val="99"/>
    <w:unhideWhenUsed/>
    <w:rsid w:val="0073749B"/>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3749B"/>
    <w:rPr>
      <w:rFonts w:ascii="Times New Roman" w:eastAsia="Times New Roman" w:hAnsi="Times New Roman" w:cs="Times New Roman"/>
      <w:sz w:val="20"/>
      <w:szCs w:val="20"/>
    </w:rPr>
  </w:style>
  <w:style w:type="table" w:styleId="TableGrid">
    <w:name w:val="Table Grid"/>
    <w:basedOn w:val="TableNormal"/>
    <w:uiPriority w:val="59"/>
    <w:rsid w:val="0073749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7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49B"/>
    <w:rPr>
      <w:rFonts w:ascii="Tahoma" w:hAnsi="Tahoma" w:cs="Tahoma"/>
      <w:sz w:val="16"/>
      <w:szCs w:val="16"/>
    </w:rPr>
  </w:style>
  <w:style w:type="paragraph" w:styleId="FootnoteText">
    <w:name w:val="footnote text"/>
    <w:basedOn w:val="Normal"/>
    <w:link w:val="FootnoteTextChar"/>
    <w:uiPriority w:val="99"/>
    <w:semiHidden/>
    <w:unhideWhenUsed/>
    <w:rsid w:val="007374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49B"/>
    <w:rPr>
      <w:sz w:val="20"/>
      <w:szCs w:val="20"/>
    </w:rPr>
  </w:style>
  <w:style w:type="character" w:styleId="FootnoteReference">
    <w:name w:val="footnote reference"/>
    <w:basedOn w:val="DefaultParagraphFont"/>
    <w:unhideWhenUsed/>
    <w:rsid w:val="0073749B"/>
    <w:rPr>
      <w:vertAlign w:val="superscript"/>
    </w:rPr>
  </w:style>
  <w:style w:type="paragraph" w:styleId="CommentSubject">
    <w:name w:val="annotation subject"/>
    <w:basedOn w:val="CommentText"/>
    <w:next w:val="CommentText"/>
    <w:link w:val="CommentSubjectChar"/>
    <w:uiPriority w:val="99"/>
    <w:semiHidden/>
    <w:unhideWhenUsed/>
    <w:rsid w:val="0073749B"/>
    <w:pPr>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3749B"/>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73749B"/>
    <w:pPr>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3749B"/>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CA100D"/>
    <w:pPr>
      <w:autoSpaceDE w:val="0"/>
      <w:autoSpaceDN w:val="0"/>
      <w:spacing w:after="0" w:line="210" w:lineRule="exact"/>
      <w:ind w:right="95"/>
      <w:jc w:val="right"/>
    </w:pPr>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1"/>
    <w:rsid w:val="00CA100D"/>
    <w:rPr>
      <w:rFonts w:ascii="Times New Roman" w:eastAsia="Times New Roman" w:hAnsi="Times New Roman" w:cs="Times New Roman"/>
      <w:b/>
      <w:bCs/>
      <w:sz w:val="24"/>
      <w:szCs w:val="24"/>
      <w:u w:val="single" w:color="00000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49B"/>
    <w:pPr>
      <w:widowControl w:val="0"/>
    </w:pPr>
  </w:style>
  <w:style w:type="paragraph" w:styleId="Heading1">
    <w:name w:val="heading 1"/>
    <w:basedOn w:val="Normal"/>
    <w:link w:val="Heading1Char"/>
    <w:uiPriority w:val="1"/>
    <w:qFormat/>
    <w:rsid w:val="00CA100D"/>
    <w:pPr>
      <w:autoSpaceDE w:val="0"/>
      <w:autoSpaceDN w:val="0"/>
      <w:spacing w:after="0" w:line="240" w:lineRule="auto"/>
      <w:ind w:left="760" w:hanging="540"/>
      <w:outlineLvl w:val="0"/>
    </w:pPr>
    <w:rPr>
      <w:rFonts w:ascii="Times New Roman" w:eastAsia="Times New Roman" w:hAnsi="Times New Roman" w:cs="Times New Roman"/>
      <w:b/>
      <w:bCs/>
      <w:sz w:val="24"/>
      <w:szCs w:val="24"/>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9B"/>
  </w:style>
  <w:style w:type="paragraph" w:styleId="Footer">
    <w:name w:val="footer"/>
    <w:basedOn w:val="Normal"/>
    <w:link w:val="FooterChar"/>
    <w:uiPriority w:val="99"/>
    <w:unhideWhenUsed/>
    <w:rsid w:val="00737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9B"/>
  </w:style>
  <w:style w:type="paragraph" w:styleId="ListParagraph">
    <w:name w:val="List Paragraph"/>
    <w:basedOn w:val="Normal"/>
    <w:uiPriority w:val="34"/>
    <w:qFormat/>
    <w:rsid w:val="0073749B"/>
    <w:pPr>
      <w:ind w:left="720"/>
      <w:contextualSpacing/>
    </w:pPr>
  </w:style>
  <w:style w:type="character" w:styleId="CommentReference">
    <w:name w:val="annotation reference"/>
    <w:basedOn w:val="DefaultParagraphFont"/>
    <w:uiPriority w:val="99"/>
    <w:semiHidden/>
    <w:unhideWhenUsed/>
    <w:rsid w:val="0073749B"/>
    <w:rPr>
      <w:sz w:val="16"/>
      <w:szCs w:val="16"/>
    </w:rPr>
  </w:style>
  <w:style w:type="paragraph" w:styleId="CommentText">
    <w:name w:val="annotation text"/>
    <w:basedOn w:val="Normal"/>
    <w:link w:val="CommentTextChar"/>
    <w:uiPriority w:val="99"/>
    <w:unhideWhenUsed/>
    <w:rsid w:val="0073749B"/>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3749B"/>
    <w:rPr>
      <w:rFonts w:ascii="Times New Roman" w:eastAsia="Times New Roman" w:hAnsi="Times New Roman" w:cs="Times New Roman"/>
      <w:sz w:val="20"/>
      <w:szCs w:val="20"/>
    </w:rPr>
  </w:style>
  <w:style w:type="table" w:styleId="TableGrid">
    <w:name w:val="Table Grid"/>
    <w:basedOn w:val="TableNormal"/>
    <w:uiPriority w:val="59"/>
    <w:rsid w:val="0073749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7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49B"/>
    <w:rPr>
      <w:rFonts w:ascii="Tahoma" w:hAnsi="Tahoma" w:cs="Tahoma"/>
      <w:sz w:val="16"/>
      <w:szCs w:val="16"/>
    </w:rPr>
  </w:style>
  <w:style w:type="paragraph" w:styleId="FootnoteText">
    <w:name w:val="footnote text"/>
    <w:basedOn w:val="Normal"/>
    <w:link w:val="FootnoteTextChar"/>
    <w:uiPriority w:val="99"/>
    <w:semiHidden/>
    <w:unhideWhenUsed/>
    <w:rsid w:val="007374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49B"/>
    <w:rPr>
      <w:sz w:val="20"/>
      <w:szCs w:val="20"/>
    </w:rPr>
  </w:style>
  <w:style w:type="character" w:styleId="FootnoteReference">
    <w:name w:val="footnote reference"/>
    <w:basedOn w:val="DefaultParagraphFont"/>
    <w:unhideWhenUsed/>
    <w:rsid w:val="0073749B"/>
    <w:rPr>
      <w:vertAlign w:val="superscript"/>
    </w:rPr>
  </w:style>
  <w:style w:type="paragraph" w:styleId="CommentSubject">
    <w:name w:val="annotation subject"/>
    <w:basedOn w:val="CommentText"/>
    <w:next w:val="CommentText"/>
    <w:link w:val="CommentSubjectChar"/>
    <w:uiPriority w:val="99"/>
    <w:semiHidden/>
    <w:unhideWhenUsed/>
    <w:rsid w:val="0073749B"/>
    <w:pPr>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3749B"/>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73749B"/>
    <w:pPr>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3749B"/>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CA100D"/>
    <w:pPr>
      <w:autoSpaceDE w:val="0"/>
      <w:autoSpaceDN w:val="0"/>
      <w:spacing w:after="0" w:line="210" w:lineRule="exact"/>
      <w:ind w:right="95"/>
      <w:jc w:val="right"/>
    </w:pPr>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1"/>
    <w:rsid w:val="00CA100D"/>
    <w:rPr>
      <w:rFonts w:ascii="Times New Roman" w:eastAsia="Times New Roman" w:hAnsi="Times New Roman" w:cs="Times New Roman"/>
      <w:b/>
      <w:bCs/>
      <w:sz w:val="24"/>
      <w:szCs w:val="24"/>
      <w:u w:val="single" w:color="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23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2295</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15353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Rennie, Crystal (CFPB)</dc:creator>
  <cp:keywords/>
  <dc:description/>
  <cp:lastModifiedBy>SYSTEM</cp:lastModifiedBy>
  <cp:revision>2</cp:revision>
  <cp:lastPrinted>2019-11-14T19:32:00Z</cp:lastPrinted>
  <dcterms:created xsi:type="dcterms:W3CDTF">2019-11-26T14:14:00Z</dcterms:created>
  <dcterms:modified xsi:type="dcterms:W3CDTF">2019-11-26T14:14:00Z</dcterms:modified>
</cp:coreProperties>
</file>