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303AC15" w14:textId="77777777" w:rsidR="0002474B" w:rsidRPr="008C65EF" w:rsidRDefault="0002474B" w:rsidP="0002474B">
      <w:pPr>
        <w:jc w:val="center"/>
        <w:rPr>
          <w:b/>
          <w:szCs w:val="22"/>
        </w:rPr>
      </w:pPr>
      <w:bookmarkStart w:id="0" w:name="_GoBack"/>
      <w:bookmarkEnd w:id="0"/>
      <w:r w:rsidRPr="008C65EF">
        <w:rPr>
          <w:b/>
          <w:szCs w:val="22"/>
        </w:rPr>
        <w:t>SUPPORTING STATEMENT</w:t>
      </w:r>
    </w:p>
    <w:p w14:paraId="0EED582E" w14:textId="77777777" w:rsidR="00D42FF3" w:rsidRPr="008C65EF" w:rsidRDefault="00D42FF3" w:rsidP="0083695D">
      <w:pPr>
        <w:rPr>
          <w:szCs w:val="22"/>
        </w:rPr>
      </w:pPr>
    </w:p>
    <w:p w14:paraId="425C992E" w14:textId="77777777" w:rsidR="00D42FF3" w:rsidRPr="008C65EF" w:rsidRDefault="00D42FF3" w:rsidP="0083695D">
      <w:pPr>
        <w:rPr>
          <w:b/>
          <w:szCs w:val="22"/>
        </w:rPr>
      </w:pPr>
      <w:r w:rsidRPr="008C65EF">
        <w:rPr>
          <w:b/>
          <w:szCs w:val="22"/>
        </w:rPr>
        <w:t>A.</w:t>
      </w:r>
      <w:r w:rsidRPr="008C65EF">
        <w:rPr>
          <w:b/>
          <w:szCs w:val="22"/>
        </w:rPr>
        <w:tab/>
        <w:t>Justification:</w:t>
      </w:r>
    </w:p>
    <w:p w14:paraId="756D4396" w14:textId="77777777" w:rsidR="00D42FF3" w:rsidRPr="008C65EF" w:rsidRDefault="00D42FF3" w:rsidP="0083695D">
      <w:pPr>
        <w:rPr>
          <w:szCs w:val="22"/>
        </w:rPr>
      </w:pPr>
    </w:p>
    <w:p w14:paraId="7BC6D570" w14:textId="5F997090" w:rsidR="00016677" w:rsidRPr="008C65EF" w:rsidRDefault="00D42FF3" w:rsidP="0083695D">
      <w:pPr>
        <w:rPr>
          <w:b/>
          <w:szCs w:val="22"/>
        </w:rPr>
      </w:pPr>
      <w:r w:rsidRPr="008C65EF">
        <w:rPr>
          <w:b/>
          <w:szCs w:val="22"/>
        </w:rPr>
        <w:t>1.  Explain the circumstances that make the collection of information necessary.  Identify any legal or administrative requirements that necessitate the collection.</w:t>
      </w:r>
      <w:r w:rsidR="006A77D0" w:rsidRPr="008C65EF">
        <w:rPr>
          <w:b/>
          <w:szCs w:val="22"/>
        </w:rPr>
        <w:t xml:space="preserve">  </w:t>
      </w:r>
      <w:r w:rsidR="000D213A" w:rsidRPr="008C65EF">
        <w:rPr>
          <w:b/>
          <w:szCs w:val="22"/>
        </w:rPr>
        <w:t>Provide a copy of the appropriate section of each statue and regulation mandating or authorizing the information collection.</w:t>
      </w:r>
    </w:p>
    <w:p w14:paraId="1C802DF7" w14:textId="77777777" w:rsidR="000D213A" w:rsidRPr="008C65EF" w:rsidRDefault="000D213A" w:rsidP="0083695D">
      <w:pPr>
        <w:rPr>
          <w:b/>
          <w:szCs w:val="22"/>
        </w:rPr>
      </w:pPr>
    </w:p>
    <w:p w14:paraId="15F724F3" w14:textId="21D4DFED" w:rsidR="00496644" w:rsidRPr="008C65EF" w:rsidRDefault="000D213A" w:rsidP="004966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i/>
          <w:szCs w:val="22"/>
          <w:shd w:val="clear" w:color="auto" w:fill="FFFFFF"/>
        </w:rPr>
      </w:pPr>
      <w:r w:rsidRPr="008C65EF">
        <w:rPr>
          <w:i/>
          <w:szCs w:val="22"/>
          <w:shd w:val="clear" w:color="auto" w:fill="FFFFFF"/>
        </w:rPr>
        <w:t>Provide some background information on your program and how the proposed collection supports it.</w:t>
      </w:r>
    </w:p>
    <w:p w14:paraId="7E9F4D87" w14:textId="77777777" w:rsidR="000D213A" w:rsidRPr="00C32B14" w:rsidRDefault="000D213A" w:rsidP="004966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i/>
          <w:szCs w:val="22"/>
          <w:shd w:val="clear" w:color="auto" w:fill="FFFFFF"/>
        </w:rPr>
      </w:pPr>
    </w:p>
    <w:p w14:paraId="3BAEB720" w14:textId="1B6725EB" w:rsidR="00721A9C" w:rsidRPr="008C65EF" w:rsidRDefault="00123F6C" w:rsidP="00721A9C">
      <w:pPr>
        <w:ind w:firstLine="720"/>
        <w:rPr>
          <w:szCs w:val="22"/>
          <w:shd w:val="clear" w:color="auto" w:fill="FFFFFF"/>
        </w:rPr>
      </w:pPr>
      <w:r w:rsidRPr="008C65EF">
        <w:rPr>
          <w:szCs w:val="22"/>
          <w:shd w:val="clear" w:color="auto" w:fill="FFFFFF"/>
        </w:rPr>
        <w:t xml:space="preserve">This information collection is associated </w:t>
      </w:r>
      <w:r w:rsidR="008C2579" w:rsidRPr="008C65EF">
        <w:rPr>
          <w:szCs w:val="22"/>
          <w:shd w:val="clear" w:color="auto" w:fill="FFFFFF"/>
        </w:rPr>
        <w:t>with</w:t>
      </w:r>
      <w:r w:rsidRPr="008C65EF">
        <w:rPr>
          <w:szCs w:val="22"/>
          <w:shd w:val="clear" w:color="auto" w:fill="FFFFFF"/>
        </w:rPr>
        <w:t xml:space="preserve"> the Commission’s outage reporting rules that </w:t>
      </w:r>
      <w:r w:rsidR="008C2579" w:rsidRPr="008C65EF">
        <w:rPr>
          <w:szCs w:val="22"/>
          <w:shd w:val="clear" w:color="auto" w:fill="FFFFFF"/>
        </w:rPr>
        <w:t xml:space="preserve">historically have </w:t>
      </w:r>
      <w:r w:rsidRPr="008C65EF">
        <w:rPr>
          <w:szCs w:val="22"/>
          <w:shd w:val="clear" w:color="auto" w:fill="FFFFFF"/>
        </w:rPr>
        <w:t>require</w:t>
      </w:r>
      <w:r w:rsidR="008C2579" w:rsidRPr="008C65EF">
        <w:rPr>
          <w:szCs w:val="22"/>
          <w:shd w:val="clear" w:color="auto" w:fill="FFFFFF"/>
        </w:rPr>
        <w:t>d</w:t>
      </w:r>
      <w:r w:rsidRPr="008C65EF">
        <w:rPr>
          <w:szCs w:val="22"/>
          <w:shd w:val="clear" w:color="auto" w:fill="FFFFFF"/>
        </w:rPr>
        <w:t xml:space="preserve"> a set of communication service providers to report to the Commission when they experience a service disruption, or “outage” in their respective networks.</w:t>
      </w:r>
      <w:r w:rsidR="008C2579" w:rsidRPr="008C65EF">
        <w:rPr>
          <w:rStyle w:val="FootnoteReference"/>
          <w:szCs w:val="22"/>
          <w:shd w:val="clear" w:color="auto" w:fill="FFFFFF"/>
        </w:rPr>
        <w:footnoteReference w:id="1"/>
      </w:r>
      <w:r w:rsidRPr="008C65EF">
        <w:rPr>
          <w:szCs w:val="22"/>
          <w:shd w:val="clear" w:color="auto" w:fill="FFFFFF"/>
        </w:rPr>
        <w:t xml:space="preserve">  </w:t>
      </w:r>
      <w:r w:rsidR="00721A9C" w:rsidRPr="008C65EF">
        <w:rPr>
          <w:szCs w:val="22"/>
          <w:shd w:val="clear" w:color="auto" w:fill="FFFFFF"/>
        </w:rPr>
        <w:t>In 2004, the Commission replaced its original outage reporting requirements</w:t>
      </w:r>
      <w:r w:rsidR="00721A9C" w:rsidRPr="00C32B14">
        <w:rPr>
          <w:szCs w:val="22"/>
          <w:shd w:val="clear" w:color="auto" w:fill="FFFFFF"/>
        </w:rPr>
        <w:t xml:space="preserve"> from the 1990s</w:t>
      </w:r>
      <w:r w:rsidR="00721A9C" w:rsidRPr="008C65EF">
        <w:rPr>
          <w:rStyle w:val="FootnoteReference"/>
          <w:szCs w:val="22"/>
          <w:shd w:val="clear" w:color="auto" w:fill="FFFFFF"/>
        </w:rPr>
        <w:footnoteReference w:id="2"/>
      </w:r>
      <w:r w:rsidR="00721A9C" w:rsidRPr="008C65EF">
        <w:rPr>
          <w:szCs w:val="22"/>
          <w:shd w:val="clear" w:color="auto" w:fill="FFFFFF"/>
        </w:rPr>
        <w:t xml:space="preserve"> </w:t>
      </w:r>
      <w:r w:rsidR="00B56FAC">
        <w:rPr>
          <w:szCs w:val="22"/>
          <w:shd w:val="clear" w:color="auto" w:fill="FFFFFF"/>
        </w:rPr>
        <w:t xml:space="preserve">with </w:t>
      </w:r>
      <w:r w:rsidR="00721A9C" w:rsidRPr="008C65EF">
        <w:rPr>
          <w:szCs w:val="22"/>
          <w:shd w:val="clear" w:color="auto" w:fill="FFFFFF"/>
        </w:rPr>
        <w:t xml:space="preserve">outage reporting requirements </w:t>
      </w:r>
      <w:r w:rsidR="00C87EF1" w:rsidRPr="008C65EF">
        <w:rPr>
          <w:szCs w:val="22"/>
          <w:shd w:val="clear" w:color="auto" w:fill="FFFFFF"/>
        </w:rPr>
        <w:t>for service providers of wireline, wireless, satellite, cable, inter</w:t>
      </w:r>
      <w:r w:rsidR="00AB2B7D">
        <w:rPr>
          <w:szCs w:val="22"/>
          <w:shd w:val="clear" w:color="auto" w:fill="FFFFFF"/>
        </w:rPr>
        <w:t>exchange, local exchange, and SS7</w:t>
      </w:r>
      <w:r w:rsidR="00C87EF1" w:rsidRPr="008C65EF">
        <w:rPr>
          <w:szCs w:val="22"/>
          <w:shd w:val="clear" w:color="auto" w:fill="FFFFFF"/>
        </w:rPr>
        <w:t xml:space="preserve"> </w:t>
      </w:r>
      <w:r w:rsidR="00C87EF1" w:rsidRPr="00C32B14">
        <w:rPr>
          <w:szCs w:val="22"/>
          <w:shd w:val="clear" w:color="auto" w:fill="FFFFFF"/>
        </w:rPr>
        <w:t>service</w:t>
      </w:r>
      <w:r w:rsidR="00721A9C" w:rsidRPr="00C32B14">
        <w:rPr>
          <w:szCs w:val="22"/>
          <w:shd w:val="clear" w:color="auto" w:fill="FFFFFF"/>
        </w:rPr>
        <w:t>.</w:t>
      </w:r>
      <w:r w:rsidR="00721A9C" w:rsidRPr="008C65EF">
        <w:rPr>
          <w:rStyle w:val="FootnoteReference"/>
          <w:szCs w:val="22"/>
          <w:shd w:val="clear" w:color="auto" w:fill="FFFFFF"/>
        </w:rPr>
        <w:footnoteReference w:id="3"/>
      </w:r>
      <w:r w:rsidR="00721A9C" w:rsidRPr="008C65EF">
        <w:rPr>
          <w:szCs w:val="22"/>
          <w:shd w:val="clear" w:color="auto" w:fill="FFFFFF"/>
        </w:rPr>
        <w:t xml:space="preserve">  </w:t>
      </w:r>
      <w:r w:rsidR="00C87EF1" w:rsidRPr="008C65EF">
        <w:rPr>
          <w:szCs w:val="22"/>
          <w:shd w:val="clear" w:color="auto" w:fill="FFFFFF"/>
        </w:rPr>
        <w:t>Then, i</w:t>
      </w:r>
      <w:r w:rsidR="00721A9C" w:rsidRPr="008C65EF">
        <w:rPr>
          <w:szCs w:val="22"/>
        </w:rPr>
        <w:t>n 2012, the Commission</w:t>
      </w:r>
      <w:r w:rsidR="00721A9C" w:rsidRPr="00C32B14">
        <w:rPr>
          <w:szCs w:val="22"/>
        </w:rPr>
        <w:t xml:space="preserve"> further expanded </w:t>
      </w:r>
      <w:r w:rsidR="00C87EF1" w:rsidRPr="00C32B14">
        <w:rPr>
          <w:szCs w:val="22"/>
        </w:rPr>
        <w:t>the requirements to</w:t>
      </w:r>
      <w:r w:rsidR="00721A9C" w:rsidRPr="00C32B14">
        <w:rPr>
          <w:szCs w:val="22"/>
        </w:rPr>
        <w:t xml:space="preserve"> include interconnected voice over Internet protocol (</w:t>
      </w:r>
      <w:r w:rsidR="001C4554">
        <w:rPr>
          <w:szCs w:val="22"/>
        </w:rPr>
        <w:t xml:space="preserve">interconnected </w:t>
      </w:r>
      <w:r w:rsidR="00721A9C" w:rsidRPr="00C32B14">
        <w:rPr>
          <w:szCs w:val="22"/>
        </w:rPr>
        <w:t xml:space="preserve">VoIP) </w:t>
      </w:r>
      <w:r w:rsidR="00C87EF1" w:rsidRPr="00C32B14">
        <w:rPr>
          <w:szCs w:val="22"/>
        </w:rPr>
        <w:t xml:space="preserve">service </w:t>
      </w:r>
      <w:r w:rsidR="00721A9C" w:rsidRPr="00C32B14">
        <w:rPr>
          <w:szCs w:val="22"/>
        </w:rPr>
        <w:t>providers.</w:t>
      </w:r>
      <w:r w:rsidR="00721A9C" w:rsidRPr="008C65EF">
        <w:rPr>
          <w:rStyle w:val="FootnoteReference"/>
          <w:szCs w:val="22"/>
        </w:rPr>
        <w:footnoteReference w:id="4"/>
      </w:r>
      <w:r w:rsidR="00721A9C" w:rsidRPr="008C65EF">
        <w:rPr>
          <w:szCs w:val="22"/>
        </w:rPr>
        <w:t xml:space="preserve"> </w:t>
      </w:r>
      <w:r w:rsidRPr="008C65EF">
        <w:rPr>
          <w:szCs w:val="22"/>
        </w:rPr>
        <w:t xml:space="preserve"> </w:t>
      </w:r>
      <w:r w:rsidR="00C87EF1" w:rsidRPr="008C65EF">
        <w:rPr>
          <w:szCs w:val="22"/>
        </w:rPr>
        <w:t>Finally,</w:t>
      </w:r>
      <w:r w:rsidR="00721A9C" w:rsidRPr="008C65EF">
        <w:rPr>
          <w:szCs w:val="22"/>
        </w:rPr>
        <w:t xml:space="preserve"> in 2016, the Commission adopted a set of </w:t>
      </w:r>
      <w:r w:rsidR="00721A9C" w:rsidRPr="008C65EF">
        <w:rPr>
          <w:szCs w:val="22"/>
          <w:shd w:val="clear" w:color="auto" w:fill="FFFFFF"/>
        </w:rPr>
        <w:t xml:space="preserve">improvements </w:t>
      </w:r>
      <w:r w:rsidR="00D849E1" w:rsidRPr="008C65EF">
        <w:rPr>
          <w:szCs w:val="22"/>
          <w:shd w:val="clear" w:color="auto" w:fill="FFFFFF"/>
        </w:rPr>
        <w:t xml:space="preserve">to </w:t>
      </w:r>
      <w:r w:rsidR="00D849E1" w:rsidRPr="00C32B14">
        <w:rPr>
          <w:szCs w:val="22"/>
          <w:shd w:val="clear" w:color="auto" w:fill="FFFFFF"/>
        </w:rPr>
        <w:t>these rules</w:t>
      </w:r>
      <w:r w:rsidR="00D849E1">
        <w:rPr>
          <w:szCs w:val="22"/>
          <w:shd w:val="clear" w:color="auto" w:fill="FFFFFF"/>
        </w:rPr>
        <w:t xml:space="preserve"> in the </w:t>
      </w:r>
      <w:r w:rsidR="00D849E1" w:rsidRPr="004834DC">
        <w:rPr>
          <w:i/>
          <w:szCs w:val="22"/>
          <w:shd w:val="clear" w:color="auto" w:fill="FFFFFF"/>
        </w:rPr>
        <w:t>2016 Part 4 Report and Order and Order on Reconsideration</w:t>
      </w:r>
      <w:r w:rsidR="00721A9C" w:rsidRPr="00C32B14">
        <w:rPr>
          <w:szCs w:val="22"/>
          <w:shd w:val="clear" w:color="auto" w:fill="FFFFFF"/>
        </w:rPr>
        <w:t>.</w:t>
      </w:r>
      <w:r w:rsidR="00721A9C" w:rsidRPr="008C65EF">
        <w:rPr>
          <w:rStyle w:val="FootnoteReference"/>
          <w:szCs w:val="22"/>
          <w:shd w:val="clear" w:color="auto" w:fill="FFFFFF"/>
        </w:rPr>
        <w:footnoteReference w:id="5"/>
      </w:r>
    </w:p>
    <w:p w14:paraId="0E30FE90" w14:textId="08A2A47F" w:rsidR="00C87EF1" w:rsidRPr="008C65EF" w:rsidRDefault="00C87EF1" w:rsidP="00721A9C">
      <w:pPr>
        <w:ind w:firstLine="720"/>
        <w:rPr>
          <w:szCs w:val="22"/>
          <w:shd w:val="clear" w:color="auto" w:fill="FFFFFF"/>
        </w:rPr>
      </w:pPr>
    </w:p>
    <w:p w14:paraId="551E4AB2" w14:textId="275A284F" w:rsidR="00220681" w:rsidRPr="008C65EF" w:rsidRDefault="00B56FAC" w:rsidP="00C87EF1">
      <w:pPr>
        <w:ind w:firstLine="720"/>
        <w:rPr>
          <w:szCs w:val="22"/>
          <w:shd w:val="clear" w:color="auto" w:fill="FFFFFF"/>
        </w:rPr>
      </w:pPr>
      <w:r>
        <w:rPr>
          <w:szCs w:val="22"/>
          <w:shd w:val="clear" w:color="auto" w:fill="FFFFFF"/>
        </w:rPr>
        <w:lastRenderedPageBreak/>
        <w:t>In 2004, t</w:t>
      </w:r>
      <w:r w:rsidR="00C87EF1" w:rsidRPr="008C65EF">
        <w:rPr>
          <w:szCs w:val="22"/>
          <w:shd w:val="clear" w:color="auto" w:fill="FFFFFF"/>
        </w:rPr>
        <w:t>o facilitate</w:t>
      </w:r>
      <w:r w:rsidR="00C87EF1" w:rsidRPr="00C32B14">
        <w:rPr>
          <w:szCs w:val="22"/>
          <w:shd w:val="clear" w:color="auto" w:fill="FFFFFF"/>
        </w:rPr>
        <w:t xml:space="preserve"> the process when service providers file in accordance to the outage reporting requirements,</w:t>
      </w:r>
      <w:r w:rsidR="00721A9C" w:rsidRPr="00C32B14">
        <w:rPr>
          <w:szCs w:val="22"/>
          <w:shd w:val="clear" w:color="auto" w:fill="FFFFFF"/>
        </w:rPr>
        <w:t xml:space="preserve"> the Commission created the </w:t>
      </w:r>
      <w:r w:rsidR="00220681" w:rsidRPr="00C32B14">
        <w:rPr>
          <w:szCs w:val="22"/>
          <w:shd w:val="clear" w:color="auto" w:fill="FFFFFF"/>
        </w:rPr>
        <w:t>Network Outage Reporting System (NORS)</w:t>
      </w:r>
      <w:r w:rsidR="00721A9C" w:rsidRPr="00C32B14">
        <w:rPr>
          <w:szCs w:val="22"/>
          <w:shd w:val="clear" w:color="auto" w:fill="FFFFFF"/>
        </w:rPr>
        <w:t xml:space="preserve">, a </w:t>
      </w:r>
      <w:r w:rsidR="00220681" w:rsidRPr="00C32B14">
        <w:rPr>
          <w:szCs w:val="22"/>
          <w:shd w:val="clear" w:color="auto" w:fill="FFFFFF"/>
        </w:rPr>
        <w:t xml:space="preserve">web-based filing system.  NORS uses an electronic form to promote ease of reporting and encryption technology to ensure the security of the information filed.  Providers submit into NORS three types of filings, </w:t>
      </w:r>
      <w:r w:rsidR="00C87EF1" w:rsidRPr="008C65EF">
        <w:rPr>
          <w:szCs w:val="22"/>
          <w:shd w:val="clear" w:color="auto" w:fill="FFFFFF"/>
        </w:rPr>
        <w:t xml:space="preserve">(1) </w:t>
      </w:r>
      <w:r w:rsidR="005D7800">
        <w:rPr>
          <w:szCs w:val="22"/>
          <w:shd w:val="clear" w:color="auto" w:fill="FFFFFF"/>
        </w:rPr>
        <w:t>N</w:t>
      </w:r>
      <w:r w:rsidR="00220681" w:rsidRPr="00C32B14">
        <w:rPr>
          <w:szCs w:val="22"/>
          <w:shd w:val="clear" w:color="auto" w:fill="FFFFFF"/>
        </w:rPr>
        <w:t xml:space="preserve">otifications, </w:t>
      </w:r>
      <w:r w:rsidR="00C87EF1" w:rsidRPr="008C65EF">
        <w:rPr>
          <w:szCs w:val="22"/>
          <w:shd w:val="clear" w:color="auto" w:fill="FFFFFF"/>
        </w:rPr>
        <w:t xml:space="preserve">(2) </w:t>
      </w:r>
      <w:r w:rsidR="005D7800">
        <w:rPr>
          <w:szCs w:val="22"/>
          <w:shd w:val="clear" w:color="auto" w:fill="FFFFFF"/>
        </w:rPr>
        <w:t>I</w:t>
      </w:r>
      <w:r w:rsidR="00220681" w:rsidRPr="00C32B14">
        <w:rPr>
          <w:szCs w:val="22"/>
          <w:shd w:val="clear" w:color="auto" w:fill="FFFFFF"/>
        </w:rPr>
        <w:t xml:space="preserve">nitial </w:t>
      </w:r>
      <w:r w:rsidR="005D7800">
        <w:rPr>
          <w:szCs w:val="22"/>
          <w:shd w:val="clear" w:color="auto" w:fill="FFFFFF"/>
        </w:rPr>
        <w:t>R</w:t>
      </w:r>
      <w:r w:rsidR="00220681" w:rsidRPr="00C32B14">
        <w:rPr>
          <w:szCs w:val="22"/>
          <w:shd w:val="clear" w:color="auto" w:fill="FFFFFF"/>
        </w:rPr>
        <w:t xml:space="preserve">eports (for non-interconnected VoIP outages), and </w:t>
      </w:r>
      <w:r w:rsidR="00C87EF1" w:rsidRPr="008C65EF">
        <w:rPr>
          <w:szCs w:val="22"/>
          <w:shd w:val="clear" w:color="auto" w:fill="FFFFFF"/>
        </w:rPr>
        <w:t xml:space="preserve">(3) </w:t>
      </w:r>
      <w:r w:rsidR="005D7800">
        <w:rPr>
          <w:szCs w:val="22"/>
          <w:shd w:val="clear" w:color="auto" w:fill="FFFFFF"/>
        </w:rPr>
        <w:t>F</w:t>
      </w:r>
      <w:r w:rsidR="00220681" w:rsidRPr="00C32B14">
        <w:rPr>
          <w:szCs w:val="22"/>
          <w:shd w:val="clear" w:color="auto" w:fill="FFFFFF"/>
        </w:rPr>
        <w:t xml:space="preserve">inal </w:t>
      </w:r>
      <w:r w:rsidR="005D7800">
        <w:rPr>
          <w:szCs w:val="22"/>
          <w:shd w:val="clear" w:color="auto" w:fill="FFFFFF"/>
        </w:rPr>
        <w:t>R</w:t>
      </w:r>
      <w:r w:rsidR="00220681" w:rsidRPr="00C32B14">
        <w:rPr>
          <w:szCs w:val="22"/>
          <w:shd w:val="clear" w:color="auto" w:fill="FFFFFF"/>
        </w:rPr>
        <w:t>eports</w:t>
      </w:r>
      <w:r w:rsidR="00C87EF1" w:rsidRPr="008C65EF">
        <w:rPr>
          <w:szCs w:val="22"/>
          <w:shd w:val="clear" w:color="auto" w:fill="FFFFFF"/>
        </w:rPr>
        <w:t>.  These filings contain sensitive information</w:t>
      </w:r>
      <w:r w:rsidR="00083076" w:rsidRPr="008C65EF">
        <w:rPr>
          <w:szCs w:val="22"/>
          <w:shd w:val="clear" w:color="auto" w:fill="FFFFFF"/>
        </w:rPr>
        <w:t xml:space="preserve"> about</w:t>
      </w:r>
      <w:r w:rsidR="00220681" w:rsidRPr="00C32B14">
        <w:rPr>
          <w:szCs w:val="22"/>
          <w:shd w:val="clear" w:color="auto" w:fill="FFFFFF"/>
        </w:rPr>
        <w:t xml:space="preserve"> service disruption or outage</w:t>
      </w:r>
      <w:r w:rsidR="00083076" w:rsidRPr="008C65EF">
        <w:rPr>
          <w:szCs w:val="22"/>
          <w:shd w:val="clear" w:color="auto" w:fill="FFFFFF"/>
        </w:rPr>
        <w:t>s</w:t>
      </w:r>
      <w:r w:rsidR="00220681" w:rsidRPr="00C32B14">
        <w:rPr>
          <w:szCs w:val="22"/>
          <w:shd w:val="clear" w:color="auto" w:fill="FFFFFF"/>
        </w:rPr>
        <w:t xml:space="preserve"> that, among other things, include: reason the event is reportable, incident date/time and location details, state</w:t>
      </w:r>
      <w:r w:rsidR="00083076" w:rsidRPr="008C65EF">
        <w:rPr>
          <w:szCs w:val="22"/>
          <w:shd w:val="clear" w:color="auto" w:fill="FFFFFF"/>
        </w:rPr>
        <w:t>s</w:t>
      </w:r>
      <w:r w:rsidR="00220681" w:rsidRPr="00C32B14">
        <w:rPr>
          <w:szCs w:val="22"/>
          <w:shd w:val="clear" w:color="auto" w:fill="FFFFFF"/>
        </w:rPr>
        <w:t xml:space="preserve"> affected, number of potentially affected customers, and whether E911 was impacted.</w:t>
      </w:r>
      <w:r w:rsidR="00220681" w:rsidRPr="00C32B14">
        <w:rPr>
          <w:szCs w:val="22"/>
          <w:shd w:val="clear" w:color="auto" w:fill="FFFFFF"/>
          <w:vertAlign w:val="superscript"/>
        </w:rPr>
        <w:footnoteReference w:id="6"/>
      </w:r>
      <w:r w:rsidR="00220681" w:rsidRPr="00C32B14">
        <w:rPr>
          <w:szCs w:val="22"/>
          <w:shd w:val="clear" w:color="auto" w:fill="FFFFFF"/>
          <w:vertAlign w:val="superscript"/>
        </w:rPr>
        <w:t xml:space="preserve"> </w:t>
      </w:r>
      <w:r w:rsidR="00220681" w:rsidRPr="00C32B14">
        <w:rPr>
          <w:szCs w:val="22"/>
          <w:shd w:val="clear" w:color="auto" w:fill="FFFFFF"/>
        </w:rPr>
        <w:t xml:space="preserve"> </w:t>
      </w:r>
    </w:p>
    <w:p w14:paraId="67FB58F6" w14:textId="77777777" w:rsidR="008C2579" w:rsidRPr="00C32B14" w:rsidRDefault="008C2579" w:rsidP="00C32B14">
      <w:pPr>
        <w:ind w:firstLine="720"/>
        <w:rPr>
          <w:szCs w:val="22"/>
          <w:shd w:val="clear" w:color="auto" w:fill="FFFFFF"/>
        </w:rPr>
      </w:pPr>
    </w:p>
    <w:p w14:paraId="45512A1C" w14:textId="0EE4AAB8" w:rsidR="00304A36" w:rsidRPr="00C32B14" w:rsidRDefault="00304A36" w:rsidP="00304A36">
      <w:pPr>
        <w:ind w:firstLine="720"/>
        <w:rPr>
          <w:szCs w:val="22"/>
          <w:shd w:val="clear" w:color="auto" w:fill="FFFFFF"/>
        </w:rPr>
      </w:pPr>
      <w:r w:rsidRPr="008C65EF">
        <w:rPr>
          <w:szCs w:val="22"/>
          <w:shd w:val="clear" w:color="auto" w:fill="FFFFFF"/>
        </w:rPr>
        <w:t>The Federal Communications Commission (FCC or Commission) is requesting Office of Management and Budget</w:t>
      </w:r>
      <w:r w:rsidR="00B56FAC">
        <w:rPr>
          <w:szCs w:val="22"/>
          <w:shd w:val="clear" w:color="auto" w:fill="FFFFFF"/>
        </w:rPr>
        <w:t>’s</w:t>
      </w:r>
      <w:r w:rsidRPr="008C65EF">
        <w:rPr>
          <w:szCs w:val="22"/>
          <w:shd w:val="clear" w:color="auto" w:fill="FFFFFF"/>
        </w:rPr>
        <w:t xml:space="preserve"> (OMB) approval </w:t>
      </w:r>
      <w:r w:rsidR="00DD7442" w:rsidRPr="008C65EF">
        <w:rPr>
          <w:szCs w:val="22"/>
          <w:shd w:val="clear" w:color="auto" w:fill="FFFFFF"/>
        </w:rPr>
        <w:t>of</w:t>
      </w:r>
      <w:r w:rsidR="00DD7442" w:rsidRPr="00C32B14">
        <w:rPr>
          <w:szCs w:val="22"/>
          <w:shd w:val="clear" w:color="auto" w:fill="FFFFFF"/>
        </w:rPr>
        <w:t xml:space="preserve"> </w:t>
      </w:r>
      <w:r w:rsidR="00882EB6">
        <w:rPr>
          <w:szCs w:val="22"/>
          <w:shd w:val="clear" w:color="auto" w:fill="FFFFFF"/>
        </w:rPr>
        <w:t>an extension</w:t>
      </w:r>
      <w:r w:rsidR="0088787B" w:rsidRPr="00C32B14">
        <w:rPr>
          <w:szCs w:val="22"/>
          <w:shd w:val="clear" w:color="auto" w:fill="FFFFFF"/>
        </w:rPr>
        <w:t xml:space="preserve"> </w:t>
      </w:r>
      <w:r w:rsidRPr="00C32B14">
        <w:rPr>
          <w:szCs w:val="22"/>
          <w:shd w:val="clear" w:color="auto" w:fill="FFFFFF"/>
        </w:rPr>
        <w:t>of this information collection</w:t>
      </w:r>
      <w:r w:rsidR="00123F6C" w:rsidRPr="008C65EF">
        <w:rPr>
          <w:szCs w:val="22"/>
          <w:shd w:val="clear" w:color="auto" w:fill="FFFFFF"/>
        </w:rPr>
        <w:t xml:space="preserve"> (OMB Control Number 3060-0484) </w:t>
      </w:r>
      <w:r w:rsidR="0039581D">
        <w:rPr>
          <w:szCs w:val="22"/>
          <w:shd w:val="clear" w:color="auto" w:fill="FFFFFF"/>
        </w:rPr>
        <w:t>in order to obtain the full three</w:t>
      </w:r>
      <w:r w:rsidR="006B7BF5">
        <w:rPr>
          <w:szCs w:val="22"/>
          <w:shd w:val="clear" w:color="auto" w:fill="FFFFFF"/>
        </w:rPr>
        <w:t>-</w:t>
      </w:r>
      <w:r w:rsidR="0039581D">
        <w:rPr>
          <w:szCs w:val="22"/>
          <w:shd w:val="clear" w:color="auto" w:fill="FFFFFF"/>
        </w:rPr>
        <w:t>year clearance</w:t>
      </w:r>
      <w:r w:rsidRPr="008C65EF">
        <w:rPr>
          <w:szCs w:val="22"/>
          <w:shd w:val="clear" w:color="auto" w:fill="FFFFFF"/>
        </w:rPr>
        <w:t>.</w:t>
      </w:r>
      <w:r w:rsidR="00CF78A3">
        <w:rPr>
          <w:rStyle w:val="FootnoteReference"/>
          <w:szCs w:val="22"/>
          <w:shd w:val="clear" w:color="auto" w:fill="FFFFFF"/>
        </w:rPr>
        <w:footnoteReference w:id="7"/>
      </w:r>
      <w:r w:rsidRPr="008C65EF">
        <w:rPr>
          <w:szCs w:val="22"/>
          <w:shd w:val="clear" w:color="auto" w:fill="FFFFFF"/>
        </w:rPr>
        <w:t xml:space="preserve"> </w:t>
      </w:r>
    </w:p>
    <w:p w14:paraId="0C914DB9" w14:textId="53DD0D7B" w:rsidR="00304759" w:rsidRPr="00C32B14" w:rsidRDefault="00304759" w:rsidP="00AB6C65">
      <w:pPr>
        <w:pStyle w:val="ListParagraph"/>
        <w:widowControl w:val="0"/>
        <w:suppressAutoHyphens w:val="0"/>
        <w:overflowPunct w:val="0"/>
        <w:adjustRightInd w:val="0"/>
        <w:ind w:left="1440"/>
        <w:rPr>
          <w:szCs w:val="22"/>
          <w:shd w:val="clear" w:color="auto" w:fill="FFFFFF"/>
        </w:rPr>
      </w:pPr>
    </w:p>
    <w:p w14:paraId="3D5F798A" w14:textId="77777777" w:rsidR="004B439A" w:rsidRPr="00C32B14" w:rsidRDefault="004B439A" w:rsidP="005244B4">
      <w:pPr>
        <w:spacing w:after="220"/>
        <w:ind w:firstLine="720"/>
        <w:rPr>
          <w:szCs w:val="22"/>
        </w:rPr>
      </w:pPr>
      <w:r w:rsidRPr="00C32B14">
        <w:rPr>
          <w:szCs w:val="22"/>
        </w:rPr>
        <w:t xml:space="preserve">Statutory authority for this collection of information is contained in 47 U.S.C. sections </w:t>
      </w:r>
      <w:r w:rsidR="005244B4" w:rsidRPr="00C32B14">
        <w:rPr>
          <w:szCs w:val="22"/>
        </w:rPr>
        <w:t>151, 154(i)-(j) &amp; (o), 201(b), 214(d), 218, 251(e)(3), 301, 303(b), 303(g), 303(r), 307, 309(a), 316, 332, 403, 615a-1, and 615c</w:t>
      </w:r>
      <w:r w:rsidRPr="00C32B14">
        <w:rPr>
          <w:szCs w:val="22"/>
        </w:rPr>
        <w:t>.</w:t>
      </w:r>
    </w:p>
    <w:p w14:paraId="12C679FA" w14:textId="6A30AFA5" w:rsidR="004B439A" w:rsidRPr="00C32B14" w:rsidRDefault="003F1CCA" w:rsidP="001C56F5">
      <w:pPr>
        <w:spacing w:after="220"/>
        <w:ind w:firstLine="720"/>
        <w:rPr>
          <w:szCs w:val="22"/>
          <w:shd w:val="clear" w:color="auto" w:fill="FFFFFF"/>
        </w:rPr>
      </w:pPr>
      <w:r w:rsidRPr="00C32B14">
        <w:rPr>
          <w:szCs w:val="22"/>
        </w:rPr>
        <w:t>Th</w:t>
      </w:r>
      <w:r w:rsidR="004B439A" w:rsidRPr="00C32B14">
        <w:rPr>
          <w:szCs w:val="22"/>
        </w:rPr>
        <w:t>is information collection does not affect individuals or households; thus, there are no impacts under the Privacy Act.</w:t>
      </w:r>
      <w:r w:rsidR="00882EB6">
        <w:rPr>
          <w:rStyle w:val="FootnoteReference"/>
          <w:szCs w:val="22"/>
        </w:rPr>
        <w:footnoteReference w:id="8"/>
      </w:r>
    </w:p>
    <w:p w14:paraId="6342334D" w14:textId="77777777" w:rsidR="00D42FF3" w:rsidRPr="00C32B14" w:rsidRDefault="00D42FF3" w:rsidP="0083695D">
      <w:pPr>
        <w:rPr>
          <w:b/>
          <w:szCs w:val="22"/>
          <w:shd w:val="clear" w:color="auto" w:fill="FFFFFF"/>
        </w:rPr>
      </w:pPr>
      <w:r w:rsidRPr="00C32B14">
        <w:rPr>
          <w:b/>
          <w:szCs w:val="22"/>
          <w:shd w:val="clear" w:color="auto" w:fill="FFFFFF"/>
        </w:rPr>
        <w:t>2.  Indicate how, by whom and for what purpose the information is to be used.  Except for a new collection, indicate the actual use the agency has made of the information received from the current collection.</w:t>
      </w:r>
    </w:p>
    <w:p w14:paraId="390F92A1" w14:textId="77777777" w:rsidR="000D213A" w:rsidRPr="00C32B14" w:rsidRDefault="000D213A" w:rsidP="000D213A">
      <w:pPr>
        <w:pStyle w:val="Default"/>
        <w:rPr>
          <w:i/>
          <w:sz w:val="22"/>
          <w:szCs w:val="22"/>
        </w:rPr>
      </w:pPr>
    </w:p>
    <w:p w14:paraId="22A35BA5" w14:textId="47E8CF73" w:rsidR="000D213A" w:rsidRPr="00C32B14" w:rsidRDefault="000D213A" w:rsidP="000D213A">
      <w:pPr>
        <w:rPr>
          <w:bCs/>
          <w:i/>
          <w:iCs/>
          <w:szCs w:val="22"/>
        </w:rPr>
      </w:pPr>
      <w:r w:rsidRPr="00C32B14">
        <w:rPr>
          <w:bCs/>
          <w:i/>
          <w:iCs/>
          <w:szCs w:val="22"/>
        </w:rPr>
        <w:t>One of OMB’s standards under the PRA is whether the information has “practical utility.” Practical utility refers to the usefulness of information to carry out the agencies functions in a timely manner. It must be demonstrated that the information being collected will be used for a practical and necessary program purpose.</w:t>
      </w:r>
    </w:p>
    <w:p w14:paraId="22997DE1" w14:textId="77777777" w:rsidR="000D213A" w:rsidRPr="008C65EF" w:rsidRDefault="000D213A" w:rsidP="000D213A">
      <w:pPr>
        <w:rPr>
          <w:szCs w:val="22"/>
          <w:shd w:val="clear" w:color="auto" w:fill="FFFFFF"/>
        </w:rPr>
      </w:pPr>
    </w:p>
    <w:p w14:paraId="3531178B" w14:textId="68F5B1A4" w:rsidR="004C2F46" w:rsidRPr="008C65EF" w:rsidRDefault="00880D7A" w:rsidP="00467E70">
      <w:pPr>
        <w:ind w:firstLine="720"/>
        <w:rPr>
          <w:szCs w:val="22"/>
          <w:shd w:val="clear" w:color="auto" w:fill="FFFFFF"/>
        </w:rPr>
      </w:pPr>
      <w:r w:rsidRPr="008C65EF">
        <w:rPr>
          <w:szCs w:val="22"/>
          <w:shd w:val="clear" w:color="auto" w:fill="FFFFFF"/>
        </w:rPr>
        <w:t>As stated in previous filings for this information collection,</w:t>
      </w:r>
      <w:r w:rsidR="009E63AE" w:rsidRPr="008C65EF">
        <w:rPr>
          <w:rStyle w:val="FootnoteReference"/>
          <w:szCs w:val="22"/>
          <w:shd w:val="clear" w:color="auto" w:fill="FFFFFF"/>
        </w:rPr>
        <w:footnoteReference w:id="9"/>
      </w:r>
      <w:r w:rsidRPr="008C65EF">
        <w:rPr>
          <w:szCs w:val="22"/>
          <w:shd w:val="clear" w:color="auto" w:fill="FFFFFF"/>
        </w:rPr>
        <w:t xml:space="preserve"> t</w:t>
      </w:r>
      <w:r w:rsidR="00DC55B7" w:rsidRPr="008C65EF">
        <w:rPr>
          <w:szCs w:val="22"/>
          <w:shd w:val="clear" w:color="auto" w:fill="FFFFFF"/>
        </w:rPr>
        <w:t>he</w:t>
      </w:r>
      <w:r w:rsidR="006800DA" w:rsidRPr="008C65EF">
        <w:rPr>
          <w:szCs w:val="22"/>
          <w:shd w:val="clear" w:color="auto" w:fill="FFFFFF"/>
        </w:rPr>
        <w:t xml:space="preserve"> general</w:t>
      </w:r>
      <w:r w:rsidR="00DC55B7" w:rsidRPr="008C65EF">
        <w:rPr>
          <w:szCs w:val="22"/>
          <w:shd w:val="clear" w:color="auto" w:fill="FFFFFF"/>
        </w:rPr>
        <w:t xml:space="preserve"> purpose of </w:t>
      </w:r>
      <w:r w:rsidRPr="008C65EF">
        <w:rPr>
          <w:szCs w:val="22"/>
          <w:shd w:val="clear" w:color="auto" w:fill="FFFFFF"/>
        </w:rPr>
        <w:t>the Commission’s Part 4 rules</w:t>
      </w:r>
      <w:r w:rsidR="008E18EA" w:rsidRPr="008C65EF">
        <w:rPr>
          <w:szCs w:val="22"/>
          <w:shd w:val="clear" w:color="auto" w:fill="FFFFFF"/>
        </w:rPr>
        <w:t xml:space="preserve"> is</w:t>
      </w:r>
      <w:r w:rsidR="00DC55B7" w:rsidRPr="00C32B14">
        <w:rPr>
          <w:szCs w:val="22"/>
          <w:shd w:val="clear" w:color="auto" w:fill="FFFFFF"/>
        </w:rPr>
        <w:t xml:space="preserve"> to </w:t>
      </w:r>
      <w:r w:rsidR="005F6C79" w:rsidRPr="00C32B14">
        <w:rPr>
          <w:szCs w:val="22"/>
          <w:shd w:val="clear" w:color="auto" w:fill="FFFFFF"/>
        </w:rPr>
        <w:t xml:space="preserve">gather sufficient information regarding </w:t>
      </w:r>
      <w:r w:rsidR="004C2F46" w:rsidRPr="008C65EF">
        <w:rPr>
          <w:szCs w:val="22"/>
          <w:shd w:val="clear" w:color="auto" w:fill="FFFFFF"/>
        </w:rPr>
        <w:t xml:space="preserve">service </w:t>
      </w:r>
      <w:r w:rsidR="005F6C79" w:rsidRPr="008C65EF">
        <w:rPr>
          <w:szCs w:val="22"/>
          <w:shd w:val="clear" w:color="auto" w:fill="FFFFFF"/>
        </w:rPr>
        <w:t>disruptions to telecommunications</w:t>
      </w:r>
      <w:r w:rsidR="004C2F46" w:rsidRPr="008C65EF">
        <w:rPr>
          <w:szCs w:val="22"/>
          <w:shd w:val="clear" w:color="auto" w:fill="FFFFFF"/>
        </w:rPr>
        <w:t xml:space="preserve">.  Through this information collection, data received </w:t>
      </w:r>
      <w:r w:rsidR="00D42FF3" w:rsidRPr="008C65EF">
        <w:rPr>
          <w:szCs w:val="22"/>
          <w:shd w:val="clear" w:color="auto" w:fill="FFFFFF"/>
        </w:rPr>
        <w:t>facilitate</w:t>
      </w:r>
      <w:r w:rsidR="004C2F46" w:rsidRPr="008C65EF">
        <w:rPr>
          <w:szCs w:val="22"/>
          <w:shd w:val="clear" w:color="auto" w:fill="FFFFFF"/>
        </w:rPr>
        <w:t>s</w:t>
      </w:r>
      <w:r w:rsidR="00D42FF3" w:rsidRPr="008C65EF">
        <w:rPr>
          <w:szCs w:val="22"/>
          <w:shd w:val="clear" w:color="auto" w:fill="FFFFFF"/>
        </w:rPr>
        <w:t xml:space="preserve"> </w:t>
      </w:r>
      <w:r w:rsidR="004C2F46" w:rsidRPr="008C65EF">
        <w:rPr>
          <w:szCs w:val="22"/>
          <w:shd w:val="clear" w:color="auto" w:fill="FFFFFF"/>
        </w:rPr>
        <w:t xml:space="preserve">the Commission’s </w:t>
      </w:r>
      <w:r w:rsidR="00D42FF3" w:rsidRPr="008C65EF">
        <w:rPr>
          <w:szCs w:val="22"/>
          <w:shd w:val="clear" w:color="auto" w:fill="FFFFFF"/>
        </w:rPr>
        <w:t>monitoring</w:t>
      </w:r>
      <w:r w:rsidR="00BB240C" w:rsidRPr="008C65EF">
        <w:rPr>
          <w:szCs w:val="22"/>
          <w:shd w:val="clear" w:color="auto" w:fill="FFFFFF"/>
        </w:rPr>
        <w:t>, analysis,</w:t>
      </w:r>
      <w:r w:rsidR="00D42FF3" w:rsidRPr="008C65EF">
        <w:rPr>
          <w:szCs w:val="22"/>
          <w:shd w:val="clear" w:color="auto" w:fill="FFFFFF"/>
        </w:rPr>
        <w:t xml:space="preserve"> </w:t>
      </w:r>
      <w:r w:rsidR="007B4C87" w:rsidRPr="00C32B14">
        <w:rPr>
          <w:szCs w:val="22"/>
          <w:shd w:val="clear" w:color="auto" w:fill="FFFFFF"/>
        </w:rPr>
        <w:t xml:space="preserve">and investigation </w:t>
      </w:r>
      <w:r w:rsidR="00D42FF3" w:rsidRPr="00C32B14">
        <w:rPr>
          <w:szCs w:val="22"/>
          <w:shd w:val="clear" w:color="auto" w:fill="FFFFFF"/>
        </w:rPr>
        <w:t xml:space="preserve">of the reliability and security </w:t>
      </w:r>
      <w:r w:rsidR="00C07B46" w:rsidRPr="00C32B14">
        <w:rPr>
          <w:szCs w:val="22"/>
          <w:shd w:val="clear" w:color="auto" w:fill="FFFFFF"/>
        </w:rPr>
        <w:t xml:space="preserve">of </w:t>
      </w:r>
      <w:r w:rsidR="0053724F" w:rsidRPr="00C32B14">
        <w:rPr>
          <w:szCs w:val="22"/>
          <w:shd w:val="clear" w:color="auto" w:fill="FFFFFF"/>
        </w:rPr>
        <w:t>voice</w:t>
      </w:r>
      <w:r w:rsidR="001C56F5" w:rsidRPr="00C32B14">
        <w:rPr>
          <w:szCs w:val="22"/>
          <w:shd w:val="clear" w:color="auto" w:fill="FFFFFF"/>
        </w:rPr>
        <w:t>,</w:t>
      </w:r>
      <w:r w:rsidR="0053724F" w:rsidRPr="00C32B14">
        <w:rPr>
          <w:szCs w:val="22"/>
          <w:shd w:val="clear" w:color="auto" w:fill="FFFFFF"/>
        </w:rPr>
        <w:t xml:space="preserve"> paging</w:t>
      </w:r>
      <w:r w:rsidR="001C56F5" w:rsidRPr="00C32B14">
        <w:rPr>
          <w:szCs w:val="22"/>
          <w:shd w:val="clear" w:color="auto" w:fill="FFFFFF"/>
        </w:rPr>
        <w:t>, and interconnected VoIP</w:t>
      </w:r>
      <w:r w:rsidR="0053724F" w:rsidRPr="00C32B14">
        <w:rPr>
          <w:szCs w:val="22"/>
          <w:shd w:val="clear" w:color="auto" w:fill="FFFFFF"/>
        </w:rPr>
        <w:t xml:space="preserve"> </w:t>
      </w:r>
      <w:r w:rsidR="00760158" w:rsidRPr="00C32B14">
        <w:rPr>
          <w:szCs w:val="22"/>
          <w:shd w:val="clear" w:color="auto" w:fill="FFFFFF"/>
        </w:rPr>
        <w:t xml:space="preserve">communications </w:t>
      </w:r>
      <w:r w:rsidR="00D42FF3" w:rsidRPr="00C32B14">
        <w:rPr>
          <w:szCs w:val="22"/>
          <w:shd w:val="clear" w:color="auto" w:fill="FFFFFF"/>
        </w:rPr>
        <w:t>service</w:t>
      </w:r>
      <w:r w:rsidR="001C56F5" w:rsidRPr="00C32B14">
        <w:rPr>
          <w:szCs w:val="22"/>
          <w:shd w:val="clear" w:color="auto" w:fill="FFFFFF"/>
        </w:rPr>
        <w:t>s</w:t>
      </w:r>
      <w:r w:rsidR="004C2F46" w:rsidRPr="008C65EF">
        <w:rPr>
          <w:szCs w:val="22"/>
          <w:shd w:val="clear" w:color="auto" w:fill="FFFFFF"/>
        </w:rPr>
        <w:t>.  Data received through this information collection also</w:t>
      </w:r>
      <w:r w:rsidR="0082709A" w:rsidRPr="008C65EF">
        <w:rPr>
          <w:szCs w:val="22"/>
          <w:shd w:val="clear" w:color="auto" w:fill="FFFFFF"/>
        </w:rPr>
        <w:t xml:space="preserve"> helps</w:t>
      </w:r>
      <w:r w:rsidR="004C2F46" w:rsidRPr="008C65EF">
        <w:rPr>
          <w:szCs w:val="22"/>
          <w:shd w:val="clear" w:color="auto" w:fill="FFFFFF"/>
        </w:rPr>
        <w:t xml:space="preserve"> the Commission </w:t>
      </w:r>
      <w:r w:rsidR="00A80BE6" w:rsidRPr="008C65EF">
        <w:rPr>
          <w:szCs w:val="22"/>
          <w:shd w:val="clear" w:color="auto" w:fill="FFFFFF"/>
        </w:rPr>
        <w:t xml:space="preserve">identify and act on potential threats to </w:t>
      </w:r>
      <w:r w:rsidR="005F6C79" w:rsidRPr="008C65EF">
        <w:rPr>
          <w:szCs w:val="22"/>
          <w:shd w:val="clear" w:color="auto" w:fill="FFFFFF"/>
        </w:rPr>
        <w:t xml:space="preserve">our </w:t>
      </w:r>
      <w:r w:rsidR="00A80BE6" w:rsidRPr="00C32B14">
        <w:rPr>
          <w:szCs w:val="22"/>
          <w:shd w:val="clear" w:color="auto" w:fill="FFFFFF"/>
        </w:rPr>
        <w:t>Nation’s telecommunications infrastructure.</w:t>
      </w:r>
      <w:r w:rsidR="0022158C" w:rsidRPr="00C32B14">
        <w:rPr>
          <w:szCs w:val="22"/>
          <w:shd w:val="clear" w:color="auto" w:fill="FFFFFF"/>
        </w:rPr>
        <w:t xml:space="preserve">  </w:t>
      </w:r>
      <w:r w:rsidR="0082709A" w:rsidRPr="008C65EF">
        <w:rPr>
          <w:szCs w:val="22"/>
          <w:shd w:val="clear" w:color="auto" w:fill="FFFFFF"/>
        </w:rPr>
        <w:t>Moreover, t</w:t>
      </w:r>
      <w:r w:rsidR="00BD5642" w:rsidRPr="008C65EF">
        <w:rPr>
          <w:szCs w:val="22"/>
          <w:shd w:val="clear" w:color="auto" w:fill="FFFFFF"/>
        </w:rPr>
        <w:t xml:space="preserve">he </w:t>
      </w:r>
      <w:r w:rsidR="00B13B34" w:rsidRPr="008C65EF">
        <w:rPr>
          <w:szCs w:val="22"/>
          <w:shd w:val="clear" w:color="auto" w:fill="FFFFFF"/>
        </w:rPr>
        <w:t>Commission</w:t>
      </w:r>
      <w:r w:rsidR="00BD5642" w:rsidRPr="008C65EF">
        <w:rPr>
          <w:szCs w:val="22"/>
          <w:shd w:val="clear" w:color="auto" w:fill="FFFFFF"/>
        </w:rPr>
        <w:t xml:space="preserve"> uses </w:t>
      </w:r>
      <w:r w:rsidR="0053724F" w:rsidRPr="008C65EF">
        <w:rPr>
          <w:szCs w:val="22"/>
          <w:shd w:val="clear" w:color="auto" w:fill="FFFFFF"/>
        </w:rPr>
        <w:t>t</w:t>
      </w:r>
      <w:r w:rsidR="0022158C" w:rsidRPr="00C32B14">
        <w:rPr>
          <w:szCs w:val="22"/>
          <w:shd w:val="clear" w:color="auto" w:fill="FFFFFF"/>
        </w:rPr>
        <w:t>his</w:t>
      </w:r>
      <w:r w:rsidR="00D42FF3" w:rsidRPr="00C32B14">
        <w:rPr>
          <w:szCs w:val="22"/>
          <w:shd w:val="clear" w:color="auto" w:fill="FFFFFF"/>
        </w:rPr>
        <w:t xml:space="preserve"> </w:t>
      </w:r>
      <w:r w:rsidR="00E23436" w:rsidRPr="00C32B14">
        <w:rPr>
          <w:szCs w:val="22"/>
          <w:shd w:val="clear" w:color="auto" w:fill="FFFFFF"/>
        </w:rPr>
        <w:t>information collection</w:t>
      </w:r>
      <w:r w:rsidR="00A70321" w:rsidRPr="00C32B14">
        <w:rPr>
          <w:szCs w:val="22"/>
          <w:shd w:val="clear" w:color="auto" w:fill="FFFFFF"/>
        </w:rPr>
        <w:t xml:space="preserve"> to</w:t>
      </w:r>
      <w:r w:rsidR="00E23436" w:rsidRPr="00C32B14">
        <w:rPr>
          <w:szCs w:val="22"/>
          <w:shd w:val="clear" w:color="auto" w:fill="FFFFFF"/>
        </w:rPr>
        <w:t xml:space="preserve"> </w:t>
      </w:r>
      <w:r w:rsidR="00A80BE6" w:rsidRPr="00C32B14">
        <w:rPr>
          <w:szCs w:val="22"/>
          <w:shd w:val="clear" w:color="auto" w:fill="FFFFFF"/>
        </w:rPr>
        <w:t xml:space="preserve">identify the duration, magnitude, root causes, contributing factors </w:t>
      </w:r>
      <w:r w:rsidR="0082154F" w:rsidRPr="00C32B14">
        <w:rPr>
          <w:szCs w:val="22"/>
          <w:shd w:val="clear" w:color="auto" w:fill="FFFFFF"/>
        </w:rPr>
        <w:t>with respect to significant outages, and to</w:t>
      </w:r>
      <w:r w:rsidR="00B13B34" w:rsidRPr="00C32B14">
        <w:rPr>
          <w:spacing w:val="-3"/>
          <w:szCs w:val="22"/>
        </w:rPr>
        <w:t xml:space="preserve"> identify outage trends; support service restoration efforts; and help coordinate with public safety officials during times of crisis</w:t>
      </w:r>
      <w:r w:rsidR="00D42FF3" w:rsidRPr="00C32B14">
        <w:rPr>
          <w:szCs w:val="22"/>
          <w:shd w:val="clear" w:color="auto" w:fill="FFFFFF"/>
        </w:rPr>
        <w:t xml:space="preserve">.  </w:t>
      </w:r>
    </w:p>
    <w:p w14:paraId="1D8DFE00" w14:textId="77777777" w:rsidR="004C2F46" w:rsidRPr="008C65EF" w:rsidRDefault="004C2F46" w:rsidP="00467E70">
      <w:pPr>
        <w:ind w:firstLine="720"/>
        <w:rPr>
          <w:szCs w:val="22"/>
          <w:shd w:val="clear" w:color="auto" w:fill="FFFFFF"/>
        </w:rPr>
      </w:pPr>
    </w:p>
    <w:p w14:paraId="19FD9554" w14:textId="0443E771" w:rsidR="00B72F53" w:rsidRPr="00C32B14" w:rsidRDefault="00BB240C" w:rsidP="00467E70">
      <w:pPr>
        <w:ind w:firstLine="720"/>
        <w:rPr>
          <w:spacing w:val="-3"/>
          <w:szCs w:val="22"/>
        </w:rPr>
      </w:pPr>
      <w:r w:rsidRPr="008C65EF">
        <w:rPr>
          <w:szCs w:val="22"/>
          <w:shd w:val="clear" w:color="auto" w:fill="FFFFFF"/>
        </w:rPr>
        <w:t>T</w:t>
      </w:r>
      <w:r w:rsidR="0053724F" w:rsidRPr="008C65EF">
        <w:rPr>
          <w:szCs w:val="22"/>
          <w:shd w:val="clear" w:color="auto" w:fill="FFFFFF"/>
        </w:rPr>
        <w:t xml:space="preserve">he Commission </w:t>
      </w:r>
      <w:r w:rsidRPr="008C65EF">
        <w:rPr>
          <w:szCs w:val="22"/>
          <w:shd w:val="clear" w:color="auto" w:fill="FFFFFF"/>
        </w:rPr>
        <w:t xml:space="preserve">also </w:t>
      </w:r>
      <w:r w:rsidR="0053724F" w:rsidRPr="008C65EF">
        <w:rPr>
          <w:szCs w:val="22"/>
          <w:shd w:val="clear" w:color="auto" w:fill="FFFFFF"/>
        </w:rPr>
        <w:t>maintains an ongoing dialog</w:t>
      </w:r>
      <w:r w:rsidR="00E90754" w:rsidRPr="00C32B14">
        <w:rPr>
          <w:szCs w:val="22"/>
          <w:shd w:val="clear" w:color="auto" w:fill="FFFFFF"/>
        </w:rPr>
        <w:t>ue</w:t>
      </w:r>
      <w:r w:rsidR="0053724F" w:rsidRPr="00C32B14">
        <w:rPr>
          <w:szCs w:val="22"/>
          <w:shd w:val="clear" w:color="auto" w:fill="FFFFFF"/>
        </w:rPr>
        <w:t xml:space="preserve"> with reporting </w:t>
      </w:r>
      <w:r w:rsidR="004C2F46" w:rsidRPr="008C65EF">
        <w:rPr>
          <w:szCs w:val="22"/>
          <w:shd w:val="clear" w:color="auto" w:fill="FFFFFF"/>
        </w:rPr>
        <w:t>service providers</w:t>
      </w:r>
      <w:r w:rsidR="005633CE" w:rsidRPr="008C65EF">
        <w:rPr>
          <w:szCs w:val="22"/>
          <w:shd w:val="clear" w:color="auto" w:fill="FFFFFF"/>
        </w:rPr>
        <w:t xml:space="preserve">, as well as with the </w:t>
      </w:r>
      <w:r w:rsidR="00882EB6">
        <w:rPr>
          <w:szCs w:val="22"/>
          <w:shd w:val="clear" w:color="auto" w:fill="FFFFFF"/>
        </w:rPr>
        <w:t>tele</w:t>
      </w:r>
      <w:r w:rsidR="005633CE" w:rsidRPr="008C65EF">
        <w:rPr>
          <w:szCs w:val="22"/>
          <w:shd w:val="clear" w:color="auto" w:fill="FFFFFF"/>
        </w:rPr>
        <w:t>communications industry at large</w:t>
      </w:r>
      <w:r w:rsidR="004C2F46" w:rsidRPr="008C65EF">
        <w:rPr>
          <w:szCs w:val="22"/>
          <w:shd w:val="clear" w:color="auto" w:fill="FFFFFF"/>
        </w:rPr>
        <w:t xml:space="preserve">.  Here, the Commission uses the information collection to draw </w:t>
      </w:r>
      <w:r w:rsidR="00E23436" w:rsidRPr="00C32B14">
        <w:rPr>
          <w:szCs w:val="22"/>
          <w:shd w:val="clear" w:color="auto" w:fill="FFFFFF"/>
        </w:rPr>
        <w:t xml:space="preserve">lessons learned in order </w:t>
      </w:r>
      <w:r w:rsidR="0053724F" w:rsidRPr="00C32B14">
        <w:rPr>
          <w:szCs w:val="22"/>
          <w:shd w:val="clear" w:color="auto" w:fill="FFFFFF"/>
        </w:rPr>
        <w:t xml:space="preserve">to foster </w:t>
      </w:r>
      <w:r w:rsidR="009979BD" w:rsidRPr="00C32B14">
        <w:rPr>
          <w:szCs w:val="22"/>
          <w:shd w:val="clear" w:color="auto" w:fill="FFFFFF"/>
        </w:rPr>
        <w:t xml:space="preserve">a </w:t>
      </w:r>
      <w:r w:rsidR="0053724F" w:rsidRPr="00C32B14">
        <w:rPr>
          <w:szCs w:val="22"/>
          <w:shd w:val="clear" w:color="auto" w:fill="FFFFFF"/>
        </w:rPr>
        <w:t xml:space="preserve">better understanding of </w:t>
      </w:r>
      <w:r w:rsidR="009979BD" w:rsidRPr="00C32B14">
        <w:rPr>
          <w:szCs w:val="22"/>
          <w:shd w:val="clear" w:color="auto" w:fill="FFFFFF"/>
        </w:rPr>
        <w:t xml:space="preserve">significant </w:t>
      </w:r>
      <w:r w:rsidR="00507262" w:rsidRPr="00C32B14">
        <w:rPr>
          <w:szCs w:val="22"/>
          <w:shd w:val="clear" w:color="auto" w:fill="FFFFFF"/>
        </w:rPr>
        <w:t>outages’</w:t>
      </w:r>
      <w:r w:rsidR="009979BD" w:rsidRPr="00C32B14">
        <w:rPr>
          <w:szCs w:val="22"/>
          <w:shd w:val="clear" w:color="auto" w:fill="FFFFFF"/>
        </w:rPr>
        <w:t xml:space="preserve"> </w:t>
      </w:r>
      <w:r w:rsidR="0053724F" w:rsidRPr="00C32B14">
        <w:rPr>
          <w:szCs w:val="22"/>
          <w:shd w:val="clear" w:color="auto" w:fill="FFFFFF"/>
        </w:rPr>
        <w:t xml:space="preserve">root causes, and to explore preventive measures in the future </w:t>
      </w:r>
      <w:r w:rsidR="00E23436" w:rsidRPr="00C32B14">
        <w:rPr>
          <w:szCs w:val="22"/>
          <w:shd w:val="clear" w:color="auto" w:fill="FFFFFF"/>
        </w:rPr>
        <w:t>so as</w:t>
      </w:r>
      <w:r w:rsidR="00CA123A" w:rsidRPr="00C32B14">
        <w:rPr>
          <w:szCs w:val="22"/>
          <w:shd w:val="clear" w:color="auto" w:fill="FFFFFF"/>
        </w:rPr>
        <w:t xml:space="preserve"> </w:t>
      </w:r>
      <w:r w:rsidR="00E23436" w:rsidRPr="00C32B14">
        <w:rPr>
          <w:szCs w:val="22"/>
          <w:shd w:val="clear" w:color="auto" w:fill="FFFFFF"/>
        </w:rPr>
        <w:t>t</w:t>
      </w:r>
      <w:r w:rsidR="0053724F" w:rsidRPr="00C32B14">
        <w:rPr>
          <w:szCs w:val="22"/>
          <w:shd w:val="clear" w:color="auto" w:fill="FFFFFF"/>
        </w:rPr>
        <w:t xml:space="preserve">o mitigate the </w:t>
      </w:r>
      <w:r w:rsidRPr="00C32B14">
        <w:rPr>
          <w:szCs w:val="22"/>
          <w:shd w:val="clear" w:color="auto" w:fill="FFFFFF"/>
        </w:rPr>
        <w:t xml:space="preserve">potential </w:t>
      </w:r>
      <w:r w:rsidR="00440914" w:rsidRPr="00C32B14">
        <w:rPr>
          <w:szCs w:val="22"/>
          <w:shd w:val="clear" w:color="auto" w:fill="FFFFFF"/>
        </w:rPr>
        <w:t xml:space="preserve">scale and </w:t>
      </w:r>
      <w:r w:rsidR="0053724F" w:rsidRPr="00C32B14">
        <w:rPr>
          <w:szCs w:val="22"/>
          <w:shd w:val="clear" w:color="auto" w:fill="FFFFFF"/>
        </w:rPr>
        <w:t>impact of such outages.</w:t>
      </w:r>
      <w:r w:rsidR="005633CE" w:rsidRPr="00C32B14">
        <w:rPr>
          <w:szCs w:val="22"/>
          <w:shd w:val="clear" w:color="auto" w:fill="FFFFFF"/>
        </w:rPr>
        <w:t xml:space="preserve">  </w:t>
      </w:r>
    </w:p>
    <w:p w14:paraId="7E8A017C" w14:textId="77777777" w:rsidR="00B72F53" w:rsidRPr="00C32B14" w:rsidRDefault="00B72F53" w:rsidP="00467E70">
      <w:pPr>
        <w:ind w:firstLine="720"/>
        <w:rPr>
          <w:spacing w:val="-3"/>
          <w:szCs w:val="22"/>
        </w:rPr>
      </w:pPr>
    </w:p>
    <w:p w14:paraId="6EFEAC5A" w14:textId="37F03D3C" w:rsidR="00F763E8" w:rsidRPr="008C65EF" w:rsidRDefault="00304A36" w:rsidP="00467E70">
      <w:pPr>
        <w:ind w:firstLine="720"/>
        <w:rPr>
          <w:szCs w:val="22"/>
          <w:shd w:val="clear" w:color="auto" w:fill="FFFFFF"/>
        </w:rPr>
      </w:pPr>
      <w:r w:rsidRPr="00C32B14">
        <w:rPr>
          <w:szCs w:val="22"/>
          <w:shd w:val="clear" w:color="auto" w:fill="FFFFFF"/>
        </w:rPr>
        <w:t>Collection of such information through NORS has already been approved by OMB</w:t>
      </w:r>
      <w:r w:rsidR="004C2F46" w:rsidRPr="008C65EF">
        <w:rPr>
          <w:szCs w:val="22"/>
          <w:shd w:val="clear" w:color="auto" w:fill="FFFFFF"/>
        </w:rPr>
        <w:t xml:space="preserve"> and </w:t>
      </w:r>
      <w:r w:rsidR="00E55D30">
        <w:rPr>
          <w:szCs w:val="22"/>
          <w:shd w:val="clear" w:color="auto" w:fill="FFFFFF"/>
        </w:rPr>
        <w:t>the Commission seeks</w:t>
      </w:r>
      <w:r w:rsidR="004C2F46" w:rsidRPr="008C65EF">
        <w:rPr>
          <w:szCs w:val="22"/>
          <w:shd w:val="clear" w:color="auto" w:fill="FFFFFF"/>
        </w:rPr>
        <w:t xml:space="preserve"> to renew the collection for another full term.</w:t>
      </w:r>
    </w:p>
    <w:p w14:paraId="3B26DE39" w14:textId="77777777" w:rsidR="0026661E" w:rsidRPr="008C65EF" w:rsidRDefault="0026661E" w:rsidP="0083695D">
      <w:pPr>
        <w:rPr>
          <w:b/>
          <w:szCs w:val="22"/>
          <w:shd w:val="clear" w:color="auto" w:fill="FFFFFF"/>
        </w:rPr>
      </w:pPr>
    </w:p>
    <w:p w14:paraId="22EFB67C" w14:textId="77777777" w:rsidR="000D213A" w:rsidRPr="00C32B14" w:rsidRDefault="00D42FF3" w:rsidP="0083695D">
      <w:pPr>
        <w:rPr>
          <w:b/>
          <w:szCs w:val="22"/>
          <w:shd w:val="clear" w:color="auto" w:fill="FFFFFF"/>
        </w:rPr>
      </w:pPr>
      <w:r w:rsidRPr="00C32B14">
        <w:rPr>
          <w:b/>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14:paraId="4CCA6874" w14:textId="77777777" w:rsidR="000D213A" w:rsidRPr="00C32B14" w:rsidRDefault="000D213A" w:rsidP="0083695D">
      <w:pPr>
        <w:rPr>
          <w:b/>
          <w:szCs w:val="22"/>
          <w:shd w:val="clear" w:color="auto" w:fill="FFFFFF"/>
        </w:rPr>
      </w:pPr>
    </w:p>
    <w:p w14:paraId="5D280F57" w14:textId="24E2646E" w:rsidR="00D42FF3" w:rsidRPr="00C32B14" w:rsidRDefault="000D213A" w:rsidP="00C32B14">
      <w:pPr>
        <w:pStyle w:val="Default"/>
        <w:rPr>
          <w:i/>
          <w:sz w:val="22"/>
          <w:szCs w:val="22"/>
          <w:shd w:val="clear" w:color="auto" w:fill="FFFFFF"/>
        </w:rPr>
      </w:pPr>
      <w:r w:rsidRPr="00C32B14">
        <w:rPr>
          <w:i/>
          <w:sz w:val="22"/>
          <w:szCs w:val="22"/>
          <w:shd w:val="clear" w:color="auto" w:fill="FFFFFF"/>
        </w:rPr>
        <w:t>D</w:t>
      </w:r>
      <w:r w:rsidR="00D42FF3" w:rsidRPr="00C32B14">
        <w:rPr>
          <w:i/>
          <w:sz w:val="22"/>
          <w:szCs w:val="22"/>
          <w:shd w:val="clear" w:color="auto" w:fill="FFFFFF"/>
        </w:rPr>
        <w:t xml:space="preserve">escribe any consideration </w:t>
      </w:r>
      <w:r w:rsidRPr="00C32B14">
        <w:rPr>
          <w:bCs/>
          <w:i/>
          <w:iCs/>
          <w:sz w:val="22"/>
          <w:szCs w:val="22"/>
        </w:rPr>
        <w:t>given to the use of improved information technology to reduce the burden on the public</w:t>
      </w:r>
      <w:r w:rsidR="00D42FF3" w:rsidRPr="00C32B14">
        <w:rPr>
          <w:i/>
          <w:sz w:val="22"/>
          <w:szCs w:val="22"/>
          <w:shd w:val="clear" w:color="auto" w:fill="FFFFFF"/>
        </w:rPr>
        <w:t>.</w:t>
      </w:r>
    </w:p>
    <w:p w14:paraId="64E16641" w14:textId="77777777" w:rsidR="0026661E" w:rsidRPr="008C65EF" w:rsidRDefault="0026661E" w:rsidP="0083695D">
      <w:pPr>
        <w:rPr>
          <w:szCs w:val="22"/>
          <w:shd w:val="clear" w:color="auto" w:fill="FFFFFF"/>
        </w:rPr>
      </w:pPr>
    </w:p>
    <w:p w14:paraId="10EE9CE6" w14:textId="726F3A18" w:rsidR="00EA7243" w:rsidRPr="008C65EF" w:rsidRDefault="00304A36" w:rsidP="003650D9">
      <w:pPr>
        <w:ind w:firstLine="720"/>
        <w:rPr>
          <w:szCs w:val="22"/>
          <w:shd w:val="clear" w:color="auto" w:fill="FFFFFF"/>
        </w:rPr>
      </w:pPr>
      <w:r w:rsidRPr="008C65EF">
        <w:rPr>
          <w:szCs w:val="22"/>
          <w:shd w:val="clear" w:color="auto" w:fill="FFFFFF"/>
        </w:rPr>
        <w:t xml:space="preserve">The </w:t>
      </w:r>
      <w:r w:rsidR="001C56F5" w:rsidRPr="008C65EF">
        <w:rPr>
          <w:szCs w:val="22"/>
          <w:shd w:val="clear" w:color="auto" w:fill="FFFFFF"/>
        </w:rPr>
        <w:t>information collection</w:t>
      </w:r>
      <w:r w:rsidRPr="00C32B14">
        <w:rPr>
          <w:szCs w:val="22"/>
          <w:shd w:val="clear" w:color="auto" w:fill="FFFFFF"/>
        </w:rPr>
        <w:t xml:space="preserve"> </w:t>
      </w:r>
      <w:r w:rsidR="001C56F5" w:rsidRPr="00C32B14">
        <w:rPr>
          <w:szCs w:val="22"/>
          <w:shd w:val="clear" w:color="auto" w:fill="FFFFFF"/>
        </w:rPr>
        <w:t>is administered by the FCC’s Public Safety and Homeland Security Bureau (PSHSB)</w:t>
      </w:r>
      <w:r w:rsidR="003002A2" w:rsidRPr="00C32B14">
        <w:rPr>
          <w:szCs w:val="22"/>
          <w:shd w:val="clear" w:color="auto" w:fill="FFFFFF"/>
        </w:rPr>
        <w:t>,</w:t>
      </w:r>
      <w:r w:rsidR="001C56F5" w:rsidRPr="00C32B14">
        <w:rPr>
          <w:szCs w:val="22"/>
          <w:shd w:val="clear" w:color="auto" w:fill="FFFFFF"/>
        </w:rPr>
        <w:t xml:space="preserve"> which maintains </w:t>
      </w:r>
      <w:r w:rsidR="003129FA">
        <w:rPr>
          <w:szCs w:val="22"/>
          <w:shd w:val="clear" w:color="auto" w:fill="FFFFFF"/>
        </w:rPr>
        <w:t xml:space="preserve">the NORS </w:t>
      </w:r>
      <w:r w:rsidR="00D20016" w:rsidRPr="008C65EF">
        <w:rPr>
          <w:szCs w:val="22"/>
          <w:shd w:val="clear" w:color="auto" w:fill="FFFFFF"/>
        </w:rPr>
        <w:t xml:space="preserve">web-based </w:t>
      </w:r>
      <w:r w:rsidR="001C56F5" w:rsidRPr="008C65EF">
        <w:rPr>
          <w:szCs w:val="22"/>
          <w:shd w:val="clear" w:color="auto" w:fill="FFFFFF"/>
        </w:rPr>
        <w:t xml:space="preserve">portal for the electronic submission of </w:t>
      </w:r>
      <w:r w:rsidRPr="008C65EF">
        <w:rPr>
          <w:szCs w:val="22"/>
          <w:shd w:val="clear" w:color="auto" w:fill="FFFFFF"/>
        </w:rPr>
        <w:t xml:space="preserve">NORS </w:t>
      </w:r>
      <w:r w:rsidR="00D20016" w:rsidRPr="008C65EF">
        <w:rPr>
          <w:szCs w:val="22"/>
          <w:shd w:val="clear" w:color="auto" w:fill="FFFFFF"/>
        </w:rPr>
        <w:t>filings</w:t>
      </w:r>
      <w:r w:rsidR="00D42FF3" w:rsidRPr="008C65EF">
        <w:rPr>
          <w:szCs w:val="22"/>
          <w:shd w:val="clear" w:color="auto" w:fill="FFFFFF"/>
        </w:rPr>
        <w:t>.</w:t>
      </w:r>
      <w:r w:rsidR="00335B79" w:rsidRPr="008C65EF">
        <w:rPr>
          <w:rStyle w:val="FootnoteReference"/>
          <w:szCs w:val="22"/>
          <w:shd w:val="clear" w:color="auto" w:fill="FFFFFF"/>
        </w:rPr>
        <w:footnoteReference w:id="10"/>
      </w:r>
      <w:r w:rsidR="00D42FF3" w:rsidRPr="008C65EF">
        <w:rPr>
          <w:szCs w:val="22"/>
          <w:shd w:val="clear" w:color="auto" w:fill="FFFFFF"/>
        </w:rPr>
        <w:t xml:space="preserve">  </w:t>
      </w:r>
      <w:r w:rsidR="00E42775" w:rsidRPr="008C65EF">
        <w:rPr>
          <w:szCs w:val="22"/>
          <w:shd w:val="clear" w:color="auto" w:fill="FFFFFF"/>
        </w:rPr>
        <w:t xml:space="preserve">To facilitate compliance with the reporting requirements, the Commission developed </w:t>
      </w:r>
      <w:r w:rsidR="00D20016" w:rsidRPr="008C65EF">
        <w:rPr>
          <w:szCs w:val="22"/>
          <w:shd w:val="clear" w:color="auto" w:fill="FFFFFF"/>
        </w:rPr>
        <w:t>w</w:t>
      </w:r>
      <w:r w:rsidR="00D42FF3" w:rsidRPr="008C65EF">
        <w:rPr>
          <w:szCs w:val="22"/>
          <w:shd w:val="clear" w:color="auto" w:fill="FFFFFF"/>
        </w:rPr>
        <w:t>eb-based templat</w:t>
      </w:r>
      <w:r w:rsidR="00D42FF3" w:rsidRPr="00C32B14">
        <w:rPr>
          <w:szCs w:val="22"/>
          <w:shd w:val="clear" w:color="auto" w:fill="FFFFFF"/>
        </w:rPr>
        <w:t>es</w:t>
      </w:r>
      <w:r w:rsidR="00594BE7" w:rsidRPr="00C32B14">
        <w:rPr>
          <w:szCs w:val="22"/>
          <w:shd w:val="clear" w:color="auto" w:fill="FFFFFF"/>
        </w:rPr>
        <w:t xml:space="preserve"> that </w:t>
      </w:r>
      <w:r w:rsidR="00EA7243" w:rsidRPr="008C65EF">
        <w:rPr>
          <w:szCs w:val="22"/>
          <w:shd w:val="clear" w:color="auto" w:fill="FFFFFF"/>
        </w:rPr>
        <w:t xml:space="preserve">it makes </w:t>
      </w:r>
      <w:r w:rsidR="00335B79" w:rsidRPr="008C65EF">
        <w:rPr>
          <w:szCs w:val="22"/>
          <w:shd w:val="clear" w:color="auto" w:fill="FFFFFF"/>
        </w:rPr>
        <w:t xml:space="preserve">available </w:t>
      </w:r>
      <w:r w:rsidR="00D20016" w:rsidRPr="008C65EF">
        <w:rPr>
          <w:szCs w:val="22"/>
          <w:shd w:val="clear" w:color="auto" w:fill="FFFFFF"/>
        </w:rPr>
        <w:t>on</w:t>
      </w:r>
      <w:r w:rsidR="00594BE7" w:rsidRPr="008C65EF">
        <w:rPr>
          <w:szCs w:val="22"/>
          <w:shd w:val="clear" w:color="auto" w:fill="FFFFFF"/>
        </w:rPr>
        <w:t xml:space="preserve"> the </w:t>
      </w:r>
      <w:r w:rsidRPr="008C65EF">
        <w:rPr>
          <w:szCs w:val="22"/>
          <w:shd w:val="clear" w:color="auto" w:fill="FFFFFF"/>
        </w:rPr>
        <w:t>NORS</w:t>
      </w:r>
      <w:r w:rsidR="00594BE7" w:rsidRPr="008C65EF">
        <w:rPr>
          <w:szCs w:val="22"/>
          <w:shd w:val="clear" w:color="auto" w:fill="FFFFFF"/>
        </w:rPr>
        <w:t xml:space="preserve"> </w:t>
      </w:r>
      <w:r w:rsidR="00D20016" w:rsidRPr="008C65EF">
        <w:rPr>
          <w:szCs w:val="22"/>
          <w:shd w:val="clear" w:color="auto" w:fill="FFFFFF"/>
        </w:rPr>
        <w:t>w</w:t>
      </w:r>
      <w:r w:rsidR="00594BE7" w:rsidRPr="008C65EF">
        <w:rPr>
          <w:szCs w:val="22"/>
          <w:shd w:val="clear" w:color="auto" w:fill="FFFFFF"/>
        </w:rPr>
        <w:t>eb portal</w:t>
      </w:r>
      <w:r w:rsidR="00D42FF3" w:rsidRPr="008C65EF">
        <w:rPr>
          <w:szCs w:val="22"/>
          <w:shd w:val="clear" w:color="auto" w:fill="FFFFFF"/>
        </w:rPr>
        <w:t>.</w:t>
      </w:r>
      <w:r w:rsidR="00594BE7" w:rsidRPr="008C65EF">
        <w:rPr>
          <w:szCs w:val="22"/>
          <w:shd w:val="clear" w:color="auto" w:fill="FFFFFF"/>
        </w:rPr>
        <w:t xml:space="preserve">  </w:t>
      </w:r>
      <w:r w:rsidR="003B629E" w:rsidRPr="008C65EF">
        <w:rPr>
          <w:szCs w:val="22"/>
          <w:shd w:val="clear" w:color="auto" w:fill="FFFFFF"/>
        </w:rPr>
        <w:t>Service providers use the templates to enter their information</w:t>
      </w:r>
      <w:r w:rsidR="00EA7243" w:rsidRPr="008C65EF">
        <w:rPr>
          <w:szCs w:val="22"/>
          <w:shd w:val="clear" w:color="auto" w:fill="FFFFFF"/>
        </w:rPr>
        <w:t xml:space="preserve"> about outages experienced in their networks.  These submi</w:t>
      </w:r>
      <w:r w:rsidR="003B629E" w:rsidRPr="008C65EF">
        <w:rPr>
          <w:szCs w:val="22"/>
          <w:shd w:val="clear" w:color="auto" w:fill="FFFFFF"/>
        </w:rPr>
        <w:t xml:space="preserve">ssions are </w:t>
      </w:r>
      <w:r w:rsidR="00EA7243" w:rsidRPr="008C65EF">
        <w:rPr>
          <w:szCs w:val="22"/>
          <w:shd w:val="clear" w:color="auto" w:fill="FFFFFF"/>
        </w:rPr>
        <w:t xml:space="preserve">then </w:t>
      </w:r>
      <w:r w:rsidR="003B629E" w:rsidRPr="008C65EF">
        <w:rPr>
          <w:szCs w:val="22"/>
          <w:shd w:val="clear" w:color="auto" w:fill="FFFFFF"/>
        </w:rPr>
        <w:t>made available to Commission staff in real time</w:t>
      </w:r>
      <w:r w:rsidR="00000231">
        <w:rPr>
          <w:szCs w:val="22"/>
          <w:shd w:val="clear" w:color="auto" w:fill="FFFFFF"/>
        </w:rPr>
        <w:t xml:space="preserve"> in the NORS web-based portal</w:t>
      </w:r>
      <w:r w:rsidR="003B629E" w:rsidRPr="008C65EF">
        <w:rPr>
          <w:szCs w:val="22"/>
          <w:shd w:val="clear" w:color="auto" w:fill="FFFFFF"/>
        </w:rPr>
        <w:t xml:space="preserve">. </w:t>
      </w:r>
      <w:r w:rsidR="007C7F9A" w:rsidRPr="00C32B14">
        <w:rPr>
          <w:szCs w:val="22"/>
          <w:shd w:val="clear" w:color="auto" w:fill="FFFFFF"/>
        </w:rPr>
        <w:t xml:space="preserve"> </w:t>
      </w:r>
    </w:p>
    <w:p w14:paraId="0CF550D3" w14:textId="77777777" w:rsidR="00EA7243" w:rsidRPr="008C65EF" w:rsidRDefault="00EA7243" w:rsidP="003650D9">
      <w:pPr>
        <w:ind w:firstLine="720"/>
        <w:rPr>
          <w:szCs w:val="22"/>
          <w:shd w:val="clear" w:color="auto" w:fill="FFFFFF"/>
        </w:rPr>
      </w:pPr>
    </w:p>
    <w:p w14:paraId="361CA9CD" w14:textId="4F95A8A9" w:rsidR="00335B79" w:rsidRPr="00C32B14" w:rsidRDefault="003B629E" w:rsidP="003650D9">
      <w:pPr>
        <w:ind w:firstLine="720"/>
        <w:rPr>
          <w:szCs w:val="22"/>
          <w:shd w:val="clear" w:color="auto" w:fill="FFFFFF"/>
        </w:rPr>
      </w:pPr>
      <w:r w:rsidRPr="008C65EF">
        <w:rPr>
          <w:szCs w:val="22"/>
          <w:shd w:val="clear" w:color="auto" w:fill="FFFFFF"/>
        </w:rPr>
        <w:t>For ease of administration, each service provider may request</w:t>
      </w:r>
      <w:r w:rsidR="00B56FAC">
        <w:rPr>
          <w:szCs w:val="22"/>
          <w:shd w:val="clear" w:color="auto" w:fill="FFFFFF"/>
        </w:rPr>
        <w:t xml:space="preserve"> </w:t>
      </w:r>
      <w:r w:rsidRPr="008C65EF">
        <w:rPr>
          <w:szCs w:val="22"/>
          <w:shd w:val="clear" w:color="auto" w:fill="FFFFFF"/>
        </w:rPr>
        <w:t>credentials</w:t>
      </w:r>
      <w:r w:rsidR="00B56FAC">
        <w:rPr>
          <w:szCs w:val="22"/>
          <w:shd w:val="clear" w:color="auto" w:fill="FFFFFF"/>
        </w:rPr>
        <w:t xml:space="preserve"> for NORS for two types of accounts.  </w:t>
      </w:r>
      <w:r w:rsidR="00D70570">
        <w:rPr>
          <w:szCs w:val="22"/>
          <w:shd w:val="clear" w:color="auto" w:fill="FFFFFF"/>
        </w:rPr>
        <w:t>A</w:t>
      </w:r>
      <w:r w:rsidR="00B56FAC">
        <w:rPr>
          <w:szCs w:val="22"/>
          <w:shd w:val="clear" w:color="auto" w:fill="FFFFFF"/>
        </w:rPr>
        <w:t xml:space="preserve"> user account with two </w:t>
      </w:r>
      <w:r w:rsidR="00D70570">
        <w:rPr>
          <w:szCs w:val="22"/>
          <w:shd w:val="clear" w:color="auto" w:fill="FFFFFF"/>
        </w:rPr>
        <w:t xml:space="preserve">levels of </w:t>
      </w:r>
      <w:r w:rsidR="00B56FAC">
        <w:rPr>
          <w:szCs w:val="22"/>
          <w:shd w:val="clear" w:color="auto" w:fill="FFFFFF"/>
        </w:rPr>
        <w:t xml:space="preserve">privileges: (a) </w:t>
      </w:r>
      <w:r w:rsidR="00000231">
        <w:rPr>
          <w:szCs w:val="22"/>
          <w:shd w:val="clear" w:color="auto" w:fill="FFFFFF"/>
        </w:rPr>
        <w:t>filings submission</w:t>
      </w:r>
      <w:r w:rsidR="00B56FAC">
        <w:rPr>
          <w:szCs w:val="22"/>
          <w:shd w:val="clear" w:color="auto" w:fill="FFFFFF"/>
        </w:rPr>
        <w:t xml:space="preserve"> on behalf of the service provider; and (b) filings </w:t>
      </w:r>
      <w:r w:rsidR="00000231">
        <w:rPr>
          <w:szCs w:val="22"/>
          <w:shd w:val="clear" w:color="auto" w:fill="FFFFFF"/>
        </w:rPr>
        <w:t xml:space="preserve">access to all submissions filed </w:t>
      </w:r>
      <w:r w:rsidR="00B56FAC">
        <w:rPr>
          <w:szCs w:val="22"/>
          <w:shd w:val="clear" w:color="auto" w:fill="FFFFFF"/>
        </w:rPr>
        <w:t>on behalf of the service provider</w:t>
      </w:r>
      <w:r w:rsidR="00D70570">
        <w:rPr>
          <w:szCs w:val="22"/>
          <w:shd w:val="clear" w:color="auto" w:fill="FFFFFF"/>
        </w:rPr>
        <w:t>, including filings submitted by others acting on behalf of the service provider</w:t>
      </w:r>
      <w:r w:rsidR="00B56FAC">
        <w:rPr>
          <w:szCs w:val="22"/>
          <w:shd w:val="clear" w:color="auto" w:fill="FFFFFF"/>
        </w:rPr>
        <w:t xml:space="preserve">.  </w:t>
      </w:r>
      <w:r w:rsidR="00000231">
        <w:rPr>
          <w:szCs w:val="22"/>
          <w:shd w:val="clear" w:color="auto" w:fill="FFFFFF"/>
        </w:rPr>
        <w:t>Further, other user accounts</w:t>
      </w:r>
      <w:r w:rsidR="00B56FAC">
        <w:rPr>
          <w:szCs w:val="22"/>
          <w:shd w:val="clear" w:color="auto" w:fill="FFFFFF"/>
        </w:rPr>
        <w:t xml:space="preserve"> </w:t>
      </w:r>
      <w:r w:rsidRPr="008C65EF">
        <w:rPr>
          <w:szCs w:val="22"/>
          <w:shd w:val="clear" w:color="auto" w:fill="FFFFFF"/>
        </w:rPr>
        <w:t xml:space="preserve">with a more limited role to submit and view only their respective filings for the service provider.  To further facilitate ease of use, users may draw from previously submitted information in a </w:t>
      </w:r>
      <w:r w:rsidR="005D7800">
        <w:rPr>
          <w:szCs w:val="22"/>
          <w:shd w:val="clear" w:color="auto" w:fill="FFFFFF"/>
        </w:rPr>
        <w:t>N</w:t>
      </w:r>
      <w:r w:rsidRPr="008C65EF">
        <w:rPr>
          <w:szCs w:val="22"/>
          <w:shd w:val="clear" w:color="auto" w:fill="FFFFFF"/>
        </w:rPr>
        <w:t xml:space="preserve">otification or an </w:t>
      </w:r>
      <w:r w:rsidR="005D7800">
        <w:rPr>
          <w:szCs w:val="22"/>
          <w:shd w:val="clear" w:color="auto" w:fill="FFFFFF"/>
        </w:rPr>
        <w:t>I</w:t>
      </w:r>
      <w:r w:rsidRPr="008C65EF">
        <w:rPr>
          <w:szCs w:val="22"/>
          <w:shd w:val="clear" w:color="auto" w:fill="FFFFFF"/>
        </w:rPr>
        <w:t xml:space="preserve">nitial </w:t>
      </w:r>
      <w:r w:rsidR="005D7800">
        <w:rPr>
          <w:szCs w:val="22"/>
          <w:shd w:val="clear" w:color="auto" w:fill="FFFFFF"/>
        </w:rPr>
        <w:t>R</w:t>
      </w:r>
      <w:r w:rsidRPr="008C65EF">
        <w:rPr>
          <w:szCs w:val="22"/>
          <w:shd w:val="clear" w:color="auto" w:fill="FFFFFF"/>
        </w:rPr>
        <w:t xml:space="preserve">eport to submit a </w:t>
      </w:r>
      <w:r w:rsidR="005D7800">
        <w:rPr>
          <w:szCs w:val="22"/>
          <w:shd w:val="clear" w:color="auto" w:fill="FFFFFF"/>
        </w:rPr>
        <w:t>F</w:t>
      </w:r>
      <w:r w:rsidRPr="008C65EF">
        <w:rPr>
          <w:szCs w:val="22"/>
          <w:shd w:val="clear" w:color="auto" w:fill="FFFFFF"/>
        </w:rPr>
        <w:t xml:space="preserve">inal </w:t>
      </w:r>
      <w:r w:rsidR="005D7800">
        <w:rPr>
          <w:szCs w:val="22"/>
          <w:shd w:val="clear" w:color="auto" w:fill="FFFFFF"/>
        </w:rPr>
        <w:t>R</w:t>
      </w:r>
      <w:r w:rsidRPr="008C65EF">
        <w:rPr>
          <w:szCs w:val="22"/>
          <w:shd w:val="clear" w:color="auto" w:fill="FFFFFF"/>
        </w:rPr>
        <w:t xml:space="preserve">eport for the same event.  For the service providers with automatic filing systems, </w:t>
      </w:r>
      <w:r w:rsidR="006B774E" w:rsidRPr="008C65EF">
        <w:rPr>
          <w:szCs w:val="22"/>
          <w:shd w:val="clear" w:color="auto" w:fill="FFFFFF"/>
        </w:rPr>
        <w:t xml:space="preserve">NORS </w:t>
      </w:r>
      <w:r w:rsidR="006B774E" w:rsidRPr="00C32B14">
        <w:rPr>
          <w:szCs w:val="22"/>
          <w:shd w:val="clear" w:color="auto" w:fill="FFFFFF"/>
        </w:rPr>
        <w:t>is equipped with an interface to accept outage filings</w:t>
      </w:r>
      <w:r w:rsidR="005D7800">
        <w:rPr>
          <w:szCs w:val="22"/>
          <w:shd w:val="clear" w:color="auto" w:fill="FFFFFF"/>
        </w:rPr>
        <w:t xml:space="preserve"> via automatic filing systems</w:t>
      </w:r>
      <w:r w:rsidR="0058292D">
        <w:rPr>
          <w:szCs w:val="22"/>
          <w:shd w:val="clear" w:color="auto" w:fill="FFFFFF"/>
        </w:rPr>
        <w:t>.</w:t>
      </w:r>
    </w:p>
    <w:p w14:paraId="04AADD51" w14:textId="77777777" w:rsidR="00526BDD" w:rsidRPr="00C32B14" w:rsidRDefault="00526BDD" w:rsidP="0083695D">
      <w:pPr>
        <w:rPr>
          <w:szCs w:val="22"/>
          <w:shd w:val="clear" w:color="auto" w:fill="FFFFFF"/>
        </w:rPr>
      </w:pPr>
    </w:p>
    <w:p w14:paraId="17ED4CC3" w14:textId="77777777" w:rsidR="000D213A" w:rsidRPr="00C32B14" w:rsidRDefault="00D42FF3" w:rsidP="0083695D">
      <w:pPr>
        <w:rPr>
          <w:b/>
          <w:szCs w:val="22"/>
          <w:shd w:val="clear" w:color="auto" w:fill="FFFFFF"/>
        </w:rPr>
      </w:pPr>
      <w:r w:rsidRPr="00C32B14">
        <w:rPr>
          <w:b/>
          <w:szCs w:val="22"/>
          <w:shd w:val="clear" w:color="auto" w:fill="FFFFFF"/>
        </w:rPr>
        <w:t>4.</w:t>
      </w:r>
      <w:r w:rsidRPr="00C32B14">
        <w:rPr>
          <w:szCs w:val="22"/>
          <w:shd w:val="clear" w:color="auto" w:fill="FFFFFF"/>
        </w:rPr>
        <w:t xml:space="preserve">  </w:t>
      </w:r>
      <w:r w:rsidRPr="00C32B14">
        <w:rPr>
          <w:b/>
          <w:szCs w:val="22"/>
          <w:shd w:val="clear" w:color="auto" w:fill="FFFFFF"/>
        </w:rPr>
        <w:t xml:space="preserve">Describe efforts to identify duplication.  </w:t>
      </w:r>
    </w:p>
    <w:p w14:paraId="62F8E3E1" w14:textId="77777777" w:rsidR="000D213A" w:rsidRPr="00C32B14" w:rsidRDefault="000D213A" w:rsidP="0083695D">
      <w:pPr>
        <w:rPr>
          <w:b/>
          <w:szCs w:val="22"/>
          <w:shd w:val="clear" w:color="auto" w:fill="FFFFFF"/>
        </w:rPr>
      </w:pPr>
    </w:p>
    <w:p w14:paraId="29F9169D" w14:textId="05A696EE" w:rsidR="00D42FF3" w:rsidRPr="00C32B14" w:rsidRDefault="00D42FF3" w:rsidP="0083695D">
      <w:pPr>
        <w:rPr>
          <w:i/>
          <w:szCs w:val="22"/>
          <w:shd w:val="clear" w:color="auto" w:fill="FFFFFF"/>
        </w:rPr>
      </w:pPr>
      <w:r w:rsidRPr="00C32B14">
        <w:rPr>
          <w:i/>
          <w:szCs w:val="22"/>
          <w:shd w:val="clear" w:color="auto" w:fill="FFFFFF"/>
        </w:rPr>
        <w:t>Show specifically why any similar information already available cannot be used or modified for use for the purposes described in item 2 above.</w:t>
      </w:r>
    </w:p>
    <w:p w14:paraId="53E542A0" w14:textId="77777777" w:rsidR="0026661E" w:rsidRPr="008C65EF" w:rsidRDefault="0026661E" w:rsidP="0083695D">
      <w:pPr>
        <w:rPr>
          <w:szCs w:val="22"/>
          <w:shd w:val="clear" w:color="auto" w:fill="FFFFFF"/>
        </w:rPr>
      </w:pPr>
    </w:p>
    <w:p w14:paraId="1D39D9CE" w14:textId="0FA3E794" w:rsidR="00F5654B" w:rsidRPr="008C65EF" w:rsidRDefault="00E1670E" w:rsidP="003002A2">
      <w:pPr>
        <w:ind w:firstLine="720"/>
        <w:rPr>
          <w:szCs w:val="22"/>
          <w:shd w:val="clear" w:color="auto" w:fill="FFFFFF"/>
        </w:rPr>
      </w:pPr>
      <w:r w:rsidRPr="008C65EF">
        <w:rPr>
          <w:szCs w:val="22"/>
          <w:shd w:val="clear" w:color="auto" w:fill="FFFFFF"/>
        </w:rPr>
        <w:t xml:space="preserve">The information collected is not duplicative of other information received by the Commission.  </w:t>
      </w:r>
    </w:p>
    <w:p w14:paraId="4F6579F8" w14:textId="77777777" w:rsidR="0026661E" w:rsidRPr="00C32B14" w:rsidRDefault="00DE4795" w:rsidP="0083695D">
      <w:pPr>
        <w:rPr>
          <w:b/>
          <w:szCs w:val="22"/>
          <w:shd w:val="clear" w:color="auto" w:fill="FFFFFF"/>
        </w:rPr>
      </w:pPr>
      <w:r w:rsidRPr="00C32B14">
        <w:rPr>
          <w:szCs w:val="22"/>
          <w:shd w:val="clear" w:color="auto" w:fill="FFFFFF"/>
        </w:rPr>
        <w:t xml:space="preserve"> </w:t>
      </w:r>
    </w:p>
    <w:p w14:paraId="0304F989" w14:textId="5008F5ED" w:rsidR="00D42FF3" w:rsidRPr="008C65EF" w:rsidRDefault="00D42FF3" w:rsidP="00C32B14">
      <w:pPr>
        <w:pStyle w:val="Default"/>
        <w:rPr>
          <w:b/>
          <w:sz w:val="22"/>
          <w:szCs w:val="22"/>
          <w:shd w:val="clear" w:color="auto" w:fill="FFFFFF"/>
        </w:rPr>
      </w:pPr>
      <w:r w:rsidRPr="00C32B14">
        <w:rPr>
          <w:b/>
          <w:sz w:val="22"/>
          <w:szCs w:val="22"/>
          <w:shd w:val="clear" w:color="auto" w:fill="FFFFFF"/>
        </w:rPr>
        <w:t>5.</w:t>
      </w:r>
      <w:r w:rsidRPr="00C32B14">
        <w:rPr>
          <w:sz w:val="22"/>
          <w:szCs w:val="22"/>
          <w:shd w:val="clear" w:color="auto" w:fill="FFFFFF"/>
        </w:rPr>
        <w:t xml:space="preserve"> </w:t>
      </w:r>
      <w:r w:rsidRPr="00C32B14">
        <w:rPr>
          <w:b/>
          <w:sz w:val="22"/>
          <w:szCs w:val="22"/>
          <w:shd w:val="clear" w:color="auto" w:fill="FFFFFF"/>
        </w:rPr>
        <w:t xml:space="preserve">If the collection of information </w:t>
      </w:r>
      <w:r w:rsidR="009D2B6E" w:rsidRPr="00C32B14">
        <w:rPr>
          <w:b/>
          <w:bCs/>
          <w:sz w:val="22"/>
          <w:szCs w:val="22"/>
        </w:rPr>
        <w:t xml:space="preserve">will have </w:t>
      </w:r>
      <w:r w:rsidR="009D2B6E" w:rsidRPr="00C32B14">
        <w:rPr>
          <w:b/>
          <w:bCs/>
          <w:i/>
          <w:iCs/>
          <w:sz w:val="22"/>
          <w:szCs w:val="22"/>
        </w:rPr>
        <w:t xml:space="preserve">significant </w:t>
      </w:r>
      <w:r w:rsidR="009D2B6E" w:rsidRPr="00C32B14">
        <w:rPr>
          <w:b/>
          <w:bCs/>
          <w:sz w:val="22"/>
          <w:szCs w:val="22"/>
        </w:rPr>
        <w:t xml:space="preserve">economic impacts on small businesses, organizations or other small entities, </w:t>
      </w:r>
      <w:r w:rsidR="009D2B6E" w:rsidRPr="00C32B14">
        <w:rPr>
          <w:b/>
          <w:bCs/>
          <w:i/>
          <w:iCs/>
          <w:sz w:val="22"/>
          <w:szCs w:val="22"/>
        </w:rPr>
        <w:t>describe any methods used to minimize the burden on these entities.</w:t>
      </w:r>
    </w:p>
    <w:p w14:paraId="70E5B975" w14:textId="77777777" w:rsidR="0083695D" w:rsidRPr="008C65EF" w:rsidRDefault="0083695D" w:rsidP="0083695D">
      <w:pPr>
        <w:rPr>
          <w:szCs w:val="22"/>
        </w:rPr>
      </w:pPr>
    </w:p>
    <w:p w14:paraId="3808C2A8" w14:textId="654A3F94" w:rsidR="00A96426" w:rsidRPr="008C65EF" w:rsidRDefault="00B40C1A" w:rsidP="003650D9">
      <w:pPr>
        <w:ind w:firstLine="720"/>
        <w:rPr>
          <w:szCs w:val="22"/>
        </w:rPr>
      </w:pPr>
      <w:r w:rsidRPr="008C65EF">
        <w:rPr>
          <w:szCs w:val="22"/>
          <w:shd w:val="clear" w:color="auto" w:fill="FFFFFF"/>
        </w:rPr>
        <w:t>The Commission</w:t>
      </w:r>
      <w:r w:rsidR="00507262" w:rsidRPr="008C65EF">
        <w:rPr>
          <w:szCs w:val="22"/>
          <w:shd w:val="clear" w:color="auto" w:fill="FFFFFF"/>
        </w:rPr>
        <w:t xml:space="preserve"> do</w:t>
      </w:r>
      <w:r w:rsidRPr="008C65EF">
        <w:rPr>
          <w:szCs w:val="22"/>
          <w:shd w:val="clear" w:color="auto" w:fill="FFFFFF"/>
        </w:rPr>
        <w:t>es</w:t>
      </w:r>
      <w:r w:rsidR="00381C83" w:rsidRPr="008C65EF">
        <w:rPr>
          <w:szCs w:val="22"/>
          <w:shd w:val="clear" w:color="auto" w:fill="FFFFFF"/>
        </w:rPr>
        <w:t xml:space="preserve"> not relieve small providers, in whole or in part, from the </w:t>
      </w:r>
      <w:r w:rsidR="00257C2D">
        <w:rPr>
          <w:szCs w:val="22"/>
          <w:shd w:val="clear" w:color="auto" w:fill="FFFFFF"/>
        </w:rPr>
        <w:t>outage reporting obligations</w:t>
      </w:r>
      <w:r w:rsidR="00381C83" w:rsidRPr="008C65EF">
        <w:rPr>
          <w:szCs w:val="22"/>
          <w:shd w:val="clear" w:color="auto" w:fill="FFFFFF"/>
        </w:rPr>
        <w:t xml:space="preserve">. </w:t>
      </w:r>
      <w:r w:rsidRPr="008C65EF">
        <w:rPr>
          <w:szCs w:val="22"/>
          <w:shd w:val="clear" w:color="auto" w:fill="FFFFFF"/>
        </w:rPr>
        <w:t xml:space="preserve"> </w:t>
      </w:r>
      <w:r w:rsidR="000841E6" w:rsidRPr="008C65EF">
        <w:rPr>
          <w:szCs w:val="22"/>
          <w:shd w:val="clear" w:color="auto" w:fill="FFFFFF"/>
        </w:rPr>
        <w:t>However</w:t>
      </w:r>
      <w:r w:rsidR="00381C83" w:rsidRPr="008C65EF">
        <w:rPr>
          <w:szCs w:val="22"/>
          <w:shd w:val="clear" w:color="auto" w:fill="FFFFFF"/>
        </w:rPr>
        <w:t xml:space="preserve">, the Commission explained in the </w:t>
      </w:r>
      <w:r w:rsidR="000841E6" w:rsidRPr="008C65EF">
        <w:rPr>
          <w:szCs w:val="22"/>
        </w:rPr>
        <w:t>Final</w:t>
      </w:r>
      <w:r w:rsidR="00381C83" w:rsidRPr="008C65EF">
        <w:rPr>
          <w:szCs w:val="22"/>
        </w:rPr>
        <w:t xml:space="preserve"> Re</w:t>
      </w:r>
      <w:r w:rsidR="000841E6" w:rsidRPr="00C32B14">
        <w:rPr>
          <w:szCs w:val="22"/>
        </w:rPr>
        <w:t>gulatory Flexibility Analysis (F</w:t>
      </w:r>
      <w:r w:rsidR="00381C83" w:rsidRPr="00C32B14">
        <w:rPr>
          <w:szCs w:val="22"/>
        </w:rPr>
        <w:t xml:space="preserve">RFA) that accompanied the </w:t>
      </w:r>
      <w:r w:rsidR="009920C5" w:rsidRPr="00C32B14">
        <w:rPr>
          <w:i/>
          <w:szCs w:val="22"/>
        </w:rPr>
        <w:t>Report and Order</w:t>
      </w:r>
      <w:r w:rsidR="000841E6" w:rsidRPr="00C32B14">
        <w:rPr>
          <w:szCs w:val="22"/>
          <w:shd w:val="clear" w:color="auto" w:fill="FFFFFF"/>
        </w:rPr>
        <w:t xml:space="preserve"> and </w:t>
      </w:r>
      <w:r w:rsidR="000841E6" w:rsidRPr="00C32B14">
        <w:rPr>
          <w:i/>
          <w:szCs w:val="22"/>
          <w:shd w:val="clear" w:color="auto" w:fill="FFFFFF"/>
        </w:rPr>
        <w:t>Order on Reconsideration</w:t>
      </w:r>
      <w:r w:rsidR="000841E6" w:rsidRPr="00C32B14">
        <w:rPr>
          <w:szCs w:val="22"/>
          <w:shd w:val="clear" w:color="auto" w:fill="FFFFFF"/>
        </w:rPr>
        <w:t xml:space="preserve"> </w:t>
      </w:r>
      <w:r w:rsidRPr="008C65EF">
        <w:rPr>
          <w:szCs w:val="22"/>
          <w:shd w:val="clear" w:color="auto" w:fill="FFFFFF"/>
        </w:rPr>
        <w:t xml:space="preserve">adopted in 2016, that the agency </w:t>
      </w:r>
      <w:r w:rsidRPr="008C65EF">
        <w:rPr>
          <w:szCs w:val="22"/>
        </w:rPr>
        <w:t>believed</w:t>
      </w:r>
      <w:r w:rsidR="00672F82" w:rsidRPr="008C65EF">
        <w:rPr>
          <w:szCs w:val="22"/>
        </w:rPr>
        <w:t xml:space="preserve"> that</w:t>
      </w:r>
      <w:r w:rsidRPr="008C65EF">
        <w:rPr>
          <w:szCs w:val="22"/>
        </w:rPr>
        <w:t xml:space="preserve"> the</w:t>
      </w:r>
      <w:r w:rsidR="00381C83" w:rsidRPr="008C65EF">
        <w:rPr>
          <w:szCs w:val="22"/>
        </w:rPr>
        <w:t xml:space="preserve"> “</w:t>
      </w:r>
      <w:r w:rsidR="000805F9" w:rsidRPr="008C65EF">
        <w:rPr>
          <w:szCs w:val="22"/>
        </w:rPr>
        <w:t>outage reporting triggers are set sufficiently high as to make it unlikely that small businesses would be impacted significantly by the final rules</w:t>
      </w:r>
      <w:r w:rsidR="00257C2D">
        <w:rPr>
          <w:szCs w:val="22"/>
        </w:rPr>
        <w:t>.</w:t>
      </w:r>
      <w:r w:rsidR="00381C83" w:rsidRPr="008C65EF">
        <w:rPr>
          <w:szCs w:val="22"/>
        </w:rPr>
        <w:t>”</w:t>
      </w:r>
      <w:r w:rsidR="005E1203" w:rsidRPr="008C65EF">
        <w:rPr>
          <w:rStyle w:val="FootnoteReference"/>
          <w:szCs w:val="22"/>
        </w:rPr>
        <w:footnoteReference w:id="11"/>
      </w:r>
      <w:r w:rsidR="00D11D56" w:rsidRPr="00C32B14">
        <w:rPr>
          <w:szCs w:val="22"/>
        </w:rPr>
        <w:t xml:space="preserve"> </w:t>
      </w:r>
      <w:r w:rsidR="00381C83" w:rsidRPr="00C32B14">
        <w:rPr>
          <w:szCs w:val="22"/>
        </w:rPr>
        <w:t xml:space="preserve"> </w:t>
      </w:r>
    </w:p>
    <w:p w14:paraId="432068E5" w14:textId="77777777" w:rsidR="00D42FF3" w:rsidRPr="008C65EF" w:rsidRDefault="00D42FF3" w:rsidP="0083695D">
      <w:pPr>
        <w:rPr>
          <w:szCs w:val="22"/>
          <w:shd w:val="clear" w:color="auto" w:fill="FFFFFF"/>
        </w:rPr>
      </w:pPr>
    </w:p>
    <w:p w14:paraId="4D64E611" w14:textId="77777777" w:rsidR="00D42FF3" w:rsidRPr="00C32B14" w:rsidRDefault="00D42FF3" w:rsidP="0083695D">
      <w:pPr>
        <w:rPr>
          <w:b/>
          <w:szCs w:val="22"/>
          <w:shd w:val="clear" w:color="auto" w:fill="FFFFFF"/>
        </w:rPr>
      </w:pPr>
      <w:r w:rsidRPr="008C65EF">
        <w:rPr>
          <w:b/>
          <w:szCs w:val="22"/>
          <w:shd w:val="clear" w:color="auto" w:fill="FFFFFF"/>
        </w:rPr>
        <w:t>6.  Describe the consequence</w:t>
      </w:r>
      <w:r w:rsidR="00B460D9" w:rsidRPr="008C65EF">
        <w:rPr>
          <w:b/>
          <w:szCs w:val="22"/>
          <w:shd w:val="clear" w:color="auto" w:fill="FFFFFF"/>
        </w:rPr>
        <w:t>s</w:t>
      </w:r>
      <w:r w:rsidRPr="00C32B14">
        <w:rPr>
          <w:b/>
          <w:szCs w:val="22"/>
          <w:shd w:val="clear" w:color="auto" w:fill="FFFFFF"/>
        </w:rPr>
        <w:t xml:space="preserve"> to </w:t>
      </w:r>
      <w:r w:rsidR="00B460D9" w:rsidRPr="00C32B14">
        <w:rPr>
          <w:b/>
          <w:szCs w:val="22"/>
          <w:shd w:val="clear" w:color="auto" w:fill="FFFFFF"/>
        </w:rPr>
        <w:t xml:space="preserve">a </w:t>
      </w:r>
      <w:r w:rsidRPr="00C32B14">
        <w:rPr>
          <w:b/>
          <w:szCs w:val="22"/>
          <w:shd w:val="clear" w:color="auto" w:fill="FFFFFF"/>
        </w:rPr>
        <w:t>Fede</w:t>
      </w:r>
      <w:r w:rsidR="00B460D9" w:rsidRPr="00C32B14">
        <w:rPr>
          <w:b/>
          <w:szCs w:val="22"/>
          <w:shd w:val="clear" w:color="auto" w:fill="FFFFFF"/>
        </w:rPr>
        <w:t>ral program or policy activity,</w:t>
      </w:r>
      <w:r w:rsidRPr="00C32B14">
        <w:rPr>
          <w:b/>
          <w:szCs w:val="22"/>
          <w:shd w:val="clear" w:color="auto" w:fill="FFFFFF"/>
        </w:rPr>
        <w:t xml:space="preserve"> if the collection is not conducted or is conducted less frequently, as well as any technica</w:t>
      </w:r>
      <w:r w:rsidR="00B460D9" w:rsidRPr="00C32B14">
        <w:rPr>
          <w:b/>
          <w:szCs w:val="22"/>
          <w:shd w:val="clear" w:color="auto" w:fill="FFFFFF"/>
        </w:rPr>
        <w:t>l or legal obstacles to reduce</w:t>
      </w:r>
      <w:r w:rsidRPr="00C32B14">
        <w:rPr>
          <w:b/>
          <w:szCs w:val="22"/>
          <w:shd w:val="clear" w:color="auto" w:fill="FFFFFF"/>
        </w:rPr>
        <w:t xml:space="preserve"> burden.</w:t>
      </w:r>
    </w:p>
    <w:p w14:paraId="32DB01F4" w14:textId="2DF55F04" w:rsidR="0083695D" w:rsidRPr="00C32B14" w:rsidRDefault="0083695D" w:rsidP="0083695D">
      <w:pPr>
        <w:rPr>
          <w:szCs w:val="22"/>
          <w:shd w:val="clear" w:color="auto" w:fill="FFFFFF"/>
        </w:rPr>
      </w:pPr>
    </w:p>
    <w:p w14:paraId="394AF8B1" w14:textId="61D014F4" w:rsidR="009D2B6E" w:rsidRPr="00C32B14" w:rsidRDefault="009D2B6E" w:rsidP="0083695D">
      <w:pPr>
        <w:rPr>
          <w:bCs/>
          <w:i/>
          <w:iCs/>
          <w:szCs w:val="22"/>
        </w:rPr>
      </w:pPr>
      <w:r w:rsidRPr="00C32B14">
        <w:rPr>
          <w:bCs/>
          <w:i/>
          <w:iCs/>
          <w:szCs w:val="22"/>
        </w:rPr>
        <w:t>If the information will be collected only once, it is appropriate to state that the collection is a “one-time collection.”</w:t>
      </w:r>
    </w:p>
    <w:p w14:paraId="06C0C017" w14:textId="77777777" w:rsidR="00BA143C" w:rsidRPr="008C65EF" w:rsidRDefault="00BA143C" w:rsidP="0083695D">
      <w:pPr>
        <w:rPr>
          <w:szCs w:val="22"/>
          <w:shd w:val="clear" w:color="auto" w:fill="FFFFFF"/>
        </w:rPr>
      </w:pPr>
    </w:p>
    <w:p w14:paraId="16E6B713" w14:textId="2D53B67D" w:rsidR="007D2F4A" w:rsidRPr="008C65EF" w:rsidRDefault="00FA1AF0" w:rsidP="003650D9">
      <w:pPr>
        <w:ind w:firstLine="720"/>
        <w:rPr>
          <w:szCs w:val="22"/>
        </w:rPr>
      </w:pPr>
      <w:r w:rsidRPr="008C65EF">
        <w:rPr>
          <w:szCs w:val="22"/>
        </w:rPr>
        <w:t xml:space="preserve">The </w:t>
      </w:r>
      <w:r w:rsidR="00507262" w:rsidRPr="008C65EF">
        <w:rPr>
          <w:szCs w:val="22"/>
        </w:rPr>
        <w:t>Commission</w:t>
      </w:r>
      <w:r w:rsidRPr="008C65EF">
        <w:rPr>
          <w:szCs w:val="22"/>
        </w:rPr>
        <w:t xml:space="preserve"> has a statutory mandate to “promot[e] the safety of life and property through the use of wire and radio commu</w:t>
      </w:r>
      <w:r w:rsidRPr="00C32B14">
        <w:rPr>
          <w:szCs w:val="22"/>
        </w:rPr>
        <w:t>nications,”</w:t>
      </w:r>
      <w:r w:rsidRPr="008C65EF">
        <w:rPr>
          <w:rStyle w:val="FootnoteReference"/>
          <w:szCs w:val="22"/>
        </w:rPr>
        <w:footnoteReference w:id="12"/>
      </w:r>
      <w:r w:rsidRPr="008C65EF">
        <w:rPr>
          <w:szCs w:val="22"/>
        </w:rPr>
        <w:t xml:space="preserve"> and Congress has delegated to the Commission specific responsibilities to “designate 911 as the universal emergency telephone number for reporting an emergency to appropriate authorities and requesting assistance.”</w:t>
      </w:r>
      <w:r w:rsidRPr="008C65EF">
        <w:rPr>
          <w:rStyle w:val="FootnoteReference"/>
          <w:szCs w:val="22"/>
        </w:rPr>
        <w:footnoteReference w:id="13"/>
      </w:r>
      <w:r w:rsidRPr="008C65EF">
        <w:rPr>
          <w:szCs w:val="22"/>
        </w:rPr>
        <w:t xml:space="preserve">  </w:t>
      </w:r>
      <w:r w:rsidR="008E74BC" w:rsidRPr="008C65EF">
        <w:rPr>
          <w:szCs w:val="22"/>
        </w:rPr>
        <w:t xml:space="preserve">The Commission’s </w:t>
      </w:r>
      <w:r w:rsidRPr="008C65EF">
        <w:rPr>
          <w:szCs w:val="22"/>
        </w:rPr>
        <w:t>efforts to ensure that such reports and requests for assistance can reliably be transmitted are “necessary in the pu</w:t>
      </w:r>
      <w:r w:rsidR="00DE6918" w:rsidRPr="008C65EF">
        <w:rPr>
          <w:szCs w:val="22"/>
        </w:rPr>
        <w:t>blic interest to carry out” these</w:t>
      </w:r>
      <w:r w:rsidRPr="00C32B14">
        <w:rPr>
          <w:szCs w:val="22"/>
        </w:rPr>
        <w:t xml:space="preserve"> provision</w:t>
      </w:r>
      <w:r w:rsidR="00DE6918" w:rsidRPr="00C32B14">
        <w:rPr>
          <w:szCs w:val="22"/>
        </w:rPr>
        <w:t>s</w:t>
      </w:r>
      <w:r w:rsidRPr="00C32B14">
        <w:rPr>
          <w:szCs w:val="22"/>
        </w:rPr>
        <w:t xml:space="preserve"> of the Communications Act.</w:t>
      </w:r>
      <w:r w:rsidRPr="008C65EF">
        <w:rPr>
          <w:rStyle w:val="FootnoteReference"/>
          <w:szCs w:val="22"/>
        </w:rPr>
        <w:footnoteReference w:id="14"/>
      </w:r>
      <w:r w:rsidR="008E74BC" w:rsidRPr="008C65EF">
        <w:rPr>
          <w:szCs w:val="22"/>
        </w:rPr>
        <w:t xml:space="preserve">  </w:t>
      </w:r>
      <w:r w:rsidR="00BA143C" w:rsidRPr="008C65EF">
        <w:rPr>
          <w:szCs w:val="22"/>
        </w:rPr>
        <w:t>The information collection associated with the Commission’s o</w:t>
      </w:r>
      <w:r w:rsidR="00381C83" w:rsidRPr="008C65EF">
        <w:rPr>
          <w:szCs w:val="22"/>
        </w:rPr>
        <w:t xml:space="preserve">utage reporting </w:t>
      </w:r>
      <w:r w:rsidR="00BA143C" w:rsidRPr="008C65EF">
        <w:rPr>
          <w:szCs w:val="22"/>
        </w:rPr>
        <w:t xml:space="preserve">requirements </w:t>
      </w:r>
      <w:r w:rsidR="00381C83" w:rsidRPr="008C65EF">
        <w:rPr>
          <w:szCs w:val="22"/>
        </w:rPr>
        <w:t xml:space="preserve">provides the Commission with timely and reliable data that enables </w:t>
      </w:r>
      <w:r w:rsidR="00062C0C" w:rsidRPr="008C65EF">
        <w:rPr>
          <w:szCs w:val="22"/>
        </w:rPr>
        <w:t xml:space="preserve">the </w:t>
      </w:r>
      <w:r w:rsidR="00BA143C" w:rsidRPr="008C65EF">
        <w:rPr>
          <w:szCs w:val="22"/>
        </w:rPr>
        <w:t xml:space="preserve">agency </w:t>
      </w:r>
      <w:r w:rsidR="00381C83" w:rsidRPr="008C65EF">
        <w:rPr>
          <w:szCs w:val="22"/>
        </w:rPr>
        <w:t xml:space="preserve">to monitor the reliability of </w:t>
      </w:r>
      <w:r w:rsidR="00BA143C" w:rsidRPr="008C65EF">
        <w:rPr>
          <w:szCs w:val="22"/>
        </w:rPr>
        <w:t xml:space="preserve">communication </w:t>
      </w:r>
      <w:r w:rsidR="00381C83" w:rsidRPr="008C65EF">
        <w:rPr>
          <w:szCs w:val="22"/>
        </w:rPr>
        <w:t xml:space="preserve">networks. </w:t>
      </w:r>
      <w:r w:rsidR="00234275" w:rsidRPr="008C65EF">
        <w:rPr>
          <w:szCs w:val="22"/>
        </w:rPr>
        <w:t xml:space="preserve"> </w:t>
      </w:r>
      <w:r w:rsidR="00257C2D">
        <w:rPr>
          <w:szCs w:val="22"/>
        </w:rPr>
        <w:t>Therefore, the information is collected throughout the year.</w:t>
      </w:r>
    </w:p>
    <w:p w14:paraId="2C0A07AE" w14:textId="77777777" w:rsidR="008E74BC" w:rsidRPr="008C65EF" w:rsidRDefault="008E74BC" w:rsidP="003650D9">
      <w:pPr>
        <w:ind w:firstLine="720"/>
        <w:rPr>
          <w:szCs w:val="22"/>
        </w:rPr>
      </w:pPr>
    </w:p>
    <w:p w14:paraId="17D56565" w14:textId="3A8D48AF" w:rsidR="00D42FF3" w:rsidRPr="008C65EF" w:rsidRDefault="00D42FF3" w:rsidP="0083695D">
      <w:pPr>
        <w:rPr>
          <w:b/>
          <w:szCs w:val="22"/>
          <w:shd w:val="clear" w:color="auto" w:fill="FFFFFF"/>
        </w:rPr>
      </w:pPr>
      <w:r w:rsidRPr="008C65EF">
        <w:rPr>
          <w:b/>
          <w:szCs w:val="22"/>
          <w:shd w:val="clear" w:color="auto" w:fill="FFFFFF"/>
        </w:rPr>
        <w:t xml:space="preserve">7.  Explain any special circumstances that would cause an information collection to be conducted in a manner inconsistent </w:t>
      </w:r>
      <w:r w:rsidR="00E80835" w:rsidRPr="00C32B14">
        <w:rPr>
          <w:b/>
          <w:bCs/>
          <w:szCs w:val="22"/>
        </w:rPr>
        <w:t>with OMB’s guidelines which are stated in 5 C.F.R. § 1320.5(d)(2)</w:t>
      </w:r>
      <w:r w:rsidR="006379AC" w:rsidRPr="008C65EF">
        <w:rPr>
          <w:b/>
          <w:szCs w:val="22"/>
          <w:shd w:val="clear" w:color="auto" w:fill="FFFFFF"/>
        </w:rPr>
        <w:t>.</w:t>
      </w:r>
    </w:p>
    <w:p w14:paraId="23BADCEB" w14:textId="52B9D606" w:rsidR="00E80835" w:rsidRPr="008C65EF" w:rsidRDefault="00E80835" w:rsidP="0083695D">
      <w:pPr>
        <w:rPr>
          <w:b/>
          <w:szCs w:val="22"/>
          <w:shd w:val="clear" w:color="auto" w:fill="FFFFFF"/>
        </w:rPr>
      </w:pPr>
    </w:p>
    <w:p w14:paraId="3E5475ED" w14:textId="403B839C" w:rsidR="00E80835" w:rsidRPr="00C32B14" w:rsidRDefault="00E80835" w:rsidP="0083695D">
      <w:pPr>
        <w:rPr>
          <w:szCs w:val="22"/>
          <w:shd w:val="clear" w:color="auto" w:fill="FFFFFF"/>
        </w:rPr>
      </w:pPr>
      <w:r w:rsidRPr="00C32B14">
        <w:rPr>
          <w:bCs/>
          <w:i/>
          <w:iCs/>
          <w:szCs w:val="22"/>
        </w:rPr>
        <w:t xml:space="preserve">These special circumstances include any of the following </w:t>
      </w:r>
      <w:r w:rsidRPr="00257C2D">
        <w:rPr>
          <w:bCs/>
          <w:i/>
          <w:iCs/>
          <w:szCs w:val="22"/>
        </w:rPr>
        <w:t>situations: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if paper copies are required; (d) requiring respondents to retain records, other</w:t>
      </w:r>
      <w:r w:rsidRPr="00C32B14">
        <w:rPr>
          <w:bCs/>
          <w:i/>
          <w:iCs/>
          <w:szCs w:val="22"/>
        </w:rPr>
        <w:t xml:space="preserve">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14:paraId="709F9C98" w14:textId="77777777" w:rsidR="0083695D" w:rsidRPr="008C65EF" w:rsidRDefault="0083695D" w:rsidP="0083695D">
      <w:pPr>
        <w:rPr>
          <w:szCs w:val="22"/>
          <w:shd w:val="clear" w:color="auto" w:fill="FFFFFF"/>
        </w:rPr>
      </w:pPr>
    </w:p>
    <w:p w14:paraId="3647694F" w14:textId="5E8DBD84" w:rsidR="00D42FF3" w:rsidRPr="00C32B14" w:rsidRDefault="004A2B4D" w:rsidP="004A2B4D">
      <w:pPr>
        <w:ind w:firstLine="720"/>
        <w:rPr>
          <w:szCs w:val="22"/>
          <w:shd w:val="clear" w:color="auto" w:fill="FFFFFF"/>
        </w:rPr>
      </w:pPr>
      <w:r w:rsidRPr="008C65EF">
        <w:rPr>
          <w:szCs w:val="22"/>
          <w:shd w:val="clear" w:color="auto" w:fill="FFFFFF"/>
        </w:rPr>
        <w:t xml:space="preserve">This information collection is consistent with the requirements of 5 C.F.R. § 1320 and the criteria listed in this Supporting Statement.  </w:t>
      </w:r>
      <w:r w:rsidR="000C5248" w:rsidRPr="008C65EF">
        <w:rPr>
          <w:szCs w:val="22"/>
          <w:shd w:val="clear" w:color="auto" w:fill="FFFFFF"/>
        </w:rPr>
        <w:t>While the information collection requires respondents to submit information at short intervals after the respondent discovers that it is experiencing an outage in its network, respondents already monitor their networks for these service disruptions</w:t>
      </w:r>
      <w:r w:rsidR="004D5F08" w:rsidRPr="008C65EF">
        <w:rPr>
          <w:szCs w:val="22"/>
          <w:shd w:val="clear" w:color="auto" w:fill="FFFFFF"/>
        </w:rPr>
        <w:t xml:space="preserve"> and submitting this information is accounted for in this statement</w:t>
      </w:r>
      <w:r w:rsidR="000C5248" w:rsidRPr="008C65EF">
        <w:rPr>
          <w:szCs w:val="22"/>
          <w:shd w:val="clear" w:color="auto" w:fill="FFFFFF"/>
        </w:rPr>
        <w:t xml:space="preserve">.  Moreover, respondents may submit </w:t>
      </w:r>
      <w:r w:rsidR="00920C4D" w:rsidRPr="008C65EF">
        <w:rPr>
          <w:szCs w:val="22"/>
          <w:shd w:val="clear" w:color="auto" w:fill="FFFFFF"/>
        </w:rPr>
        <w:t xml:space="preserve">proprietary or other sensitive information as a result of this information collection, however, the Commission treats submissions and the information contained therein as presumptively confidential.  </w:t>
      </w:r>
      <w:r w:rsidR="00E55D30">
        <w:rPr>
          <w:szCs w:val="22"/>
          <w:shd w:val="clear" w:color="auto" w:fill="FFFFFF"/>
        </w:rPr>
        <w:t>The Commission does</w:t>
      </w:r>
      <w:r w:rsidRPr="008C65EF">
        <w:rPr>
          <w:szCs w:val="22"/>
          <w:shd w:val="clear" w:color="auto" w:fill="FFFFFF"/>
        </w:rPr>
        <w:t xml:space="preserve"> not anticipate circumstances that would result in </w:t>
      </w:r>
      <w:r w:rsidR="007F6988" w:rsidRPr="008C65EF">
        <w:rPr>
          <w:szCs w:val="22"/>
          <w:shd w:val="clear" w:color="auto" w:fill="FFFFFF"/>
        </w:rPr>
        <w:t xml:space="preserve">a </w:t>
      </w:r>
      <w:r w:rsidRPr="008C65EF">
        <w:rPr>
          <w:szCs w:val="22"/>
          <w:shd w:val="clear" w:color="auto" w:fill="FFFFFF"/>
        </w:rPr>
        <w:t>collection of information</w:t>
      </w:r>
      <w:r w:rsidR="007F6988" w:rsidRPr="008C65EF">
        <w:rPr>
          <w:szCs w:val="22"/>
          <w:shd w:val="clear" w:color="auto" w:fill="FFFFFF"/>
        </w:rPr>
        <w:t xml:space="preserve"> in an inconsistent manner</w:t>
      </w:r>
      <w:r w:rsidRPr="00C32B14">
        <w:rPr>
          <w:szCs w:val="22"/>
          <w:shd w:val="clear" w:color="auto" w:fill="FFFFFF"/>
        </w:rPr>
        <w:t>.</w:t>
      </w:r>
    </w:p>
    <w:p w14:paraId="6C9FB95D" w14:textId="77777777" w:rsidR="0083695D" w:rsidRPr="00C32B14" w:rsidRDefault="0083695D" w:rsidP="0083695D">
      <w:pPr>
        <w:rPr>
          <w:b/>
          <w:szCs w:val="22"/>
          <w:shd w:val="clear" w:color="auto" w:fill="FFFFFF"/>
        </w:rPr>
      </w:pPr>
    </w:p>
    <w:p w14:paraId="4697116E" w14:textId="0DF44567" w:rsidR="00D42FF3" w:rsidRPr="00C32B14" w:rsidRDefault="00D42FF3" w:rsidP="0083695D">
      <w:pPr>
        <w:rPr>
          <w:b/>
          <w:szCs w:val="22"/>
          <w:shd w:val="clear" w:color="auto" w:fill="FFFFFF"/>
        </w:rPr>
      </w:pPr>
      <w:r w:rsidRPr="00C32B14">
        <w:rPr>
          <w:b/>
          <w:szCs w:val="22"/>
          <w:shd w:val="clear" w:color="auto" w:fill="FFFFFF"/>
        </w:rPr>
        <w:t>8.</w:t>
      </w:r>
      <w:r w:rsidRPr="00C32B14">
        <w:rPr>
          <w:szCs w:val="22"/>
          <w:shd w:val="clear" w:color="auto" w:fill="FFFFFF"/>
        </w:rPr>
        <w:t xml:space="preserve">  </w:t>
      </w:r>
      <w:r w:rsidR="005327D7" w:rsidRPr="00C32B14">
        <w:rPr>
          <w:b/>
          <w:szCs w:val="22"/>
          <w:shd w:val="clear" w:color="auto" w:fill="FFFFFF"/>
        </w:rPr>
        <w:t>I</w:t>
      </w:r>
      <w:r w:rsidRPr="00C32B14">
        <w:rPr>
          <w:b/>
          <w:szCs w:val="22"/>
          <w:shd w:val="clear" w:color="auto" w:fill="FFFFFF"/>
        </w:rPr>
        <w:t>dentify the date and page number of publication in the Federal Register of the agency’s</w:t>
      </w:r>
      <w:r w:rsidR="00920C4D" w:rsidRPr="008C65EF">
        <w:rPr>
          <w:b/>
          <w:szCs w:val="22"/>
          <w:shd w:val="clear" w:color="auto" w:fill="FFFFFF"/>
        </w:rPr>
        <w:t xml:space="preserve"> </w:t>
      </w:r>
      <w:r w:rsidR="005327D7" w:rsidRPr="008C65EF">
        <w:rPr>
          <w:b/>
          <w:szCs w:val="22"/>
          <w:shd w:val="clear" w:color="auto" w:fill="FFFFFF"/>
        </w:rPr>
        <w:t xml:space="preserve">Paperwork Reduction Act (PRA) 60-day notice, </w:t>
      </w:r>
      <w:r w:rsidRPr="00C32B14">
        <w:rPr>
          <w:b/>
          <w:szCs w:val="22"/>
          <w:shd w:val="clear" w:color="auto" w:fill="FFFFFF"/>
        </w:rPr>
        <w:t>required by 5 CFR 1320.8(d), soliciting comments on the information prior to submission to OMB.</w:t>
      </w:r>
    </w:p>
    <w:p w14:paraId="6B9ED2C3" w14:textId="77777777" w:rsidR="005327D7" w:rsidRPr="00C32B14" w:rsidRDefault="005327D7" w:rsidP="0083695D">
      <w:pPr>
        <w:rPr>
          <w:b/>
          <w:szCs w:val="22"/>
          <w:shd w:val="clear" w:color="auto" w:fill="FFFFFF"/>
        </w:rPr>
      </w:pPr>
    </w:p>
    <w:p w14:paraId="32C3F574" w14:textId="725D000C" w:rsidR="00920C4D" w:rsidRPr="008C65EF" w:rsidRDefault="005327D7" w:rsidP="0083695D">
      <w:pPr>
        <w:rPr>
          <w:szCs w:val="22"/>
          <w:shd w:val="clear" w:color="auto" w:fill="FFFFFF"/>
        </w:rPr>
      </w:pPr>
      <w:r w:rsidRPr="00C32B14">
        <w:rPr>
          <w:bCs/>
          <w:i/>
          <w:iCs/>
          <w:szCs w:val="22"/>
        </w:rPr>
        <w:t>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and on the data elements to be recorded, disclosed, or reported. If no comments were received from the public, indicate “no PRA comments were received from the public.”</w:t>
      </w:r>
      <w:r w:rsidRPr="00C32B14">
        <w:rPr>
          <w:b/>
          <w:bCs/>
          <w:i/>
          <w:iCs/>
          <w:szCs w:val="22"/>
        </w:rPr>
        <w:t xml:space="preserve"> </w:t>
      </w:r>
    </w:p>
    <w:p w14:paraId="74CE2ACB" w14:textId="77777777" w:rsidR="001941E0" w:rsidRPr="008C65EF" w:rsidRDefault="001941E0" w:rsidP="0083695D">
      <w:pPr>
        <w:rPr>
          <w:szCs w:val="22"/>
          <w:shd w:val="clear" w:color="auto" w:fill="FFFFFF"/>
        </w:rPr>
      </w:pPr>
    </w:p>
    <w:p w14:paraId="244CAB67" w14:textId="67898709" w:rsidR="007F7CEC" w:rsidRPr="008C65EF" w:rsidRDefault="007F7CEC" w:rsidP="007F7CEC">
      <w:pPr>
        <w:suppressAutoHyphens w:val="0"/>
        <w:rPr>
          <w:kern w:val="0"/>
          <w:szCs w:val="22"/>
          <w:lang w:eastAsia="en-US"/>
        </w:rPr>
      </w:pPr>
      <w:r w:rsidRPr="00C32B14">
        <w:rPr>
          <w:kern w:val="0"/>
          <w:szCs w:val="22"/>
          <w:lang w:eastAsia="en-US"/>
        </w:rPr>
        <w:tab/>
        <w:t xml:space="preserve">The Commission published a Federal Register </w:t>
      </w:r>
      <w:r w:rsidR="00920C4D" w:rsidRPr="008C65EF">
        <w:rPr>
          <w:kern w:val="0"/>
          <w:szCs w:val="22"/>
          <w:lang w:eastAsia="en-US"/>
        </w:rPr>
        <w:t>60-day notice</w:t>
      </w:r>
      <w:r w:rsidRPr="008C65EF">
        <w:rPr>
          <w:kern w:val="0"/>
          <w:szCs w:val="22"/>
          <w:lang w:eastAsia="en-US"/>
        </w:rPr>
        <w:t xml:space="preserve"> (</w:t>
      </w:r>
      <w:r w:rsidR="003B3473" w:rsidRPr="003B3473">
        <w:rPr>
          <w:kern w:val="0"/>
          <w:szCs w:val="22"/>
          <w:lang w:eastAsia="en-US"/>
        </w:rPr>
        <w:t>84</w:t>
      </w:r>
      <w:r w:rsidR="00E40605" w:rsidRPr="003B3473">
        <w:rPr>
          <w:kern w:val="0"/>
          <w:szCs w:val="22"/>
          <w:lang w:eastAsia="en-US"/>
        </w:rPr>
        <w:t xml:space="preserve"> FR </w:t>
      </w:r>
      <w:r w:rsidR="003B3473">
        <w:rPr>
          <w:kern w:val="0"/>
          <w:szCs w:val="22"/>
          <w:lang w:eastAsia="en-US"/>
        </w:rPr>
        <w:t>54903</w:t>
      </w:r>
      <w:r w:rsidRPr="008C65EF">
        <w:rPr>
          <w:kern w:val="0"/>
          <w:szCs w:val="22"/>
          <w:lang w:eastAsia="en-US"/>
        </w:rPr>
        <w:t xml:space="preserve">) on </w:t>
      </w:r>
      <w:r w:rsidR="003B3473" w:rsidRPr="003B3473">
        <w:rPr>
          <w:kern w:val="0"/>
          <w:szCs w:val="22"/>
          <w:lang w:eastAsia="en-US"/>
        </w:rPr>
        <w:t>October</w:t>
      </w:r>
      <w:r w:rsidR="002B584D" w:rsidRPr="003B3473">
        <w:rPr>
          <w:kern w:val="0"/>
          <w:szCs w:val="22"/>
          <w:lang w:eastAsia="en-US"/>
        </w:rPr>
        <w:t xml:space="preserve"> </w:t>
      </w:r>
      <w:r w:rsidR="003B3473" w:rsidRPr="003B3473">
        <w:rPr>
          <w:kern w:val="0"/>
          <w:szCs w:val="22"/>
          <w:lang w:eastAsia="en-US"/>
        </w:rPr>
        <w:t>11</w:t>
      </w:r>
      <w:r w:rsidR="002B584D" w:rsidRPr="003B3473">
        <w:rPr>
          <w:kern w:val="0"/>
          <w:szCs w:val="22"/>
          <w:lang w:eastAsia="en-US"/>
        </w:rPr>
        <w:t>,</w:t>
      </w:r>
      <w:r w:rsidR="002B584D" w:rsidRPr="006E0A9D">
        <w:rPr>
          <w:kern w:val="0"/>
          <w:szCs w:val="22"/>
          <w:lang w:eastAsia="en-US"/>
        </w:rPr>
        <w:t xml:space="preserve"> 201</w:t>
      </w:r>
      <w:r w:rsidR="00920C4D" w:rsidRPr="008C65EF">
        <w:rPr>
          <w:kern w:val="0"/>
          <w:szCs w:val="22"/>
          <w:lang w:eastAsia="en-US"/>
        </w:rPr>
        <w:t>9</w:t>
      </w:r>
      <w:r w:rsidR="002B584D" w:rsidRPr="008C65EF">
        <w:rPr>
          <w:kern w:val="0"/>
          <w:szCs w:val="22"/>
          <w:lang w:eastAsia="en-US"/>
        </w:rPr>
        <w:t xml:space="preserve">, </w:t>
      </w:r>
      <w:r w:rsidRPr="008C65EF">
        <w:rPr>
          <w:kern w:val="0"/>
          <w:szCs w:val="22"/>
          <w:lang w:eastAsia="en-US"/>
        </w:rPr>
        <w:t xml:space="preserve">seeking comments on </w:t>
      </w:r>
      <w:r w:rsidR="00920C4D" w:rsidRPr="008C65EF">
        <w:rPr>
          <w:kern w:val="0"/>
          <w:szCs w:val="22"/>
          <w:lang w:eastAsia="en-US"/>
        </w:rPr>
        <w:t xml:space="preserve">the </w:t>
      </w:r>
      <w:r w:rsidR="009516AE" w:rsidRPr="008C65EF">
        <w:rPr>
          <w:kern w:val="0"/>
          <w:szCs w:val="22"/>
          <w:lang w:eastAsia="en-US"/>
        </w:rPr>
        <w:t>i</w:t>
      </w:r>
      <w:r w:rsidRPr="008C65EF">
        <w:rPr>
          <w:kern w:val="0"/>
          <w:szCs w:val="22"/>
          <w:lang w:eastAsia="en-US"/>
        </w:rPr>
        <w:t xml:space="preserve">nformation collection requirements contained in this supporting statement.  </w:t>
      </w:r>
    </w:p>
    <w:p w14:paraId="2C58596C" w14:textId="77777777" w:rsidR="007F7CEC" w:rsidRPr="008C65EF" w:rsidRDefault="007F7CEC" w:rsidP="0083695D">
      <w:pPr>
        <w:rPr>
          <w:szCs w:val="22"/>
          <w:shd w:val="clear" w:color="auto" w:fill="FFFFFF"/>
        </w:rPr>
      </w:pPr>
    </w:p>
    <w:p w14:paraId="546B5741" w14:textId="77777777" w:rsidR="00D42FF3" w:rsidRPr="006E0A9D" w:rsidRDefault="00D42FF3" w:rsidP="0083695D">
      <w:pPr>
        <w:rPr>
          <w:b/>
          <w:szCs w:val="22"/>
          <w:shd w:val="clear" w:color="auto" w:fill="FFFFFF"/>
        </w:rPr>
      </w:pPr>
      <w:r w:rsidRPr="008C65EF">
        <w:rPr>
          <w:b/>
          <w:szCs w:val="22"/>
          <w:shd w:val="clear" w:color="auto" w:fill="FFFFFF"/>
        </w:rPr>
        <w:t>9.</w:t>
      </w:r>
      <w:r w:rsidRPr="008C65EF">
        <w:rPr>
          <w:szCs w:val="22"/>
          <w:shd w:val="clear" w:color="auto" w:fill="FFFFFF"/>
        </w:rPr>
        <w:t xml:space="preserve">  </w:t>
      </w:r>
      <w:r w:rsidRPr="006E0A9D">
        <w:rPr>
          <w:b/>
          <w:szCs w:val="22"/>
          <w:shd w:val="clear" w:color="auto" w:fill="FFFFFF"/>
        </w:rPr>
        <w:t>Explain any decision to provide any payment or gift to respondents, other than remuneration of contractors or grantees.</w:t>
      </w:r>
    </w:p>
    <w:p w14:paraId="34FF3C58" w14:textId="77777777" w:rsidR="003650D9" w:rsidRPr="006E0A9D" w:rsidRDefault="003650D9" w:rsidP="0083695D">
      <w:pPr>
        <w:rPr>
          <w:szCs w:val="22"/>
          <w:shd w:val="clear" w:color="auto" w:fill="FFFFFF"/>
        </w:rPr>
      </w:pPr>
    </w:p>
    <w:p w14:paraId="05327C8F" w14:textId="77777777" w:rsidR="00920C4D" w:rsidRPr="008C65EF" w:rsidRDefault="00B738FB" w:rsidP="0083695D">
      <w:pPr>
        <w:rPr>
          <w:bCs/>
          <w:i/>
          <w:iCs/>
          <w:szCs w:val="22"/>
        </w:rPr>
      </w:pPr>
      <w:r w:rsidRPr="006E0A9D">
        <w:rPr>
          <w:bCs/>
          <w:i/>
          <w:iCs/>
          <w:szCs w:val="22"/>
        </w:rPr>
        <w:t xml:space="preserve">Justify why any payment or gift to respondents is necessary. If respondents will not receive any payment or gift, state that “no payment or gift will be given to respondents.” </w:t>
      </w:r>
    </w:p>
    <w:p w14:paraId="6775AACD" w14:textId="77777777" w:rsidR="00920C4D" w:rsidRPr="008C65EF" w:rsidRDefault="00920C4D" w:rsidP="0083695D">
      <w:pPr>
        <w:rPr>
          <w:bCs/>
          <w:i/>
          <w:iCs/>
          <w:szCs w:val="22"/>
        </w:rPr>
      </w:pPr>
    </w:p>
    <w:p w14:paraId="2ADB1280" w14:textId="71B8302C" w:rsidR="00920C4D" w:rsidRPr="008C65EF" w:rsidRDefault="00D42FF3" w:rsidP="003650D9">
      <w:pPr>
        <w:ind w:firstLine="720"/>
        <w:rPr>
          <w:szCs w:val="22"/>
          <w:shd w:val="clear" w:color="auto" w:fill="FFFFFF"/>
        </w:rPr>
      </w:pPr>
      <w:r w:rsidRPr="008C65EF">
        <w:rPr>
          <w:szCs w:val="22"/>
          <w:shd w:val="clear" w:color="auto" w:fill="FFFFFF"/>
        </w:rPr>
        <w:t>No payment or gift to respondents has been or will be made</w:t>
      </w:r>
      <w:r w:rsidR="003B40FD" w:rsidRPr="008C65EF">
        <w:rPr>
          <w:szCs w:val="22"/>
          <w:shd w:val="clear" w:color="auto" w:fill="FFFFFF"/>
        </w:rPr>
        <w:t xml:space="preserve"> in connection to this information collection</w:t>
      </w:r>
      <w:r w:rsidRPr="008C65EF">
        <w:rPr>
          <w:szCs w:val="22"/>
          <w:shd w:val="clear" w:color="auto" w:fill="FFFFFF"/>
        </w:rPr>
        <w:t>.</w:t>
      </w:r>
    </w:p>
    <w:p w14:paraId="1F4D6786" w14:textId="77777777" w:rsidR="0083695D" w:rsidRPr="008C65EF" w:rsidRDefault="0083695D" w:rsidP="0083695D">
      <w:pPr>
        <w:rPr>
          <w:b/>
          <w:szCs w:val="22"/>
          <w:shd w:val="clear" w:color="auto" w:fill="FFFFFF"/>
        </w:rPr>
      </w:pPr>
    </w:p>
    <w:p w14:paraId="778932A1" w14:textId="77777777" w:rsidR="00D42FF3" w:rsidRPr="006E0A9D" w:rsidRDefault="00D42FF3" w:rsidP="0083695D">
      <w:pPr>
        <w:rPr>
          <w:b/>
          <w:szCs w:val="22"/>
          <w:shd w:val="clear" w:color="auto" w:fill="FFFFFF"/>
        </w:rPr>
      </w:pPr>
      <w:r w:rsidRPr="006E0A9D">
        <w:rPr>
          <w:b/>
          <w:szCs w:val="22"/>
          <w:shd w:val="clear" w:color="auto" w:fill="FFFFFF"/>
        </w:rPr>
        <w:t>10.  Describe any assurance of confidentiality provided to respondents and the basis for the assurance in statute, regulation, or agency policy.</w:t>
      </w:r>
    </w:p>
    <w:p w14:paraId="6568381B" w14:textId="77777777" w:rsidR="0083695D" w:rsidRPr="006E0A9D" w:rsidRDefault="0083695D" w:rsidP="0083695D">
      <w:pPr>
        <w:rPr>
          <w:szCs w:val="22"/>
          <w:shd w:val="clear" w:color="auto" w:fill="FFFFFF"/>
        </w:rPr>
      </w:pPr>
    </w:p>
    <w:p w14:paraId="439E82B1" w14:textId="1F3AEB6A" w:rsidR="00B738FB" w:rsidRPr="008C65EF" w:rsidRDefault="00B738FB" w:rsidP="006F28AD">
      <w:pPr>
        <w:rPr>
          <w:szCs w:val="22"/>
          <w:shd w:val="clear" w:color="auto" w:fill="FFFFFF"/>
        </w:rPr>
      </w:pPr>
      <w:r w:rsidRPr="006F28AD">
        <w:rPr>
          <w:bCs/>
          <w:i/>
          <w:iCs/>
          <w:szCs w:val="22"/>
        </w:rPr>
        <w:t>Cite the authority for promising confidentiality if there are plans to collect identifiable information. Explain what methods will be used to maintain the privacy and confidentiality of the respondents. If the Privacy Act applies to a collection, it can be used as the statutory authority for maintaining the privacy of respondents who are individuals. The Privacy Act generally applies if records in the collection will be primarily retrieved by personal identifiable information such as name, Social Security Number, or date of birth.</w:t>
      </w:r>
    </w:p>
    <w:p w14:paraId="6C2AF5D7" w14:textId="77777777" w:rsidR="00B738FB" w:rsidRPr="008C65EF" w:rsidRDefault="00B738FB" w:rsidP="003650D9">
      <w:pPr>
        <w:ind w:firstLine="720"/>
        <w:rPr>
          <w:szCs w:val="22"/>
          <w:shd w:val="clear" w:color="auto" w:fill="FFFFFF"/>
        </w:rPr>
      </w:pPr>
    </w:p>
    <w:p w14:paraId="6A3D5A1E" w14:textId="57F0872F" w:rsidR="00D42FF3" w:rsidRPr="006E0A9D" w:rsidRDefault="001E3388" w:rsidP="003650D9">
      <w:pPr>
        <w:ind w:firstLine="720"/>
        <w:rPr>
          <w:szCs w:val="22"/>
          <w:shd w:val="clear" w:color="auto" w:fill="FFFFFF"/>
        </w:rPr>
      </w:pPr>
      <w:r w:rsidRPr="008C65EF">
        <w:rPr>
          <w:szCs w:val="22"/>
          <w:shd w:val="clear" w:color="auto" w:fill="FFFFFF"/>
        </w:rPr>
        <w:t xml:space="preserve">Outage reports filed </w:t>
      </w:r>
      <w:r w:rsidR="007E4B09" w:rsidRPr="008C65EF">
        <w:rPr>
          <w:szCs w:val="22"/>
          <w:shd w:val="clear" w:color="auto" w:fill="FFFFFF"/>
        </w:rPr>
        <w:t xml:space="preserve">with the Commission </w:t>
      </w:r>
      <w:r w:rsidRPr="006E0A9D">
        <w:rPr>
          <w:szCs w:val="22"/>
          <w:shd w:val="clear" w:color="auto" w:fill="FFFFFF"/>
        </w:rPr>
        <w:t>pursuant to Part 4</w:t>
      </w:r>
      <w:r w:rsidR="000854BD" w:rsidRPr="006E0A9D">
        <w:rPr>
          <w:szCs w:val="22"/>
          <w:shd w:val="clear" w:color="auto" w:fill="FFFFFF"/>
        </w:rPr>
        <w:t>, and the information contained therein,</w:t>
      </w:r>
      <w:r w:rsidRPr="006E0A9D">
        <w:rPr>
          <w:szCs w:val="22"/>
          <w:shd w:val="clear" w:color="auto" w:fill="FFFFFF"/>
        </w:rPr>
        <w:t xml:space="preserve"> are presumed confidential</w:t>
      </w:r>
      <w:r w:rsidR="00D42FF3" w:rsidRPr="006E0A9D">
        <w:rPr>
          <w:szCs w:val="22"/>
          <w:shd w:val="clear" w:color="auto" w:fill="FFFFFF"/>
        </w:rPr>
        <w:t>.</w:t>
      </w:r>
      <w:r w:rsidR="001A26A1" w:rsidRPr="008C65EF">
        <w:rPr>
          <w:rStyle w:val="FootnoteReference"/>
          <w:szCs w:val="22"/>
          <w:shd w:val="clear" w:color="auto" w:fill="FFFFFF"/>
        </w:rPr>
        <w:footnoteReference w:id="15"/>
      </w:r>
      <w:r w:rsidR="00D42FF3" w:rsidRPr="008C65EF">
        <w:rPr>
          <w:szCs w:val="22"/>
          <w:shd w:val="clear" w:color="auto" w:fill="FFFFFF"/>
        </w:rPr>
        <w:t xml:space="preserve">  The filings </w:t>
      </w:r>
      <w:r w:rsidR="000854BD" w:rsidRPr="008C65EF">
        <w:rPr>
          <w:szCs w:val="22"/>
          <w:shd w:val="clear" w:color="auto" w:fill="FFFFFF"/>
        </w:rPr>
        <w:t>are</w:t>
      </w:r>
      <w:r w:rsidR="00D42FF3" w:rsidRPr="008C65EF">
        <w:rPr>
          <w:szCs w:val="22"/>
          <w:shd w:val="clear" w:color="auto" w:fill="FFFFFF"/>
        </w:rPr>
        <w:t xml:space="preserve"> shared</w:t>
      </w:r>
      <w:r w:rsidR="00920C4D" w:rsidRPr="008C65EF">
        <w:rPr>
          <w:szCs w:val="22"/>
          <w:shd w:val="clear" w:color="auto" w:fill="FFFFFF"/>
        </w:rPr>
        <w:t xml:space="preserve"> in real</w:t>
      </w:r>
      <w:r w:rsidR="00257C2D">
        <w:rPr>
          <w:szCs w:val="22"/>
          <w:shd w:val="clear" w:color="auto" w:fill="FFFFFF"/>
        </w:rPr>
        <w:t>-</w:t>
      </w:r>
      <w:r w:rsidR="00920C4D" w:rsidRPr="008C65EF">
        <w:rPr>
          <w:szCs w:val="22"/>
          <w:shd w:val="clear" w:color="auto" w:fill="FFFFFF"/>
        </w:rPr>
        <w:t>time</w:t>
      </w:r>
      <w:r w:rsidR="00D42FF3" w:rsidRPr="008C65EF">
        <w:rPr>
          <w:szCs w:val="22"/>
          <w:shd w:val="clear" w:color="auto" w:fill="FFFFFF"/>
        </w:rPr>
        <w:t xml:space="preserve"> with the Department of Homeland Security</w:t>
      </w:r>
      <w:r w:rsidR="003460A9" w:rsidRPr="008C65EF">
        <w:rPr>
          <w:szCs w:val="22"/>
          <w:shd w:val="clear" w:color="auto" w:fill="FFFFFF"/>
        </w:rPr>
        <w:t xml:space="preserve"> through a password-protected access to </w:t>
      </w:r>
      <w:r w:rsidR="005D336E">
        <w:rPr>
          <w:szCs w:val="22"/>
          <w:shd w:val="clear" w:color="auto" w:fill="FFFFFF"/>
        </w:rPr>
        <w:t xml:space="preserve">the </w:t>
      </w:r>
      <w:r w:rsidR="003460A9" w:rsidRPr="008C65EF">
        <w:rPr>
          <w:szCs w:val="22"/>
          <w:shd w:val="clear" w:color="auto" w:fill="FFFFFF"/>
        </w:rPr>
        <w:t>NORS</w:t>
      </w:r>
      <w:r w:rsidR="005D336E">
        <w:rPr>
          <w:szCs w:val="22"/>
          <w:shd w:val="clear" w:color="auto" w:fill="FFFFFF"/>
        </w:rPr>
        <w:t xml:space="preserve"> web-based portal</w:t>
      </w:r>
      <w:r w:rsidR="00D42FF3" w:rsidRPr="008C65EF">
        <w:rPr>
          <w:szCs w:val="22"/>
          <w:shd w:val="clear" w:color="auto" w:fill="FFFFFF"/>
        </w:rPr>
        <w:t>.</w:t>
      </w:r>
      <w:r w:rsidR="00257C2D">
        <w:rPr>
          <w:rStyle w:val="FootnoteReference"/>
          <w:szCs w:val="22"/>
          <w:shd w:val="clear" w:color="auto" w:fill="FFFFFF"/>
        </w:rPr>
        <w:footnoteReference w:id="16"/>
      </w:r>
      <w:r w:rsidR="00D42FF3" w:rsidRPr="008C65EF">
        <w:rPr>
          <w:szCs w:val="22"/>
          <w:shd w:val="clear" w:color="auto" w:fill="FFFFFF"/>
        </w:rPr>
        <w:t xml:space="preserve"> </w:t>
      </w:r>
      <w:r w:rsidR="004627E1" w:rsidRPr="008C65EF">
        <w:rPr>
          <w:szCs w:val="22"/>
          <w:shd w:val="clear" w:color="auto" w:fill="FFFFFF"/>
        </w:rPr>
        <w:t xml:space="preserve"> </w:t>
      </w:r>
      <w:r w:rsidR="00D42FF3" w:rsidRPr="006E0A9D">
        <w:rPr>
          <w:szCs w:val="22"/>
          <w:shd w:val="clear" w:color="auto" w:fill="FFFFFF"/>
        </w:rPr>
        <w:t>Other persons seeking disclosure must follow the procedures delineated in 47 C</w:t>
      </w:r>
      <w:r w:rsidR="0066154E" w:rsidRPr="006E0A9D">
        <w:rPr>
          <w:szCs w:val="22"/>
          <w:shd w:val="clear" w:color="auto" w:fill="FFFFFF"/>
        </w:rPr>
        <w:t>.</w:t>
      </w:r>
      <w:r w:rsidR="00D42FF3" w:rsidRPr="006E0A9D">
        <w:rPr>
          <w:szCs w:val="22"/>
          <w:shd w:val="clear" w:color="auto" w:fill="FFFFFF"/>
        </w:rPr>
        <w:t>F</w:t>
      </w:r>
      <w:r w:rsidR="0066154E" w:rsidRPr="006E0A9D">
        <w:rPr>
          <w:szCs w:val="22"/>
          <w:shd w:val="clear" w:color="auto" w:fill="FFFFFF"/>
        </w:rPr>
        <w:t>.</w:t>
      </w:r>
      <w:r w:rsidR="00D42FF3" w:rsidRPr="006E0A9D">
        <w:rPr>
          <w:szCs w:val="22"/>
          <w:shd w:val="clear" w:color="auto" w:fill="FFFFFF"/>
        </w:rPr>
        <w:t>R</w:t>
      </w:r>
      <w:r w:rsidR="0066154E" w:rsidRPr="006E0A9D">
        <w:rPr>
          <w:szCs w:val="22"/>
          <w:shd w:val="clear" w:color="auto" w:fill="FFFFFF"/>
        </w:rPr>
        <w:t>.</w:t>
      </w:r>
      <w:r w:rsidR="00D42FF3" w:rsidRPr="006E0A9D">
        <w:rPr>
          <w:szCs w:val="22"/>
          <w:shd w:val="clear" w:color="auto" w:fill="FFFFFF"/>
        </w:rPr>
        <w:t xml:space="preserve"> Sections 0.457 and 0.459 of the Commission's rules</w:t>
      </w:r>
      <w:r w:rsidR="00E47C8A" w:rsidRPr="006E0A9D">
        <w:rPr>
          <w:szCs w:val="22"/>
          <w:shd w:val="clear" w:color="auto" w:fill="FFFFFF"/>
        </w:rPr>
        <w:t xml:space="preserve"> for requests for and disclosure of information</w:t>
      </w:r>
      <w:r w:rsidR="00D42FF3" w:rsidRPr="006E0A9D">
        <w:rPr>
          <w:szCs w:val="22"/>
          <w:shd w:val="clear" w:color="auto" w:fill="FFFFFF"/>
        </w:rPr>
        <w:t>.</w:t>
      </w:r>
      <w:r w:rsidR="00DE6918" w:rsidRPr="006E0A9D">
        <w:rPr>
          <w:szCs w:val="22"/>
          <w:shd w:val="clear" w:color="auto" w:fill="FFFFFF"/>
        </w:rPr>
        <w:t xml:space="preserve">  </w:t>
      </w:r>
    </w:p>
    <w:p w14:paraId="3EA22CE5" w14:textId="77777777" w:rsidR="0083695D" w:rsidRPr="006E0A9D" w:rsidRDefault="0083695D" w:rsidP="0083695D">
      <w:pPr>
        <w:rPr>
          <w:b/>
          <w:szCs w:val="22"/>
          <w:shd w:val="clear" w:color="auto" w:fill="FFFFFF"/>
        </w:rPr>
      </w:pPr>
    </w:p>
    <w:p w14:paraId="6EA11D70" w14:textId="0869558D" w:rsidR="00D42FF3" w:rsidRPr="006E0A9D" w:rsidRDefault="00D42FF3" w:rsidP="0083695D">
      <w:pPr>
        <w:rPr>
          <w:b/>
          <w:szCs w:val="22"/>
          <w:shd w:val="clear" w:color="auto" w:fill="FFFFFF"/>
        </w:rPr>
      </w:pPr>
      <w:r w:rsidRPr="006E0A9D">
        <w:rPr>
          <w:b/>
          <w:szCs w:val="22"/>
          <w:shd w:val="clear" w:color="auto" w:fill="FFFFFF"/>
        </w:rPr>
        <w:t>11.</w:t>
      </w:r>
      <w:r w:rsidRPr="006E0A9D">
        <w:rPr>
          <w:szCs w:val="22"/>
          <w:shd w:val="clear" w:color="auto" w:fill="FFFFFF"/>
        </w:rPr>
        <w:t xml:space="preserve"> </w:t>
      </w:r>
      <w:r w:rsidRPr="006E0A9D">
        <w:rPr>
          <w:b/>
          <w:szCs w:val="22"/>
          <w:shd w:val="clear" w:color="auto" w:fill="FFFFFF"/>
        </w:rPr>
        <w:t>Provide additional justification for any questions of a sensitive nature.</w:t>
      </w:r>
    </w:p>
    <w:p w14:paraId="4C03A49D" w14:textId="42CF0330" w:rsidR="00B738FB" w:rsidRPr="006E0A9D" w:rsidRDefault="00B738FB" w:rsidP="0083695D">
      <w:pPr>
        <w:rPr>
          <w:b/>
          <w:szCs w:val="22"/>
          <w:shd w:val="clear" w:color="auto" w:fill="FFFFFF"/>
        </w:rPr>
      </w:pPr>
    </w:p>
    <w:p w14:paraId="1ABA0E59" w14:textId="1E16DAB5" w:rsidR="00B738FB" w:rsidRPr="006E0A9D" w:rsidRDefault="00B738FB" w:rsidP="0083695D">
      <w:pPr>
        <w:rPr>
          <w:szCs w:val="22"/>
          <w:shd w:val="clear" w:color="auto" w:fill="FFFFFF"/>
        </w:rPr>
      </w:pPr>
      <w:r w:rsidRPr="006E0A9D">
        <w:rPr>
          <w:bCs/>
          <w:i/>
          <w:iCs/>
          <w:szCs w:val="22"/>
        </w:rPr>
        <w:t>The justification should include the reasons why the questions are necessary, the specific uses for the information, the explanation to be given to the respondents, and any steps taken to obtain their consent.</w:t>
      </w:r>
    </w:p>
    <w:p w14:paraId="35F34022" w14:textId="77777777" w:rsidR="0083695D" w:rsidRPr="008C65EF" w:rsidRDefault="0083695D" w:rsidP="0083695D">
      <w:pPr>
        <w:rPr>
          <w:szCs w:val="22"/>
          <w:shd w:val="clear" w:color="auto" w:fill="FFFFFF"/>
        </w:rPr>
      </w:pPr>
    </w:p>
    <w:p w14:paraId="4FF0284D" w14:textId="77777777" w:rsidR="00BF5E0E" w:rsidRPr="008C65EF" w:rsidRDefault="003B40FD" w:rsidP="00983D86">
      <w:pPr>
        <w:ind w:firstLine="720"/>
        <w:rPr>
          <w:b/>
          <w:szCs w:val="22"/>
          <w:shd w:val="clear" w:color="auto" w:fill="FFFFFF"/>
        </w:rPr>
      </w:pPr>
      <w:r w:rsidRPr="008C65EF">
        <w:rPr>
          <w:szCs w:val="22"/>
          <w:shd w:val="clear" w:color="auto" w:fill="FFFFFF"/>
        </w:rPr>
        <w:t>This collection of information does not address any matters of a sensitive nature.</w:t>
      </w:r>
    </w:p>
    <w:p w14:paraId="4B46E48B" w14:textId="77777777" w:rsidR="0083695D" w:rsidRPr="008C65EF" w:rsidRDefault="0083695D" w:rsidP="00BF5E0E">
      <w:pPr>
        <w:ind w:firstLine="720"/>
        <w:rPr>
          <w:b/>
          <w:szCs w:val="22"/>
          <w:shd w:val="clear" w:color="auto" w:fill="FFFFFF"/>
        </w:rPr>
      </w:pPr>
    </w:p>
    <w:p w14:paraId="067F780B" w14:textId="77777777" w:rsidR="00B738FB" w:rsidRPr="006E0A9D" w:rsidRDefault="0026661E" w:rsidP="0083695D">
      <w:pPr>
        <w:rPr>
          <w:b/>
          <w:szCs w:val="22"/>
          <w:shd w:val="clear" w:color="auto" w:fill="FFFFFF"/>
        </w:rPr>
      </w:pPr>
      <w:r w:rsidRPr="006E0A9D">
        <w:rPr>
          <w:b/>
          <w:szCs w:val="22"/>
          <w:shd w:val="clear" w:color="auto" w:fill="FFFFFF"/>
        </w:rPr>
        <w:t xml:space="preserve">12. </w:t>
      </w:r>
      <w:r w:rsidR="00D42FF3" w:rsidRPr="006E0A9D">
        <w:rPr>
          <w:b/>
          <w:szCs w:val="22"/>
          <w:shd w:val="clear" w:color="auto" w:fill="FFFFFF"/>
        </w:rPr>
        <w:t xml:space="preserve">Provide estimates of the hour burden of the collection of information.  </w:t>
      </w:r>
    </w:p>
    <w:p w14:paraId="4C2D582A" w14:textId="77777777" w:rsidR="00B738FB" w:rsidRPr="006E0A9D" w:rsidRDefault="00B738FB" w:rsidP="0083695D">
      <w:pPr>
        <w:rPr>
          <w:b/>
          <w:szCs w:val="22"/>
          <w:shd w:val="clear" w:color="auto" w:fill="FFFFFF"/>
        </w:rPr>
      </w:pPr>
    </w:p>
    <w:p w14:paraId="4AD18C55" w14:textId="42B26230" w:rsidR="001A384D" w:rsidRPr="006E0A9D" w:rsidRDefault="001A384D" w:rsidP="001A384D">
      <w:pPr>
        <w:rPr>
          <w:i/>
          <w:szCs w:val="22"/>
          <w:shd w:val="clear" w:color="auto" w:fill="FFFFFF"/>
        </w:rPr>
      </w:pPr>
      <w:r w:rsidRPr="006E0A9D">
        <w:rPr>
          <w:i/>
          <w:szCs w:val="22"/>
          <w:shd w:val="clear" w:color="auto" w:fill="FFFFFF"/>
        </w:rPr>
        <w:t>The statement should: indicate the number of respondents annually, the frequency of responses, total number of responses annually (annual respondents x frequency of responses for the year), average response time per response, the annual burden hours (annual number of responses x average response time), and an explanation of how the burden was estimated. Response time includes not only the time necessary to complete the response, but also the time to gather information and have it reviewed.</w:t>
      </w:r>
    </w:p>
    <w:p w14:paraId="506D90AC" w14:textId="77777777" w:rsidR="001A384D" w:rsidRPr="006E0A9D" w:rsidRDefault="001A384D" w:rsidP="001A384D">
      <w:pPr>
        <w:rPr>
          <w:i/>
          <w:szCs w:val="22"/>
          <w:shd w:val="clear" w:color="auto" w:fill="FFFFFF"/>
        </w:rPr>
      </w:pPr>
    </w:p>
    <w:p w14:paraId="64017257" w14:textId="1653EA08" w:rsidR="001A384D" w:rsidRPr="006E0A9D" w:rsidRDefault="001A384D" w:rsidP="001A384D">
      <w:pPr>
        <w:rPr>
          <w:i/>
          <w:szCs w:val="22"/>
          <w:shd w:val="clear" w:color="auto" w:fill="FFFFFF"/>
        </w:rPr>
      </w:pPr>
      <w:r w:rsidRPr="006E0A9D">
        <w:rPr>
          <w:i/>
          <w:szCs w:val="22"/>
          <w:shd w:val="clear" w:color="auto" w:fill="FFFFFF"/>
        </w:rPr>
        <w:t>If the hour burden on respondents is expected to vary widely because of differences in activity, size or complexity, show the range of estimated hour burden, and explain the reasons for the variance. The burden should be calculated under this item for each information collection requirement and a cumulative total should be calculated for the collection.</w:t>
      </w:r>
    </w:p>
    <w:p w14:paraId="2C45FCB0" w14:textId="77777777" w:rsidR="001A384D" w:rsidRPr="006E0A9D" w:rsidRDefault="001A384D" w:rsidP="001A384D">
      <w:pPr>
        <w:rPr>
          <w:i/>
          <w:szCs w:val="22"/>
          <w:shd w:val="clear" w:color="auto" w:fill="FFFFFF"/>
        </w:rPr>
      </w:pPr>
    </w:p>
    <w:p w14:paraId="268C6F2A" w14:textId="13FBC63B" w:rsidR="001A384D" w:rsidRPr="006E0A9D" w:rsidRDefault="001A384D" w:rsidP="001A384D">
      <w:pPr>
        <w:rPr>
          <w:i/>
          <w:szCs w:val="22"/>
          <w:shd w:val="clear" w:color="auto" w:fill="FFFFFF"/>
        </w:rPr>
      </w:pPr>
      <w:r w:rsidRPr="006E0A9D">
        <w:rPr>
          <w:i/>
          <w:szCs w:val="22"/>
          <w:shd w:val="clear" w:color="auto" w:fill="FFFFFF"/>
        </w:rPr>
        <w:t>Also, provide estimates of annualized “in-house” cost to respondents for the burden hours for the information collections, identifying and using appropriate wage rate categories.</w:t>
      </w:r>
    </w:p>
    <w:p w14:paraId="3CF07430" w14:textId="77777777" w:rsidR="001A384D" w:rsidRPr="006E0A9D" w:rsidRDefault="001A384D" w:rsidP="001A384D">
      <w:pPr>
        <w:rPr>
          <w:i/>
          <w:szCs w:val="22"/>
          <w:shd w:val="clear" w:color="auto" w:fill="FFFFFF"/>
        </w:rPr>
      </w:pPr>
    </w:p>
    <w:p w14:paraId="7876AA4A" w14:textId="4AC8C853" w:rsidR="005F595C" w:rsidRPr="008C65EF" w:rsidRDefault="001A384D" w:rsidP="001A384D">
      <w:pPr>
        <w:rPr>
          <w:szCs w:val="22"/>
          <w:shd w:val="clear" w:color="auto" w:fill="FFFFFF"/>
        </w:rPr>
      </w:pPr>
      <w:r w:rsidRPr="006E0A9D">
        <w:rPr>
          <w:i/>
          <w:szCs w:val="22"/>
          <w:shd w:val="clear" w:color="auto" w:fill="FFFFFF"/>
        </w:rPr>
        <w:t>The cost of contracting out or paying outside parties for information collection activities should not be included here. Instead, this cost should be included in Item 13.</w:t>
      </w:r>
    </w:p>
    <w:p w14:paraId="041E23CC" w14:textId="77777777" w:rsidR="003650D9" w:rsidRPr="008C65EF" w:rsidRDefault="003650D9" w:rsidP="0083695D">
      <w:pPr>
        <w:rPr>
          <w:szCs w:val="22"/>
          <w:shd w:val="clear" w:color="auto" w:fill="FFFFFF"/>
        </w:rPr>
      </w:pPr>
    </w:p>
    <w:p w14:paraId="134FF2FF" w14:textId="5FB3387D" w:rsidR="00FB23FC" w:rsidRPr="006E0A9D" w:rsidRDefault="005F3262" w:rsidP="004834DC">
      <w:pPr>
        <w:ind w:firstLine="720"/>
        <w:rPr>
          <w:szCs w:val="22"/>
        </w:rPr>
      </w:pPr>
      <w:r w:rsidRPr="008C65EF">
        <w:rPr>
          <w:b/>
          <w:szCs w:val="22"/>
        </w:rPr>
        <w:t>Number of Respondents:</w:t>
      </w:r>
      <w:r w:rsidRPr="006E0A9D">
        <w:rPr>
          <w:szCs w:val="22"/>
        </w:rPr>
        <w:t xml:space="preserve"> </w:t>
      </w:r>
      <w:r w:rsidR="00516331" w:rsidRPr="006E0A9D">
        <w:rPr>
          <w:szCs w:val="22"/>
        </w:rPr>
        <w:t xml:space="preserve">The Commission </w:t>
      </w:r>
      <w:r w:rsidR="00BB21DE">
        <w:rPr>
          <w:szCs w:val="22"/>
        </w:rPr>
        <w:t>estimates</w:t>
      </w:r>
      <w:r w:rsidR="00695DB5" w:rsidRPr="006E0A9D">
        <w:rPr>
          <w:szCs w:val="22"/>
        </w:rPr>
        <w:t xml:space="preserve"> </w:t>
      </w:r>
      <w:r w:rsidR="00ED565D" w:rsidRPr="006E0A9D">
        <w:rPr>
          <w:szCs w:val="22"/>
        </w:rPr>
        <w:t xml:space="preserve">that </w:t>
      </w:r>
      <w:r w:rsidR="00BE633C" w:rsidRPr="00426EAC">
        <w:rPr>
          <w:b/>
          <w:szCs w:val="22"/>
        </w:rPr>
        <w:t>965</w:t>
      </w:r>
      <w:r w:rsidR="00ED565D" w:rsidRPr="006E0A9D">
        <w:rPr>
          <w:szCs w:val="22"/>
        </w:rPr>
        <w:t xml:space="preserve"> respondents </w:t>
      </w:r>
      <w:r w:rsidR="00BE633C">
        <w:rPr>
          <w:szCs w:val="22"/>
        </w:rPr>
        <w:t xml:space="preserve">will be </w:t>
      </w:r>
      <w:r w:rsidR="00ED565D" w:rsidRPr="006E0A9D">
        <w:rPr>
          <w:szCs w:val="22"/>
        </w:rPr>
        <w:t>required to submit information under the Part 4 rules</w:t>
      </w:r>
      <w:r w:rsidR="001C3EBC" w:rsidRPr="008C65EF">
        <w:rPr>
          <w:szCs w:val="22"/>
        </w:rPr>
        <w:t>.</w:t>
      </w:r>
      <w:r w:rsidR="00ED565D" w:rsidRPr="008C65EF">
        <w:rPr>
          <w:szCs w:val="22"/>
        </w:rPr>
        <w:t xml:space="preserve"> </w:t>
      </w:r>
      <w:r w:rsidR="00ED565D" w:rsidRPr="006E0A9D">
        <w:rPr>
          <w:szCs w:val="22"/>
        </w:rPr>
        <w:t xml:space="preserve"> </w:t>
      </w:r>
      <w:r w:rsidR="00426EAC">
        <w:rPr>
          <w:szCs w:val="22"/>
        </w:rPr>
        <w:t>This is a net increase of 167.</w:t>
      </w:r>
      <w:r w:rsidR="00426EAC">
        <w:rPr>
          <w:rStyle w:val="FootnoteReference"/>
          <w:szCs w:val="22"/>
        </w:rPr>
        <w:footnoteReference w:id="17"/>
      </w:r>
      <w:r w:rsidR="00426EAC">
        <w:rPr>
          <w:szCs w:val="22"/>
        </w:rPr>
        <w:t xml:space="preserve">  </w:t>
      </w:r>
    </w:p>
    <w:p w14:paraId="7D29E8B7" w14:textId="77777777" w:rsidR="005F3262" w:rsidRPr="006E0A9D" w:rsidRDefault="005F3262" w:rsidP="0083695D">
      <w:pPr>
        <w:rPr>
          <w:szCs w:val="22"/>
        </w:rPr>
      </w:pPr>
    </w:p>
    <w:p w14:paraId="40F97F85" w14:textId="0BF27D1B" w:rsidR="002D315A" w:rsidRPr="008C65EF" w:rsidRDefault="005F3262" w:rsidP="004834DC">
      <w:pPr>
        <w:ind w:firstLine="720"/>
        <w:rPr>
          <w:szCs w:val="22"/>
        </w:rPr>
      </w:pPr>
      <w:r w:rsidRPr="006E0A9D">
        <w:rPr>
          <w:b/>
          <w:szCs w:val="22"/>
        </w:rPr>
        <w:t>Frequency of Response:</w:t>
      </w:r>
      <w:r w:rsidR="00ED565D" w:rsidRPr="006E0A9D">
        <w:rPr>
          <w:szCs w:val="22"/>
        </w:rPr>
        <w:t xml:space="preserve"> </w:t>
      </w:r>
      <w:r w:rsidR="00516331" w:rsidRPr="006E0A9D">
        <w:rPr>
          <w:szCs w:val="22"/>
        </w:rPr>
        <w:t>The Co</w:t>
      </w:r>
      <w:r w:rsidR="007F7CEC" w:rsidRPr="006E0A9D">
        <w:rPr>
          <w:szCs w:val="22"/>
        </w:rPr>
        <w:t>mmiss</w:t>
      </w:r>
      <w:r w:rsidR="00516331" w:rsidRPr="006E0A9D">
        <w:rPr>
          <w:szCs w:val="22"/>
        </w:rPr>
        <w:t>i</w:t>
      </w:r>
      <w:r w:rsidR="007F7CEC" w:rsidRPr="006E0A9D">
        <w:rPr>
          <w:szCs w:val="22"/>
        </w:rPr>
        <w:t>o</w:t>
      </w:r>
      <w:r w:rsidR="00516331" w:rsidRPr="006E0A9D">
        <w:rPr>
          <w:szCs w:val="22"/>
        </w:rPr>
        <w:t>n</w:t>
      </w:r>
      <w:r w:rsidR="001C3EBC" w:rsidRPr="006E0A9D">
        <w:rPr>
          <w:szCs w:val="22"/>
        </w:rPr>
        <w:t xml:space="preserve"> </w:t>
      </w:r>
      <w:r w:rsidR="00BE633C">
        <w:rPr>
          <w:szCs w:val="22"/>
        </w:rPr>
        <w:t>estimates</w:t>
      </w:r>
      <w:r w:rsidR="001C3EBC" w:rsidRPr="006E0A9D">
        <w:rPr>
          <w:szCs w:val="22"/>
        </w:rPr>
        <w:t xml:space="preserve"> </w:t>
      </w:r>
      <w:r w:rsidR="00BE633C">
        <w:rPr>
          <w:szCs w:val="22"/>
        </w:rPr>
        <w:t>that</w:t>
      </w:r>
      <w:r w:rsidR="001C3EBC" w:rsidRPr="006E0A9D">
        <w:rPr>
          <w:szCs w:val="22"/>
        </w:rPr>
        <w:t xml:space="preserve"> </w:t>
      </w:r>
      <w:r w:rsidR="00790715">
        <w:rPr>
          <w:b/>
          <w:szCs w:val="22"/>
        </w:rPr>
        <w:t>26,795</w:t>
      </w:r>
      <w:r w:rsidR="005F595C" w:rsidRPr="008C65EF">
        <w:rPr>
          <w:b/>
          <w:szCs w:val="22"/>
        </w:rPr>
        <w:t xml:space="preserve"> </w:t>
      </w:r>
      <w:r w:rsidR="001C3EBC" w:rsidRPr="008C65EF">
        <w:rPr>
          <w:szCs w:val="22"/>
        </w:rPr>
        <w:t>responses</w:t>
      </w:r>
      <w:r w:rsidR="006C4FB3">
        <w:rPr>
          <w:szCs w:val="22"/>
        </w:rPr>
        <w:t xml:space="preserve"> per outage</w:t>
      </w:r>
      <w:r w:rsidR="001C3EBC" w:rsidRPr="008C65EF">
        <w:rPr>
          <w:szCs w:val="22"/>
        </w:rPr>
        <w:t xml:space="preserve"> </w:t>
      </w:r>
      <w:r w:rsidR="00BE633C">
        <w:rPr>
          <w:szCs w:val="22"/>
        </w:rPr>
        <w:t xml:space="preserve">will be filed </w:t>
      </w:r>
      <w:r w:rsidR="001C3EBC" w:rsidRPr="008C65EF">
        <w:rPr>
          <w:szCs w:val="22"/>
        </w:rPr>
        <w:t xml:space="preserve">per year for </w:t>
      </w:r>
      <w:r w:rsidR="00BE633C">
        <w:rPr>
          <w:szCs w:val="22"/>
        </w:rPr>
        <w:t>the</w:t>
      </w:r>
      <w:r w:rsidR="001C3EBC" w:rsidRPr="008C65EF">
        <w:rPr>
          <w:szCs w:val="22"/>
        </w:rPr>
        <w:t xml:space="preserve"> outage reporting obligations under Part 4</w:t>
      </w:r>
      <w:r w:rsidR="002D32CD">
        <w:rPr>
          <w:szCs w:val="22"/>
        </w:rPr>
        <w:t xml:space="preserve">.  </w:t>
      </w:r>
      <w:r w:rsidR="00F04B46">
        <w:rPr>
          <w:szCs w:val="22"/>
        </w:rPr>
        <w:t xml:space="preserve">In total, </w:t>
      </w:r>
      <w:r w:rsidR="00E55D30">
        <w:rPr>
          <w:szCs w:val="22"/>
        </w:rPr>
        <w:t xml:space="preserve">the Commission </w:t>
      </w:r>
      <w:r w:rsidR="00CB7BBA">
        <w:rPr>
          <w:szCs w:val="22"/>
        </w:rPr>
        <w:t>estimate</w:t>
      </w:r>
      <w:r w:rsidR="00E55D30">
        <w:rPr>
          <w:szCs w:val="22"/>
        </w:rPr>
        <w:t>s</w:t>
      </w:r>
      <w:r w:rsidR="00CB7BBA">
        <w:rPr>
          <w:szCs w:val="22"/>
        </w:rPr>
        <w:t xml:space="preserve"> that there will be an increase of 13,783 outages per year.</w:t>
      </w:r>
      <w:r w:rsidR="00CB7BBA">
        <w:rPr>
          <w:rStyle w:val="FootnoteReference"/>
          <w:szCs w:val="22"/>
        </w:rPr>
        <w:footnoteReference w:id="18"/>
      </w:r>
      <w:r w:rsidR="00CB7BBA">
        <w:rPr>
          <w:szCs w:val="22"/>
        </w:rPr>
        <w:t xml:space="preserve">  </w:t>
      </w:r>
    </w:p>
    <w:p w14:paraId="3E9DE935" w14:textId="77777777" w:rsidR="002D315A" w:rsidRPr="008C65EF" w:rsidRDefault="002D315A" w:rsidP="0083695D">
      <w:pPr>
        <w:rPr>
          <w:szCs w:val="22"/>
        </w:rPr>
      </w:pPr>
    </w:p>
    <w:p w14:paraId="4B087291" w14:textId="1A2B280D" w:rsidR="003540E1" w:rsidRPr="008C65EF" w:rsidRDefault="00185FFA" w:rsidP="004834DC">
      <w:pPr>
        <w:ind w:firstLine="720"/>
        <w:rPr>
          <w:szCs w:val="22"/>
        </w:rPr>
      </w:pPr>
      <w:r w:rsidRPr="006E0A9D">
        <w:rPr>
          <w:b/>
          <w:szCs w:val="22"/>
        </w:rPr>
        <w:t>Annual Hour Burden:</w:t>
      </w:r>
      <w:r w:rsidRPr="006E0A9D">
        <w:rPr>
          <w:szCs w:val="22"/>
        </w:rPr>
        <w:t xml:space="preserve">  </w:t>
      </w:r>
      <w:r w:rsidR="00CA0BEA" w:rsidRPr="006E0A9D">
        <w:rPr>
          <w:szCs w:val="22"/>
        </w:rPr>
        <w:t xml:space="preserve">The existing information collection already approved by OMB includes three components: </w:t>
      </w:r>
      <w:r w:rsidR="00863B16" w:rsidRPr="006E0A9D">
        <w:rPr>
          <w:szCs w:val="22"/>
        </w:rPr>
        <w:t xml:space="preserve"> </w:t>
      </w:r>
      <w:r w:rsidR="00CA0BEA" w:rsidRPr="006E0A9D">
        <w:rPr>
          <w:szCs w:val="22"/>
        </w:rPr>
        <w:t>a Notification that an outage</w:t>
      </w:r>
      <w:r w:rsidR="00EA7670" w:rsidRPr="006E0A9D">
        <w:rPr>
          <w:szCs w:val="22"/>
        </w:rPr>
        <w:t xml:space="preserve"> event </w:t>
      </w:r>
      <w:r w:rsidR="00CA0BEA" w:rsidRPr="006E0A9D">
        <w:rPr>
          <w:szCs w:val="22"/>
        </w:rPr>
        <w:t>has occurred, an Initial Report containing detailed information on the outage</w:t>
      </w:r>
      <w:r w:rsidR="00EA7670" w:rsidRPr="006E0A9D">
        <w:rPr>
          <w:szCs w:val="22"/>
        </w:rPr>
        <w:t xml:space="preserve"> event</w:t>
      </w:r>
      <w:r w:rsidR="005F595C" w:rsidRPr="008C65EF">
        <w:rPr>
          <w:szCs w:val="22"/>
        </w:rPr>
        <w:t xml:space="preserve"> (for non-interconnected</w:t>
      </w:r>
      <w:r w:rsidR="002D32CD">
        <w:rPr>
          <w:szCs w:val="22"/>
        </w:rPr>
        <w:t xml:space="preserve"> VoIP service</w:t>
      </w:r>
      <w:r w:rsidR="005F595C" w:rsidRPr="008C65EF">
        <w:rPr>
          <w:szCs w:val="22"/>
        </w:rPr>
        <w:t xml:space="preserve"> outage events)</w:t>
      </w:r>
      <w:r w:rsidR="00CA0BEA" w:rsidRPr="008C65EF">
        <w:rPr>
          <w:szCs w:val="22"/>
        </w:rPr>
        <w:t xml:space="preserve">, and a Final Report containing detailed information </w:t>
      </w:r>
      <w:r w:rsidR="00EA7670" w:rsidRPr="006E0A9D">
        <w:rPr>
          <w:szCs w:val="22"/>
        </w:rPr>
        <w:t>on</w:t>
      </w:r>
      <w:r w:rsidR="00CA0BEA" w:rsidRPr="006E0A9D">
        <w:rPr>
          <w:szCs w:val="22"/>
        </w:rPr>
        <w:t xml:space="preserve"> the outage</w:t>
      </w:r>
      <w:r w:rsidR="00EA7670" w:rsidRPr="006E0A9D">
        <w:rPr>
          <w:szCs w:val="22"/>
        </w:rPr>
        <w:t xml:space="preserve"> event</w:t>
      </w:r>
      <w:r w:rsidR="00CA0BEA" w:rsidRPr="006E0A9D">
        <w:rPr>
          <w:szCs w:val="22"/>
        </w:rPr>
        <w:t xml:space="preserve"> and how </w:t>
      </w:r>
      <w:r w:rsidR="00EA7670" w:rsidRPr="006E0A9D">
        <w:rPr>
          <w:szCs w:val="22"/>
        </w:rPr>
        <w:t>the event</w:t>
      </w:r>
      <w:r w:rsidR="00CA0BEA" w:rsidRPr="006E0A9D">
        <w:rPr>
          <w:szCs w:val="22"/>
        </w:rPr>
        <w:t xml:space="preserve"> was resolved.  </w:t>
      </w:r>
      <w:r w:rsidR="00A33D8C">
        <w:rPr>
          <w:szCs w:val="22"/>
        </w:rPr>
        <w:t>The Commission has</w:t>
      </w:r>
      <w:r w:rsidR="00CA0BEA" w:rsidRPr="006E0A9D">
        <w:rPr>
          <w:szCs w:val="22"/>
        </w:rPr>
        <w:t xml:space="preserve"> previously estimated that reporting entities will require 15 minutes to file a Notification with the Commission</w:t>
      </w:r>
      <w:r w:rsidR="00C8346B">
        <w:rPr>
          <w:szCs w:val="22"/>
        </w:rPr>
        <w:t>,</w:t>
      </w:r>
      <w:r w:rsidR="00CA0BEA" w:rsidRPr="006E0A9D">
        <w:rPr>
          <w:szCs w:val="22"/>
        </w:rPr>
        <w:t xml:space="preserve"> and that the more detailed Initial Report</w:t>
      </w:r>
      <w:r w:rsidR="00C8346B">
        <w:rPr>
          <w:szCs w:val="22"/>
        </w:rPr>
        <w:t xml:space="preserve"> (for </w:t>
      </w:r>
      <w:r w:rsidR="00466906">
        <w:rPr>
          <w:szCs w:val="22"/>
        </w:rPr>
        <w:t>non-interconnected VoIP service providers)</w:t>
      </w:r>
      <w:r w:rsidR="00CA0BEA" w:rsidRPr="006E0A9D">
        <w:rPr>
          <w:szCs w:val="22"/>
        </w:rPr>
        <w:t xml:space="preserve"> will ordinarily not take more than 45 minutes to complete and submit to the Commission.</w:t>
      </w:r>
      <w:r w:rsidR="00EA7670" w:rsidRPr="008C65EF">
        <w:rPr>
          <w:rStyle w:val="FootnoteReference"/>
          <w:szCs w:val="22"/>
        </w:rPr>
        <w:footnoteReference w:id="19"/>
      </w:r>
      <w:r w:rsidR="00CA0BEA" w:rsidRPr="008C65EF">
        <w:rPr>
          <w:szCs w:val="22"/>
        </w:rPr>
        <w:t xml:space="preserve">  </w:t>
      </w:r>
      <w:r w:rsidR="00E55D30">
        <w:rPr>
          <w:szCs w:val="22"/>
        </w:rPr>
        <w:t>The Commission</w:t>
      </w:r>
      <w:r w:rsidR="00CA0BEA" w:rsidRPr="008C65EF">
        <w:rPr>
          <w:szCs w:val="22"/>
        </w:rPr>
        <w:t xml:space="preserve"> further estimated that respondents will ordinarily not need more than one hour to complete and submit electronically a Final Report to the Commission within 30 days after the outage was discovered.</w:t>
      </w:r>
      <w:r w:rsidR="00A576A8" w:rsidRPr="008C65EF">
        <w:rPr>
          <w:rStyle w:val="FootnoteReference"/>
          <w:szCs w:val="22"/>
        </w:rPr>
        <w:footnoteReference w:id="20"/>
      </w:r>
      <w:r w:rsidR="00CA0BEA" w:rsidRPr="008C65EF">
        <w:rPr>
          <w:szCs w:val="22"/>
        </w:rPr>
        <w:t xml:space="preserve">  Thus, the total time needed to </w:t>
      </w:r>
      <w:r w:rsidR="00466906">
        <w:rPr>
          <w:szCs w:val="22"/>
        </w:rPr>
        <w:t>submit all filings</w:t>
      </w:r>
      <w:r w:rsidR="00CA0BEA" w:rsidRPr="008C65EF">
        <w:rPr>
          <w:szCs w:val="22"/>
        </w:rPr>
        <w:t xml:space="preserve"> pertinent to each outage that meets or exceeds the reporting threshold criteria </w:t>
      </w:r>
      <w:r w:rsidR="00507262" w:rsidRPr="008C65EF">
        <w:rPr>
          <w:szCs w:val="22"/>
        </w:rPr>
        <w:t>has been</w:t>
      </w:r>
      <w:r w:rsidR="00CA0BEA" w:rsidRPr="008C65EF">
        <w:rPr>
          <w:szCs w:val="22"/>
        </w:rPr>
        <w:t xml:space="preserve"> estimated to be less than two (2) hours as follows:</w:t>
      </w:r>
    </w:p>
    <w:p w14:paraId="1E1FF620" w14:textId="77777777" w:rsidR="003540E1" w:rsidRPr="008C65EF" w:rsidRDefault="003540E1" w:rsidP="00CA0BEA">
      <w:pPr>
        <w:rPr>
          <w:szCs w:val="22"/>
        </w:rPr>
      </w:pPr>
    </w:p>
    <w:p w14:paraId="4B31EE1C" w14:textId="067645C9" w:rsidR="003540E1" w:rsidRPr="006E0A9D" w:rsidRDefault="003540E1" w:rsidP="00426BDA">
      <w:pPr>
        <w:ind w:left="720"/>
        <w:jc w:val="center"/>
        <w:rPr>
          <w:szCs w:val="22"/>
        </w:rPr>
      </w:pPr>
      <w:r w:rsidRPr="006E0A9D">
        <w:rPr>
          <w:szCs w:val="22"/>
        </w:rPr>
        <w:t>15 minutes [Notification] + 45 minutes [Initial Report] + 1 hour [Final Report]</w:t>
      </w:r>
    </w:p>
    <w:p w14:paraId="558882C2" w14:textId="2AD74FDA" w:rsidR="00CA0BEA" w:rsidRPr="008C65EF" w:rsidRDefault="003540E1" w:rsidP="00426BDA">
      <w:pPr>
        <w:ind w:left="720"/>
        <w:jc w:val="center"/>
        <w:rPr>
          <w:szCs w:val="22"/>
        </w:rPr>
      </w:pPr>
      <w:r w:rsidRPr="006E0A9D">
        <w:rPr>
          <w:szCs w:val="22"/>
        </w:rPr>
        <w:t>= 2 hours maximum</w:t>
      </w:r>
      <w:r w:rsidR="00426EAC">
        <w:rPr>
          <w:szCs w:val="22"/>
        </w:rPr>
        <w:t xml:space="preserve"> for each outage</w:t>
      </w:r>
      <w:r w:rsidR="00426BDA" w:rsidRPr="006E0A9D">
        <w:rPr>
          <w:szCs w:val="22"/>
        </w:rPr>
        <w:t>.</w:t>
      </w:r>
      <w:r w:rsidR="009E63AE" w:rsidRPr="008C65EF">
        <w:rPr>
          <w:rStyle w:val="FootnoteReference"/>
          <w:szCs w:val="22"/>
        </w:rPr>
        <w:footnoteReference w:id="21"/>
      </w:r>
    </w:p>
    <w:p w14:paraId="710D3D77" w14:textId="77777777" w:rsidR="00CA0BEA" w:rsidRPr="008C65EF" w:rsidRDefault="00CA0BEA" w:rsidP="00CA0BEA">
      <w:pPr>
        <w:rPr>
          <w:szCs w:val="22"/>
        </w:rPr>
      </w:pPr>
    </w:p>
    <w:p w14:paraId="5A264E72" w14:textId="16407C4C" w:rsidR="009C3E95" w:rsidRDefault="00E55D30" w:rsidP="007731B3">
      <w:pPr>
        <w:ind w:firstLine="720"/>
        <w:rPr>
          <w:szCs w:val="22"/>
        </w:rPr>
      </w:pPr>
      <w:r>
        <w:rPr>
          <w:szCs w:val="22"/>
        </w:rPr>
        <w:t>The Commission</w:t>
      </w:r>
      <w:r w:rsidR="00843D98" w:rsidRPr="008C65EF">
        <w:rPr>
          <w:szCs w:val="22"/>
        </w:rPr>
        <w:t xml:space="preserve"> believe</w:t>
      </w:r>
      <w:r>
        <w:rPr>
          <w:szCs w:val="22"/>
        </w:rPr>
        <w:t>s</w:t>
      </w:r>
      <w:r w:rsidR="00843D98" w:rsidRPr="008C65EF">
        <w:rPr>
          <w:szCs w:val="22"/>
        </w:rPr>
        <w:t xml:space="preserve"> these estimates</w:t>
      </w:r>
      <w:r w:rsidR="0078711D" w:rsidRPr="008C65EF">
        <w:rPr>
          <w:szCs w:val="22"/>
        </w:rPr>
        <w:t xml:space="preserve"> remain valid. </w:t>
      </w:r>
      <w:r w:rsidR="00843D98" w:rsidRPr="006E0A9D">
        <w:rPr>
          <w:szCs w:val="22"/>
        </w:rPr>
        <w:t xml:space="preserve"> </w:t>
      </w:r>
      <w:r w:rsidR="00A11282" w:rsidRPr="006E0A9D">
        <w:rPr>
          <w:szCs w:val="22"/>
        </w:rPr>
        <w:t xml:space="preserve">Indeed, </w:t>
      </w:r>
      <w:r>
        <w:rPr>
          <w:szCs w:val="22"/>
        </w:rPr>
        <w:t>the Commission</w:t>
      </w:r>
      <w:r w:rsidR="00A11282" w:rsidRPr="006E0A9D">
        <w:rPr>
          <w:szCs w:val="22"/>
        </w:rPr>
        <w:t xml:space="preserve"> noted previously that the two-hour estimate was </w:t>
      </w:r>
      <w:r w:rsidR="0037656B" w:rsidRPr="00C32B14">
        <w:rPr>
          <w:szCs w:val="22"/>
        </w:rPr>
        <w:t>conservative,</w:t>
      </w:r>
      <w:r w:rsidR="00A11282" w:rsidRPr="006E0A9D">
        <w:rPr>
          <w:szCs w:val="22"/>
        </w:rPr>
        <w:t xml:space="preserve"> and that time required to file </w:t>
      </w:r>
      <w:r w:rsidR="00426EAC">
        <w:rPr>
          <w:szCs w:val="22"/>
        </w:rPr>
        <w:t>the information for each outage</w:t>
      </w:r>
      <w:r w:rsidR="00A11282" w:rsidRPr="006E0A9D">
        <w:rPr>
          <w:szCs w:val="22"/>
        </w:rPr>
        <w:t xml:space="preserve"> was, </w:t>
      </w:r>
      <w:r w:rsidR="00A11282" w:rsidRPr="006E0A9D">
        <w:rPr>
          <w:szCs w:val="22"/>
          <w:shd w:val="clear" w:color="auto" w:fill="FFFFFF"/>
        </w:rPr>
        <w:t>more likely, estimated to be approximately 1 to 1.5 hours</w:t>
      </w:r>
      <w:r w:rsidR="00A11282" w:rsidRPr="006E0A9D">
        <w:rPr>
          <w:szCs w:val="22"/>
        </w:rPr>
        <w:t>.</w:t>
      </w:r>
      <w:r w:rsidR="00A11282" w:rsidRPr="008C65EF">
        <w:rPr>
          <w:rStyle w:val="FootnoteReference"/>
          <w:szCs w:val="22"/>
        </w:rPr>
        <w:footnoteReference w:id="22"/>
      </w:r>
      <w:r w:rsidR="007731B3">
        <w:rPr>
          <w:szCs w:val="22"/>
        </w:rPr>
        <w:t xml:space="preserve">  </w:t>
      </w:r>
      <w:r>
        <w:rPr>
          <w:szCs w:val="22"/>
        </w:rPr>
        <w:t>The Commission</w:t>
      </w:r>
      <w:r w:rsidR="009C3E95">
        <w:rPr>
          <w:szCs w:val="22"/>
        </w:rPr>
        <w:t xml:space="preserve"> assume</w:t>
      </w:r>
      <w:r>
        <w:rPr>
          <w:szCs w:val="22"/>
        </w:rPr>
        <w:t>s</w:t>
      </w:r>
      <w:r w:rsidR="009C3E95">
        <w:rPr>
          <w:szCs w:val="22"/>
        </w:rPr>
        <w:t xml:space="preserve"> that for purposes of this calculation that each </w:t>
      </w:r>
      <w:r w:rsidR="00541FE0">
        <w:rPr>
          <w:szCs w:val="22"/>
        </w:rPr>
        <w:t xml:space="preserve">outage </w:t>
      </w:r>
      <w:r w:rsidR="009C3E95">
        <w:rPr>
          <w:szCs w:val="22"/>
        </w:rPr>
        <w:t xml:space="preserve">event will require a submission of a Notification, an Initial Report, and a Final Report.  </w:t>
      </w:r>
      <w:r>
        <w:rPr>
          <w:szCs w:val="22"/>
        </w:rPr>
        <w:t>The Commission</w:t>
      </w:r>
      <w:r w:rsidR="009C3E95">
        <w:rPr>
          <w:szCs w:val="22"/>
        </w:rPr>
        <w:t xml:space="preserve"> believe</w:t>
      </w:r>
      <w:r>
        <w:rPr>
          <w:szCs w:val="22"/>
        </w:rPr>
        <w:t>s</w:t>
      </w:r>
      <w:r w:rsidR="009C3E95">
        <w:rPr>
          <w:szCs w:val="22"/>
        </w:rPr>
        <w:t xml:space="preserve"> that this is a conservative figure because service providers may file more than one initial report at times when they learn new information before the final report is due, or in the case of interconnected VoIP service providers, may only file a Notification and a Final Report.  </w:t>
      </w:r>
    </w:p>
    <w:p w14:paraId="0A9C4B07" w14:textId="77777777" w:rsidR="009C3E95" w:rsidRDefault="009C3E95" w:rsidP="009C3E95">
      <w:pPr>
        <w:rPr>
          <w:szCs w:val="22"/>
        </w:rPr>
      </w:pPr>
    </w:p>
    <w:p w14:paraId="28F6F654" w14:textId="77777777" w:rsidR="009C3E95" w:rsidRDefault="009C3E95" w:rsidP="009C3E95">
      <w:pPr>
        <w:ind w:left="1440"/>
        <w:rPr>
          <w:szCs w:val="22"/>
        </w:rPr>
      </w:pPr>
      <w:r>
        <w:rPr>
          <w:szCs w:val="22"/>
        </w:rPr>
        <w:t>26,795 outages *15 minutes to complete Notification = 6,698.75 hours</w:t>
      </w:r>
    </w:p>
    <w:p w14:paraId="2554C37E" w14:textId="77777777" w:rsidR="009C3E95" w:rsidRDefault="009C3E95" w:rsidP="009C3E95">
      <w:pPr>
        <w:ind w:left="1440"/>
        <w:rPr>
          <w:szCs w:val="22"/>
        </w:rPr>
      </w:pPr>
      <w:r>
        <w:rPr>
          <w:szCs w:val="22"/>
        </w:rPr>
        <w:t>26,795 outages *45 minutes to complete Initial Report = 20,096.25 hours</w:t>
      </w:r>
    </w:p>
    <w:p w14:paraId="3FDC7D7C" w14:textId="77777777" w:rsidR="009C3E95" w:rsidRDefault="009C3E95" w:rsidP="009C3E95">
      <w:pPr>
        <w:ind w:left="1440"/>
        <w:rPr>
          <w:szCs w:val="22"/>
        </w:rPr>
      </w:pPr>
      <w:r>
        <w:rPr>
          <w:szCs w:val="22"/>
        </w:rPr>
        <w:t>26,795 outages *60 minutes to complete Final Report = 26,795 hours</w:t>
      </w:r>
    </w:p>
    <w:p w14:paraId="08C6C72E" w14:textId="77777777" w:rsidR="009C3E95" w:rsidRDefault="009C3E95" w:rsidP="009C3E95">
      <w:pPr>
        <w:ind w:left="1440"/>
        <w:rPr>
          <w:szCs w:val="22"/>
        </w:rPr>
      </w:pPr>
    </w:p>
    <w:p w14:paraId="4CD3EDFA" w14:textId="42ED1EE4" w:rsidR="009C3E95" w:rsidRDefault="009C3E95" w:rsidP="009C3E95">
      <w:pPr>
        <w:ind w:left="1440"/>
        <w:rPr>
          <w:szCs w:val="22"/>
        </w:rPr>
      </w:pPr>
      <w:r>
        <w:rPr>
          <w:szCs w:val="22"/>
        </w:rPr>
        <w:t>Sum: 6,698.75 hours + 20,096.25 hours + 26,795 hours = 53,59</w:t>
      </w:r>
      <w:r w:rsidR="004C087B">
        <w:rPr>
          <w:szCs w:val="22"/>
        </w:rPr>
        <w:t>0</w:t>
      </w:r>
      <w:r>
        <w:rPr>
          <w:szCs w:val="22"/>
        </w:rPr>
        <w:t xml:space="preserve"> hours</w:t>
      </w:r>
    </w:p>
    <w:p w14:paraId="26BA74F9" w14:textId="77777777" w:rsidR="009C3E95" w:rsidRPr="008C65EF" w:rsidRDefault="009C3E95" w:rsidP="00D01C48">
      <w:pPr>
        <w:ind w:firstLine="720"/>
        <w:rPr>
          <w:szCs w:val="22"/>
        </w:rPr>
      </w:pPr>
    </w:p>
    <w:p w14:paraId="14DE3FC4" w14:textId="77777777" w:rsidR="0012381D" w:rsidRPr="008C65EF" w:rsidRDefault="0012381D" w:rsidP="0083695D">
      <w:pPr>
        <w:rPr>
          <w:bCs/>
          <w:color w:val="000000"/>
          <w:szCs w:val="22"/>
        </w:rPr>
      </w:pPr>
    </w:p>
    <w:p w14:paraId="748B4B6C" w14:textId="1DC6DBE9" w:rsidR="009C3E95" w:rsidRDefault="001C3EBC" w:rsidP="004834DC">
      <w:pPr>
        <w:ind w:firstLine="720"/>
        <w:rPr>
          <w:szCs w:val="22"/>
        </w:rPr>
      </w:pPr>
      <w:r w:rsidRPr="004E479E">
        <w:rPr>
          <w:b/>
          <w:bCs/>
          <w:color w:val="000000"/>
          <w:szCs w:val="22"/>
        </w:rPr>
        <w:t xml:space="preserve">Additional </w:t>
      </w:r>
      <w:r w:rsidR="003B40FD" w:rsidRPr="004E479E">
        <w:rPr>
          <w:b/>
          <w:bCs/>
          <w:color w:val="000000"/>
          <w:szCs w:val="22"/>
        </w:rPr>
        <w:t>Burden hours:</w:t>
      </w:r>
      <w:r w:rsidR="00570F67" w:rsidRPr="004E479E">
        <w:rPr>
          <w:szCs w:val="22"/>
        </w:rPr>
        <w:t xml:space="preserve"> </w:t>
      </w:r>
      <w:r w:rsidR="009C3E95">
        <w:rPr>
          <w:szCs w:val="22"/>
        </w:rPr>
        <w:t>25,066 burden hours reported in 2016 – 53,59</w:t>
      </w:r>
      <w:r w:rsidR="004C087B">
        <w:rPr>
          <w:szCs w:val="22"/>
        </w:rPr>
        <w:t>0</w:t>
      </w:r>
      <w:r w:rsidR="009C3E95">
        <w:rPr>
          <w:szCs w:val="22"/>
        </w:rPr>
        <w:t xml:space="preserve"> burden hours estimated = 28,585 additional burden hours.</w:t>
      </w:r>
    </w:p>
    <w:p w14:paraId="2F858CBD" w14:textId="77777777" w:rsidR="00C3021D" w:rsidRPr="006E0A9D" w:rsidRDefault="00C3021D" w:rsidP="00C3021D">
      <w:pPr>
        <w:ind w:left="720"/>
        <w:rPr>
          <w:bCs/>
          <w:color w:val="000000"/>
          <w:szCs w:val="22"/>
        </w:rPr>
      </w:pPr>
    </w:p>
    <w:p w14:paraId="14BD38AA" w14:textId="2482A90E" w:rsidR="00570F67" w:rsidRDefault="001C3EBC" w:rsidP="004834DC">
      <w:pPr>
        <w:ind w:firstLine="720"/>
        <w:rPr>
          <w:bCs/>
          <w:color w:val="000000"/>
          <w:szCs w:val="22"/>
        </w:rPr>
      </w:pPr>
      <w:r w:rsidRPr="006E0A9D">
        <w:rPr>
          <w:b/>
          <w:bCs/>
          <w:color w:val="000000"/>
          <w:szCs w:val="22"/>
        </w:rPr>
        <w:t xml:space="preserve">Additional </w:t>
      </w:r>
      <w:r w:rsidR="0094153A" w:rsidRPr="006E0A9D">
        <w:rPr>
          <w:b/>
          <w:bCs/>
          <w:color w:val="000000"/>
          <w:szCs w:val="22"/>
        </w:rPr>
        <w:t>In-House Cost</w:t>
      </w:r>
      <w:r w:rsidR="00C3021D" w:rsidRPr="006E0A9D">
        <w:rPr>
          <w:b/>
          <w:bCs/>
          <w:color w:val="000000"/>
          <w:szCs w:val="22"/>
        </w:rPr>
        <w:t>:</w:t>
      </w:r>
      <w:r w:rsidR="00C3021D" w:rsidRPr="006E0A9D">
        <w:rPr>
          <w:bCs/>
          <w:color w:val="000000"/>
          <w:szCs w:val="22"/>
        </w:rPr>
        <w:t xml:space="preserve">  </w:t>
      </w:r>
      <w:r w:rsidR="007731B3">
        <w:rPr>
          <w:bCs/>
          <w:color w:val="000000"/>
          <w:szCs w:val="22"/>
        </w:rPr>
        <w:t>13,783</w:t>
      </w:r>
      <w:r w:rsidR="00570F67">
        <w:rPr>
          <w:bCs/>
          <w:color w:val="000000"/>
          <w:szCs w:val="22"/>
        </w:rPr>
        <w:t xml:space="preserve"> additional outages filed annually * 2 hours per outage * one technician at $80/hour = $2,205,280 in additional in-house cost.</w:t>
      </w:r>
    </w:p>
    <w:p w14:paraId="6523A51F" w14:textId="77777777" w:rsidR="00570F67" w:rsidRDefault="00570F67" w:rsidP="006F28AD">
      <w:pPr>
        <w:rPr>
          <w:bCs/>
          <w:color w:val="000000"/>
          <w:szCs w:val="22"/>
        </w:rPr>
      </w:pPr>
    </w:p>
    <w:p w14:paraId="32A94D32" w14:textId="78A2C5A9" w:rsidR="001C3EBC" w:rsidRPr="008C65EF" w:rsidRDefault="00F27C18" w:rsidP="00BA24E4">
      <w:pPr>
        <w:ind w:firstLine="720"/>
        <w:rPr>
          <w:bCs/>
          <w:color w:val="000000"/>
          <w:szCs w:val="22"/>
        </w:rPr>
      </w:pPr>
      <w:r w:rsidRPr="006E0A9D">
        <w:rPr>
          <w:bCs/>
          <w:color w:val="000000"/>
          <w:szCs w:val="22"/>
        </w:rPr>
        <w:t>In 201</w:t>
      </w:r>
      <w:r w:rsidR="0037656B" w:rsidRPr="008C65EF">
        <w:rPr>
          <w:bCs/>
          <w:color w:val="000000"/>
          <w:szCs w:val="22"/>
        </w:rPr>
        <w:t>6</w:t>
      </w:r>
      <w:r w:rsidRPr="008C65EF">
        <w:rPr>
          <w:bCs/>
          <w:color w:val="000000"/>
          <w:szCs w:val="22"/>
        </w:rPr>
        <w:t xml:space="preserve">, </w:t>
      </w:r>
      <w:r w:rsidR="00570F67">
        <w:rPr>
          <w:bCs/>
          <w:color w:val="000000"/>
          <w:szCs w:val="22"/>
        </w:rPr>
        <w:t>the Commission</w:t>
      </w:r>
      <w:r w:rsidR="001C3EBC" w:rsidRPr="008C65EF">
        <w:rPr>
          <w:bCs/>
          <w:color w:val="000000"/>
          <w:szCs w:val="22"/>
        </w:rPr>
        <w:t xml:space="preserve"> previously estimated a total of </w:t>
      </w:r>
      <w:r w:rsidR="004228B1" w:rsidRPr="008C65EF">
        <w:rPr>
          <w:bCs/>
          <w:color w:val="000000"/>
          <w:szCs w:val="22"/>
        </w:rPr>
        <w:t>2</w:t>
      </w:r>
      <w:r w:rsidR="00DC03E7" w:rsidRPr="006E0A9D">
        <w:rPr>
          <w:bCs/>
          <w:color w:val="000000"/>
          <w:szCs w:val="22"/>
        </w:rPr>
        <w:t>5,006</w:t>
      </w:r>
      <w:r w:rsidRPr="006E0A9D">
        <w:rPr>
          <w:bCs/>
          <w:color w:val="000000"/>
          <w:szCs w:val="22"/>
        </w:rPr>
        <w:t xml:space="preserve"> </w:t>
      </w:r>
      <w:r w:rsidR="00B04E73">
        <w:rPr>
          <w:bCs/>
          <w:color w:val="000000"/>
          <w:szCs w:val="22"/>
        </w:rPr>
        <w:t xml:space="preserve">annual </w:t>
      </w:r>
      <w:r w:rsidRPr="006E0A9D">
        <w:rPr>
          <w:bCs/>
          <w:color w:val="000000"/>
          <w:szCs w:val="22"/>
        </w:rPr>
        <w:t>burden</w:t>
      </w:r>
      <w:r w:rsidR="004729EC" w:rsidRPr="006E0A9D">
        <w:rPr>
          <w:bCs/>
          <w:color w:val="000000"/>
          <w:szCs w:val="22"/>
        </w:rPr>
        <w:t xml:space="preserve"> hours</w:t>
      </w:r>
      <w:r w:rsidR="001D56FA" w:rsidRPr="008C65EF">
        <w:rPr>
          <w:bCs/>
          <w:color w:val="000000"/>
          <w:szCs w:val="22"/>
        </w:rPr>
        <w:t xml:space="preserve"> and $2,000,480</w:t>
      </w:r>
      <w:r w:rsidR="004729EC" w:rsidRPr="008C65EF">
        <w:rPr>
          <w:bCs/>
          <w:color w:val="000000"/>
          <w:szCs w:val="22"/>
        </w:rPr>
        <w:t xml:space="preserve"> in annual in-house costs.</w:t>
      </w:r>
      <w:r w:rsidR="004D5F08" w:rsidRPr="008C65EF">
        <w:rPr>
          <w:rStyle w:val="FootnoteReference"/>
          <w:bCs/>
          <w:color w:val="000000"/>
          <w:szCs w:val="22"/>
        </w:rPr>
        <w:footnoteReference w:id="23"/>
      </w:r>
      <w:r w:rsidR="00C21896" w:rsidRPr="008C65EF">
        <w:rPr>
          <w:bCs/>
          <w:color w:val="000000"/>
          <w:szCs w:val="22"/>
        </w:rPr>
        <w:t xml:space="preserve">  </w:t>
      </w:r>
      <w:r w:rsidR="006C4FB3">
        <w:rPr>
          <w:bCs/>
          <w:color w:val="000000"/>
          <w:szCs w:val="22"/>
        </w:rPr>
        <w:t>The Commission estimates a total of 53,59</w:t>
      </w:r>
      <w:r w:rsidR="007A356E">
        <w:rPr>
          <w:bCs/>
          <w:color w:val="000000"/>
          <w:szCs w:val="22"/>
        </w:rPr>
        <w:t>0</w:t>
      </w:r>
      <w:r w:rsidR="00B04E73">
        <w:rPr>
          <w:bCs/>
          <w:color w:val="000000"/>
          <w:szCs w:val="22"/>
        </w:rPr>
        <w:t xml:space="preserve"> annual</w:t>
      </w:r>
      <w:r w:rsidR="006C4FB3">
        <w:rPr>
          <w:bCs/>
          <w:color w:val="000000"/>
          <w:szCs w:val="22"/>
        </w:rPr>
        <w:t xml:space="preserve"> burden hour</w:t>
      </w:r>
      <w:r w:rsidR="00B11975">
        <w:rPr>
          <w:bCs/>
          <w:color w:val="000000"/>
          <w:szCs w:val="22"/>
        </w:rPr>
        <w:t>s</w:t>
      </w:r>
      <w:r w:rsidR="006C4FB3">
        <w:rPr>
          <w:bCs/>
          <w:color w:val="000000"/>
          <w:szCs w:val="22"/>
        </w:rPr>
        <w:t xml:space="preserve"> and</w:t>
      </w:r>
      <w:r w:rsidR="00B11975">
        <w:rPr>
          <w:bCs/>
          <w:color w:val="000000"/>
          <w:szCs w:val="22"/>
        </w:rPr>
        <w:t xml:space="preserve"> a total of</w:t>
      </w:r>
      <w:r w:rsidR="006C4FB3">
        <w:rPr>
          <w:bCs/>
          <w:color w:val="000000"/>
          <w:szCs w:val="22"/>
        </w:rPr>
        <w:t xml:space="preserve"> </w:t>
      </w:r>
      <w:bookmarkStart w:id="2" w:name="_Hlk19800726"/>
      <w:r w:rsidR="006C4FB3">
        <w:rPr>
          <w:bCs/>
          <w:color w:val="000000"/>
          <w:szCs w:val="22"/>
        </w:rPr>
        <w:t>$4,287,2</w:t>
      </w:r>
      <w:r w:rsidR="007A356E">
        <w:rPr>
          <w:bCs/>
          <w:color w:val="000000"/>
          <w:szCs w:val="22"/>
        </w:rPr>
        <w:t>0</w:t>
      </w:r>
      <w:r w:rsidR="00E04449">
        <w:rPr>
          <w:bCs/>
          <w:color w:val="000000"/>
          <w:szCs w:val="22"/>
        </w:rPr>
        <w:t>0</w:t>
      </w:r>
      <w:r w:rsidR="006C4FB3">
        <w:rPr>
          <w:bCs/>
          <w:color w:val="000000"/>
          <w:szCs w:val="22"/>
        </w:rPr>
        <w:t xml:space="preserve"> </w:t>
      </w:r>
      <w:bookmarkEnd w:id="2"/>
      <w:r w:rsidR="006C4FB3">
        <w:rPr>
          <w:bCs/>
          <w:color w:val="000000"/>
          <w:szCs w:val="22"/>
        </w:rPr>
        <w:t>in annual in-house costs.</w:t>
      </w:r>
      <w:r w:rsidR="006C4FB3">
        <w:rPr>
          <w:rStyle w:val="FootnoteReference"/>
          <w:bCs/>
          <w:color w:val="000000"/>
          <w:szCs w:val="22"/>
        </w:rPr>
        <w:footnoteReference w:id="24"/>
      </w:r>
    </w:p>
    <w:p w14:paraId="24035533" w14:textId="77777777" w:rsidR="005F3262" w:rsidRPr="008C65EF" w:rsidRDefault="005F3262" w:rsidP="0083695D">
      <w:pPr>
        <w:rPr>
          <w:szCs w:val="22"/>
        </w:rPr>
      </w:pPr>
    </w:p>
    <w:p w14:paraId="2EE85DCB" w14:textId="379CB0FF" w:rsidR="005F3262" w:rsidRPr="008C65EF" w:rsidRDefault="005F3262" w:rsidP="004834DC">
      <w:pPr>
        <w:ind w:firstLine="720"/>
        <w:rPr>
          <w:szCs w:val="22"/>
        </w:rPr>
      </w:pPr>
      <w:r w:rsidRPr="006E0A9D">
        <w:rPr>
          <w:b/>
          <w:szCs w:val="22"/>
        </w:rPr>
        <w:t>Method of Calculating Burden:</w:t>
      </w:r>
      <w:r w:rsidRPr="006E0A9D">
        <w:rPr>
          <w:szCs w:val="22"/>
        </w:rPr>
        <w:t xml:space="preserve">  </w:t>
      </w:r>
      <w:r w:rsidR="00E55D30">
        <w:rPr>
          <w:szCs w:val="22"/>
        </w:rPr>
        <w:t>The Commission</w:t>
      </w:r>
      <w:r w:rsidR="0097464A" w:rsidRPr="006E0A9D">
        <w:rPr>
          <w:szCs w:val="22"/>
        </w:rPr>
        <w:t xml:space="preserve"> explain</w:t>
      </w:r>
      <w:r w:rsidR="00E55D30">
        <w:rPr>
          <w:szCs w:val="22"/>
        </w:rPr>
        <w:t>s</w:t>
      </w:r>
      <w:r w:rsidR="0097464A" w:rsidRPr="006E0A9D">
        <w:rPr>
          <w:szCs w:val="22"/>
        </w:rPr>
        <w:t xml:space="preserve"> above </w:t>
      </w:r>
      <w:r w:rsidR="00E55D30">
        <w:rPr>
          <w:szCs w:val="22"/>
        </w:rPr>
        <w:t>the</w:t>
      </w:r>
      <w:r w:rsidR="0097464A" w:rsidRPr="006E0A9D">
        <w:rPr>
          <w:szCs w:val="22"/>
        </w:rPr>
        <w:t xml:space="preserve"> </w:t>
      </w:r>
      <w:r w:rsidR="00E55D30" w:rsidRPr="006E0A9D">
        <w:rPr>
          <w:szCs w:val="22"/>
        </w:rPr>
        <w:t>calculat</w:t>
      </w:r>
      <w:r w:rsidR="00E55D30">
        <w:rPr>
          <w:szCs w:val="22"/>
        </w:rPr>
        <w:t>ion method to determine</w:t>
      </w:r>
      <w:r w:rsidR="0097464A" w:rsidRPr="006E0A9D">
        <w:rPr>
          <w:szCs w:val="22"/>
        </w:rPr>
        <w:t xml:space="preserve"> </w:t>
      </w:r>
      <w:r w:rsidR="005D4E3D" w:rsidRPr="006E0A9D">
        <w:rPr>
          <w:szCs w:val="22"/>
        </w:rPr>
        <w:t xml:space="preserve">the impact on reporting burdens associated with the </w:t>
      </w:r>
      <w:r w:rsidR="004D5F08" w:rsidRPr="008C65EF">
        <w:rPr>
          <w:szCs w:val="22"/>
        </w:rPr>
        <w:t>estimated responses expected.</w:t>
      </w:r>
    </w:p>
    <w:p w14:paraId="23630D8A" w14:textId="77777777" w:rsidR="005D4E3D" w:rsidRPr="006E0A9D" w:rsidRDefault="005D4E3D" w:rsidP="0083695D">
      <w:pPr>
        <w:rPr>
          <w:szCs w:val="22"/>
        </w:rPr>
      </w:pPr>
    </w:p>
    <w:p w14:paraId="2A0B23FA" w14:textId="37614CBF" w:rsidR="005D4E3D" w:rsidRPr="006E0A9D" w:rsidRDefault="005D4E3D" w:rsidP="004834DC">
      <w:pPr>
        <w:ind w:firstLine="720"/>
        <w:rPr>
          <w:szCs w:val="22"/>
        </w:rPr>
      </w:pPr>
      <w:r w:rsidRPr="006E0A9D">
        <w:rPr>
          <w:b/>
          <w:szCs w:val="22"/>
        </w:rPr>
        <w:t xml:space="preserve">Variance in Burden: </w:t>
      </w:r>
      <w:r w:rsidR="008646EA" w:rsidRPr="006E0A9D">
        <w:rPr>
          <w:b/>
          <w:szCs w:val="22"/>
        </w:rPr>
        <w:t xml:space="preserve"> </w:t>
      </w:r>
      <w:r w:rsidR="00A33D8C">
        <w:rPr>
          <w:szCs w:val="22"/>
        </w:rPr>
        <w:t>The Commission</w:t>
      </w:r>
      <w:r w:rsidR="008646EA" w:rsidRPr="006E0A9D">
        <w:rPr>
          <w:szCs w:val="22"/>
        </w:rPr>
        <w:t xml:space="preserve"> expect</w:t>
      </w:r>
      <w:r w:rsidR="00A33D8C">
        <w:rPr>
          <w:szCs w:val="22"/>
        </w:rPr>
        <w:t>s</w:t>
      </w:r>
      <w:r w:rsidR="008646EA" w:rsidRPr="006E0A9D">
        <w:rPr>
          <w:szCs w:val="22"/>
        </w:rPr>
        <w:t xml:space="preserve"> </w:t>
      </w:r>
      <w:r w:rsidR="006B7C2E" w:rsidRPr="006E0A9D">
        <w:rPr>
          <w:szCs w:val="22"/>
        </w:rPr>
        <w:t xml:space="preserve">that </w:t>
      </w:r>
      <w:r w:rsidR="008646EA" w:rsidRPr="006E0A9D">
        <w:rPr>
          <w:szCs w:val="22"/>
        </w:rPr>
        <w:t xml:space="preserve">the limited impact of the </w:t>
      </w:r>
      <w:r w:rsidR="00475AAC">
        <w:rPr>
          <w:szCs w:val="22"/>
        </w:rPr>
        <w:t>exten</w:t>
      </w:r>
      <w:r w:rsidR="008646EA" w:rsidRPr="006E0A9D">
        <w:rPr>
          <w:szCs w:val="22"/>
        </w:rPr>
        <w:t>sion to be shared widely among entities that are subject to Part 4, although larger entities will continue to be more likely than smaller ones to experience outages of sufficient scale to trigger a reporting obligation.</w:t>
      </w:r>
    </w:p>
    <w:p w14:paraId="086FF42F" w14:textId="77777777" w:rsidR="00185FFA" w:rsidRPr="006E0A9D" w:rsidRDefault="00185FFA" w:rsidP="0083695D">
      <w:pPr>
        <w:rPr>
          <w:szCs w:val="22"/>
        </w:rPr>
      </w:pPr>
    </w:p>
    <w:p w14:paraId="49F751B1" w14:textId="77777777" w:rsidR="0010718E" w:rsidRPr="006E0A9D" w:rsidRDefault="00C21896" w:rsidP="004834DC">
      <w:pPr>
        <w:ind w:left="720"/>
        <w:rPr>
          <w:b/>
          <w:szCs w:val="22"/>
        </w:rPr>
      </w:pPr>
      <w:bookmarkStart w:id="4" w:name="_Hlk19800786"/>
      <w:r w:rsidRPr="006E0A9D">
        <w:rPr>
          <w:b/>
          <w:szCs w:val="22"/>
        </w:rPr>
        <w:t>Summary of Respondents and Burden:</w:t>
      </w:r>
    </w:p>
    <w:p w14:paraId="3005C9FE" w14:textId="77777777" w:rsidR="0010718E" w:rsidRPr="006E0A9D" w:rsidRDefault="0010718E" w:rsidP="004834DC">
      <w:pPr>
        <w:ind w:left="720"/>
        <w:rPr>
          <w:szCs w:val="22"/>
        </w:rPr>
      </w:pPr>
    </w:p>
    <w:p w14:paraId="6922F52E" w14:textId="6FB0473B" w:rsidR="0010718E" w:rsidRPr="006E0A9D" w:rsidRDefault="0010718E" w:rsidP="004834DC">
      <w:pPr>
        <w:ind w:left="720"/>
        <w:rPr>
          <w:szCs w:val="22"/>
        </w:rPr>
      </w:pPr>
      <w:r w:rsidRPr="006E0A9D">
        <w:rPr>
          <w:b/>
          <w:szCs w:val="22"/>
        </w:rPr>
        <w:t xml:space="preserve">Total Number of Respondents:  </w:t>
      </w:r>
      <w:r w:rsidR="00570F67">
        <w:rPr>
          <w:b/>
          <w:szCs w:val="22"/>
        </w:rPr>
        <w:t>965</w:t>
      </w:r>
      <w:r w:rsidRPr="006E0A9D">
        <w:rPr>
          <w:szCs w:val="22"/>
        </w:rPr>
        <w:t>.</w:t>
      </w:r>
    </w:p>
    <w:p w14:paraId="7D24D2BA" w14:textId="77777777" w:rsidR="0010718E" w:rsidRPr="006E0A9D" w:rsidRDefault="0010718E" w:rsidP="004834DC">
      <w:pPr>
        <w:ind w:left="720"/>
        <w:rPr>
          <w:szCs w:val="22"/>
        </w:rPr>
      </w:pPr>
    </w:p>
    <w:p w14:paraId="08B534CA" w14:textId="1B8930B0" w:rsidR="0010718E" w:rsidRPr="006E0A9D" w:rsidRDefault="0010718E" w:rsidP="004834DC">
      <w:pPr>
        <w:ind w:left="720"/>
        <w:rPr>
          <w:szCs w:val="22"/>
        </w:rPr>
      </w:pPr>
      <w:r w:rsidRPr="006E0A9D">
        <w:rPr>
          <w:b/>
          <w:szCs w:val="22"/>
        </w:rPr>
        <w:t xml:space="preserve">Total Number of Annual Responses:  </w:t>
      </w:r>
      <w:r w:rsidR="00860A2E">
        <w:rPr>
          <w:b/>
          <w:szCs w:val="22"/>
        </w:rPr>
        <w:t>26,795</w:t>
      </w:r>
      <w:r w:rsidRPr="006E0A9D">
        <w:rPr>
          <w:szCs w:val="22"/>
        </w:rPr>
        <w:t>.</w:t>
      </w:r>
    </w:p>
    <w:p w14:paraId="2AB6EFBE" w14:textId="77777777" w:rsidR="0010718E" w:rsidRPr="006E0A9D" w:rsidRDefault="0010718E" w:rsidP="004834DC">
      <w:pPr>
        <w:ind w:left="720"/>
        <w:rPr>
          <w:szCs w:val="22"/>
        </w:rPr>
      </w:pPr>
    </w:p>
    <w:p w14:paraId="47181501" w14:textId="50F203A6" w:rsidR="0010718E" w:rsidRPr="006E0A9D" w:rsidRDefault="0010718E" w:rsidP="004834DC">
      <w:pPr>
        <w:ind w:left="720"/>
        <w:rPr>
          <w:szCs w:val="22"/>
        </w:rPr>
      </w:pPr>
      <w:r w:rsidRPr="006E0A9D">
        <w:rPr>
          <w:b/>
          <w:szCs w:val="22"/>
        </w:rPr>
        <w:t xml:space="preserve">Total Annual Burden Hours:  </w:t>
      </w:r>
      <w:r w:rsidR="00B04E73" w:rsidRPr="00B04E73">
        <w:rPr>
          <w:b/>
          <w:szCs w:val="22"/>
        </w:rPr>
        <w:t>53,59</w:t>
      </w:r>
      <w:r w:rsidR="007A356E">
        <w:rPr>
          <w:b/>
          <w:szCs w:val="22"/>
        </w:rPr>
        <w:t>0</w:t>
      </w:r>
      <w:r w:rsidR="00B04E73" w:rsidRPr="00B04E73">
        <w:rPr>
          <w:b/>
          <w:szCs w:val="22"/>
        </w:rPr>
        <w:t xml:space="preserve"> </w:t>
      </w:r>
      <w:r w:rsidRPr="006E0A9D">
        <w:rPr>
          <w:b/>
          <w:szCs w:val="22"/>
        </w:rPr>
        <w:t>hours</w:t>
      </w:r>
      <w:r w:rsidRPr="006E0A9D">
        <w:rPr>
          <w:szCs w:val="22"/>
        </w:rPr>
        <w:t>.</w:t>
      </w:r>
    </w:p>
    <w:p w14:paraId="01EA9E0F" w14:textId="77777777" w:rsidR="0010718E" w:rsidRPr="006E0A9D" w:rsidRDefault="0010718E" w:rsidP="004834DC">
      <w:pPr>
        <w:ind w:left="720"/>
        <w:rPr>
          <w:szCs w:val="22"/>
        </w:rPr>
      </w:pPr>
    </w:p>
    <w:p w14:paraId="20BE5EFF" w14:textId="3DCD60AA" w:rsidR="0010718E" w:rsidRPr="008C65EF" w:rsidRDefault="0010718E" w:rsidP="004834DC">
      <w:pPr>
        <w:ind w:left="720"/>
        <w:rPr>
          <w:szCs w:val="22"/>
        </w:rPr>
      </w:pPr>
      <w:r w:rsidRPr="006E0A9D">
        <w:rPr>
          <w:b/>
          <w:szCs w:val="22"/>
        </w:rPr>
        <w:t xml:space="preserve">Total Annual In-House Costs:  </w:t>
      </w:r>
      <w:r w:rsidR="00B04E73" w:rsidRPr="00B04E73">
        <w:rPr>
          <w:b/>
          <w:szCs w:val="22"/>
        </w:rPr>
        <w:t>$4,287,2</w:t>
      </w:r>
      <w:r w:rsidR="007A356E">
        <w:rPr>
          <w:b/>
          <w:szCs w:val="22"/>
        </w:rPr>
        <w:t>0</w:t>
      </w:r>
      <w:r w:rsidR="00982BD5">
        <w:rPr>
          <w:b/>
          <w:szCs w:val="22"/>
        </w:rPr>
        <w:t>0</w:t>
      </w:r>
      <w:r w:rsidR="00FB134D" w:rsidRPr="006E0A9D">
        <w:rPr>
          <w:szCs w:val="22"/>
        </w:rPr>
        <w:t>.</w:t>
      </w:r>
    </w:p>
    <w:bookmarkEnd w:id="4"/>
    <w:p w14:paraId="424F234C" w14:textId="77777777" w:rsidR="006615FA" w:rsidRPr="006E0A9D" w:rsidRDefault="006615FA" w:rsidP="0083695D">
      <w:pPr>
        <w:rPr>
          <w:szCs w:val="22"/>
          <w:shd w:val="clear" w:color="auto" w:fill="FFFFFF"/>
        </w:rPr>
      </w:pPr>
    </w:p>
    <w:p w14:paraId="7109F01A" w14:textId="77777777" w:rsidR="006615FA" w:rsidRPr="006E0A9D" w:rsidRDefault="006615FA" w:rsidP="0083695D">
      <w:pPr>
        <w:rPr>
          <w:b/>
          <w:szCs w:val="22"/>
          <w:shd w:val="clear" w:color="auto" w:fill="FFFFFF"/>
        </w:rPr>
      </w:pPr>
      <w:r w:rsidRPr="006E0A9D">
        <w:rPr>
          <w:b/>
          <w:szCs w:val="22"/>
          <w:shd w:val="clear" w:color="auto" w:fill="FFFFFF"/>
        </w:rPr>
        <w:t>13.  Provide estimate for the total annual cost burden to respondents or record</w:t>
      </w:r>
      <w:r w:rsidR="00126303" w:rsidRPr="006E0A9D">
        <w:rPr>
          <w:b/>
          <w:szCs w:val="22"/>
          <w:shd w:val="clear" w:color="auto" w:fill="FFFFFF"/>
        </w:rPr>
        <w:t xml:space="preserve"> </w:t>
      </w:r>
      <w:r w:rsidRPr="006E0A9D">
        <w:rPr>
          <w:b/>
          <w:szCs w:val="22"/>
          <w:shd w:val="clear" w:color="auto" w:fill="FFFFFF"/>
        </w:rPr>
        <w:t>keepers resulting from the collection of information.  (Do not include the cost of any hour burden shown in items 12 and 14).</w:t>
      </w:r>
    </w:p>
    <w:p w14:paraId="254CF8F4" w14:textId="6FA63C76" w:rsidR="006615FA" w:rsidRPr="006E0A9D" w:rsidRDefault="006615FA" w:rsidP="0083695D">
      <w:pPr>
        <w:rPr>
          <w:b/>
          <w:szCs w:val="22"/>
          <w:shd w:val="clear" w:color="auto" w:fill="FFFFFF"/>
        </w:rPr>
      </w:pPr>
    </w:p>
    <w:p w14:paraId="78757DBE" w14:textId="33BBF2CE" w:rsidR="001A384D" w:rsidRPr="008C65EF" w:rsidRDefault="001A384D" w:rsidP="001A384D">
      <w:pPr>
        <w:rPr>
          <w:i/>
          <w:szCs w:val="22"/>
          <w:shd w:val="clear" w:color="auto" w:fill="FFFFFF"/>
        </w:rPr>
      </w:pPr>
      <w:r w:rsidRPr="006E0A9D">
        <w:rPr>
          <w:i/>
          <w:szCs w:val="22"/>
          <w:shd w:val="clear" w:color="auto" w:fill="FFFFFF"/>
        </w:rPr>
        <w:t>The cost estimate should be split into two components: (a) a total capital and start-up cost component (annualized over its expected useful life) and (b) a total operation and maintenance and purchase of services component. Hiring contracting personnel to fulfill requirements on behalf of respondents is captured under this component.</w:t>
      </w:r>
    </w:p>
    <w:p w14:paraId="4C5E8CDF" w14:textId="77777777" w:rsidR="001A384D" w:rsidRPr="006E0A9D" w:rsidRDefault="001A384D" w:rsidP="001A384D">
      <w:pPr>
        <w:rPr>
          <w:i/>
          <w:szCs w:val="22"/>
          <w:shd w:val="clear" w:color="auto" w:fill="FFFFFF"/>
        </w:rPr>
      </w:pPr>
    </w:p>
    <w:p w14:paraId="576A71B4" w14:textId="5070BFA5" w:rsidR="001A384D" w:rsidRPr="00C32B14" w:rsidRDefault="001A384D" w:rsidP="001A384D">
      <w:pPr>
        <w:rPr>
          <w:bCs/>
          <w:i/>
          <w:iCs/>
          <w:szCs w:val="22"/>
        </w:rPr>
      </w:pPr>
      <w:r w:rsidRPr="006E0A9D">
        <w:rPr>
          <w:i/>
          <w:szCs w:val="22"/>
          <w:shd w:val="clear" w:color="auto" w:fill="FFFFFF"/>
        </w:rPr>
        <w:t>The estimates should take into account costs associated with generating, maintaining, and disclosing or providing the information. Include descriptions of methods used to estimate</w:t>
      </w:r>
      <w:r w:rsidRPr="008C65EF">
        <w:rPr>
          <w:i/>
          <w:szCs w:val="22"/>
          <w:shd w:val="clear" w:color="auto" w:fill="FFFFFF"/>
        </w:rPr>
        <w:t xml:space="preserve"> </w:t>
      </w:r>
      <w:r w:rsidRPr="006E0A9D">
        <w:rPr>
          <w:bCs/>
          <w:i/>
          <w:iCs/>
          <w:szCs w:val="22"/>
        </w:rPr>
        <w:t>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other equipment; and record storage facilities.</w:t>
      </w:r>
    </w:p>
    <w:p w14:paraId="0A9557FA" w14:textId="1E5CD422" w:rsidR="001A384D" w:rsidRPr="00C32B14" w:rsidRDefault="001A384D" w:rsidP="001A384D">
      <w:pPr>
        <w:rPr>
          <w:bCs/>
          <w:i/>
          <w:iCs/>
          <w:szCs w:val="22"/>
        </w:rPr>
      </w:pPr>
    </w:p>
    <w:p w14:paraId="6A42ECAC" w14:textId="22CA7E3C" w:rsidR="001A384D" w:rsidRPr="006E0A9D" w:rsidRDefault="001A384D" w:rsidP="001A384D">
      <w:pPr>
        <w:rPr>
          <w:i/>
          <w:szCs w:val="22"/>
          <w:shd w:val="clear" w:color="auto" w:fill="FFFFFF"/>
        </w:rPr>
      </w:pPr>
      <w:r w:rsidRPr="006E0A9D">
        <w:rPr>
          <w:bCs/>
          <w:i/>
          <w:iCs/>
          <w:szCs w:val="22"/>
        </w:rPr>
        <w:t>If cost estimates are expected to vary widely, present ranges of cost burdens and explain the reasons for the variance. Generally, estimates should not include purchases of equipment or services made (1) to achieve regulatory compliance with requirements not associated with the information collection, (2) for reasons other than to provide information or keep records for the government, or (3) as part of customary and usual business or private practices.</w:t>
      </w:r>
    </w:p>
    <w:p w14:paraId="695D836A" w14:textId="77777777" w:rsidR="001A384D" w:rsidRPr="008C65EF" w:rsidRDefault="001A384D" w:rsidP="0083695D">
      <w:pPr>
        <w:rPr>
          <w:b/>
          <w:szCs w:val="22"/>
          <w:shd w:val="clear" w:color="auto" w:fill="FFFFFF"/>
        </w:rPr>
      </w:pPr>
    </w:p>
    <w:p w14:paraId="14F76483" w14:textId="2ACA0485" w:rsidR="003C5511" w:rsidRPr="008C65EF" w:rsidRDefault="00A33D8C" w:rsidP="003E6777">
      <w:pPr>
        <w:ind w:firstLine="720"/>
        <w:rPr>
          <w:szCs w:val="22"/>
          <w:shd w:val="clear" w:color="auto" w:fill="FFFFFF"/>
        </w:rPr>
      </w:pPr>
      <w:r>
        <w:rPr>
          <w:szCs w:val="22"/>
          <w:shd w:val="clear" w:color="auto" w:fill="FFFFFF"/>
        </w:rPr>
        <w:t>The Commission</w:t>
      </w:r>
      <w:r w:rsidR="003C5511" w:rsidRPr="008C65EF">
        <w:rPr>
          <w:szCs w:val="22"/>
          <w:shd w:val="clear" w:color="auto" w:fill="FFFFFF"/>
        </w:rPr>
        <w:t xml:space="preserve"> previously estimated no capital and startup costs, no purchases of additional equipment, or operation, maintenance, and purchase of services costs associated with existing Part 4 outage reporting obligations.  </w:t>
      </w:r>
      <w:r w:rsidR="003C5511" w:rsidRPr="006E0A9D">
        <w:rPr>
          <w:szCs w:val="22"/>
          <w:shd w:val="clear" w:color="auto" w:fill="FFFFFF"/>
        </w:rPr>
        <w:t>The new requirements will not result in additional operating and maintenance expenses</w:t>
      </w:r>
      <w:r w:rsidR="0010718E" w:rsidRPr="006E0A9D">
        <w:rPr>
          <w:szCs w:val="22"/>
          <w:shd w:val="clear" w:color="auto" w:fill="FFFFFF"/>
        </w:rPr>
        <w:t>.</w:t>
      </w:r>
      <w:r w:rsidR="003C5511" w:rsidRPr="006E0A9D">
        <w:rPr>
          <w:szCs w:val="22"/>
          <w:shd w:val="clear" w:color="auto" w:fill="FFFFFF"/>
        </w:rPr>
        <w:t xml:space="preserve">  Therefore, the total remains $0.</w:t>
      </w:r>
    </w:p>
    <w:p w14:paraId="71D7AE15" w14:textId="77777777" w:rsidR="006615FA" w:rsidRPr="006E0A9D" w:rsidRDefault="006615FA" w:rsidP="0083695D">
      <w:pPr>
        <w:rPr>
          <w:szCs w:val="22"/>
          <w:shd w:val="clear" w:color="auto" w:fill="FFFFFF"/>
        </w:rPr>
      </w:pPr>
    </w:p>
    <w:p w14:paraId="588E8F7D" w14:textId="77777777" w:rsidR="001A384D" w:rsidRPr="006E0A9D" w:rsidRDefault="006615FA" w:rsidP="0083695D">
      <w:pPr>
        <w:rPr>
          <w:b/>
          <w:szCs w:val="22"/>
          <w:shd w:val="clear" w:color="auto" w:fill="FFFFFF"/>
        </w:rPr>
      </w:pPr>
      <w:r w:rsidRPr="006E0A9D">
        <w:rPr>
          <w:b/>
          <w:szCs w:val="22"/>
          <w:shd w:val="clear" w:color="auto" w:fill="FFFFFF"/>
        </w:rPr>
        <w:t xml:space="preserve">14.  Provide estimates of annualized costs to the Federal government.  </w:t>
      </w:r>
    </w:p>
    <w:p w14:paraId="201A5ACF" w14:textId="77777777" w:rsidR="001A384D" w:rsidRPr="006E0A9D" w:rsidRDefault="001A384D" w:rsidP="0083695D">
      <w:pPr>
        <w:rPr>
          <w:b/>
          <w:szCs w:val="22"/>
          <w:shd w:val="clear" w:color="auto" w:fill="FFFFFF"/>
        </w:rPr>
      </w:pPr>
    </w:p>
    <w:p w14:paraId="5245879F" w14:textId="60183984" w:rsidR="003D21C8" w:rsidRPr="008C65EF" w:rsidRDefault="00D6024D" w:rsidP="0083695D">
      <w:pPr>
        <w:rPr>
          <w:b/>
          <w:szCs w:val="22"/>
          <w:shd w:val="clear" w:color="auto" w:fill="FFFFFF"/>
        </w:rPr>
      </w:pPr>
      <w:r w:rsidRPr="006E0A9D">
        <w:rPr>
          <w:bCs/>
          <w:i/>
          <w:iCs/>
          <w:szCs w:val="22"/>
        </w:rPr>
        <w:t xml:space="preserve">Provide a description of the method used to estimate cost, which should include quantification of hours, staff GS-pay rate per hour, operational expenses (such as equipment, overhead, printing, and support staff), and any other expenses that would not have been incurred without this collection of information. </w:t>
      </w:r>
    </w:p>
    <w:p w14:paraId="45168EF9" w14:textId="77777777" w:rsidR="0083695D" w:rsidRPr="008C65EF" w:rsidRDefault="0083695D" w:rsidP="0083695D">
      <w:pPr>
        <w:rPr>
          <w:szCs w:val="22"/>
          <w:shd w:val="clear" w:color="auto" w:fill="FFFFFF"/>
        </w:rPr>
      </w:pPr>
    </w:p>
    <w:p w14:paraId="0B7ECB14" w14:textId="231C2095" w:rsidR="004F5FF5" w:rsidRPr="008C65EF" w:rsidRDefault="00A33D8C">
      <w:pPr>
        <w:ind w:firstLine="720"/>
        <w:rPr>
          <w:szCs w:val="22"/>
          <w:shd w:val="clear" w:color="auto" w:fill="FFFFFF"/>
        </w:rPr>
      </w:pPr>
      <w:r>
        <w:rPr>
          <w:szCs w:val="22"/>
          <w:shd w:val="clear" w:color="auto" w:fill="FFFFFF"/>
        </w:rPr>
        <w:t>The Commission</w:t>
      </w:r>
      <w:r w:rsidR="003C5511" w:rsidRPr="008C65EF">
        <w:rPr>
          <w:szCs w:val="22"/>
          <w:shd w:val="clear" w:color="auto" w:fill="FFFFFF"/>
        </w:rPr>
        <w:t xml:space="preserve"> previously estimated </w:t>
      </w:r>
      <w:r w:rsidR="00360DE2" w:rsidRPr="008C65EF">
        <w:rPr>
          <w:szCs w:val="22"/>
          <w:shd w:val="clear" w:color="auto" w:fill="FFFFFF"/>
        </w:rPr>
        <w:t>$464,401.60</w:t>
      </w:r>
      <w:r w:rsidR="008C580C">
        <w:rPr>
          <w:szCs w:val="22"/>
          <w:shd w:val="clear" w:color="auto" w:fill="FFFFFF"/>
        </w:rPr>
        <w:t xml:space="preserve"> </w:t>
      </w:r>
      <w:r w:rsidR="003C5511" w:rsidRPr="008C65EF">
        <w:rPr>
          <w:szCs w:val="22"/>
          <w:shd w:val="clear" w:color="auto" w:fill="FFFFFF"/>
        </w:rPr>
        <w:t>in total annual costs to the</w:t>
      </w:r>
      <w:r w:rsidR="003E6777" w:rsidRPr="008C65EF">
        <w:rPr>
          <w:szCs w:val="22"/>
          <w:shd w:val="clear" w:color="auto" w:fill="FFFFFF"/>
        </w:rPr>
        <w:t xml:space="preserve"> F</w:t>
      </w:r>
      <w:r w:rsidR="003C5511" w:rsidRPr="008C65EF">
        <w:rPr>
          <w:szCs w:val="22"/>
          <w:shd w:val="clear" w:color="auto" w:fill="FFFFFF"/>
        </w:rPr>
        <w:t>ederal government for administration of all Part 4 outage reporting requirements.</w:t>
      </w:r>
      <w:r w:rsidR="003C5511" w:rsidRPr="008C65EF">
        <w:rPr>
          <w:rStyle w:val="FootnoteReference"/>
          <w:szCs w:val="22"/>
          <w:shd w:val="clear" w:color="auto" w:fill="FFFFFF"/>
        </w:rPr>
        <w:footnoteReference w:id="25"/>
      </w:r>
      <w:r w:rsidR="003C5511" w:rsidRPr="008C65EF">
        <w:rPr>
          <w:szCs w:val="22"/>
          <w:shd w:val="clear" w:color="auto" w:fill="FFFFFF"/>
        </w:rPr>
        <w:t xml:space="preserve"> </w:t>
      </w:r>
    </w:p>
    <w:p w14:paraId="5B6A9B0E" w14:textId="77777777" w:rsidR="004F5FF5" w:rsidRPr="008C65EF" w:rsidRDefault="004F5FF5">
      <w:pPr>
        <w:ind w:firstLine="720"/>
        <w:rPr>
          <w:szCs w:val="22"/>
          <w:shd w:val="clear" w:color="auto" w:fill="FFFFFF"/>
        </w:rPr>
      </w:pPr>
    </w:p>
    <w:p w14:paraId="6E3AFE55" w14:textId="091ACBCC" w:rsidR="004F5FF5" w:rsidRPr="008C65EF" w:rsidRDefault="00A33D8C" w:rsidP="004F5FF5">
      <w:pPr>
        <w:ind w:firstLine="720"/>
        <w:rPr>
          <w:szCs w:val="22"/>
          <w:shd w:val="clear" w:color="auto" w:fill="FFFFFF"/>
        </w:rPr>
      </w:pPr>
      <w:r>
        <w:rPr>
          <w:szCs w:val="22"/>
          <w:shd w:val="clear" w:color="auto" w:fill="FFFFFF"/>
        </w:rPr>
        <w:t>The Commission</w:t>
      </w:r>
      <w:r w:rsidR="004F5FF5" w:rsidRPr="008C65EF">
        <w:rPr>
          <w:szCs w:val="22"/>
          <w:shd w:val="clear" w:color="auto" w:fill="FFFFFF"/>
        </w:rPr>
        <w:t xml:space="preserve"> </w:t>
      </w:r>
      <w:r w:rsidR="006B7C2E" w:rsidRPr="008C65EF">
        <w:rPr>
          <w:szCs w:val="22"/>
          <w:shd w:val="clear" w:color="auto" w:fill="FFFFFF"/>
        </w:rPr>
        <w:t xml:space="preserve">now </w:t>
      </w:r>
      <w:r w:rsidR="004F5FF5" w:rsidRPr="008C65EF">
        <w:rPr>
          <w:szCs w:val="22"/>
          <w:shd w:val="clear" w:color="auto" w:fill="FFFFFF"/>
        </w:rPr>
        <w:t>estimate</w:t>
      </w:r>
      <w:r>
        <w:rPr>
          <w:szCs w:val="22"/>
          <w:shd w:val="clear" w:color="auto" w:fill="FFFFFF"/>
        </w:rPr>
        <w:t>s</w:t>
      </w:r>
      <w:r w:rsidR="004F5FF5" w:rsidRPr="008C65EF">
        <w:rPr>
          <w:szCs w:val="22"/>
          <w:shd w:val="clear" w:color="auto" w:fill="FFFFFF"/>
        </w:rPr>
        <w:t xml:space="preserve"> that the total annual cost to the Federal Government</w:t>
      </w:r>
      <w:r w:rsidR="006B7C2E" w:rsidRPr="008C65EF">
        <w:rPr>
          <w:szCs w:val="22"/>
          <w:shd w:val="clear" w:color="auto" w:fill="FFFFFF"/>
        </w:rPr>
        <w:t xml:space="preserve"> to be as follows</w:t>
      </w:r>
      <w:r w:rsidR="004F5FF5" w:rsidRPr="008C65EF">
        <w:rPr>
          <w:szCs w:val="22"/>
          <w:shd w:val="clear" w:color="auto" w:fill="FFFFFF"/>
        </w:rPr>
        <w:t>, based on the salaries</w:t>
      </w:r>
      <w:r w:rsidR="00983A54" w:rsidRPr="008C65EF">
        <w:rPr>
          <w:rStyle w:val="FootnoteReference"/>
          <w:szCs w:val="22"/>
          <w:shd w:val="clear" w:color="auto" w:fill="FFFFFF"/>
        </w:rPr>
        <w:footnoteReference w:id="26"/>
      </w:r>
      <w:r w:rsidR="004F5FF5" w:rsidRPr="008C65EF">
        <w:rPr>
          <w:szCs w:val="22"/>
          <w:shd w:val="clear" w:color="auto" w:fill="FFFFFF"/>
        </w:rPr>
        <w:t xml:space="preserve"> of</w:t>
      </w:r>
      <w:r w:rsidR="00D122CC" w:rsidRPr="008C65EF">
        <w:rPr>
          <w:szCs w:val="22"/>
          <w:shd w:val="clear" w:color="auto" w:fill="FFFFFF"/>
        </w:rPr>
        <w:t xml:space="preserve"> three engineers (GS-15 step 5</w:t>
      </w:r>
      <w:r w:rsidR="004F5FF5" w:rsidRPr="008C65EF">
        <w:rPr>
          <w:szCs w:val="22"/>
          <w:shd w:val="clear" w:color="auto" w:fill="FFFFFF"/>
        </w:rPr>
        <w:t xml:space="preserve">), </w:t>
      </w:r>
      <w:r w:rsidR="00D122CC" w:rsidRPr="008C65EF">
        <w:rPr>
          <w:szCs w:val="22"/>
          <w:shd w:val="clear" w:color="auto" w:fill="FFFFFF"/>
        </w:rPr>
        <w:t>two e</w:t>
      </w:r>
      <w:r w:rsidR="004F5FF5" w:rsidRPr="008C65EF">
        <w:rPr>
          <w:szCs w:val="22"/>
          <w:shd w:val="clear" w:color="auto" w:fill="FFFFFF"/>
        </w:rPr>
        <w:t>ngineer</w:t>
      </w:r>
      <w:r w:rsidR="00D122CC" w:rsidRPr="008C65EF">
        <w:rPr>
          <w:szCs w:val="22"/>
          <w:shd w:val="clear" w:color="auto" w:fill="FFFFFF"/>
        </w:rPr>
        <w:t>s</w:t>
      </w:r>
      <w:r w:rsidR="004F5FF5" w:rsidRPr="008C65EF">
        <w:rPr>
          <w:szCs w:val="22"/>
          <w:shd w:val="clear" w:color="auto" w:fill="FFFFFF"/>
        </w:rPr>
        <w:t xml:space="preserve"> (GS-1</w:t>
      </w:r>
      <w:r w:rsidR="003E2102" w:rsidRPr="008C65EF">
        <w:rPr>
          <w:szCs w:val="22"/>
          <w:shd w:val="clear" w:color="auto" w:fill="FFFFFF"/>
        </w:rPr>
        <w:t>4</w:t>
      </w:r>
      <w:r w:rsidR="004F5FF5" w:rsidRPr="008C65EF">
        <w:rPr>
          <w:szCs w:val="22"/>
          <w:shd w:val="clear" w:color="auto" w:fill="FFFFFF"/>
        </w:rPr>
        <w:t xml:space="preserve"> step </w:t>
      </w:r>
      <w:r w:rsidR="00D122CC" w:rsidRPr="008C65EF">
        <w:rPr>
          <w:szCs w:val="22"/>
          <w:shd w:val="clear" w:color="auto" w:fill="FFFFFF"/>
        </w:rPr>
        <w:t>5</w:t>
      </w:r>
      <w:r w:rsidR="001372B2" w:rsidRPr="008C65EF">
        <w:rPr>
          <w:szCs w:val="22"/>
          <w:shd w:val="clear" w:color="auto" w:fill="FFFFFF"/>
        </w:rPr>
        <w:t xml:space="preserve">), </w:t>
      </w:r>
      <w:r w:rsidR="004F5FF5" w:rsidRPr="008C65EF">
        <w:rPr>
          <w:szCs w:val="22"/>
          <w:shd w:val="clear" w:color="auto" w:fill="FFFFFF"/>
        </w:rPr>
        <w:t xml:space="preserve">an IT Developer (GS-15 step </w:t>
      </w:r>
      <w:r w:rsidR="00D122CC" w:rsidRPr="008C65EF">
        <w:rPr>
          <w:szCs w:val="22"/>
          <w:shd w:val="clear" w:color="auto" w:fill="FFFFFF"/>
        </w:rPr>
        <w:t>5</w:t>
      </w:r>
      <w:r w:rsidR="004F5FF5" w:rsidRPr="008C65EF">
        <w:rPr>
          <w:szCs w:val="22"/>
          <w:shd w:val="clear" w:color="auto" w:fill="FFFFFF"/>
        </w:rPr>
        <w:t>)</w:t>
      </w:r>
      <w:r w:rsidR="001372B2" w:rsidRPr="008C65EF">
        <w:rPr>
          <w:szCs w:val="22"/>
          <w:shd w:val="clear" w:color="auto" w:fill="FFFFFF"/>
        </w:rPr>
        <w:t>, each spending approximately ½ (</w:t>
      </w:r>
      <w:r w:rsidR="006B7C2E" w:rsidRPr="008C65EF">
        <w:rPr>
          <w:szCs w:val="22"/>
          <w:shd w:val="clear" w:color="auto" w:fill="FFFFFF"/>
        </w:rPr>
        <w:t xml:space="preserve">or </w:t>
      </w:r>
      <w:r w:rsidR="001372B2" w:rsidRPr="008C65EF">
        <w:rPr>
          <w:szCs w:val="22"/>
          <w:shd w:val="clear" w:color="auto" w:fill="FFFFFF"/>
        </w:rPr>
        <w:t>1040 hours) of their work time each year on the information collected, and two attorneys (GS-13 step 5) spending approximately ¼ (</w:t>
      </w:r>
      <w:r w:rsidR="006B7C2E" w:rsidRPr="008C65EF">
        <w:rPr>
          <w:szCs w:val="22"/>
          <w:shd w:val="clear" w:color="auto" w:fill="FFFFFF"/>
        </w:rPr>
        <w:t xml:space="preserve">or </w:t>
      </w:r>
      <w:r w:rsidR="001372B2" w:rsidRPr="008C65EF">
        <w:rPr>
          <w:szCs w:val="22"/>
          <w:shd w:val="clear" w:color="auto" w:fill="FFFFFF"/>
        </w:rPr>
        <w:t>520 hours) of their work time each year on the information collection</w:t>
      </w:r>
      <w:r w:rsidR="004F5FF5" w:rsidRPr="008C65EF">
        <w:rPr>
          <w:szCs w:val="22"/>
          <w:shd w:val="clear" w:color="auto" w:fill="FFFFFF"/>
        </w:rPr>
        <w:t>:</w:t>
      </w:r>
    </w:p>
    <w:p w14:paraId="60D09410" w14:textId="144316BE" w:rsidR="004F5FF5" w:rsidRPr="008C65EF" w:rsidRDefault="004F5FF5" w:rsidP="001372B2">
      <w:pPr>
        <w:rPr>
          <w:szCs w:val="22"/>
          <w:shd w:val="clear" w:color="auto" w:fill="FFFFFF"/>
        </w:rPr>
      </w:pPr>
    </w:p>
    <w:p w14:paraId="67B2F0D0" w14:textId="7ADF1846" w:rsidR="004F5FF5" w:rsidRPr="00C32B14" w:rsidRDefault="004F5FF5" w:rsidP="004F5FF5">
      <w:pPr>
        <w:rPr>
          <w:szCs w:val="22"/>
          <w:shd w:val="clear" w:color="auto" w:fill="FFFFFF"/>
        </w:rPr>
      </w:pPr>
    </w:p>
    <w:tbl>
      <w:tblPr>
        <w:tblStyle w:val="TableGrid"/>
        <w:tblW w:w="0" w:type="auto"/>
        <w:tblLook w:val="04A0" w:firstRow="1" w:lastRow="0" w:firstColumn="1" w:lastColumn="0" w:noHBand="0" w:noVBand="1"/>
      </w:tblPr>
      <w:tblGrid>
        <w:gridCol w:w="1435"/>
        <w:gridCol w:w="1080"/>
        <w:gridCol w:w="1799"/>
        <w:gridCol w:w="2071"/>
        <w:gridCol w:w="540"/>
        <w:gridCol w:w="1705"/>
      </w:tblGrid>
      <w:tr w:rsidR="00D122CC" w:rsidRPr="006E0A9D" w14:paraId="5D81E49E" w14:textId="77777777" w:rsidTr="00983A54">
        <w:tc>
          <w:tcPr>
            <w:tcW w:w="1435" w:type="dxa"/>
          </w:tcPr>
          <w:p w14:paraId="31BF63DF" w14:textId="0F211B40" w:rsidR="00D122CC" w:rsidRPr="006E0A9D" w:rsidRDefault="00D122CC" w:rsidP="004F5FF5">
            <w:pPr>
              <w:rPr>
                <w:szCs w:val="22"/>
                <w:shd w:val="clear" w:color="auto" w:fill="FFFFFF"/>
              </w:rPr>
            </w:pPr>
            <w:r w:rsidRPr="006E0A9D">
              <w:rPr>
                <w:szCs w:val="22"/>
                <w:shd w:val="clear" w:color="auto" w:fill="FFFFFF"/>
              </w:rPr>
              <w:t>(Three) Engineers</w:t>
            </w:r>
          </w:p>
        </w:tc>
        <w:tc>
          <w:tcPr>
            <w:tcW w:w="1080" w:type="dxa"/>
          </w:tcPr>
          <w:p w14:paraId="166734CF" w14:textId="39B6735E" w:rsidR="00D122CC" w:rsidRPr="006E0A9D" w:rsidRDefault="00D122CC" w:rsidP="004F5FF5">
            <w:pPr>
              <w:rPr>
                <w:szCs w:val="22"/>
                <w:shd w:val="clear" w:color="auto" w:fill="FFFFFF"/>
              </w:rPr>
            </w:pPr>
            <w:r w:rsidRPr="006E0A9D">
              <w:rPr>
                <w:szCs w:val="22"/>
                <w:shd w:val="clear" w:color="auto" w:fill="FFFFFF"/>
              </w:rPr>
              <w:t>GS-15 step 5</w:t>
            </w:r>
          </w:p>
        </w:tc>
        <w:tc>
          <w:tcPr>
            <w:tcW w:w="1799" w:type="dxa"/>
          </w:tcPr>
          <w:p w14:paraId="1061B807" w14:textId="7DB025B2" w:rsidR="00D122CC" w:rsidRPr="006E0A9D" w:rsidRDefault="00D122CC" w:rsidP="004F5FF5">
            <w:pPr>
              <w:rPr>
                <w:szCs w:val="22"/>
                <w:shd w:val="clear" w:color="auto" w:fill="FFFFFF"/>
              </w:rPr>
            </w:pPr>
            <w:r w:rsidRPr="006E0A9D">
              <w:rPr>
                <w:szCs w:val="22"/>
                <w:shd w:val="clear" w:color="auto" w:fill="FFFFFF"/>
              </w:rPr>
              <w:t>at $</w:t>
            </w:r>
            <w:r w:rsidR="00744503">
              <w:rPr>
                <w:szCs w:val="22"/>
                <w:shd w:val="clear" w:color="auto" w:fill="FFFFFF"/>
              </w:rPr>
              <w:t>74.86</w:t>
            </w:r>
            <w:r w:rsidRPr="006E0A9D">
              <w:rPr>
                <w:szCs w:val="22"/>
                <w:shd w:val="clear" w:color="auto" w:fill="FFFFFF"/>
              </w:rPr>
              <w:t>/hr wage</w:t>
            </w:r>
          </w:p>
        </w:tc>
        <w:tc>
          <w:tcPr>
            <w:tcW w:w="2071" w:type="dxa"/>
          </w:tcPr>
          <w:p w14:paraId="0FDD9B52" w14:textId="40F9B430" w:rsidR="00D122CC" w:rsidRPr="006E0A9D" w:rsidRDefault="00D122CC" w:rsidP="004F5FF5">
            <w:pPr>
              <w:rPr>
                <w:szCs w:val="22"/>
                <w:shd w:val="clear" w:color="auto" w:fill="FFFFFF"/>
              </w:rPr>
            </w:pPr>
            <w:r w:rsidRPr="006E0A9D">
              <w:rPr>
                <w:szCs w:val="22"/>
                <w:shd w:val="clear" w:color="auto" w:fill="FFFFFF"/>
              </w:rPr>
              <w:t>$</w:t>
            </w:r>
            <w:r w:rsidR="00744503">
              <w:rPr>
                <w:szCs w:val="22"/>
                <w:shd w:val="clear" w:color="auto" w:fill="FFFFFF"/>
              </w:rPr>
              <w:t>74.86</w:t>
            </w:r>
            <w:r w:rsidRPr="006E0A9D">
              <w:rPr>
                <w:szCs w:val="22"/>
                <w:shd w:val="clear" w:color="auto" w:fill="FFFFFF"/>
              </w:rPr>
              <w:t xml:space="preserve"> x 1</w:t>
            </w:r>
            <w:r w:rsidR="004C087B">
              <w:rPr>
                <w:szCs w:val="22"/>
                <w:shd w:val="clear" w:color="auto" w:fill="FFFFFF"/>
              </w:rPr>
              <w:t>,</w:t>
            </w:r>
            <w:r w:rsidRPr="006E0A9D">
              <w:rPr>
                <w:szCs w:val="22"/>
                <w:shd w:val="clear" w:color="auto" w:fill="FFFFFF"/>
              </w:rPr>
              <w:t>040 hours</w:t>
            </w:r>
          </w:p>
        </w:tc>
        <w:tc>
          <w:tcPr>
            <w:tcW w:w="540" w:type="dxa"/>
          </w:tcPr>
          <w:p w14:paraId="439C43CC" w14:textId="776D8EC8" w:rsidR="00D122CC" w:rsidRPr="006E0A9D" w:rsidRDefault="00D122CC" w:rsidP="004F5FF5">
            <w:pPr>
              <w:rPr>
                <w:szCs w:val="22"/>
                <w:shd w:val="clear" w:color="auto" w:fill="FFFFFF"/>
              </w:rPr>
            </w:pPr>
            <w:r w:rsidRPr="006E0A9D">
              <w:rPr>
                <w:szCs w:val="22"/>
                <w:shd w:val="clear" w:color="auto" w:fill="FFFFFF"/>
              </w:rPr>
              <w:t>x 3</w:t>
            </w:r>
          </w:p>
        </w:tc>
        <w:tc>
          <w:tcPr>
            <w:tcW w:w="1705" w:type="dxa"/>
          </w:tcPr>
          <w:p w14:paraId="5CE1CCFD" w14:textId="582BC8F7" w:rsidR="00D122CC" w:rsidRPr="006E0A9D" w:rsidRDefault="00D122CC" w:rsidP="004F5FF5">
            <w:pPr>
              <w:rPr>
                <w:szCs w:val="22"/>
                <w:shd w:val="clear" w:color="auto" w:fill="FFFFFF"/>
              </w:rPr>
            </w:pPr>
            <w:r w:rsidRPr="006E0A9D">
              <w:rPr>
                <w:szCs w:val="22"/>
                <w:shd w:val="clear" w:color="auto" w:fill="FFFFFF"/>
              </w:rPr>
              <w:t>= $</w:t>
            </w:r>
            <w:r w:rsidR="00744503">
              <w:rPr>
                <w:szCs w:val="22"/>
                <w:shd w:val="clear" w:color="auto" w:fill="FFFFFF"/>
              </w:rPr>
              <w:t>233,563.20</w:t>
            </w:r>
          </w:p>
        </w:tc>
      </w:tr>
      <w:tr w:rsidR="00D122CC" w:rsidRPr="006E0A9D" w14:paraId="489EB028" w14:textId="77777777" w:rsidTr="00983A54">
        <w:tc>
          <w:tcPr>
            <w:tcW w:w="1435" w:type="dxa"/>
          </w:tcPr>
          <w:p w14:paraId="5B2C7204" w14:textId="3C3F90B7" w:rsidR="00D122CC" w:rsidRPr="006E0A9D" w:rsidRDefault="00D122CC" w:rsidP="004F5FF5">
            <w:pPr>
              <w:rPr>
                <w:szCs w:val="22"/>
                <w:shd w:val="clear" w:color="auto" w:fill="FFFFFF"/>
              </w:rPr>
            </w:pPr>
            <w:r w:rsidRPr="006E0A9D">
              <w:rPr>
                <w:szCs w:val="22"/>
                <w:shd w:val="clear" w:color="auto" w:fill="FFFFFF"/>
              </w:rPr>
              <w:t>(Two) Engineers</w:t>
            </w:r>
          </w:p>
        </w:tc>
        <w:tc>
          <w:tcPr>
            <w:tcW w:w="1080" w:type="dxa"/>
          </w:tcPr>
          <w:p w14:paraId="531EDD84" w14:textId="46D4D4E1" w:rsidR="00D122CC" w:rsidRPr="006E0A9D" w:rsidRDefault="001372B2" w:rsidP="004F5FF5">
            <w:pPr>
              <w:rPr>
                <w:szCs w:val="22"/>
                <w:shd w:val="clear" w:color="auto" w:fill="FFFFFF"/>
              </w:rPr>
            </w:pPr>
            <w:r w:rsidRPr="006E0A9D">
              <w:rPr>
                <w:szCs w:val="22"/>
                <w:shd w:val="clear" w:color="auto" w:fill="FFFFFF"/>
              </w:rPr>
              <w:t>GS-14</w:t>
            </w:r>
            <w:r w:rsidR="00D122CC" w:rsidRPr="006E0A9D">
              <w:rPr>
                <w:szCs w:val="22"/>
                <w:shd w:val="clear" w:color="auto" w:fill="FFFFFF"/>
              </w:rPr>
              <w:t xml:space="preserve"> step 5</w:t>
            </w:r>
          </w:p>
        </w:tc>
        <w:tc>
          <w:tcPr>
            <w:tcW w:w="1799" w:type="dxa"/>
          </w:tcPr>
          <w:p w14:paraId="6224F787" w14:textId="33083C12" w:rsidR="00D122CC" w:rsidRPr="006E0A9D" w:rsidRDefault="00D122CC" w:rsidP="004F5FF5">
            <w:pPr>
              <w:rPr>
                <w:szCs w:val="22"/>
                <w:shd w:val="clear" w:color="auto" w:fill="FFFFFF"/>
              </w:rPr>
            </w:pPr>
            <w:r w:rsidRPr="006E0A9D">
              <w:rPr>
                <w:szCs w:val="22"/>
                <w:shd w:val="clear" w:color="auto" w:fill="FFFFFF"/>
              </w:rPr>
              <w:t>at $</w:t>
            </w:r>
            <w:r w:rsidR="00744503">
              <w:rPr>
                <w:szCs w:val="22"/>
                <w:shd w:val="clear" w:color="auto" w:fill="FFFFFF"/>
              </w:rPr>
              <w:t>63.64</w:t>
            </w:r>
            <w:r w:rsidRPr="006E0A9D">
              <w:rPr>
                <w:szCs w:val="22"/>
                <w:shd w:val="clear" w:color="auto" w:fill="FFFFFF"/>
              </w:rPr>
              <w:t>/hr wage</w:t>
            </w:r>
          </w:p>
        </w:tc>
        <w:tc>
          <w:tcPr>
            <w:tcW w:w="2071" w:type="dxa"/>
          </w:tcPr>
          <w:p w14:paraId="3F38E96F" w14:textId="46826EE7" w:rsidR="00D122CC" w:rsidRPr="006E0A9D" w:rsidRDefault="00D122CC" w:rsidP="003E2102">
            <w:pPr>
              <w:rPr>
                <w:szCs w:val="22"/>
                <w:shd w:val="clear" w:color="auto" w:fill="FFFFFF"/>
              </w:rPr>
            </w:pPr>
            <w:r w:rsidRPr="006E0A9D">
              <w:rPr>
                <w:szCs w:val="22"/>
                <w:shd w:val="clear" w:color="auto" w:fill="FFFFFF"/>
              </w:rPr>
              <w:t>$</w:t>
            </w:r>
            <w:r w:rsidR="00744503">
              <w:rPr>
                <w:szCs w:val="22"/>
                <w:shd w:val="clear" w:color="auto" w:fill="FFFFFF"/>
              </w:rPr>
              <w:t>63.64</w:t>
            </w:r>
            <w:r w:rsidR="003E2102" w:rsidRPr="006E0A9D">
              <w:rPr>
                <w:szCs w:val="22"/>
                <w:shd w:val="clear" w:color="auto" w:fill="FFFFFF"/>
              </w:rPr>
              <w:t xml:space="preserve"> </w:t>
            </w:r>
            <w:r w:rsidRPr="006E0A9D">
              <w:rPr>
                <w:szCs w:val="22"/>
                <w:shd w:val="clear" w:color="auto" w:fill="FFFFFF"/>
              </w:rPr>
              <w:t>x 1</w:t>
            </w:r>
            <w:r w:rsidR="004C087B">
              <w:rPr>
                <w:szCs w:val="22"/>
                <w:shd w:val="clear" w:color="auto" w:fill="FFFFFF"/>
              </w:rPr>
              <w:t>,</w:t>
            </w:r>
            <w:r w:rsidRPr="006E0A9D">
              <w:rPr>
                <w:szCs w:val="22"/>
                <w:shd w:val="clear" w:color="auto" w:fill="FFFFFF"/>
              </w:rPr>
              <w:t>040 hours</w:t>
            </w:r>
          </w:p>
        </w:tc>
        <w:tc>
          <w:tcPr>
            <w:tcW w:w="540" w:type="dxa"/>
          </w:tcPr>
          <w:p w14:paraId="056016AD" w14:textId="73ED1A3C" w:rsidR="00D122CC" w:rsidRPr="006E0A9D" w:rsidRDefault="00D122CC" w:rsidP="004F5FF5">
            <w:pPr>
              <w:rPr>
                <w:szCs w:val="22"/>
                <w:shd w:val="clear" w:color="auto" w:fill="FFFFFF"/>
              </w:rPr>
            </w:pPr>
            <w:r w:rsidRPr="006E0A9D">
              <w:rPr>
                <w:szCs w:val="22"/>
                <w:shd w:val="clear" w:color="auto" w:fill="FFFFFF"/>
              </w:rPr>
              <w:t>x 2</w:t>
            </w:r>
          </w:p>
        </w:tc>
        <w:tc>
          <w:tcPr>
            <w:tcW w:w="1705" w:type="dxa"/>
          </w:tcPr>
          <w:p w14:paraId="5252AC09" w14:textId="22C997DB" w:rsidR="00D122CC" w:rsidRPr="006E0A9D" w:rsidRDefault="00D122CC" w:rsidP="004F5FF5">
            <w:pPr>
              <w:rPr>
                <w:szCs w:val="22"/>
                <w:shd w:val="clear" w:color="auto" w:fill="FFFFFF"/>
              </w:rPr>
            </w:pPr>
            <w:r w:rsidRPr="006E0A9D">
              <w:rPr>
                <w:szCs w:val="22"/>
                <w:shd w:val="clear" w:color="auto" w:fill="FFFFFF"/>
              </w:rPr>
              <w:t>= $</w:t>
            </w:r>
            <w:r w:rsidR="00744503">
              <w:rPr>
                <w:szCs w:val="22"/>
                <w:shd w:val="clear" w:color="auto" w:fill="FFFFFF"/>
              </w:rPr>
              <w:t>132,</w:t>
            </w:r>
            <w:r w:rsidR="009C09A1">
              <w:rPr>
                <w:szCs w:val="22"/>
                <w:shd w:val="clear" w:color="auto" w:fill="FFFFFF"/>
              </w:rPr>
              <w:t>371.20</w:t>
            </w:r>
          </w:p>
        </w:tc>
      </w:tr>
      <w:tr w:rsidR="00D122CC" w:rsidRPr="006E0A9D" w14:paraId="6BD9A3A0" w14:textId="77777777" w:rsidTr="00983A54">
        <w:tc>
          <w:tcPr>
            <w:tcW w:w="1435" w:type="dxa"/>
          </w:tcPr>
          <w:p w14:paraId="0AD8D509" w14:textId="5B0DBB9A" w:rsidR="00D122CC" w:rsidRPr="006E0A9D" w:rsidRDefault="00D122CC" w:rsidP="004F5FF5">
            <w:pPr>
              <w:rPr>
                <w:szCs w:val="22"/>
                <w:shd w:val="clear" w:color="auto" w:fill="FFFFFF"/>
              </w:rPr>
            </w:pPr>
            <w:r w:rsidRPr="006E0A9D">
              <w:rPr>
                <w:szCs w:val="22"/>
                <w:shd w:val="clear" w:color="auto" w:fill="FFFFFF"/>
              </w:rPr>
              <w:t>(One) IT Developer</w:t>
            </w:r>
          </w:p>
        </w:tc>
        <w:tc>
          <w:tcPr>
            <w:tcW w:w="1080" w:type="dxa"/>
          </w:tcPr>
          <w:p w14:paraId="3B718054" w14:textId="4523C7FE" w:rsidR="00D122CC" w:rsidRPr="006E0A9D" w:rsidRDefault="00D122CC" w:rsidP="004F5FF5">
            <w:pPr>
              <w:rPr>
                <w:szCs w:val="22"/>
                <w:shd w:val="clear" w:color="auto" w:fill="FFFFFF"/>
              </w:rPr>
            </w:pPr>
            <w:r w:rsidRPr="006E0A9D">
              <w:rPr>
                <w:szCs w:val="22"/>
                <w:shd w:val="clear" w:color="auto" w:fill="FFFFFF"/>
              </w:rPr>
              <w:t>GS-15 step 5</w:t>
            </w:r>
          </w:p>
        </w:tc>
        <w:tc>
          <w:tcPr>
            <w:tcW w:w="1799" w:type="dxa"/>
          </w:tcPr>
          <w:p w14:paraId="0C54E9FD" w14:textId="0A21CB64" w:rsidR="00D122CC" w:rsidRPr="006E0A9D" w:rsidRDefault="00D122CC" w:rsidP="004F5FF5">
            <w:pPr>
              <w:rPr>
                <w:szCs w:val="22"/>
                <w:shd w:val="clear" w:color="auto" w:fill="FFFFFF"/>
              </w:rPr>
            </w:pPr>
            <w:r w:rsidRPr="006E0A9D">
              <w:rPr>
                <w:szCs w:val="22"/>
                <w:shd w:val="clear" w:color="auto" w:fill="FFFFFF"/>
              </w:rPr>
              <w:t>at $</w:t>
            </w:r>
            <w:r w:rsidR="00744503">
              <w:rPr>
                <w:szCs w:val="22"/>
                <w:shd w:val="clear" w:color="auto" w:fill="FFFFFF"/>
              </w:rPr>
              <w:t>74.86</w:t>
            </w:r>
            <w:r w:rsidRPr="006E0A9D">
              <w:rPr>
                <w:szCs w:val="22"/>
                <w:shd w:val="clear" w:color="auto" w:fill="FFFFFF"/>
              </w:rPr>
              <w:t>/hr wage</w:t>
            </w:r>
          </w:p>
        </w:tc>
        <w:tc>
          <w:tcPr>
            <w:tcW w:w="2071" w:type="dxa"/>
          </w:tcPr>
          <w:p w14:paraId="30A14FB9" w14:textId="14E5691D" w:rsidR="00D122CC" w:rsidRPr="006E0A9D" w:rsidRDefault="00D122CC" w:rsidP="004F5FF5">
            <w:pPr>
              <w:rPr>
                <w:szCs w:val="22"/>
                <w:shd w:val="clear" w:color="auto" w:fill="FFFFFF"/>
              </w:rPr>
            </w:pPr>
            <w:r w:rsidRPr="006E0A9D">
              <w:rPr>
                <w:szCs w:val="22"/>
                <w:shd w:val="clear" w:color="auto" w:fill="FFFFFF"/>
              </w:rPr>
              <w:t>$</w:t>
            </w:r>
            <w:r w:rsidR="00744503">
              <w:rPr>
                <w:szCs w:val="22"/>
                <w:shd w:val="clear" w:color="auto" w:fill="FFFFFF"/>
              </w:rPr>
              <w:t>74.86</w:t>
            </w:r>
            <w:r w:rsidRPr="006E0A9D">
              <w:rPr>
                <w:szCs w:val="22"/>
                <w:shd w:val="clear" w:color="auto" w:fill="FFFFFF"/>
              </w:rPr>
              <w:t xml:space="preserve"> x 1</w:t>
            </w:r>
            <w:r w:rsidR="004C087B">
              <w:rPr>
                <w:szCs w:val="22"/>
                <w:shd w:val="clear" w:color="auto" w:fill="FFFFFF"/>
              </w:rPr>
              <w:t>,</w:t>
            </w:r>
            <w:r w:rsidRPr="006E0A9D">
              <w:rPr>
                <w:szCs w:val="22"/>
                <w:shd w:val="clear" w:color="auto" w:fill="FFFFFF"/>
              </w:rPr>
              <w:t>040 hours</w:t>
            </w:r>
          </w:p>
        </w:tc>
        <w:tc>
          <w:tcPr>
            <w:tcW w:w="540" w:type="dxa"/>
          </w:tcPr>
          <w:p w14:paraId="377C4A9E" w14:textId="045A8F1E" w:rsidR="00D122CC" w:rsidRPr="006E0A9D" w:rsidRDefault="00D122CC" w:rsidP="004F5FF5">
            <w:pPr>
              <w:rPr>
                <w:szCs w:val="22"/>
                <w:shd w:val="clear" w:color="auto" w:fill="FFFFFF"/>
              </w:rPr>
            </w:pPr>
            <w:r w:rsidRPr="006E0A9D">
              <w:rPr>
                <w:szCs w:val="22"/>
                <w:shd w:val="clear" w:color="auto" w:fill="FFFFFF"/>
              </w:rPr>
              <w:t>x 1</w:t>
            </w:r>
          </w:p>
        </w:tc>
        <w:tc>
          <w:tcPr>
            <w:tcW w:w="1705" w:type="dxa"/>
          </w:tcPr>
          <w:p w14:paraId="36476425" w14:textId="2AD36428" w:rsidR="00D122CC" w:rsidRPr="006E0A9D" w:rsidRDefault="00D122CC" w:rsidP="004F5FF5">
            <w:pPr>
              <w:rPr>
                <w:szCs w:val="22"/>
                <w:shd w:val="clear" w:color="auto" w:fill="FFFFFF"/>
              </w:rPr>
            </w:pPr>
            <w:r w:rsidRPr="006E0A9D">
              <w:rPr>
                <w:szCs w:val="22"/>
                <w:shd w:val="clear" w:color="auto" w:fill="FFFFFF"/>
              </w:rPr>
              <w:t>= $</w:t>
            </w:r>
            <w:r w:rsidR="009C09A1">
              <w:rPr>
                <w:szCs w:val="22"/>
                <w:shd w:val="clear" w:color="auto" w:fill="FFFFFF"/>
              </w:rPr>
              <w:t>77,854.40</w:t>
            </w:r>
          </w:p>
        </w:tc>
      </w:tr>
      <w:tr w:rsidR="001372B2" w:rsidRPr="006E0A9D" w14:paraId="0D9C428D" w14:textId="77777777" w:rsidTr="00B40C1A">
        <w:tc>
          <w:tcPr>
            <w:tcW w:w="1435" w:type="dxa"/>
          </w:tcPr>
          <w:p w14:paraId="2ECD3A16" w14:textId="36A4BE61" w:rsidR="001372B2" w:rsidRPr="006E0A9D" w:rsidRDefault="001372B2" w:rsidP="001372B2">
            <w:pPr>
              <w:rPr>
                <w:szCs w:val="22"/>
                <w:shd w:val="clear" w:color="auto" w:fill="FFFFFF"/>
              </w:rPr>
            </w:pPr>
            <w:r w:rsidRPr="006E0A9D">
              <w:rPr>
                <w:szCs w:val="22"/>
                <w:shd w:val="clear" w:color="auto" w:fill="FFFFFF"/>
              </w:rPr>
              <w:t>(Two) Attorneys</w:t>
            </w:r>
          </w:p>
        </w:tc>
        <w:tc>
          <w:tcPr>
            <w:tcW w:w="1080" w:type="dxa"/>
          </w:tcPr>
          <w:p w14:paraId="123A3AC2" w14:textId="4F153638" w:rsidR="001372B2" w:rsidRPr="006E0A9D" w:rsidRDefault="001372B2" w:rsidP="00B40C1A">
            <w:pPr>
              <w:rPr>
                <w:szCs w:val="22"/>
                <w:shd w:val="clear" w:color="auto" w:fill="FFFFFF"/>
              </w:rPr>
            </w:pPr>
            <w:r w:rsidRPr="006E0A9D">
              <w:rPr>
                <w:szCs w:val="22"/>
                <w:shd w:val="clear" w:color="auto" w:fill="FFFFFF"/>
              </w:rPr>
              <w:t>GS-13 step 5</w:t>
            </w:r>
          </w:p>
        </w:tc>
        <w:tc>
          <w:tcPr>
            <w:tcW w:w="1799" w:type="dxa"/>
          </w:tcPr>
          <w:p w14:paraId="5EECD301" w14:textId="34955663" w:rsidR="001372B2" w:rsidRPr="006E0A9D" w:rsidRDefault="001372B2" w:rsidP="00B40C1A">
            <w:pPr>
              <w:rPr>
                <w:szCs w:val="22"/>
                <w:shd w:val="clear" w:color="auto" w:fill="FFFFFF"/>
              </w:rPr>
            </w:pPr>
            <w:r w:rsidRPr="006E0A9D">
              <w:rPr>
                <w:szCs w:val="22"/>
                <w:shd w:val="clear" w:color="auto" w:fill="FFFFFF"/>
              </w:rPr>
              <w:t>at $5</w:t>
            </w:r>
            <w:r w:rsidR="00744503">
              <w:rPr>
                <w:szCs w:val="22"/>
                <w:shd w:val="clear" w:color="auto" w:fill="FFFFFF"/>
              </w:rPr>
              <w:t>3.85</w:t>
            </w:r>
            <w:r w:rsidRPr="006E0A9D">
              <w:rPr>
                <w:szCs w:val="22"/>
                <w:shd w:val="clear" w:color="auto" w:fill="FFFFFF"/>
              </w:rPr>
              <w:t>/hr wage</w:t>
            </w:r>
          </w:p>
        </w:tc>
        <w:tc>
          <w:tcPr>
            <w:tcW w:w="2071" w:type="dxa"/>
          </w:tcPr>
          <w:p w14:paraId="3E67C5D9" w14:textId="231D5DD2" w:rsidR="001372B2" w:rsidRPr="006E0A9D" w:rsidRDefault="001372B2" w:rsidP="001372B2">
            <w:pPr>
              <w:rPr>
                <w:szCs w:val="22"/>
                <w:shd w:val="clear" w:color="auto" w:fill="FFFFFF"/>
              </w:rPr>
            </w:pPr>
            <w:r w:rsidRPr="006E0A9D">
              <w:rPr>
                <w:szCs w:val="22"/>
                <w:shd w:val="clear" w:color="auto" w:fill="FFFFFF"/>
              </w:rPr>
              <w:t>$</w:t>
            </w:r>
            <w:r w:rsidR="00744503">
              <w:rPr>
                <w:szCs w:val="22"/>
                <w:shd w:val="clear" w:color="auto" w:fill="FFFFFF"/>
              </w:rPr>
              <w:t>53.85</w:t>
            </w:r>
            <w:r w:rsidRPr="006E0A9D">
              <w:rPr>
                <w:szCs w:val="22"/>
                <w:shd w:val="clear" w:color="auto" w:fill="FFFFFF"/>
              </w:rPr>
              <w:t xml:space="preserve"> x 520 hours</w:t>
            </w:r>
          </w:p>
        </w:tc>
        <w:tc>
          <w:tcPr>
            <w:tcW w:w="540" w:type="dxa"/>
          </w:tcPr>
          <w:p w14:paraId="2E1DF2AB" w14:textId="35B3BF9E" w:rsidR="001372B2" w:rsidRPr="006E0A9D" w:rsidRDefault="001372B2" w:rsidP="00B40C1A">
            <w:pPr>
              <w:rPr>
                <w:szCs w:val="22"/>
                <w:shd w:val="clear" w:color="auto" w:fill="FFFFFF"/>
              </w:rPr>
            </w:pPr>
            <w:r w:rsidRPr="006E0A9D">
              <w:rPr>
                <w:szCs w:val="22"/>
                <w:shd w:val="clear" w:color="auto" w:fill="FFFFFF"/>
              </w:rPr>
              <w:t>x 2</w:t>
            </w:r>
          </w:p>
        </w:tc>
        <w:tc>
          <w:tcPr>
            <w:tcW w:w="1705" w:type="dxa"/>
          </w:tcPr>
          <w:p w14:paraId="4DF365FC" w14:textId="0AB623D5" w:rsidR="001372B2" w:rsidRPr="006E0A9D" w:rsidRDefault="001372B2" w:rsidP="00B40C1A">
            <w:pPr>
              <w:rPr>
                <w:szCs w:val="22"/>
                <w:shd w:val="clear" w:color="auto" w:fill="FFFFFF"/>
              </w:rPr>
            </w:pPr>
            <w:r w:rsidRPr="006E0A9D">
              <w:rPr>
                <w:szCs w:val="22"/>
                <w:shd w:val="clear" w:color="auto" w:fill="FFFFFF"/>
              </w:rPr>
              <w:t>= $</w:t>
            </w:r>
            <w:r w:rsidR="009C09A1">
              <w:rPr>
                <w:szCs w:val="22"/>
                <w:shd w:val="clear" w:color="auto" w:fill="FFFFFF"/>
              </w:rPr>
              <w:t>56,004</w:t>
            </w:r>
          </w:p>
        </w:tc>
      </w:tr>
      <w:tr w:rsidR="00D122CC" w:rsidRPr="006E0A9D" w14:paraId="1AADA472" w14:textId="77777777" w:rsidTr="00D122CC">
        <w:tc>
          <w:tcPr>
            <w:tcW w:w="6925" w:type="dxa"/>
            <w:gridSpan w:val="5"/>
          </w:tcPr>
          <w:p w14:paraId="18C824E8" w14:textId="2DF92B62" w:rsidR="00D122CC" w:rsidRPr="006E0A9D" w:rsidRDefault="00D122CC" w:rsidP="00D122CC">
            <w:pPr>
              <w:jc w:val="right"/>
              <w:rPr>
                <w:szCs w:val="22"/>
                <w:shd w:val="clear" w:color="auto" w:fill="FFFFFF"/>
              </w:rPr>
            </w:pPr>
            <w:r w:rsidRPr="006E0A9D">
              <w:rPr>
                <w:szCs w:val="22"/>
                <w:shd w:val="clear" w:color="auto" w:fill="FFFFFF"/>
              </w:rPr>
              <w:t>TOTAL</w:t>
            </w:r>
          </w:p>
        </w:tc>
        <w:tc>
          <w:tcPr>
            <w:tcW w:w="1705" w:type="dxa"/>
          </w:tcPr>
          <w:p w14:paraId="513C8B02" w14:textId="088958EE" w:rsidR="00D122CC" w:rsidRPr="006E0A9D" w:rsidRDefault="00D122CC" w:rsidP="004F5FF5">
            <w:pPr>
              <w:rPr>
                <w:szCs w:val="22"/>
                <w:shd w:val="clear" w:color="auto" w:fill="FFFFFF"/>
              </w:rPr>
            </w:pPr>
            <w:r w:rsidRPr="006E0A9D">
              <w:rPr>
                <w:szCs w:val="22"/>
                <w:shd w:val="clear" w:color="auto" w:fill="FFFFFF"/>
              </w:rPr>
              <w:t>= $</w:t>
            </w:r>
            <w:r w:rsidR="009C09A1">
              <w:rPr>
                <w:szCs w:val="22"/>
                <w:shd w:val="clear" w:color="auto" w:fill="FFFFFF"/>
              </w:rPr>
              <w:t>499,792.80</w:t>
            </w:r>
          </w:p>
        </w:tc>
      </w:tr>
    </w:tbl>
    <w:p w14:paraId="25D3B600" w14:textId="77777777" w:rsidR="00D122CC" w:rsidRPr="008C65EF" w:rsidRDefault="00D122CC" w:rsidP="004F5FF5">
      <w:pPr>
        <w:rPr>
          <w:szCs w:val="22"/>
          <w:shd w:val="clear" w:color="auto" w:fill="FFFFFF"/>
        </w:rPr>
      </w:pPr>
    </w:p>
    <w:p w14:paraId="56CD5A31" w14:textId="77777777" w:rsidR="004F5FF5" w:rsidRPr="008C65EF" w:rsidRDefault="004F5FF5" w:rsidP="004F5FF5">
      <w:pPr>
        <w:rPr>
          <w:szCs w:val="22"/>
          <w:shd w:val="clear" w:color="auto" w:fill="FFFFFF"/>
        </w:rPr>
      </w:pPr>
    </w:p>
    <w:p w14:paraId="1F09E298" w14:textId="63ABB59F" w:rsidR="004F5FF5" w:rsidRPr="008C65EF" w:rsidRDefault="004F5FF5" w:rsidP="004F5FF5">
      <w:pPr>
        <w:rPr>
          <w:szCs w:val="22"/>
          <w:u w:val="single"/>
          <w:shd w:val="clear" w:color="auto" w:fill="FFFFFF"/>
        </w:rPr>
      </w:pPr>
      <w:r w:rsidRPr="008C65EF">
        <w:rPr>
          <w:b/>
          <w:szCs w:val="22"/>
          <w:u w:val="single"/>
          <w:shd w:val="clear" w:color="auto" w:fill="FFFFFF"/>
        </w:rPr>
        <w:t>Total Annual Cost to the Federal Government:  $</w:t>
      </w:r>
      <w:r w:rsidR="001372B2" w:rsidRPr="008C65EF">
        <w:rPr>
          <w:b/>
          <w:szCs w:val="22"/>
          <w:u w:val="single"/>
          <w:shd w:val="clear" w:color="auto" w:fill="FFFFFF"/>
        </w:rPr>
        <w:t>4</w:t>
      </w:r>
      <w:r w:rsidR="009C09A1">
        <w:rPr>
          <w:b/>
          <w:szCs w:val="22"/>
          <w:u w:val="single"/>
          <w:shd w:val="clear" w:color="auto" w:fill="FFFFFF"/>
        </w:rPr>
        <w:t>99,792.80</w:t>
      </w:r>
      <w:r w:rsidR="008E3CB0" w:rsidRPr="008C65EF">
        <w:rPr>
          <w:b/>
          <w:szCs w:val="22"/>
          <w:u w:val="single"/>
          <w:shd w:val="clear" w:color="auto" w:fill="FFFFFF"/>
        </w:rPr>
        <w:t>.</w:t>
      </w:r>
    </w:p>
    <w:p w14:paraId="1EEFBD39" w14:textId="77777777" w:rsidR="004F5FF5" w:rsidRPr="008C65EF" w:rsidRDefault="004F5FF5">
      <w:pPr>
        <w:ind w:firstLine="720"/>
        <w:rPr>
          <w:szCs w:val="22"/>
          <w:shd w:val="clear" w:color="auto" w:fill="FFFFFF"/>
        </w:rPr>
      </w:pPr>
    </w:p>
    <w:p w14:paraId="436CD410" w14:textId="544F1C74" w:rsidR="006615FA" w:rsidRPr="006E0A9D" w:rsidRDefault="006615FA" w:rsidP="00983A54">
      <w:pPr>
        <w:rPr>
          <w:szCs w:val="22"/>
          <w:shd w:val="clear" w:color="auto" w:fill="FFFFFF"/>
        </w:rPr>
      </w:pPr>
    </w:p>
    <w:p w14:paraId="41103291" w14:textId="773945B6" w:rsidR="006615FA" w:rsidRPr="006E0A9D" w:rsidRDefault="006615FA" w:rsidP="0083695D">
      <w:pPr>
        <w:rPr>
          <w:b/>
          <w:szCs w:val="22"/>
          <w:shd w:val="clear" w:color="auto" w:fill="FFFFFF"/>
        </w:rPr>
      </w:pPr>
      <w:r w:rsidRPr="006E0A9D">
        <w:rPr>
          <w:b/>
          <w:szCs w:val="22"/>
          <w:shd w:val="clear" w:color="auto" w:fill="FFFFFF"/>
        </w:rPr>
        <w:t xml:space="preserve">15.  Explain the reasons for any program changes or adjustments </w:t>
      </w:r>
      <w:r w:rsidR="00156961" w:rsidRPr="006E0A9D">
        <w:rPr>
          <w:b/>
          <w:szCs w:val="22"/>
          <w:shd w:val="clear" w:color="auto" w:fill="FFFFFF"/>
        </w:rPr>
        <w:t>reported</w:t>
      </w:r>
      <w:r w:rsidRPr="006E0A9D">
        <w:rPr>
          <w:b/>
          <w:szCs w:val="22"/>
          <w:shd w:val="clear" w:color="auto" w:fill="FFFFFF"/>
        </w:rPr>
        <w:t>.</w:t>
      </w:r>
    </w:p>
    <w:p w14:paraId="288DECEB" w14:textId="67C6B48E" w:rsidR="00156961" w:rsidRPr="006E0A9D" w:rsidRDefault="00156961" w:rsidP="0083695D">
      <w:pPr>
        <w:rPr>
          <w:b/>
          <w:szCs w:val="22"/>
          <w:shd w:val="clear" w:color="auto" w:fill="FFFFFF"/>
        </w:rPr>
      </w:pPr>
    </w:p>
    <w:p w14:paraId="233DC963" w14:textId="019A0FE7" w:rsidR="00156961" w:rsidRPr="006E0A9D" w:rsidRDefault="00156961" w:rsidP="00156961">
      <w:pPr>
        <w:pStyle w:val="Default"/>
        <w:rPr>
          <w:bCs/>
          <w:i/>
          <w:iCs/>
          <w:sz w:val="22"/>
          <w:szCs w:val="22"/>
        </w:rPr>
      </w:pPr>
      <w:r w:rsidRPr="006E0A9D">
        <w:rPr>
          <w:bCs/>
          <w:i/>
          <w:iCs/>
          <w:sz w:val="22"/>
          <w:szCs w:val="22"/>
        </w:rPr>
        <w:t xml:space="preserve">Program changes result from new collection requirements or revisions to existing information collection requirements which are usually associated with rulemakings or revisions to forms or other instruments. </w:t>
      </w:r>
    </w:p>
    <w:p w14:paraId="0E60CFA3" w14:textId="77777777" w:rsidR="00156961" w:rsidRPr="00C32B14" w:rsidRDefault="00156961" w:rsidP="00156961">
      <w:pPr>
        <w:pStyle w:val="Default"/>
        <w:rPr>
          <w:sz w:val="22"/>
          <w:szCs w:val="22"/>
        </w:rPr>
      </w:pPr>
    </w:p>
    <w:p w14:paraId="4D09ACD6" w14:textId="14639BC8" w:rsidR="00156961" w:rsidRPr="006E0A9D" w:rsidRDefault="00156961" w:rsidP="00156961">
      <w:pPr>
        <w:rPr>
          <w:szCs w:val="22"/>
          <w:shd w:val="clear" w:color="auto" w:fill="FFFFFF"/>
        </w:rPr>
      </w:pPr>
      <w:r w:rsidRPr="006E0A9D">
        <w:rPr>
          <w:bCs/>
          <w:i/>
          <w:iCs/>
          <w:szCs w:val="22"/>
        </w:rPr>
        <w:t>Adjustments are re-estimates of the burdens for existing information collection requirements or instruments. Please consider whether previous assumptions concerning burden hours or costs have been borne out by actual experience with the information collection.</w:t>
      </w:r>
    </w:p>
    <w:p w14:paraId="2570CCD4" w14:textId="77777777" w:rsidR="0026661E" w:rsidRPr="008C65EF" w:rsidRDefault="0026661E" w:rsidP="0083695D">
      <w:pPr>
        <w:rPr>
          <w:szCs w:val="22"/>
          <w:shd w:val="clear" w:color="auto" w:fill="FFFFFF"/>
        </w:rPr>
      </w:pPr>
    </w:p>
    <w:p w14:paraId="770697A1" w14:textId="5CC4AC57" w:rsidR="00FF2940" w:rsidRDefault="0043645C" w:rsidP="003E2102">
      <w:pPr>
        <w:ind w:firstLine="720"/>
        <w:rPr>
          <w:szCs w:val="22"/>
          <w:shd w:val="clear" w:color="auto" w:fill="FFFFFF"/>
        </w:rPr>
      </w:pPr>
      <w:r>
        <w:rPr>
          <w:szCs w:val="22"/>
          <w:shd w:val="clear" w:color="auto" w:fill="FFFFFF"/>
        </w:rPr>
        <w:t xml:space="preserve">Based on </w:t>
      </w:r>
      <w:r w:rsidR="00D34A8E">
        <w:rPr>
          <w:szCs w:val="22"/>
          <w:shd w:val="clear" w:color="auto" w:fill="FFFFFF"/>
        </w:rPr>
        <w:t xml:space="preserve">the Commission’s </w:t>
      </w:r>
      <w:r>
        <w:rPr>
          <w:szCs w:val="22"/>
          <w:shd w:val="clear" w:color="auto" w:fill="FFFFFF"/>
        </w:rPr>
        <w:t xml:space="preserve">analysis of </w:t>
      </w:r>
      <w:r w:rsidR="00D34A8E">
        <w:rPr>
          <w:szCs w:val="22"/>
          <w:shd w:val="clear" w:color="auto" w:fill="FFFFFF"/>
        </w:rPr>
        <w:t>current and historical trends,</w:t>
      </w:r>
      <w:r w:rsidR="00D34A8E" w:rsidRPr="00D34A8E">
        <w:rPr>
          <w:szCs w:val="22"/>
          <w:shd w:val="clear" w:color="auto" w:fill="FFFFFF"/>
        </w:rPr>
        <w:t xml:space="preserve"> </w:t>
      </w:r>
      <w:r w:rsidR="00D34A8E">
        <w:rPr>
          <w:szCs w:val="22"/>
          <w:shd w:val="clear" w:color="auto" w:fill="FFFFFF"/>
        </w:rPr>
        <w:t>there are adjustments/increases to this information collection. The Commission estimates that the total number of respondents will increase from 79</w:t>
      </w:r>
      <w:r w:rsidR="004C087B">
        <w:rPr>
          <w:szCs w:val="22"/>
          <w:shd w:val="clear" w:color="auto" w:fill="FFFFFF"/>
        </w:rPr>
        <w:t>8</w:t>
      </w:r>
      <w:r w:rsidR="00D34A8E">
        <w:rPr>
          <w:szCs w:val="22"/>
          <w:shd w:val="clear" w:color="auto" w:fill="FFFFFF"/>
        </w:rPr>
        <w:t xml:space="preserve"> to 965</w:t>
      </w:r>
      <w:r w:rsidR="004C087B">
        <w:rPr>
          <w:szCs w:val="22"/>
          <w:shd w:val="clear" w:color="auto" w:fill="FFFFFF"/>
        </w:rPr>
        <w:t xml:space="preserve">, a difference of </w:t>
      </w:r>
      <w:r w:rsidR="00D34A8E">
        <w:rPr>
          <w:szCs w:val="22"/>
          <w:shd w:val="clear" w:color="auto" w:fill="FFFFFF"/>
        </w:rPr>
        <w:t xml:space="preserve"> </w:t>
      </w:r>
      <w:r w:rsidR="004C087B">
        <w:rPr>
          <w:szCs w:val="22"/>
          <w:shd w:val="clear" w:color="auto" w:fill="FFFFFF"/>
        </w:rPr>
        <w:t>+167 respondents,</w:t>
      </w:r>
      <w:r w:rsidR="001C06BE">
        <w:rPr>
          <w:szCs w:val="22"/>
          <w:shd w:val="clear" w:color="auto" w:fill="FFFFFF"/>
        </w:rPr>
        <w:t xml:space="preserve"> the </w:t>
      </w:r>
      <w:r w:rsidR="00695DB5" w:rsidRPr="008C65EF">
        <w:rPr>
          <w:szCs w:val="22"/>
          <w:shd w:val="clear" w:color="auto" w:fill="FFFFFF"/>
        </w:rPr>
        <w:t xml:space="preserve">total </w:t>
      </w:r>
      <w:r w:rsidR="009D21C8" w:rsidRPr="008C65EF">
        <w:rPr>
          <w:szCs w:val="22"/>
          <w:shd w:val="clear" w:color="auto" w:fill="FFFFFF"/>
        </w:rPr>
        <w:t xml:space="preserve">number of responses </w:t>
      </w:r>
      <w:r w:rsidR="00D37028">
        <w:rPr>
          <w:szCs w:val="22"/>
          <w:shd w:val="clear" w:color="auto" w:fill="FFFFFF"/>
        </w:rPr>
        <w:t xml:space="preserve">will </w:t>
      </w:r>
      <w:r w:rsidR="007E300C">
        <w:rPr>
          <w:szCs w:val="22"/>
          <w:shd w:val="clear" w:color="auto" w:fill="FFFFFF"/>
        </w:rPr>
        <w:t>in</w:t>
      </w:r>
      <w:r w:rsidR="00983A54" w:rsidRPr="008C65EF">
        <w:rPr>
          <w:szCs w:val="22"/>
          <w:shd w:val="clear" w:color="auto" w:fill="FFFFFF"/>
        </w:rPr>
        <w:t>crease from 13,012</w:t>
      </w:r>
      <w:r w:rsidR="007E300C">
        <w:rPr>
          <w:szCs w:val="22"/>
          <w:shd w:val="clear" w:color="auto" w:fill="FFFFFF"/>
        </w:rPr>
        <w:t xml:space="preserve"> to </w:t>
      </w:r>
      <w:r w:rsidR="00D37028">
        <w:rPr>
          <w:szCs w:val="22"/>
          <w:shd w:val="clear" w:color="auto" w:fill="FFFFFF"/>
        </w:rPr>
        <w:t>26,795</w:t>
      </w:r>
      <w:r w:rsidR="00983A54" w:rsidRPr="008C65EF">
        <w:rPr>
          <w:szCs w:val="22"/>
          <w:shd w:val="clear" w:color="auto" w:fill="FFFFFF"/>
        </w:rPr>
        <w:t xml:space="preserve">, a difference of </w:t>
      </w:r>
      <w:r w:rsidR="004C087B">
        <w:rPr>
          <w:szCs w:val="22"/>
          <w:shd w:val="clear" w:color="auto" w:fill="FFFFFF"/>
        </w:rPr>
        <w:t>+</w:t>
      </w:r>
      <w:r w:rsidR="00D37028">
        <w:rPr>
          <w:szCs w:val="22"/>
          <w:shd w:val="clear" w:color="auto" w:fill="FFFFFF"/>
        </w:rPr>
        <w:t>13</w:t>
      </w:r>
      <w:r w:rsidR="00ED64C4">
        <w:rPr>
          <w:szCs w:val="22"/>
          <w:shd w:val="clear" w:color="auto" w:fill="FFFFFF"/>
        </w:rPr>
        <w:t>,783</w:t>
      </w:r>
      <w:r w:rsidR="004C087B">
        <w:rPr>
          <w:szCs w:val="22"/>
          <w:shd w:val="clear" w:color="auto" w:fill="FFFFFF"/>
        </w:rPr>
        <w:t xml:space="preserve"> responses</w:t>
      </w:r>
      <w:r w:rsidR="00983A54" w:rsidRPr="008C65EF">
        <w:rPr>
          <w:szCs w:val="22"/>
          <w:shd w:val="clear" w:color="auto" w:fill="FFFFFF"/>
        </w:rPr>
        <w:t>, and the total annual burden</w:t>
      </w:r>
      <w:r w:rsidR="00AE569A" w:rsidRPr="008C65EF">
        <w:rPr>
          <w:szCs w:val="22"/>
          <w:shd w:val="clear" w:color="auto" w:fill="FFFFFF"/>
        </w:rPr>
        <w:t xml:space="preserve"> hours</w:t>
      </w:r>
      <w:r w:rsidR="00983A54" w:rsidRPr="008C65EF">
        <w:rPr>
          <w:szCs w:val="22"/>
          <w:shd w:val="clear" w:color="auto" w:fill="FFFFFF"/>
        </w:rPr>
        <w:t xml:space="preserve"> </w:t>
      </w:r>
      <w:r w:rsidR="007E300C">
        <w:rPr>
          <w:szCs w:val="22"/>
          <w:shd w:val="clear" w:color="auto" w:fill="FFFFFF"/>
        </w:rPr>
        <w:t>in</w:t>
      </w:r>
      <w:r w:rsidR="00983A54" w:rsidRPr="008C65EF">
        <w:rPr>
          <w:szCs w:val="22"/>
          <w:shd w:val="clear" w:color="auto" w:fill="FFFFFF"/>
        </w:rPr>
        <w:t xml:space="preserve">crease from </w:t>
      </w:r>
      <w:r w:rsidR="00AE569A" w:rsidRPr="008C65EF">
        <w:rPr>
          <w:szCs w:val="22"/>
          <w:shd w:val="clear" w:color="auto" w:fill="FFFFFF"/>
        </w:rPr>
        <w:t>25,006</w:t>
      </w:r>
      <w:r w:rsidR="007E300C">
        <w:rPr>
          <w:szCs w:val="22"/>
          <w:shd w:val="clear" w:color="auto" w:fill="FFFFFF"/>
        </w:rPr>
        <w:t xml:space="preserve"> to 53,59</w:t>
      </w:r>
      <w:r w:rsidR="00993C4E">
        <w:rPr>
          <w:szCs w:val="22"/>
          <w:shd w:val="clear" w:color="auto" w:fill="FFFFFF"/>
        </w:rPr>
        <w:t>0</w:t>
      </w:r>
      <w:r w:rsidR="00AE569A" w:rsidRPr="008C65EF">
        <w:rPr>
          <w:szCs w:val="22"/>
          <w:shd w:val="clear" w:color="auto" w:fill="FFFFFF"/>
        </w:rPr>
        <w:t xml:space="preserve">, a difference of </w:t>
      </w:r>
      <w:r w:rsidR="004C087B">
        <w:rPr>
          <w:szCs w:val="22"/>
          <w:shd w:val="clear" w:color="auto" w:fill="FFFFFF"/>
        </w:rPr>
        <w:t>+</w:t>
      </w:r>
      <w:r w:rsidR="007E300C">
        <w:rPr>
          <w:szCs w:val="22"/>
          <w:shd w:val="clear" w:color="auto" w:fill="FFFFFF"/>
        </w:rPr>
        <w:t>28,58</w:t>
      </w:r>
      <w:r w:rsidR="00993C4E">
        <w:rPr>
          <w:szCs w:val="22"/>
          <w:shd w:val="clear" w:color="auto" w:fill="FFFFFF"/>
        </w:rPr>
        <w:t>4</w:t>
      </w:r>
      <w:r w:rsidR="004C087B">
        <w:rPr>
          <w:szCs w:val="22"/>
          <w:shd w:val="clear" w:color="auto" w:fill="FFFFFF"/>
        </w:rPr>
        <w:t xml:space="preserve"> burden hours</w:t>
      </w:r>
      <w:r w:rsidR="003722F7">
        <w:rPr>
          <w:szCs w:val="22"/>
          <w:shd w:val="clear" w:color="auto" w:fill="FFFFFF"/>
        </w:rPr>
        <w:t>,</w:t>
      </w:r>
      <w:r w:rsidR="004C087B">
        <w:rPr>
          <w:szCs w:val="22"/>
          <w:shd w:val="clear" w:color="auto" w:fill="FFFFFF"/>
        </w:rPr>
        <w:t xml:space="preserve"> from the last submission to OMB</w:t>
      </w:r>
      <w:r w:rsidR="00AE569A" w:rsidRPr="006E0A9D">
        <w:rPr>
          <w:szCs w:val="22"/>
          <w:shd w:val="clear" w:color="auto" w:fill="FFFFFF"/>
        </w:rPr>
        <w:t>.</w:t>
      </w:r>
    </w:p>
    <w:p w14:paraId="38BA5BB7" w14:textId="605D5FCF" w:rsidR="0023582D" w:rsidRDefault="0023582D" w:rsidP="003E2102">
      <w:pPr>
        <w:ind w:firstLine="720"/>
        <w:rPr>
          <w:szCs w:val="22"/>
          <w:shd w:val="clear" w:color="auto" w:fill="FFFFFF"/>
        </w:rPr>
      </w:pPr>
    </w:p>
    <w:p w14:paraId="79316A5A" w14:textId="72CE48F4" w:rsidR="0023582D" w:rsidRPr="008C65EF" w:rsidRDefault="0023582D" w:rsidP="003E2102">
      <w:pPr>
        <w:ind w:firstLine="720"/>
        <w:rPr>
          <w:szCs w:val="22"/>
          <w:shd w:val="clear" w:color="auto" w:fill="FFFFFF"/>
        </w:rPr>
      </w:pPr>
      <w:r>
        <w:rPr>
          <w:szCs w:val="22"/>
          <w:shd w:val="clear" w:color="auto" w:fill="FFFFFF"/>
        </w:rPr>
        <w:t xml:space="preserve">There are no program changes. </w:t>
      </w:r>
    </w:p>
    <w:p w14:paraId="52F3EAE8" w14:textId="77777777" w:rsidR="0026661E" w:rsidRPr="008C65EF" w:rsidRDefault="0026661E" w:rsidP="00A317D9">
      <w:pPr>
        <w:ind w:firstLine="720"/>
        <w:rPr>
          <w:b/>
          <w:szCs w:val="22"/>
          <w:shd w:val="clear" w:color="auto" w:fill="FFFFFF"/>
        </w:rPr>
      </w:pPr>
    </w:p>
    <w:p w14:paraId="7287A404" w14:textId="330A6077" w:rsidR="006615FA" w:rsidRPr="006E0A9D" w:rsidRDefault="006615FA" w:rsidP="0083695D">
      <w:pPr>
        <w:rPr>
          <w:b/>
          <w:szCs w:val="22"/>
          <w:shd w:val="clear" w:color="auto" w:fill="FFFFFF"/>
        </w:rPr>
      </w:pPr>
      <w:r w:rsidRPr="006E0A9D">
        <w:rPr>
          <w:b/>
          <w:szCs w:val="22"/>
          <w:shd w:val="clear" w:color="auto" w:fill="FFFFFF"/>
        </w:rPr>
        <w:t>16.  For collections of information whose results will be published, outline plans for tabulation and publication.</w:t>
      </w:r>
    </w:p>
    <w:p w14:paraId="302381EC" w14:textId="5D3BFDE8" w:rsidR="00156961" w:rsidRPr="006E0A9D" w:rsidRDefault="00156961" w:rsidP="0083695D">
      <w:pPr>
        <w:rPr>
          <w:b/>
          <w:szCs w:val="22"/>
          <w:shd w:val="clear" w:color="auto" w:fill="FFFFFF"/>
        </w:rPr>
      </w:pPr>
    </w:p>
    <w:p w14:paraId="61889432" w14:textId="4BE74533" w:rsidR="00156961" w:rsidRPr="006E0A9D" w:rsidRDefault="00156961" w:rsidP="0083695D">
      <w:pPr>
        <w:rPr>
          <w:i/>
          <w:szCs w:val="22"/>
          <w:shd w:val="clear" w:color="auto" w:fill="FFFFFF"/>
        </w:rPr>
      </w:pPr>
      <w:r w:rsidRPr="006E0A9D">
        <w:rPr>
          <w:bCs/>
          <w:i/>
          <w:iCs/>
          <w:szCs w:val="22"/>
        </w:rPr>
        <w:t>Provide a time schedule for the publication of the results associated with the collection. If no results will be published, state that the Commission will not publish any results from the information collected.</w:t>
      </w:r>
    </w:p>
    <w:p w14:paraId="58AC1035" w14:textId="77777777" w:rsidR="0026661E" w:rsidRPr="008C65EF" w:rsidRDefault="0026661E" w:rsidP="0083695D">
      <w:pPr>
        <w:rPr>
          <w:szCs w:val="22"/>
          <w:shd w:val="clear" w:color="auto" w:fill="FFFFFF"/>
        </w:rPr>
      </w:pPr>
    </w:p>
    <w:p w14:paraId="5BF6AAAD" w14:textId="302F4900" w:rsidR="006615FA" w:rsidRPr="008C65EF" w:rsidRDefault="006615FA" w:rsidP="00321A5C">
      <w:pPr>
        <w:ind w:firstLine="720"/>
        <w:rPr>
          <w:szCs w:val="22"/>
          <w:shd w:val="clear" w:color="auto" w:fill="FFFFFF"/>
        </w:rPr>
      </w:pPr>
      <w:r w:rsidRPr="008C65EF">
        <w:rPr>
          <w:szCs w:val="22"/>
          <w:shd w:val="clear" w:color="auto" w:fill="FFFFFF"/>
        </w:rPr>
        <w:t xml:space="preserve">The </w:t>
      </w:r>
      <w:r w:rsidR="00ED64C4">
        <w:rPr>
          <w:szCs w:val="22"/>
          <w:shd w:val="clear" w:color="auto" w:fill="FFFFFF"/>
        </w:rPr>
        <w:t>Commission</w:t>
      </w:r>
      <w:r w:rsidRPr="008C65EF">
        <w:rPr>
          <w:szCs w:val="22"/>
          <w:shd w:val="clear" w:color="auto" w:fill="FFFFFF"/>
        </w:rPr>
        <w:t xml:space="preserve"> does not plan to publish </w:t>
      </w:r>
      <w:r w:rsidR="00DB14CE" w:rsidRPr="008C65EF">
        <w:rPr>
          <w:szCs w:val="22"/>
          <w:shd w:val="clear" w:color="auto" w:fill="FFFFFF"/>
        </w:rPr>
        <w:t>the filings submitted as a result of this information collection</w:t>
      </w:r>
      <w:r w:rsidRPr="008C65EF">
        <w:rPr>
          <w:szCs w:val="22"/>
          <w:shd w:val="clear" w:color="auto" w:fill="FFFFFF"/>
        </w:rPr>
        <w:t>.</w:t>
      </w:r>
      <w:r w:rsidR="00DB14CE" w:rsidRPr="008C65EF">
        <w:rPr>
          <w:szCs w:val="22"/>
          <w:shd w:val="clear" w:color="auto" w:fill="FFFFFF"/>
        </w:rPr>
        <w:t xml:space="preserve">  The Commission may analyze the information contained in the filings, aggregate and anonymize the information, and present to trade associations and companies individually, the agency’s analysis based on the information.</w:t>
      </w:r>
      <w:r w:rsidR="007C21AD" w:rsidRPr="008C65EF">
        <w:rPr>
          <w:szCs w:val="22"/>
          <w:shd w:val="clear" w:color="auto" w:fill="FFFFFF"/>
        </w:rPr>
        <w:t xml:space="preserve">  For example, the Commission may present its findings on a quarterly basis to the Network Reliability Steering Committee of the Alliance for Telecommunications Industry Solutions.</w:t>
      </w:r>
    </w:p>
    <w:p w14:paraId="20FE9E7E" w14:textId="77777777" w:rsidR="00D75AE8" w:rsidRPr="008C65EF" w:rsidRDefault="00D75AE8" w:rsidP="00321A5C">
      <w:pPr>
        <w:ind w:firstLine="720"/>
        <w:rPr>
          <w:szCs w:val="22"/>
          <w:shd w:val="clear" w:color="auto" w:fill="FFFFFF"/>
        </w:rPr>
      </w:pPr>
    </w:p>
    <w:p w14:paraId="631313F9" w14:textId="78720031" w:rsidR="006615FA" w:rsidRPr="008C65EF" w:rsidRDefault="006615FA" w:rsidP="0083695D">
      <w:pPr>
        <w:rPr>
          <w:b/>
          <w:szCs w:val="22"/>
          <w:shd w:val="clear" w:color="auto" w:fill="FFFFFF"/>
        </w:rPr>
      </w:pPr>
      <w:r w:rsidRPr="008C65EF">
        <w:rPr>
          <w:b/>
          <w:szCs w:val="22"/>
          <w:shd w:val="clear" w:color="auto" w:fill="FFFFFF"/>
        </w:rPr>
        <w:t>17.  If seeking approval to not display the expiration date for OMB approval of the information collection, explain the reasons that display would be inappropriate.</w:t>
      </w:r>
    </w:p>
    <w:p w14:paraId="487E5AC6" w14:textId="326D4B40" w:rsidR="00156961" w:rsidRPr="008C65EF" w:rsidRDefault="00156961" w:rsidP="0083695D">
      <w:pPr>
        <w:rPr>
          <w:b/>
          <w:szCs w:val="22"/>
          <w:shd w:val="clear" w:color="auto" w:fill="FFFFFF"/>
        </w:rPr>
      </w:pPr>
    </w:p>
    <w:p w14:paraId="25ECB09E" w14:textId="32C1AF2B" w:rsidR="00156961" w:rsidRPr="006E0A9D" w:rsidRDefault="00156961" w:rsidP="0083695D">
      <w:pPr>
        <w:rPr>
          <w:i/>
          <w:szCs w:val="22"/>
          <w:shd w:val="clear" w:color="auto" w:fill="FFFFFF"/>
        </w:rPr>
      </w:pPr>
      <w:r w:rsidRPr="006E0A9D">
        <w:rPr>
          <w:bCs/>
          <w:i/>
          <w:iCs/>
          <w:szCs w:val="22"/>
        </w:rPr>
        <w:t>Justify why displaying the OMB expiration date of approval is not necessary or inappropriate for the collection or instrument.</w:t>
      </w:r>
    </w:p>
    <w:p w14:paraId="6DF22D3E" w14:textId="77777777" w:rsidR="0026661E" w:rsidRPr="008C65EF" w:rsidRDefault="0026661E" w:rsidP="0083695D">
      <w:pPr>
        <w:rPr>
          <w:szCs w:val="22"/>
          <w:shd w:val="clear" w:color="auto" w:fill="FFFFFF"/>
        </w:rPr>
      </w:pPr>
    </w:p>
    <w:p w14:paraId="7EBE920A" w14:textId="03779D38" w:rsidR="006615FA" w:rsidRPr="008C65EF" w:rsidRDefault="006615FA" w:rsidP="00321A5C">
      <w:pPr>
        <w:ind w:firstLine="720"/>
        <w:rPr>
          <w:szCs w:val="22"/>
          <w:shd w:val="clear" w:color="auto" w:fill="FFFFFF"/>
        </w:rPr>
      </w:pPr>
      <w:r w:rsidRPr="008C65EF">
        <w:rPr>
          <w:szCs w:val="22"/>
          <w:shd w:val="clear" w:color="auto" w:fill="FFFFFF"/>
        </w:rPr>
        <w:t>The Commission does not intend to seek approval not to di</w:t>
      </w:r>
      <w:r w:rsidR="007E4B09" w:rsidRPr="008C65EF">
        <w:rPr>
          <w:szCs w:val="22"/>
          <w:shd w:val="clear" w:color="auto" w:fill="FFFFFF"/>
        </w:rPr>
        <w:t xml:space="preserve">splay the expiration date of </w:t>
      </w:r>
      <w:r w:rsidR="007C5B70" w:rsidRPr="008C65EF">
        <w:rPr>
          <w:szCs w:val="22"/>
          <w:shd w:val="clear" w:color="auto" w:fill="FFFFFF"/>
        </w:rPr>
        <w:t xml:space="preserve">the </w:t>
      </w:r>
      <w:r w:rsidR="003F448A">
        <w:rPr>
          <w:szCs w:val="22"/>
          <w:shd w:val="clear" w:color="auto" w:fill="FFFFFF"/>
        </w:rPr>
        <w:t>extension</w:t>
      </w:r>
      <w:r w:rsidR="007C5B70" w:rsidRPr="008C65EF">
        <w:rPr>
          <w:szCs w:val="22"/>
          <w:shd w:val="clear" w:color="auto" w:fill="FFFFFF"/>
        </w:rPr>
        <w:t xml:space="preserve"> to this</w:t>
      </w:r>
      <w:r w:rsidRPr="008C65EF">
        <w:rPr>
          <w:szCs w:val="22"/>
          <w:shd w:val="clear" w:color="auto" w:fill="FFFFFF"/>
        </w:rPr>
        <w:t xml:space="preserve"> information collection.</w:t>
      </w:r>
    </w:p>
    <w:p w14:paraId="6FF586D6" w14:textId="77777777" w:rsidR="007F7CEC" w:rsidRPr="008C65EF" w:rsidRDefault="007F7CEC" w:rsidP="0083695D">
      <w:pPr>
        <w:rPr>
          <w:b/>
          <w:szCs w:val="22"/>
          <w:shd w:val="clear" w:color="auto" w:fill="FFFFFF"/>
        </w:rPr>
      </w:pPr>
    </w:p>
    <w:p w14:paraId="3942ADAA" w14:textId="0D5D6B9A" w:rsidR="006615FA" w:rsidRPr="008C65EF" w:rsidRDefault="006615FA" w:rsidP="0083695D">
      <w:pPr>
        <w:rPr>
          <w:b/>
          <w:szCs w:val="22"/>
          <w:shd w:val="clear" w:color="auto" w:fill="FFFFFF"/>
        </w:rPr>
      </w:pPr>
      <w:r w:rsidRPr="008C65EF">
        <w:rPr>
          <w:b/>
          <w:szCs w:val="22"/>
          <w:shd w:val="clear" w:color="auto" w:fill="FFFFFF"/>
        </w:rPr>
        <w:t xml:space="preserve">18.  </w:t>
      </w:r>
      <w:r w:rsidR="00156961" w:rsidRPr="00C32B14">
        <w:rPr>
          <w:b/>
          <w:bCs/>
          <w:szCs w:val="22"/>
        </w:rPr>
        <w:t>Explain any exceptions to the statement certifying compliance with 5 C.F.R. § 1320.9 and the related provisions of 5 C.F.R. § 1320.8(b)(3)</w:t>
      </w:r>
      <w:r w:rsidR="003B3473">
        <w:rPr>
          <w:b/>
          <w:bCs/>
          <w:szCs w:val="22"/>
        </w:rPr>
        <w:t>.</w:t>
      </w:r>
    </w:p>
    <w:p w14:paraId="4E0D1837" w14:textId="77777777" w:rsidR="0026661E" w:rsidRPr="008C65EF" w:rsidRDefault="0026661E" w:rsidP="0083695D">
      <w:pPr>
        <w:rPr>
          <w:szCs w:val="22"/>
          <w:shd w:val="clear" w:color="auto" w:fill="FFFFFF"/>
        </w:rPr>
      </w:pPr>
    </w:p>
    <w:p w14:paraId="6766DE6E" w14:textId="77777777" w:rsidR="006615FA" w:rsidRPr="008C65EF" w:rsidRDefault="00EC6CEF" w:rsidP="00321A5C">
      <w:pPr>
        <w:ind w:firstLine="720"/>
        <w:rPr>
          <w:szCs w:val="22"/>
          <w:shd w:val="clear" w:color="auto" w:fill="FFFFFF"/>
        </w:rPr>
      </w:pPr>
      <w:r w:rsidRPr="008C65EF">
        <w:rPr>
          <w:szCs w:val="22"/>
          <w:shd w:val="clear" w:color="auto" w:fill="FFFFFF"/>
        </w:rPr>
        <w:t>T</w:t>
      </w:r>
      <w:r w:rsidR="006615FA" w:rsidRPr="008C65EF">
        <w:rPr>
          <w:szCs w:val="22"/>
          <w:shd w:val="clear" w:color="auto" w:fill="FFFFFF"/>
        </w:rPr>
        <w:t>here are no exceptions to the Certification Statement.</w:t>
      </w:r>
    </w:p>
    <w:p w14:paraId="707003BD" w14:textId="77777777" w:rsidR="007F7CEC" w:rsidRPr="006E0A9D" w:rsidRDefault="007F7CEC" w:rsidP="0083695D">
      <w:pPr>
        <w:rPr>
          <w:b/>
          <w:szCs w:val="22"/>
          <w:shd w:val="clear" w:color="auto" w:fill="FFFFFF"/>
        </w:rPr>
      </w:pPr>
    </w:p>
    <w:p w14:paraId="6C0651EB" w14:textId="77777777" w:rsidR="00156961" w:rsidRPr="00C32B14" w:rsidRDefault="00156961" w:rsidP="00156961">
      <w:pPr>
        <w:pStyle w:val="Default"/>
        <w:rPr>
          <w:sz w:val="22"/>
          <w:szCs w:val="22"/>
        </w:rPr>
      </w:pPr>
      <w:r w:rsidRPr="00C32B14">
        <w:rPr>
          <w:b/>
          <w:bCs/>
          <w:sz w:val="22"/>
          <w:szCs w:val="22"/>
        </w:rPr>
        <w:t xml:space="preserve">B. Collections of Information Employing Statistical Methods: </w:t>
      </w:r>
    </w:p>
    <w:p w14:paraId="4981A2ED" w14:textId="7DC0F701" w:rsidR="00156961" w:rsidRPr="008C65EF" w:rsidRDefault="00156961" w:rsidP="00156961">
      <w:pPr>
        <w:pStyle w:val="Default"/>
        <w:rPr>
          <w:bCs/>
          <w:sz w:val="22"/>
          <w:szCs w:val="22"/>
        </w:rPr>
      </w:pPr>
      <w:r w:rsidRPr="006E0A9D">
        <w:rPr>
          <w:bCs/>
          <w:sz w:val="22"/>
          <w:szCs w:val="22"/>
        </w:rPr>
        <w:t xml:space="preserve">(Please address the five questions below when </w:t>
      </w:r>
      <w:r w:rsidRPr="006E0A9D">
        <w:rPr>
          <w:bCs/>
          <w:i/>
          <w:iCs/>
          <w:sz w:val="22"/>
          <w:szCs w:val="22"/>
        </w:rPr>
        <w:t xml:space="preserve">statistical methods </w:t>
      </w:r>
      <w:r w:rsidRPr="006E0A9D">
        <w:rPr>
          <w:bCs/>
          <w:sz w:val="22"/>
          <w:szCs w:val="22"/>
        </w:rPr>
        <w:t xml:space="preserve">are employed. These questions should be addressed when surveys or other instruments employ statistical methodology.) </w:t>
      </w:r>
    </w:p>
    <w:p w14:paraId="5FDA38DE" w14:textId="77777777" w:rsidR="00A07D7E" w:rsidRPr="008C65EF" w:rsidRDefault="00A07D7E" w:rsidP="00A07D7E">
      <w:pPr>
        <w:rPr>
          <w:szCs w:val="22"/>
          <w:shd w:val="clear" w:color="auto" w:fill="FFFFFF"/>
        </w:rPr>
      </w:pPr>
    </w:p>
    <w:p w14:paraId="51C486AC" w14:textId="77777777" w:rsidR="00A07D7E" w:rsidRPr="008C65EF" w:rsidRDefault="00A07D7E" w:rsidP="00D01C48">
      <w:pPr>
        <w:ind w:firstLine="720"/>
        <w:rPr>
          <w:szCs w:val="22"/>
          <w:shd w:val="clear" w:color="auto" w:fill="FFFFFF"/>
        </w:rPr>
      </w:pPr>
      <w:r w:rsidRPr="008C65EF">
        <w:rPr>
          <w:szCs w:val="22"/>
          <w:shd w:val="clear" w:color="auto" w:fill="FFFFFF"/>
        </w:rPr>
        <w:t>The information collection does not employ any statistical methods.</w:t>
      </w:r>
    </w:p>
    <w:p w14:paraId="6ED0EB27" w14:textId="77777777" w:rsidR="00A07D7E" w:rsidRPr="006E0A9D" w:rsidRDefault="00A07D7E" w:rsidP="00156961">
      <w:pPr>
        <w:pStyle w:val="Default"/>
        <w:rPr>
          <w:bCs/>
          <w:sz w:val="22"/>
          <w:szCs w:val="22"/>
        </w:rPr>
      </w:pPr>
    </w:p>
    <w:p w14:paraId="43CBAD5A" w14:textId="77777777" w:rsidR="00156961" w:rsidRPr="00C32B14" w:rsidRDefault="00156961" w:rsidP="00156961">
      <w:pPr>
        <w:pStyle w:val="Default"/>
        <w:rPr>
          <w:sz w:val="22"/>
          <w:szCs w:val="22"/>
        </w:rPr>
      </w:pPr>
    </w:p>
    <w:p w14:paraId="50C9892D" w14:textId="77777777" w:rsidR="00D42FF3" w:rsidRPr="006F28AD" w:rsidRDefault="00D42FF3" w:rsidP="0083695D">
      <w:pPr>
        <w:rPr>
          <w:szCs w:val="22"/>
        </w:rPr>
      </w:pPr>
    </w:p>
    <w:sectPr w:rsidR="00D42FF3" w:rsidRPr="006F28AD" w:rsidSect="0060473F">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6DBC9" w14:textId="77777777" w:rsidR="0017677A" w:rsidRDefault="0017677A">
      <w:r>
        <w:separator/>
      </w:r>
    </w:p>
  </w:endnote>
  <w:endnote w:type="continuationSeparator" w:id="0">
    <w:p w14:paraId="0972F7D5" w14:textId="77777777" w:rsidR="0017677A" w:rsidRDefault="0017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574C6" w14:textId="77777777" w:rsidR="00B40C1A" w:rsidRDefault="00B40C1A" w:rsidP="006615FA">
    <w:pPr>
      <w:pStyle w:val="Footer"/>
      <w:jc w:val="center"/>
    </w:pPr>
    <w:r>
      <w:rPr>
        <w:rStyle w:val="PageNumber"/>
      </w:rPr>
      <w:fldChar w:fldCharType="begin"/>
    </w:r>
    <w:r>
      <w:rPr>
        <w:rStyle w:val="PageNumber"/>
      </w:rPr>
      <w:instrText xml:space="preserve"> PAGE </w:instrText>
    </w:r>
    <w:r>
      <w:rPr>
        <w:rStyle w:val="PageNumber"/>
      </w:rPr>
      <w:fldChar w:fldCharType="separate"/>
    </w:r>
    <w:r w:rsidR="00C7409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A0FA5" w14:textId="77777777" w:rsidR="0017677A" w:rsidRDefault="0017677A">
      <w:r>
        <w:separator/>
      </w:r>
    </w:p>
  </w:footnote>
  <w:footnote w:type="continuationSeparator" w:id="0">
    <w:p w14:paraId="0FCDEE2C" w14:textId="77777777" w:rsidR="0017677A" w:rsidRDefault="0017677A">
      <w:r>
        <w:continuationSeparator/>
      </w:r>
    </w:p>
  </w:footnote>
  <w:footnote w:id="1">
    <w:p w14:paraId="098E0FDF" w14:textId="71292BD3" w:rsidR="00B40C1A" w:rsidRDefault="00B40C1A" w:rsidP="00AB2B7D">
      <w:pPr>
        <w:pStyle w:val="FootnoteText"/>
        <w:spacing w:after="120"/>
      </w:pPr>
      <w:r>
        <w:rPr>
          <w:rStyle w:val="FootnoteReference"/>
        </w:rPr>
        <w:footnoteRef/>
      </w:r>
      <w:r>
        <w:t xml:space="preserve"> </w:t>
      </w:r>
      <w:r w:rsidRPr="00BC0280">
        <w:rPr>
          <w:i/>
        </w:rPr>
        <w:t>See</w:t>
      </w:r>
      <w:r>
        <w:t xml:space="preserve"> </w:t>
      </w:r>
      <w:r w:rsidRPr="009E79F6">
        <w:t xml:space="preserve">47 CFR § 4.5. Communications service providers required to report outages to Commission using NORS include the following: cable, SS7, Interexchange Carrier (IXC) or Local Exchange Carrier (LEC) tandem facilities, satellite, wireless, wireline and interconnected Voice over Internet Protocol (VoIP) providers (Communications Providers).  </w:t>
      </w:r>
      <w:r w:rsidRPr="009E79F6">
        <w:rPr>
          <w:i/>
        </w:rPr>
        <w:t>See</w:t>
      </w:r>
      <w:r w:rsidRPr="009E79F6">
        <w:t xml:space="preserve"> 47 CFR § 4.3</w:t>
      </w:r>
      <w:r>
        <w:t xml:space="preserve"> and</w:t>
      </w:r>
      <w:r w:rsidRPr="009E79F6">
        <w:t xml:space="preserve"> 47 CFR § 4.9</w:t>
      </w:r>
      <w:r>
        <w:t xml:space="preserve"> (describing the outage reporting requirements for communications service providers)</w:t>
      </w:r>
      <w:r w:rsidRPr="009E79F6">
        <w:t xml:space="preserve">. </w:t>
      </w:r>
      <w:r>
        <w:t xml:space="preserve"> </w:t>
      </w:r>
      <w:r w:rsidRPr="00566545">
        <w:rPr>
          <w:i/>
        </w:rPr>
        <w:t xml:space="preserve">See also </w:t>
      </w:r>
      <w:r w:rsidRPr="00D3346A">
        <w:rPr>
          <w:i/>
        </w:rPr>
        <w:t>New Part 4 of the Commission’s Rules Concerning Disruptions to Communications</w:t>
      </w:r>
      <w:r w:rsidRPr="0020250E">
        <w:t xml:space="preserve">, ET Docket No. 04-35, </w:t>
      </w:r>
      <w:r w:rsidRPr="00D3346A">
        <w:t>Report and Order and Further Notice of Proposed Rulemaking</w:t>
      </w:r>
      <w:r w:rsidRPr="0020250E">
        <w:t>, 19 FCC Rcd 16830 (2004) (</w:t>
      </w:r>
      <w:r w:rsidRPr="00AB0BBC">
        <w:rPr>
          <w:i/>
        </w:rPr>
        <w:t>2004</w:t>
      </w:r>
      <w:r>
        <w:t xml:space="preserve"> </w:t>
      </w:r>
      <w:r w:rsidRPr="0020250E">
        <w:rPr>
          <w:i/>
        </w:rPr>
        <w:t>Part 4 Report and Order</w:t>
      </w:r>
      <w:r w:rsidRPr="0020250E">
        <w:t>).</w:t>
      </w:r>
    </w:p>
  </w:footnote>
  <w:footnote w:id="2">
    <w:p w14:paraId="38B409E9" w14:textId="77777777" w:rsidR="00B40C1A" w:rsidRPr="00884530" w:rsidRDefault="00B40C1A" w:rsidP="00721A9C">
      <w:pPr>
        <w:pStyle w:val="FootnoteText"/>
        <w:spacing w:after="120"/>
      </w:pPr>
      <w:r w:rsidRPr="00884530">
        <w:rPr>
          <w:rStyle w:val="FootnoteReference"/>
        </w:rPr>
        <w:footnoteRef/>
      </w:r>
      <w:r w:rsidRPr="00884530">
        <w:t xml:space="preserve"> </w:t>
      </w:r>
      <w:r w:rsidRPr="008C31D3">
        <w:t xml:space="preserve">Since 1992, the </w:t>
      </w:r>
      <w:r>
        <w:t>Commission</w:t>
      </w:r>
      <w:r w:rsidRPr="008C31D3">
        <w:t xml:space="preserve"> has required telecommunications carriers (other than cellular and satellite providers) to report significant disruptions to voice and paging communications services.  </w:t>
      </w:r>
      <w:r w:rsidRPr="00884530">
        <w:rPr>
          <w:i/>
        </w:rPr>
        <w:t>See</w:t>
      </w:r>
      <w:r w:rsidRPr="00884530">
        <w:t xml:space="preserve"> former 47 C.F.R. Section 63.100 (2003) (first adopted in 1992).  </w:t>
      </w:r>
      <w:r w:rsidRPr="00884530">
        <w:rPr>
          <w:i/>
        </w:rPr>
        <w:t>See</w:t>
      </w:r>
      <w:r w:rsidRPr="00884530">
        <w:t xml:space="preserve"> </w:t>
      </w:r>
      <w:r w:rsidRPr="00AD3FDC">
        <w:rPr>
          <w:i/>
        </w:rPr>
        <w:t>In the Matter of Notification by Common Carriers of Service Disruptions</w:t>
      </w:r>
      <w:r w:rsidRPr="00884530">
        <w:t xml:space="preserve">, CC Docket No. 91-273, </w:t>
      </w:r>
      <w:r w:rsidRPr="00AD3FDC">
        <w:t>Report and Order</w:t>
      </w:r>
      <w:r w:rsidRPr="00884530">
        <w:t xml:space="preserve">, 7 FCC Rcd 2010 (1992); </w:t>
      </w:r>
      <w:r w:rsidRPr="00AD3FDC">
        <w:rPr>
          <w:i/>
        </w:rPr>
        <w:t>Amendment Of Part 63 Of The Commission's Rules To Provide For Notification By Common Carriers Of Service Disruptions</w:t>
      </w:r>
      <w:r>
        <w:t xml:space="preserve">, CC Docket No. 91-273, </w:t>
      </w:r>
      <w:r w:rsidRPr="00767562">
        <w:t>Memorandum Opinion and Order and Further Report and Order of Proposed Rulemaking</w:t>
      </w:r>
      <w:r w:rsidRPr="00884530">
        <w:t xml:space="preserve">, 8 FCC Rcd 8517 (1993); </w:t>
      </w:r>
      <w:r w:rsidRPr="00767562">
        <w:rPr>
          <w:i/>
        </w:rPr>
        <w:t>Amendment Of Part 63 Of The Commission's Rules To Provide For Notification By Common Carriers Of Service Disruptions</w:t>
      </w:r>
      <w:r>
        <w:t xml:space="preserve">, CC Docket No. 91-273, </w:t>
      </w:r>
      <w:r w:rsidRPr="00767562">
        <w:t>Second Report and Order</w:t>
      </w:r>
      <w:r w:rsidRPr="00884530">
        <w:t>, 9 FCC Rcd 3911 (1994);</w:t>
      </w:r>
      <w:r w:rsidRPr="00884530">
        <w:rPr>
          <w:i/>
        </w:rPr>
        <w:t xml:space="preserve"> </w:t>
      </w:r>
      <w:r w:rsidRPr="00767562">
        <w:rPr>
          <w:i/>
        </w:rPr>
        <w:t>Amendment Of Part 63 Of The Commission's Rules To Provide For Notification By Common Carriers Of Service Disruptions</w:t>
      </w:r>
      <w:r w:rsidRPr="00767562">
        <w:t xml:space="preserve">, </w:t>
      </w:r>
      <w:r>
        <w:t xml:space="preserve">CC Docket No. 91-273, </w:t>
      </w:r>
      <w:r w:rsidRPr="00767562">
        <w:t>Order on Reconsideration</w:t>
      </w:r>
      <w:r w:rsidRPr="00884530">
        <w:t xml:space="preserve">, 10 FCC Rcd 11764 (1995). </w:t>
      </w:r>
    </w:p>
  </w:footnote>
  <w:footnote w:id="3">
    <w:p w14:paraId="6DED0DD4" w14:textId="2DD885F0" w:rsidR="00B40C1A" w:rsidRPr="00884530" w:rsidRDefault="00B40C1A" w:rsidP="00721A9C">
      <w:pPr>
        <w:pStyle w:val="FootnoteText"/>
        <w:spacing w:after="120"/>
        <w:rPr>
          <w:i/>
        </w:rPr>
      </w:pPr>
      <w:r w:rsidRPr="00884530">
        <w:rPr>
          <w:rStyle w:val="FootnoteReference"/>
        </w:rPr>
        <w:footnoteRef/>
      </w:r>
      <w:r w:rsidRPr="00884530">
        <w:t xml:space="preserve"> </w:t>
      </w:r>
      <w:r w:rsidRPr="00884530">
        <w:rPr>
          <w:i/>
        </w:rPr>
        <w:t>See</w:t>
      </w:r>
      <w:r w:rsidRPr="00884530">
        <w:t xml:space="preserve"> </w:t>
      </w:r>
      <w:r w:rsidR="00D5572F" w:rsidRPr="00AB0BBC">
        <w:rPr>
          <w:i/>
        </w:rPr>
        <w:t>2004</w:t>
      </w:r>
      <w:r w:rsidR="00D5572F">
        <w:t xml:space="preserve"> </w:t>
      </w:r>
      <w:r w:rsidR="00D5572F" w:rsidRPr="0020250E">
        <w:rPr>
          <w:i/>
        </w:rPr>
        <w:t>Part 4 Report and Order</w:t>
      </w:r>
      <w:r w:rsidRPr="00884530">
        <w:rPr>
          <w:shd w:val="clear" w:color="auto" w:fill="FFFFFF"/>
        </w:rPr>
        <w:t>.</w:t>
      </w:r>
    </w:p>
  </w:footnote>
  <w:footnote w:id="4">
    <w:p w14:paraId="206988E5" w14:textId="77777777" w:rsidR="00B40C1A" w:rsidRPr="00884530" w:rsidRDefault="00B40C1A" w:rsidP="00721A9C">
      <w:pPr>
        <w:pStyle w:val="FootnoteText"/>
        <w:spacing w:after="120"/>
      </w:pPr>
      <w:r w:rsidRPr="00884530">
        <w:rPr>
          <w:rStyle w:val="FootnoteReference"/>
        </w:rPr>
        <w:footnoteRef/>
      </w:r>
      <w:r w:rsidRPr="00884530">
        <w:t xml:space="preserve"> </w:t>
      </w:r>
      <w:r w:rsidRPr="00884530">
        <w:rPr>
          <w:i/>
        </w:rPr>
        <w:t xml:space="preserve">See </w:t>
      </w:r>
      <w:r w:rsidRPr="001C2B88">
        <w:rPr>
          <w:i/>
        </w:rPr>
        <w:t>Proposed Extension of Part 4 of the Commission’s Rules Regarding Outage Reporting to Interconnected Voice Over Internet Protocol Service Providers and Broadband Internet Service Providers</w:t>
      </w:r>
      <w:r w:rsidRPr="00884530">
        <w:t xml:space="preserve">, PS Docket No. 11-82, </w:t>
      </w:r>
      <w:r w:rsidRPr="001C2B88">
        <w:t>Report and Order</w:t>
      </w:r>
      <w:r w:rsidRPr="00884530">
        <w:t>, 27 FCC Rcd 2650 (2012).</w:t>
      </w:r>
    </w:p>
  </w:footnote>
  <w:footnote w:id="5">
    <w:p w14:paraId="0BB576C9" w14:textId="28FF9E10" w:rsidR="00B40C1A" w:rsidRDefault="00B40C1A" w:rsidP="00721A9C">
      <w:pPr>
        <w:pStyle w:val="FootnoteText"/>
      </w:pPr>
      <w:r>
        <w:rPr>
          <w:rStyle w:val="FootnoteReference"/>
        </w:rPr>
        <w:footnoteRef/>
      </w:r>
      <w:r>
        <w:t xml:space="preserve"> </w:t>
      </w:r>
      <w:r w:rsidRPr="00A317D9">
        <w:rPr>
          <w:i/>
        </w:rPr>
        <w:t>See</w:t>
      </w:r>
      <w:r>
        <w:t xml:space="preserve"> </w:t>
      </w:r>
      <w:r w:rsidRPr="00AD3FDC">
        <w:rPr>
          <w:i/>
        </w:rPr>
        <w:t>Amendments to Part 4 of the Commission’s Rules Concerning Disruptions to Communications</w:t>
      </w:r>
      <w:r w:rsidR="00CF78A3">
        <w:rPr>
          <w:i/>
        </w:rPr>
        <w:t>, et.al.</w:t>
      </w:r>
      <w:r w:rsidR="00CF78A3">
        <w:t>,</w:t>
      </w:r>
      <w:r w:rsidRPr="00AD3FDC">
        <w:rPr>
          <w:i/>
        </w:rPr>
        <w:t xml:space="preserve"> </w:t>
      </w:r>
      <w:r>
        <w:t>PS Docket Nos. 15-80</w:t>
      </w:r>
      <w:r w:rsidR="00CF78A3">
        <w:t xml:space="preserve">, </w:t>
      </w:r>
      <w:r w:rsidR="00CF78A3" w:rsidRPr="006F28AD">
        <w:rPr>
          <w:i/>
        </w:rPr>
        <w:t>et.al.</w:t>
      </w:r>
      <w:r w:rsidR="00CF78A3">
        <w:t>,</w:t>
      </w:r>
      <w:r>
        <w:t xml:space="preserve"> </w:t>
      </w:r>
      <w:r w:rsidRPr="00DA7C31">
        <w:t>Report and Order</w:t>
      </w:r>
      <w:r>
        <w:t>, Order on Reconsideration, and Further Notice of Proposed Rulemaking</w:t>
      </w:r>
      <w:r w:rsidRPr="00DA7C31">
        <w:t xml:space="preserve">, </w:t>
      </w:r>
      <w:r w:rsidRPr="00BA7E13">
        <w:t>31 FCC Rcd 5817</w:t>
      </w:r>
      <w:r w:rsidRPr="00DA7C31">
        <w:t xml:space="preserve"> (</w:t>
      </w:r>
      <w:r>
        <w:t>2016</w:t>
      </w:r>
      <w:r w:rsidRPr="00DA7C31">
        <w:t>) (</w:t>
      </w:r>
      <w:r w:rsidR="00AB2B7D" w:rsidRPr="00AB2B7D">
        <w:rPr>
          <w:i/>
        </w:rPr>
        <w:t>2016</w:t>
      </w:r>
      <w:r w:rsidR="00AB2B7D">
        <w:t xml:space="preserve"> </w:t>
      </w:r>
      <w:r>
        <w:rPr>
          <w:i/>
        </w:rPr>
        <w:t>Part 4 Report and Order and Order on Reconsideration</w:t>
      </w:r>
      <w:r w:rsidRPr="00DA7C31">
        <w:t>).</w:t>
      </w:r>
    </w:p>
    <w:p w14:paraId="521FF48C" w14:textId="77777777" w:rsidR="00CF78A3" w:rsidRDefault="00CF78A3" w:rsidP="00721A9C">
      <w:pPr>
        <w:pStyle w:val="FootnoteText"/>
      </w:pPr>
    </w:p>
  </w:footnote>
  <w:footnote w:id="6">
    <w:p w14:paraId="37AAD6F3" w14:textId="715F843B" w:rsidR="006F28AD" w:rsidRDefault="00B40C1A" w:rsidP="00AB2B7D">
      <w:pPr>
        <w:pStyle w:val="FootnoteText"/>
        <w:spacing w:after="120"/>
      </w:pPr>
      <w:r>
        <w:rPr>
          <w:rStyle w:val="FootnoteReference"/>
        </w:rPr>
        <w:footnoteRef/>
      </w:r>
      <w:r>
        <w:t xml:space="preserve"> Federal Communication Commission, “Network Outage Reporting System User Manual,” version 3 (2018) </w:t>
      </w:r>
      <w:hyperlink r:id="rId1" w:history="1">
        <w:r w:rsidRPr="0039699F">
          <w:rPr>
            <w:rStyle w:val="Hyperlink"/>
          </w:rPr>
          <w:t>https://www.fcc.gov/file/12265/download</w:t>
        </w:r>
      </w:hyperlink>
      <w:r>
        <w:t xml:space="preserve">. </w:t>
      </w:r>
    </w:p>
  </w:footnote>
  <w:footnote w:id="7">
    <w:p w14:paraId="4A4ED4A8" w14:textId="7EB8E0C4" w:rsidR="006F28AD" w:rsidRDefault="00CF78A3" w:rsidP="00AB2B7D">
      <w:pPr>
        <w:pStyle w:val="FootnoteText"/>
        <w:spacing w:after="120"/>
      </w:pPr>
      <w:r>
        <w:rPr>
          <w:rStyle w:val="FootnoteReference"/>
        </w:rPr>
        <w:footnoteRef/>
      </w:r>
      <w:r>
        <w:t xml:space="preserve"> </w:t>
      </w:r>
      <w:r w:rsidR="006F28AD">
        <w:t xml:space="preserve">Office </w:t>
      </w:r>
      <w:r w:rsidR="00FC182B">
        <w:t>o</w:t>
      </w:r>
      <w:r w:rsidR="006F28AD">
        <w:t xml:space="preserve">f Management and Budget, Notice of Office </w:t>
      </w:r>
      <w:r w:rsidR="00FC182B">
        <w:t>o</w:t>
      </w:r>
      <w:r w:rsidR="006F28AD">
        <w:t xml:space="preserve">f Management and Budget Action, </w:t>
      </w:r>
      <w:r w:rsidR="00FC182B">
        <w:t>“</w:t>
      </w:r>
      <w:r w:rsidR="006F28AD">
        <w:t>Section 4.9, Part 4 of the Commission’s Rules Concerning Disruptions to Communications,</w:t>
      </w:r>
      <w:r w:rsidR="00FC182B">
        <w:t>”</w:t>
      </w:r>
      <w:r w:rsidR="006F28AD">
        <w:t xml:space="preserve"> ICR Reference Number </w:t>
      </w:r>
      <w:r w:rsidR="006F28AD" w:rsidRPr="006F28AD">
        <w:t>201611-3060-001</w:t>
      </w:r>
      <w:r w:rsidR="006F28AD">
        <w:t xml:space="preserve"> (Jan. 17, 2017) (approving the information collection through January 31, 2020).</w:t>
      </w:r>
    </w:p>
  </w:footnote>
  <w:footnote w:id="8">
    <w:p w14:paraId="68CF3B62" w14:textId="5AA8D931" w:rsidR="00882EB6" w:rsidRDefault="00882EB6" w:rsidP="004834DC">
      <w:pPr>
        <w:pStyle w:val="FootnoteText"/>
        <w:spacing w:after="120"/>
      </w:pPr>
      <w:r>
        <w:rPr>
          <w:rStyle w:val="FootnoteReference"/>
        </w:rPr>
        <w:footnoteRef/>
      </w:r>
      <w:r>
        <w:t xml:space="preserve"> 5 U.S.C. § 552a.</w:t>
      </w:r>
    </w:p>
  </w:footnote>
  <w:footnote w:id="9">
    <w:p w14:paraId="48396B14" w14:textId="4D4EFBBF" w:rsidR="00B40C1A" w:rsidRDefault="00B40C1A" w:rsidP="00C75482">
      <w:pPr>
        <w:pStyle w:val="FootnoteText"/>
        <w:spacing w:after="120"/>
      </w:pPr>
      <w:r>
        <w:rPr>
          <w:rStyle w:val="FootnoteReference"/>
        </w:rPr>
        <w:footnoteRef/>
      </w:r>
      <w:r>
        <w:t xml:space="preserve"> </w:t>
      </w:r>
      <w:r w:rsidRPr="00A317D9">
        <w:rPr>
          <w:i/>
        </w:rPr>
        <w:t>See, e.g.</w:t>
      </w:r>
      <w:r>
        <w:t xml:space="preserve">, </w:t>
      </w:r>
      <w:r w:rsidRPr="00D3346A">
        <w:t xml:space="preserve">Supporting Statement, OMB Control No. 3060-0484, Section 4.9, Part 4 of the Commission’s Rules Concerning Disruptions to Communications </w:t>
      </w:r>
      <w:r>
        <w:t>at 3 (August 201</w:t>
      </w:r>
      <w:r w:rsidR="00CF78A3">
        <w:t>6</w:t>
      </w:r>
      <w:r>
        <w:t>) (</w:t>
      </w:r>
      <w:r w:rsidRPr="00EA7670">
        <w:rPr>
          <w:i/>
        </w:rPr>
        <w:t>201</w:t>
      </w:r>
      <w:r w:rsidR="00CF78A3">
        <w:rPr>
          <w:i/>
        </w:rPr>
        <w:t>6</w:t>
      </w:r>
      <w:r w:rsidRPr="00EA7670">
        <w:rPr>
          <w:i/>
        </w:rPr>
        <w:t xml:space="preserve"> Supporting Statement</w:t>
      </w:r>
      <w:r>
        <w:t>).</w:t>
      </w:r>
    </w:p>
  </w:footnote>
  <w:footnote w:id="10">
    <w:p w14:paraId="5DCDAA3E" w14:textId="1BFC23B6" w:rsidR="00B40C1A" w:rsidRPr="003C2193" w:rsidRDefault="00B40C1A">
      <w:pPr>
        <w:pStyle w:val="FootnoteText"/>
        <w:spacing w:after="120"/>
        <w:rPr>
          <w:i/>
        </w:rPr>
      </w:pPr>
      <w:r w:rsidRPr="00884530">
        <w:rPr>
          <w:rStyle w:val="FootnoteReference"/>
        </w:rPr>
        <w:footnoteRef/>
      </w:r>
      <w:r w:rsidRPr="00884530">
        <w:t xml:space="preserve">  </w:t>
      </w:r>
      <w:r w:rsidRPr="00884530">
        <w:rPr>
          <w:i/>
        </w:rPr>
        <w:t>See</w:t>
      </w:r>
      <w:r w:rsidRPr="00884530">
        <w:t xml:space="preserve"> 47 C.F.R. 4.11.  </w:t>
      </w:r>
      <w:r>
        <w:rPr>
          <w:i/>
        </w:rPr>
        <w:t xml:space="preserve">See </w:t>
      </w:r>
      <w:r>
        <w:t xml:space="preserve">Federal Communications Commission, Network Outage Reporting System Portal, </w:t>
      </w:r>
      <w:r w:rsidRPr="004C4091">
        <w:t>NORS 3.0 Login</w:t>
      </w:r>
      <w:r>
        <w:t xml:space="preserve"> page,</w:t>
      </w:r>
      <w:r w:rsidRPr="004C4091">
        <w:t xml:space="preserve"> </w:t>
      </w:r>
      <w:hyperlink r:id="rId2" w:history="1">
        <w:r w:rsidRPr="00D616BB">
          <w:rPr>
            <w:rStyle w:val="Hyperlink"/>
          </w:rPr>
          <w:t>https://www.fcc.gov/licensing-databases/fcc-user-login</w:t>
        </w:r>
      </w:hyperlink>
      <w:r>
        <w:t xml:space="preserve"> (last accessed September 17, 2019).  </w:t>
      </w:r>
      <w:r w:rsidRPr="00884530">
        <w:rPr>
          <w:shd w:val="clear" w:color="auto" w:fill="FFFFFF"/>
        </w:rPr>
        <w:t xml:space="preserve">In the event of technical impediments to using the </w:t>
      </w:r>
      <w:r>
        <w:rPr>
          <w:shd w:val="clear" w:color="auto" w:fill="FFFFFF"/>
        </w:rPr>
        <w:t>w</w:t>
      </w:r>
      <w:r w:rsidRPr="00884530">
        <w:rPr>
          <w:shd w:val="clear" w:color="auto" w:fill="FFFFFF"/>
        </w:rPr>
        <w:t>eb-based system</w:t>
      </w:r>
      <w:r>
        <w:rPr>
          <w:shd w:val="clear" w:color="auto" w:fill="FFFFFF"/>
        </w:rPr>
        <w:t xml:space="preserve">, </w:t>
      </w:r>
      <w:r w:rsidRPr="00884530">
        <w:rPr>
          <w:shd w:val="clear" w:color="auto" w:fill="FFFFFF"/>
        </w:rPr>
        <w:t xml:space="preserve">written </w:t>
      </w:r>
      <w:r>
        <w:rPr>
          <w:shd w:val="clear" w:color="auto" w:fill="FFFFFF"/>
        </w:rPr>
        <w:t>notifications, initial reports, or final reports may be submitted to the Commission by email, f</w:t>
      </w:r>
      <w:r w:rsidRPr="00884530">
        <w:rPr>
          <w:shd w:val="clear" w:color="auto" w:fill="FFFFFF"/>
        </w:rPr>
        <w:t>ax, courier, or U.S. mail.</w:t>
      </w:r>
      <w:r>
        <w:rPr>
          <w:shd w:val="clear" w:color="auto" w:fill="FFFFFF"/>
        </w:rPr>
        <w:t xml:space="preserve">  </w:t>
      </w:r>
      <w:r>
        <w:rPr>
          <w:i/>
          <w:shd w:val="clear" w:color="auto" w:fill="FFFFFF"/>
        </w:rPr>
        <w:t xml:space="preserve">See </w:t>
      </w:r>
      <w:r w:rsidRPr="00884530">
        <w:t>47 C.F.R. 4.11</w:t>
      </w:r>
      <w:r>
        <w:t xml:space="preserve">; </w:t>
      </w:r>
      <w:r w:rsidR="00D3346A" w:rsidRPr="00AB0BBC">
        <w:rPr>
          <w:i/>
        </w:rPr>
        <w:t>2004</w:t>
      </w:r>
      <w:r w:rsidR="00D3346A">
        <w:t xml:space="preserve"> </w:t>
      </w:r>
      <w:r w:rsidR="00D3346A" w:rsidRPr="0020250E">
        <w:rPr>
          <w:i/>
        </w:rPr>
        <w:t>Part 4 Report and Order</w:t>
      </w:r>
      <w:r>
        <w:t xml:space="preserve">, </w:t>
      </w:r>
      <w:r w:rsidRPr="003C2193">
        <w:t>19</w:t>
      </w:r>
      <w:r>
        <w:t xml:space="preserve"> FCC Rcd </w:t>
      </w:r>
      <w:r w:rsidR="00D3346A">
        <w:t>at</w:t>
      </w:r>
      <w:r>
        <w:t xml:space="preserve"> 16871-72, para. 75</w:t>
      </w:r>
      <w:r w:rsidR="00D3346A">
        <w:t>.</w:t>
      </w:r>
    </w:p>
  </w:footnote>
  <w:footnote w:id="11">
    <w:p w14:paraId="3608ED68" w14:textId="0A178D31" w:rsidR="00B40C1A" w:rsidRDefault="00B40C1A">
      <w:pPr>
        <w:pStyle w:val="FootnoteText"/>
        <w:spacing w:after="120"/>
      </w:pPr>
      <w:r>
        <w:rPr>
          <w:rStyle w:val="FootnoteReference"/>
        </w:rPr>
        <w:footnoteRef/>
      </w:r>
      <w:r>
        <w:t xml:space="preserve"> </w:t>
      </w:r>
      <w:r>
        <w:rPr>
          <w:i/>
        </w:rPr>
        <w:t>Part 4 Report and Order and Order on Reconsideration</w:t>
      </w:r>
      <w:r>
        <w:t xml:space="preserve">, </w:t>
      </w:r>
      <w:r w:rsidRPr="00C84B81">
        <w:t xml:space="preserve">31 FCC Rcd </w:t>
      </w:r>
      <w:r>
        <w:t>at 5920, app. D, para. 18.</w:t>
      </w:r>
    </w:p>
  </w:footnote>
  <w:footnote w:id="12">
    <w:p w14:paraId="0F88834E" w14:textId="77777777" w:rsidR="00B40C1A" w:rsidRPr="00884530" w:rsidRDefault="00B40C1A">
      <w:pPr>
        <w:pStyle w:val="FootnoteText"/>
        <w:spacing w:after="120"/>
      </w:pPr>
      <w:r w:rsidRPr="00884530">
        <w:rPr>
          <w:rStyle w:val="FootnoteReference"/>
        </w:rPr>
        <w:footnoteRef/>
      </w:r>
      <w:r w:rsidRPr="00884530">
        <w:t xml:space="preserve"> 47 U.S.C. § 151.</w:t>
      </w:r>
    </w:p>
  </w:footnote>
  <w:footnote w:id="13">
    <w:p w14:paraId="0321F69F" w14:textId="77777777" w:rsidR="00B40C1A" w:rsidRPr="00884530" w:rsidRDefault="00B40C1A">
      <w:pPr>
        <w:pStyle w:val="FootnoteText"/>
        <w:spacing w:after="120"/>
      </w:pPr>
      <w:r w:rsidRPr="00884530">
        <w:rPr>
          <w:rStyle w:val="FootnoteReference"/>
        </w:rPr>
        <w:footnoteRef/>
      </w:r>
      <w:r w:rsidRPr="00884530">
        <w:t xml:space="preserve"> 47 U.S.C. § 251(e)(3).</w:t>
      </w:r>
    </w:p>
  </w:footnote>
  <w:footnote w:id="14">
    <w:p w14:paraId="48FED67A" w14:textId="42678FA9" w:rsidR="00B40C1A" w:rsidRPr="00884530" w:rsidRDefault="00B40C1A">
      <w:pPr>
        <w:pStyle w:val="FootnoteText"/>
        <w:spacing w:after="120"/>
      </w:pPr>
      <w:r w:rsidRPr="00884530">
        <w:rPr>
          <w:rStyle w:val="FootnoteReference"/>
        </w:rPr>
        <w:footnoteRef/>
      </w:r>
      <w:r w:rsidRPr="00884530">
        <w:t xml:space="preserve"> 47 U.S.C. § 201(b).  </w:t>
      </w:r>
      <w:r w:rsidRPr="00884530">
        <w:rPr>
          <w:i/>
        </w:rPr>
        <w:t>See also</w:t>
      </w:r>
      <w:r w:rsidRPr="00884530">
        <w:t xml:space="preserve"> </w:t>
      </w:r>
      <w:r w:rsidRPr="00AB2B7D">
        <w:rPr>
          <w:i/>
        </w:rPr>
        <w:t>IP-Enabled Services</w:t>
      </w:r>
      <w:r w:rsidR="00AB2B7D">
        <w:t xml:space="preserve">, </w:t>
      </w:r>
      <w:r w:rsidR="00AB2B7D" w:rsidRPr="00AB2B7D">
        <w:rPr>
          <w:i/>
        </w:rPr>
        <w:t>et.al.</w:t>
      </w:r>
      <w:r w:rsidRPr="00AB2B7D">
        <w:rPr>
          <w:i/>
        </w:rPr>
        <w:t xml:space="preserve">; </w:t>
      </w:r>
      <w:r w:rsidRPr="00AB2B7D">
        <w:t xml:space="preserve">First Report and Order and </w:t>
      </w:r>
      <w:r w:rsidR="00AB2B7D">
        <w:t xml:space="preserve">Notice of Proposed </w:t>
      </w:r>
      <w:r w:rsidRPr="00AB2B7D">
        <w:t>Rulemaking</w:t>
      </w:r>
      <w:r w:rsidRPr="00884530">
        <w:t xml:space="preserve">, </w:t>
      </w:r>
      <w:r w:rsidR="00AB2B7D">
        <w:t xml:space="preserve">WC Docket No. 04-36, </w:t>
      </w:r>
      <w:r w:rsidR="00AB2B7D" w:rsidRPr="00AB2B7D">
        <w:rPr>
          <w:i/>
        </w:rPr>
        <w:t>et.al.</w:t>
      </w:r>
      <w:r w:rsidR="00AB2B7D">
        <w:t xml:space="preserve">, </w:t>
      </w:r>
      <w:r w:rsidRPr="00884530">
        <w:t>20 FCC Rcd 10245</w:t>
      </w:r>
      <w:r w:rsidR="00AB2B7D">
        <w:t>, 10265</w:t>
      </w:r>
      <w:r w:rsidR="006735A9">
        <w:t>, para.</w:t>
      </w:r>
      <w:r w:rsidRPr="00884530">
        <w:t xml:space="preserve"> 34 (2005)</w:t>
      </w:r>
      <w:r w:rsidRPr="00884530">
        <w:rPr>
          <w:i/>
        </w:rPr>
        <w:t xml:space="preserve">, aff’d sub nom. Nuvio Corp. v. FCC, </w:t>
      </w:r>
      <w:r w:rsidRPr="00884530">
        <w:t>473 F.3d 302 (D.C. Cir. 2007) (</w:t>
      </w:r>
      <w:r w:rsidRPr="00884530">
        <w:rPr>
          <w:i/>
        </w:rPr>
        <w:t>VoIP 911 Order</w:t>
      </w:r>
      <w:r w:rsidRPr="00884530">
        <w:t>) (recognizing plenary authority under Section 251(e) to require “network changes” needed to ensure safe, reliable, nationwide 911 system).</w:t>
      </w:r>
    </w:p>
  </w:footnote>
  <w:footnote w:id="15">
    <w:p w14:paraId="32882D50" w14:textId="0C83871C" w:rsidR="00B40C1A" w:rsidRPr="00884530" w:rsidRDefault="00B40C1A">
      <w:pPr>
        <w:pStyle w:val="FootnoteText"/>
        <w:spacing w:after="120"/>
      </w:pPr>
      <w:r w:rsidRPr="00884530">
        <w:rPr>
          <w:rStyle w:val="FootnoteReference"/>
        </w:rPr>
        <w:footnoteRef/>
      </w:r>
      <w:r w:rsidRPr="00884530">
        <w:t xml:space="preserve"> </w:t>
      </w:r>
      <w:r w:rsidRPr="00884530">
        <w:rPr>
          <w:i/>
        </w:rPr>
        <w:t>See</w:t>
      </w:r>
      <w:r w:rsidRPr="00884530">
        <w:t xml:space="preserve"> 47 C.F.R. 4.2.</w:t>
      </w:r>
    </w:p>
  </w:footnote>
  <w:footnote w:id="16">
    <w:p w14:paraId="46BF547E" w14:textId="086391ED" w:rsidR="00257C2D" w:rsidRPr="00CD29E9" w:rsidRDefault="00257C2D" w:rsidP="00CD29E9">
      <w:pPr>
        <w:pStyle w:val="FootnoteText"/>
        <w:spacing w:after="120"/>
        <w:rPr>
          <w:color w:val="000000"/>
          <w:kern w:val="0"/>
          <w:lang w:eastAsia="en-US"/>
        </w:rPr>
      </w:pPr>
      <w:r>
        <w:rPr>
          <w:rStyle w:val="FootnoteReference"/>
        </w:rPr>
        <w:footnoteRef/>
      </w:r>
      <w:r>
        <w:t xml:space="preserve"> </w:t>
      </w:r>
      <w:r>
        <w:rPr>
          <w:i/>
          <w:color w:val="000000"/>
        </w:rPr>
        <w:t>2004 Part 4 Order</w:t>
      </w:r>
      <w:r>
        <w:rPr>
          <w:color w:val="000000"/>
        </w:rPr>
        <w:t xml:space="preserve">, 19 FCC Rcd at 16856, para. 47 (making NORS reports available to DHS “in encrypted form and immediately upon receipt”).  </w:t>
      </w:r>
      <w:r>
        <w:t xml:space="preserve">DHS may share relevant information with other federal agencies at its discretion.  </w:t>
      </w:r>
      <w:r>
        <w:rPr>
          <w:i/>
        </w:rPr>
        <w:t>See 2004 Part 4 Report and Order</w:t>
      </w:r>
      <w:r>
        <w:t>, 19 FCC Rcd at 16856, para. 47.</w:t>
      </w:r>
    </w:p>
  </w:footnote>
  <w:footnote w:id="17">
    <w:p w14:paraId="36AD9808" w14:textId="0C3D125E" w:rsidR="00570F67" w:rsidRPr="00426EAC" w:rsidRDefault="00426EAC" w:rsidP="00D5572F">
      <w:pPr>
        <w:pStyle w:val="FootnoteText"/>
        <w:spacing w:after="120"/>
      </w:pPr>
      <w:r>
        <w:rPr>
          <w:rStyle w:val="FootnoteReference"/>
        </w:rPr>
        <w:footnoteRef/>
      </w:r>
      <w:r>
        <w:t xml:space="preserve"> </w:t>
      </w:r>
      <w:bookmarkStart w:id="1" w:name="_Hlk19801024"/>
      <w:r>
        <w:t xml:space="preserve">965 respondents – 798 respondents (reported in 2016) = 167 respondents.  </w:t>
      </w:r>
      <w:bookmarkEnd w:id="1"/>
      <w:r>
        <w:rPr>
          <w:i/>
        </w:rPr>
        <w:t>See</w:t>
      </w:r>
      <w:r>
        <w:t xml:space="preserve"> </w:t>
      </w:r>
      <w:r w:rsidRPr="000C7EE2">
        <w:rPr>
          <w:i/>
        </w:rPr>
        <w:t>201</w:t>
      </w:r>
      <w:r>
        <w:rPr>
          <w:i/>
        </w:rPr>
        <w:t>6</w:t>
      </w:r>
      <w:r w:rsidRPr="000C7EE2">
        <w:rPr>
          <w:i/>
        </w:rPr>
        <w:t xml:space="preserve"> Supporting Statement</w:t>
      </w:r>
      <w:r>
        <w:t xml:space="preserve"> at 6.  </w:t>
      </w:r>
    </w:p>
  </w:footnote>
  <w:footnote w:id="18">
    <w:p w14:paraId="3B8BE60D" w14:textId="5F1C6F40" w:rsidR="00CB7BBA" w:rsidRDefault="00CB7BBA" w:rsidP="00CB7BBA">
      <w:pPr>
        <w:pStyle w:val="FootnoteText"/>
        <w:spacing w:after="120"/>
      </w:pPr>
      <w:r>
        <w:rPr>
          <w:rStyle w:val="FootnoteReference"/>
        </w:rPr>
        <w:footnoteRef/>
      </w:r>
      <w:r>
        <w:t xml:space="preserve"> 13,012 - 26,795 = 13,783.</w:t>
      </w:r>
    </w:p>
  </w:footnote>
  <w:footnote w:id="19">
    <w:p w14:paraId="19140A16" w14:textId="4D7D29AC" w:rsidR="00B40C1A" w:rsidRDefault="00B40C1A" w:rsidP="00D5572F">
      <w:pPr>
        <w:pStyle w:val="FootnoteText"/>
        <w:spacing w:after="120"/>
      </w:pPr>
      <w:r>
        <w:rPr>
          <w:rStyle w:val="FootnoteReference"/>
        </w:rPr>
        <w:footnoteRef/>
      </w:r>
      <w:r>
        <w:t xml:space="preserve"> </w:t>
      </w:r>
      <w:r w:rsidR="005351FF">
        <w:rPr>
          <w:i/>
        </w:rPr>
        <w:t xml:space="preserve">See </w:t>
      </w:r>
      <w:r w:rsidR="005351FF" w:rsidRPr="000C7EE2">
        <w:rPr>
          <w:i/>
        </w:rPr>
        <w:t>201</w:t>
      </w:r>
      <w:r w:rsidR="005351FF">
        <w:rPr>
          <w:i/>
        </w:rPr>
        <w:t>6</w:t>
      </w:r>
      <w:r w:rsidR="005351FF" w:rsidRPr="000C7EE2">
        <w:rPr>
          <w:i/>
        </w:rPr>
        <w:t xml:space="preserve"> Supporting Statement</w:t>
      </w:r>
      <w:r w:rsidR="005351FF">
        <w:t xml:space="preserve"> at 9.  </w:t>
      </w:r>
    </w:p>
  </w:footnote>
  <w:footnote w:id="20">
    <w:p w14:paraId="373C132B" w14:textId="669717E9" w:rsidR="005351FF" w:rsidRDefault="00B40C1A" w:rsidP="00D5572F">
      <w:pPr>
        <w:pStyle w:val="FootnoteText"/>
        <w:spacing w:after="120"/>
      </w:pPr>
      <w:r>
        <w:rPr>
          <w:rStyle w:val="FootnoteReference"/>
        </w:rPr>
        <w:footnoteRef/>
      </w:r>
      <w:r>
        <w:t xml:space="preserve"> </w:t>
      </w:r>
      <w:r w:rsidRPr="00C75482">
        <w:rPr>
          <w:i/>
        </w:rPr>
        <w:t>See id</w:t>
      </w:r>
      <w:r>
        <w:t>.</w:t>
      </w:r>
    </w:p>
  </w:footnote>
  <w:footnote w:id="21">
    <w:p w14:paraId="29BC842F" w14:textId="147DB4F7" w:rsidR="00B40C1A" w:rsidRDefault="00B40C1A">
      <w:pPr>
        <w:pStyle w:val="FootnoteText"/>
        <w:spacing w:after="120"/>
      </w:pPr>
      <w:r>
        <w:rPr>
          <w:rStyle w:val="FootnoteReference"/>
        </w:rPr>
        <w:footnoteRef/>
      </w:r>
      <w:r>
        <w:t xml:space="preserve"> </w:t>
      </w:r>
      <w:r w:rsidRPr="00A317D9">
        <w:rPr>
          <w:i/>
        </w:rPr>
        <w:t>See</w:t>
      </w:r>
      <w:r>
        <w:t xml:space="preserve"> </w:t>
      </w:r>
      <w:r w:rsidR="0037656B" w:rsidRPr="006E0A9D">
        <w:rPr>
          <w:i/>
        </w:rPr>
        <w:t>2016 Supporting St</w:t>
      </w:r>
      <w:r w:rsidR="0037656B">
        <w:rPr>
          <w:i/>
        </w:rPr>
        <w:t>a</w:t>
      </w:r>
      <w:r w:rsidR="0037656B" w:rsidRPr="006E0A9D">
        <w:rPr>
          <w:i/>
        </w:rPr>
        <w:t>tement</w:t>
      </w:r>
      <w:r w:rsidR="0037656B">
        <w:t xml:space="preserve"> at </w:t>
      </w:r>
      <w:r w:rsidR="005351FF">
        <w:t>9</w:t>
      </w:r>
      <w:r w:rsidR="0037656B">
        <w:t xml:space="preserve">; </w:t>
      </w:r>
      <w:r>
        <w:rPr>
          <w:i/>
        </w:rPr>
        <w:t>2015</w:t>
      </w:r>
      <w:r w:rsidRPr="000C7EE2">
        <w:rPr>
          <w:i/>
        </w:rPr>
        <w:t xml:space="preserve"> Supporting Statement</w:t>
      </w:r>
      <w:r>
        <w:rPr>
          <w:i/>
        </w:rPr>
        <w:t xml:space="preserve"> </w:t>
      </w:r>
      <w:r>
        <w:t xml:space="preserve">at 9; </w:t>
      </w:r>
      <w:r w:rsidRPr="00EA7670">
        <w:rPr>
          <w:i/>
        </w:rPr>
        <w:t>2014 Supporting Statement</w:t>
      </w:r>
      <w:r>
        <w:t xml:space="preserve"> at 9.</w:t>
      </w:r>
    </w:p>
  </w:footnote>
  <w:footnote w:id="22">
    <w:p w14:paraId="0529F395" w14:textId="0827D737" w:rsidR="00B40C1A" w:rsidRDefault="00B40C1A" w:rsidP="00C75482">
      <w:pPr>
        <w:pStyle w:val="FootnoteText"/>
        <w:spacing w:after="120"/>
      </w:pPr>
      <w:r>
        <w:rPr>
          <w:rStyle w:val="FootnoteReference"/>
        </w:rPr>
        <w:footnoteRef/>
      </w:r>
      <w:r>
        <w:t xml:space="preserve"> </w:t>
      </w:r>
      <w:r w:rsidR="005351FF" w:rsidRPr="00A317D9">
        <w:rPr>
          <w:i/>
        </w:rPr>
        <w:t>See</w:t>
      </w:r>
      <w:r w:rsidR="005351FF">
        <w:t xml:space="preserve"> </w:t>
      </w:r>
      <w:r w:rsidR="005351FF" w:rsidRPr="006E0A9D">
        <w:rPr>
          <w:i/>
        </w:rPr>
        <w:t>2016 Supporting St</w:t>
      </w:r>
      <w:r w:rsidR="005351FF">
        <w:rPr>
          <w:i/>
        </w:rPr>
        <w:t>a</w:t>
      </w:r>
      <w:r w:rsidR="005351FF" w:rsidRPr="006E0A9D">
        <w:rPr>
          <w:i/>
        </w:rPr>
        <w:t>tement</w:t>
      </w:r>
      <w:r w:rsidR="005351FF">
        <w:t xml:space="preserve"> at 9.</w:t>
      </w:r>
    </w:p>
  </w:footnote>
  <w:footnote w:id="23">
    <w:p w14:paraId="71418D03" w14:textId="7B78131F" w:rsidR="004D5F08" w:rsidRDefault="004D5F08" w:rsidP="00CD29E9">
      <w:pPr>
        <w:pStyle w:val="FootnoteText"/>
        <w:spacing w:after="120"/>
      </w:pPr>
      <w:r>
        <w:rPr>
          <w:rStyle w:val="FootnoteReference"/>
        </w:rPr>
        <w:footnoteRef/>
      </w:r>
      <w:r>
        <w:t xml:space="preserve"> </w:t>
      </w:r>
      <w:r w:rsidRPr="009B3BD9">
        <w:rPr>
          <w:i/>
        </w:rPr>
        <w:t>2016 Supporting St</w:t>
      </w:r>
      <w:r>
        <w:rPr>
          <w:i/>
        </w:rPr>
        <w:t>a</w:t>
      </w:r>
      <w:r w:rsidRPr="009B3BD9">
        <w:rPr>
          <w:i/>
        </w:rPr>
        <w:t>tement</w:t>
      </w:r>
      <w:r>
        <w:t xml:space="preserve"> at 1</w:t>
      </w:r>
      <w:r w:rsidR="005351FF">
        <w:t>0</w:t>
      </w:r>
      <w:r>
        <w:t>.</w:t>
      </w:r>
    </w:p>
  </w:footnote>
  <w:footnote w:id="24">
    <w:p w14:paraId="1BEB7E16" w14:textId="54A4F910" w:rsidR="006C4FB3" w:rsidRDefault="006C4FB3" w:rsidP="00CD29E9">
      <w:pPr>
        <w:pStyle w:val="FootnoteText"/>
        <w:spacing w:after="120"/>
      </w:pPr>
      <w:r>
        <w:rPr>
          <w:rStyle w:val="FootnoteReference"/>
        </w:rPr>
        <w:footnoteRef/>
      </w:r>
      <w:r>
        <w:t xml:space="preserve"> </w:t>
      </w:r>
      <w:bookmarkStart w:id="3" w:name="_Hlk19801091"/>
      <w:r>
        <w:t>53,59</w:t>
      </w:r>
      <w:r w:rsidR="007A356E">
        <w:t>0</w:t>
      </w:r>
      <w:r>
        <w:t xml:space="preserve"> annual burden hours * $80 per hour = </w:t>
      </w:r>
      <w:r>
        <w:rPr>
          <w:bCs/>
          <w:color w:val="000000"/>
          <w:szCs w:val="22"/>
        </w:rPr>
        <w:t>$4,287,2</w:t>
      </w:r>
      <w:r w:rsidR="007A356E">
        <w:rPr>
          <w:bCs/>
          <w:color w:val="000000"/>
          <w:szCs w:val="22"/>
        </w:rPr>
        <w:t>0</w:t>
      </w:r>
      <w:r>
        <w:rPr>
          <w:bCs/>
          <w:color w:val="000000"/>
          <w:szCs w:val="22"/>
        </w:rPr>
        <w:t>0.</w:t>
      </w:r>
      <w:bookmarkEnd w:id="3"/>
    </w:p>
  </w:footnote>
  <w:footnote w:id="25">
    <w:p w14:paraId="1FDDCF75" w14:textId="530E8615" w:rsidR="00B40C1A" w:rsidRDefault="00B40C1A">
      <w:pPr>
        <w:pStyle w:val="FootnoteText"/>
        <w:spacing w:after="120"/>
      </w:pPr>
      <w:r>
        <w:rPr>
          <w:rStyle w:val="FootnoteReference"/>
        </w:rPr>
        <w:footnoteRef/>
      </w:r>
      <w:r>
        <w:t xml:space="preserve"> </w:t>
      </w:r>
      <w:r w:rsidRPr="00C75482">
        <w:rPr>
          <w:i/>
        </w:rPr>
        <w:t>See</w:t>
      </w:r>
      <w:r>
        <w:t xml:space="preserve"> </w:t>
      </w:r>
      <w:r w:rsidRPr="00B424C9">
        <w:rPr>
          <w:i/>
        </w:rPr>
        <w:t>201</w:t>
      </w:r>
      <w:r w:rsidR="00360DE2">
        <w:rPr>
          <w:i/>
        </w:rPr>
        <w:t>6</w:t>
      </w:r>
      <w:r w:rsidRPr="00B424C9">
        <w:rPr>
          <w:i/>
        </w:rPr>
        <w:t xml:space="preserve"> Supporting Statement</w:t>
      </w:r>
      <w:r>
        <w:t xml:space="preserve"> at </w:t>
      </w:r>
      <w:r w:rsidR="00360DE2">
        <w:t>1</w:t>
      </w:r>
      <w:r w:rsidR="007F5F57">
        <w:t>1.</w:t>
      </w:r>
      <w:r>
        <w:t xml:space="preserve"> </w:t>
      </w:r>
    </w:p>
  </w:footnote>
  <w:footnote w:id="26">
    <w:p w14:paraId="323927AA" w14:textId="487C0DB4" w:rsidR="00B40C1A" w:rsidRDefault="00B40C1A" w:rsidP="00CD29E9">
      <w:pPr>
        <w:pStyle w:val="FootnoteText"/>
        <w:spacing w:after="120"/>
      </w:pPr>
      <w:r>
        <w:rPr>
          <w:rStyle w:val="FootnoteReference"/>
        </w:rPr>
        <w:footnoteRef/>
      </w:r>
      <w:r>
        <w:t xml:space="preserve"> Hourly rates are based on the OPM 201</w:t>
      </w:r>
      <w:r w:rsidR="00441288">
        <w:t>9</w:t>
      </w:r>
      <w:r>
        <w:t xml:space="preserve"> Washington-Baltimore-Arlington, DC-MD-VA-WV-PA Locality Pay Area.  </w:t>
      </w:r>
      <w:r w:rsidRPr="00441288">
        <w:t>Office of Personnel and Management,201</w:t>
      </w:r>
      <w:r w:rsidR="00441288" w:rsidRPr="00441288">
        <w:t>9</w:t>
      </w:r>
      <w:r w:rsidRPr="00441288">
        <w:t xml:space="preserve"> General Schedule (GS) Locality Pay Table, Salary Table 201</w:t>
      </w:r>
      <w:r w:rsidR="00441288" w:rsidRPr="00441288">
        <w:t>9</w:t>
      </w:r>
      <w:r w:rsidRPr="00441288">
        <w:t>-DCB</w:t>
      </w:r>
      <w:r>
        <w:t>,</w:t>
      </w:r>
      <w:r w:rsidR="00441288">
        <w:t xml:space="preserve"> </w:t>
      </w:r>
      <w:hyperlink r:id="rId3" w:history="1">
        <w:r w:rsidR="00441288">
          <w:rPr>
            <w:rStyle w:val="Hyperlink"/>
          </w:rPr>
          <w:t>https://www.opm.gov/policy-data-oversight/pay-leave/salaries-wages/salary-tables/pdf/2019/DCB_h.pdf</w:t>
        </w:r>
      </w:hyperlink>
      <w:r>
        <w:t xml:space="preserve"> (last accessed </w:t>
      </w:r>
      <w:r w:rsidR="00441288">
        <w:t>September 23, 2019</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23192" w14:textId="316331FF" w:rsidR="003B3473" w:rsidRPr="00D3346A" w:rsidRDefault="003B3473" w:rsidP="003B3473">
    <w:pPr>
      <w:rPr>
        <w:kern w:val="0"/>
        <w:szCs w:val="24"/>
        <w:lang w:eastAsia="en-US"/>
      </w:rPr>
    </w:pPr>
    <w:r w:rsidRPr="00D3346A">
      <w:rPr>
        <w:kern w:val="0"/>
        <w:szCs w:val="24"/>
        <w:lang w:eastAsia="en-US"/>
      </w:rPr>
      <w:t xml:space="preserve">Part 4 of the Commission’s Rules Concerning </w:t>
    </w:r>
    <w:r w:rsidRPr="00D3346A">
      <w:rPr>
        <w:szCs w:val="24"/>
      </w:rPr>
      <w:t xml:space="preserve"> </w:t>
    </w:r>
    <w:r>
      <w:rPr>
        <w:szCs w:val="24"/>
      </w:rPr>
      <w:tab/>
    </w:r>
    <w:r>
      <w:rPr>
        <w:szCs w:val="24"/>
      </w:rPr>
      <w:tab/>
    </w:r>
    <w:r>
      <w:rPr>
        <w:szCs w:val="24"/>
      </w:rPr>
      <w:tab/>
    </w:r>
    <w:r>
      <w:rPr>
        <w:szCs w:val="24"/>
      </w:rPr>
      <w:tab/>
    </w:r>
    <w:r>
      <w:rPr>
        <w:szCs w:val="24"/>
      </w:rPr>
      <w:tab/>
      <w:t xml:space="preserve">        </w:t>
    </w:r>
    <w:r w:rsidRPr="00D3346A">
      <w:rPr>
        <w:szCs w:val="24"/>
      </w:rPr>
      <w:t>3060-0484</w:t>
    </w:r>
  </w:p>
  <w:p w14:paraId="3458D634" w14:textId="1F4CAE07" w:rsidR="00B40C1A" w:rsidRPr="00D3346A" w:rsidRDefault="003B3473" w:rsidP="003B3473">
    <w:pPr>
      <w:pStyle w:val="Header"/>
      <w:rPr>
        <w:szCs w:val="24"/>
      </w:rPr>
    </w:pPr>
    <w:r w:rsidRPr="00D3346A">
      <w:rPr>
        <w:kern w:val="0"/>
        <w:szCs w:val="24"/>
        <w:lang w:eastAsia="en-US"/>
      </w:rPr>
      <w:t>Disruptions to Communications</w:t>
    </w:r>
    <w:r>
      <w:rPr>
        <w:szCs w:val="24"/>
      </w:rPr>
      <w:tab/>
    </w:r>
    <w:r>
      <w:rPr>
        <w:szCs w:val="24"/>
      </w:rPr>
      <w:tab/>
      <w:t>Decem</w:t>
    </w:r>
    <w:r w:rsidR="001C4554">
      <w:rPr>
        <w:szCs w:val="24"/>
      </w:rPr>
      <w:t>ber</w:t>
    </w:r>
    <w:r w:rsidR="00B40C1A" w:rsidRPr="00D3346A">
      <w:rPr>
        <w:szCs w:val="24"/>
      </w:rPr>
      <w:t xml:space="preserve"> 2019</w:t>
    </w:r>
  </w:p>
  <w:p w14:paraId="5ABEB41E" w14:textId="4FFFFCCD" w:rsidR="00B40C1A" w:rsidRPr="00D3346A" w:rsidRDefault="00B40C1A" w:rsidP="00975BD0">
    <w:pPr>
      <w:rPr>
        <w:kern w:val="0"/>
        <w:szCs w:val="24"/>
        <w:lang w:eastAsia="en-US"/>
      </w:rPr>
    </w:pPr>
  </w:p>
  <w:p w14:paraId="6110C8B9" w14:textId="77777777" w:rsidR="00B40C1A" w:rsidRPr="00C63A1A" w:rsidRDefault="00B40C1A">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BE5726"/>
    <w:multiLevelType w:val="hybridMultilevel"/>
    <w:tmpl w:val="975C26C0"/>
    <w:lvl w:ilvl="0" w:tplc="FB1E6FC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6A5E39"/>
    <w:multiLevelType w:val="hybridMultilevel"/>
    <w:tmpl w:val="A9300806"/>
    <w:lvl w:ilvl="0" w:tplc="B53083A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38113561"/>
    <w:multiLevelType w:val="hybridMultilevel"/>
    <w:tmpl w:val="0ACE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AB01C9"/>
    <w:multiLevelType w:val="hybridMultilevel"/>
    <w:tmpl w:val="09D48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4E6687"/>
    <w:multiLevelType w:val="hybridMultilevel"/>
    <w:tmpl w:val="324E346E"/>
    <w:lvl w:ilvl="0" w:tplc="BC9C2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493399"/>
    <w:multiLevelType w:val="hybridMultilevel"/>
    <w:tmpl w:val="82127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D53BB3"/>
    <w:multiLevelType w:val="hybridMultilevel"/>
    <w:tmpl w:val="46524370"/>
    <w:lvl w:ilvl="0" w:tplc="04090003">
      <w:start w:val="1"/>
      <w:numFmt w:val="bullet"/>
      <w:lvlText w:val="o"/>
      <w:lvlJc w:val="left"/>
      <w:pPr>
        <w:tabs>
          <w:tab w:val="num" w:pos="2160"/>
        </w:tabs>
        <w:ind w:left="2160" w:hanging="360"/>
      </w:pPr>
      <w:rPr>
        <w:rFonts w:ascii="Courier New" w:hAnsi="Courier New" w:cs="Courier New" w:hint="default"/>
      </w:rPr>
    </w:lvl>
    <w:lvl w:ilvl="1" w:tplc="BC628FC6">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BC628FC6">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4E22692"/>
    <w:multiLevelType w:val="hybridMultilevel"/>
    <w:tmpl w:val="8940D8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nsid w:val="67951386"/>
    <w:multiLevelType w:val="hybridMultilevel"/>
    <w:tmpl w:val="759EC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BE2033"/>
    <w:multiLevelType w:val="hybridMultilevel"/>
    <w:tmpl w:val="FAE60A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7802CCF"/>
    <w:multiLevelType w:val="hybridMultilevel"/>
    <w:tmpl w:val="0F801F40"/>
    <w:lvl w:ilvl="0" w:tplc="0ED6823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FB02D6"/>
    <w:multiLevelType w:val="hybridMultilevel"/>
    <w:tmpl w:val="F880F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2"/>
  </w:num>
  <w:num w:numId="4">
    <w:abstractNumId w:val="12"/>
    <w:lvlOverride w:ilvl="0">
      <w:startOverride w:val="1"/>
    </w:lvlOverride>
  </w:num>
  <w:num w:numId="5">
    <w:abstractNumId w:val="8"/>
  </w:num>
  <w:num w:numId="6">
    <w:abstractNumId w:val="15"/>
  </w:num>
  <w:num w:numId="7">
    <w:abstractNumId w:val="4"/>
  </w:num>
  <w:num w:numId="8">
    <w:abstractNumId w:val="3"/>
  </w:num>
  <w:num w:numId="9">
    <w:abstractNumId w:val="11"/>
  </w:num>
  <w:num w:numId="10">
    <w:abstractNumId w:val="10"/>
  </w:num>
  <w:num w:numId="11">
    <w:abstractNumId w:val="14"/>
  </w:num>
  <w:num w:numId="12">
    <w:abstractNumId w:val="9"/>
  </w:num>
  <w:num w:numId="13">
    <w:abstractNumId w:val="13"/>
  </w:num>
  <w:num w:numId="14">
    <w:abstractNumId w:val="16"/>
  </w:num>
  <w:num w:numId="15">
    <w:abstractNumId w:val="2"/>
  </w:num>
  <w:num w:numId="16">
    <w:abstractNumId w:val="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AC"/>
    <w:rsid w:val="00000231"/>
    <w:rsid w:val="00000C3D"/>
    <w:rsid w:val="00002A1D"/>
    <w:rsid w:val="0000428D"/>
    <w:rsid w:val="00004CAA"/>
    <w:rsid w:val="00005EAE"/>
    <w:rsid w:val="000072D8"/>
    <w:rsid w:val="00010137"/>
    <w:rsid w:val="00014496"/>
    <w:rsid w:val="000160F2"/>
    <w:rsid w:val="00016677"/>
    <w:rsid w:val="000223C8"/>
    <w:rsid w:val="0002392D"/>
    <w:rsid w:val="0002474B"/>
    <w:rsid w:val="00027C59"/>
    <w:rsid w:val="000324FF"/>
    <w:rsid w:val="000328E5"/>
    <w:rsid w:val="00034C96"/>
    <w:rsid w:val="000435D6"/>
    <w:rsid w:val="00043AA0"/>
    <w:rsid w:val="00043C44"/>
    <w:rsid w:val="00046DDA"/>
    <w:rsid w:val="00051C83"/>
    <w:rsid w:val="00062C0C"/>
    <w:rsid w:val="000634C4"/>
    <w:rsid w:val="000642FD"/>
    <w:rsid w:val="00066042"/>
    <w:rsid w:val="00073036"/>
    <w:rsid w:val="00073055"/>
    <w:rsid w:val="000740F5"/>
    <w:rsid w:val="00076614"/>
    <w:rsid w:val="000805F9"/>
    <w:rsid w:val="00083076"/>
    <w:rsid w:val="000841E6"/>
    <w:rsid w:val="00084C7F"/>
    <w:rsid w:val="00085184"/>
    <w:rsid w:val="000854BD"/>
    <w:rsid w:val="000915E9"/>
    <w:rsid w:val="00091ABD"/>
    <w:rsid w:val="00092CBB"/>
    <w:rsid w:val="00093248"/>
    <w:rsid w:val="00093B4A"/>
    <w:rsid w:val="00094A08"/>
    <w:rsid w:val="00094F7E"/>
    <w:rsid w:val="000955B6"/>
    <w:rsid w:val="00096CFD"/>
    <w:rsid w:val="000A383E"/>
    <w:rsid w:val="000A60A9"/>
    <w:rsid w:val="000A66E5"/>
    <w:rsid w:val="000A6F0F"/>
    <w:rsid w:val="000C5248"/>
    <w:rsid w:val="000C6C32"/>
    <w:rsid w:val="000C6F66"/>
    <w:rsid w:val="000C7EE2"/>
    <w:rsid w:val="000D0BF3"/>
    <w:rsid w:val="000D0F2C"/>
    <w:rsid w:val="000D213A"/>
    <w:rsid w:val="000D6432"/>
    <w:rsid w:val="000E2C2A"/>
    <w:rsid w:val="000E401B"/>
    <w:rsid w:val="000E4B74"/>
    <w:rsid w:val="000F08DA"/>
    <w:rsid w:val="000F346A"/>
    <w:rsid w:val="000F3AAD"/>
    <w:rsid w:val="000F5223"/>
    <w:rsid w:val="000F793C"/>
    <w:rsid w:val="001043EB"/>
    <w:rsid w:val="0010718E"/>
    <w:rsid w:val="00110F8B"/>
    <w:rsid w:val="001115EF"/>
    <w:rsid w:val="00112ACF"/>
    <w:rsid w:val="00114BA9"/>
    <w:rsid w:val="0012381D"/>
    <w:rsid w:val="00123F6C"/>
    <w:rsid w:val="00124098"/>
    <w:rsid w:val="00126303"/>
    <w:rsid w:val="00126DD6"/>
    <w:rsid w:val="00130125"/>
    <w:rsid w:val="001309A3"/>
    <w:rsid w:val="001321E1"/>
    <w:rsid w:val="00134616"/>
    <w:rsid w:val="001362F0"/>
    <w:rsid w:val="00136D88"/>
    <w:rsid w:val="001372B2"/>
    <w:rsid w:val="00144102"/>
    <w:rsid w:val="00145776"/>
    <w:rsid w:val="001461A7"/>
    <w:rsid w:val="001478AC"/>
    <w:rsid w:val="00150430"/>
    <w:rsid w:val="00151615"/>
    <w:rsid w:val="00156961"/>
    <w:rsid w:val="00161BB4"/>
    <w:rsid w:val="00163DCA"/>
    <w:rsid w:val="00164C7D"/>
    <w:rsid w:val="0017301D"/>
    <w:rsid w:val="0017677A"/>
    <w:rsid w:val="00185362"/>
    <w:rsid w:val="001856ED"/>
    <w:rsid w:val="00185FFA"/>
    <w:rsid w:val="0018634B"/>
    <w:rsid w:val="00187054"/>
    <w:rsid w:val="00191B90"/>
    <w:rsid w:val="001937A4"/>
    <w:rsid w:val="001941E0"/>
    <w:rsid w:val="0019701E"/>
    <w:rsid w:val="001A13BD"/>
    <w:rsid w:val="001A26A1"/>
    <w:rsid w:val="001A2A42"/>
    <w:rsid w:val="001A384D"/>
    <w:rsid w:val="001A4827"/>
    <w:rsid w:val="001A5449"/>
    <w:rsid w:val="001A5C3D"/>
    <w:rsid w:val="001A6400"/>
    <w:rsid w:val="001B293D"/>
    <w:rsid w:val="001B2DA1"/>
    <w:rsid w:val="001B3A8A"/>
    <w:rsid w:val="001C06BE"/>
    <w:rsid w:val="001C2B88"/>
    <w:rsid w:val="001C31E2"/>
    <w:rsid w:val="001C3EBC"/>
    <w:rsid w:val="001C4554"/>
    <w:rsid w:val="001C56F5"/>
    <w:rsid w:val="001D0A76"/>
    <w:rsid w:val="001D1B8C"/>
    <w:rsid w:val="001D56FA"/>
    <w:rsid w:val="001E3388"/>
    <w:rsid w:val="001E4ACB"/>
    <w:rsid w:val="001E592A"/>
    <w:rsid w:val="001E5A13"/>
    <w:rsid w:val="001E74A7"/>
    <w:rsid w:val="001E78D1"/>
    <w:rsid w:val="001F41C2"/>
    <w:rsid w:val="001F4A5A"/>
    <w:rsid w:val="001F6269"/>
    <w:rsid w:val="00200D4E"/>
    <w:rsid w:val="00201FCC"/>
    <w:rsid w:val="00202D4B"/>
    <w:rsid w:val="0020486C"/>
    <w:rsid w:val="00205945"/>
    <w:rsid w:val="00205DEF"/>
    <w:rsid w:val="00216BCF"/>
    <w:rsid w:val="0022049F"/>
    <w:rsid w:val="00220681"/>
    <w:rsid w:val="0022158C"/>
    <w:rsid w:val="00221EB7"/>
    <w:rsid w:val="00223467"/>
    <w:rsid w:val="00223984"/>
    <w:rsid w:val="00224D2E"/>
    <w:rsid w:val="00225AFF"/>
    <w:rsid w:val="00226BC5"/>
    <w:rsid w:val="00226EC9"/>
    <w:rsid w:val="00226F1D"/>
    <w:rsid w:val="002272DD"/>
    <w:rsid w:val="00227CE5"/>
    <w:rsid w:val="002315F1"/>
    <w:rsid w:val="00234275"/>
    <w:rsid w:val="0023582D"/>
    <w:rsid w:val="00246AD7"/>
    <w:rsid w:val="00246EF4"/>
    <w:rsid w:val="002472C5"/>
    <w:rsid w:val="002543D1"/>
    <w:rsid w:val="00257C2D"/>
    <w:rsid w:val="00260190"/>
    <w:rsid w:val="0026661E"/>
    <w:rsid w:val="00270AA1"/>
    <w:rsid w:val="002738C5"/>
    <w:rsid w:val="00273B08"/>
    <w:rsid w:val="00274949"/>
    <w:rsid w:val="00274BD0"/>
    <w:rsid w:val="00276BEF"/>
    <w:rsid w:val="002806EE"/>
    <w:rsid w:val="00280B3D"/>
    <w:rsid w:val="00285CEF"/>
    <w:rsid w:val="00293091"/>
    <w:rsid w:val="0029334E"/>
    <w:rsid w:val="00293A2D"/>
    <w:rsid w:val="00295C97"/>
    <w:rsid w:val="002A5946"/>
    <w:rsid w:val="002A76D7"/>
    <w:rsid w:val="002B584D"/>
    <w:rsid w:val="002B5885"/>
    <w:rsid w:val="002B78B0"/>
    <w:rsid w:val="002C0845"/>
    <w:rsid w:val="002C1E6D"/>
    <w:rsid w:val="002C23AB"/>
    <w:rsid w:val="002C6E22"/>
    <w:rsid w:val="002D209A"/>
    <w:rsid w:val="002D315A"/>
    <w:rsid w:val="002D32CD"/>
    <w:rsid w:val="002E2F2A"/>
    <w:rsid w:val="002E6DDD"/>
    <w:rsid w:val="002E7E12"/>
    <w:rsid w:val="003002A2"/>
    <w:rsid w:val="00303026"/>
    <w:rsid w:val="00304759"/>
    <w:rsid w:val="00304A36"/>
    <w:rsid w:val="00307F41"/>
    <w:rsid w:val="003129FA"/>
    <w:rsid w:val="00312AA0"/>
    <w:rsid w:val="0031548F"/>
    <w:rsid w:val="003154CB"/>
    <w:rsid w:val="00315886"/>
    <w:rsid w:val="00321A5C"/>
    <w:rsid w:val="00324C27"/>
    <w:rsid w:val="003324A3"/>
    <w:rsid w:val="003342D1"/>
    <w:rsid w:val="00335B79"/>
    <w:rsid w:val="00340CBE"/>
    <w:rsid w:val="00341CE5"/>
    <w:rsid w:val="00344FBC"/>
    <w:rsid w:val="0034501C"/>
    <w:rsid w:val="003460A9"/>
    <w:rsid w:val="00351EBE"/>
    <w:rsid w:val="003540E1"/>
    <w:rsid w:val="00357FA6"/>
    <w:rsid w:val="00360DE2"/>
    <w:rsid w:val="0036106E"/>
    <w:rsid w:val="00363D15"/>
    <w:rsid w:val="003650D9"/>
    <w:rsid w:val="00370DEC"/>
    <w:rsid w:val="003722F7"/>
    <w:rsid w:val="00373772"/>
    <w:rsid w:val="0037656B"/>
    <w:rsid w:val="00380FCB"/>
    <w:rsid w:val="00381C83"/>
    <w:rsid w:val="00384698"/>
    <w:rsid w:val="003874B0"/>
    <w:rsid w:val="0039049C"/>
    <w:rsid w:val="0039284A"/>
    <w:rsid w:val="00393A5A"/>
    <w:rsid w:val="0039581D"/>
    <w:rsid w:val="003B30BC"/>
    <w:rsid w:val="003B3473"/>
    <w:rsid w:val="003B40FD"/>
    <w:rsid w:val="003B629E"/>
    <w:rsid w:val="003B7743"/>
    <w:rsid w:val="003C2193"/>
    <w:rsid w:val="003C5511"/>
    <w:rsid w:val="003C7A82"/>
    <w:rsid w:val="003D21C8"/>
    <w:rsid w:val="003D60B5"/>
    <w:rsid w:val="003E2102"/>
    <w:rsid w:val="003E6777"/>
    <w:rsid w:val="003E6AFB"/>
    <w:rsid w:val="003F1CCA"/>
    <w:rsid w:val="003F448A"/>
    <w:rsid w:val="003F4B7E"/>
    <w:rsid w:val="003F5C4B"/>
    <w:rsid w:val="004001D3"/>
    <w:rsid w:val="0040186E"/>
    <w:rsid w:val="004048EF"/>
    <w:rsid w:val="00405BD3"/>
    <w:rsid w:val="00414CE8"/>
    <w:rsid w:val="0042210A"/>
    <w:rsid w:val="004228B1"/>
    <w:rsid w:val="0042586E"/>
    <w:rsid w:val="00426BDA"/>
    <w:rsid w:val="00426EAC"/>
    <w:rsid w:val="00433032"/>
    <w:rsid w:val="00435BD0"/>
    <w:rsid w:val="0043645C"/>
    <w:rsid w:val="00436712"/>
    <w:rsid w:val="00437D87"/>
    <w:rsid w:val="00440914"/>
    <w:rsid w:val="00440FF1"/>
    <w:rsid w:val="00441288"/>
    <w:rsid w:val="00441BE6"/>
    <w:rsid w:val="00443818"/>
    <w:rsid w:val="00443E54"/>
    <w:rsid w:val="004445DD"/>
    <w:rsid w:val="004512F1"/>
    <w:rsid w:val="00451E44"/>
    <w:rsid w:val="00456EE7"/>
    <w:rsid w:val="00462225"/>
    <w:rsid w:val="004627E1"/>
    <w:rsid w:val="00462EEF"/>
    <w:rsid w:val="00466906"/>
    <w:rsid w:val="00467E70"/>
    <w:rsid w:val="004729EC"/>
    <w:rsid w:val="00473A2D"/>
    <w:rsid w:val="004756EC"/>
    <w:rsid w:val="00475AAC"/>
    <w:rsid w:val="00477FB6"/>
    <w:rsid w:val="004834DC"/>
    <w:rsid w:val="004834F4"/>
    <w:rsid w:val="0048381E"/>
    <w:rsid w:val="00483D80"/>
    <w:rsid w:val="00484A39"/>
    <w:rsid w:val="00485BDA"/>
    <w:rsid w:val="004934C3"/>
    <w:rsid w:val="0049384F"/>
    <w:rsid w:val="00493B04"/>
    <w:rsid w:val="0049477B"/>
    <w:rsid w:val="00496644"/>
    <w:rsid w:val="004A2B4D"/>
    <w:rsid w:val="004A3CAD"/>
    <w:rsid w:val="004A4E39"/>
    <w:rsid w:val="004A64A4"/>
    <w:rsid w:val="004A64F2"/>
    <w:rsid w:val="004A6C9A"/>
    <w:rsid w:val="004A6E4F"/>
    <w:rsid w:val="004B439A"/>
    <w:rsid w:val="004C087B"/>
    <w:rsid w:val="004C1B27"/>
    <w:rsid w:val="004C2F46"/>
    <w:rsid w:val="004C4091"/>
    <w:rsid w:val="004C42E9"/>
    <w:rsid w:val="004C5BBE"/>
    <w:rsid w:val="004D3093"/>
    <w:rsid w:val="004D5F08"/>
    <w:rsid w:val="004E0694"/>
    <w:rsid w:val="004E479E"/>
    <w:rsid w:val="004E5D0F"/>
    <w:rsid w:val="004E7052"/>
    <w:rsid w:val="004E71BB"/>
    <w:rsid w:val="004E736C"/>
    <w:rsid w:val="004F4A36"/>
    <w:rsid w:val="004F58FA"/>
    <w:rsid w:val="004F5FF5"/>
    <w:rsid w:val="005037C7"/>
    <w:rsid w:val="0050503D"/>
    <w:rsid w:val="005058C5"/>
    <w:rsid w:val="005061A4"/>
    <w:rsid w:val="00507262"/>
    <w:rsid w:val="00510545"/>
    <w:rsid w:val="00511065"/>
    <w:rsid w:val="00514779"/>
    <w:rsid w:val="0051596E"/>
    <w:rsid w:val="00516331"/>
    <w:rsid w:val="005244B4"/>
    <w:rsid w:val="00524F0C"/>
    <w:rsid w:val="00526BDD"/>
    <w:rsid w:val="005302D0"/>
    <w:rsid w:val="005327D7"/>
    <w:rsid w:val="005351FF"/>
    <w:rsid w:val="0053724F"/>
    <w:rsid w:val="0053734C"/>
    <w:rsid w:val="00541FE0"/>
    <w:rsid w:val="00542873"/>
    <w:rsid w:val="00543029"/>
    <w:rsid w:val="00547C9E"/>
    <w:rsid w:val="005561B6"/>
    <w:rsid w:val="005567F0"/>
    <w:rsid w:val="005625D2"/>
    <w:rsid w:val="005633CE"/>
    <w:rsid w:val="00570F67"/>
    <w:rsid w:val="00570FCC"/>
    <w:rsid w:val="00573F87"/>
    <w:rsid w:val="00580144"/>
    <w:rsid w:val="0058292D"/>
    <w:rsid w:val="0058324C"/>
    <w:rsid w:val="00585925"/>
    <w:rsid w:val="005860FF"/>
    <w:rsid w:val="00594BE7"/>
    <w:rsid w:val="005A0F9A"/>
    <w:rsid w:val="005A3011"/>
    <w:rsid w:val="005A5B22"/>
    <w:rsid w:val="005A681D"/>
    <w:rsid w:val="005C0ED7"/>
    <w:rsid w:val="005D336E"/>
    <w:rsid w:val="005D3A64"/>
    <w:rsid w:val="005D4E3D"/>
    <w:rsid w:val="005D6FB0"/>
    <w:rsid w:val="005D7800"/>
    <w:rsid w:val="005E1203"/>
    <w:rsid w:val="005E27BD"/>
    <w:rsid w:val="005F0BE5"/>
    <w:rsid w:val="005F3262"/>
    <w:rsid w:val="005F3A44"/>
    <w:rsid w:val="005F595C"/>
    <w:rsid w:val="005F6C79"/>
    <w:rsid w:val="005F76E7"/>
    <w:rsid w:val="0060259C"/>
    <w:rsid w:val="006044FF"/>
    <w:rsid w:val="0060473F"/>
    <w:rsid w:val="00605CA7"/>
    <w:rsid w:val="00611587"/>
    <w:rsid w:val="00613C9B"/>
    <w:rsid w:val="0062226D"/>
    <w:rsid w:val="00624D0C"/>
    <w:rsid w:val="00624DF1"/>
    <w:rsid w:val="00626250"/>
    <w:rsid w:val="00631EAF"/>
    <w:rsid w:val="0063276C"/>
    <w:rsid w:val="00636362"/>
    <w:rsid w:val="006379AC"/>
    <w:rsid w:val="00641F4D"/>
    <w:rsid w:val="00643ABF"/>
    <w:rsid w:val="00644772"/>
    <w:rsid w:val="00647BFD"/>
    <w:rsid w:val="00651125"/>
    <w:rsid w:val="00651FF3"/>
    <w:rsid w:val="00652841"/>
    <w:rsid w:val="00654639"/>
    <w:rsid w:val="0065586E"/>
    <w:rsid w:val="00657BFA"/>
    <w:rsid w:val="0066056F"/>
    <w:rsid w:val="00660F46"/>
    <w:rsid w:val="0066154E"/>
    <w:rsid w:val="006615FA"/>
    <w:rsid w:val="00661B0A"/>
    <w:rsid w:val="00663592"/>
    <w:rsid w:val="006637F9"/>
    <w:rsid w:val="00664255"/>
    <w:rsid w:val="006657BF"/>
    <w:rsid w:val="00672F82"/>
    <w:rsid w:val="006735A9"/>
    <w:rsid w:val="00674106"/>
    <w:rsid w:val="006800DA"/>
    <w:rsid w:val="006803C8"/>
    <w:rsid w:val="006808EC"/>
    <w:rsid w:val="00681110"/>
    <w:rsid w:val="00683C76"/>
    <w:rsid w:val="00685223"/>
    <w:rsid w:val="006855A2"/>
    <w:rsid w:val="00695DB5"/>
    <w:rsid w:val="006969F6"/>
    <w:rsid w:val="00696D56"/>
    <w:rsid w:val="006A191D"/>
    <w:rsid w:val="006A37EC"/>
    <w:rsid w:val="006A73A3"/>
    <w:rsid w:val="006A77D0"/>
    <w:rsid w:val="006B2250"/>
    <w:rsid w:val="006B2F05"/>
    <w:rsid w:val="006B367B"/>
    <w:rsid w:val="006B4BF4"/>
    <w:rsid w:val="006B6E5E"/>
    <w:rsid w:val="006B774E"/>
    <w:rsid w:val="006B7BF5"/>
    <w:rsid w:val="006B7C2E"/>
    <w:rsid w:val="006B7F54"/>
    <w:rsid w:val="006C4FB3"/>
    <w:rsid w:val="006C6B45"/>
    <w:rsid w:val="006D02E7"/>
    <w:rsid w:val="006D3F4E"/>
    <w:rsid w:val="006D6301"/>
    <w:rsid w:val="006E0A9D"/>
    <w:rsid w:val="006E0E6D"/>
    <w:rsid w:val="006E1615"/>
    <w:rsid w:val="006E21E6"/>
    <w:rsid w:val="006E2F38"/>
    <w:rsid w:val="006E3187"/>
    <w:rsid w:val="006E4827"/>
    <w:rsid w:val="006E7D85"/>
    <w:rsid w:val="006F28AD"/>
    <w:rsid w:val="006F2C1E"/>
    <w:rsid w:val="006F6AD5"/>
    <w:rsid w:val="007002A3"/>
    <w:rsid w:val="007008B9"/>
    <w:rsid w:val="00701886"/>
    <w:rsid w:val="00701B59"/>
    <w:rsid w:val="00704766"/>
    <w:rsid w:val="0070483F"/>
    <w:rsid w:val="00705144"/>
    <w:rsid w:val="00706873"/>
    <w:rsid w:val="00706DA5"/>
    <w:rsid w:val="00717009"/>
    <w:rsid w:val="00720E2C"/>
    <w:rsid w:val="00721A9C"/>
    <w:rsid w:val="00723701"/>
    <w:rsid w:val="00723B28"/>
    <w:rsid w:val="00734F6A"/>
    <w:rsid w:val="0073741B"/>
    <w:rsid w:val="00741E69"/>
    <w:rsid w:val="00744503"/>
    <w:rsid w:val="00745BAB"/>
    <w:rsid w:val="00746490"/>
    <w:rsid w:val="00746E2A"/>
    <w:rsid w:val="007502A0"/>
    <w:rsid w:val="0075042F"/>
    <w:rsid w:val="00750751"/>
    <w:rsid w:val="0075213F"/>
    <w:rsid w:val="00760158"/>
    <w:rsid w:val="00763CE8"/>
    <w:rsid w:val="00763EC5"/>
    <w:rsid w:val="00764527"/>
    <w:rsid w:val="00765609"/>
    <w:rsid w:val="007660BB"/>
    <w:rsid w:val="007664AD"/>
    <w:rsid w:val="00767562"/>
    <w:rsid w:val="007731B3"/>
    <w:rsid w:val="007751F4"/>
    <w:rsid w:val="00780252"/>
    <w:rsid w:val="00781648"/>
    <w:rsid w:val="0078579C"/>
    <w:rsid w:val="0078711D"/>
    <w:rsid w:val="00790715"/>
    <w:rsid w:val="00790FF0"/>
    <w:rsid w:val="0079154A"/>
    <w:rsid w:val="00794445"/>
    <w:rsid w:val="007960B0"/>
    <w:rsid w:val="007A356E"/>
    <w:rsid w:val="007A6443"/>
    <w:rsid w:val="007B3387"/>
    <w:rsid w:val="007B4C87"/>
    <w:rsid w:val="007C0600"/>
    <w:rsid w:val="007C19B3"/>
    <w:rsid w:val="007C20ED"/>
    <w:rsid w:val="007C21AD"/>
    <w:rsid w:val="007C375C"/>
    <w:rsid w:val="007C5B6F"/>
    <w:rsid w:val="007C5B70"/>
    <w:rsid w:val="007C6286"/>
    <w:rsid w:val="007C7F9A"/>
    <w:rsid w:val="007D224C"/>
    <w:rsid w:val="007D2F4A"/>
    <w:rsid w:val="007D3818"/>
    <w:rsid w:val="007D47D0"/>
    <w:rsid w:val="007D4A6E"/>
    <w:rsid w:val="007E300C"/>
    <w:rsid w:val="007E4B09"/>
    <w:rsid w:val="007F0985"/>
    <w:rsid w:val="007F4FFC"/>
    <w:rsid w:val="007F5F57"/>
    <w:rsid w:val="007F6988"/>
    <w:rsid w:val="007F71A1"/>
    <w:rsid w:val="007F75F6"/>
    <w:rsid w:val="007F785A"/>
    <w:rsid w:val="007F7928"/>
    <w:rsid w:val="007F7CEC"/>
    <w:rsid w:val="00801561"/>
    <w:rsid w:val="00801C69"/>
    <w:rsid w:val="00803501"/>
    <w:rsid w:val="00803540"/>
    <w:rsid w:val="008046B0"/>
    <w:rsid w:val="00806F26"/>
    <w:rsid w:val="00811E04"/>
    <w:rsid w:val="00813939"/>
    <w:rsid w:val="008145E6"/>
    <w:rsid w:val="00816E27"/>
    <w:rsid w:val="0082154F"/>
    <w:rsid w:val="0082662C"/>
    <w:rsid w:val="0082709A"/>
    <w:rsid w:val="008355DE"/>
    <w:rsid w:val="0083695D"/>
    <w:rsid w:val="00843D98"/>
    <w:rsid w:val="00847BE4"/>
    <w:rsid w:val="00847FC6"/>
    <w:rsid w:val="008530B4"/>
    <w:rsid w:val="0085584C"/>
    <w:rsid w:val="00860A2E"/>
    <w:rsid w:val="00863B16"/>
    <w:rsid w:val="008646EA"/>
    <w:rsid w:val="00864F18"/>
    <w:rsid w:val="00867A6A"/>
    <w:rsid w:val="008713EB"/>
    <w:rsid w:val="00872BAA"/>
    <w:rsid w:val="00875792"/>
    <w:rsid w:val="00876CFF"/>
    <w:rsid w:val="00880D7A"/>
    <w:rsid w:val="00882092"/>
    <w:rsid w:val="00882EB6"/>
    <w:rsid w:val="00883ADE"/>
    <w:rsid w:val="00884530"/>
    <w:rsid w:val="008871BC"/>
    <w:rsid w:val="0088787B"/>
    <w:rsid w:val="0089100C"/>
    <w:rsid w:val="0089375D"/>
    <w:rsid w:val="008946B8"/>
    <w:rsid w:val="008A2243"/>
    <w:rsid w:val="008A22F2"/>
    <w:rsid w:val="008A4C76"/>
    <w:rsid w:val="008A4FD2"/>
    <w:rsid w:val="008A6CD2"/>
    <w:rsid w:val="008A74CD"/>
    <w:rsid w:val="008B0A2F"/>
    <w:rsid w:val="008B2C4D"/>
    <w:rsid w:val="008B6603"/>
    <w:rsid w:val="008B6AA2"/>
    <w:rsid w:val="008C2545"/>
    <w:rsid w:val="008C2579"/>
    <w:rsid w:val="008C31D3"/>
    <w:rsid w:val="008C4080"/>
    <w:rsid w:val="008C5116"/>
    <w:rsid w:val="008C580C"/>
    <w:rsid w:val="008C65EF"/>
    <w:rsid w:val="008D1E44"/>
    <w:rsid w:val="008D2C1C"/>
    <w:rsid w:val="008D46AE"/>
    <w:rsid w:val="008E18EA"/>
    <w:rsid w:val="008E37BB"/>
    <w:rsid w:val="008E3903"/>
    <w:rsid w:val="008E3CB0"/>
    <w:rsid w:val="008E6E7D"/>
    <w:rsid w:val="008E74BC"/>
    <w:rsid w:val="008F0749"/>
    <w:rsid w:val="008F0C24"/>
    <w:rsid w:val="008F4284"/>
    <w:rsid w:val="008F6E99"/>
    <w:rsid w:val="00907A66"/>
    <w:rsid w:val="0091396A"/>
    <w:rsid w:val="009170F6"/>
    <w:rsid w:val="00920C4D"/>
    <w:rsid w:val="00924662"/>
    <w:rsid w:val="00925703"/>
    <w:rsid w:val="00926984"/>
    <w:rsid w:val="00930C09"/>
    <w:rsid w:val="00930F41"/>
    <w:rsid w:val="0093478B"/>
    <w:rsid w:val="00936B91"/>
    <w:rsid w:val="00940A0C"/>
    <w:rsid w:val="00940DB4"/>
    <w:rsid w:val="0094153A"/>
    <w:rsid w:val="00942064"/>
    <w:rsid w:val="009516AE"/>
    <w:rsid w:val="00955612"/>
    <w:rsid w:val="00956864"/>
    <w:rsid w:val="00957533"/>
    <w:rsid w:val="0096038F"/>
    <w:rsid w:val="0096158B"/>
    <w:rsid w:val="00967714"/>
    <w:rsid w:val="00970CFF"/>
    <w:rsid w:val="0097464A"/>
    <w:rsid w:val="00975BD0"/>
    <w:rsid w:val="00981B37"/>
    <w:rsid w:val="00982BD5"/>
    <w:rsid w:val="00983A54"/>
    <w:rsid w:val="00983D86"/>
    <w:rsid w:val="00987E96"/>
    <w:rsid w:val="00991F29"/>
    <w:rsid w:val="009920C5"/>
    <w:rsid w:val="009925DB"/>
    <w:rsid w:val="00993C4E"/>
    <w:rsid w:val="009979BD"/>
    <w:rsid w:val="009A4F6E"/>
    <w:rsid w:val="009A748B"/>
    <w:rsid w:val="009B0694"/>
    <w:rsid w:val="009B3631"/>
    <w:rsid w:val="009B3CA0"/>
    <w:rsid w:val="009B5908"/>
    <w:rsid w:val="009B7A24"/>
    <w:rsid w:val="009C09A1"/>
    <w:rsid w:val="009C3E95"/>
    <w:rsid w:val="009C4B31"/>
    <w:rsid w:val="009C4D58"/>
    <w:rsid w:val="009D21C8"/>
    <w:rsid w:val="009D255A"/>
    <w:rsid w:val="009D2A2A"/>
    <w:rsid w:val="009D2B6E"/>
    <w:rsid w:val="009D4770"/>
    <w:rsid w:val="009D6EF9"/>
    <w:rsid w:val="009D715C"/>
    <w:rsid w:val="009E63AE"/>
    <w:rsid w:val="009E6909"/>
    <w:rsid w:val="009F12A5"/>
    <w:rsid w:val="009F40B9"/>
    <w:rsid w:val="009F6680"/>
    <w:rsid w:val="009F7829"/>
    <w:rsid w:val="00A02A0E"/>
    <w:rsid w:val="00A03681"/>
    <w:rsid w:val="00A07D7E"/>
    <w:rsid w:val="00A11282"/>
    <w:rsid w:val="00A1184F"/>
    <w:rsid w:val="00A12B8F"/>
    <w:rsid w:val="00A12C69"/>
    <w:rsid w:val="00A14ECD"/>
    <w:rsid w:val="00A15B48"/>
    <w:rsid w:val="00A17EAC"/>
    <w:rsid w:val="00A214E0"/>
    <w:rsid w:val="00A23CFD"/>
    <w:rsid w:val="00A2478B"/>
    <w:rsid w:val="00A27B7D"/>
    <w:rsid w:val="00A317D9"/>
    <w:rsid w:val="00A33D8C"/>
    <w:rsid w:val="00A3460D"/>
    <w:rsid w:val="00A36007"/>
    <w:rsid w:val="00A37137"/>
    <w:rsid w:val="00A37DB5"/>
    <w:rsid w:val="00A407EE"/>
    <w:rsid w:val="00A44EE3"/>
    <w:rsid w:val="00A4734E"/>
    <w:rsid w:val="00A52E60"/>
    <w:rsid w:val="00A576A8"/>
    <w:rsid w:val="00A6009C"/>
    <w:rsid w:val="00A62540"/>
    <w:rsid w:val="00A70321"/>
    <w:rsid w:val="00A7058A"/>
    <w:rsid w:val="00A74036"/>
    <w:rsid w:val="00A74F9E"/>
    <w:rsid w:val="00A80BE6"/>
    <w:rsid w:val="00A83C9E"/>
    <w:rsid w:val="00A8589F"/>
    <w:rsid w:val="00A876DA"/>
    <w:rsid w:val="00A90528"/>
    <w:rsid w:val="00A93EB0"/>
    <w:rsid w:val="00A959DB"/>
    <w:rsid w:val="00A96426"/>
    <w:rsid w:val="00A96DC8"/>
    <w:rsid w:val="00AA20CF"/>
    <w:rsid w:val="00AA24C6"/>
    <w:rsid w:val="00AB1475"/>
    <w:rsid w:val="00AB2B7D"/>
    <w:rsid w:val="00AB3430"/>
    <w:rsid w:val="00AB5499"/>
    <w:rsid w:val="00AB5E23"/>
    <w:rsid w:val="00AB6C65"/>
    <w:rsid w:val="00AC10CE"/>
    <w:rsid w:val="00AC6489"/>
    <w:rsid w:val="00AD3FDC"/>
    <w:rsid w:val="00AE3470"/>
    <w:rsid w:val="00AE3ACE"/>
    <w:rsid w:val="00AE4A46"/>
    <w:rsid w:val="00AE561A"/>
    <w:rsid w:val="00AE569A"/>
    <w:rsid w:val="00AE5DFE"/>
    <w:rsid w:val="00AF0820"/>
    <w:rsid w:val="00AF0E78"/>
    <w:rsid w:val="00AF307B"/>
    <w:rsid w:val="00AF4553"/>
    <w:rsid w:val="00B04E73"/>
    <w:rsid w:val="00B065B9"/>
    <w:rsid w:val="00B11975"/>
    <w:rsid w:val="00B12D1A"/>
    <w:rsid w:val="00B13B34"/>
    <w:rsid w:val="00B15BE6"/>
    <w:rsid w:val="00B17FD6"/>
    <w:rsid w:val="00B21439"/>
    <w:rsid w:val="00B2354A"/>
    <w:rsid w:val="00B2366F"/>
    <w:rsid w:val="00B25088"/>
    <w:rsid w:val="00B2681F"/>
    <w:rsid w:val="00B325ED"/>
    <w:rsid w:val="00B32A7F"/>
    <w:rsid w:val="00B37001"/>
    <w:rsid w:val="00B40C1A"/>
    <w:rsid w:val="00B4108C"/>
    <w:rsid w:val="00B424C9"/>
    <w:rsid w:val="00B44C4B"/>
    <w:rsid w:val="00B459AA"/>
    <w:rsid w:val="00B45FC3"/>
    <w:rsid w:val="00B460D9"/>
    <w:rsid w:val="00B46776"/>
    <w:rsid w:val="00B46E59"/>
    <w:rsid w:val="00B52F6B"/>
    <w:rsid w:val="00B53A23"/>
    <w:rsid w:val="00B56FAC"/>
    <w:rsid w:val="00B66CA8"/>
    <w:rsid w:val="00B70581"/>
    <w:rsid w:val="00B7076A"/>
    <w:rsid w:val="00B727D1"/>
    <w:rsid w:val="00B72F53"/>
    <w:rsid w:val="00B738FB"/>
    <w:rsid w:val="00B744AC"/>
    <w:rsid w:val="00B80BE8"/>
    <w:rsid w:val="00B823AC"/>
    <w:rsid w:val="00B846B2"/>
    <w:rsid w:val="00B87747"/>
    <w:rsid w:val="00B91B61"/>
    <w:rsid w:val="00B92ECD"/>
    <w:rsid w:val="00B92EED"/>
    <w:rsid w:val="00B94BE3"/>
    <w:rsid w:val="00BA143C"/>
    <w:rsid w:val="00BA24E4"/>
    <w:rsid w:val="00BA2FD3"/>
    <w:rsid w:val="00BA3CE1"/>
    <w:rsid w:val="00BA7E13"/>
    <w:rsid w:val="00BB1158"/>
    <w:rsid w:val="00BB21DE"/>
    <w:rsid w:val="00BB240C"/>
    <w:rsid w:val="00BB3353"/>
    <w:rsid w:val="00BB4D21"/>
    <w:rsid w:val="00BB5802"/>
    <w:rsid w:val="00BB60ED"/>
    <w:rsid w:val="00BB72D9"/>
    <w:rsid w:val="00BC50D0"/>
    <w:rsid w:val="00BC5121"/>
    <w:rsid w:val="00BD258D"/>
    <w:rsid w:val="00BD3FF0"/>
    <w:rsid w:val="00BD5642"/>
    <w:rsid w:val="00BE002B"/>
    <w:rsid w:val="00BE22CE"/>
    <w:rsid w:val="00BE56CB"/>
    <w:rsid w:val="00BE633C"/>
    <w:rsid w:val="00BF0BB2"/>
    <w:rsid w:val="00BF1FA5"/>
    <w:rsid w:val="00BF2DFE"/>
    <w:rsid w:val="00BF3088"/>
    <w:rsid w:val="00BF5C78"/>
    <w:rsid w:val="00BF5E0E"/>
    <w:rsid w:val="00BF62F2"/>
    <w:rsid w:val="00BF7C2F"/>
    <w:rsid w:val="00C010F9"/>
    <w:rsid w:val="00C03B38"/>
    <w:rsid w:val="00C07B46"/>
    <w:rsid w:val="00C20012"/>
    <w:rsid w:val="00C21896"/>
    <w:rsid w:val="00C2253F"/>
    <w:rsid w:val="00C24E52"/>
    <w:rsid w:val="00C27196"/>
    <w:rsid w:val="00C3006B"/>
    <w:rsid w:val="00C3021D"/>
    <w:rsid w:val="00C3077D"/>
    <w:rsid w:val="00C32B14"/>
    <w:rsid w:val="00C34F41"/>
    <w:rsid w:val="00C35D2E"/>
    <w:rsid w:val="00C36457"/>
    <w:rsid w:val="00C367AB"/>
    <w:rsid w:val="00C37A77"/>
    <w:rsid w:val="00C40EF2"/>
    <w:rsid w:val="00C43940"/>
    <w:rsid w:val="00C44DE2"/>
    <w:rsid w:val="00C4523E"/>
    <w:rsid w:val="00C452A4"/>
    <w:rsid w:val="00C521BE"/>
    <w:rsid w:val="00C54744"/>
    <w:rsid w:val="00C55822"/>
    <w:rsid w:val="00C63A1A"/>
    <w:rsid w:val="00C66DDF"/>
    <w:rsid w:val="00C71D97"/>
    <w:rsid w:val="00C71F45"/>
    <w:rsid w:val="00C7409A"/>
    <w:rsid w:val="00C74CF3"/>
    <w:rsid w:val="00C75482"/>
    <w:rsid w:val="00C77096"/>
    <w:rsid w:val="00C80EE7"/>
    <w:rsid w:val="00C8346B"/>
    <w:rsid w:val="00C844A2"/>
    <w:rsid w:val="00C84B81"/>
    <w:rsid w:val="00C863D3"/>
    <w:rsid w:val="00C86C48"/>
    <w:rsid w:val="00C87EF1"/>
    <w:rsid w:val="00C91E93"/>
    <w:rsid w:val="00C96AC2"/>
    <w:rsid w:val="00C97BF3"/>
    <w:rsid w:val="00CA0BEA"/>
    <w:rsid w:val="00CA123A"/>
    <w:rsid w:val="00CA67AB"/>
    <w:rsid w:val="00CB1A9B"/>
    <w:rsid w:val="00CB463B"/>
    <w:rsid w:val="00CB79E8"/>
    <w:rsid w:val="00CB7BBA"/>
    <w:rsid w:val="00CC3CB7"/>
    <w:rsid w:val="00CC51C9"/>
    <w:rsid w:val="00CC526B"/>
    <w:rsid w:val="00CC72D9"/>
    <w:rsid w:val="00CD11DC"/>
    <w:rsid w:val="00CD29E9"/>
    <w:rsid w:val="00CD3152"/>
    <w:rsid w:val="00CE175F"/>
    <w:rsid w:val="00CE32A7"/>
    <w:rsid w:val="00CE35C1"/>
    <w:rsid w:val="00CE450D"/>
    <w:rsid w:val="00CE4B49"/>
    <w:rsid w:val="00CF11F0"/>
    <w:rsid w:val="00CF1B95"/>
    <w:rsid w:val="00CF23E0"/>
    <w:rsid w:val="00CF42C0"/>
    <w:rsid w:val="00CF49BA"/>
    <w:rsid w:val="00CF78A3"/>
    <w:rsid w:val="00D01C48"/>
    <w:rsid w:val="00D0497F"/>
    <w:rsid w:val="00D11D56"/>
    <w:rsid w:val="00D122CC"/>
    <w:rsid w:val="00D124AE"/>
    <w:rsid w:val="00D14EF9"/>
    <w:rsid w:val="00D20016"/>
    <w:rsid w:val="00D217C1"/>
    <w:rsid w:val="00D2539F"/>
    <w:rsid w:val="00D31231"/>
    <w:rsid w:val="00D3346A"/>
    <w:rsid w:val="00D34A8E"/>
    <w:rsid w:val="00D37028"/>
    <w:rsid w:val="00D37330"/>
    <w:rsid w:val="00D3753F"/>
    <w:rsid w:val="00D40A8C"/>
    <w:rsid w:val="00D42FF3"/>
    <w:rsid w:val="00D43007"/>
    <w:rsid w:val="00D51949"/>
    <w:rsid w:val="00D519D4"/>
    <w:rsid w:val="00D52D6D"/>
    <w:rsid w:val="00D5364E"/>
    <w:rsid w:val="00D5572F"/>
    <w:rsid w:val="00D6024D"/>
    <w:rsid w:val="00D61738"/>
    <w:rsid w:val="00D67679"/>
    <w:rsid w:val="00D70570"/>
    <w:rsid w:val="00D75AE8"/>
    <w:rsid w:val="00D760B1"/>
    <w:rsid w:val="00D806BB"/>
    <w:rsid w:val="00D849E1"/>
    <w:rsid w:val="00D84DFF"/>
    <w:rsid w:val="00D87590"/>
    <w:rsid w:val="00D87D74"/>
    <w:rsid w:val="00D922FC"/>
    <w:rsid w:val="00D94ED7"/>
    <w:rsid w:val="00D97C86"/>
    <w:rsid w:val="00DA1976"/>
    <w:rsid w:val="00DA4382"/>
    <w:rsid w:val="00DA7C31"/>
    <w:rsid w:val="00DB00C4"/>
    <w:rsid w:val="00DB0DDC"/>
    <w:rsid w:val="00DB14CE"/>
    <w:rsid w:val="00DB2B4D"/>
    <w:rsid w:val="00DB544A"/>
    <w:rsid w:val="00DC03E7"/>
    <w:rsid w:val="00DC55B7"/>
    <w:rsid w:val="00DD0086"/>
    <w:rsid w:val="00DD26CB"/>
    <w:rsid w:val="00DD4C9D"/>
    <w:rsid w:val="00DD6137"/>
    <w:rsid w:val="00DD7442"/>
    <w:rsid w:val="00DD7F8B"/>
    <w:rsid w:val="00DE2862"/>
    <w:rsid w:val="00DE3E35"/>
    <w:rsid w:val="00DE4795"/>
    <w:rsid w:val="00DE6918"/>
    <w:rsid w:val="00DE739D"/>
    <w:rsid w:val="00DE7912"/>
    <w:rsid w:val="00DF68C1"/>
    <w:rsid w:val="00E010A5"/>
    <w:rsid w:val="00E01165"/>
    <w:rsid w:val="00E024CE"/>
    <w:rsid w:val="00E04449"/>
    <w:rsid w:val="00E10B1B"/>
    <w:rsid w:val="00E11128"/>
    <w:rsid w:val="00E12E9D"/>
    <w:rsid w:val="00E13BBE"/>
    <w:rsid w:val="00E1423F"/>
    <w:rsid w:val="00E1670E"/>
    <w:rsid w:val="00E23436"/>
    <w:rsid w:val="00E30859"/>
    <w:rsid w:val="00E31D7F"/>
    <w:rsid w:val="00E32BEF"/>
    <w:rsid w:val="00E3357C"/>
    <w:rsid w:val="00E3573C"/>
    <w:rsid w:val="00E37D94"/>
    <w:rsid w:val="00E400CE"/>
    <w:rsid w:val="00E40605"/>
    <w:rsid w:val="00E41134"/>
    <w:rsid w:val="00E42775"/>
    <w:rsid w:val="00E4412F"/>
    <w:rsid w:val="00E4464F"/>
    <w:rsid w:val="00E4553C"/>
    <w:rsid w:val="00E45FFC"/>
    <w:rsid w:val="00E47C8A"/>
    <w:rsid w:val="00E5116F"/>
    <w:rsid w:val="00E533E6"/>
    <w:rsid w:val="00E5387A"/>
    <w:rsid w:val="00E5404E"/>
    <w:rsid w:val="00E55D30"/>
    <w:rsid w:val="00E73152"/>
    <w:rsid w:val="00E77F39"/>
    <w:rsid w:val="00E80835"/>
    <w:rsid w:val="00E83522"/>
    <w:rsid w:val="00E85F4E"/>
    <w:rsid w:val="00E87CE5"/>
    <w:rsid w:val="00E90754"/>
    <w:rsid w:val="00E94688"/>
    <w:rsid w:val="00E94CD4"/>
    <w:rsid w:val="00E95E88"/>
    <w:rsid w:val="00EA1C98"/>
    <w:rsid w:val="00EA1DF5"/>
    <w:rsid w:val="00EA1EA1"/>
    <w:rsid w:val="00EA3CCC"/>
    <w:rsid w:val="00EA7243"/>
    <w:rsid w:val="00EA7670"/>
    <w:rsid w:val="00EB693B"/>
    <w:rsid w:val="00EB74A3"/>
    <w:rsid w:val="00EC1FC4"/>
    <w:rsid w:val="00EC2553"/>
    <w:rsid w:val="00EC5627"/>
    <w:rsid w:val="00EC6CEF"/>
    <w:rsid w:val="00EC6E48"/>
    <w:rsid w:val="00EC71CD"/>
    <w:rsid w:val="00ED0586"/>
    <w:rsid w:val="00ED565D"/>
    <w:rsid w:val="00ED616D"/>
    <w:rsid w:val="00ED64C4"/>
    <w:rsid w:val="00EE2536"/>
    <w:rsid w:val="00EE50A2"/>
    <w:rsid w:val="00EF0BEC"/>
    <w:rsid w:val="00F02156"/>
    <w:rsid w:val="00F044CE"/>
    <w:rsid w:val="00F04B46"/>
    <w:rsid w:val="00F07252"/>
    <w:rsid w:val="00F119AF"/>
    <w:rsid w:val="00F1494D"/>
    <w:rsid w:val="00F14BD4"/>
    <w:rsid w:val="00F16DC7"/>
    <w:rsid w:val="00F21DA5"/>
    <w:rsid w:val="00F21DE3"/>
    <w:rsid w:val="00F24D06"/>
    <w:rsid w:val="00F27C18"/>
    <w:rsid w:val="00F36BBA"/>
    <w:rsid w:val="00F373B1"/>
    <w:rsid w:val="00F417C5"/>
    <w:rsid w:val="00F516D6"/>
    <w:rsid w:val="00F559CF"/>
    <w:rsid w:val="00F5654B"/>
    <w:rsid w:val="00F60F14"/>
    <w:rsid w:val="00F61319"/>
    <w:rsid w:val="00F65A94"/>
    <w:rsid w:val="00F72D6B"/>
    <w:rsid w:val="00F72E24"/>
    <w:rsid w:val="00F763E8"/>
    <w:rsid w:val="00F84A19"/>
    <w:rsid w:val="00F8742E"/>
    <w:rsid w:val="00F91851"/>
    <w:rsid w:val="00F95277"/>
    <w:rsid w:val="00F958DB"/>
    <w:rsid w:val="00F96B26"/>
    <w:rsid w:val="00FA062A"/>
    <w:rsid w:val="00FA1AF0"/>
    <w:rsid w:val="00FA1C3B"/>
    <w:rsid w:val="00FA3E1E"/>
    <w:rsid w:val="00FA4CB5"/>
    <w:rsid w:val="00FA56B4"/>
    <w:rsid w:val="00FA5709"/>
    <w:rsid w:val="00FB05F7"/>
    <w:rsid w:val="00FB134D"/>
    <w:rsid w:val="00FB18C6"/>
    <w:rsid w:val="00FB23FC"/>
    <w:rsid w:val="00FC182B"/>
    <w:rsid w:val="00FC351C"/>
    <w:rsid w:val="00FC666C"/>
    <w:rsid w:val="00FD366D"/>
    <w:rsid w:val="00FD4587"/>
    <w:rsid w:val="00FD4C7E"/>
    <w:rsid w:val="00FE2FB5"/>
    <w:rsid w:val="00FE2FF5"/>
    <w:rsid w:val="00FE4EAD"/>
    <w:rsid w:val="00FE7D12"/>
    <w:rsid w:val="00FF1B66"/>
    <w:rsid w:val="00FF2940"/>
    <w:rsid w:val="00FF38AC"/>
    <w:rsid w:val="00FF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EF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E Funotenzeichen,A,Footnote Reference1,Style 20,Style 34,Style 4,Style 9,callout,Ref,Style 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rPr>
      <w:sz w:val="20"/>
    </w:rPr>
  </w:style>
  <w:style w:type="paragraph" w:customStyle="1" w:styleId="Framecontents">
    <w:name w:val="Frame contents"/>
    <w:basedOn w:val="BodyText"/>
  </w:style>
  <w:style w:type="paragraph" w:customStyle="1" w:styleId="ParaNum">
    <w:name w:val="ParaNum"/>
    <w:basedOn w:val="Normal"/>
    <w:link w:val="ParaNumChar"/>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CommentTextChar">
    <w:name w:val="Comment Text Char"/>
    <w:basedOn w:val="DefaultParagraphFont"/>
    <w:link w:val="CommentText"/>
    <w:rsid w:val="00F119AF"/>
    <w:rPr>
      <w:kern w:val="1"/>
      <w:lang w:eastAsia="ar-SA"/>
    </w:rPr>
  </w:style>
  <w:style w:type="table" w:styleId="TableGrid">
    <w:name w:val="Table Grid"/>
    <w:basedOn w:val="TableNormal"/>
    <w:rsid w:val="00D1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13A"/>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4C40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E Funotenzeichen,A,Footnote Reference1,Style 20,Style 34,Style 4,Style 9,callout,Ref,Style 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rPr>
      <w:sz w:val="20"/>
    </w:rPr>
  </w:style>
  <w:style w:type="paragraph" w:customStyle="1" w:styleId="Framecontents">
    <w:name w:val="Frame contents"/>
    <w:basedOn w:val="BodyText"/>
  </w:style>
  <w:style w:type="paragraph" w:customStyle="1" w:styleId="ParaNum">
    <w:name w:val="ParaNum"/>
    <w:basedOn w:val="Normal"/>
    <w:link w:val="ParaNumChar"/>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CommentTextChar">
    <w:name w:val="Comment Text Char"/>
    <w:basedOn w:val="DefaultParagraphFont"/>
    <w:link w:val="CommentText"/>
    <w:rsid w:val="00F119AF"/>
    <w:rPr>
      <w:kern w:val="1"/>
      <w:lang w:eastAsia="ar-SA"/>
    </w:rPr>
  </w:style>
  <w:style w:type="table" w:styleId="TableGrid">
    <w:name w:val="Table Grid"/>
    <w:basedOn w:val="TableNormal"/>
    <w:rsid w:val="00D1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13A"/>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4C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361">
      <w:bodyDiv w:val="1"/>
      <w:marLeft w:val="0"/>
      <w:marRight w:val="0"/>
      <w:marTop w:val="0"/>
      <w:marBottom w:val="0"/>
      <w:divBdr>
        <w:top w:val="none" w:sz="0" w:space="0" w:color="auto"/>
        <w:left w:val="none" w:sz="0" w:space="0" w:color="auto"/>
        <w:bottom w:val="none" w:sz="0" w:space="0" w:color="auto"/>
        <w:right w:val="none" w:sz="0" w:space="0" w:color="auto"/>
      </w:divBdr>
    </w:div>
    <w:div w:id="32848137">
      <w:bodyDiv w:val="1"/>
      <w:marLeft w:val="0"/>
      <w:marRight w:val="0"/>
      <w:marTop w:val="0"/>
      <w:marBottom w:val="0"/>
      <w:divBdr>
        <w:top w:val="none" w:sz="0" w:space="0" w:color="auto"/>
        <w:left w:val="none" w:sz="0" w:space="0" w:color="auto"/>
        <w:bottom w:val="none" w:sz="0" w:space="0" w:color="auto"/>
        <w:right w:val="none" w:sz="0" w:space="0" w:color="auto"/>
      </w:divBdr>
    </w:div>
    <w:div w:id="224068096">
      <w:bodyDiv w:val="1"/>
      <w:marLeft w:val="0"/>
      <w:marRight w:val="0"/>
      <w:marTop w:val="0"/>
      <w:marBottom w:val="0"/>
      <w:divBdr>
        <w:top w:val="none" w:sz="0" w:space="0" w:color="auto"/>
        <w:left w:val="none" w:sz="0" w:space="0" w:color="auto"/>
        <w:bottom w:val="none" w:sz="0" w:space="0" w:color="auto"/>
        <w:right w:val="none" w:sz="0" w:space="0" w:color="auto"/>
      </w:divBdr>
    </w:div>
    <w:div w:id="319820575">
      <w:bodyDiv w:val="1"/>
      <w:marLeft w:val="0"/>
      <w:marRight w:val="0"/>
      <w:marTop w:val="0"/>
      <w:marBottom w:val="0"/>
      <w:divBdr>
        <w:top w:val="none" w:sz="0" w:space="0" w:color="auto"/>
        <w:left w:val="none" w:sz="0" w:space="0" w:color="auto"/>
        <w:bottom w:val="none" w:sz="0" w:space="0" w:color="auto"/>
        <w:right w:val="none" w:sz="0" w:space="0" w:color="auto"/>
      </w:divBdr>
    </w:div>
    <w:div w:id="371655276">
      <w:bodyDiv w:val="1"/>
      <w:marLeft w:val="0"/>
      <w:marRight w:val="0"/>
      <w:marTop w:val="0"/>
      <w:marBottom w:val="0"/>
      <w:divBdr>
        <w:top w:val="none" w:sz="0" w:space="0" w:color="auto"/>
        <w:left w:val="none" w:sz="0" w:space="0" w:color="auto"/>
        <w:bottom w:val="none" w:sz="0" w:space="0" w:color="auto"/>
        <w:right w:val="none" w:sz="0" w:space="0" w:color="auto"/>
      </w:divBdr>
    </w:div>
    <w:div w:id="509411812">
      <w:bodyDiv w:val="1"/>
      <w:marLeft w:val="0"/>
      <w:marRight w:val="0"/>
      <w:marTop w:val="0"/>
      <w:marBottom w:val="0"/>
      <w:divBdr>
        <w:top w:val="none" w:sz="0" w:space="0" w:color="auto"/>
        <w:left w:val="none" w:sz="0" w:space="0" w:color="auto"/>
        <w:bottom w:val="none" w:sz="0" w:space="0" w:color="auto"/>
        <w:right w:val="none" w:sz="0" w:space="0" w:color="auto"/>
      </w:divBdr>
    </w:div>
    <w:div w:id="571500397">
      <w:bodyDiv w:val="1"/>
      <w:marLeft w:val="0"/>
      <w:marRight w:val="0"/>
      <w:marTop w:val="0"/>
      <w:marBottom w:val="0"/>
      <w:divBdr>
        <w:top w:val="none" w:sz="0" w:space="0" w:color="auto"/>
        <w:left w:val="none" w:sz="0" w:space="0" w:color="auto"/>
        <w:bottom w:val="none" w:sz="0" w:space="0" w:color="auto"/>
        <w:right w:val="none" w:sz="0" w:space="0" w:color="auto"/>
      </w:divBdr>
    </w:div>
    <w:div w:id="760688780">
      <w:bodyDiv w:val="1"/>
      <w:marLeft w:val="0"/>
      <w:marRight w:val="0"/>
      <w:marTop w:val="0"/>
      <w:marBottom w:val="0"/>
      <w:divBdr>
        <w:top w:val="none" w:sz="0" w:space="0" w:color="auto"/>
        <w:left w:val="none" w:sz="0" w:space="0" w:color="auto"/>
        <w:bottom w:val="none" w:sz="0" w:space="0" w:color="auto"/>
        <w:right w:val="none" w:sz="0" w:space="0" w:color="auto"/>
      </w:divBdr>
    </w:div>
    <w:div w:id="811799327">
      <w:bodyDiv w:val="1"/>
      <w:marLeft w:val="0"/>
      <w:marRight w:val="0"/>
      <w:marTop w:val="0"/>
      <w:marBottom w:val="0"/>
      <w:divBdr>
        <w:top w:val="none" w:sz="0" w:space="0" w:color="auto"/>
        <w:left w:val="none" w:sz="0" w:space="0" w:color="auto"/>
        <w:bottom w:val="none" w:sz="0" w:space="0" w:color="auto"/>
        <w:right w:val="none" w:sz="0" w:space="0" w:color="auto"/>
      </w:divBdr>
      <w:divsChild>
        <w:div w:id="447893651">
          <w:marLeft w:val="0"/>
          <w:marRight w:val="0"/>
          <w:marTop w:val="0"/>
          <w:marBottom w:val="0"/>
          <w:divBdr>
            <w:top w:val="none" w:sz="0" w:space="0" w:color="auto"/>
            <w:left w:val="none" w:sz="0" w:space="0" w:color="auto"/>
            <w:bottom w:val="none" w:sz="0" w:space="0" w:color="auto"/>
            <w:right w:val="none" w:sz="0" w:space="0" w:color="auto"/>
          </w:divBdr>
          <w:divsChild>
            <w:div w:id="1177421662">
              <w:marLeft w:val="0"/>
              <w:marRight w:val="0"/>
              <w:marTop w:val="0"/>
              <w:marBottom w:val="0"/>
              <w:divBdr>
                <w:top w:val="none" w:sz="0" w:space="0" w:color="auto"/>
                <w:left w:val="none" w:sz="0" w:space="0" w:color="auto"/>
                <w:bottom w:val="none" w:sz="0" w:space="0" w:color="auto"/>
                <w:right w:val="none" w:sz="0" w:space="0" w:color="auto"/>
              </w:divBdr>
              <w:divsChild>
                <w:div w:id="1134518507">
                  <w:marLeft w:val="150"/>
                  <w:marRight w:val="150"/>
                  <w:marTop w:val="150"/>
                  <w:marBottom w:val="0"/>
                  <w:divBdr>
                    <w:top w:val="none" w:sz="0" w:space="0" w:color="auto"/>
                    <w:left w:val="none" w:sz="0" w:space="0" w:color="auto"/>
                    <w:bottom w:val="none" w:sz="0" w:space="0" w:color="auto"/>
                    <w:right w:val="none" w:sz="0" w:space="0" w:color="auto"/>
                  </w:divBdr>
                  <w:divsChild>
                    <w:div w:id="1835871847">
                      <w:marLeft w:val="0"/>
                      <w:marRight w:val="0"/>
                      <w:marTop w:val="150"/>
                      <w:marBottom w:val="0"/>
                      <w:divBdr>
                        <w:top w:val="none" w:sz="0" w:space="0" w:color="auto"/>
                        <w:left w:val="none" w:sz="0" w:space="0" w:color="auto"/>
                        <w:bottom w:val="none" w:sz="0" w:space="0" w:color="auto"/>
                        <w:right w:val="none" w:sz="0" w:space="0" w:color="auto"/>
                      </w:divBdr>
                      <w:divsChild>
                        <w:div w:id="1200556052">
                          <w:marLeft w:val="0"/>
                          <w:marRight w:val="0"/>
                          <w:marTop w:val="0"/>
                          <w:marBottom w:val="0"/>
                          <w:divBdr>
                            <w:top w:val="none" w:sz="0" w:space="0" w:color="auto"/>
                            <w:left w:val="none" w:sz="0" w:space="0" w:color="auto"/>
                            <w:bottom w:val="none" w:sz="0" w:space="0" w:color="auto"/>
                            <w:right w:val="none" w:sz="0" w:space="0" w:color="auto"/>
                          </w:divBdr>
                          <w:divsChild>
                            <w:div w:id="552426791">
                              <w:marLeft w:val="0"/>
                              <w:marRight w:val="0"/>
                              <w:marTop w:val="0"/>
                              <w:marBottom w:val="0"/>
                              <w:divBdr>
                                <w:top w:val="none" w:sz="0" w:space="0" w:color="auto"/>
                                <w:left w:val="none" w:sz="0" w:space="0" w:color="auto"/>
                                <w:bottom w:val="none" w:sz="0" w:space="0" w:color="auto"/>
                                <w:right w:val="none" w:sz="0" w:space="0" w:color="auto"/>
                              </w:divBdr>
                              <w:divsChild>
                                <w:div w:id="197549096">
                                  <w:marLeft w:val="0"/>
                                  <w:marRight w:val="0"/>
                                  <w:marTop w:val="0"/>
                                  <w:marBottom w:val="0"/>
                                  <w:divBdr>
                                    <w:top w:val="none" w:sz="0" w:space="0" w:color="auto"/>
                                    <w:left w:val="none" w:sz="0" w:space="0" w:color="auto"/>
                                    <w:bottom w:val="none" w:sz="0" w:space="0" w:color="auto"/>
                                    <w:right w:val="none" w:sz="0" w:space="0" w:color="auto"/>
                                  </w:divBdr>
                                  <w:divsChild>
                                    <w:div w:id="1399671360">
                                      <w:marLeft w:val="0"/>
                                      <w:marRight w:val="0"/>
                                      <w:marTop w:val="0"/>
                                      <w:marBottom w:val="0"/>
                                      <w:divBdr>
                                        <w:top w:val="none" w:sz="0" w:space="0" w:color="auto"/>
                                        <w:left w:val="none" w:sz="0" w:space="0" w:color="auto"/>
                                        <w:bottom w:val="none" w:sz="0" w:space="0" w:color="auto"/>
                                        <w:right w:val="none" w:sz="0" w:space="0" w:color="auto"/>
                                      </w:divBdr>
                                      <w:divsChild>
                                        <w:div w:id="800538440">
                                          <w:marLeft w:val="0"/>
                                          <w:marRight w:val="0"/>
                                          <w:marTop w:val="0"/>
                                          <w:marBottom w:val="0"/>
                                          <w:divBdr>
                                            <w:top w:val="none" w:sz="0" w:space="0" w:color="auto"/>
                                            <w:left w:val="none" w:sz="0" w:space="0" w:color="auto"/>
                                            <w:bottom w:val="none" w:sz="0" w:space="0" w:color="auto"/>
                                            <w:right w:val="none" w:sz="0" w:space="0" w:color="auto"/>
                                          </w:divBdr>
                                          <w:divsChild>
                                            <w:div w:id="1264075488">
                                              <w:marLeft w:val="0"/>
                                              <w:marRight w:val="0"/>
                                              <w:marTop w:val="0"/>
                                              <w:marBottom w:val="0"/>
                                              <w:divBdr>
                                                <w:top w:val="none" w:sz="0" w:space="0" w:color="auto"/>
                                                <w:left w:val="none" w:sz="0" w:space="0" w:color="auto"/>
                                                <w:bottom w:val="none" w:sz="0" w:space="0" w:color="auto"/>
                                                <w:right w:val="none" w:sz="0" w:space="0" w:color="auto"/>
                                              </w:divBdr>
                                            </w:div>
                                            <w:div w:id="1919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502234">
      <w:bodyDiv w:val="1"/>
      <w:marLeft w:val="0"/>
      <w:marRight w:val="0"/>
      <w:marTop w:val="0"/>
      <w:marBottom w:val="0"/>
      <w:divBdr>
        <w:top w:val="none" w:sz="0" w:space="0" w:color="auto"/>
        <w:left w:val="none" w:sz="0" w:space="0" w:color="auto"/>
        <w:bottom w:val="none" w:sz="0" w:space="0" w:color="auto"/>
        <w:right w:val="none" w:sz="0" w:space="0" w:color="auto"/>
      </w:divBdr>
    </w:div>
    <w:div w:id="947355014">
      <w:bodyDiv w:val="1"/>
      <w:marLeft w:val="0"/>
      <w:marRight w:val="0"/>
      <w:marTop w:val="0"/>
      <w:marBottom w:val="0"/>
      <w:divBdr>
        <w:top w:val="none" w:sz="0" w:space="0" w:color="auto"/>
        <w:left w:val="none" w:sz="0" w:space="0" w:color="auto"/>
        <w:bottom w:val="none" w:sz="0" w:space="0" w:color="auto"/>
        <w:right w:val="none" w:sz="0" w:space="0" w:color="auto"/>
      </w:divBdr>
    </w:div>
    <w:div w:id="998003885">
      <w:bodyDiv w:val="1"/>
      <w:marLeft w:val="0"/>
      <w:marRight w:val="0"/>
      <w:marTop w:val="0"/>
      <w:marBottom w:val="0"/>
      <w:divBdr>
        <w:top w:val="none" w:sz="0" w:space="0" w:color="auto"/>
        <w:left w:val="none" w:sz="0" w:space="0" w:color="auto"/>
        <w:bottom w:val="none" w:sz="0" w:space="0" w:color="auto"/>
        <w:right w:val="none" w:sz="0" w:space="0" w:color="auto"/>
      </w:divBdr>
    </w:div>
    <w:div w:id="1036081423">
      <w:bodyDiv w:val="1"/>
      <w:marLeft w:val="0"/>
      <w:marRight w:val="0"/>
      <w:marTop w:val="0"/>
      <w:marBottom w:val="0"/>
      <w:divBdr>
        <w:top w:val="none" w:sz="0" w:space="0" w:color="auto"/>
        <w:left w:val="none" w:sz="0" w:space="0" w:color="auto"/>
        <w:bottom w:val="none" w:sz="0" w:space="0" w:color="auto"/>
        <w:right w:val="none" w:sz="0" w:space="0" w:color="auto"/>
      </w:divBdr>
    </w:div>
    <w:div w:id="1086418449">
      <w:bodyDiv w:val="1"/>
      <w:marLeft w:val="0"/>
      <w:marRight w:val="0"/>
      <w:marTop w:val="0"/>
      <w:marBottom w:val="0"/>
      <w:divBdr>
        <w:top w:val="none" w:sz="0" w:space="0" w:color="auto"/>
        <w:left w:val="none" w:sz="0" w:space="0" w:color="auto"/>
        <w:bottom w:val="none" w:sz="0" w:space="0" w:color="auto"/>
        <w:right w:val="none" w:sz="0" w:space="0" w:color="auto"/>
      </w:divBdr>
    </w:div>
    <w:div w:id="1134711842">
      <w:bodyDiv w:val="1"/>
      <w:marLeft w:val="0"/>
      <w:marRight w:val="0"/>
      <w:marTop w:val="0"/>
      <w:marBottom w:val="0"/>
      <w:divBdr>
        <w:top w:val="none" w:sz="0" w:space="0" w:color="auto"/>
        <w:left w:val="none" w:sz="0" w:space="0" w:color="auto"/>
        <w:bottom w:val="none" w:sz="0" w:space="0" w:color="auto"/>
        <w:right w:val="none" w:sz="0" w:space="0" w:color="auto"/>
      </w:divBdr>
    </w:div>
    <w:div w:id="1803569627">
      <w:bodyDiv w:val="1"/>
      <w:marLeft w:val="0"/>
      <w:marRight w:val="0"/>
      <w:marTop w:val="0"/>
      <w:marBottom w:val="0"/>
      <w:divBdr>
        <w:top w:val="none" w:sz="0" w:space="0" w:color="auto"/>
        <w:left w:val="none" w:sz="0" w:space="0" w:color="auto"/>
        <w:bottom w:val="none" w:sz="0" w:space="0" w:color="auto"/>
        <w:right w:val="none" w:sz="0" w:space="0" w:color="auto"/>
      </w:divBdr>
    </w:div>
    <w:div w:id="2066640082">
      <w:bodyDiv w:val="1"/>
      <w:marLeft w:val="0"/>
      <w:marRight w:val="0"/>
      <w:marTop w:val="0"/>
      <w:marBottom w:val="0"/>
      <w:divBdr>
        <w:top w:val="none" w:sz="0" w:space="0" w:color="auto"/>
        <w:left w:val="none" w:sz="0" w:space="0" w:color="auto"/>
        <w:bottom w:val="none" w:sz="0" w:space="0" w:color="auto"/>
        <w:right w:val="none" w:sz="0" w:space="0" w:color="auto"/>
      </w:divBdr>
      <w:divsChild>
        <w:div w:id="453793408">
          <w:marLeft w:val="0"/>
          <w:marRight w:val="0"/>
          <w:marTop w:val="0"/>
          <w:marBottom w:val="0"/>
          <w:divBdr>
            <w:top w:val="none" w:sz="0" w:space="0" w:color="auto"/>
            <w:left w:val="none" w:sz="0" w:space="0" w:color="auto"/>
            <w:bottom w:val="none" w:sz="0" w:space="0" w:color="auto"/>
            <w:right w:val="none" w:sz="0" w:space="0" w:color="auto"/>
          </w:divBdr>
          <w:divsChild>
            <w:div w:id="8072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9/DCB_h.pdf" TargetMode="External"/><Relationship Id="rId2" Type="http://schemas.openxmlformats.org/officeDocument/2006/relationships/hyperlink" Target="https://www.fcc.gov/licensing-databases/fcc-user-login" TargetMode="External"/><Relationship Id="rId1" Type="http://schemas.openxmlformats.org/officeDocument/2006/relationships/hyperlink" Target="https://www.fcc.gov/file/1226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66467583AD448E333C24CB8BB287" ma:contentTypeVersion="9" ma:contentTypeDescription="Create a new document." ma:contentTypeScope="" ma:versionID="e1cef016caa3d76c36bfe28f50a1de0c">
  <xsd:schema xmlns:xsd="http://www.w3.org/2001/XMLSchema" xmlns:xs="http://www.w3.org/2001/XMLSchema" xmlns:p="http://schemas.microsoft.com/office/2006/metadata/properties" xmlns:ns3="b2a659ec-8df1-42a6-a524-aadcbf1114a3" xmlns:ns4="dcd13972-e7b3-488c-ba07-7adb986b709b" targetNamespace="http://schemas.microsoft.com/office/2006/metadata/properties" ma:root="true" ma:fieldsID="4ea6ab3b0a143e2b533ce6dba7fc4473" ns3:_="" ns4:_="">
    <xsd:import namespace="b2a659ec-8df1-42a6-a524-aadcbf1114a3"/>
    <xsd:import namespace="dcd13972-e7b3-488c-ba07-7adb986b7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659ec-8df1-42a6-a524-aadcbf111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13972-e7b3-488c-ba07-7adb986b7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2C5C-885E-44D9-9258-3FEEEB24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659ec-8df1-42a6-a524-aadcbf1114a3"/>
    <ds:schemaRef ds:uri="dcd13972-e7b3-488c-ba07-7adb986b7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5F60E-1B64-4A72-961A-5ACAF2BB5D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F3DD4-28E9-4A0D-9B53-B486A53214DA}">
  <ds:schemaRefs>
    <ds:schemaRef ds:uri="http://schemas.microsoft.com/sharepoint/v3/contenttype/forms"/>
  </ds:schemaRefs>
</ds:datastoreItem>
</file>

<file path=customXml/itemProps4.xml><?xml version="1.0" encoding="utf-8"?>
<ds:datastoreItem xmlns:ds="http://schemas.openxmlformats.org/officeDocument/2006/customXml" ds:itemID="{036E431D-8BAB-4038-B359-EAD61775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25201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creator>nwalls</dc:creator>
  <cp:lastModifiedBy>SYSTEM</cp:lastModifiedBy>
  <cp:revision>2</cp:revision>
  <cp:lastPrinted>2019-09-24T21:43:00Z</cp:lastPrinted>
  <dcterms:created xsi:type="dcterms:W3CDTF">2019-12-17T21:27:00Z</dcterms:created>
  <dcterms:modified xsi:type="dcterms:W3CDTF">2019-12-17T21:27:00Z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0x01010091BE66467583AD448E333C24CB8BB287</vt:lpwstr>
  </property>
</Properties>
</file>