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AE1" w:rsidP="00234A11" w:rsidRDefault="00946AE1" w14:paraId="1C49781D" w14:textId="77777777">
      <w:pPr>
        <w:pStyle w:val="NoSpacing"/>
        <w:jc w:val="center"/>
        <w:rPr>
          <w:rFonts w:ascii="Times New Roman" w:hAnsi="Times New Roman" w:cs="Times New Roman"/>
          <w:b/>
          <w:bCs/>
          <w:sz w:val="24"/>
          <w:szCs w:val="24"/>
        </w:rPr>
      </w:pPr>
    </w:p>
    <w:p w:rsidRPr="00D33687" w:rsidR="00234A11" w:rsidP="00234A11" w:rsidRDefault="00234A11" w14:paraId="6D5B2CB0" w14:textId="087F721D">
      <w:pPr>
        <w:pStyle w:val="NoSpacing"/>
        <w:jc w:val="center"/>
        <w:rPr>
          <w:rFonts w:ascii="Times New Roman" w:hAnsi="Times New Roman" w:cs="Times New Roman"/>
          <w:b/>
          <w:bCs/>
          <w:sz w:val="24"/>
          <w:szCs w:val="24"/>
        </w:rPr>
      </w:pPr>
      <w:bookmarkStart w:name="_GoBack" w:id="0"/>
      <w:bookmarkEnd w:id="0"/>
      <w:r w:rsidRPr="00D33687">
        <w:rPr>
          <w:rFonts w:ascii="Times New Roman" w:hAnsi="Times New Roman" w:cs="Times New Roman"/>
          <w:b/>
          <w:bCs/>
          <w:sz w:val="24"/>
          <w:szCs w:val="24"/>
        </w:rPr>
        <w:t>Supporting Statement for Paperwork Reduction Act Submissions</w:t>
      </w:r>
    </w:p>
    <w:p w:rsidRPr="00D33687" w:rsidR="00234A11" w:rsidP="00234A11" w:rsidRDefault="00234A11" w14:paraId="5DCE47AF" w14:textId="77777777">
      <w:pPr>
        <w:pStyle w:val="NoSpacing"/>
        <w:jc w:val="center"/>
        <w:rPr>
          <w:rFonts w:ascii="Times New Roman" w:hAnsi="Times New Roman" w:cs="Times New Roman"/>
          <w:b/>
          <w:bCs/>
          <w:sz w:val="24"/>
          <w:szCs w:val="24"/>
        </w:rPr>
      </w:pPr>
      <w:r w:rsidRPr="00D33687">
        <w:rPr>
          <w:rFonts w:ascii="Times New Roman" w:hAnsi="Times New Roman" w:cs="Times New Roman"/>
          <w:b/>
          <w:bCs/>
          <w:sz w:val="24"/>
          <w:szCs w:val="24"/>
        </w:rPr>
        <w:t>OneCPD Technical Assistance and Capacity Building Needs Assessment</w:t>
      </w:r>
    </w:p>
    <w:p w:rsidRPr="00D33687" w:rsidR="00234A11" w:rsidP="00234A11" w:rsidRDefault="00234A11" w14:paraId="4DA0E635" w14:textId="77777777">
      <w:pPr>
        <w:pStyle w:val="NoSpacing"/>
        <w:jc w:val="center"/>
        <w:rPr>
          <w:rFonts w:ascii="Times New Roman" w:hAnsi="Times New Roman" w:cs="Times New Roman"/>
          <w:b/>
          <w:bCs/>
          <w:sz w:val="24"/>
          <w:szCs w:val="24"/>
        </w:rPr>
      </w:pPr>
      <w:r w:rsidRPr="00D33687">
        <w:rPr>
          <w:rFonts w:ascii="Times New Roman" w:hAnsi="Times New Roman" w:cs="Times New Roman"/>
          <w:b/>
          <w:bCs/>
          <w:sz w:val="24"/>
          <w:szCs w:val="24"/>
        </w:rPr>
        <w:t>OMB No. 2506-0198</w:t>
      </w:r>
    </w:p>
    <w:p w:rsidR="002F3192" w:rsidP="00F458FA" w:rsidRDefault="002F3192" w14:paraId="32E9F7BD" w14:textId="77777777">
      <w:pPr>
        <w:rPr>
          <w:rFonts w:ascii="Times New Roman" w:hAnsi="Times New Roman" w:cs="Times New Roman"/>
          <w:b/>
          <w:sz w:val="24"/>
          <w:szCs w:val="24"/>
        </w:rPr>
      </w:pPr>
    </w:p>
    <w:p w:rsidRPr="00D33687" w:rsidR="00090793" w:rsidP="00F458FA" w:rsidRDefault="00C90286" w14:paraId="1D736AB5" w14:textId="2676B427">
      <w:pPr>
        <w:rPr>
          <w:rFonts w:ascii="Times New Roman" w:hAnsi="Times New Roman" w:cs="Times New Roman"/>
          <w:b/>
          <w:sz w:val="24"/>
          <w:szCs w:val="24"/>
        </w:rPr>
      </w:pPr>
      <w:r w:rsidRPr="00D33687">
        <w:rPr>
          <w:rFonts w:ascii="Times New Roman" w:hAnsi="Times New Roman" w:cs="Times New Roman"/>
          <w:b/>
          <w:sz w:val="24"/>
          <w:szCs w:val="24"/>
        </w:rPr>
        <w:t>J</w:t>
      </w:r>
      <w:r w:rsidRPr="00D33687" w:rsidR="00090793">
        <w:rPr>
          <w:rFonts w:ascii="Times New Roman" w:hAnsi="Times New Roman" w:cs="Times New Roman"/>
          <w:b/>
          <w:sz w:val="24"/>
          <w:szCs w:val="24"/>
        </w:rPr>
        <w:t>ustification</w:t>
      </w:r>
    </w:p>
    <w:p w:rsidRPr="00D33687" w:rsidR="00943553" w:rsidP="00D33687" w:rsidRDefault="00943553" w14:paraId="0259311E" w14:textId="36DA212E">
      <w:pPr>
        <w:pStyle w:val="ListParagraph"/>
        <w:keepLines/>
        <w:numPr>
          <w:ilvl w:val="0"/>
          <w:numId w:val="17"/>
        </w:numPr>
        <w:tabs>
          <w:tab w:val="left" w:pos="360"/>
        </w:tabs>
        <w:overflowPunct w:val="0"/>
        <w:autoSpaceDE w:val="0"/>
        <w:autoSpaceDN w:val="0"/>
        <w:adjustRightInd w:val="0"/>
        <w:spacing w:after="80" w:line="240" w:lineRule="auto"/>
        <w:textAlignment w:val="baseline"/>
        <w:rPr>
          <w:rFonts w:ascii="Times New Roman" w:hAnsi="Times New Roman" w:eastAsia="Times New Roman" w:cs="Times New Roman"/>
          <w:sz w:val="24"/>
          <w:szCs w:val="24"/>
        </w:rPr>
      </w:pPr>
      <w:r w:rsidRPr="00D33687">
        <w:rPr>
          <w:rFonts w:ascii="Times New Roman" w:hAnsi="Times New Roman" w:eastAsia="Times New Roman" w:cs="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33687" w:rsidR="00D33687" w:rsidP="00D33687" w:rsidRDefault="00D33687" w14:paraId="599B535E" w14:textId="77777777">
      <w:pPr>
        <w:pStyle w:val="ListParagraph"/>
        <w:keepLines/>
        <w:tabs>
          <w:tab w:val="left" w:pos="360"/>
        </w:tabs>
        <w:overflowPunct w:val="0"/>
        <w:autoSpaceDE w:val="0"/>
        <w:autoSpaceDN w:val="0"/>
        <w:adjustRightInd w:val="0"/>
        <w:spacing w:after="80" w:line="240" w:lineRule="auto"/>
        <w:textAlignment w:val="baseline"/>
        <w:rPr>
          <w:rFonts w:ascii="Times New Roman" w:hAnsi="Times New Roman" w:eastAsia="Times New Roman" w:cs="Times New Roman"/>
          <w:sz w:val="24"/>
          <w:szCs w:val="24"/>
        </w:rPr>
      </w:pPr>
    </w:p>
    <w:p w:rsidRPr="00D33687" w:rsidR="00090793" w:rsidP="00D33687" w:rsidRDefault="00090793" w14:paraId="245ACBF2" w14:textId="2F2E0433">
      <w:pPr>
        <w:ind w:left="720"/>
        <w:rPr>
          <w:rFonts w:ascii="Times New Roman" w:hAnsi="Times New Roman" w:cs="Times New Roman"/>
          <w:sz w:val="24"/>
          <w:szCs w:val="24"/>
        </w:rPr>
      </w:pPr>
      <w:r w:rsidRPr="00D33687">
        <w:rPr>
          <w:rFonts w:ascii="Times New Roman" w:hAnsi="Times New Roman" w:cs="Times New Roman"/>
          <w:sz w:val="24"/>
          <w:szCs w:val="24"/>
        </w:rPr>
        <w:t>2 CFR 200 – Uniform Administrative Requirements, Cost Principles, and Audit</w:t>
      </w:r>
      <w:r w:rsidRPr="00D33687" w:rsidR="0064462A">
        <w:rPr>
          <w:rFonts w:ascii="Times New Roman" w:hAnsi="Times New Roman" w:cs="Times New Roman"/>
          <w:sz w:val="24"/>
          <w:szCs w:val="24"/>
        </w:rPr>
        <w:t xml:space="preserve"> r</w:t>
      </w:r>
      <w:r w:rsidRPr="00D33687">
        <w:rPr>
          <w:rFonts w:ascii="Times New Roman" w:hAnsi="Times New Roman" w:cs="Times New Roman"/>
          <w:sz w:val="24"/>
          <w:szCs w:val="24"/>
        </w:rPr>
        <w:t>equirements for Federal Awards.</w:t>
      </w:r>
    </w:p>
    <w:p w:rsidR="00D33687" w:rsidP="00D33687" w:rsidRDefault="00A21889" w14:paraId="5D28FC54" w14:textId="77777777">
      <w:pPr>
        <w:pStyle w:val="NoSpacing"/>
        <w:ind w:left="720"/>
        <w:rPr>
          <w:rFonts w:ascii="Times New Roman" w:hAnsi="Times New Roman" w:cs="Times New Roman"/>
          <w:sz w:val="24"/>
          <w:szCs w:val="24"/>
        </w:rPr>
      </w:pPr>
      <w:r w:rsidRPr="00D33687">
        <w:rPr>
          <w:rFonts w:ascii="Times New Roman" w:hAnsi="Times New Roman" w:cs="Times New Roman"/>
          <w:sz w:val="24"/>
          <w:szCs w:val="24"/>
        </w:rPr>
        <w:t>T</w:t>
      </w:r>
      <w:r w:rsidRPr="00D33687" w:rsidR="00620F1B">
        <w:rPr>
          <w:rFonts w:ascii="Times New Roman" w:hAnsi="Times New Roman" w:cs="Times New Roman"/>
          <w:sz w:val="24"/>
          <w:szCs w:val="24"/>
        </w:rPr>
        <w:t xml:space="preserve">he Technical Assistance Division uses the Needs Assessment (NA) to collect key information about a HUD grant status and grantee performance on their grant award to identify capacity gaps and inform subsequent technical assistance. </w:t>
      </w:r>
      <w:r w:rsidRPr="00D33687" w:rsidR="00C61265">
        <w:rPr>
          <w:rFonts w:ascii="Times New Roman" w:hAnsi="Times New Roman" w:cs="Times New Roman"/>
          <w:sz w:val="24"/>
          <w:szCs w:val="24"/>
        </w:rPr>
        <w:t>The information collected provides the opportunity for the technical assistance (TA) provider to assess the technical assistance need and gaps in capacity of HUD grantees and customers to better inform technical assistance response to ensure the grantee will improve holistically and sustainably to ensure appropriate return on tax payer investment from the TA.</w:t>
      </w:r>
    </w:p>
    <w:p w:rsidR="00D33687" w:rsidP="00D33687" w:rsidRDefault="00D33687" w14:paraId="294571C9" w14:textId="77777777">
      <w:pPr>
        <w:pStyle w:val="NoSpacing"/>
        <w:ind w:left="720"/>
        <w:rPr>
          <w:rFonts w:ascii="Times New Roman" w:hAnsi="Times New Roman" w:cs="Times New Roman"/>
          <w:sz w:val="24"/>
          <w:szCs w:val="24"/>
        </w:rPr>
      </w:pPr>
    </w:p>
    <w:p w:rsidR="00337241" w:rsidP="00D33687" w:rsidRDefault="00943553" w14:paraId="24D7079B" w14:textId="306D1534">
      <w:pPr>
        <w:pStyle w:val="NoSpacing"/>
        <w:numPr>
          <w:ilvl w:val="0"/>
          <w:numId w:val="17"/>
        </w:numPr>
        <w:rPr>
          <w:rFonts w:ascii="Times New Roman" w:hAnsi="Times New Roman" w:cs="Times New Roman"/>
          <w:sz w:val="24"/>
          <w:szCs w:val="24"/>
        </w:rPr>
      </w:pPr>
      <w:r w:rsidRPr="00D33687">
        <w:rPr>
          <w:rFonts w:ascii="Times New Roman" w:hAnsi="Times New Roman" w:cs="Times New Roman"/>
          <w:sz w:val="24"/>
          <w:szCs w:val="24"/>
        </w:rPr>
        <w:t>Indicate how, by whom and for what purpose the information is to be used.  Except for a new collection, indicate the actual use the agency has made of the information received from the current collection</w:t>
      </w:r>
      <w:r w:rsidRPr="00D33687">
        <w:rPr>
          <w:rFonts w:ascii="Times New Roman" w:hAnsi="Times New Roman" w:cs="Times New Roman"/>
          <w:color w:val="333333"/>
          <w:sz w:val="24"/>
          <w:szCs w:val="24"/>
          <w:shd w:val="clear" w:color="auto" w:fill="FFFFFF"/>
        </w:rPr>
        <w:t xml:space="preserve"> </w:t>
      </w:r>
      <w:r w:rsidRPr="00D33687" w:rsidR="00824FA5">
        <w:rPr>
          <w:rFonts w:ascii="Times New Roman" w:hAnsi="Times New Roman" w:cs="Times New Roman"/>
          <w:color w:val="333333"/>
          <w:sz w:val="24"/>
          <w:szCs w:val="24"/>
          <w:shd w:val="clear" w:color="auto" w:fill="FFFFFF"/>
        </w:rPr>
        <w:t>The goal of the Needs Assessment is to assess the capacity of HUD grantees and their subrecipients to manage their HUD-funded programs eff</w:t>
      </w:r>
      <w:r w:rsidRPr="00D33687" w:rsidR="003747FF">
        <w:rPr>
          <w:rFonts w:ascii="Times New Roman" w:hAnsi="Times New Roman" w:cs="Times New Roman"/>
          <w:color w:val="333333"/>
          <w:sz w:val="24"/>
          <w:szCs w:val="24"/>
          <w:shd w:val="clear" w:color="auto" w:fill="FFFFFF"/>
        </w:rPr>
        <w:t>ectively</w:t>
      </w:r>
      <w:r w:rsidRPr="00D33687" w:rsidR="00F3455F">
        <w:rPr>
          <w:rFonts w:ascii="Times New Roman" w:hAnsi="Times New Roman" w:cs="Times New Roman"/>
          <w:color w:val="333333"/>
          <w:sz w:val="24"/>
          <w:szCs w:val="24"/>
          <w:shd w:val="clear" w:color="auto" w:fill="FFFFFF"/>
        </w:rPr>
        <w:t xml:space="preserve"> </w:t>
      </w:r>
      <w:r w:rsidRPr="00D33687" w:rsidR="00824FA5">
        <w:rPr>
          <w:rFonts w:ascii="Times New Roman" w:hAnsi="Times New Roman" w:cs="Times New Roman"/>
          <w:color w:val="333333"/>
          <w:sz w:val="24"/>
          <w:szCs w:val="24"/>
          <w:shd w:val="clear" w:color="auto" w:fill="FFFFFF"/>
        </w:rPr>
        <w:t xml:space="preserve">and to 1) exercise prudent financial management over their funds and 2) provide proper oversight and guidance to their subrecipients. The assessment will seek to determine whether the grantee staff has the skills needed to manage CPD grants and whether the delegation of work to partners is appropriate. </w:t>
      </w:r>
      <w:r w:rsidRPr="00D33687" w:rsidR="00337241">
        <w:rPr>
          <w:rFonts w:ascii="Times New Roman" w:hAnsi="Times New Roman" w:cs="Times New Roman"/>
          <w:sz w:val="24"/>
          <w:szCs w:val="24"/>
        </w:rPr>
        <w:t xml:space="preserve">The Needs Assessment delves into </w:t>
      </w:r>
      <w:proofErr w:type="gramStart"/>
      <w:r w:rsidRPr="00D33687" w:rsidR="00337241">
        <w:rPr>
          <w:rFonts w:ascii="Times New Roman" w:hAnsi="Times New Roman" w:cs="Times New Roman"/>
          <w:sz w:val="24"/>
          <w:szCs w:val="24"/>
        </w:rPr>
        <w:t>a number of</w:t>
      </w:r>
      <w:proofErr w:type="gramEnd"/>
      <w:r w:rsidRPr="00D33687" w:rsidR="00337241">
        <w:rPr>
          <w:rFonts w:ascii="Times New Roman" w:hAnsi="Times New Roman" w:cs="Times New Roman"/>
          <w:sz w:val="24"/>
          <w:szCs w:val="24"/>
        </w:rPr>
        <w:t xml:space="preserve"> performance areas (e.g., financial management, staffing and organizational roles; understanding of CPD program requirements) to determine where problems </w:t>
      </w:r>
      <w:r w:rsidRPr="00D33687" w:rsidR="0033385A">
        <w:rPr>
          <w:rFonts w:ascii="Times New Roman" w:hAnsi="Times New Roman" w:cs="Times New Roman"/>
          <w:sz w:val="24"/>
          <w:szCs w:val="24"/>
        </w:rPr>
        <w:t xml:space="preserve">and capacity gaps </w:t>
      </w:r>
      <w:r w:rsidRPr="00D33687" w:rsidR="00337241">
        <w:rPr>
          <w:rFonts w:ascii="Times New Roman" w:hAnsi="Times New Roman" w:cs="Times New Roman"/>
          <w:sz w:val="24"/>
          <w:szCs w:val="24"/>
        </w:rPr>
        <w:t>lie.</w:t>
      </w:r>
    </w:p>
    <w:p w:rsidRPr="00D33687" w:rsidR="00D33687" w:rsidP="00D33687" w:rsidRDefault="00D33687" w14:paraId="63D328F5" w14:textId="77777777">
      <w:pPr>
        <w:pStyle w:val="NoSpacing"/>
        <w:ind w:left="720"/>
        <w:rPr>
          <w:rFonts w:ascii="Times New Roman" w:hAnsi="Times New Roman" w:cs="Times New Roman"/>
          <w:sz w:val="24"/>
          <w:szCs w:val="24"/>
        </w:rPr>
      </w:pPr>
    </w:p>
    <w:p w:rsidRPr="00D33687" w:rsidR="00B26191" w:rsidP="00D33687" w:rsidRDefault="00B26191" w14:paraId="7FFFD288" w14:textId="3A59BB7C">
      <w:pPr>
        <w:pStyle w:val="NoSpacing"/>
        <w:ind w:left="720"/>
        <w:rPr>
          <w:rFonts w:ascii="Times New Roman" w:hAnsi="Times New Roman" w:cs="Times New Roman"/>
          <w:sz w:val="24"/>
          <w:szCs w:val="24"/>
        </w:rPr>
      </w:pPr>
      <w:r w:rsidRPr="00D33687">
        <w:rPr>
          <w:rFonts w:ascii="Times New Roman" w:hAnsi="Times New Roman" w:cs="Times New Roman"/>
          <w:sz w:val="24"/>
          <w:szCs w:val="24"/>
        </w:rPr>
        <w:t xml:space="preserve">The </w:t>
      </w:r>
      <w:r w:rsidRPr="00D33687" w:rsidR="0033385A">
        <w:rPr>
          <w:rFonts w:ascii="Times New Roman" w:hAnsi="Times New Roman" w:cs="Times New Roman"/>
          <w:sz w:val="24"/>
          <w:szCs w:val="24"/>
        </w:rPr>
        <w:t xml:space="preserve">Field Office </w:t>
      </w:r>
      <w:r w:rsidRPr="00D33687" w:rsidR="00687304">
        <w:rPr>
          <w:rFonts w:ascii="Times New Roman" w:hAnsi="Times New Roman" w:cs="Times New Roman"/>
          <w:sz w:val="24"/>
          <w:szCs w:val="24"/>
        </w:rPr>
        <w:t xml:space="preserve">completes </w:t>
      </w:r>
      <w:r w:rsidRPr="00D33687" w:rsidR="00F3455F">
        <w:rPr>
          <w:rFonts w:ascii="Times New Roman" w:hAnsi="Times New Roman" w:cs="Times New Roman"/>
          <w:sz w:val="24"/>
          <w:szCs w:val="24"/>
        </w:rPr>
        <w:t>th</w:t>
      </w:r>
      <w:r w:rsidRPr="00D33687" w:rsidR="005C59F3">
        <w:rPr>
          <w:rFonts w:ascii="Times New Roman" w:hAnsi="Times New Roman" w:cs="Times New Roman"/>
          <w:sz w:val="24"/>
          <w:szCs w:val="24"/>
        </w:rPr>
        <w:t>e</w:t>
      </w:r>
      <w:r w:rsidRPr="00D33687" w:rsidR="00687304">
        <w:rPr>
          <w:rFonts w:ascii="Times New Roman" w:hAnsi="Times New Roman" w:cs="Times New Roman"/>
          <w:sz w:val="24"/>
          <w:szCs w:val="24"/>
        </w:rPr>
        <w:t xml:space="preserve"> initial assessment</w:t>
      </w:r>
      <w:r w:rsidRPr="00D33687" w:rsidR="006B31BE">
        <w:rPr>
          <w:rFonts w:ascii="Times New Roman" w:hAnsi="Times New Roman" w:cs="Times New Roman"/>
          <w:sz w:val="24"/>
          <w:szCs w:val="24"/>
        </w:rPr>
        <w:t xml:space="preserve"> and the assigned H</w:t>
      </w:r>
      <w:r w:rsidRPr="00D33687" w:rsidR="0029285D">
        <w:rPr>
          <w:rFonts w:ascii="Times New Roman" w:hAnsi="Times New Roman" w:cs="Times New Roman"/>
          <w:sz w:val="24"/>
          <w:szCs w:val="24"/>
        </w:rPr>
        <w:t>U</w:t>
      </w:r>
      <w:r w:rsidRPr="00D33687" w:rsidR="006B31BE">
        <w:rPr>
          <w:rFonts w:ascii="Times New Roman" w:hAnsi="Times New Roman" w:cs="Times New Roman"/>
          <w:sz w:val="24"/>
          <w:szCs w:val="24"/>
        </w:rPr>
        <w:t xml:space="preserve">D </w:t>
      </w:r>
      <w:r w:rsidRPr="00D33687">
        <w:rPr>
          <w:rFonts w:ascii="Times New Roman" w:hAnsi="Times New Roman" w:cs="Times New Roman"/>
          <w:sz w:val="24"/>
          <w:szCs w:val="24"/>
        </w:rPr>
        <w:t xml:space="preserve">TA provider gathers information from the grantee, </w:t>
      </w:r>
      <w:r w:rsidRPr="00D33687" w:rsidR="0029285D">
        <w:rPr>
          <w:rFonts w:ascii="Times New Roman" w:hAnsi="Times New Roman" w:cs="Times New Roman"/>
          <w:sz w:val="24"/>
          <w:szCs w:val="24"/>
        </w:rPr>
        <w:t xml:space="preserve">via </w:t>
      </w:r>
      <w:r w:rsidRPr="00D33687">
        <w:rPr>
          <w:rFonts w:ascii="Times New Roman" w:hAnsi="Times New Roman" w:cs="Times New Roman"/>
          <w:sz w:val="24"/>
          <w:szCs w:val="24"/>
        </w:rPr>
        <w:t>phone and email</w:t>
      </w:r>
      <w:r w:rsidRPr="00D33687" w:rsidR="0029285D">
        <w:rPr>
          <w:rFonts w:ascii="Times New Roman" w:hAnsi="Times New Roman" w:cs="Times New Roman"/>
          <w:sz w:val="24"/>
          <w:szCs w:val="24"/>
        </w:rPr>
        <w:t xml:space="preserve"> contacts. The TA provider </w:t>
      </w:r>
      <w:r w:rsidRPr="00D33687">
        <w:rPr>
          <w:rFonts w:ascii="Times New Roman" w:hAnsi="Times New Roman" w:cs="Times New Roman"/>
          <w:sz w:val="24"/>
          <w:szCs w:val="24"/>
        </w:rPr>
        <w:t xml:space="preserve">analyzes the information for a </w:t>
      </w:r>
      <w:r w:rsidRPr="00D33687" w:rsidR="0033385A">
        <w:rPr>
          <w:rFonts w:ascii="Times New Roman" w:hAnsi="Times New Roman" w:cs="Times New Roman"/>
          <w:sz w:val="24"/>
          <w:szCs w:val="24"/>
        </w:rPr>
        <w:t>summary</w:t>
      </w:r>
      <w:r w:rsidRPr="00D33687">
        <w:rPr>
          <w:rFonts w:ascii="Times New Roman" w:hAnsi="Times New Roman" w:cs="Times New Roman"/>
          <w:sz w:val="24"/>
          <w:szCs w:val="24"/>
        </w:rPr>
        <w:t xml:space="preserve"> </w:t>
      </w:r>
      <w:r w:rsidRPr="00D33687" w:rsidR="0033385A">
        <w:rPr>
          <w:rFonts w:ascii="Times New Roman" w:hAnsi="Times New Roman" w:cs="Times New Roman"/>
          <w:sz w:val="24"/>
          <w:szCs w:val="24"/>
        </w:rPr>
        <w:t>of findings.</w:t>
      </w:r>
      <w:r w:rsidRPr="00D33687">
        <w:rPr>
          <w:rFonts w:ascii="Times New Roman" w:hAnsi="Times New Roman" w:cs="Times New Roman"/>
          <w:sz w:val="24"/>
          <w:szCs w:val="24"/>
        </w:rPr>
        <w:t xml:space="preserve"> The information collected provides the opportunity for the technical assistance (TA) provider to assess </w:t>
      </w:r>
      <w:r w:rsidRPr="00D33687" w:rsidR="0029285D">
        <w:rPr>
          <w:rFonts w:ascii="Times New Roman" w:hAnsi="Times New Roman" w:cs="Times New Roman"/>
          <w:sz w:val="24"/>
          <w:szCs w:val="24"/>
        </w:rPr>
        <w:t xml:space="preserve">and advise HUD of </w:t>
      </w:r>
      <w:r w:rsidRPr="00D33687">
        <w:rPr>
          <w:rFonts w:ascii="Times New Roman" w:hAnsi="Times New Roman" w:cs="Times New Roman"/>
          <w:sz w:val="24"/>
          <w:szCs w:val="24"/>
        </w:rPr>
        <w:t xml:space="preserve">the </w:t>
      </w:r>
      <w:r w:rsidRPr="00D33687" w:rsidR="0033385A">
        <w:rPr>
          <w:rFonts w:ascii="Times New Roman" w:hAnsi="Times New Roman" w:cs="Times New Roman"/>
          <w:sz w:val="24"/>
          <w:szCs w:val="24"/>
        </w:rPr>
        <w:t xml:space="preserve">grantee’s </w:t>
      </w:r>
      <w:r w:rsidRPr="00D33687">
        <w:rPr>
          <w:rFonts w:ascii="Times New Roman" w:hAnsi="Times New Roman" w:cs="Times New Roman"/>
          <w:sz w:val="24"/>
          <w:szCs w:val="24"/>
        </w:rPr>
        <w:t>technical assistance need and gaps in capacity</w:t>
      </w:r>
      <w:r w:rsidRPr="00D33687" w:rsidR="0033385A">
        <w:rPr>
          <w:rFonts w:ascii="Times New Roman" w:hAnsi="Times New Roman" w:cs="Times New Roman"/>
          <w:sz w:val="24"/>
          <w:szCs w:val="24"/>
        </w:rPr>
        <w:t xml:space="preserve">. </w:t>
      </w:r>
      <w:r w:rsidRPr="00D33687">
        <w:rPr>
          <w:rFonts w:ascii="Times New Roman" w:hAnsi="Times New Roman" w:cs="Times New Roman"/>
          <w:sz w:val="24"/>
          <w:szCs w:val="24"/>
        </w:rPr>
        <w:t xml:space="preserve">The information is used to better inform technical assistance response to ensure the grantee will improve holistically and sustainably to ensure appropriate return on </w:t>
      </w:r>
      <w:r w:rsidRPr="00D33687" w:rsidR="005C59F3">
        <w:rPr>
          <w:rFonts w:ascii="Times New Roman" w:hAnsi="Times New Roman" w:cs="Times New Roman"/>
          <w:sz w:val="24"/>
          <w:szCs w:val="24"/>
        </w:rPr>
        <w:t>taxpayer</w:t>
      </w:r>
      <w:r w:rsidRPr="00D33687">
        <w:rPr>
          <w:rFonts w:ascii="Times New Roman" w:hAnsi="Times New Roman" w:cs="Times New Roman"/>
          <w:sz w:val="24"/>
          <w:szCs w:val="24"/>
        </w:rPr>
        <w:t xml:space="preserve"> investment from the TA.   </w:t>
      </w:r>
    </w:p>
    <w:p w:rsidRPr="00D33687" w:rsidR="0029285D" w:rsidP="00D33687" w:rsidRDefault="0029285D" w14:paraId="68E7BBA2" w14:textId="77777777">
      <w:pPr>
        <w:pStyle w:val="NoSpacing"/>
        <w:ind w:left="720"/>
        <w:rPr>
          <w:rFonts w:ascii="Times New Roman" w:hAnsi="Times New Roman" w:cs="Times New Roman"/>
          <w:sz w:val="24"/>
          <w:szCs w:val="24"/>
        </w:rPr>
      </w:pPr>
    </w:p>
    <w:p w:rsidRPr="00D33687" w:rsidR="0075408E" w:rsidP="00D33687" w:rsidRDefault="00A66DD6" w14:paraId="60936502" w14:textId="010B282D">
      <w:pPr>
        <w:ind w:left="720"/>
        <w:rPr>
          <w:rFonts w:ascii="Times New Roman" w:hAnsi="Times New Roman" w:cs="Times New Roman"/>
          <w:sz w:val="24"/>
          <w:szCs w:val="24"/>
        </w:rPr>
      </w:pPr>
      <w:r w:rsidRPr="00D33687">
        <w:rPr>
          <w:rFonts w:ascii="Times New Roman" w:hAnsi="Times New Roman" w:cs="Times New Roman"/>
          <w:sz w:val="24"/>
          <w:szCs w:val="24"/>
        </w:rPr>
        <w:t xml:space="preserve">The TA provider enters the information </w:t>
      </w:r>
      <w:r w:rsidRPr="00D33687" w:rsidR="002B3C5B">
        <w:rPr>
          <w:rFonts w:ascii="Times New Roman" w:hAnsi="Times New Roman" w:cs="Times New Roman"/>
          <w:sz w:val="24"/>
          <w:szCs w:val="24"/>
        </w:rPr>
        <w:t xml:space="preserve">electronically into </w:t>
      </w:r>
      <w:r w:rsidRPr="00D33687" w:rsidR="0027523C">
        <w:rPr>
          <w:rFonts w:ascii="Times New Roman" w:hAnsi="Times New Roman" w:cs="Times New Roman"/>
          <w:sz w:val="24"/>
          <w:szCs w:val="24"/>
        </w:rPr>
        <w:t xml:space="preserve">a </w:t>
      </w:r>
      <w:r w:rsidRPr="00D33687" w:rsidR="002B3C5B">
        <w:rPr>
          <w:rFonts w:ascii="Times New Roman" w:hAnsi="Times New Roman" w:cs="Times New Roman"/>
          <w:sz w:val="24"/>
          <w:szCs w:val="24"/>
        </w:rPr>
        <w:t>web</w:t>
      </w:r>
      <w:r w:rsidRPr="00D33687">
        <w:rPr>
          <w:rFonts w:ascii="Times New Roman" w:hAnsi="Times New Roman" w:cs="Times New Roman"/>
          <w:sz w:val="24"/>
          <w:szCs w:val="24"/>
        </w:rPr>
        <w:t xml:space="preserve"> </w:t>
      </w:r>
      <w:r w:rsidRPr="00D33687" w:rsidR="002B3C5B">
        <w:rPr>
          <w:rFonts w:ascii="Times New Roman" w:hAnsi="Times New Roman" w:cs="Times New Roman"/>
          <w:sz w:val="24"/>
          <w:szCs w:val="24"/>
        </w:rPr>
        <w:t>site (HUD Exchange</w:t>
      </w:r>
      <w:r w:rsidRPr="00D33687" w:rsidR="00A21889">
        <w:rPr>
          <w:rFonts w:ascii="Times New Roman" w:hAnsi="Times New Roman" w:cs="Times New Roman"/>
          <w:sz w:val="24"/>
          <w:szCs w:val="24"/>
        </w:rPr>
        <w:t>)</w:t>
      </w:r>
      <w:r w:rsidRPr="00D33687" w:rsidR="0075408E">
        <w:rPr>
          <w:rFonts w:ascii="Times New Roman" w:hAnsi="Times New Roman" w:cs="Times New Roman"/>
          <w:sz w:val="24"/>
          <w:szCs w:val="24"/>
        </w:rPr>
        <w:t xml:space="preserve">. </w:t>
      </w:r>
    </w:p>
    <w:p w:rsidR="00D33687" w:rsidP="00D33687" w:rsidRDefault="0027523C" w14:paraId="14138073" w14:textId="77777777">
      <w:pPr>
        <w:pStyle w:val="NoSpacing"/>
        <w:ind w:left="720"/>
        <w:rPr>
          <w:rFonts w:ascii="Times New Roman" w:hAnsi="Times New Roman" w:cs="Times New Roman"/>
          <w:color w:val="333333"/>
          <w:sz w:val="24"/>
          <w:szCs w:val="24"/>
          <w:shd w:val="clear" w:color="auto" w:fill="FFFFFF"/>
        </w:rPr>
      </w:pPr>
      <w:r w:rsidRPr="00D33687">
        <w:rPr>
          <w:rFonts w:ascii="Times New Roman" w:hAnsi="Times New Roman" w:cs="Times New Roman"/>
          <w:sz w:val="24"/>
          <w:szCs w:val="24"/>
        </w:rPr>
        <w:t>The</w:t>
      </w:r>
      <w:r w:rsidRPr="00D33687" w:rsidR="00824FA5">
        <w:rPr>
          <w:rFonts w:ascii="Times New Roman" w:hAnsi="Times New Roman" w:cs="Times New Roman"/>
          <w:sz w:val="24"/>
          <w:szCs w:val="24"/>
        </w:rPr>
        <w:t xml:space="preserve"> </w:t>
      </w:r>
      <w:r w:rsidRPr="00D33687">
        <w:rPr>
          <w:rFonts w:ascii="Times New Roman" w:hAnsi="Times New Roman" w:cs="Times New Roman"/>
          <w:sz w:val="24"/>
          <w:szCs w:val="24"/>
        </w:rPr>
        <w:t>Needs Assessment</w:t>
      </w:r>
      <w:r w:rsidRPr="00D33687">
        <w:rPr>
          <w:rFonts w:ascii="Times New Roman" w:hAnsi="Times New Roman" w:cs="Times New Roman"/>
          <w:i/>
          <w:iCs/>
          <w:sz w:val="24"/>
          <w:szCs w:val="24"/>
        </w:rPr>
        <w:t xml:space="preserve"> </w:t>
      </w:r>
      <w:r w:rsidRPr="00D33687" w:rsidR="000D0F15">
        <w:rPr>
          <w:rFonts w:ascii="Times New Roman" w:hAnsi="Times New Roman" w:cs="Times New Roman"/>
          <w:color w:val="333333"/>
          <w:sz w:val="24"/>
          <w:szCs w:val="24"/>
          <w:shd w:val="clear" w:color="auto" w:fill="FFFFFF"/>
        </w:rPr>
        <w:t xml:space="preserve">enhances a grantee's awareness of their functional capacity to effectively and efficiently administer and manage programs funded by HUD and </w:t>
      </w:r>
      <w:r w:rsidRPr="00D33687" w:rsidR="000D0F15">
        <w:rPr>
          <w:rFonts w:ascii="Times New Roman" w:hAnsi="Times New Roman" w:cs="Times New Roman"/>
          <w:color w:val="333333"/>
          <w:sz w:val="24"/>
          <w:szCs w:val="24"/>
          <w:shd w:val="clear" w:color="auto" w:fill="FFFFFF"/>
        </w:rPr>
        <w:lastRenderedPageBreak/>
        <w:t>enable</w:t>
      </w:r>
      <w:r w:rsidRPr="00D33687" w:rsidR="007164B6">
        <w:rPr>
          <w:rFonts w:ascii="Times New Roman" w:hAnsi="Times New Roman" w:cs="Times New Roman"/>
          <w:color w:val="333333"/>
          <w:sz w:val="24"/>
          <w:szCs w:val="24"/>
          <w:shd w:val="clear" w:color="auto" w:fill="FFFFFF"/>
        </w:rPr>
        <w:t>s</w:t>
      </w:r>
      <w:r w:rsidRPr="00D33687" w:rsidR="000D0F15">
        <w:rPr>
          <w:rFonts w:ascii="Times New Roman" w:hAnsi="Times New Roman" w:cs="Times New Roman"/>
          <w:color w:val="333333"/>
          <w:sz w:val="24"/>
          <w:szCs w:val="24"/>
          <w:shd w:val="clear" w:color="auto" w:fill="FFFFFF"/>
        </w:rPr>
        <w:t xml:space="preserve"> HUD and the TA provider to better understand the scope of assistance needed by each grantee and to target appropriate TA resources to grantees. It </w:t>
      </w:r>
      <w:r w:rsidRPr="00D33687">
        <w:rPr>
          <w:rFonts w:ascii="Times New Roman" w:hAnsi="Times New Roman" w:cs="Times New Roman"/>
          <w:color w:val="333333"/>
          <w:sz w:val="24"/>
          <w:szCs w:val="24"/>
          <w:shd w:val="clear" w:color="auto" w:fill="FFFFFF"/>
        </w:rPr>
        <w:t>has been used by</w:t>
      </w:r>
      <w:r w:rsidRPr="00D33687" w:rsidR="000D0F15">
        <w:rPr>
          <w:rFonts w:ascii="Times New Roman" w:hAnsi="Times New Roman" w:cs="Times New Roman"/>
          <w:color w:val="333333"/>
          <w:sz w:val="24"/>
          <w:szCs w:val="24"/>
          <w:shd w:val="clear" w:color="auto" w:fill="FFFFFF"/>
        </w:rPr>
        <w:t xml:space="preserve"> </w:t>
      </w:r>
      <w:r w:rsidRPr="00D33687" w:rsidR="00642DE6">
        <w:rPr>
          <w:rFonts w:ascii="Times New Roman" w:hAnsi="Times New Roman" w:cs="Times New Roman"/>
          <w:color w:val="333333"/>
          <w:sz w:val="24"/>
          <w:szCs w:val="24"/>
          <w:shd w:val="clear" w:color="auto" w:fill="FFFFFF"/>
        </w:rPr>
        <w:t>H</w:t>
      </w:r>
      <w:r w:rsidRPr="00D33687" w:rsidR="000D0F15">
        <w:rPr>
          <w:rFonts w:ascii="Times New Roman" w:hAnsi="Times New Roman" w:cs="Times New Roman"/>
          <w:color w:val="333333"/>
          <w:sz w:val="24"/>
          <w:szCs w:val="24"/>
          <w:shd w:val="clear" w:color="auto" w:fill="FFFFFF"/>
        </w:rPr>
        <w:t xml:space="preserve">UD to identify trends in TA needs across grantees and assist in prioritizing the development of tools, products and group learning activities to benefit HUD grantees and customers. </w:t>
      </w:r>
    </w:p>
    <w:p w:rsidR="00D33687" w:rsidP="00D33687" w:rsidRDefault="00D33687" w14:paraId="14EB2479" w14:textId="77777777">
      <w:pPr>
        <w:pStyle w:val="NoSpacing"/>
        <w:ind w:left="720"/>
        <w:rPr>
          <w:rFonts w:ascii="Times New Roman" w:hAnsi="Times New Roman" w:cs="Times New Roman"/>
          <w:color w:val="333333"/>
          <w:sz w:val="24"/>
          <w:szCs w:val="24"/>
          <w:shd w:val="clear" w:color="auto" w:fill="FFFFFF"/>
        </w:rPr>
      </w:pPr>
    </w:p>
    <w:p w:rsidRPr="00D33687" w:rsidR="00943553" w:rsidP="00D33687" w:rsidRDefault="00943553" w14:paraId="014D5F2B" w14:textId="1578FFD9">
      <w:pPr>
        <w:pStyle w:val="NoSpacing"/>
        <w:numPr>
          <w:ilvl w:val="0"/>
          <w:numId w:val="17"/>
        </w:numPr>
        <w:rPr>
          <w:rFonts w:ascii="Times New Roman" w:hAnsi="Times New Roman" w:cs="Times New Roman"/>
          <w:color w:val="333333"/>
          <w:sz w:val="24"/>
          <w:szCs w:val="24"/>
          <w:shd w:val="clear" w:color="auto" w:fill="FFFFFF"/>
        </w:rPr>
      </w:pPr>
      <w:r w:rsidRPr="00D33687">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33687" w:rsidR="00090793" w:rsidP="00D33687" w:rsidRDefault="00090793" w14:paraId="3B45B373" w14:textId="7CF27050">
      <w:pPr>
        <w:pStyle w:val="NoSpacing"/>
      </w:pPr>
    </w:p>
    <w:p w:rsidRPr="00D33687" w:rsidR="00032054" w:rsidP="00032054" w:rsidRDefault="00032054" w14:paraId="1028BC80" w14:textId="77777777">
      <w:pPr>
        <w:pStyle w:val="NoSpacing"/>
        <w:ind w:left="360"/>
        <w:rPr>
          <w:rFonts w:ascii="Times New Roman" w:hAnsi="Times New Roman" w:cs="Times New Roman"/>
          <w:sz w:val="24"/>
          <w:szCs w:val="24"/>
        </w:rPr>
      </w:pPr>
    </w:p>
    <w:p w:rsidRPr="00D33687" w:rsidR="0015727F" w:rsidP="00D33687" w:rsidRDefault="00F732F8" w14:paraId="44D83532" w14:textId="4A09A869">
      <w:pPr>
        <w:pStyle w:val="NoSpacing"/>
        <w:ind w:left="720"/>
        <w:rPr>
          <w:rFonts w:ascii="Times New Roman" w:hAnsi="Times New Roman" w:cs="Times New Roman"/>
          <w:sz w:val="24"/>
          <w:szCs w:val="24"/>
        </w:rPr>
      </w:pPr>
      <w:r w:rsidRPr="00D33687">
        <w:rPr>
          <w:rFonts w:ascii="Times New Roman" w:hAnsi="Times New Roman" w:cs="Times New Roman"/>
          <w:sz w:val="24"/>
          <w:szCs w:val="24"/>
        </w:rPr>
        <w:t>Yes, the</w:t>
      </w:r>
      <w:r w:rsidRPr="00D33687" w:rsidR="00045766">
        <w:rPr>
          <w:rFonts w:ascii="Times New Roman" w:hAnsi="Times New Roman" w:cs="Times New Roman"/>
          <w:sz w:val="24"/>
          <w:szCs w:val="24"/>
        </w:rPr>
        <w:t xml:space="preserve"> </w:t>
      </w:r>
      <w:r w:rsidRPr="00D33687">
        <w:rPr>
          <w:rFonts w:ascii="Times New Roman" w:hAnsi="Times New Roman" w:cs="Times New Roman"/>
          <w:sz w:val="24"/>
          <w:szCs w:val="24"/>
        </w:rPr>
        <w:t xml:space="preserve">information is submitted electronically by the Field Office </w:t>
      </w:r>
      <w:r w:rsidRPr="00D33687" w:rsidR="00866B55">
        <w:rPr>
          <w:rFonts w:ascii="Times New Roman" w:hAnsi="Times New Roman" w:cs="Times New Roman"/>
          <w:sz w:val="24"/>
          <w:szCs w:val="24"/>
        </w:rPr>
        <w:t xml:space="preserve">staff </w:t>
      </w:r>
      <w:r w:rsidRPr="00D33687">
        <w:rPr>
          <w:rFonts w:ascii="Times New Roman" w:hAnsi="Times New Roman" w:cs="Times New Roman"/>
          <w:sz w:val="24"/>
          <w:szCs w:val="24"/>
        </w:rPr>
        <w:t>and the TA provider</w:t>
      </w:r>
      <w:r w:rsidRPr="00D33687" w:rsidR="005B17FB">
        <w:rPr>
          <w:rFonts w:ascii="Times New Roman" w:hAnsi="Times New Roman" w:cs="Times New Roman"/>
          <w:sz w:val="24"/>
          <w:szCs w:val="24"/>
        </w:rPr>
        <w:t xml:space="preserve"> </w:t>
      </w:r>
      <w:r w:rsidRPr="00D33687" w:rsidR="005C59F3">
        <w:rPr>
          <w:rFonts w:ascii="Times New Roman" w:hAnsi="Times New Roman" w:cs="Times New Roman"/>
          <w:sz w:val="24"/>
          <w:szCs w:val="24"/>
        </w:rPr>
        <w:t xml:space="preserve">in a backend interface </w:t>
      </w:r>
      <w:r w:rsidRPr="00D33687" w:rsidR="005B17FB">
        <w:rPr>
          <w:rFonts w:ascii="Times New Roman" w:hAnsi="Times New Roman" w:cs="Times New Roman"/>
          <w:sz w:val="24"/>
          <w:szCs w:val="24"/>
        </w:rPr>
        <w:t>on the HUD Exchange website</w:t>
      </w:r>
      <w:r w:rsidRPr="00D33687" w:rsidR="005C59F3">
        <w:rPr>
          <w:rFonts w:ascii="Times New Roman" w:hAnsi="Times New Roman" w:cs="Times New Roman"/>
          <w:sz w:val="24"/>
          <w:szCs w:val="24"/>
        </w:rPr>
        <w:t xml:space="preserve"> called the TA Portal</w:t>
      </w:r>
      <w:r w:rsidRPr="00D33687">
        <w:rPr>
          <w:rFonts w:ascii="Times New Roman" w:hAnsi="Times New Roman" w:cs="Times New Roman"/>
          <w:sz w:val="24"/>
          <w:szCs w:val="24"/>
        </w:rPr>
        <w:t>.</w:t>
      </w:r>
      <w:r w:rsidRPr="00D33687" w:rsidR="00931618">
        <w:rPr>
          <w:rFonts w:ascii="Times New Roman" w:hAnsi="Times New Roman" w:cs="Times New Roman"/>
          <w:sz w:val="24"/>
          <w:szCs w:val="24"/>
        </w:rPr>
        <w:t xml:space="preserve"> </w:t>
      </w:r>
      <w:r w:rsidRPr="00D33687" w:rsidR="00AF76CF">
        <w:rPr>
          <w:rFonts w:ascii="Times New Roman" w:hAnsi="Times New Roman" w:cs="Times New Roman"/>
          <w:sz w:val="24"/>
          <w:szCs w:val="24"/>
        </w:rPr>
        <w:t xml:space="preserve">No paper copy or obligation to complete paperwork is required by these parties. </w:t>
      </w:r>
      <w:r w:rsidRPr="00D33687" w:rsidR="00357FF8">
        <w:rPr>
          <w:rFonts w:ascii="Times New Roman" w:hAnsi="Times New Roman" w:cs="Times New Roman"/>
          <w:sz w:val="24"/>
          <w:szCs w:val="24"/>
        </w:rPr>
        <w:t>The information is not collected elsewhere</w:t>
      </w:r>
      <w:r w:rsidRPr="00D33687" w:rsidR="00F54CD6">
        <w:rPr>
          <w:rFonts w:ascii="Times New Roman" w:hAnsi="Times New Roman" w:cs="Times New Roman"/>
          <w:sz w:val="24"/>
          <w:szCs w:val="24"/>
        </w:rPr>
        <w:t xml:space="preserve">; this is unique information collected </w:t>
      </w:r>
      <w:r w:rsidRPr="00D33687" w:rsidR="0099781B">
        <w:rPr>
          <w:rFonts w:ascii="Times New Roman" w:hAnsi="Times New Roman" w:cs="Times New Roman"/>
          <w:sz w:val="24"/>
          <w:szCs w:val="24"/>
        </w:rPr>
        <w:t xml:space="preserve">only in this </w:t>
      </w:r>
      <w:r w:rsidRPr="00D33687" w:rsidR="00F101E5">
        <w:rPr>
          <w:rFonts w:ascii="Times New Roman" w:hAnsi="Times New Roman" w:cs="Times New Roman"/>
          <w:sz w:val="24"/>
          <w:szCs w:val="24"/>
        </w:rPr>
        <w:t xml:space="preserve">capacity. </w:t>
      </w:r>
      <w:r w:rsidRPr="00D33687" w:rsidR="00090793">
        <w:rPr>
          <w:rFonts w:ascii="Times New Roman" w:hAnsi="Times New Roman" w:cs="Times New Roman"/>
          <w:sz w:val="24"/>
          <w:szCs w:val="24"/>
        </w:rPr>
        <w:t xml:space="preserve">The </w:t>
      </w:r>
      <w:r w:rsidRPr="00D33687" w:rsidR="007C00AB">
        <w:rPr>
          <w:rFonts w:ascii="Times New Roman" w:hAnsi="Times New Roman" w:cs="Times New Roman"/>
          <w:sz w:val="24"/>
          <w:szCs w:val="24"/>
        </w:rPr>
        <w:t>general public does not complete the Needs Assessment</w:t>
      </w:r>
      <w:r w:rsidRPr="00D33687" w:rsidR="00D5382E">
        <w:rPr>
          <w:rFonts w:ascii="Times New Roman" w:hAnsi="Times New Roman" w:cs="Times New Roman"/>
          <w:sz w:val="24"/>
          <w:szCs w:val="24"/>
        </w:rPr>
        <w:t xml:space="preserve">. </w:t>
      </w:r>
    </w:p>
    <w:p w:rsidRPr="00D33687" w:rsidR="0015727F" w:rsidP="0015727F" w:rsidRDefault="0015727F" w14:paraId="300A1A07" w14:textId="77777777">
      <w:pPr>
        <w:pStyle w:val="NoSpacing"/>
        <w:rPr>
          <w:rFonts w:ascii="Times New Roman" w:hAnsi="Times New Roman" w:cs="Times New Roman"/>
          <w:sz w:val="24"/>
          <w:szCs w:val="24"/>
        </w:rPr>
      </w:pPr>
    </w:p>
    <w:p w:rsidRPr="00D33687" w:rsidR="00D36FFB" w:rsidP="00D33687" w:rsidRDefault="00D36FFB" w14:paraId="1C6E7BA6" w14:textId="45FA07EB">
      <w:pPr>
        <w:pStyle w:val="ListParagraph"/>
        <w:keepLines/>
        <w:numPr>
          <w:ilvl w:val="0"/>
          <w:numId w:val="17"/>
        </w:numPr>
        <w:tabs>
          <w:tab w:val="left" w:pos="360"/>
        </w:tabs>
        <w:overflowPunct w:val="0"/>
        <w:autoSpaceDE w:val="0"/>
        <w:autoSpaceDN w:val="0"/>
        <w:adjustRightInd w:val="0"/>
        <w:spacing w:after="80" w:line="240" w:lineRule="auto"/>
        <w:textAlignment w:val="baseline"/>
        <w:rPr>
          <w:rFonts w:ascii="Times New Roman" w:hAnsi="Times New Roman" w:eastAsia="Times New Roman" w:cs="Times New Roman"/>
          <w:sz w:val="24"/>
          <w:szCs w:val="24"/>
        </w:rPr>
      </w:pPr>
      <w:r w:rsidRPr="00D33687">
        <w:rPr>
          <w:rFonts w:ascii="Times New Roman" w:hAnsi="Times New Roman" w:eastAsia="Times New Roman" w:cs="Times New Roman"/>
          <w:sz w:val="24"/>
          <w:szCs w:val="24"/>
        </w:rPr>
        <w:t>Describe efforts to identify duplication.  Show specifically why any similar information already available cannot be used or modified for use for the purposes described in Item 2 above.</w:t>
      </w:r>
    </w:p>
    <w:p w:rsidR="00D33687" w:rsidP="00D33687" w:rsidRDefault="00D33687" w14:paraId="612982AA" w14:textId="77777777">
      <w:pPr>
        <w:pStyle w:val="NoSpacing"/>
      </w:pPr>
    </w:p>
    <w:p w:rsidRPr="00D33687" w:rsidR="00090793" w:rsidP="00D33687" w:rsidRDefault="00090793" w14:paraId="53D84A79" w14:textId="240EA700">
      <w:pPr>
        <w:ind w:left="720"/>
        <w:rPr>
          <w:rFonts w:ascii="Times New Roman" w:hAnsi="Times New Roman" w:cs="Times New Roman"/>
          <w:sz w:val="24"/>
          <w:szCs w:val="24"/>
        </w:rPr>
      </w:pPr>
      <w:r w:rsidRPr="00D33687">
        <w:rPr>
          <w:rFonts w:ascii="Times New Roman" w:hAnsi="Times New Roman" w:cs="Times New Roman"/>
          <w:sz w:val="24"/>
          <w:szCs w:val="24"/>
        </w:rPr>
        <w:t xml:space="preserve">The net loss would accrue at the local level through less effective programming and reduced </w:t>
      </w:r>
      <w:r w:rsidRPr="00D33687" w:rsidR="00A545CD">
        <w:rPr>
          <w:rFonts w:ascii="Times New Roman" w:hAnsi="Times New Roman" w:cs="Times New Roman"/>
          <w:sz w:val="24"/>
          <w:szCs w:val="24"/>
        </w:rPr>
        <w:t xml:space="preserve">grantee </w:t>
      </w:r>
      <w:r w:rsidRPr="00D33687">
        <w:rPr>
          <w:rFonts w:ascii="Times New Roman" w:hAnsi="Times New Roman" w:cs="Times New Roman"/>
          <w:sz w:val="24"/>
          <w:szCs w:val="24"/>
        </w:rPr>
        <w:t>capacity.</w:t>
      </w:r>
      <w:r w:rsidRPr="00D33687" w:rsidR="005C59F3">
        <w:rPr>
          <w:rFonts w:ascii="Times New Roman" w:hAnsi="Times New Roman" w:cs="Times New Roman"/>
          <w:sz w:val="24"/>
          <w:szCs w:val="24"/>
        </w:rPr>
        <w:t xml:space="preserve"> Further, it would also impact HUD’s ability to provide TA that is appropriate and addresses the root issues at the grantee. </w:t>
      </w:r>
    </w:p>
    <w:p w:rsidR="00D36FFB" w:rsidP="00D33687" w:rsidRDefault="00D36FFB" w14:paraId="6AC12858" w14:textId="62A22759">
      <w:pPr>
        <w:pStyle w:val="ListParagraph"/>
        <w:keepLines/>
        <w:numPr>
          <w:ilvl w:val="0"/>
          <w:numId w:val="17"/>
        </w:numPr>
        <w:tabs>
          <w:tab w:val="left" w:pos="360"/>
        </w:tabs>
        <w:overflowPunct w:val="0"/>
        <w:autoSpaceDE w:val="0"/>
        <w:autoSpaceDN w:val="0"/>
        <w:adjustRightInd w:val="0"/>
        <w:spacing w:after="80" w:line="240" w:lineRule="auto"/>
        <w:textAlignment w:val="baseline"/>
        <w:rPr>
          <w:rFonts w:ascii="Times New Roman" w:hAnsi="Times New Roman" w:eastAsia="Times New Roman" w:cs="Times New Roman"/>
          <w:sz w:val="24"/>
          <w:szCs w:val="24"/>
        </w:rPr>
      </w:pPr>
      <w:r w:rsidRPr="00D33687">
        <w:rPr>
          <w:rFonts w:ascii="Times New Roman" w:hAnsi="Times New Roman" w:eastAsia="Times New Roman" w:cs="Times New Roman"/>
          <w:sz w:val="24"/>
          <w:szCs w:val="24"/>
        </w:rPr>
        <w:t>If the collection of information impacts small businesses or other small entities (Item 5 of OMB Form 83-I) describe any methods used to minimize burden.</w:t>
      </w:r>
    </w:p>
    <w:p w:rsidRPr="00D33687" w:rsidR="00D33687" w:rsidP="00D33687" w:rsidRDefault="00D33687" w14:paraId="01CC6B23" w14:textId="77777777">
      <w:pPr>
        <w:pStyle w:val="ListParagraph"/>
        <w:keepLines/>
        <w:tabs>
          <w:tab w:val="left" w:pos="360"/>
        </w:tabs>
        <w:overflowPunct w:val="0"/>
        <w:autoSpaceDE w:val="0"/>
        <w:autoSpaceDN w:val="0"/>
        <w:adjustRightInd w:val="0"/>
        <w:spacing w:after="80" w:line="240" w:lineRule="auto"/>
        <w:textAlignment w:val="baseline"/>
        <w:rPr>
          <w:rFonts w:ascii="Times New Roman" w:hAnsi="Times New Roman" w:eastAsia="Times New Roman" w:cs="Times New Roman"/>
          <w:sz w:val="24"/>
          <w:szCs w:val="24"/>
        </w:rPr>
      </w:pPr>
    </w:p>
    <w:p w:rsidRPr="00D33687" w:rsidR="00476304" w:rsidP="00D33687" w:rsidRDefault="00476304" w14:paraId="452AFF10" w14:textId="42B3C063">
      <w:pPr>
        <w:ind w:left="720"/>
        <w:rPr>
          <w:rFonts w:ascii="Times New Roman" w:hAnsi="Times New Roman" w:cs="Times New Roman"/>
          <w:sz w:val="24"/>
          <w:szCs w:val="24"/>
        </w:rPr>
      </w:pPr>
      <w:r w:rsidRPr="00D33687">
        <w:rPr>
          <w:rFonts w:ascii="Times New Roman" w:hAnsi="Times New Roman" w:cs="Times New Roman"/>
          <w:sz w:val="24"/>
          <w:szCs w:val="24"/>
        </w:rPr>
        <w:t>The collection of information and data collected does not have a significant economic impact on small businesses</w:t>
      </w:r>
      <w:r w:rsidRPr="00D33687" w:rsidR="00913323">
        <w:rPr>
          <w:rFonts w:ascii="Times New Roman" w:hAnsi="Times New Roman" w:cs="Times New Roman"/>
          <w:sz w:val="24"/>
          <w:szCs w:val="24"/>
        </w:rPr>
        <w:t>.</w:t>
      </w:r>
    </w:p>
    <w:p w:rsidRPr="00D33687" w:rsidR="00476304" w:rsidP="00D33687" w:rsidRDefault="00476304" w14:paraId="7F463E0F" w14:textId="77777777">
      <w:pPr>
        <w:pStyle w:val="NoSpacing"/>
      </w:pPr>
    </w:p>
    <w:p w:rsidR="00E9374A" w:rsidP="00D33687" w:rsidRDefault="00D36FFB" w14:paraId="0912083E" w14:textId="3FCFF7BB">
      <w:pPr>
        <w:pStyle w:val="ListParagraph"/>
        <w:numPr>
          <w:ilvl w:val="0"/>
          <w:numId w:val="17"/>
        </w:numPr>
        <w:rPr>
          <w:rFonts w:ascii="Times New Roman" w:hAnsi="Times New Roman" w:cs="Times New Roman"/>
          <w:sz w:val="24"/>
          <w:szCs w:val="24"/>
        </w:rPr>
      </w:pPr>
      <w:r w:rsidRPr="00D33687">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p>
    <w:p w:rsidRPr="00D33687" w:rsidR="00D33687" w:rsidP="00D33687" w:rsidRDefault="00D33687" w14:paraId="285FA138" w14:textId="77777777">
      <w:pPr>
        <w:pStyle w:val="ListParagraph"/>
        <w:rPr>
          <w:rFonts w:ascii="Times New Roman" w:hAnsi="Times New Roman" w:cs="Times New Roman"/>
          <w:sz w:val="24"/>
          <w:szCs w:val="24"/>
        </w:rPr>
      </w:pPr>
    </w:p>
    <w:p w:rsidRPr="00D33687" w:rsidR="00D36FFB" w:rsidP="00D33687" w:rsidRDefault="00B26582" w14:paraId="74BA9805" w14:textId="04AB3FFB">
      <w:pPr>
        <w:pStyle w:val="ListParagraph"/>
        <w:rPr>
          <w:rFonts w:ascii="Times New Roman" w:hAnsi="Times New Roman" w:cs="Times New Roman"/>
          <w:sz w:val="24"/>
          <w:szCs w:val="24"/>
        </w:rPr>
      </w:pPr>
      <w:r w:rsidRPr="00D33687">
        <w:rPr>
          <w:rFonts w:ascii="Times New Roman" w:hAnsi="Times New Roman" w:cs="Times New Roman"/>
          <w:sz w:val="24"/>
          <w:szCs w:val="24"/>
        </w:rPr>
        <w:t>The</w:t>
      </w:r>
      <w:r w:rsidRPr="00D33687" w:rsidR="004A499A">
        <w:rPr>
          <w:rFonts w:ascii="Times New Roman" w:hAnsi="Times New Roman" w:cs="Times New Roman"/>
          <w:sz w:val="24"/>
          <w:szCs w:val="24"/>
        </w:rPr>
        <w:t xml:space="preserve"> </w:t>
      </w:r>
      <w:r w:rsidR="00803C59">
        <w:rPr>
          <w:rFonts w:ascii="Times New Roman" w:hAnsi="Times New Roman" w:cs="Times New Roman"/>
          <w:sz w:val="24"/>
          <w:szCs w:val="24"/>
        </w:rPr>
        <w:t xml:space="preserve">Needs Assessment </w:t>
      </w:r>
      <w:r w:rsidRPr="00D33687" w:rsidR="00E9374A">
        <w:rPr>
          <w:rFonts w:ascii="Times New Roman" w:hAnsi="Times New Roman" w:cs="Times New Roman"/>
          <w:sz w:val="24"/>
          <w:szCs w:val="24"/>
        </w:rPr>
        <w:t xml:space="preserve">data </w:t>
      </w:r>
      <w:r w:rsidR="00803C59">
        <w:rPr>
          <w:rFonts w:ascii="Times New Roman" w:hAnsi="Times New Roman" w:cs="Times New Roman"/>
          <w:sz w:val="24"/>
          <w:szCs w:val="24"/>
        </w:rPr>
        <w:t xml:space="preserve">is </w:t>
      </w:r>
      <w:r w:rsidRPr="00D33687" w:rsidR="00E9374A">
        <w:rPr>
          <w:rFonts w:ascii="Times New Roman" w:hAnsi="Times New Roman" w:cs="Times New Roman"/>
          <w:sz w:val="24"/>
          <w:szCs w:val="24"/>
        </w:rPr>
        <w:t xml:space="preserve">collected </w:t>
      </w:r>
      <w:r w:rsidRPr="00D33687" w:rsidR="00FD5A9E">
        <w:rPr>
          <w:rFonts w:ascii="Times New Roman" w:hAnsi="Times New Roman" w:cs="Times New Roman"/>
          <w:sz w:val="24"/>
          <w:szCs w:val="24"/>
        </w:rPr>
        <w:t>o</w:t>
      </w:r>
      <w:r w:rsidRPr="00D33687" w:rsidR="00E9374A">
        <w:rPr>
          <w:rFonts w:ascii="Times New Roman" w:hAnsi="Times New Roman" w:cs="Times New Roman"/>
          <w:sz w:val="24"/>
          <w:szCs w:val="24"/>
        </w:rPr>
        <w:t xml:space="preserve">n a </w:t>
      </w:r>
      <w:r w:rsidR="00803C59">
        <w:rPr>
          <w:rFonts w:ascii="Times New Roman" w:hAnsi="Times New Roman" w:cs="Times New Roman"/>
          <w:sz w:val="24"/>
          <w:szCs w:val="24"/>
        </w:rPr>
        <w:t xml:space="preserve">limited </w:t>
      </w:r>
      <w:r w:rsidRPr="00D33687" w:rsidR="00E9374A">
        <w:rPr>
          <w:rFonts w:ascii="Times New Roman" w:hAnsi="Times New Roman" w:cs="Times New Roman"/>
          <w:sz w:val="24"/>
          <w:szCs w:val="24"/>
        </w:rPr>
        <w:t>basi</w:t>
      </w:r>
      <w:r w:rsidRPr="00D33687" w:rsidR="00A545CD">
        <w:rPr>
          <w:rFonts w:ascii="Times New Roman" w:hAnsi="Times New Roman" w:cs="Times New Roman"/>
          <w:sz w:val="24"/>
          <w:szCs w:val="24"/>
        </w:rPr>
        <w:t>s</w:t>
      </w:r>
      <w:r w:rsidR="00DF4169">
        <w:rPr>
          <w:rFonts w:ascii="Times New Roman" w:hAnsi="Times New Roman" w:cs="Times New Roman"/>
          <w:sz w:val="24"/>
          <w:szCs w:val="24"/>
        </w:rPr>
        <w:t xml:space="preserve"> </w:t>
      </w:r>
      <w:r w:rsidRPr="00D33687" w:rsidR="00A545CD">
        <w:rPr>
          <w:rFonts w:ascii="Times New Roman" w:hAnsi="Times New Roman" w:cs="Times New Roman"/>
          <w:sz w:val="24"/>
          <w:szCs w:val="24"/>
        </w:rPr>
        <w:t xml:space="preserve">for HUD grantees that </w:t>
      </w:r>
      <w:r w:rsidRPr="00D33687" w:rsidR="004A499A">
        <w:rPr>
          <w:rFonts w:ascii="Times New Roman" w:hAnsi="Times New Roman" w:cs="Times New Roman"/>
          <w:sz w:val="24"/>
          <w:szCs w:val="24"/>
        </w:rPr>
        <w:t xml:space="preserve">have demonstrated difficulty </w:t>
      </w:r>
      <w:r w:rsidRPr="00D33687" w:rsidR="000F07AF">
        <w:rPr>
          <w:rFonts w:ascii="Times New Roman" w:hAnsi="Times New Roman" w:cs="Times New Roman"/>
          <w:sz w:val="24"/>
          <w:szCs w:val="24"/>
        </w:rPr>
        <w:t>administering their awards</w:t>
      </w:r>
      <w:r w:rsidRPr="00D33687" w:rsidR="004A499A">
        <w:rPr>
          <w:rFonts w:ascii="Times New Roman" w:hAnsi="Times New Roman" w:cs="Times New Roman"/>
          <w:sz w:val="24"/>
          <w:szCs w:val="24"/>
        </w:rPr>
        <w:t xml:space="preserve">, carrying out program activities, </w:t>
      </w:r>
      <w:r w:rsidR="001255F4">
        <w:rPr>
          <w:rFonts w:ascii="Times New Roman" w:hAnsi="Times New Roman" w:cs="Times New Roman"/>
          <w:sz w:val="24"/>
          <w:szCs w:val="24"/>
        </w:rPr>
        <w:t>and/</w:t>
      </w:r>
      <w:r w:rsidRPr="00D33687" w:rsidR="004A499A">
        <w:rPr>
          <w:rFonts w:ascii="Times New Roman" w:hAnsi="Times New Roman" w:cs="Times New Roman"/>
          <w:sz w:val="24"/>
          <w:szCs w:val="24"/>
        </w:rPr>
        <w:t>or</w:t>
      </w:r>
      <w:r w:rsidRPr="00D33687" w:rsidR="00C402FB">
        <w:rPr>
          <w:rFonts w:ascii="Times New Roman" w:hAnsi="Times New Roman" w:cs="Times New Roman"/>
          <w:sz w:val="24"/>
          <w:szCs w:val="24"/>
        </w:rPr>
        <w:t xml:space="preserve"> </w:t>
      </w:r>
      <w:r w:rsidR="00803C59">
        <w:rPr>
          <w:rFonts w:ascii="Times New Roman" w:hAnsi="Times New Roman" w:cs="Times New Roman"/>
          <w:sz w:val="24"/>
          <w:szCs w:val="24"/>
        </w:rPr>
        <w:t xml:space="preserve">meeting </w:t>
      </w:r>
      <w:r w:rsidRPr="00D33687" w:rsidR="004A499A">
        <w:rPr>
          <w:rFonts w:ascii="Times New Roman" w:hAnsi="Times New Roman" w:cs="Times New Roman"/>
          <w:sz w:val="24"/>
          <w:szCs w:val="24"/>
        </w:rPr>
        <w:t xml:space="preserve">other challenges. </w:t>
      </w:r>
      <w:r w:rsidRPr="00D33687" w:rsidR="00D5382E">
        <w:rPr>
          <w:rFonts w:ascii="Times New Roman" w:hAnsi="Times New Roman" w:cs="Times New Roman"/>
          <w:sz w:val="24"/>
          <w:szCs w:val="24"/>
        </w:rPr>
        <w:t>The</w:t>
      </w:r>
      <w:r w:rsidRPr="00D33687" w:rsidR="004A499A">
        <w:rPr>
          <w:rFonts w:ascii="Times New Roman" w:hAnsi="Times New Roman" w:cs="Times New Roman"/>
          <w:sz w:val="24"/>
          <w:szCs w:val="24"/>
        </w:rPr>
        <w:t xml:space="preserve"> Needs Assessment tool is an efficient mechanism for TA providers to identify root causes of problems and to recommend technical assistance strategies. If the data is not collected through the Needs Assessment, HUD would </w:t>
      </w:r>
      <w:r w:rsidRPr="00D33687" w:rsidR="008E685F">
        <w:rPr>
          <w:rFonts w:ascii="Times New Roman" w:hAnsi="Times New Roman" w:cs="Times New Roman"/>
          <w:sz w:val="24"/>
          <w:szCs w:val="24"/>
        </w:rPr>
        <w:t>be less able to target TA resources appropriately to best meet the needs of grantees.</w:t>
      </w:r>
      <w:r w:rsidRPr="00D33687" w:rsidR="004A499A">
        <w:rPr>
          <w:rFonts w:ascii="Times New Roman" w:hAnsi="Times New Roman" w:cs="Times New Roman"/>
          <w:sz w:val="24"/>
          <w:szCs w:val="24"/>
        </w:rPr>
        <w:t xml:space="preserve"> </w:t>
      </w:r>
      <w:r w:rsidRPr="00D33687" w:rsidR="00B61A6C">
        <w:rPr>
          <w:rFonts w:ascii="Times New Roman" w:hAnsi="Times New Roman" w:cs="Times New Roman"/>
          <w:sz w:val="24"/>
          <w:szCs w:val="24"/>
        </w:rPr>
        <w:t xml:space="preserve">HUD’s ability to support grantee in prudent grant management and </w:t>
      </w:r>
      <w:r w:rsidRPr="00D33687" w:rsidR="00B6032E">
        <w:rPr>
          <w:rFonts w:ascii="Times New Roman" w:hAnsi="Times New Roman" w:cs="Times New Roman"/>
          <w:sz w:val="24"/>
          <w:szCs w:val="24"/>
        </w:rPr>
        <w:t>compliant grant administration would be significantly impaired.</w:t>
      </w:r>
      <w:r w:rsidRPr="00D33687" w:rsidR="004A499A">
        <w:rPr>
          <w:rFonts w:ascii="Times New Roman" w:hAnsi="Times New Roman" w:cs="Times New Roman"/>
          <w:sz w:val="24"/>
          <w:szCs w:val="24"/>
        </w:rPr>
        <w:t xml:space="preserve"> </w:t>
      </w:r>
    </w:p>
    <w:p w:rsidR="00D36FFB" w:rsidP="00D5382E" w:rsidRDefault="00D36FFB" w14:paraId="49BBAFC5" w14:textId="12B470C4">
      <w:pPr>
        <w:pStyle w:val="ListParagraph"/>
        <w:ind w:left="360"/>
        <w:rPr>
          <w:rFonts w:ascii="Times New Roman" w:hAnsi="Times New Roman" w:cs="Times New Roman"/>
          <w:sz w:val="24"/>
          <w:szCs w:val="24"/>
        </w:rPr>
      </w:pPr>
    </w:p>
    <w:p w:rsidRPr="00D33687" w:rsidR="00794F10" w:rsidP="00D5382E" w:rsidRDefault="00794F10" w14:paraId="2F56D88F" w14:textId="77777777">
      <w:pPr>
        <w:pStyle w:val="ListParagraph"/>
        <w:ind w:left="360"/>
        <w:rPr>
          <w:rFonts w:ascii="Times New Roman" w:hAnsi="Times New Roman" w:cs="Times New Roman"/>
          <w:sz w:val="24"/>
          <w:szCs w:val="24"/>
        </w:rPr>
      </w:pPr>
    </w:p>
    <w:p w:rsidRPr="001226EE" w:rsidR="00D36FFB" w:rsidP="001226EE" w:rsidRDefault="00D36FFB" w14:paraId="58753091" w14:textId="740870C1">
      <w:pPr>
        <w:pStyle w:val="ListParagraph"/>
        <w:numPr>
          <w:ilvl w:val="0"/>
          <w:numId w:val="17"/>
        </w:num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1226EE">
        <w:rPr>
          <w:rFonts w:ascii="Times New Roman" w:hAnsi="Times New Roman" w:eastAsia="Times New Roman" w:cs="Times New Roman"/>
          <w:sz w:val="24"/>
          <w:szCs w:val="24"/>
        </w:rPr>
        <w:lastRenderedPageBreak/>
        <w:t xml:space="preserve">Explain any special circumstances that would cause an information collection to be conducted in a manner: </w:t>
      </w:r>
      <w:bookmarkStart w:name="_Hlk30070041" w:id="1"/>
      <w:r w:rsidRPr="001226EE" w:rsidR="00D33687">
        <w:rPr>
          <w:rFonts w:ascii="Times New Roman" w:hAnsi="Times New Roman" w:eastAsia="Times New Roman" w:cs="Times New Roman"/>
          <w:b/>
          <w:bCs/>
          <w:sz w:val="24"/>
          <w:szCs w:val="24"/>
        </w:rPr>
        <w:t>N/A</w:t>
      </w:r>
      <w:bookmarkEnd w:id="1"/>
    </w:p>
    <w:p w:rsidRPr="00D33687" w:rsidR="00D36FFB" w:rsidP="001226EE" w:rsidRDefault="00D36FFB" w14:paraId="22D51932" w14:textId="15711A43">
      <w:pPr>
        <w:numPr>
          <w:ilvl w:val="0"/>
          <w:numId w:val="18"/>
        </w:numPr>
        <w:overflowPunct w:val="0"/>
        <w:autoSpaceDE w:val="0"/>
        <w:autoSpaceDN w:val="0"/>
        <w:adjustRightInd w:val="0"/>
        <w:spacing w:after="0" w:line="240" w:lineRule="auto"/>
        <w:ind w:left="1080"/>
        <w:textAlignment w:val="baseline"/>
        <w:rPr>
          <w:rFonts w:ascii="Times New Roman" w:hAnsi="Times New Roman" w:eastAsia="Times New Roman" w:cs="Times New Roman"/>
          <w:sz w:val="24"/>
          <w:szCs w:val="24"/>
        </w:rPr>
      </w:pPr>
      <w:r w:rsidRPr="00D33687">
        <w:rPr>
          <w:rFonts w:ascii="Times New Roman" w:hAnsi="Times New Roman" w:eastAsia="Times New Roman" w:cs="Times New Roman"/>
          <w:sz w:val="24"/>
          <w:szCs w:val="24"/>
        </w:rPr>
        <w:t>requiring respondents to report information to the agency more than quarterly; n/a</w:t>
      </w:r>
    </w:p>
    <w:p w:rsidRPr="00D33687" w:rsidR="00D36FFB" w:rsidP="001226EE" w:rsidRDefault="00D36FFB" w14:paraId="643469EE" w14:textId="36EED9EB">
      <w:pPr>
        <w:numPr>
          <w:ilvl w:val="0"/>
          <w:numId w:val="18"/>
        </w:numPr>
        <w:overflowPunct w:val="0"/>
        <w:autoSpaceDE w:val="0"/>
        <w:autoSpaceDN w:val="0"/>
        <w:adjustRightInd w:val="0"/>
        <w:spacing w:after="0" w:line="240" w:lineRule="auto"/>
        <w:ind w:left="1080"/>
        <w:textAlignment w:val="baseline"/>
        <w:rPr>
          <w:rFonts w:ascii="Times New Roman" w:hAnsi="Times New Roman" w:eastAsia="Times New Roman" w:cs="Times New Roman"/>
          <w:sz w:val="24"/>
          <w:szCs w:val="24"/>
        </w:rPr>
      </w:pPr>
      <w:r w:rsidRPr="00D33687">
        <w:rPr>
          <w:rFonts w:ascii="Times New Roman" w:hAnsi="Times New Roman" w:eastAsia="Times New Roman" w:cs="Times New Roman"/>
          <w:sz w:val="24"/>
          <w:szCs w:val="24"/>
        </w:rPr>
        <w:t xml:space="preserve">requiring respondents to prepare a written response to a collection of information in fewer than 30 days after receipt of it; </w:t>
      </w:r>
      <w:r w:rsidRPr="00D33687" w:rsidR="00D33687">
        <w:rPr>
          <w:rFonts w:ascii="Times New Roman" w:hAnsi="Times New Roman" w:eastAsia="Times New Roman" w:cs="Times New Roman"/>
          <w:b/>
          <w:bCs/>
          <w:sz w:val="24"/>
          <w:szCs w:val="24"/>
        </w:rPr>
        <w:t>N/A</w:t>
      </w:r>
    </w:p>
    <w:p w:rsidR="00D33687" w:rsidP="001226EE" w:rsidRDefault="00D36FFB" w14:paraId="14BE3B3F" w14:textId="77777777">
      <w:pPr>
        <w:numPr>
          <w:ilvl w:val="0"/>
          <w:numId w:val="18"/>
        </w:numPr>
        <w:overflowPunct w:val="0"/>
        <w:autoSpaceDE w:val="0"/>
        <w:autoSpaceDN w:val="0"/>
        <w:adjustRightInd w:val="0"/>
        <w:spacing w:after="0" w:line="240" w:lineRule="auto"/>
        <w:ind w:left="1080"/>
        <w:textAlignment w:val="baseline"/>
        <w:rPr>
          <w:rFonts w:ascii="Times New Roman" w:hAnsi="Times New Roman" w:eastAsia="Times New Roman" w:cs="Times New Roman"/>
          <w:sz w:val="24"/>
          <w:szCs w:val="24"/>
        </w:rPr>
      </w:pPr>
      <w:r w:rsidRPr="00D33687">
        <w:rPr>
          <w:rFonts w:ascii="Times New Roman" w:hAnsi="Times New Roman" w:eastAsia="Times New Roman" w:cs="Times New Roman"/>
          <w:sz w:val="24"/>
          <w:szCs w:val="24"/>
        </w:rPr>
        <w:t xml:space="preserve">requiring respondents to submit more than an original and two copies of any document; </w:t>
      </w:r>
      <w:r w:rsidRPr="00D33687" w:rsidR="00D33687">
        <w:rPr>
          <w:rFonts w:ascii="Times New Roman" w:hAnsi="Times New Roman" w:eastAsia="Times New Roman" w:cs="Times New Roman"/>
          <w:b/>
          <w:bCs/>
          <w:sz w:val="24"/>
          <w:szCs w:val="24"/>
        </w:rPr>
        <w:t>N/A</w:t>
      </w:r>
      <w:r w:rsidRPr="00D33687" w:rsidR="00D33687">
        <w:rPr>
          <w:rFonts w:ascii="Times New Roman" w:hAnsi="Times New Roman" w:eastAsia="Times New Roman" w:cs="Times New Roman"/>
          <w:sz w:val="24"/>
          <w:szCs w:val="24"/>
        </w:rPr>
        <w:t xml:space="preserve"> </w:t>
      </w:r>
    </w:p>
    <w:p w:rsidRPr="00D33687" w:rsidR="00D36FFB" w:rsidP="001226EE" w:rsidRDefault="00D36FFB" w14:paraId="66EFEA24" w14:textId="7F1DBDC7">
      <w:pPr>
        <w:numPr>
          <w:ilvl w:val="0"/>
          <w:numId w:val="18"/>
        </w:numPr>
        <w:overflowPunct w:val="0"/>
        <w:autoSpaceDE w:val="0"/>
        <w:autoSpaceDN w:val="0"/>
        <w:adjustRightInd w:val="0"/>
        <w:spacing w:after="0" w:line="240" w:lineRule="auto"/>
        <w:ind w:left="1080"/>
        <w:textAlignment w:val="baseline"/>
        <w:rPr>
          <w:rFonts w:ascii="Times New Roman" w:hAnsi="Times New Roman" w:eastAsia="Times New Roman" w:cs="Times New Roman"/>
          <w:sz w:val="24"/>
          <w:szCs w:val="24"/>
        </w:rPr>
      </w:pPr>
      <w:r w:rsidRPr="00D33687">
        <w:rPr>
          <w:rFonts w:ascii="Times New Roman" w:hAnsi="Times New Roman" w:eastAsia="Times New Roman" w:cs="Times New Roman"/>
          <w:sz w:val="24"/>
          <w:szCs w:val="24"/>
        </w:rPr>
        <w:t xml:space="preserve">requiring respondents to retain records other than health, medical, government contract, grant-in-aid, or tax records for more than three years; </w:t>
      </w:r>
      <w:r w:rsidRPr="00D33687" w:rsidR="00D33687">
        <w:rPr>
          <w:rFonts w:ascii="Times New Roman" w:hAnsi="Times New Roman" w:eastAsia="Times New Roman" w:cs="Times New Roman"/>
          <w:b/>
          <w:bCs/>
          <w:sz w:val="24"/>
          <w:szCs w:val="24"/>
        </w:rPr>
        <w:t>N/A</w:t>
      </w:r>
    </w:p>
    <w:p w:rsidRPr="00D33687" w:rsidR="00D36FFB" w:rsidP="001226EE" w:rsidRDefault="00D36FFB" w14:paraId="1CF64C4F" w14:textId="18162768">
      <w:pPr>
        <w:numPr>
          <w:ilvl w:val="0"/>
          <w:numId w:val="18"/>
        </w:numPr>
        <w:overflowPunct w:val="0"/>
        <w:autoSpaceDE w:val="0"/>
        <w:autoSpaceDN w:val="0"/>
        <w:adjustRightInd w:val="0"/>
        <w:spacing w:after="0" w:line="240" w:lineRule="auto"/>
        <w:ind w:left="1080"/>
        <w:textAlignment w:val="baseline"/>
        <w:rPr>
          <w:rFonts w:ascii="Times New Roman" w:hAnsi="Times New Roman" w:eastAsia="Times New Roman" w:cs="Times New Roman"/>
          <w:sz w:val="24"/>
          <w:szCs w:val="24"/>
        </w:rPr>
      </w:pPr>
      <w:r w:rsidRPr="00D33687">
        <w:rPr>
          <w:rFonts w:ascii="Times New Roman" w:hAnsi="Times New Roman" w:eastAsia="Times New Roman" w:cs="Times New Roman"/>
          <w:sz w:val="24"/>
          <w:szCs w:val="24"/>
        </w:rPr>
        <w:t xml:space="preserve">in connection with a statistical survey, that is not designed to produce valid and reliable results than can be generalized to the universe of study; </w:t>
      </w:r>
      <w:r w:rsidRPr="00D33687" w:rsidR="00D33687">
        <w:rPr>
          <w:rFonts w:ascii="Times New Roman" w:hAnsi="Times New Roman" w:eastAsia="Times New Roman" w:cs="Times New Roman"/>
          <w:b/>
          <w:bCs/>
          <w:sz w:val="24"/>
          <w:szCs w:val="24"/>
        </w:rPr>
        <w:t>N/A</w:t>
      </w:r>
    </w:p>
    <w:p w:rsidRPr="00D33687" w:rsidR="00D36FFB" w:rsidP="001226EE" w:rsidRDefault="00D36FFB" w14:paraId="2FDA3563" w14:textId="54BAB707">
      <w:pPr>
        <w:numPr>
          <w:ilvl w:val="0"/>
          <w:numId w:val="18"/>
        </w:numPr>
        <w:overflowPunct w:val="0"/>
        <w:autoSpaceDE w:val="0"/>
        <w:autoSpaceDN w:val="0"/>
        <w:adjustRightInd w:val="0"/>
        <w:spacing w:after="0" w:line="240" w:lineRule="auto"/>
        <w:ind w:left="1080"/>
        <w:textAlignment w:val="baseline"/>
        <w:rPr>
          <w:rFonts w:ascii="Times New Roman" w:hAnsi="Times New Roman" w:eastAsia="Times New Roman" w:cs="Times New Roman"/>
          <w:sz w:val="24"/>
          <w:szCs w:val="24"/>
        </w:rPr>
      </w:pPr>
      <w:r w:rsidRPr="00D33687">
        <w:rPr>
          <w:rFonts w:ascii="Times New Roman" w:hAnsi="Times New Roman" w:eastAsia="Times New Roman" w:cs="Times New Roman"/>
          <w:sz w:val="24"/>
          <w:szCs w:val="24"/>
        </w:rPr>
        <w:t xml:space="preserve">requiring the use of a statistical data classification that has not been reviewed and approved by OMB; </w:t>
      </w:r>
      <w:r w:rsidRPr="00D33687" w:rsidR="00D33687">
        <w:rPr>
          <w:rFonts w:ascii="Times New Roman" w:hAnsi="Times New Roman" w:eastAsia="Times New Roman" w:cs="Times New Roman"/>
          <w:b/>
          <w:bCs/>
          <w:sz w:val="24"/>
          <w:szCs w:val="24"/>
        </w:rPr>
        <w:t>N/A</w:t>
      </w:r>
    </w:p>
    <w:p w:rsidRPr="00D33687" w:rsidR="00D33687" w:rsidP="001226EE" w:rsidRDefault="00D36FFB" w14:paraId="6FA96EEB" w14:textId="77777777">
      <w:pPr>
        <w:keepLines/>
        <w:numPr>
          <w:ilvl w:val="0"/>
          <w:numId w:val="18"/>
        </w:numPr>
        <w:overflowPunct w:val="0"/>
        <w:autoSpaceDE w:val="0"/>
        <w:autoSpaceDN w:val="0"/>
        <w:adjustRightInd w:val="0"/>
        <w:spacing w:after="80" w:line="240" w:lineRule="auto"/>
        <w:ind w:left="1080"/>
        <w:textAlignment w:val="baseline"/>
        <w:rPr>
          <w:rFonts w:ascii="Times New Roman" w:hAnsi="Times New Roman" w:cs="Times New Roman"/>
          <w:sz w:val="24"/>
          <w:szCs w:val="24"/>
        </w:rPr>
      </w:pPr>
      <w:r w:rsidRPr="00D33687">
        <w:rPr>
          <w:rFonts w:ascii="Times New Roman" w:hAnsi="Times New Roman" w:eastAsia="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D33687" w:rsidR="00D33687">
        <w:rPr>
          <w:rFonts w:ascii="Times New Roman" w:hAnsi="Times New Roman" w:eastAsia="Times New Roman" w:cs="Times New Roman"/>
          <w:b/>
          <w:bCs/>
          <w:sz w:val="24"/>
          <w:szCs w:val="24"/>
        </w:rPr>
        <w:t>N/A</w:t>
      </w:r>
    </w:p>
    <w:p w:rsidRPr="00D33687" w:rsidR="00D36FFB" w:rsidP="001226EE" w:rsidRDefault="00D36FFB" w14:paraId="6789C1CF" w14:textId="16525592">
      <w:pPr>
        <w:keepLines/>
        <w:numPr>
          <w:ilvl w:val="0"/>
          <w:numId w:val="18"/>
        </w:numPr>
        <w:overflowPunct w:val="0"/>
        <w:autoSpaceDE w:val="0"/>
        <w:autoSpaceDN w:val="0"/>
        <w:adjustRightInd w:val="0"/>
        <w:spacing w:after="80" w:line="240" w:lineRule="auto"/>
        <w:ind w:left="1080"/>
        <w:textAlignment w:val="baseline"/>
        <w:rPr>
          <w:rFonts w:ascii="Times New Roman" w:hAnsi="Times New Roman" w:cs="Times New Roman"/>
          <w:sz w:val="24"/>
          <w:szCs w:val="24"/>
        </w:rPr>
      </w:pPr>
      <w:r w:rsidRPr="00D33687">
        <w:rPr>
          <w:rFonts w:ascii="Times New Roman" w:hAnsi="Times New Roman" w:cs="Times New Roman"/>
          <w:sz w:val="24"/>
          <w:szCs w:val="24"/>
        </w:rPr>
        <w:t xml:space="preserve">requiring respondents to submit proprietary trade secret, or other confidential information unless the agency can demonstrate that it has instituted procedures to protect the information's confidentiality to the extent permitted by law. </w:t>
      </w:r>
      <w:r w:rsidRPr="00D33687" w:rsidR="00D33687">
        <w:rPr>
          <w:rFonts w:ascii="Times New Roman" w:hAnsi="Times New Roman" w:eastAsia="Times New Roman" w:cs="Times New Roman"/>
          <w:b/>
          <w:bCs/>
          <w:sz w:val="24"/>
          <w:szCs w:val="24"/>
        </w:rPr>
        <w:t>N/A</w:t>
      </w:r>
    </w:p>
    <w:p w:rsidRPr="00D33687" w:rsidR="00D36FFB" w:rsidP="00D36FFB" w:rsidRDefault="00D36FFB" w14:paraId="2ADD13CB" w14:textId="77777777">
      <w:pPr>
        <w:tabs>
          <w:tab w:val="left" w:pos="360"/>
        </w:tabs>
        <w:ind w:left="360" w:hanging="360"/>
        <w:rPr>
          <w:rFonts w:ascii="Times New Roman" w:hAnsi="Times New Roman" w:cs="Times New Roman"/>
          <w:sz w:val="24"/>
          <w:szCs w:val="24"/>
        </w:rPr>
      </w:pPr>
    </w:p>
    <w:p w:rsidRPr="001226EE" w:rsidR="00D36FFB" w:rsidP="001226EE" w:rsidRDefault="00D36FFB" w14:paraId="7E4D144E" w14:textId="5923E08F">
      <w:pPr>
        <w:pStyle w:val="ListParagraph"/>
        <w:numPr>
          <w:ilvl w:val="0"/>
          <w:numId w:val="17"/>
        </w:numPr>
        <w:rPr>
          <w:rFonts w:ascii="Times New Roman" w:hAnsi="Times New Roman" w:cs="Times New Roman"/>
          <w:sz w:val="24"/>
          <w:szCs w:val="24"/>
        </w:rPr>
      </w:pPr>
      <w:r w:rsidRPr="001226EE">
        <w:rPr>
          <w:rFonts w:ascii="Times New Roman" w:hAnsi="Times New Roman" w:cs="Times New Roman"/>
          <w:sz w:val="24"/>
          <w:szCs w:val="24"/>
        </w:rPr>
        <w:t xml:space="preserve">If applicable, provide a copy and identify the date and page number of </w:t>
      </w:r>
      <w:proofErr w:type="gramStart"/>
      <w:r w:rsidRPr="001226EE">
        <w:rPr>
          <w:rFonts w:ascii="Times New Roman" w:hAnsi="Times New Roman" w:cs="Times New Roman"/>
          <w:sz w:val="24"/>
          <w:szCs w:val="24"/>
        </w:rPr>
        <w:t>publication</w:t>
      </w:r>
      <w:proofErr w:type="gramEnd"/>
      <w:r w:rsidRPr="001226EE">
        <w:rPr>
          <w:rFonts w:ascii="Times New Roman" w:hAnsi="Times New Roman" w:cs="Times New Roman"/>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D33687" w:rsidR="00D36FFB" w:rsidP="001226EE" w:rsidRDefault="00D36FFB" w14:paraId="6E10F210" w14:textId="77777777">
      <w:pPr>
        <w:numPr>
          <w:ilvl w:val="0"/>
          <w:numId w:val="15"/>
        </w:numPr>
        <w:overflowPunct w:val="0"/>
        <w:autoSpaceDE w:val="0"/>
        <w:autoSpaceDN w:val="0"/>
        <w:adjustRightInd w:val="0"/>
        <w:spacing w:after="0" w:line="240" w:lineRule="auto"/>
        <w:ind w:left="1080" w:hanging="270"/>
        <w:textAlignment w:val="baseline"/>
        <w:rPr>
          <w:rFonts w:ascii="Times New Roman" w:hAnsi="Times New Roman" w:cs="Times New Roman"/>
          <w:sz w:val="24"/>
          <w:szCs w:val="24"/>
        </w:rPr>
      </w:pPr>
      <w:r w:rsidRPr="00D33687">
        <w:rPr>
          <w:rFonts w:ascii="Times New Roman" w:hAnsi="Times New Roman" w:cs="Times New Roman"/>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D33687" w:rsidR="0015727F" w:rsidP="001226EE" w:rsidRDefault="00D36FFB" w14:paraId="2571CC44" w14:textId="6346A042">
      <w:pPr>
        <w:keepLines/>
        <w:numPr>
          <w:ilvl w:val="0"/>
          <w:numId w:val="15"/>
        </w:numPr>
        <w:overflowPunct w:val="0"/>
        <w:autoSpaceDE w:val="0"/>
        <w:autoSpaceDN w:val="0"/>
        <w:adjustRightInd w:val="0"/>
        <w:spacing w:after="80" w:line="240" w:lineRule="auto"/>
        <w:ind w:left="1080" w:hanging="270"/>
        <w:textAlignment w:val="baseline"/>
        <w:rPr>
          <w:rFonts w:ascii="Times New Roman" w:hAnsi="Times New Roman" w:cs="Times New Roman"/>
          <w:sz w:val="24"/>
          <w:szCs w:val="24"/>
        </w:rPr>
      </w:pPr>
      <w:r w:rsidRPr="00D33687">
        <w:rPr>
          <w:rFonts w:ascii="Times New Roman" w:hAnsi="Times New Roman" w:cs="Times New Roman"/>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D33687" w:rsidR="0015727F" w:rsidP="0015727F" w:rsidRDefault="0015727F" w14:paraId="77F7E1F2" w14:textId="77777777">
      <w:pPr>
        <w:pStyle w:val="ListParagraph"/>
        <w:ind w:left="360"/>
        <w:rPr>
          <w:rFonts w:ascii="Times New Roman" w:hAnsi="Times New Roman" w:cs="Times New Roman"/>
          <w:sz w:val="24"/>
          <w:szCs w:val="24"/>
        </w:rPr>
      </w:pPr>
    </w:p>
    <w:p w:rsidRPr="00D33687" w:rsidR="00090793" w:rsidP="001226EE" w:rsidRDefault="00A14EA4" w14:paraId="63035A91" w14:textId="7A693CA2">
      <w:pPr>
        <w:pStyle w:val="ListParagraph"/>
        <w:ind w:left="810"/>
        <w:rPr>
          <w:rFonts w:ascii="Times New Roman" w:hAnsi="Times New Roman" w:cs="Times New Roman"/>
          <w:sz w:val="24"/>
          <w:szCs w:val="24"/>
        </w:rPr>
      </w:pPr>
      <w:r>
        <w:rPr>
          <w:rFonts w:ascii="Times New Roman" w:hAnsi="Times New Roman" w:cs="Times New Roman"/>
          <w:sz w:val="24"/>
          <w:szCs w:val="24"/>
        </w:rPr>
        <w:t>The notice was p</w:t>
      </w:r>
      <w:r w:rsidRPr="00D33687" w:rsidR="00090793">
        <w:rPr>
          <w:rFonts w:ascii="Times New Roman" w:hAnsi="Times New Roman" w:cs="Times New Roman"/>
          <w:sz w:val="24"/>
          <w:szCs w:val="24"/>
        </w:rPr>
        <w:t xml:space="preserve">ublished in the Federal Register on </w:t>
      </w:r>
      <w:r w:rsidRPr="00D33687" w:rsidR="005D3457">
        <w:rPr>
          <w:rFonts w:ascii="Times New Roman" w:hAnsi="Times New Roman" w:cs="Times New Roman"/>
          <w:sz w:val="24"/>
          <w:szCs w:val="24"/>
        </w:rPr>
        <w:t>October 31, 2019, vol 84 page 58407</w:t>
      </w:r>
      <w:r w:rsidR="00A65E3A">
        <w:rPr>
          <w:rFonts w:ascii="Times New Roman" w:hAnsi="Times New Roman" w:cs="Times New Roman"/>
          <w:sz w:val="24"/>
          <w:szCs w:val="24"/>
        </w:rPr>
        <w:t xml:space="preserve">. </w:t>
      </w:r>
      <w:r w:rsidR="00451FF7">
        <w:rPr>
          <w:rFonts w:ascii="Times New Roman" w:hAnsi="Times New Roman" w:cs="Times New Roman"/>
          <w:sz w:val="24"/>
          <w:szCs w:val="24"/>
        </w:rPr>
        <w:t>No</w:t>
      </w:r>
      <w:r w:rsidRPr="00A65E3A">
        <w:rPr>
          <w:rFonts w:ascii="Tw Cen MT" w:hAnsi="Tw Cen MT"/>
          <w:color w:val="4F81BD"/>
          <w:sz w:val="24"/>
          <w:szCs w:val="24"/>
        </w:rPr>
        <w:t xml:space="preserve"> </w:t>
      </w:r>
      <w:r w:rsidRPr="00D33687" w:rsidR="00090793">
        <w:rPr>
          <w:rFonts w:ascii="Times New Roman" w:hAnsi="Times New Roman" w:cs="Times New Roman"/>
          <w:sz w:val="24"/>
          <w:szCs w:val="24"/>
        </w:rPr>
        <w:t>comments were received</w:t>
      </w:r>
      <w:r>
        <w:rPr>
          <w:rFonts w:ascii="Times New Roman" w:hAnsi="Times New Roman" w:cs="Times New Roman"/>
          <w:sz w:val="24"/>
          <w:szCs w:val="24"/>
        </w:rPr>
        <w:t xml:space="preserve"> in response to the Federal Register notice.</w:t>
      </w:r>
    </w:p>
    <w:p w:rsidRPr="00D33687" w:rsidR="00090793" w:rsidP="00BE500F" w:rsidRDefault="00090793" w14:paraId="12B64685" w14:textId="77777777">
      <w:pPr>
        <w:pStyle w:val="ListParagraph"/>
        <w:ind w:left="1440" w:hanging="270"/>
        <w:rPr>
          <w:rFonts w:ascii="Times New Roman" w:hAnsi="Times New Roman" w:cs="Times New Roman"/>
          <w:sz w:val="24"/>
          <w:szCs w:val="24"/>
        </w:rPr>
      </w:pPr>
    </w:p>
    <w:p w:rsidRPr="001226EE" w:rsidR="0015727F" w:rsidP="001226EE" w:rsidRDefault="00D36FFB" w14:paraId="35FB3ECB" w14:textId="6A72984F">
      <w:pPr>
        <w:pStyle w:val="ListParagraph"/>
        <w:numPr>
          <w:ilvl w:val="0"/>
          <w:numId w:val="17"/>
        </w:numPr>
        <w:rPr>
          <w:rFonts w:ascii="Times New Roman" w:hAnsi="Times New Roman" w:cs="Times New Roman"/>
          <w:sz w:val="24"/>
          <w:szCs w:val="24"/>
        </w:rPr>
      </w:pPr>
      <w:r w:rsidRPr="001226EE">
        <w:rPr>
          <w:rFonts w:ascii="Times New Roman" w:hAnsi="Times New Roman" w:cs="Times New Roman"/>
          <w:sz w:val="24"/>
          <w:szCs w:val="24"/>
        </w:rPr>
        <w:t>Explain any decision to provide any payment or gift to respondents, other than renumeration of contractors or grantees</w:t>
      </w:r>
    </w:p>
    <w:p w:rsidRPr="00D33687" w:rsidR="00D36FFB" w:rsidP="00D36FFB" w:rsidRDefault="00D36FFB" w14:paraId="6DF18816" w14:textId="77777777">
      <w:pPr>
        <w:pStyle w:val="ListParagraph"/>
        <w:ind w:left="360"/>
        <w:rPr>
          <w:rFonts w:ascii="Times New Roman" w:hAnsi="Times New Roman" w:cs="Times New Roman"/>
          <w:sz w:val="24"/>
          <w:szCs w:val="24"/>
        </w:rPr>
      </w:pPr>
    </w:p>
    <w:p w:rsidRPr="00D33687" w:rsidR="0015727F" w:rsidP="001226EE" w:rsidRDefault="00136BD6" w14:paraId="264C8811" w14:textId="5F3157D8">
      <w:pPr>
        <w:pStyle w:val="ListParagraph"/>
        <w:rPr>
          <w:rFonts w:ascii="Times New Roman" w:hAnsi="Times New Roman" w:cs="Times New Roman"/>
          <w:sz w:val="24"/>
          <w:szCs w:val="24"/>
        </w:rPr>
      </w:pPr>
      <w:r w:rsidRPr="00D33687">
        <w:rPr>
          <w:rFonts w:ascii="Times New Roman" w:hAnsi="Times New Roman" w:cs="Times New Roman"/>
          <w:sz w:val="24"/>
          <w:szCs w:val="24"/>
        </w:rPr>
        <w:t>Respondents</w:t>
      </w:r>
      <w:r w:rsidRPr="00D33687" w:rsidR="00090793">
        <w:rPr>
          <w:rFonts w:ascii="Times New Roman" w:hAnsi="Times New Roman" w:cs="Times New Roman"/>
          <w:sz w:val="24"/>
          <w:szCs w:val="24"/>
        </w:rPr>
        <w:t xml:space="preserve"> do not receive gifts or any additional forms of payments</w:t>
      </w:r>
      <w:r w:rsidRPr="00D33687" w:rsidR="00BE500F">
        <w:rPr>
          <w:rFonts w:ascii="Times New Roman" w:hAnsi="Times New Roman" w:cs="Times New Roman"/>
          <w:sz w:val="24"/>
          <w:szCs w:val="24"/>
        </w:rPr>
        <w:t xml:space="preserve"> </w:t>
      </w:r>
      <w:r w:rsidRPr="00D33687" w:rsidR="00090793">
        <w:rPr>
          <w:rFonts w:ascii="Times New Roman" w:hAnsi="Times New Roman" w:cs="Times New Roman"/>
          <w:sz w:val="24"/>
          <w:szCs w:val="24"/>
        </w:rPr>
        <w:t xml:space="preserve">outside </w:t>
      </w:r>
      <w:r w:rsidRPr="00D33687" w:rsidR="00BE500F">
        <w:rPr>
          <w:rFonts w:ascii="Times New Roman" w:hAnsi="Times New Roman" w:cs="Times New Roman"/>
          <w:sz w:val="24"/>
          <w:szCs w:val="24"/>
        </w:rPr>
        <w:t>o</w:t>
      </w:r>
      <w:r w:rsidRPr="00D33687" w:rsidR="00090793">
        <w:rPr>
          <w:rFonts w:ascii="Times New Roman" w:hAnsi="Times New Roman" w:cs="Times New Roman"/>
          <w:sz w:val="24"/>
          <w:szCs w:val="24"/>
        </w:rPr>
        <w:t xml:space="preserve">f the terms of the award. </w:t>
      </w:r>
    </w:p>
    <w:p w:rsidRPr="00D33687" w:rsidR="0015727F" w:rsidP="0015727F" w:rsidRDefault="0015727F" w14:paraId="5ABE09DD" w14:textId="77777777">
      <w:pPr>
        <w:pStyle w:val="ListParagraph"/>
        <w:ind w:left="360"/>
        <w:rPr>
          <w:rFonts w:ascii="Times New Roman" w:hAnsi="Times New Roman" w:cs="Times New Roman"/>
          <w:sz w:val="24"/>
          <w:szCs w:val="24"/>
        </w:rPr>
      </w:pPr>
    </w:p>
    <w:p w:rsidR="00D36FFB" w:rsidP="001226EE" w:rsidRDefault="00D36FFB" w14:paraId="3AEDD97C" w14:textId="4C2C6C6E">
      <w:pPr>
        <w:pStyle w:val="ListParagraph"/>
        <w:keepLines/>
        <w:numPr>
          <w:ilvl w:val="0"/>
          <w:numId w:val="17"/>
        </w:numPr>
        <w:overflowPunct w:val="0"/>
        <w:autoSpaceDE w:val="0"/>
        <w:autoSpaceDN w:val="0"/>
        <w:adjustRightInd w:val="0"/>
        <w:spacing w:after="80" w:line="240" w:lineRule="auto"/>
        <w:textAlignment w:val="baseline"/>
        <w:rPr>
          <w:rFonts w:ascii="Times New Roman" w:hAnsi="Times New Roman" w:eastAsia="Times New Roman" w:cs="Times New Roman"/>
          <w:sz w:val="24"/>
          <w:szCs w:val="24"/>
        </w:rPr>
      </w:pPr>
      <w:r w:rsidRPr="001226EE">
        <w:rPr>
          <w:rFonts w:ascii="Times New Roman" w:hAnsi="Times New Roman" w:eastAsia="Times New Roman" w:cs="Times New Roman"/>
          <w:sz w:val="24"/>
          <w:szCs w:val="24"/>
        </w:rPr>
        <w:t>Describe any assurance of confidentiality provided to respondents and the basis for assurance in statute, regulation or agency policy.</w:t>
      </w:r>
    </w:p>
    <w:p w:rsidR="001226EE" w:rsidP="001226EE" w:rsidRDefault="001226EE" w14:paraId="5F488E5A" w14:textId="77777777">
      <w:pPr>
        <w:pStyle w:val="ListParagraph"/>
        <w:keepLines/>
        <w:overflowPunct w:val="0"/>
        <w:autoSpaceDE w:val="0"/>
        <w:autoSpaceDN w:val="0"/>
        <w:adjustRightInd w:val="0"/>
        <w:spacing w:after="80" w:line="240" w:lineRule="auto"/>
        <w:textAlignment w:val="baseline"/>
        <w:rPr>
          <w:rFonts w:ascii="Times New Roman" w:hAnsi="Times New Roman" w:eastAsia="Times New Roman" w:cs="Times New Roman"/>
          <w:sz w:val="24"/>
          <w:szCs w:val="24"/>
        </w:rPr>
      </w:pPr>
    </w:p>
    <w:p w:rsidR="00090793" w:rsidP="001226EE" w:rsidRDefault="008E685F" w14:paraId="3005DC56" w14:textId="7D89FD17">
      <w:pPr>
        <w:ind w:left="720"/>
        <w:rPr>
          <w:rFonts w:ascii="Times New Roman" w:hAnsi="Times New Roman" w:cs="Times New Roman"/>
          <w:sz w:val="24"/>
          <w:szCs w:val="24"/>
        </w:rPr>
      </w:pPr>
      <w:r w:rsidRPr="00D33687">
        <w:rPr>
          <w:rFonts w:ascii="Times New Roman" w:hAnsi="Times New Roman" w:cs="Times New Roman"/>
          <w:sz w:val="24"/>
          <w:szCs w:val="24"/>
        </w:rPr>
        <w:t>No PII is collected. G</w:t>
      </w:r>
      <w:r w:rsidRPr="00D33687" w:rsidR="004A499A">
        <w:rPr>
          <w:rFonts w:ascii="Times New Roman" w:hAnsi="Times New Roman" w:cs="Times New Roman"/>
          <w:sz w:val="24"/>
          <w:szCs w:val="24"/>
        </w:rPr>
        <w:t xml:space="preserve">rantees </w:t>
      </w:r>
      <w:r w:rsidRPr="00D33687" w:rsidR="00090793">
        <w:rPr>
          <w:rFonts w:ascii="Times New Roman" w:hAnsi="Times New Roman" w:cs="Times New Roman"/>
          <w:sz w:val="24"/>
          <w:szCs w:val="24"/>
        </w:rPr>
        <w:t>are not provided any assurances of confidentiality</w:t>
      </w:r>
      <w:r w:rsidRPr="00D33687" w:rsidR="00136BD6">
        <w:rPr>
          <w:rFonts w:ascii="Times New Roman" w:hAnsi="Times New Roman" w:cs="Times New Roman"/>
          <w:sz w:val="24"/>
          <w:szCs w:val="24"/>
        </w:rPr>
        <w:t xml:space="preserve">; however, information </w:t>
      </w:r>
      <w:r w:rsidRPr="00D33687" w:rsidR="00D5382E">
        <w:rPr>
          <w:rFonts w:ascii="Times New Roman" w:hAnsi="Times New Roman" w:cs="Times New Roman"/>
          <w:sz w:val="24"/>
          <w:szCs w:val="24"/>
        </w:rPr>
        <w:t>collected</w:t>
      </w:r>
      <w:r w:rsidR="001226EE">
        <w:rPr>
          <w:rFonts w:ascii="Times New Roman" w:hAnsi="Times New Roman" w:cs="Times New Roman"/>
          <w:sz w:val="24"/>
          <w:szCs w:val="24"/>
        </w:rPr>
        <w:t xml:space="preserve"> </w:t>
      </w:r>
      <w:r w:rsidRPr="00D33687" w:rsidR="00D5382E">
        <w:rPr>
          <w:rFonts w:ascii="Times New Roman" w:hAnsi="Times New Roman" w:cs="Times New Roman"/>
          <w:sz w:val="24"/>
          <w:szCs w:val="24"/>
        </w:rPr>
        <w:t>b</w:t>
      </w:r>
      <w:r w:rsidRPr="00D33687" w:rsidR="00C9217E">
        <w:rPr>
          <w:rFonts w:ascii="Times New Roman" w:hAnsi="Times New Roman" w:cs="Times New Roman"/>
          <w:sz w:val="24"/>
          <w:szCs w:val="24"/>
        </w:rPr>
        <w:t>y</w:t>
      </w:r>
      <w:r w:rsidRPr="00D33687" w:rsidR="00136BD6">
        <w:rPr>
          <w:rFonts w:ascii="Times New Roman" w:hAnsi="Times New Roman" w:cs="Times New Roman"/>
          <w:sz w:val="24"/>
          <w:szCs w:val="24"/>
        </w:rPr>
        <w:t xml:space="preserve"> TA providers is </w:t>
      </w:r>
      <w:r w:rsidRPr="00D33687" w:rsidR="00026435">
        <w:rPr>
          <w:rFonts w:ascii="Times New Roman" w:hAnsi="Times New Roman" w:cs="Times New Roman"/>
          <w:sz w:val="24"/>
          <w:szCs w:val="24"/>
        </w:rPr>
        <w:t>generally</w:t>
      </w:r>
      <w:r w:rsidRPr="00D33687">
        <w:rPr>
          <w:rFonts w:ascii="Times New Roman" w:hAnsi="Times New Roman" w:cs="Times New Roman"/>
          <w:sz w:val="24"/>
          <w:szCs w:val="24"/>
        </w:rPr>
        <w:t xml:space="preserve"> shared only</w:t>
      </w:r>
      <w:r w:rsidRPr="00D33687" w:rsidR="00026435">
        <w:rPr>
          <w:rFonts w:ascii="Times New Roman" w:hAnsi="Times New Roman" w:cs="Times New Roman"/>
          <w:sz w:val="24"/>
          <w:szCs w:val="24"/>
        </w:rPr>
        <w:t xml:space="preserve"> </w:t>
      </w:r>
      <w:r w:rsidRPr="00D33687" w:rsidR="00136BD6">
        <w:rPr>
          <w:rFonts w:ascii="Times New Roman" w:hAnsi="Times New Roman" w:cs="Times New Roman"/>
          <w:sz w:val="24"/>
          <w:szCs w:val="24"/>
        </w:rPr>
        <w:t xml:space="preserve">with HUD </w:t>
      </w:r>
      <w:r w:rsidRPr="00D33687">
        <w:rPr>
          <w:rFonts w:ascii="Times New Roman" w:hAnsi="Times New Roman" w:cs="Times New Roman"/>
          <w:sz w:val="24"/>
          <w:szCs w:val="24"/>
        </w:rPr>
        <w:t>program a</w:t>
      </w:r>
      <w:r w:rsidRPr="00D33687" w:rsidR="004673D3">
        <w:rPr>
          <w:rFonts w:ascii="Times New Roman" w:hAnsi="Times New Roman" w:cs="Times New Roman"/>
          <w:sz w:val="24"/>
          <w:szCs w:val="24"/>
        </w:rPr>
        <w:t>n</w:t>
      </w:r>
      <w:r w:rsidRPr="00D33687">
        <w:rPr>
          <w:rFonts w:ascii="Times New Roman" w:hAnsi="Times New Roman" w:cs="Times New Roman"/>
          <w:sz w:val="24"/>
          <w:szCs w:val="24"/>
        </w:rPr>
        <w:t xml:space="preserve">d </w:t>
      </w:r>
      <w:r w:rsidRPr="00D33687" w:rsidR="004673D3">
        <w:rPr>
          <w:rFonts w:ascii="Times New Roman" w:hAnsi="Times New Roman" w:cs="Times New Roman"/>
          <w:sz w:val="24"/>
          <w:szCs w:val="24"/>
        </w:rPr>
        <w:t>field office</w:t>
      </w:r>
      <w:r w:rsidRPr="00D33687">
        <w:rPr>
          <w:rFonts w:ascii="Times New Roman" w:hAnsi="Times New Roman" w:cs="Times New Roman"/>
          <w:sz w:val="24"/>
          <w:szCs w:val="24"/>
        </w:rPr>
        <w:t xml:space="preserve"> </w:t>
      </w:r>
      <w:r w:rsidRPr="00D33687" w:rsidR="00136BD6">
        <w:rPr>
          <w:rFonts w:ascii="Times New Roman" w:hAnsi="Times New Roman" w:cs="Times New Roman"/>
          <w:sz w:val="24"/>
          <w:szCs w:val="24"/>
        </w:rPr>
        <w:t xml:space="preserve">staff </w:t>
      </w:r>
      <w:r w:rsidRPr="00D33687" w:rsidR="004673D3">
        <w:rPr>
          <w:rFonts w:ascii="Times New Roman" w:hAnsi="Times New Roman" w:cs="Times New Roman"/>
          <w:sz w:val="24"/>
          <w:szCs w:val="24"/>
        </w:rPr>
        <w:t>on a</w:t>
      </w:r>
      <w:r w:rsidRPr="00D33687" w:rsidR="00136BD6">
        <w:rPr>
          <w:rFonts w:ascii="Times New Roman" w:hAnsi="Times New Roman" w:cs="Times New Roman"/>
          <w:sz w:val="24"/>
          <w:szCs w:val="24"/>
        </w:rPr>
        <w:t xml:space="preserve"> “nee</w:t>
      </w:r>
      <w:r w:rsidRPr="00D33687" w:rsidR="00B6032E">
        <w:rPr>
          <w:rFonts w:ascii="Times New Roman" w:hAnsi="Times New Roman" w:cs="Times New Roman"/>
          <w:sz w:val="24"/>
          <w:szCs w:val="24"/>
        </w:rPr>
        <w:t>d</w:t>
      </w:r>
      <w:r w:rsidRPr="00D33687" w:rsidR="00136BD6">
        <w:rPr>
          <w:rFonts w:ascii="Times New Roman" w:hAnsi="Times New Roman" w:cs="Times New Roman"/>
          <w:sz w:val="24"/>
          <w:szCs w:val="24"/>
        </w:rPr>
        <w:t xml:space="preserve"> to know”</w:t>
      </w:r>
      <w:r w:rsidRPr="00D33687" w:rsidR="004673D3">
        <w:rPr>
          <w:rFonts w:ascii="Times New Roman" w:hAnsi="Times New Roman" w:cs="Times New Roman"/>
          <w:sz w:val="24"/>
          <w:szCs w:val="24"/>
        </w:rPr>
        <w:t xml:space="preserve"> basis</w:t>
      </w:r>
      <w:r w:rsidRPr="00D33687" w:rsidR="00136BD6">
        <w:rPr>
          <w:rFonts w:ascii="Times New Roman" w:hAnsi="Times New Roman" w:cs="Times New Roman"/>
          <w:sz w:val="24"/>
          <w:szCs w:val="24"/>
        </w:rPr>
        <w:t>.</w:t>
      </w:r>
      <w:r w:rsidRPr="00D33687" w:rsidR="00090793">
        <w:rPr>
          <w:rFonts w:ascii="Times New Roman" w:hAnsi="Times New Roman" w:cs="Times New Roman"/>
          <w:sz w:val="24"/>
          <w:szCs w:val="24"/>
        </w:rPr>
        <w:t xml:space="preserve"> </w:t>
      </w:r>
    </w:p>
    <w:p w:rsidR="001226EE" w:rsidP="001226EE" w:rsidRDefault="001226EE" w14:paraId="31BF58DD" w14:textId="77777777">
      <w:pPr>
        <w:pStyle w:val="NoSpacing"/>
      </w:pPr>
    </w:p>
    <w:p w:rsidRPr="001226EE" w:rsidR="00D36FFB" w:rsidP="001226EE" w:rsidRDefault="00D36FFB" w14:paraId="610F6F4D" w14:textId="648CA620">
      <w:pPr>
        <w:pStyle w:val="ListParagraph"/>
        <w:keepLines/>
        <w:numPr>
          <w:ilvl w:val="0"/>
          <w:numId w:val="17"/>
        </w:numPr>
        <w:tabs>
          <w:tab w:val="left" w:pos="360"/>
        </w:tabs>
        <w:spacing w:after="80"/>
        <w:rPr>
          <w:rFonts w:ascii="Times New Roman" w:hAnsi="Times New Roman" w:cs="Times New Roman"/>
          <w:sz w:val="24"/>
          <w:szCs w:val="24"/>
        </w:rPr>
      </w:pPr>
      <w:r w:rsidRPr="001226EE">
        <w:rPr>
          <w:rFonts w:ascii="Times New Roman" w:hAnsi="Times New Roman" w:cs="Times New Roman"/>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33687" w:rsidR="00234A11" w:rsidP="001226EE" w:rsidRDefault="00090793" w14:paraId="690F8425" w14:textId="0D808BCD">
      <w:pPr>
        <w:ind w:left="300" w:firstLine="360"/>
        <w:rPr>
          <w:rFonts w:ascii="Times New Roman" w:hAnsi="Times New Roman" w:cs="Times New Roman"/>
          <w:sz w:val="24"/>
          <w:szCs w:val="24"/>
        </w:rPr>
      </w:pPr>
      <w:r w:rsidRPr="00D33687">
        <w:rPr>
          <w:rFonts w:ascii="Times New Roman" w:hAnsi="Times New Roman" w:cs="Times New Roman"/>
          <w:sz w:val="24"/>
          <w:szCs w:val="24"/>
        </w:rPr>
        <w:t xml:space="preserve">There are no questions asked of respondents that are of a sensitive nature. </w:t>
      </w:r>
    </w:p>
    <w:p w:rsidRPr="002F3192" w:rsidR="00D36FFB" w:rsidP="002F3192" w:rsidRDefault="00D36FFB" w14:paraId="2C3F2BE5" w14:textId="48392BB1">
      <w:pPr>
        <w:pStyle w:val="ListParagraph"/>
        <w:numPr>
          <w:ilvl w:val="0"/>
          <w:numId w:val="17"/>
        </w:numPr>
        <w:tabs>
          <w:tab w:val="left" w:pos="360"/>
        </w:tabs>
        <w:rPr>
          <w:rFonts w:ascii="Times New Roman" w:hAnsi="Times New Roman" w:cs="Times New Roman"/>
          <w:sz w:val="24"/>
          <w:szCs w:val="24"/>
        </w:rPr>
      </w:pPr>
      <w:bookmarkStart w:name="_Hlk22644388" w:id="2"/>
      <w:r w:rsidRPr="002F3192">
        <w:rPr>
          <w:rFonts w:ascii="Times New Roman" w:hAnsi="Times New Roman" w:cs="Times New Roman"/>
          <w:sz w:val="24"/>
          <w:szCs w:val="24"/>
        </w:rPr>
        <w:t xml:space="preserve">Provide estimates of the hour burden of the collection of information.  The statement should: </w:t>
      </w:r>
    </w:p>
    <w:p w:rsidRPr="00D33687" w:rsidR="00D36FFB" w:rsidP="002F3192" w:rsidRDefault="00D36FFB" w14:paraId="0E83B80D" w14:textId="77777777">
      <w:pPr>
        <w:numPr>
          <w:ilvl w:val="0"/>
          <w:numId w:val="20"/>
        </w:numPr>
        <w:tabs>
          <w:tab w:val="left" w:pos="48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D33687">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D33687" w:rsidR="00D36FFB" w:rsidP="002F3192" w:rsidRDefault="00D36FFB" w14:paraId="6E38859D" w14:textId="77777777">
      <w:pPr>
        <w:numPr>
          <w:ilvl w:val="0"/>
          <w:numId w:val="20"/>
        </w:numPr>
        <w:tabs>
          <w:tab w:val="left" w:pos="48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D33687">
        <w:rPr>
          <w:rFonts w:ascii="Times New Roman" w:hAnsi="Times New Roman" w:cs="Times New Roman"/>
          <w:sz w:val="24"/>
          <w:szCs w:val="24"/>
        </w:rPr>
        <w:t xml:space="preserve">if this request covers more than one form, provide separate hour burden estimates for each form and aggregate the hour burdens in Item 13 of OMB Form 83-I; and </w:t>
      </w:r>
    </w:p>
    <w:p w:rsidRPr="00D33687" w:rsidR="00D36FFB" w:rsidP="002F3192" w:rsidRDefault="00D36FFB" w14:paraId="096ACF66" w14:textId="77777777">
      <w:pPr>
        <w:keepLines/>
        <w:numPr>
          <w:ilvl w:val="0"/>
          <w:numId w:val="20"/>
        </w:numPr>
        <w:tabs>
          <w:tab w:val="left" w:pos="480"/>
        </w:tabs>
        <w:overflowPunct w:val="0"/>
        <w:autoSpaceDE w:val="0"/>
        <w:autoSpaceDN w:val="0"/>
        <w:adjustRightInd w:val="0"/>
        <w:spacing w:after="80" w:line="240" w:lineRule="auto"/>
        <w:textAlignment w:val="baseline"/>
        <w:rPr>
          <w:rFonts w:ascii="Times New Roman" w:hAnsi="Times New Roman" w:cs="Times New Roman"/>
          <w:sz w:val="24"/>
          <w:szCs w:val="24"/>
        </w:rPr>
      </w:pPr>
      <w:r w:rsidRPr="00D33687">
        <w:rPr>
          <w:rFonts w:ascii="Times New Roman" w:hAnsi="Times New Roman" w:cs="Times New Roman"/>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r w:rsidRPr="002F3192">
        <w:rPr>
          <w:rFonts w:ascii="Times New Roman" w:hAnsi="Times New Roman" w:cs="Times New Roman"/>
          <w:sz w:val="24"/>
          <w:szCs w:val="24"/>
        </w:rPr>
        <w:t>13.</w:t>
      </w:r>
    </w:p>
    <w:p w:rsidRPr="00D33687" w:rsidR="00090793" w:rsidP="002F3192" w:rsidRDefault="00090793" w14:paraId="0F4789C2" w14:textId="492F9C27">
      <w:pPr>
        <w:pStyle w:val="NoSpacing"/>
      </w:pPr>
    </w:p>
    <w:tbl>
      <w:tblPr>
        <w:tblpPr w:leftFromText="180" w:rightFromText="180" w:vertAnchor="text" w:tblpX="-100" w:tblpY="1"/>
        <w:tblOverlap w:val="neve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615"/>
        <w:gridCol w:w="1445"/>
        <w:gridCol w:w="1037"/>
        <w:gridCol w:w="1008"/>
        <w:gridCol w:w="1072"/>
        <w:gridCol w:w="1118"/>
        <w:gridCol w:w="1160"/>
        <w:gridCol w:w="1260"/>
      </w:tblGrid>
      <w:tr w:rsidRPr="002F3192" w:rsidR="00090793" w:rsidTr="002F3192" w14:paraId="3E27C6AC" w14:textId="77777777">
        <w:tc>
          <w:tcPr>
            <w:tcW w:w="1615" w:type="dxa"/>
            <w:tcMar>
              <w:top w:w="0" w:type="dxa"/>
              <w:left w:w="108" w:type="dxa"/>
              <w:bottom w:w="0" w:type="dxa"/>
              <w:right w:w="108" w:type="dxa"/>
            </w:tcMar>
            <w:hideMark/>
          </w:tcPr>
          <w:p w:rsidRPr="002F3192" w:rsidR="00090793" w:rsidP="00833A71" w:rsidRDefault="00090793" w14:paraId="314D96F0" w14:textId="77777777">
            <w:pPr>
              <w:spacing w:after="0" w:line="240" w:lineRule="auto"/>
              <w:jc w:val="center"/>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Information Collection</w:t>
            </w:r>
          </w:p>
        </w:tc>
        <w:tc>
          <w:tcPr>
            <w:tcW w:w="1445" w:type="dxa"/>
            <w:tcMar>
              <w:top w:w="0" w:type="dxa"/>
              <w:left w:w="108" w:type="dxa"/>
              <w:bottom w:w="0" w:type="dxa"/>
              <w:right w:w="108" w:type="dxa"/>
            </w:tcMar>
            <w:hideMark/>
          </w:tcPr>
          <w:p w:rsidRPr="002F3192" w:rsidR="00090793" w:rsidP="00833A71" w:rsidRDefault="00090793" w14:paraId="08A43A33" w14:textId="77777777">
            <w:pPr>
              <w:spacing w:after="0" w:line="240" w:lineRule="auto"/>
              <w:jc w:val="center"/>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Number of Respondents</w:t>
            </w:r>
          </w:p>
        </w:tc>
        <w:tc>
          <w:tcPr>
            <w:tcW w:w="1037" w:type="dxa"/>
            <w:tcMar>
              <w:top w:w="0" w:type="dxa"/>
              <w:left w:w="108" w:type="dxa"/>
              <w:bottom w:w="0" w:type="dxa"/>
              <w:right w:w="108" w:type="dxa"/>
            </w:tcMar>
            <w:hideMark/>
          </w:tcPr>
          <w:p w:rsidRPr="002F3192" w:rsidR="00090793" w:rsidP="00833A71" w:rsidRDefault="00090793" w14:paraId="1F59752B" w14:textId="77777777">
            <w:pPr>
              <w:spacing w:after="0" w:line="240" w:lineRule="auto"/>
              <w:jc w:val="center"/>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Frequency of Response</w:t>
            </w:r>
          </w:p>
        </w:tc>
        <w:tc>
          <w:tcPr>
            <w:tcW w:w="1008" w:type="dxa"/>
            <w:tcMar>
              <w:top w:w="0" w:type="dxa"/>
              <w:left w:w="108" w:type="dxa"/>
              <w:bottom w:w="0" w:type="dxa"/>
              <w:right w:w="108" w:type="dxa"/>
            </w:tcMar>
            <w:hideMark/>
          </w:tcPr>
          <w:p w:rsidRPr="002F3192" w:rsidR="00090793" w:rsidP="00833A71" w:rsidRDefault="00090793" w14:paraId="45F0C6C4" w14:textId="77777777">
            <w:pPr>
              <w:spacing w:after="0" w:line="240" w:lineRule="auto"/>
              <w:jc w:val="center"/>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Responses</w:t>
            </w:r>
          </w:p>
          <w:p w:rsidRPr="002F3192" w:rsidR="00090793" w:rsidP="00833A71" w:rsidRDefault="00090793" w14:paraId="4106265E" w14:textId="77777777">
            <w:pPr>
              <w:spacing w:after="0" w:line="240" w:lineRule="auto"/>
              <w:jc w:val="center"/>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Per Annum</w:t>
            </w:r>
          </w:p>
        </w:tc>
        <w:tc>
          <w:tcPr>
            <w:tcW w:w="1072" w:type="dxa"/>
            <w:tcMar>
              <w:top w:w="0" w:type="dxa"/>
              <w:left w:w="108" w:type="dxa"/>
              <w:bottom w:w="0" w:type="dxa"/>
              <w:right w:w="108" w:type="dxa"/>
            </w:tcMar>
            <w:hideMark/>
          </w:tcPr>
          <w:p w:rsidRPr="002F3192" w:rsidR="00090793" w:rsidP="00833A71" w:rsidRDefault="00090793" w14:paraId="23FAC3D5" w14:textId="77777777">
            <w:pPr>
              <w:spacing w:after="0" w:line="240" w:lineRule="auto"/>
              <w:jc w:val="center"/>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Burden Hour Per Response</w:t>
            </w:r>
          </w:p>
        </w:tc>
        <w:tc>
          <w:tcPr>
            <w:tcW w:w="1118" w:type="dxa"/>
            <w:tcMar>
              <w:top w:w="0" w:type="dxa"/>
              <w:left w:w="108" w:type="dxa"/>
              <w:bottom w:w="0" w:type="dxa"/>
              <w:right w:w="108" w:type="dxa"/>
            </w:tcMar>
            <w:hideMark/>
          </w:tcPr>
          <w:p w:rsidRPr="002F3192" w:rsidR="00090793" w:rsidP="00833A71" w:rsidRDefault="00090793" w14:paraId="66379A7E" w14:textId="77777777">
            <w:pPr>
              <w:spacing w:after="0" w:line="240" w:lineRule="auto"/>
              <w:jc w:val="center"/>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Annual Burden Hours</w:t>
            </w:r>
          </w:p>
        </w:tc>
        <w:tc>
          <w:tcPr>
            <w:tcW w:w="1160" w:type="dxa"/>
            <w:tcMar>
              <w:top w:w="0" w:type="dxa"/>
              <w:left w:w="108" w:type="dxa"/>
              <w:bottom w:w="0" w:type="dxa"/>
              <w:right w:w="108" w:type="dxa"/>
            </w:tcMar>
            <w:hideMark/>
          </w:tcPr>
          <w:p w:rsidRPr="002F3192" w:rsidR="00090793" w:rsidP="00833A71" w:rsidRDefault="00090793" w14:paraId="7E2EC4FD" w14:textId="77777777">
            <w:pPr>
              <w:spacing w:after="0" w:line="240" w:lineRule="auto"/>
              <w:jc w:val="center"/>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Hourly Cost Per Response</w:t>
            </w:r>
          </w:p>
        </w:tc>
        <w:tc>
          <w:tcPr>
            <w:tcW w:w="1260" w:type="dxa"/>
            <w:tcMar>
              <w:top w:w="0" w:type="dxa"/>
              <w:left w:w="108" w:type="dxa"/>
              <w:bottom w:w="0" w:type="dxa"/>
              <w:right w:w="108" w:type="dxa"/>
            </w:tcMar>
          </w:tcPr>
          <w:p w:rsidRPr="002F3192" w:rsidR="00090793" w:rsidP="00833A71" w:rsidRDefault="00090793" w14:paraId="6348095B" w14:textId="77777777">
            <w:pPr>
              <w:spacing w:after="0" w:line="240" w:lineRule="auto"/>
              <w:jc w:val="center"/>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Annual Cost</w:t>
            </w:r>
          </w:p>
          <w:p w:rsidRPr="002F3192" w:rsidR="00090793" w:rsidP="00833A71" w:rsidRDefault="00090793" w14:paraId="5D9BD42E" w14:textId="77777777">
            <w:pPr>
              <w:spacing w:after="0" w:line="240" w:lineRule="auto"/>
              <w:jc w:val="center"/>
              <w:rPr>
                <w:rFonts w:ascii="Times New Roman" w:hAnsi="Times New Roman" w:eastAsia="Calibri" w:cs="Times New Roman"/>
                <w:b/>
                <w:bCs/>
                <w:color w:val="000000"/>
                <w:sz w:val="18"/>
                <w:szCs w:val="18"/>
              </w:rPr>
            </w:pPr>
          </w:p>
        </w:tc>
      </w:tr>
      <w:tr w:rsidRPr="002F3192" w:rsidR="00090793" w:rsidTr="002F3192" w14:paraId="0216D98C" w14:textId="77777777">
        <w:tc>
          <w:tcPr>
            <w:tcW w:w="1615" w:type="dxa"/>
            <w:tcMar>
              <w:top w:w="0" w:type="dxa"/>
              <w:left w:w="108" w:type="dxa"/>
              <w:bottom w:w="0" w:type="dxa"/>
              <w:right w:w="108" w:type="dxa"/>
            </w:tcMar>
          </w:tcPr>
          <w:p w:rsidRPr="002F3192" w:rsidR="00090793" w:rsidP="00833A71" w:rsidRDefault="00090793" w14:paraId="16FD85C9" w14:textId="77777777">
            <w:pPr>
              <w:spacing w:after="0" w:line="240" w:lineRule="auto"/>
              <w:rPr>
                <w:rFonts w:ascii="Times New Roman" w:hAnsi="Times New Roman" w:eastAsia="Calibri" w:cs="Times New Roman"/>
                <w:b/>
                <w:bCs/>
                <w:color w:val="000000"/>
                <w:sz w:val="18"/>
                <w:szCs w:val="18"/>
              </w:rPr>
            </w:pPr>
          </w:p>
        </w:tc>
        <w:tc>
          <w:tcPr>
            <w:tcW w:w="1445" w:type="dxa"/>
            <w:tcMar>
              <w:top w:w="0" w:type="dxa"/>
              <w:left w:w="108" w:type="dxa"/>
              <w:bottom w:w="0" w:type="dxa"/>
              <w:right w:w="108" w:type="dxa"/>
            </w:tcMar>
          </w:tcPr>
          <w:p w:rsidRPr="002F3192" w:rsidR="00090793" w:rsidP="00833A71" w:rsidRDefault="00090793" w14:paraId="17022692" w14:textId="77777777">
            <w:pPr>
              <w:spacing w:after="0" w:line="240" w:lineRule="auto"/>
              <w:rPr>
                <w:rFonts w:ascii="Times New Roman" w:hAnsi="Times New Roman" w:eastAsia="Calibri" w:cs="Times New Roman"/>
                <w:b/>
                <w:bCs/>
                <w:color w:val="000000"/>
                <w:sz w:val="18"/>
                <w:szCs w:val="18"/>
              </w:rPr>
            </w:pPr>
          </w:p>
        </w:tc>
        <w:tc>
          <w:tcPr>
            <w:tcW w:w="1037" w:type="dxa"/>
            <w:tcMar>
              <w:top w:w="0" w:type="dxa"/>
              <w:left w:w="108" w:type="dxa"/>
              <w:bottom w:w="0" w:type="dxa"/>
              <w:right w:w="108" w:type="dxa"/>
            </w:tcMar>
          </w:tcPr>
          <w:p w:rsidRPr="002F3192" w:rsidR="00090793" w:rsidP="00833A71" w:rsidRDefault="00090793" w14:paraId="488E6B82" w14:textId="77777777">
            <w:pPr>
              <w:spacing w:after="0" w:line="240" w:lineRule="auto"/>
              <w:rPr>
                <w:rFonts w:ascii="Times New Roman" w:hAnsi="Times New Roman" w:eastAsia="Calibri" w:cs="Times New Roman"/>
                <w:b/>
                <w:bCs/>
                <w:color w:val="000000"/>
                <w:sz w:val="18"/>
                <w:szCs w:val="18"/>
              </w:rPr>
            </w:pPr>
          </w:p>
        </w:tc>
        <w:tc>
          <w:tcPr>
            <w:tcW w:w="1008" w:type="dxa"/>
            <w:tcMar>
              <w:top w:w="0" w:type="dxa"/>
              <w:left w:w="108" w:type="dxa"/>
              <w:bottom w:w="0" w:type="dxa"/>
              <w:right w:w="108" w:type="dxa"/>
            </w:tcMar>
          </w:tcPr>
          <w:p w:rsidRPr="002F3192" w:rsidR="00090793" w:rsidP="00833A71" w:rsidRDefault="00090793" w14:paraId="1ABF241C" w14:textId="77777777">
            <w:pPr>
              <w:spacing w:after="0" w:line="240" w:lineRule="auto"/>
              <w:rPr>
                <w:rFonts w:ascii="Times New Roman" w:hAnsi="Times New Roman" w:eastAsia="Calibri" w:cs="Times New Roman"/>
                <w:b/>
                <w:bCs/>
                <w:color w:val="000000"/>
                <w:sz w:val="18"/>
                <w:szCs w:val="18"/>
              </w:rPr>
            </w:pPr>
          </w:p>
        </w:tc>
        <w:tc>
          <w:tcPr>
            <w:tcW w:w="1072" w:type="dxa"/>
            <w:tcMar>
              <w:top w:w="0" w:type="dxa"/>
              <w:left w:w="108" w:type="dxa"/>
              <w:bottom w:w="0" w:type="dxa"/>
              <w:right w:w="108" w:type="dxa"/>
            </w:tcMar>
          </w:tcPr>
          <w:p w:rsidRPr="002F3192" w:rsidR="00090793" w:rsidP="00833A71" w:rsidRDefault="00090793" w14:paraId="31D8FD65" w14:textId="77777777">
            <w:pPr>
              <w:spacing w:after="0" w:line="240" w:lineRule="auto"/>
              <w:rPr>
                <w:rFonts w:ascii="Times New Roman" w:hAnsi="Times New Roman" w:eastAsia="Calibri" w:cs="Times New Roman"/>
                <w:b/>
                <w:bCs/>
                <w:color w:val="000000"/>
                <w:sz w:val="18"/>
                <w:szCs w:val="18"/>
              </w:rPr>
            </w:pPr>
          </w:p>
        </w:tc>
        <w:tc>
          <w:tcPr>
            <w:tcW w:w="1118" w:type="dxa"/>
            <w:tcMar>
              <w:top w:w="0" w:type="dxa"/>
              <w:left w:w="108" w:type="dxa"/>
              <w:bottom w:w="0" w:type="dxa"/>
              <w:right w:w="108" w:type="dxa"/>
            </w:tcMar>
          </w:tcPr>
          <w:p w:rsidRPr="002F3192" w:rsidR="00090793" w:rsidP="00833A71" w:rsidRDefault="00090793" w14:paraId="6C7DE082" w14:textId="77777777">
            <w:pPr>
              <w:pStyle w:val="ListParagraph"/>
              <w:spacing w:after="0" w:line="240" w:lineRule="auto"/>
              <w:rPr>
                <w:rFonts w:ascii="Times New Roman" w:hAnsi="Times New Roman" w:eastAsia="Calibri" w:cs="Times New Roman"/>
                <w:b/>
                <w:bCs/>
                <w:color w:val="000000"/>
                <w:sz w:val="18"/>
                <w:szCs w:val="18"/>
              </w:rPr>
            </w:pPr>
          </w:p>
        </w:tc>
        <w:tc>
          <w:tcPr>
            <w:tcW w:w="1160" w:type="dxa"/>
            <w:tcMar>
              <w:top w:w="0" w:type="dxa"/>
              <w:left w:w="108" w:type="dxa"/>
              <w:bottom w:w="0" w:type="dxa"/>
              <w:right w:w="108" w:type="dxa"/>
            </w:tcMar>
          </w:tcPr>
          <w:p w:rsidRPr="002F3192" w:rsidR="00090793" w:rsidP="00833A71" w:rsidRDefault="00090793" w14:paraId="341ACCBE" w14:textId="77777777">
            <w:pPr>
              <w:pStyle w:val="ListParagraph"/>
              <w:spacing w:after="0" w:line="240" w:lineRule="auto"/>
              <w:rPr>
                <w:rFonts w:ascii="Times New Roman" w:hAnsi="Times New Roman" w:eastAsia="Calibri" w:cs="Times New Roman"/>
                <w:b/>
                <w:bCs/>
                <w:color w:val="000000"/>
                <w:sz w:val="18"/>
                <w:szCs w:val="18"/>
              </w:rPr>
            </w:pPr>
          </w:p>
        </w:tc>
        <w:tc>
          <w:tcPr>
            <w:tcW w:w="1260" w:type="dxa"/>
            <w:tcMar>
              <w:top w:w="0" w:type="dxa"/>
              <w:left w:w="108" w:type="dxa"/>
              <w:bottom w:w="0" w:type="dxa"/>
              <w:right w:w="108" w:type="dxa"/>
            </w:tcMar>
          </w:tcPr>
          <w:p w:rsidRPr="002F3192" w:rsidR="00090793" w:rsidP="00833A71" w:rsidRDefault="00090793" w14:paraId="032D760F" w14:textId="77777777">
            <w:pPr>
              <w:pStyle w:val="ListParagraph"/>
              <w:spacing w:after="0" w:line="240" w:lineRule="auto"/>
              <w:rPr>
                <w:rFonts w:ascii="Times New Roman" w:hAnsi="Times New Roman" w:eastAsia="Calibri" w:cs="Times New Roman"/>
                <w:b/>
                <w:bCs/>
                <w:color w:val="000000"/>
                <w:sz w:val="18"/>
                <w:szCs w:val="18"/>
              </w:rPr>
            </w:pPr>
          </w:p>
        </w:tc>
      </w:tr>
      <w:tr w:rsidRPr="002F3192" w:rsidR="00090793" w:rsidTr="002F3192" w14:paraId="2B8F57BD" w14:textId="77777777">
        <w:tc>
          <w:tcPr>
            <w:tcW w:w="1615" w:type="dxa"/>
            <w:tcMar>
              <w:top w:w="0" w:type="dxa"/>
              <w:left w:w="108" w:type="dxa"/>
              <w:bottom w:w="0" w:type="dxa"/>
              <w:right w:w="108" w:type="dxa"/>
            </w:tcMar>
          </w:tcPr>
          <w:p w:rsidRPr="002F3192" w:rsidR="00090793" w:rsidP="00833A71" w:rsidRDefault="00090793" w14:paraId="41A476E6" w14:textId="246275DD">
            <w:pPr>
              <w:spacing w:after="0" w:line="240" w:lineRule="auto"/>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Needs Assessment</w:t>
            </w:r>
          </w:p>
        </w:tc>
        <w:tc>
          <w:tcPr>
            <w:tcW w:w="1445" w:type="dxa"/>
            <w:tcMar>
              <w:top w:w="0" w:type="dxa"/>
              <w:left w:w="108" w:type="dxa"/>
              <w:bottom w:w="0" w:type="dxa"/>
              <w:right w:w="108" w:type="dxa"/>
            </w:tcMar>
            <w:hideMark/>
          </w:tcPr>
          <w:p w:rsidRPr="002F3192" w:rsidR="00090793" w:rsidP="00833A71" w:rsidRDefault="00000CFD" w14:paraId="5D723861" w14:textId="57D0269C">
            <w:pPr>
              <w:pStyle w:val="ListParagraph"/>
              <w:spacing w:after="0" w:line="240" w:lineRule="auto"/>
              <w:jc w:val="right"/>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5</w:t>
            </w:r>
            <w:r w:rsidRPr="002F3192" w:rsidR="00631805">
              <w:rPr>
                <w:rFonts w:ascii="Times New Roman" w:hAnsi="Times New Roman" w:eastAsia="Calibri" w:cs="Times New Roman"/>
                <w:b/>
                <w:bCs/>
                <w:color w:val="000000"/>
                <w:sz w:val="18"/>
                <w:szCs w:val="18"/>
              </w:rPr>
              <w:t>0</w:t>
            </w:r>
            <w:r w:rsidRPr="002F3192" w:rsidR="00234A11">
              <w:rPr>
                <w:rFonts w:ascii="Times New Roman" w:hAnsi="Times New Roman" w:eastAsia="Calibri" w:cs="Times New Roman"/>
                <w:b/>
                <w:bCs/>
                <w:color w:val="000000"/>
                <w:sz w:val="18"/>
                <w:szCs w:val="18"/>
              </w:rPr>
              <w:t>.00</w:t>
            </w:r>
          </w:p>
        </w:tc>
        <w:tc>
          <w:tcPr>
            <w:tcW w:w="1037" w:type="dxa"/>
            <w:tcMar>
              <w:top w:w="0" w:type="dxa"/>
              <w:left w:w="108" w:type="dxa"/>
              <w:bottom w:w="0" w:type="dxa"/>
              <w:right w:w="108" w:type="dxa"/>
            </w:tcMar>
            <w:hideMark/>
          </w:tcPr>
          <w:p w:rsidRPr="002F3192" w:rsidR="00090793" w:rsidP="00833A71" w:rsidRDefault="00090793" w14:paraId="01E9C9D8" w14:textId="2F1736CF">
            <w:pPr>
              <w:spacing w:after="0" w:line="240" w:lineRule="auto"/>
              <w:jc w:val="right"/>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1</w:t>
            </w:r>
            <w:r w:rsidRPr="002F3192" w:rsidR="00234A11">
              <w:rPr>
                <w:rFonts w:ascii="Times New Roman" w:hAnsi="Times New Roman" w:eastAsia="Calibri" w:cs="Times New Roman"/>
                <w:b/>
                <w:bCs/>
                <w:color w:val="000000"/>
                <w:sz w:val="18"/>
                <w:szCs w:val="18"/>
              </w:rPr>
              <w:t>.00</w:t>
            </w:r>
          </w:p>
        </w:tc>
        <w:tc>
          <w:tcPr>
            <w:tcW w:w="1008" w:type="dxa"/>
            <w:tcMar>
              <w:top w:w="0" w:type="dxa"/>
              <w:left w:w="108" w:type="dxa"/>
              <w:bottom w:w="0" w:type="dxa"/>
              <w:right w:w="108" w:type="dxa"/>
            </w:tcMar>
            <w:hideMark/>
          </w:tcPr>
          <w:p w:rsidRPr="002F3192" w:rsidR="00090793" w:rsidP="00833A71" w:rsidRDefault="00432E6D" w14:paraId="00F10677" w14:textId="76D2E165">
            <w:pPr>
              <w:spacing w:after="0" w:line="240" w:lineRule="auto"/>
              <w:jc w:val="right"/>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50</w:t>
            </w:r>
            <w:r w:rsidRPr="002F3192" w:rsidR="00234A11">
              <w:rPr>
                <w:rFonts w:ascii="Times New Roman" w:hAnsi="Times New Roman" w:eastAsia="Calibri" w:cs="Times New Roman"/>
                <w:b/>
                <w:bCs/>
                <w:color w:val="000000"/>
                <w:sz w:val="18"/>
                <w:szCs w:val="18"/>
              </w:rPr>
              <w:t>.00</w:t>
            </w:r>
          </w:p>
        </w:tc>
        <w:tc>
          <w:tcPr>
            <w:tcW w:w="1072" w:type="dxa"/>
            <w:tcMar>
              <w:top w:w="0" w:type="dxa"/>
              <w:left w:w="108" w:type="dxa"/>
              <w:bottom w:w="0" w:type="dxa"/>
              <w:right w:w="108" w:type="dxa"/>
            </w:tcMar>
            <w:hideMark/>
          </w:tcPr>
          <w:p w:rsidRPr="002F3192" w:rsidR="00090793" w:rsidP="00833A71" w:rsidRDefault="007D5E58" w14:paraId="3991B00A" w14:textId="0B2467F0">
            <w:pPr>
              <w:spacing w:after="0" w:line="240" w:lineRule="auto"/>
              <w:jc w:val="right"/>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8</w:t>
            </w:r>
            <w:r w:rsidRPr="002F3192" w:rsidR="00234A11">
              <w:rPr>
                <w:rFonts w:ascii="Times New Roman" w:hAnsi="Times New Roman" w:eastAsia="Calibri" w:cs="Times New Roman"/>
                <w:b/>
                <w:bCs/>
                <w:color w:val="000000"/>
                <w:sz w:val="18"/>
                <w:szCs w:val="18"/>
              </w:rPr>
              <w:t>.00</w:t>
            </w:r>
          </w:p>
        </w:tc>
        <w:tc>
          <w:tcPr>
            <w:tcW w:w="1118" w:type="dxa"/>
            <w:tcMar>
              <w:top w:w="0" w:type="dxa"/>
              <w:left w:w="108" w:type="dxa"/>
              <w:bottom w:w="0" w:type="dxa"/>
              <w:right w:w="108" w:type="dxa"/>
            </w:tcMar>
            <w:hideMark/>
          </w:tcPr>
          <w:p w:rsidRPr="002F3192" w:rsidR="00090793" w:rsidP="00833A71" w:rsidRDefault="007F31F9" w14:paraId="251B51EF" w14:textId="6B6C7434">
            <w:pPr>
              <w:spacing w:after="0" w:line="240" w:lineRule="auto"/>
              <w:jc w:val="right"/>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400</w:t>
            </w:r>
            <w:r w:rsidR="00794F10">
              <w:rPr>
                <w:rFonts w:ascii="Times New Roman" w:hAnsi="Times New Roman" w:eastAsia="Calibri" w:cs="Times New Roman"/>
                <w:b/>
                <w:bCs/>
                <w:color w:val="000000"/>
                <w:sz w:val="18"/>
                <w:szCs w:val="18"/>
              </w:rPr>
              <w:t>.00</w:t>
            </w:r>
          </w:p>
        </w:tc>
        <w:tc>
          <w:tcPr>
            <w:tcW w:w="1160" w:type="dxa"/>
            <w:tcMar>
              <w:top w:w="0" w:type="dxa"/>
              <w:left w:w="108" w:type="dxa"/>
              <w:bottom w:w="0" w:type="dxa"/>
              <w:right w:w="108" w:type="dxa"/>
            </w:tcMar>
            <w:hideMark/>
          </w:tcPr>
          <w:p w:rsidRPr="002F3192" w:rsidR="00090793" w:rsidP="00833A71" w:rsidRDefault="00090793" w14:paraId="2423108C" w14:textId="1A7F1853">
            <w:pPr>
              <w:spacing w:after="0" w:line="240" w:lineRule="auto"/>
              <w:jc w:val="right"/>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$6</w:t>
            </w:r>
            <w:r w:rsidRPr="002F3192" w:rsidR="006A4B0F">
              <w:rPr>
                <w:rFonts w:ascii="Times New Roman" w:hAnsi="Times New Roman" w:eastAsia="Calibri" w:cs="Times New Roman"/>
                <w:b/>
                <w:bCs/>
                <w:color w:val="000000"/>
                <w:sz w:val="18"/>
                <w:szCs w:val="18"/>
              </w:rPr>
              <w:t>1.11</w:t>
            </w:r>
          </w:p>
        </w:tc>
        <w:tc>
          <w:tcPr>
            <w:tcW w:w="1260" w:type="dxa"/>
            <w:tcMar>
              <w:top w:w="0" w:type="dxa"/>
              <w:left w:w="108" w:type="dxa"/>
              <w:bottom w:w="0" w:type="dxa"/>
              <w:right w:w="108" w:type="dxa"/>
            </w:tcMar>
            <w:hideMark/>
          </w:tcPr>
          <w:p w:rsidRPr="002F3192" w:rsidR="00090793" w:rsidP="00833A71" w:rsidRDefault="00090793" w14:paraId="703E92B7" w14:textId="4DAA4BBF">
            <w:pPr>
              <w:spacing w:after="0" w:line="240" w:lineRule="auto"/>
              <w:ind w:left="30"/>
              <w:jc w:val="right"/>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w:t>
            </w:r>
            <w:r w:rsidRPr="002F3192" w:rsidR="00446EA9">
              <w:rPr>
                <w:rFonts w:ascii="Times New Roman" w:hAnsi="Times New Roman" w:eastAsia="Calibri" w:cs="Times New Roman"/>
                <w:b/>
                <w:bCs/>
                <w:color w:val="000000"/>
                <w:sz w:val="18"/>
                <w:szCs w:val="18"/>
              </w:rPr>
              <w:t>24</w:t>
            </w:r>
            <w:r w:rsidRPr="002F3192" w:rsidR="0039430F">
              <w:rPr>
                <w:rFonts w:ascii="Times New Roman" w:hAnsi="Times New Roman" w:eastAsia="Calibri" w:cs="Times New Roman"/>
                <w:b/>
                <w:bCs/>
                <w:color w:val="000000"/>
                <w:sz w:val="18"/>
                <w:szCs w:val="18"/>
              </w:rPr>
              <w:t>,</w:t>
            </w:r>
            <w:r w:rsidRPr="002F3192" w:rsidR="00446EA9">
              <w:rPr>
                <w:rFonts w:ascii="Times New Roman" w:hAnsi="Times New Roman" w:eastAsia="Calibri" w:cs="Times New Roman"/>
                <w:b/>
                <w:bCs/>
                <w:color w:val="000000"/>
                <w:sz w:val="18"/>
                <w:szCs w:val="18"/>
              </w:rPr>
              <w:t>444.00</w:t>
            </w:r>
          </w:p>
        </w:tc>
      </w:tr>
      <w:tr w:rsidRPr="002F3192" w:rsidR="00090793" w:rsidTr="002F3192" w14:paraId="0C891B61" w14:textId="77777777">
        <w:tc>
          <w:tcPr>
            <w:tcW w:w="1615" w:type="dxa"/>
            <w:tcMar>
              <w:top w:w="0" w:type="dxa"/>
              <w:left w:w="108" w:type="dxa"/>
              <w:bottom w:w="0" w:type="dxa"/>
              <w:right w:w="108" w:type="dxa"/>
            </w:tcMar>
          </w:tcPr>
          <w:p w:rsidRPr="002F3192" w:rsidR="00090793" w:rsidP="00833A71" w:rsidRDefault="00090793" w14:paraId="3525BECF" w14:textId="77777777">
            <w:pPr>
              <w:pStyle w:val="ListParagraph"/>
              <w:spacing w:after="0" w:line="240" w:lineRule="auto"/>
              <w:rPr>
                <w:rFonts w:ascii="Times New Roman" w:hAnsi="Times New Roman" w:eastAsia="Calibri" w:cs="Times New Roman"/>
                <w:b/>
                <w:bCs/>
                <w:color w:val="000000"/>
                <w:sz w:val="18"/>
                <w:szCs w:val="18"/>
              </w:rPr>
            </w:pPr>
          </w:p>
        </w:tc>
        <w:tc>
          <w:tcPr>
            <w:tcW w:w="1445" w:type="dxa"/>
            <w:tcMar>
              <w:top w:w="0" w:type="dxa"/>
              <w:left w:w="108" w:type="dxa"/>
              <w:bottom w:w="0" w:type="dxa"/>
              <w:right w:w="108" w:type="dxa"/>
            </w:tcMar>
          </w:tcPr>
          <w:p w:rsidRPr="002F3192" w:rsidR="00090793" w:rsidP="00833A71" w:rsidRDefault="00090793" w14:paraId="0415DA2D" w14:textId="77777777">
            <w:pPr>
              <w:pStyle w:val="ListParagraph"/>
              <w:spacing w:after="0" w:line="240" w:lineRule="auto"/>
              <w:jc w:val="right"/>
              <w:rPr>
                <w:rFonts w:ascii="Times New Roman" w:hAnsi="Times New Roman" w:eastAsia="Calibri" w:cs="Times New Roman"/>
                <w:b/>
                <w:bCs/>
                <w:color w:val="000000"/>
                <w:sz w:val="18"/>
                <w:szCs w:val="18"/>
              </w:rPr>
            </w:pPr>
          </w:p>
        </w:tc>
        <w:tc>
          <w:tcPr>
            <w:tcW w:w="1037" w:type="dxa"/>
            <w:tcMar>
              <w:top w:w="0" w:type="dxa"/>
              <w:left w:w="108" w:type="dxa"/>
              <w:bottom w:w="0" w:type="dxa"/>
              <w:right w:w="108" w:type="dxa"/>
            </w:tcMar>
          </w:tcPr>
          <w:p w:rsidRPr="002F3192" w:rsidR="00090793" w:rsidP="00833A71" w:rsidRDefault="00090793" w14:paraId="555FB50E" w14:textId="77777777">
            <w:pPr>
              <w:pStyle w:val="ListParagraph"/>
              <w:spacing w:after="0" w:line="240" w:lineRule="auto"/>
              <w:jc w:val="right"/>
              <w:rPr>
                <w:rFonts w:ascii="Times New Roman" w:hAnsi="Times New Roman" w:eastAsia="Calibri" w:cs="Times New Roman"/>
                <w:b/>
                <w:bCs/>
                <w:color w:val="000000"/>
                <w:sz w:val="18"/>
                <w:szCs w:val="18"/>
              </w:rPr>
            </w:pPr>
          </w:p>
        </w:tc>
        <w:tc>
          <w:tcPr>
            <w:tcW w:w="1008" w:type="dxa"/>
            <w:tcMar>
              <w:top w:w="0" w:type="dxa"/>
              <w:left w:w="108" w:type="dxa"/>
              <w:bottom w:w="0" w:type="dxa"/>
              <w:right w:w="108" w:type="dxa"/>
            </w:tcMar>
          </w:tcPr>
          <w:p w:rsidRPr="002F3192" w:rsidR="00090793" w:rsidP="00833A71" w:rsidRDefault="00090793" w14:paraId="53B1C994" w14:textId="77777777">
            <w:pPr>
              <w:pStyle w:val="ListParagraph"/>
              <w:spacing w:after="0" w:line="240" w:lineRule="auto"/>
              <w:jc w:val="right"/>
              <w:rPr>
                <w:rFonts w:ascii="Times New Roman" w:hAnsi="Times New Roman" w:eastAsia="Calibri" w:cs="Times New Roman"/>
                <w:b/>
                <w:bCs/>
                <w:color w:val="000000"/>
                <w:sz w:val="18"/>
                <w:szCs w:val="18"/>
              </w:rPr>
            </w:pPr>
          </w:p>
        </w:tc>
        <w:tc>
          <w:tcPr>
            <w:tcW w:w="1072" w:type="dxa"/>
            <w:tcMar>
              <w:top w:w="0" w:type="dxa"/>
              <w:left w:w="108" w:type="dxa"/>
              <w:bottom w:w="0" w:type="dxa"/>
              <w:right w:w="108" w:type="dxa"/>
            </w:tcMar>
          </w:tcPr>
          <w:p w:rsidRPr="002F3192" w:rsidR="00090793" w:rsidP="00833A71" w:rsidRDefault="00090793" w14:paraId="668F1764" w14:textId="77777777">
            <w:pPr>
              <w:pStyle w:val="ListParagraph"/>
              <w:spacing w:after="0" w:line="240" w:lineRule="auto"/>
              <w:jc w:val="right"/>
              <w:rPr>
                <w:rFonts w:ascii="Times New Roman" w:hAnsi="Times New Roman" w:eastAsia="Calibri" w:cs="Times New Roman"/>
                <w:b/>
                <w:bCs/>
                <w:color w:val="000000"/>
                <w:sz w:val="18"/>
                <w:szCs w:val="18"/>
              </w:rPr>
            </w:pPr>
          </w:p>
        </w:tc>
        <w:tc>
          <w:tcPr>
            <w:tcW w:w="1118" w:type="dxa"/>
            <w:tcMar>
              <w:top w:w="0" w:type="dxa"/>
              <w:left w:w="108" w:type="dxa"/>
              <w:bottom w:w="0" w:type="dxa"/>
              <w:right w:w="108" w:type="dxa"/>
            </w:tcMar>
          </w:tcPr>
          <w:p w:rsidRPr="002F3192" w:rsidR="00090793" w:rsidP="00833A71" w:rsidRDefault="00090793" w14:paraId="1A81555C" w14:textId="77777777">
            <w:pPr>
              <w:pStyle w:val="ListParagraph"/>
              <w:spacing w:after="0" w:line="240" w:lineRule="auto"/>
              <w:jc w:val="right"/>
              <w:rPr>
                <w:rFonts w:ascii="Times New Roman" w:hAnsi="Times New Roman" w:eastAsia="Calibri" w:cs="Times New Roman"/>
                <w:b/>
                <w:bCs/>
                <w:color w:val="000000"/>
                <w:sz w:val="18"/>
                <w:szCs w:val="18"/>
              </w:rPr>
            </w:pPr>
          </w:p>
        </w:tc>
        <w:tc>
          <w:tcPr>
            <w:tcW w:w="1160" w:type="dxa"/>
            <w:tcMar>
              <w:top w:w="0" w:type="dxa"/>
              <w:left w:w="108" w:type="dxa"/>
              <w:bottom w:w="0" w:type="dxa"/>
              <w:right w:w="108" w:type="dxa"/>
            </w:tcMar>
          </w:tcPr>
          <w:p w:rsidRPr="002F3192" w:rsidR="00090793" w:rsidP="00833A71" w:rsidRDefault="00090793" w14:paraId="6EB471D3" w14:textId="77777777">
            <w:pPr>
              <w:pStyle w:val="ListParagraph"/>
              <w:spacing w:after="0" w:line="240" w:lineRule="auto"/>
              <w:jc w:val="right"/>
              <w:rPr>
                <w:rFonts w:ascii="Times New Roman" w:hAnsi="Times New Roman" w:eastAsia="Calibri" w:cs="Times New Roman"/>
                <w:b/>
                <w:bCs/>
                <w:color w:val="000000"/>
                <w:sz w:val="18"/>
                <w:szCs w:val="18"/>
              </w:rPr>
            </w:pPr>
          </w:p>
        </w:tc>
        <w:tc>
          <w:tcPr>
            <w:tcW w:w="1260" w:type="dxa"/>
            <w:tcMar>
              <w:top w:w="0" w:type="dxa"/>
              <w:left w:w="108" w:type="dxa"/>
              <w:bottom w:w="0" w:type="dxa"/>
              <w:right w:w="108" w:type="dxa"/>
            </w:tcMar>
          </w:tcPr>
          <w:p w:rsidRPr="002F3192" w:rsidR="00090793" w:rsidP="00833A71" w:rsidRDefault="00090793" w14:paraId="1B7FAFD4" w14:textId="77777777">
            <w:pPr>
              <w:pStyle w:val="ListParagraph"/>
              <w:spacing w:after="0" w:line="240" w:lineRule="auto"/>
              <w:jc w:val="right"/>
              <w:rPr>
                <w:rFonts w:ascii="Times New Roman" w:hAnsi="Times New Roman" w:eastAsia="Calibri" w:cs="Times New Roman"/>
                <w:b/>
                <w:bCs/>
                <w:color w:val="000000"/>
                <w:sz w:val="18"/>
                <w:szCs w:val="18"/>
              </w:rPr>
            </w:pPr>
          </w:p>
        </w:tc>
      </w:tr>
      <w:tr w:rsidRPr="002F3192" w:rsidR="00090793" w:rsidTr="002F3192" w14:paraId="5EB9A277" w14:textId="77777777">
        <w:tc>
          <w:tcPr>
            <w:tcW w:w="1615" w:type="dxa"/>
            <w:tcMar>
              <w:top w:w="0" w:type="dxa"/>
              <w:left w:w="108" w:type="dxa"/>
              <w:bottom w:w="0" w:type="dxa"/>
              <w:right w:w="108" w:type="dxa"/>
            </w:tcMar>
            <w:hideMark/>
          </w:tcPr>
          <w:p w:rsidRPr="002F3192" w:rsidR="00090793" w:rsidP="00833A71" w:rsidRDefault="00090793" w14:paraId="02EC1708" w14:textId="77777777">
            <w:pPr>
              <w:pStyle w:val="ListParagraph"/>
              <w:spacing w:after="0" w:line="240" w:lineRule="auto"/>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 xml:space="preserve">Total </w:t>
            </w:r>
          </w:p>
        </w:tc>
        <w:tc>
          <w:tcPr>
            <w:tcW w:w="1445" w:type="dxa"/>
            <w:tcMar>
              <w:top w:w="0" w:type="dxa"/>
              <w:left w:w="108" w:type="dxa"/>
              <w:bottom w:w="0" w:type="dxa"/>
              <w:right w:w="108" w:type="dxa"/>
            </w:tcMar>
            <w:hideMark/>
          </w:tcPr>
          <w:p w:rsidRPr="002F3192" w:rsidR="00090793" w:rsidP="00833A71" w:rsidRDefault="006A4B0F" w14:paraId="363C49A0" w14:textId="74710B14">
            <w:pPr>
              <w:pStyle w:val="ListParagraph"/>
              <w:spacing w:after="0" w:line="240" w:lineRule="auto"/>
              <w:jc w:val="right"/>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5</w:t>
            </w:r>
            <w:r w:rsidRPr="002F3192" w:rsidR="00136BD6">
              <w:rPr>
                <w:rFonts w:ascii="Times New Roman" w:hAnsi="Times New Roman" w:eastAsia="Calibri" w:cs="Times New Roman"/>
                <w:b/>
                <w:bCs/>
                <w:color w:val="000000"/>
                <w:sz w:val="18"/>
                <w:szCs w:val="18"/>
              </w:rPr>
              <w:t>0</w:t>
            </w:r>
            <w:r w:rsidRPr="002F3192" w:rsidR="00234A11">
              <w:rPr>
                <w:rFonts w:ascii="Times New Roman" w:hAnsi="Times New Roman" w:eastAsia="Calibri" w:cs="Times New Roman"/>
                <w:b/>
                <w:bCs/>
                <w:color w:val="000000"/>
                <w:sz w:val="18"/>
                <w:szCs w:val="18"/>
              </w:rPr>
              <w:t>.00</w:t>
            </w:r>
          </w:p>
        </w:tc>
        <w:tc>
          <w:tcPr>
            <w:tcW w:w="1037" w:type="dxa"/>
            <w:tcMar>
              <w:top w:w="0" w:type="dxa"/>
              <w:left w:w="108" w:type="dxa"/>
              <w:bottom w:w="0" w:type="dxa"/>
              <w:right w:w="108" w:type="dxa"/>
            </w:tcMar>
            <w:hideMark/>
          </w:tcPr>
          <w:p w:rsidRPr="002F3192" w:rsidR="00090793" w:rsidP="00833A71" w:rsidRDefault="00090793" w14:paraId="41E1500D" w14:textId="753BE8D7">
            <w:pPr>
              <w:spacing w:after="0" w:line="240" w:lineRule="auto"/>
              <w:jc w:val="right"/>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w:t>
            </w:r>
          </w:p>
        </w:tc>
        <w:tc>
          <w:tcPr>
            <w:tcW w:w="1008" w:type="dxa"/>
            <w:tcMar>
              <w:top w:w="0" w:type="dxa"/>
              <w:left w:w="108" w:type="dxa"/>
              <w:bottom w:w="0" w:type="dxa"/>
              <w:right w:w="108" w:type="dxa"/>
            </w:tcMar>
            <w:hideMark/>
          </w:tcPr>
          <w:p w:rsidRPr="002F3192" w:rsidR="00090793" w:rsidP="00833A71" w:rsidRDefault="00090793" w14:paraId="7BC8D3CB" w14:textId="77777777">
            <w:pPr>
              <w:pStyle w:val="ListParagraph"/>
              <w:spacing w:after="0" w:line="240" w:lineRule="auto"/>
              <w:jc w:val="right"/>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w:t>
            </w:r>
          </w:p>
        </w:tc>
        <w:tc>
          <w:tcPr>
            <w:tcW w:w="1072" w:type="dxa"/>
            <w:tcMar>
              <w:top w:w="0" w:type="dxa"/>
              <w:left w:w="108" w:type="dxa"/>
              <w:bottom w:w="0" w:type="dxa"/>
              <w:right w:w="108" w:type="dxa"/>
            </w:tcMar>
            <w:hideMark/>
          </w:tcPr>
          <w:p w:rsidRPr="002F3192" w:rsidR="00090793" w:rsidP="00833A71" w:rsidRDefault="0039430F" w14:paraId="6272011D" w14:textId="6C1159CD">
            <w:pPr>
              <w:spacing w:after="0" w:line="240" w:lineRule="auto"/>
              <w:ind w:left="360"/>
              <w:jc w:val="right"/>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8</w:t>
            </w:r>
            <w:r w:rsidRPr="002F3192" w:rsidR="00234A11">
              <w:rPr>
                <w:rFonts w:ascii="Times New Roman" w:hAnsi="Times New Roman" w:eastAsia="Calibri" w:cs="Times New Roman"/>
                <w:b/>
                <w:bCs/>
                <w:color w:val="000000"/>
                <w:sz w:val="18"/>
                <w:szCs w:val="18"/>
              </w:rPr>
              <w:t>.00</w:t>
            </w:r>
          </w:p>
        </w:tc>
        <w:tc>
          <w:tcPr>
            <w:tcW w:w="1118" w:type="dxa"/>
            <w:tcMar>
              <w:top w:w="0" w:type="dxa"/>
              <w:left w:w="108" w:type="dxa"/>
              <w:bottom w:w="0" w:type="dxa"/>
              <w:right w:w="108" w:type="dxa"/>
            </w:tcMar>
            <w:hideMark/>
          </w:tcPr>
          <w:p w:rsidRPr="002F3192" w:rsidR="00090793" w:rsidP="00833A71" w:rsidRDefault="0039430F" w14:paraId="4AA1A4CE" w14:textId="798D7835">
            <w:pPr>
              <w:spacing w:after="0" w:line="240" w:lineRule="auto"/>
              <w:jc w:val="right"/>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400</w:t>
            </w:r>
            <w:r w:rsidR="00794F10">
              <w:rPr>
                <w:rFonts w:ascii="Times New Roman" w:hAnsi="Times New Roman" w:eastAsia="Calibri" w:cs="Times New Roman"/>
                <w:b/>
                <w:bCs/>
                <w:color w:val="000000"/>
                <w:sz w:val="18"/>
                <w:szCs w:val="18"/>
              </w:rPr>
              <w:t>.00</w:t>
            </w:r>
          </w:p>
        </w:tc>
        <w:tc>
          <w:tcPr>
            <w:tcW w:w="1160" w:type="dxa"/>
            <w:tcMar>
              <w:top w:w="0" w:type="dxa"/>
              <w:left w:w="108" w:type="dxa"/>
              <w:bottom w:w="0" w:type="dxa"/>
              <w:right w:w="108" w:type="dxa"/>
            </w:tcMar>
            <w:hideMark/>
          </w:tcPr>
          <w:p w:rsidRPr="002F3192" w:rsidR="00090793" w:rsidP="00833A71" w:rsidRDefault="00090793" w14:paraId="363C4290" w14:textId="3AD12C47">
            <w:pPr>
              <w:spacing w:after="0" w:line="240" w:lineRule="auto"/>
              <w:jc w:val="right"/>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$6</w:t>
            </w:r>
            <w:r w:rsidRPr="002F3192" w:rsidR="006126AF">
              <w:rPr>
                <w:rFonts w:ascii="Times New Roman" w:hAnsi="Times New Roman" w:eastAsia="Calibri" w:cs="Times New Roman"/>
                <w:b/>
                <w:bCs/>
                <w:color w:val="000000"/>
                <w:sz w:val="18"/>
                <w:szCs w:val="18"/>
              </w:rPr>
              <w:t>1.11</w:t>
            </w:r>
          </w:p>
        </w:tc>
        <w:tc>
          <w:tcPr>
            <w:tcW w:w="1260" w:type="dxa"/>
            <w:tcMar>
              <w:top w:w="0" w:type="dxa"/>
              <w:left w:w="108" w:type="dxa"/>
              <w:bottom w:w="0" w:type="dxa"/>
              <w:right w:w="108" w:type="dxa"/>
            </w:tcMar>
          </w:tcPr>
          <w:p w:rsidRPr="002F3192" w:rsidR="00090793" w:rsidP="00833A71" w:rsidRDefault="00090793" w14:paraId="40D24BFB" w14:textId="210788AC">
            <w:pPr>
              <w:spacing w:after="0" w:line="240" w:lineRule="auto"/>
              <w:jc w:val="right"/>
              <w:rPr>
                <w:rFonts w:ascii="Times New Roman" w:hAnsi="Times New Roman" w:eastAsia="Calibri" w:cs="Times New Roman"/>
                <w:b/>
                <w:bCs/>
                <w:color w:val="000000"/>
                <w:sz w:val="18"/>
                <w:szCs w:val="18"/>
              </w:rPr>
            </w:pPr>
            <w:r w:rsidRPr="002F3192">
              <w:rPr>
                <w:rFonts w:ascii="Times New Roman" w:hAnsi="Times New Roman" w:eastAsia="Calibri" w:cs="Times New Roman"/>
                <w:b/>
                <w:bCs/>
                <w:color w:val="000000"/>
                <w:sz w:val="18"/>
                <w:szCs w:val="18"/>
              </w:rPr>
              <w:t>$</w:t>
            </w:r>
            <w:r w:rsidRPr="002F3192" w:rsidR="0039430F">
              <w:rPr>
                <w:rFonts w:ascii="Times New Roman" w:hAnsi="Times New Roman" w:eastAsia="Calibri" w:cs="Times New Roman"/>
                <w:b/>
                <w:bCs/>
                <w:color w:val="000000"/>
                <w:sz w:val="18"/>
                <w:szCs w:val="18"/>
              </w:rPr>
              <w:t>24,444</w:t>
            </w:r>
            <w:r w:rsidRPr="002F3192" w:rsidR="00B32529">
              <w:rPr>
                <w:rFonts w:ascii="Times New Roman" w:hAnsi="Times New Roman" w:eastAsia="Calibri" w:cs="Times New Roman"/>
                <w:b/>
                <w:bCs/>
                <w:color w:val="000000"/>
                <w:sz w:val="18"/>
                <w:szCs w:val="18"/>
              </w:rPr>
              <w:t>.00</w:t>
            </w:r>
          </w:p>
        </w:tc>
      </w:tr>
      <w:tr w:rsidRPr="002F3192" w:rsidR="00EA4219" w:rsidTr="002F3192" w14:paraId="127F6B69" w14:textId="77777777">
        <w:tc>
          <w:tcPr>
            <w:tcW w:w="9715" w:type="dxa"/>
            <w:gridSpan w:val="8"/>
            <w:tcMar>
              <w:top w:w="0" w:type="dxa"/>
              <w:left w:w="108" w:type="dxa"/>
              <w:bottom w:w="0" w:type="dxa"/>
              <w:right w:w="108" w:type="dxa"/>
            </w:tcMar>
          </w:tcPr>
          <w:p w:rsidRPr="002F3192" w:rsidR="00EA4219" w:rsidP="00833A71" w:rsidRDefault="00EA4219" w14:paraId="0583206B" w14:textId="08F05DD7">
            <w:pPr>
              <w:spacing w:after="0" w:line="240" w:lineRule="auto"/>
              <w:rPr>
                <w:rFonts w:ascii="Times New Roman" w:hAnsi="Times New Roman" w:eastAsia="Calibri" w:cs="Times New Roman"/>
                <w:b/>
                <w:bCs/>
                <w:color w:val="000000"/>
                <w:sz w:val="18"/>
                <w:szCs w:val="18"/>
              </w:rPr>
            </w:pPr>
            <w:r w:rsidRPr="002F3192">
              <w:rPr>
                <w:rFonts w:ascii="Times New Roman" w:hAnsi="Times New Roman" w:cs="Times New Roman"/>
                <w:sz w:val="18"/>
                <w:szCs w:val="18"/>
              </w:rPr>
              <w:t xml:space="preserve">Note: Information provided for grantees participating in assessment.  Hourly rates based on </w:t>
            </w:r>
            <w:proofErr w:type="gramStart"/>
            <w:r w:rsidRPr="002F3192">
              <w:rPr>
                <w:rFonts w:ascii="Times New Roman" w:hAnsi="Times New Roman" w:cs="Times New Roman"/>
                <w:sz w:val="18"/>
                <w:szCs w:val="18"/>
              </w:rPr>
              <w:t>May,</w:t>
            </w:r>
            <w:proofErr w:type="gramEnd"/>
            <w:r w:rsidRPr="002F3192">
              <w:rPr>
                <w:rFonts w:ascii="Times New Roman" w:hAnsi="Times New Roman" w:cs="Times New Roman"/>
                <w:sz w:val="18"/>
                <w:szCs w:val="18"/>
              </w:rPr>
              <w:t xml:space="preserve"> 2018 Department of Labor, Bureau of Labor Statistics, National Occupational Employment &amp; Wages Statistics, median annual wage of $47.01 for General and Operations Manager, local government employees. Fringe costs of 30% added to all hourly rates so actual rates used were $61.11.  For DOL rates, visit </w:t>
            </w:r>
            <w:hyperlink w:history="1" w:anchor="11-0000" r:id="rId11">
              <w:r w:rsidRPr="002F3192">
                <w:rPr>
                  <w:rStyle w:val="Hyperlink"/>
                  <w:rFonts w:ascii="Times New Roman" w:hAnsi="Times New Roman" w:cs="Times New Roman"/>
                  <w:sz w:val="18"/>
                  <w:szCs w:val="18"/>
                </w:rPr>
                <w:t>https://www.bls.gov/oes/current/naics4_999300.htm#11-0000</w:t>
              </w:r>
            </w:hyperlink>
          </w:p>
        </w:tc>
      </w:tr>
    </w:tbl>
    <w:bookmarkEnd w:id="2"/>
    <w:p w:rsidRPr="00D33687" w:rsidR="00090793" w:rsidP="00090793" w:rsidRDefault="007816DF" w14:paraId="129A979C" w14:textId="08B0FD41">
      <w:pPr>
        <w:rPr>
          <w:rFonts w:ascii="Times New Roman" w:hAnsi="Times New Roman" w:cs="Times New Roman"/>
          <w:sz w:val="24"/>
          <w:szCs w:val="24"/>
        </w:rPr>
      </w:pPr>
      <w:r w:rsidRPr="00D33687">
        <w:rPr>
          <w:rFonts w:ascii="Times New Roman" w:hAnsi="Times New Roman" w:cs="Times New Roman"/>
          <w:sz w:val="24"/>
          <w:szCs w:val="24"/>
        </w:rPr>
        <w:t xml:space="preserve">  </w:t>
      </w:r>
    </w:p>
    <w:p w:rsidRPr="002F3192" w:rsidR="00833A71" w:rsidP="002F3192" w:rsidRDefault="00833A71" w14:paraId="5B129176" w14:textId="58A4F4B7">
      <w:pPr>
        <w:pStyle w:val="ListParagraph"/>
        <w:numPr>
          <w:ilvl w:val="0"/>
          <w:numId w:val="17"/>
        </w:numPr>
        <w:tabs>
          <w:tab w:val="left" w:pos="360"/>
        </w:tabs>
        <w:rPr>
          <w:rFonts w:ascii="Times New Roman" w:hAnsi="Times New Roman" w:cs="Times New Roman"/>
          <w:sz w:val="24"/>
          <w:szCs w:val="24"/>
        </w:rPr>
      </w:pPr>
      <w:r w:rsidRPr="002F3192">
        <w:rPr>
          <w:rFonts w:ascii="Times New Roman" w:hAnsi="Times New Roman" w:cs="Times New Roman"/>
          <w:sz w:val="24"/>
          <w:szCs w:val="24"/>
        </w:rPr>
        <w:lastRenderedPageBreak/>
        <w:t xml:space="preserve">Provide an estimate of the total annual cost burden to respondents or recordkeepers resulting from the collection of information (do not include the cost of any hour burden shown in Items 12 and 14). </w:t>
      </w:r>
    </w:p>
    <w:p w:rsidRPr="00D33687" w:rsidR="00833A71" w:rsidP="002F3192" w:rsidRDefault="00833A71" w14:paraId="72633494" w14:textId="77777777">
      <w:pPr>
        <w:numPr>
          <w:ilvl w:val="0"/>
          <w:numId w:val="21"/>
        </w:numPr>
        <w:tabs>
          <w:tab w:val="left" w:pos="36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D33687">
        <w:rPr>
          <w:rFonts w:ascii="Times New Roman" w:hAnsi="Times New Roman" w:cs="Times New Roman"/>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D33687">
        <w:rPr>
          <w:rFonts w:ascii="Times New Roman" w:hAnsi="Times New Roman" w:cs="Times New Roman"/>
          <w:sz w:val="24"/>
          <w:szCs w:val="24"/>
        </w:rPr>
        <w:t>take into account</w:t>
      </w:r>
      <w:proofErr w:type="gramEnd"/>
      <w:r w:rsidRPr="00D33687">
        <w:rPr>
          <w:rFonts w:ascii="Times New Roman" w:hAnsi="Times New Roman" w:cs="Times New Roman"/>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D33687" w:rsidR="00833A71" w:rsidP="002F3192" w:rsidRDefault="00833A71" w14:paraId="62E5145D" w14:textId="77777777">
      <w:pPr>
        <w:numPr>
          <w:ilvl w:val="0"/>
          <w:numId w:val="21"/>
        </w:numPr>
        <w:tabs>
          <w:tab w:val="left" w:pos="36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D33687">
        <w:rPr>
          <w:rFonts w:ascii="Times New Roman" w:hAnsi="Times New Roman" w:cs="Times New Roman"/>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D33687" w:rsidR="00833A71" w:rsidP="002F3192" w:rsidRDefault="00833A71" w14:paraId="094B24B5" w14:textId="77777777">
      <w:pPr>
        <w:keepLines/>
        <w:numPr>
          <w:ilvl w:val="0"/>
          <w:numId w:val="21"/>
        </w:numPr>
        <w:tabs>
          <w:tab w:val="left" w:pos="360"/>
        </w:tabs>
        <w:overflowPunct w:val="0"/>
        <w:autoSpaceDE w:val="0"/>
        <w:autoSpaceDN w:val="0"/>
        <w:adjustRightInd w:val="0"/>
        <w:spacing w:after="80" w:line="240" w:lineRule="auto"/>
        <w:textAlignment w:val="baseline"/>
        <w:rPr>
          <w:rFonts w:ascii="Times New Roman" w:hAnsi="Times New Roman" w:cs="Times New Roman"/>
          <w:sz w:val="24"/>
          <w:szCs w:val="24"/>
        </w:rPr>
      </w:pPr>
      <w:r w:rsidRPr="00D33687">
        <w:rPr>
          <w:rFonts w:ascii="Times New Roman" w:hAnsi="Times New Roman" w:cs="Times New Roman"/>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33687" w:rsidR="00833A71" w:rsidP="002F3192" w:rsidRDefault="00833A71" w14:paraId="5FC6DCB4" w14:textId="77777777">
      <w:pPr>
        <w:pStyle w:val="NoSpacing"/>
      </w:pPr>
    </w:p>
    <w:p w:rsidRPr="00D33687" w:rsidR="00090793" w:rsidP="002F3192" w:rsidRDefault="00FA58C5" w14:paraId="605CA8F7" w14:textId="66C9DBE0">
      <w:pPr>
        <w:pStyle w:val="ListParagraph"/>
        <w:ind w:left="840"/>
        <w:rPr>
          <w:rFonts w:ascii="Times New Roman" w:hAnsi="Times New Roman" w:cs="Times New Roman"/>
          <w:sz w:val="24"/>
          <w:szCs w:val="24"/>
        </w:rPr>
      </w:pPr>
      <w:r w:rsidRPr="00D33687">
        <w:rPr>
          <w:rFonts w:ascii="Times New Roman" w:hAnsi="Times New Roman" w:cs="Times New Roman"/>
          <w:sz w:val="24"/>
          <w:szCs w:val="24"/>
        </w:rPr>
        <w:t>Th</w:t>
      </w:r>
      <w:r w:rsidRPr="00D33687" w:rsidR="00090793">
        <w:rPr>
          <w:rFonts w:ascii="Times New Roman" w:hAnsi="Times New Roman" w:cs="Times New Roman"/>
          <w:sz w:val="24"/>
          <w:szCs w:val="24"/>
        </w:rPr>
        <w:t xml:space="preserve">ere no additional costs to the </w:t>
      </w:r>
      <w:r w:rsidRPr="00D33687" w:rsidR="009662A1">
        <w:rPr>
          <w:rFonts w:ascii="Times New Roman" w:hAnsi="Times New Roman" w:cs="Times New Roman"/>
          <w:sz w:val="24"/>
          <w:szCs w:val="24"/>
        </w:rPr>
        <w:t>grantee.</w:t>
      </w:r>
      <w:r w:rsidRPr="00D33687" w:rsidR="00090793">
        <w:rPr>
          <w:rFonts w:ascii="Times New Roman" w:hAnsi="Times New Roman" w:cs="Times New Roman"/>
          <w:sz w:val="24"/>
          <w:szCs w:val="24"/>
        </w:rPr>
        <w:t xml:space="preserve"> </w:t>
      </w:r>
    </w:p>
    <w:p w:rsidRPr="00D33687" w:rsidR="00FA58C5" w:rsidP="002F3192" w:rsidRDefault="00FA58C5" w14:paraId="28DCC949" w14:textId="77777777">
      <w:pPr>
        <w:pStyle w:val="NoSpacing"/>
      </w:pPr>
    </w:p>
    <w:p w:rsidRPr="002F3192" w:rsidR="00833A71" w:rsidP="002F3192" w:rsidRDefault="00833A71" w14:paraId="4399B448" w14:textId="56861A1D">
      <w:pPr>
        <w:pStyle w:val="ListParagraph"/>
        <w:keepLines/>
        <w:numPr>
          <w:ilvl w:val="0"/>
          <w:numId w:val="17"/>
        </w:numPr>
        <w:spacing w:after="80"/>
        <w:rPr>
          <w:rFonts w:ascii="Times New Roman" w:hAnsi="Times New Roman" w:cs="Times New Roman"/>
          <w:sz w:val="24"/>
          <w:szCs w:val="24"/>
        </w:rPr>
      </w:pPr>
      <w:r w:rsidRPr="002F3192">
        <w:rPr>
          <w:rFonts w:ascii="Times New Roman" w:hAnsi="Times New Roman" w:cs="Times New Roman"/>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D33687" w:rsidR="00090793" w:rsidP="00833A71" w:rsidRDefault="00090793" w14:paraId="5DCB04F7" w14:textId="5DC413B4">
      <w:pPr>
        <w:pStyle w:val="ListParagraph"/>
        <w:ind w:left="360"/>
        <w:rPr>
          <w:rFonts w:ascii="Times New Roman" w:hAnsi="Times New Roman" w:cs="Times New Roman"/>
          <w:sz w:val="24"/>
          <w:szCs w:val="24"/>
        </w:rPr>
      </w:pPr>
      <w:r w:rsidRPr="00D33687">
        <w:rPr>
          <w:rFonts w:ascii="Times New Roman" w:hAnsi="Times New Roman" w:cs="Times New Roman"/>
          <w:sz w:val="24"/>
          <w:szCs w:val="24"/>
        </w:rPr>
        <w:t xml:space="preserve"> </w:t>
      </w:r>
    </w:p>
    <w:tbl>
      <w:tblPr>
        <w:tblStyle w:val="TableGrid"/>
        <w:tblW w:w="8077" w:type="dxa"/>
        <w:tblInd w:w="1327" w:type="dxa"/>
        <w:tblLook w:val="04A0" w:firstRow="1" w:lastRow="0" w:firstColumn="1" w:lastColumn="0" w:noHBand="0" w:noVBand="1"/>
      </w:tblPr>
      <w:tblGrid>
        <w:gridCol w:w="1762"/>
        <w:gridCol w:w="4335"/>
        <w:gridCol w:w="1980"/>
      </w:tblGrid>
      <w:tr w:rsidRPr="002F3192" w:rsidR="009E3F7F" w:rsidTr="002F3192" w14:paraId="04224759" w14:textId="77777777">
        <w:tc>
          <w:tcPr>
            <w:tcW w:w="8077" w:type="dxa"/>
            <w:gridSpan w:val="3"/>
            <w:shd w:val="clear" w:color="auto" w:fill="989FA1"/>
          </w:tcPr>
          <w:p w:rsidRPr="002F3192" w:rsidR="009E3F7F" w:rsidP="00B962BF" w:rsidRDefault="009E3F7F" w14:paraId="0C005750" w14:textId="77777777">
            <w:pPr>
              <w:spacing w:after="180" w:line="264" w:lineRule="auto"/>
              <w:jc w:val="center"/>
              <w:rPr>
                <w:b/>
                <w:sz w:val="18"/>
                <w:szCs w:val="18"/>
              </w:rPr>
            </w:pPr>
            <w:r w:rsidRPr="002F3192">
              <w:rPr>
                <w:b/>
                <w:sz w:val="18"/>
                <w:szCs w:val="18"/>
              </w:rPr>
              <w:t>ANNUAL ESTIMATED LABOR COSTS FOR NEEDS ASSESSMENTS</w:t>
            </w:r>
          </w:p>
        </w:tc>
      </w:tr>
      <w:tr w:rsidRPr="002F3192" w:rsidR="009E3F7F" w:rsidTr="002F3192" w14:paraId="7FC963B2" w14:textId="77777777">
        <w:tc>
          <w:tcPr>
            <w:tcW w:w="1762" w:type="dxa"/>
          </w:tcPr>
          <w:p w:rsidRPr="002F3192" w:rsidR="009E3F7F" w:rsidP="00B962BF" w:rsidRDefault="00FA58C5" w14:paraId="3217C60C" w14:textId="49A14BC0">
            <w:pPr>
              <w:spacing w:after="180" w:line="264" w:lineRule="auto"/>
              <w:jc w:val="center"/>
              <w:rPr>
                <w:b/>
                <w:sz w:val="18"/>
                <w:szCs w:val="18"/>
              </w:rPr>
            </w:pPr>
            <w:r w:rsidRPr="002F3192">
              <w:rPr>
                <w:b/>
                <w:sz w:val="18"/>
                <w:szCs w:val="18"/>
              </w:rPr>
              <w:t>Respondent</w:t>
            </w:r>
          </w:p>
        </w:tc>
        <w:tc>
          <w:tcPr>
            <w:tcW w:w="4335" w:type="dxa"/>
          </w:tcPr>
          <w:p w:rsidRPr="002F3192" w:rsidR="009E3F7F" w:rsidP="00B962BF" w:rsidRDefault="009E3F7F" w14:paraId="55159459" w14:textId="75AB9F08">
            <w:pPr>
              <w:spacing w:after="180" w:line="264" w:lineRule="auto"/>
              <w:jc w:val="center"/>
              <w:rPr>
                <w:b/>
                <w:sz w:val="18"/>
                <w:szCs w:val="18"/>
              </w:rPr>
            </w:pPr>
            <w:r w:rsidRPr="002F3192">
              <w:rPr>
                <w:b/>
                <w:sz w:val="18"/>
                <w:szCs w:val="18"/>
              </w:rPr>
              <w:t>T</w:t>
            </w:r>
            <w:r w:rsidRPr="002F3192" w:rsidR="00FA58C5">
              <w:rPr>
                <w:b/>
                <w:sz w:val="18"/>
                <w:szCs w:val="18"/>
              </w:rPr>
              <w:t>ask</w:t>
            </w:r>
          </w:p>
        </w:tc>
        <w:tc>
          <w:tcPr>
            <w:tcW w:w="1980" w:type="dxa"/>
          </w:tcPr>
          <w:p w:rsidRPr="002F3192" w:rsidR="009E3F7F" w:rsidP="00B962BF" w:rsidRDefault="009E3F7F" w14:paraId="37E8F9F1" w14:textId="5EE0529E">
            <w:pPr>
              <w:spacing w:after="180" w:line="264" w:lineRule="auto"/>
              <w:jc w:val="center"/>
              <w:rPr>
                <w:b/>
                <w:sz w:val="18"/>
                <w:szCs w:val="18"/>
              </w:rPr>
            </w:pPr>
            <w:r w:rsidRPr="002F3192">
              <w:rPr>
                <w:b/>
                <w:sz w:val="18"/>
                <w:szCs w:val="18"/>
              </w:rPr>
              <w:t>C</w:t>
            </w:r>
            <w:r w:rsidRPr="002F3192" w:rsidR="00FA58C5">
              <w:rPr>
                <w:b/>
                <w:sz w:val="18"/>
                <w:szCs w:val="18"/>
              </w:rPr>
              <w:t>ost</w:t>
            </w:r>
          </w:p>
        </w:tc>
      </w:tr>
      <w:tr w:rsidRPr="002F3192" w:rsidR="009E3F7F" w:rsidTr="002F3192" w14:paraId="7890252F" w14:textId="77777777">
        <w:trPr>
          <w:trHeight w:val="263"/>
        </w:trPr>
        <w:tc>
          <w:tcPr>
            <w:tcW w:w="1762" w:type="dxa"/>
          </w:tcPr>
          <w:p w:rsidRPr="002F3192" w:rsidR="009E3F7F" w:rsidP="00B962BF" w:rsidRDefault="009E3F7F" w14:paraId="6C029900" w14:textId="77C53E67">
            <w:pPr>
              <w:spacing w:after="180" w:line="264" w:lineRule="auto"/>
              <w:rPr>
                <w:sz w:val="18"/>
                <w:szCs w:val="18"/>
              </w:rPr>
            </w:pPr>
            <w:r w:rsidRPr="002F3192">
              <w:rPr>
                <w:sz w:val="18"/>
                <w:szCs w:val="18"/>
              </w:rPr>
              <w:t>TA Provider</w:t>
            </w:r>
            <w:r w:rsidRPr="002F3192" w:rsidR="00115E4A">
              <w:rPr>
                <w:sz w:val="18"/>
                <w:szCs w:val="18"/>
              </w:rPr>
              <w:t>s</w:t>
            </w:r>
          </w:p>
        </w:tc>
        <w:tc>
          <w:tcPr>
            <w:tcW w:w="4335" w:type="dxa"/>
          </w:tcPr>
          <w:p w:rsidRPr="002F3192" w:rsidR="009E3F7F" w:rsidP="00B962BF" w:rsidRDefault="005D3024" w14:paraId="3AB48039" w14:textId="67CAAAF3">
            <w:pPr>
              <w:spacing w:after="180" w:line="264" w:lineRule="auto"/>
              <w:rPr>
                <w:sz w:val="18"/>
                <w:szCs w:val="18"/>
              </w:rPr>
            </w:pPr>
            <w:r w:rsidRPr="002F3192">
              <w:rPr>
                <w:sz w:val="18"/>
                <w:szCs w:val="18"/>
              </w:rPr>
              <w:t>5</w:t>
            </w:r>
            <w:r w:rsidRPr="002F3192" w:rsidR="009E3F7F">
              <w:rPr>
                <w:sz w:val="18"/>
                <w:szCs w:val="18"/>
              </w:rPr>
              <w:t xml:space="preserve">0 </w:t>
            </w:r>
            <w:r w:rsidRPr="002F3192" w:rsidR="00D17998">
              <w:rPr>
                <w:sz w:val="18"/>
                <w:szCs w:val="18"/>
              </w:rPr>
              <w:t xml:space="preserve">assessments x </w:t>
            </w:r>
            <w:r w:rsidRPr="002F3192">
              <w:rPr>
                <w:sz w:val="18"/>
                <w:szCs w:val="18"/>
              </w:rPr>
              <w:t>4</w:t>
            </w:r>
            <w:r w:rsidRPr="002F3192" w:rsidR="001C413D">
              <w:rPr>
                <w:sz w:val="18"/>
                <w:szCs w:val="18"/>
              </w:rPr>
              <w:t>8</w:t>
            </w:r>
            <w:r w:rsidRPr="002F3192" w:rsidR="009E3F7F">
              <w:rPr>
                <w:sz w:val="18"/>
                <w:szCs w:val="18"/>
              </w:rPr>
              <w:t xml:space="preserve"> hours X $64.16 /hour</w:t>
            </w:r>
          </w:p>
        </w:tc>
        <w:tc>
          <w:tcPr>
            <w:tcW w:w="1980" w:type="dxa"/>
          </w:tcPr>
          <w:p w:rsidRPr="002F3192" w:rsidR="009E3F7F" w:rsidP="00B962BF" w:rsidRDefault="002D55F2" w14:paraId="39A7E1D9" w14:textId="4E8C5D85">
            <w:pPr>
              <w:spacing w:after="180" w:line="264" w:lineRule="auto"/>
              <w:jc w:val="right"/>
              <w:rPr>
                <w:sz w:val="18"/>
                <w:szCs w:val="18"/>
              </w:rPr>
            </w:pPr>
            <w:r w:rsidRPr="002F3192">
              <w:rPr>
                <w:sz w:val="18"/>
                <w:szCs w:val="18"/>
              </w:rPr>
              <w:t>$1</w:t>
            </w:r>
            <w:r w:rsidRPr="002F3192" w:rsidR="00754E4D">
              <w:rPr>
                <w:sz w:val="18"/>
                <w:szCs w:val="18"/>
              </w:rPr>
              <w:t>53,984</w:t>
            </w:r>
            <w:r w:rsidRPr="002F3192">
              <w:rPr>
                <w:sz w:val="18"/>
                <w:szCs w:val="18"/>
              </w:rPr>
              <w:t>.00</w:t>
            </w:r>
          </w:p>
        </w:tc>
      </w:tr>
      <w:tr w:rsidRPr="002F3192" w:rsidR="009E3F7F" w:rsidTr="002F3192" w14:paraId="5BFC0C13" w14:textId="77777777">
        <w:trPr>
          <w:trHeight w:val="155"/>
        </w:trPr>
        <w:tc>
          <w:tcPr>
            <w:tcW w:w="1762" w:type="dxa"/>
          </w:tcPr>
          <w:p w:rsidRPr="002F3192" w:rsidR="009E3F7F" w:rsidP="00B962BF" w:rsidRDefault="009E3F7F" w14:paraId="38076490" w14:textId="77777777">
            <w:pPr>
              <w:spacing w:after="180" w:line="264" w:lineRule="auto"/>
              <w:rPr>
                <w:sz w:val="18"/>
                <w:szCs w:val="18"/>
              </w:rPr>
            </w:pPr>
            <w:r w:rsidRPr="002F3192">
              <w:rPr>
                <w:sz w:val="18"/>
                <w:szCs w:val="18"/>
              </w:rPr>
              <w:t>HUD FO</w:t>
            </w:r>
          </w:p>
        </w:tc>
        <w:tc>
          <w:tcPr>
            <w:tcW w:w="4335" w:type="dxa"/>
          </w:tcPr>
          <w:p w:rsidRPr="002F3192" w:rsidR="009E3F7F" w:rsidP="00B962BF" w:rsidRDefault="0085068B" w14:paraId="0EA9A708" w14:textId="71DBAD0B">
            <w:pPr>
              <w:spacing w:after="180" w:line="264" w:lineRule="auto"/>
              <w:rPr>
                <w:sz w:val="18"/>
                <w:szCs w:val="18"/>
              </w:rPr>
            </w:pPr>
            <w:r w:rsidRPr="002F3192">
              <w:rPr>
                <w:sz w:val="18"/>
                <w:szCs w:val="18"/>
              </w:rPr>
              <w:t>5</w:t>
            </w:r>
            <w:r w:rsidRPr="002F3192" w:rsidR="009E3F7F">
              <w:rPr>
                <w:sz w:val="18"/>
                <w:szCs w:val="18"/>
              </w:rPr>
              <w:t xml:space="preserve">0 </w:t>
            </w:r>
            <w:r w:rsidRPr="002F3192" w:rsidR="00D17998">
              <w:rPr>
                <w:sz w:val="18"/>
                <w:szCs w:val="18"/>
              </w:rPr>
              <w:t>asses</w:t>
            </w:r>
            <w:r w:rsidRPr="002F3192" w:rsidR="007816DF">
              <w:rPr>
                <w:sz w:val="18"/>
                <w:szCs w:val="18"/>
              </w:rPr>
              <w:t xml:space="preserve">sments </w:t>
            </w:r>
            <w:r w:rsidRPr="002F3192" w:rsidR="009E3F7F">
              <w:rPr>
                <w:sz w:val="18"/>
                <w:szCs w:val="18"/>
              </w:rPr>
              <w:t xml:space="preserve">@ </w:t>
            </w:r>
            <w:r w:rsidRPr="002F3192" w:rsidR="00680121">
              <w:rPr>
                <w:sz w:val="18"/>
                <w:szCs w:val="18"/>
              </w:rPr>
              <w:t>2</w:t>
            </w:r>
            <w:r w:rsidRPr="002F3192" w:rsidR="009E3F7F">
              <w:rPr>
                <w:sz w:val="18"/>
                <w:szCs w:val="18"/>
              </w:rPr>
              <w:t xml:space="preserve"> hours X $</w:t>
            </w:r>
            <w:r w:rsidRPr="002F3192">
              <w:rPr>
                <w:sz w:val="18"/>
                <w:szCs w:val="18"/>
              </w:rPr>
              <w:t>57.89</w:t>
            </w:r>
            <w:r w:rsidRPr="002F3192" w:rsidR="009E3F7F">
              <w:rPr>
                <w:sz w:val="18"/>
                <w:szCs w:val="18"/>
              </w:rPr>
              <w:t>/hour</w:t>
            </w:r>
          </w:p>
        </w:tc>
        <w:tc>
          <w:tcPr>
            <w:tcW w:w="1980" w:type="dxa"/>
          </w:tcPr>
          <w:p w:rsidRPr="002F3192" w:rsidR="009E3F7F" w:rsidP="00B962BF" w:rsidRDefault="002D55F2" w14:paraId="1D7992A9" w14:textId="219AA3CF">
            <w:pPr>
              <w:spacing w:after="180" w:line="264" w:lineRule="auto"/>
              <w:jc w:val="right"/>
              <w:rPr>
                <w:sz w:val="18"/>
                <w:szCs w:val="18"/>
              </w:rPr>
            </w:pPr>
            <w:r w:rsidRPr="002F3192">
              <w:rPr>
                <w:sz w:val="18"/>
                <w:szCs w:val="18"/>
              </w:rPr>
              <w:t xml:space="preserve">$   </w:t>
            </w:r>
            <w:r w:rsidRPr="002F3192" w:rsidR="00F21EA1">
              <w:rPr>
                <w:sz w:val="18"/>
                <w:szCs w:val="18"/>
              </w:rPr>
              <w:t>5</w:t>
            </w:r>
            <w:r w:rsidRPr="002F3192" w:rsidR="00947A41">
              <w:rPr>
                <w:sz w:val="18"/>
                <w:szCs w:val="18"/>
              </w:rPr>
              <w:t>,</w:t>
            </w:r>
            <w:r w:rsidRPr="002F3192" w:rsidR="00F21EA1">
              <w:rPr>
                <w:sz w:val="18"/>
                <w:szCs w:val="18"/>
              </w:rPr>
              <w:t>789.00</w:t>
            </w:r>
          </w:p>
        </w:tc>
      </w:tr>
      <w:tr w:rsidRPr="002F3192" w:rsidR="009E3F7F" w:rsidTr="002F3192" w14:paraId="73C7C267" w14:textId="77777777">
        <w:trPr>
          <w:trHeight w:val="173"/>
        </w:trPr>
        <w:tc>
          <w:tcPr>
            <w:tcW w:w="1762" w:type="dxa"/>
          </w:tcPr>
          <w:p w:rsidRPr="002F3192" w:rsidR="009E3F7F" w:rsidP="00B962BF" w:rsidRDefault="009E3F7F" w14:paraId="0D630756" w14:textId="77777777">
            <w:pPr>
              <w:spacing w:after="180" w:line="264" w:lineRule="auto"/>
              <w:rPr>
                <w:b/>
                <w:sz w:val="18"/>
                <w:szCs w:val="18"/>
              </w:rPr>
            </w:pPr>
            <w:r w:rsidRPr="002F3192">
              <w:rPr>
                <w:b/>
                <w:sz w:val="18"/>
                <w:szCs w:val="18"/>
              </w:rPr>
              <w:t>TOTAL</w:t>
            </w:r>
          </w:p>
        </w:tc>
        <w:tc>
          <w:tcPr>
            <w:tcW w:w="4335" w:type="dxa"/>
          </w:tcPr>
          <w:p w:rsidRPr="002F3192" w:rsidR="009E3F7F" w:rsidP="00B962BF" w:rsidRDefault="00BE0DFA" w14:paraId="2B1D246B" w14:textId="43497F44">
            <w:pPr>
              <w:spacing w:after="180" w:line="264" w:lineRule="auto"/>
              <w:rPr>
                <w:sz w:val="18"/>
                <w:szCs w:val="18"/>
              </w:rPr>
            </w:pPr>
            <w:r w:rsidRPr="002F3192">
              <w:rPr>
                <w:sz w:val="18"/>
                <w:szCs w:val="18"/>
              </w:rPr>
              <w:t>2</w:t>
            </w:r>
            <w:r w:rsidR="00794F10">
              <w:rPr>
                <w:sz w:val="18"/>
                <w:szCs w:val="18"/>
              </w:rPr>
              <w:t>,</w:t>
            </w:r>
            <w:r w:rsidRPr="002F3192" w:rsidR="007816DF">
              <w:rPr>
                <w:sz w:val="18"/>
                <w:szCs w:val="18"/>
              </w:rPr>
              <w:t>5</w:t>
            </w:r>
            <w:r w:rsidRPr="002F3192" w:rsidR="0031641A">
              <w:rPr>
                <w:sz w:val="18"/>
                <w:szCs w:val="18"/>
              </w:rPr>
              <w:t xml:space="preserve">00 hours </w:t>
            </w:r>
          </w:p>
        </w:tc>
        <w:tc>
          <w:tcPr>
            <w:tcW w:w="1980" w:type="dxa"/>
          </w:tcPr>
          <w:p w:rsidRPr="002F3192" w:rsidR="009E3F7F" w:rsidP="00B962BF" w:rsidRDefault="009E3F7F" w14:paraId="180ADCDD" w14:textId="1312FA35">
            <w:pPr>
              <w:spacing w:after="180" w:line="264" w:lineRule="auto"/>
              <w:jc w:val="right"/>
              <w:rPr>
                <w:b/>
                <w:sz w:val="18"/>
                <w:szCs w:val="18"/>
              </w:rPr>
            </w:pPr>
            <w:r w:rsidRPr="002F3192">
              <w:rPr>
                <w:b/>
                <w:sz w:val="18"/>
                <w:szCs w:val="18"/>
              </w:rPr>
              <w:t>$</w:t>
            </w:r>
            <w:r w:rsidRPr="002F3192" w:rsidR="002D55F2">
              <w:rPr>
                <w:b/>
                <w:sz w:val="18"/>
                <w:szCs w:val="18"/>
              </w:rPr>
              <w:t xml:space="preserve"> </w:t>
            </w:r>
            <w:r w:rsidRPr="002F3192">
              <w:rPr>
                <w:b/>
                <w:sz w:val="18"/>
                <w:szCs w:val="18"/>
              </w:rPr>
              <w:t>1</w:t>
            </w:r>
            <w:r w:rsidRPr="002F3192" w:rsidR="00947A41">
              <w:rPr>
                <w:b/>
                <w:sz w:val="18"/>
                <w:szCs w:val="18"/>
              </w:rPr>
              <w:t>59,733</w:t>
            </w:r>
            <w:r w:rsidRPr="002F3192" w:rsidR="002D55F2">
              <w:rPr>
                <w:b/>
                <w:sz w:val="18"/>
                <w:szCs w:val="18"/>
              </w:rPr>
              <w:t>.00</w:t>
            </w:r>
          </w:p>
        </w:tc>
      </w:tr>
      <w:tr w:rsidRPr="002F3192" w:rsidR="009E3F7F" w:rsidTr="002F3192" w14:paraId="4D4C2733" w14:textId="77777777">
        <w:trPr>
          <w:trHeight w:val="1793"/>
        </w:trPr>
        <w:tc>
          <w:tcPr>
            <w:tcW w:w="8077" w:type="dxa"/>
            <w:gridSpan w:val="3"/>
            <w:shd w:val="clear" w:color="auto" w:fill="FFFF00"/>
            <w:hideMark/>
          </w:tcPr>
          <w:p w:rsidRPr="002F3192" w:rsidR="009E3F7F" w:rsidP="00B962BF" w:rsidRDefault="009E3F7F" w14:paraId="5179EB7E" w14:textId="57824E4D">
            <w:pPr>
              <w:spacing w:after="180" w:line="264" w:lineRule="auto"/>
              <w:rPr>
                <w:sz w:val="18"/>
                <w:szCs w:val="18"/>
              </w:rPr>
            </w:pPr>
            <w:r w:rsidRPr="002F3192">
              <w:rPr>
                <w:sz w:val="18"/>
                <w:szCs w:val="18"/>
              </w:rPr>
              <w:lastRenderedPageBreak/>
              <w:t xml:space="preserve">Note:  Hourly rates for HUD FO based on FY2019 General Schedule Pay Table, Grade 15, Step 5 ($57.89) for Kansas </w:t>
            </w:r>
            <w:r w:rsidRPr="002F3192" w:rsidR="004E3ABA">
              <w:rPr>
                <w:sz w:val="18"/>
                <w:szCs w:val="18"/>
              </w:rPr>
              <w:t>City</w:t>
            </w:r>
            <w:r w:rsidRPr="002F3192">
              <w:rPr>
                <w:sz w:val="18"/>
                <w:szCs w:val="18"/>
              </w:rPr>
              <w:t xml:space="preserve"> area. Hourly rates based on May 2018 Department of Labor, Bureau of Labor Statistics, National Occupational Employment &amp; Wages Statistics, median rate of $49.35 for Training Manager.  Fringe costs of 30% added to all hourly rates so actual rates used were $64.16 respectively.  For DOL rates, visit: </w:t>
            </w:r>
            <w:hyperlink w:history="1" r:id="rId12">
              <w:r w:rsidRPr="002F3192">
                <w:rPr>
                  <w:color w:val="0000FF"/>
                  <w:sz w:val="18"/>
                  <w:szCs w:val="18"/>
                  <w:u w:val="single"/>
                </w:rPr>
                <w:t>http://www.bls.gov/oes/current/oes_nat.htm</w:t>
              </w:r>
            </w:hyperlink>
            <w:r w:rsidRPr="002F3192">
              <w:rPr>
                <w:sz w:val="18"/>
                <w:szCs w:val="18"/>
              </w:rPr>
              <w:t xml:space="preserve">.  For GS rates, visit: </w:t>
            </w:r>
            <w:hyperlink w:history="1" r:id="rId13">
              <w:r w:rsidRPr="002F3192">
                <w:rPr>
                  <w:rStyle w:val="Hyperlink"/>
                  <w:sz w:val="18"/>
                  <w:szCs w:val="18"/>
                </w:rPr>
                <w:t>https://www.opm.gov/policy-data-oversight/pay-leave/salaries-wages/salary-tables/pdf/2019/GS_h.pdf</w:t>
              </w:r>
            </w:hyperlink>
          </w:p>
        </w:tc>
      </w:tr>
    </w:tbl>
    <w:p w:rsidRPr="00D33687" w:rsidR="009E3F7F" w:rsidP="002F3192" w:rsidRDefault="009E3F7F" w14:paraId="7C62B42D" w14:textId="63743993">
      <w:pPr>
        <w:pStyle w:val="NoSpacing"/>
      </w:pPr>
    </w:p>
    <w:p w:rsidRPr="002F3192" w:rsidR="00833A71" w:rsidP="002F3192" w:rsidRDefault="00833A71" w14:paraId="7CDD031F" w14:textId="426D514E">
      <w:pPr>
        <w:pStyle w:val="ListParagraph"/>
        <w:keepLines/>
        <w:numPr>
          <w:ilvl w:val="0"/>
          <w:numId w:val="17"/>
        </w:numPr>
        <w:overflowPunct w:val="0"/>
        <w:autoSpaceDE w:val="0"/>
        <w:autoSpaceDN w:val="0"/>
        <w:adjustRightInd w:val="0"/>
        <w:spacing w:after="80" w:line="240" w:lineRule="auto"/>
        <w:textAlignment w:val="baseline"/>
        <w:rPr>
          <w:rFonts w:ascii="Times New Roman" w:hAnsi="Times New Roman" w:eastAsia="Times New Roman" w:cs="Times New Roman"/>
          <w:sz w:val="24"/>
          <w:szCs w:val="24"/>
        </w:rPr>
      </w:pPr>
      <w:r w:rsidRPr="002F3192">
        <w:rPr>
          <w:rFonts w:ascii="Times New Roman" w:hAnsi="Times New Roman" w:eastAsia="Times New Roman" w:cs="Times New Roman"/>
          <w:sz w:val="24"/>
          <w:szCs w:val="24"/>
        </w:rPr>
        <w:t>Explain the reasons for any program changes or adjustments reported in Items 13 and 14 of the OMB Form 83-I.</w:t>
      </w:r>
    </w:p>
    <w:p w:rsidRPr="00D33687" w:rsidR="005F27A2" w:rsidP="002E75F8" w:rsidRDefault="005F27A2" w14:paraId="6A2C957F" w14:textId="77777777">
      <w:pPr>
        <w:pStyle w:val="ListParagraph"/>
        <w:ind w:left="360"/>
        <w:rPr>
          <w:rFonts w:ascii="Times New Roman" w:hAnsi="Times New Roman" w:cs="Times New Roman"/>
          <w:sz w:val="24"/>
          <w:szCs w:val="24"/>
        </w:rPr>
      </w:pPr>
    </w:p>
    <w:p w:rsidRPr="00D33687" w:rsidR="00090793" w:rsidP="002F3192" w:rsidRDefault="002D6B50" w14:paraId="31000AF1" w14:textId="0D4222E5">
      <w:pPr>
        <w:pStyle w:val="ListParagraph"/>
        <w:rPr>
          <w:rFonts w:ascii="Times New Roman" w:hAnsi="Times New Roman" w:cs="Times New Roman"/>
          <w:sz w:val="24"/>
          <w:szCs w:val="24"/>
        </w:rPr>
      </w:pPr>
      <w:r w:rsidRPr="00D33687">
        <w:rPr>
          <w:rFonts w:ascii="Times New Roman" w:hAnsi="Times New Roman" w:cs="Times New Roman"/>
          <w:sz w:val="24"/>
          <w:szCs w:val="24"/>
        </w:rPr>
        <w:t>Over the</w:t>
      </w:r>
      <w:r w:rsidRPr="00D33687" w:rsidR="00FA58C5">
        <w:rPr>
          <w:rFonts w:ascii="Times New Roman" w:hAnsi="Times New Roman" w:cs="Times New Roman"/>
          <w:sz w:val="24"/>
          <w:szCs w:val="24"/>
        </w:rPr>
        <w:t xml:space="preserve"> </w:t>
      </w:r>
      <w:r w:rsidRPr="00D33687">
        <w:rPr>
          <w:rFonts w:ascii="Times New Roman" w:hAnsi="Times New Roman" w:cs="Times New Roman"/>
          <w:sz w:val="24"/>
          <w:szCs w:val="24"/>
        </w:rPr>
        <w:t xml:space="preserve">years, </w:t>
      </w:r>
      <w:r w:rsidRPr="00D33687" w:rsidR="004673D3">
        <w:rPr>
          <w:rFonts w:ascii="Times New Roman" w:hAnsi="Times New Roman" w:cs="Times New Roman"/>
          <w:sz w:val="24"/>
          <w:szCs w:val="24"/>
        </w:rPr>
        <w:t>HUD</w:t>
      </w:r>
      <w:r w:rsidRPr="00D33687">
        <w:rPr>
          <w:rFonts w:ascii="Times New Roman" w:hAnsi="Times New Roman" w:cs="Times New Roman"/>
          <w:sz w:val="24"/>
          <w:szCs w:val="24"/>
        </w:rPr>
        <w:t xml:space="preserve"> has </w:t>
      </w:r>
      <w:r w:rsidRPr="00D33687" w:rsidR="00FA58C5">
        <w:rPr>
          <w:rFonts w:ascii="Times New Roman" w:hAnsi="Times New Roman" w:cs="Times New Roman"/>
          <w:sz w:val="24"/>
          <w:szCs w:val="24"/>
        </w:rPr>
        <w:t xml:space="preserve">targeted </w:t>
      </w:r>
      <w:r w:rsidRPr="00D33687">
        <w:rPr>
          <w:rFonts w:ascii="Times New Roman" w:hAnsi="Times New Roman" w:cs="Times New Roman"/>
          <w:sz w:val="24"/>
          <w:szCs w:val="24"/>
        </w:rPr>
        <w:t>Needs Assess</w:t>
      </w:r>
      <w:r w:rsidRPr="00D33687" w:rsidR="00FA58C5">
        <w:rPr>
          <w:rFonts w:ascii="Times New Roman" w:hAnsi="Times New Roman" w:cs="Times New Roman"/>
          <w:sz w:val="24"/>
          <w:szCs w:val="24"/>
        </w:rPr>
        <w:t>m</w:t>
      </w:r>
      <w:r w:rsidRPr="00D33687">
        <w:rPr>
          <w:rFonts w:ascii="Times New Roman" w:hAnsi="Times New Roman" w:cs="Times New Roman"/>
          <w:sz w:val="24"/>
          <w:szCs w:val="24"/>
        </w:rPr>
        <w:t>ent</w:t>
      </w:r>
      <w:r w:rsidRPr="00D33687" w:rsidR="00401504">
        <w:rPr>
          <w:rFonts w:ascii="Times New Roman" w:hAnsi="Times New Roman" w:cs="Times New Roman"/>
          <w:sz w:val="24"/>
          <w:szCs w:val="24"/>
        </w:rPr>
        <w:t>s</w:t>
      </w:r>
      <w:r w:rsidRPr="00D33687">
        <w:rPr>
          <w:rFonts w:ascii="Times New Roman" w:hAnsi="Times New Roman" w:cs="Times New Roman"/>
          <w:sz w:val="24"/>
          <w:szCs w:val="24"/>
        </w:rPr>
        <w:t xml:space="preserve"> </w:t>
      </w:r>
      <w:r w:rsidRPr="00D33687" w:rsidR="00FA58C5">
        <w:rPr>
          <w:rFonts w:ascii="Times New Roman" w:hAnsi="Times New Roman" w:cs="Times New Roman"/>
          <w:sz w:val="24"/>
          <w:szCs w:val="24"/>
        </w:rPr>
        <w:t xml:space="preserve">to </w:t>
      </w:r>
      <w:r w:rsidRPr="00D33687" w:rsidR="00EB6A0B">
        <w:rPr>
          <w:rFonts w:ascii="Times New Roman" w:hAnsi="Times New Roman" w:cs="Times New Roman"/>
          <w:sz w:val="24"/>
          <w:szCs w:val="24"/>
        </w:rPr>
        <w:t>fewer grantees</w:t>
      </w:r>
      <w:r w:rsidRPr="00D33687" w:rsidR="00FA58C5">
        <w:rPr>
          <w:rFonts w:ascii="Times New Roman" w:hAnsi="Times New Roman" w:cs="Times New Roman"/>
          <w:sz w:val="24"/>
          <w:szCs w:val="24"/>
        </w:rPr>
        <w:t xml:space="preserve">, </w:t>
      </w:r>
      <w:r w:rsidRPr="00D33687" w:rsidR="004E3ABA">
        <w:rPr>
          <w:rFonts w:ascii="Times New Roman" w:hAnsi="Times New Roman" w:cs="Times New Roman"/>
          <w:sz w:val="24"/>
          <w:szCs w:val="24"/>
        </w:rPr>
        <w:t xml:space="preserve">in part </w:t>
      </w:r>
      <w:r w:rsidRPr="00D33687" w:rsidR="0070351C">
        <w:rPr>
          <w:rFonts w:ascii="Times New Roman" w:hAnsi="Times New Roman" w:cs="Times New Roman"/>
          <w:sz w:val="24"/>
          <w:szCs w:val="24"/>
        </w:rPr>
        <w:t xml:space="preserve">due to funding reductions </w:t>
      </w:r>
      <w:proofErr w:type="gramStart"/>
      <w:r w:rsidRPr="00D33687" w:rsidR="0070351C">
        <w:rPr>
          <w:rFonts w:ascii="Times New Roman" w:hAnsi="Times New Roman" w:cs="Times New Roman"/>
          <w:sz w:val="24"/>
          <w:szCs w:val="24"/>
        </w:rPr>
        <w:t>and</w:t>
      </w:r>
      <w:r w:rsidRPr="00D33687" w:rsidR="00546140">
        <w:rPr>
          <w:rFonts w:ascii="Times New Roman" w:hAnsi="Times New Roman" w:cs="Times New Roman"/>
          <w:sz w:val="24"/>
          <w:szCs w:val="24"/>
        </w:rPr>
        <w:t xml:space="preserve"> </w:t>
      </w:r>
      <w:r w:rsidRPr="00D33687" w:rsidR="005B3AB4">
        <w:rPr>
          <w:rFonts w:ascii="Times New Roman" w:hAnsi="Times New Roman" w:cs="Times New Roman"/>
          <w:sz w:val="24"/>
          <w:szCs w:val="24"/>
        </w:rPr>
        <w:t>also</w:t>
      </w:r>
      <w:proofErr w:type="gramEnd"/>
      <w:r w:rsidRPr="00D33687" w:rsidR="005B3AB4">
        <w:rPr>
          <w:rFonts w:ascii="Times New Roman" w:hAnsi="Times New Roman" w:cs="Times New Roman"/>
          <w:sz w:val="24"/>
          <w:szCs w:val="24"/>
        </w:rPr>
        <w:t xml:space="preserve"> </w:t>
      </w:r>
      <w:r w:rsidRPr="00D33687" w:rsidR="004E3ABA">
        <w:rPr>
          <w:rFonts w:ascii="Times New Roman" w:hAnsi="Times New Roman" w:cs="Times New Roman"/>
          <w:sz w:val="24"/>
          <w:szCs w:val="24"/>
        </w:rPr>
        <w:t xml:space="preserve">because </w:t>
      </w:r>
      <w:r w:rsidRPr="00D33687" w:rsidR="004673D3">
        <w:rPr>
          <w:rFonts w:ascii="Times New Roman" w:hAnsi="Times New Roman" w:cs="Times New Roman"/>
          <w:sz w:val="24"/>
          <w:szCs w:val="24"/>
        </w:rPr>
        <w:t>HUD</w:t>
      </w:r>
      <w:r w:rsidRPr="00D33687" w:rsidR="004E3ABA">
        <w:rPr>
          <w:rFonts w:ascii="Times New Roman" w:hAnsi="Times New Roman" w:cs="Times New Roman"/>
          <w:sz w:val="24"/>
          <w:szCs w:val="24"/>
        </w:rPr>
        <w:t xml:space="preserve"> </w:t>
      </w:r>
      <w:r w:rsidRPr="00D33687" w:rsidR="004673D3">
        <w:rPr>
          <w:rFonts w:ascii="Times New Roman" w:hAnsi="Times New Roman" w:cs="Times New Roman"/>
          <w:sz w:val="24"/>
          <w:szCs w:val="24"/>
        </w:rPr>
        <w:t>field office</w:t>
      </w:r>
      <w:r w:rsidRPr="00D33687" w:rsidR="00FA58C5">
        <w:rPr>
          <w:rFonts w:ascii="Times New Roman" w:hAnsi="Times New Roman" w:cs="Times New Roman"/>
          <w:sz w:val="24"/>
          <w:szCs w:val="24"/>
        </w:rPr>
        <w:t xml:space="preserve"> and Program </w:t>
      </w:r>
      <w:r w:rsidRPr="00D33687" w:rsidR="004E3ABA">
        <w:rPr>
          <w:rFonts w:ascii="Times New Roman" w:hAnsi="Times New Roman" w:cs="Times New Roman"/>
          <w:sz w:val="24"/>
          <w:szCs w:val="24"/>
        </w:rPr>
        <w:t xml:space="preserve">staff have </w:t>
      </w:r>
      <w:r w:rsidRPr="00D33687" w:rsidR="00FA58C5">
        <w:rPr>
          <w:rFonts w:ascii="Times New Roman" w:hAnsi="Times New Roman" w:cs="Times New Roman"/>
          <w:sz w:val="24"/>
          <w:szCs w:val="24"/>
        </w:rPr>
        <w:t>work</w:t>
      </w:r>
      <w:r w:rsidRPr="00D33687" w:rsidR="005B3AB4">
        <w:rPr>
          <w:rFonts w:ascii="Times New Roman" w:hAnsi="Times New Roman" w:cs="Times New Roman"/>
          <w:sz w:val="24"/>
          <w:szCs w:val="24"/>
        </w:rPr>
        <w:t>ed</w:t>
      </w:r>
      <w:r w:rsidRPr="00D33687" w:rsidR="00FA58C5">
        <w:rPr>
          <w:rFonts w:ascii="Times New Roman" w:hAnsi="Times New Roman" w:cs="Times New Roman"/>
          <w:sz w:val="24"/>
          <w:szCs w:val="24"/>
        </w:rPr>
        <w:t xml:space="preserve"> more extensively </w:t>
      </w:r>
      <w:r w:rsidRPr="00D33687" w:rsidR="005B3AB4">
        <w:rPr>
          <w:rFonts w:ascii="Times New Roman" w:hAnsi="Times New Roman" w:cs="Times New Roman"/>
          <w:sz w:val="24"/>
          <w:szCs w:val="24"/>
        </w:rPr>
        <w:t xml:space="preserve">with grantees to </w:t>
      </w:r>
      <w:r w:rsidRPr="00D33687" w:rsidR="004E3ABA">
        <w:rPr>
          <w:rFonts w:ascii="Times New Roman" w:hAnsi="Times New Roman" w:cs="Times New Roman"/>
          <w:sz w:val="24"/>
          <w:szCs w:val="24"/>
        </w:rPr>
        <w:t xml:space="preserve">understand </w:t>
      </w:r>
      <w:r w:rsidRPr="00D33687" w:rsidR="005B3AB4">
        <w:rPr>
          <w:rFonts w:ascii="Times New Roman" w:hAnsi="Times New Roman" w:cs="Times New Roman"/>
          <w:sz w:val="24"/>
          <w:szCs w:val="24"/>
        </w:rPr>
        <w:t xml:space="preserve">the capacity </w:t>
      </w:r>
      <w:r w:rsidRPr="00D33687" w:rsidR="004E3ABA">
        <w:rPr>
          <w:rFonts w:ascii="Times New Roman" w:hAnsi="Times New Roman" w:cs="Times New Roman"/>
          <w:sz w:val="24"/>
          <w:szCs w:val="24"/>
        </w:rPr>
        <w:t xml:space="preserve">needs without </w:t>
      </w:r>
      <w:r w:rsidRPr="00D33687" w:rsidR="0042435C">
        <w:rPr>
          <w:rFonts w:ascii="Times New Roman" w:hAnsi="Times New Roman" w:cs="Times New Roman"/>
          <w:sz w:val="24"/>
          <w:szCs w:val="24"/>
        </w:rPr>
        <w:t xml:space="preserve">implementing </w:t>
      </w:r>
      <w:r w:rsidRPr="00D33687" w:rsidR="004E3ABA">
        <w:rPr>
          <w:rFonts w:ascii="Times New Roman" w:hAnsi="Times New Roman" w:cs="Times New Roman"/>
          <w:sz w:val="24"/>
          <w:szCs w:val="24"/>
        </w:rPr>
        <w:t xml:space="preserve">this </w:t>
      </w:r>
      <w:r w:rsidRPr="00D33687" w:rsidR="0042435C">
        <w:rPr>
          <w:rFonts w:ascii="Times New Roman" w:hAnsi="Times New Roman" w:cs="Times New Roman"/>
          <w:sz w:val="24"/>
          <w:szCs w:val="24"/>
        </w:rPr>
        <w:t>assessment</w:t>
      </w:r>
      <w:r w:rsidRPr="00D33687" w:rsidR="004E3ABA">
        <w:rPr>
          <w:rFonts w:ascii="Times New Roman" w:hAnsi="Times New Roman" w:cs="Times New Roman"/>
          <w:sz w:val="24"/>
          <w:szCs w:val="24"/>
        </w:rPr>
        <w:t xml:space="preserve">. </w:t>
      </w:r>
      <w:r w:rsidRPr="00D33687" w:rsidR="005B3AB4">
        <w:rPr>
          <w:rFonts w:ascii="Times New Roman" w:hAnsi="Times New Roman" w:cs="Times New Roman"/>
          <w:sz w:val="24"/>
          <w:szCs w:val="24"/>
        </w:rPr>
        <w:t>Also,</w:t>
      </w:r>
      <w:r w:rsidRPr="00D33687" w:rsidR="004E3ABA">
        <w:rPr>
          <w:rFonts w:ascii="Times New Roman" w:hAnsi="Times New Roman" w:cs="Times New Roman"/>
          <w:sz w:val="24"/>
          <w:szCs w:val="24"/>
        </w:rPr>
        <w:t xml:space="preserve"> the time required to complete the assessment has been reduced as </w:t>
      </w:r>
      <w:r w:rsidRPr="00D33687" w:rsidR="004673D3">
        <w:rPr>
          <w:rFonts w:ascii="Times New Roman" w:hAnsi="Times New Roman" w:cs="Times New Roman"/>
          <w:sz w:val="24"/>
          <w:szCs w:val="24"/>
        </w:rPr>
        <w:t>HUD</w:t>
      </w:r>
      <w:r w:rsidRPr="00D33687" w:rsidR="004E3ABA">
        <w:rPr>
          <w:rFonts w:ascii="Times New Roman" w:hAnsi="Times New Roman" w:cs="Times New Roman"/>
          <w:sz w:val="24"/>
          <w:szCs w:val="24"/>
        </w:rPr>
        <w:t xml:space="preserve"> staff and TA providers are more</w:t>
      </w:r>
      <w:r w:rsidRPr="00D33687" w:rsidR="0042435C">
        <w:rPr>
          <w:rFonts w:ascii="Times New Roman" w:hAnsi="Times New Roman" w:cs="Times New Roman"/>
          <w:sz w:val="24"/>
          <w:szCs w:val="24"/>
        </w:rPr>
        <w:t xml:space="preserve"> </w:t>
      </w:r>
      <w:r w:rsidRPr="00D33687" w:rsidR="00D371A8">
        <w:rPr>
          <w:rFonts w:ascii="Times New Roman" w:hAnsi="Times New Roman" w:cs="Times New Roman"/>
          <w:sz w:val="24"/>
          <w:szCs w:val="24"/>
        </w:rPr>
        <w:t>e</w:t>
      </w:r>
      <w:r w:rsidRPr="00D33687" w:rsidR="00EB6A0B">
        <w:rPr>
          <w:rFonts w:ascii="Times New Roman" w:hAnsi="Times New Roman" w:cs="Times New Roman"/>
          <w:sz w:val="24"/>
          <w:szCs w:val="24"/>
        </w:rPr>
        <w:t xml:space="preserve">xperienced </w:t>
      </w:r>
      <w:r w:rsidRPr="00D33687" w:rsidR="004E3ABA">
        <w:rPr>
          <w:rFonts w:ascii="Times New Roman" w:hAnsi="Times New Roman" w:cs="Times New Roman"/>
          <w:sz w:val="24"/>
          <w:szCs w:val="24"/>
        </w:rPr>
        <w:t xml:space="preserve">in </w:t>
      </w:r>
      <w:r w:rsidRPr="00D33687" w:rsidR="00EB6A0B">
        <w:rPr>
          <w:rFonts w:ascii="Times New Roman" w:hAnsi="Times New Roman" w:cs="Times New Roman"/>
          <w:sz w:val="24"/>
          <w:szCs w:val="24"/>
        </w:rPr>
        <w:t>implementing it</w:t>
      </w:r>
      <w:r w:rsidRPr="00D33687" w:rsidR="004E3ABA">
        <w:rPr>
          <w:rFonts w:ascii="Times New Roman" w:hAnsi="Times New Roman" w:cs="Times New Roman"/>
          <w:sz w:val="24"/>
          <w:szCs w:val="24"/>
        </w:rPr>
        <w:t>. These factors contribute to a significant red</w:t>
      </w:r>
      <w:r w:rsidRPr="00D33687" w:rsidR="00EB6A0B">
        <w:rPr>
          <w:rFonts w:ascii="Times New Roman" w:hAnsi="Times New Roman" w:cs="Times New Roman"/>
          <w:sz w:val="24"/>
          <w:szCs w:val="24"/>
        </w:rPr>
        <w:t xml:space="preserve">uction </w:t>
      </w:r>
      <w:r w:rsidRPr="00D33687" w:rsidR="004E3ABA">
        <w:rPr>
          <w:rFonts w:ascii="Times New Roman" w:hAnsi="Times New Roman" w:cs="Times New Roman"/>
          <w:sz w:val="24"/>
          <w:szCs w:val="24"/>
        </w:rPr>
        <w:t>in data collection</w:t>
      </w:r>
      <w:r w:rsidRPr="00D33687" w:rsidR="00EB6A0B">
        <w:rPr>
          <w:rFonts w:ascii="Times New Roman" w:hAnsi="Times New Roman" w:cs="Times New Roman"/>
          <w:sz w:val="24"/>
          <w:szCs w:val="24"/>
        </w:rPr>
        <w:t xml:space="preserve"> burden hours.</w:t>
      </w:r>
    </w:p>
    <w:p w:rsidRPr="00D33687" w:rsidR="002B5D5E" w:rsidP="002B5D5E" w:rsidRDefault="002B5D5E" w14:paraId="5282370F" w14:textId="77777777">
      <w:pPr>
        <w:pStyle w:val="ListParagraph"/>
        <w:tabs>
          <w:tab w:val="left" w:pos="2880"/>
        </w:tabs>
        <w:rPr>
          <w:rFonts w:ascii="Times New Roman" w:hAnsi="Times New Roman" w:cs="Times New Roman"/>
          <w:sz w:val="24"/>
          <w:szCs w:val="24"/>
        </w:rPr>
      </w:pPr>
    </w:p>
    <w:p w:rsidRPr="002F3192" w:rsidR="002F3192" w:rsidP="002F3192" w:rsidRDefault="00833A71" w14:paraId="5DE00427" w14:textId="7537C985">
      <w:pPr>
        <w:pStyle w:val="ListParagraph"/>
        <w:keepLines/>
        <w:numPr>
          <w:ilvl w:val="0"/>
          <w:numId w:val="17"/>
        </w:numPr>
        <w:overflowPunct w:val="0"/>
        <w:autoSpaceDE w:val="0"/>
        <w:autoSpaceDN w:val="0"/>
        <w:adjustRightInd w:val="0"/>
        <w:spacing w:after="80" w:line="240" w:lineRule="auto"/>
        <w:ind w:hanging="360"/>
        <w:textAlignment w:val="baseline"/>
        <w:rPr>
          <w:rFonts w:ascii="Times New Roman" w:hAnsi="Times New Roman" w:cs="Times New Roman"/>
          <w:sz w:val="24"/>
          <w:szCs w:val="24"/>
        </w:rPr>
      </w:pPr>
      <w:r w:rsidRPr="002F3192">
        <w:rPr>
          <w:rFonts w:ascii="Times New Roman" w:hAnsi="Times New Roman" w:eastAsia="Times New Roman" w:cs="Times New Roman"/>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F3192" w:rsidR="002F3192" w:rsidP="002F3192" w:rsidRDefault="002F3192" w14:paraId="783AF47D" w14:textId="77777777">
      <w:pPr>
        <w:pStyle w:val="NoSpacing"/>
      </w:pPr>
    </w:p>
    <w:p w:rsidR="00090793" w:rsidP="002F3192" w:rsidRDefault="00090793" w14:paraId="37E7F844" w14:textId="4A608E70">
      <w:pPr>
        <w:ind w:left="720"/>
        <w:rPr>
          <w:rFonts w:ascii="Times New Roman" w:hAnsi="Times New Roman" w:cs="Times New Roman"/>
          <w:sz w:val="24"/>
          <w:szCs w:val="24"/>
        </w:rPr>
      </w:pPr>
      <w:r w:rsidRPr="00D33687">
        <w:rPr>
          <w:rFonts w:ascii="Times New Roman" w:hAnsi="Times New Roman" w:cs="Times New Roman"/>
          <w:sz w:val="24"/>
          <w:szCs w:val="24"/>
        </w:rPr>
        <w:t xml:space="preserve">The information that is submitted will not be published. </w:t>
      </w:r>
    </w:p>
    <w:p w:rsidRPr="00D33687" w:rsidR="002F3192" w:rsidP="002F3192" w:rsidRDefault="002F3192" w14:paraId="754547E2" w14:textId="77777777">
      <w:pPr>
        <w:pStyle w:val="NoSpacing"/>
      </w:pPr>
    </w:p>
    <w:p w:rsidRPr="002F3192" w:rsidR="00833A71" w:rsidP="002F3192" w:rsidRDefault="00833A71" w14:paraId="7E569300" w14:textId="3A9D7D67">
      <w:pPr>
        <w:pStyle w:val="ListParagraph"/>
        <w:keepLines/>
        <w:numPr>
          <w:ilvl w:val="0"/>
          <w:numId w:val="17"/>
        </w:numPr>
        <w:tabs>
          <w:tab w:val="left" w:pos="360"/>
        </w:tabs>
        <w:overflowPunct w:val="0"/>
        <w:autoSpaceDE w:val="0"/>
        <w:autoSpaceDN w:val="0"/>
        <w:adjustRightInd w:val="0"/>
        <w:spacing w:after="80" w:line="240" w:lineRule="auto"/>
        <w:textAlignment w:val="baseline"/>
        <w:rPr>
          <w:rFonts w:ascii="Times New Roman" w:hAnsi="Times New Roman" w:eastAsia="Times New Roman" w:cs="Times New Roman"/>
          <w:sz w:val="24"/>
          <w:szCs w:val="24"/>
        </w:rPr>
      </w:pPr>
      <w:r w:rsidRPr="002F3192">
        <w:rPr>
          <w:rFonts w:ascii="Times New Roman" w:hAnsi="Times New Roman" w:eastAsia="Times New Roman" w:cs="Times New Roman"/>
          <w:sz w:val="24"/>
          <w:szCs w:val="24"/>
        </w:rPr>
        <w:t>If seeking approval to not display the expiration date for OMB approval of the information collection, explain the reasons that display would be inappropriate.</w:t>
      </w:r>
    </w:p>
    <w:p w:rsidRPr="00D33687" w:rsidR="001D6C41" w:rsidP="00234A11" w:rsidRDefault="001D6C41" w14:paraId="7D9D8160" w14:textId="77777777">
      <w:pPr>
        <w:pStyle w:val="ListParagraph"/>
        <w:ind w:left="360"/>
        <w:rPr>
          <w:rFonts w:ascii="Times New Roman" w:hAnsi="Times New Roman" w:cs="Times New Roman"/>
          <w:sz w:val="24"/>
          <w:szCs w:val="24"/>
        </w:rPr>
      </w:pPr>
    </w:p>
    <w:p w:rsidRPr="00D33687" w:rsidR="00090793" w:rsidP="002F3192" w:rsidRDefault="00090793" w14:paraId="0DA05B63" w14:textId="5AC61EEE">
      <w:pPr>
        <w:pStyle w:val="ListParagraph"/>
        <w:rPr>
          <w:rFonts w:ascii="Times New Roman" w:hAnsi="Times New Roman" w:cs="Times New Roman"/>
          <w:sz w:val="24"/>
          <w:szCs w:val="24"/>
        </w:rPr>
      </w:pPr>
      <w:r w:rsidRPr="00D33687">
        <w:rPr>
          <w:rFonts w:ascii="Times New Roman" w:hAnsi="Times New Roman" w:cs="Times New Roman"/>
          <w:sz w:val="24"/>
          <w:szCs w:val="24"/>
        </w:rPr>
        <w:t xml:space="preserve">There is no request to prohibit the displaying the expiration date. </w:t>
      </w:r>
    </w:p>
    <w:p w:rsidRPr="00D33687" w:rsidR="00B033C3" w:rsidP="002F5B59" w:rsidRDefault="00B033C3" w14:paraId="2CAD137E" w14:textId="77777777">
      <w:pPr>
        <w:pStyle w:val="ListParagraph"/>
        <w:ind w:left="1260" w:hanging="1080"/>
        <w:rPr>
          <w:rFonts w:ascii="Times New Roman" w:hAnsi="Times New Roman" w:cs="Times New Roman"/>
          <w:sz w:val="24"/>
          <w:szCs w:val="24"/>
        </w:rPr>
      </w:pPr>
    </w:p>
    <w:p w:rsidRPr="002F3192" w:rsidR="00234A11" w:rsidP="002F3192" w:rsidRDefault="00833A71" w14:paraId="2A16A36B" w14:textId="6CFB9155">
      <w:pPr>
        <w:pStyle w:val="ListParagraph"/>
        <w:numPr>
          <w:ilvl w:val="0"/>
          <w:numId w:val="17"/>
        </w:numPr>
        <w:rPr>
          <w:rFonts w:ascii="Times New Roman" w:hAnsi="Times New Roman" w:cs="Times New Roman"/>
          <w:sz w:val="24"/>
          <w:szCs w:val="24"/>
        </w:rPr>
      </w:pPr>
      <w:r w:rsidRPr="002F3192">
        <w:rPr>
          <w:rFonts w:ascii="Times New Roman" w:hAnsi="Times New Roman" w:cs="Times New Roman"/>
          <w:sz w:val="24"/>
          <w:szCs w:val="24"/>
        </w:rPr>
        <w:t>Explain each exception to the certification statement identified in item 19</w:t>
      </w:r>
    </w:p>
    <w:p w:rsidR="002F3192" w:rsidP="002F3192" w:rsidRDefault="002F3192" w14:paraId="5AFCC044" w14:textId="77777777">
      <w:pPr>
        <w:pStyle w:val="ListParagraph"/>
        <w:ind w:left="360" w:firstLine="360"/>
        <w:rPr>
          <w:rFonts w:ascii="Times New Roman" w:hAnsi="Times New Roman" w:cs="Times New Roman"/>
          <w:sz w:val="24"/>
          <w:szCs w:val="24"/>
        </w:rPr>
      </w:pPr>
    </w:p>
    <w:p w:rsidRPr="00D33687" w:rsidR="00090793" w:rsidP="002F3192" w:rsidRDefault="00090793" w14:paraId="059F17D2" w14:textId="7CEAE915">
      <w:pPr>
        <w:pStyle w:val="ListParagraph"/>
        <w:ind w:left="360" w:firstLine="360"/>
        <w:rPr>
          <w:rFonts w:ascii="Times New Roman" w:hAnsi="Times New Roman" w:cs="Times New Roman"/>
          <w:sz w:val="24"/>
          <w:szCs w:val="24"/>
        </w:rPr>
      </w:pPr>
      <w:r w:rsidRPr="00D33687">
        <w:rPr>
          <w:rFonts w:ascii="Times New Roman" w:hAnsi="Times New Roman" w:cs="Times New Roman"/>
          <w:sz w:val="24"/>
          <w:szCs w:val="24"/>
        </w:rPr>
        <w:t>This includes, specifically, providing the required information to respondents:</w:t>
      </w:r>
    </w:p>
    <w:p w:rsidRPr="00D33687" w:rsidR="00090793" w:rsidP="002765CC" w:rsidRDefault="00090793" w14:paraId="43618FD5" w14:textId="77777777">
      <w:pPr>
        <w:spacing w:after="0"/>
        <w:ind w:left="1260" w:hanging="540"/>
        <w:rPr>
          <w:rFonts w:ascii="Times New Roman" w:hAnsi="Times New Roman" w:cs="Times New Roman"/>
          <w:sz w:val="24"/>
          <w:szCs w:val="24"/>
        </w:rPr>
      </w:pPr>
      <w:r w:rsidRPr="00D33687">
        <w:rPr>
          <w:rFonts w:ascii="Times New Roman" w:hAnsi="Times New Roman" w:cs="Times New Roman"/>
          <w:sz w:val="24"/>
          <w:szCs w:val="24"/>
        </w:rPr>
        <w:t xml:space="preserve">The OMB control number and expiration date; </w:t>
      </w:r>
      <w:r w:rsidRPr="00D33687">
        <w:rPr>
          <w:rFonts w:ascii="Times New Roman" w:hAnsi="Times New Roman" w:cs="Times New Roman"/>
          <w:b/>
          <w:sz w:val="24"/>
          <w:szCs w:val="24"/>
        </w:rPr>
        <w:t>N/A</w:t>
      </w:r>
    </w:p>
    <w:p w:rsidRPr="00D33687" w:rsidR="00090793" w:rsidP="002765CC" w:rsidRDefault="00090793" w14:paraId="10D7AF3B" w14:textId="77777777">
      <w:pPr>
        <w:spacing w:after="0"/>
        <w:ind w:left="1260" w:hanging="540"/>
        <w:rPr>
          <w:rFonts w:ascii="Times New Roman" w:hAnsi="Times New Roman" w:cs="Times New Roman"/>
          <w:sz w:val="24"/>
          <w:szCs w:val="24"/>
        </w:rPr>
      </w:pPr>
      <w:r w:rsidRPr="00D33687">
        <w:rPr>
          <w:rFonts w:ascii="Times New Roman" w:hAnsi="Times New Roman" w:cs="Times New Roman"/>
          <w:sz w:val="24"/>
          <w:szCs w:val="24"/>
        </w:rPr>
        <w:t xml:space="preserve">Why the information is being collected; </w:t>
      </w:r>
      <w:r w:rsidRPr="00D33687">
        <w:rPr>
          <w:rFonts w:ascii="Times New Roman" w:hAnsi="Times New Roman" w:cs="Times New Roman"/>
          <w:b/>
          <w:sz w:val="24"/>
          <w:szCs w:val="24"/>
        </w:rPr>
        <w:t>N/A</w:t>
      </w:r>
    </w:p>
    <w:p w:rsidRPr="00D33687" w:rsidR="00090793" w:rsidP="002765CC" w:rsidRDefault="00090793" w14:paraId="3D6A1D89" w14:textId="77777777">
      <w:pPr>
        <w:spacing w:after="0"/>
        <w:ind w:left="1260" w:hanging="540"/>
        <w:rPr>
          <w:rFonts w:ascii="Times New Roman" w:hAnsi="Times New Roman" w:cs="Times New Roman"/>
          <w:sz w:val="24"/>
          <w:szCs w:val="24"/>
        </w:rPr>
      </w:pPr>
      <w:r w:rsidRPr="00D33687">
        <w:rPr>
          <w:rFonts w:ascii="Times New Roman" w:hAnsi="Times New Roman" w:cs="Times New Roman"/>
          <w:sz w:val="24"/>
          <w:szCs w:val="24"/>
        </w:rPr>
        <w:t xml:space="preserve">Use of the information; </w:t>
      </w:r>
      <w:r w:rsidRPr="00D33687">
        <w:rPr>
          <w:rFonts w:ascii="Times New Roman" w:hAnsi="Times New Roman" w:cs="Times New Roman"/>
          <w:b/>
          <w:sz w:val="24"/>
          <w:szCs w:val="24"/>
        </w:rPr>
        <w:t>N/A</w:t>
      </w:r>
    </w:p>
    <w:p w:rsidRPr="00D33687" w:rsidR="00090793" w:rsidP="002765CC" w:rsidRDefault="00090793" w14:paraId="2AFBE5F7" w14:textId="77777777">
      <w:pPr>
        <w:spacing w:after="0"/>
        <w:ind w:left="1260" w:hanging="540"/>
        <w:rPr>
          <w:rFonts w:ascii="Times New Roman" w:hAnsi="Times New Roman" w:cs="Times New Roman"/>
          <w:sz w:val="24"/>
          <w:szCs w:val="24"/>
        </w:rPr>
      </w:pPr>
      <w:r w:rsidRPr="00D33687">
        <w:rPr>
          <w:rFonts w:ascii="Times New Roman" w:hAnsi="Times New Roman" w:cs="Times New Roman"/>
          <w:sz w:val="24"/>
          <w:szCs w:val="24"/>
        </w:rPr>
        <w:t xml:space="preserve">Burden estimate; </w:t>
      </w:r>
      <w:r w:rsidRPr="00D33687">
        <w:rPr>
          <w:rFonts w:ascii="Times New Roman" w:hAnsi="Times New Roman" w:cs="Times New Roman"/>
          <w:b/>
          <w:sz w:val="24"/>
          <w:szCs w:val="24"/>
        </w:rPr>
        <w:t>N/A</w:t>
      </w:r>
    </w:p>
    <w:p w:rsidRPr="00D33687" w:rsidR="00090793" w:rsidP="002765CC" w:rsidRDefault="00090793" w14:paraId="1CB1FC5D" w14:textId="77777777">
      <w:pPr>
        <w:spacing w:after="0"/>
        <w:ind w:left="1260" w:hanging="540"/>
        <w:rPr>
          <w:rFonts w:ascii="Times New Roman" w:hAnsi="Times New Roman" w:cs="Times New Roman"/>
          <w:sz w:val="24"/>
          <w:szCs w:val="24"/>
        </w:rPr>
      </w:pPr>
      <w:r w:rsidRPr="00D33687">
        <w:rPr>
          <w:rFonts w:ascii="Times New Roman" w:hAnsi="Times New Roman" w:cs="Times New Roman"/>
          <w:sz w:val="24"/>
          <w:szCs w:val="24"/>
        </w:rPr>
        <w:t xml:space="preserve">Nature of response (voluntary, required for a benefit, or mandatory); </w:t>
      </w:r>
      <w:r w:rsidRPr="00D33687">
        <w:rPr>
          <w:rFonts w:ascii="Times New Roman" w:hAnsi="Times New Roman" w:cs="Times New Roman"/>
          <w:b/>
          <w:sz w:val="24"/>
          <w:szCs w:val="24"/>
        </w:rPr>
        <w:t>N/A</w:t>
      </w:r>
    </w:p>
    <w:p w:rsidRPr="00D33687" w:rsidR="00090793" w:rsidP="002765CC" w:rsidRDefault="00090793" w14:paraId="732B4822" w14:textId="77777777">
      <w:pPr>
        <w:spacing w:after="0"/>
        <w:ind w:left="1260" w:hanging="540"/>
        <w:rPr>
          <w:rFonts w:ascii="Times New Roman" w:hAnsi="Times New Roman" w:cs="Times New Roman"/>
          <w:sz w:val="24"/>
          <w:szCs w:val="24"/>
        </w:rPr>
      </w:pPr>
      <w:r w:rsidRPr="00D33687">
        <w:rPr>
          <w:rFonts w:ascii="Times New Roman" w:hAnsi="Times New Roman" w:cs="Times New Roman"/>
          <w:sz w:val="24"/>
          <w:szCs w:val="24"/>
        </w:rPr>
        <w:t xml:space="preserve">Nature and extent of confidentiality; and </w:t>
      </w:r>
      <w:r w:rsidRPr="00D33687">
        <w:rPr>
          <w:rFonts w:ascii="Times New Roman" w:hAnsi="Times New Roman" w:cs="Times New Roman"/>
          <w:b/>
          <w:sz w:val="24"/>
          <w:szCs w:val="24"/>
        </w:rPr>
        <w:t>N/A</w:t>
      </w:r>
    </w:p>
    <w:p w:rsidRPr="00D33687" w:rsidR="00090793" w:rsidP="002765CC" w:rsidRDefault="00090793" w14:paraId="5E7B4413" w14:textId="77777777">
      <w:pPr>
        <w:spacing w:after="0"/>
        <w:ind w:left="1260" w:hanging="540"/>
        <w:rPr>
          <w:rFonts w:ascii="Times New Roman" w:hAnsi="Times New Roman" w:cs="Times New Roman"/>
          <w:sz w:val="24"/>
          <w:szCs w:val="24"/>
        </w:rPr>
      </w:pPr>
      <w:r w:rsidRPr="00D33687">
        <w:rPr>
          <w:rFonts w:ascii="Times New Roman" w:hAnsi="Times New Roman" w:cs="Times New Roman"/>
          <w:sz w:val="24"/>
          <w:szCs w:val="24"/>
        </w:rPr>
        <w:t xml:space="preserve">The requirement to display currently valid OMB control number. </w:t>
      </w:r>
      <w:r w:rsidRPr="00D33687">
        <w:rPr>
          <w:rFonts w:ascii="Times New Roman" w:hAnsi="Times New Roman" w:cs="Times New Roman"/>
          <w:b/>
          <w:sz w:val="24"/>
          <w:szCs w:val="24"/>
        </w:rPr>
        <w:t>N/A</w:t>
      </w:r>
    </w:p>
    <w:p w:rsidRPr="00D33687" w:rsidR="000D722A" w:rsidP="002F3192" w:rsidRDefault="00090793" w14:paraId="40CD4F60" w14:textId="18C05B2E">
      <w:pPr>
        <w:ind w:firstLine="720"/>
        <w:rPr>
          <w:rFonts w:ascii="Times New Roman" w:hAnsi="Times New Roman" w:cs="Times New Roman"/>
          <w:sz w:val="24"/>
          <w:szCs w:val="24"/>
        </w:rPr>
      </w:pPr>
      <w:r w:rsidRPr="00D33687">
        <w:rPr>
          <w:rFonts w:ascii="Times New Roman" w:hAnsi="Times New Roman" w:cs="Times New Roman"/>
          <w:sz w:val="24"/>
          <w:szCs w:val="24"/>
        </w:rPr>
        <w:t xml:space="preserve">There is no exception to the certification statement. </w:t>
      </w:r>
    </w:p>
    <w:sectPr w:rsidRPr="00D33687" w:rsidR="000D722A" w:rsidSect="00E652B7">
      <w:footerReference w:type="default" r:id="rId14"/>
      <w:pgSz w:w="12240" w:h="15840"/>
      <w:pgMar w:top="960" w:right="1440" w:bottom="96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CCFAB" w14:textId="77777777" w:rsidR="004048B5" w:rsidRDefault="004048B5" w:rsidP="00090793">
      <w:pPr>
        <w:spacing w:after="0" w:line="240" w:lineRule="auto"/>
      </w:pPr>
      <w:r>
        <w:separator/>
      </w:r>
    </w:p>
  </w:endnote>
  <w:endnote w:type="continuationSeparator" w:id="0">
    <w:p w14:paraId="1E7E2E25" w14:textId="77777777" w:rsidR="004048B5" w:rsidRDefault="004048B5" w:rsidP="0009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5735301"/>
      <w:docPartObj>
        <w:docPartGallery w:val="Page Numbers (Bottom of Page)"/>
        <w:docPartUnique/>
      </w:docPartObj>
    </w:sdtPr>
    <w:sdtEndPr>
      <w:rPr>
        <w:noProof/>
      </w:rPr>
    </w:sdtEndPr>
    <w:sdtContent>
      <w:p w14:paraId="2E808B3F" w14:textId="77777777" w:rsidR="00D57223" w:rsidRDefault="00D57223" w:rsidP="00D57223">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146ACCBA" w14:textId="77777777" w:rsidR="00D57223" w:rsidRDefault="00D57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8B281" w14:textId="77777777" w:rsidR="004048B5" w:rsidRDefault="004048B5" w:rsidP="00090793">
      <w:pPr>
        <w:spacing w:after="0" w:line="240" w:lineRule="auto"/>
      </w:pPr>
      <w:r>
        <w:separator/>
      </w:r>
    </w:p>
  </w:footnote>
  <w:footnote w:type="continuationSeparator" w:id="0">
    <w:p w14:paraId="477A1974" w14:textId="77777777" w:rsidR="004048B5" w:rsidRDefault="004048B5" w:rsidP="00090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15620CFB"/>
    <w:multiLevelType w:val="hybridMultilevel"/>
    <w:tmpl w:val="678E2BF0"/>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A7BB2"/>
    <w:multiLevelType w:val="hybridMultilevel"/>
    <w:tmpl w:val="8154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7618A"/>
    <w:multiLevelType w:val="hybridMultilevel"/>
    <w:tmpl w:val="6B7A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83FE4"/>
    <w:multiLevelType w:val="hybridMultilevel"/>
    <w:tmpl w:val="BDD8BBC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F4C4F"/>
    <w:multiLevelType w:val="hybridMultilevel"/>
    <w:tmpl w:val="84982B9E"/>
    <w:lvl w:ilvl="0" w:tplc="2D764D5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663BF"/>
    <w:multiLevelType w:val="hybridMultilevel"/>
    <w:tmpl w:val="DFD4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E6F9C"/>
    <w:multiLevelType w:val="singleLevel"/>
    <w:tmpl w:val="B26EA4E0"/>
    <w:lvl w:ilvl="0">
      <w:numFmt w:val="decimal"/>
      <w:lvlText w:val="*"/>
      <w:lvlJc w:val="left"/>
    </w:lvl>
  </w:abstractNum>
  <w:abstractNum w:abstractNumId="8" w15:restartNumberingAfterBreak="0">
    <w:nsid w:val="3A9527D5"/>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7B0EAF"/>
    <w:multiLevelType w:val="hybridMultilevel"/>
    <w:tmpl w:val="7BB0796E"/>
    <w:lvl w:ilvl="0" w:tplc="0409000F">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D5036"/>
    <w:multiLevelType w:val="multilevel"/>
    <w:tmpl w:val="75CCAA62"/>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38A3C21"/>
    <w:multiLevelType w:val="hybridMultilevel"/>
    <w:tmpl w:val="955461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3" w15:restartNumberingAfterBreak="0">
    <w:nsid w:val="4C337F69"/>
    <w:multiLevelType w:val="hybridMultilevel"/>
    <w:tmpl w:val="785CC204"/>
    <w:lvl w:ilvl="0" w:tplc="DE761544">
      <w:start w:val="1"/>
      <w:numFmt w:val="bulle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F55827"/>
    <w:multiLevelType w:val="hybridMultilevel"/>
    <w:tmpl w:val="56A0AE3A"/>
    <w:lvl w:ilvl="0" w:tplc="5C8CD4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8B7877"/>
    <w:multiLevelType w:val="hybridMultilevel"/>
    <w:tmpl w:val="508687A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637DCF"/>
    <w:multiLevelType w:val="hybridMultilevel"/>
    <w:tmpl w:val="81B8EA98"/>
    <w:lvl w:ilvl="0" w:tplc="EA149556">
      <w:start w:val="5"/>
      <w:numFmt w:val="decimal"/>
      <w:lvlText w:val="%1."/>
      <w:lvlJc w:val="left"/>
      <w:pPr>
        <w:ind w:left="810" w:hanging="360"/>
      </w:pPr>
      <w:rPr>
        <w:rFonts w:hint="default"/>
      </w:rPr>
    </w:lvl>
    <w:lvl w:ilvl="1" w:tplc="78388E76" w:tentative="1">
      <w:start w:val="1"/>
      <w:numFmt w:val="lowerLetter"/>
      <w:lvlText w:val="%2."/>
      <w:lvlJc w:val="left"/>
      <w:pPr>
        <w:ind w:left="1440" w:hanging="360"/>
      </w:pPr>
    </w:lvl>
    <w:lvl w:ilvl="2" w:tplc="E720756C">
      <w:start w:val="1"/>
      <w:numFmt w:val="lowerRoman"/>
      <w:lvlText w:val="%3."/>
      <w:lvlJc w:val="right"/>
      <w:pPr>
        <w:ind w:left="2160" w:hanging="180"/>
      </w:pPr>
    </w:lvl>
    <w:lvl w:ilvl="3" w:tplc="4E905290" w:tentative="1">
      <w:start w:val="1"/>
      <w:numFmt w:val="decimal"/>
      <w:lvlText w:val="%4."/>
      <w:lvlJc w:val="left"/>
      <w:pPr>
        <w:ind w:left="2880" w:hanging="360"/>
      </w:pPr>
    </w:lvl>
    <w:lvl w:ilvl="4" w:tplc="DFAEB63C" w:tentative="1">
      <w:start w:val="1"/>
      <w:numFmt w:val="lowerLetter"/>
      <w:lvlText w:val="%5."/>
      <w:lvlJc w:val="left"/>
      <w:pPr>
        <w:ind w:left="3600" w:hanging="360"/>
      </w:pPr>
    </w:lvl>
    <w:lvl w:ilvl="5" w:tplc="8AC29D88" w:tentative="1">
      <w:start w:val="1"/>
      <w:numFmt w:val="lowerRoman"/>
      <w:lvlText w:val="%6."/>
      <w:lvlJc w:val="right"/>
      <w:pPr>
        <w:ind w:left="4320" w:hanging="180"/>
      </w:pPr>
    </w:lvl>
    <w:lvl w:ilvl="6" w:tplc="FA763EF8" w:tentative="1">
      <w:start w:val="1"/>
      <w:numFmt w:val="decimal"/>
      <w:lvlText w:val="%7."/>
      <w:lvlJc w:val="left"/>
      <w:pPr>
        <w:ind w:left="5040" w:hanging="360"/>
      </w:pPr>
    </w:lvl>
    <w:lvl w:ilvl="7" w:tplc="1B640E10" w:tentative="1">
      <w:start w:val="1"/>
      <w:numFmt w:val="lowerLetter"/>
      <w:lvlText w:val="%8."/>
      <w:lvlJc w:val="left"/>
      <w:pPr>
        <w:ind w:left="5760" w:hanging="360"/>
      </w:pPr>
    </w:lvl>
    <w:lvl w:ilvl="8" w:tplc="00AAD8A8" w:tentative="1">
      <w:start w:val="1"/>
      <w:numFmt w:val="lowerRoman"/>
      <w:lvlText w:val="%9."/>
      <w:lvlJc w:val="right"/>
      <w:pPr>
        <w:ind w:left="6480" w:hanging="180"/>
      </w:pPr>
    </w:lvl>
  </w:abstractNum>
  <w:abstractNum w:abstractNumId="17" w15:restartNumberingAfterBreak="0">
    <w:nsid w:val="65B77193"/>
    <w:multiLevelType w:val="hybridMultilevel"/>
    <w:tmpl w:val="C53C28B0"/>
    <w:lvl w:ilvl="0" w:tplc="0409000F">
      <w:start w:val="1"/>
      <w:numFmt w:val="decimal"/>
      <w:lvlText w:val="%1."/>
      <w:lvlJc w:val="left"/>
      <w:pPr>
        <w:ind w:left="360" w:hanging="360"/>
      </w:pPr>
      <w:rPr>
        <w:rFonts w:hint="default"/>
      </w:rPr>
    </w:lvl>
    <w:lvl w:ilvl="1" w:tplc="04090019">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361734"/>
    <w:multiLevelType w:val="hybridMultilevel"/>
    <w:tmpl w:val="157E05CE"/>
    <w:lvl w:ilvl="0" w:tplc="42DC5486">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69D431BC"/>
    <w:multiLevelType w:val="hybridMultilevel"/>
    <w:tmpl w:val="7896737E"/>
    <w:lvl w:ilvl="0" w:tplc="5C8CD4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3D1999"/>
    <w:multiLevelType w:val="hybridMultilevel"/>
    <w:tmpl w:val="52AACB4A"/>
    <w:lvl w:ilvl="0" w:tplc="0409000F">
      <w:start w:val="1"/>
      <w:numFmt w:val="decimal"/>
      <w:lvlText w:val="%1."/>
      <w:lvlJc w:val="left"/>
      <w:pPr>
        <w:ind w:left="720" w:hanging="360"/>
      </w:pPr>
    </w:lvl>
    <w:lvl w:ilvl="1" w:tplc="0409000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144"/>
        <w:lvlJc w:val="left"/>
        <w:pPr>
          <w:ind w:left="6444" w:hanging="144"/>
        </w:pPr>
        <w:rPr>
          <w:rFonts w:ascii="Symbol" w:hAnsi="Symbol" w:hint="default"/>
          <w:sz w:val="16"/>
        </w:rPr>
      </w:lvl>
    </w:lvlOverride>
  </w:num>
  <w:num w:numId="2">
    <w:abstractNumId w:val="13"/>
  </w:num>
  <w:num w:numId="3">
    <w:abstractNumId w:val="20"/>
  </w:num>
  <w:num w:numId="4">
    <w:abstractNumId w:val="3"/>
  </w:num>
  <w:num w:numId="5">
    <w:abstractNumId w:val="17"/>
  </w:num>
  <w:num w:numId="6">
    <w:abstractNumId w:val="8"/>
  </w:num>
  <w:num w:numId="7">
    <w:abstractNumId w:val="10"/>
  </w:num>
  <w:num w:numId="8">
    <w:abstractNumId w:val="11"/>
  </w:num>
  <w:num w:numId="9">
    <w:abstractNumId w:val="2"/>
  </w:num>
  <w:num w:numId="10">
    <w:abstractNumId w:val="6"/>
  </w:num>
  <w:num w:numId="11">
    <w:abstractNumId w:val="16"/>
  </w:num>
  <w:num w:numId="12">
    <w:abstractNumId w:val="4"/>
  </w:num>
  <w:num w:numId="13">
    <w:abstractNumId w:val="5"/>
  </w:num>
  <w:num w:numId="14">
    <w:abstractNumId w:val="12"/>
  </w:num>
  <w:num w:numId="15">
    <w:abstractNumId w:val="7"/>
  </w:num>
  <w:num w:numId="16">
    <w:abstractNumId w:val="15"/>
  </w:num>
  <w:num w:numId="17">
    <w:abstractNumId w:val="18"/>
  </w:num>
  <w:num w:numId="18">
    <w:abstractNumId w:val="1"/>
  </w:num>
  <w:num w:numId="19">
    <w:abstractNumId w:val="9"/>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93"/>
    <w:rsid w:val="00000CFD"/>
    <w:rsid w:val="00002BFD"/>
    <w:rsid w:val="000166C0"/>
    <w:rsid w:val="00026435"/>
    <w:rsid w:val="00032054"/>
    <w:rsid w:val="00045766"/>
    <w:rsid w:val="00065167"/>
    <w:rsid w:val="00086BB4"/>
    <w:rsid w:val="00090793"/>
    <w:rsid w:val="000B3C86"/>
    <w:rsid w:val="000D0F15"/>
    <w:rsid w:val="000F07AF"/>
    <w:rsid w:val="0011175B"/>
    <w:rsid w:val="00115E4A"/>
    <w:rsid w:val="001226EE"/>
    <w:rsid w:val="001255F4"/>
    <w:rsid w:val="00136BD6"/>
    <w:rsid w:val="00142477"/>
    <w:rsid w:val="00150B2C"/>
    <w:rsid w:val="0015727F"/>
    <w:rsid w:val="001639B1"/>
    <w:rsid w:val="00181191"/>
    <w:rsid w:val="0019719A"/>
    <w:rsid w:val="001A4759"/>
    <w:rsid w:val="001C2DEF"/>
    <w:rsid w:val="001C31E6"/>
    <w:rsid w:val="001C3464"/>
    <w:rsid w:val="001C413D"/>
    <w:rsid w:val="001C6212"/>
    <w:rsid w:val="001D2579"/>
    <w:rsid w:val="001D3D0D"/>
    <w:rsid w:val="001D6C41"/>
    <w:rsid w:val="001E2600"/>
    <w:rsid w:val="001E61E1"/>
    <w:rsid w:val="001F3E1C"/>
    <w:rsid w:val="0020145C"/>
    <w:rsid w:val="00205CDD"/>
    <w:rsid w:val="0021240E"/>
    <w:rsid w:val="00234A11"/>
    <w:rsid w:val="002423C4"/>
    <w:rsid w:val="00252AF9"/>
    <w:rsid w:val="002651AF"/>
    <w:rsid w:val="0027523C"/>
    <w:rsid w:val="002765CC"/>
    <w:rsid w:val="0029285D"/>
    <w:rsid w:val="002B3C5B"/>
    <w:rsid w:val="002B5D5E"/>
    <w:rsid w:val="002D55F2"/>
    <w:rsid w:val="002D6B50"/>
    <w:rsid w:val="002E75F8"/>
    <w:rsid w:val="002E7BDD"/>
    <w:rsid w:val="002F3192"/>
    <w:rsid w:val="002F4EA3"/>
    <w:rsid w:val="002F5B59"/>
    <w:rsid w:val="003004C4"/>
    <w:rsid w:val="0031383A"/>
    <w:rsid w:val="0031641A"/>
    <w:rsid w:val="00317593"/>
    <w:rsid w:val="00317AE3"/>
    <w:rsid w:val="00320691"/>
    <w:rsid w:val="00322CB8"/>
    <w:rsid w:val="0033031E"/>
    <w:rsid w:val="0033385A"/>
    <w:rsid w:val="00337241"/>
    <w:rsid w:val="003513FF"/>
    <w:rsid w:val="00357FF8"/>
    <w:rsid w:val="003747FF"/>
    <w:rsid w:val="0039038B"/>
    <w:rsid w:val="0039430F"/>
    <w:rsid w:val="003B4D11"/>
    <w:rsid w:val="003D6589"/>
    <w:rsid w:val="003E53EE"/>
    <w:rsid w:val="00401504"/>
    <w:rsid w:val="004048B5"/>
    <w:rsid w:val="00416D2C"/>
    <w:rsid w:val="00422E49"/>
    <w:rsid w:val="0042435C"/>
    <w:rsid w:val="00425E4A"/>
    <w:rsid w:val="004324CC"/>
    <w:rsid w:val="004324CF"/>
    <w:rsid w:val="00432E6D"/>
    <w:rsid w:val="00440481"/>
    <w:rsid w:val="0044671B"/>
    <w:rsid w:val="00446EA9"/>
    <w:rsid w:val="00451FF7"/>
    <w:rsid w:val="004673D3"/>
    <w:rsid w:val="00471271"/>
    <w:rsid w:val="00476304"/>
    <w:rsid w:val="00482F2B"/>
    <w:rsid w:val="0049103E"/>
    <w:rsid w:val="004917AC"/>
    <w:rsid w:val="004A499A"/>
    <w:rsid w:val="004A6DA4"/>
    <w:rsid w:val="004A7B47"/>
    <w:rsid w:val="004C50E0"/>
    <w:rsid w:val="004C5ABE"/>
    <w:rsid w:val="004E3ABA"/>
    <w:rsid w:val="004E71F9"/>
    <w:rsid w:val="004F581B"/>
    <w:rsid w:val="005135AA"/>
    <w:rsid w:val="00520A69"/>
    <w:rsid w:val="00522A6C"/>
    <w:rsid w:val="00546140"/>
    <w:rsid w:val="005B17FB"/>
    <w:rsid w:val="005B3AB4"/>
    <w:rsid w:val="005C43F3"/>
    <w:rsid w:val="005C59F3"/>
    <w:rsid w:val="005D0A24"/>
    <w:rsid w:val="005D1C29"/>
    <w:rsid w:val="005D3024"/>
    <w:rsid w:val="005D3457"/>
    <w:rsid w:val="005F27A2"/>
    <w:rsid w:val="006126AF"/>
    <w:rsid w:val="00620F1B"/>
    <w:rsid w:val="00631805"/>
    <w:rsid w:val="0064166E"/>
    <w:rsid w:val="00642DE6"/>
    <w:rsid w:val="0064462A"/>
    <w:rsid w:val="00645F8D"/>
    <w:rsid w:val="00647ADD"/>
    <w:rsid w:val="00653224"/>
    <w:rsid w:val="0066473A"/>
    <w:rsid w:val="00666F28"/>
    <w:rsid w:val="00680121"/>
    <w:rsid w:val="00681434"/>
    <w:rsid w:val="00687304"/>
    <w:rsid w:val="006A44B9"/>
    <w:rsid w:val="006A4AFD"/>
    <w:rsid w:val="006A4B0F"/>
    <w:rsid w:val="006A57C8"/>
    <w:rsid w:val="006B31BE"/>
    <w:rsid w:val="006B3B1C"/>
    <w:rsid w:val="006C6E24"/>
    <w:rsid w:val="006D240E"/>
    <w:rsid w:val="006D73F0"/>
    <w:rsid w:val="006E21D1"/>
    <w:rsid w:val="006F7016"/>
    <w:rsid w:val="00703083"/>
    <w:rsid w:val="0070351C"/>
    <w:rsid w:val="00703D53"/>
    <w:rsid w:val="00710796"/>
    <w:rsid w:val="007164B6"/>
    <w:rsid w:val="00720B69"/>
    <w:rsid w:val="007240FC"/>
    <w:rsid w:val="00744737"/>
    <w:rsid w:val="0075179C"/>
    <w:rsid w:val="0075376A"/>
    <w:rsid w:val="0075408E"/>
    <w:rsid w:val="00754E4D"/>
    <w:rsid w:val="007632EF"/>
    <w:rsid w:val="00777953"/>
    <w:rsid w:val="007816DF"/>
    <w:rsid w:val="00781DB7"/>
    <w:rsid w:val="00794F10"/>
    <w:rsid w:val="00797536"/>
    <w:rsid w:val="007B4C89"/>
    <w:rsid w:val="007C00AB"/>
    <w:rsid w:val="007C0345"/>
    <w:rsid w:val="007C19CA"/>
    <w:rsid w:val="007D5E58"/>
    <w:rsid w:val="007E3819"/>
    <w:rsid w:val="007F31F9"/>
    <w:rsid w:val="00803C59"/>
    <w:rsid w:val="0080484D"/>
    <w:rsid w:val="008129F2"/>
    <w:rsid w:val="00824FA5"/>
    <w:rsid w:val="00833A71"/>
    <w:rsid w:val="00833AAB"/>
    <w:rsid w:val="008362EB"/>
    <w:rsid w:val="008403BC"/>
    <w:rsid w:val="0085068B"/>
    <w:rsid w:val="00866B55"/>
    <w:rsid w:val="008907E4"/>
    <w:rsid w:val="008C5637"/>
    <w:rsid w:val="008D1FBB"/>
    <w:rsid w:val="008D5570"/>
    <w:rsid w:val="008E685F"/>
    <w:rsid w:val="0091195A"/>
    <w:rsid w:val="00912C54"/>
    <w:rsid w:val="00913323"/>
    <w:rsid w:val="0092595D"/>
    <w:rsid w:val="00931618"/>
    <w:rsid w:val="00943553"/>
    <w:rsid w:val="00946AE1"/>
    <w:rsid w:val="00947A41"/>
    <w:rsid w:val="00950098"/>
    <w:rsid w:val="009662A1"/>
    <w:rsid w:val="009677B6"/>
    <w:rsid w:val="00972819"/>
    <w:rsid w:val="009818C8"/>
    <w:rsid w:val="00983073"/>
    <w:rsid w:val="00986473"/>
    <w:rsid w:val="00994F9D"/>
    <w:rsid w:val="0099781B"/>
    <w:rsid w:val="009A2629"/>
    <w:rsid w:val="009C2CA6"/>
    <w:rsid w:val="009E3F7F"/>
    <w:rsid w:val="009F227D"/>
    <w:rsid w:val="009F4C30"/>
    <w:rsid w:val="00A00545"/>
    <w:rsid w:val="00A14EA4"/>
    <w:rsid w:val="00A21889"/>
    <w:rsid w:val="00A46869"/>
    <w:rsid w:val="00A46DC2"/>
    <w:rsid w:val="00A545CD"/>
    <w:rsid w:val="00A65E3A"/>
    <w:rsid w:val="00A66DD6"/>
    <w:rsid w:val="00A67B14"/>
    <w:rsid w:val="00A71AEE"/>
    <w:rsid w:val="00A91D39"/>
    <w:rsid w:val="00A955BB"/>
    <w:rsid w:val="00AB073F"/>
    <w:rsid w:val="00AC4A13"/>
    <w:rsid w:val="00AD1BC4"/>
    <w:rsid w:val="00AD3556"/>
    <w:rsid w:val="00AE2F08"/>
    <w:rsid w:val="00AE59B5"/>
    <w:rsid w:val="00AF76CF"/>
    <w:rsid w:val="00B033C3"/>
    <w:rsid w:val="00B12AF3"/>
    <w:rsid w:val="00B26191"/>
    <w:rsid w:val="00B26582"/>
    <w:rsid w:val="00B32529"/>
    <w:rsid w:val="00B417BB"/>
    <w:rsid w:val="00B5006A"/>
    <w:rsid w:val="00B6032E"/>
    <w:rsid w:val="00B61A6C"/>
    <w:rsid w:val="00B625A9"/>
    <w:rsid w:val="00B650D8"/>
    <w:rsid w:val="00BA260B"/>
    <w:rsid w:val="00BB3357"/>
    <w:rsid w:val="00BC7831"/>
    <w:rsid w:val="00BE0DFA"/>
    <w:rsid w:val="00BE500F"/>
    <w:rsid w:val="00BE6E5F"/>
    <w:rsid w:val="00C22323"/>
    <w:rsid w:val="00C22A73"/>
    <w:rsid w:val="00C402FB"/>
    <w:rsid w:val="00C45285"/>
    <w:rsid w:val="00C458FB"/>
    <w:rsid w:val="00C61265"/>
    <w:rsid w:val="00C732C0"/>
    <w:rsid w:val="00C73BD4"/>
    <w:rsid w:val="00C77C95"/>
    <w:rsid w:val="00C81E9F"/>
    <w:rsid w:val="00C90286"/>
    <w:rsid w:val="00C9217E"/>
    <w:rsid w:val="00CA334A"/>
    <w:rsid w:val="00CC2B83"/>
    <w:rsid w:val="00CD1E89"/>
    <w:rsid w:val="00CD3439"/>
    <w:rsid w:val="00D17998"/>
    <w:rsid w:val="00D27C97"/>
    <w:rsid w:val="00D33687"/>
    <w:rsid w:val="00D36BD4"/>
    <w:rsid w:val="00D36FFB"/>
    <w:rsid w:val="00D371A8"/>
    <w:rsid w:val="00D528A4"/>
    <w:rsid w:val="00D5382E"/>
    <w:rsid w:val="00D57223"/>
    <w:rsid w:val="00D6658B"/>
    <w:rsid w:val="00D80AE9"/>
    <w:rsid w:val="00D97DA5"/>
    <w:rsid w:val="00DB63FB"/>
    <w:rsid w:val="00DD6FF6"/>
    <w:rsid w:val="00DE4336"/>
    <w:rsid w:val="00DF09E7"/>
    <w:rsid w:val="00DF4169"/>
    <w:rsid w:val="00E0223F"/>
    <w:rsid w:val="00E032B6"/>
    <w:rsid w:val="00E115D3"/>
    <w:rsid w:val="00E15D5F"/>
    <w:rsid w:val="00E22CB1"/>
    <w:rsid w:val="00E3165D"/>
    <w:rsid w:val="00E331F7"/>
    <w:rsid w:val="00E336E0"/>
    <w:rsid w:val="00E652B7"/>
    <w:rsid w:val="00E9374A"/>
    <w:rsid w:val="00EA4219"/>
    <w:rsid w:val="00EB2FF0"/>
    <w:rsid w:val="00EB385B"/>
    <w:rsid w:val="00EB6A0B"/>
    <w:rsid w:val="00EC2ADA"/>
    <w:rsid w:val="00ED3448"/>
    <w:rsid w:val="00EF2C71"/>
    <w:rsid w:val="00F101E5"/>
    <w:rsid w:val="00F21EA1"/>
    <w:rsid w:val="00F3455F"/>
    <w:rsid w:val="00F458FA"/>
    <w:rsid w:val="00F54CD6"/>
    <w:rsid w:val="00F63055"/>
    <w:rsid w:val="00F71610"/>
    <w:rsid w:val="00F732F8"/>
    <w:rsid w:val="00F82F05"/>
    <w:rsid w:val="00F8733D"/>
    <w:rsid w:val="00F9236C"/>
    <w:rsid w:val="00FA58C5"/>
    <w:rsid w:val="00FC3720"/>
    <w:rsid w:val="00FD5A9E"/>
    <w:rsid w:val="00FD7A5F"/>
    <w:rsid w:val="00FF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7C4F"/>
  <w15:chartTrackingRefBased/>
  <w15:docId w15:val="{3BD2E863-0866-461A-AB59-3886DF48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793"/>
    <w:pPr>
      <w:spacing w:after="0" w:line="240" w:lineRule="auto"/>
    </w:pPr>
  </w:style>
  <w:style w:type="paragraph" w:styleId="ListParagraph">
    <w:name w:val="List Paragraph"/>
    <w:basedOn w:val="Normal"/>
    <w:uiPriority w:val="34"/>
    <w:qFormat/>
    <w:rsid w:val="00090793"/>
    <w:pPr>
      <w:ind w:left="720"/>
      <w:contextualSpacing/>
    </w:pPr>
  </w:style>
  <w:style w:type="table" w:styleId="TableGrid">
    <w:name w:val="Table Grid"/>
    <w:basedOn w:val="TableNormal"/>
    <w:rsid w:val="000907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0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793"/>
  </w:style>
  <w:style w:type="paragraph" w:styleId="Footer">
    <w:name w:val="footer"/>
    <w:basedOn w:val="Normal"/>
    <w:link w:val="FooterChar"/>
    <w:uiPriority w:val="99"/>
    <w:unhideWhenUsed/>
    <w:rsid w:val="00090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793"/>
  </w:style>
  <w:style w:type="character" w:styleId="CommentReference">
    <w:name w:val="annotation reference"/>
    <w:basedOn w:val="DefaultParagraphFont"/>
    <w:uiPriority w:val="99"/>
    <w:semiHidden/>
    <w:unhideWhenUsed/>
    <w:rsid w:val="002423C4"/>
    <w:rPr>
      <w:sz w:val="16"/>
      <w:szCs w:val="16"/>
    </w:rPr>
  </w:style>
  <w:style w:type="paragraph" w:styleId="CommentText">
    <w:name w:val="annotation text"/>
    <w:basedOn w:val="Normal"/>
    <w:link w:val="CommentTextChar"/>
    <w:uiPriority w:val="99"/>
    <w:semiHidden/>
    <w:unhideWhenUsed/>
    <w:rsid w:val="002423C4"/>
    <w:pPr>
      <w:spacing w:line="240" w:lineRule="auto"/>
    </w:pPr>
    <w:rPr>
      <w:sz w:val="20"/>
      <w:szCs w:val="20"/>
    </w:rPr>
  </w:style>
  <w:style w:type="character" w:customStyle="1" w:styleId="CommentTextChar">
    <w:name w:val="Comment Text Char"/>
    <w:basedOn w:val="DefaultParagraphFont"/>
    <w:link w:val="CommentText"/>
    <w:uiPriority w:val="99"/>
    <w:semiHidden/>
    <w:rsid w:val="002423C4"/>
    <w:rPr>
      <w:sz w:val="20"/>
      <w:szCs w:val="20"/>
    </w:rPr>
  </w:style>
  <w:style w:type="paragraph" w:styleId="CommentSubject">
    <w:name w:val="annotation subject"/>
    <w:basedOn w:val="CommentText"/>
    <w:next w:val="CommentText"/>
    <w:link w:val="CommentSubjectChar"/>
    <w:uiPriority w:val="99"/>
    <w:semiHidden/>
    <w:unhideWhenUsed/>
    <w:rsid w:val="002423C4"/>
    <w:rPr>
      <w:b/>
      <w:bCs/>
    </w:rPr>
  </w:style>
  <w:style w:type="character" w:customStyle="1" w:styleId="CommentSubjectChar">
    <w:name w:val="Comment Subject Char"/>
    <w:basedOn w:val="CommentTextChar"/>
    <w:link w:val="CommentSubject"/>
    <w:uiPriority w:val="99"/>
    <w:semiHidden/>
    <w:rsid w:val="002423C4"/>
    <w:rPr>
      <w:b/>
      <w:bCs/>
      <w:sz w:val="20"/>
      <w:szCs w:val="20"/>
    </w:rPr>
  </w:style>
  <w:style w:type="paragraph" w:styleId="BalloonText">
    <w:name w:val="Balloon Text"/>
    <w:basedOn w:val="Normal"/>
    <w:link w:val="BalloonTextChar"/>
    <w:uiPriority w:val="99"/>
    <w:semiHidden/>
    <w:unhideWhenUsed/>
    <w:rsid w:val="00242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3C4"/>
    <w:rPr>
      <w:rFonts w:ascii="Segoe UI" w:hAnsi="Segoe UI" w:cs="Segoe UI"/>
      <w:sz w:val="18"/>
      <w:szCs w:val="18"/>
    </w:rPr>
  </w:style>
  <w:style w:type="character" w:styleId="Hyperlink">
    <w:name w:val="Hyperlink"/>
    <w:basedOn w:val="DefaultParagraphFont"/>
    <w:uiPriority w:val="99"/>
    <w:unhideWhenUsed/>
    <w:rsid w:val="002423C4"/>
    <w:rPr>
      <w:color w:val="0000FF"/>
      <w:u w:val="single"/>
    </w:rPr>
  </w:style>
  <w:style w:type="numbering" w:customStyle="1" w:styleId="Style1">
    <w:name w:val="Style1"/>
    <w:uiPriority w:val="99"/>
    <w:rsid w:val="00F458FA"/>
    <w:pPr>
      <w:numPr>
        <w:numId w:val="6"/>
      </w:numPr>
    </w:pPr>
  </w:style>
  <w:style w:type="character" w:customStyle="1" w:styleId="DetailsChar">
    <w:name w:val="Details Char"/>
    <w:basedOn w:val="DefaultParagraphFont"/>
    <w:link w:val="Details"/>
    <w:locked/>
    <w:rsid w:val="00620F1B"/>
    <w:rPr>
      <w:rFonts w:eastAsia="Calibri" w:cs="Calibri"/>
      <w:color w:val="262626"/>
      <w:sz w:val="20"/>
    </w:rPr>
  </w:style>
  <w:style w:type="paragraph" w:customStyle="1" w:styleId="Details">
    <w:name w:val="Details"/>
    <w:basedOn w:val="Normal"/>
    <w:link w:val="DetailsChar"/>
    <w:qFormat/>
    <w:rsid w:val="00620F1B"/>
    <w:pPr>
      <w:spacing w:before="60" w:after="20" w:line="240" w:lineRule="auto"/>
    </w:pPr>
    <w:rPr>
      <w:rFonts w:eastAsia="Calibri" w:cs="Calibri"/>
      <w:color w:val="262626"/>
      <w:sz w:val="20"/>
    </w:rPr>
  </w:style>
  <w:style w:type="character" w:styleId="UnresolvedMention">
    <w:name w:val="Unresolved Mention"/>
    <w:basedOn w:val="DefaultParagraphFont"/>
    <w:uiPriority w:val="99"/>
    <w:semiHidden/>
    <w:unhideWhenUsed/>
    <w:rsid w:val="0019719A"/>
    <w:rPr>
      <w:color w:val="605E5C"/>
      <w:shd w:val="clear" w:color="auto" w:fill="E1DFDD"/>
    </w:rPr>
  </w:style>
  <w:style w:type="paragraph" w:styleId="Revision">
    <w:name w:val="Revision"/>
    <w:hidden/>
    <w:uiPriority w:val="99"/>
    <w:semiHidden/>
    <w:rsid w:val="006A4B0F"/>
    <w:pPr>
      <w:spacing w:after="0" w:line="240" w:lineRule="auto"/>
    </w:pPr>
  </w:style>
  <w:style w:type="character" w:styleId="FollowedHyperlink">
    <w:name w:val="FollowedHyperlink"/>
    <w:basedOn w:val="DefaultParagraphFont"/>
    <w:uiPriority w:val="99"/>
    <w:semiHidden/>
    <w:unhideWhenUsed/>
    <w:rsid w:val="00912C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8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19/GS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naics4_999300.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7AC44320F254F88030C262CCF56FD" ma:contentTypeVersion="12" ma:contentTypeDescription="Create a new document." ma:contentTypeScope="" ma:versionID="f0f1b537be25670edab4751bb4731cc6">
  <xsd:schema xmlns:xsd="http://www.w3.org/2001/XMLSchema" xmlns:xs="http://www.w3.org/2001/XMLSchema" xmlns:p="http://schemas.microsoft.com/office/2006/metadata/properties" xmlns:ns1="http://schemas.microsoft.com/sharepoint/v3" xmlns:ns3="70b4be58-82f5-43d5-af29-51dd181e211d" xmlns:ns4="9deaf474-0fec-4623-922f-979029a5d5ae" targetNamespace="http://schemas.microsoft.com/office/2006/metadata/properties" ma:root="true" ma:fieldsID="85cb30c7ec003fa5ea16819e4d9e06af" ns1:_="" ns3:_="" ns4:_="">
    <xsd:import namespace="http://schemas.microsoft.com/sharepoint/v3"/>
    <xsd:import namespace="70b4be58-82f5-43d5-af29-51dd181e211d"/>
    <xsd:import namespace="9deaf474-0fec-4623-922f-979029a5d5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b4be58-82f5-43d5-af29-51dd181e21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af474-0fec-4623-922f-979029a5d5a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4C7A2-1041-48C3-AC9E-E52EDE3FB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b4be58-82f5-43d5-af29-51dd181e211d"/>
    <ds:schemaRef ds:uri="9deaf474-0fec-4623-922f-979029a5d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4F097-427A-44A9-8279-D42309DFCA89}">
  <ds:schemaRefs>
    <ds:schemaRef ds:uri="http://schemas.microsoft.com/sharepoint/v3/contenttype/forms"/>
  </ds:schemaRefs>
</ds:datastoreItem>
</file>

<file path=customXml/itemProps3.xml><?xml version="1.0" encoding="utf-8"?>
<ds:datastoreItem xmlns:ds="http://schemas.openxmlformats.org/officeDocument/2006/customXml" ds:itemID="{78769F34-BECE-468A-8F27-F578B69D471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AF31237-17DA-4BB4-8EC6-AA7795B6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2491</Words>
  <Characters>14200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Nanci</dc:creator>
  <cp:keywords/>
  <dc:description/>
  <cp:lastModifiedBy>Johnson, Urnell</cp:lastModifiedBy>
  <cp:revision>4</cp:revision>
  <cp:lastPrinted>2020-02-12T21:10:00Z</cp:lastPrinted>
  <dcterms:created xsi:type="dcterms:W3CDTF">2020-02-12T21:09:00Z</dcterms:created>
  <dcterms:modified xsi:type="dcterms:W3CDTF">2020-02-12T21:10:00Z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0x0101003C47AC44320F254F88030C262CCF56FD</vt:lpwstr>
  </property>
</Properties>
</file>