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86E27" w:rsidR="004F0190" w:rsidP="0055205B" w:rsidRDefault="004F0190" w14:paraId="3E2E54B8" w14:textId="77777777">
      <w:pPr>
        <w:spacing w:before="120" w:after="120"/>
        <w:contextualSpacing/>
      </w:pPr>
      <w:r w:rsidRPr="00F86E27">
        <w:tab/>
      </w:r>
      <w:r w:rsidRPr="00F86E27">
        <w:tab/>
      </w:r>
      <w:r w:rsidRPr="00F86E27">
        <w:tab/>
      </w:r>
      <w:r w:rsidRPr="00F86E27">
        <w:tab/>
      </w:r>
      <w:r w:rsidRPr="00F86E27">
        <w:tab/>
      </w:r>
      <w:r w:rsidRPr="00F86E27">
        <w:tab/>
      </w:r>
      <w:r w:rsidRPr="00F86E27">
        <w:tab/>
      </w:r>
      <w:r w:rsidRPr="00F86E27">
        <w:tab/>
      </w:r>
      <w:r w:rsidRPr="00F86E27">
        <w:tab/>
      </w:r>
    </w:p>
    <w:p w:rsidRPr="00F86E27" w:rsidR="0004335C" w:rsidP="0055205B" w:rsidRDefault="004F0190" w14:paraId="02C089FC" w14:textId="432D5BFA">
      <w:pPr>
        <w:spacing w:before="120" w:after="120"/>
        <w:ind w:left="5760" w:firstLine="720"/>
        <w:contextualSpacing/>
      </w:pPr>
      <w:r w:rsidRPr="00F86E27">
        <w:t>2140-0009</w:t>
      </w:r>
    </w:p>
    <w:p w:rsidR="0004335C" w:rsidP="0055205B" w:rsidRDefault="00AA6DD3" w14:paraId="2F7A2ACA" w14:textId="69F1FF78">
      <w:pPr>
        <w:spacing w:before="120" w:after="120"/>
        <w:ind w:firstLine="6480"/>
        <w:contextualSpacing/>
      </w:pPr>
      <w:r w:rsidRPr="00F86E27">
        <w:t>Novem</w:t>
      </w:r>
      <w:r w:rsidRPr="00F86E27" w:rsidR="004F0190">
        <w:t>ber</w:t>
      </w:r>
      <w:r w:rsidRPr="00F86E27" w:rsidR="009933EE">
        <w:t xml:space="preserve"> </w:t>
      </w:r>
      <w:r w:rsidRPr="00F86E27" w:rsidR="00251F5F">
        <w:t>201</w:t>
      </w:r>
      <w:r w:rsidR="00A3722B">
        <w:t>9</w:t>
      </w:r>
    </w:p>
    <w:p w:rsidRPr="00F86E27" w:rsidR="00A3722B" w:rsidP="0055205B" w:rsidRDefault="00A3722B" w14:paraId="03E29223" w14:textId="33009080">
      <w:pPr>
        <w:spacing w:before="120" w:after="120"/>
        <w:ind w:firstLine="6480"/>
        <w:contextualSpacing/>
      </w:pPr>
      <w:r>
        <w:t>Expires: 12/31/19</w:t>
      </w:r>
    </w:p>
    <w:p w:rsidRPr="00F86E27" w:rsidR="0004335C" w:rsidP="0055205B" w:rsidRDefault="0004335C" w14:paraId="7CC86198" w14:textId="77777777">
      <w:pPr>
        <w:spacing w:before="120" w:after="120"/>
        <w:contextualSpacing/>
      </w:pPr>
    </w:p>
    <w:p w:rsidRPr="00F86E27" w:rsidR="0004335C" w:rsidP="0055205B" w:rsidRDefault="0004335C" w14:paraId="2E550FBD" w14:textId="77777777">
      <w:pPr>
        <w:spacing w:before="120" w:after="120"/>
        <w:contextualSpacing/>
      </w:pPr>
    </w:p>
    <w:p w:rsidRPr="00F86E27" w:rsidR="004F0190" w:rsidP="0055205B" w:rsidRDefault="004F0190" w14:paraId="2CCC0988" w14:textId="4EDFC6D8">
      <w:pPr>
        <w:spacing w:before="120" w:after="120"/>
        <w:contextualSpacing/>
        <w:jc w:val="center"/>
        <w:rPr>
          <w:b/>
        </w:rPr>
      </w:pPr>
      <w:r w:rsidRPr="00F86E27">
        <w:rPr>
          <w:b/>
        </w:rPr>
        <w:t>SUPPORTING STATEMENT</w:t>
      </w:r>
    </w:p>
    <w:p w:rsidRPr="00F86E27" w:rsidR="004F0190" w:rsidP="0055205B" w:rsidRDefault="004F0190" w14:paraId="79DC22C8" w14:textId="5C77190D">
      <w:pPr>
        <w:spacing w:before="120" w:after="120"/>
        <w:contextualSpacing/>
        <w:jc w:val="center"/>
        <w:rPr>
          <w:b/>
        </w:rPr>
      </w:pPr>
      <w:r w:rsidRPr="00F86E27">
        <w:rPr>
          <w:b/>
        </w:rPr>
        <w:t>FOR REQUEST OF OMB APPROVAL</w:t>
      </w:r>
    </w:p>
    <w:p w:rsidRPr="00F86E27" w:rsidR="004F0190" w:rsidP="0055205B" w:rsidRDefault="004F0190" w14:paraId="48DFC9FF" w14:textId="77777777">
      <w:pPr>
        <w:widowControl/>
        <w:tabs>
          <w:tab w:val="center" w:pos="4680"/>
        </w:tabs>
        <w:spacing w:before="120" w:after="120"/>
        <w:contextualSpacing/>
        <w:jc w:val="center"/>
        <w:rPr>
          <w:b/>
          <w:bCs/>
        </w:rPr>
      </w:pPr>
      <w:r w:rsidRPr="00F86E27">
        <w:rPr>
          <w:b/>
        </w:rPr>
        <w:t xml:space="preserve">UNDER THE PAPERWORK REDUCTION ACT AND 5 C.F.R. § </w:t>
      </w:r>
      <w:r w:rsidRPr="00F86E27">
        <w:rPr>
          <w:b/>
          <w:bCs/>
        </w:rPr>
        <w:t>1320</w:t>
      </w:r>
    </w:p>
    <w:p w:rsidRPr="00F86E27" w:rsidR="004F0190" w:rsidP="0055205B" w:rsidRDefault="004F0190" w14:paraId="6008F2B8" w14:textId="0E7F46D9">
      <w:pPr>
        <w:spacing w:before="120" w:after="120"/>
        <w:contextualSpacing/>
        <w:rPr>
          <w:b/>
        </w:rPr>
      </w:pPr>
    </w:p>
    <w:p w:rsidRPr="00F86E27" w:rsidR="00BC3B7C" w:rsidP="0055205B" w:rsidRDefault="004F0190" w14:paraId="4906F319" w14:textId="57DB9443">
      <w:pPr>
        <w:spacing w:before="120" w:after="120"/>
        <w:ind w:firstLine="720"/>
        <w:contextualSpacing/>
      </w:pPr>
      <w:r w:rsidRPr="00F86E27">
        <w:t xml:space="preserve">The Surface Transportation Board (STB or Board) requests a three-year extension of approval of the regulations governing the filing by parties before the Board of Annual R-1 reports. </w:t>
      </w:r>
    </w:p>
    <w:p w:rsidRPr="00F86E27" w:rsidR="0004335C" w:rsidP="0055205B" w:rsidRDefault="0004335C" w14:paraId="2CDED41C" w14:textId="77777777">
      <w:pPr>
        <w:spacing w:before="120" w:after="120"/>
        <w:contextualSpacing/>
      </w:pPr>
    </w:p>
    <w:p w:rsidRPr="00F86E27" w:rsidR="0004335C" w:rsidP="0055205B" w:rsidRDefault="0004335C" w14:paraId="7B7C0811" w14:textId="77777777">
      <w:pPr>
        <w:spacing w:before="120" w:after="120"/>
        <w:contextualSpacing/>
        <w:rPr>
          <w:b/>
          <w:bCs/>
          <w:u w:val="single"/>
        </w:rPr>
      </w:pPr>
      <w:r w:rsidRPr="00F86E27">
        <w:rPr>
          <w:b/>
          <w:bCs/>
        </w:rPr>
        <w:t xml:space="preserve">A.  </w:t>
      </w:r>
      <w:r w:rsidRPr="00F86E27">
        <w:rPr>
          <w:b/>
          <w:bCs/>
          <w:u w:val="single"/>
        </w:rPr>
        <w:t>Justification</w:t>
      </w:r>
      <w:r w:rsidRPr="00F86E27">
        <w:rPr>
          <w:b/>
          <w:bCs/>
        </w:rPr>
        <w:t>:</w:t>
      </w:r>
    </w:p>
    <w:p w:rsidRPr="00F86E27" w:rsidR="0004335C" w:rsidP="0055205B" w:rsidRDefault="0004335C" w14:paraId="604E6278" w14:textId="77777777">
      <w:pPr>
        <w:spacing w:before="120" w:after="120"/>
        <w:contextualSpacing/>
        <w:rPr>
          <w:b/>
          <w:bCs/>
          <w:u w:val="single"/>
        </w:rPr>
      </w:pPr>
    </w:p>
    <w:p w:rsidRPr="00F86E27" w:rsidR="0004335C" w:rsidP="0055205B" w:rsidRDefault="0004335C" w14:paraId="3A247DD2" w14:textId="0913B3C7">
      <w:pPr>
        <w:spacing w:before="120" w:after="120"/>
        <w:ind w:firstLine="720"/>
        <w:contextualSpacing/>
      </w:pPr>
      <w:r w:rsidRPr="00F86E27">
        <w:t xml:space="preserve">1.  </w:t>
      </w:r>
      <w:r w:rsidRPr="00F86E27" w:rsidR="00A901C1">
        <w:rPr>
          <w:u w:val="single"/>
        </w:rPr>
        <w:t>Need for Information in Collection</w:t>
      </w:r>
      <w:r w:rsidRPr="00F86E27" w:rsidR="00FC4786">
        <w:t xml:space="preserve">.  </w:t>
      </w:r>
      <w:r w:rsidRPr="00F86E27">
        <w:t>The Surface Transportation Board (Board) has broad statutory authority to provide economic regulatory oversight of railroads, a</w:t>
      </w:r>
      <w:r w:rsidRPr="00F86E27" w:rsidR="00A3270F">
        <w:t>ddressing such matters as rates; service;</w:t>
      </w:r>
      <w:r w:rsidRPr="00F86E27">
        <w:t xml:space="preserve"> the construction, acquisitio</w:t>
      </w:r>
      <w:r w:rsidRPr="00F86E27" w:rsidR="00A3270F">
        <w:t>n and abandonment of rail lines; carrier mergers;</w:t>
      </w:r>
      <w:r w:rsidRPr="00F86E27">
        <w:t xml:space="preserve"> and interchange of traffic among carriers (49 U.S.C. §§ 10101-11908).  </w:t>
      </w:r>
      <w:r w:rsidRPr="00F86E27" w:rsidR="001903E8">
        <w:t xml:space="preserve">Information from the </w:t>
      </w:r>
      <w:r w:rsidRPr="00F86E27">
        <w:t xml:space="preserve">Annual R-1 reports, which are required to be filed by </w:t>
      </w:r>
      <w:r w:rsidRPr="00F86E27" w:rsidR="00687B85">
        <w:t xml:space="preserve">Class I </w:t>
      </w:r>
      <w:r w:rsidRPr="00F86E27" w:rsidR="00C13BC3">
        <w:t xml:space="preserve">(large) </w:t>
      </w:r>
      <w:r w:rsidRPr="00F86E27" w:rsidR="00687B85">
        <w:t>railroads under 49</w:t>
      </w:r>
      <w:r w:rsidRPr="00F86E27" w:rsidR="00884691">
        <w:t> </w:t>
      </w:r>
      <w:r w:rsidRPr="00F86E27" w:rsidR="00687B85">
        <w:t>U.S.C. § 11145, is used in the following contexts:  abandonments (49 U.S.C. § 10903); mergers, acquisition of control, an</w:t>
      </w:r>
      <w:r w:rsidRPr="00F86E27" w:rsidR="00D34BDF">
        <w:t xml:space="preserve">d consolidations (49 U.S.C. §§ </w:t>
      </w:r>
      <w:r w:rsidRPr="00F86E27" w:rsidR="00687B85">
        <w:t>11323-24); Uniform Rail Costing System (URCS) (49 U.S.C. §§ 11161-64); rail revenue adequacy proceedings (49</w:t>
      </w:r>
      <w:r w:rsidRPr="00F86E27" w:rsidR="00C30220">
        <w:t> </w:t>
      </w:r>
      <w:r w:rsidRPr="00F86E27" w:rsidR="00687B85">
        <w:t xml:space="preserve">U.S.C. § 10704(a)(2)); </w:t>
      </w:r>
      <w:r w:rsidRPr="00F86E27" w:rsidR="008B2698">
        <w:t>Rail Cost Adjustment Factor</w:t>
      </w:r>
      <w:r w:rsidRPr="00F86E27" w:rsidR="00687B85">
        <w:t xml:space="preserve"> (49 U.S.C. § 10708); and other rail cost studies, investigations, and rulemakings (49 U.S.C. §§ 10701, 10704(a)(1), 10705, 10707, 11701).</w:t>
      </w:r>
    </w:p>
    <w:p w:rsidRPr="00F86E27" w:rsidR="0004335C" w:rsidP="0055205B" w:rsidRDefault="0004335C" w14:paraId="75AB47B2" w14:textId="1C8DB27A">
      <w:pPr>
        <w:spacing w:before="120" w:after="120"/>
        <w:ind w:firstLine="1440"/>
        <w:contextualSpacing/>
      </w:pPr>
    </w:p>
    <w:p w:rsidRPr="00F86E27" w:rsidR="0004335C" w:rsidP="0055205B" w:rsidRDefault="0004335C" w14:paraId="46EA782A" w14:textId="5B3F691D">
      <w:pPr>
        <w:spacing w:before="120" w:after="120"/>
        <w:contextualSpacing/>
      </w:pPr>
      <w:r w:rsidRPr="00F86E27">
        <w:tab/>
        <w:t xml:space="preserve">2.  </w:t>
      </w:r>
      <w:r w:rsidRPr="00F86E27" w:rsidR="0037761C">
        <w:rPr>
          <w:u w:val="single"/>
        </w:rPr>
        <w:t>Use of Data Collected</w:t>
      </w:r>
      <w:r w:rsidRPr="00F86E27" w:rsidR="00FC4786">
        <w:t xml:space="preserve">.  </w:t>
      </w:r>
      <w:r w:rsidRPr="00F86E27">
        <w:t>The R-1 reports show operating expenses of the carriers, including those for right-of-way and structures, equipment, train and yard operations, and general and administrative expenses.  The reports are used by the Board, other Federal agencies, and industry groups</w:t>
      </w:r>
      <w:r w:rsidRPr="00F86E27" w:rsidR="00340689">
        <w:t xml:space="preserve"> </w:t>
      </w:r>
      <w:r w:rsidRPr="00F86E27">
        <w:t xml:space="preserve">to monitor and assess railroad industry growth, financial stability, traffic, and operations.  </w:t>
      </w:r>
    </w:p>
    <w:p w:rsidRPr="00F86E27" w:rsidR="0004335C" w:rsidP="0055205B" w:rsidRDefault="0004335C" w14:paraId="2C10D0E1" w14:textId="77777777">
      <w:pPr>
        <w:spacing w:before="120" w:after="120"/>
        <w:contextualSpacing/>
      </w:pPr>
    </w:p>
    <w:p w:rsidRPr="00F86E27" w:rsidR="0004335C" w:rsidP="0055205B" w:rsidRDefault="0004335C" w14:paraId="1C2A179D" w14:textId="77777777">
      <w:pPr>
        <w:spacing w:before="120" w:after="120"/>
        <w:contextualSpacing/>
        <w:sectPr w:rsidRPr="00F86E27" w:rsidR="0004335C" w:rsidSect="00FB3F7F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Pr="00F86E27" w:rsidR="00B11089" w:rsidP="0055205B" w:rsidRDefault="00687B85" w14:paraId="15D8ADA4" w14:textId="78B43367">
      <w:pPr>
        <w:spacing w:before="120" w:after="120"/>
        <w:ind w:firstLine="720"/>
        <w:contextualSpacing/>
      </w:pPr>
      <w:r w:rsidRPr="00F86E27">
        <w:t xml:space="preserve">The Board uses data from the R-1 reports to more effectively carry out its statutory responsibilities, including acting on railroad requests for authority to engage in Board-regulated </w:t>
      </w:r>
      <w:r w:rsidRPr="00F86E27" w:rsidR="0004335C">
        <w:t xml:space="preserve">financial transactions such as mergers, acquisitions of control, consolidations, and abandonments; conducting proceedings to determine whether rail revenues are adequate; developing an index known as the rail cost adjustment factor; and conducting other investigations as well as rulemakings.  In addition, </w:t>
      </w:r>
      <w:r w:rsidRPr="00F86E27" w:rsidR="0095041A">
        <w:t xml:space="preserve">certain </w:t>
      </w:r>
      <w:r w:rsidRPr="00F86E27" w:rsidR="0004335C">
        <w:t>information from this report is entered into the Board</w:t>
      </w:r>
      <w:r w:rsidRPr="00F86E27" w:rsidR="0079449A">
        <w:t>’</w:t>
      </w:r>
      <w:r w:rsidRPr="00F86E27" w:rsidR="0004335C">
        <w:t>s U</w:t>
      </w:r>
      <w:r w:rsidRPr="00F86E27" w:rsidR="004538C0">
        <w:t>RCS</w:t>
      </w:r>
      <w:r w:rsidRPr="00F86E27" w:rsidR="0004335C">
        <w:t xml:space="preserve"> Costing System, which is a cost measurement methodology developed by the Board pursuant to 49 U.S.C. §§ 11161-62 and used as a tool in rail rate proceedings to calculate the variable costs associated with providing a particular service.</w:t>
      </w:r>
      <w:r w:rsidRPr="00F86E27" w:rsidR="001903E8">
        <w:t xml:space="preserve"> </w:t>
      </w:r>
    </w:p>
    <w:p w:rsidRPr="00F86E27" w:rsidR="00B11089" w:rsidP="0055205B" w:rsidRDefault="00B11089" w14:paraId="348A2A9F" w14:textId="77777777">
      <w:pPr>
        <w:spacing w:before="120" w:after="120"/>
        <w:ind w:firstLine="720"/>
        <w:contextualSpacing/>
      </w:pPr>
    </w:p>
    <w:p w:rsidRPr="00F86E27" w:rsidR="0004335C" w:rsidP="0055205B" w:rsidRDefault="0004335C" w14:paraId="3391D886" w14:textId="1C79C8CC">
      <w:pPr>
        <w:spacing w:before="120" w:after="120"/>
        <w:ind w:firstLine="720"/>
        <w:contextualSpacing/>
      </w:pPr>
      <w:r w:rsidRPr="00F86E27">
        <w:t xml:space="preserve">3.  </w:t>
      </w:r>
      <w:r w:rsidRPr="00F86E27" w:rsidR="0037761C">
        <w:rPr>
          <w:u w:val="single"/>
        </w:rPr>
        <w:t>Reduction through Improved Technology</w:t>
      </w:r>
      <w:r w:rsidRPr="00F86E27" w:rsidR="00FC4786">
        <w:t xml:space="preserve">.  </w:t>
      </w:r>
      <w:r w:rsidRPr="00F86E27" w:rsidR="00617942">
        <w:t xml:space="preserve">The railroads submit this report electronically in Excel spreadsheet format.  </w:t>
      </w:r>
      <w:r w:rsidRPr="00F86E27" w:rsidR="00072D26">
        <w:t>In addition, as required by statute, carriers</w:t>
      </w:r>
      <w:r w:rsidRPr="00F86E27">
        <w:t xml:space="preserve"> submit </w:t>
      </w:r>
      <w:r w:rsidRPr="00F86E27" w:rsidR="00072D26">
        <w:t>a signed and notarized</w:t>
      </w:r>
      <w:r w:rsidRPr="00F86E27">
        <w:t xml:space="preserve"> hard copy</w:t>
      </w:r>
      <w:r w:rsidRPr="00F86E27" w:rsidR="00072D26">
        <w:t xml:space="preserve"> of this report</w:t>
      </w:r>
      <w:r w:rsidRPr="00F86E27">
        <w:t xml:space="preserve"> to the Board.  </w:t>
      </w:r>
    </w:p>
    <w:p w:rsidRPr="00F86E27" w:rsidR="0004335C" w:rsidP="0055205B" w:rsidRDefault="0004335C" w14:paraId="7D2C6072" w14:textId="77777777">
      <w:pPr>
        <w:spacing w:before="120" w:after="120"/>
        <w:contextualSpacing/>
      </w:pPr>
    </w:p>
    <w:p w:rsidRPr="00F86E27" w:rsidR="0004335C" w:rsidP="0055205B" w:rsidRDefault="0004335C" w14:paraId="2A7CF877" w14:textId="5B9B4864">
      <w:pPr>
        <w:spacing w:before="120" w:after="120"/>
        <w:ind w:firstLine="720"/>
        <w:contextualSpacing/>
      </w:pPr>
      <w:r w:rsidRPr="00F86E27">
        <w:t xml:space="preserve">4.  </w:t>
      </w:r>
      <w:r w:rsidRPr="00F86E27" w:rsidR="00FC4786">
        <w:rPr>
          <w:u w:val="single"/>
        </w:rPr>
        <w:t xml:space="preserve">Identification of </w:t>
      </w:r>
      <w:r w:rsidRPr="00F86E27" w:rsidR="0037761C">
        <w:rPr>
          <w:u w:val="single"/>
        </w:rPr>
        <w:t>D</w:t>
      </w:r>
      <w:r w:rsidRPr="00F86E27" w:rsidR="00FC4786">
        <w:rPr>
          <w:u w:val="single"/>
        </w:rPr>
        <w:t>uplication</w:t>
      </w:r>
      <w:r w:rsidRPr="00F86E27" w:rsidR="00FC4786">
        <w:t xml:space="preserve">.  </w:t>
      </w:r>
      <w:r w:rsidRPr="00F86E27" w:rsidR="00CA5AB2">
        <w:t xml:space="preserve">No other Federal agency has economic regulatory authority over freight rail transportation.  </w:t>
      </w:r>
      <w:r w:rsidRPr="00F86E27" w:rsidR="006D25F2">
        <w:rPr>
          <w:color w:val="000000"/>
        </w:rPr>
        <w:t>Therefore</w:t>
      </w:r>
      <w:r w:rsidRPr="00F86E27" w:rsidR="004538C0">
        <w:rPr>
          <w:color w:val="000000"/>
        </w:rPr>
        <w:t>,</w:t>
      </w:r>
      <w:r w:rsidRPr="00F86E27" w:rsidR="006D25F2">
        <w:rPr>
          <w:color w:val="000000"/>
        </w:rPr>
        <w:t xml:space="preserve"> </w:t>
      </w:r>
      <w:r w:rsidRPr="00F86E27" w:rsidR="00CA5AB2">
        <w:t xml:space="preserve">no </w:t>
      </w:r>
      <w:r w:rsidRPr="00F86E27">
        <w:t>other Federal agency col</w:t>
      </w:r>
      <w:r w:rsidRPr="00F86E27" w:rsidR="007B51F1">
        <w:t>lects the</w:t>
      </w:r>
      <w:r w:rsidRPr="00F86E27" w:rsidR="006D25F2">
        <w:t xml:space="preserve"> majority of the</w:t>
      </w:r>
      <w:r w:rsidRPr="00F86E27" w:rsidR="007B51F1">
        <w:t xml:space="preserve"> information in this</w:t>
      </w:r>
      <w:r w:rsidRPr="00F86E27">
        <w:t xml:space="preserve"> report, nor is </w:t>
      </w:r>
      <w:r w:rsidRPr="00F86E27" w:rsidR="006D25F2">
        <w:t>such</w:t>
      </w:r>
      <w:r w:rsidRPr="00F86E27">
        <w:t xml:space="preserve"> information available from any other source</w:t>
      </w:r>
      <w:r w:rsidRPr="00F86E27" w:rsidR="006D25F2">
        <w:t xml:space="preserve">.  </w:t>
      </w:r>
      <w:r w:rsidRPr="00F86E27" w:rsidR="006D25F2">
        <w:rPr>
          <w:color w:val="000000"/>
        </w:rPr>
        <w:t xml:space="preserve">(To the extent that a small portion of this information is also collected by the </w:t>
      </w:r>
      <w:r w:rsidRPr="00F86E27" w:rsidR="00365C8B">
        <w:rPr>
          <w:color w:val="000000"/>
        </w:rPr>
        <w:t xml:space="preserve">U.S. </w:t>
      </w:r>
      <w:r w:rsidRPr="00F86E27" w:rsidR="006D25F2">
        <w:rPr>
          <w:color w:val="000000"/>
        </w:rPr>
        <w:t>S</w:t>
      </w:r>
      <w:r w:rsidRPr="00F86E27" w:rsidR="00365C8B">
        <w:rPr>
          <w:color w:val="000000"/>
        </w:rPr>
        <w:t xml:space="preserve">ecurities and </w:t>
      </w:r>
      <w:r w:rsidRPr="00F86E27" w:rsidR="006D25F2">
        <w:rPr>
          <w:color w:val="000000"/>
        </w:rPr>
        <w:t>E</w:t>
      </w:r>
      <w:r w:rsidRPr="00F86E27" w:rsidR="00365C8B">
        <w:rPr>
          <w:color w:val="000000"/>
        </w:rPr>
        <w:t xml:space="preserve">xchange </w:t>
      </w:r>
      <w:r w:rsidRPr="00F86E27" w:rsidR="006D25F2">
        <w:rPr>
          <w:color w:val="000000"/>
        </w:rPr>
        <w:t>C</w:t>
      </w:r>
      <w:r w:rsidRPr="00F86E27" w:rsidR="00365C8B">
        <w:rPr>
          <w:color w:val="000000"/>
        </w:rPr>
        <w:t>ommission</w:t>
      </w:r>
      <w:r w:rsidRPr="00F86E27" w:rsidR="006D25F2">
        <w:rPr>
          <w:color w:val="000000"/>
        </w:rPr>
        <w:t xml:space="preserve">, it is not collected in a format that </w:t>
      </w:r>
      <w:r w:rsidRPr="00F86E27" w:rsidR="009C2715">
        <w:rPr>
          <w:color w:val="000000"/>
        </w:rPr>
        <w:t xml:space="preserve">is </w:t>
      </w:r>
      <w:r w:rsidRPr="00F86E27" w:rsidR="006D25F2">
        <w:rPr>
          <w:color w:val="000000"/>
        </w:rPr>
        <w:t>useful to the Board.)</w:t>
      </w:r>
      <w:r w:rsidRPr="00F86E27" w:rsidR="0079449A">
        <w:t xml:space="preserve"> </w:t>
      </w:r>
      <w:r w:rsidRPr="00F86E27" w:rsidR="006D25F2">
        <w:t xml:space="preserve"> Therefore, </w:t>
      </w:r>
      <w:r w:rsidRPr="00F86E27" w:rsidR="007F794D">
        <w:t xml:space="preserve">there </w:t>
      </w:r>
      <w:r w:rsidRPr="00F86E27" w:rsidR="009C2715">
        <w:t xml:space="preserve">is </w:t>
      </w:r>
      <w:r w:rsidRPr="00F86E27">
        <w:t xml:space="preserve">no duplication of information.  In most instances, the information sought is unique to each carrier. </w:t>
      </w:r>
    </w:p>
    <w:p w:rsidRPr="00F86E27" w:rsidR="0004335C" w:rsidP="0055205B" w:rsidRDefault="0004335C" w14:paraId="1754BB3C" w14:textId="77777777">
      <w:pPr>
        <w:spacing w:before="120" w:after="120"/>
        <w:contextualSpacing/>
      </w:pPr>
    </w:p>
    <w:p w:rsidRPr="00F86E27" w:rsidR="0004335C" w:rsidP="0055205B" w:rsidRDefault="0004335C" w14:paraId="289FA3A5" w14:textId="1779DE43">
      <w:pPr>
        <w:spacing w:before="120" w:after="120"/>
        <w:ind w:firstLine="720"/>
        <w:contextualSpacing/>
      </w:pPr>
      <w:r w:rsidRPr="00F86E27">
        <w:t xml:space="preserve">5.  </w:t>
      </w:r>
      <w:r w:rsidRPr="00F86E27" w:rsidR="00F32498">
        <w:rPr>
          <w:u w:val="single"/>
        </w:rPr>
        <w:t>Minimizing Burden for Small Business</w:t>
      </w:r>
      <w:r w:rsidRPr="00F86E27" w:rsidR="00FC4786">
        <w:t xml:space="preserve">.  </w:t>
      </w:r>
      <w:r w:rsidRPr="00F86E27">
        <w:t xml:space="preserve">No small entities </w:t>
      </w:r>
      <w:r w:rsidRPr="00F86E27" w:rsidR="009C2715">
        <w:t xml:space="preserve">will </w:t>
      </w:r>
      <w:r w:rsidRPr="00F86E27">
        <w:t xml:space="preserve">be affected by the collection of this information.  </w:t>
      </w:r>
      <w:r w:rsidRPr="00F86E27" w:rsidR="00BC1539">
        <w:t xml:space="preserve">This reporting requirement applies only to </w:t>
      </w:r>
      <w:r w:rsidRPr="00F86E27" w:rsidR="004B3F24">
        <w:t>Class I railroads, which, under the Board’s regulations, have annual carrier operating revenues of $250 million or more in 1991 dollars (adjusted for inflation</w:t>
      </w:r>
      <w:r w:rsidRPr="00F86E27" w:rsidR="004B3F24">
        <w:rPr>
          <w:color w:val="000000"/>
        </w:rPr>
        <w:t xml:space="preserve"> using 201</w:t>
      </w:r>
      <w:r w:rsidR="008F2593">
        <w:rPr>
          <w:color w:val="000000"/>
        </w:rPr>
        <w:t>5</w:t>
      </w:r>
      <w:r w:rsidRPr="00F86E27" w:rsidR="004B3F24">
        <w:rPr>
          <w:color w:val="000000"/>
        </w:rPr>
        <w:t xml:space="preserve"> data</w:t>
      </w:r>
      <w:r w:rsidRPr="00F86E27" w:rsidR="004B3F24">
        <w:t xml:space="preserve">, the revenue threshold for a Class I rail carrier </w:t>
      </w:r>
      <w:r w:rsidRPr="00F86E27" w:rsidR="004B3F24">
        <w:rPr>
          <w:color w:val="000000"/>
        </w:rPr>
        <w:t xml:space="preserve">is </w:t>
      </w:r>
      <w:r w:rsidRPr="00F86E27" w:rsidR="007F794D">
        <w:rPr>
          <w:bCs/>
          <w:iCs/>
          <w:color w:val="000000"/>
        </w:rPr>
        <w:t>$4</w:t>
      </w:r>
      <w:r w:rsidR="008F2593">
        <w:rPr>
          <w:bCs/>
          <w:iCs/>
          <w:color w:val="000000"/>
        </w:rPr>
        <w:t>57</w:t>
      </w:r>
      <w:r w:rsidRPr="00F86E27" w:rsidR="00896C73">
        <w:rPr>
          <w:bCs/>
          <w:iCs/>
          <w:color w:val="000000"/>
        </w:rPr>
        <w:t>,</w:t>
      </w:r>
      <w:r w:rsidR="008F2593">
        <w:rPr>
          <w:bCs/>
          <w:iCs/>
          <w:color w:val="000000"/>
        </w:rPr>
        <w:t>913</w:t>
      </w:r>
      <w:r w:rsidRPr="00F86E27" w:rsidR="00896C73">
        <w:rPr>
          <w:bCs/>
          <w:iCs/>
          <w:color w:val="000000"/>
        </w:rPr>
        <w:t>,</w:t>
      </w:r>
      <w:r w:rsidR="008F2593">
        <w:rPr>
          <w:bCs/>
          <w:iCs/>
          <w:color w:val="000000"/>
        </w:rPr>
        <w:t>998</w:t>
      </w:r>
      <w:r w:rsidRPr="00F86E27" w:rsidR="004B3F24">
        <w:rPr>
          <w:color w:val="000000"/>
        </w:rPr>
        <w:t>)</w:t>
      </w:r>
      <w:r w:rsidRPr="00F86E27" w:rsidR="004B3F24">
        <w:t xml:space="preserve">.  </w:t>
      </w:r>
      <w:r w:rsidRPr="00F86E27">
        <w:t xml:space="preserve">The Board has adopted an indexing methodology </w:t>
      </w:r>
      <w:r w:rsidRPr="00F86E27" w:rsidR="009C2715">
        <w:t>to</w:t>
      </w:r>
      <w:r w:rsidRPr="00F86E27">
        <w:t xml:space="preserve"> ensure that regulated carriers are classified based on real business expansion, rather than the effects of inflation. </w:t>
      </w:r>
    </w:p>
    <w:p w:rsidRPr="00F86E27" w:rsidR="0004335C" w:rsidP="0055205B" w:rsidRDefault="0004335C" w14:paraId="0F55C949" w14:textId="77777777">
      <w:pPr>
        <w:spacing w:before="120" w:after="120"/>
        <w:contextualSpacing/>
      </w:pPr>
    </w:p>
    <w:p w:rsidRPr="00F86E27" w:rsidR="0004335C" w:rsidP="0055205B" w:rsidRDefault="0004335C" w14:paraId="4C9E2617" w14:textId="053B8FF4">
      <w:pPr>
        <w:spacing w:before="120" w:after="120"/>
        <w:ind w:firstLine="720"/>
        <w:contextualSpacing/>
      </w:pPr>
      <w:r w:rsidRPr="00F86E27">
        <w:t xml:space="preserve">6.  </w:t>
      </w:r>
      <w:r w:rsidRPr="00F86E27" w:rsidR="00F32498">
        <w:rPr>
          <w:u w:val="single"/>
        </w:rPr>
        <w:t>Consequences if Collection not Conducted or Conducted Less Frequently</w:t>
      </w:r>
      <w:r w:rsidRPr="00F86E27" w:rsidR="00F32498">
        <w:t>.</w:t>
      </w:r>
      <w:r w:rsidRPr="00F86E27" w:rsidR="00FC4786">
        <w:t xml:space="preserve">  </w:t>
      </w:r>
      <w:r w:rsidRPr="00F86E27" w:rsidR="0056106D">
        <w:t>Under 49</w:t>
      </w:r>
      <w:r w:rsidRPr="00F86E27" w:rsidR="0029740E">
        <w:t> </w:t>
      </w:r>
      <w:r w:rsidRPr="00F86E27" w:rsidR="0056106D">
        <w:t>U.S.C. § 11145, Class I railroads must file Annual Reports.  Without this annual collection, the Board</w:t>
      </w:r>
      <w:r w:rsidRPr="00F86E27" w:rsidR="00300299">
        <w:t xml:space="preserve">’s ability to </w:t>
      </w:r>
      <w:r w:rsidRPr="00F86E27" w:rsidR="0056106D">
        <w:t>accurately and efficiently fulfill its statutory responsibilities</w:t>
      </w:r>
      <w:r w:rsidRPr="00F86E27" w:rsidR="00300299">
        <w:t xml:space="preserve"> would be diminished</w:t>
      </w:r>
      <w:r w:rsidRPr="00F86E27" w:rsidR="0056106D">
        <w:t>.</w:t>
      </w:r>
    </w:p>
    <w:p w:rsidRPr="00F86E27" w:rsidR="0056106D" w:rsidP="0055205B" w:rsidRDefault="0056106D" w14:paraId="7765412D" w14:textId="77777777">
      <w:pPr>
        <w:spacing w:before="120" w:after="120"/>
        <w:ind w:firstLine="720"/>
        <w:contextualSpacing/>
      </w:pPr>
    </w:p>
    <w:p w:rsidRPr="00F86E27" w:rsidR="0004335C" w:rsidP="0055205B" w:rsidRDefault="0004335C" w14:paraId="6A282D73" w14:textId="45918DCA">
      <w:pPr>
        <w:spacing w:before="120" w:after="120"/>
        <w:ind w:firstLine="720"/>
        <w:contextualSpacing/>
      </w:pPr>
      <w:r w:rsidRPr="00F86E27">
        <w:t xml:space="preserve">7.  </w:t>
      </w:r>
      <w:r w:rsidRPr="00F86E27" w:rsidR="00FC4786">
        <w:rPr>
          <w:u w:val="single"/>
        </w:rPr>
        <w:t xml:space="preserve">Special </w:t>
      </w:r>
      <w:r w:rsidRPr="00F86E27" w:rsidR="00DD6DC8">
        <w:rPr>
          <w:u w:val="single"/>
        </w:rPr>
        <w:t>C</w:t>
      </w:r>
      <w:r w:rsidRPr="00F86E27" w:rsidR="00FC4786">
        <w:rPr>
          <w:u w:val="single"/>
        </w:rPr>
        <w:t>ircumstances</w:t>
      </w:r>
      <w:r w:rsidRPr="00F86E27" w:rsidR="00FC4786">
        <w:t xml:space="preserve">.  </w:t>
      </w:r>
      <w:r w:rsidRPr="00F86E27">
        <w:t>No special circumstances apply to this collection.</w:t>
      </w:r>
    </w:p>
    <w:p w:rsidRPr="00F86E27" w:rsidR="0004335C" w:rsidP="0055205B" w:rsidRDefault="0004335C" w14:paraId="2264809A" w14:textId="77777777">
      <w:pPr>
        <w:spacing w:before="120" w:after="120"/>
        <w:contextualSpacing/>
      </w:pPr>
    </w:p>
    <w:p w:rsidRPr="00F86E27" w:rsidR="00F32498" w:rsidP="0055205B" w:rsidRDefault="0004335C" w14:paraId="6DC3EF99" w14:textId="0EC8831E">
      <w:pPr>
        <w:spacing w:before="120" w:after="120"/>
        <w:ind w:firstLine="720"/>
        <w:contextualSpacing/>
      </w:pPr>
      <w:r w:rsidRPr="00F86E27">
        <w:t xml:space="preserve">8.  </w:t>
      </w:r>
      <w:r w:rsidRPr="00F86E27" w:rsidR="00F32498">
        <w:rPr>
          <w:u w:val="single"/>
        </w:rPr>
        <w:t>Consultation with Outside Agency</w:t>
      </w:r>
      <w:r w:rsidRPr="00F86E27" w:rsidR="006D4985">
        <w:t>.  The Board published a 60-day notice requesting comments on this collection at 8</w:t>
      </w:r>
      <w:r w:rsidR="00D53428">
        <w:t>4</w:t>
      </w:r>
      <w:r w:rsidRPr="00F86E27" w:rsidR="006D4985">
        <w:t xml:space="preserve"> Fed. Reg. </w:t>
      </w:r>
      <w:r w:rsidR="00D53428">
        <w:t>48205</w:t>
      </w:r>
      <w:r w:rsidRPr="00F86E27" w:rsidR="006D4985">
        <w:t xml:space="preserve"> (</w:t>
      </w:r>
      <w:r w:rsidR="00D53428">
        <w:t>September 12, 2019</w:t>
      </w:r>
      <w:r w:rsidRPr="00F86E27" w:rsidR="006D4985">
        <w:t xml:space="preserve">).  No comments were received.  The Board has also published a 30-day notice that comments about this collection be sent to OMB.  </w:t>
      </w:r>
      <w:r w:rsidRPr="00F86E27" w:rsidR="006D4985">
        <w:rPr>
          <w:u w:val="single"/>
        </w:rPr>
        <w:t>See</w:t>
      </w:r>
      <w:r w:rsidRPr="00F86E27" w:rsidR="006D4985">
        <w:t xml:space="preserve"> 8</w:t>
      </w:r>
      <w:r w:rsidR="00A3722B">
        <w:t>4</w:t>
      </w:r>
      <w:r w:rsidRPr="00F86E27" w:rsidR="006D4985">
        <w:t xml:space="preserve"> Fed. Reg. </w:t>
      </w:r>
      <w:r w:rsidR="005F1A94">
        <w:t xml:space="preserve">65881 </w:t>
      </w:r>
      <w:r w:rsidR="000865F6">
        <w:t>(November</w:t>
      </w:r>
      <w:r w:rsidR="005F1A94">
        <w:t xml:space="preserve"> 29</w:t>
      </w:r>
      <w:r w:rsidR="000865F6">
        <w:t>, 2019)</w:t>
      </w:r>
      <w:r w:rsidRPr="00F86E27" w:rsidR="006D4985">
        <w:t xml:space="preserve">.  </w:t>
      </w:r>
      <w:r w:rsidRPr="00F86E27" w:rsidR="00FC4786">
        <w:t xml:space="preserve"> </w:t>
      </w:r>
    </w:p>
    <w:p w:rsidRPr="00F86E27" w:rsidR="00F32498" w:rsidP="0055205B" w:rsidRDefault="00F32498" w14:paraId="6F4603AA" w14:textId="77777777">
      <w:pPr>
        <w:spacing w:before="120" w:after="120"/>
        <w:ind w:firstLine="720"/>
        <w:contextualSpacing/>
      </w:pPr>
    </w:p>
    <w:p w:rsidRPr="00F86E27" w:rsidR="0004335C" w:rsidP="0055205B" w:rsidRDefault="0004335C" w14:paraId="2454055A" w14:textId="038B2ED0">
      <w:pPr>
        <w:spacing w:before="120" w:after="120"/>
        <w:ind w:firstLine="720"/>
        <w:contextualSpacing/>
      </w:pPr>
      <w:r w:rsidRPr="00F86E27">
        <w:t xml:space="preserve">9.  </w:t>
      </w:r>
      <w:r w:rsidRPr="00F86E27" w:rsidR="00BC044A">
        <w:rPr>
          <w:u w:val="single"/>
        </w:rPr>
        <w:t>Payments o</w:t>
      </w:r>
      <w:r w:rsidRPr="00F86E27" w:rsidR="00F32498">
        <w:rPr>
          <w:u w:val="single"/>
        </w:rPr>
        <w:t>r G</w:t>
      </w:r>
      <w:r w:rsidRPr="00F86E27" w:rsidR="00FC4786">
        <w:rPr>
          <w:u w:val="single"/>
        </w:rPr>
        <w:t>ifts</w:t>
      </w:r>
      <w:r w:rsidRPr="00F86E27" w:rsidR="00FC4786">
        <w:t xml:space="preserve">.  </w:t>
      </w:r>
      <w:r w:rsidRPr="00F86E27">
        <w:t>The Board does not provide any payment or gift</w:t>
      </w:r>
      <w:r w:rsidRPr="00F86E27" w:rsidR="006D4985">
        <w:t>s</w:t>
      </w:r>
      <w:r w:rsidRPr="00F86E27">
        <w:t xml:space="preserve"> </w:t>
      </w:r>
      <w:r w:rsidRPr="00F86E27" w:rsidR="006D4985">
        <w:t>for this collection</w:t>
      </w:r>
      <w:r w:rsidRPr="00F86E27">
        <w:t>.</w:t>
      </w:r>
    </w:p>
    <w:p w:rsidRPr="00F86E27" w:rsidR="0004335C" w:rsidP="0055205B" w:rsidRDefault="0004335C" w14:paraId="465E1840" w14:textId="77777777">
      <w:pPr>
        <w:spacing w:before="120" w:after="120"/>
        <w:contextualSpacing/>
      </w:pPr>
    </w:p>
    <w:p w:rsidRPr="00F86E27" w:rsidR="0004335C" w:rsidP="0055205B" w:rsidRDefault="0004335C" w14:paraId="22D51ED3" w14:textId="711171B4">
      <w:pPr>
        <w:spacing w:before="120" w:after="120"/>
        <w:ind w:firstLine="720"/>
        <w:contextualSpacing/>
      </w:pPr>
      <w:r w:rsidRPr="00F86E27">
        <w:t xml:space="preserve">10.  </w:t>
      </w:r>
      <w:r w:rsidRPr="00F86E27" w:rsidR="00F32498">
        <w:rPr>
          <w:u w:val="single"/>
        </w:rPr>
        <w:t>Assurance of C</w:t>
      </w:r>
      <w:r w:rsidRPr="00F86E27" w:rsidR="00FC4786">
        <w:rPr>
          <w:u w:val="single"/>
        </w:rPr>
        <w:t>onfidentiality</w:t>
      </w:r>
      <w:r w:rsidRPr="00F86E27" w:rsidR="00FC4786">
        <w:t xml:space="preserve">.  </w:t>
      </w:r>
      <w:r w:rsidRPr="00F86E27">
        <w:t xml:space="preserve">All information collected through this report is available to the public.  </w:t>
      </w:r>
    </w:p>
    <w:p w:rsidRPr="00F86E27" w:rsidR="0004335C" w:rsidP="0055205B" w:rsidRDefault="0004335C" w14:paraId="650C5ABE" w14:textId="77777777">
      <w:pPr>
        <w:spacing w:before="120" w:after="120"/>
        <w:contextualSpacing/>
      </w:pPr>
    </w:p>
    <w:p w:rsidRPr="00F86E27" w:rsidR="0004335C" w:rsidP="0055205B" w:rsidRDefault="0004335C" w14:paraId="26021FEA" w14:textId="58AE657E">
      <w:pPr>
        <w:spacing w:before="120" w:after="120"/>
        <w:ind w:firstLine="720"/>
        <w:contextualSpacing/>
      </w:pPr>
      <w:r w:rsidRPr="00F86E27">
        <w:t xml:space="preserve">11.  </w:t>
      </w:r>
      <w:r w:rsidRPr="00F86E27" w:rsidR="00F32498">
        <w:rPr>
          <w:u w:val="single"/>
        </w:rPr>
        <w:t>S</w:t>
      </w:r>
      <w:r w:rsidRPr="00F86E27" w:rsidR="00FC4786">
        <w:rPr>
          <w:u w:val="single"/>
        </w:rPr>
        <w:t xml:space="preserve">ensitive </w:t>
      </w:r>
      <w:r w:rsidRPr="00F86E27" w:rsidR="00F32498">
        <w:rPr>
          <w:u w:val="single"/>
        </w:rPr>
        <w:t>I</w:t>
      </w:r>
      <w:r w:rsidRPr="00F86E27" w:rsidR="00FC4786">
        <w:rPr>
          <w:u w:val="single"/>
        </w:rPr>
        <w:t>nformation</w:t>
      </w:r>
      <w:r w:rsidRPr="00F86E27" w:rsidR="00FC4786">
        <w:t xml:space="preserve">.  </w:t>
      </w:r>
      <w:r w:rsidRPr="00F86E27">
        <w:t>This collection contains no information of a sensitive nature.</w:t>
      </w:r>
    </w:p>
    <w:p w:rsidRPr="00F86E27" w:rsidR="0004335C" w:rsidP="0055205B" w:rsidRDefault="0004335C" w14:paraId="3A8F1545" w14:textId="77777777">
      <w:pPr>
        <w:spacing w:before="120" w:after="120"/>
        <w:contextualSpacing/>
      </w:pPr>
    </w:p>
    <w:p w:rsidR="0079449A" w:rsidP="0055205B" w:rsidRDefault="0004335C" w14:paraId="12BC0029" w14:textId="78858FB2">
      <w:pPr>
        <w:spacing w:before="120" w:after="120"/>
        <w:ind w:firstLine="720"/>
        <w:contextualSpacing/>
      </w:pPr>
      <w:r w:rsidRPr="00F86E27">
        <w:t xml:space="preserve">12.  </w:t>
      </w:r>
      <w:r w:rsidRPr="00F86E27" w:rsidR="00FC4786">
        <w:rPr>
          <w:u w:val="single"/>
        </w:rPr>
        <w:t>Estimat</w:t>
      </w:r>
      <w:r w:rsidRPr="00F86E27" w:rsidR="00F32498">
        <w:rPr>
          <w:u w:val="single"/>
        </w:rPr>
        <w:t>ed B</w:t>
      </w:r>
      <w:r w:rsidRPr="00F86E27" w:rsidR="00FC4786">
        <w:rPr>
          <w:u w:val="single"/>
        </w:rPr>
        <w:t xml:space="preserve">urden </w:t>
      </w:r>
      <w:r w:rsidRPr="00F86E27" w:rsidR="00F32498">
        <w:rPr>
          <w:u w:val="single"/>
        </w:rPr>
        <w:t>H</w:t>
      </w:r>
      <w:r w:rsidRPr="00F86E27" w:rsidR="00FC4786">
        <w:rPr>
          <w:u w:val="single"/>
        </w:rPr>
        <w:t>ours</w:t>
      </w:r>
      <w:r w:rsidRPr="00F86E27" w:rsidR="00FC4786">
        <w:t xml:space="preserve">.  </w:t>
      </w:r>
      <w:r w:rsidRPr="00F86E27" w:rsidR="0079449A">
        <w:t>The following information pertains to the estimate of burden hours associated with this collection:</w:t>
      </w:r>
    </w:p>
    <w:p w:rsidRPr="00F86E27" w:rsidR="0055205B" w:rsidP="0055205B" w:rsidRDefault="0055205B" w14:paraId="36E68618" w14:textId="77777777">
      <w:pPr>
        <w:spacing w:before="120" w:after="120"/>
        <w:ind w:firstLine="720"/>
        <w:contextualSpacing/>
      </w:pPr>
    </w:p>
    <w:p w:rsidR="0079449A" w:rsidP="0055205B" w:rsidRDefault="0079449A" w14:paraId="32B92518" w14:textId="6D24E3B1">
      <w:pPr>
        <w:spacing w:before="120" w:after="120"/>
        <w:ind w:firstLine="720"/>
        <w:contextualSpacing/>
      </w:pPr>
      <w:r w:rsidRPr="00F86E27">
        <w:rPr>
          <w:u w:val="single"/>
        </w:rPr>
        <w:t>Number of respondents</w:t>
      </w:r>
      <w:r w:rsidRPr="00F86E27">
        <w:t>:</w:t>
      </w:r>
      <w:r w:rsidRPr="00F86E27" w:rsidR="007B2A89">
        <w:t xml:space="preserve"> </w:t>
      </w:r>
      <w:r w:rsidRPr="00F86E27">
        <w:t xml:space="preserve"> </w:t>
      </w:r>
      <w:r w:rsidR="0055205B">
        <w:t>Seven</w:t>
      </w:r>
    </w:p>
    <w:p w:rsidRPr="00F86E27" w:rsidR="0055205B" w:rsidP="0055205B" w:rsidRDefault="0055205B" w14:paraId="3350D73D" w14:textId="77777777">
      <w:pPr>
        <w:spacing w:before="120" w:after="120"/>
        <w:ind w:firstLine="720"/>
        <w:contextualSpacing/>
      </w:pPr>
    </w:p>
    <w:p w:rsidR="0079449A" w:rsidP="0055205B" w:rsidRDefault="0079449A" w14:paraId="000CF2BF" w14:textId="485F9933">
      <w:pPr>
        <w:spacing w:before="120" w:after="120"/>
        <w:ind w:firstLine="720"/>
        <w:contextualSpacing/>
      </w:pPr>
      <w:r w:rsidRPr="00F86E27">
        <w:rPr>
          <w:u w:val="single"/>
        </w:rPr>
        <w:t>Frequency of response</w:t>
      </w:r>
      <w:r w:rsidRPr="00F86E27" w:rsidR="006D4985">
        <w:t>:  A</w:t>
      </w:r>
      <w:r w:rsidRPr="00F86E27">
        <w:t>nnual</w:t>
      </w:r>
    </w:p>
    <w:p w:rsidR="0055205B" w:rsidP="0055205B" w:rsidRDefault="0055205B" w14:paraId="00102013" w14:textId="77777777">
      <w:pPr>
        <w:spacing w:before="120" w:after="120"/>
        <w:contextualSpacing/>
      </w:pPr>
    </w:p>
    <w:p w:rsidRPr="00F86E27" w:rsidR="0004335C" w:rsidP="0055205B" w:rsidRDefault="008670AE" w14:paraId="1E2FD9ED" w14:textId="274AE200">
      <w:pPr>
        <w:spacing w:before="120" w:after="120"/>
        <w:ind w:firstLine="720"/>
        <w:contextualSpacing/>
      </w:pPr>
      <w:r w:rsidRPr="00F86E27">
        <w:rPr>
          <w:u w:val="single"/>
        </w:rPr>
        <w:t xml:space="preserve">Annual </w:t>
      </w:r>
      <w:r w:rsidRPr="00F86E27" w:rsidR="00DD6DC8">
        <w:rPr>
          <w:u w:val="single"/>
        </w:rPr>
        <w:t xml:space="preserve">hour </w:t>
      </w:r>
      <w:r w:rsidRPr="00F86E27">
        <w:rPr>
          <w:u w:val="single"/>
        </w:rPr>
        <w:t xml:space="preserve">burden per respondent and total </w:t>
      </w:r>
      <w:r w:rsidRPr="00F86E27" w:rsidR="00DD6DC8">
        <w:rPr>
          <w:u w:val="single"/>
        </w:rPr>
        <w:t>for all respondents</w:t>
      </w:r>
      <w:r w:rsidRPr="00F86E27">
        <w:t xml:space="preserve">.  </w:t>
      </w:r>
      <w:r w:rsidR="0055205B">
        <w:t xml:space="preserve">No more than 250 hours per respondent carrier.  This estimate includes time spent reviewing instructions; searching </w:t>
      </w:r>
      <w:r w:rsidR="0055205B">
        <w:lastRenderedPageBreak/>
        <w:t xml:space="preserve">existing data sources; gathering and maintaining the data needed; completing and reviewing the collection of information; and converting the data from the carrier’s individual accounting system to the Board’s Uniform System of Accounts, which ensures that the information will be presented in a consistent format across all reporting railroads.  </w:t>
      </w:r>
      <w:r w:rsidR="000865F6">
        <w:t>M</w:t>
      </w:r>
      <w:r w:rsidR="0055205B">
        <w:t xml:space="preserve">any of these functions have become automated and more routine through the respondents’ software programming.  </w:t>
      </w:r>
      <w:r w:rsidRPr="00F86E27" w:rsidR="00123F4D">
        <w:t>The total estimated annual burden hours for all</w:t>
      </w:r>
      <w:r w:rsidRPr="00F86E27" w:rsidR="00C45D99">
        <w:t xml:space="preserve"> </w:t>
      </w:r>
      <w:r w:rsidRPr="00F86E27" w:rsidR="00465FD5">
        <w:t>seven</w:t>
      </w:r>
      <w:r w:rsidRPr="00F86E27" w:rsidR="00D67DB9">
        <w:t xml:space="preserve"> carriers is</w:t>
      </w:r>
      <w:r w:rsidRPr="00F86E27" w:rsidR="00123F4D">
        <w:t xml:space="preserve"> therefore no more than </w:t>
      </w:r>
      <w:r w:rsidR="0055205B">
        <w:t>1,75</w:t>
      </w:r>
      <w:r w:rsidRPr="00F86E27" w:rsidR="00123F4D">
        <w:t>0 hours (</w:t>
      </w:r>
      <w:r w:rsidRPr="00F86E27" w:rsidR="00465FD5">
        <w:t>seven</w:t>
      </w:r>
      <w:r w:rsidRPr="00F86E27" w:rsidR="00123F4D">
        <w:t xml:space="preserve"> respondents X </w:t>
      </w:r>
      <w:r w:rsidR="0055205B">
        <w:t>250</w:t>
      </w:r>
      <w:r w:rsidRPr="00F86E27" w:rsidR="00123F4D">
        <w:t xml:space="preserve"> hours).  </w:t>
      </w:r>
    </w:p>
    <w:p w:rsidRPr="00F86E27" w:rsidR="0004335C" w:rsidP="0055205B" w:rsidRDefault="0004335C" w14:paraId="2CC8151E" w14:textId="77777777">
      <w:pPr>
        <w:spacing w:before="120" w:after="120"/>
        <w:contextualSpacing/>
      </w:pPr>
    </w:p>
    <w:p w:rsidRPr="00F86E27" w:rsidR="0004335C" w:rsidP="0055205B" w:rsidRDefault="0004335C" w14:paraId="0C371AD5" w14:textId="6F350894">
      <w:pPr>
        <w:spacing w:before="120" w:after="120"/>
        <w:ind w:firstLine="720"/>
        <w:contextualSpacing/>
        <w:rPr>
          <w:b/>
        </w:rPr>
      </w:pPr>
      <w:r w:rsidRPr="00F86E27">
        <w:t xml:space="preserve">13.  </w:t>
      </w:r>
      <w:r w:rsidRPr="00F86E27" w:rsidR="00F32498">
        <w:rPr>
          <w:u w:val="single"/>
        </w:rPr>
        <w:t>Estimated Total Annual Cost to Respondents</w:t>
      </w:r>
      <w:r w:rsidRPr="00F86E27">
        <w:t xml:space="preserve">:  </w:t>
      </w:r>
      <w:r w:rsidRPr="00F86E27" w:rsidR="00465FD5">
        <w:t>The respondent carriers are required by statute to submit a copy of the annual report</w:t>
      </w:r>
      <w:r w:rsidRPr="00F86E27" w:rsidR="00550BEC">
        <w:t>, signed under oath</w:t>
      </w:r>
      <w:r w:rsidRPr="00F86E27" w:rsidR="00465FD5">
        <w:t xml:space="preserve">.  </w:t>
      </w:r>
      <w:r w:rsidRPr="00F86E27" w:rsidR="00465FD5">
        <w:rPr>
          <w:u w:val="single"/>
        </w:rPr>
        <w:t>See</w:t>
      </w:r>
      <w:r w:rsidRPr="00F86E27" w:rsidR="00465FD5">
        <w:t xml:space="preserve"> 49 U.S.C. § 11145.  A hard copy of the report is mailed to the agency at an estimated cost of $</w:t>
      </w:r>
      <w:r w:rsidRPr="00F86E27" w:rsidR="004F6206">
        <w:t>4</w:t>
      </w:r>
      <w:r w:rsidRPr="00F86E27" w:rsidR="00465FD5">
        <w:t>.00</w:t>
      </w:r>
      <w:r w:rsidRPr="00F86E27" w:rsidR="00550BEC">
        <w:t xml:space="preserve"> per respondent, resulting in a</w:t>
      </w:r>
      <w:r w:rsidRPr="00F86E27" w:rsidR="00465FD5">
        <w:t xml:space="preserve"> total annual non-burden-hour cost of $</w:t>
      </w:r>
      <w:r w:rsidRPr="00F86E27" w:rsidR="004F6206">
        <w:t>28</w:t>
      </w:r>
      <w:r w:rsidRPr="00F86E27" w:rsidR="00465FD5">
        <w:t xml:space="preserve">.00 for all seven respondents.  </w:t>
      </w:r>
      <w:r w:rsidRPr="00F86E27" w:rsidR="00FD031F">
        <w:t xml:space="preserve">No </w:t>
      </w:r>
      <w:r w:rsidRPr="00F86E27" w:rsidR="00465FD5">
        <w:t>other</w:t>
      </w:r>
      <w:r w:rsidRPr="00F86E27" w:rsidR="00680DEA">
        <w:rPr>
          <w:b/>
        </w:rPr>
        <w:t xml:space="preserve"> </w:t>
      </w:r>
      <w:r w:rsidRPr="00F86E27" w:rsidR="00FD031F">
        <w:t>non-hour costs for operation, maintenance, or purchase of services associated with this collection have been identified</w:t>
      </w:r>
      <w:r w:rsidRPr="00F86E27" w:rsidR="004538C0">
        <w:t>,</w:t>
      </w:r>
      <w:r w:rsidRPr="00F86E27" w:rsidR="0029740E">
        <w:t xml:space="preserve"> as</w:t>
      </w:r>
      <w:r w:rsidRPr="00F86E27" w:rsidR="00FD031F">
        <w:t xml:space="preserve">: (a) </w:t>
      </w:r>
      <w:r w:rsidRPr="00F86E27" w:rsidR="0029740E">
        <w:t>t</w:t>
      </w:r>
      <w:r w:rsidRPr="00F86E27" w:rsidR="001638B5">
        <w:t xml:space="preserve">his collection </w:t>
      </w:r>
      <w:r w:rsidRPr="00F86E27" w:rsidR="00367D1B">
        <w:t>will</w:t>
      </w:r>
      <w:r w:rsidRPr="00F86E27" w:rsidR="00FD031F">
        <w:t xml:space="preserve"> </w:t>
      </w:r>
      <w:r w:rsidRPr="00F86E27" w:rsidR="001638B5">
        <w:t xml:space="preserve">not </w:t>
      </w:r>
      <w:r w:rsidRPr="00F86E27" w:rsidR="00FD031F">
        <w:t>impose start-up costs on respondents</w:t>
      </w:r>
      <w:r w:rsidRPr="00F86E27" w:rsidR="0029740E">
        <w:t>; and</w:t>
      </w:r>
      <w:r w:rsidRPr="00F86E27" w:rsidR="00FD031F">
        <w:t xml:space="preserve"> (b)</w:t>
      </w:r>
      <w:r w:rsidRPr="00F86E27" w:rsidR="0029740E">
        <w:t xml:space="preserve"> a</w:t>
      </w:r>
      <w:r w:rsidRPr="00F86E27" w:rsidR="00465FD5">
        <w:t>n additional copy of the</w:t>
      </w:r>
      <w:r w:rsidRPr="00F86E27" w:rsidR="00FD031F">
        <w:t xml:space="preserve"> report</w:t>
      </w:r>
      <w:r w:rsidRPr="00F86E27" w:rsidR="00550BEC">
        <w:t xml:space="preserve"> in Excel format</w:t>
      </w:r>
      <w:r w:rsidRPr="00F86E27" w:rsidR="00465FD5">
        <w:t xml:space="preserve"> is</w:t>
      </w:r>
      <w:r w:rsidRPr="00F86E27" w:rsidR="00FD031F">
        <w:t xml:space="preserve"> submitted to the agency electronically</w:t>
      </w:r>
      <w:r w:rsidRPr="00F86E27" w:rsidR="00680DEA">
        <w:t xml:space="preserve">. </w:t>
      </w:r>
    </w:p>
    <w:p w:rsidRPr="00F86E27" w:rsidR="00772BA7" w:rsidP="0055205B" w:rsidRDefault="00772BA7" w14:paraId="5EBCF159" w14:textId="77777777">
      <w:pPr>
        <w:spacing w:before="120" w:after="120"/>
        <w:ind w:firstLine="720"/>
        <w:contextualSpacing/>
      </w:pPr>
    </w:p>
    <w:p w:rsidRPr="00F86E27" w:rsidR="0004335C" w:rsidP="0055205B" w:rsidRDefault="0004335C" w14:paraId="390D0996" w14:textId="1B58080D">
      <w:pPr>
        <w:spacing w:before="120" w:after="120"/>
        <w:ind w:firstLine="720"/>
        <w:contextualSpacing/>
      </w:pPr>
      <w:r w:rsidRPr="00F86E27">
        <w:t xml:space="preserve">14.  </w:t>
      </w:r>
      <w:r w:rsidRPr="00F86E27" w:rsidR="00F32498">
        <w:rPr>
          <w:u w:val="single"/>
        </w:rPr>
        <w:t>Annualized Cost to the Federal Government</w:t>
      </w:r>
      <w:r w:rsidRPr="00F86E27">
        <w:t xml:space="preserve">:  </w:t>
      </w:r>
      <w:r w:rsidR="00387F10">
        <w:t>There will be no cost beyond the normal labor costs for Board staff</w:t>
      </w:r>
      <w:r w:rsidRPr="00F86E27" w:rsidR="00CA7683">
        <w:t>.</w:t>
      </w:r>
    </w:p>
    <w:p w:rsidRPr="00F86E27" w:rsidR="0004335C" w:rsidP="0055205B" w:rsidRDefault="0004335C" w14:paraId="44359FC6" w14:textId="77777777">
      <w:pPr>
        <w:spacing w:before="120" w:after="120"/>
        <w:contextualSpacing/>
      </w:pPr>
    </w:p>
    <w:p w:rsidRPr="00F86E27" w:rsidR="0004335C" w:rsidP="0055205B" w:rsidRDefault="0004335C" w14:paraId="583F586D" w14:textId="3AD11C7E">
      <w:pPr>
        <w:spacing w:before="120" w:after="120"/>
        <w:ind w:firstLine="720"/>
        <w:contextualSpacing/>
      </w:pPr>
      <w:r w:rsidRPr="00F86E27">
        <w:t xml:space="preserve">15.  </w:t>
      </w:r>
      <w:r w:rsidRPr="00F86E27" w:rsidR="00F32498">
        <w:rPr>
          <w:u w:val="single"/>
        </w:rPr>
        <w:t>Explanation of Program Changes or Adjustments</w:t>
      </w:r>
      <w:r w:rsidRPr="00F86E27" w:rsidR="00415982">
        <w:t xml:space="preserve">.  </w:t>
      </w:r>
      <w:r w:rsidR="00A46464">
        <w:t>Recently, Board staff reviewed its estimates of the burdens for this collection</w:t>
      </w:r>
      <w:r w:rsidRPr="00F86E27" w:rsidR="000E10A2">
        <w:t>.</w:t>
      </w:r>
      <w:r w:rsidR="00A46464">
        <w:t xml:space="preserve">  Staff found that, as noted above, m</w:t>
      </w:r>
      <w:r w:rsidR="00A46464">
        <w:t>any of these functions have become automated and more routine through the respondents’ software programming</w:t>
      </w:r>
      <w:r w:rsidR="00A46464">
        <w:t>.  This has led to reductions in our estimated hourly burdens</w:t>
      </w:r>
      <w:r w:rsidR="008275FC">
        <w:t xml:space="preserve"> for this collection</w:t>
      </w:r>
      <w:bookmarkStart w:name="_GoBack" w:id="0"/>
      <w:bookmarkEnd w:id="0"/>
      <w:r w:rsidR="00A46464">
        <w:t>.</w:t>
      </w:r>
    </w:p>
    <w:p w:rsidRPr="00F86E27" w:rsidR="0004335C" w:rsidP="0055205B" w:rsidRDefault="0004335C" w14:paraId="11304436" w14:textId="77777777">
      <w:pPr>
        <w:spacing w:before="120" w:after="120"/>
        <w:contextualSpacing/>
      </w:pPr>
    </w:p>
    <w:p w:rsidRPr="00F86E27" w:rsidR="00AF269E" w:rsidP="0055205B" w:rsidRDefault="0004335C" w14:paraId="39E8C02D" w14:textId="230ED24C">
      <w:pPr>
        <w:spacing w:before="120" w:after="120"/>
        <w:ind w:firstLine="720"/>
        <w:contextualSpacing/>
        <w:rPr>
          <w:color w:val="000000"/>
        </w:rPr>
      </w:pPr>
      <w:r w:rsidRPr="00F86E27">
        <w:t xml:space="preserve">16.  </w:t>
      </w:r>
      <w:r w:rsidRPr="00F86E27">
        <w:rPr>
          <w:u w:val="single"/>
        </w:rPr>
        <w:t>Plans for tabulation and publication</w:t>
      </w:r>
      <w:r w:rsidRPr="00F86E27">
        <w:t xml:space="preserve">: </w:t>
      </w:r>
      <w:r w:rsidRPr="00F86E27" w:rsidR="00892416">
        <w:t xml:space="preserve"> </w:t>
      </w:r>
      <w:r w:rsidRPr="00F86E27" w:rsidR="00AF269E">
        <w:rPr>
          <w:color w:val="000000"/>
        </w:rPr>
        <w:t xml:space="preserve">The individual R-1 reports are posted in their entirety on the Board's website at </w:t>
      </w:r>
      <w:hyperlink w:history="1" r:id="rId5">
        <w:r w:rsidR="008E001A">
          <w:rPr>
            <w:rStyle w:val="Hyperlink"/>
          </w:rPr>
          <w:t>https://www.stb.gov/stb/industry/econ_reports.html</w:t>
        </w:r>
      </w:hyperlink>
      <w:r w:rsidRPr="00F86E27" w:rsidR="00AF269E">
        <w:rPr>
          <w:color w:val="000000"/>
        </w:rPr>
        <w:t xml:space="preserve"> (select </w:t>
      </w:r>
      <w:r w:rsidRPr="00F86E27" w:rsidR="00C30220">
        <w:rPr>
          <w:color w:val="000000"/>
        </w:rPr>
        <w:t>“</w:t>
      </w:r>
      <w:r w:rsidRPr="00F86E27" w:rsidR="00AF269E">
        <w:rPr>
          <w:color w:val="000000"/>
        </w:rPr>
        <w:t>Complete Class I Railroad Annual Reports” hyperlink).</w:t>
      </w:r>
    </w:p>
    <w:p w:rsidRPr="00F86E27" w:rsidR="0004335C" w:rsidP="0055205B" w:rsidRDefault="0004335C" w14:paraId="67F009D3" w14:textId="312151E5">
      <w:pPr>
        <w:spacing w:before="120" w:after="120"/>
        <w:ind w:firstLine="720"/>
        <w:contextualSpacing/>
        <w:rPr>
          <w:b/>
          <w:bCs/>
        </w:rPr>
      </w:pPr>
      <w:r w:rsidRPr="00F86E27">
        <w:rPr>
          <w:b/>
          <w:bCs/>
        </w:rPr>
        <w:tab/>
      </w:r>
    </w:p>
    <w:p w:rsidRPr="00F86E27" w:rsidR="0004335C" w:rsidP="0055205B" w:rsidRDefault="0004335C" w14:paraId="7EB5CEA5" w14:textId="3E98406C">
      <w:pPr>
        <w:spacing w:before="120" w:after="120"/>
        <w:ind w:firstLine="720"/>
        <w:contextualSpacing/>
      </w:pPr>
      <w:r w:rsidRPr="00F86E27">
        <w:t xml:space="preserve">17.  </w:t>
      </w:r>
      <w:r w:rsidRPr="00F86E27" w:rsidR="00415982">
        <w:rPr>
          <w:u w:val="single"/>
        </w:rPr>
        <w:t>Display of expiration date for OMB approval</w:t>
      </w:r>
      <w:r w:rsidRPr="00F86E27" w:rsidR="00415982">
        <w:t>.  No exception is sought</w:t>
      </w:r>
      <w:r w:rsidRPr="00F86E27">
        <w:t xml:space="preserve">. </w:t>
      </w:r>
      <w:r w:rsidRPr="00F86E27" w:rsidR="00415982">
        <w:t xml:space="preserve"> The control number and expiration date for this collection appear on the cover sheet of the instructions.</w:t>
      </w:r>
    </w:p>
    <w:p w:rsidRPr="00F86E27" w:rsidR="0004335C" w:rsidP="0055205B" w:rsidRDefault="0004335C" w14:paraId="1FC59ED5" w14:textId="77777777">
      <w:pPr>
        <w:spacing w:before="120" w:after="120"/>
        <w:contextualSpacing/>
      </w:pPr>
    </w:p>
    <w:p w:rsidRPr="00F86E27" w:rsidR="0004335C" w:rsidP="0055205B" w:rsidRDefault="0004335C" w14:paraId="7B6B13D6" w14:textId="77777777">
      <w:pPr>
        <w:spacing w:before="120" w:after="120"/>
        <w:contextualSpacing/>
        <w:rPr>
          <w:b/>
          <w:bCs/>
          <w:u w:val="single"/>
        </w:rPr>
      </w:pPr>
      <w:r w:rsidRPr="00F86E27">
        <w:tab/>
        <w:t xml:space="preserve">18.  </w:t>
      </w:r>
      <w:r w:rsidRPr="00F86E27" w:rsidR="00A322DC">
        <w:rPr>
          <w:u w:val="single"/>
        </w:rPr>
        <w:t>Exceptions to Certification Statement</w:t>
      </w:r>
      <w:r w:rsidRPr="00F86E27" w:rsidR="00A322DC">
        <w:t>.  No exceptions are sought.</w:t>
      </w:r>
    </w:p>
    <w:p w:rsidRPr="00F86E27" w:rsidR="0004335C" w:rsidP="0055205B" w:rsidRDefault="0004335C" w14:paraId="55E4FD5D" w14:textId="77777777">
      <w:pPr>
        <w:spacing w:before="120" w:after="120"/>
        <w:contextualSpacing/>
        <w:rPr>
          <w:b/>
          <w:bCs/>
          <w:u w:val="single"/>
        </w:rPr>
      </w:pPr>
    </w:p>
    <w:p w:rsidRPr="00F86E27" w:rsidR="0004335C" w:rsidP="0055205B" w:rsidRDefault="0004335C" w14:paraId="4CD8C61B" w14:textId="758AF67C">
      <w:pPr>
        <w:spacing w:before="120" w:after="120"/>
        <w:contextualSpacing/>
        <w:rPr>
          <w:b/>
          <w:bCs/>
          <w:u w:val="single"/>
        </w:rPr>
      </w:pPr>
      <w:r w:rsidRPr="00F86E27">
        <w:rPr>
          <w:b/>
        </w:rPr>
        <w:t>B.</w:t>
      </w:r>
      <w:r w:rsidRPr="00F86E27" w:rsidR="00DD6DC8">
        <w:rPr>
          <w:b/>
        </w:rPr>
        <w:t xml:space="preserve"> </w:t>
      </w:r>
      <w:r w:rsidRPr="00F86E27">
        <w:t xml:space="preserve"> </w:t>
      </w:r>
      <w:r w:rsidRPr="00F86E27">
        <w:rPr>
          <w:b/>
          <w:bCs/>
          <w:u w:val="single"/>
        </w:rPr>
        <w:t>Collections of Information Employing Statistical Methods</w:t>
      </w:r>
      <w:r w:rsidRPr="00F86E27">
        <w:rPr>
          <w:b/>
          <w:bCs/>
        </w:rPr>
        <w:t>:</w:t>
      </w:r>
    </w:p>
    <w:p w:rsidRPr="00F86E27" w:rsidR="0004335C" w:rsidP="0055205B" w:rsidRDefault="0004335C" w14:paraId="3334D42C" w14:textId="77777777">
      <w:pPr>
        <w:spacing w:before="120" w:after="120"/>
        <w:contextualSpacing/>
      </w:pPr>
    </w:p>
    <w:p w:rsidRPr="00F86E27" w:rsidR="0004335C" w:rsidP="0055205B" w:rsidRDefault="0004335C" w14:paraId="35C2C6CE" w14:textId="7CEEF726">
      <w:pPr>
        <w:spacing w:before="120" w:after="120"/>
        <w:ind w:firstLine="720"/>
        <w:contextualSpacing/>
      </w:pPr>
      <w:r w:rsidRPr="00F86E27">
        <w:t>Not applicable</w:t>
      </w:r>
      <w:r w:rsidRPr="00F86E27" w:rsidR="00CD2E2A">
        <w:t>.</w:t>
      </w:r>
    </w:p>
    <w:sectPr w:rsidRPr="00F86E27" w:rsidR="0004335C" w:rsidSect="000A5FB5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FB5"/>
    <w:rsid w:val="00002614"/>
    <w:rsid w:val="000239DE"/>
    <w:rsid w:val="00024721"/>
    <w:rsid w:val="00025E6B"/>
    <w:rsid w:val="0003015F"/>
    <w:rsid w:val="000406A7"/>
    <w:rsid w:val="0004335C"/>
    <w:rsid w:val="0005109A"/>
    <w:rsid w:val="00051F53"/>
    <w:rsid w:val="0006385B"/>
    <w:rsid w:val="00065327"/>
    <w:rsid w:val="00072D26"/>
    <w:rsid w:val="00077ADF"/>
    <w:rsid w:val="00084232"/>
    <w:rsid w:val="000865F6"/>
    <w:rsid w:val="000876F8"/>
    <w:rsid w:val="0009337C"/>
    <w:rsid w:val="000956B9"/>
    <w:rsid w:val="000A5FB5"/>
    <w:rsid w:val="000B19C1"/>
    <w:rsid w:val="000B6D9A"/>
    <w:rsid w:val="000B7D22"/>
    <w:rsid w:val="000C3A85"/>
    <w:rsid w:val="000C5177"/>
    <w:rsid w:val="000D0C67"/>
    <w:rsid w:val="000E10A2"/>
    <w:rsid w:val="000F1C3F"/>
    <w:rsid w:val="0010299D"/>
    <w:rsid w:val="00123F4D"/>
    <w:rsid w:val="00124A1B"/>
    <w:rsid w:val="00144E8F"/>
    <w:rsid w:val="00157420"/>
    <w:rsid w:val="001575E2"/>
    <w:rsid w:val="001638B5"/>
    <w:rsid w:val="0017169B"/>
    <w:rsid w:val="00176D54"/>
    <w:rsid w:val="001903E8"/>
    <w:rsid w:val="001936E7"/>
    <w:rsid w:val="00196F88"/>
    <w:rsid w:val="001A00B0"/>
    <w:rsid w:val="001A2D2A"/>
    <w:rsid w:val="001A4E92"/>
    <w:rsid w:val="001B3AF2"/>
    <w:rsid w:val="001C102A"/>
    <w:rsid w:val="001C1702"/>
    <w:rsid w:val="001E2CE1"/>
    <w:rsid w:val="001E2DEF"/>
    <w:rsid w:val="001E6D52"/>
    <w:rsid w:val="001E6E96"/>
    <w:rsid w:val="001F51C0"/>
    <w:rsid w:val="0021556B"/>
    <w:rsid w:val="002216E0"/>
    <w:rsid w:val="00224F8B"/>
    <w:rsid w:val="002335CB"/>
    <w:rsid w:val="00242D98"/>
    <w:rsid w:val="00251F5F"/>
    <w:rsid w:val="002624A4"/>
    <w:rsid w:val="0029740E"/>
    <w:rsid w:val="002A307F"/>
    <w:rsid w:val="002A4537"/>
    <w:rsid w:val="002A5C7F"/>
    <w:rsid w:val="002B3B97"/>
    <w:rsid w:val="002F2693"/>
    <w:rsid w:val="00300299"/>
    <w:rsid w:val="003138CA"/>
    <w:rsid w:val="0031751F"/>
    <w:rsid w:val="00323245"/>
    <w:rsid w:val="003232CA"/>
    <w:rsid w:val="00327740"/>
    <w:rsid w:val="00340689"/>
    <w:rsid w:val="00347493"/>
    <w:rsid w:val="00365C8B"/>
    <w:rsid w:val="00367D1B"/>
    <w:rsid w:val="00376506"/>
    <w:rsid w:val="0037761C"/>
    <w:rsid w:val="00387F10"/>
    <w:rsid w:val="00395AF3"/>
    <w:rsid w:val="00397B6D"/>
    <w:rsid w:val="003A13A6"/>
    <w:rsid w:val="003A16D1"/>
    <w:rsid w:val="003C429D"/>
    <w:rsid w:val="003C6386"/>
    <w:rsid w:val="003F0073"/>
    <w:rsid w:val="003F5740"/>
    <w:rsid w:val="00405EC2"/>
    <w:rsid w:val="00407294"/>
    <w:rsid w:val="0041350F"/>
    <w:rsid w:val="00415982"/>
    <w:rsid w:val="00435245"/>
    <w:rsid w:val="004471B5"/>
    <w:rsid w:val="004538C0"/>
    <w:rsid w:val="00465FD5"/>
    <w:rsid w:val="0046760B"/>
    <w:rsid w:val="004748A2"/>
    <w:rsid w:val="00475DC5"/>
    <w:rsid w:val="00495EA3"/>
    <w:rsid w:val="004A776C"/>
    <w:rsid w:val="004B3F24"/>
    <w:rsid w:val="004C3EC4"/>
    <w:rsid w:val="004E39CF"/>
    <w:rsid w:val="004E5AC8"/>
    <w:rsid w:val="004F0190"/>
    <w:rsid w:val="004F0B8A"/>
    <w:rsid w:val="004F6206"/>
    <w:rsid w:val="004F6CED"/>
    <w:rsid w:val="00507042"/>
    <w:rsid w:val="00525C23"/>
    <w:rsid w:val="005465BA"/>
    <w:rsid w:val="0055012A"/>
    <w:rsid w:val="00550BEC"/>
    <w:rsid w:val="0055205B"/>
    <w:rsid w:val="005565A5"/>
    <w:rsid w:val="0056106D"/>
    <w:rsid w:val="00565514"/>
    <w:rsid w:val="005671C1"/>
    <w:rsid w:val="00567E8E"/>
    <w:rsid w:val="005770D1"/>
    <w:rsid w:val="005963D7"/>
    <w:rsid w:val="005A3C88"/>
    <w:rsid w:val="005C0AB7"/>
    <w:rsid w:val="005C26E2"/>
    <w:rsid w:val="005C76FF"/>
    <w:rsid w:val="005D7624"/>
    <w:rsid w:val="005F1A94"/>
    <w:rsid w:val="005F3048"/>
    <w:rsid w:val="005F391E"/>
    <w:rsid w:val="00611091"/>
    <w:rsid w:val="00611F4B"/>
    <w:rsid w:val="00617942"/>
    <w:rsid w:val="00627D41"/>
    <w:rsid w:val="00647689"/>
    <w:rsid w:val="00650A7A"/>
    <w:rsid w:val="00652D47"/>
    <w:rsid w:val="006563F3"/>
    <w:rsid w:val="00670621"/>
    <w:rsid w:val="00675607"/>
    <w:rsid w:val="00680DEA"/>
    <w:rsid w:val="0068615E"/>
    <w:rsid w:val="00687B85"/>
    <w:rsid w:val="006920F6"/>
    <w:rsid w:val="006B2D0E"/>
    <w:rsid w:val="006D25F2"/>
    <w:rsid w:val="006D3F12"/>
    <w:rsid w:val="006D4985"/>
    <w:rsid w:val="006F7A27"/>
    <w:rsid w:val="0073370B"/>
    <w:rsid w:val="007518F7"/>
    <w:rsid w:val="0075195E"/>
    <w:rsid w:val="007662A2"/>
    <w:rsid w:val="00772BA7"/>
    <w:rsid w:val="00773560"/>
    <w:rsid w:val="007743D0"/>
    <w:rsid w:val="0079449A"/>
    <w:rsid w:val="007969B3"/>
    <w:rsid w:val="007979F7"/>
    <w:rsid w:val="007A5851"/>
    <w:rsid w:val="007B2A89"/>
    <w:rsid w:val="007B2EAB"/>
    <w:rsid w:val="007B51F1"/>
    <w:rsid w:val="007B63B3"/>
    <w:rsid w:val="007C769A"/>
    <w:rsid w:val="007E4E66"/>
    <w:rsid w:val="007F794D"/>
    <w:rsid w:val="00807E51"/>
    <w:rsid w:val="0081473C"/>
    <w:rsid w:val="008244FD"/>
    <w:rsid w:val="008275FC"/>
    <w:rsid w:val="00830858"/>
    <w:rsid w:val="008352C5"/>
    <w:rsid w:val="00840500"/>
    <w:rsid w:val="0084125E"/>
    <w:rsid w:val="00842AB1"/>
    <w:rsid w:val="00854935"/>
    <w:rsid w:val="008630CF"/>
    <w:rsid w:val="0086476B"/>
    <w:rsid w:val="00864B4D"/>
    <w:rsid w:val="008670AE"/>
    <w:rsid w:val="0087126C"/>
    <w:rsid w:val="00873AB2"/>
    <w:rsid w:val="00881F05"/>
    <w:rsid w:val="00884691"/>
    <w:rsid w:val="00892416"/>
    <w:rsid w:val="00896C73"/>
    <w:rsid w:val="008B2698"/>
    <w:rsid w:val="008B412B"/>
    <w:rsid w:val="008B5DA1"/>
    <w:rsid w:val="008C1B09"/>
    <w:rsid w:val="008C671D"/>
    <w:rsid w:val="008C7E6C"/>
    <w:rsid w:val="008D4F8E"/>
    <w:rsid w:val="008E001A"/>
    <w:rsid w:val="008F0B28"/>
    <w:rsid w:val="008F2593"/>
    <w:rsid w:val="009006F1"/>
    <w:rsid w:val="0090790D"/>
    <w:rsid w:val="009301F0"/>
    <w:rsid w:val="00940991"/>
    <w:rsid w:val="0095041A"/>
    <w:rsid w:val="00955B5C"/>
    <w:rsid w:val="00970AEE"/>
    <w:rsid w:val="009806DB"/>
    <w:rsid w:val="00980CC8"/>
    <w:rsid w:val="00981C35"/>
    <w:rsid w:val="009933EE"/>
    <w:rsid w:val="009A2D7F"/>
    <w:rsid w:val="009B61CA"/>
    <w:rsid w:val="009C2715"/>
    <w:rsid w:val="009C364D"/>
    <w:rsid w:val="009E680A"/>
    <w:rsid w:val="009F349B"/>
    <w:rsid w:val="00A00310"/>
    <w:rsid w:val="00A02689"/>
    <w:rsid w:val="00A25C2D"/>
    <w:rsid w:val="00A322DC"/>
    <w:rsid w:val="00A3270F"/>
    <w:rsid w:val="00A3722B"/>
    <w:rsid w:val="00A37BCD"/>
    <w:rsid w:val="00A37ED6"/>
    <w:rsid w:val="00A46464"/>
    <w:rsid w:val="00A50B3B"/>
    <w:rsid w:val="00A64FBA"/>
    <w:rsid w:val="00A73EC1"/>
    <w:rsid w:val="00A74840"/>
    <w:rsid w:val="00A76A53"/>
    <w:rsid w:val="00A777A5"/>
    <w:rsid w:val="00A84500"/>
    <w:rsid w:val="00A84561"/>
    <w:rsid w:val="00A901C1"/>
    <w:rsid w:val="00AA6DD3"/>
    <w:rsid w:val="00AB2BFB"/>
    <w:rsid w:val="00AB2CEB"/>
    <w:rsid w:val="00AE206C"/>
    <w:rsid w:val="00AE5255"/>
    <w:rsid w:val="00AF269E"/>
    <w:rsid w:val="00B11089"/>
    <w:rsid w:val="00B30AA4"/>
    <w:rsid w:val="00B40C41"/>
    <w:rsid w:val="00B67C35"/>
    <w:rsid w:val="00B95036"/>
    <w:rsid w:val="00BC044A"/>
    <w:rsid w:val="00BC1539"/>
    <w:rsid w:val="00BC3B7C"/>
    <w:rsid w:val="00BD4E84"/>
    <w:rsid w:val="00BE2584"/>
    <w:rsid w:val="00BF6FA6"/>
    <w:rsid w:val="00C13BC3"/>
    <w:rsid w:val="00C262B5"/>
    <w:rsid w:val="00C2751C"/>
    <w:rsid w:val="00C30220"/>
    <w:rsid w:val="00C45D99"/>
    <w:rsid w:val="00C6416B"/>
    <w:rsid w:val="00C7301B"/>
    <w:rsid w:val="00C916D8"/>
    <w:rsid w:val="00CA004F"/>
    <w:rsid w:val="00CA043F"/>
    <w:rsid w:val="00CA5AB2"/>
    <w:rsid w:val="00CA7683"/>
    <w:rsid w:val="00CB095D"/>
    <w:rsid w:val="00CB0BD3"/>
    <w:rsid w:val="00CB0E97"/>
    <w:rsid w:val="00CB2AEE"/>
    <w:rsid w:val="00CB4E93"/>
    <w:rsid w:val="00CC0E2A"/>
    <w:rsid w:val="00CD2E2A"/>
    <w:rsid w:val="00D02BDC"/>
    <w:rsid w:val="00D075F6"/>
    <w:rsid w:val="00D34BDF"/>
    <w:rsid w:val="00D46FF7"/>
    <w:rsid w:val="00D47C12"/>
    <w:rsid w:val="00D52848"/>
    <w:rsid w:val="00D53428"/>
    <w:rsid w:val="00D5379E"/>
    <w:rsid w:val="00D56144"/>
    <w:rsid w:val="00D67DB9"/>
    <w:rsid w:val="00D73AF4"/>
    <w:rsid w:val="00D811EA"/>
    <w:rsid w:val="00D932D0"/>
    <w:rsid w:val="00DB6D4D"/>
    <w:rsid w:val="00DC52BD"/>
    <w:rsid w:val="00DC5A98"/>
    <w:rsid w:val="00DD6DC8"/>
    <w:rsid w:val="00DE0DFD"/>
    <w:rsid w:val="00DE4D63"/>
    <w:rsid w:val="00DF7A13"/>
    <w:rsid w:val="00E07F3C"/>
    <w:rsid w:val="00E16B30"/>
    <w:rsid w:val="00E26716"/>
    <w:rsid w:val="00E32362"/>
    <w:rsid w:val="00E37859"/>
    <w:rsid w:val="00E4205A"/>
    <w:rsid w:val="00E53BD4"/>
    <w:rsid w:val="00E54713"/>
    <w:rsid w:val="00E679B5"/>
    <w:rsid w:val="00E724DC"/>
    <w:rsid w:val="00E733A9"/>
    <w:rsid w:val="00E80B7B"/>
    <w:rsid w:val="00E95E91"/>
    <w:rsid w:val="00EA5722"/>
    <w:rsid w:val="00EB0F8E"/>
    <w:rsid w:val="00EB1602"/>
    <w:rsid w:val="00EC7BDE"/>
    <w:rsid w:val="00EF3282"/>
    <w:rsid w:val="00F001C8"/>
    <w:rsid w:val="00F14191"/>
    <w:rsid w:val="00F32498"/>
    <w:rsid w:val="00F40DB4"/>
    <w:rsid w:val="00F468C5"/>
    <w:rsid w:val="00F54B75"/>
    <w:rsid w:val="00F641B9"/>
    <w:rsid w:val="00F72AB3"/>
    <w:rsid w:val="00F86BAB"/>
    <w:rsid w:val="00F86E27"/>
    <w:rsid w:val="00FB2240"/>
    <w:rsid w:val="00FB3238"/>
    <w:rsid w:val="00FB3F7F"/>
    <w:rsid w:val="00FC4786"/>
    <w:rsid w:val="00FC726A"/>
    <w:rsid w:val="00FD031F"/>
    <w:rsid w:val="00FD0F01"/>
    <w:rsid w:val="00FD17E6"/>
    <w:rsid w:val="00FD7878"/>
    <w:rsid w:val="00FE65E5"/>
    <w:rsid w:val="00FF1836"/>
    <w:rsid w:val="00FF36F8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C79448"/>
  <w15:docId w15:val="{95DC9AF4-9844-43FA-91F7-F4CB9A35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AB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23245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7C35"/>
    <w:rPr>
      <w:rFonts w:cs="Times New Roman"/>
      <w:sz w:val="2"/>
    </w:rPr>
  </w:style>
  <w:style w:type="character" w:styleId="FootnoteReference">
    <w:name w:val="footnote reference"/>
    <w:basedOn w:val="DefaultParagraphFont"/>
    <w:uiPriority w:val="99"/>
    <w:rsid w:val="00F72AB3"/>
    <w:rPr>
      <w:rFonts w:cs="Times New Roman"/>
    </w:rPr>
  </w:style>
  <w:style w:type="character" w:styleId="Hyperlink">
    <w:name w:val="Hyperlink"/>
    <w:basedOn w:val="DefaultParagraphFont"/>
    <w:uiPriority w:val="99"/>
    <w:rsid w:val="00FB3F7F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9A2D7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9A2D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B67C3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2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67C35"/>
    <w:rPr>
      <w:rFonts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B2D0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304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F7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2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stb.gov/stb/industry/econ_report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6C96AB-EAD7-4A1D-A364-1D9ADC2B5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1108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2140-0009</vt:lpstr>
    </vt:vector>
  </TitlesOfParts>
  <Company>Surface Transportation Board</Company>
  <LinksUpToDate>false</LinksUpToDate>
  <CharactersWithSpaces>7625</CharactersWithSpaces>
  <SharedDoc>false</SharedDoc>
  <HLinks>
    <vt:vector size="6" baseType="variant">
      <vt:variant>
        <vt:i4>131127</vt:i4>
      </vt:variant>
      <vt:variant>
        <vt:i4>0</vt:i4>
      </vt:variant>
      <vt:variant>
        <vt:i4>0</vt:i4>
      </vt:variant>
      <vt:variant>
        <vt:i4>5</vt:i4>
      </vt:variant>
      <vt:variant>
        <vt:lpwstr>http://www.stb.dot.gov/stb/industry/econ_reports.html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2140-0009</dc:title>
  <dc:creator>levittm</dc:creator>
  <cp:lastModifiedBy>Oehrle, Christopher</cp:lastModifiedBy>
  <cp:revision>3</cp:revision>
  <cp:lastPrinted>2019-11-13T15:59:00Z</cp:lastPrinted>
  <dcterms:created xsi:type="dcterms:W3CDTF">2020-02-18T15:34:00Z</dcterms:created>
  <dcterms:modified xsi:type="dcterms:W3CDTF">2020-02-18T15:35:00Z</dcterms:modified>
</cp:coreProperties>
</file>