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E2AD1" w14:textId="77777777" w:rsidR="00002F5B" w:rsidRDefault="00002F5B" w:rsidP="00002F5B">
      <w:bookmarkStart w:id="0" w:name="_GoBack"/>
      <w:bookmarkEnd w:id="0"/>
    </w:p>
    <w:p w14:paraId="008D8539" w14:textId="77777777" w:rsidR="00002F5B" w:rsidRDefault="00002F5B" w:rsidP="00002F5B"/>
    <w:p w14:paraId="503C8165" w14:textId="77777777" w:rsidR="00002F5B" w:rsidRPr="00241B0D" w:rsidRDefault="00002F5B" w:rsidP="00002F5B">
      <w:r w:rsidRPr="00241B0D">
        <w:rPr>
          <w:noProof/>
        </w:rPr>
        <w:drawing>
          <wp:inline distT="0" distB="0" distL="0" distR="0" wp14:anchorId="2ECF2243" wp14:editId="5B624140">
            <wp:extent cx="914400" cy="914400"/>
            <wp:effectExtent l="0" t="0" r="0" b="0"/>
            <wp:docPr id="1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C3CE78B" w14:textId="77777777" w:rsidR="00002F5B" w:rsidRPr="00241B0D" w:rsidRDefault="00002F5B" w:rsidP="00002F5B">
      <w:pPr>
        <w:jc w:val="center"/>
        <w:rPr>
          <w:b/>
        </w:rPr>
      </w:pPr>
    </w:p>
    <w:p w14:paraId="078B9B5D" w14:textId="77777777" w:rsidR="00002F5B" w:rsidRPr="00241B0D" w:rsidRDefault="00002F5B" w:rsidP="00002F5B">
      <w:pPr>
        <w:ind w:left="1440" w:right="2160"/>
        <w:rPr>
          <w:rFonts w:ascii="Arial" w:hAnsi="Arial" w:cs="Arial"/>
          <w:b/>
          <w:bCs/>
          <w:sz w:val="40"/>
          <w:szCs w:val="40"/>
        </w:rPr>
      </w:pPr>
    </w:p>
    <w:p w14:paraId="11D3E66D" w14:textId="77777777" w:rsidR="00002F5B" w:rsidRPr="00241B0D" w:rsidRDefault="00002F5B" w:rsidP="00002F5B">
      <w:pPr>
        <w:ind w:left="1440" w:right="2160"/>
        <w:rPr>
          <w:rFonts w:ascii="Arial" w:hAnsi="Arial" w:cs="Arial"/>
          <w:b/>
          <w:bCs/>
          <w:sz w:val="40"/>
          <w:szCs w:val="40"/>
        </w:rPr>
      </w:pPr>
    </w:p>
    <w:p w14:paraId="093B9A73" w14:textId="77777777" w:rsidR="00002F5B" w:rsidRPr="00241B0D" w:rsidRDefault="00002F5B" w:rsidP="00002F5B">
      <w:pPr>
        <w:ind w:left="1440" w:right="2160"/>
        <w:rPr>
          <w:rFonts w:ascii="Arial" w:hAnsi="Arial" w:cs="Arial"/>
          <w:b/>
          <w:bCs/>
          <w:sz w:val="40"/>
          <w:szCs w:val="40"/>
        </w:rPr>
      </w:pPr>
    </w:p>
    <w:p w14:paraId="4EA0DFC1" w14:textId="77777777" w:rsidR="00002F5B" w:rsidRPr="00241B0D" w:rsidRDefault="00002F5B" w:rsidP="00002F5B">
      <w:pPr>
        <w:ind w:left="1440" w:right="720"/>
        <w:rPr>
          <w:rFonts w:ascii="Arial" w:hAnsi="Arial" w:cs="Arial"/>
          <w:b/>
          <w:bCs/>
          <w:sz w:val="40"/>
          <w:szCs w:val="40"/>
        </w:rPr>
      </w:pPr>
    </w:p>
    <w:p w14:paraId="0CB4CEE0" w14:textId="698DBB33" w:rsidR="00002F5B" w:rsidRPr="00241B0D" w:rsidRDefault="00002F5B" w:rsidP="00002F5B">
      <w:pPr>
        <w:tabs>
          <w:tab w:val="left" w:pos="8640"/>
        </w:tabs>
        <w:ind w:left="3600" w:right="720"/>
        <w:rPr>
          <w:rFonts w:ascii="Arial" w:hAnsi="Arial" w:cs="Arial"/>
          <w:b/>
          <w:bCs/>
          <w:sz w:val="40"/>
          <w:szCs w:val="40"/>
        </w:rPr>
        <w:sectPr w:rsidR="00002F5B" w:rsidRPr="00241B0D" w:rsidSect="00002F5B">
          <w:footerReference w:type="default" r:id="rId14"/>
          <w:pgSz w:w="12240" w:h="15840"/>
          <w:pgMar w:top="1440" w:right="1440" w:bottom="1440" w:left="1440" w:header="720" w:footer="720" w:gutter="0"/>
          <w:pgNumType w:fmt="lowerRoman"/>
          <w:cols w:space="720"/>
          <w:titlePg/>
          <w:docGrid w:linePitch="360"/>
        </w:sectPr>
      </w:pPr>
      <w:r w:rsidRPr="00241B0D">
        <w:rPr>
          <w:rFonts w:ascii="Arial" w:hAnsi="Arial" w:cs="Arial"/>
          <w:b/>
          <w:bCs/>
          <w:sz w:val="40"/>
          <w:szCs w:val="40"/>
        </w:rPr>
        <w:t xml:space="preserve">Information Collection Request for the </w:t>
      </w:r>
      <w:r w:rsidRPr="00002F5B">
        <w:rPr>
          <w:rFonts w:ascii="Arial" w:hAnsi="Arial" w:cs="Arial"/>
          <w:b/>
          <w:bCs/>
          <w:sz w:val="40"/>
          <w:szCs w:val="40"/>
        </w:rPr>
        <w:t xml:space="preserve">Proposed Lead </w:t>
      </w:r>
      <w:r>
        <w:rPr>
          <w:rFonts w:ascii="Arial" w:hAnsi="Arial" w:cs="Arial"/>
          <w:b/>
          <w:bCs/>
          <w:sz w:val="40"/>
          <w:szCs w:val="40"/>
        </w:rPr>
        <w:t xml:space="preserve">and Copper Rule Revisions </w:t>
      </w:r>
    </w:p>
    <w:p w14:paraId="01E925D2" w14:textId="77777777" w:rsidR="00002F5B" w:rsidRPr="00241B0D" w:rsidRDefault="00002F5B" w:rsidP="00002F5B">
      <w:pPr>
        <w:sectPr w:rsidR="00002F5B" w:rsidRPr="00241B0D" w:rsidSect="00002F5B">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p>
    <w:p w14:paraId="27B6A849" w14:textId="77777777" w:rsidR="00002F5B" w:rsidRDefault="00002F5B" w:rsidP="00002F5B">
      <w:pPr>
        <w:jc w:val="center"/>
      </w:pPr>
    </w:p>
    <w:p w14:paraId="3023E2D6" w14:textId="6746A589" w:rsidR="00002F5B" w:rsidRPr="00002F5B" w:rsidRDefault="00002F5B" w:rsidP="00002F5B">
      <w:pPr>
        <w:jc w:val="center"/>
      </w:pPr>
      <w:r w:rsidRPr="00241B0D">
        <w:t>TABLE OF CONTENTS</w:t>
      </w:r>
    </w:p>
    <w:p w14:paraId="3664B8B2" w14:textId="77777777" w:rsidR="00002F5B" w:rsidRDefault="00002F5B"/>
    <w:p w14:paraId="5D7DD1A3" w14:textId="6CB30514" w:rsidR="00B41EE3" w:rsidRDefault="00002F5B">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3139105" w:history="1">
        <w:r w:rsidR="00B41EE3" w:rsidRPr="000D3710">
          <w:rPr>
            <w:rStyle w:val="Hyperlink"/>
            <w:noProof/>
          </w:rPr>
          <w:t xml:space="preserve">1 </w:t>
        </w:r>
        <w:r w:rsidR="00B41EE3">
          <w:rPr>
            <w:rFonts w:asciiTheme="minorHAnsi" w:eastAsiaTheme="minorEastAsia" w:hAnsiTheme="minorHAnsi" w:cstheme="minorBidi"/>
            <w:noProof/>
            <w:sz w:val="22"/>
            <w:szCs w:val="22"/>
          </w:rPr>
          <w:tab/>
        </w:r>
        <w:r w:rsidR="00B41EE3" w:rsidRPr="000D3710">
          <w:rPr>
            <w:rStyle w:val="Hyperlink"/>
            <w:noProof/>
          </w:rPr>
          <w:t>IDENTIFICATION OF THE INFORMATION COLLECTION</w:t>
        </w:r>
        <w:r w:rsidR="00B41EE3">
          <w:rPr>
            <w:noProof/>
            <w:webHidden/>
          </w:rPr>
          <w:tab/>
        </w:r>
        <w:r w:rsidR="00B41EE3">
          <w:rPr>
            <w:noProof/>
            <w:webHidden/>
          </w:rPr>
          <w:fldChar w:fldCharType="begin"/>
        </w:r>
        <w:r w:rsidR="00B41EE3">
          <w:rPr>
            <w:noProof/>
            <w:webHidden/>
          </w:rPr>
          <w:instrText xml:space="preserve"> PAGEREF _Toc23139105 \h </w:instrText>
        </w:r>
        <w:r w:rsidR="00B41EE3">
          <w:rPr>
            <w:noProof/>
            <w:webHidden/>
          </w:rPr>
        </w:r>
        <w:r w:rsidR="00B41EE3">
          <w:rPr>
            <w:noProof/>
            <w:webHidden/>
          </w:rPr>
          <w:fldChar w:fldCharType="separate"/>
        </w:r>
        <w:r w:rsidR="007A79EF">
          <w:rPr>
            <w:noProof/>
            <w:webHidden/>
          </w:rPr>
          <w:t>1</w:t>
        </w:r>
        <w:r w:rsidR="00B41EE3">
          <w:rPr>
            <w:noProof/>
            <w:webHidden/>
          </w:rPr>
          <w:fldChar w:fldCharType="end"/>
        </w:r>
      </w:hyperlink>
    </w:p>
    <w:p w14:paraId="3EE04058" w14:textId="696A2AC0"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06" w:history="1">
        <w:r w:rsidR="00B41EE3" w:rsidRPr="000D3710">
          <w:rPr>
            <w:rStyle w:val="Hyperlink"/>
            <w:noProof/>
          </w:rPr>
          <w:t xml:space="preserve">1(a) </w:t>
        </w:r>
        <w:r w:rsidR="00B41EE3">
          <w:rPr>
            <w:rFonts w:asciiTheme="minorHAnsi" w:eastAsiaTheme="minorEastAsia" w:hAnsiTheme="minorHAnsi" w:cstheme="minorBidi"/>
            <w:noProof/>
            <w:sz w:val="22"/>
            <w:szCs w:val="22"/>
          </w:rPr>
          <w:tab/>
        </w:r>
        <w:r w:rsidR="00B41EE3" w:rsidRPr="000D3710">
          <w:rPr>
            <w:rStyle w:val="Hyperlink"/>
            <w:noProof/>
          </w:rPr>
          <w:t>Title and Number of the Information Collection</w:t>
        </w:r>
        <w:r w:rsidR="00B41EE3">
          <w:rPr>
            <w:noProof/>
            <w:webHidden/>
          </w:rPr>
          <w:tab/>
        </w:r>
        <w:r w:rsidR="00B41EE3">
          <w:rPr>
            <w:noProof/>
            <w:webHidden/>
          </w:rPr>
          <w:fldChar w:fldCharType="begin"/>
        </w:r>
        <w:r w:rsidR="00B41EE3">
          <w:rPr>
            <w:noProof/>
            <w:webHidden/>
          </w:rPr>
          <w:instrText xml:space="preserve"> PAGEREF _Toc23139106 \h </w:instrText>
        </w:r>
        <w:r w:rsidR="00B41EE3">
          <w:rPr>
            <w:noProof/>
            <w:webHidden/>
          </w:rPr>
        </w:r>
        <w:r w:rsidR="00B41EE3">
          <w:rPr>
            <w:noProof/>
            <w:webHidden/>
          </w:rPr>
          <w:fldChar w:fldCharType="separate"/>
        </w:r>
        <w:r w:rsidR="007A79EF">
          <w:rPr>
            <w:noProof/>
            <w:webHidden/>
          </w:rPr>
          <w:t>1</w:t>
        </w:r>
        <w:r w:rsidR="00B41EE3">
          <w:rPr>
            <w:noProof/>
            <w:webHidden/>
          </w:rPr>
          <w:fldChar w:fldCharType="end"/>
        </w:r>
      </w:hyperlink>
    </w:p>
    <w:p w14:paraId="3C11398D" w14:textId="27F32D93"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07" w:history="1">
        <w:r w:rsidR="00B41EE3" w:rsidRPr="000D3710">
          <w:rPr>
            <w:rStyle w:val="Hyperlink"/>
            <w:noProof/>
          </w:rPr>
          <w:t xml:space="preserve">1(b) </w:t>
        </w:r>
        <w:r w:rsidR="00B41EE3">
          <w:rPr>
            <w:rFonts w:asciiTheme="minorHAnsi" w:eastAsiaTheme="minorEastAsia" w:hAnsiTheme="minorHAnsi" w:cstheme="minorBidi"/>
            <w:noProof/>
            <w:sz w:val="22"/>
            <w:szCs w:val="22"/>
          </w:rPr>
          <w:tab/>
        </w:r>
        <w:r w:rsidR="00B41EE3" w:rsidRPr="000D3710">
          <w:rPr>
            <w:rStyle w:val="Hyperlink"/>
            <w:noProof/>
          </w:rPr>
          <w:t>Short Characterization/Abstract</w:t>
        </w:r>
        <w:r w:rsidR="00B41EE3">
          <w:rPr>
            <w:noProof/>
            <w:webHidden/>
          </w:rPr>
          <w:tab/>
        </w:r>
        <w:r w:rsidR="00B41EE3">
          <w:rPr>
            <w:noProof/>
            <w:webHidden/>
          </w:rPr>
          <w:fldChar w:fldCharType="begin"/>
        </w:r>
        <w:r w:rsidR="00B41EE3">
          <w:rPr>
            <w:noProof/>
            <w:webHidden/>
          </w:rPr>
          <w:instrText xml:space="preserve"> PAGEREF _Toc23139107 \h </w:instrText>
        </w:r>
        <w:r w:rsidR="00B41EE3">
          <w:rPr>
            <w:noProof/>
            <w:webHidden/>
          </w:rPr>
        </w:r>
        <w:r w:rsidR="00B41EE3">
          <w:rPr>
            <w:noProof/>
            <w:webHidden/>
          </w:rPr>
          <w:fldChar w:fldCharType="separate"/>
        </w:r>
        <w:r w:rsidR="007A79EF">
          <w:rPr>
            <w:noProof/>
            <w:webHidden/>
          </w:rPr>
          <w:t>1</w:t>
        </w:r>
        <w:r w:rsidR="00B41EE3">
          <w:rPr>
            <w:noProof/>
            <w:webHidden/>
          </w:rPr>
          <w:fldChar w:fldCharType="end"/>
        </w:r>
      </w:hyperlink>
    </w:p>
    <w:p w14:paraId="7BD997EE" w14:textId="18BA62F7" w:rsidR="00B41EE3" w:rsidRDefault="00085335">
      <w:pPr>
        <w:pStyle w:val="TOC1"/>
        <w:tabs>
          <w:tab w:val="left" w:pos="480"/>
          <w:tab w:val="right" w:leader="dot" w:pos="9350"/>
        </w:tabs>
        <w:rPr>
          <w:rFonts w:asciiTheme="minorHAnsi" w:eastAsiaTheme="minorEastAsia" w:hAnsiTheme="minorHAnsi" w:cstheme="minorBidi"/>
          <w:noProof/>
          <w:sz w:val="22"/>
          <w:szCs w:val="22"/>
        </w:rPr>
      </w:pPr>
      <w:hyperlink w:anchor="_Toc23139108" w:history="1">
        <w:r w:rsidR="00B41EE3" w:rsidRPr="000D3710">
          <w:rPr>
            <w:rStyle w:val="Hyperlink"/>
            <w:noProof/>
          </w:rPr>
          <w:t xml:space="preserve">2 </w:t>
        </w:r>
        <w:r w:rsidR="00B41EE3">
          <w:rPr>
            <w:rFonts w:asciiTheme="minorHAnsi" w:eastAsiaTheme="minorEastAsia" w:hAnsiTheme="minorHAnsi" w:cstheme="minorBidi"/>
            <w:noProof/>
            <w:sz w:val="22"/>
            <w:szCs w:val="22"/>
          </w:rPr>
          <w:tab/>
        </w:r>
        <w:r w:rsidR="00B41EE3" w:rsidRPr="000D3710">
          <w:rPr>
            <w:rStyle w:val="Hyperlink"/>
            <w:noProof/>
          </w:rPr>
          <w:t>NEED FOR AND USE OF THE COLLECTION</w:t>
        </w:r>
        <w:r w:rsidR="00B41EE3">
          <w:rPr>
            <w:noProof/>
            <w:webHidden/>
          </w:rPr>
          <w:tab/>
        </w:r>
        <w:r w:rsidR="00B41EE3">
          <w:rPr>
            <w:noProof/>
            <w:webHidden/>
          </w:rPr>
          <w:fldChar w:fldCharType="begin"/>
        </w:r>
        <w:r w:rsidR="00B41EE3">
          <w:rPr>
            <w:noProof/>
            <w:webHidden/>
          </w:rPr>
          <w:instrText xml:space="preserve"> PAGEREF _Toc23139108 \h </w:instrText>
        </w:r>
        <w:r w:rsidR="00B41EE3">
          <w:rPr>
            <w:noProof/>
            <w:webHidden/>
          </w:rPr>
        </w:r>
        <w:r w:rsidR="00B41EE3">
          <w:rPr>
            <w:noProof/>
            <w:webHidden/>
          </w:rPr>
          <w:fldChar w:fldCharType="separate"/>
        </w:r>
        <w:r w:rsidR="007A79EF">
          <w:rPr>
            <w:noProof/>
            <w:webHidden/>
          </w:rPr>
          <w:t>3</w:t>
        </w:r>
        <w:r w:rsidR="00B41EE3">
          <w:rPr>
            <w:noProof/>
            <w:webHidden/>
          </w:rPr>
          <w:fldChar w:fldCharType="end"/>
        </w:r>
      </w:hyperlink>
    </w:p>
    <w:p w14:paraId="65A69120" w14:textId="7EF0FC14"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09" w:history="1">
        <w:r w:rsidR="00B41EE3" w:rsidRPr="000D3710">
          <w:rPr>
            <w:rStyle w:val="Hyperlink"/>
            <w:noProof/>
          </w:rPr>
          <w:t xml:space="preserve">2(a) </w:t>
        </w:r>
        <w:r w:rsidR="00B41EE3">
          <w:rPr>
            <w:rFonts w:asciiTheme="minorHAnsi" w:eastAsiaTheme="minorEastAsia" w:hAnsiTheme="minorHAnsi" w:cstheme="minorBidi"/>
            <w:noProof/>
            <w:sz w:val="22"/>
            <w:szCs w:val="22"/>
          </w:rPr>
          <w:tab/>
        </w:r>
        <w:r w:rsidR="00B41EE3" w:rsidRPr="000D3710">
          <w:rPr>
            <w:rStyle w:val="Hyperlink"/>
            <w:noProof/>
          </w:rPr>
          <w:t>Need/Authority for the Collection</w:t>
        </w:r>
        <w:r w:rsidR="00B41EE3">
          <w:rPr>
            <w:noProof/>
            <w:webHidden/>
          </w:rPr>
          <w:tab/>
        </w:r>
        <w:r w:rsidR="00B41EE3">
          <w:rPr>
            <w:noProof/>
            <w:webHidden/>
          </w:rPr>
          <w:fldChar w:fldCharType="begin"/>
        </w:r>
        <w:r w:rsidR="00B41EE3">
          <w:rPr>
            <w:noProof/>
            <w:webHidden/>
          </w:rPr>
          <w:instrText xml:space="preserve"> PAGEREF _Toc23139109 \h </w:instrText>
        </w:r>
        <w:r w:rsidR="00B41EE3">
          <w:rPr>
            <w:noProof/>
            <w:webHidden/>
          </w:rPr>
        </w:r>
        <w:r w:rsidR="00B41EE3">
          <w:rPr>
            <w:noProof/>
            <w:webHidden/>
          </w:rPr>
          <w:fldChar w:fldCharType="separate"/>
        </w:r>
        <w:r w:rsidR="007A79EF">
          <w:rPr>
            <w:noProof/>
            <w:webHidden/>
          </w:rPr>
          <w:t>3</w:t>
        </w:r>
        <w:r w:rsidR="00B41EE3">
          <w:rPr>
            <w:noProof/>
            <w:webHidden/>
          </w:rPr>
          <w:fldChar w:fldCharType="end"/>
        </w:r>
      </w:hyperlink>
    </w:p>
    <w:p w14:paraId="421A68A5" w14:textId="6988C6A6"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0" w:history="1">
        <w:r w:rsidR="00B41EE3" w:rsidRPr="000D3710">
          <w:rPr>
            <w:rStyle w:val="Hyperlink"/>
            <w:noProof/>
          </w:rPr>
          <w:t xml:space="preserve">2(b) </w:t>
        </w:r>
        <w:r w:rsidR="00B41EE3">
          <w:rPr>
            <w:rFonts w:asciiTheme="minorHAnsi" w:eastAsiaTheme="minorEastAsia" w:hAnsiTheme="minorHAnsi" w:cstheme="minorBidi"/>
            <w:noProof/>
            <w:sz w:val="22"/>
            <w:szCs w:val="22"/>
          </w:rPr>
          <w:tab/>
        </w:r>
        <w:r w:rsidR="00B41EE3" w:rsidRPr="000D3710">
          <w:rPr>
            <w:rStyle w:val="Hyperlink"/>
            <w:noProof/>
          </w:rPr>
          <w:t>Uses/Users of the Data</w:t>
        </w:r>
        <w:r w:rsidR="00B41EE3">
          <w:rPr>
            <w:noProof/>
            <w:webHidden/>
          </w:rPr>
          <w:tab/>
        </w:r>
        <w:r w:rsidR="00B41EE3">
          <w:rPr>
            <w:noProof/>
            <w:webHidden/>
          </w:rPr>
          <w:fldChar w:fldCharType="begin"/>
        </w:r>
        <w:r w:rsidR="00B41EE3">
          <w:rPr>
            <w:noProof/>
            <w:webHidden/>
          </w:rPr>
          <w:instrText xml:space="preserve"> PAGEREF _Toc23139110 \h </w:instrText>
        </w:r>
        <w:r w:rsidR="00B41EE3">
          <w:rPr>
            <w:noProof/>
            <w:webHidden/>
          </w:rPr>
        </w:r>
        <w:r w:rsidR="00B41EE3">
          <w:rPr>
            <w:noProof/>
            <w:webHidden/>
          </w:rPr>
          <w:fldChar w:fldCharType="separate"/>
        </w:r>
        <w:r w:rsidR="007A79EF">
          <w:rPr>
            <w:noProof/>
            <w:webHidden/>
          </w:rPr>
          <w:t>4</w:t>
        </w:r>
        <w:r w:rsidR="00B41EE3">
          <w:rPr>
            <w:noProof/>
            <w:webHidden/>
          </w:rPr>
          <w:fldChar w:fldCharType="end"/>
        </w:r>
      </w:hyperlink>
    </w:p>
    <w:p w14:paraId="0A2D4AA0" w14:textId="2483C7A1"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11" w:history="1">
        <w:r w:rsidR="00B41EE3" w:rsidRPr="000D3710">
          <w:rPr>
            <w:rStyle w:val="Hyperlink"/>
            <w:noProof/>
          </w:rPr>
          <w:t xml:space="preserve">2(b)(i) </w:t>
        </w:r>
        <w:r w:rsidR="00B41EE3">
          <w:rPr>
            <w:rFonts w:asciiTheme="minorHAnsi" w:eastAsiaTheme="minorEastAsia" w:hAnsiTheme="minorHAnsi" w:cstheme="minorBidi"/>
            <w:noProof/>
            <w:sz w:val="22"/>
            <w:szCs w:val="22"/>
          </w:rPr>
          <w:tab/>
        </w:r>
        <w:r w:rsidR="00B41EE3" w:rsidRPr="000D3710">
          <w:rPr>
            <w:rStyle w:val="Hyperlink"/>
            <w:noProof/>
          </w:rPr>
          <w:t>Uses of the Data</w:t>
        </w:r>
        <w:r w:rsidR="00B41EE3">
          <w:rPr>
            <w:noProof/>
            <w:webHidden/>
          </w:rPr>
          <w:tab/>
        </w:r>
        <w:r w:rsidR="00B41EE3">
          <w:rPr>
            <w:noProof/>
            <w:webHidden/>
          </w:rPr>
          <w:fldChar w:fldCharType="begin"/>
        </w:r>
        <w:r w:rsidR="00B41EE3">
          <w:rPr>
            <w:noProof/>
            <w:webHidden/>
          </w:rPr>
          <w:instrText xml:space="preserve"> PAGEREF _Toc23139111 \h </w:instrText>
        </w:r>
        <w:r w:rsidR="00B41EE3">
          <w:rPr>
            <w:noProof/>
            <w:webHidden/>
          </w:rPr>
        </w:r>
        <w:r w:rsidR="00B41EE3">
          <w:rPr>
            <w:noProof/>
            <w:webHidden/>
          </w:rPr>
          <w:fldChar w:fldCharType="separate"/>
        </w:r>
        <w:r w:rsidR="007A79EF">
          <w:rPr>
            <w:noProof/>
            <w:webHidden/>
          </w:rPr>
          <w:t>4</w:t>
        </w:r>
        <w:r w:rsidR="00B41EE3">
          <w:rPr>
            <w:noProof/>
            <w:webHidden/>
          </w:rPr>
          <w:fldChar w:fldCharType="end"/>
        </w:r>
      </w:hyperlink>
    </w:p>
    <w:p w14:paraId="069496F3" w14:textId="6020DA8D"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12" w:history="1">
        <w:r w:rsidR="00B41EE3" w:rsidRPr="000D3710">
          <w:rPr>
            <w:rStyle w:val="Hyperlink"/>
            <w:noProof/>
          </w:rPr>
          <w:t xml:space="preserve">2(b)(ii) </w:t>
        </w:r>
        <w:r w:rsidR="00B41EE3">
          <w:rPr>
            <w:rFonts w:asciiTheme="minorHAnsi" w:eastAsiaTheme="minorEastAsia" w:hAnsiTheme="minorHAnsi" w:cstheme="minorBidi"/>
            <w:noProof/>
            <w:sz w:val="22"/>
            <w:szCs w:val="22"/>
          </w:rPr>
          <w:tab/>
        </w:r>
        <w:r w:rsidR="00B41EE3" w:rsidRPr="000D3710">
          <w:rPr>
            <w:rStyle w:val="Hyperlink"/>
            <w:noProof/>
          </w:rPr>
          <w:t>Users of the Data</w:t>
        </w:r>
        <w:r w:rsidR="00B41EE3">
          <w:rPr>
            <w:noProof/>
            <w:webHidden/>
          </w:rPr>
          <w:tab/>
        </w:r>
        <w:r w:rsidR="00B41EE3">
          <w:rPr>
            <w:noProof/>
            <w:webHidden/>
          </w:rPr>
          <w:fldChar w:fldCharType="begin"/>
        </w:r>
        <w:r w:rsidR="00B41EE3">
          <w:rPr>
            <w:noProof/>
            <w:webHidden/>
          </w:rPr>
          <w:instrText xml:space="preserve"> PAGEREF _Toc23139112 \h </w:instrText>
        </w:r>
        <w:r w:rsidR="00B41EE3">
          <w:rPr>
            <w:noProof/>
            <w:webHidden/>
          </w:rPr>
        </w:r>
        <w:r w:rsidR="00B41EE3">
          <w:rPr>
            <w:noProof/>
            <w:webHidden/>
          </w:rPr>
          <w:fldChar w:fldCharType="separate"/>
        </w:r>
        <w:r w:rsidR="007A79EF">
          <w:rPr>
            <w:noProof/>
            <w:webHidden/>
          </w:rPr>
          <w:t>7</w:t>
        </w:r>
        <w:r w:rsidR="00B41EE3">
          <w:rPr>
            <w:noProof/>
            <w:webHidden/>
          </w:rPr>
          <w:fldChar w:fldCharType="end"/>
        </w:r>
      </w:hyperlink>
    </w:p>
    <w:p w14:paraId="0D6F8BF2" w14:textId="667161ED" w:rsidR="00B41EE3" w:rsidRDefault="00085335">
      <w:pPr>
        <w:pStyle w:val="TOC1"/>
        <w:tabs>
          <w:tab w:val="left" w:pos="480"/>
          <w:tab w:val="right" w:leader="dot" w:pos="9350"/>
        </w:tabs>
        <w:rPr>
          <w:rFonts w:asciiTheme="minorHAnsi" w:eastAsiaTheme="minorEastAsia" w:hAnsiTheme="minorHAnsi" w:cstheme="minorBidi"/>
          <w:noProof/>
          <w:sz w:val="22"/>
          <w:szCs w:val="22"/>
        </w:rPr>
      </w:pPr>
      <w:hyperlink w:anchor="_Toc23139113" w:history="1">
        <w:r w:rsidR="00B41EE3" w:rsidRPr="000D3710">
          <w:rPr>
            <w:rStyle w:val="Hyperlink"/>
            <w:noProof/>
          </w:rPr>
          <w:t>3</w:t>
        </w:r>
        <w:r w:rsidR="00B41EE3">
          <w:rPr>
            <w:rFonts w:asciiTheme="minorHAnsi" w:eastAsiaTheme="minorEastAsia" w:hAnsiTheme="minorHAnsi" w:cstheme="minorBidi"/>
            <w:noProof/>
            <w:sz w:val="22"/>
            <w:szCs w:val="22"/>
          </w:rPr>
          <w:tab/>
        </w:r>
        <w:r w:rsidR="00B41EE3" w:rsidRPr="000D3710">
          <w:rPr>
            <w:rStyle w:val="Hyperlink"/>
            <w:noProof/>
          </w:rPr>
          <w:t>NON-DUPLICATION, CONSULTATIONS, AND OTHER COLLECTION CRITERIA</w:t>
        </w:r>
        <w:r w:rsidR="00B41EE3">
          <w:rPr>
            <w:noProof/>
            <w:webHidden/>
          </w:rPr>
          <w:tab/>
        </w:r>
        <w:r w:rsidR="00B41EE3">
          <w:rPr>
            <w:noProof/>
            <w:webHidden/>
          </w:rPr>
          <w:fldChar w:fldCharType="begin"/>
        </w:r>
        <w:r w:rsidR="00B41EE3">
          <w:rPr>
            <w:noProof/>
            <w:webHidden/>
          </w:rPr>
          <w:instrText xml:space="preserve"> PAGEREF _Toc23139113 \h </w:instrText>
        </w:r>
        <w:r w:rsidR="00B41EE3">
          <w:rPr>
            <w:noProof/>
            <w:webHidden/>
          </w:rPr>
        </w:r>
        <w:r w:rsidR="00B41EE3">
          <w:rPr>
            <w:noProof/>
            <w:webHidden/>
          </w:rPr>
          <w:fldChar w:fldCharType="separate"/>
        </w:r>
        <w:r w:rsidR="007A79EF">
          <w:rPr>
            <w:noProof/>
            <w:webHidden/>
          </w:rPr>
          <w:t>7</w:t>
        </w:r>
        <w:r w:rsidR="00B41EE3">
          <w:rPr>
            <w:noProof/>
            <w:webHidden/>
          </w:rPr>
          <w:fldChar w:fldCharType="end"/>
        </w:r>
      </w:hyperlink>
    </w:p>
    <w:p w14:paraId="0B588814" w14:textId="2E0465E9"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4" w:history="1">
        <w:r w:rsidR="00B41EE3" w:rsidRPr="000D3710">
          <w:rPr>
            <w:rStyle w:val="Hyperlink"/>
            <w:noProof/>
          </w:rPr>
          <w:t xml:space="preserve">3(a) </w:t>
        </w:r>
        <w:r w:rsidR="00B41EE3">
          <w:rPr>
            <w:rFonts w:asciiTheme="minorHAnsi" w:eastAsiaTheme="minorEastAsia" w:hAnsiTheme="minorHAnsi" w:cstheme="minorBidi"/>
            <w:noProof/>
            <w:sz w:val="22"/>
            <w:szCs w:val="22"/>
          </w:rPr>
          <w:tab/>
        </w:r>
        <w:r w:rsidR="00B41EE3" w:rsidRPr="000D3710">
          <w:rPr>
            <w:rStyle w:val="Hyperlink"/>
            <w:noProof/>
          </w:rPr>
          <w:t>Non-duplication</w:t>
        </w:r>
        <w:r w:rsidR="00B41EE3">
          <w:rPr>
            <w:noProof/>
            <w:webHidden/>
          </w:rPr>
          <w:tab/>
        </w:r>
        <w:r w:rsidR="00B41EE3">
          <w:rPr>
            <w:noProof/>
            <w:webHidden/>
          </w:rPr>
          <w:fldChar w:fldCharType="begin"/>
        </w:r>
        <w:r w:rsidR="00B41EE3">
          <w:rPr>
            <w:noProof/>
            <w:webHidden/>
          </w:rPr>
          <w:instrText xml:space="preserve"> PAGEREF _Toc23139114 \h </w:instrText>
        </w:r>
        <w:r w:rsidR="00B41EE3">
          <w:rPr>
            <w:noProof/>
            <w:webHidden/>
          </w:rPr>
        </w:r>
        <w:r w:rsidR="00B41EE3">
          <w:rPr>
            <w:noProof/>
            <w:webHidden/>
          </w:rPr>
          <w:fldChar w:fldCharType="separate"/>
        </w:r>
        <w:r w:rsidR="007A79EF">
          <w:rPr>
            <w:noProof/>
            <w:webHidden/>
          </w:rPr>
          <w:t>7</w:t>
        </w:r>
        <w:r w:rsidR="00B41EE3">
          <w:rPr>
            <w:noProof/>
            <w:webHidden/>
          </w:rPr>
          <w:fldChar w:fldCharType="end"/>
        </w:r>
      </w:hyperlink>
    </w:p>
    <w:p w14:paraId="5E690D7A" w14:textId="4B348323"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5" w:history="1">
        <w:r w:rsidR="00B41EE3" w:rsidRPr="000D3710">
          <w:rPr>
            <w:rStyle w:val="Hyperlink"/>
            <w:noProof/>
          </w:rPr>
          <w:t xml:space="preserve">3(b) </w:t>
        </w:r>
        <w:r w:rsidR="00B41EE3">
          <w:rPr>
            <w:rFonts w:asciiTheme="minorHAnsi" w:eastAsiaTheme="minorEastAsia" w:hAnsiTheme="minorHAnsi" w:cstheme="minorBidi"/>
            <w:noProof/>
            <w:sz w:val="22"/>
            <w:szCs w:val="22"/>
          </w:rPr>
          <w:tab/>
        </w:r>
        <w:r w:rsidR="00B41EE3" w:rsidRPr="000D3710">
          <w:rPr>
            <w:rStyle w:val="Hyperlink"/>
            <w:noProof/>
          </w:rPr>
          <w:t>Public Notice Required Prior to ICR Submission to OMB</w:t>
        </w:r>
        <w:r w:rsidR="00B41EE3">
          <w:rPr>
            <w:noProof/>
            <w:webHidden/>
          </w:rPr>
          <w:tab/>
        </w:r>
        <w:r w:rsidR="00B41EE3">
          <w:rPr>
            <w:noProof/>
            <w:webHidden/>
          </w:rPr>
          <w:fldChar w:fldCharType="begin"/>
        </w:r>
        <w:r w:rsidR="00B41EE3">
          <w:rPr>
            <w:noProof/>
            <w:webHidden/>
          </w:rPr>
          <w:instrText xml:space="preserve"> PAGEREF _Toc23139115 \h </w:instrText>
        </w:r>
        <w:r w:rsidR="00B41EE3">
          <w:rPr>
            <w:noProof/>
            <w:webHidden/>
          </w:rPr>
        </w:r>
        <w:r w:rsidR="00B41EE3">
          <w:rPr>
            <w:noProof/>
            <w:webHidden/>
          </w:rPr>
          <w:fldChar w:fldCharType="separate"/>
        </w:r>
        <w:r w:rsidR="007A79EF">
          <w:rPr>
            <w:noProof/>
            <w:webHidden/>
          </w:rPr>
          <w:t>8</w:t>
        </w:r>
        <w:r w:rsidR="00B41EE3">
          <w:rPr>
            <w:noProof/>
            <w:webHidden/>
          </w:rPr>
          <w:fldChar w:fldCharType="end"/>
        </w:r>
      </w:hyperlink>
    </w:p>
    <w:p w14:paraId="7F36F395" w14:textId="2CDDBBC7"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6" w:history="1">
        <w:r w:rsidR="00B41EE3" w:rsidRPr="000D3710">
          <w:rPr>
            <w:rStyle w:val="Hyperlink"/>
            <w:noProof/>
          </w:rPr>
          <w:t xml:space="preserve">3(c) </w:t>
        </w:r>
        <w:r w:rsidR="00B41EE3">
          <w:rPr>
            <w:rFonts w:asciiTheme="minorHAnsi" w:eastAsiaTheme="minorEastAsia" w:hAnsiTheme="minorHAnsi" w:cstheme="minorBidi"/>
            <w:noProof/>
            <w:sz w:val="22"/>
            <w:szCs w:val="22"/>
          </w:rPr>
          <w:tab/>
        </w:r>
        <w:r w:rsidR="00B41EE3" w:rsidRPr="000D3710">
          <w:rPr>
            <w:rStyle w:val="Hyperlink"/>
            <w:noProof/>
          </w:rPr>
          <w:t>Consultations</w:t>
        </w:r>
        <w:r w:rsidR="00B41EE3">
          <w:rPr>
            <w:noProof/>
            <w:webHidden/>
          </w:rPr>
          <w:tab/>
        </w:r>
        <w:r w:rsidR="00B41EE3">
          <w:rPr>
            <w:noProof/>
            <w:webHidden/>
          </w:rPr>
          <w:fldChar w:fldCharType="begin"/>
        </w:r>
        <w:r w:rsidR="00B41EE3">
          <w:rPr>
            <w:noProof/>
            <w:webHidden/>
          </w:rPr>
          <w:instrText xml:space="preserve"> PAGEREF _Toc23139116 \h </w:instrText>
        </w:r>
        <w:r w:rsidR="00B41EE3">
          <w:rPr>
            <w:noProof/>
            <w:webHidden/>
          </w:rPr>
        </w:r>
        <w:r w:rsidR="00B41EE3">
          <w:rPr>
            <w:noProof/>
            <w:webHidden/>
          </w:rPr>
          <w:fldChar w:fldCharType="separate"/>
        </w:r>
        <w:r w:rsidR="007A79EF">
          <w:rPr>
            <w:noProof/>
            <w:webHidden/>
          </w:rPr>
          <w:t>8</w:t>
        </w:r>
        <w:r w:rsidR="00B41EE3">
          <w:rPr>
            <w:noProof/>
            <w:webHidden/>
          </w:rPr>
          <w:fldChar w:fldCharType="end"/>
        </w:r>
      </w:hyperlink>
    </w:p>
    <w:p w14:paraId="7A2B9B67" w14:textId="408F010B"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7" w:history="1">
        <w:r w:rsidR="00B41EE3" w:rsidRPr="000D3710">
          <w:rPr>
            <w:rStyle w:val="Hyperlink"/>
            <w:noProof/>
          </w:rPr>
          <w:t xml:space="preserve">3(d) </w:t>
        </w:r>
        <w:r w:rsidR="00B41EE3">
          <w:rPr>
            <w:rFonts w:asciiTheme="minorHAnsi" w:eastAsiaTheme="minorEastAsia" w:hAnsiTheme="minorHAnsi" w:cstheme="minorBidi"/>
            <w:noProof/>
            <w:sz w:val="22"/>
            <w:szCs w:val="22"/>
          </w:rPr>
          <w:tab/>
        </w:r>
        <w:r w:rsidR="00B41EE3" w:rsidRPr="000D3710">
          <w:rPr>
            <w:rStyle w:val="Hyperlink"/>
            <w:noProof/>
          </w:rPr>
          <w:t>Effects of Less Frequent Collection</w:t>
        </w:r>
        <w:r w:rsidR="00B41EE3">
          <w:rPr>
            <w:noProof/>
            <w:webHidden/>
          </w:rPr>
          <w:tab/>
        </w:r>
        <w:r w:rsidR="00B41EE3">
          <w:rPr>
            <w:noProof/>
            <w:webHidden/>
          </w:rPr>
          <w:fldChar w:fldCharType="begin"/>
        </w:r>
        <w:r w:rsidR="00B41EE3">
          <w:rPr>
            <w:noProof/>
            <w:webHidden/>
          </w:rPr>
          <w:instrText xml:space="preserve"> PAGEREF _Toc23139117 \h </w:instrText>
        </w:r>
        <w:r w:rsidR="00B41EE3">
          <w:rPr>
            <w:noProof/>
            <w:webHidden/>
          </w:rPr>
        </w:r>
        <w:r w:rsidR="00B41EE3">
          <w:rPr>
            <w:noProof/>
            <w:webHidden/>
          </w:rPr>
          <w:fldChar w:fldCharType="separate"/>
        </w:r>
        <w:r w:rsidR="007A79EF">
          <w:rPr>
            <w:noProof/>
            <w:webHidden/>
          </w:rPr>
          <w:t>11</w:t>
        </w:r>
        <w:r w:rsidR="00B41EE3">
          <w:rPr>
            <w:noProof/>
            <w:webHidden/>
          </w:rPr>
          <w:fldChar w:fldCharType="end"/>
        </w:r>
      </w:hyperlink>
    </w:p>
    <w:p w14:paraId="75F5BD6B" w14:textId="174A66B2"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8" w:history="1">
        <w:r w:rsidR="00B41EE3" w:rsidRPr="000D3710">
          <w:rPr>
            <w:rStyle w:val="Hyperlink"/>
            <w:noProof/>
          </w:rPr>
          <w:t xml:space="preserve">3(e) </w:t>
        </w:r>
        <w:r w:rsidR="00B41EE3">
          <w:rPr>
            <w:rFonts w:asciiTheme="minorHAnsi" w:eastAsiaTheme="minorEastAsia" w:hAnsiTheme="minorHAnsi" w:cstheme="minorBidi"/>
            <w:noProof/>
            <w:sz w:val="22"/>
            <w:szCs w:val="22"/>
          </w:rPr>
          <w:tab/>
        </w:r>
        <w:r w:rsidR="00B41EE3" w:rsidRPr="000D3710">
          <w:rPr>
            <w:rStyle w:val="Hyperlink"/>
            <w:noProof/>
          </w:rPr>
          <w:t>General Guidelines</w:t>
        </w:r>
        <w:r w:rsidR="00B41EE3">
          <w:rPr>
            <w:noProof/>
            <w:webHidden/>
          </w:rPr>
          <w:tab/>
        </w:r>
        <w:r w:rsidR="00B41EE3">
          <w:rPr>
            <w:noProof/>
            <w:webHidden/>
          </w:rPr>
          <w:fldChar w:fldCharType="begin"/>
        </w:r>
        <w:r w:rsidR="00B41EE3">
          <w:rPr>
            <w:noProof/>
            <w:webHidden/>
          </w:rPr>
          <w:instrText xml:space="preserve"> PAGEREF _Toc23139118 \h </w:instrText>
        </w:r>
        <w:r w:rsidR="00B41EE3">
          <w:rPr>
            <w:noProof/>
            <w:webHidden/>
          </w:rPr>
        </w:r>
        <w:r w:rsidR="00B41EE3">
          <w:rPr>
            <w:noProof/>
            <w:webHidden/>
          </w:rPr>
          <w:fldChar w:fldCharType="separate"/>
        </w:r>
        <w:r w:rsidR="007A79EF">
          <w:rPr>
            <w:noProof/>
            <w:webHidden/>
          </w:rPr>
          <w:t>12</w:t>
        </w:r>
        <w:r w:rsidR="00B41EE3">
          <w:rPr>
            <w:noProof/>
            <w:webHidden/>
          </w:rPr>
          <w:fldChar w:fldCharType="end"/>
        </w:r>
      </w:hyperlink>
    </w:p>
    <w:p w14:paraId="6F70AD93" w14:textId="23355749"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19" w:history="1">
        <w:r w:rsidR="00B41EE3" w:rsidRPr="000D3710">
          <w:rPr>
            <w:rStyle w:val="Hyperlink"/>
            <w:noProof/>
          </w:rPr>
          <w:t xml:space="preserve">3(f) </w:t>
        </w:r>
        <w:r w:rsidR="00B41EE3">
          <w:rPr>
            <w:rFonts w:asciiTheme="minorHAnsi" w:eastAsiaTheme="minorEastAsia" w:hAnsiTheme="minorHAnsi" w:cstheme="minorBidi"/>
            <w:noProof/>
            <w:sz w:val="22"/>
            <w:szCs w:val="22"/>
          </w:rPr>
          <w:tab/>
        </w:r>
        <w:r w:rsidR="00B41EE3" w:rsidRPr="000D3710">
          <w:rPr>
            <w:rStyle w:val="Hyperlink"/>
            <w:noProof/>
          </w:rPr>
          <w:t>Confidentiality</w:t>
        </w:r>
        <w:r w:rsidR="00B41EE3">
          <w:rPr>
            <w:noProof/>
            <w:webHidden/>
          </w:rPr>
          <w:tab/>
        </w:r>
        <w:r w:rsidR="00B41EE3">
          <w:rPr>
            <w:noProof/>
            <w:webHidden/>
          </w:rPr>
          <w:fldChar w:fldCharType="begin"/>
        </w:r>
        <w:r w:rsidR="00B41EE3">
          <w:rPr>
            <w:noProof/>
            <w:webHidden/>
          </w:rPr>
          <w:instrText xml:space="preserve"> PAGEREF _Toc23139119 \h </w:instrText>
        </w:r>
        <w:r w:rsidR="00B41EE3">
          <w:rPr>
            <w:noProof/>
            <w:webHidden/>
          </w:rPr>
        </w:r>
        <w:r w:rsidR="00B41EE3">
          <w:rPr>
            <w:noProof/>
            <w:webHidden/>
          </w:rPr>
          <w:fldChar w:fldCharType="separate"/>
        </w:r>
        <w:r w:rsidR="007A79EF">
          <w:rPr>
            <w:noProof/>
            <w:webHidden/>
          </w:rPr>
          <w:t>12</w:t>
        </w:r>
        <w:r w:rsidR="00B41EE3">
          <w:rPr>
            <w:noProof/>
            <w:webHidden/>
          </w:rPr>
          <w:fldChar w:fldCharType="end"/>
        </w:r>
      </w:hyperlink>
    </w:p>
    <w:p w14:paraId="50BFDC68" w14:textId="64FD83F6"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0" w:history="1">
        <w:r w:rsidR="00B41EE3" w:rsidRPr="000D3710">
          <w:rPr>
            <w:rStyle w:val="Hyperlink"/>
            <w:noProof/>
          </w:rPr>
          <w:t xml:space="preserve">3(g) </w:t>
        </w:r>
        <w:r w:rsidR="00B41EE3">
          <w:rPr>
            <w:rFonts w:asciiTheme="minorHAnsi" w:eastAsiaTheme="minorEastAsia" w:hAnsiTheme="minorHAnsi" w:cstheme="minorBidi"/>
            <w:noProof/>
            <w:sz w:val="22"/>
            <w:szCs w:val="22"/>
          </w:rPr>
          <w:tab/>
        </w:r>
        <w:r w:rsidR="00B41EE3" w:rsidRPr="000D3710">
          <w:rPr>
            <w:rStyle w:val="Hyperlink"/>
            <w:noProof/>
          </w:rPr>
          <w:t>Sensitive Questions</w:t>
        </w:r>
        <w:r w:rsidR="00B41EE3">
          <w:rPr>
            <w:noProof/>
            <w:webHidden/>
          </w:rPr>
          <w:tab/>
        </w:r>
        <w:r w:rsidR="00B41EE3">
          <w:rPr>
            <w:noProof/>
            <w:webHidden/>
          </w:rPr>
          <w:fldChar w:fldCharType="begin"/>
        </w:r>
        <w:r w:rsidR="00B41EE3">
          <w:rPr>
            <w:noProof/>
            <w:webHidden/>
          </w:rPr>
          <w:instrText xml:space="preserve"> PAGEREF _Toc23139120 \h </w:instrText>
        </w:r>
        <w:r w:rsidR="00B41EE3">
          <w:rPr>
            <w:noProof/>
            <w:webHidden/>
          </w:rPr>
        </w:r>
        <w:r w:rsidR="00B41EE3">
          <w:rPr>
            <w:noProof/>
            <w:webHidden/>
          </w:rPr>
          <w:fldChar w:fldCharType="separate"/>
        </w:r>
        <w:r w:rsidR="007A79EF">
          <w:rPr>
            <w:noProof/>
            <w:webHidden/>
          </w:rPr>
          <w:t>12</w:t>
        </w:r>
        <w:r w:rsidR="00B41EE3">
          <w:rPr>
            <w:noProof/>
            <w:webHidden/>
          </w:rPr>
          <w:fldChar w:fldCharType="end"/>
        </w:r>
      </w:hyperlink>
    </w:p>
    <w:p w14:paraId="6B77734C" w14:textId="1155BECE" w:rsidR="00B41EE3" w:rsidRDefault="00085335">
      <w:pPr>
        <w:pStyle w:val="TOC1"/>
        <w:tabs>
          <w:tab w:val="left" w:pos="480"/>
          <w:tab w:val="right" w:leader="dot" w:pos="9350"/>
        </w:tabs>
        <w:rPr>
          <w:rFonts w:asciiTheme="minorHAnsi" w:eastAsiaTheme="minorEastAsia" w:hAnsiTheme="minorHAnsi" w:cstheme="minorBidi"/>
          <w:noProof/>
          <w:sz w:val="22"/>
          <w:szCs w:val="22"/>
        </w:rPr>
      </w:pPr>
      <w:hyperlink w:anchor="_Toc23139121" w:history="1">
        <w:r w:rsidR="00B41EE3" w:rsidRPr="000D3710">
          <w:rPr>
            <w:rStyle w:val="Hyperlink"/>
            <w:noProof/>
          </w:rPr>
          <w:t xml:space="preserve">4 </w:t>
        </w:r>
        <w:r w:rsidR="00B41EE3">
          <w:rPr>
            <w:rFonts w:asciiTheme="minorHAnsi" w:eastAsiaTheme="minorEastAsia" w:hAnsiTheme="minorHAnsi" w:cstheme="minorBidi"/>
            <w:noProof/>
            <w:sz w:val="22"/>
            <w:szCs w:val="22"/>
          </w:rPr>
          <w:tab/>
        </w:r>
        <w:r w:rsidR="00B41EE3" w:rsidRPr="000D3710">
          <w:rPr>
            <w:rStyle w:val="Hyperlink"/>
            <w:noProof/>
          </w:rPr>
          <w:t>THE RESPONDENTS AND THE INFORMATION REQUESTED</w:t>
        </w:r>
        <w:r w:rsidR="00B41EE3">
          <w:rPr>
            <w:noProof/>
            <w:webHidden/>
          </w:rPr>
          <w:tab/>
        </w:r>
        <w:r w:rsidR="00B41EE3">
          <w:rPr>
            <w:noProof/>
            <w:webHidden/>
          </w:rPr>
          <w:fldChar w:fldCharType="begin"/>
        </w:r>
        <w:r w:rsidR="00B41EE3">
          <w:rPr>
            <w:noProof/>
            <w:webHidden/>
          </w:rPr>
          <w:instrText xml:space="preserve"> PAGEREF _Toc23139121 \h </w:instrText>
        </w:r>
        <w:r w:rsidR="00B41EE3">
          <w:rPr>
            <w:noProof/>
            <w:webHidden/>
          </w:rPr>
        </w:r>
        <w:r w:rsidR="00B41EE3">
          <w:rPr>
            <w:noProof/>
            <w:webHidden/>
          </w:rPr>
          <w:fldChar w:fldCharType="separate"/>
        </w:r>
        <w:r w:rsidR="007A79EF">
          <w:rPr>
            <w:noProof/>
            <w:webHidden/>
          </w:rPr>
          <w:t>12</w:t>
        </w:r>
        <w:r w:rsidR="00B41EE3">
          <w:rPr>
            <w:noProof/>
            <w:webHidden/>
          </w:rPr>
          <w:fldChar w:fldCharType="end"/>
        </w:r>
      </w:hyperlink>
    </w:p>
    <w:p w14:paraId="608F0B91" w14:textId="1EDA7399"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2" w:history="1">
        <w:r w:rsidR="00B41EE3" w:rsidRPr="000D3710">
          <w:rPr>
            <w:rStyle w:val="Hyperlink"/>
            <w:noProof/>
          </w:rPr>
          <w:t xml:space="preserve">4(a) </w:t>
        </w:r>
        <w:r w:rsidR="00B41EE3">
          <w:rPr>
            <w:rFonts w:asciiTheme="minorHAnsi" w:eastAsiaTheme="minorEastAsia" w:hAnsiTheme="minorHAnsi" w:cstheme="minorBidi"/>
            <w:noProof/>
            <w:sz w:val="22"/>
            <w:szCs w:val="22"/>
          </w:rPr>
          <w:tab/>
        </w:r>
        <w:r w:rsidR="00B41EE3" w:rsidRPr="000D3710">
          <w:rPr>
            <w:rStyle w:val="Hyperlink"/>
            <w:noProof/>
          </w:rPr>
          <w:t>Respondents/North American Industry Classification System Codes</w:t>
        </w:r>
        <w:r w:rsidR="00B41EE3">
          <w:rPr>
            <w:noProof/>
            <w:webHidden/>
          </w:rPr>
          <w:tab/>
        </w:r>
        <w:r w:rsidR="00B41EE3">
          <w:rPr>
            <w:noProof/>
            <w:webHidden/>
          </w:rPr>
          <w:fldChar w:fldCharType="begin"/>
        </w:r>
        <w:r w:rsidR="00B41EE3">
          <w:rPr>
            <w:noProof/>
            <w:webHidden/>
          </w:rPr>
          <w:instrText xml:space="preserve"> PAGEREF _Toc23139122 \h </w:instrText>
        </w:r>
        <w:r w:rsidR="00B41EE3">
          <w:rPr>
            <w:noProof/>
            <w:webHidden/>
          </w:rPr>
        </w:r>
        <w:r w:rsidR="00B41EE3">
          <w:rPr>
            <w:noProof/>
            <w:webHidden/>
          </w:rPr>
          <w:fldChar w:fldCharType="separate"/>
        </w:r>
        <w:r w:rsidR="007A79EF">
          <w:rPr>
            <w:noProof/>
            <w:webHidden/>
          </w:rPr>
          <w:t>13</w:t>
        </w:r>
        <w:r w:rsidR="00B41EE3">
          <w:rPr>
            <w:noProof/>
            <w:webHidden/>
          </w:rPr>
          <w:fldChar w:fldCharType="end"/>
        </w:r>
      </w:hyperlink>
    </w:p>
    <w:p w14:paraId="6ABB9550" w14:textId="0ED6132D"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3" w:history="1">
        <w:r w:rsidR="00B41EE3" w:rsidRPr="000D3710">
          <w:rPr>
            <w:rStyle w:val="Hyperlink"/>
            <w:noProof/>
          </w:rPr>
          <w:t xml:space="preserve">4(b) </w:t>
        </w:r>
        <w:r w:rsidR="00B41EE3">
          <w:rPr>
            <w:rFonts w:asciiTheme="minorHAnsi" w:eastAsiaTheme="minorEastAsia" w:hAnsiTheme="minorHAnsi" w:cstheme="minorBidi"/>
            <w:noProof/>
            <w:sz w:val="22"/>
            <w:szCs w:val="22"/>
          </w:rPr>
          <w:tab/>
        </w:r>
        <w:r w:rsidR="00B41EE3" w:rsidRPr="000D3710">
          <w:rPr>
            <w:rStyle w:val="Hyperlink"/>
            <w:noProof/>
          </w:rPr>
          <w:t>Information Requested</w:t>
        </w:r>
        <w:r w:rsidR="00B41EE3">
          <w:rPr>
            <w:noProof/>
            <w:webHidden/>
          </w:rPr>
          <w:tab/>
        </w:r>
        <w:r w:rsidR="00B41EE3">
          <w:rPr>
            <w:noProof/>
            <w:webHidden/>
          </w:rPr>
          <w:fldChar w:fldCharType="begin"/>
        </w:r>
        <w:r w:rsidR="00B41EE3">
          <w:rPr>
            <w:noProof/>
            <w:webHidden/>
          </w:rPr>
          <w:instrText xml:space="preserve"> PAGEREF _Toc23139123 \h </w:instrText>
        </w:r>
        <w:r w:rsidR="00B41EE3">
          <w:rPr>
            <w:noProof/>
            <w:webHidden/>
          </w:rPr>
        </w:r>
        <w:r w:rsidR="00B41EE3">
          <w:rPr>
            <w:noProof/>
            <w:webHidden/>
          </w:rPr>
          <w:fldChar w:fldCharType="separate"/>
        </w:r>
        <w:r w:rsidR="007A79EF">
          <w:rPr>
            <w:noProof/>
            <w:webHidden/>
          </w:rPr>
          <w:t>13</w:t>
        </w:r>
        <w:r w:rsidR="00B41EE3">
          <w:rPr>
            <w:noProof/>
            <w:webHidden/>
          </w:rPr>
          <w:fldChar w:fldCharType="end"/>
        </w:r>
      </w:hyperlink>
    </w:p>
    <w:p w14:paraId="395BFD86" w14:textId="33636539" w:rsidR="00B41EE3" w:rsidRDefault="00085335">
      <w:pPr>
        <w:pStyle w:val="TOC3"/>
        <w:tabs>
          <w:tab w:val="right" w:leader="dot" w:pos="9350"/>
        </w:tabs>
        <w:rPr>
          <w:rFonts w:asciiTheme="minorHAnsi" w:eastAsiaTheme="minorEastAsia" w:hAnsiTheme="minorHAnsi" w:cstheme="minorBidi"/>
          <w:noProof/>
          <w:sz w:val="22"/>
          <w:szCs w:val="22"/>
        </w:rPr>
      </w:pPr>
      <w:hyperlink w:anchor="_Toc23139124" w:history="1">
        <w:r w:rsidR="00B41EE3" w:rsidRPr="000D3710">
          <w:rPr>
            <w:rStyle w:val="Hyperlink"/>
            <w:noProof/>
          </w:rPr>
          <w:t>4(b)(i) Data items</w:t>
        </w:r>
        <w:r w:rsidR="00B41EE3">
          <w:rPr>
            <w:noProof/>
            <w:webHidden/>
          </w:rPr>
          <w:tab/>
        </w:r>
        <w:r w:rsidR="00B41EE3">
          <w:rPr>
            <w:noProof/>
            <w:webHidden/>
          </w:rPr>
          <w:fldChar w:fldCharType="begin"/>
        </w:r>
        <w:r w:rsidR="00B41EE3">
          <w:rPr>
            <w:noProof/>
            <w:webHidden/>
          </w:rPr>
          <w:instrText xml:space="preserve"> PAGEREF _Toc23139124 \h </w:instrText>
        </w:r>
        <w:r w:rsidR="00B41EE3">
          <w:rPr>
            <w:noProof/>
            <w:webHidden/>
          </w:rPr>
        </w:r>
        <w:r w:rsidR="00B41EE3">
          <w:rPr>
            <w:noProof/>
            <w:webHidden/>
          </w:rPr>
          <w:fldChar w:fldCharType="separate"/>
        </w:r>
        <w:r w:rsidR="007A79EF">
          <w:rPr>
            <w:noProof/>
            <w:webHidden/>
          </w:rPr>
          <w:t>13</w:t>
        </w:r>
        <w:r w:rsidR="00B41EE3">
          <w:rPr>
            <w:noProof/>
            <w:webHidden/>
          </w:rPr>
          <w:fldChar w:fldCharType="end"/>
        </w:r>
      </w:hyperlink>
    </w:p>
    <w:p w14:paraId="1919C0E5" w14:textId="30F65497" w:rsidR="00B41EE3" w:rsidRDefault="00085335">
      <w:pPr>
        <w:pStyle w:val="TOC3"/>
        <w:tabs>
          <w:tab w:val="right" w:leader="dot" w:pos="9350"/>
        </w:tabs>
        <w:rPr>
          <w:rFonts w:asciiTheme="minorHAnsi" w:eastAsiaTheme="minorEastAsia" w:hAnsiTheme="minorHAnsi" w:cstheme="minorBidi"/>
          <w:noProof/>
          <w:sz w:val="22"/>
          <w:szCs w:val="22"/>
        </w:rPr>
      </w:pPr>
      <w:hyperlink w:anchor="_Toc23139125" w:history="1">
        <w:r w:rsidR="00B41EE3" w:rsidRPr="000D3710">
          <w:rPr>
            <w:rStyle w:val="Hyperlink"/>
            <w:noProof/>
          </w:rPr>
          <w:t>4(b)(ii) Respondent Activities</w:t>
        </w:r>
        <w:r w:rsidR="00B41EE3">
          <w:rPr>
            <w:noProof/>
            <w:webHidden/>
          </w:rPr>
          <w:tab/>
        </w:r>
        <w:r w:rsidR="00B41EE3">
          <w:rPr>
            <w:noProof/>
            <w:webHidden/>
          </w:rPr>
          <w:fldChar w:fldCharType="begin"/>
        </w:r>
        <w:r w:rsidR="00B41EE3">
          <w:rPr>
            <w:noProof/>
            <w:webHidden/>
          </w:rPr>
          <w:instrText xml:space="preserve"> PAGEREF _Toc23139125 \h </w:instrText>
        </w:r>
        <w:r w:rsidR="00B41EE3">
          <w:rPr>
            <w:noProof/>
            <w:webHidden/>
          </w:rPr>
        </w:r>
        <w:r w:rsidR="00B41EE3">
          <w:rPr>
            <w:noProof/>
            <w:webHidden/>
          </w:rPr>
          <w:fldChar w:fldCharType="separate"/>
        </w:r>
        <w:r w:rsidR="007A79EF">
          <w:rPr>
            <w:noProof/>
            <w:webHidden/>
          </w:rPr>
          <w:t>14</w:t>
        </w:r>
        <w:r w:rsidR="00B41EE3">
          <w:rPr>
            <w:noProof/>
            <w:webHidden/>
          </w:rPr>
          <w:fldChar w:fldCharType="end"/>
        </w:r>
      </w:hyperlink>
    </w:p>
    <w:p w14:paraId="0C09C20C" w14:textId="314B6A1A" w:rsidR="00B41EE3" w:rsidRDefault="00085335">
      <w:pPr>
        <w:pStyle w:val="TOC1"/>
        <w:tabs>
          <w:tab w:val="left" w:pos="480"/>
          <w:tab w:val="right" w:leader="dot" w:pos="9350"/>
        </w:tabs>
        <w:rPr>
          <w:rFonts w:asciiTheme="minorHAnsi" w:eastAsiaTheme="minorEastAsia" w:hAnsiTheme="minorHAnsi" w:cstheme="minorBidi"/>
          <w:noProof/>
          <w:sz w:val="22"/>
          <w:szCs w:val="22"/>
        </w:rPr>
      </w:pPr>
      <w:hyperlink w:anchor="_Toc23139126" w:history="1">
        <w:r w:rsidR="00B41EE3" w:rsidRPr="000D3710">
          <w:rPr>
            <w:rStyle w:val="Hyperlink"/>
            <w:noProof/>
          </w:rPr>
          <w:t>5</w:t>
        </w:r>
        <w:r w:rsidR="00B41EE3">
          <w:rPr>
            <w:rFonts w:asciiTheme="minorHAnsi" w:eastAsiaTheme="minorEastAsia" w:hAnsiTheme="minorHAnsi" w:cstheme="minorBidi"/>
            <w:noProof/>
            <w:sz w:val="22"/>
            <w:szCs w:val="22"/>
          </w:rPr>
          <w:tab/>
        </w:r>
        <w:r w:rsidR="00B41EE3" w:rsidRPr="000D3710">
          <w:rPr>
            <w:rStyle w:val="Hyperlink"/>
            <w:noProof/>
          </w:rPr>
          <w:t>THE INFORMATION COLLECTED—AGENCY ACTIVITIES, COLLECTION METHODOLOGY, AND INFORMATION MANAGEMENT</w:t>
        </w:r>
        <w:r w:rsidR="00B41EE3">
          <w:rPr>
            <w:noProof/>
            <w:webHidden/>
          </w:rPr>
          <w:tab/>
        </w:r>
        <w:r w:rsidR="00B41EE3">
          <w:rPr>
            <w:noProof/>
            <w:webHidden/>
          </w:rPr>
          <w:fldChar w:fldCharType="begin"/>
        </w:r>
        <w:r w:rsidR="00B41EE3">
          <w:rPr>
            <w:noProof/>
            <w:webHidden/>
          </w:rPr>
          <w:instrText xml:space="preserve"> PAGEREF _Toc23139126 \h </w:instrText>
        </w:r>
        <w:r w:rsidR="00B41EE3">
          <w:rPr>
            <w:noProof/>
            <w:webHidden/>
          </w:rPr>
        </w:r>
        <w:r w:rsidR="00B41EE3">
          <w:rPr>
            <w:noProof/>
            <w:webHidden/>
          </w:rPr>
          <w:fldChar w:fldCharType="separate"/>
        </w:r>
        <w:r w:rsidR="007A79EF">
          <w:rPr>
            <w:noProof/>
            <w:webHidden/>
          </w:rPr>
          <w:t>15</w:t>
        </w:r>
        <w:r w:rsidR="00B41EE3">
          <w:rPr>
            <w:noProof/>
            <w:webHidden/>
          </w:rPr>
          <w:fldChar w:fldCharType="end"/>
        </w:r>
      </w:hyperlink>
    </w:p>
    <w:p w14:paraId="6D660A51" w14:textId="6050899C"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7" w:history="1">
        <w:r w:rsidR="00B41EE3" w:rsidRPr="000D3710">
          <w:rPr>
            <w:rStyle w:val="Hyperlink"/>
            <w:noProof/>
          </w:rPr>
          <w:t xml:space="preserve">5(a) </w:t>
        </w:r>
        <w:r w:rsidR="00B41EE3">
          <w:rPr>
            <w:rFonts w:asciiTheme="minorHAnsi" w:eastAsiaTheme="minorEastAsia" w:hAnsiTheme="minorHAnsi" w:cstheme="minorBidi"/>
            <w:noProof/>
            <w:sz w:val="22"/>
            <w:szCs w:val="22"/>
          </w:rPr>
          <w:tab/>
        </w:r>
        <w:r w:rsidR="00B41EE3" w:rsidRPr="000D3710">
          <w:rPr>
            <w:rStyle w:val="Hyperlink"/>
            <w:noProof/>
          </w:rPr>
          <w:t>Agency Activities</w:t>
        </w:r>
        <w:r w:rsidR="00B41EE3">
          <w:rPr>
            <w:noProof/>
            <w:webHidden/>
          </w:rPr>
          <w:tab/>
        </w:r>
        <w:r w:rsidR="00B41EE3">
          <w:rPr>
            <w:noProof/>
            <w:webHidden/>
          </w:rPr>
          <w:fldChar w:fldCharType="begin"/>
        </w:r>
        <w:r w:rsidR="00B41EE3">
          <w:rPr>
            <w:noProof/>
            <w:webHidden/>
          </w:rPr>
          <w:instrText xml:space="preserve"> PAGEREF _Toc23139127 \h </w:instrText>
        </w:r>
        <w:r w:rsidR="00B41EE3">
          <w:rPr>
            <w:noProof/>
            <w:webHidden/>
          </w:rPr>
        </w:r>
        <w:r w:rsidR="00B41EE3">
          <w:rPr>
            <w:noProof/>
            <w:webHidden/>
          </w:rPr>
          <w:fldChar w:fldCharType="separate"/>
        </w:r>
        <w:r w:rsidR="007A79EF">
          <w:rPr>
            <w:noProof/>
            <w:webHidden/>
          </w:rPr>
          <w:t>15</w:t>
        </w:r>
        <w:r w:rsidR="00B41EE3">
          <w:rPr>
            <w:noProof/>
            <w:webHidden/>
          </w:rPr>
          <w:fldChar w:fldCharType="end"/>
        </w:r>
      </w:hyperlink>
    </w:p>
    <w:p w14:paraId="7EA6BBF5" w14:textId="248DC785"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8" w:history="1">
        <w:r w:rsidR="00B41EE3" w:rsidRPr="000D3710">
          <w:rPr>
            <w:rStyle w:val="Hyperlink"/>
            <w:noProof/>
          </w:rPr>
          <w:t xml:space="preserve">5(b) </w:t>
        </w:r>
        <w:r w:rsidR="00B41EE3">
          <w:rPr>
            <w:rFonts w:asciiTheme="minorHAnsi" w:eastAsiaTheme="minorEastAsia" w:hAnsiTheme="minorHAnsi" w:cstheme="minorBidi"/>
            <w:noProof/>
            <w:sz w:val="22"/>
            <w:szCs w:val="22"/>
          </w:rPr>
          <w:tab/>
        </w:r>
        <w:r w:rsidR="00B41EE3" w:rsidRPr="000D3710">
          <w:rPr>
            <w:rStyle w:val="Hyperlink"/>
            <w:noProof/>
          </w:rPr>
          <w:t>Collection Methodology and Management</w:t>
        </w:r>
        <w:r w:rsidR="00B41EE3">
          <w:rPr>
            <w:noProof/>
            <w:webHidden/>
          </w:rPr>
          <w:tab/>
        </w:r>
        <w:r w:rsidR="00B41EE3">
          <w:rPr>
            <w:noProof/>
            <w:webHidden/>
          </w:rPr>
          <w:fldChar w:fldCharType="begin"/>
        </w:r>
        <w:r w:rsidR="00B41EE3">
          <w:rPr>
            <w:noProof/>
            <w:webHidden/>
          </w:rPr>
          <w:instrText xml:space="preserve"> PAGEREF _Toc23139128 \h </w:instrText>
        </w:r>
        <w:r w:rsidR="00B41EE3">
          <w:rPr>
            <w:noProof/>
            <w:webHidden/>
          </w:rPr>
        </w:r>
        <w:r w:rsidR="00B41EE3">
          <w:rPr>
            <w:noProof/>
            <w:webHidden/>
          </w:rPr>
          <w:fldChar w:fldCharType="separate"/>
        </w:r>
        <w:r w:rsidR="007A79EF">
          <w:rPr>
            <w:noProof/>
            <w:webHidden/>
          </w:rPr>
          <w:t>16</w:t>
        </w:r>
        <w:r w:rsidR="00B41EE3">
          <w:rPr>
            <w:noProof/>
            <w:webHidden/>
          </w:rPr>
          <w:fldChar w:fldCharType="end"/>
        </w:r>
      </w:hyperlink>
    </w:p>
    <w:p w14:paraId="5D85B3FE" w14:textId="2A6C4847"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29" w:history="1">
        <w:r w:rsidR="00B41EE3" w:rsidRPr="000D3710">
          <w:rPr>
            <w:rStyle w:val="Hyperlink"/>
            <w:noProof/>
          </w:rPr>
          <w:t xml:space="preserve">5(c) </w:t>
        </w:r>
        <w:r w:rsidR="00B41EE3">
          <w:rPr>
            <w:rFonts w:asciiTheme="minorHAnsi" w:eastAsiaTheme="minorEastAsia" w:hAnsiTheme="minorHAnsi" w:cstheme="minorBidi"/>
            <w:noProof/>
            <w:sz w:val="22"/>
            <w:szCs w:val="22"/>
          </w:rPr>
          <w:tab/>
        </w:r>
        <w:r w:rsidR="00B41EE3" w:rsidRPr="000D3710">
          <w:rPr>
            <w:rStyle w:val="Hyperlink"/>
            <w:noProof/>
          </w:rPr>
          <w:t>Small Entity Flexibility</w:t>
        </w:r>
        <w:r w:rsidR="00B41EE3">
          <w:rPr>
            <w:noProof/>
            <w:webHidden/>
          </w:rPr>
          <w:tab/>
        </w:r>
        <w:r w:rsidR="00B41EE3">
          <w:rPr>
            <w:noProof/>
            <w:webHidden/>
          </w:rPr>
          <w:fldChar w:fldCharType="begin"/>
        </w:r>
        <w:r w:rsidR="00B41EE3">
          <w:rPr>
            <w:noProof/>
            <w:webHidden/>
          </w:rPr>
          <w:instrText xml:space="preserve"> PAGEREF _Toc23139129 \h </w:instrText>
        </w:r>
        <w:r w:rsidR="00B41EE3">
          <w:rPr>
            <w:noProof/>
            <w:webHidden/>
          </w:rPr>
        </w:r>
        <w:r w:rsidR="00B41EE3">
          <w:rPr>
            <w:noProof/>
            <w:webHidden/>
          </w:rPr>
          <w:fldChar w:fldCharType="separate"/>
        </w:r>
        <w:r w:rsidR="007A79EF">
          <w:rPr>
            <w:noProof/>
            <w:webHidden/>
          </w:rPr>
          <w:t>16</w:t>
        </w:r>
        <w:r w:rsidR="00B41EE3">
          <w:rPr>
            <w:noProof/>
            <w:webHidden/>
          </w:rPr>
          <w:fldChar w:fldCharType="end"/>
        </w:r>
      </w:hyperlink>
    </w:p>
    <w:p w14:paraId="6D56F934" w14:textId="62A5405B"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30" w:history="1">
        <w:r w:rsidR="00B41EE3" w:rsidRPr="000D3710">
          <w:rPr>
            <w:rStyle w:val="Hyperlink"/>
            <w:noProof/>
          </w:rPr>
          <w:t xml:space="preserve">5(d) </w:t>
        </w:r>
        <w:r w:rsidR="00B41EE3">
          <w:rPr>
            <w:rFonts w:asciiTheme="minorHAnsi" w:eastAsiaTheme="minorEastAsia" w:hAnsiTheme="minorHAnsi" w:cstheme="minorBidi"/>
            <w:noProof/>
            <w:sz w:val="22"/>
            <w:szCs w:val="22"/>
          </w:rPr>
          <w:tab/>
        </w:r>
        <w:r w:rsidR="00B41EE3" w:rsidRPr="000D3710">
          <w:rPr>
            <w:rStyle w:val="Hyperlink"/>
            <w:noProof/>
          </w:rPr>
          <w:t>Collection Schedule</w:t>
        </w:r>
        <w:r w:rsidR="00B41EE3">
          <w:rPr>
            <w:noProof/>
            <w:webHidden/>
          </w:rPr>
          <w:tab/>
        </w:r>
        <w:r w:rsidR="00B41EE3">
          <w:rPr>
            <w:noProof/>
            <w:webHidden/>
          </w:rPr>
          <w:fldChar w:fldCharType="begin"/>
        </w:r>
        <w:r w:rsidR="00B41EE3">
          <w:rPr>
            <w:noProof/>
            <w:webHidden/>
          </w:rPr>
          <w:instrText xml:space="preserve"> PAGEREF _Toc23139130 \h </w:instrText>
        </w:r>
        <w:r w:rsidR="00B41EE3">
          <w:rPr>
            <w:noProof/>
            <w:webHidden/>
          </w:rPr>
        </w:r>
        <w:r w:rsidR="00B41EE3">
          <w:rPr>
            <w:noProof/>
            <w:webHidden/>
          </w:rPr>
          <w:fldChar w:fldCharType="separate"/>
        </w:r>
        <w:r w:rsidR="007A79EF">
          <w:rPr>
            <w:noProof/>
            <w:webHidden/>
          </w:rPr>
          <w:t>17</w:t>
        </w:r>
        <w:r w:rsidR="00B41EE3">
          <w:rPr>
            <w:noProof/>
            <w:webHidden/>
          </w:rPr>
          <w:fldChar w:fldCharType="end"/>
        </w:r>
      </w:hyperlink>
    </w:p>
    <w:p w14:paraId="3CA3293E" w14:textId="194931CB" w:rsidR="00B41EE3" w:rsidRDefault="00085335">
      <w:pPr>
        <w:pStyle w:val="TOC1"/>
        <w:tabs>
          <w:tab w:val="left" w:pos="480"/>
          <w:tab w:val="right" w:leader="dot" w:pos="9350"/>
        </w:tabs>
        <w:rPr>
          <w:rFonts w:asciiTheme="minorHAnsi" w:eastAsiaTheme="minorEastAsia" w:hAnsiTheme="minorHAnsi" w:cstheme="minorBidi"/>
          <w:noProof/>
          <w:sz w:val="22"/>
          <w:szCs w:val="22"/>
        </w:rPr>
      </w:pPr>
      <w:hyperlink w:anchor="_Toc23139131" w:history="1">
        <w:r w:rsidR="00B41EE3" w:rsidRPr="000D3710">
          <w:rPr>
            <w:rStyle w:val="Hyperlink"/>
            <w:noProof/>
          </w:rPr>
          <w:t xml:space="preserve">6. </w:t>
        </w:r>
        <w:r w:rsidR="00B41EE3">
          <w:rPr>
            <w:rFonts w:asciiTheme="minorHAnsi" w:eastAsiaTheme="minorEastAsia" w:hAnsiTheme="minorHAnsi" w:cstheme="minorBidi"/>
            <w:noProof/>
            <w:sz w:val="22"/>
            <w:szCs w:val="22"/>
          </w:rPr>
          <w:tab/>
        </w:r>
        <w:r w:rsidR="00B41EE3" w:rsidRPr="000D3710">
          <w:rPr>
            <w:rStyle w:val="Hyperlink"/>
            <w:noProof/>
          </w:rPr>
          <w:t>ESTIMATING THE BURDEN AND COST OF THE COLLECTION</w:t>
        </w:r>
        <w:r w:rsidR="00B41EE3">
          <w:rPr>
            <w:noProof/>
            <w:webHidden/>
          </w:rPr>
          <w:tab/>
        </w:r>
        <w:r w:rsidR="00B41EE3">
          <w:rPr>
            <w:noProof/>
            <w:webHidden/>
          </w:rPr>
          <w:fldChar w:fldCharType="begin"/>
        </w:r>
        <w:r w:rsidR="00B41EE3">
          <w:rPr>
            <w:noProof/>
            <w:webHidden/>
          </w:rPr>
          <w:instrText xml:space="preserve"> PAGEREF _Toc23139131 \h </w:instrText>
        </w:r>
        <w:r w:rsidR="00B41EE3">
          <w:rPr>
            <w:noProof/>
            <w:webHidden/>
          </w:rPr>
        </w:r>
        <w:r w:rsidR="00B41EE3">
          <w:rPr>
            <w:noProof/>
            <w:webHidden/>
          </w:rPr>
          <w:fldChar w:fldCharType="separate"/>
        </w:r>
        <w:r w:rsidR="007A79EF">
          <w:rPr>
            <w:noProof/>
            <w:webHidden/>
          </w:rPr>
          <w:t>17</w:t>
        </w:r>
        <w:r w:rsidR="00B41EE3">
          <w:rPr>
            <w:noProof/>
            <w:webHidden/>
          </w:rPr>
          <w:fldChar w:fldCharType="end"/>
        </w:r>
      </w:hyperlink>
    </w:p>
    <w:p w14:paraId="5A71F1FC" w14:textId="562E73A6"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32" w:history="1">
        <w:r w:rsidR="00B41EE3" w:rsidRPr="000D3710">
          <w:rPr>
            <w:rStyle w:val="Hyperlink"/>
            <w:noProof/>
          </w:rPr>
          <w:t xml:space="preserve">6(a) </w:t>
        </w:r>
        <w:r w:rsidR="00B41EE3">
          <w:rPr>
            <w:rFonts w:asciiTheme="minorHAnsi" w:eastAsiaTheme="minorEastAsia" w:hAnsiTheme="minorHAnsi" w:cstheme="minorBidi"/>
            <w:noProof/>
            <w:sz w:val="22"/>
            <w:szCs w:val="22"/>
          </w:rPr>
          <w:tab/>
        </w:r>
        <w:r w:rsidR="00B41EE3" w:rsidRPr="000D3710">
          <w:rPr>
            <w:rStyle w:val="Hyperlink"/>
            <w:noProof/>
          </w:rPr>
          <w:t>Estimating Respondent Burden</w:t>
        </w:r>
        <w:r w:rsidR="00B41EE3">
          <w:rPr>
            <w:noProof/>
            <w:webHidden/>
          </w:rPr>
          <w:tab/>
        </w:r>
        <w:r w:rsidR="00B41EE3">
          <w:rPr>
            <w:noProof/>
            <w:webHidden/>
          </w:rPr>
          <w:fldChar w:fldCharType="begin"/>
        </w:r>
        <w:r w:rsidR="00B41EE3">
          <w:rPr>
            <w:noProof/>
            <w:webHidden/>
          </w:rPr>
          <w:instrText xml:space="preserve"> PAGEREF _Toc23139132 \h </w:instrText>
        </w:r>
        <w:r w:rsidR="00B41EE3">
          <w:rPr>
            <w:noProof/>
            <w:webHidden/>
          </w:rPr>
        </w:r>
        <w:r w:rsidR="00B41EE3">
          <w:rPr>
            <w:noProof/>
            <w:webHidden/>
          </w:rPr>
          <w:fldChar w:fldCharType="separate"/>
        </w:r>
        <w:r w:rsidR="007A79EF">
          <w:rPr>
            <w:noProof/>
            <w:webHidden/>
          </w:rPr>
          <w:t>17</w:t>
        </w:r>
        <w:r w:rsidR="00B41EE3">
          <w:rPr>
            <w:noProof/>
            <w:webHidden/>
          </w:rPr>
          <w:fldChar w:fldCharType="end"/>
        </w:r>
      </w:hyperlink>
    </w:p>
    <w:p w14:paraId="605D2ECE" w14:textId="56855A4C" w:rsidR="00B41EE3" w:rsidRDefault="00085335">
      <w:pPr>
        <w:pStyle w:val="TOC3"/>
        <w:tabs>
          <w:tab w:val="left" w:pos="1320"/>
          <w:tab w:val="right" w:leader="dot" w:pos="9350"/>
        </w:tabs>
        <w:rPr>
          <w:rFonts w:asciiTheme="minorHAnsi" w:eastAsiaTheme="minorEastAsia" w:hAnsiTheme="minorHAnsi" w:cstheme="minorBidi"/>
          <w:noProof/>
          <w:sz w:val="22"/>
          <w:szCs w:val="22"/>
        </w:rPr>
      </w:pPr>
      <w:hyperlink w:anchor="_Toc23139133" w:history="1">
        <w:r w:rsidR="00B41EE3" w:rsidRPr="000D3710">
          <w:rPr>
            <w:rStyle w:val="Hyperlink"/>
            <w:noProof/>
          </w:rPr>
          <w:t>6(a)(i)</w:t>
        </w:r>
        <w:r w:rsidR="00B41EE3">
          <w:rPr>
            <w:rFonts w:asciiTheme="minorHAnsi" w:eastAsiaTheme="minorEastAsia" w:hAnsiTheme="minorHAnsi" w:cstheme="minorBidi"/>
            <w:noProof/>
            <w:sz w:val="22"/>
            <w:szCs w:val="22"/>
          </w:rPr>
          <w:tab/>
        </w:r>
        <w:r w:rsidR="00B41EE3" w:rsidRPr="000D3710">
          <w:rPr>
            <w:rStyle w:val="Hyperlink"/>
            <w:noProof/>
          </w:rPr>
          <w:t>Burden to Public Water Systems</w:t>
        </w:r>
        <w:r w:rsidR="00B41EE3">
          <w:rPr>
            <w:noProof/>
            <w:webHidden/>
          </w:rPr>
          <w:tab/>
        </w:r>
        <w:r w:rsidR="00B41EE3">
          <w:rPr>
            <w:noProof/>
            <w:webHidden/>
          </w:rPr>
          <w:fldChar w:fldCharType="begin"/>
        </w:r>
        <w:r w:rsidR="00B41EE3">
          <w:rPr>
            <w:noProof/>
            <w:webHidden/>
          </w:rPr>
          <w:instrText xml:space="preserve"> PAGEREF _Toc23139133 \h </w:instrText>
        </w:r>
        <w:r w:rsidR="00B41EE3">
          <w:rPr>
            <w:noProof/>
            <w:webHidden/>
          </w:rPr>
        </w:r>
        <w:r w:rsidR="00B41EE3">
          <w:rPr>
            <w:noProof/>
            <w:webHidden/>
          </w:rPr>
          <w:fldChar w:fldCharType="separate"/>
        </w:r>
        <w:r w:rsidR="007A79EF">
          <w:rPr>
            <w:noProof/>
            <w:webHidden/>
          </w:rPr>
          <w:t>20</w:t>
        </w:r>
        <w:r w:rsidR="00B41EE3">
          <w:rPr>
            <w:noProof/>
            <w:webHidden/>
          </w:rPr>
          <w:fldChar w:fldCharType="end"/>
        </w:r>
      </w:hyperlink>
    </w:p>
    <w:p w14:paraId="71D98201" w14:textId="175BBB35"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34" w:history="1">
        <w:r w:rsidR="00B41EE3" w:rsidRPr="000D3710">
          <w:rPr>
            <w:rStyle w:val="Hyperlink"/>
            <w:noProof/>
          </w:rPr>
          <w:t>6(a)(ii)</w:t>
        </w:r>
        <w:r w:rsidR="00B41EE3">
          <w:rPr>
            <w:rFonts w:asciiTheme="minorHAnsi" w:eastAsiaTheme="minorEastAsia" w:hAnsiTheme="minorHAnsi" w:cstheme="minorBidi"/>
            <w:noProof/>
            <w:sz w:val="22"/>
            <w:szCs w:val="22"/>
          </w:rPr>
          <w:tab/>
        </w:r>
        <w:r w:rsidR="00B41EE3" w:rsidRPr="000D3710">
          <w:rPr>
            <w:rStyle w:val="Hyperlink"/>
            <w:noProof/>
          </w:rPr>
          <w:t>Burden to Primacy Agencies</w:t>
        </w:r>
        <w:r w:rsidR="00B41EE3">
          <w:rPr>
            <w:noProof/>
            <w:webHidden/>
          </w:rPr>
          <w:tab/>
        </w:r>
        <w:r w:rsidR="00B41EE3">
          <w:rPr>
            <w:noProof/>
            <w:webHidden/>
          </w:rPr>
          <w:fldChar w:fldCharType="begin"/>
        </w:r>
        <w:r w:rsidR="00B41EE3">
          <w:rPr>
            <w:noProof/>
            <w:webHidden/>
          </w:rPr>
          <w:instrText xml:space="preserve"> PAGEREF _Toc23139134 \h </w:instrText>
        </w:r>
        <w:r w:rsidR="00B41EE3">
          <w:rPr>
            <w:noProof/>
            <w:webHidden/>
          </w:rPr>
        </w:r>
        <w:r w:rsidR="00B41EE3">
          <w:rPr>
            <w:noProof/>
            <w:webHidden/>
          </w:rPr>
          <w:fldChar w:fldCharType="separate"/>
        </w:r>
        <w:r w:rsidR="007A79EF">
          <w:rPr>
            <w:noProof/>
            <w:webHidden/>
          </w:rPr>
          <w:t>21</w:t>
        </w:r>
        <w:r w:rsidR="00B41EE3">
          <w:rPr>
            <w:noProof/>
            <w:webHidden/>
          </w:rPr>
          <w:fldChar w:fldCharType="end"/>
        </w:r>
      </w:hyperlink>
    </w:p>
    <w:p w14:paraId="405D5327" w14:textId="175FFB3F" w:rsidR="00B41EE3" w:rsidRDefault="00085335">
      <w:pPr>
        <w:pStyle w:val="TOC2"/>
        <w:tabs>
          <w:tab w:val="left" w:pos="880"/>
          <w:tab w:val="right" w:leader="dot" w:pos="9350"/>
        </w:tabs>
        <w:rPr>
          <w:rFonts w:asciiTheme="minorHAnsi" w:eastAsiaTheme="minorEastAsia" w:hAnsiTheme="minorHAnsi" w:cstheme="minorBidi"/>
          <w:noProof/>
          <w:sz w:val="22"/>
          <w:szCs w:val="22"/>
        </w:rPr>
      </w:pPr>
      <w:hyperlink w:anchor="_Toc23139135" w:history="1">
        <w:r w:rsidR="00B41EE3" w:rsidRPr="000D3710">
          <w:rPr>
            <w:rStyle w:val="Hyperlink"/>
            <w:noProof/>
          </w:rPr>
          <w:t>6(b)</w:t>
        </w:r>
        <w:r w:rsidR="00B41EE3">
          <w:rPr>
            <w:rFonts w:asciiTheme="minorHAnsi" w:eastAsiaTheme="minorEastAsia" w:hAnsiTheme="minorHAnsi" w:cstheme="minorBidi"/>
            <w:noProof/>
            <w:sz w:val="22"/>
            <w:szCs w:val="22"/>
          </w:rPr>
          <w:tab/>
        </w:r>
        <w:r w:rsidR="00B41EE3" w:rsidRPr="000D3710">
          <w:rPr>
            <w:rStyle w:val="Hyperlink"/>
            <w:noProof/>
          </w:rPr>
          <w:t>Estimating Respondent Costs</w:t>
        </w:r>
        <w:r w:rsidR="00B41EE3">
          <w:rPr>
            <w:noProof/>
            <w:webHidden/>
          </w:rPr>
          <w:tab/>
        </w:r>
        <w:r w:rsidR="00B41EE3">
          <w:rPr>
            <w:noProof/>
            <w:webHidden/>
          </w:rPr>
          <w:fldChar w:fldCharType="begin"/>
        </w:r>
        <w:r w:rsidR="00B41EE3">
          <w:rPr>
            <w:noProof/>
            <w:webHidden/>
          </w:rPr>
          <w:instrText xml:space="preserve"> PAGEREF _Toc23139135 \h </w:instrText>
        </w:r>
        <w:r w:rsidR="00B41EE3">
          <w:rPr>
            <w:noProof/>
            <w:webHidden/>
          </w:rPr>
        </w:r>
        <w:r w:rsidR="00B41EE3">
          <w:rPr>
            <w:noProof/>
            <w:webHidden/>
          </w:rPr>
          <w:fldChar w:fldCharType="separate"/>
        </w:r>
        <w:r w:rsidR="007A79EF">
          <w:rPr>
            <w:noProof/>
            <w:webHidden/>
          </w:rPr>
          <w:t>22</w:t>
        </w:r>
        <w:r w:rsidR="00B41EE3">
          <w:rPr>
            <w:noProof/>
            <w:webHidden/>
          </w:rPr>
          <w:fldChar w:fldCharType="end"/>
        </w:r>
      </w:hyperlink>
    </w:p>
    <w:p w14:paraId="574BE37F" w14:textId="38485B86"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36" w:history="1">
        <w:r w:rsidR="00B41EE3" w:rsidRPr="000D3710">
          <w:rPr>
            <w:rStyle w:val="Hyperlink"/>
            <w:noProof/>
          </w:rPr>
          <w:t>6(b)(i)</w:t>
        </w:r>
        <w:r w:rsidR="00B41EE3">
          <w:rPr>
            <w:rFonts w:asciiTheme="minorHAnsi" w:eastAsiaTheme="minorEastAsia" w:hAnsiTheme="minorHAnsi" w:cstheme="minorBidi"/>
            <w:noProof/>
            <w:sz w:val="22"/>
            <w:szCs w:val="22"/>
          </w:rPr>
          <w:tab/>
        </w:r>
        <w:r w:rsidR="00B41EE3" w:rsidRPr="000D3710">
          <w:rPr>
            <w:rStyle w:val="Hyperlink"/>
            <w:noProof/>
          </w:rPr>
          <w:t>Cost to Public Water Systems</w:t>
        </w:r>
        <w:r w:rsidR="00B41EE3">
          <w:rPr>
            <w:noProof/>
            <w:webHidden/>
          </w:rPr>
          <w:tab/>
        </w:r>
        <w:r w:rsidR="00B41EE3">
          <w:rPr>
            <w:noProof/>
            <w:webHidden/>
          </w:rPr>
          <w:fldChar w:fldCharType="begin"/>
        </w:r>
        <w:r w:rsidR="00B41EE3">
          <w:rPr>
            <w:noProof/>
            <w:webHidden/>
          </w:rPr>
          <w:instrText xml:space="preserve"> PAGEREF _Toc23139136 \h </w:instrText>
        </w:r>
        <w:r w:rsidR="00B41EE3">
          <w:rPr>
            <w:noProof/>
            <w:webHidden/>
          </w:rPr>
        </w:r>
        <w:r w:rsidR="00B41EE3">
          <w:rPr>
            <w:noProof/>
            <w:webHidden/>
          </w:rPr>
          <w:fldChar w:fldCharType="separate"/>
        </w:r>
        <w:r w:rsidR="007A79EF">
          <w:rPr>
            <w:noProof/>
            <w:webHidden/>
          </w:rPr>
          <w:t>22</w:t>
        </w:r>
        <w:r w:rsidR="00B41EE3">
          <w:rPr>
            <w:noProof/>
            <w:webHidden/>
          </w:rPr>
          <w:fldChar w:fldCharType="end"/>
        </w:r>
      </w:hyperlink>
    </w:p>
    <w:p w14:paraId="1563614C" w14:textId="5BD3D8B1"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37" w:history="1">
        <w:r w:rsidR="00B41EE3" w:rsidRPr="000D3710">
          <w:rPr>
            <w:rStyle w:val="Hyperlink"/>
            <w:noProof/>
          </w:rPr>
          <w:t>6(b)(ii)</w:t>
        </w:r>
        <w:r w:rsidR="00B41EE3">
          <w:rPr>
            <w:rFonts w:asciiTheme="minorHAnsi" w:eastAsiaTheme="minorEastAsia" w:hAnsiTheme="minorHAnsi" w:cstheme="minorBidi"/>
            <w:noProof/>
            <w:sz w:val="22"/>
            <w:szCs w:val="22"/>
          </w:rPr>
          <w:tab/>
        </w:r>
        <w:r w:rsidR="00B41EE3" w:rsidRPr="000D3710">
          <w:rPr>
            <w:rStyle w:val="Hyperlink"/>
            <w:noProof/>
          </w:rPr>
          <w:t>Cost to Primacy Agencies</w:t>
        </w:r>
        <w:r w:rsidR="00B41EE3">
          <w:rPr>
            <w:noProof/>
            <w:webHidden/>
          </w:rPr>
          <w:tab/>
        </w:r>
        <w:r w:rsidR="00B41EE3">
          <w:rPr>
            <w:noProof/>
            <w:webHidden/>
          </w:rPr>
          <w:fldChar w:fldCharType="begin"/>
        </w:r>
        <w:r w:rsidR="00B41EE3">
          <w:rPr>
            <w:noProof/>
            <w:webHidden/>
          </w:rPr>
          <w:instrText xml:space="preserve"> PAGEREF _Toc23139137 \h </w:instrText>
        </w:r>
        <w:r w:rsidR="00B41EE3">
          <w:rPr>
            <w:noProof/>
            <w:webHidden/>
          </w:rPr>
        </w:r>
        <w:r w:rsidR="00B41EE3">
          <w:rPr>
            <w:noProof/>
            <w:webHidden/>
          </w:rPr>
          <w:fldChar w:fldCharType="separate"/>
        </w:r>
        <w:r w:rsidR="007A79EF">
          <w:rPr>
            <w:noProof/>
            <w:webHidden/>
          </w:rPr>
          <w:t>25</w:t>
        </w:r>
        <w:r w:rsidR="00B41EE3">
          <w:rPr>
            <w:noProof/>
            <w:webHidden/>
          </w:rPr>
          <w:fldChar w:fldCharType="end"/>
        </w:r>
      </w:hyperlink>
    </w:p>
    <w:p w14:paraId="20985224" w14:textId="7B0790BE" w:rsidR="00B41EE3" w:rsidRDefault="00085335">
      <w:pPr>
        <w:pStyle w:val="TOC2"/>
        <w:tabs>
          <w:tab w:val="left" w:pos="1100"/>
          <w:tab w:val="right" w:leader="dot" w:pos="9350"/>
        </w:tabs>
        <w:rPr>
          <w:rFonts w:asciiTheme="minorHAnsi" w:eastAsiaTheme="minorEastAsia" w:hAnsiTheme="minorHAnsi" w:cstheme="minorBidi"/>
          <w:noProof/>
          <w:sz w:val="22"/>
          <w:szCs w:val="22"/>
        </w:rPr>
      </w:pPr>
      <w:hyperlink w:anchor="_Toc23139138" w:history="1">
        <w:r w:rsidR="00B41EE3" w:rsidRPr="000D3710">
          <w:rPr>
            <w:rStyle w:val="Hyperlink"/>
            <w:noProof/>
          </w:rPr>
          <w:t xml:space="preserve">6(c) </w:t>
        </w:r>
        <w:r w:rsidR="00B41EE3">
          <w:rPr>
            <w:rFonts w:asciiTheme="minorHAnsi" w:eastAsiaTheme="minorEastAsia" w:hAnsiTheme="minorHAnsi" w:cstheme="minorBidi"/>
            <w:noProof/>
            <w:sz w:val="22"/>
            <w:szCs w:val="22"/>
          </w:rPr>
          <w:tab/>
        </w:r>
        <w:r w:rsidR="00B41EE3" w:rsidRPr="000D3710">
          <w:rPr>
            <w:rStyle w:val="Hyperlink"/>
            <w:noProof/>
          </w:rPr>
          <w:t>Estimating Agency Burden and Cost</w:t>
        </w:r>
        <w:r w:rsidR="00B41EE3">
          <w:rPr>
            <w:noProof/>
            <w:webHidden/>
          </w:rPr>
          <w:tab/>
        </w:r>
        <w:r w:rsidR="00B41EE3">
          <w:rPr>
            <w:noProof/>
            <w:webHidden/>
          </w:rPr>
          <w:fldChar w:fldCharType="begin"/>
        </w:r>
        <w:r w:rsidR="00B41EE3">
          <w:rPr>
            <w:noProof/>
            <w:webHidden/>
          </w:rPr>
          <w:instrText xml:space="preserve"> PAGEREF _Toc23139138 \h </w:instrText>
        </w:r>
        <w:r w:rsidR="00B41EE3">
          <w:rPr>
            <w:noProof/>
            <w:webHidden/>
          </w:rPr>
        </w:r>
        <w:r w:rsidR="00B41EE3">
          <w:rPr>
            <w:noProof/>
            <w:webHidden/>
          </w:rPr>
          <w:fldChar w:fldCharType="separate"/>
        </w:r>
        <w:r w:rsidR="007A79EF">
          <w:rPr>
            <w:noProof/>
            <w:webHidden/>
          </w:rPr>
          <w:t>27</w:t>
        </w:r>
        <w:r w:rsidR="00B41EE3">
          <w:rPr>
            <w:noProof/>
            <w:webHidden/>
          </w:rPr>
          <w:fldChar w:fldCharType="end"/>
        </w:r>
      </w:hyperlink>
    </w:p>
    <w:p w14:paraId="0E93E508" w14:textId="3FBE436C" w:rsidR="00B41EE3" w:rsidRDefault="00085335">
      <w:pPr>
        <w:pStyle w:val="TOC2"/>
        <w:tabs>
          <w:tab w:val="left" w:pos="880"/>
          <w:tab w:val="right" w:leader="dot" w:pos="9350"/>
        </w:tabs>
        <w:rPr>
          <w:rFonts w:asciiTheme="minorHAnsi" w:eastAsiaTheme="minorEastAsia" w:hAnsiTheme="minorHAnsi" w:cstheme="minorBidi"/>
          <w:noProof/>
          <w:sz w:val="22"/>
          <w:szCs w:val="22"/>
        </w:rPr>
      </w:pPr>
      <w:hyperlink w:anchor="_Toc23139139" w:history="1">
        <w:r w:rsidR="00B41EE3" w:rsidRPr="000D3710">
          <w:rPr>
            <w:rStyle w:val="Hyperlink"/>
            <w:noProof/>
          </w:rPr>
          <w:t>6(d)</w:t>
        </w:r>
        <w:r w:rsidR="00B41EE3">
          <w:rPr>
            <w:rFonts w:asciiTheme="minorHAnsi" w:eastAsiaTheme="minorEastAsia" w:hAnsiTheme="minorHAnsi" w:cstheme="minorBidi"/>
            <w:noProof/>
            <w:sz w:val="22"/>
            <w:szCs w:val="22"/>
          </w:rPr>
          <w:tab/>
        </w:r>
        <w:r w:rsidR="00B41EE3" w:rsidRPr="000D3710">
          <w:rPr>
            <w:rStyle w:val="Hyperlink"/>
            <w:noProof/>
          </w:rPr>
          <w:t>Estimating the Respondent Universe and Total Burden and Cost</w:t>
        </w:r>
        <w:r w:rsidR="00B41EE3">
          <w:rPr>
            <w:noProof/>
            <w:webHidden/>
          </w:rPr>
          <w:tab/>
        </w:r>
        <w:r w:rsidR="00B41EE3">
          <w:rPr>
            <w:noProof/>
            <w:webHidden/>
          </w:rPr>
          <w:fldChar w:fldCharType="begin"/>
        </w:r>
        <w:r w:rsidR="00B41EE3">
          <w:rPr>
            <w:noProof/>
            <w:webHidden/>
          </w:rPr>
          <w:instrText xml:space="preserve"> PAGEREF _Toc23139139 \h </w:instrText>
        </w:r>
        <w:r w:rsidR="00B41EE3">
          <w:rPr>
            <w:noProof/>
            <w:webHidden/>
          </w:rPr>
        </w:r>
        <w:r w:rsidR="00B41EE3">
          <w:rPr>
            <w:noProof/>
            <w:webHidden/>
          </w:rPr>
          <w:fldChar w:fldCharType="separate"/>
        </w:r>
        <w:r w:rsidR="007A79EF">
          <w:rPr>
            <w:noProof/>
            <w:webHidden/>
          </w:rPr>
          <w:t>27</w:t>
        </w:r>
        <w:r w:rsidR="00B41EE3">
          <w:rPr>
            <w:noProof/>
            <w:webHidden/>
          </w:rPr>
          <w:fldChar w:fldCharType="end"/>
        </w:r>
      </w:hyperlink>
    </w:p>
    <w:p w14:paraId="5AC60EFD" w14:textId="42086A63" w:rsidR="00B41EE3" w:rsidRDefault="00085335">
      <w:pPr>
        <w:pStyle w:val="TOC2"/>
        <w:tabs>
          <w:tab w:val="left" w:pos="880"/>
          <w:tab w:val="right" w:leader="dot" w:pos="9350"/>
        </w:tabs>
        <w:rPr>
          <w:rFonts w:asciiTheme="minorHAnsi" w:eastAsiaTheme="minorEastAsia" w:hAnsiTheme="minorHAnsi" w:cstheme="minorBidi"/>
          <w:noProof/>
          <w:sz w:val="22"/>
          <w:szCs w:val="22"/>
        </w:rPr>
      </w:pPr>
      <w:hyperlink w:anchor="_Toc23139140" w:history="1">
        <w:r w:rsidR="00B41EE3" w:rsidRPr="000D3710">
          <w:rPr>
            <w:rStyle w:val="Hyperlink"/>
            <w:noProof/>
          </w:rPr>
          <w:t>6(e)</w:t>
        </w:r>
        <w:r w:rsidR="00B41EE3">
          <w:rPr>
            <w:rFonts w:asciiTheme="minorHAnsi" w:eastAsiaTheme="minorEastAsia" w:hAnsiTheme="minorHAnsi" w:cstheme="minorBidi"/>
            <w:noProof/>
            <w:sz w:val="22"/>
            <w:szCs w:val="22"/>
          </w:rPr>
          <w:tab/>
        </w:r>
        <w:r w:rsidR="00B41EE3" w:rsidRPr="000D3710">
          <w:rPr>
            <w:rStyle w:val="Hyperlink"/>
            <w:noProof/>
          </w:rPr>
          <w:t>Bottom Line Burden Hours and Costs Tables</w:t>
        </w:r>
        <w:r w:rsidR="00B41EE3">
          <w:rPr>
            <w:noProof/>
            <w:webHidden/>
          </w:rPr>
          <w:tab/>
        </w:r>
        <w:r w:rsidR="00B41EE3">
          <w:rPr>
            <w:noProof/>
            <w:webHidden/>
          </w:rPr>
          <w:fldChar w:fldCharType="begin"/>
        </w:r>
        <w:r w:rsidR="00B41EE3">
          <w:rPr>
            <w:noProof/>
            <w:webHidden/>
          </w:rPr>
          <w:instrText xml:space="preserve"> PAGEREF _Toc23139140 \h </w:instrText>
        </w:r>
        <w:r w:rsidR="00B41EE3">
          <w:rPr>
            <w:noProof/>
            <w:webHidden/>
          </w:rPr>
        </w:r>
        <w:r w:rsidR="00B41EE3">
          <w:rPr>
            <w:noProof/>
            <w:webHidden/>
          </w:rPr>
          <w:fldChar w:fldCharType="separate"/>
        </w:r>
        <w:r w:rsidR="007A79EF">
          <w:rPr>
            <w:noProof/>
            <w:webHidden/>
          </w:rPr>
          <w:t>28</w:t>
        </w:r>
        <w:r w:rsidR="00B41EE3">
          <w:rPr>
            <w:noProof/>
            <w:webHidden/>
          </w:rPr>
          <w:fldChar w:fldCharType="end"/>
        </w:r>
      </w:hyperlink>
    </w:p>
    <w:p w14:paraId="7B39EAC1" w14:textId="3772ED8E" w:rsidR="00B41EE3" w:rsidRDefault="00085335">
      <w:pPr>
        <w:pStyle w:val="TOC3"/>
        <w:tabs>
          <w:tab w:val="left" w:pos="1320"/>
          <w:tab w:val="right" w:leader="dot" w:pos="9350"/>
        </w:tabs>
        <w:rPr>
          <w:rFonts w:asciiTheme="minorHAnsi" w:eastAsiaTheme="minorEastAsia" w:hAnsiTheme="minorHAnsi" w:cstheme="minorBidi"/>
          <w:noProof/>
          <w:sz w:val="22"/>
          <w:szCs w:val="22"/>
        </w:rPr>
      </w:pPr>
      <w:hyperlink w:anchor="_Toc23139141" w:history="1">
        <w:r w:rsidR="00B41EE3" w:rsidRPr="000D3710">
          <w:rPr>
            <w:rStyle w:val="Hyperlink"/>
            <w:noProof/>
          </w:rPr>
          <w:t>6(e)(i)</w:t>
        </w:r>
        <w:r w:rsidR="00B41EE3">
          <w:rPr>
            <w:rFonts w:asciiTheme="minorHAnsi" w:eastAsiaTheme="minorEastAsia" w:hAnsiTheme="minorHAnsi" w:cstheme="minorBidi"/>
            <w:noProof/>
            <w:sz w:val="22"/>
            <w:szCs w:val="22"/>
          </w:rPr>
          <w:tab/>
        </w:r>
        <w:r w:rsidR="00B41EE3" w:rsidRPr="000D3710">
          <w:rPr>
            <w:rStyle w:val="Hyperlink"/>
            <w:noProof/>
          </w:rPr>
          <w:t>Respondent Tally</w:t>
        </w:r>
        <w:r w:rsidR="00B41EE3">
          <w:rPr>
            <w:noProof/>
            <w:webHidden/>
          </w:rPr>
          <w:tab/>
        </w:r>
        <w:r w:rsidR="00B41EE3">
          <w:rPr>
            <w:noProof/>
            <w:webHidden/>
          </w:rPr>
          <w:fldChar w:fldCharType="begin"/>
        </w:r>
        <w:r w:rsidR="00B41EE3">
          <w:rPr>
            <w:noProof/>
            <w:webHidden/>
          </w:rPr>
          <w:instrText xml:space="preserve"> PAGEREF _Toc23139141 \h </w:instrText>
        </w:r>
        <w:r w:rsidR="00B41EE3">
          <w:rPr>
            <w:noProof/>
            <w:webHidden/>
          </w:rPr>
        </w:r>
        <w:r w:rsidR="00B41EE3">
          <w:rPr>
            <w:noProof/>
            <w:webHidden/>
          </w:rPr>
          <w:fldChar w:fldCharType="separate"/>
        </w:r>
        <w:r w:rsidR="007A79EF">
          <w:rPr>
            <w:noProof/>
            <w:webHidden/>
          </w:rPr>
          <w:t>28</w:t>
        </w:r>
        <w:r w:rsidR="00B41EE3">
          <w:rPr>
            <w:noProof/>
            <w:webHidden/>
          </w:rPr>
          <w:fldChar w:fldCharType="end"/>
        </w:r>
      </w:hyperlink>
    </w:p>
    <w:p w14:paraId="77EFEF10" w14:textId="3CA6D8E2"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42" w:history="1">
        <w:r w:rsidR="00B41EE3" w:rsidRPr="000D3710">
          <w:rPr>
            <w:rStyle w:val="Hyperlink"/>
            <w:noProof/>
          </w:rPr>
          <w:t>6(e)(ii)</w:t>
        </w:r>
        <w:r w:rsidR="00B41EE3">
          <w:rPr>
            <w:rFonts w:asciiTheme="minorHAnsi" w:eastAsiaTheme="minorEastAsia" w:hAnsiTheme="minorHAnsi" w:cstheme="minorBidi"/>
            <w:noProof/>
            <w:sz w:val="22"/>
            <w:szCs w:val="22"/>
          </w:rPr>
          <w:tab/>
        </w:r>
        <w:r w:rsidR="00B41EE3" w:rsidRPr="000D3710">
          <w:rPr>
            <w:rStyle w:val="Hyperlink"/>
            <w:noProof/>
          </w:rPr>
          <w:t>The Agency Tally</w:t>
        </w:r>
        <w:r w:rsidR="00B41EE3">
          <w:rPr>
            <w:noProof/>
            <w:webHidden/>
          </w:rPr>
          <w:tab/>
        </w:r>
        <w:r w:rsidR="00B41EE3">
          <w:rPr>
            <w:noProof/>
            <w:webHidden/>
          </w:rPr>
          <w:fldChar w:fldCharType="begin"/>
        </w:r>
        <w:r w:rsidR="00B41EE3">
          <w:rPr>
            <w:noProof/>
            <w:webHidden/>
          </w:rPr>
          <w:instrText xml:space="preserve"> PAGEREF _Toc23139142 \h </w:instrText>
        </w:r>
        <w:r w:rsidR="00B41EE3">
          <w:rPr>
            <w:noProof/>
            <w:webHidden/>
          </w:rPr>
        </w:r>
        <w:r w:rsidR="00B41EE3">
          <w:rPr>
            <w:noProof/>
            <w:webHidden/>
          </w:rPr>
          <w:fldChar w:fldCharType="separate"/>
        </w:r>
        <w:r w:rsidR="007A79EF">
          <w:rPr>
            <w:noProof/>
            <w:webHidden/>
          </w:rPr>
          <w:t>29</w:t>
        </w:r>
        <w:r w:rsidR="00B41EE3">
          <w:rPr>
            <w:noProof/>
            <w:webHidden/>
          </w:rPr>
          <w:fldChar w:fldCharType="end"/>
        </w:r>
      </w:hyperlink>
    </w:p>
    <w:p w14:paraId="4AB329E1" w14:textId="5CDF7856" w:rsidR="00B41EE3" w:rsidRDefault="00085335">
      <w:pPr>
        <w:pStyle w:val="TOC3"/>
        <w:tabs>
          <w:tab w:val="left" w:pos="1540"/>
          <w:tab w:val="right" w:leader="dot" w:pos="9350"/>
        </w:tabs>
        <w:rPr>
          <w:rFonts w:asciiTheme="minorHAnsi" w:eastAsiaTheme="minorEastAsia" w:hAnsiTheme="minorHAnsi" w:cstheme="minorBidi"/>
          <w:noProof/>
          <w:sz w:val="22"/>
          <w:szCs w:val="22"/>
        </w:rPr>
      </w:pPr>
      <w:hyperlink w:anchor="_Toc23139143" w:history="1">
        <w:r w:rsidR="00B41EE3" w:rsidRPr="000D3710">
          <w:rPr>
            <w:rStyle w:val="Hyperlink"/>
            <w:noProof/>
          </w:rPr>
          <w:t>6(e)(iii)</w:t>
        </w:r>
        <w:r w:rsidR="00B41EE3">
          <w:rPr>
            <w:rFonts w:asciiTheme="minorHAnsi" w:eastAsiaTheme="minorEastAsia" w:hAnsiTheme="minorHAnsi" w:cstheme="minorBidi"/>
            <w:noProof/>
            <w:sz w:val="22"/>
            <w:szCs w:val="22"/>
          </w:rPr>
          <w:tab/>
        </w:r>
        <w:r w:rsidR="00B41EE3" w:rsidRPr="000D3710">
          <w:rPr>
            <w:rStyle w:val="Hyperlink"/>
            <w:noProof/>
          </w:rPr>
          <w:t>Variations in the Annual Bottom Line</w:t>
        </w:r>
        <w:r w:rsidR="00B41EE3">
          <w:rPr>
            <w:noProof/>
            <w:webHidden/>
          </w:rPr>
          <w:tab/>
        </w:r>
        <w:r w:rsidR="00B41EE3">
          <w:rPr>
            <w:noProof/>
            <w:webHidden/>
          </w:rPr>
          <w:fldChar w:fldCharType="begin"/>
        </w:r>
        <w:r w:rsidR="00B41EE3">
          <w:rPr>
            <w:noProof/>
            <w:webHidden/>
          </w:rPr>
          <w:instrText xml:space="preserve"> PAGEREF _Toc23139143 \h </w:instrText>
        </w:r>
        <w:r w:rsidR="00B41EE3">
          <w:rPr>
            <w:noProof/>
            <w:webHidden/>
          </w:rPr>
        </w:r>
        <w:r w:rsidR="00B41EE3">
          <w:rPr>
            <w:noProof/>
            <w:webHidden/>
          </w:rPr>
          <w:fldChar w:fldCharType="separate"/>
        </w:r>
        <w:r w:rsidR="007A79EF">
          <w:rPr>
            <w:noProof/>
            <w:webHidden/>
          </w:rPr>
          <w:t>29</w:t>
        </w:r>
        <w:r w:rsidR="00B41EE3">
          <w:rPr>
            <w:noProof/>
            <w:webHidden/>
          </w:rPr>
          <w:fldChar w:fldCharType="end"/>
        </w:r>
      </w:hyperlink>
    </w:p>
    <w:p w14:paraId="565A7A53" w14:textId="3692E0A3" w:rsidR="00B41EE3" w:rsidRDefault="00085335">
      <w:pPr>
        <w:pStyle w:val="TOC1"/>
        <w:tabs>
          <w:tab w:val="left" w:pos="720"/>
          <w:tab w:val="right" w:leader="dot" w:pos="9350"/>
        </w:tabs>
        <w:rPr>
          <w:rFonts w:asciiTheme="minorHAnsi" w:eastAsiaTheme="minorEastAsia" w:hAnsiTheme="minorHAnsi" w:cstheme="minorBidi"/>
          <w:noProof/>
          <w:sz w:val="22"/>
          <w:szCs w:val="22"/>
        </w:rPr>
      </w:pPr>
      <w:hyperlink w:anchor="_Toc23139144" w:history="1">
        <w:r w:rsidR="00B41EE3" w:rsidRPr="000D3710">
          <w:rPr>
            <w:rStyle w:val="Hyperlink"/>
            <w:noProof/>
          </w:rPr>
          <w:t>6(f)</w:t>
        </w:r>
        <w:r w:rsidR="00B41EE3">
          <w:rPr>
            <w:rFonts w:asciiTheme="minorHAnsi" w:eastAsiaTheme="minorEastAsia" w:hAnsiTheme="minorHAnsi" w:cstheme="minorBidi"/>
            <w:noProof/>
            <w:sz w:val="22"/>
            <w:szCs w:val="22"/>
          </w:rPr>
          <w:tab/>
        </w:r>
        <w:r w:rsidR="00B41EE3" w:rsidRPr="000D3710">
          <w:rPr>
            <w:rStyle w:val="Hyperlink"/>
            <w:noProof/>
          </w:rPr>
          <w:t>Reasons for Change in Burden</w:t>
        </w:r>
        <w:r w:rsidR="00B41EE3">
          <w:rPr>
            <w:noProof/>
            <w:webHidden/>
          </w:rPr>
          <w:tab/>
        </w:r>
        <w:r w:rsidR="00B41EE3">
          <w:rPr>
            <w:noProof/>
            <w:webHidden/>
          </w:rPr>
          <w:fldChar w:fldCharType="begin"/>
        </w:r>
        <w:r w:rsidR="00B41EE3">
          <w:rPr>
            <w:noProof/>
            <w:webHidden/>
          </w:rPr>
          <w:instrText xml:space="preserve"> PAGEREF _Toc23139144 \h </w:instrText>
        </w:r>
        <w:r w:rsidR="00B41EE3">
          <w:rPr>
            <w:noProof/>
            <w:webHidden/>
          </w:rPr>
        </w:r>
        <w:r w:rsidR="00B41EE3">
          <w:rPr>
            <w:noProof/>
            <w:webHidden/>
          </w:rPr>
          <w:fldChar w:fldCharType="separate"/>
        </w:r>
        <w:r w:rsidR="007A79EF">
          <w:rPr>
            <w:noProof/>
            <w:webHidden/>
          </w:rPr>
          <w:t>30</w:t>
        </w:r>
        <w:r w:rsidR="00B41EE3">
          <w:rPr>
            <w:noProof/>
            <w:webHidden/>
          </w:rPr>
          <w:fldChar w:fldCharType="end"/>
        </w:r>
      </w:hyperlink>
    </w:p>
    <w:p w14:paraId="681396F8" w14:textId="64FBA21D" w:rsidR="00B41EE3" w:rsidRDefault="00085335">
      <w:pPr>
        <w:pStyle w:val="TOC1"/>
        <w:tabs>
          <w:tab w:val="left" w:pos="720"/>
          <w:tab w:val="right" w:leader="dot" w:pos="9350"/>
        </w:tabs>
        <w:rPr>
          <w:rFonts w:asciiTheme="minorHAnsi" w:eastAsiaTheme="minorEastAsia" w:hAnsiTheme="minorHAnsi" w:cstheme="minorBidi"/>
          <w:noProof/>
          <w:sz w:val="22"/>
          <w:szCs w:val="22"/>
        </w:rPr>
      </w:pPr>
      <w:hyperlink w:anchor="_Toc23139145" w:history="1">
        <w:r w:rsidR="00B41EE3" w:rsidRPr="000D3710">
          <w:rPr>
            <w:rStyle w:val="Hyperlink"/>
            <w:noProof/>
          </w:rPr>
          <w:t>6(g)</w:t>
        </w:r>
        <w:r w:rsidR="00B41EE3">
          <w:rPr>
            <w:rFonts w:asciiTheme="minorHAnsi" w:eastAsiaTheme="minorEastAsia" w:hAnsiTheme="minorHAnsi" w:cstheme="minorBidi"/>
            <w:noProof/>
            <w:sz w:val="22"/>
            <w:szCs w:val="22"/>
          </w:rPr>
          <w:tab/>
        </w:r>
        <w:r w:rsidR="00B41EE3" w:rsidRPr="000D3710">
          <w:rPr>
            <w:rStyle w:val="Hyperlink"/>
            <w:noProof/>
          </w:rPr>
          <w:t>Burden Statement</w:t>
        </w:r>
        <w:r w:rsidR="00B41EE3">
          <w:rPr>
            <w:noProof/>
            <w:webHidden/>
          </w:rPr>
          <w:tab/>
        </w:r>
        <w:r w:rsidR="00B41EE3">
          <w:rPr>
            <w:noProof/>
            <w:webHidden/>
          </w:rPr>
          <w:fldChar w:fldCharType="begin"/>
        </w:r>
        <w:r w:rsidR="00B41EE3">
          <w:rPr>
            <w:noProof/>
            <w:webHidden/>
          </w:rPr>
          <w:instrText xml:space="preserve"> PAGEREF _Toc23139145 \h </w:instrText>
        </w:r>
        <w:r w:rsidR="00B41EE3">
          <w:rPr>
            <w:noProof/>
            <w:webHidden/>
          </w:rPr>
        </w:r>
        <w:r w:rsidR="00B41EE3">
          <w:rPr>
            <w:noProof/>
            <w:webHidden/>
          </w:rPr>
          <w:fldChar w:fldCharType="separate"/>
        </w:r>
        <w:r w:rsidR="007A79EF">
          <w:rPr>
            <w:noProof/>
            <w:webHidden/>
          </w:rPr>
          <w:t>31</w:t>
        </w:r>
        <w:r w:rsidR="00B41EE3">
          <w:rPr>
            <w:noProof/>
            <w:webHidden/>
          </w:rPr>
          <w:fldChar w:fldCharType="end"/>
        </w:r>
      </w:hyperlink>
    </w:p>
    <w:p w14:paraId="5293999C" w14:textId="70BDF952" w:rsidR="00B41EE3" w:rsidRDefault="00085335">
      <w:pPr>
        <w:pStyle w:val="TOC1"/>
        <w:tabs>
          <w:tab w:val="right" w:leader="dot" w:pos="9350"/>
        </w:tabs>
        <w:rPr>
          <w:rFonts w:asciiTheme="minorHAnsi" w:eastAsiaTheme="minorEastAsia" w:hAnsiTheme="minorHAnsi" w:cstheme="minorBidi"/>
          <w:noProof/>
          <w:sz w:val="22"/>
          <w:szCs w:val="22"/>
        </w:rPr>
      </w:pPr>
      <w:hyperlink w:anchor="_Toc23139146" w:history="1">
        <w:r w:rsidR="00B41EE3" w:rsidRPr="000D3710">
          <w:rPr>
            <w:rStyle w:val="Hyperlink"/>
            <w:noProof/>
          </w:rPr>
          <w:t>APPENDIX A: SDWA Sections that Provide Authority for the Collection</w:t>
        </w:r>
        <w:r w:rsidR="00B41EE3">
          <w:rPr>
            <w:noProof/>
            <w:webHidden/>
          </w:rPr>
          <w:tab/>
        </w:r>
        <w:r w:rsidR="00B41EE3">
          <w:rPr>
            <w:noProof/>
            <w:webHidden/>
          </w:rPr>
          <w:fldChar w:fldCharType="begin"/>
        </w:r>
        <w:r w:rsidR="00B41EE3">
          <w:rPr>
            <w:noProof/>
            <w:webHidden/>
          </w:rPr>
          <w:instrText xml:space="preserve"> PAGEREF _Toc23139146 \h </w:instrText>
        </w:r>
        <w:r w:rsidR="00B41EE3">
          <w:rPr>
            <w:noProof/>
            <w:webHidden/>
          </w:rPr>
        </w:r>
        <w:r w:rsidR="00B41EE3">
          <w:rPr>
            <w:noProof/>
            <w:webHidden/>
          </w:rPr>
          <w:fldChar w:fldCharType="separate"/>
        </w:r>
        <w:r w:rsidR="007A79EF">
          <w:rPr>
            <w:noProof/>
            <w:webHidden/>
          </w:rPr>
          <w:t>33</w:t>
        </w:r>
        <w:r w:rsidR="00B41EE3">
          <w:rPr>
            <w:noProof/>
            <w:webHidden/>
          </w:rPr>
          <w:fldChar w:fldCharType="end"/>
        </w:r>
      </w:hyperlink>
    </w:p>
    <w:p w14:paraId="0378D6A2" w14:textId="41E5400E" w:rsidR="00B41EE3" w:rsidRDefault="00085335">
      <w:pPr>
        <w:pStyle w:val="TOC1"/>
        <w:tabs>
          <w:tab w:val="right" w:leader="dot" w:pos="9350"/>
        </w:tabs>
        <w:rPr>
          <w:rFonts w:asciiTheme="minorHAnsi" w:eastAsiaTheme="minorEastAsia" w:hAnsiTheme="minorHAnsi" w:cstheme="minorBidi"/>
          <w:noProof/>
          <w:sz w:val="22"/>
          <w:szCs w:val="22"/>
        </w:rPr>
      </w:pPr>
      <w:hyperlink w:anchor="_Toc23139147" w:history="1">
        <w:r w:rsidR="00B41EE3" w:rsidRPr="000D3710">
          <w:rPr>
            <w:rStyle w:val="Hyperlink"/>
            <w:noProof/>
          </w:rPr>
          <w:t>APPENDIX B: Burden and Labor Rate Derivations</w:t>
        </w:r>
        <w:r w:rsidR="00B41EE3">
          <w:rPr>
            <w:noProof/>
            <w:webHidden/>
          </w:rPr>
          <w:tab/>
        </w:r>
        <w:r w:rsidR="00B41EE3">
          <w:rPr>
            <w:noProof/>
            <w:webHidden/>
          </w:rPr>
          <w:fldChar w:fldCharType="begin"/>
        </w:r>
        <w:r w:rsidR="00B41EE3">
          <w:rPr>
            <w:noProof/>
            <w:webHidden/>
          </w:rPr>
          <w:instrText xml:space="preserve"> PAGEREF _Toc23139147 \h </w:instrText>
        </w:r>
        <w:r w:rsidR="00B41EE3">
          <w:rPr>
            <w:noProof/>
            <w:webHidden/>
          </w:rPr>
        </w:r>
        <w:r w:rsidR="00B41EE3">
          <w:rPr>
            <w:noProof/>
            <w:webHidden/>
          </w:rPr>
          <w:fldChar w:fldCharType="separate"/>
        </w:r>
        <w:r w:rsidR="007A79EF">
          <w:rPr>
            <w:noProof/>
            <w:webHidden/>
          </w:rPr>
          <w:t>35</w:t>
        </w:r>
        <w:r w:rsidR="00B41EE3">
          <w:rPr>
            <w:noProof/>
            <w:webHidden/>
          </w:rPr>
          <w:fldChar w:fldCharType="end"/>
        </w:r>
      </w:hyperlink>
    </w:p>
    <w:p w14:paraId="3F4949AA" w14:textId="0AFC0AB7" w:rsidR="00002F5B" w:rsidRPr="00241B0D" w:rsidRDefault="00002F5B" w:rsidP="00002F5B">
      <w:r>
        <w:fldChar w:fldCharType="end"/>
      </w:r>
    </w:p>
    <w:p w14:paraId="799BE003" w14:textId="6351A613" w:rsidR="00002F5B" w:rsidRPr="00241B0D" w:rsidRDefault="00002F5B" w:rsidP="00002F5B">
      <w:pPr>
        <w:jc w:val="center"/>
      </w:pPr>
      <w:r w:rsidRPr="00241B0D">
        <w:br w:type="page"/>
        <w:t xml:space="preserve">LIST OF </w:t>
      </w:r>
      <w:r w:rsidR="00B41EE3">
        <w:t>Exhibits</w:t>
      </w:r>
    </w:p>
    <w:p w14:paraId="6BEDCA73" w14:textId="77777777" w:rsidR="00002F5B" w:rsidRPr="00241B0D" w:rsidRDefault="00002F5B" w:rsidP="00002F5B"/>
    <w:p w14:paraId="738628F1" w14:textId="33266E8D" w:rsidR="00B41EE3" w:rsidRDefault="00B41EE3">
      <w:pPr>
        <w:pStyle w:val="TableofFigures"/>
        <w:tabs>
          <w:tab w:val="right" w:leader="dot" w:pos="9350"/>
        </w:tabs>
        <w:rPr>
          <w:noProof/>
        </w:rPr>
      </w:pPr>
      <w:r>
        <w:fldChar w:fldCharType="begin"/>
      </w:r>
      <w:r>
        <w:instrText xml:space="preserve"> TOC \h \z \c "Exhibit" </w:instrText>
      </w:r>
      <w:r>
        <w:fldChar w:fldCharType="separate"/>
      </w:r>
      <w:hyperlink w:anchor="_Toc23139290" w:history="1">
        <w:r w:rsidRPr="007D089D">
          <w:rPr>
            <w:rStyle w:val="Hyperlink"/>
            <w:noProof/>
          </w:rPr>
          <w:t>Exhibit 1. Summary of Additional Activities Required by LCRR</w:t>
        </w:r>
        <w:r>
          <w:rPr>
            <w:noProof/>
            <w:webHidden/>
          </w:rPr>
          <w:tab/>
        </w:r>
        <w:r>
          <w:rPr>
            <w:noProof/>
            <w:webHidden/>
          </w:rPr>
          <w:fldChar w:fldCharType="begin"/>
        </w:r>
        <w:r>
          <w:rPr>
            <w:noProof/>
            <w:webHidden/>
          </w:rPr>
          <w:instrText xml:space="preserve"> PAGEREF _Toc23139290 \h </w:instrText>
        </w:r>
        <w:r>
          <w:rPr>
            <w:noProof/>
            <w:webHidden/>
          </w:rPr>
        </w:r>
        <w:r>
          <w:rPr>
            <w:noProof/>
            <w:webHidden/>
          </w:rPr>
          <w:fldChar w:fldCharType="separate"/>
        </w:r>
        <w:r w:rsidR="007A79EF">
          <w:rPr>
            <w:noProof/>
            <w:webHidden/>
          </w:rPr>
          <w:t>3</w:t>
        </w:r>
        <w:r>
          <w:rPr>
            <w:noProof/>
            <w:webHidden/>
          </w:rPr>
          <w:fldChar w:fldCharType="end"/>
        </w:r>
      </w:hyperlink>
    </w:p>
    <w:p w14:paraId="7CDD9198" w14:textId="1C761FB4" w:rsidR="00B41EE3" w:rsidRDefault="00085335">
      <w:pPr>
        <w:pStyle w:val="TableofFigures"/>
        <w:tabs>
          <w:tab w:val="right" w:leader="dot" w:pos="9350"/>
        </w:tabs>
        <w:rPr>
          <w:noProof/>
        </w:rPr>
      </w:pPr>
      <w:hyperlink w:anchor="_Toc23139291" w:history="1">
        <w:r w:rsidR="00B41EE3" w:rsidRPr="007D089D">
          <w:rPr>
            <w:rStyle w:val="Hyperlink"/>
            <w:noProof/>
          </w:rPr>
          <w:t>Exhibit 2. Changes in PWSs Reporting Data Items</w:t>
        </w:r>
        <w:r w:rsidR="00B41EE3">
          <w:rPr>
            <w:noProof/>
            <w:webHidden/>
          </w:rPr>
          <w:tab/>
        </w:r>
        <w:r w:rsidR="00B41EE3">
          <w:rPr>
            <w:noProof/>
            <w:webHidden/>
          </w:rPr>
          <w:fldChar w:fldCharType="begin"/>
        </w:r>
        <w:r w:rsidR="00B41EE3">
          <w:rPr>
            <w:noProof/>
            <w:webHidden/>
          </w:rPr>
          <w:instrText xml:space="preserve"> PAGEREF _Toc23139291 \h </w:instrText>
        </w:r>
        <w:r w:rsidR="00B41EE3">
          <w:rPr>
            <w:noProof/>
            <w:webHidden/>
          </w:rPr>
        </w:r>
        <w:r w:rsidR="00B41EE3">
          <w:rPr>
            <w:noProof/>
            <w:webHidden/>
          </w:rPr>
          <w:fldChar w:fldCharType="separate"/>
        </w:r>
        <w:r w:rsidR="007A79EF">
          <w:rPr>
            <w:noProof/>
            <w:webHidden/>
          </w:rPr>
          <w:t>13</w:t>
        </w:r>
        <w:r w:rsidR="00B41EE3">
          <w:rPr>
            <w:noProof/>
            <w:webHidden/>
          </w:rPr>
          <w:fldChar w:fldCharType="end"/>
        </w:r>
      </w:hyperlink>
    </w:p>
    <w:p w14:paraId="5B2771B9" w14:textId="0AD5086B" w:rsidR="00B41EE3" w:rsidRDefault="00085335">
      <w:pPr>
        <w:pStyle w:val="TableofFigures"/>
        <w:tabs>
          <w:tab w:val="right" w:leader="dot" w:pos="9350"/>
        </w:tabs>
        <w:rPr>
          <w:noProof/>
        </w:rPr>
      </w:pPr>
      <w:hyperlink w:anchor="_Toc23139292" w:history="1">
        <w:r w:rsidR="00B41EE3" w:rsidRPr="007D089D">
          <w:rPr>
            <w:rStyle w:val="Hyperlink"/>
            <w:noProof/>
          </w:rPr>
          <w:t>Exhibit 3. State/Primacy Agency Reporting Data Items</w:t>
        </w:r>
        <w:r w:rsidR="00B41EE3">
          <w:rPr>
            <w:noProof/>
            <w:webHidden/>
          </w:rPr>
          <w:tab/>
        </w:r>
        <w:r w:rsidR="00B41EE3">
          <w:rPr>
            <w:noProof/>
            <w:webHidden/>
          </w:rPr>
          <w:fldChar w:fldCharType="begin"/>
        </w:r>
        <w:r w:rsidR="00B41EE3">
          <w:rPr>
            <w:noProof/>
            <w:webHidden/>
          </w:rPr>
          <w:instrText xml:space="preserve"> PAGEREF _Toc23139292 \h </w:instrText>
        </w:r>
        <w:r w:rsidR="00B41EE3">
          <w:rPr>
            <w:noProof/>
            <w:webHidden/>
          </w:rPr>
        </w:r>
        <w:r w:rsidR="00B41EE3">
          <w:rPr>
            <w:noProof/>
            <w:webHidden/>
          </w:rPr>
          <w:fldChar w:fldCharType="separate"/>
        </w:r>
        <w:r w:rsidR="007A79EF">
          <w:rPr>
            <w:noProof/>
            <w:webHidden/>
          </w:rPr>
          <w:t>14</w:t>
        </w:r>
        <w:r w:rsidR="00B41EE3">
          <w:rPr>
            <w:noProof/>
            <w:webHidden/>
          </w:rPr>
          <w:fldChar w:fldCharType="end"/>
        </w:r>
      </w:hyperlink>
    </w:p>
    <w:p w14:paraId="1342A9A4" w14:textId="79FC6C39" w:rsidR="00B41EE3" w:rsidRDefault="00085335">
      <w:pPr>
        <w:pStyle w:val="TableofFigures"/>
        <w:tabs>
          <w:tab w:val="right" w:leader="dot" w:pos="9350"/>
        </w:tabs>
        <w:rPr>
          <w:noProof/>
        </w:rPr>
      </w:pPr>
      <w:hyperlink w:anchor="_Toc23139293" w:history="1">
        <w:r w:rsidR="00B41EE3" w:rsidRPr="007D089D">
          <w:rPr>
            <w:rStyle w:val="Hyperlink"/>
            <w:noProof/>
          </w:rPr>
          <w:t>Exhibit 4. Respondents and Burden for the Proposed LCRR, 3-Year Total</w:t>
        </w:r>
        <w:r w:rsidR="00B41EE3">
          <w:rPr>
            <w:noProof/>
            <w:webHidden/>
          </w:rPr>
          <w:tab/>
        </w:r>
        <w:r w:rsidR="00B41EE3">
          <w:rPr>
            <w:noProof/>
            <w:webHidden/>
          </w:rPr>
          <w:fldChar w:fldCharType="begin"/>
        </w:r>
        <w:r w:rsidR="00B41EE3">
          <w:rPr>
            <w:noProof/>
            <w:webHidden/>
          </w:rPr>
          <w:instrText xml:space="preserve"> PAGEREF _Toc23139293 \h </w:instrText>
        </w:r>
        <w:r w:rsidR="00B41EE3">
          <w:rPr>
            <w:noProof/>
            <w:webHidden/>
          </w:rPr>
        </w:r>
        <w:r w:rsidR="00B41EE3">
          <w:rPr>
            <w:noProof/>
            <w:webHidden/>
          </w:rPr>
          <w:fldChar w:fldCharType="separate"/>
        </w:r>
        <w:r w:rsidR="007A79EF">
          <w:rPr>
            <w:noProof/>
            <w:webHidden/>
          </w:rPr>
          <w:t>19</w:t>
        </w:r>
        <w:r w:rsidR="00B41EE3">
          <w:rPr>
            <w:noProof/>
            <w:webHidden/>
          </w:rPr>
          <w:fldChar w:fldCharType="end"/>
        </w:r>
      </w:hyperlink>
    </w:p>
    <w:p w14:paraId="7F72AD79" w14:textId="5ABF3226" w:rsidR="00B41EE3" w:rsidRDefault="00085335">
      <w:pPr>
        <w:pStyle w:val="TableofFigures"/>
        <w:tabs>
          <w:tab w:val="right" w:leader="dot" w:pos="9350"/>
        </w:tabs>
        <w:rPr>
          <w:noProof/>
        </w:rPr>
      </w:pPr>
      <w:hyperlink w:anchor="_Toc23139294" w:history="1">
        <w:r w:rsidR="00B41EE3" w:rsidRPr="007D089D">
          <w:rPr>
            <w:rStyle w:val="Hyperlink"/>
            <w:noProof/>
          </w:rPr>
          <w:t>Exhibit 5. Burden and Costs for Public Water Systems for Start-up Activities, 3-Year Total (Reading Rule, Assigning Personnel, Attending Training)</w:t>
        </w:r>
        <w:r w:rsidR="00B41EE3">
          <w:rPr>
            <w:noProof/>
            <w:webHidden/>
          </w:rPr>
          <w:tab/>
        </w:r>
        <w:r w:rsidR="00B41EE3">
          <w:rPr>
            <w:noProof/>
            <w:webHidden/>
          </w:rPr>
          <w:fldChar w:fldCharType="begin"/>
        </w:r>
        <w:r w:rsidR="00B41EE3">
          <w:rPr>
            <w:noProof/>
            <w:webHidden/>
          </w:rPr>
          <w:instrText xml:space="preserve"> PAGEREF _Toc23139294 \h </w:instrText>
        </w:r>
        <w:r w:rsidR="00B41EE3">
          <w:rPr>
            <w:noProof/>
            <w:webHidden/>
          </w:rPr>
        </w:r>
        <w:r w:rsidR="00B41EE3">
          <w:rPr>
            <w:noProof/>
            <w:webHidden/>
          </w:rPr>
          <w:fldChar w:fldCharType="separate"/>
        </w:r>
        <w:r w:rsidR="007A79EF">
          <w:rPr>
            <w:noProof/>
            <w:webHidden/>
          </w:rPr>
          <w:t>23</w:t>
        </w:r>
        <w:r w:rsidR="00B41EE3">
          <w:rPr>
            <w:noProof/>
            <w:webHidden/>
          </w:rPr>
          <w:fldChar w:fldCharType="end"/>
        </w:r>
      </w:hyperlink>
    </w:p>
    <w:p w14:paraId="6D76044C" w14:textId="6B15C3E0" w:rsidR="00B41EE3" w:rsidRDefault="00085335">
      <w:pPr>
        <w:pStyle w:val="TableofFigures"/>
        <w:tabs>
          <w:tab w:val="right" w:leader="dot" w:pos="9350"/>
        </w:tabs>
        <w:rPr>
          <w:noProof/>
        </w:rPr>
      </w:pPr>
      <w:hyperlink w:anchor="_Toc23139295" w:history="1">
        <w:r w:rsidR="00B41EE3" w:rsidRPr="007D089D">
          <w:rPr>
            <w:rStyle w:val="Hyperlink"/>
            <w:noProof/>
          </w:rPr>
          <w:t>Exhibit 6. Burden and Costs for Public Water Systems Preparing a Lead Service Line Inventory, 3-Year Total</w:t>
        </w:r>
        <w:r w:rsidR="00B41EE3">
          <w:rPr>
            <w:noProof/>
            <w:webHidden/>
          </w:rPr>
          <w:tab/>
        </w:r>
        <w:r w:rsidR="00B41EE3">
          <w:rPr>
            <w:noProof/>
            <w:webHidden/>
          </w:rPr>
          <w:fldChar w:fldCharType="begin"/>
        </w:r>
        <w:r w:rsidR="00B41EE3">
          <w:rPr>
            <w:noProof/>
            <w:webHidden/>
          </w:rPr>
          <w:instrText xml:space="preserve"> PAGEREF _Toc23139295 \h </w:instrText>
        </w:r>
        <w:r w:rsidR="00B41EE3">
          <w:rPr>
            <w:noProof/>
            <w:webHidden/>
          </w:rPr>
        </w:r>
        <w:r w:rsidR="00B41EE3">
          <w:rPr>
            <w:noProof/>
            <w:webHidden/>
          </w:rPr>
          <w:fldChar w:fldCharType="separate"/>
        </w:r>
        <w:r w:rsidR="007A79EF">
          <w:rPr>
            <w:noProof/>
            <w:webHidden/>
          </w:rPr>
          <w:t>23</w:t>
        </w:r>
        <w:r w:rsidR="00B41EE3">
          <w:rPr>
            <w:noProof/>
            <w:webHidden/>
          </w:rPr>
          <w:fldChar w:fldCharType="end"/>
        </w:r>
      </w:hyperlink>
    </w:p>
    <w:p w14:paraId="638FD5DD" w14:textId="01C13FA5" w:rsidR="00B41EE3" w:rsidRDefault="00085335">
      <w:pPr>
        <w:pStyle w:val="TableofFigures"/>
        <w:tabs>
          <w:tab w:val="right" w:leader="dot" w:pos="9350"/>
        </w:tabs>
        <w:rPr>
          <w:noProof/>
        </w:rPr>
      </w:pPr>
      <w:hyperlink w:anchor="_Toc23139296" w:history="1">
        <w:r w:rsidR="00B41EE3" w:rsidRPr="007D089D">
          <w:rPr>
            <w:rStyle w:val="Hyperlink"/>
            <w:noProof/>
          </w:rPr>
          <w:t>Exhibit 7. Burden and Costs for Public Water Systems Preparing Demonstrations of no Lead Service Lines, 3-Year Total</w:t>
        </w:r>
        <w:r w:rsidR="00B41EE3">
          <w:rPr>
            <w:noProof/>
            <w:webHidden/>
          </w:rPr>
          <w:tab/>
        </w:r>
        <w:r w:rsidR="00B41EE3">
          <w:rPr>
            <w:noProof/>
            <w:webHidden/>
          </w:rPr>
          <w:fldChar w:fldCharType="begin"/>
        </w:r>
        <w:r w:rsidR="00B41EE3">
          <w:rPr>
            <w:noProof/>
            <w:webHidden/>
          </w:rPr>
          <w:instrText xml:space="preserve"> PAGEREF _Toc23139296 \h </w:instrText>
        </w:r>
        <w:r w:rsidR="00B41EE3">
          <w:rPr>
            <w:noProof/>
            <w:webHidden/>
          </w:rPr>
        </w:r>
        <w:r w:rsidR="00B41EE3">
          <w:rPr>
            <w:noProof/>
            <w:webHidden/>
          </w:rPr>
          <w:fldChar w:fldCharType="separate"/>
        </w:r>
        <w:r w:rsidR="007A79EF">
          <w:rPr>
            <w:noProof/>
            <w:webHidden/>
          </w:rPr>
          <w:t>24</w:t>
        </w:r>
        <w:r w:rsidR="00B41EE3">
          <w:rPr>
            <w:noProof/>
            <w:webHidden/>
          </w:rPr>
          <w:fldChar w:fldCharType="end"/>
        </w:r>
      </w:hyperlink>
    </w:p>
    <w:p w14:paraId="200C5BAD" w14:textId="11ED5863" w:rsidR="00B41EE3" w:rsidRDefault="00085335">
      <w:pPr>
        <w:pStyle w:val="TableofFigures"/>
        <w:tabs>
          <w:tab w:val="right" w:leader="dot" w:pos="9350"/>
        </w:tabs>
        <w:rPr>
          <w:noProof/>
        </w:rPr>
      </w:pPr>
      <w:hyperlink w:anchor="_Toc23139297" w:history="1">
        <w:r w:rsidR="00B41EE3" w:rsidRPr="007D089D">
          <w:rPr>
            <w:rStyle w:val="Hyperlink"/>
            <w:noProof/>
          </w:rPr>
          <w:t>Exhibit 8. Burden and Costs for Public Water Systems for Preparing and Submitting a Lead Service Line Replacement Plan, 3-Year Total</w:t>
        </w:r>
        <w:r w:rsidR="00B41EE3">
          <w:rPr>
            <w:noProof/>
            <w:webHidden/>
          </w:rPr>
          <w:tab/>
        </w:r>
        <w:r w:rsidR="00B41EE3">
          <w:rPr>
            <w:noProof/>
            <w:webHidden/>
          </w:rPr>
          <w:fldChar w:fldCharType="begin"/>
        </w:r>
        <w:r w:rsidR="00B41EE3">
          <w:rPr>
            <w:noProof/>
            <w:webHidden/>
          </w:rPr>
          <w:instrText xml:space="preserve"> PAGEREF _Toc23139297 \h </w:instrText>
        </w:r>
        <w:r w:rsidR="00B41EE3">
          <w:rPr>
            <w:noProof/>
            <w:webHidden/>
          </w:rPr>
        </w:r>
        <w:r w:rsidR="00B41EE3">
          <w:rPr>
            <w:noProof/>
            <w:webHidden/>
          </w:rPr>
          <w:fldChar w:fldCharType="separate"/>
        </w:r>
        <w:r w:rsidR="007A79EF">
          <w:rPr>
            <w:noProof/>
            <w:webHidden/>
          </w:rPr>
          <w:t>25</w:t>
        </w:r>
        <w:r w:rsidR="00B41EE3">
          <w:rPr>
            <w:noProof/>
            <w:webHidden/>
          </w:rPr>
          <w:fldChar w:fldCharType="end"/>
        </w:r>
      </w:hyperlink>
    </w:p>
    <w:p w14:paraId="1525ADE7" w14:textId="003F584C" w:rsidR="00B41EE3" w:rsidRDefault="00085335">
      <w:pPr>
        <w:pStyle w:val="TableofFigures"/>
        <w:tabs>
          <w:tab w:val="right" w:leader="dot" w:pos="9350"/>
        </w:tabs>
        <w:rPr>
          <w:noProof/>
        </w:rPr>
      </w:pPr>
      <w:hyperlink w:anchor="_Toc23139298" w:history="1">
        <w:r w:rsidR="00B41EE3" w:rsidRPr="007D089D">
          <w:rPr>
            <w:rStyle w:val="Hyperlink"/>
            <w:noProof/>
          </w:rPr>
          <w:t>Exhibit 9. Burden and Costs for Primacy Agencies Assisting with LSL Inventories and Reviewing Inventories, 3-Year Total</w:t>
        </w:r>
        <w:r w:rsidR="00B41EE3">
          <w:rPr>
            <w:noProof/>
            <w:webHidden/>
          </w:rPr>
          <w:tab/>
        </w:r>
        <w:r w:rsidR="00B41EE3">
          <w:rPr>
            <w:noProof/>
            <w:webHidden/>
          </w:rPr>
          <w:fldChar w:fldCharType="begin"/>
        </w:r>
        <w:r w:rsidR="00B41EE3">
          <w:rPr>
            <w:noProof/>
            <w:webHidden/>
          </w:rPr>
          <w:instrText xml:space="preserve"> PAGEREF _Toc23139298 \h </w:instrText>
        </w:r>
        <w:r w:rsidR="00B41EE3">
          <w:rPr>
            <w:noProof/>
            <w:webHidden/>
          </w:rPr>
        </w:r>
        <w:r w:rsidR="00B41EE3">
          <w:rPr>
            <w:noProof/>
            <w:webHidden/>
          </w:rPr>
          <w:fldChar w:fldCharType="separate"/>
        </w:r>
        <w:r w:rsidR="007A79EF">
          <w:rPr>
            <w:noProof/>
            <w:webHidden/>
          </w:rPr>
          <w:t>26</w:t>
        </w:r>
        <w:r w:rsidR="00B41EE3">
          <w:rPr>
            <w:noProof/>
            <w:webHidden/>
          </w:rPr>
          <w:fldChar w:fldCharType="end"/>
        </w:r>
      </w:hyperlink>
    </w:p>
    <w:p w14:paraId="618D3748" w14:textId="20EC3354" w:rsidR="00B41EE3" w:rsidRDefault="00085335">
      <w:pPr>
        <w:pStyle w:val="TableofFigures"/>
        <w:tabs>
          <w:tab w:val="right" w:leader="dot" w:pos="9350"/>
        </w:tabs>
        <w:rPr>
          <w:noProof/>
        </w:rPr>
      </w:pPr>
      <w:hyperlink w:anchor="_Toc23139299" w:history="1">
        <w:r w:rsidR="00B41EE3" w:rsidRPr="007D089D">
          <w:rPr>
            <w:rStyle w:val="Hyperlink"/>
            <w:noProof/>
          </w:rPr>
          <w:t>Exhibit 10. Burden and Costs for Primacy Agencies Reviewing Demonstrations of no Lead Service Lines, 3-Year Total</w:t>
        </w:r>
        <w:r w:rsidR="00B41EE3">
          <w:rPr>
            <w:noProof/>
            <w:webHidden/>
          </w:rPr>
          <w:tab/>
        </w:r>
        <w:r w:rsidR="00B41EE3">
          <w:rPr>
            <w:noProof/>
            <w:webHidden/>
          </w:rPr>
          <w:fldChar w:fldCharType="begin"/>
        </w:r>
        <w:r w:rsidR="00B41EE3">
          <w:rPr>
            <w:noProof/>
            <w:webHidden/>
          </w:rPr>
          <w:instrText xml:space="preserve"> PAGEREF _Toc23139299 \h </w:instrText>
        </w:r>
        <w:r w:rsidR="00B41EE3">
          <w:rPr>
            <w:noProof/>
            <w:webHidden/>
          </w:rPr>
        </w:r>
        <w:r w:rsidR="00B41EE3">
          <w:rPr>
            <w:noProof/>
            <w:webHidden/>
          </w:rPr>
          <w:fldChar w:fldCharType="separate"/>
        </w:r>
        <w:r w:rsidR="007A79EF">
          <w:rPr>
            <w:noProof/>
            <w:webHidden/>
          </w:rPr>
          <w:t>27</w:t>
        </w:r>
        <w:r w:rsidR="00B41EE3">
          <w:rPr>
            <w:noProof/>
            <w:webHidden/>
          </w:rPr>
          <w:fldChar w:fldCharType="end"/>
        </w:r>
      </w:hyperlink>
    </w:p>
    <w:p w14:paraId="018EA020" w14:textId="7D32EFE8" w:rsidR="00B41EE3" w:rsidRDefault="00085335">
      <w:pPr>
        <w:pStyle w:val="TableofFigures"/>
        <w:tabs>
          <w:tab w:val="right" w:leader="dot" w:pos="9350"/>
        </w:tabs>
        <w:rPr>
          <w:noProof/>
        </w:rPr>
      </w:pPr>
      <w:hyperlink w:anchor="_Toc23139300" w:history="1">
        <w:r w:rsidR="00B41EE3" w:rsidRPr="007D089D">
          <w:rPr>
            <w:rStyle w:val="Hyperlink"/>
            <w:noProof/>
          </w:rPr>
          <w:t>Exhibit 11. Bottom Line Burden and Costs, 3-Year Total</w:t>
        </w:r>
        <w:r w:rsidR="00B41EE3">
          <w:rPr>
            <w:noProof/>
            <w:webHidden/>
          </w:rPr>
          <w:tab/>
        </w:r>
        <w:r w:rsidR="00B41EE3">
          <w:rPr>
            <w:noProof/>
            <w:webHidden/>
          </w:rPr>
          <w:fldChar w:fldCharType="begin"/>
        </w:r>
        <w:r w:rsidR="00B41EE3">
          <w:rPr>
            <w:noProof/>
            <w:webHidden/>
          </w:rPr>
          <w:instrText xml:space="preserve"> PAGEREF _Toc23139300 \h </w:instrText>
        </w:r>
        <w:r w:rsidR="00B41EE3">
          <w:rPr>
            <w:noProof/>
            <w:webHidden/>
          </w:rPr>
        </w:r>
        <w:r w:rsidR="00B41EE3">
          <w:rPr>
            <w:noProof/>
            <w:webHidden/>
          </w:rPr>
          <w:fldChar w:fldCharType="separate"/>
        </w:r>
        <w:r w:rsidR="007A79EF">
          <w:rPr>
            <w:noProof/>
            <w:webHidden/>
          </w:rPr>
          <w:t>28</w:t>
        </w:r>
        <w:r w:rsidR="00B41EE3">
          <w:rPr>
            <w:noProof/>
            <w:webHidden/>
          </w:rPr>
          <w:fldChar w:fldCharType="end"/>
        </w:r>
      </w:hyperlink>
    </w:p>
    <w:p w14:paraId="57A18C5E" w14:textId="492DB6CC" w:rsidR="00B41EE3" w:rsidRDefault="00085335">
      <w:pPr>
        <w:pStyle w:val="TableofFigures"/>
        <w:tabs>
          <w:tab w:val="right" w:leader="dot" w:pos="9350"/>
        </w:tabs>
        <w:rPr>
          <w:noProof/>
        </w:rPr>
      </w:pPr>
      <w:hyperlink w:anchor="_Toc23139301" w:history="1">
        <w:r w:rsidR="00B41EE3" w:rsidRPr="007D089D">
          <w:rPr>
            <w:rStyle w:val="Hyperlink"/>
            <w:noProof/>
          </w:rPr>
          <w:t>Exhibit 12. Annual Distribution of Burden over the ICR Period</w:t>
        </w:r>
        <w:r w:rsidR="00B41EE3">
          <w:rPr>
            <w:noProof/>
            <w:webHidden/>
          </w:rPr>
          <w:tab/>
        </w:r>
        <w:r w:rsidR="00B41EE3">
          <w:rPr>
            <w:noProof/>
            <w:webHidden/>
          </w:rPr>
          <w:fldChar w:fldCharType="begin"/>
        </w:r>
        <w:r w:rsidR="00B41EE3">
          <w:rPr>
            <w:noProof/>
            <w:webHidden/>
          </w:rPr>
          <w:instrText xml:space="preserve"> PAGEREF _Toc23139301 \h </w:instrText>
        </w:r>
        <w:r w:rsidR="00B41EE3">
          <w:rPr>
            <w:noProof/>
            <w:webHidden/>
          </w:rPr>
        </w:r>
        <w:r w:rsidR="00B41EE3">
          <w:rPr>
            <w:noProof/>
            <w:webHidden/>
          </w:rPr>
          <w:fldChar w:fldCharType="separate"/>
        </w:r>
        <w:r w:rsidR="007A79EF">
          <w:rPr>
            <w:noProof/>
            <w:webHidden/>
          </w:rPr>
          <w:t>29</w:t>
        </w:r>
        <w:r w:rsidR="00B41EE3">
          <w:rPr>
            <w:noProof/>
            <w:webHidden/>
          </w:rPr>
          <w:fldChar w:fldCharType="end"/>
        </w:r>
      </w:hyperlink>
    </w:p>
    <w:p w14:paraId="6B92DA73" w14:textId="6CF7FFF8" w:rsidR="00B41EE3" w:rsidRDefault="00085335">
      <w:pPr>
        <w:pStyle w:val="TableofFigures"/>
        <w:tabs>
          <w:tab w:val="right" w:leader="dot" w:pos="9350"/>
        </w:tabs>
        <w:rPr>
          <w:noProof/>
        </w:rPr>
      </w:pPr>
      <w:hyperlink w:anchor="_Toc23139302" w:history="1">
        <w:r w:rsidR="00B41EE3" w:rsidRPr="007D089D">
          <w:rPr>
            <w:rStyle w:val="Hyperlink"/>
            <w:noProof/>
          </w:rPr>
          <w:t>Exhibit 13. Annual Distribution of Cost over the ICR Period</w:t>
        </w:r>
        <w:r w:rsidR="00B41EE3">
          <w:rPr>
            <w:noProof/>
            <w:webHidden/>
          </w:rPr>
          <w:tab/>
        </w:r>
        <w:r w:rsidR="00B41EE3">
          <w:rPr>
            <w:noProof/>
            <w:webHidden/>
          </w:rPr>
          <w:fldChar w:fldCharType="begin"/>
        </w:r>
        <w:r w:rsidR="00B41EE3">
          <w:rPr>
            <w:noProof/>
            <w:webHidden/>
          </w:rPr>
          <w:instrText xml:space="preserve"> PAGEREF _Toc23139302 \h </w:instrText>
        </w:r>
        <w:r w:rsidR="00B41EE3">
          <w:rPr>
            <w:noProof/>
            <w:webHidden/>
          </w:rPr>
        </w:r>
        <w:r w:rsidR="00B41EE3">
          <w:rPr>
            <w:noProof/>
            <w:webHidden/>
          </w:rPr>
          <w:fldChar w:fldCharType="separate"/>
        </w:r>
        <w:r w:rsidR="007A79EF">
          <w:rPr>
            <w:noProof/>
            <w:webHidden/>
          </w:rPr>
          <w:t>30</w:t>
        </w:r>
        <w:r w:rsidR="00B41EE3">
          <w:rPr>
            <w:noProof/>
            <w:webHidden/>
          </w:rPr>
          <w:fldChar w:fldCharType="end"/>
        </w:r>
      </w:hyperlink>
    </w:p>
    <w:p w14:paraId="1C7C8541" w14:textId="6295F7D0" w:rsidR="00002F5B" w:rsidRPr="00241B0D" w:rsidRDefault="00B41EE3" w:rsidP="00002F5B">
      <w:r>
        <w:fldChar w:fldCharType="end"/>
      </w:r>
    </w:p>
    <w:p w14:paraId="330148D3" w14:textId="77777777" w:rsidR="00002F5B" w:rsidRPr="00241B0D" w:rsidRDefault="00002F5B" w:rsidP="00002F5B"/>
    <w:p w14:paraId="53539122" w14:textId="77777777" w:rsidR="00002F5B" w:rsidRPr="00241B0D" w:rsidRDefault="00002F5B" w:rsidP="00002F5B"/>
    <w:p w14:paraId="47F39975" w14:textId="77777777" w:rsidR="00002F5B" w:rsidRPr="00241B0D" w:rsidRDefault="00002F5B" w:rsidP="00002F5B">
      <w:pPr>
        <w:jc w:val="center"/>
      </w:pPr>
      <w:r w:rsidRPr="00241B0D">
        <w:br w:type="page"/>
        <w:t>ACRONYMS</w:t>
      </w:r>
    </w:p>
    <w:p w14:paraId="67530667" w14:textId="49034A01" w:rsidR="00002F5B" w:rsidRDefault="00002F5B" w:rsidP="00002F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7125"/>
      </w:tblGrid>
      <w:tr w:rsidR="00C67365" w:rsidRPr="00C67365" w14:paraId="720EF660" w14:textId="77777777" w:rsidTr="00C67365">
        <w:trPr>
          <w:trHeight w:val="288"/>
        </w:trPr>
        <w:tc>
          <w:tcPr>
            <w:tcW w:w="1960" w:type="dxa"/>
            <w:noWrap/>
            <w:hideMark/>
          </w:tcPr>
          <w:p w14:paraId="64794BFE" w14:textId="77777777" w:rsidR="00C67365" w:rsidRPr="00C67365" w:rsidRDefault="00C67365">
            <w:r w:rsidRPr="00C67365">
              <w:t>AL</w:t>
            </w:r>
          </w:p>
        </w:tc>
        <w:tc>
          <w:tcPr>
            <w:tcW w:w="7125" w:type="dxa"/>
            <w:noWrap/>
            <w:hideMark/>
          </w:tcPr>
          <w:p w14:paraId="1C653780" w14:textId="77777777" w:rsidR="00C67365" w:rsidRPr="00C67365" w:rsidRDefault="00C67365">
            <w:r w:rsidRPr="00C67365">
              <w:t>action level</w:t>
            </w:r>
          </w:p>
        </w:tc>
      </w:tr>
      <w:tr w:rsidR="00C67365" w:rsidRPr="00C67365" w14:paraId="6539F117" w14:textId="77777777" w:rsidTr="00C67365">
        <w:trPr>
          <w:trHeight w:val="288"/>
        </w:trPr>
        <w:tc>
          <w:tcPr>
            <w:tcW w:w="1960" w:type="dxa"/>
            <w:noWrap/>
            <w:hideMark/>
          </w:tcPr>
          <w:p w14:paraId="430EA8A7" w14:textId="77777777" w:rsidR="00C67365" w:rsidRPr="00C67365" w:rsidRDefault="00C67365">
            <w:r w:rsidRPr="00C67365">
              <w:t>ALE</w:t>
            </w:r>
          </w:p>
        </w:tc>
        <w:tc>
          <w:tcPr>
            <w:tcW w:w="7125" w:type="dxa"/>
            <w:noWrap/>
            <w:hideMark/>
          </w:tcPr>
          <w:p w14:paraId="2468D82D" w14:textId="77777777" w:rsidR="00C67365" w:rsidRPr="00C67365" w:rsidRDefault="00C67365">
            <w:r w:rsidRPr="00C67365">
              <w:t>action level exceedance</w:t>
            </w:r>
          </w:p>
        </w:tc>
      </w:tr>
      <w:tr w:rsidR="00C67365" w:rsidRPr="00C67365" w14:paraId="6BCF0889" w14:textId="77777777" w:rsidTr="00C67365">
        <w:trPr>
          <w:trHeight w:val="312"/>
        </w:trPr>
        <w:tc>
          <w:tcPr>
            <w:tcW w:w="1960" w:type="dxa"/>
            <w:noWrap/>
            <w:hideMark/>
          </w:tcPr>
          <w:p w14:paraId="7AE2E8C7" w14:textId="77777777" w:rsidR="00C67365" w:rsidRPr="00C67365" w:rsidRDefault="00C67365">
            <w:r w:rsidRPr="00C67365">
              <w:t>ASDWA</w:t>
            </w:r>
          </w:p>
        </w:tc>
        <w:tc>
          <w:tcPr>
            <w:tcW w:w="7125" w:type="dxa"/>
            <w:noWrap/>
            <w:hideMark/>
          </w:tcPr>
          <w:p w14:paraId="6E0909EF" w14:textId="77777777" w:rsidR="00C67365" w:rsidRPr="00C67365" w:rsidRDefault="00C67365">
            <w:r w:rsidRPr="00C67365">
              <w:t>Association of State Drinking Water Administrators</w:t>
            </w:r>
          </w:p>
        </w:tc>
      </w:tr>
      <w:tr w:rsidR="00C67365" w:rsidRPr="00C67365" w14:paraId="52D40700" w14:textId="77777777" w:rsidTr="00C67365">
        <w:trPr>
          <w:trHeight w:val="312"/>
        </w:trPr>
        <w:tc>
          <w:tcPr>
            <w:tcW w:w="1960" w:type="dxa"/>
            <w:noWrap/>
            <w:hideMark/>
          </w:tcPr>
          <w:p w14:paraId="00877393" w14:textId="77777777" w:rsidR="00C67365" w:rsidRPr="00C67365" w:rsidRDefault="00C67365">
            <w:r w:rsidRPr="00C67365">
              <w:t>BLS</w:t>
            </w:r>
          </w:p>
        </w:tc>
        <w:tc>
          <w:tcPr>
            <w:tcW w:w="7125" w:type="dxa"/>
            <w:noWrap/>
            <w:hideMark/>
          </w:tcPr>
          <w:p w14:paraId="67696EFE" w14:textId="77777777" w:rsidR="00C67365" w:rsidRPr="00C67365" w:rsidRDefault="00C67365">
            <w:r w:rsidRPr="00C67365">
              <w:t>Bureau of Labor Statistics</w:t>
            </w:r>
          </w:p>
        </w:tc>
      </w:tr>
      <w:tr w:rsidR="00C67365" w:rsidRPr="00C67365" w14:paraId="271A26AD" w14:textId="77777777" w:rsidTr="00C67365">
        <w:trPr>
          <w:trHeight w:val="312"/>
        </w:trPr>
        <w:tc>
          <w:tcPr>
            <w:tcW w:w="1960" w:type="dxa"/>
            <w:noWrap/>
            <w:hideMark/>
          </w:tcPr>
          <w:p w14:paraId="2B1D728D" w14:textId="77777777" w:rsidR="00C67365" w:rsidRPr="00C67365" w:rsidRDefault="00C67365">
            <w:r w:rsidRPr="00C67365">
              <w:t>CFR</w:t>
            </w:r>
          </w:p>
        </w:tc>
        <w:tc>
          <w:tcPr>
            <w:tcW w:w="7125" w:type="dxa"/>
            <w:noWrap/>
            <w:hideMark/>
          </w:tcPr>
          <w:p w14:paraId="23C0661D" w14:textId="77777777" w:rsidR="00C67365" w:rsidRPr="00C67365" w:rsidRDefault="00C67365">
            <w:r w:rsidRPr="00C67365">
              <w:t>Code of Federal Regulations</w:t>
            </w:r>
          </w:p>
        </w:tc>
      </w:tr>
      <w:tr w:rsidR="00C67365" w:rsidRPr="00C67365" w14:paraId="3FDC07ED" w14:textId="77777777" w:rsidTr="00C67365">
        <w:trPr>
          <w:trHeight w:val="312"/>
        </w:trPr>
        <w:tc>
          <w:tcPr>
            <w:tcW w:w="1960" w:type="dxa"/>
            <w:noWrap/>
            <w:hideMark/>
          </w:tcPr>
          <w:p w14:paraId="314A80E8" w14:textId="77777777" w:rsidR="00C67365" w:rsidRPr="00C67365" w:rsidRDefault="00C67365">
            <w:r w:rsidRPr="00C67365">
              <w:t xml:space="preserve">CCT  </w:t>
            </w:r>
          </w:p>
        </w:tc>
        <w:tc>
          <w:tcPr>
            <w:tcW w:w="7125" w:type="dxa"/>
            <w:noWrap/>
            <w:hideMark/>
          </w:tcPr>
          <w:p w14:paraId="124017C1" w14:textId="77777777" w:rsidR="00C67365" w:rsidRPr="00C67365" w:rsidRDefault="00C67365">
            <w:r w:rsidRPr="00C67365">
              <w:t>corrosion control treatment</w:t>
            </w:r>
          </w:p>
        </w:tc>
      </w:tr>
      <w:tr w:rsidR="00C67365" w:rsidRPr="00C67365" w14:paraId="5AC3DCB7" w14:textId="77777777" w:rsidTr="00C67365">
        <w:trPr>
          <w:trHeight w:val="312"/>
        </w:trPr>
        <w:tc>
          <w:tcPr>
            <w:tcW w:w="1960" w:type="dxa"/>
            <w:noWrap/>
            <w:hideMark/>
          </w:tcPr>
          <w:p w14:paraId="7728ED81" w14:textId="77777777" w:rsidR="00C67365" w:rsidRPr="00C67365" w:rsidRDefault="00C67365">
            <w:r w:rsidRPr="00C67365">
              <w:t>CWS</w:t>
            </w:r>
          </w:p>
        </w:tc>
        <w:tc>
          <w:tcPr>
            <w:tcW w:w="7125" w:type="dxa"/>
            <w:noWrap/>
            <w:hideMark/>
          </w:tcPr>
          <w:p w14:paraId="782C68F8" w14:textId="77777777" w:rsidR="00C67365" w:rsidRPr="00C67365" w:rsidRDefault="00C67365">
            <w:r w:rsidRPr="00C67365">
              <w:t>community water system</w:t>
            </w:r>
          </w:p>
        </w:tc>
      </w:tr>
      <w:tr w:rsidR="00C67365" w:rsidRPr="00C67365" w14:paraId="2E5C8694" w14:textId="77777777" w:rsidTr="00C67365">
        <w:trPr>
          <w:trHeight w:val="312"/>
        </w:trPr>
        <w:tc>
          <w:tcPr>
            <w:tcW w:w="1960" w:type="dxa"/>
            <w:noWrap/>
            <w:hideMark/>
          </w:tcPr>
          <w:p w14:paraId="26F7449B" w14:textId="77777777" w:rsidR="00C67365" w:rsidRPr="00C67365" w:rsidRDefault="00C67365">
            <w:r w:rsidRPr="00C67365">
              <w:t>EA</w:t>
            </w:r>
          </w:p>
        </w:tc>
        <w:tc>
          <w:tcPr>
            <w:tcW w:w="7125" w:type="dxa"/>
            <w:noWrap/>
            <w:hideMark/>
          </w:tcPr>
          <w:p w14:paraId="770FA5E7" w14:textId="77777777" w:rsidR="00C67365" w:rsidRPr="00C67365" w:rsidRDefault="00C67365">
            <w:r w:rsidRPr="00C67365">
              <w:t>Economic Analysis</w:t>
            </w:r>
          </w:p>
        </w:tc>
      </w:tr>
      <w:tr w:rsidR="00C67365" w:rsidRPr="00C67365" w14:paraId="6EA3F1FA" w14:textId="77777777" w:rsidTr="00C67365">
        <w:trPr>
          <w:trHeight w:val="312"/>
        </w:trPr>
        <w:tc>
          <w:tcPr>
            <w:tcW w:w="1960" w:type="dxa"/>
            <w:noWrap/>
            <w:hideMark/>
          </w:tcPr>
          <w:p w14:paraId="2EA3B8C1" w14:textId="77777777" w:rsidR="00C67365" w:rsidRPr="00C67365" w:rsidRDefault="00C67365">
            <w:r w:rsidRPr="00C67365">
              <w:t>EPA</w:t>
            </w:r>
          </w:p>
        </w:tc>
        <w:tc>
          <w:tcPr>
            <w:tcW w:w="7125" w:type="dxa"/>
            <w:noWrap/>
            <w:hideMark/>
          </w:tcPr>
          <w:p w14:paraId="59F3878C" w14:textId="77777777" w:rsidR="00C67365" w:rsidRPr="00C67365" w:rsidRDefault="00C67365">
            <w:r w:rsidRPr="00C67365">
              <w:t>Environmental Protection Agency</w:t>
            </w:r>
          </w:p>
        </w:tc>
      </w:tr>
      <w:tr w:rsidR="00C67365" w:rsidRPr="00C67365" w14:paraId="6F6FA34F" w14:textId="77777777" w:rsidTr="00C67365">
        <w:trPr>
          <w:trHeight w:val="312"/>
        </w:trPr>
        <w:tc>
          <w:tcPr>
            <w:tcW w:w="1960" w:type="dxa"/>
            <w:noWrap/>
            <w:hideMark/>
          </w:tcPr>
          <w:p w14:paraId="22870825" w14:textId="77777777" w:rsidR="00C67365" w:rsidRPr="00C67365" w:rsidRDefault="00C67365">
            <w:r w:rsidRPr="00C67365">
              <w:t>FOIA</w:t>
            </w:r>
          </w:p>
        </w:tc>
        <w:tc>
          <w:tcPr>
            <w:tcW w:w="7125" w:type="dxa"/>
            <w:noWrap/>
            <w:hideMark/>
          </w:tcPr>
          <w:p w14:paraId="315044E4" w14:textId="77777777" w:rsidR="00C67365" w:rsidRPr="00C67365" w:rsidRDefault="00C67365">
            <w:r w:rsidRPr="00C67365">
              <w:t xml:space="preserve">Freedom of Information Act </w:t>
            </w:r>
          </w:p>
        </w:tc>
      </w:tr>
      <w:tr w:rsidR="00C67365" w:rsidRPr="00C67365" w14:paraId="58A00505" w14:textId="77777777" w:rsidTr="00C67365">
        <w:trPr>
          <w:trHeight w:val="312"/>
        </w:trPr>
        <w:tc>
          <w:tcPr>
            <w:tcW w:w="1960" w:type="dxa"/>
            <w:noWrap/>
            <w:hideMark/>
          </w:tcPr>
          <w:p w14:paraId="28D90EA7" w14:textId="77777777" w:rsidR="00C67365" w:rsidRPr="00C67365" w:rsidRDefault="00C67365">
            <w:r w:rsidRPr="00C67365">
              <w:t>FR</w:t>
            </w:r>
          </w:p>
        </w:tc>
        <w:tc>
          <w:tcPr>
            <w:tcW w:w="7125" w:type="dxa"/>
            <w:noWrap/>
            <w:hideMark/>
          </w:tcPr>
          <w:p w14:paraId="2A13E760" w14:textId="77777777" w:rsidR="00C67365" w:rsidRPr="00C67365" w:rsidRDefault="00C67365">
            <w:r w:rsidRPr="00C67365">
              <w:t>Federal Register</w:t>
            </w:r>
          </w:p>
        </w:tc>
      </w:tr>
      <w:tr w:rsidR="00C67365" w:rsidRPr="00C67365" w14:paraId="0924EC4C" w14:textId="77777777" w:rsidTr="00C67365">
        <w:trPr>
          <w:trHeight w:val="312"/>
        </w:trPr>
        <w:tc>
          <w:tcPr>
            <w:tcW w:w="1960" w:type="dxa"/>
            <w:noWrap/>
            <w:hideMark/>
          </w:tcPr>
          <w:p w14:paraId="0DED8509" w14:textId="77777777" w:rsidR="00C67365" w:rsidRPr="00C67365" w:rsidRDefault="00C67365">
            <w:r w:rsidRPr="00C67365">
              <w:t>GWR</w:t>
            </w:r>
          </w:p>
        </w:tc>
        <w:tc>
          <w:tcPr>
            <w:tcW w:w="7125" w:type="dxa"/>
            <w:noWrap/>
            <w:hideMark/>
          </w:tcPr>
          <w:p w14:paraId="6C15532E" w14:textId="77777777" w:rsidR="00C67365" w:rsidRPr="00C67365" w:rsidRDefault="00C67365">
            <w:r w:rsidRPr="00C67365">
              <w:t>Ground Water Rule</w:t>
            </w:r>
          </w:p>
        </w:tc>
      </w:tr>
      <w:tr w:rsidR="00C67365" w:rsidRPr="00C67365" w14:paraId="3D8D7B7F" w14:textId="77777777" w:rsidTr="00C67365">
        <w:trPr>
          <w:trHeight w:val="312"/>
        </w:trPr>
        <w:tc>
          <w:tcPr>
            <w:tcW w:w="1960" w:type="dxa"/>
            <w:noWrap/>
            <w:hideMark/>
          </w:tcPr>
          <w:p w14:paraId="6889D854" w14:textId="77777777" w:rsidR="00C67365" w:rsidRPr="00C67365" w:rsidRDefault="00C67365">
            <w:r w:rsidRPr="00C67365">
              <w:t>ICR</w:t>
            </w:r>
          </w:p>
        </w:tc>
        <w:tc>
          <w:tcPr>
            <w:tcW w:w="7125" w:type="dxa"/>
            <w:noWrap/>
            <w:hideMark/>
          </w:tcPr>
          <w:p w14:paraId="0B3CFB9D" w14:textId="77777777" w:rsidR="00C67365" w:rsidRPr="00C67365" w:rsidRDefault="00C67365">
            <w:r w:rsidRPr="00C67365">
              <w:t>Information Collection Request</w:t>
            </w:r>
          </w:p>
        </w:tc>
      </w:tr>
      <w:tr w:rsidR="00C67365" w:rsidRPr="00C67365" w14:paraId="36E2D3E6" w14:textId="77777777" w:rsidTr="00C67365">
        <w:trPr>
          <w:trHeight w:val="312"/>
        </w:trPr>
        <w:tc>
          <w:tcPr>
            <w:tcW w:w="1960" w:type="dxa"/>
            <w:noWrap/>
            <w:hideMark/>
          </w:tcPr>
          <w:p w14:paraId="77C77938" w14:textId="77777777" w:rsidR="00C67365" w:rsidRPr="00C67365" w:rsidRDefault="00C67365">
            <w:r w:rsidRPr="00C67365">
              <w:t>LCR</w:t>
            </w:r>
          </w:p>
        </w:tc>
        <w:tc>
          <w:tcPr>
            <w:tcW w:w="7125" w:type="dxa"/>
            <w:noWrap/>
            <w:hideMark/>
          </w:tcPr>
          <w:p w14:paraId="3A82617D" w14:textId="77777777" w:rsidR="00C67365" w:rsidRPr="00C67365" w:rsidRDefault="00C67365">
            <w:r w:rsidRPr="00C67365">
              <w:t>Lead and Copper Rule</w:t>
            </w:r>
          </w:p>
        </w:tc>
      </w:tr>
      <w:tr w:rsidR="00C67365" w:rsidRPr="00C67365" w14:paraId="302C3B50" w14:textId="77777777" w:rsidTr="00C67365">
        <w:trPr>
          <w:trHeight w:val="312"/>
        </w:trPr>
        <w:tc>
          <w:tcPr>
            <w:tcW w:w="1960" w:type="dxa"/>
            <w:noWrap/>
            <w:hideMark/>
          </w:tcPr>
          <w:p w14:paraId="36E7F014" w14:textId="77777777" w:rsidR="00C67365" w:rsidRPr="00C67365" w:rsidRDefault="00C67365">
            <w:r w:rsidRPr="00C67365">
              <w:t>LCRR</w:t>
            </w:r>
          </w:p>
        </w:tc>
        <w:tc>
          <w:tcPr>
            <w:tcW w:w="7125" w:type="dxa"/>
            <w:noWrap/>
            <w:hideMark/>
          </w:tcPr>
          <w:p w14:paraId="7AF1FAB7" w14:textId="77777777" w:rsidR="00C67365" w:rsidRPr="00C67365" w:rsidRDefault="00C67365">
            <w:r w:rsidRPr="00C67365">
              <w:t>Lead and Copper Rule Revisions</w:t>
            </w:r>
          </w:p>
        </w:tc>
      </w:tr>
      <w:tr w:rsidR="00C67365" w:rsidRPr="00C67365" w14:paraId="7E62E7AC" w14:textId="77777777" w:rsidTr="00C67365">
        <w:trPr>
          <w:trHeight w:val="312"/>
        </w:trPr>
        <w:tc>
          <w:tcPr>
            <w:tcW w:w="1960" w:type="dxa"/>
            <w:noWrap/>
            <w:hideMark/>
          </w:tcPr>
          <w:p w14:paraId="2BEC3738" w14:textId="77777777" w:rsidR="00C67365" w:rsidRPr="00C67365" w:rsidRDefault="00C67365">
            <w:r w:rsidRPr="00C67365">
              <w:t>LGAC</w:t>
            </w:r>
          </w:p>
        </w:tc>
        <w:tc>
          <w:tcPr>
            <w:tcW w:w="7125" w:type="dxa"/>
            <w:noWrap/>
            <w:hideMark/>
          </w:tcPr>
          <w:p w14:paraId="200F19F1" w14:textId="77777777" w:rsidR="00C67365" w:rsidRPr="00C67365" w:rsidRDefault="00C67365">
            <w:r w:rsidRPr="00C67365">
              <w:t>Local Government Advisory Committee</w:t>
            </w:r>
          </w:p>
        </w:tc>
      </w:tr>
      <w:tr w:rsidR="00C67365" w:rsidRPr="00C67365" w14:paraId="46251633" w14:textId="77777777" w:rsidTr="00C67365">
        <w:trPr>
          <w:trHeight w:val="312"/>
        </w:trPr>
        <w:tc>
          <w:tcPr>
            <w:tcW w:w="1960" w:type="dxa"/>
            <w:noWrap/>
            <w:hideMark/>
          </w:tcPr>
          <w:p w14:paraId="335EA95F" w14:textId="77777777" w:rsidR="00C67365" w:rsidRPr="00C67365" w:rsidRDefault="00C67365">
            <w:r w:rsidRPr="00C67365">
              <w:t>LSL</w:t>
            </w:r>
          </w:p>
        </w:tc>
        <w:tc>
          <w:tcPr>
            <w:tcW w:w="7125" w:type="dxa"/>
            <w:noWrap/>
            <w:hideMark/>
          </w:tcPr>
          <w:p w14:paraId="51946CF7" w14:textId="77777777" w:rsidR="00C67365" w:rsidRPr="00C67365" w:rsidRDefault="00C67365">
            <w:r w:rsidRPr="00C67365">
              <w:t>lead service line</w:t>
            </w:r>
          </w:p>
        </w:tc>
      </w:tr>
      <w:tr w:rsidR="00C67365" w:rsidRPr="00C67365" w14:paraId="07CCB255" w14:textId="77777777" w:rsidTr="00C67365">
        <w:trPr>
          <w:trHeight w:val="312"/>
        </w:trPr>
        <w:tc>
          <w:tcPr>
            <w:tcW w:w="1960" w:type="dxa"/>
            <w:noWrap/>
            <w:hideMark/>
          </w:tcPr>
          <w:p w14:paraId="17D16D89" w14:textId="77777777" w:rsidR="00C67365" w:rsidRPr="00C67365" w:rsidRDefault="00C67365">
            <w:r w:rsidRPr="00C67365">
              <w:t>LSLR</w:t>
            </w:r>
          </w:p>
        </w:tc>
        <w:tc>
          <w:tcPr>
            <w:tcW w:w="7125" w:type="dxa"/>
            <w:noWrap/>
            <w:hideMark/>
          </w:tcPr>
          <w:p w14:paraId="5863CD6D" w14:textId="77777777" w:rsidR="00C67365" w:rsidRPr="00C67365" w:rsidRDefault="00C67365">
            <w:r w:rsidRPr="00C67365">
              <w:t>lead service line replacement</w:t>
            </w:r>
          </w:p>
        </w:tc>
      </w:tr>
      <w:tr w:rsidR="00C67365" w:rsidRPr="00C67365" w14:paraId="286D608E" w14:textId="77777777" w:rsidTr="00C67365">
        <w:trPr>
          <w:trHeight w:val="312"/>
        </w:trPr>
        <w:tc>
          <w:tcPr>
            <w:tcW w:w="1960" w:type="dxa"/>
            <w:noWrap/>
            <w:hideMark/>
          </w:tcPr>
          <w:p w14:paraId="52E2114A" w14:textId="77777777" w:rsidR="00C67365" w:rsidRPr="00C67365" w:rsidRDefault="00C67365">
            <w:r w:rsidRPr="00C67365">
              <w:t>MCLG</w:t>
            </w:r>
          </w:p>
        </w:tc>
        <w:tc>
          <w:tcPr>
            <w:tcW w:w="7125" w:type="dxa"/>
            <w:noWrap/>
            <w:hideMark/>
          </w:tcPr>
          <w:p w14:paraId="45BE1661" w14:textId="77777777" w:rsidR="00C67365" w:rsidRPr="00C67365" w:rsidRDefault="00C67365">
            <w:r w:rsidRPr="00C67365">
              <w:t>Maximum Contaminant Level Goal</w:t>
            </w:r>
          </w:p>
        </w:tc>
      </w:tr>
      <w:tr w:rsidR="00C67365" w:rsidRPr="00C67365" w14:paraId="708D8F92" w14:textId="77777777" w:rsidTr="00C67365">
        <w:trPr>
          <w:trHeight w:val="312"/>
        </w:trPr>
        <w:tc>
          <w:tcPr>
            <w:tcW w:w="1960" w:type="dxa"/>
            <w:noWrap/>
            <w:hideMark/>
          </w:tcPr>
          <w:p w14:paraId="071DEED9" w14:textId="77777777" w:rsidR="00C67365" w:rsidRPr="00C67365" w:rsidRDefault="00C67365">
            <w:r w:rsidRPr="00C67365">
              <w:t>μg/L</w:t>
            </w:r>
          </w:p>
        </w:tc>
        <w:tc>
          <w:tcPr>
            <w:tcW w:w="7125" w:type="dxa"/>
            <w:noWrap/>
            <w:hideMark/>
          </w:tcPr>
          <w:p w14:paraId="2260A458" w14:textId="77777777" w:rsidR="00C67365" w:rsidRPr="00C67365" w:rsidRDefault="00C67365">
            <w:r w:rsidRPr="00C67365">
              <w:t>micrograms per liter</w:t>
            </w:r>
          </w:p>
        </w:tc>
      </w:tr>
      <w:tr w:rsidR="00C67365" w:rsidRPr="00C67365" w14:paraId="7F34821E" w14:textId="77777777" w:rsidTr="00C67365">
        <w:trPr>
          <w:trHeight w:val="312"/>
        </w:trPr>
        <w:tc>
          <w:tcPr>
            <w:tcW w:w="1960" w:type="dxa"/>
            <w:noWrap/>
            <w:hideMark/>
          </w:tcPr>
          <w:p w14:paraId="01C9B872" w14:textId="77777777" w:rsidR="00C67365" w:rsidRPr="00C67365" w:rsidRDefault="00C67365">
            <w:r w:rsidRPr="00C67365">
              <w:t>NAICS</w:t>
            </w:r>
          </w:p>
        </w:tc>
        <w:tc>
          <w:tcPr>
            <w:tcW w:w="7125" w:type="dxa"/>
            <w:noWrap/>
            <w:hideMark/>
          </w:tcPr>
          <w:p w14:paraId="32B5B02D" w14:textId="77777777" w:rsidR="00C67365" w:rsidRPr="00C67365" w:rsidRDefault="00C67365">
            <w:r w:rsidRPr="00C67365">
              <w:t>North American Industry Classification System</w:t>
            </w:r>
          </w:p>
        </w:tc>
      </w:tr>
      <w:tr w:rsidR="00C67365" w:rsidRPr="00C67365" w14:paraId="0F75008D" w14:textId="77777777" w:rsidTr="00C67365">
        <w:trPr>
          <w:trHeight w:val="312"/>
        </w:trPr>
        <w:tc>
          <w:tcPr>
            <w:tcW w:w="1960" w:type="dxa"/>
            <w:noWrap/>
            <w:hideMark/>
          </w:tcPr>
          <w:p w14:paraId="1C70AC97" w14:textId="77777777" w:rsidR="00C67365" w:rsidRPr="00C67365" w:rsidRDefault="00C67365">
            <w:r w:rsidRPr="00C67365">
              <w:t>NDWAC</w:t>
            </w:r>
          </w:p>
        </w:tc>
        <w:tc>
          <w:tcPr>
            <w:tcW w:w="7125" w:type="dxa"/>
            <w:noWrap/>
            <w:hideMark/>
          </w:tcPr>
          <w:p w14:paraId="2999E1B7" w14:textId="77777777" w:rsidR="00C67365" w:rsidRPr="00C67365" w:rsidRDefault="00C67365">
            <w:r w:rsidRPr="00C67365">
              <w:t>National Drinking Water Advisory Council</w:t>
            </w:r>
          </w:p>
        </w:tc>
      </w:tr>
      <w:tr w:rsidR="00C67365" w:rsidRPr="00C67365" w14:paraId="289CC4B3" w14:textId="77777777" w:rsidTr="00C67365">
        <w:trPr>
          <w:trHeight w:val="312"/>
        </w:trPr>
        <w:tc>
          <w:tcPr>
            <w:tcW w:w="1960" w:type="dxa"/>
            <w:noWrap/>
            <w:hideMark/>
          </w:tcPr>
          <w:p w14:paraId="16A2D740" w14:textId="77777777" w:rsidR="00C67365" w:rsidRPr="00C67365" w:rsidRDefault="00C67365">
            <w:r w:rsidRPr="00C67365">
              <w:t>NGO</w:t>
            </w:r>
          </w:p>
        </w:tc>
        <w:tc>
          <w:tcPr>
            <w:tcW w:w="7125" w:type="dxa"/>
            <w:noWrap/>
            <w:hideMark/>
          </w:tcPr>
          <w:p w14:paraId="0028644E" w14:textId="77777777" w:rsidR="00C67365" w:rsidRPr="00C67365" w:rsidRDefault="00C67365">
            <w:r w:rsidRPr="00C67365">
              <w:t>non-government organization</w:t>
            </w:r>
          </w:p>
        </w:tc>
      </w:tr>
      <w:tr w:rsidR="00C67365" w:rsidRPr="00C67365" w14:paraId="0AB51CB6" w14:textId="77777777" w:rsidTr="00C67365">
        <w:trPr>
          <w:trHeight w:val="312"/>
        </w:trPr>
        <w:tc>
          <w:tcPr>
            <w:tcW w:w="1960" w:type="dxa"/>
            <w:noWrap/>
            <w:hideMark/>
          </w:tcPr>
          <w:p w14:paraId="2132E1FE" w14:textId="77777777" w:rsidR="00C67365" w:rsidRPr="00C67365" w:rsidRDefault="00C67365">
            <w:r w:rsidRPr="00C67365">
              <w:t>NPDWRs</w:t>
            </w:r>
          </w:p>
        </w:tc>
        <w:tc>
          <w:tcPr>
            <w:tcW w:w="7125" w:type="dxa"/>
            <w:noWrap/>
            <w:hideMark/>
          </w:tcPr>
          <w:p w14:paraId="3814A2C4" w14:textId="77777777" w:rsidR="00C67365" w:rsidRPr="00C67365" w:rsidRDefault="00C67365">
            <w:r w:rsidRPr="00C67365">
              <w:t>National Primary Drinking Water Regulations</w:t>
            </w:r>
          </w:p>
        </w:tc>
      </w:tr>
      <w:tr w:rsidR="00C67365" w:rsidRPr="00C67365" w14:paraId="621C9CF8" w14:textId="77777777" w:rsidTr="00C67365">
        <w:trPr>
          <w:trHeight w:val="312"/>
        </w:trPr>
        <w:tc>
          <w:tcPr>
            <w:tcW w:w="1960" w:type="dxa"/>
            <w:noWrap/>
            <w:hideMark/>
          </w:tcPr>
          <w:p w14:paraId="611B2DFC" w14:textId="77777777" w:rsidR="00C67365" w:rsidRPr="00C67365" w:rsidRDefault="00C67365">
            <w:r w:rsidRPr="00C67365">
              <w:t>NRWA</w:t>
            </w:r>
          </w:p>
        </w:tc>
        <w:tc>
          <w:tcPr>
            <w:tcW w:w="7125" w:type="dxa"/>
            <w:noWrap/>
            <w:hideMark/>
          </w:tcPr>
          <w:p w14:paraId="6ABFFB67" w14:textId="77777777" w:rsidR="00C67365" w:rsidRPr="00C67365" w:rsidRDefault="00C67365">
            <w:r w:rsidRPr="00C67365">
              <w:t>National Rural Water Association</w:t>
            </w:r>
          </w:p>
        </w:tc>
      </w:tr>
      <w:tr w:rsidR="00C67365" w:rsidRPr="00C67365" w14:paraId="0526A853" w14:textId="77777777" w:rsidTr="00C67365">
        <w:trPr>
          <w:trHeight w:val="312"/>
        </w:trPr>
        <w:tc>
          <w:tcPr>
            <w:tcW w:w="1960" w:type="dxa"/>
            <w:noWrap/>
            <w:hideMark/>
          </w:tcPr>
          <w:p w14:paraId="7EBECE46" w14:textId="77777777" w:rsidR="00C67365" w:rsidRPr="00C67365" w:rsidRDefault="00C67365">
            <w:r w:rsidRPr="00C67365">
              <w:t>NTNCWS</w:t>
            </w:r>
          </w:p>
        </w:tc>
        <w:tc>
          <w:tcPr>
            <w:tcW w:w="7125" w:type="dxa"/>
            <w:noWrap/>
            <w:hideMark/>
          </w:tcPr>
          <w:p w14:paraId="78FC611E" w14:textId="77777777" w:rsidR="00C67365" w:rsidRPr="00C67365" w:rsidRDefault="00C67365">
            <w:r w:rsidRPr="00C67365">
              <w:t>non-transient non-community water system</w:t>
            </w:r>
          </w:p>
        </w:tc>
      </w:tr>
      <w:tr w:rsidR="00C67365" w:rsidRPr="00C67365" w14:paraId="7BE4EC77" w14:textId="77777777" w:rsidTr="00C67365">
        <w:trPr>
          <w:trHeight w:val="312"/>
        </w:trPr>
        <w:tc>
          <w:tcPr>
            <w:tcW w:w="1960" w:type="dxa"/>
            <w:noWrap/>
            <w:hideMark/>
          </w:tcPr>
          <w:p w14:paraId="37142556" w14:textId="77777777" w:rsidR="00C67365" w:rsidRPr="00C67365" w:rsidRDefault="00C67365">
            <w:r w:rsidRPr="00C67365">
              <w:t>OGWDW</w:t>
            </w:r>
          </w:p>
        </w:tc>
        <w:tc>
          <w:tcPr>
            <w:tcW w:w="7125" w:type="dxa"/>
            <w:noWrap/>
            <w:hideMark/>
          </w:tcPr>
          <w:p w14:paraId="1AE91C07" w14:textId="77777777" w:rsidR="00C67365" w:rsidRPr="00C67365" w:rsidRDefault="00C67365">
            <w:r w:rsidRPr="00C67365">
              <w:t>Office of Ground Water and Drinking Water</w:t>
            </w:r>
          </w:p>
        </w:tc>
      </w:tr>
      <w:tr w:rsidR="00C67365" w:rsidRPr="00C67365" w14:paraId="71F2A0E9" w14:textId="77777777" w:rsidTr="00C67365">
        <w:trPr>
          <w:trHeight w:val="312"/>
        </w:trPr>
        <w:tc>
          <w:tcPr>
            <w:tcW w:w="1960" w:type="dxa"/>
            <w:noWrap/>
            <w:hideMark/>
          </w:tcPr>
          <w:p w14:paraId="18508CB7" w14:textId="77777777" w:rsidR="00C67365" w:rsidRPr="00C67365" w:rsidRDefault="00C67365">
            <w:r w:rsidRPr="00C67365">
              <w:t>O&amp;M</w:t>
            </w:r>
          </w:p>
        </w:tc>
        <w:tc>
          <w:tcPr>
            <w:tcW w:w="7125" w:type="dxa"/>
            <w:noWrap/>
            <w:hideMark/>
          </w:tcPr>
          <w:p w14:paraId="65330924" w14:textId="77777777" w:rsidR="00C67365" w:rsidRPr="00C67365" w:rsidRDefault="00C67365">
            <w:r w:rsidRPr="00C67365">
              <w:t>operation and maintenance</w:t>
            </w:r>
          </w:p>
        </w:tc>
      </w:tr>
      <w:tr w:rsidR="00C67365" w:rsidRPr="00C67365" w14:paraId="420A8588" w14:textId="77777777" w:rsidTr="00C67365">
        <w:trPr>
          <w:trHeight w:val="312"/>
        </w:trPr>
        <w:tc>
          <w:tcPr>
            <w:tcW w:w="1960" w:type="dxa"/>
            <w:noWrap/>
            <w:hideMark/>
          </w:tcPr>
          <w:p w14:paraId="04140DFF" w14:textId="77777777" w:rsidR="00C67365" w:rsidRPr="00C67365" w:rsidRDefault="00C67365">
            <w:r w:rsidRPr="00C67365">
              <w:t>OMB</w:t>
            </w:r>
          </w:p>
        </w:tc>
        <w:tc>
          <w:tcPr>
            <w:tcW w:w="7125" w:type="dxa"/>
            <w:noWrap/>
            <w:hideMark/>
          </w:tcPr>
          <w:p w14:paraId="1069B326" w14:textId="77777777" w:rsidR="00C67365" w:rsidRPr="00C67365" w:rsidRDefault="00C67365">
            <w:r w:rsidRPr="00C67365">
              <w:t>Office of Management and Budget</w:t>
            </w:r>
          </w:p>
        </w:tc>
      </w:tr>
      <w:tr w:rsidR="00C67365" w:rsidRPr="00C67365" w14:paraId="3BC72D57" w14:textId="77777777" w:rsidTr="00C67365">
        <w:trPr>
          <w:trHeight w:val="312"/>
        </w:trPr>
        <w:tc>
          <w:tcPr>
            <w:tcW w:w="1960" w:type="dxa"/>
            <w:noWrap/>
            <w:hideMark/>
          </w:tcPr>
          <w:p w14:paraId="28B18C3F" w14:textId="77777777" w:rsidR="00C67365" w:rsidRPr="00C67365" w:rsidRDefault="00C67365">
            <w:r w:rsidRPr="00C67365">
              <w:t>PE</w:t>
            </w:r>
          </w:p>
        </w:tc>
        <w:tc>
          <w:tcPr>
            <w:tcW w:w="7125" w:type="dxa"/>
            <w:noWrap/>
            <w:hideMark/>
          </w:tcPr>
          <w:p w14:paraId="3E5E1E8F" w14:textId="77777777" w:rsidR="00C67365" w:rsidRPr="00C67365" w:rsidRDefault="00C67365">
            <w:r w:rsidRPr="00C67365">
              <w:t>public education</w:t>
            </w:r>
          </w:p>
        </w:tc>
      </w:tr>
      <w:tr w:rsidR="00C67365" w:rsidRPr="00C67365" w14:paraId="3E8B0F54" w14:textId="77777777" w:rsidTr="00C67365">
        <w:trPr>
          <w:trHeight w:val="312"/>
        </w:trPr>
        <w:tc>
          <w:tcPr>
            <w:tcW w:w="1960" w:type="dxa"/>
            <w:noWrap/>
            <w:hideMark/>
          </w:tcPr>
          <w:p w14:paraId="632330D4" w14:textId="77777777" w:rsidR="00C67365" w:rsidRPr="00C67365" w:rsidRDefault="00C67365">
            <w:r w:rsidRPr="00C67365">
              <w:t>POU</w:t>
            </w:r>
          </w:p>
        </w:tc>
        <w:tc>
          <w:tcPr>
            <w:tcW w:w="7125" w:type="dxa"/>
            <w:noWrap/>
            <w:hideMark/>
          </w:tcPr>
          <w:p w14:paraId="58152721" w14:textId="77777777" w:rsidR="00C67365" w:rsidRPr="00C67365" w:rsidRDefault="00C67365">
            <w:r w:rsidRPr="00C67365">
              <w:t>point-of-use</w:t>
            </w:r>
          </w:p>
        </w:tc>
      </w:tr>
      <w:tr w:rsidR="00C67365" w:rsidRPr="00C67365" w14:paraId="36F0200C" w14:textId="77777777" w:rsidTr="00C67365">
        <w:trPr>
          <w:trHeight w:val="312"/>
        </w:trPr>
        <w:tc>
          <w:tcPr>
            <w:tcW w:w="1960" w:type="dxa"/>
            <w:noWrap/>
            <w:hideMark/>
          </w:tcPr>
          <w:p w14:paraId="77D7EA65" w14:textId="77777777" w:rsidR="00C67365" w:rsidRPr="00C67365" w:rsidRDefault="00C67365">
            <w:r w:rsidRPr="00C67365">
              <w:t>PRA</w:t>
            </w:r>
          </w:p>
        </w:tc>
        <w:tc>
          <w:tcPr>
            <w:tcW w:w="7125" w:type="dxa"/>
            <w:noWrap/>
            <w:hideMark/>
          </w:tcPr>
          <w:p w14:paraId="31481F93" w14:textId="77777777" w:rsidR="00C67365" w:rsidRPr="00C67365" w:rsidRDefault="00C67365">
            <w:r w:rsidRPr="00C67365">
              <w:t>Paperwork Reduction Act</w:t>
            </w:r>
          </w:p>
        </w:tc>
      </w:tr>
      <w:tr w:rsidR="00C67365" w:rsidRPr="00C67365" w14:paraId="1396D576" w14:textId="77777777" w:rsidTr="00C67365">
        <w:trPr>
          <w:trHeight w:val="312"/>
        </w:trPr>
        <w:tc>
          <w:tcPr>
            <w:tcW w:w="1960" w:type="dxa"/>
            <w:noWrap/>
            <w:hideMark/>
          </w:tcPr>
          <w:p w14:paraId="350A3770" w14:textId="77777777" w:rsidR="00C67365" w:rsidRPr="00C67365" w:rsidRDefault="00C67365">
            <w:r w:rsidRPr="00C67365">
              <w:t>PWS</w:t>
            </w:r>
          </w:p>
        </w:tc>
        <w:tc>
          <w:tcPr>
            <w:tcW w:w="7125" w:type="dxa"/>
            <w:noWrap/>
            <w:hideMark/>
          </w:tcPr>
          <w:p w14:paraId="63FD9DAD" w14:textId="77777777" w:rsidR="00C67365" w:rsidRPr="00C67365" w:rsidRDefault="00C67365">
            <w:r w:rsidRPr="00C67365">
              <w:t>public water system</w:t>
            </w:r>
          </w:p>
        </w:tc>
      </w:tr>
      <w:tr w:rsidR="00C67365" w:rsidRPr="00C67365" w14:paraId="7664E9A6" w14:textId="77777777" w:rsidTr="00C67365">
        <w:trPr>
          <w:trHeight w:val="312"/>
        </w:trPr>
        <w:tc>
          <w:tcPr>
            <w:tcW w:w="1960" w:type="dxa"/>
            <w:noWrap/>
            <w:hideMark/>
          </w:tcPr>
          <w:p w14:paraId="1C87BAA7" w14:textId="77777777" w:rsidR="00C67365" w:rsidRPr="00C67365" w:rsidRDefault="00C67365">
            <w:r w:rsidRPr="00C67365">
              <w:t>PWSS</w:t>
            </w:r>
          </w:p>
        </w:tc>
        <w:tc>
          <w:tcPr>
            <w:tcW w:w="7125" w:type="dxa"/>
            <w:noWrap/>
            <w:hideMark/>
          </w:tcPr>
          <w:p w14:paraId="1E1067A5" w14:textId="77777777" w:rsidR="00C67365" w:rsidRPr="00C67365" w:rsidRDefault="00C67365">
            <w:r w:rsidRPr="00C67365">
              <w:t>Public Water System Supervision</w:t>
            </w:r>
          </w:p>
        </w:tc>
      </w:tr>
      <w:tr w:rsidR="00C67365" w:rsidRPr="00C67365" w14:paraId="49FA1C53" w14:textId="77777777" w:rsidTr="00C67365">
        <w:trPr>
          <w:trHeight w:val="312"/>
        </w:trPr>
        <w:tc>
          <w:tcPr>
            <w:tcW w:w="1960" w:type="dxa"/>
            <w:noWrap/>
            <w:hideMark/>
          </w:tcPr>
          <w:p w14:paraId="186474CD" w14:textId="77777777" w:rsidR="00C67365" w:rsidRPr="00C67365" w:rsidRDefault="00C67365">
            <w:r w:rsidRPr="00C67365">
              <w:t>SAB</w:t>
            </w:r>
          </w:p>
        </w:tc>
        <w:tc>
          <w:tcPr>
            <w:tcW w:w="7125" w:type="dxa"/>
            <w:noWrap/>
            <w:hideMark/>
          </w:tcPr>
          <w:p w14:paraId="60E19ABD" w14:textId="77777777" w:rsidR="00C67365" w:rsidRPr="00C67365" w:rsidRDefault="00C67365">
            <w:r w:rsidRPr="00C67365">
              <w:t>Science Advisory Board</w:t>
            </w:r>
          </w:p>
        </w:tc>
      </w:tr>
      <w:tr w:rsidR="00C67365" w:rsidRPr="00C67365" w14:paraId="73BEBE38" w14:textId="77777777" w:rsidTr="00C67365">
        <w:trPr>
          <w:trHeight w:val="312"/>
        </w:trPr>
        <w:tc>
          <w:tcPr>
            <w:tcW w:w="1960" w:type="dxa"/>
            <w:noWrap/>
            <w:hideMark/>
          </w:tcPr>
          <w:p w14:paraId="1B1D89ED" w14:textId="77777777" w:rsidR="00C67365" w:rsidRPr="00C67365" w:rsidRDefault="00C67365">
            <w:r w:rsidRPr="00C67365">
              <w:t>SBAR</w:t>
            </w:r>
          </w:p>
        </w:tc>
        <w:tc>
          <w:tcPr>
            <w:tcW w:w="7125" w:type="dxa"/>
            <w:noWrap/>
            <w:hideMark/>
          </w:tcPr>
          <w:p w14:paraId="5741008B" w14:textId="77777777" w:rsidR="00C67365" w:rsidRPr="00C67365" w:rsidRDefault="00C67365">
            <w:r w:rsidRPr="00C67365">
              <w:t>Small Business Advocacy Review</w:t>
            </w:r>
          </w:p>
        </w:tc>
      </w:tr>
      <w:tr w:rsidR="00C67365" w:rsidRPr="00C67365" w14:paraId="0533FE16" w14:textId="77777777" w:rsidTr="00C67365">
        <w:trPr>
          <w:trHeight w:val="312"/>
        </w:trPr>
        <w:tc>
          <w:tcPr>
            <w:tcW w:w="1960" w:type="dxa"/>
            <w:noWrap/>
            <w:hideMark/>
          </w:tcPr>
          <w:p w14:paraId="77944F7E" w14:textId="77777777" w:rsidR="00C67365" w:rsidRPr="00C67365" w:rsidRDefault="00C67365">
            <w:r w:rsidRPr="00C67365">
              <w:t>SBREFA</w:t>
            </w:r>
          </w:p>
        </w:tc>
        <w:tc>
          <w:tcPr>
            <w:tcW w:w="7125" w:type="dxa"/>
            <w:noWrap/>
            <w:hideMark/>
          </w:tcPr>
          <w:p w14:paraId="0FBA9D5F" w14:textId="77777777" w:rsidR="00C67365" w:rsidRPr="00C67365" w:rsidRDefault="00C67365">
            <w:r w:rsidRPr="00C67365">
              <w:t>Small Business Regulatory Enforcement Fairness Act</w:t>
            </w:r>
          </w:p>
        </w:tc>
      </w:tr>
      <w:tr w:rsidR="00C67365" w:rsidRPr="00C67365" w14:paraId="7F830E53" w14:textId="77777777" w:rsidTr="00C67365">
        <w:trPr>
          <w:trHeight w:val="312"/>
        </w:trPr>
        <w:tc>
          <w:tcPr>
            <w:tcW w:w="1960" w:type="dxa"/>
            <w:noWrap/>
            <w:hideMark/>
          </w:tcPr>
          <w:p w14:paraId="36A74ACA" w14:textId="77777777" w:rsidR="00C67365" w:rsidRPr="00C67365" w:rsidRDefault="00C67365">
            <w:r w:rsidRPr="00C67365">
              <w:t>SDWA</w:t>
            </w:r>
          </w:p>
        </w:tc>
        <w:tc>
          <w:tcPr>
            <w:tcW w:w="7125" w:type="dxa"/>
            <w:noWrap/>
            <w:hideMark/>
          </w:tcPr>
          <w:p w14:paraId="4AECF515" w14:textId="77777777" w:rsidR="00C67365" w:rsidRPr="00C67365" w:rsidRDefault="00C67365">
            <w:r w:rsidRPr="00C67365">
              <w:t>Safe Drinking Water Act</w:t>
            </w:r>
          </w:p>
        </w:tc>
      </w:tr>
      <w:tr w:rsidR="00C67365" w:rsidRPr="00C67365" w14:paraId="112AD354" w14:textId="77777777" w:rsidTr="00C67365">
        <w:trPr>
          <w:trHeight w:val="312"/>
        </w:trPr>
        <w:tc>
          <w:tcPr>
            <w:tcW w:w="1960" w:type="dxa"/>
            <w:noWrap/>
            <w:hideMark/>
          </w:tcPr>
          <w:p w14:paraId="61C99557" w14:textId="77777777" w:rsidR="00C67365" w:rsidRPr="00C67365" w:rsidRDefault="00C67365">
            <w:r w:rsidRPr="00C67365">
              <w:t>SDWIS</w:t>
            </w:r>
          </w:p>
        </w:tc>
        <w:tc>
          <w:tcPr>
            <w:tcW w:w="7125" w:type="dxa"/>
            <w:noWrap/>
            <w:hideMark/>
          </w:tcPr>
          <w:p w14:paraId="0D7308F2" w14:textId="77777777" w:rsidR="00C67365" w:rsidRPr="00C67365" w:rsidRDefault="00C67365">
            <w:r w:rsidRPr="00C67365">
              <w:t>Safe Drinking Water Information System</w:t>
            </w:r>
          </w:p>
        </w:tc>
      </w:tr>
      <w:tr w:rsidR="00C67365" w:rsidRPr="00C67365" w14:paraId="66F747E8" w14:textId="77777777" w:rsidTr="00C67365">
        <w:trPr>
          <w:trHeight w:val="312"/>
        </w:trPr>
        <w:tc>
          <w:tcPr>
            <w:tcW w:w="1960" w:type="dxa"/>
            <w:noWrap/>
            <w:hideMark/>
          </w:tcPr>
          <w:p w14:paraId="32FA05D3" w14:textId="77777777" w:rsidR="00C67365" w:rsidRPr="00C67365" w:rsidRDefault="00C67365">
            <w:r w:rsidRPr="00C67365">
              <w:t>SOC</w:t>
            </w:r>
          </w:p>
        </w:tc>
        <w:tc>
          <w:tcPr>
            <w:tcW w:w="7125" w:type="dxa"/>
            <w:noWrap/>
            <w:hideMark/>
          </w:tcPr>
          <w:p w14:paraId="3CBE2DFE" w14:textId="77777777" w:rsidR="00C67365" w:rsidRPr="00C67365" w:rsidRDefault="00C67365">
            <w:r w:rsidRPr="00C67365">
              <w:t>Standard Occupational Classification</w:t>
            </w:r>
          </w:p>
        </w:tc>
      </w:tr>
      <w:tr w:rsidR="00C67365" w:rsidRPr="00C67365" w14:paraId="056B4026" w14:textId="77777777" w:rsidTr="00C67365">
        <w:trPr>
          <w:trHeight w:val="312"/>
        </w:trPr>
        <w:tc>
          <w:tcPr>
            <w:tcW w:w="1960" w:type="dxa"/>
            <w:noWrap/>
            <w:hideMark/>
          </w:tcPr>
          <w:p w14:paraId="378E78EE" w14:textId="77777777" w:rsidR="00C67365" w:rsidRPr="00C67365" w:rsidRDefault="00C67365">
            <w:r w:rsidRPr="00C67365">
              <w:t>TL</w:t>
            </w:r>
          </w:p>
        </w:tc>
        <w:tc>
          <w:tcPr>
            <w:tcW w:w="7125" w:type="dxa"/>
            <w:noWrap/>
            <w:hideMark/>
          </w:tcPr>
          <w:p w14:paraId="6FC220A5" w14:textId="77777777" w:rsidR="00C67365" w:rsidRPr="00C67365" w:rsidRDefault="00C67365">
            <w:r w:rsidRPr="00C67365">
              <w:t>trigger level</w:t>
            </w:r>
          </w:p>
        </w:tc>
      </w:tr>
      <w:tr w:rsidR="00C67365" w:rsidRPr="00C67365" w14:paraId="5FC1301C" w14:textId="77777777" w:rsidTr="00C67365">
        <w:trPr>
          <w:trHeight w:val="312"/>
        </w:trPr>
        <w:tc>
          <w:tcPr>
            <w:tcW w:w="1960" w:type="dxa"/>
            <w:noWrap/>
            <w:hideMark/>
          </w:tcPr>
          <w:p w14:paraId="7E889BFC" w14:textId="77777777" w:rsidR="00C67365" w:rsidRPr="00C67365" w:rsidRDefault="00C67365">
            <w:r w:rsidRPr="00C67365">
              <w:t>TLE</w:t>
            </w:r>
          </w:p>
        </w:tc>
        <w:tc>
          <w:tcPr>
            <w:tcW w:w="7125" w:type="dxa"/>
            <w:noWrap/>
            <w:hideMark/>
          </w:tcPr>
          <w:p w14:paraId="59D51CDD" w14:textId="77777777" w:rsidR="00C67365" w:rsidRPr="00C67365" w:rsidRDefault="00C67365">
            <w:r w:rsidRPr="00C67365">
              <w:t>trigger level exceedance</w:t>
            </w:r>
          </w:p>
        </w:tc>
      </w:tr>
      <w:tr w:rsidR="00C67365" w:rsidRPr="00C67365" w14:paraId="6F3E10AA" w14:textId="77777777" w:rsidTr="00C67365">
        <w:trPr>
          <w:trHeight w:val="312"/>
        </w:trPr>
        <w:tc>
          <w:tcPr>
            <w:tcW w:w="1960" w:type="dxa"/>
            <w:noWrap/>
            <w:hideMark/>
          </w:tcPr>
          <w:p w14:paraId="115F9C9C" w14:textId="77777777" w:rsidR="00C67365" w:rsidRPr="00C67365" w:rsidRDefault="00C67365">
            <w:r w:rsidRPr="00C67365">
              <w:t>WIIN</w:t>
            </w:r>
          </w:p>
        </w:tc>
        <w:tc>
          <w:tcPr>
            <w:tcW w:w="7125" w:type="dxa"/>
            <w:noWrap/>
            <w:hideMark/>
          </w:tcPr>
          <w:p w14:paraId="1C07B882" w14:textId="77777777" w:rsidR="00C67365" w:rsidRPr="00C67365" w:rsidRDefault="00C67365">
            <w:r w:rsidRPr="00C67365">
              <w:t>Water Infrastructure Improvements for the Nation</w:t>
            </w:r>
          </w:p>
        </w:tc>
      </w:tr>
    </w:tbl>
    <w:p w14:paraId="1E3AE966" w14:textId="77777777" w:rsidR="00B41EE3" w:rsidRPr="00241B0D" w:rsidRDefault="00B41EE3" w:rsidP="00002F5B"/>
    <w:p w14:paraId="017A3176" w14:textId="77777777" w:rsidR="00002F5B" w:rsidRPr="00241B0D" w:rsidRDefault="00002F5B" w:rsidP="00002F5B"/>
    <w:p w14:paraId="47C83706" w14:textId="77777777" w:rsidR="00002F5B" w:rsidRPr="00241B0D" w:rsidRDefault="00002F5B" w:rsidP="00002F5B">
      <w:pPr>
        <w:pStyle w:val="SectionHeading1"/>
        <w:sectPr w:rsidR="00002F5B" w:rsidRPr="00241B0D" w:rsidSect="00002F5B">
          <w:type w:val="continuous"/>
          <w:pgSz w:w="12240" w:h="15840"/>
          <w:pgMar w:top="1440" w:right="1440" w:bottom="1440" w:left="1440" w:header="720" w:footer="720" w:gutter="0"/>
          <w:pgNumType w:fmt="lowerRoman"/>
          <w:cols w:space="720"/>
          <w:titlePg/>
          <w:docGrid w:linePitch="360"/>
        </w:sectPr>
      </w:pPr>
    </w:p>
    <w:p w14:paraId="748B8C36" w14:textId="217EDFC6" w:rsidR="00D80727" w:rsidRPr="00AD7E6F" w:rsidRDefault="00FA36F1" w:rsidP="00002F5B">
      <w:pPr>
        <w:pStyle w:val="Title"/>
      </w:pPr>
      <w:r w:rsidRPr="00AD7E6F">
        <w:t>SUPPORTING STATEMENT</w:t>
      </w:r>
    </w:p>
    <w:p w14:paraId="288EF10D" w14:textId="0A659DF6" w:rsidR="00FA36F1" w:rsidRPr="008C053B" w:rsidRDefault="00FA36F1" w:rsidP="000C0ED7">
      <w:pPr>
        <w:pStyle w:val="Title"/>
      </w:pPr>
      <w:r w:rsidRPr="00AD7E6F">
        <w:t xml:space="preserve">Information Collection Request (ICR) for </w:t>
      </w:r>
      <w:r w:rsidR="001A65EF" w:rsidRPr="00AD7E6F">
        <w:t>the Proposed Lead and Copper Rule Revisions</w:t>
      </w:r>
    </w:p>
    <w:p w14:paraId="0EC235E6" w14:textId="77777777" w:rsidR="00FA36F1" w:rsidRDefault="00FA36F1" w:rsidP="006770D4"/>
    <w:p w14:paraId="4B9A788B" w14:textId="77777777" w:rsidR="00D96FE1" w:rsidRPr="00AD7E6F" w:rsidRDefault="00D96FE1" w:rsidP="000C0ED7">
      <w:pPr>
        <w:pStyle w:val="Heading1"/>
      </w:pPr>
      <w:bookmarkStart w:id="1" w:name="_Toc160872046"/>
      <w:bookmarkStart w:id="2" w:name="_Ref4506932"/>
      <w:bookmarkStart w:id="3" w:name="_Ref4506941"/>
      <w:bookmarkStart w:id="4" w:name="_Toc23138949"/>
      <w:bookmarkStart w:id="5" w:name="_Toc23139105"/>
      <w:r w:rsidRPr="00AD7E6F">
        <w:t xml:space="preserve">1 </w:t>
      </w:r>
      <w:r w:rsidR="009D42EE" w:rsidRPr="00AD7E6F">
        <w:tab/>
      </w:r>
      <w:r w:rsidRPr="00AD7E6F">
        <w:t>IDENTIFICATION OF THE INFORMATION COLLECTION</w:t>
      </w:r>
      <w:bookmarkEnd w:id="1"/>
      <w:bookmarkEnd w:id="2"/>
      <w:bookmarkEnd w:id="3"/>
      <w:bookmarkEnd w:id="4"/>
      <w:bookmarkEnd w:id="5"/>
    </w:p>
    <w:p w14:paraId="000F4AFC" w14:textId="77777777" w:rsidR="00D96FE1" w:rsidRPr="008C053B" w:rsidRDefault="00D96FE1" w:rsidP="000C0ED7">
      <w:pPr>
        <w:pStyle w:val="Heading2"/>
      </w:pPr>
      <w:bookmarkStart w:id="6" w:name="_Toc160872047"/>
      <w:bookmarkStart w:id="7" w:name="_Toc23138950"/>
      <w:bookmarkStart w:id="8" w:name="_Toc23139106"/>
      <w:r w:rsidRPr="00AD7E6F">
        <w:t xml:space="preserve">1(a) </w:t>
      </w:r>
      <w:r w:rsidR="009D42EE" w:rsidRPr="00AD7E6F">
        <w:tab/>
      </w:r>
      <w:r w:rsidR="00FA36F1" w:rsidRPr="00AD7E6F">
        <w:t>Title a</w:t>
      </w:r>
      <w:r w:rsidRPr="00AD7E6F">
        <w:t>nd Nu</w:t>
      </w:r>
      <w:r w:rsidR="00BE682D" w:rsidRPr="00AD7E6F">
        <w:t>mber of t</w:t>
      </w:r>
      <w:r w:rsidRPr="008C053B">
        <w:t>he Information Collection</w:t>
      </w:r>
      <w:bookmarkEnd w:id="6"/>
      <w:bookmarkEnd w:id="7"/>
      <w:bookmarkEnd w:id="8"/>
    </w:p>
    <w:p w14:paraId="65BC5AE5" w14:textId="0335046B" w:rsidR="00D96FE1" w:rsidRDefault="00D96FE1" w:rsidP="00D96FE1">
      <w:pPr>
        <w:autoSpaceDE w:val="0"/>
        <w:autoSpaceDN w:val="0"/>
        <w:adjustRightInd w:val="0"/>
        <w:rPr>
          <w:bCs/>
        </w:rPr>
      </w:pPr>
      <w:r w:rsidRPr="00423550">
        <w:rPr>
          <w:b/>
          <w:bCs/>
        </w:rPr>
        <w:t>TITLE</w:t>
      </w:r>
      <w:r w:rsidRPr="00423550">
        <w:rPr>
          <w:bCs/>
        </w:rPr>
        <w:t xml:space="preserve">: </w:t>
      </w:r>
      <w:r w:rsidR="00871D24" w:rsidRPr="00871D24">
        <w:rPr>
          <w:bCs/>
        </w:rPr>
        <w:t>Info</w:t>
      </w:r>
      <w:r w:rsidR="00871D24">
        <w:rPr>
          <w:bCs/>
        </w:rPr>
        <w:t>rmation Collection Request</w:t>
      </w:r>
      <w:r w:rsidR="00871D24" w:rsidRPr="00871D24">
        <w:rPr>
          <w:bCs/>
        </w:rPr>
        <w:t xml:space="preserve"> for </w:t>
      </w:r>
      <w:r w:rsidR="00002F5B">
        <w:rPr>
          <w:bCs/>
        </w:rPr>
        <w:t xml:space="preserve">the </w:t>
      </w:r>
      <w:r w:rsidR="001A65EF">
        <w:rPr>
          <w:bCs/>
        </w:rPr>
        <w:t>Proposed Lead and Copper Rule Revisions</w:t>
      </w:r>
      <w:r w:rsidR="009D42EE" w:rsidRPr="00423550">
        <w:rPr>
          <w:bCs/>
        </w:rPr>
        <w:t xml:space="preserve"> </w:t>
      </w:r>
    </w:p>
    <w:p w14:paraId="05F7E9A0" w14:textId="77777777" w:rsidR="00871D24" w:rsidRPr="00423550" w:rsidRDefault="00871D24" w:rsidP="00D96FE1">
      <w:pPr>
        <w:autoSpaceDE w:val="0"/>
        <w:autoSpaceDN w:val="0"/>
        <w:adjustRightInd w:val="0"/>
        <w:rPr>
          <w:bCs/>
        </w:rPr>
      </w:pPr>
    </w:p>
    <w:p w14:paraId="12CA457E" w14:textId="550E1293" w:rsidR="00BE682D" w:rsidRDefault="00D96FE1" w:rsidP="00D96FE1">
      <w:pPr>
        <w:autoSpaceDE w:val="0"/>
        <w:autoSpaceDN w:val="0"/>
        <w:adjustRightInd w:val="0"/>
        <w:rPr>
          <w:b/>
          <w:bCs/>
        </w:rPr>
      </w:pPr>
      <w:r w:rsidRPr="00423550">
        <w:rPr>
          <w:b/>
          <w:bCs/>
        </w:rPr>
        <w:t xml:space="preserve">EPA ICR Number: </w:t>
      </w:r>
      <w:r w:rsidR="00093BD9">
        <w:t>2606.01</w:t>
      </w:r>
    </w:p>
    <w:p w14:paraId="74D8A63F" w14:textId="77777777" w:rsidR="00871D24" w:rsidRDefault="00871D24" w:rsidP="00D96FE1">
      <w:pPr>
        <w:autoSpaceDE w:val="0"/>
        <w:autoSpaceDN w:val="0"/>
        <w:adjustRightInd w:val="0"/>
        <w:rPr>
          <w:b/>
          <w:bCs/>
        </w:rPr>
      </w:pPr>
    </w:p>
    <w:p w14:paraId="366EB6EC" w14:textId="2CAAAFF3" w:rsidR="00D96FE1" w:rsidRDefault="00D96FE1" w:rsidP="007E3A3C">
      <w:pPr>
        <w:tabs>
          <w:tab w:val="left" w:pos="3309"/>
        </w:tabs>
        <w:autoSpaceDE w:val="0"/>
        <w:autoSpaceDN w:val="0"/>
        <w:adjustRightInd w:val="0"/>
        <w:rPr>
          <w:b/>
          <w:bCs/>
        </w:rPr>
      </w:pPr>
      <w:r w:rsidRPr="009820CB">
        <w:rPr>
          <w:b/>
          <w:bCs/>
        </w:rPr>
        <w:t>OMB Control Number:</w:t>
      </w:r>
      <w:r w:rsidR="00573F58">
        <w:rPr>
          <w:b/>
          <w:bCs/>
        </w:rPr>
        <w:t xml:space="preserve"> </w:t>
      </w:r>
      <w:r w:rsidR="004C44E2" w:rsidRPr="00C72F27">
        <w:t>2040-</w:t>
      </w:r>
      <w:r w:rsidR="00C2496A">
        <w:t>NEW</w:t>
      </w:r>
    </w:p>
    <w:p w14:paraId="506C5546" w14:textId="77777777" w:rsidR="00573F58" w:rsidRPr="00423550" w:rsidRDefault="00573F58" w:rsidP="00D96FE1">
      <w:pPr>
        <w:autoSpaceDE w:val="0"/>
        <w:autoSpaceDN w:val="0"/>
        <w:adjustRightInd w:val="0"/>
        <w:rPr>
          <w:b/>
          <w:bCs/>
        </w:rPr>
      </w:pPr>
    </w:p>
    <w:p w14:paraId="67103A97" w14:textId="77777777" w:rsidR="00D96FE1" w:rsidRPr="00423550" w:rsidRDefault="00D96FE1" w:rsidP="000C0ED7">
      <w:pPr>
        <w:pStyle w:val="Heading2"/>
      </w:pPr>
      <w:bookmarkStart w:id="9" w:name="_Toc160872048"/>
      <w:bookmarkStart w:id="10" w:name="_Toc23138951"/>
      <w:bookmarkStart w:id="11" w:name="_Toc23139107"/>
      <w:r w:rsidRPr="00423550">
        <w:t xml:space="preserve">1(b) </w:t>
      </w:r>
      <w:r w:rsidR="009D42EE" w:rsidRPr="00423550">
        <w:tab/>
      </w:r>
      <w:r w:rsidRPr="00423550">
        <w:t>Short Characterization/Abstract</w:t>
      </w:r>
      <w:bookmarkEnd w:id="9"/>
      <w:bookmarkEnd w:id="10"/>
      <w:bookmarkEnd w:id="11"/>
    </w:p>
    <w:p w14:paraId="74A49CBA" w14:textId="10569892" w:rsidR="00FB24CD" w:rsidRPr="00423550" w:rsidRDefault="00A84311" w:rsidP="00021325">
      <w:pPr>
        <w:pStyle w:val="NormalIndent"/>
      </w:pPr>
      <w:r w:rsidRPr="00423550">
        <w:t xml:space="preserve">The National Primary Drinking Water Regulations (NPDWRs) for Lead and Copper (The Lead and Copper Rule or LCR), promulgated by </w:t>
      </w:r>
      <w:r w:rsidR="006A5532">
        <w:t xml:space="preserve">the </w:t>
      </w:r>
      <w:r w:rsidR="00430B86">
        <w:t>U.S. Environmental Protection Agency (</w:t>
      </w:r>
      <w:r w:rsidRPr="00423550">
        <w:t>EPA</w:t>
      </w:r>
      <w:r w:rsidR="00430B86">
        <w:t>)</w:t>
      </w:r>
      <w:r w:rsidRPr="00423550">
        <w:t xml:space="preserve"> in 1991, is a </w:t>
      </w:r>
      <w:r w:rsidR="00C018A3">
        <w:t>regulation promulgated under</w:t>
      </w:r>
      <w:r w:rsidRPr="00423550">
        <w:t xml:space="preserve"> the Safe</w:t>
      </w:r>
      <w:r w:rsidR="006B6576" w:rsidRPr="00423550">
        <w:t xml:space="preserve"> D</w:t>
      </w:r>
      <w:r w:rsidRPr="00423550">
        <w:t xml:space="preserve">rinking Water Act (SDWA). The LCR’s goal is to reduce the levels </w:t>
      </w:r>
      <w:r w:rsidR="005925CA">
        <w:t xml:space="preserve">of lead and copper </w:t>
      </w:r>
      <w:r w:rsidR="00856859">
        <w:t>in drinking water. T</w:t>
      </w:r>
      <w:r w:rsidRPr="00423550">
        <w:t xml:space="preserve">he </w:t>
      </w:r>
      <w:r w:rsidR="00746316">
        <w:t>p</w:t>
      </w:r>
      <w:r w:rsidR="00406EBD">
        <w:t xml:space="preserve">roposed </w:t>
      </w:r>
      <w:r w:rsidR="00FB24CD">
        <w:t>Lead and Copper Rule Revision</w:t>
      </w:r>
      <w:r w:rsidR="00896295">
        <w:t>s (</w:t>
      </w:r>
      <w:r w:rsidR="00C018A3">
        <w:t>LCRR</w:t>
      </w:r>
      <w:r w:rsidR="00FB24CD">
        <w:t xml:space="preserve">) </w:t>
      </w:r>
      <w:r w:rsidRPr="00423550">
        <w:t>require community and non-transient non-community water systems</w:t>
      </w:r>
      <w:r w:rsidRPr="00423550">
        <w:rPr>
          <w:rStyle w:val="FootnoteReference"/>
        </w:rPr>
        <w:footnoteReference w:id="2"/>
      </w:r>
      <w:r w:rsidRPr="00423550">
        <w:t xml:space="preserve"> to optimize corrosion control and, under specified conditions, install source water treatment, conduct public education, and/or replace lead service lines </w:t>
      </w:r>
      <w:r w:rsidR="00D76E3F">
        <w:t xml:space="preserve">(LSLs) </w:t>
      </w:r>
      <w:r w:rsidRPr="00423550">
        <w:t>in the distribution system.</w:t>
      </w:r>
      <w:r w:rsidR="00FB24CD" w:rsidRPr="00FB24CD">
        <w:t xml:space="preserve"> </w:t>
      </w:r>
      <w:r w:rsidR="00FB24CD">
        <w:t xml:space="preserve">The </w:t>
      </w:r>
      <w:r w:rsidR="00150A90">
        <w:t>proposed LCRR</w:t>
      </w:r>
      <w:r w:rsidR="00FB24CD">
        <w:t xml:space="preserve"> also expands public education requirements for lead, requires greater public access to information on lead, and further targets sensitive subpopulations by requiring additional lead in drinking water testing at schools and child care facilities.</w:t>
      </w:r>
    </w:p>
    <w:p w14:paraId="6A1D7EA8" w14:textId="7BBFA126" w:rsidR="00E167C6" w:rsidRDefault="00E167C6" w:rsidP="00021325">
      <w:pPr>
        <w:pStyle w:val="NormalIndent"/>
      </w:pPr>
      <w:r>
        <w:t xml:space="preserve">The </w:t>
      </w:r>
      <w:r w:rsidR="00150A90">
        <w:t>proposed LCRR</w:t>
      </w:r>
      <w:r>
        <w:t xml:space="preserve"> is </w:t>
      </w:r>
      <w:r w:rsidRPr="00DF4E7F">
        <w:t xml:space="preserve">designed to identify and reduce lead exposure at systems with elevated lead concentrations in their drinking water </w:t>
      </w:r>
      <w:r>
        <w:t>by establishing a new lead trigger level (TL) of 10</w:t>
      </w:r>
      <w:r w:rsidR="0034332A">
        <w:t xml:space="preserve"> micrograms per liter (</w:t>
      </w:r>
      <w:r>
        <w:t>μg/L</w:t>
      </w:r>
      <w:r w:rsidR="0034332A">
        <w:t>)</w:t>
      </w:r>
      <w:r>
        <w:t xml:space="preserve"> in addition to the action level (AL) of 15 μg/L under the </w:t>
      </w:r>
      <w:r w:rsidR="00C018A3">
        <w:t>c</w:t>
      </w:r>
      <w:r>
        <w:t xml:space="preserve">urrent </w:t>
      </w:r>
      <w:r w:rsidR="00C018A3">
        <w:t>r</w:t>
      </w:r>
      <w:r>
        <w:t xml:space="preserve">ule. </w:t>
      </w:r>
      <w:r w:rsidRPr="003B1C4D">
        <w:t xml:space="preserve">The </w:t>
      </w:r>
      <w:r w:rsidR="00150A90">
        <w:t>proposed LCRR</w:t>
      </w:r>
      <w:r w:rsidRPr="003B1C4D">
        <w:t xml:space="preserve"> w</w:t>
      </w:r>
      <w:r>
        <w:t xml:space="preserve">ould </w:t>
      </w:r>
      <w:r w:rsidRPr="003B1C4D">
        <w:t xml:space="preserve">retain the AL, </w:t>
      </w:r>
      <w:r>
        <w:t>revise requirements for systems with a lead action level exceedance</w:t>
      </w:r>
      <w:r w:rsidR="00856859">
        <w:rPr>
          <w:rStyle w:val="FootnoteReference"/>
        </w:rPr>
        <w:footnoteReference w:id="3"/>
      </w:r>
      <w:r>
        <w:t xml:space="preserve"> (ALE)</w:t>
      </w:r>
      <w:r w:rsidRPr="003B1C4D">
        <w:t xml:space="preserve"> and set additional requirements for systems with a trigger level exceedance</w:t>
      </w:r>
      <w:r w:rsidR="00856859">
        <w:rPr>
          <w:rStyle w:val="FootnoteReference"/>
        </w:rPr>
        <w:footnoteReference w:id="4"/>
      </w:r>
      <w:r w:rsidRPr="003B1C4D">
        <w:t xml:space="preserve"> (TLE)</w:t>
      </w:r>
      <w:r w:rsidR="002A6726">
        <w:t>.</w:t>
      </w:r>
      <w:r w:rsidRPr="003B1C4D">
        <w:t xml:space="preserve"> </w:t>
      </w:r>
    </w:p>
    <w:p w14:paraId="0890F33D" w14:textId="2AEE4FDB" w:rsidR="00A84311" w:rsidRPr="00423550" w:rsidRDefault="00A84311" w:rsidP="00021325">
      <w:pPr>
        <w:pStyle w:val="NormalIndent"/>
      </w:pPr>
      <w:r w:rsidRPr="00423550">
        <w:t xml:space="preserve">Water systems include </w:t>
      </w:r>
      <w:r w:rsidR="00F07153">
        <w:t>f</w:t>
      </w:r>
      <w:r w:rsidR="00F07153" w:rsidRPr="00423550">
        <w:t>ederal</w:t>
      </w:r>
      <w:r w:rsidRPr="00423550">
        <w:t xml:space="preserve">, </w:t>
      </w:r>
      <w:r w:rsidR="00BB55A4">
        <w:t>state, t</w:t>
      </w:r>
      <w:r w:rsidRPr="00423550">
        <w:t>ribal, and local governmental entities as well as</w:t>
      </w:r>
      <w:r w:rsidR="00BB55A4">
        <w:t xml:space="preserve"> private entities. States (and t</w:t>
      </w:r>
      <w:r w:rsidRPr="00423550">
        <w:t>ribes) that have been granted primary enforcement authority (</w:t>
      </w:r>
      <w:r w:rsidRPr="00423550">
        <w:rPr>
          <w:i/>
          <w:iCs/>
        </w:rPr>
        <w:t>i.e</w:t>
      </w:r>
      <w:r w:rsidRPr="00423550">
        <w:t>., primacy) for the</w:t>
      </w:r>
      <w:r w:rsidR="006B6576" w:rsidRPr="00423550">
        <w:t xml:space="preserve"> L</w:t>
      </w:r>
      <w:r w:rsidRPr="00423550">
        <w:t xml:space="preserve">CR are responsible for overseeing rule implementation by systems within their jurisdiction. In instances where a </w:t>
      </w:r>
      <w:r w:rsidR="00BB55A4">
        <w:t>state or t</w:t>
      </w:r>
      <w:r w:rsidRPr="00423550">
        <w:t xml:space="preserve">ribe does not have primacy, the EPA Region is the </w:t>
      </w:r>
      <w:r w:rsidR="00E5250C">
        <w:t>primacy agency</w:t>
      </w:r>
      <w:r w:rsidRPr="00423550">
        <w:t>.</w:t>
      </w:r>
      <w:r w:rsidRPr="00423550">
        <w:rPr>
          <w:rStyle w:val="FootnoteReference"/>
        </w:rPr>
        <w:footnoteReference w:id="5"/>
      </w:r>
      <w:r w:rsidRPr="00423550">
        <w:t xml:space="preserve"> Systems demonstrate compliance through reporting the analytical results of collected samples and other information to the </w:t>
      </w:r>
      <w:r w:rsidR="00BB55A4">
        <w:t>state</w:t>
      </w:r>
      <w:r w:rsidRPr="00423550">
        <w:t xml:space="preserve">. Systems use these data to demonstrate compliance, assess treatment options, operate and maintain installed treatment, and communicate water quality information to consumers served by the system. </w:t>
      </w:r>
      <w:r w:rsidR="00E604CC">
        <w:t>Primacy agencies</w:t>
      </w:r>
      <w:r w:rsidRPr="00423550">
        <w:t xml:space="preserve"> utilize the data to determine compliance and designate treatment to be installed and enforceable operating parameters. </w:t>
      </w:r>
      <w:r w:rsidR="00E604CC">
        <w:t>Primacy agencies</w:t>
      </w:r>
      <w:r w:rsidRPr="00423550">
        <w:t xml:space="preserve"> also are required to report a subset of the data to </w:t>
      </w:r>
      <w:r w:rsidR="006A5532">
        <w:t>the</w:t>
      </w:r>
      <w:r w:rsidRPr="00423550">
        <w:t xml:space="preserve"> EPA which utilizes this information to protect public health by ensuring compliance with the LCR, measuring progress toward meeting the LCR’s goals, and evaluating the appropriateness of </w:t>
      </w:r>
      <w:r w:rsidR="00BB55A4">
        <w:t>state</w:t>
      </w:r>
      <w:r w:rsidRPr="00423550">
        <w:t xml:space="preserve"> implementation activities. </w:t>
      </w:r>
      <w:r w:rsidR="00FB24CD">
        <w:t>T</w:t>
      </w:r>
      <w:r w:rsidRPr="00423550">
        <w:t xml:space="preserve">he information reported by </w:t>
      </w:r>
      <w:r w:rsidR="007606BB">
        <w:t>primacy agencies</w:t>
      </w:r>
      <w:r w:rsidRPr="00423550">
        <w:t xml:space="preserve"> </w:t>
      </w:r>
      <w:r w:rsidR="00FB24CD">
        <w:t xml:space="preserve">to </w:t>
      </w:r>
      <w:r w:rsidR="006A5532">
        <w:t>the</w:t>
      </w:r>
      <w:r w:rsidR="00FB24CD">
        <w:t xml:space="preserve"> </w:t>
      </w:r>
      <w:r w:rsidR="00FB24CD" w:rsidRPr="00423550">
        <w:t xml:space="preserve">EPA </w:t>
      </w:r>
      <w:r w:rsidR="00FB24CD">
        <w:t>ca</w:t>
      </w:r>
      <w:r w:rsidRPr="00423550">
        <w:t xml:space="preserve">n </w:t>
      </w:r>
      <w:r w:rsidR="00FB24CD">
        <w:t xml:space="preserve">be found in the </w:t>
      </w:r>
      <w:r w:rsidRPr="00423550">
        <w:t>Safe Drinking Water Information System (SDWIS).</w:t>
      </w:r>
    </w:p>
    <w:p w14:paraId="3BD01678" w14:textId="0369136D" w:rsidR="00BE05D2" w:rsidRDefault="00BE05D2" w:rsidP="002B4324">
      <w:pPr>
        <w:ind w:firstLine="720"/>
      </w:pPr>
      <w:r>
        <w:t xml:space="preserve">Under the </w:t>
      </w:r>
      <w:r w:rsidR="00150A90">
        <w:t>proposed LCRR</w:t>
      </w:r>
      <w:r>
        <w:t>, sampling, public education, and other requirements are dependent on the 90</w:t>
      </w:r>
      <w:r w:rsidRPr="00BE05D2">
        <w:rPr>
          <w:vertAlign w:val="superscript"/>
        </w:rPr>
        <w:t>th</w:t>
      </w:r>
      <w:r>
        <w:t xml:space="preserve"> percentile </w:t>
      </w:r>
      <w:r w:rsidR="004043A5">
        <w:t>concentration of lead in household samples of tap water</w:t>
      </w:r>
      <w:r w:rsidR="00A60433">
        <w:t xml:space="preserve"> collected by a system</w:t>
      </w:r>
      <w:r>
        <w:t xml:space="preserve">. </w:t>
      </w:r>
      <w:r>
        <w:rPr>
          <w:lang w:bidi="en-US"/>
        </w:rPr>
        <w:t>In addition to requirements that apply to all systems, the rule would set specific requirements based on whether a system’s lead 90</w:t>
      </w:r>
      <w:r w:rsidRPr="00BE05D2">
        <w:rPr>
          <w:vertAlign w:val="superscript"/>
          <w:lang w:bidi="en-US"/>
        </w:rPr>
        <w:t>th</w:t>
      </w:r>
      <w:r>
        <w:rPr>
          <w:lang w:bidi="en-US"/>
        </w:rPr>
        <w:t xml:space="preserve"> percentile is above the action level of 15 </w:t>
      </w:r>
      <w:r w:rsidRPr="003A0244">
        <w:rPr>
          <w:rFonts w:cstheme="minorHAnsi"/>
          <w:lang w:bidi="en-US"/>
        </w:rPr>
        <w:t>µ</w:t>
      </w:r>
      <w:r>
        <w:rPr>
          <w:lang w:bidi="en-US"/>
        </w:rPr>
        <w:t xml:space="preserve">g/L (ALE), above the trigger level of 10 </w:t>
      </w:r>
      <w:r>
        <w:rPr>
          <w:rFonts w:cstheme="minorHAnsi"/>
          <w:lang w:bidi="en-US"/>
        </w:rPr>
        <w:t>µg/L</w:t>
      </w:r>
      <w:r>
        <w:rPr>
          <w:b/>
          <w:lang w:bidi="en-US"/>
        </w:rPr>
        <w:t xml:space="preserve"> </w:t>
      </w:r>
      <w:r w:rsidRPr="00BE05D2">
        <w:rPr>
          <w:lang w:bidi="en-US"/>
        </w:rPr>
        <w:t>(TLE)</w:t>
      </w:r>
      <w:r>
        <w:rPr>
          <w:b/>
          <w:lang w:bidi="en-US"/>
        </w:rPr>
        <w:t xml:space="preserve">, </w:t>
      </w:r>
      <w:r w:rsidRPr="00BE05D2">
        <w:rPr>
          <w:lang w:bidi="en-US"/>
        </w:rPr>
        <w:t>or at or below 10</w:t>
      </w:r>
      <w:r>
        <w:rPr>
          <w:lang w:bidi="en-US"/>
        </w:rPr>
        <w:t xml:space="preserve"> </w:t>
      </w:r>
      <w:r>
        <w:rPr>
          <w:rFonts w:cstheme="minorHAnsi"/>
          <w:lang w:bidi="en-US"/>
        </w:rPr>
        <w:t>µg/L</w:t>
      </w:r>
      <w:r>
        <w:rPr>
          <w:b/>
          <w:lang w:bidi="en-US"/>
        </w:rPr>
        <w:t>.</w:t>
      </w:r>
      <w:r w:rsidRPr="00BE05D2">
        <w:t xml:space="preserve"> </w:t>
      </w:r>
      <w:r>
        <w:t xml:space="preserve">The </w:t>
      </w:r>
      <w:r w:rsidR="00746316">
        <w:t>p</w:t>
      </w:r>
      <w:r w:rsidR="00150A90">
        <w:t>roposed LCRR</w:t>
      </w:r>
      <w:r>
        <w:t xml:space="preserve"> begins by determining the system’s lead 90</w:t>
      </w:r>
      <w:r w:rsidRPr="00BE05D2">
        <w:rPr>
          <w:vertAlign w:val="superscript"/>
        </w:rPr>
        <w:t>th</w:t>
      </w:r>
      <w:r>
        <w:t xml:space="preserve"> percentile using sampling data, and a </w:t>
      </w:r>
      <w:r w:rsidRPr="003D2F89">
        <w:t xml:space="preserve">system can use grandfathered data </w:t>
      </w:r>
      <w:r>
        <w:t xml:space="preserve">that meets the sampling protocol under the </w:t>
      </w:r>
      <w:r w:rsidR="00746316">
        <w:t>p</w:t>
      </w:r>
      <w:r w:rsidR="00150A90">
        <w:t>roposed LCRR</w:t>
      </w:r>
      <w:r>
        <w:t xml:space="preserve">. </w:t>
      </w:r>
    </w:p>
    <w:p w14:paraId="38FAD2FC" w14:textId="77777777" w:rsidR="00BE05D2" w:rsidRDefault="00BE05D2" w:rsidP="00BE05D2">
      <w:pPr>
        <w:rPr>
          <w:b/>
          <w:lang w:bidi="en-US"/>
        </w:rPr>
      </w:pPr>
    </w:p>
    <w:p w14:paraId="097CDBC7" w14:textId="77777777" w:rsidR="00BE05D2" w:rsidRDefault="00BE05D2" w:rsidP="002B4324">
      <w:pPr>
        <w:ind w:firstLine="720"/>
      </w:pPr>
      <w:r>
        <w:t>Requirements affected by 90</w:t>
      </w:r>
      <w:r w:rsidRPr="00BE05D2">
        <w:rPr>
          <w:vertAlign w:val="superscript"/>
        </w:rPr>
        <w:t>th</w:t>
      </w:r>
      <w:r>
        <w:t xml:space="preserve"> percentile levels are related to lead and copper tap samples</w:t>
      </w:r>
      <w:r w:rsidR="00C018A3" w:rsidRPr="00C018A3">
        <w:t xml:space="preserve"> </w:t>
      </w:r>
      <w:r w:rsidR="00C018A3">
        <w:t>including sampling frequency and number of</w:t>
      </w:r>
      <w:r>
        <w:t xml:space="preserve"> samples, corrosion control treatment (CCT), lead service line replacements (LSLR), </w:t>
      </w:r>
      <w:r w:rsidR="00C018A3">
        <w:t>source water monitoring/treatment,</w:t>
      </w:r>
      <w:r>
        <w:t xml:space="preserve"> and public education. Rule requirements for systems that are at or below the trigger level are similar to the current Rule for systems at or below the action level.</w:t>
      </w:r>
      <w:bookmarkStart w:id="12" w:name="_Hlk2922505"/>
    </w:p>
    <w:p w14:paraId="160806AF" w14:textId="77777777" w:rsidR="00BE05D2" w:rsidRDefault="00BE05D2" w:rsidP="00BE05D2">
      <w:pPr>
        <w:ind w:firstLine="360"/>
      </w:pPr>
    </w:p>
    <w:bookmarkEnd w:id="12"/>
    <w:p w14:paraId="4CF5338D" w14:textId="53EA864E" w:rsidR="008F74FB" w:rsidRPr="00EC602C" w:rsidRDefault="00F23DFC" w:rsidP="00EC602C">
      <w:pPr>
        <w:pStyle w:val="NormalIndent"/>
      </w:pPr>
      <w:r>
        <w:t>T</w:t>
      </w:r>
      <w:r w:rsidR="00A84311" w:rsidRPr="00423550">
        <w:t xml:space="preserve">his ICR </w:t>
      </w:r>
      <w:r>
        <w:t xml:space="preserve">supporting statement estimates the </w:t>
      </w:r>
      <w:r w:rsidR="00562B44">
        <w:t xml:space="preserve">incremental burden </w:t>
      </w:r>
      <w:r>
        <w:t xml:space="preserve">impacts of revisions </w:t>
      </w:r>
      <w:r w:rsidR="003B42BF" w:rsidRPr="00423550">
        <w:t xml:space="preserve">to the </w:t>
      </w:r>
      <w:r>
        <w:t xml:space="preserve">LCR </w:t>
      </w:r>
      <w:r w:rsidR="004C6BFE" w:rsidRPr="00423550">
        <w:t xml:space="preserve">in terms of </w:t>
      </w:r>
      <w:r w:rsidR="004C6BFE" w:rsidRPr="00C16859">
        <w:t>the</w:t>
      </w:r>
      <w:r w:rsidR="003B42BF" w:rsidRPr="00C16859">
        <w:t xml:space="preserve"> burden and costs for </w:t>
      </w:r>
      <w:r w:rsidR="00E02157" w:rsidRPr="00C16859">
        <w:t>the first three years after the final rule is published (estimated as</w:t>
      </w:r>
      <w:r w:rsidR="000A2961" w:rsidRPr="00C16859">
        <w:t xml:space="preserve"> </w:t>
      </w:r>
      <w:r w:rsidR="000A2961" w:rsidRPr="006E64B0">
        <w:t>20</w:t>
      </w:r>
      <w:r w:rsidR="00C018A3" w:rsidRPr="006E64B0">
        <w:t>20</w:t>
      </w:r>
      <w:r w:rsidR="006E64B0" w:rsidRPr="006E64B0">
        <w:t>)</w:t>
      </w:r>
      <w:r w:rsidR="00E02157" w:rsidRPr="006E64B0">
        <w:t>.</w:t>
      </w:r>
      <w:r w:rsidR="008A1E9A" w:rsidRPr="006E64B0">
        <w:t xml:space="preserve"> </w:t>
      </w:r>
      <w:r w:rsidR="0073053D" w:rsidRPr="006E64B0">
        <w:t>It</w:t>
      </w:r>
      <w:r w:rsidR="0073053D">
        <w:t xml:space="preserve"> modifies </w:t>
      </w:r>
      <w:r w:rsidR="00624775">
        <w:t xml:space="preserve">the </w:t>
      </w:r>
      <w:r w:rsidR="00C2496A">
        <w:t>existing</w:t>
      </w:r>
      <w:r w:rsidR="00624775">
        <w:t xml:space="preserve"> </w:t>
      </w:r>
      <w:r w:rsidR="00E71185">
        <w:t>collection</w:t>
      </w:r>
      <w:r w:rsidR="0073053D" w:rsidRPr="00C72F27">
        <w:t xml:space="preserve"> e</w:t>
      </w:r>
      <w:r w:rsidR="0073053D">
        <w:t>ntitled</w:t>
      </w:r>
      <w:r w:rsidR="0073053D" w:rsidRPr="00C72F27">
        <w:t xml:space="preserve"> </w:t>
      </w:r>
      <w:r w:rsidR="0073053D" w:rsidRPr="00C72F27">
        <w:rPr>
          <w:i/>
        </w:rPr>
        <w:t>Disinfectants/Disinfection</w:t>
      </w:r>
      <w:r w:rsidR="0073053D">
        <w:rPr>
          <w:i/>
        </w:rPr>
        <w:t xml:space="preserve"> </w:t>
      </w:r>
      <w:r w:rsidR="0073053D" w:rsidRPr="00C72F27">
        <w:rPr>
          <w:i/>
        </w:rPr>
        <w:t xml:space="preserve">Byproducts, Chemical, and Radionuclides </w:t>
      </w:r>
      <w:r w:rsidR="0073053D">
        <w:t>(</w:t>
      </w:r>
      <w:r w:rsidR="0073053D" w:rsidRPr="000C08CF">
        <w:t>OMB</w:t>
      </w:r>
      <w:r w:rsidR="0073053D" w:rsidRPr="00C72F27">
        <w:t xml:space="preserve"> </w:t>
      </w:r>
      <w:r w:rsidR="0073053D">
        <w:t xml:space="preserve">control </w:t>
      </w:r>
      <w:r w:rsidR="0073053D" w:rsidRPr="00C72F27">
        <w:t>number 2040-020</w:t>
      </w:r>
      <w:r w:rsidR="00562B44">
        <w:t>4</w:t>
      </w:r>
      <w:r w:rsidR="0073053D">
        <w:t>)</w:t>
      </w:r>
      <w:r w:rsidR="00A60433">
        <w:t>, which</w:t>
      </w:r>
      <w:r w:rsidR="00C2496A">
        <w:t xml:space="preserve"> </w:t>
      </w:r>
      <w:r w:rsidR="00A60433">
        <w:t xml:space="preserve">includes </w:t>
      </w:r>
      <w:r w:rsidR="0073053D" w:rsidRPr="00C72F27">
        <w:t xml:space="preserve">estimates </w:t>
      </w:r>
      <w:r w:rsidR="00634F2B">
        <w:t xml:space="preserve">of </w:t>
      </w:r>
      <w:r w:rsidR="0073053D">
        <w:t xml:space="preserve">the </w:t>
      </w:r>
      <w:r w:rsidR="0073053D" w:rsidRPr="00C72F27">
        <w:t xml:space="preserve">burden and costs </w:t>
      </w:r>
      <w:r w:rsidR="0073053D">
        <w:t xml:space="preserve">associated with </w:t>
      </w:r>
      <w:r w:rsidR="0073053D" w:rsidRPr="00C72F27">
        <w:t xml:space="preserve">the </w:t>
      </w:r>
      <w:r w:rsidR="0073053D">
        <w:t xml:space="preserve">current </w:t>
      </w:r>
      <w:r w:rsidR="0073053D" w:rsidRPr="00C72F27">
        <w:t>LCR</w:t>
      </w:r>
      <w:r w:rsidR="0073053D">
        <w:t>, as well as other rules</w:t>
      </w:r>
      <w:r w:rsidR="00C2496A">
        <w:t>.</w:t>
      </w:r>
      <w:r w:rsidR="000C4668">
        <w:t xml:space="preserve"> </w:t>
      </w:r>
      <w:r w:rsidR="003B42BF" w:rsidRPr="00C16859">
        <w:t>The</w:t>
      </w:r>
      <w:r w:rsidR="00DC4B8F" w:rsidRPr="00C16859">
        <w:t xml:space="preserve"> </w:t>
      </w:r>
      <w:r w:rsidR="004043A5">
        <w:t>proposed revisions</w:t>
      </w:r>
      <w:r w:rsidRPr="00C16859">
        <w:t xml:space="preserve"> are</w:t>
      </w:r>
      <w:r w:rsidR="002D6A2E" w:rsidRPr="00C16859">
        <w:t xml:space="preserve"> </w:t>
      </w:r>
      <w:r w:rsidR="00DC4B8F" w:rsidRPr="00EC602C">
        <w:t>intended to strengthen the implementation of the LCR in the areas of</w:t>
      </w:r>
      <w:r w:rsidR="00961E46" w:rsidRPr="00EC602C">
        <w:t xml:space="preserve"> </w:t>
      </w:r>
      <w:r w:rsidR="008C3210" w:rsidRPr="00EC602C">
        <w:t>CCT</w:t>
      </w:r>
      <w:r w:rsidR="00681E07" w:rsidRPr="00EC602C">
        <w:t>,</w:t>
      </w:r>
      <w:r w:rsidR="00DC4B8F" w:rsidRPr="00EC602C">
        <w:t xml:space="preserve"> customer awareness, and </w:t>
      </w:r>
      <w:r w:rsidR="00D76E3F" w:rsidRPr="00EC602C">
        <w:t>LSL</w:t>
      </w:r>
      <w:r w:rsidR="00C018A3">
        <w:t>R</w:t>
      </w:r>
      <w:r w:rsidR="007624F1" w:rsidRPr="00EC602C">
        <w:t xml:space="preserve">. </w:t>
      </w:r>
      <w:r w:rsidR="002D5402" w:rsidRPr="00C16859">
        <w:t xml:space="preserve">The changes are expected to ensure and enhance </w:t>
      </w:r>
      <w:r w:rsidR="004377B5">
        <w:t>the</w:t>
      </w:r>
      <w:r w:rsidR="002D5402" w:rsidRPr="00C16859">
        <w:t xml:space="preserve"> protection of public health through the reduction in lead exposure</w:t>
      </w:r>
      <w:r w:rsidR="004377B5">
        <w:t xml:space="preserve"> in drinking water</w:t>
      </w:r>
      <w:r w:rsidR="002D5402" w:rsidRPr="00C16859">
        <w:t xml:space="preserve">. </w:t>
      </w:r>
      <w:r w:rsidR="004377B5">
        <w:t xml:space="preserve">The </w:t>
      </w:r>
      <w:r w:rsidR="006A49B5" w:rsidRPr="00EC602C">
        <w:t>A</w:t>
      </w:r>
      <w:r w:rsidR="004377B5" w:rsidRPr="00EC602C">
        <w:t xml:space="preserve">L and </w:t>
      </w:r>
      <w:r w:rsidR="00D76E3F" w:rsidRPr="00423550">
        <w:t xml:space="preserve">maximum contaminant level goals </w:t>
      </w:r>
      <w:r w:rsidR="00D76E3F">
        <w:t>(</w:t>
      </w:r>
      <w:r w:rsidR="0045786C" w:rsidRPr="00EC602C">
        <w:t>MCLG</w:t>
      </w:r>
      <w:r w:rsidR="005D3ED5" w:rsidRPr="00EC602C">
        <w:t>s</w:t>
      </w:r>
      <w:r w:rsidR="00D76E3F" w:rsidRPr="00EC602C">
        <w:t>)</w:t>
      </w:r>
      <w:r w:rsidR="002D5402" w:rsidRPr="00EC602C">
        <w:t xml:space="preserve"> </w:t>
      </w:r>
      <w:r w:rsidR="004377B5" w:rsidRPr="00EC602C">
        <w:t xml:space="preserve">have </w:t>
      </w:r>
      <w:r w:rsidR="002D5402" w:rsidRPr="00EC602C">
        <w:t xml:space="preserve">not changed in the </w:t>
      </w:r>
      <w:r w:rsidR="00F62F94">
        <w:t>p</w:t>
      </w:r>
      <w:r w:rsidR="00150A90">
        <w:t>roposed LCRR</w:t>
      </w:r>
      <w:r w:rsidR="004829C4" w:rsidRPr="00EC602C">
        <w:t>.</w:t>
      </w:r>
      <w:r w:rsidR="00C16859" w:rsidRPr="00EC602C">
        <w:t xml:space="preserve"> </w:t>
      </w:r>
      <w:r w:rsidR="004829C4" w:rsidRPr="00EC602C">
        <w:t>A</w:t>
      </w:r>
      <w:r w:rsidR="00C16859" w:rsidRPr="00EC602C">
        <w:t xml:space="preserve"> new lead </w:t>
      </w:r>
      <w:r w:rsidR="00896295" w:rsidRPr="00EC602C">
        <w:t>TL</w:t>
      </w:r>
      <w:r w:rsidR="004829C4" w:rsidRPr="00EC602C">
        <w:t>, however,</w:t>
      </w:r>
      <w:r w:rsidR="004377B5" w:rsidRPr="00EC602C">
        <w:t xml:space="preserve"> has been added</w:t>
      </w:r>
      <w:r w:rsidR="007624F1" w:rsidRPr="00EC602C">
        <w:t xml:space="preserve">. </w:t>
      </w:r>
    </w:p>
    <w:p w14:paraId="048D4758" w14:textId="601BDA46" w:rsidR="003A1A83" w:rsidRDefault="003A1A83" w:rsidP="003A1A83">
      <w:pPr>
        <w:pStyle w:val="NormalIndent"/>
      </w:pPr>
      <w:r w:rsidRPr="00847F36">
        <w:t xml:space="preserve">The burden and cost estimates represent those activities that </w:t>
      </w:r>
      <w:r w:rsidR="006A5532">
        <w:t xml:space="preserve">the </w:t>
      </w:r>
      <w:r w:rsidRPr="00847F36">
        <w:t xml:space="preserve">EPA expects would occur in the initial three-year period. During this period, systems and </w:t>
      </w:r>
      <w:r w:rsidR="007606BB">
        <w:t>primacy agencies</w:t>
      </w:r>
      <w:r w:rsidRPr="00847F36">
        <w:t xml:space="preserve"> would perform the initial, one-time activities related to rule review and primacy requirements</w:t>
      </w:r>
      <w:r w:rsidR="000526BD">
        <w:t xml:space="preserve"> and conduct initial compliance activities related to lead service line inventories</w:t>
      </w:r>
      <w:r w:rsidRPr="00847F36">
        <w:t xml:space="preserve">. </w:t>
      </w:r>
      <w:r>
        <w:t xml:space="preserve">Because </w:t>
      </w:r>
      <w:r w:rsidR="000526BD">
        <w:t xml:space="preserve">several </w:t>
      </w:r>
      <w:r>
        <w:t xml:space="preserve">implementation </w:t>
      </w:r>
      <w:r w:rsidR="000526BD">
        <w:t>activities do</w:t>
      </w:r>
      <w:r>
        <w:t xml:space="preserve"> not begin during the initial three-year period, this ICR does not include burden and costs for activities that are required during full rule implementation.</w:t>
      </w:r>
      <w:r w:rsidR="003B0581">
        <w:t xml:space="preserve"> </w:t>
      </w:r>
      <w:r w:rsidR="003B0581">
        <w:fldChar w:fldCharType="begin"/>
      </w:r>
      <w:r w:rsidR="003B0581">
        <w:instrText xml:space="preserve"> REF _Ref4507333 \h </w:instrText>
      </w:r>
      <w:r w:rsidR="003B0581">
        <w:fldChar w:fldCharType="separate"/>
      </w:r>
      <w:r w:rsidR="007A79EF">
        <w:t xml:space="preserve">Exhibit </w:t>
      </w:r>
      <w:r w:rsidR="007A79EF">
        <w:rPr>
          <w:noProof/>
        </w:rPr>
        <w:t>1</w:t>
      </w:r>
      <w:r w:rsidR="003B0581">
        <w:fldChar w:fldCharType="end"/>
      </w:r>
      <w:r w:rsidR="000526BD">
        <w:t xml:space="preserve"> provides a list of additional activities that might occur at full implementation of the proposed </w:t>
      </w:r>
      <w:r w:rsidR="00634F2B">
        <w:t xml:space="preserve">regulation </w:t>
      </w:r>
      <w:r w:rsidR="003B0581">
        <w:t>that could impose burden and/or cost on respondents after the initial three years.</w:t>
      </w:r>
    </w:p>
    <w:p w14:paraId="3AF69F89" w14:textId="60C589AB" w:rsidR="00792F80" w:rsidRDefault="00792F80" w:rsidP="00792F80">
      <w:pPr>
        <w:pStyle w:val="Caption"/>
      </w:pPr>
      <w:bookmarkStart w:id="13" w:name="_Ref4507333"/>
      <w:bookmarkStart w:id="14" w:name="_Toc23139290"/>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7A79EF">
        <w:rPr>
          <w:noProof/>
        </w:rPr>
        <w:t>1</w:t>
      </w:r>
      <w:r w:rsidR="00856859">
        <w:rPr>
          <w:noProof/>
        </w:rPr>
        <w:fldChar w:fldCharType="end"/>
      </w:r>
      <w:bookmarkEnd w:id="13"/>
      <w:r>
        <w:rPr>
          <w:noProof/>
        </w:rPr>
        <w:t xml:space="preserve">. </w:t>
      </w:r>
      <w:r w:rsidRPr="000757B1">
        <w:rPr>
          <w:noProof/>
        </w:rPr>
        <w:t xml:space="preserve">Summary of Additional Activities Required by </w:t>
      </w:r>
      <w:r w:rsidR="00C018A3">
        <w:rPr>
          <w:noProof/>
        </w:rPr>
        <w:t>LCRR</w:t>
      </w:r>
      <w:bookmarkEnd w:id="1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1327"/>
        <w:gridCol w:w="1530"/>
        <w:gridCol w:w="1728"/>
        <w:gridCol w:w="1242"/>
        <w:gridCol w:w="1350"/>
      </w:tblGrid>
      <w:tr w:rsidR="0034332A" w:rsidRPr="00344F30" w14:paraId="57D52A29" w14:textId="77777777" w:rsidTr="00344F30">
        <w:trPr>
          <w:tblHeader/>
        </w:trPr>
        <w:tc>
          <w:tcPr>
            <w:tcW w:w="2183" w:type="dxa"/>
            <w:vMerge w:val="restart"/>
            <w:shd w:val="clear" w:color="auto" w:fill="auto"/>
            <w:vAlign w:val="center"/>
          </w:tcPr>
          <w:p w14:paraId="225316D3" w14:textId="77777777" w:rsidR="0034332A" w:rsidRPr="00344F30" w:rsidRDefault="0034332A" w:rsidP="00344F30">
            <w:pPr>
              <w:pStyle w:val="Table"/>
              <w:jc w:val="center"/>
              <w:rPr>
                <w:b/>
              </w:rPr>
            </w:pPr>
            <w:r w:rsidRPr="00344F30">
              <w:rPr>
                <w:b/>
              </w:rPr>
              <w:t>Regulatory</w:t>
            </w:r>
          </w:p>
          <w:p w14:paraId="689F5E23" w14:textId="77777777" w:rsidR="0034332A" w:rsidRPr="00344F30" w:rsidRDefault="0034332A" w:rsidP="00344F30">
            <w:pPr>
              <w:pStyle w:val="Table"/>
              <w:jc w:val="center"/>
              <w:rPr>
                <w:b/>
              </w:rPr>
            </w:pPr>
            <w:r w:rsidRPr="00344F30">
              <w:rPr>
                <w:b/>
              </w:rPr>
              <w:t>Change</w:t>
            </w:r>
          </w:p>
        </w:tc>
        <w:tc>
          <w:tcPr>
            <w:tcW w:w="5827" w:type="dxa"/>
            <w:gridSpan w:val="4"/>
            <w:shd w:val="clear" w:color="auto" w:fill="auto"/>
            <w:vAlign w:val="center"/>
          </w:tcPr>
          <w:p w14:paraId="44EB5B7A" w14:textId="77777777" w:rsidR="0034332A" w:rsidRPr="00344F30" w:rsidRDefault="0034332A" w:rsidP="00344F30">
            <w:pPr>
              <w:pStyle w:val="Table"/>
              <w:jc w:val="center"/>
              <w:rPr>
                <w:b/>
              </w:rPr>
            </w:pPr>
            <w:r w:rsidRPr="00344F30">
              <w:rPr>
                <w:b/>
              </w:rPr>
              <w:t>System Costs</w:t>
            </w:r>
          </w:p>
        </w:tc>
        <w:tc>
          <w:tcPr>
            <w:tcW w:w="1350" w:type="dxa"/>
            <w:shd w:val="clear" w:color="auto" w:fill="auto"/>
            <w:vAlign w:val="center"/>
          </w:tcPr>
          <w:p w14:paraId="14212D57" w14:textId="77777777" w:rsidR="0034332A" w:rsidRPr="00344F30" w:rsidRDefault="00E604CC" w:rsidP="00C0304A">
            <w:pPr>
              <w:pStyle w:val="Table"/>
              <w:jc w:val="center"/>
              <w:rPr>
                <w:b/>
              </w:rPr>
            </w:pPr>
            <w:r>
              <w:rPr>
                <w:b/>
              </w:rPr>
              <w:t xml:space="preserve">Primacy </w:t>
            </w:r>
            <w:r w:rsidR="00C0304A">
              <w:rPr>
                <w:b/>
              </w:rPr>
              <w:t>Agency</w:t>
            </w:r>
            <w:r w:rsidR="00C0304A" w:rsidRPr="00344F30">
              <w:rPr>
                <w:b/>
              </w:rPr>
              <w:t xml:space="preserve"> </w:t>
            </w:r>
            <w:r w:rsidR="0034332A" w:rsidRPr="00344F30">
              <w:rPr>
                <w:b/>
              </w:rPr>
              <w:t>Costs</w:t>
            </w:r>
          </w:p>
        </w:tc>
      </w:tr>
      <w:tr w:rsidR="0034332A" w:rsidRPr="00344F30" w14:paraId="4C247F85" w14:textId="77777777" w:rsidTr="00344F30">
        <w:trPr>
          <w:trHeight w:val="20"/>
          <w:tblHeader/>
        </w:trPr>
        <w:tc>
          <w:tcPr>
            <w:tcW w:w="2183" w:type="dxa"/>
            <w:vMerge/>
            <w:shd w:val="clear" w:color="auto" w:fill="auto"/>
            <w:vAlign w:val="center"/>
          </w:tcPr>
          <w:p w14:paraId="27BF52A5" w14:textId="77777777" w:rsidR="0034332A" w:rsidRPr="00344F30" w:rsidRDefault="0034332A" w:rsidP="00344F30">
            <w:pPr>
              <w:pStyle w:val="Table"/>
              <w:jc w:val="center"/>
              <w:rPr>
                <w:b/>
              </w:rPr>
            </w:pPr>
          </w:p>
        </w:tc>
        <w:tc>
          <w:tcPr>
            <w:tcW w:w="1327" w:type="dxa"/>
            <w:shd w:val="clear" w:color="auto" w:fill="auto"/>
            <w:vAlign w:val="center"/>
          </w:tcPr>
          <w:p w14:paraId="71D23F0F" w14:textId="77777777" w:rsidR="0034332A" w:rsidRPr="00344F30" w:rsidRDefault="0034332A" w:rsidP="00344F30">
            <w:pPr>
              <w:pStyle w:val="Table"/>
              <w:jc w:val="center"/>
              <w:rPr>
                <w:b/>
              </w:rPr>
            </w:pPr>
            <w:r w:rsidRPr="00344F30">
              <w:rPr>
                <w:b/>
              </w:rPr>
              <w:t>System Reporting</w:t>
            </w:r>
          </w:p>
        </w:tc>
        <w:tc>
          <w:tcPr>
            <w:tcW w:w="1530" w:type="dxa"/>
            <w:shd w:val="clear" w:color="auto" w:fill="auto"/>
            <w:vAlign w:val="center"/>
          </w:tcPr>
          <w:p w14:paraId="29CA085A" w14:textId="77777777" w:rsidR="0034332A" w:rsidRPr="00344F30" w:rsidRDefault="0034332A" w:rsidP="00344F30">
            <w:pPr>
              <w:pStyle w:val="Table"/>
              <w:jc w:val="center"/>
              <w:rPr>
                <w:b/>
              </w:rPr>
            </w:pPr>
            <w:r w:rsidRPr="00344F30">
              <w:rPr>
                <w:b/>
              </w:rPr>
              <w:t>Tap Water Monitoring</w:t>
            </w:r>
          </w:p>
        </w:tc>
        <w:tc>
          <w:tcPr>
            <w:tcW w:w="1728" w:type="dxa"/>
            <w:shd w:val="clear" w:color="auto" w:fill="auto"/>
            <w:vAlign w:val="center"/>
          </w:tcPr>
          <w:p w14:paraId="46AF3FBC" w14:textId="77777777" w:rsidR="0034332A" w:rsidRPr="00344F30" w:rsidRDefault="0034332A" w:rsidP="00344F30">
            <w:pPr>
              <w:pStyle w:val="Table"/>
              <w:jc w:val="center"/>
              <w:rPr>
                <w:b/>
              </w:rPr>
            </w:pPr>
            <w:r w:rsidRPr="00344F30">
              <w:rPr>
                <w:b/>
              </w:rPr>
              <w:t>Water Quality Parameter Monitoring</w:t>
            </w:r>
          </w:p>
        </w:tc>
        <w:tc>
          <w:tcPr>
            <w:tcW w:w="1242" w:type="dxa"/>
            <w:shd w:val="clear" w:color="auto" w:fill="auto"/>
            <w:vAlign w:val="center"/>
          </w:tcPr>
          <w:p w14:paraId="4C2CDD5F" w14:textId="77777777" w:rsidR="0034332A" w:rsidRPr="00344F30" w:rsidRDefault="0034332A" w:rsidP="00344F30">
            <w:pPr>
              <w:pStyle w:val="Table"/>
              <w:jc w:val="center"/>
              <w:rPr>
                <w:b/>
              </w:rPr>
            </w:pPr>
            <w:r w:rsidRPr="00344F30">
              <w:rPr>
                <w:b/>
              </w:rPr>
              <w:t>Public Education</w:t>
            </w:r>
          </w:p>
        </w:tc>
        <w:tc>
          <w:tcPr>
            <w:tcW w:w="1350" w:type="dxa"/>
            <w:shd w:val="clear" w:color="auto" w:fill="auto"/>
            <w:vAlign w:val="center"/>
          </w:tcPr>
          <w:p w14:paraId="703569B0" w14:textId="77777777" w:rsidR="0034332A" w:rsidRPr="00344F30" w:rsidRDefault="00E604CC" w:rsidP="00C0304A">
            <w:pPr>
              <w:pStyle w:val="Table"/>
              <w:jc w:val="center"/>
              <w:rPr>
                <w:b/>
              </w:rPr>
            </w:pPr>
            <w:r>
              <w:rPr>
                <w:b/>
              </w:rPr>
              <w:t xml:space="preserve">Primacy </w:t>
            </w:r>
            <w:r w:rsidR="00C0304A">
              <w:rPr>
                <w:b/>
              </w:rPr>
              <w:t>Agency</w:t>
            </w:r>
            <w:r w:rsidR="00C0304A" w:rsidRPr="00344F30">
              <w:rPr>
                <w:b/>
              </w:rPr>
              <w:t xml:space="preserve"> </w:t>
            </w:r>
            <w:r w:rsidR="0034332A" w:rsidRPr="00344F30">
              <w:rPr>
                <w:b/>
              </w:rPr>
              <w:t>Review</w:t>
            </w:r>
          </w:p>
        </w:tc>
      </w:tr>
      <w:tr w:rsidR="0034332A" w14:paraId="366D8C21" w14:textId="77777777" w:rsidTr="00344F30">
        <w:trPr>
          <w:trHeight w:val="20"/>
        </w:trPr>
        <w:tc>
          <w:tcPr>
            <w:tcW w:w="2183" w:type="dxa"/>
            <w:vAlign w:val="center"/>
          </w:tcPr>
          <w:p w14:paraId="2F3CF173" w14:textId="77777777" w:rsidR="0034332A" w:rsidRPr="00713A46" w:rsidRDefault="0034332A" w:rsidP="00344F30">
            <w:pPr>
              <w:pStyle w:val="Table"/>
            </w:pPr>
            <w:r w:rsidRPr="00713A46">
              <w:t>Lead and Copper Tap Monitoring</w:t>
            </w:r>
          </w:p>
        </w:tc>
        <w:tc>
          <w:tcPr>
            <w:tcW w:w="1327" w:type="dxa"/>
            <w:shd w:val="clear" w:color="auto" w:fill="auto"/>
            <w:vAlign w:val="center"/>
          </w:tcPr>
          <w:p w14:paraId="5007A457" w14:textId="77777777" w:rsidR="0034332A" w:rsidRPr="00800169" w:rsidRDefault="0034332A" w:rsidP="00344F30">
            <w:pPr>
              <w:pStyle w:val="Table"/>
              <w:jc w:val="center"/>
            </w:pPr>
            <w:r>
              <w:t>x</w:t>
            </w:r>
          </w:p>
        </w:tc>
        <w:tc>
          <w:tcPr>
            <w:tcW w:w="1530" w:type="dxa"/>
            <w:shd w:val="clear" w:color="auto" w:fill="auto"/>
            <w:vAlign w:val="center"/>
          </w:tcPr>
          <w:p w14:paraId="50387618" w14:textId="77777777" w:rsidR="0034332A" w:rsidRPr="00800169" w:rsidRDefault="0034332A" w:rsidP="00344F30">
            <w:pPr>
              <w:pStyle w:val="Table"/>
              <w:jc w:val="center"/>
            </w:pPr>
            <w:r>
              <w:t>x</w:t>
            </w:r>
          </w:p>
        </w:tc>
        <w:tc>
          <w:tcPr>
            <w:tcW w:w="1728" w:type="dxa"/>
            <w:shd w:val="clear" w:color="auto" w:fill="auto"/>
            <w:vAlign w:val="center"/>
          </w:tcPr>
          <w:p w14:paraId="2117646A" w14:textId="77777777" w:rsidR="0034332A" w:rsidRPr="00800169" w:rsidRDefault="0034332A" w:rsidP="00344F30">
            <w:pPr>
              <w:pStyle w:val="Table"/>
              <w:jc w:val="center"/>
            </w:pPr>
          </w:p>
        </w:tc>
        <w:tc>
          <w:tcPr>
            <w:tcW w:w="1242" w:type="dxa"/>
            <w:vAlign w:val="center"/>
          </w:tcPr>
          <w:p w14:paraId="19740D5A" w14:textId="04DBC2BD" w:rsidR="0034332A" w:rsidRDefault="00634F2B" w:rsidP="00344F30">
            <w:pPr>
              <w:pStyle w:val="Table"/>
              <w:jc w:val="center"/>
            </w:pPr>
            <w:r>
              <w:t>x</w:t>
            </w:r>
          </w:p>
        </w:tc>
        <w:tc>
          <w:tcPr>
            <w:tcW w:w="1350" w:type="dxa"/>
            <w:shd w:val="clear" w:color="auto" w:fill="auto"/>
            <w:vAlign w:val="center"/>
          </w:tcPr>
          <w:p w14:paraId="1430FD2E" w14:textId="77777777" w:rsidR="0034332A" w:rsidRPr="00800169" w:rsidRDefault="0034332A" w:rsidP="00344F30">
            <w:pPr>
              <w:pStyle w:val="Table"/>
              <w:jc w:val="center"/>
            </w:pPr>
            <w:r>
              <w:t>x</w:t>
            </w:r>
          </w:p>
        </w:tc>
      </w:tr>
      <w:tr w:rsidR="0034332A" w14:paraId="32BA3531" w14:textId="77777777" w:rsidTr="00344F30">
        <w:trPr>
          <w:trHeight w:val="20"/>
        </w:trPr>
        <w:tc>
          <w:tcPr>
            <w:tcW w:w="2183" w:type="dxa"/>
            <w:vAlign w:val="center"/>
          </w:tcPr>
          <w:p w14:paraId="23A58D3B" w14:textId="77777777" w:rsidR="0034332A" w:rsidRPr="00800169" w:rsidRDefault="0034332A" w:rsidP="00344F30">
            <w:pPr>
              <w:pStyle w:val="Table"/>
            </w:pPr>
            <w:r>
              <w:t>Corrosion Control Treatment and Water Quality Parameter Monitoring</w:t>
            </w:r>
          </w:p>
        </w:tc>
        <w:tc>
          <w:tcPr>
            <w:tcW w:w="1327" w:type="dxa"/>
            <w:vAlign w:val="center"/>
          </w:tcPr>
          <w:p w14:paraId="2127CF9A" w14:textId="77777777" w:rsidR="0034332A" w:rsidRPr="00800169" w:rsidRDefault="0034332A" w:rsidP="00344F30">
            <w:pPr>
              <w:pStyle w:val="Table"/>
              <w:jc w:val="center"/>
            </w:pPr>
            <w:r>
              <w:t>x</w:t>
            </w:r>
          </w:p>
        </w:tc>
        <w:tc>
          <w:tcPr>
            <w:tcW w:w="1530" w:type="dxa"/>
            <w:vAlign w:val="center"/>
          </w:tcPr>
          <w:p w14:paraId="0F53FF25" w14:textId="77777777" w:rsidR="0034332A" w:rsidRPr="00800169" w:rsidRDefault="0034332A" w:rsidP="00344F30">
            <w:pPr>
              <w:pStyle w:val="Table"/>
              <w:jc w:val="center"/>
            </w:pPr>
            <w:r>
              <w:t>x</w:t>
            </w:r>
          </w:p>
        </w:tc>
        <w:tc>
          <w:tcPr>
            <w:tcW w:w="1728" w:type="dxa"/>
            <w:vAlign w:val="center"/>
          </w:tcPr>
          <w:p w14:paraId="246FEAC3" w14:textId="77777777" w:rsidR="0034332A" w:rsidRPr="00800169" w:rsidRDefault="0034332A" w:rsidP="00344F30">
            <w:pPr>
              <w:pStyle w:val="Table"/>
              <w:jc w:val="center"/>
            </w:pPr>
            <w:r>
              <w:t>x</w:t>
            </w:r>
          </w:p>
        </w:tc>
        <w:tc>
          <w:tcPr>
            <w:tcW w:w="1242" w:type="dxa"/>
            <w:vAlign w:val="center"/>
          </w:tcPr>
          <w:p w14:paraId="748DF6C8" w14:textId="77777777" w:rsidR="0034332A" w:rsidRDefault="0034332A" w:rsidP="00344F30">
            <w:pPr>
              <w:pStyle w:val="Table"/>
              <w:jc w:val="center"/>
            </w:pPr>
          </w:p>
        </w:tc>
        <w:tc>
          <w:tcPr>
            <w:tcW w:w="1350" w:type="dxa"/>
            <w:vAlign w:val="center"/>
          </w:tcPr>
          <w:p w14:paraId="05413C7D" w14:textId="77777777" w:rsidR="0034332A" w:rsidRPr="00800169" w:rsidRDefault="0034332A" w:rsidP="00344F30">
            <w:pPr>
              <w:pStyle w:val="Table"/>
              <w:jc w:val="center"/>
            </w:pPr>
            <w:r>
              <w:t>x</w:t>
            </w:r>
          </w:p>
        </w:tc>
      </w:tr>
      <w:tr w:rsidR="0034332A" w14:paraId="224C3BD3" w14:textId="77777777" w:rsidTr="00344F30">
        <w:trPr>
          <w:trHeight w:val="20"/>
        </w:trPr>
        <w:tc>
          <w:tcPr>
            <w:tcW w:w="2183" w:type="dxa"/>
            <w:vAlign w:val="center"/>
          </w:tcPr>
          <w:p w14:paraId="31301C8D" w14:textId="77777777" w:rsidR="0034332A" w:rsidRPr="00800169" w:rsidRDefault="0034332A" w:rsidP="00344F30">
            <w:pPr>
              <w:pStyle w:val="Table"/>
            </w:pPr>
            <w:r>
              <w:t>Lead Service Line Testing and Replacement</w:t>
            </w:r>
          </w:p>
        </w:tc>
        <w:tc>
          <w:tcPr>
            <w:tcW w:w="1327" w:type="dxa"/>
            <w:vAlign w:val="center"/>
          </w:tcPr>
          <w:p w14:paraId="1DC42976" w14:textId="77777777" w:rsidR="0034332A" w:rsidRPr="00800169" w:rsidRDefault="0034332A" w:rsidP="00344F30">
            <w:pPr>
              <w:pStyle w:val="Table"/>
              <w:jc w:val="center"/>
            </w:pPr>
            <w:r>
              <w:t>x</w:t>
            </w:r>
          </w:p>
        </w:tc>
        <w:tc>
          <w:tcPr>
            <w:tcW w:w="1530" w:type="dxa"/>
            <w:vAlign w:val="center"/>
          </w:tcPr>
          <w:p w14:paraId="09775E59" w14:textId="77777777" w:rsidR="0034332A" w:rsidRPr="00800169" w:rsidRDefault="0034332A" w:rsidP="00344F30">
            <w:pPr>
              <w:pStyle w:val="Table"/>
              <w:jc w:val="center"/>
            </w:pPr>
            <w:r>
              <w:t>x</w:t>
            </w:r>
          </w:p>
        </w:tc>
        <w:tc>
          <w:tcPr>
            <w:tcW w:w="1728" w:type="dxa"/>
            <w:vAlign w:val="center"/>
          </w:tcPr>
          <w:p w14:paraId="436B44F0" w14:textId="77777777" w:rsidR="0034332A" w:rsidRPr="00800169" w:rsidRDefault="0034332A" w:rsidP="00344F30">
            <w:pPr>
              <w:pStyle w:val="Table"/>
              <w:jc w:val="center"/>
            </w:pPr>
          </w:p>
        </w:tc>
        <w:tc>
          <w:tcPr>
            <w:tcW w:w="1242" w:type="dxa"/>
            <w:vAlign w:val="center"/>
          </w:tcPr>
          <w:p w14:paraId="05408568" w14:textId="5D3249EB" w:rsidR="0034332A" w:rsidRDefault="00634F2B" w:rsidP="00344F30">
            <w:pPr>
              <w:pStyle w:val="Table"/>
              <w:jc w:val="center"/>
            </w:pPr>
            <w:r>
              <w:t>x</w:t>
            </w:r>
          </w:p>
        </w:tc>
        <w:tc>
          <w:tcPr>
            <w:tcW w:w="1350" w:type="dxa"/>
            <w:vAlign w:val="center"/>
          </w:tcPr>
          <w:p w14:paraId="174A8E92" w14:textId="77777777" w:rsidR="0034332A" w:rsidRPr="00800169" w:rsidRDefault="0034332A" w:rsidP="00344F30">
            <w:pPr>
              <w:pStyle w:val="Table"/>
              <w:jc w:val="center"/>
            </w:pPr>
            <w:r>
              <w:t>x</w:t>
            </w:r>
          </w:p>
        </w:tc>
      </w:tr>
      <w:tr w:rsidR="0034332A" w14:paraId="4C736F78" w14:textId="77777777" w:rsidTr="00344F30">
        <w:trPr>
          <w:trHeight w:val="20"/>
        </w:trPr>
        <w:tc>
          <w:tcPr>
            <w:tcW w:w="2183" w:type="dxa"/>
            <w:vAlign w:val="center"/>
          </w:tcPr>
          <w:p w14:paraId="619FDDC0" w14:textId="77777777" w:rsidR="0034332A" w:rsidRPr="00800169" w:rsidRDefault="0034332A" w:rsidP="00344F30">
            <w:pPr>
              <w:pStyle w:val="Table"/>
            </w:pPr>
            <w:r>
              <w:t>Alternative to Corrosion Control Treatment and Lead Service Line Replacement</w:t>
            </w:r>
          </w:p>
        </w:tc>
        <w:tc>
          <w:tcPr>
            <w:tcW w:w="1327" w:type="dxa"/>
            <w:vAlign w:val="center"/>
          </w:tcPr>
          <w:p w14:paraId="4D0AEF42" w14:textId="77777777" w:rsidR="0034332A" w:rsidRPr="00800169" w:rsidRDefault="0034332A" w:rsidP="00344F30">
            <w:pPr>
              <w:pStyle w:val="Table"/>
              <w:jc w:val="center"/>
            </w:pPr>
            <w:r>
              <w:t>x</w:t>
            </w:r>
          </w:p>
        </w:tc>
        <w:tc>
          <w:tcPr>
            <w:tcW w:w="1530" w:type="dxa"/>
            <w:vAlign w:val="center"/>
          </w:tcPr>
          <w:p w14:paraId="37898F05" w14:textId="77777777" w:rsidR="0034332A" w:rsidRPr="00800169" w:rsidRDefault="0034332A" w:rsidP="00344F30">
            <w:pPr>
              <w:pStyle w:val="Table"/>
              <w:jc w:val="center"/>
            </w:pPr>
            <w:r>
              <w:t>x</w:t>
            </w:r>
          </w:p>
        </w:tc>
        <w:tc>
          <w:tcPr>
            <w:tcW w:w="1728" w:type="dxa"/>
            <w:vAlign w:val="center"/>
          </w:tcPr>
          <w:p w14:paraId="334076B4" w14:textId="77777777" w:rsidR="0034332A" w:rsidRPr="00800169" w:rsidRDefault="0034332A" w:rsidP="00344F30">
            <w:pPr>
              <w:pStyle w:val="Table"/>
              <w:jc w:val="center"/>
            </w:pPr>
          </w:p>
        </w:tc>
        <w:tc>
          <w:tcPr>
            <w:tcW w:w="1242" w:type="dxa"/>
            <w:vAlign w:val="center"/>
          </w:tcPr>
          <w:p w14:paraId="4B16A098" w14:textId="64FDBE6C" w:rsidR="0034332A" w:rsidRDefault="00634F2B" w:rsidP="00344F30">
            <w:pPr>
              <w:pStyle w:val="Table"/>
              <w:jc w:val="center"/>
            </w:pPr>
            <w:r>
              <w:t>x</w:t>
            </w:r>
          </w:p>
        </w:tc>
        <w:tc>
          <w:tcPr>
            <w:tcW w:w="1350" w:type="dxa"/>
            <w:vAlign w:val="center"/>
          </w:tcPr>
          <w:p w14:paraId="3E1BD2D1" w14:textId="77777777" w:rsidR="0034332A" w:rsidRPr="00800169" w:rsidRDefault="0034332A" w:rsidP="00344F30">
            <w:pPr>
              <w:pStyle w:val="Table"/>
              <w:jc w:val="center"/>
            </w:pPr>
            <w:r>
              <w:t>x</w:t>
            </w:r>
          </w:p>
        </w:tc>
      </w:tr>
      <w:tr w:rsidR="0034332A" w14:paraId="659B9504" w14:textId="77777777" w:rsidTr="00344F30">
        <w:trPr>
          <w:trHeight w:val="20"/>
        </w:trPr>
        <w:tc>
          <w:tcPr>
            <w:tcW w:w="2183" w:type="dxa"/>
            <w:vAlign w:val="center"/>
          </w:tcPr>
          <w:p w14:paraId="03883CBE" w14:textId="77777777" w:rsidR="0034332A" w:rsidRDefault="0034332A" w:rsidP="00344F30">
            <w:pPr>
              <w:pStyle w:val="Table"/>
            </w:pPr>
            <w:r>
              <w:t>Lead Public Education and Outreach</w:t>
            </w:r>
          </w:p>
        </w:tc>
        <w:tc>
          <w:tcPr>
            <w:tcW w:w="1327" w:type="dxa"/>
            <w:vAlign w:val="center"/>
          </w:tcPr>
          <w:p w14:paraId="1C8EF8F4" w14:textId="77777777" w:rsidR="0034332A" w:rsidRDefault="0034332A" w:rsidP="00344F30">
            <w:pPr>
              <w:pStyle w:val="Table"/>
              <w:jc w:val="center"/>
            </w:pPr>
            <w:r>
              <w:t>x</w:t>
            </w:r>
          </w:p>
        </w:tc>
        <w:tc>
          <w:tcPr>
            <w:tcW w:w="1530" w:type="dxa"/>
            <w:vAlign w:val="center"/>
          </w:tcPr>
          <w:p w14:paraId="33F15766" w14:textId="77777777" w:rsidR="0034332A" w:rsidRPr="00800169" w:rsidRDefault="0034332A" w:rsidP="00344F30">
            <w:pPr>
              <w:pStyle w:val="Table"/>
              <w:jc w:val="center"/>
            </w:pPr>
          </w:p>
        </w:tc>
        <w:tc>
          <w:tcPr>
            <w:tcW w:w="1728" w:type="dxa"/>
            <w:vAlign w:val="center"/>
          </w:tcPr>
          <w:p w14:paraId="4CB2A4B8" w14:textId="77777777" w:rsidR="0034332A" w:rsidRPr="00800169" w:rsidRDefault="0034332A" w:rsidP="00344F30">
            <w:pPr>
              <w:pStyle w:val="Table"/>
              <w:jc w:val="center"/>
            </w:pPr>
          </w:p>
        </w:tc>
        <w:tc>
          <w:tcPr>
            <w:tcW w:w="1242" w:type="dxa"/>
            <w:vAlign w:val="center"/>
          </w:tcPr>
          <w:p w14:paraId="7C65F750" w14:textId="26B71A79" w:rsidR="0034332A" w:rsidRDefault="00634F2B" w:rsidP="00344F30">
            <w:pPr>
              <w:pStyle w:val="Table"/>
              <w:jc w:val="center"/>
            </w:pPr>
            <w:r>
              <w:t>x</w:t>
            </w:r>
          </w:p>
        </w:tc>
        <w:tc>
          <w:tcPr>
            <w:tcW w:w="1350" w:type="dxa"/>
            <w:vAlign w:val="center"/>
          </w:tcPr>
          <w:p w14:paraId="6ECDBB69" w14:textId="77777777" w:rsidR="0034332A" w:rsidRDefault="0034332A" w:rsidP="00344F30">
            <w:pPr>
              <w:pStyle w:val="Table"/>
              <w:jc w:val="center"/>
            </w:pPr>
            <w:r>
              <w:t>x</w:t>
            </w:r>
          </w:p>
        </w:tc>
      </w:tr>
      <w:tr w:rsidR="0034332A" w14:paraId="1E7ADB6E" w14:textId="77777777" w:rsidTr="00344F30">
        <w:trPr>
          <w:trHeight w:val="20"/>
        </w:trPr>
        <w:tc>
          <w:tcPr>
            <w:tcW w:w="2183" w:type="dxa"/>
            <w:vAlign w:val="center"/>
          </w:tcPr>
          <w:p w14:paraId="1CB0AD9F" w14:textId="77777777" w:rsidR="0034332A" w:rsidRPr="00800169" w:rsidRDefault="0034332A" w:rsidP="00344F30">
            <w:pPr>
              <w:pStyle w:val="Table"/>
            </w:pPr>
            <w:r>
              <w:t>Change in Source or Treatment</w:t>
            </w:r>
          </w:p>
        </w:tc>
        <w:tc>
          <w:tcPr>
            <w:tcW w:w="1327" w:type="dxa"/>
            <w:vAlign w:val="center"/>
          </w:tcPr>
          <w:p w14:paraId="41016735" w14:textId="77777777" w:rsidR="0034332A" w:rsidRPr="00800169" w:rsidRDefault="0034332A" w:rsidP="00344F30">
            <w:pPr>
              <w:pStyle w:val="Table"/>
              <w:jc w:val="center"/>
            </w:pPr>
            <w:r>
              <w:t>x</w:t>
            </w:r>
          </w:p>
        </w:tc>
        <w:tc>
          <w:tcPr>
            <w:tcW w:w="1530" w:type="dxa"/>
            <w:vAlign w:val="center"/>
          </w:tcPr>
          <w:p w14:paraId="6DE129CD" w14:textId="77777777" w:rsidR="0034332A" w:rsidRPr="00800169" w:rsidRDefault="0034332A" w:rsidP="00344F30">
            <w:pPr>
              <w:pStyle w:val="Table"/>
              <w:jc w:val="center"/>
            </w:pPr>
          </w:p>
        </w:tc>
        <w:tc>
          <w:tcPr>
            <w:tcW w:w="1728" w:type="dxa"/>
            <w:vAlign w:val="center"/>
          </w:tcPr>
          <w:p w14:paraId="720D9D99" w14:textId="77777777" w:rsidR="0034332A" w:rsidRPr="00800169" w:rsidRDefault="0034332A" w:rsidP="00344F30">
            <w:pPr>
              <w:pStyle w:val="Table"/>
              <w:jc w:val="center"/>
            </w:pPr>
          </w:p>
        </w:tc>
        <w:tc>
          <w:tcPr>
            <w:tcW w:w="1242" w:type="dxa"/>
            <w:vAlign w:val="center"/>
          </w:tcPr>
          <w:p w14:paraId="0F63E7CD" w14:textId="77777777" w:rsidR="0034332A" w:rsidRDefault="0034332A" w:rsidP="00344F30">
            <w:pPr>
              <w:pStyle w:val="Table"/>
              <w:jc w:val="center"/>
            </w:pPr>
          </w:p>
        </w:tc>
        <w:tc>
          <w:tcPr>
            <w:tcW w:w="1350" w:type="dxa"/>
            <w:vAlign w:val="center"/>
          </w:tcPr>
          <w:p w14:paraId="06C068A3" w14:textId="77777777" w:rsidR="0034332A" w:rsidRPr="00800169" w:rsidRDefault="0034332A" w:rsidP="00344F30">
            <w:pPr>
              <w:pStyle w:val="Table"/>
              <w:jc w:val="center"/>
            </w:pPr>
            <w:r>
              <w:t>x</w:t>
            </w:r>
          </w:p>
        </w:tc>
      </w:tr>
      <w:tr w:rsidR="0034332A" w14:paraId="137D538A" w14:textId="77777777" w:rsidTr="00344F30">
        <w:trPr>
          <w:trHeight w:val="20"/>
        </w:trPr>
        <w:tc>
          <w:tcPr>
            <w:tcW w:w="2183" w:type="dxa"/>
            <w:vAlign w:val="center"/>
          </w:tcPr>
          <w:p w14:paraId="6A40D6DC" w14:textId="77777777" w:rsidR="0034332A" w:rsidRPr="00800169" w:rsidRDefault="0034332A" w:rsidP="00344F30">
            <w:pPr>
              <w:pStyle w:val="Table"/>
            </w:pPr>
            <w:r>
              <w:t>Source Water Monitoring and Treatment</w:t>
            </w:r>
          </w:p>
        </w:tc>
        <w:tc>
          <w:tcPr>
            <w:tcW w:w="1327" w:type="dxa"/>
            <w:vAlign w:val="center"/>
          </w:tcPr>
          <w:p w14:paraId="547FB633" w14:textId="77777777" w:rsidR="0034332A" w:rsidRPr="00800169" w:rsidRDefault="0034332A" w:rsidP="00344F30">
            <w:pPr>
              <w:pStyle w:val="Table"/>
              <w:jc w:val="center"/>
            </w:pPr>
            <w:r>
              <w:t>x</w:t>
            </w:r>
          </w:p>
        </w:tc>
        <w:tc>
          <w:tcPr>
            <w:tcW w:w="1530" w:type="dxa"/>
            <w:vAlign w:val="center"/>
          </w:tcPr>
          <w:p w14:paraId="427D9B2B" w14:textId="77777777" w:rsidR="0034332A" w:rsidRPr="00800169" w:rsidRDefault="0034332A" w:rsidP="00344F30">
            <w:pPr>
              <w:pStyle w:val="Table"/>
              <w:jc w:val="center"/>
            </w:pPr>
          </w:p>
        </w:tc>
        <w:tc>
          <w:tcPr>
            <w:tcW w:w="1728" w:type="dxa"/>
            <w:vAlign w:val="center"/>
          </w:tcPr>
          <w:p w14:paraId="67B695E3" w14:textId="77777777" w:rsidR="0034332A" w:rsidRPr="00800169" w:rsidRDefault="0034332A" w:rsidP="00344F30">
            <w:pPr>
              <w:pStyle w:val="Table"/>
              <w:jc w:val="center"/>
            </w:pPr>
            <w:r>
              <w:t>x</w:t>
            </w:r>
          </w:p>
        </w:tc>
        <w:tc>
          <w:tcPr>
            <w:tcW w:w="1242" w:type="dxa"/>
            <w:vAlign w:val="center"/>
          </w:tcPr>
          <w:p w14:paraId="62A11A6D" w14:textId="77777777" w:rsidR="0034332A" w:rsidRDefault="0034332A" w:rsidP="00344F30">
            <w:pPr>
              <w:pStyle w:val="Table"/>
              <w:jc w:val="center"/>
            </w:pPr>
          </w:p>
        </w:tc>
        <w:tc>
          <w:tcPr>
            <w:tcW w:w="1350" w:type="dxa"/>
            <w:vAlign w:val="center"/>
          </w:tcPr>
          <w:p w14:paraId="597FB631" w14:textId="77777777" w:rsidR="0034332A" w:rsidRPr="00800169" w:rsidRDefault="0034332A" w:rsidP="00344F30">
            <w:pPr>
              <w:pStyle w:val="Table"/>
              <w:jc w:val="center"/>
            </w:pPr>
            <w:r>
              <w:t>x</w:t>
            </w:r>
          </w:p>
        </w:tc>
      </w:tr>
      <w:tr w:rsidR="0034332A" w14:paraId="74003199" w14:textId="77777777" w:rsidTr="00344F30">
        <w:trPr>
          <w:trHeight w:val="20"/>
        </w:trPr>
        <w:tc>
          <w:tcPr>
            <w:tcW w:w="2183" w:type="dxa"/>
            <w:vAlign w:val="center"/>
          </w:tcPr>
          <w:p w14:paraId="49FA9186" w14:textId="77777777" w:rsidR="0034332A" w:rsidRPr="00800169" w:rsidRDefault="0034332A" w:rsidP="00344F30">
            <w:pPr>
              <w:pStyle w:val="Table"/>
            </w:pPr>
            <w:r>
              <w:t>Lead in Drinking Water Testing Program at Schools and Child Care Facilities</w:t>
            </w:r>
          </w:p>
        </w:tc>
        <w:tc>
          <w:tcPr>
            <w:tcW w:w="1327" w:type="dxa"/>
            <w:vAlign w:val="center"/>
          </w:tcPr>
          <w:p w14:paraId="2CADAAF5" w14:textId="77777777" w:rsidR="0034332A" w:rsidRPr="00800169" w:rsidRDefault="0034332A" w:rsidP="00344F30">
            <w:pPr>
              <w:pStyle w:val="Table"/>
              <w:jc w:val="center"/>
            </w:pPr>
            <w:r>
              <w:t>x</w:t>
            </w:r>
          </w:p>
        </w:tc>
        <w:tc>
          <w:tcPr>
            <w:tcW w:w="1530" w:type="dxa"/>
            <w:vAlign w:val="center"/>
          </w:tcPr>
          <w:p w14:paraId="1D843459" w14:textId="77777777" w:rsidR="0034332A" w:rsidRPr="00800169" w:rsidRDefault="0034332A" w:rsidP="00344F30">
            <w:pPr>
              <w:pStyle w:val="Table"/>
              <w:jc w:val="center"/>
            </w:pPr>
            <w:r>
              <w:t>x</w:t>
            </w:r>
          </w:p>
        </w:tc>
        <w:tc>
          <w:tcPr>
            <w:tcW w:w="1728" w:type="dxa"/>
            <w:vAlign w:val="center"/>
          </w:tcPr>
          <w:p w14:paraId="73D90EC6" w14:textId="77777777" w:rsidR="0034332A" w:rsidRPr="00800169" w:rsidRDefault="0034332A" w:rsidP="00344F30">
            <w:pPr>
              <w:pStyle w:val="Table"/>
              <w:jc w:val="center"/>
            </w:pPr>
          </w:p>
        </w:tc>
        <w:tc>
          <w:tcPr>
            <w:tcW w:w="1242" w:type="dxa"/>
            <w:vAlign w:val="center"/>
          </w:tcPr>
          <w:p w14:paraId="6918B6F7" w14:textId="0545A395" w:rsidR="0034332A" w:rsidRDefault="00634F2B" w:rsidP="00344F30">
            <w:pPr>
              <w:pStyle w:val="Table"/>
              <w:jc w:val="center"/>
            </w:pPr>
            <w:r>
              <w:t>x</w:t>
            </w:r>
          </w:p>
        </w:tc>
        <w:tc>
          <w:tcPr>
            <w:tcW w:w="1350" w:type="dxa"/>
            <w:vAlign w:val="center"/>
          </w:tcPr>
          <w:p w14:paraId="74301771" w14:textId="77777777" w:rsidR="0034332A" w:rsidRPr="00800169" w:rsidRDefault="0034332A" w:rsidP="00344F30">
            <w:pPr>
              <w:pStyle w:val="Table"/>
              <w:jc w:val="center"/>
            </w:pPr>
            <w:r>
              <w:t>x</w:t>
            </w:r>
          </w:p>
        </w:tc>
      </w:tr>
    </w:tbl>
    <w:p w14:paraId="467BBBFC" w14:textId="77777777" w:rsidR="00344F30" w:rsidRDefault="00344F30" w:rsidP="003A1A83">
      <w:pPr>
        <w:pStyle w:val="TableNote"/>
      </w:pPr>
      <w:bookmarkStart w:id="15" w:name="_Toc160872049"/>
    </w:p>
    <w:p w14:paraId="13E780B3" w14:textId="77777777" w:rsidR="002D4A38" w:rsidRPr="00423550" w:rsidRDefault="002D4A38" w:rsidP="00344F30">
      <w:pPr>
        <w:pStyle w:val="Heading1"/>
      </w:pPr>
      <w:bookmarkStart w:id="16" w:name="_Toc23138952"/>
      <w:bookmarkStart w:id="17" w:name="_Toc23139108"/>
      <w:r w:rsidRPr="007E3A3C">
        <w:t xml:space="preserve">2 </w:t>
      </w:r>
      <w:r w:rsidR="009D42EE" w:rsidRPr="007E3A3C">
        <w:tab/>
      </w:r>
      <w:r w:rsidRPr="007E3A3C">
        <w:t>NEED FOR AND USE OF THE COLLECTION</w:t>
      </w:r>
      <w:bookmarkEnd w:id="15"/>
      <w:bookmarkEnd w:id="16"/>
      <w:bookmarkEnd w:id="17"/>
    </w:p>
    <w:p w14:paraId="334117D0" w14:textId="77777777" w:rsidR="002D4A38" w:rsidRPr="00423550" w:rsidRDefault="002D4A38" w:rsidP="007E3A3C">
      <w:pPr>
        <w:pStyle w:val="Heading2"/>
        <w:tabs>
          <w:tab w:val="left" w:pos="720"/>
          <w:tab w:val="left" w:pos="1440"/>
          <w:tab w:val="left" w:pos="2160"/>
          <w:tab w:val="left" w:pos="2880"/>
          <w:tab w:val="left" w:pos="3600"/>
          <w:tab w:val="left" w:pos="5340"/>
        </w:tabs>
      </w:pPr>
      <w:bookmarkStart w:id="18" w:name="_Toc160872050"/>
      <w:bookmarkStart w:id="19" w:name="_Toc23138953"/>
      <w:bookmarkStart w:id="20" w:name="_Toc23139109"/>
      <w:r w:rsidRPr="00423550">
        <w:t xml:space="preserve">2(a) </w:t>
      </w:r>
      <w:r w:rsidR="009D42EE" w:rsidRPr="00423550">
        <w:tab/>
      </w:r>
      <w:r w:rsidRPr="00423550">
        <w:t xml:space="preserve">Need/Authority </w:t>
      </w:r>
      <w:r w:rsidR="007F35A0">
        <w:t>for t</w:t>
      </w:r>
      <w:r w:rsidRPr="00423550">
        <w:t>he Collection</w:t>
      </w:r>
      <w:bookmarkEnd w:id="18"/>
      <w:bookmarkEnd w:id="19"/>
      <w:bookmarkEnd w:id="20"/>
      <w:r w:rsidR="007E3A3C">
        <w:tab/>
      </w:r>
    </w:p>
    <w:p w14:paraId="633B56A9" w14:textId="0A2C67C9" w:rsidR="002D4A38" w:rsidRPr="00423550" w:rsidRDefault="00BD2482" w:rsidP="00EC602C">
      <w:pPr>
        <w:pStyle w:val="NormalIndent"/>
      </w:pPr>
      <w:r>
        <w:t xml:space="preserve">The </w:t>
      </w:r>
      <w:r w:rsidR="002D4A38" w:rsidRPr="00423550">
        <w:t xml:space="preserve">EPA needs comprehensive and current information on lead and copper </w:t>
      </w:r>
      <w:r w:rsidR="00F02641">
        <w:t>exposure</w:t>
      </w:r>
      <w:r w:rsidR="00F02641" w:rsidRPr="00423550">
        <w:t xml:space="preserve"> </w:t>
      </w:r>
      <w:r w:rsidR="002D4A38" w:rsidRPr="00423550">
        <w:t xml:space="preserve">and associated enforcement activities to implement its program oversight and enforcement responsibilities mandated by the Safe Drinking Water Act (SDWA). </w:t>
      </w:r>
      <w:r>
        <w:t xml:space="preserve">The </w:t>
      </w:r>
      <w:r w:rsidR="00964DA6" w:rsidRPr="00423550">
        <w:t>EPA identified rule changes</w:t>
      </w:r>
      <w:r w:rsidR="00D606FF">
        <w:t xml:space="preserve"> </w:t>
      </w:r>
      <w:r w:rsidR="00964DA6" w:rsidRPr="00423550">
        <w:t>that clarify the intent of the LCR and ensure and enhance protection of public health through reduction in lead exposure</w:t>
      </w:r>
      <w:r w:rsidR="007624F1">
        <w:t xml:space="preserve">. </w:t>
      </w:r>
      <w:r>
        <w:t xml:space="preserve">The </w:t>
      </w:r>
      <w:r w:rsidR="00964DA6" w:rsidRPr="00423550">
        <w:t xml:space="preserve">EPA will use the information collected to support the responsibilities outlined in </w:t>
      </w:r>
      <w:r>
        <w:t xml:space="preserve">the </w:t>
      </w:r>
      <w:r w:rsidR="00964DA6" w:rsidRPr="00423550">
        <w:t>SDWA</w:t>
      </w:r>
      <w:r w:rsidR="00F02641">
        <w:t>.</w:t>
      </w:r>
      <w:r w:rsidR="00964DA6" w:rsidRPr="00423550">
        <w:t xml:space="preserve"> </w:t>
      </w:r>
      <w:r>
        <w:t>The</w:t>
      </w:r>
      <w:r w:rsidR="00964DA6" w:rsidRPr="00423550">
        <w:t xml:space="preserve"> </w:t>
      </w:r>
      <w:r w:rsidR="00F02641">
        <w:t xml:space="preserve">EPA will be able to </w:t>
      </w:r>
      <w:r w:rsidR="00964DA6" w:rsidRPr="00423550">
        <w:t xml:space="preserve">strengthen the implementation of the LCR in the areas of monitoring, customer awareness, </w:t>
      </w:r>
      <w:r w:rsidR="00D76E3F">
        <w:t>CCT</w:t>
      </w:r>
      <w:r w:rsidR="00D606FF">
        <w:t xml:space="preserve">, </w:t>
      </w:r>
      <w:r w:rsidR="00964DA6" w:rsidRPr="00423550">
        <w:t xml:space="preserve">and </w:t>
      </w:r>
      <w:r w:rsidR="00D76E3F">
        <w:t>LSL</w:t>
      </w:r>
      <w:r w:rsidR="00150A90">
        <w:t>R</w:t>
      </w:r>
      <w:r w:rsidR="00964DA6" w:rsidRPr="00423550">
        <w:t xml:space="preserve">. </w:t>
      </w:r>
      <w:r w:rsidR="002D4A38" w:rsidRPr="00423550">
        <w:t xml:space="preserve">The </w:t>
      </w:r>
      <w:r w:rsidR="00150A90">
        <w:t xml:space="preserve">proposed </w:t>
      </w:r>
      <w:r w:rsidR="00F02641">
        <w:t>revisions to the LCR</w:t>
      </w:r>
      <w:r w:rsidR="002D4A38" w:rsidRPr="00423550">
        <w:t xml:space="preserve"> are intended to improve the implementation of the LCR, and do not alter the </w:t>
      </w:r>
      <w:r w:rsidR="00F02641">
        <w:t>current</w:t>
      </w:r>
      <w:r w:rsidR="00F02641" w:rsidRPr="00423550">
        <w:t xml:space="preserve"> </w:t>
      </w:r>
      <w:r w:rsidR="00F02641">
        <w:t xml:space="preserve">MCLGs </w:t>
      </w:r>
      <w:r w:rsidR="002D4A38" w:rsidRPr="00423550">
        <w:t>or the</w:t>
      </w:r>
      <w:r w:rsidR="00150A90">
        <w:t xml:space="preserve"> use of a</w:t>
      </w:r>
      <w:r w:rsidR="002D4A38" w:rsidRPr="00423550">
        <w:t xml:space="preserve"> </w:t>
      </w:r>
      <w:r>
        <w:t xml:space="preserve">treatment technique </w:t>
      </w:r>
      <w:r w:rsidR="002D4A38" w:rsidRPr="00423550">
        <w:t xml:space="preserve">approach to controlling lead and copper in drinking water. </w:t>
      </w:r>
    </w:p>
    <w:p w14:paraId="767871E6" w14:textId="77777777" w:rsidR="00235BC2" w:rsidRPr="00423550" w:rsidRDefault="00235BC2" w:rsidP="00B3516F">
      <w:pPr>
        <w:pStyle w:val="NormalIndent"/>
      </w:pPr>
      <w:r w:rsidRPr="00423550">
        <w:t>Section 1401(1)(D) of the SDWA requires that “criteria and procedures to assure a supply of drinking water which dependably complies with such maximum contaminant levels</w:t>
      </w:r>
      <w:r w:rsidR="00655074">
        <w:t xml:space="preserve"> [or treatment techniques promulgated in lieu of a maximum contaminant level];</w:t>
      </w:r>
      <w:r w:rsidRPr="00423550">
        <w:t xml:space="preserve"> including </w:t>
      </w:r>
      <w:r w:rsidR="00655074">
        <w:t xml:space="preserve">accepted methods for </w:t>
      </w:r>
      <w:r w:rsidRPr="00423550">
        <w:t>quality control and testing procedures to insure compliance with such levels and to insure proper operation and maintenance of the system...” Furthermore, Section 1445(a)(1)</w:t>
      </w:r>
      <w:r w:rsidR="00B3516F">
        <w:t>(A)</w:t>
      </w:r>
      <w:r w:rsidRPr="00423550">
        <w:t xml:space="preserve"> of the SDWA requires that “</w:t>
      </w:r>
      <w:r w:rsidR="00655074">
        <w:t>[</w:t>
      </w:r>
      <w:r w:rsidRPr="00423550">
        <w:t>e</w:t>
      </w:r>
      <w:r w:rsidR="00655074">
        <w:t>]</w:t>
      </w:r>
      <w:r w:rsidR="00B3516F">
        <w:t>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this subchapter</w:t>
      </w:r>
      <w:r w:rsidRPr="00423550">
        <w:t xml:space="preserve">...” In addition, Section 1413(a)(3) of the SDWA requires </w:t>
      </w:r>
      <w:r w:rsidR="00E604CC">
        <w:t>primacy agencies</w:t>
      </w:r>
      <w:r w:rsidRPr="00423550">
        <w:t xml:space="preserve"> to “keep such records and make such reports...as the Administrator may require by regulation.”</w:t>
      </w:r>
    </w:p>
    <w:p w14:paraId="05B682F6" w14:textId="77777777" w:rsidR="00235BC2" w:rsidRPr="00423550" w:rsidRDefault="00235BC2" w:rsidP="00021325">
      <w:pPr>
        <w:pStyle w:val="NormalIndent"/>
      </w:pPr>
      <w:r w:rsidRPr="00423550">
        <w:t xml:space="preserve">The sections from the SDWA 1996 Amendments, discussed above, are included as </w:t>
      </w:r>
      <w:r w:rsidRPr="007205C1">
        <w:t xml:space="preserve">Appendix </w:t>
      </w:r>
      <w:r w:rsidR="007205C1" w:rsidRPr="007205C1">
        <w:t>A</w:t>
      </w:r>
      <w:r w:rsidRPr="007205C1">
        <w:t xml:space="preserve"> to</w:t>
      </w:r>
      <w:r w:rsidRPr="00423550">
        <w:t xml:space="preserve"> this document.</w:t>
      </w:r>
    </w:p>
    <w:p w14:paraId="45CADB54" w14:textId="77777777" w:rsidR="00C01319" w:rsidRPr="00423550" w:rsidRDefault="00C01319" w:rsidP="000C0ED7">
      <w:pPr>
        <w:pStyle w:val="Heading2"/>
      </w:pPr>
      <w:bookmarkStart w:id="21" w:name="_Toc160872051"/>
      <w:bookmarkStart w:id="22" w:name="_Toc23138954"/>
      <w:bookmarkStart w:id="23" w:name="_Toc23139110"/>
      <w:r w:rsidRPr="00423550">
        <w:t xml:space="preserve">2(b) </w:t>
      </w:r>
      <w:r w:rsidR="009D42EE" w:rsidRPr="00423550">
        <w:tab/>
      </w:r>
      <w:r w:rsidRPr="00423550">
        <w:t>Uses/Users of the Data</w:t>
      </w:r>
      <w:bookmarkEnd w:id="21"/>
      <w:bookmarkEnd w:id="22"/>
      <w:bookmarkEnd w:id="23"/>
    </w:p>
    <w:p w14:paraId="124CF5B1" w14:textId="77777777" w:rsidR="00C01319" w:rsidRPr="00423550" w:rsidRDefault="00C01319" w:rsidP="0027631A">
      <w:pPr>
        <w:pStyle w:val="Heading3"/>
      </w:pPr>
      <w:bookmarkStart w:id="24" w:name="_Toc23138955"/>
      <w:bookmarkStart w:id="25" w:name="_Toc23139111"/>
      <w:r w:rsidRPr="00423550">
        <w:t xml:space="preserve">2(b)(i) </w:t>
      </w:r>
      <w:r w:rsidR="00160FCF" w:rsidRPr="00423550">
        <w:tab/>
        <w:t xml:space="preserve"> </w:t>
      </w:r>
      <w:r w:rsidRPr="00423550">
        <w:t>Uses of the Data</w:t>
      </w:r>
      <w:bookmarkEnd w:id="24"/>
      <w:bookmarkEnd w:id="25"/>
    </w:p>
    <w:p w14:paraId="2D7A486A" w14:textId="2791A478" w:rsidR="00C01319" w:rsidRDefault="00C01319" w:rsidP="00021325">
      <w:pPr>
        <w:pStyle w:val="NormalIndent"/>
      </w:pPr>
      <w:r w:rsidRPr="00423550">
        <w:t xml:space="preserve">Primary users of the data collected under this ICR are EPA Headquarters, </w:t>
      </w:r>
      <w:r w:rsidR="006C3017">
        <w:t>water system</w:t>
      </w:r>
      <w:r w:rsidRPr="00423550">
        <w:t xml:space="preserve"> managers, </w:t>
      </w:r>
      <w:r w:rsidR="008F74FB">
        <w:t xml:space="preserve">consumers, </w:t>
      </w:r>
      <w:r w:rsidRPr="00423550">
        <w:t xml:space="preserve">and primacy agencies, which include </w:t>
      </w:r>
      <w:r w:rsidR="00BB55A4">
        <w:t>state, territorial, and tribal regulators</w:t>
      </w:r>
      <w:r w:rsidRPr="009820CB">
        <w:t xml:space="preserve">. This section </w:t>
      </w:r>
      <w:r w:rsidR="00DD2121">
        <w:t>provides</w:t>
      </w:r>
      <w:r w:rsidRPr="009820CB">
        <w:t xml:space="preserve"> information about how </w:t>
      </w:r>
      <w:r w:rsidR="008F74FB" w:rsidRPr="009820CB">
        <w:t xml:space="preserve">the </w:t>
      </w:r>
      <w:r w:rsidRPr="009820CB">
        <w:t xml:space="preserve">lead </w:t>
      </w:r>
      <w:r w:rsidR="00150A90">
        <w:t xml:space="preserve">and copper </w:t>
      </w:r>
      <w:r w:rsidRPr="009820CB">
        <w:t xml:space="preserve">data </w:t>
      </w:r>
      <w:r w:rsidR="008F74FB" w:rsidRPr="009820CB">
        <w:t xml:space="preserve">generated by the regulatory changes will be </w:t>
      </w:r>
      <w:r w:rsidRPr="009820CB">
        <w:t>used</w:t>
      </w:r>
      <w:r w:rsidR="00150A90">
        <w:t xml:space="preserve"> throughout the compliance period</w:t>
      </w:r>
      <w:r w:rsidRPr="009820CB">
        <w:t>.</w:t>
      </w:r>
    </w:p>
    <w:p w14:paraId="4C544A10" w14:textId="71CF03AC" w:rsidR="004E3782" w:rsidRDefault="00746316" w:rsidP="004E3782">
      <w:pPr>
        <w:pStyle w:val="NormalIndent"/>
      </w:pPr>
      <w:r>
        <w:t>The p</w:t>
      </w:r>
      <w:r w:rsidR="004E3782">
        <w:t xml:space="preserve">roposed LCRR requires that systems complete and annually update an LSL inventory, a </w:t>
      </w:r>
      <w:r w:rsidR="004E3782" w:rsidRPr="00483B33">
        <w:t xml:space="preserve">comprehensive </w:t>
      </w:r>
      <w:r w:rsidR="004E3782">
        <w:t xml:space="preserve">service line materials inventory that identifies LSLs and galvanized pipes that are currently or have been upstream of an LSL. </w:t>
      </w:r>
      <w:r w:rsidR="00DD2121">
        <w:t xml:space="preserve">Systems that do not have LSLs will need to provide sufficient documentation to demonstrate that no LSLs are present. </w:t>
      </w:r>
      <w:r w:rsidR="004E3782">
        <w:t xml:space="preserve">Systems will develop and submit an initial </w:t>
      </w:r>
      <w:r w:rsidR="00DD2121">
        <w:t xml:space="preserve">LSL </w:t>
      </w:r>
      <w:r w:rsidR="004E3782">
        <w:t xml:space="preserve">inventory </w:t>
      </w:r>
      <w:r w:rsidR="00DD2121">
        <w:t xml:space="preserve">or no LSL demonstration </w:t>
      </w:r>
      <w:r w:rsidR="004E3782">
        <w:t>during the initial three years</w:t>
      </w:r>
      <w:r w:rsidR="00DD2121">
        <w:t xml:space="preserve"> following promulgation</w:t>
      </w:r>
      <w:r w:rsidR="004E3782">
        <w:t xml:space="preserve">. </w:t>
      </w:r>
      <w:r w:rsidR="00DD2121">
        <w:t xml:space="preserve">Accurate LSL inventory information will inform </w:t>
      </w:r>
      <w:r w:rsidR="004E3782">
        <w:t>system and primacy agenc</w:t>
      </w:r>
      <w:r w:rsidR="00DD2121">
        <w:t>y</w:t>
      </w:r>
      <w:r w:rsidR="004E3782">
        <w:t xml:space="preserve"> decision making </w:t>
      </w:r>
      <w:r w:rsidR="00DD2121">
        <w:t xml:space="preserve">for all of the other proposed revisions that occur beginning in year four. </w:t>
      </w:r>
      <w:r w:rsidR="004E3782">
        <w:t>Consumers will also benefit from better information about whether their residence or commercial service providers have LSLs</w:t>
      </w:r>
      <w:r w:rsidR="00DD2121">
        <w:t xml:space="preserve">, as well </w:t>
      </w:r>
      <w:r w:rsidR="000B364A">
        <w:t xml:space="preserve">as </w:t>
      </w:r>
      <w:r w:rsidR="00DD2121">
        <w:t>better informed decision making by systems and primacy agencies</w:t>
      </w:r>
      <w:r w:rsidR="004E3782">
        <w:t>.</w:t>
      </w:r>
    </w:p>
    <w:p w14:paraId="4738DE6D" w14:textId="2DCCC8B5" w:rsidR="00817AFC" w:rsidRDefault="00F36AFA" w:rsidP="00021325">
      <w:pPr>
        <w:pStyle w:val="NormalIndent"/>
      </w:pPr>
      <w:r>
        <w:t>The</w:t>
      </w:r>
      <w:r w:rsidR="00F8006D">
        <w:t xml:space="preserve"> </w:t>
      </w:r>
      <w:r w:rsidR="00150A90">
        <w:t>proposed LCRR</w:t>
      </w:r>
      <w:r>
        <w:t xml:space="preserve"> </w:t>
      </w:r>
      <w:r w:rsidR="004829C4">
        <w:t>makes</w:t>
      </w:r>
      <w:r>
        <w:t xml:space="preserve"> several changes to </w:t>
      </w:r>
      <w:r w:rsidR="004829C4">
        <w:t>l</w:t>
      </w:r>
      <w:r w:rsidR="003A67D2">
        <w:t xml:space="preserve">ead </w:t>
      </w:r>
      <w:r w:rsidR="004829C4">
        <w:t xml:space="preserve">and copper tap </w:t>
      </w:r>
      <w:r w:rsidR="00F91DF7">
        <w:t>sampling</w:t>
      </w:r>
      <w:r w:rsidR="004E3782">
        <w:t>, which become effective after the initial three years</w:t>
      </w:r>
      <w:r>
        <w:t xml:space="preserve">. It </w:t>
      </w:r>
      <w:r w:rsidR="00704984">
        <w:t>require</w:t>
      </w:r>
      <w:r>
        <w:t>s</w:t>
      </w:r>
      <w:r w:rsidR="00704984">
        <w:t xml:space="preserve"> all </w:t>
      </w:r>
      <w:r w:rsidR="00CD6CE3">
        <w:t>systems</w:t>
      </w:r>
      <w:r w:rsidR="009E00B0">
        <w:t xml:space="preserve"> to</w:t>
      </w:r>
      <w:r w:rsidR="00CD6CE3">
        <w:t xml:space="preserve"> </w:t>
      </w:r>
      <w:r w:rsidR="00704984">
        <w:t xml:space="preserve">re-evaluate </w:t>
      </w:r>
      <w:r w:rsidR="00CD6CE3">
        <w:t xml:space="preserve">their </w:t>
      </w:r>
      <w:r w:rsidR="00F91DF7">
        <w:t xml:space="preserve">tap </w:t>
      </w:r>
      <w:r w:rsidR="00704984">
        <w:t>sampling location</w:t>
      </w:r>
      <w:r w:rsidR="000B364A">
        <w:t>s</w:t>
      </w:r>
      <w:r w:rsidR="00704984">
        <w:t xml:space="preserve"> based on </w:t>
      </w:r>
      <w:r w:rsidR="00CD6CE3">
        <w:t xml:space="preserve">their </w:t>
      </w:r>
      <w:r w:rsidR="00704984">
        <w:t>LSL inventory</w:t>
      </w:r>
      <w:r w:rsidR="00CD6CE3">
        <w:t xml:space="preserve"> </w:t>
      </w:r>
      <w:r w:rsidR="00F91DF7">
        <w:t xml:space="preserve">to ensure they are collecting tap samples from sites with an LSL </w:t>
      </w:r>
      <w:r w:rsidR="00B261B7">
        <w:t xml:space="preserve">(i.e., highest risk sites) </w:t>
      </w:r>
      <w:r w:rsidR="00F91DF7">
        <w:t xml:space="preserve">and LSL inventories must be updated </w:t>
      </w:r>
      <w:r w:rsidR="00CD6CE3">
        <w:t>annually</w:t>
      </w:r>
      <w:r w:rsidR="00F02641">
        <w:t xml:space="preserve">. </w:t>
      </w:r>
      <w:r w:rsidR="00B261B7">
        <w:t xml:space="preserve">The </w:t>
      </w:r>
      <w:r w:rsidR="00746316">
        <w:t>p</w:t>
      </w:r>
      <w:r w:rsidR="00150A90">
        <w:t>roposed LCRR</w:t>
      </w:r>
      <w:r w:rsidR="00B261B7">
        <w:t xml:space="preserve"> would codify the tap sampling protocol guidance issued by the EPA in February 2016. </w:t>
      </w:r>
      <w:r w:rsidR="009E00B0">
        <w:t xml:space="preserve">In addition, </w:t>
      </w:r>
      <w:r w:rsidR="00B261B7">
        <w:t xml:space="preserve">the </w:t>
      </w:r>
      <w:r w:rsidR="004E3782">
        <w:t>p</w:t>
      </w:r>
      <w:r w:rsidR="00150A90">
        <w:t>roposed LCRR</w:t>
      </w:r>
      <w:r w:rsidR="00B261B7">
        <w:t xml:space="preserve"> modifies how </w:t>
      </w:r>
      <w:r w:rsidR="009E00B0">
        <w:t>s</w:t>
      </w:r>
      <w:r w:rsidR="00CB46AF">
        <w:t xml:space="preserve">ystems </w:t>
      </w:r>
      <w:r w:rsidR="00B261B7">
        <w:t xml:space="preserve">calculate </w:t>
      </w:r>
      <w:r w:rsidR="00BD2DC9">
        <w:t xml:space="preserve">the </w:t>
      </w:r>
      <w:r w:rsidR="00B261B7">
        <w:t>90</w:t>
      </w:r>
      <w:r w:rsidR="00B261B7" w:rsidRPr="00734756">
        <w:rPr>
          <w:vertAlign w:val="superscript"/>
        </w:rPr>
        <w:t>th</w:t>
      </w:r>
      <w:r w:rsidR="00B261B7">
        <w:t xml:space="preserve"> percentile lead level. For example</w:t>
      </w:r>
      <w:r w:rsidR="00BD2DC9">
        <w:t>,</w:t>
      </w:r>
      <w:r w:rsidR="00B261B7">
        <w:t xml:space="preserve"> water </w:t>
      </w:r>
      <w:r w:rsidR="009E00B0">
        <w:t>s</w:t>
      </w:r>
      <w:r w:rsidR="00CB46AF">
        <w:t xml:space="preserve">ystems with LSLs </w:t>
      </w:r>
      <w:r w:rsidR="00B261B7">
        <w:t>and non-LSL</w:t>
      </w:r>
      <w:r w:rsidR="00BD2DC9">
        <w:t>s</w:t>
      </w:r>
      <w:r w:rsidR="00B261B7">
        <w:t xml:space="preserve"> w</w:t>
      </w:r>
      <w:r w:rsidR="009E00B0">
        <w:t xml:space="preserve">ould use samples </w:t>
      </w:r>
      <w:r w:rsidR="00066ED3">
        <w:t>with</w:t>
      </w:r>
      <w:r w:rsidR="009E00B0">
        <w:t xml:space="preserve"> the highest lead results from non-LSL sites when </w:t>
      </w:r>
      <w:r w:rsidR="00B261B7">
        <w:t>more than the minimum number of tap samples are collected.</w:t>
      </w:r>
      <w:r w:rsidR="009E00B0">
        <w:t xml:space="preserve"> A system’s lead 90</w:t>
      </w:r>
      <w:r w:rsidR="009E00B0" w:rsidRPr="004829C4">
        <w:rPr>
          <w:vertAlign w:val="superscript"/>
        </w:rPr>
        <w:t>th</w:t>
      </w:r>
      <w:r w:rsidR="009E00B0">
        <w:t xml:space="preserve"> percentile will be use</w:t>
      </w:r>
      <w:r w:rsidR="00BD2DC9">
        <w:t>d</w:t>
      </w:r>
      <w:r w:rsidR="009E00B0">
        <w:t xml:space="preserve"> as a criterion to determine </w:t>
      </w:r>
      <w:r w:rsidR="00B261B7">
        <w:t xml:space="preserve">additional </w:t>
      </w:r>
      <w:r w:rsidR="009E00B0">
        <w:t>requirements</w:t>
      </w:r>
      <w:r w:rsidR="00704984">
        <w:t xml:space="preserve">. </w:t>
      </w:r>
      <w:r w:rsidR="006A5532">
        <w:t xml:space="preserve">The </w:t>
      </w:r>
      <w:r w:rsidR="00704984" w:rsidRPr="00D7448B">
        <w:t xml:space="preserve">EPA is not proposing any revisions to the minimum number of required samples (see </w:t>
      </w:r>
      <w:r w:rsidR="00704984">
        <w:t>§</w:t>
      </w:r>
      <w:r w:rsidR="00704984" w:rsidRPr="00D7448B">
        <w:t>141.86 for specific requirements)</w:t>
      </w:r>
      <w:r w:rsidR="00704984">
        <w:t xml:space="preserve"> or the requirements to analyze a tap sample for both lead and copper</w:t>
      </w:r>
      <w:r w:rsidR="00704984" w:rsidRPr="00D7448B">
        <w:t xml:space="preserve">. </w:t>
      </w:r>
      <w:r w:rsidR="00817AFC">
        <w:t xml:space="preserve">The burden for these revisions begins to accrue in year four. </w:t>
      </w:r>
      <w:r w:rsidR="00704984">
        <w:t xml:space="preserve">The tap monitoring will </w:t>
      </w:r>
      <w:r w:rsidR="00817AFC">
        <w:t xml:space="preserve">also </w:t>
      </w:r>
      <w:r w:rsidR="00704984">
        <w:t>be used to:</w:t>
      </w:r>
      <w:r w:rsidR="00704984" w:rsidRPr="00704984">
        <w:t xml:space="preserve"> </w:t>
      </w:r>
    </w:p>
    <w:p w14:paraId="6BB9E638" w14:textId="77777777" w:rsidR="00704984" w:rsidRPr="009820CB" w:rsidRDefault="00704984" w:rsidP="0027631A">
      <w:pPr>
        <w:pStyle w:val="Bullets"/>
      </w:pPr>
      <w:r w:rsidRPr="009820CB">
        <w:t>Evaluate the quality of water delivered to customers</w:t>
      </w:r>
      <w:r w:rsidR="00817AFC">
        <w:t>;</w:t>
      </w:r>
    </w:p>
    <w:p w14:paraId="55C1DE64" w14:textId="77777777" w:rsidR="00704984" w:rsidRPr="009820CB" w:rsidRDefault="00704984" w:rsidP="0027631A">
      <w:pPr>
        <w:pStyle w:val="Bullets"/>
      </w:pPr>
      <w:r w:rsidRPr="009820CB">
        <w:t>Evaluate system-specific needs, including examining treatment effectiveness</w:t>
      </w:r>
      <w:r w:rsidR="00817AFC">
        <w:t>;</w:t>
      </w:r>
    </w:p>
    <w:p w14:paraId="097D7979" w14:textId="77777777" w:rsidR="00817AFC" w:rsidRDefault="00817AFC" w:rsidP="0027631A">
      <w:pPr>
        <w:pStyle w:val="Bullets"/>
      </w:pPr>
      <w:r>
        <w:t>Inform educational material provided to the public, including tap sample results;</w:t>
      </w:r>
    </w:p>
    <w:p w14:paraId="2DA9D3F3" w14:textId="77777777" w:rsidR="00704984" w:rsidRPr="009820CB" w:rsidRDefault="00704984" w:rsidP="0027631A">
      <w:pPr>
        <w:pStyle w:val="Bullets"/>
      </w:pPr>
      <w:r w:rsidRPr="009820CB">
        <w:t>Assess compliance and determine when it is necessary to alert the public of possible health risks resulting from non-compliance with federal or State regulations</w:t>
      </w:r>
      <w:r w:rsidR="00817AFC">
        <w:t>; and</w:t>
      </w:r>
    </w:p>
    <w:p w14:paraId="6734E592" w14:textId="77777777" w:rsidR="00704984" w:rsidRPr="009820CB" w:rsidRDefault="00704984" w:rsidP="0027631A">
      <w:pPr>
        <w:pStyle w:val="Bullets"/>
      </w:pPr>
      <w:r w:rsidRPr="009820CB">
        <w:t>Modify monitoring frequencies to address potential health risks</w:t>
      </w:r>
      <w:r>
        <w:t>.</w:t>
      </w:r>
    </w:p>
    <w:p w14:paraId="7357F923" w14:textId="7AC46B5B" w:rsidR="00C52AB4" w:rsidRDefault="00817AFC" w:rsidP="00C52AB4">
      <w:pPr>
        <w:pStyle w:val="NormalIndent"/>
      </w:pPr>
      <w:r>
        <w:t xml:space="preserve">The </w:t>
      </w:r>
      <w:r w:rsidR="00150A90">
        <w:t>proposed LCRR</w:t>
      </w:r>
      <w:r>
        <w:t xml:space="preserve"> </w:t>
      </w:r>
      <w:r w:rsidR="004829C4">
        <w:t>includes</w:t>
      </w:r>
      <w:r w:rsidR="00CE1E13">
        <w:t xml:space="preserve"> </w:t>
      </w:r>
      <w:r>
        <w:t xml:space="preserve">revisions to </w:t>
      </w:r>
      <w:r w:rsidR="00D76E3F">
        <w:t>CCT</w:t>
      </w:r>
      <w:r w:rsidR="003A67D2">
        <w:t xml:space="preserve"> and </w:t>
      </w:r>
      <w:r w:rsidR="004829C4">
        <w:t xml:space="preserve">WQP </w:t>
      </w:r>
      <w:r w:rsidR="00CB46AF">
        <w:t>m</w:t>
      </w:r>
      <w:r>
        <w:t>onitoring including the removal of calcium carbonate stabilization as a treatment technique and calcium as a regulated WQP</w:t>
      </w:r>
      <w:r w:rsidR="00CE1E13">
        <w:t xml:space="preserve">. </w:t>
      </w:r>
      <w:r w:rsidR="00B261B7">
        <w:t xml:space="preserve">For water systems with CCT, exceedance of the lead TL or AL requires re-optimization; </w:t>
      </w:r>
      <w:r w:rsidR="000B754E">
        <w:t xml:space="preserve">a </w:t>
      </w:r>
      <w:r w:rsidR="00B261B7">
        <w:t xml:space="preserve">water system without CCT would conduct a CCT study if </w:t>
      </w:r>
      <w:r w:rsidR="000B754E">
        <w:t>it</w:t>
      </w:r>
      <w:r w:rsidR="00B261B7">
        <w:t xml:space="preserve"> exceeds the lead TL and would implement CCT if it subsequently exceeded the lead AL. Another CCT-related change includes the revision of sanitary survey requirements to include CCT review and WQP assessment and consideration of potential CCT changes based on updated guidance that has been issued by the EPA.</w:t>
      </w:r>
      <w:r w:rsidR="00C52AB4" w:rsidRPr="00C52AB4">
        <w:t xml:space="preserve"> </w:t>
      </w:r>
      <w:r w:rsidR="00B310F7">
        <w:t>The LC</w:t>
      </w:r>
      <w:r w:rsidR="002A696A">
        <w:t>R</w:t>
      </w:r>
      <w:r w:rsidR="00B310F7">
        <w:t>R will add a new find</w:t>
      </w:r>
      <w:r w:rsidR="00CC582D">
        <w:t>-</w:t>
      </w:r>
      <w:r w:rsidR="00B310F7">
        <w:t>and</w:t>
      </w:r>
      <w:r w:rsidR="00CC582D">
        <w:t>-</w:t>
      </w:r>
      <w:r w:rsidR="00B310F7">
        <w:t>fix provision requiring water system</w:t>
      </w:r>
      <w:r w:rsidR="00BD2DC9">
        <w:t>s</w:t>
      </w:r>
      <w:r w:rsidR="00B310F7">
        <w:t xml:space="preserve"> to collect a follow-up sample for each lead tap sample that exceeds 15 μg/L. Systems with CCT are also required to collect a WQP sample and evaluate if localized or system wide CCT adjustment is needed. </w:t>
      </w:r>
      <w:r w:rsidR="00C52AB4">
        <w:t>As with tap</w:t>
      </w:r>
      <w:r w:rsidR="00B310F7">
        <w:t xml:space="preserve"> </w:t>
      </w:r>
      <w:r w:rsidR="00C52AB4">
        <w:t>sampling, WQP monitoring will be used to:</w:t>
      </w:r>
    </w:p>
    <w:p w14:paraId="10FDB186" w14:textId="77777777" w:rsidR="00C52AB4" w:rsidRPr="009820CB" w:rsidRDefault="00C52AB4" w:rsidP="00481470">
      <w:pPr>
        <w:pStyle w:val="NormalIndent"/>
        <w:numPr>
          <w:ilvl w:val="0"/>
          <w:numId w:val="41"/>
        </w:numPr>
        <w:spacing w:after="0"/>
      </w:pPr>
      <w:r w:rsidRPr="009820CB">
        <w:t>Evaluate the quality of water delivered to customers</w:t>
      </w:r>
      <w:r>
        <w:t>;</w:t>
      </w:r>
    </w:p>
    <w:p w14:paraId="6F901441" w14:textId="77777777" w:rsidR="00C52AB4" w:rsidRPr="009820CB" w:rsidRDefault="00C52AB4" w:rsidP="00481470">
      <w:pPr>
        <w:pStyle w:val="Bullets"/>
        <w:spacing w:after="0"/>
      </w:pPr>
      <w:r w:rsidRPr="009820CB">
        <w:t>Evaluate system-specific needs, including examining treatment effectiveness</w:t>
      </w:r>
      <w:r>
        <w:t>;</w:t>
      </w:r>
    </w:p>
    <w:p w14:paraId="0565F2C2" w14:textId="77777777" w:rsidR="00C52AB4" w:rsidRPr="009820CB" w:rsidRDefault="00C52AB4" w:rsidP="00481470">
      <w:pPr>
        <w:pStyle w:val="Bullets"/>
        <w:spacing w:after="0"/>
      </w:pPr>
      <w:r w:rsidRPr="009820CB">
        <w:t>Assess compliance and determine when it is necessary to alert the public of possible health risks resulting from non-compliance with federal or State regulations</w:t>
      </w:r>
      <w:r>
        <w:t>; and</w:t>
      </w:r>
    </w:p>
    <w:p w14:paraId="331EBABE" w14:textId="77777777" w:rsidR="00C52AB4" w:rsidRDefault="00C52AB4" w:rsidP="00481470">
      <w:pPr>
        <w:pStyle w:val="Bullets"/>
        <w:spacing w:after="0"/>
      </w:pPr>
      <w:r w:rsidRPr="009820CB">
        <w:t>Modify monitoring frequencies to address potential health risks</w:t>
      </w:r>
      <w:r>
        <w:t>.</w:t>
      </w:r>
    </w:p>
    <w:p w14:paraId="3CEEE2B1" w14:textId="77777777" w:rsidR="00B310F7" w:rsidRPr="009820CB" w:rsidRDefault="00B310F7" w:rsidP="00734756">
      <w:pPr>
        <w:pStyle w:val="Bullets"/>
        <w:numPr>
          <w:ilvl w:val="0"/>
          <w:numId w:val="0"/>
        </w:numPr>
        <w:spacing w:after="0"/>
        <w:ind w:left="720"/>
      </w:pPr>
    </w:p>
    <w:p w14:paraId="20466891" w14:textId="5C578B8D" w:rsidR="002220B5" w:rsidRDefault="002220B5" w:rsidP="00021325">
      <w:pPr>
        <w:pStyle w:val="NormalIndent"/>
      </w:pPr>
      <w:r>
        <w:t xml:space="preserve">The revisions to the LCR requirements for </w:t>
      </w:r>
      <w:r w:rsidR="00D76E3F">
        <w:t>LSL</w:t>
      </w:r>
      <w:r>
        <w:t xml:space="preserve"> </w:t>
      </w:r>
      <w:r w:rsidR="00D76E3F">
        <w:t>t</w:t>
      </w:r>
      <w:r>
        <w:t xml:space="preserve">esting and </w:t>
      </w:r>
      <w:r w:rsidR="00D76E3F">
        <w:t>r</w:t>
      </w:r>
      <w:r>
        <w:t xml:space="preserve">eplacement include </w:t>
      </w:r>
      <w:r w:rsidR="00384684">
        <w:t>r</w:t>
      </w:r>
      <w:r w:rsidR="00E513B3">
        <w:t>equiring mandatory full LSL</w:t>
      </w:r>
      <w:r>
        <w:t xml:space="preserve">R at a minimum of three percent per year in response to a lead ALE and full LSLR based on </w:t>
      </w:r>
      <w:r w:rsidR="00F236F9">
        <w:t xml:space="preserve">a </w:t>
      </w:r>
      <w:r>
        <w:t xml:space="preserve">goal </w:t>
      </w:r>
      <w:r w:rsidR="00F236F9">
        <w:t>rate</w:t>
      </w:r>
      <w:r>
        <w:t xml:space="preserve"> negotiated by the system and the </w:t>
      </w:r>
      <w:r w:rsidR="00E604CC">
        <w:t>primacy agency</w:t>
      </w:r>
      <w:r>
        <w:t xml:space="preserve"> in response to a lead TLE</w:t>
      </w:r>
      <w:r w:rsidR="00F26ACD">
        <w:t xml:space="preserve">. </w:t>
      </w:r>
      <w:r w:rsidR="00406EBD">
        <w:t xml:space="preserve">The </w:t>
      </w:r>
      <w:r w:rsidR="00F62F94">
        <w:t xml:space="preserve">proposed </w:t>
      </w:r>
      <w:r w:rsidR="00150A90">
        <w:t>LCRR</w:t>
      </w:r>
      <w:r w:rsidR="00F26ACD">
        <w:t xml:space="preserve"> </w:t>
      </w:r>
      <w:r>
        <w:t>p</w:t>
      </w:r>
      <w:r w:rsidRPr="0007203F">
        <w:t>rohibi</w:t>
      </w:r>
      <w:r>
        <w:t>t</w:t>
      </w:r>
      <w:r w:rsidR="00F26ACD">
        <w:t>s</w:t>
      </w:r>
      <w:r w:rsidRPr="0007203F">
        <w:t xml:space="preserve"> systems from counting partial </w:t>
      </w:r>
      <w:r w:rsidR="00147889">
        <w:t>LSLRs</w:t>
      </w:r>
      <w:r w:rsidR="00E513B3">
        <w:t xml:space="preserve"> </w:t>
      </w:r>
      <w:r w:rsidRPr="0007203F">
        <w:t xml:space="preserve">toward </w:t>
      </w:r>
      <w:r>
        <w:t xml:space="preserve">their mandatory rate or </w:t>
      </w:r>
      <w:r w:rsidRPr="0007203F">
        <w:t>replacement goal</w:t>
      </w:r>
      <w:r w:rsidR="00F26ACD">
        <w:t xml:space="preserve"> and </w:t>
      </w:r>
      <w:r>
        <w:t>eliminat</w:t>
      </w:r>
      <w:r w:rsidR="00F26ACD">
        <w:t xml:space="preserve">es </w:t>
      </w:r>
      <w:r>
        <w:t>the “test out” provision</w:t>
      </w:r>
      <w:r w:rsidR="00DD2121">
        <w:t>.</w:t>
      </w:r>
      <w:r w:rsidR="00F26ACD">
        <w:rPr>
          <w:rStyle w:val="FootnoteReference"/>
        </w:rPr>
        <w:footnoteReference w:id="6"/>
      </w:r>
      <w:r>
        <w:t xml:space="preserve"> </w:t>
      </w:r>
      <w:r w:rsidR="00FB4F7D">
        <w:t xml:space="preserve">Systems are </w:t>
      </w:r>
      <w:r>
        <w:t>requir</w:t>
      </w:r>
      <w:r w:rsidR="00FB4F7D">
        <w:t xml:space="preserve">ed </w:t>
      </w:r>
      <w:r>
        <w:t xml:space="preserve">to replace their portion of the LSL if they are made aware that the customer is replacing their portion. </w:t>
      </w:r>
    </w:p>
    <w:p w14:paraId="48264609" w14:textId="2591860D" w:rsidR="002220B5" w:rsidRDefault="002220B5" w:rsidP="00021325">
      <w:pPr>
        <w:pStyle w:val="NormalIndent"/>
      </w:pPr>
      <w:r>
        <w:t>The revisions also require that systems p</w:t>
      </w:r>
      <w:r w:rsidRPr="00CC4D4E">
        <w:t xml:space="preserve">rovide a pitcher filter certified to remove lead and replacement cartridges to last a minimum of </w:t>
      </w:r>
      <w:r>
        <w:t>three</w:t>
      </w:r>
      <w:r w:rsidRPr="00CC4D4E">
        <w:t xml:space="preserve"> months and collect one follow-up lead tap sample at the end of the </w:t>
      </w:r>
      <w:r>
        <w:t>three</w:t>
      </w:r>
      <w:r w:rsidRPr="00CC4D4E">
        <w:t xml:space="preserve"> months period</w:t>
      </w:r>
      <w:r>
        <w:t xml:space="preserve"> for each affected residence after any LSLR</w:t>
      </w:r>
      <w:r w:rsidR="00F707BD">
        <w:t>. Systems must also</w:t>
      </w:r>
      <w:r>
        <w:t xml:space="preserve"> develop </w:t>
      </w:r>
      <w:r w:rsidR="003751A0">
        <w:t xml:space="preserve">a LSLR plan </w:t>
      </w:r>
      <w:r w:rsidRPr="00F13C4C">
        <w:t>that help define operations that disturb LSLs and practices to minimize disturbance and consumer exposure to lead</w:t>
      </w:r>
      <w:r w:rsidR="00F707BD">
        <w:t xml:space="preserve">. Also, systems are to </w:t>
      </w:r>
      <w:r>
        <w:t>conduct targeted</w:t>
      </w:r>
      <w:r w:rsidR="000C08CF">
        <w:t xml:space="preserve"> public education</w:t>
      </w:r>
      <w:r>
        <w:t xml:space="preserve"> </w:t>
      </w:r>
      <w:r w:rsidR="000C08CF">
        <w:t>(</w:t>
      </w:r>
      <w:r w:rsidRPr="000C08CF">
        <w:t>PE</w:t>
      </w:r>
      <w:r w:rsidR="000C08CF">
        <w:t>)</w:t>
      </w:r>
      <w:r>
        <w:t xml:space="preserve"> to customers with LSLs to encourage them to participate in the LSLR program. The data collected as the result of this revision will primarily be used to</w:t>
      </w:r>
      <w:r w:rsidRPr="009820CB">
        <w:t xml:space="preserve"> </w:t>
      </w:r>
      <w:r w:rsidR="00F236F9">
        <w:t>demonstrate</w:t>
      </w:r>
      <w:r w:rsidRPr="009820CB">
        <w:t xml:space="preserve"> compliance and determine when it is necessary to alert the public of possible health risks</w:t>
      </w:r>
      <w:r w:rsidR="000A6323">
        <w:t>.</w:t>
      </w:r>
    </w:p>
    <w:p w14:paraId="7F59AC6B" w14:textId="5AD074CA" w:rsidR="00147889" w:rsidRDefault="00147889" w:rsidP="007D078D">
      <w:pPr>
        <w:spacing w:after="240"/>
        <w:ind w:firstLine="720"/>
      </w:pPr>
      <w:r>
        <w:t xml:space="preserve">The </w:t>
      </w:r>
      <w:r w:rsidR="00150A90">
        <w:t>Proposed LCRR</w:t>
      </w:r>
      <w:r>
        <w:t xml:space="preserve"> would provide three compliance alternatives for a lead action level exceedance to allow increased flexibility for small CWS that serve </w:t>
      </w:r>
      <w:r w:rsidR="00D36464">
        <w:t xml:space="preserve">10,000 </w:t>
      </w:r>
      <w:r>
        <w:t xml:space="preserve">or fewer people and four compliance alternatives for NTNCWS. The proposed rule would allow these water systems to choose among options, which would allow them to select the most financially and technologically viable strategy that is effective in reducing lead in drinking water. The EPA is proposing the following compliance alternatives for small community water systems: 1) full lead service line replacement, 2) installation and maintenance of optimized corrosion control treatment, and 3) installation and maintenance of point-of-use (POU) devices. The EPA is proposing the above three flexibilities for NTNCWS and an additional option of replacement of all </w:t>
      </w:r>
      <w:r w:rsidR="002F6581">
        <w:t>lead-</w:t>
      </w:r>
      <w:r>
        <w:t xml:space="preserve">bearing plumbing fixtures at every tap where water could be used for human consumption. The NTNCWS must have control of all plumbing materials to </w:t>
      </w:r>
      <w:r w:rsidR="006E64B0">
        <w:t xml:space="preserve">select this option. </w:t>
      </w:r>
      <w:r w:rsidR="00DD2769">
        <w:t>The data collected as the result of this revision will primarily be used to</w:t>
      </w:r>
      <w:r w:rsidR="00DD2769" w:rsidRPr="009820CB">
        <w:t xml:space="preserve"> </w:t>
      </w:r>
      <w:r>
        <w:t xml:space="preserve">determine </w:t>
      </w:r>
      <w:r w:rsidR="00DD2769" w:rsidRPr="009820CB">
        <w:t>compliance and determine when it is necessary to alert the public of possible health risks resulting from non-compliance with federal or State regulations</w:t>
      </w:r>
      <w:r w:rsidR="00DD2769">
        <w:t>.</w:t>
      </w:r>
    </w:p>
    <w:p w14:paraId="2E388D51" w14:textId="0A1D61F2" w:rsidR="00DD2769" w:rsidRDefault="00DD2769" w:rsidP="00021325">
      <w:pPr>
        <w:pStyle w:val="NormalIndent"/>
      </w:pPr>
      <w:r>
        <w:t xml:space="preserve">The </w:t>
      </w:r>
      <w:r w:rsidR="00150A90">
        <w:t>Proposed LCRR</w:t>
      </w:r>
      <w:r>
        <w:t xml:space="preserve"> adds</w:t>
      </w:r>
      <w:r w:rsidR="00384684">
        <w:t xml:space="preserve"> additional </w:t>
      </w:r>
      <w:r w:rsidR="004829C4">
        <w:t>lead public e</w:t>
      </w:r>
      <w:r>
        <w:t xml:space="preserve">ducation </w:t>
      </w:r>
      <w:r w:rsidR="004829C4">
        <w:t>and o</w:t>
      </w:r>
      <w:r w:rsidR="00384684">
        <w:t xml:space="preserve">utreach </w:t>
      </w:r>
      <w:r>
        <w:t xml:space="preserve">requirements to those already required of systems responding to a lead ALE. The </w:t>
      </w:r>
      <w:r w:rsidR="00150A90">
        <w:t>Proposed LCRR</w:t>
      </w:r>
      <w:r>
        <w:t xml:space="preserve"> also codifies the </w:t>
      </w:r>
      <w:r w:rsidR="00147889">
        <w:t>Water Infrastructure Improvement</w:t>
      </w:r>
      <w:r w:rsidR="006E64B0">
        <w:t>s for the Nation Act (WIIN Act),</w:t>
      </w:r>
      <w:r w:rsidR="00147889">
        <w:t xml:space="preserve"> which requires water</w:t>
      </w:r>
      <w:r>
        <w:t xml:space="preserve"> systems to provide public notice of a lead ALE within 24 hours. Most of the new public education requirements apply to systems regardless of their lead 90</w:t>
      </w:r>
      <w:r w:rsidRPr="000259B1">
        <w:rPr>
          <w:vertAlign w:val="superscript"/>
        </w:rPr>
        <w:t>th</w:t>
      </w:r>
      <w:r>
        <w:t xml:space="preserve"> percentile levels. The revisions include additional outreach to those potentially impacted by water-related work, new customers, and individual households with high lead results. Revisions would also increase information available to health care providers and the public and require updated lead language in the Consumer Confidence Report. </w:t>
      </w:r>
      <w:bookmarkStart w:id="26" w:name="_Ref511655337"/>
      <w:r>
        <w:t>CWSs that are conducting</w:t>
      </w:r>
      <w:r w:rsidR="000A6323">
        <w:t xml:space="preserve"> </w:t>
      </w:r>
      <w:r w:rsidR="00312DC8">
        <w:t xml:space="preserve">goal based </w:t>
      </w:r>
      <w:r w:rsidR="000A6323">
        <w:t xml:space="preserve">or mandatory </w:t>
      </w:r>
      <w:r w:rsidR="00312DC8">
        <w:t xml:space="preserve">3 percent </w:t>
      </w:r>
      <w:r w:rsidR="000A6323">
        <w:t xml:space="preserve">LSLR </w:t>
      </w:r>
      <w:r w:rsidR="006E64B0">
        <w:t xml:space="preserve">would also be </w:t>
      </w:r>
      <w:r>
        <w:t xml:space="preserve">required to perform targeted outreach to customers with LSLs and CWSs that are providing and maintaining POU devices to provide educational materials to customers. The data collection required for these programs will be used to inform the public of possible health risks and asses compliance. </w:t>
      </w:r>
    </w:p>
    <w:bookmarkEnd w:id="26"/>
    <w:p w14:paraId="4A922D6C" w14:textId="77777777" w:rsidR="003A67D2" w:rsidRDefault="00384684" w:rsidP="00021325">
      <w:pPr>
        <w:pStyle w:val="NormalIndent"/>
        <w:rPr>
          <w:lang w:bidi="en-US"/>
        </w:rPr>
      </w:pPr>
      <w:r>
        <w:rPr>
          <w:lang w:bidi="en-US"/>
        </w:rPr>
        <w:t>Under the revisions for a</w:t>
      </w:r>
      <w:r w:rsidR="00EB1327">
        <w:rPr>
          <w:lang w:bidi="en-US"/>
        </w:rPr>
        <w:t xml:space="preserve"> c</w:t>
      </w:r>
      <w:r>
        <w:rPr>
          <w:lang w:bidi="en-US"/>
        </w:rPr>
        <w:t xml:space="preserve">hange in </w:t>
      </w:r>
      <w:r w:rsidR="00EB1327">
        <w:rPr>
          <w:lang w:bidi="en-US"/>
        </w:rPr>
        <w:t>s</w:t>
      </w:r>
      <w:r>
        <w:rPr>
          <w:lang w:bidi="en-US"/>
        </w:rPr>
        <w:t xml:space="preserve">ource or </w:t>
      </w:r>
      <w:r w:rsidR="00EB1327">
        <w:rPr>
          <w:lang w:bidi="en-US"/>
        </w:rPr>
        <w:t>t</w:t>
      </w:r>
      <w:r>
        <w:rPr>
          <w:lang w:bidi="en-US"/>
        </w:rPr>
        <w:t>reatment, all CWSs and NTNCWSs regardless of lead 90</w:t>
      </w:r>
      <w:r w:rsidRPr="00C548D6">
        <w:rPr>
          <w:vertAlign w:val="superscript"/>
          <w:lang w:bidi="en-US"/>
        </w:rPr>
        <w:t>th</w:t>
      </w:r>
      <w:r>
        <w:rPr>
          <w:lang w:bidi="en-US"/>
        </w:rPr>
        <w:t xml:space="preserve"> percentile levels are required to obtain </w:t>
      </w:r>
      <w:r w:rsidR="006E64B0">
        <w:rPr>
          <w:lang w:bidi="en-US"/>
        </w:rPr>
        <w:t>p</w:t>
      </w:r>
      <w:r w:rsidR="00E5250C">
        <w:rPr>
          <w:lang w:bidi="en-US"/>
        </w:rPr>
        <w:t>rimacy agency</w:t>
      </w:r>
      <w:r>
        <w:rPr>
          <w:lang w:bidi="en-US"/>
        </w:rPr>
        <w:t xml:space="preserve"> approval prior to making any long-term treatment changes or adding a new source and to sample source water in response to a significant change in source. The data collected under this revision will be used to:</w:t>
      </w:r>
    </w:p>
    <w:p w14:paraId="64E56FA2" w14:textId="77777777" w:rsidR="00384684" w:rsidRPr="009820CB" w:rsidRDefault="00384684" w:rsidP="0027631A">
      <w:pPr>
        <w:pStyle w:val="Bullets"/>
      </w:pPr>
      <w:r w:rsidRPr="009820CB">
        <w:t>Evaluate the quality of water delivered to customers</w:t>
      </w:r>
      <w:r>
        <w:t>;</w:t>
      </w:r>
    </w:p>
    <w:p w14:paraId="50F88D2A" w14:textId="77777777" w:rsidR="00384684" w:rsidRPr="009820CB" w:rsidRDefault="00384684" w:rsidP="0027631A">
      <w:pPr>
        <w:pStyle w:val="Bullets"/>
      </w:pPr>
      <w:r w:rsidRPr="009820CB">
        <w:t>Evaluate system-specific needs, including examining treatment effectiveness</w:t>
      </w:r>
      <w:r>
        <w:t>;</w:t>
      </w:r>
      <w:r w:rsidR="005C0DD7">
        <w:t xml:space="preserve"> and</w:t>
      </w:r>
    </w:p>
    <w:p w14:paraId="6A4C7300" w14:textId="77777777" w:rsidR="00384684" w:rsidRPr="009820CB" w:rsidRDefault="00384684" w:rsidP="0027631A">
      <w:pPr>
        <w:pStyle w:val="Bullets"/>
      </w:pPr>
      <w:r w:rsidRPr="009820CB">
        <w:t>Modify monitoring frequencies to address potential health risks</w:t>
      </w:r>
      <w:r>
        <w:t>.</w:t>
      </w:r>
    </w:p>
    <w:p w14:paraId="11E4B2AD" w14:textId="417786D9" w:rsidR="003A67D2" w:rsidRDefault="00384684" w:rsidP="00021325">
      <w:pPr>
        <w:pStyle w:val="NormalIndent"/>
      </w:pPr>
      <w:r>
        <w:t xml:space="preserve">Source Water Monitoring and Treatment has one revision under the </w:t>
      </w:r>
      <w:r w:rsidR="00150A90">
        <w:t>Proposed LCRR</w:t>
      </w:r>
      <w:r>
        <w:t xml:space="preserve">. The source water monitoring requirements would only apply to the first time in which a water system exceeds the lead or copper </w:t>
      </w:r>
      <w:r w:rsidR="00FE664D">
        <w:t>AL</w:t>
      </w:r>
      <w:r>
        <w:t xml:space="preserve">. This is a reduction in burden. </w:t>
      </w:r>
    </w:p>
    <w:p w14:paraId="0DA74B00" w14:textId="6681DDB4" w:rsidR="00FC0AB1" w:rsidRDefault="00FC0AB1" w:rsidP="00021325">
      <w:pPr>
        <w:pStyle w:val="NormalIndent"/>
      </w:pPr>
      <w:r>
        <w:t xml:space="preserve">The </w:t>
      </w:r>
      <w:r w:rsidR="00150A90">
        <w:t>Proposed LCRR</w:t>
      </w:r>
      <w:r>
        <w:t xml:space="preserve"> creates a new requirement for </w:t>
      </w:r>
      <w:r w:rsidR="005C0DD7">
        <w:t>CWSs</w:t>
      </w:r>
      <w:r>
        <w:t xml:space="preserve"> to conduct lead in drinking water testing and public education at schools and child care facilities. Systems would be required to provide public education to each sampled school or child care facility and provide </w:t>
      </w:r>
      <w:r w:rsidR="005C0DD7">
        <w:t xml:space="preserve">testing results to the facility, </w:t>
      </w:r>
      <w:r w:rsidR="006E64B0">
        <w:t>p</w:t>
      </w:r>
      <w:r w:rsidR="00E5250C">
        <w:t>rimacy agency</w:t>
      </w:r>
      <w:r w:rsidR="005C0DD7">
        <w:t>, and state and local health departments</w:t>
      </w:r>
      <w:r>
        <w:t xml:space="preserve">. </w:t>
      </w:r>
    </w:p>
    <w:p w14:paraId="65F502A9" w14:textId="3FC1A018" w:rsidR="00C01319" w:rsidRPr="008C053B" w:rsidRDefault="00C01319" w:rsidP="000C0ED7">
      <w:pPr>
        <w:pStyle w:val="Heading3"/>
      </w:pPr>
      <w:bookmarkStart w:id="27" w:name="_Toc160872052"/>
      <w:bookmarkStart w:id="28" w:name="_Toc23138956"/>
      <w:bookmarkStart w:id="29" w:name="_Toc23139112"/>
      <w:r w:rsidRPr="008C053B">
        <w:t xml:space="preserve">2(b)(ii) </w:t>
      </w:r>
      <w:r w:rsidR="00B41EE3">
        <w:tab/>
      </w:r>
      <w:r w:rsidRPr="008C053B">
        <w:t>Users of the Data</w:t>
      </w:r>
      <w:bookmarkEnd w:id="27"/>
      <w:bookmarkEnd w:id="28"/>
      <w:bookmarkEnd w:id="29"/>
    </w:p>
    <w:p w14:paraId="0373E810" w14:textId="77777777" w:rsidR="000F6F69" w:rsidRPr="0079196D" w:rsidRDefault="000F6F69" w:rsidP="00021325">
      <w:pPr>
        <w:pStyle w:val="NormalIndent"/>
      </w:pPr>
      <w:r>
        <w:t xml:space="preserve">Primary users of the data </w:t>
      </w:r>
      <w:r w:rsidR="006C3017">
        <w:t>collected under this ICR</w:t>
      </w:r>
      <w:r>
        <w:t xml:space="preserve"> are </w:t>
      </w:r>
      <w:r w:rsidR="006C3017">
        <w:t xml:space="preserve">water </w:t>
      </w:r>
      <w:r>
        <w:t xml:space="preserve">systems and their customers, primacy agencies, and </w:t>
      </w:r>
      <w:r w:rsidR="005C0DD7">
        <w:t xml:space="preserve">the </w:t>
      </w:r>
      <w:r>
        <w:t>EPA</w:t>
      </w:r>
      <w:r w:rsidR="007624F1">
        <w:t xml:space="preserve">. </w:t>
      </w:r>
      <w:r w:rsidR="006C3017">
        <w:t xml:space="preserve">The information collected by </w:t>
      </w:r>
      <w:r w:rsidR="005C0DD7">
        <w:t xml:space="preserve">the </w:t>
      </w:r>
      <w:r w:rsidR="009E3ED6" w:rsidRPr="0079196D">
        <w:t xml:space="preserve">EPA </w:t>
      </w:r>
      <w:r w:rsidR="006C3017">
        <w:t xml:space="preserve">is available to the public, via </w:t>
      </w:r>
      <w:r w:rsidR="006A5532">
        <w:t>the</w:t>
      </w:r>
      <w:r w:rsidR="006C3017">
        <w:t xml:space="preserve"> EPA’</w:t>
      </w:r>
      <w:r w:rsidR="00CE5FD6">
        <w:t>s webs</w:t>
      </w:r>
      <w:r w:rsidR="006C3017">
        <w:t>i</w:t>
      </w:r>
      <w:r w:rsidR="00CE5FD6">
        <w:t>t</w:t>
      </w:r>
      <w:r w:rsidR="006C3017">
        <w:t>e (</w:t>
      </w:r>
      <w:hyperlink r:id="rId18" w:history="1">
        <w:r w:rsidR="00504F66" w:rsidRPr="00E76254">
          <w:rPr>
            <w:rStyle w:val="Hyperlink"/>
          </w:rPr>
          <w:t>https://www3.epa.gov/enviro/facts/sdwis/search.html</w:t>
        </w:r>
      </w:hyperlink>
      <w:r w:rsidR="00CE5FD6">
        <w:t>) or by requesting the data</w:t>
      </w:r>
      <w:r w:rsidR="009E3ED6" w:rsidRPr="0079196D">
        <w:t xml:space="preserve"> under the Freedom of Information Act</w:t>
      </w:r>
      <w:r w:rsidR="003A5675" w:rsidRPr="0079196D">
        <w:t xml:space="preserve"> </w:t>
      </w:r>
      <w:r w:rsidR="009E3ED6" w:rsidRPr="0079196D">
        <w:t xml:space="preserve">(FOIA; 40 CFR, Chapter 1, Part 2). </w:t>
      </w:r>
      <w:r w:rsidRPr="0079196D">
        <w:t xml:space="preserve">Other </w:t>
      </w:r>
      <w:r w:rsidR="00CE5FD6">
        <w:t>organizations</w:t>
      </w:r>
      <w:r w:rsidR="0034332A">
        <w:t xml:space="preserve"> and individuals</w:t>
      </w:r>
      <w:r w:rsidRPr="0079196D">
        <w:t xml:space="preserve"> that may utilize</w:t>
      </w:r>
      <w:r w:rsidR="00CE5FD6">
        <w:t xml:space="preserve"> the data include the following:</w:t>
      </w:r>
    </w:p>
    <w:p w14:paraId="109A590D" w14:textId="77777777" w:rsidR="0034332A" w:rsidRDefault="0034332A" w:rsidP="0027631A">
      <w:pPr>
        <w:pStyle w:val="Bullets"/>
      </w:pPr>
      <w:r>
        <w:t>Individual consumers, realtors, potential homebuyers, homeowners, households, and other members of the public</w:t>
      </w:r>
    </w:p>
    <w:p w14:paraId="0C56F3C9" w14:textId="77777777" w:rsidR="003A5675" w:rsidRPr="0079196D" w:rsidRDefault="00CE5FD6" w:rsidP="0027631A">
      <w:pPr>
        <w:pStyle w:val="Bullets"/>
      </w:pPr>
      <w:r>
        <w:t>News o</w:t>
      </w:r>
      <w:r w:rsidR="004B6F37" w:rsidRPr="0079196D">
        <w:t>rganizations</w:t>
      </w:r>
    </w:p>
    <w:p w14:paraId="7ED31200" w14:textId="77777777" w:rsidR="00763332" w:rsidRPr="0079196D" w:rsidRDefault="00C01319" w:rsidP="0027631A">
      <w:pPr>
        <w:pStyle w:val="Bullets"/>
      </w:pPr>
      <w:r w:rsidRPr="0079196D">
        <w:t>Staff from other EPA programs (such as Superfund, the Resource Conservation and</w:t>
      </w:r>
      <w:r w:rsidR="00763332" w:rsidRPr="0079196D">
        <w:t xml:space="preserve"> </w:t>
      </w:r>
      <w:r w:rsidRPr="0079196D">
        <w:t>Recovery Act, and the O</w:t>
      </w:r>
      <w:r w:rsidR="00CE5FD6">
        <w:t xml:space="preserve">ffice of </w:t>
      </w:r>
      <w:r w:rsidRPr="0079196D">
        <w:t>E</w:t>
      </w:r>
      <w:r w:rsidR="00CE5FD6">
        <w:t>nforcement and Compliance Assurance</w:t>
      </w:r>
      <w:r w:rsidRPr="0079196D">
        <w:t>)</w:t>
      </w:r>
    </w:p>
    <w:p w14:paraId="02667BBF" w14:textId="77777777" w:rsidR="00763332" w:rsidRPr="0079196D" w:rsidRDefault="00C01319" w:rsidP="0027631A">
      <w:pPr>
        <w:pStyle w:val="Bullets"/>
      </w:pPr>
      <w:r w:rsidRPr="0079196D">
        <w:t>The Federal Emergency Management Administration</w:t>
      </w:r>
    </w:p>
    <w:p w14:paraId="30A5F7AC" w14:textId="77777777" w:rsidR="00763332" w:rsidRPr="0079196D" w:rsidRDefault="00C01319" w:rsidP="0027631A">
      <w:pPr>
        <w:pStyle w:val="Bullets"/>
      </w:pPr>
      <w:r w:rsidRPr="0079196D">
        <w:t xml:space="preserve">Centers for </w:t>
      </w:r>
      <w:r w:rsidR="00E513B3">
        <w:t>Disease Control and Prevention</w:t>
      </w:r>
    </w:p>
    <w:p w14:paraId="6A1B5E8C" w14:textId="77777777" w:rsidR="00763332" w:rsidRPr="0079196D" w:rsidRDefault="00C01319" w:rsidP="0027631A">
      <w:pPr>
        <w:pStyle w:val="Bullets"/>
      </w:pPr>
      <w:r w:rsidRPr="0079196D">
        <w:t>Military bases</w:t>
      </w:r>
    </w:p>
    <w:p w14:paraId="37070244" w14:textId="77777777" w:rsidR="00763332" w:rsidRPr="0079196D" w:rsidRDefault="00C01319" w:rsidP="0027631A">
      <w:pPr>
        <w:pStyle w:val="Bullets"/>
      </w:pPr>
      <w:r w:rsidRPr="0079196D">
        <w:t>Farmers Home Administration</w:t>
      </w:r>
    </w:p>
    <w:p w14:paraId="22EEC9A4" w14:textId="77777777" w:rsidR="00763332" w:rsidRPr="0079196D" w:rsidRDefault="00C01319" w:rsidP="0027631A">
      <w:pPr>
        <w:pStyle w:val="Bullets"/>
      </w:pPr>
      <w:r w:rsidRPr="0079196D">
        <w:t>Department of Interior</w:t>
      </w:r>
    </w:p>
    <w:p w14:paraId="3DBA5160" w14:textId="77777777" w:rsidR="00763332" w:rsidRPr="0079196D" w:rsidRDefault="00C01319" w:rsidP="0027631A">
      <w:pPr>
        <w:pStyle w:val="Bullets"/>
      </w:pPr>
      <w:r w:rsidRPr="0079196D">
        <w:t>Department of Housing and Urban Development</w:t>
      </w:r>
    </w:p>
    <w:p w14:paraId="2FD09D94" w14:textId="77777777" w:rsidR="00763332" w:rsidRPr="0079196D" w:rsidRDefault="00C01319" w:rsidP="0027631A">
      <w:pPr>
        <w:pStyle w:val="Bullets"/>
      </w:pPr>
      <w:r w:rsidRPr="0079196D">
        <w:t>U.S. Army Corps of Engineers</w:t>
      </w:r>
    </w:p>
    <w:p w14:paraId="7139F81A" w14:textId="77777777" w:rsidR="00763332" w:rsidRPr="0079196D" w:rsidRDefault="00C01319" w:rsidP="0027631A">
      <w:pPr>
        <w:pStyle w:val="Bullets"/>
      </w:pPr>
      <w:r w:rsidRPr="0079196D">
        <w:t>White House Task Forces</w:t>
      </w:r>
    </w:p>
    <w:p w14:paraId="57EFE645" w14:textId="77777777" w:rsidR="00763332" w:rsidRPr="0079196D" w:rsidRDefault="00C01319" w:rsidP="0027631A">
      <w:pPr>
        <w:pStyle w:val="Bullets"/>
      </w:pPr>
      <w:r w:rsidRPr="0079196D">
        <w:t>American Water Works Association</w:t>
      </w:r>
    </w:p>
    <w:p w14:paraId="2961C367" w14:textId="77777777" w:rsidR="00763332" w:rsidRPr="0079196D" w:rsidRDefault="00C01319" w:rsidP="0027631A">
      <w:pPr>
        <w:pStyle w:val="Bullets"/>
      </w:pPr>
      <w:r w:rsidRPr="0079196D">
        <w:t>Association of Metropolitan Water Agencies</w:t>
      </w:r>
    </w:p>
    <w:p w14:paraId="26921432" w14:textId="77777777" w:rsidR="00763332" w:rsidRPr="0079196D" w:rsidRDefault="00C01319" w:rsidP="0027631A">
      <w:pPr>
        <w:pStyle w:val="Bullets"/>
      </w:pPr>
      <w:r w:rsidRPr="0079196D">
        <w:t>National Rural Water Association</w:t>
      </w:r>
    </w:p>
    <w:p w14:paraId="4D1D8A78" w14:textId="77777777" w:rsidR="00763332" w:rsidRPr="0079196D" w:rsidRDefault="00C01319" w:rsidP="0027631A">
      <w:pPr>
        <w:pStyle w:val="Bullets"/>
      </w:pPr>
      <w:r w:rsidRPr="0079196D">
        <w:t>National Association of Water Companies</w:t>
      </w:r>
    </w:p>
    <w:p w14:paraId="48E5615A" w14:textId="77777777" w:rsidR="001D7A55" w:rsidRDefault="00C01319" w:rsidP="0027631A">
      <w:pPr>
        <w:pStyle w:val="Bullets"/>
      </w:pPr>
      <w:r w:rsidRPr="0079196D">
        <w:t>Association of State Drinking Water Administrators</w:t>
      </w:r>
    </w:p>
    <w:p w14:paraId="0156024D" w14:textId="2677B7A0" w:rsidR="00763332" w:rsidRPr="0079196D" w:rsidRDefault="001D7A55" w:rsidP="0027631A">
      <w:pPr>
        <w:pStyle w:val="Bullets"/>
      </w:pPr>
      <w:r>
        <w:t xml:space="preserve">Environmental Council of the States </w:t>
      </w:r>
      <w:r w:rsidR="00E513B3">
        <w:t xml:space="preserve"> </w:t>
      </w:r>
    </w:p>
    <w:p w14:paraId="5BA2FC3E" w14:textId="77777777" w:rsidR="00763332" w:rsidRPr="0079196D" w:rsidRDefault="00C01319" w:rsidP="0027631A">
      <w:pPr>
        <w:pStyle w:val="Bullets"/>
      </w:pPr>
      <w:r w:rsidRPr="0079196D">
        <w:t>Natural Resources Defense Council</w:t>
      </w:r>
    </w:p>
    <w:p w14:paraId="16B3C02D" w14:textId="77777777" w:rsidR="00344F30" w:rsidRDefault="00C01319" w:rsidP="00344F30">
      <w:pPr>
        <w:pStyle w:val="Bullets"/>
      </w:pPr>
      <w:r w:rsidRPr="0079196D">
        <w:t>Consumers Federation of America</w:t>
      </w:r>
      <w:r w:rsidR="00CE5FD6">
        <w:t>.</w:t>
      </w:r>
      <w:bookmarkStart w:id="30" w:name="_Toc160872053"/>
    </w:p>
    <w:p w14:paraId="08E041A3" w14:textId="77777777" w:rsidR="003A5675" w:rsidRPr="00423550" w:rsidRDefault="003A5675" w:rsidP="00344F30">
      <w:pPr>
        <w:pStyle w:val="Heading1"/>
      </w:pPr>
      <w:bookmarkStart w:id="31" w:name="_Toc23138957"/>
      <w:bookmarkStart w:id="32" w:name="_Toc23139113"/>
      <w:r w:rsidRPr="00423550">
        <w:t>3</w:t>
      </w:r>
      <w:r w:rsidR="009D42EE" w:rsidRPr="00423550">
        <w:tab/>
      </w:r>
      <w:r w:rsidRPr="00423550">
        <w:t>NON-DUPLICATION, CONSULTATIONS, AND OTHER COLLECTION</w:t>
      </w:r>
      <w:bookmarkEnd w:id="30"/>
      <w:r w:rsidR="00896295">
        <w:t xml:space="preserve"> </w:t>
      </w:r>
      <w:r w:rsidRPr="00423550">
        <w:t>CRITERIA</w:t>
      </w:r>
      <w:bookmarkEnd w:id="31"/>
      <w:bookmarkEnd w:id="32"/>
    </w:p>
    <w:p w14:paraId="1E42C20A" w14:textId="77777777" w:rsidR="003A5675" w:rsidRPr="00423550" w:rsidRDefault="003A5675" w:rsidP="000C0ED7">
      <w:pPr>
        <w:pStyle w:val="Heading2"/>
      </w:pPr>
      <w:bookmarkStart w:id="33" w:name="_Toc160872054"/>
      <w:bookmarkStart w:id="34" w:name="_Toc23138958"/>
      <w:bookmarkStart w:id="35" w:name="_Toc23139114"/>
      <w:r w:rsidRPr="00423550">
        <w:t xml:space="preserve">3(a) </w:t>
      </w:r>
      <w:r w:rsidR="009D42EE" w:rsidRPr="00423550">
        <w:tab/>
      </w:r>
      <w:r w:rsidRPr="00423550">
        <w:t>Non-duplication</w:t>
      </w:r>
      <w:bookmarkEnd w:id="33"/>
      <w:bookmarkEnd w:id="34"/>
      <w:bookmarkEnd w:id="35"/>
    </w:p>
    <w:p w14:paraId="021AB97A" w14:textId="77777777" w:rsidR="003A5675" w:rsidRPr="00423550" w:rsidRDefault="006A5532" w:rsidP="00021325">
      <w:pPr>
        <w:pStyle w:val="NormalIndent"/>
      </w:pPr>
      <w:r>
        <w:t xml:space="preserve">The </w:t>
      </w:r>
      <w:r w:rsidR="00EA5A71" w:rsidRPr="00423550">
        <w:t>EPA has consulte</w:t>
      </w:r>
      <w:r w:rsidR="00EA5A71">
        <w:t>d with other federal agencies, s</w:t>
      </w:r>
      <w:r w:rsidR="00EA5A71" w:rsidRPr="00423550">
        <w:t>tate agencies, industry organizations, water systems, and tribal organizations to ensure non-duplication of this information collection</w:t>
      </w:r>
      <w:r w:rsidR="00663BE6">
        <w:t xml:space="preserve">. </w:t>
      </w:r>
      <w:r w:rsidR="003A5675" w:rsidRPr="00423550">
        <w:t>To the best of the Agency's knowledge, data required b</w:t>
      </w:r>
      <w:r w:rsidR="009D42EE" w:rsidRPr="00423550">
        <w:t xml:space="preserve">y the </w:t>
      </w:r>
      <w:r w:rsidR="0007094A">
        <w:t>revisions to the LCR</w:t>
      </w:r>
      <w:r w:rsidR="009D42EE" w:rsidRPr="00423550">
        <w:t xml:space="preserve"> are not </w:t>
      </w:r>
      <w:r w:rsidR="003A5675" w:rsidRPr="00423550">
        <w:t>available from any other source.</w:t>
      </w:r>
    </w:p>
    <w:p w14:paraId="564A2781" w14:textId="77777777" w:rsidR="009D42EE" w:rsidRPr="00423550" w:rsidRDefault="009D42EE" w:rsidP="000C0ED7">
      <w:pPr>
        <w:pStyle w:val="Heading2"/>
      </w:pPr>
      <w:bookmarkStart w:id="36" w:name="_Toc160872055"/>
      <w:bookmarkStart w:id="37" w:name="_Toc23138959"/>
      <w:bookmarkStart w:id="38" w:name="_Toc23139115"/>
      <w:r w:rsidRPr="00423550">
        <w:t xml:space="preserve">3(b) </w:t>
      </w:r>
      <w:r w:rsidRPr="00423550">
        <w:tab/>
        <w:t>Public Notice Required Prior to ICR Submission to OMB</w:t>
      </w:r>
      <w:bookmarkEnd w:id="36"/>
      <w:bookmarkEnd w:id="37"/>
      <w:bookmarkEnd w:id="38"/>
    </w:p>
    <w:p w14:paraId="75DA63D1" w14:textId="71F9965D" w:rsidR="009D42EE" w:rsidRPr="009820CB" w:rsidRDefault="009D42EE" w:rsidP="00021325">
      <w:pPr>
        <w:pStyle w:val="NormalIndent"/>
      </w:pPr>
      <w:r w:rsidRPr="00423550">
        <w:t xml:space="preserve">To comply with the 1995 Amendments to the Paperwork Reduction Act, the Agency </w:t>
      </w:r>
      <w:r w:rsidR="008E7DC2">
        <w:t xml:space="preserve">will </w:t>
      </w:r>
      <w:r w:rsidRPr="009820CB">
        <w:t>solicit</w:t>
      </w:r>
      <w:r w:rsidR="008E7DC2">
        <w:t xml:space="preserve"> public comment on this</w:t>
      </w:r>
      <w:r w:rsidRPr="009820CB">
        <w:t xml:space="preserve"> draft ICR during a </w:t>
      </w:r>
      <w:r w:rsidR="00D06B89">
        <w:t>30</w:t>
      </w:r>
      <w:r w:rsidRPr="009820CB">
        <w:t xml:space="preserve">-day public comment period </w:t>
      </w:r>
      <w:r w:rsidR="00E5250C">
        <w:t xml:space="preserve">coinciding </w:t>
      </w:r>
      <w:r w:rsidRPr="009820CB">
        <w:t xml:space="preserve">with the comment period for the proposed </w:t>
      </w:r>
      <w:r w:rsidR="008E7DC2">
        <w:t>rule</w:t>
      </w:r>
      <w:r w:rsidRPr="009820CB">
        <w:t xml:space="preserve">. </w:t>
      </w:r>
      <w:r w:rsidR="002B7D61">
        <w:t xml:space="preserve">In the </w:t>
      </w:r>
      <w:r w:rsidR="002B7D61">
        <w:rPr>
          <w:i/>
        </w:rPr>
        <w:t>Federal Register</w:t>
      </w:r>
      <w:r w:rsidR="002B7D61">
        <w:t xml:space="preserve"> notice for the proposed rule, </w:t>
      </w:r>
      <w:r w:rsidR="006A5532">
        <w:t xml:space="preserve">the </w:t>
      </w:r>
      <w:r w:rsidR="002B7D61">
        <w:t xml:space="preserve">EPA will request comment on the estimated respondent burden and other aspects of this information collection. </w:t>
      </w:r>
      <w:r w:rsidRPr="009820CB">
        <w:t xml:space="preserve">Comments received </w:t>
      </w:r>
      <w:r w:rsidR="008E7DC2">
        <w:t>will be</w:t>
      </w:r>
      <w:r w:rsidRPr="009820CB">
        <w:t xml:space="preserve"> considered by the Agency and used to adjust the burden and costs estimates presented in </w:t>
      </w:r>
      <w:r w:rsidR="008E7DC2">
        <w:t>the final</w:t>
      </w:r>
      <w:r w:rsidRPr="009820CB">
        <w:t xml:space="preserve"> ICR</w:t>
      </w:r>
      <w:r w:rsidR="008E7DC2">
        <w:t xml:space="preserve"> prior to submission to </w:t>
      </w:r>
      <w:r w:rsidR="006A5532">
        <w:t xml:space="preserve">the </w:t>
      </w:r>
      <w:r w:rsidR="008E7DC2">
        <w:t>OMB</w:t>
      </w:r>
      <w:r w:rsidRPr="009820CB">
        <w:t>.</w:t>
      </w:r>
    </w:p>
    <w:p w14:paraId="5634459B" w14:textId="77777777" w:rsidR="00144C78" w:rsidRPr="00423550" w:rsidRDefault="00144C78" w:rsidP="000C0ED7">
      <w:pPr>
        <w:pStyle w:val="Heading2"/>
      </w:pPr>
      <w:bookmarkStart w:id="39" w:name="_Toc160872056"/>
      <w:bookmarkStart w:id="40" w:name="_Toc23138960"/>
      <w:bookmarkStart w:id="41" w:name="_Toc23139116"/>
      <w:r w:rsidRPr="00423550">
        <w:t xml:space="preserve">3(c) </w:t>
      </w:r>
      <w:r w:rsidR="009F0C3F" w:rsidRPr="00423550">
        <w:tab/>
      </w:r>
      <w:r w:rsidRPr="00423550">
        <w:t>Consultations</w:t>
      </w:r>
      <w:bookmarkEnd w:id="39"/>
      <w:bookmarkEnd w:id="40"/>
      <w:bookmarkEnd w:id="41"/>
    </w:p>
    <w:p w14:paraId="2E5F2EBD" w14:textId="77777777" w:rsidR="00A0427B" w:rsidRDefault="00A0427B" w:rsidP="00021325">
      <w:pPr>
        <w:pStyle w:val="NormalIndent"/>
      </w:pPr>
      <w:r>
        <w:t xml:space="preserve">To help shape the </w:t>
      </w:r>
      <w:r w:rsidR="001A65EF">
        <w:t>revised</w:t>
      </w:r>
      <w:r w:rsidR="001E4BBC">
        <w:t xml:space="preserve"> LCR</w:t>
      </w:r>
      <w:r>
        <w:t xml:space="preserve">, </w:t>
      </w:r>
      <w:r w:rsidR="006A5532">
        <w:t>the</w:t>
      </w:r>
      <w:r>
        <w:t xml:space="preserve"> EPA engaged with multiple stakeholders representing a wide range of expertise. The sections </w:t>
      </w:r>
      <w:r w:rsidR="00AC37F9">
        <w:t>below describe these activities</w:t>
      </w:r>
      <w:r w:rsidR="00FF49E7">
        <w:t>.</w:t>
      </w:r>
      <w:r w:rsidR="00AC37F9">
        <w:t xml:space="preserve"> </w:t>
      </w:r>
      <w:r w:rsidR="00FF49E7">
        <w:t>S</w:t>
      </w:r>
      <w:r w:rsidR="00AC37F9">
        <w:t xml:space="preserve">ummaries from meetings and consultations </w:t>
      </w:r>
      <w:r w:rsidR="00AC37F9" w:rsidRPr="007F78FA">
        <w:t xml:space="preserve">are available in the docket for the </w:t>
      </w:r>
      <w:r w:rsidR="00AC37F9">
        <w:t>p</w:t>
      </w:r>
      <w:r w:rsidR="00AC37F9" w:rsidRPr="007F78FA">
        <w:t xml:space="preserve">roposed </w:t>
      </w:r>
      <w:r w:rsidR="00AC37F9">
        <w:t>rule</w:t>
      </w:r>
      <w:r w:rsidR="00AC37F9" w:rsidRPr="007F78FA">
        <w:t xml:space="preserve"> under </w:t>
      </w:r>
      <w:r w:rsidR="00AC37F9" w:rsidRPr="00CB0209">
        <w:t>EPA-HQ-OW-201</w:t>
      </w:r>
      <w:r w:rsidR="00AC37F9">
        <w:t>7-0300</w:t>
      </w:r>
      <w:r w:rsidR="00AC37F9" w:rsidRPr="007F78FA">
        <w:t xml:space="preserve"> at </w:t>
      </w:r>
      <w:hyperlink r:id="rId19" w:history="1">
        <w:r w:rsidR="00AC37F9" w:rsidRPr="00475F46">
          <w:rPr>
            <w:rStyle w:val="Hyperlink"/>
          </w:rPr>
          <w:t>https://www.regulations.gov</w:t>
        </w:r>
      </w:hyperlink>
      <w:r w:rsidR="00AC37F9">
        <w:rPr>
          <w:rStyle w:val="Hyperlink"/>
        </w:rPr>
        <w:t>.</w:t>
      </w:r>
    </w:p>
    <w:p w14:paraId="1490E3ED" w14:textId="77777777" w:rsidR="00AC37F9" w:rsidRDefault="00AC37F9" w:rsidP="00AC37F9">
      <w:pPr>
        <w:pStyle w:val="Heading4"/>
      </w:pPr>
      <w:bookmarkStart w:id="42" w:name="_Toc23138961"/>
      <w:r>
        <w:t>Consultation with State and Local Government</w:t>
      </w:r>
      <w:r w:rsidR="002E3588">
        <w:t xml:space="preserve"> and Stakeholder</w:t>
      </w:r>
      <w:r>
        <w:t xml:space="preserve"> Organizations</w:t>
      </w:r>
      <w:bookmarkEnd w:id="42"/>
    </w:p>
    <w:p w14:paraId="1584B7B8" w14:textId="1C83C798" w:rsidR="00072E45" w:rsidRDefault="00072E45" w:rsidP="00BE598F">
      <w:pPr>
        <w:spacing w:after="240"/>
        <w:ind w:firstLine="720"/>
      </w:pPr>
      <w:r>
        <w:t>In October 2008, the EPA held a two</w:t>
      </w:r>
      <w:r w:rsidRPr="00CE5679">
        <w:t>-day stakeholder meeting at the Carnegie Institution for Science. The purpose of this meeting was to gather stakeholder input on actions that could be taken on</w:t>
      </w:r>
      <w:r>
        <w:t xml:space="preserve"> revisions to the LCR</w:t>
      </w:r>
      <w:r w:rsidRPr="00CE5679">
        <w:t xml:space="preserve">. Discussion topics included changes to the </w:t>
      </w:r>
      <w:r w:rsidR="00D06B89">
        <w:t xml:space="preserve">tap sample site selection </w:t>
      </w:r>
      <w:r w:rsidRPr="00CE5679">
        <w:t>tiering criteria for lead and copper, LSLR requirements, particulate lead in tap water samples, op</w:t>
      </w:r>
      <w:r w:rsidR="00FF49E7">
        <w:t>timal water quality parameters</w:t>
      </w:r>
      <w:r w:rsidRPr="00CE5679">
        <w:t>, tap sampl</w:t>
      </w:r>
      <w:r w:rsidR="00D06B89">
        <w:t>e</w:t>
      </w:r>
      <w:r w:rsidR="00746C0D">
        <w:t xml:space="preserve"> </w:t>
      </w:r>
      <w:r w:rsidR="00D06B89">
        <w:t>collection</w:t>
      </w:r>
      <w:r w:rsidRPr="00CE5679">
        <w:t xml:space="preserve"> issues, and CCT technologies</w:t>
      </w:r>
      <w:r>
        <w:rPr>
          <w:rStyle w:val="CommentReference"/>
        </w:rPr>
        <w:t>.</w:t>
      </w:r>
      <w:r>
        <w:t xml:space="preserve"> The EPA</w:t>
      </w:r>
      <w:r w:rsidRPr="00CE5679">
        <w:t xml:space="preserve"> presented summaries of the scientific data that the Agency had compiled on these issues.</w:t>
      </w:r>
      <w:r>
        <w:t xml:space="preserve"> The EPA</w:t>
      </w:r>
      <w:r w:rsidRPr="00CE5679">
        <w:t xml:space="preserve"> also requested stakeholder input and feedback on other issues</w:t>
      </w:r>
      <w:r>
        <w:t xml:space="preserve"> the EPA</w:t>
      </w:r>
      <w:r w:rsidRPr="00CE5679">
        <w:t xml:space="preserve"> could consider for potential future action on the LCR.</w:t>
      </w:r>
      <w:r w:rsidR="00BE598F">
        <w:t xml:space="preserve"> </w:t>
      </w:r>
      <w:r>
        <w:t xml:space="preserve">The EPA also held a public meeting on November 4, 2010 to discuss potential Long-Term Revisions to the LCR. The meeting was held to obtain stakeholder feedback about key issues and options to address the issues. </w:t>
      </w:r>
    </w:p>
    <w:p w14:paraId="1F88BF4C" w14:textId="068CE398" w:rsidR="000543B3" w:rsidRDefault="00072E45" w:rsidP="00EE0A26">
      <w:pPr>
        <w:tabs>
          <w:tab w:val="left" w:pos="720"/>
        </w:tabs>
        <w:spacing w:after="240"/>
        <w:rPr>
          <w:color w:val="000000" w:themeColor="text1"/>
        </w:rPr>
      </w:pPr>
      <w:r>
        <w:tab/>
      </w:r>
      <w:r w:rsidR="00FF49E7">
        <w:t xml:space="preserve">The </w:t>
      </w:r>
      <w:r w:rsidR="000543B3">
        <w:t>EPA</w:t>
      </w:r>
      <w:r w:rsidR="000543B3" w:rsidRPr="00C32BE3">
        <w:t xml:space="preserve"> held a Federalism consultation on November</w:t>
      </w:r>
      <w:r w:rsidR="000543B3" w:rsidRPr="00DD73BC">
        <w:rPr>
          <w:color w:val="000000" w:themeColor="text1"/>
        </w:rPr>
        <w:t xml:space="preserve"> 15, 2011 with representatives from </w:t>
      </w:r>
      <w:r w:rsidR="000543B3">
        <w:rPr>
          <w:color w:val="000000" w:themeColor="text1"/>
        </w:rPr>
        <w:t>state</w:t>
      </w:r>
      <w:r w:rsidR="000543B3" w:rsidRPr="00DD73BC">
        <w:rPr>
          <w:color w:val="000000" w:themeColor="text1"/>
        </w:rPr>
        <w:t xml:space="preserve"> and </w:t>
      </w:r>
      <w:r w:rsidR="000543B3">
        <w:rPr>
          <w:color w:val="000000" w:themeColor="text1"/>
        </w:rPr>
        <w:t>l</w:t>
      </w:r>
      <w:r w:rsidR="000543B3" w:rsidRPr="00DD73BC">
        <w:rPr>
          <w:color w:val="000000" w:themeColor="text1"/>
        </w:rPr>
        <w:t xml:space="preserve">ocal </w:t>
      </w:r>
      <w:r w:rsidR="000543B3">
        <w:rPr>
          <w:color w:val="000000" w:themeColor="text1"/>
        </w:rPr>
        <w:t>g</w:t>
      </w:r>
      <w:r w:rsidR="000543B3" w:rsidRPr="00DD73BC">
        <w:rPr>
          <w:color w:val="000000" w:themeColor="text1"/>
        </w:rPr>
        <w:t>overnment organizations to solicit feedback on potential regulatory revisions to the LCR. In its capacity as an advisory committee to the</w:t>
      </w:r>
      <w:r w:rsidR="000543B3">
        <w:rPr>
          <w:color w:val="000000" w:themeColor="text1"/>
        </w:rPr>
        <w:t xml:space="preserve"> EPA</w:t>
      </w:r>
      <w:r w:rsidR="000543B3" w:rsidRPr="00DD73BC">
        <w:rPr>
          <w:color w:val="000000" w:themeColor="text1"/>
        </w:rPr>
        <w:t>, the Local Government Advisory Committee (LGAC) periodically makes recommendations and comments to the Agency on issues impacting local governments.</w:t>
      </w:r>
      <w:r w:rsidR="000543B3">
        <w:rPr>
          <w:color w:val="000000" w:themeColor="text1"/>
        </w:rPr>
        <w:t xml:space="preserve"> The EPA</w:t>
      </w:r>
      <w:r w:rsidR="000543B3" w:rsidRPr="00DD73BC">
        <w:rPr>
          <w:color w:val="000000" w:themeColor="text1"/>
        </w:rPr>
        <w:t xml:space="preserve"> received comments that addressed </w:t>
      </w:r>
      <w:r w:rsidR="00D06B89">
        <w:rPr>
          <w:color w:val="000000" w:themeColor="text1"/>
        </w:rPr>
        <w:t xml:space="preserve">tap </w:t>
      </w:r>
      <w:r w:rsidR="000543B3" w:rsidRPr="00DD73BC">
        <w:rPr>
          <w:color w:val="000000" w:themeColor="text1"/>
        </w:rPr>
        <w:t xml:space="preserve">sample site </w:t>
      </w:r>
      <w:r w:rsidR="00D06B89">
        <w:rPr>
          <w:color w:val="000000" w:themeColor="text1"/>
        </w:rPr>
        <w:t xml:space="preserve">selection </w:t>
      </w:r>
      <w:r w:rsidR="000543B3" w:rsidRPr="00DD73BC">
        <w:rPr>
          <w:color w:val="000000" w:themeColor="text1"/>
        </w:rPr>
        <w:t>criteria and lead sampli</w:t>
      </w:r>
      <w:r w:rsidR="000543B3">
        <w:rPr>
          <w:color w:val="000000" w:themeColor="text1"/>
        </w:rPr>
        <w:t>ng protocol at LSL</w:t>
      </w:r>
      <w:r w:rsidR="000543B3" w:rsidRPr="00DD73BC">
        <w:rPr>
          <w:color w:val="000000" w:themeColor="text1"/>
        </w:rPr>
        <w:t xml:space="preserve"> sites. </w:t>
      </w:r>
    </w:p>
    <w:p w14:paraId="5C1F9BF4" w14:textId="77777777" w:rsidR="00072E45" w:rsidRPr="00CE5679" w:rsidRDefault="00072E45" w:rsidP="00072E45">
      <w:pPr>
        <w:spacing w:after="240"/>
        <w:ind w:firstLine="720"/>
      </w:pPr>
      <w:r>
        <w:t xml:space="preserve">In May and June of 2016, the Administrator and other high-ranking EPA officials conducted meetings with state officials, water system officials, and non-government organizations (NGOs). Sixteen state officials and 16 PWS officials met with the EPA on May 26 and June 1, 2016, respectively. The EPA met with 15 NGOs on June 2, 2016. During each meeting, the EPA and stakeholder officials discussed critical needs and key opportunities for addressing drinking water challenges and four priority issues including the LCR with the goal of strengthening implementation of the current LCR and improving public health protection through updates to the rule. </w:t>
      </w:r>
    </w:p>
    <w:p w14:paraId="43AEB535" w14:textId="77777777" w:rsidR="00072E45" w:rsidRDefault="00072E45" w:rsidP="00BE598F">
      <w:pPr>
        <w:spacing w:after="240"/>
        <w:ind w:firstLine="720"/>
      </w:pPr>
      <w:r>
        <w:t xml:space="preserve">In 2017, the EPA </w:t>
      </w:r>
      <w:r w:rsidR="00BE598F">
        <w:t>sent</w:t>
      </w:r>
      <w:r>
        <w:t xml:space="preserve"> a questionnaire to nine states regarding the burden and cost associated with </w:t>
      </w:r>
      <w:r w:rsidR="00A35D18">
        <w:t>the National Drinking Water Advisory Council’s (NDWAC)</w:t>
      </w:r>
      <w:r>
        <w:t xml:space="preserve"> recommendation to require all systems to develop a comprehensive LSL inventory and to expand the definition of an LSL to include lead connectors even if the service line is not made of lead. The questionnaire asked states how they would manage the LSL inventory requirement and their estimates for costs associated with reviewing PWS inventory documentation. The nine states were selected based on geographic diversity, high incidence of LSLs, and knowledge of existing LSLR programs. Seven states (Illinois, Michigan, Washington, Wisconsin, New Jersey, Rhode Island, and Ohio) out of the nine states responded to the questionnaire. </w:t>
      </w:r>
    </w:p>
    <w:p w14:paraId="206A9CBB" w14:textId="0DE88A24" w:rsidR="00072E45" w:rsidRPr="004718E8" w:rsidRDefault="000543B3" w:rsidP="004718E8">
      <w:pPr>
        <w:ind w:firstLine="720"/>
        <w:rPr>
          <w:color w:val="000000" w:themeColor="text1"/>
        </w:rPr>
      </w:pPr>
      <w:r>
        <w:t>The EPA held another Federalism meeting on January 8, 2018, in Washington D.C., with 17 intergovernmental associations and several associations representing state and local governments.</w:t>
      </w:r>
      <w:r>
        <w:rPr>
          <w:rStyle w:val="FootnoteReference"/>
        </w:rPr>
        <w:footnoteReference w:id="7"/>
      </w:r>
      <w:r>
        <w:t xml:space="preserve"> The EPA also held five follow-up briefings between January 8 and March 8, 2018. A total of 82 state and local governments and related associations provided input during the meetings and within 60 days after the initial meeting. Common issues discussed included LSLR, CCT, transparency and PE, tap sampling, and copper. The EPA considered Federalism comments received in 2011 and 2018 when developing the </w:t>
      </w:r>
      <w:r w:rsidR="00150A90">
        <w:t>Proposed LCRR</w:t>
      </w:r>
      <w:r>
        <w:t>.</w:t>
      </w:r>
      <w:r w:rsidR="00072E45">
        <w:t xml:space="preserve"> The Association of State Drinking Water Administrators (ASDWA) provided Federalism input on March 8, 2018 that informed the framework of the </w:t>
      </w:r>
      <w:r w:rsidR="00150A90">
        <w:t>Proposed LCRR</w:t>
      </w:r>
      <w:r w:rsidR="00072E45">
        <w:t>. To address ASDWA’s concerns, the EPA is proposing: a new TL of 10 μg/L in addition to retaining the current AL of 15 μg/L, a new set of requirements for systems with a TLE, and a revised set of requirements for systems with an ALE.</w:t>
      </w:r>
    </w:p>
    <w:p w14:paraId="350B69AE" w14:textId="77777777" w:rsidR="00072E45" w:rsidRDefault="00072E45" w:rsidP="00072E45">
      <w:pPr>
        <w:pStyle w:val="NormalIndent"/>
      </w:pPr>
      <w:r>
        <w:t xml:space="preserve">Summaries from meetings and consultations </w:t>
      </w:r>
      <w:r w:rsidRPr="007F78FA">
        <w:t xml:space="preserve">are available in the docket for the </w:t>
      </w:r>
      <w:r>
        <w:t>p</w:t>
      </w:r>
      <w:r w:rsidRPr="007F78FA">
        <w:t xml:space="preserve">roposed </w:t>
      </w:r>
      <w:r>
        <w:t>rule</w:t>
      </w:r>
      <w:r w:rsidRPr="007F78FA">
        <w:t xml:space="preserve"> under </w:t>
      </w:r>
      <w:r w:rsidRPr="00CB0209">
        <w:t>EPA-HQ-OW-201</w:t>
      </w:r>
      <w:r>
        <w:t>7-0300</w:t>
      </w:r>
      <w:r w:rsidRPr="007F78FA">
        <w:t xml:space="preserve"> at </w:t>
      </w:r>
      <w:hyperlink r:id="rId20" w:history="1">
        <w:r w:rsidRPr="00475F46">
          <w:rPr>
            <w:rStyle w:val="Hyperlink"/>
          </w:rPr>
          <w:t>https://www.regulations.gov</w:t>
        </w:r>
      </w:hyperlink>
      <w:r w:rsidRPr="004718E8">
        <w:rPr>
          <w:rStyle w:val="Hyperlink"/>
        </w:rPr>
        <w:t>.</w:t>
      </w:r>
      <w:r w:rsidDel="00072E45">
        <w:t xml:space="preserve"> </w:t>
      </w:r>
    </w:p>
    <w:p w14:paraId="11E21773" w14:textId="77777777" w:rsidR="00A0427B" w:rsidRDefault="00A0427B" w:rsidP="00217F97">
      <w:pPr>
        <w:pStyle w:val="Heading4"/>
      </w:pPr>
      <w:bookmarkStart w:id="43" w:name="_Toc23138962"/>
      <w:r w:rsidRPr="00A0427B">
        <w:t>National Drinking Water Advisory Council Lead and Copper Rule Working Group</w:t>
      </w:r>
      <w:bookmarkEnd w:id="43"/>
    </w:p>
    <w:p w14:paraId="29AA4516" w14:textId="77777777" w:rsidR="00A0427B" w:rsidRDefault="00A0427B" w:rsidP="00021325">
      <w:pPr>
        <w:pStyle w:val="NormalIndent"/>
      </w:pPr>
      <w:r>
        <w:t xml:space="preserve">The </w:t>
      </w:r>
      <w:r w:rsidR="005524D7" w:rsidRPr="005524D7">
        <w:t xml:space="preserve">NDWAC </w:t>
      </w:r>
      <w:r>
        <w:t xml:space="preserve">Lead and Copper Rule Working Group </w:t>
      </w:r>
      <w:r w:rsidR="00A43A29" w:rsidRPr="00A43A29">
        <w:t xml:space="preserve">held seven in-person meetings from March 2014 through June 2015, participated in multiple conference calls, and spent time outside these meetings to provide input to the NDWAC on key issues. The </w:t>
      </w:r>
      <w:r w:rsidR="00A43A29">
        <w:t>Working Group</w:t>
      </w:r>
      <w:r w:rsidR="00A43A29" w:rsidRPr="00A43A29">
        <w:t xml:space="preserve"> focused their time to </w:t>
      </w:r>
      <w:r>
        <w:t xml:space="preserve">provide advice to </w:t>
      </w:r>
      <w:r w:rsidR="006A5532">
        <w:t xml:space="preserve">the </w:t>
      </w:r>
      <w:r>
        <w:t>EPA in addressing the five issues listed below:</w:t>
      </w:r>
    </w:p>
    <w:p w14:paraId="04291A36" w14:textId="77777777" w:rsidR="00A0427B" w:rsidRDefault="00DE0686" w:rsidP="00983901">
      <w:pPr>
        <w:pStyle w:val="Bullets"/>
      </w:pPr>
      <w:r>
        <w:t>Tap s</w:t>
      </w:r>
      <w:r w:rsidR="00A0427B">
        <w:t>ample site selection criteria</w:t>
      </w:r>
    </w:p>
    <w:p w14:paraId="37DF4C74" w14:textId="77777777" w:rsidR="00A0427B" w:rsidRDefault="00A0427B" w:rsidP="00983901">
      <w:pPr>
        <w:pStyle w:val="Bullets"/>
      </w:pPr>
      <w:r>
        <w:t>Lead sampling protocols</w:t>
      </w:r>
    </w:p>
    <w:p w14:paraId="0C84D8E2" w14:textId="77777777" w:rsidR="00A0427B" w:rsidRDefault="00A0427B" w:rsidP="00983901">
      <w:pPr>
        <w:pStyle w:val="Bullets"/>
      </w:pPr>
      <w:r>
        <w:t>Public education for copper</w:t>
      </w:r>
    </w:p>
    <w:p w14:paraId="5F81084D" w14:textId="77777777" w:rsidR="00A0427B" w:rsidRDefault="00A0427B" w:rsidP="00983901">
      <w:pPr>
        <w:pStyle w:val="Bullets"/>
      </w:pPr>
      <w:r>
        <w:t xml:space="preserve">Measures to ensure optimal </w:t>
      </w:r>
      <w:r w:rsidR="00D76E3F">
        <w:t>CCT</w:t>
      </w:r>
    </w:p>
    <w:p w14:paraId="742866A2" w14:textId="77777777" w:rsidR="00A0427B" w:rsidRDefault="00D76E3F" w:rsidP="00983901">
      <w:pPr>
        <w:pStyle w:val="Bullets"/>
      </w:pPr>
      <w:r>
        <w:t>LSL</w:t>
      </w:r>
      <w:r w:rsidR="00A0427B">
        <w:t xml:space="preserve"> replacement.</w:t>
      </w:r>
    </w:p>
    <w:p w14:paraId="4CF64DEF" w14:textId="77777777" w:rsidR="00A0427B" w:rsidRDefault="005524D7" w:rsidP="00021325">
      <w:pPr>
        <w:pStyle w:val="NormalIndent"/>
      </w:pPr>
      <w:r>
        <w:t xml:space="preserve">The </w:t>
      </w:r>
      <w:r w:rsidR="00A0427B">
        <w:t xml:space="preserve">NDWAC Recommendations to the Administrator </w:t>
      </w:r>
      <w:r>
        <w:t>and meeting s</w:t>
      </w:r>
      <w:r w:rsidR="00A0427B">
        <w:t>ummaries</w:t>
      </w:r>
      <w:r>
        <w:t xml:space="preserve"> are available </w:t>
      </w:r>
      <w:r w:rsidR="00663BE6" w:rsidRPr="007F78FA">
        <w:t xml:space="preserve">in the docket for the </w:t>
      </w:r>
      <w:r w:rsidR="00663BE6">
        <w:t>P</w:t>
      </w:r>
      <w:r w:rsidR="00663BE6" w:rsidRPr="007F78FA">
        <w:t xml:space="preserve">roposed </w:t>
      </w:r>
      <w:r w:rsidR="00663BE6">
        <w:t>R</w:t>
      </w:r>
      <w:r w:rsidR="00663BE6" w:rsidRPr="007F78FA">
        <w:t xml:space="preserve">ule under </w:t>
      </w:r>
      <w:r w:rsidR="00663BE6" w:rsidRPr="00CB0209">
        <w:t>EPA-HQ-OW-</w:t>
      </w:r>
      <w:r w:rsidR="00944D98" w:rsidRPr="00CB0209">
        <w:t>201</w:t>
      </w:r>
      <w:r w:rsidR="00944D98">
        <w:t>7-0300</w:t>
      </w:r>
      <w:r w:rsidR="00944D98" w:rsidRPr="007F78FA">
        <w:t xml:space="preserve"> </w:t>
      </w:r>
      <w:r w:rsidR="00663BE6" w:rsidRPr="007F78FA">
        <w:t xml:space="preserve">at </w:t>
      </w:r>
      <w:hyperlink r:id="rId21" w:history="1">
        <w:r w:rsidR="00663BE6" w:rsidRPr="00475F46">
          <w:rPr>
            <w:rStyle w:val="Hyperlink"/>
          </w:rPr>
          <w:t>https://www.regulations.gov</w:t>
        </w:r>
      </w:hyperlink>
      <w:r w:rsidR="00663BE6">
        <w:t>.</w:t>
      </w:r>
      <w:r w:rsidR="00663BE6">
        <w:rPr>
          <w:rStyle w:val="FootnoteReference"/>
        </w:rPr>
        <w:footnoteReference w:id="8"/>
      </w:r>
    </w:p>
    <w:p w14:paraId="2018B80C" w14:textId="77777777" w:rsidR="00A0427B" w:rsidRPr="005524D7" w:rsidDel="00711504" w:rsidRDefault="00A0427B" w:rsidP="00217F97">
      <w:pPr>
        <w:pStyle w:val="Heading4"/>
      </w:pPr>
      <w:bookmarkStart w:id="44" w:name="_Toc23138963"/>
      <w:r w:rsidRPr="005524D7" w:rsidDel="00711504">
        <w:t>Science Advisory Board Evaluation of the Effectiveness of Partial Lead Service Line Replacements</w:t>
      </w:r>
      <w:bookmarkEnd w:id="44"/>
    </w:p>
    <w:p w14:paraId="6F595F40" w14:textId="77777777" w:rsidR="00A0427B" w:rsidDel="00711504" w:rsidRDefault="006A5532" w:rsidP="00021325">
      <w:pPr>
        <w:pStyle w:val="NormalIndent"/>
      </w:pPr>
      <w:r w:rsidDel="00711504">
        <w:t xml:space="preserve">The </w:t>
      </w:r>
      <w:r w:rsidR="00A0427B" w:rsidDel="00711504">
        <w:t xml:space="preserve">EPA’s Office of Water requested the Science Advisory Board (SAB) evaluate the current scientific data to determine the effectiveness of </w:t>
      </w:r>
      <w:r w:rsidR="00DE0686" w:rsidDel="00711504">
        <w:t xml:space="preserve">partial </w:t>
      </w:r>
      <w:r w:rsidR="00A0427B" w:rsidDel="00711504">
        <w:t>LSLR</w:t>
      </w:r>
      <w:r w:rsidR="00E513B3" w:rsidDel="00711504">
        <w:t>s</w:t>
      </w:r>
      <w:r w:rsidR="00A0427B" w:rsidDel="00711504">
        <w:t xml:space="preserve"> in reducing drinking water lead levels. The SAB convened the Drinking Water Committee Augmented for the Review of the Effectiveness of Partial Lead Service Line Replacements to study the issue and report their findings and conclusions. The</w:t>
      </w:r>
      <w:r w:rsidR="005524D7" w:rsidDel="00711504">
        <w:t xml:space="preserve"> charge to the SAB </w:t>
      </w:r>
      <w:r w:rsidR="00A43A29" w:rsidDel="00711504">
        <w:t>included</w:t>
      </w:r>
      <w:r w:rsidR="00A0427B" w:rsidDel="00711504">
        <w:t xml:space="preserve"> five issues</w:t>
      </w:r>
      <w:r w:rsidR="00A43A29" w:rsidDel="00711504">
        <w:t>:</w:t>
      </w:r>
      <w:r w:rsidR="00A0427B" w:rsidDel="00711504">
        <w:t xml:space="preserve"> </w:t>
      </w:r>
    </w:p>
    <w:p w14:paraId="52A8119C" w14:textId="77777777" w:rsidR="00A0427B" w:rsidDel="00711504" w:rsidRDefault="00A0427B" w:rsidP="00983901">
      <w:pPr>
        <w:pStyle w:val="Bullets"/>
      </w:pPr>
      <w:r w:rsidDel="00711504">
        <w:t xml:space="preserve">Associations between </w:t>
      </w:r>
      <w:r w:rsidR="00DE0686" w:rsidDel="00711504">
        <w:t xml:space="preserve">partial </w:t>
      </w:r>
      <w:r w:rsidDel="00711504">
        <w:t>LSLR an</w:t>
      </w:r>
      <w:r w:rsidR="005524D7" w:rsidDel="00711504">
        <w:t>d blood lead levels in children</w:t>
      </w:r>
    </w:p>
    <w:p w14:paraId="14B87527" w14:textId="77777777" w:rsidR="00A0427B" w:rsidDel="00711504" w:rsidRDefault="00A0427B" w:rsidP="00983901">
      <w:pPr>
        <w:pStyle w:val="Bullets"/>
      </w:pPr>
      <w:r w:rsidDel="00711504">
        <w:t>Water sampling data at</w:t>
      </w:r>
      <w:r w:rsidR="005524D7" w:rsidDel="00711504">
        <w:t xml:space="preserve"> the tap before and after </w:t>
      </w:r>
      <w:r w:rsidR="00DE0686" w:rsidDel="00711504">
        <w:t xml:space="preserve">partial </w:t>
      </w:r>
      <w:r w:rsidR="005524D7" w:rsidDel="00711504">
        <w:t>LSLR</w:t>
      </w:r>
    </w:p>
    <w:p w14:paraId="037306BA" w14:textId="77777777" w:rsidR="00A0427B" w:rsidDel="00711504" w:rsidRDefault="00A0427B" w:rsidP="00983901">
      <w:pPr>
        <w:pStyle w:val="Bullets"/>
      </w:pPr>
      <w:r w:rsidDel="00711504">
        <w:t>Comparisons between partial and full</w:t>
      </w:r>
      <w:r w:rsidR="005524D7" w:rsidDel="00711504">
        <w:t xml:space="preserve"> </w:t>
      </w:r>
      <w:r w:rsidR="00D76E3F" w:rsidDel="00711504">
        <w:t>LSL</w:t>
      </w:r>
      <w:r w:rsidR="00DE0686" w:rsidDel="00711504">
        <w:t>R</w:t>
      </w:r>
    </w:p>
    <w:p w14:paraId="6ED5D1D4" w14:textId="77777777" w:rsidR="00A0427B" w:rsidDel="00711504" w:rsidRDefault="00DE0686" w:rsidP="00983901">
      <w:pPr>
        <w:pStyle w:val="Bullets"/>
      </w:pPr>
      <w:r w:rsidDel="00711504">
        <w:t xml:space="preserve">Partial </w:t>
      </w:r>
      <w:r w:rsidR="005524D7" w:rsidDel="00711504">
        <w:t>LSLR techniques</w:t>
      </w:r>
    </w:p>
    <w:p w14:paraId="1BDF9E11" w14:textId="77777777" w:rsidR="00A0427B" w:rsidDel="00711504" w:rsidRDefault="00A0427B" w:rsidP="00983901">
      <w:pPr>
        <w:pStyle w:val="Bullets"/>
      </w:pPr>
      <w:r w:rsidDel="00711504">
        <w:t xml:space="preserve">The impact of galvanic corrosion. </w:t>
      </w:r>
    </w:p>
    <w:p w14:paraId="6CBFA2F4" w14:textId="77777777" w:rsidR="00A0427B" w:rsidDel="00711504" w:rsidRDefault="005524D7" w:rsidP="00021325">
      <w:pPr>
        <w:pStyle w:val="NormalIndent"/>
      </w:pPr>
      <w:r w:rsidDel="00711504">
        <w:t>T</w:t>
      </w:r>
      <w:r w:rsidR="00A0427B" w:rsidDel="00711504">
        <w:t xml:space="preserve">he SAB's </w:t>
      </w:r>
      <w:r w:rsidR="00A0427B" w:rsidRPr="00A43A29" w:rsidDel="00711504">
        <w:t>September 2011</w:t>
      </w:r>
      <w:r w:rsidR="00A0427B" w:rsidDel="00711504">
        <w:t xml:space="preserve"> report and recommendations</w:t>
      </w:r>
      <w:r w:rsidDel="00711504">
        <w:t xml:space="preserve"> are </w:t>
      </w:r>
      <w:r w:rsidR="00663BE6" w:rsidDel="00711504">
        <w:t xml:space="preserve">available </w:t>
      </w:r>
      <w:r w:rsidR="00663BE6" w:rsidRPr="007F78FA" w:rsidDel="00711504">
        <w:t xml:space="preserve">in the docket for the </w:t>
      </w:r>
      <w:r w:rsidR="00663BE6" w:rsidDel="00711504">
        <w:t>P</w:t>
      </w:r>
      <w:r w:rsidR="00663BE6" w:rsidRPr="007F78FA" w:rsidDel="00711504">
        <w:t xml:space="preserve">roposed </w:t>
      </w:r>
      <w:r w:rsidR="00663BE6" w:rsidDel="00711504">
        <w:t>R</w:t>
      </w:r>
      <w:r w:rsidR="00663BE6" w:rsidRPr="007F78FA" w:rsidDel="00711504">
        <w:t xml:space="preserve">ule under </w:t>
      </w:r>
      <w:r w:rsidR="00663BE6" w:rsidRPr="00CB0209" w:rsidDel="00711504">
        <w:t>EPA-HQ-OW-</w:t>
      </w:r>
      <w:r w:rsidR="00944D98" w:rsidRPr="00CB0209" w:rsidDel="00711504">
        <w:t>201</w:t>
      </w:r>
      <w:r w:rsidR="00944D98" w:rsidDel="00711504">
        <w:t>7-0300</w:t>
      </w:r>
      <w:r w:rsidR="00944D98" w:rsidRPr="007F78FA" w:rsidDel="00711504">
        <w:t xml:space="preserve"> </w:t>
      </w:r>
      <w:r w:rsidR="00663BE6" w:rsidRPr="007F78FA" w:rsidDel="00711504">
        <w:t>at</w:t>
      </w:r>
      <w:r w:rsidR="00663BE6" w:rsidDel="00711504">
        <w:t xml:space="preserve"> </w:t>
      </w:r>
      <w:hyperlink r:id="rId22" w:history="1">
        <w:r w:rsidR="00663BE6" w:rsidRPr="00475F46" w:rsidDel="00711504">
          <w:rPr>
            <w:rStyle w:val="Hyperlink"/>
          </w:rPr>
          <w:t>https://www.regulations.gov</w:t>
        </w:r>
      </w:hyperlink>
      <w:r w:rsidR="00663BE6" w:rsidDel="00711504">
        <w:rPr>
          <w:rStyle w:val="Hyperlink"/>
        </w:rPr>
        <w:t>.</w:t>
      </w:r>
      <w:r w:rsidR="00663BE6" w:rsidRPr="007F78FA" w:rsidDel="00711504">
        <w:t xml:space="preserve"> </w:t>
      </w:r>
    </w:p>
    <w:p w14:paraId="0EDB4E00" w14:textId="12B971D2" w:rsidR="00711504" w:rsidRPr="00CE5679" w:rsidRDefault="00711504" w:rsidP="00600A40">
      <w:pPr>
        <w:pStyle w:val="Heading4"/>
      </w:pPr>
      <w:bookmarkStart w:id="45" w:name="_Toc7358532"/>
      <w:bookmarkStart w:id="46" w:name="_Toc11246047"/>
      <w:bookmarkStart w:id="47" w:name="_Toc23138964"/>
      <w:r w:rsidRPr="00CE5679">
        <w:t xml:space="preserve">Input from </w:t>
      </w:r>
      <w:r>
        <w:t xml:space="preserve">Public Water Systems and </w:t>
      </w:r>
      <w:r w:rsidRPr="00CE5679">
        <w:t>Small Business Stakeholders</w:t>
      </w:r>
      <w:bookmarkEnd w:id="45"/>
      <w:bookmarkEnd w:id="46"/>
      <w:bookmarkEnd w:id="47"/>
    </w:p>
    <w:p w14:paraId="0E4C0416" w14:textId="2DBE6226" w:rsidR="00711504" w:rsidRDefault="00711504" w:rsidP="00600A40">
      <w:pPr>
        <w:spacing w:after="240"/>
        <w:ind w:firstLine="720"/>
      </w:pPr>
      <w:r>
        <w:t xml:space="preserve">The </w:t>
      </w:r>
      <w:r w:rsidRPr="00A80823">
        <w:t>EPA sought input from PWSs regarding the cost and burden of potential provisions in the</w:t>
      </w:r>
      <w:r w:rsidR="00F8006D">
        <w:t xml:space="preserve"> </w:t>
      </w:r>
      <w:r w:rsidR="00150A90">
        <w:t>Proposed LCRR</w:t>
      </w:r>
      <w:r w:rsidRPr="00A80823">
        <w:t xml:space="preserve">. </w:t>
      </w:r>
      <w:r w:rsidR="00BE598F">
        <w:t>For example,</w:t>
      </w:r>
      <w:r w:rsidRPr="00A80823">
        <w:t xml:space="preserve"> the EPA issued questionnaires to nine systems regarding their LSL inventories</w:t>
      </w:r>
      <w:r w:rsidR="00BC5E8A">
        <w:t>.</w:t>
      </w:r>
      <w:r w:rsidR="00BE598F">
        <w:t xml:space="preserve"> </w:t>
      </w:r>
      <w:r w:rsidRPr="00A80823">
        <w:t>The questionnaire was designed to obtain information about the activities and costs needed to develop a comprehensive LSL inventory, how systems have achieved successful LSLR programs, and the cost associated with LSLR. Fort Worth was the only PWS to respond to the questionnaire</w:t>
      </w:r>
      <w:r w:rsidR="00BC5E8A">
        <w:t>.</w:t>
      </w:r>
    </w:p>
    <w:p w14:paraId="1545684E" w14:textId="112F9B11" w:rsidR="00343063" w:rsidRDefault="00711504" w:rsidP="00343063">
      <w:pPr>
        <w:spacing w:after="240"/>
        <w:ind w:firstLine="720"/>
      </w:pPr>
      <w:r w:rsidRPr="00343063">
        <w:t xml:space="preserve">On August 14, 2012, the EPA convened </w:t>
      </w:r>
      <w:r w:rsidR="0090069E" w:rsidRPr="00343063">
        <w:t xml:space="preserve">a </w:t>
      </w:r>
      <w:r w:rsidR="00BC5E8A" w:rsidRPr="00343063">
        <w:t>Small Business Advocacy Review (SBAR) Panel</w:t>
      </w:r>
      <w:r w:rsidRPr="00343063">
        <w:t>. The SBAR Panel submitted its report to the EPA in October 2012</w:t>
      </w:r>
      <w:r w:rsidR="00BC5E8A" w:rsidRPr="00343063">
        <w:t>, which</w:t>
      </w:r>
      <w:r w:rsidRPr="00343063">
        <w:t xml:space="preserve"> provided recommendation regarding the </w:t>
      </w:r>
      <w:r w:rsidR="00045E41">
        <w:t xml:space="preserve">tap </w:t>
      </w:r>
      <w:r w:rsidRPr="00343063">
        <w:t>sample site selection criteria, PE for copper, the process for re-evaluating and revising CCT, copper monitoring waivers for systems that can demonstrate their water i</w:t>
      </w:r>
      <w:r w:rsidR="002A696A">
        <w:t>s non-aggressive toward copper</w:t>
      </w:r>
      <w:r w:rsidR="008C0E27">
        <w:t>,</w:t>
      </w:r>
      <w:r w:rsidR="002A696A">
        <w:t xml:space="preserve"> </w:t>
      </w:r>
      <w:r w:rsidRPr="00343063">
        <w:t xml:space="preserve">POU treatment units in lieu of CCT for NTNCWSs serving 10,000 or fewer people; the sampling protocol at sites served by LSLs; and mandatory LSLR requirements. </w:t>
      </w:r>
      <w:r w:rsidR="00BC5E8A" w:rsidRPr="00343063">
        <w:t xml:space="preserve">To minimize impacts on small systems </w:t>
      </w:r>
      <w:r w:rsidR="007A3488" w:rsidRPr="00343063">
        <w:t>serving 3,300 and fewer people</w:t>
      </w:r>
      <w:r w:rsidR="00BC5E8A" w:rsidRPr="00343063">
        <w:t>, under the proposed rule these systems with LSLs</w:t>
      </w:r>
      <w:r w:rsidR="007A3488" w:rsidRPr="00343063">
        <w:t xml:space="preserve"> would not be required to have a LSLR plan unless LSLR was the selected compliance option. See Section 8 of the SBREFA Panel Report.</w:t>
      </w:r>
    </w:p>
    <w:p w14:paraId="22BF478A" w14:textId="77777777" w:rsidR="00A0427B" w:rsidRPr="00343063" w:rsidRDefault="00A0427B" w:rsidP="00343063">
      <w:pPr>
        <w:pStyle w:val="Heading4"/>
      </w:pPr>
      <w:bookmarkStart w:id="48" w:name="_Toc23138965"/>
      <w:r w:rsidRPr="00343063">
        <w:t>Tribal Consultations</w:t>
      </w:r>
      <w:bookmarkEnd w:id="48"/>
    </w:p>
    <w:p w14:paraId="1F282C63" w14:textId="485BDC7C" w:rsidR="00343063" w:rsidRDefault="00A72C5F" w:rsidP="00343063">
      <w:pPr>
        <w:spacing w:after="240"/>
      </w:pPr>
      <w:r w:rsidRPr="00343063">
        <w:tab/>
      </w:r>
      <w:r w:rsidR="00890B2C" w:rsidRPr="00343063">
        <w:t xml:space="preserve">The EPA consulted with tribal officials in developing the </w:t>
      </w:r>
      <w:r w:rsidR="00150A90">
        <w:t>Proposed LCRR</w:t>
      </w:r>
      <w:r w:rsidR="00890B2C" w:rsidRPr="00343063">
        <w:t xml:space="preserve"> through the EPA American Indian Environmental Office. The EPA held consultations with federally-recognized Indian tribes in 2011 and 2018. The 2018 consultations with federally-recognized Indian tribes began on January 16, 2018 and ended March 16, 2018. The first national webinar was held January 31, 2018, while the second national webinar was held February 15, 2018. A total of 48 tribal representatives participated in the two webinars. Updates on the consultation process were provided to the National Tribal Water Council upon request at regularly scheduled monthly meetings during the consultation process. Also, upon request, informational webinars were provided to the National Tribal Toxics Council’s Lead Subcommittee on January 30, 2018, and the EPA Region 9’s Regional Tribal Operations Committee on February 8, 2018. Additionally, the EPA received written comments from the following tribes and tribal organizations: Navajo Tribal Utility Authority, National Tribal Water Council, United South and Eastern Tribes Sovereignty Protection Fund, and Yukon River Inter-Tribal Watershed Council. A summary report of the views expressed during tribal con</w:t>
      </w:r>
      <w:r w:rsidR="00FF49E7" w:rsidRPr="00343063">
        <w:t>sultations is available in the d</w:t>
      </w:r>
      <w:r w:rsidR="00890B2C" w:rsidRPr="00343063">
        <w:t>ocket (</w:t>
      </w:r>
      <w:r w:rsidR="00890B2C" w:rsidRPr="00F8006D">
        <w:t>EPA-HQ-OW-2017-0300</w:t>
      </w:r>
      <w:r w:rsidR="00890B2C" w:rsidRPr="00343063">
        <w:t>).</w:t>
      </w:r>
      <w:r w:rsidR="00343063">
        <w:rPr>
          <w:rStyle w:val="FootnoteReference"/>
        </w:rPr>
        <w:footnoteReference w:id="9"/>
      </w:r>
    </w:p>
    <w:p w14:paraId="633B8EBB" w14:textId="77777777" w:rsidR="00A0427B" w:rsidRPr="00343063" w:rsidRDefault="00A0427B" w:rsidP="00343063">
      <w:pPr>
        <w:pStyle w:val="Heading4"/>
      </w:pPr>
      <w:bookmarkStart w:id="49" w:name="_Toc23138966"/>
      <w:r w:rsidRPr="00343063">
        <w:t>Environmental Justice</w:t>
      </w:r>
      <w:bookmarkEnd w:id="49"/>
    </w:p>
    <w:p w14:paraId="7EDF81AF" w14:textId="77777777" w:rsidR="00011FB1" w:rsidRDefault="00A0427B" w:rsidP="00021325">
      <w:pPr>
        <w:pStyle w:val="NormalIndent"/>
      </w:pPr>
      <w:r>
        <w:t xml:space="preserve">Because LCR revisions may have environmental justice impacts, in </w:t>
      </w:r>
      <w:r w:rsidR="00711504">
        <w:t xml:space="preserve">March </w:t>
      </w:r>
      <w:r>
        <w:t xml:space="preserve">2011 </w:t>
      </w:r>
      <w:r w:rsidR="006A5532">
        <w:t xml:space="preserve">the </w:t>
      </w:r>
      <w:r>
        <w:t>EPA held a public meeting to discuss environmental justice considerations.</w:t>
      </w:r>
      <w:r w:rsidR="00433A38">
        <w:t xml:space="preserve"> </w:t>
      </w:r>
      <w:r w:rsidR="006A5532">
        <w:t>The</w:t>
      </w:r>
      <w:r w:rsidR="00433A38">
        <w:t xml:space="preserve"> EPA published public notice of the meeting in the </w:t>
      </w:r>
      <w:r w:rsidR="00433A38">
        <w:rPr>
          <w:i/>
        </w:rPr>
        <w:t xml:space="preserve">Federal Register </w:t>
      </w:r>
      <w:r w:rsidR="00433A38">
        <w:t xml:space="preserve">on February 15, 2011 (76 FR </w:t>
      </w:r>
      <w:r w:rsidR="00433A38" w:rsidRPr="00433A38">
        <w:t>8674</w:t>
      </w:r>
      <w:r w:rsidR="00433A38">
        <w:t>).</w:t>
      </w:r>
    </w:p>
    <w:p w14:paraId="5F7F0A0A" w14:textId="77777777" w:rsidR="009F0C3F" w:rsidRPr="00423550" w:rsidRDefault="009F0C3F" w:rsidP="000C0ED7">
      <w:pPr>
        <w:pStyle w:val="Heading2"/>
      </w:pPr>
      <w:bookmarkStart w:id="50" w:name="_Toc160872057"/>
      <w:bookmarkStart w:id="51" w:name="_Toc23138967"/>
      <w:bookmarkStart w:id="52" w:name="_Toc23139117"/>
      <w:r w:rsidRPr="00423550">
        <w:t xml:space="preserve">3(d) </w:t>
      </w:r>
      <w:r w:rsidRPr="00423550">
        <w:tab/>
        <w:t>Effects of Less Frequent Collection</w:t>
      </w:r>
      <w:bookmarkEnd w:id="50"/>
      <w:bookmarkEnd w:id="51"/>
      <w:bookmarkEnd w:id="52"/>
    </w:p>
    <w:p w14:paraId="27B0F807" w14:textId="77777777" w:rsidR="00432B6A" w:rsidRDefault="006A5532" w:rsidP="00021325">
      <w:pPr>
        <w:pStyle w:val="NormalIndent"/>
      </w:pPr>
      <w:r>
        <w:t xml:space="preserve">The </w:t>
      </w:r>
      <w:r w:rsidR="009F0C3F" w:rsidRPr="00423550">
        <w:t xml:space="preserve">EPA has considered a wide range of alternatives for frequency of data collection. </w:t>
      </w:r>
      <w:r>
        <w:t>The</w:t>
      </w:r>
      <w:r w:rsidR="009F0C3F" w:rsidRPr="00423550">
        <w:t xml:space="preserve"> EPA has chosen to require the least frequent collection that remains consistent with the overall goal of protecting public health. If data are collected less frequently, primacy agencies may not identify in a </w:t>
      </w:r>
      <w:r w:rsidRPr="00423550">
        <w:t>timely fashion significant contaminant concentration</w:t>
      </w:r>
      <w:r w:rsidR="009F0C3F" w:rsidRPr="00423550">
        <w:t xml:space="preserve"> that might threaten the health and safety of drinking water consumers.</w:t>
      </w:r>
      <w:r w:rsidR="00432B6A">
        <w:t xml:space="preserve"> Monitoring frequencies have been carefully devised based on the following factors</w:t>
      </w:r>
      <w:r w:rsidR="008E7DC2">
        <w:t>:</w:t>
      </w:r>
    </w:p>
    <w:p w14:paraId="4B27E894" w14:textId="77777777" w:rsidR="00432B6A" w:rsidRDefault="00432B6A" w:rsidP="00983901">
      <w:pPr>
        <w:pStyle w:val="Bullets"/>
      </w:pPr>
      <w:r>
        <w:t>Data quality nee</w:t>
      </w:r>
      <w:r w:rsidR="008E7DC2">
        <w:t>ded for a representative sample</w:t>
      </w:r>
    </w:p>
    <w:p w14:paraId="55124CE8" w14:textId="77777777" w:rsidR="00432B6A" w:rsidRDefault="00432B6A" w:rsidP="00983901">
      <w:pPr>
        <w:pStyle w:val="Bullets"/>
      </w:pPr>
      <w:r>
        <w:t>Precision and accuracy needed</w:t>
      </w:r>
      <w:r w:rsidR="008E7DC2">
        <w:t xml:space="preserve"> from the representative sample</w:t>
      </w:r>
    </w:p>
    <w:p w14:paraId="3A1D43A3" w14:textId="77777777" w:rsidR="00432B6A" w:rsidRDefault="00432B6A" w:rsidP="00983901">
      <w:pPr>
        <w:pStyle w:val="Bullets"/>
      </w:pPr>
      <w:r>
        <w:t>Number</w:t>
      </w:r>
      <w:r w:rsidR="008E7DC2">
        <w:t xml:space="preserve"> of people served by the system</w:t>
      </w:r>
    </w:p>
    <w:p w14:paraId="0FB89883" w14:textId="77777777" w:rsidR="00432B6A" w:rsidRDefault="00432B6A" w:rsidP="00983901">
      <w:pPr>
        <w:pStyle w:val="Bullets"/>
      </w:pPr>
      <w:r>
        <w:t>Source of the supply (e.g.,</w:t>
      </w:r>
      <w:r w:rsidR="008E7DC2">
        <w:t xml:space="preserve"> surface water or ground water)</w:t>
      </w:r>
    </w:p>
    <w:p w14:paraId="37BF9A54" w14:textId="77777777" w:rsidR="00432B6A" w:rsidRDefault="008E7DC2" w:rsidP="00983901">
      <w:pPr>
        <w:pStyle w:val="Bullets"/>
      </w:pPr>
      <w:r>
        <w:t>Contaminants likely to be found</w:t>
      </w:r>
    </w:p>
    <w:p w14:paraId="4C905FF5" w14:textId="77777777" w:rsidR="00432B6A" w:rsidRDefault="00432B6A" w:rsidP="00983901">
      <w:pPr>
        <w:pStyle w:val="Bullets"/>
      </w:pPr>
      <w:r>
        <w:t>Temporal variability in occurrence.</w:t>
      </w:r>
    </w:p>
    <w:p w14:paraId="59BE12DE" w14:textId="2C537901" w:rsidR="00663BE6" w:rsidRPr="0014413B" w:rsidRDefault="00663BE6" w:rsidP="00983901">
      <w:pPr>
        <w:pStyle w:val="NormalIndent"/>
      </w:pPr>
      <w:r>
        <w:t xml:space="preserve">The </w:t>
      </w:r>
      <w:r w:rsidR="00150A90">
        <w:t>Proposed LCRR</w:t>
      </w:r>
      <w:r>
        <w:t xml:space="preserve"> puts in place a framework with a new </w:t>
      </w:r>
      <w:r w:rsidR="008C0E27">
        <w:t xml:space="preserve">lead </w:t>
      </w:r>
      <w:r w:rsidR="00896295">
        <w:t>TL</w:t>
      </w:r>
      <w:r>
        <w:t xml:space="preserve"> in addition to </w:t>
      </w:r>
      <w:r w:rsidR="00896295">
        <w:t>an AL</w:t>
      </w:r>
      <w:r>
        <w:t>. Systems are required to perform more frequent monitoring and reporting if th</w:t>
      </w:r>
      <w:r w:rsidR="00D92095">
        <w:t xml:space="preserve">ey exceed the </w:t>
      </w:r>
      <w:r w:rsidR="00896295">
        <w:t>TL</w:t>
      </w:r>
      <w:r w:rsidR="00D92095">
        <w:t xml:space="preserve">. </w:t>
      </w:r>
      <w:r>
        <w:t xml:space="preserve">Under the </w:t>
      </w:r>
      <w:r w:rsidR="00150A90">
        <w:t>Proposed LCRR</w:t>
      </w:r>
      <w:r>
        <w:t xml:space="preserve">, a system may be on a different monitoring schedule for lead and copper. </w:t>
      </w:r>
      <w:r w:rsidR="00D92095">
        <w:t>F</w:t>
      </w:r>
      <w:r>
        <w:t>or lead, the frequency of tap sampling and number of required samples would depend solely on a system’s lead 90</w:t>
      </w:r>
      <w:r w:rsidRPr="00F461C4">
        <w:rPr>
          <w:vertAlign w:val="superscript"/>
        </w:rPr>
        <w:t>th</w:t>
      </w:r>
      <w:r>
        <w:t xml:space="preserve"> percentile level as follows: </w:t>
      </w:r>
    </w:p>
    <w:p w14:paraId="6BE6B8D2" w14:textId="77777777" w:rsidR="00663BE6" w:rsidRDefault="00663BE6" w:rsidP="00983901">
      <w:pPr>
        <w:pStyle w:val="Bullets"/>
      </w:pPr>
      <w:r w:rsidRPr="00D92095">
        <w:t>Systems with an ALE</w:t>
      </w:r>
      <w:r>
        <w:t xml:space="preserve"> would monitor every six months at the standard number of sampling locations in the </w:t>
      </w:r>
      <w:r w:rsidR="003D2974">
        <w:t>c</w:t>
      </w:r>
      <w:r>
        <w:t xml:space="preserve">urrent </w:t>
      </w:r>
      <w:r w:rsidR="003D2974">
        <w:t>r</w:t>
      </w:r>
      <w:r>
        <w:t>ule. These systems are not eligible for reduced monitoring.</w:t>
      </w:r>
    </w:p>
    <w:p w14:paraId="0D4D38E4" w14:textId="77777777" w:rsidR="00663BE6" w:rsidRDefault="00663BE6" w:rsidP="00983901">
      <w:pPr>
        <w:pStyle w:val="Bullets"/>
      </w:pPr>
      <w:r w:rsidRPr="00D92095">
        <w:t>Systems with a TLE</w:t>
      </w:r>
      <w:r>
        <w:t xml:space="preserve"> would monitor annually at the standard number of sampling </w:t>
      </w:r>
      <w:r w:rsidRPr="00D92095">
        <w:t xml:space="preserve">locations in the </w:t>
      </w:r>
      <w:r w:rsidR="003D2974">
        <w:t>c</w:t>
      </w:r>
      <w:r w:rsidRPr="00D92095">
        <w:t xml:space="preserve">urrent </w:t>
      </w:r>
      <w:r w:rsidR="003D2974">
        <w:t>r</w:t>
      </w:r>
      <w:r w:rsidRPr="00D92095">
        <w:t>ule and would not be eligible to collect samples at the reduced number of sites or to qualify</w:t>
      </w:r>
      <w:r>
        <w:t xml:space="preserve"> for triennial </w:t>
      </w:r>
      <w:r w:rsidR="00D92095">
        <w:t>or nine-</w:t>
      </w:r>
      <w:r>
        <w:t xml:space="preserve">year monitoring. </w:t>
      </w:r>
    </w:p>
    <w:p w14:paraId="668C4C2E" w14:textId="77777777" w:rsidR="00663BE6" w:rsidRDefault="00663BE6" w:rsidP="00983901">
      <w:pPr>
        <w:pStyle w:val="Bullets"/>
      </w:pPr>
      <w:r w:rsidRPr="00D92095">
        <w:t>Systems without a TLE or ALE</w:t>
      </w:r>
      <w:r>
        <w:t xml:space="preserve"> would conduct monitoring annually, triennially, or every nine years at the reduced number of sites. </w:t>
      </w:r>
    </w:p>
    <w:p w14:paraId="2F537A3F" w14:textId="77777777" w:rsidR="00663BE6" w:rsidRDefault="00663BE6" w:rsidP="00983901">
      <w:pPr>
        <w:pStyle w:val="NormalIndent"/>
      </w:pPr>
      <w:r>
        <w:t xml:space="preserve">The copper monitoring requirements are similar to those under the </w:t>
      </w:r>
      <w:r w:rsidR="003D2974">
        <w:t>c</w:t>
      </w:r>
      <w:r>
        <w:t xml:space="preserve">urrent </w:t>
      </w:r>
      <w:r w:rsidR="003D2974">
        <w:t>r</w:t>
      </w:r>
      <w:r>
        <w:t>ule, which are based on the system’s copper 90</w:t>
      </w:r>
      <w:r w:rsidRPr="00D37250">
        <w:rPr>
          <w:vertAlign w:val="superscript"/>
        </w:rPr>
        <w:t>th</w:t>
      </w:r>
      <w:r>
        <w:t xml:space="preserve"> percentile level and compliance with a system’s optimal WQP specifications. One difference is that a system’s lead 90</w:t>
      </w:r>
      <w:r w:rsidRPr="00D37250">
        <w:rPr>
          <w:vertAlign w:val="superscript"/>
        </w:rPr>
        <w:t>th</w:t>
      </w:r>
      <w:r>
        <w:t xml:space="preserve"> percentile level is not a factor in determining the system’s copper monitoring requirements. </w:t>
      </w:r>
    </w:p>
    <w:p w14:paraId="30858E31" w14:textId="77777777" w:rsidR="006929D3" w:rsidRPr="00423550" w:rsidRDefault="006929D3" w:rsidP="000C0ED7">
      <w:pPr>
        <w:pStyle w:val="Heading2"/>
      </w:pPr>
      <w:bookmarkStart w:id="53" w:name="_Toc160872058"/>
      <w:bookmarkStart w:id="54" w:name="_Toc23138968"/>
      <w:bookmarkStart w:id="55" w:name="_Toc23139118"/>
      <w:r w:rsidRPr="00D92095">
        <w:t xml:space="preserve">3(e) </w:t>
      </w:r>
      <w:r w:rsidRPr="00D92095">
        <w:tab/>
        <w:t>General Guidelines</w:t>
      </w:r>
      <w:bookmarkEnd w:id="53"/>
      <w:bookmarkEnd w:id="54"/>
      <w:bookmarkEnd w:id="55"/>
    </w:p>
    <w:p w14:paraId="0EACB656" w14:textId="3281E487" w:rsidR="00D33386" w:rsidRPr="004C44E2" w:rsidRDefault="00596543" w:rsidP="00021325">
      <w:pPr>
        <w:pStyle w:val="NormalIndent"/>
      </w:pPr>
      <w:r>
        <w:t>W</w:t>
      </w:r>
      <w:r w:rsidRPr="00423550">
        <w:t xml:space="preserve">ith </w:t>
      </w:r>
      <w:r w:rsidR="006929D3" w:rsidRPr="00423550">
        <w:t xml:space="preserve">the exception </w:t>
      </w:r>
      <w:r w:rsidR="00890A40" w:rsidRPr="004C44E2">
        <w:t>of two instances noted below, t</w:t>
      </w:r>
      <w:r w:rsidR="006714B4" w:rsidRPr="00D33386">
        <w:t xml:space="preserve">his </w:t>
      </w:r>
      <w:r w:rsidR="00890A40" w:rsidRPr="004C44E2">
        <w:t>collection will not violate the guidelines codified under 5 CFR 1320.5(d)(2)</w:t>
      </w:r>
      <w:r w:rsidR="00746316">
        <w:t xml:space="preserve">. </w:t>
      </w:r>
    </w:p>
    <w:p w14:paraId="12DBAE21" w14:textId="77777777" w:rsidR="00E70219" w:rsidRDefault="00D33386" w:rsidP="00021325">
      <w:pPr>
        <w:pStyle w:val="NormalIndent"/>
      </w:pPr>
      <w:r w:rsidRPr="004C44E2">
        <w:t>R</w:t>
      </w:r>
      <w:r w:rsidR="006929D3" w:rsidRPr="00D33386">
        <w:t>ecords are required to be retained for a period greater than three years. In particular, the 1991 LCR requires</w:t>
      </w:r>
      <w:r w:rsidR="006929D3" w:rsidRPr="00423550">
        <w:t xml:space="preserve"> all PWSs to retain on their premise original records of all sampling data and analyses, reports, surveys, letters, evaluations, schedules and any other information required by the </w:t>
      </w:r>
      <w:r w:rsidR="00BB55A4">
        <w:t>state</w:t>
      </w:r>
      <w:r w:rsidR="006929D3" w:rsidRPr="00423550">
        <w:t xml:space="preserve"> for no fewer than 12 years. </w:t>
      </w:r>
      <w:r w:rsidR="00E604CC">
        <w:t>Primacy agencies</w:t>
      </w:r>
      <w:r w:rsidR="006929D3" w:rsidRPr="00423550">
        <w:t xml:space="preserve"> are subject to the same record retention period, except that </w:t>
      </w:r>
      <w:r w:rsidR="007606BB">
        <w:t>primacy agencies</w:t>
      </w:r>
      <w:r w:rsidR="006929D3" w:rsidRPr="00423550">
        <w:t xml:space="preserve"> are required to retain information relating to the decisions in §142.14(d)(8) until a new decision, determination, or designation has been issued, if no change is made to the </w:t>
      </w:r>
      <w:r w:rsidR="00BB55A4">
        <w:t>state</w:t>
      </w:r>
      <w:r w:rsidR="006929D3" w:rsidRPr="00423550">
        <w:t xml:space="preserve"> decision during the 12-year retention period. The Agency justified these record retention periods and received approval for them under the original 1991 </w:t>
      </w:r>
      <w:r w:rsidR="002B6EF4">
        <w:t xml:space="preserve">LCR </w:t>
      </w:r>
      <w:r w:rsidR="006929D3" w:rsidRPr="00423550">
        <w:t xml:space="preserve">ICR. </w:t>
      </w:r>
    </w:p>
    <w:p w14:paraId="10B3D3E6" w14:textId="6603FBBC" w:rsidR="006929D3" w:rsidRPr="00423550" w:rsidRDefault="00E70219" w:rsidP="00021325">
      <w:pPr>
        <w:pStyle w:val="NormalIndent"/>
      </w:pPr>
      <w:r>
        <w:t>In addition, t</w:t>
      </w:r>
      <w:r w:rsidRPr="00423550">
        <w:t xml:space="preserve">he </w:t>
      </w:r>
      <w:r w:rsidR="00150A90">
        <w:t>Proposed LCRR</w:t>
      </w:r>
      <w:r w:rsidR="006929D3" w:rsidRPr="00423550">
        <w:t xml:space="preserve"> </w:t>
      </w:r>
      <w:r w:rsidR="00D92095">
        <w:t xml:space="preserve">codifies §2106 of the WIIN Act </w:t>
      </w:r>
      <w:r w:rsidR="00EF4D97">
        <w:t xml:space="preserve">which amended </w:t>
      </w:r>
      <w:r w:rsidR="00D92095">
        <w:t xml:space="preserve"> §1414 of SDWA to require PWSs to notify customers, the </w:t>
      </w:r>
      <w:r w:rsidR="002B6EF4">
        <w:t>p</w:t>
      </w:r>
      <w:r w:rsidR="00E5250C">
        <w:t>rimacy agency</w:t>
      </w:r>
      <w:r w:rsidR="00D92095">
        <w:t xml:space="preserve">, and </w:t>
      </w:r>
      <w:r w:rsidR="00C15CD4">
        <w:t xml:space="preserve">the </w:t>
      </w:r>
      <w:r w:rsidR="00D92095">
        <w:t xml:space="preserve">EPA of a lead ALE within 24 hours of learning of the ALE. </w:t>
      </w:r>
    </w:p>
    <w:p w14:paraId="5DD4E2F6" w14:textId="77777777" w:rsidR="006929D3" w:rsidRPr="00423550" w:rsidRDefault="006929D3" w:rsidP="000C0ED7">
      <w:pPr>
        <w:pStyle w:val="Heading2"/>
      </w:pPr>
      <w:bookmarkStart w:id="56" w:name="_Toc160872059"/>
      <w:bookmarkStart w:id="57" w:name="_Toc23138969"/>
      <w:bookmarkStart w:id="58" w:name="_Toc23139119"/>
      <w:r w:rsidRPr="00423550">
        <w:t xml:space="preserve">3(f) </w:t>
      </w:r>
      <w:r w:rsidRPr="00423550">
        <w:tab/>
        <w:t>Confidentiality</w:t>
      </w:r>
      <w:bookmarkEnd w:id="56"/>
      <w:bookmarkEnd w:id="57"/>
      <w:bookmarkEnd w:id="58"/>
    </w:p>
    <w:p w14:paraId="4B13F15A" w14:textId="77777777" w:rsidR="006929D3" w:rsidRPr="00423550" w:rsidRDefault="006714B4" w:rsidP="00021325">
      <w:pPr>
        <w:pStyle w:val="NormalIndent"/>
      </w:pPr>
      <w:r>
        <w:t>No confidential information will be collected as a result of this ICR</w:t>
      </w:r>
      <w:r w:rsidR="006929D3" w:rsidRPr="00423550">
        <w:t>.</w:t>
      </w:r>
    </w:p>
    <w:p w14:paraId="571ED872" w14:textId="77777777" w:rsidR="006929D3" w:rsidRPr="00423550" w:rsidRDefault="006929D3" w:rsidP="000C0ED7">
      <w:pPr>
        <w:pStyle w:val="Heading2"/>
      </w:pPr>
      <w:bookmarkStart w:id="59" w:name="_Toc160872060"/>
      <w:bookmarkStart w:id="60" w:name="_Toc23138970"/>
      <w:bookmarkStart w:id="61" w:name="_Toc23139120"/>
      <w:r w:rsidRPr="00423550">
        <w:t xml:space="preserve">3(g) </w:t>
      </w:r>
      <w:r w:rsidRPr="00423550">
        <w:tab/>
        <w:t>Sensitive Questions</w:t>
      </w:r>
      <w:bookmarkEnd w:id="59"/>
      <w:bookmarkEnd w:id="60"/>
      <w:bookmarkEnd w:id="61"/>
    </w:p>
    <w:p w14:paraId="55626395" w14:textId="77777777" w:rsidR="00344F30" w:rsidRDefault="00B9766D" w:rsidP="00344F30">
      <w:pPr>
        <w:pStyle w:val="NormalIndent"/>
      </w:pPr>
      <w:r w:rsidRPr="00B9766D">
        <w:t>This information collection does not ask any questions concerning sexual behavior or attitudes, religious beliefs, or other matters usually considered private.</w:t>
      </w:r>
      <w:bookmarkStart w:id="62" w:name="_Toc160872061"/>
    </w:p>
    <w:p w14:paraId="3A93209F" w14:textId="77777777" w:rsidR="007E013F" w:rsidRPr="00423550" w:rsidRDefault="007E013F" w:rsidP="00344F30">
      <w:pPr>
        <w:pStyle w:val="Heading1"/>
      </w:pPr>
      <w:bookmarkStart w:id="63" w:name="_Toc23138971"/>
      <w:bookmarkStart w:id="64" w:name="_Toc23139121"/>
      <w:r w:rsidRPr="00423550">
        <w:t xml:space="preserve">4 </w:t>
      </w:r>
      <w:r w:rsidRPr="00423550">
        <w:tab/>
        <w:t>THE RESPONDENTS AND THE INFORMATION REQUESTED</w:t>
      </w:r>
      <w:bookmarkEnd w:id="62"/>
      <w:bookmarkEnd w:id="63"/>
      <w:bookmarkEnd w:id="64"/>
    </w:p>
    <w:p w14:paraId="39575744" w14:textId="77777777" w:rsidR="007E013F" w:rsidRPr="00423550" w:rsidRDefault="007E013F" w:rsidP="00021325">
      <w:pPr>
        <w:pStyle w:val="NormalIndent"/>
      </w:pPr>
      <w:r w:rsidRPr="00423550">
        <w:t>The following sections contain information on the respondents and the information they are requested to provide.</w:t>
      </w:r>
    </w:p>
    <w:p w14:paraId="66BBADEF" w14:textId="77777777" w:rsidR="007E013F" w:rsidRPr="00423550" w:rsidRDefault="007E013F" w:rsidP="005F368E">
      <w:pPr>
        <w:pStyle w:val="Heading2"/>
      </w:pPr>
      <w:bookmarkStart w:id="65" w:name="_Toc160872062"/>
      <w:bookmarkStart w:id="66" w:name="_Toc23138972"/>
      <w:bookmarkStart w:id="67" w:name="_Toc23139122"/>
      <w:r w:rsidRPr="00423550">
        <w:t xml:space="preserve">4(a) </w:t>
      </w:r>
      <w:r w:rsidRPr="00423550">
        <w:tab/>
        <w:t>Respondents/</w:t>
      </w:r>
      <w:bookmarkEnd w:id="65"/>
      <w:r w:rsidR="00B9766D" w:rsidRPr="00B9766D">
        <w:t>North American Industry Classification System Codes</w:t>
      </w:r>
      <w:bookmarkEnd w:id="66"/>
      <w:bookmarkEnd w:id="67"/>
    </w:p>
    <w:p w14:paraId="490C88AF" w14:textId="77777777" w:rsidR="00D26536" w:rsidRPr="00423550" w:rsidRDefault="00D26536" w:rsidP="00021325">
      <w:pPr>
        <w:pStyle w:val="NormalIndent"/>
      </w:pPr>
      <w:r w:rsidRPr="00423550">
        <w:t xml:space="preserve">Data associated with this ICR are collected and maintained at the </w:t>
      </w:r>
      <w:r w:rsidRPr="000C08CF">
        <w:t>PWS</w:t>
      </w:r>
      <w:r w:rsidRPr="00423550">
        <w:t xml:space="preserve">, </w:t>
      </w:r>
      <w:r w:rsidR="00BB55A4">
        <w:t>state</w:t>
      </w:r>
      <w:r w:rsidRPr="00423550">
        <w:t>, and Fede</w:t>
      </w:r>
      <w:r w:rsidR="00B9766D">
        <w:t>ral levels. Respondents include:</w:t>
      </w:r>
    </w:p>
    <w:p w14:paraId="00E479C5" w14:textId="77777777" w:rsidR="00045AAA" w:rsidRDefault="00D26536" w:rsidP="00983901">
      <w:pPr>
        <w:pStyle w:val="Bullets"/>
      </w:pPr>
      <w:r w:rsidRPr="00423550">
        <w:t xml:space="preserve">Owners/operators of PWSs, </w:t>
      </w:r>
      <w:r w:rsidR="00045AAA">
        <w:t>who must report to their primacy agency.</w:t>
      </w:r>
    </w:p>
    <w:p w14:paraId="58202606" w14:textId="77777777" w:rsidR="00D26536" w:rsidRPr="00423550" w:rsidRDefault="00E604CC" w:rsidP="00983901">
      <w:pPr>
        <w:pStyle w:val="Bullets"/>
      </w:pPr>
      <w:r>
        <w:t>Primacy agencies</w:t>
      </w:r>
      <w:r w:rsidR="00045AAA">
        <w:t xml:space="preserve">, and </w:t>
      </w:r>
      <w:r w:rsidR="00E62E42">
        <w:t>the</w:t>
      </w:r>
      <w:r w:rsidR="00045AAA">
        <w:t xml:space="preserve"> EPA Regions that act as primacy agencies for states, territories, and tribal lands that do not have primacy</w:t>
      </w:r>
      <w:r w:rsidR="00D26536" w:rsidRPr="00423550">
        <w:t>.</w:t>
      </w:r>
    </w:p>
    <w:p w14:paraId="645F9B81" w14:textId="77777777" w:rsidR="00B9766D" w:rsidRDefault="00B9766D" w:rsidP="00021325">
      <w:pPr>
        <w:pStyle w:val="NormalIndent"/>
      </w:pPr>
      <w:r w:rsidRPr="00B9766D">
        <w:t xml:space="preserve">The North American Industry Classification System (NAICS) code for </w:t>
      </w:r>
      <w:r w:rsidR="00A85FD9">
        <w:t xml:space="preserve">privately owned </w:t>
      </w:r>
      <w:r w:rsidRPr="00B9766D">
        <w:t>PWSs is 22131. The NAICS codes for state agencies that include drinking water programs are 92411 (Administration of Air and Water Resources and Solid Waste Management Programs) or 92312 (Administration of Public Health Programs). Ancillary systems (system</w:t>
      </w:r>
      <w:r>
        <w:t>s</w:t>
      </w:r>
      <w:r w:rsidRPr="00B9766D">
        <w:t xml:space="preserve"> where pro</w:t>
      </w:r>
      <w:r>
        <w:t>viding water is ancillary to a primary business, e.g.,</w:t>
      </w:r>
      <w:r w:rsidRPr="00B9766D">
        <w:t xml:space="preserve"> mobile home park</w:t>
      </w:r>
      <w:r>
        <w:t>s</w:t>
      </w:r>
      <w:r w:rsidRPr="00B9766D">
        <w:t>) cannot be categorized in a single NAICS code. For ancillary systems, the NAICS code is that of the primary establishment or industry.</w:t>
      </w:r>
    </w:p>
    <w:p w14:paraId="42DD9BAC" w14:textId="77777777" w:rsidR="004C383C" w:rsidRPr="00423550" w:rsidRDefault="004C383C" w:rsidP="005F368E">
      <w:pPr>
        <w:pStyle w:val="Heading2"/>
      </w:pPr>
      <w:bookmarkStart w:id="68" w:name="_Toc160872063"/>
      <w:bookmarkStart w:id="69" w:name="_Toc23138973"/>
      <w:bookmarkStart w:id="70" w:name="_Toc23139123"/>
      <w:r w:rsidRPr="00423550">
        <w:t xml:space="preserve">4(b) </w:t>
      </w:r>
      <w:r w:rsidR="00F41F38">
        <w:tab/>
      </w:r>
      <w:r w:rsidRPr="00423550">
        <w:t>Information Requested</w:t>
      </w:r>
      <w:bookmarkEnd w:id="68"/>
      <w:bookmarkEnd w:id="69"/>
      <w:bookmarkEnd w:id="70"/>
    </w:p>
    <w:p w14:paraId="4AAA0055" w14:textId="77777777" w:rsidR="004C383C" w:rsidRPr="00045AAA" w:rsidRDefault="00045AAA" w:rsidP="005F368E">
      <w:pPr>
        <w:pStyle w:val="Heading3"/>
      </w:pPr>
      <w:bookmarkStart w:id="71" w:name="_Toc23138974"/>
      <w:bookmarkStart w:id="72" w:name="_Toc23139124"/>
      <w:r w:rsidRPr="00045AAA">
        <w:t>4(b)</w:t>
      </w:r>
      <w:r w:rsidR="00432B6A" w:rsidRPr="00045AAA">
        <w:t>(i) Data items</w:t>
      </w:r>
      <w:bookmarkEnd w:id="71"/>
      <w:bookmarkEnd w:id="72"/>
    </w:p>
    <w:p w14:paraId="76DB9777" w14:textId="67378974" w:rsidR="00EE7E1D" w:rsidRDefault="0034332A" w:rsidP="00021325">
      <w:pPr>
        <w:pStyle w:val="NormalIndent"/>
      </w:pPr>
      <w:r>
        <w:t xml:space="preserve">For activities occurring in the first three years of implementation, </w:t>
      </w:r>
      <w:r w:rsidR="00792F80">
        <w:fldChar w:fldCharType="begin"/>
      </w:r>
      <w:r w:rsidR="00792F80">
        <w:instrText xml:space="preserve"> REF _Ref4507356 \h </w:instrText>
      </w:r>
      <w:r w:rsidR="00792F80">
        <w:fldChar w:fldCharType="separate"/>
      </w:r>
      <w:r w:rsidR="007A79EF">
        <w:t xml:space="preserve">Exhibit </w:t>
      </w:r>
      <w:r w:rsidR="007A79EF">
        <w:rPr>
          <w:noProof/>
        </w:rPr>
        <w:t>2</w:t>
      </w:r>
      <w:r w:rsidR="00792F80">
        <w:fldChar w:fldCharType="end"/>
      </w:r>
      <w:r w:rsidR="00792F80">
        <w:t xml:space="preserve"> and </w:t>
      </w:r>
      <w:r w:rsidR="0029725E">
        <w:fldChar w:fldCharType="begin"/>
      </w:r>
      <w:r w:rsidR="0029725E">
        <w:instrText xml:space="preserve"> REF _Ref4740241 \h </w:instrText>
      </w:r>
      <w:r w:rsidR="0029725E">
        <w:fldChar w:fldCharType="separate"/>
      </w:r>
      <w:r w:rsidR="007A79EF">
        <w:t xml:space="preserve">Exhibit </w:t>
      </w:r>
      <w:r w:rsidR="007A79EF">
        <w:rPr>
          <w:noProof/>
        </w:rPr>
        <w:t>3</w:t>
      </w:r>
      <w:r w:rsidR="0029725E">
        <w:fldChar w:fldCharType="end"/>
      </w:r>
      <w:r w:rsidR="00792F80">
        <w:t xml:space="preserve"> </w:t>
      </w:r>
      <w:r>
        <w:t xml:space="preserve">list the data items required from PWSs and </w:t>
      </w:r>
      <w:r w:rsidR="007606BB">
        <w:t>primacy agencies</w:t>
      </w:r>
      <w:r>
        <w:t xml:space="preserve">, respectively. </w:t>
      </w:r>
    </w:p>
    <w:p w14:paraId="614EA138" w14:textId="35D270B1" w:rsidR="00792F80" w:rsidRDefault="00792F80" w:rsidP="00792F80">
      <w:pPr>
        <w:pStyle w:val="Caption"/>
      </w:pPr>
      <w:bookmarkStart w:id="73" w:name="_Ref4507356"/>
      <w:bookmarkStart w:id="74" w:name="_Toc23139291"/>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7A79EF">
        <w:rPr>
          <w:noProof/>
        </w:rPr>
        <w:t>2</w:t>
      </w:r>
      <w:r w:rsidR="00856859">
        <w:rPr>
          <w:noProof/>
        </w:rPr>
        <w:fldChar w:fldCharType="end"/>
      </w:r>
      <w:bookmarkEnd w:id="73"/>
      <w:r>
        <w:t xml:space="preserve">. </w:t>
      </w:r>
      <w:r w:rsidRPr="00823E46">
        <w:rPr>
          <w:noProof/>
        </w:rPr>
        <w:t>Changes in PWSs Reporting Data Items</w:t>
      </w:r>
      <w:bookmarkEnd w:id="74"/>
    </w:p>
    <w:tbl>
      <w:tblPr>
        <w:tblStyle w:val="TableGrid"/>
        <w:tblW w:w="9360" w:type="dxa"/>
        <w:jc w:val="center"/>
        <w:tblLayout w:type="fixed"/>
        <w:tblCellMar>
          <w:left w:w="72" w:type="dxa"/>
          <w:right w:w="72" w:type="dxa"/>
        </w:tblCellMar>
        <w:tblLook w:val="01E0" w:firstRow="1" w:lastRow="1" w:firstColumn="1" w:lastColumn="1" w:noHBand="0" w:noVBand="0"/>
      </w:tblPr>
      <w:tblGrid>
        <w:gridCol w:w="3120"/>
        <w:gridCol w:w="3120"/>
        <w:gridCol w:w="3120"/>
      </w:tblGrid>
      <w:tr w:rsidR="0034332A" w:rsidRPr="005674E2" w14:paraId="26643A6A" w14:textId="77777777" w:rsidTr="0027766C">
        <w:trPr>
          <w:tblHeader/>
          <w:jc w:val="center"/>
        </w:trPr>
        <w:tc>
          <w:tcPr>
            <w:tcW w:w="3120" w:type="dxa"/>
            <w:vAlign w:val="center"/>
          </w:tcPr>
          <w:p w14:paraId="208BDE40" w14:textId="77777777" w:rsidR="0034332A" w:rsidRPr="00504F66" w:rsidRDefault="0034332A" w:rsidP="00504F66">
            <w:pPr>
              <w:pStyle w:val="Table"/>
              <w:jc w:val="center"/>
              <w:rPr>
                <w:b/>
              </w:rPr>
            </w:pPr>
            <w:r w:rsidRPr="00504F66">
              <w:rPr>
                <w:b/>
              </w:rPr>
              <w:t>Requirement</w:t>
            </w:r>
          </w:p>
        </w:tc>
        <w:tc>
          <w:tcPr>
            <w:tcW w:w="3120" w:type="dxa"/>
            <w:vAlign w:val="center"/>
          </w:tcPr>
          <w:p w14:paraId="30DA0F39" w14:textId="77777777" w:rsidR="0034332A" w:rsidRPr="00504F66" w:rsidRDefault="0034332A" w:rsidP="00504F66">
            <w:pPr>
              <w:pStyle w:val="Table"/>
              <w:jc w:val="center"/>
              <w:rPr>
                <w:b/>
              </w:rPr>
            </w:pPr>
            <w:r w:rsidRPr="00504F66">
              <w:rPr>
                <w:b/>
              </w:rPr>
              <w:t>Change in Requirement</w:t>
            </w:r>
          </w:p>
        </w:tc>
        <w:tc>
          <w:tcPr>
            <w:tcW w:w="3120" w:type="dxa"/>
            <w:vAlign w:val="center"/>
          </w:tcPr>
          <w:p w14:paraId="3886CC9B" w14:textId="77777777" w:rsidR="0034332A" w:rsidRPr="00504F66" w:rsidRDefault="0034332A" w:rsidP="00504F66">
            <w:pPr>
              <w:pStyle w:val="Table"/>
              <w:jc w:val="center"/>
              <w:rPr>
                <w:b/>
              </w:rPr>
            </w:pPr>
            <w:r w:rsidRPr="00504F66">
              <w:rPr>
                <w:b/>
              </w:rPr>
              <w:t>Frequency</w:t>
            </w:r>
          </w:p>
        </w:tc>
      </w:tr>
      <w:tr w:rsidR="0034332A" w:rsidRPr="005674E2" w14:paraId="7B57E903" w14:textId="77777777" w:rsidTr="0027766C">
        <w:trPr>
          <w:trHeight w:val="591"/>
          <w:jc w:val="center"/>
        </w:trPr>
        <w:tc>
          <w:tcPr>
            <w:tcW w:w="3120" w:type="dxa"/>
            <w:vAlign w:val="center"/>
          </w:tcPr>
          <w:p w14:paraId="6E21C1C2" w14:textId="77777777" w:rsidR="0034332A" w:rsidRPr="0047658E" w:rsidRDefault="0034332A" w:rsidP="00504F66">
            <w:pPr>
              <w:pStyle w:val="Table"/>
            </w:pPr>
            <w:r>
              <w:t xml:space="preserve">System reads and understands the </w:t>
            </w:r>
            <w:r w:rsidR="00C018A3">
              <w:t>LCRR</w:t>
            </w:r>
          </w:p>
        </w:tc>
        <w:tc>
          <w:tcPr>
            <w:tcW w:w="3120" w:type="dxa"/>
            <w:vAlign w:val="center"/>
          </w:tcPr>
          <w:p w14:paraId="201313BC" w14:textId="77777777" w:rsidR="0034332A" w:rsidRPr="0047658E" w:rsidRDefault="0034332A" w:rsidP="00504F66">
            <w:pPr>
              <w:pStyle w:val="Table"/>
              <w:jc w:val="center"/>
            </w:pPr>
            <w:r>
              <w:t>Implementation activity</w:t>
            </w:r>
          </w:p>
        </w:tc>
        <w:tc>
          <w:tcPr>
            <w:tcW w:w="3120" w:type="dxa"/>
            <w:vAlign w:val="center"/>
          </w:tcPr>
          <w:p w14:paraId="16E8C846" w14:textId="77777777" w:rsidR="0034332A" w:rsidRPr="00E82C11" w:rsidRDefault="0034332A" w:rsidP="00504F66">
            <w:pPr>
              <w:pStyle w:val="Table"/>
              <w:jc w:val="center"/>
            </w:pPr>
            <w:r>
              <w:t>Once</w:t>
            </w:r>
          </w:p>
        </w:tc>
      </w:tr>
      <w:tr w:rsidR="0034332A" w:rsidRPr="005674E2" w14:paraId="7BAFE633" w14:textId="77777777" w:rsidTr="0027766C">
        <w:trPr>
          <w:trHeight w:val="350"/>
          <w:jc w:val="center"/>
        </w:trPr>
        <w:tc>
          <w:tcPr>
            <w:tcW w:w="3120" w:type="dxa"/>
            <w:vAlign w:val="center"/>
          </w:tcPr>
          <w:p w14:paraId="76931225" w14:textId="77777777" w:rsidR="0034332A" w:rsidRPr="006076AB" w:rsidRDefault="0034332A" w:rsidP="00504F66">
            <w:pPr>
              <w:pStyle w:val="Table"/>
            </w:pPr>
            <w:r>
              <w:t>System assigns personnel and resources for rule implementation</w:t>
            </w:r>
          </w:p>
        </w:tc>
        <w:tc>
          <w:tcPr>
            <w:tcW w:w="3120" w:type="dxa"/>
            <w:vAlign w:val="center"/>
          </w:tcPr>
          <w:p w14:paraId="032C119A" w14:textId="77777777" w:rsidR="0034332A" w:rsidRDefault="0034332A" w:rsidP="00504F66">
            <w:pPr>
              <w:pStyle w:val="Table"/>
              <w:jc w:val="center"/>
              <w:rPr>
                <w:i/>
              </w:rPr>
            </w:pPr>
            <w:r>
              <w:t>Implementation activity</w:t>
            </w:r>
          </w:p>
        </w:tc>
        <w:tc>
          <w:tcPr>
            <w:tcW w:w="3120" w:type="dxa"/>
            <w:vAlign w:val="center"/>
          </w:tcPr>
          <w:p w14:paraId="4CABF3AC" w14:textId="77777777" w:rsidR="0034332A" w:rsidRPr="00E82C11" w:rsidRDefault="0034332A" w:rsidP="00504F66">
            <w:pPr>
              <w:pStyle w:val="Table"/>
              <w:jc w:val="center"/>
            </w:pPr>
            <w:r>
              <w:t>Once</w:t>
            </w:r>
          </w:p>
        </w:tc>
      </w:tr>
      <w:tr w:rsidR="0034332A" w:rsidRPr="005674E2" w14:paraId="2A86F1F5" w14:textId="77777777" w:rsidTr="0027766C">
        <w:trPr>
          <w:trHeight w:val="1077"/>
          <w:jc w:val="center"/>
        </w:trPr>
        <w:tc>
          <w:tcPr>
            <w:tcW w:w="3120" w:type="dxa"/>
            <w:vAlign w:val="center"/>
          </w:tcPr>
          <w:p w14:paraId="261F25C5" w14:textId="77777777" w:rsidR="0034332A" w:rsidRPr="00E82C11" w:rsidRDefault="0034332A" w:rsidP="00504F66">
            <w:pPr>
              <w:pStyle w:val="Table"/>
            </w:pPr>
            <w:r>
              <w:t xml:space="preserve">System attends training and receives technical assistance from the primacy agency during implementation of the </w:t>
            </w:r>
            <w:r w:rsidR="00C018A3">
              <w:t>LCRR</w:t>
            </w:r>
          </w:p>
        </w:tc>
        <w:tc>
          <w:tcPr>
            <w:tcW w:w="3120" w:type="dxa"/>
            <w:vAlign w:val="center"/>
          </w:tcPr>
          <w:p w14:paraId="13F8B822" w14:textId="77777777" w:rsidR="0034332A" w:rsidRPr="006076AB" w:rsidRDefault="0034332A" w:rsidP="00504F66">
            <w:pPr>
              <w:pStyle w:val="Table"/>
              <w:jc w:val="center"/>
            </w:pPr>
            <w:r>
              <w:t>Implementation activity</w:t>
            </w:r>
          </w:p>
        </w:tc>
        <w:tc>
          <w:tcPr>
            <w:tcW w:w="3120" w:type="dxa"/>
            <w:vAlign w:val="center"/>
          </w:tcPr>
          <w:p w14:paraId="47BCA15B" w14:textId="77777777" w:rsidR="0034332A" w:rsidRPr="00E82C11" w:rsidRDefault="0034332A" w:rsidP="00504F66">
            <w:pPr>
              <w:pStyle w:val="Table"/>
              <w:jc w:val="center"/>
            </w:pPr>
            <w:r>
              <w:t>Once</w:t>
            </w:r>
          </w:p>
        </w:tc>
      </w:tr>
      <w:tr w:rsidR="0027766C" w:rsidRPr="005674E2" w14:paraId="2838B05C" w14:textId="77777777" w:rsidTr="0027766C">
        <w:trPr>
          <w:trHeight w:val="1077"/>
          <w:jc w:val="center"/>
        </w:trPr>
        <w:tc>
          <w:tcPr>
            <w:tcW w:w="3120" w:type="dxa"/>
            <w:vAlign w:val="center"/>
          </w:tcPr>
          <w:p w14:paraId="15FD0BF0" w14:textId="70A07CE1" w:rsidR="0027766C" w:rsidRDefault="0027766C" w:rsidP="0027766C">
            <w:pPr>
              <w:pStyle w:val="Table"/>
            </w:pPr>
            <w:r w:rsidRPr="0063474A">
              <w:t>System develop</w:t>
            </w:r>
            <w:r w:rsidR="00E07F9F">
              <w:t>s</w:t>
            </w:r>
            <w:r w:rsidRPr="0063474A">
              <w:t xml:space="preserve"> lead service line inventory or submit</w:t>
            </w:r>
            <w:r w:rsidR="00445ADD">
              <w:t>s</w:t>
            </w:r>
            <w:r w:rsidRPr="0063474A">
              <w:t xml:space="preserve"> a demonstration to the primacy agency that they do not have lead service lines</w:t>
            </w:r>
          </w:p>
        </w:tc>
        <w:tc>
          <w:tcPr>
            <w:tcW w:w="3120" w:type="dxa"/>
            <w:vAlign w:val="center"/>
          </w:tcPr>
          <w:p w14:paraId="27BFB80D" w14:textId="77777777" w:rsidR="0027766C" w:rsidRDefault="0027766C" w:rsidP="0027766C">
            <w:pPr>
              <w:pStyle w:val="Table"/>
              <w:jc w:val="center"/>
            </w:pPr>
            <w:r>
              <w:t>Lead Service Line Inventory</w:t>
            </w:r>
          </w:p>
        </w:tc>
        <w:tc>
          <w:tcPr>
            <w:tcW w:w="3120" w:type="dxa"/>
            <w:vAlign w:val="center"/>
          </w:tcPr>
          <w:p w14:paraId="0104979A" w14:textId="77777777" w:rsidR="0027766C" w:rsidRDefault="0027766C" w:rsidP="0027766C">
            <w:pPr>
              <w:pStyle w:val="Table"/>
              <w:jc w:val="center"/>
            </w:pPr>
            <w:r>
              <w:t>Once</w:t>
            </w:r>
          </w:p>
        </w:tc>
      </w:tr>
      <w:tr w:rsidR="00E07F9F" w:rsidRPr="005674E2" w14:paraId="537F55B8" w14:textId="77777777" w:rsidTr="0027766C">
        <w:trPr>
          <w:trHeight w:val="1077"/>
          <w:jc w:val="center"/>
        </w:trPr>
        <w:tc>
          <w:tcPr>
            <w:tcW w:w="3120" w:type="dxa"/>
            <w:vAlign w:val="center"/>
          </w:tcPr>
          <w:p w14:paraId="21D282DB" w14:textId="77777777" w:rsidR="00E07F9F" w:rsidRPr="0063474A" w:rsidRDefault="00E07F9F" w:rsidP="0027766C">
            <w:pPr>
              <w:pStyle w:val="Table"/>
            </w:pPr>
            <w:r>
              <w:t xml:space="preserve">System develops a lead service replacement plan </w:t>
            </w:r>
          </w:p>
        </w:tc>
        <w:tc>
          <w:tcPr>
            <w:tcW w:w="3120" w:type="dxa"/>
            <w:vAlign w:val="center"/>
          </w:tcPr>
          <w:p w14:paraId="23F2CAD6" w14:textId="77777777" w:rsidR="00E07F9F" w:rsidRDefault="00AA47AC" w:rsidP="0027766C">
            <w:pPr>
              <w:pStyle w:val="Table"/>
              <w:jc w:val="center"/>
            </w:pPr>
            <w:r>
              <w:t>Lead Service Line Replacement</w:t>
            </w:r>
          </w:p>
        </w:tc>
        <w:tc>
          <w:tcPr>
            <w:tcW w:w="3120" w:type="dxa"/>
            <w:vAlign w:val="center"/>
          </w:tcPr>
          <w:p w14:paraId="345C4993" w14:textId="77777777" w:rsidR="00E07F9F" w:rsidRDefault="00AA47AC" w:rsidP="0027766C">
            <w:pPr>
              <w:pStyle w:val="Table"/>
              <w:jc w:val="center"/>
            </w:pPr>
            <w:r>
              <w:t>Once</w:t>
            </w:r>
          </w:p>
        </w:tc>
      </w:tr>
    </w:tbl>
    <w:p w14:paraId="570856B6" w14:textId="77777777" w:rsidR="00AC7FF0" w:rsidRDefault="00AC7FF0" w:rsidP="00AC7FF0">
      <w:pPr>
        <w:autoSpaceDE w:val="0"/>
        <w:autoSpaceDN w:val="0"/>
        <w:adjustRightInd w:val="0"/>
        <w:rPr>
          <w:sz w:val="20"/>
          <w:szCs w:val="20"/>
        </w:rPr>
      </w:pPr>
    </w:p>
    <w:p w14:paraId="75F3649F" w14:textId="0B32CFC6" w:rsidR="00792F80" w:rsidRDefault="00792F80" w:rsidP="00792F80">
      <w:pPr>
        <w:pStyle w:val="Caption"/>
      </w:pPr>
      <w:bookmarkStart w:id="75" w:name="_Ref4740241"/>
      <w:bookmarkStart w:id="76" w:name="_Toc23139292"/>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7A79EF">
        <w:rPr>
          <w:noProof/>
        </w:rPr>
        <w:t>3</w:t>
      </w:r>
      <w:r w:rsidR="00856859">
        <w:rPr>
          <w:noProof/>
        </w:rPr>
        <w:fldChar w:fldCharType="end"/>
      </w:r>
      <w:bookmarkEnd w:id="75"/>
      <w:r>
        <w:rPr>
          <w:noProof/>
        </w:rPr>
        <w:t xml:space="preserve">. </w:t>
      </w:r>
      <w:r w:rsidRPr="00141C12">
        <w:rPr>
          <w:noProof/>
        </w:rPr>
        <w:t>State/Primacy Agency Reporting Data Items</w:t>
      </w:r>
      <w:bookmarkEnd w:id="76"/>
    </w:p>
    <w:tbl>
      <w:tblPr>
        <w:tblStyle w:val="TableGrid"/>
        <w:tblW w:w="9360" w:type="dxa"/>
        <w:jc w:val="center"/>
        <w:tblLayout w:type="fixed"/>
        <w:tblCellMar>
          <w:left w:w="72" w:type="dxa"/>
          <w:right w:w="72" w:type="dxa"/>
        </w:tblCellMar>
        <w:tblLook w:val="01E0" w:firstRow="1" w:lastRow="1" w:firstColumn="1" w:lastColumn="1" w:noHBand="0" w:noVBand="0"/>
      </w:tblPr>
      <w:tblGrid>
        <w:gridCol w:w="3120"/>
        <w:gridCol w:w="3120"/>
        <w:gridCol w:w="3120"/>
      </w:tblGrid>
      <w:tr w:rsidR="0034332A" w:rsidRPr="005674E2" w14:paraId="4422E073" w14:textId="77777777" w:rsidTr="0027766C">
        <w:trPr>
          <w:tblHeader/>
          <w:jc w:val="center"/>
        </w:trPr>
        <w:tc>
          <w:tcPr>
            <w:tcW w:w="3120" w:type="dxa"/>
            <w:vAlign w:val="center"/>
          </w:tcPr>
          <w:p w14:paraId="1568262B" w14:textId="77777777" w:rsidR="0034332A" w:rsidRPr="00504F66" w:rsidRDefault="0034332A" w:rsidP="00504F66">
            <w:pPr>
              <w:pStyle w:val="Table"/>
              <w:jc w:val="center"/>
              <w:rPr>
                <w:b/>
              </w:rPr>
            </w:pPr>
            <w:r w:rsidRPr="00504F66">
              <w:rPr>
                <w:b/>
              </w:rPr>
              <w:t>Requirement</w:t>
            </w:r>
          </w:p>
        </w:tc>
        <w:tc>
          <w:tcPr>
            <w:tcW w:w="3120" w:type="dxa"/>
            <w:vAlign w:val="center"/>
          </w:tcPr>
          <w:p w14:paraId="578D0394" w14:textId="77777777" w:rsidR="0034332A" w:rsidRPr="00504F66" w:rsidRDefault="0034332A" w:rsidP="00504F66">
            <w:pPr>
              <w:pStyle w:val="Table"/>
              <w:jc w:val="center"/>
              <w:rPr>
                <w:b/>
              </w:rPr>
            </w:pPr>
            <w:r w:rsidRPr="00504F66">
              <w:rPr>
                <w:b/>
              </w:rPr>
              <w:t>Change in Requirement</w:t>
            </w:r>
          </w:p>
        </w:tc>
        <w:tc>
          <w:tcPr>
            <w:tcW w:w="3120" w:type="dxa"/>
            <w:vAlign w:val="center"/>
          </w:tcPr>
          <w:p w14:paraId="57CF3B4D" w14:textId="77777777" w:rsidR="0034332A" w:rsidRPr="00504F66" w:rsidRDefault="0034332A" w:rsidP="00504F66">
            <w:pPr>
              <w:pStyle w:val="Table"/>
              <w:jc w:val="center"/>
              <w:rPr>
                <w:b/>
              </w:rPr>
            </w:pPr>
            <w:r w:rsidRPr="00504F66">
              <w:rPr>
                <w:b/>
              </w:rPr>
              <w:t>Frequency</w:t>
            </w:r>
          </w:p>
        </w:tc>
      </w:tr>
      <w:tr w:rsidR="0034332A" w:rsidRPr="00E82C11" w14:paraId="3BED37AB" w14:textId="77777777" w:rsidTr="0027766C">
        <w:trPr>
          <w:trHeight w:val="330"/>
          <w:jc w:val="center"/>
        </w:trPr>
        <w:tc>
          <w:tcPr>
            <w:tcW w:w="3120" w:type="dxa"/>
            <w:vAlign w:val="center"/>
          </w:tcPr>
          <w:p w14:paraId="09096FB3" w14:textId="77777777" w:rsidR="0034332A" w:rsidRDefault="00E604CC" w:rsidP="00504F66">
            <w:pPr>
              <w:pStyle w:val="Table"/>
            </w:pPr>
            <w:r>
              <w:t>Primacy agency</w:t>
            </w:r>
            <w:r w:rsidR="0034332A">
              <w:t xml:space="preserve"> reads and understand</w:t>
            </w:r>
            <w:r w:rsidR="00127423">
              <w:t>s</w:t>
            </w:r>
            <w:r w:rsidR="0034332A">
              <w:t xml:space="preserve"> the </w:t>
            </w:r>
            <w:r w:rsidR="00C018A3">
              <w:t>LCRR</w:t>
            </w:r>
          </w:p>
        </w:tc>
        <w:tc>
          <w:tcPr>
            <w:tcW w:w="3120" w:type="dxa"/>
            <w:vAlign w:val="center"/>
          </w:tcPr>
          <w:p w14:paraId="4A0EEA49" w14:textId="77777777" w:rsidR="0034332A" w:rsidRPr="006E3FEB" w:rsidRDefault="0034332A" w:rsidP="00504F66">
            <w:pPr>
              <w:pStyle w:val="Table"/>
              <w:jc w:val="center"/>
            </w:pPr>
            <w:r>
              <w:t>Implementation activity</w:t>
            </w:r>
          </w:p>
        </w:tc>
        <w:tc>
          <w:tcPr>
            <w:tcW w:w="3120" w:type="dxa"/>
            <w:vAlign w:val="center"/>
          </w:tcPr>
          <w:p w14:paraId="393EDE91" w14:textId="77777777" w:rsidR="0034332A" w:rsidRPr="00E82C11" w:rsidRDefault="0034332A" w:rsidP="00504F66">
            <w:pPr>
              <w:pStyle w:val="Table"/>
              <w:jc w:val="center"/>
            </w:pPr>
            <w:r>
              <w:t>Once</w:t>
            </w:r>
          </w:p>
        </w:tc>
      </w:tr>
      <w:tr w:rsidR="0034332A" w:rsidRPr="00E82C11" w14:paraId="762C3870" w14:textId="77777777" w:rsidTr="0027766C">
        <w:trPr>
          <w:trHeight w:val="170"/>
          <w:jc w:val="center"/>
        </w:trPr>
        <w:tc>
          <w:tcPr>
            <w:tcW w:w="3120" w:type="dxa"/>
            <w:vAlign w:val="center"/>
          </w:tcPr>
          <w:p w14:paraId="167D708B" w14:textId="77777777" w:rsidR="0034332A" w:rsidRPr="006076AB" w:rsidRDefault="00E604CC" w:rsidP="00504F66">
            <w:pPr>
              <w:pStyle w:val="Table"/>
            </w:pPr>
            <w:r>
              <w:t>Primacy agency</w:t>
            </w:r>
            <w:r w:rsidR="0034332A">
              <w:t xml:space="preserve"> adopts the rule and develop</w:t>
            </w:r>
            <w:r w:rsidR="00127423">
              <w:t>s</w:t>
            </w:r>
            <w:r w:rsidR="0034332A">
              <w:t xml:space="preserve"> program to implement the </w:t>
            </w:r>
            <w:r w:rsidR="00C018A3">
              <w:t>LCRR</w:t>
            </w:r>
          </w:p>
        </w:tc>
        <w:tc>
          <w:tcPr>
            <w:tcW w:w="3120" w:type="dxa"/>
            <w:vAlign w:val="center"/>
          </w:tcPr>
          <w:p w14:paraId="65533AAB" w14:textId="77777777" w:rsidR="0034332A" w:rsidRDefault="0034332A" w:rsidP="00504F66">
            <w:pPr>
              <w:pStyle w:val="Table"/>
              <w:jc w:val="center"/>
              <w:rPr>
                <w:i/>
              </w:rPr>
            </w:pPr>
            <w:r>
              <w:t>Implementation activity</w:t>
            </w:r>
          </w:p>
        </w:tc>
        <w:tc>
          <w:tcPr>
            <w:tcW w:w="3120" w:type="dxa"/>
            <w:vAlign w:val="center"/>
          </w:tcPr>
          <w:p w14:paraId="44FE9879" w14:textId="77777777" w:rsidR="0034332A" w:rsidRPr="00E82C11" w:rsidRDefault="0034332A" w:rsidP="00504F66">
            <w:pPr>
              <w:pStyle w:val="Table"/>
              <w:jc w:val="center"/>
            </w:pPr>
            <w:r>
              <w:t>Once</w:t>
            </w:r>
          </w:p>
        </w:tc>
      </w:tr>
      <w:tr w:rsidR="0034332A" w:rsidRPr="00E82C11" w14:paraId="7DB5D51E" w14:textId="77777777" w:rsidTr="0027766C">
        <w:trPr>
          <w:trHeight w:val="188"/>
          <w:jc w:val="center"/>
        </w:trPr>
        <w:tc>
          <w:tcPr>
            <w:tcW w:w="3120" w:type="dxa"/>
            <w:vAlign w:val="center"/>
          </w:tcPr>
          <w:p w14:paraId="197E22C4" w14:textId="77777777" w:rsidR="0034332A" w:rsidRPr="00E82C11" w:rsidRDefault="00E604CC" w:rsidP="00504F66">
            <w:pPr>
              <w:pStyle w:val="Table"/>
            </w:pPr>
            <w:r>
              <w:t>Primacy agency</w:t>
            </w:r>
            <w:r w:rsidR="0034332A">
              <w:t xml:space="preserve"> modifies their data system while implementing the </w:t>
            </w:r>
            <w:r w:rsidR="00C018A3">
              <w:t>LCRR</w:t>
            </w:r>
          </w:p>
        </w:tc>
        <w:tc>
          <w:tcPr>
            <w:tcW w:w="3120" w:type="dxa"/>
            <w:vAlign w:val="center"/>
          </w:tcPr>
          <w:p w14:paraId="17087945" w14:textId="77777777" w:rsidR="0034332A" w:rsidRPr="006076AB" w:rsidRDefault="0034332A" w:rsidP="00504F66">
            <w:pPr>
              <w:pStyle w:val="Table"/>
              <w:jc w:val="center"/>
            </w:pPr>
            <w:r>
              <w:t>Implementation activity</w:t>
            </w:r>
          </w:p>
        </w:tc>
        <w:tc>
          <w:tcPr>
            <w:tcW w:w="3120" w:type="dxa"/>
            <w:vAlign w:val="center"/>
          </w:tcPr>
          <w:p w14:paraId="3B210B28" w14:textId="77777777" w:rsidR="0034332A" w:rsidRPr="00E82C11" w:rsidRDefault="0034332A" w:rsidP="00504F66">
            <w:pPr>
              <w:pStyle w:val="Table"/>
              <w:jc w:val="center"/>
            </w:pPr>
            <w:r>
              <w:t>Once</w:t>
            </w:r>
          </w:p>
        </w:tc>
      </w:tr>
      <w:tr w:rsidR="0034332A" w:rsidRPr="00E82C11" w14:paraId="27F71F30" w14:textId="77777777" w:rsidTr="0027766C">
        <w:trPr>
          <w:trHeight w:val="665"/>
          <w:jc w:val="center"/>
        </w:trPr>
        <w:tc>
          <w:tcPr>
            <w:tcW w:w="3120" w:type="dxa"/>
            <w:vAlign w:val="center"/>
          </w:tcPr>
          <w:p w14:paraId="43BDED10" w14:textId="44687120" w:rsidR="0034332A" w:rsidRPr="00FB0654" w:rsidRDefault="00E604CC" w:rsidP="00FA4521">
            <w:pPr>
              <w:pStyle w:val="Table"/>
            </w:pPr>
            <w:r>
              <w:t>Primacy agency</w:t>
            </w:r>
            <w:r w:rsidR="0034332A">
              <w:t xml:space="preserve"> provides </w:t>
            </w:r>
            <w:r w:rsidR="000A79E2">
              <w:t xml:space="preserve">internal primacy agency </w:t>
            </w:r>
            <w:r w:rsidR="0034332A">
              <w:t xml:space="preserve">staff with training and technical assistance during implementation of the </w:t>
            </w:r>
            <w:r w:rsidR="00C018A3">
              <w:t>LCRR</w:t>
            </w:r>
          </w:p>
        </w:tc>
        <w:tc>
          <w:tcPr>
            <w:tcW w:w="3120" w:type="dxa"/>
            <w:vAlign w:val="center"/>
          </w:tcPr>
          <w:p w14:paraId="683C60BE" w14:textId="77777777" w:rsidR="0034332A" w:rsidRDefault="0034332A" w:rsidP="00504F66">
            <w:pPr>
              <w:pStyle w:val="Table"/>
              <w:jc w:val="center"/>
            </w:pPr>
            <w:r>
              <w:t>Implementation activity</w:t>
            </w:r>
          </w:p>
        </w:tc>
        <w:tc>
          <w:tcPr>
            <w:tcW w:w="3120" w:type="dxa"/>
            <w:vAlign w:val="center"/>
          </w:tcPr>
          <w:p w14:paraId="6F58425F" w14:textId="77777777" w:rsidR="0034332A" w:rsidRPr="00E82C11" w:rsidRDefault="0034332A" w:rsidP="00504F66">
            <w:pPr>
              <w:pStyle w:val="Table"/>
              <w:jc w:val="center"/>
            </w:pPr>
            <w:r>
              <w:t>Once</w:t>
            </w:r>
          </w:p>
        </w:tc>
      </w:tr>
      <w:tr w:rsidR="0034332A" w:rsidRPr="00E82C11" w14:paraId="748FC16F" w14:textId="77777777" w:rsidTr="0027766C">
        <w:trPr>
          <w:trHeight w:val="179"/>
          <w:jc w:val="center"/>
        </w:trPr>
        <w:tc>
          <w:tcPr>
            <w:tcW w:w="3120" w:type="dxa"/>
            <w:vAlign w:val="center"/>
          </w:tcPr>
          <w:p w14:paraId="4E7444D6" w14:textId="6D1CD71E" w:rsidR="0034332A" w:rsidRPr="00FB0654" w:rsidRDefault="00E604CC" w:rsidP="00FA4521">
            <w:pPr>
              <w:pStyle w:val="Table"/>
            </w:pPr>
            <w:r>
              <w:t>Primacy agency</w:t>
            </w:r>
            <w:r w:rsidR="0034332A">
              <w:t xml:space="preserve"> provides </w:t>
            </w:r>
            <w:r w:rsidR="000A79E2">
              <w:t>system</w:t>
            </w:r>
            <w:r w:rsidR="00FA4521">
              <w:t xml:space="preserve"> </w:t>
            </w:r>
            <w:r w:rsidR="0034332A">
              <w:t xml:space="preserve">staff with training for implementation of the </w:t>
            </w:r>
            <w:r w:rsidR="00C018A3">
              <w:t>LCRR</w:t>
            </w:r>
          </w:p>
        </w:tc>
        <w:tc>
          <w:tcPr>
            <w:tcW w:w="3120" w:type="dxa"/>
            <w:vAlign w:val="center"/>
          </w:tcPr>
          <w:p w14:paraId="5D819BC2" w14:textId="77777777" w:rsidR="0034332A" w:rsidRDefault="0034332A" w:rsidP="00504F66">
            <w:pPr>
              <w:pStyle w:val="Table"/>
              <w:jc w:val="center"/>
            </w:pPr>
            <w:r>
              <w:t>Implementation activity</w:t>
            </w:r>
          </w:p>
        </w:tc>
        <w:tc>
          <w:tcPr>
            <w:tcW w:w="3120" w:type="dxa"/>
            <w:vAlign w:val="center"/>
          </w:tcPr>
          <w:p w14:paraId="50414F65" w14:textId="77777777" w:rsidR="0034332A" w:rsidRPr="00E82C11" w:rsidRDefault="0034332A" w:rsidP="00504F66">
            <w:pPr>
              <w:pStyle w:val="Table"/>
              <w:jc w:val="center"/>
            </w:pPr>
            <w:r>
              <w:t>Once</w:t>
            </w:r>
          </w:p>
        </w:tc>
      </w:tr>
      <w:tr w:rsidR="00EF1824" w:rsidRPr="00E82C11" w14:paraId="0FA5AB68" w14:textId="77777777" w:rsidTr="0027766C">
        <w:trPr>
          <w:trHeight w:val="179"/>
          <w:jc w:val="center"/>
        </w:trPr>
        <w:tc>
          <w:tcPr>
            <w:tcW w:w="3120" w:type="dxa"/>
            <w:vAlign w:val="center"/>
          </w:tcPr>
          <w:p w14:paraId="1090C533" w14:textId="48FCA20F" w:rsidR="00EF1824" w:rsidRDefault="00EF1824" w:rsidP="00EF1824">
            <w:pPr>
              <w:pStyle w:val="Table"/>
            </w:pPr>
            <w:r>
              <w:t>Primacy agency</w:t>
            </w:r>
            <w:r w:rsidRPr="0063474A">
              <w:t xml:space="preserve"> </w:t>
            </w:r>
            <w:r>
              <w:t>assists systems with creation of LSL inventory and reviews submission of inventory</w:t>
            </w:r>
          </w:p>
        </w:tc>
        <w:tc>
          <w:tcPr>
            <w:tcW w:w="3120" w:type="dxa"/>
            <w:vAlign w:val="center"/>
          </w:tcPr>
          <w:p w14:paraId="1CE9DE37" w14:textId="3E2DD25B" w:rsidR="00EF1824" w:rsidRDefault="00EF1824" w:rsidP="00EF1824">
            <w:pPr>
              <w:pStyle w:val="Table"/>
              <w:jc w:val="center"/>
            </w:pPr>
            <w:r>
              <w:t>Lead Service Line Inventory</w:t>
            </w:r>
          </w:p>
        </w:tc>
        <w:tc>
          <w:tcPr>
            <w:tcW w:w="3120" w:type="dxa"/>
            <w:vAlign w:val="center"/>
          </w:tcPr>
          <w:p w14:paraId="52FEAFA8" w14:textId="7EEBB25D" w:rsidR="00EF1824" w:rsidRDefault="00EF1824" w:rsidP="00EF1824">
            <w:pPr>
              <w:pStyle w:val="Table"/>
              <w:jc w:val="center"/>
            </w:pPr>
            <w:r>
              <w:t>Once</w:t>
            </w:r>
          </w:p>
        </w:tc>
      </w:tr>
      <w:tr w:rsidR="0027766C" w:rsidRPr="00E82C11" w14:paraId="2CB1CFD0" w14:textId="77777777" w:rsidTr="0027766C">
        <w:trPr>
          <w:trHeight w:val="179"/>
          <w:jc w:val="center"/>
        </w:trPr>
        <w:tc>
          <w:tcPr>
            <w:tcW w:w="3120" w:type="dxa"/>
            <w:vAlign w:val="center"/>
          </w:tcPr>
          <w:p w14:paraId="49FCC72B" w14:textId="77777777" w:rsidR="0027766C" w:rsidRDefault="00E604CC" w:rsidP="0027766C">
            <w:pPr>
              <w:pStyle w:val="Table"/>
            </w:pPr>
            <w:r>
              <w:t>Primacy agency</w:t>
            </w:r>
            <w:r w:rsidR="0027766C" w:rsidRPr="0063474A">
              <w:t xml:space="preserve"> reviews demonstration of no lead service lines from systems</w:t>
            </w:r>
          </w:p>
        </w:tc>
        <w:tc>
          <w:tcPr>
            <w:tcW w:w="3120" w:type="dxa"/>
            <w:vAlign w:val="center"/>
          </w:tcPr>
          <w:p w14:paraId="0171A29A" w14:textId="77777777" w:rsidR="0027766C" w:rsidRDefault="0027766C" w:rsidP="0027766C">
            <w:pPr>
              <w:pStyle w:val="Table"/>
              <w:jc w:val="center"/>
            </w:pPr>
            <w:r>
              <w:t>Lead Service Line Inventory</w:t>
            </w:r>
          </w:p>
        </w:tc>
        <w:tc>
          <w:tcPr>
            <w:tcW w:w="3120" w:type="dxa"/>
            <w:vAlign w:val="center"/>
          </w:tcPr>
          <w:p w14:paraId="7F77A996" w14:textId="77777777" w:rsidR="0027766C" w:rsidRDefault="0027766C" w:rsidP="0027766C">
            <w:pPr>
              <w:pStyle w:val="Table"/>
              <w:jc w:val="center"/>
            </w:pPr>
            <w:r>
              <w:t>Once</w:t>
            </w:r>
          </w:p>
        </w:tc>
      </w:tr>
      <w:tr w:rsidR="00AA47AC" w:rsidRPr="00E82C11" w14:paraId="2FCEC239" w14:textId="77777777" w:rsidTr="0027766C">
        <w:trPr>
          <w:trHeight w:val="179"/>
          <w:jc w:val="center"/>
        </w:trPr>
        <w:tc>
          <w:tcPr>
            <w:tcW w:w="3120" w:type="dxa"/>
            <w:vAlign w:val="center"/>
          </w:tcPr>
          <w:p w14:paraId="3C7E285E" w14:textId="537EC67E" w:rsidR="00AA47AC" w:rsidRPr="0063474A" w:rsidRDefault="00E604CC" w:rsidP="002C2B30">
            <w:pPr>
              <w:pStyle w:val="Table"/>
            </w:pPr>
            <w:r>
              <w:t>Primacy agency</w:t>
            </w:r>
            <w:r w:rsidR="00AA47AC">
              <w:t xml:space="preserve"> reviews lead service </w:t>
            </w:r>
            <w:r w:rsidR="00EF1E5B">
              <w:t xml:space="preserve">line </w:t>
            </w:r>
            <w:r w:rsidR="00AA47AC">
              <w:t xml:space="preserve">replacement plan </w:t>
            </w:r>
          </w:p>
        </w:tc>
        <w:tc>
          <w:tcPr>
            <w:tcW w:w="3120" w:type="dxa"/>
            <w:vAlign w:val="center"/>
          </w:tcPr>
          <w:p w14:paraId="4EDF74C4" w14:textId="77777777" w:rsidR="00AA47AC" w:rsidRDefault="00AA47AC" w:rsidP="00AA47AC">
            <w:pPr>
              <w:pStyle w:val="Table"/>
              <w:jc w:val="center"/>
            </w:pPr>
            <w:r>
              <w:t>Lead Service Line Replacement</w:t>
            </w:r>
          </w:p>
        </w:tc>
        <w:tc>
          <w:tcPr>
            <w:tcW w:w="3120" w:type="dxa"/>
            <w:vAlign w:val="center"/>
          </w:tcPr>
          <w:p w14:paraId="6D8F5C24" w14:textId="77777777" w:rsidR="00AA47AC" w:rsidRDefault="00AA47AC" w:rsidP="00AA47AC">
            <w:pPr>
              <w:pStyle w:val="Table"/>
              <w:jc w:val="center"/>
            </w:pPr>
            <w:r>
              <w:t>Once</w:t>
            </w:r>
          </w:p>
        </w:tc>
      </w:tr>
    </w:tbl>
    <w:p w14:paraId="29FDC2F9" w14:textId="77777777" w:rsidR="00AC7FF0" w:rsidRDefault="00AC7FF0" w:rsidP="00AC7FF0">
      <w:pPr>
        <w:autoSpaceDE w:val="0"/>
        <w:autoSpaceDN w:val="0"/>
        <w:adjustRightInd w:val="0"/>
        <w:jc w:val="center"/>
        <w:rPr>
          <w:b/>
          <w:bCs/>
        </w:rPr>
      </w:pPr>
    </w:p>
    <w:p w14:paraId="072DA220" w14:textId="77777777" w:rsidR="00AA1AF8" w:rsidRPr="00045AAA" w:rsidRDefault="00045AAA" w:rsidP="000C0ED7">
      <w:pPr>
        <w:pStyle w:val="Heading3"/>
      </w:pPr>
      <w:bookmarkStart w:id="77" w:name="_Toc23138975"/>
      <w:bookmarkStart w:id="78" w:name="_Toc23139125"/>
      <w:r w:rsidRPr="00045AAA">
        <w:t>4(b)</w:t>
      </w:r>
      <w:r w:rsidR="00A566CB" w:rsidRPr="00045AAA">
        <w:t>(ii) Respondent Activities</w:t>
      </w:r>
      <w:bookmarkEnd w:id="77"/>
      <w:bookmarkEnd w:id="78"/>
    </w:p>
    <w:p w14:paraId="7CB16D07" w14:textId="77777777" w:rsidR="00D071C5" w:rsidRDefault="00983901" w:rsidP="00983901">
      <w:pPr>
        <w:pStyle w:val="Heading4"/>
      </w:pPr>
      <w:bookmarkStart w:id="79" w:name="_Toc23138976"/>
      <w:r>
        <w:t>Reading and U</w:t>
      </w:r>
      <w:r w:rsidR="00D071C5">
        <w:t xml:space="preserve">nderstanding the </w:t>
      </w:r>
      <w:r w:rsidR="00C018A3">
        <w:t>LCRR</w:t>
      </w:r>
      <w:bookmarkEnd w:id="79"/>
    </w:p>
    <w:p w14:paraId="3DB0A9B8" w14:textId="77777777" w:rsidR="00BD0EC9" w:rsidRDefault="00BD0EC9" w:rsidP="00983901">
      <w:pPr>
        <w:pStyle w:val="Heading5"/>
      </w:pPr>
      <w:r w:rsidRPr="00423550">
        <w:t xml:space="preserve">Activities for </w:t>
      </w:r>
      <w:r w:rsidR="00D071C5">
        <w:t>Systems</w:t>
      </w:r>
    </w:p>
    <w:p w14:paraId="3D6BBB34" w14:textId="77777777" w:rsidR="00D071C5" w:rsidRPr="000C0ED7" w:rsidRDefault="00D071C5" w:rsidP="00983901">
      <w:pPr>
        <w:pStyle w:val="NormalIndent"/>
      </w:pPr>
      <w:r>
        <w:t xml:space="preserve">Systems are required to read and understand the rule as part of the implementation of the </w:t>
      </w:r>
      <w:r w:rsidR="00C018A3">
        <w:t>LCRR</w:t>
      </w:r>
      <w:r>
        <w:t>.</w:t>
      </w:r>
    </w:p>
    <w:p w14:paraId="68F99F0B" w14:textId="77777777" w:rsidR="00BD0EC9" w:rsidRDefault="00BD0EC9" w:rsidP="00EC602C">
      <w:pPr>
        <w:pStyle w:val="Heading5"/>
      </w:pPr>
      <w:r w:rsidRPr="00423550">
        <w:t xml:space="preserve">Activities for </w:t>
      </w:r>
      <w:r w:rsidR="00D071C5">
        <w:t>Primacy Agencies</w:t>
      </w:r>
    </w:p>
    <w:p w14:paraId="4B574B14" w14:textId="77777777" w:rsidR="00D071C5" w:rsidRPr="007419AC" w:rsidRDefault="00E604CC" w:rsidP="00983901">
      <w:pPr>
        <w:pStyle w:val="NormalIndent"/>
      </w:pPr>
      <w:r>
        <w:t>Primacy agencies</w:t>
      </w:r>
      <w:r w:rsidR="00D071C5">
        <w:t xml:space="preserve"> are required to read and understand the rule as part of the </w:t>
      </w:r>
      <w:r w:rsidR="00504F66">
        <w:t>i</w:t>
      </w:r>
      <w:r w:rsidR="00D071C5">
        <w:t xml:space="preserve">mplementation of the </w:t>
      </w:r>
      <w:r w:rsidR="00C018A3">
        <w:t>LCRR</w:t>
      </w:r>
      <w:r w:rsidR="00D071C5">
        <w:t>.</w:t>
      </w:r>
    </w:p>
    <w:p w14:paraId="6EE80F30" w14:textId="77777777" w:rsidR="00D071C5" w:rsidRPr="000C0ED7" w:rsidRDefault="00983901" w:rsidP="00983901">
      <w:pPr>
        <w:pStyle w:val="Heading4"/>
      </w:pPr>
      <w:bookmarkStart w:id="80" w:name="_Toc23138977"/>
      <w:r>
        <w:t>Adopting and I</w:t>
      </w:r>
      <w:r w:rsidR="00D071C5">
        <w:t xml:space="preserve">mplementing the </w:t>
      </w:r>
      <w:r w:rsidR="00C018A3">
        <w:t>LCRR</w:t>
      </w:r>
      <w:bookmarkEnd w:id="80"/>
    </w:p>
    <w:p w14:paraId="579B84DE" w14:textId="77777777" w:rsidR="00D071C5" w:rsidRDefault="00D071C5" w:rsidP="00983901">
      <w:pPr>
        <w:pStyle w:val="Heading5"/>
      </w:pPr>
      <w:r w:rsidRPr="00423550">
        <w:t xml:space="preserve">Activities for </w:t>
      </w:r>
      <w:r>
        <w:t>Systems</w:t>
      </w:r>
    </w:p>
    <w:p w14:paraId="0445302A" w14:textId="77777777" w:rsidR="00D071C5" w:rsidRDefault="00D071C5" w:rsidP="00983901">
      <w:pPr>
        <w:pStyle w:val="NormalIndent"/>
      </w:pPr>
      <w:r>
        <w:t xml:space="preserve">Systems must conduct planning and mobilization for the implementation of the </w:t>
      </w:r>
      <w:r w:rsidR="00C018A3">
        <w:t>LCRR</w:t>
      </w:r>
      <w:r>
        <w:t>, including 1) assigning personnel and resources, and 2) dedicating staff to attend training and receive technical assistance from the primacy agency.</w:t>
      </w:r>
    </w:p>
    <w:p w14:paraId="6D5563DE" w14:textId="77777777" w:rsidR="00D071C5" w:rsidRDefault="00D071C5" w:rsidP="00983901">
      <w:pPr>
        <w:pStyle w:val="Heading5"/>
      </w:pPr>
      <w:r w:rsidRPr="00423550">
        <w:t xml:space="preserve">Activities for </w:t>
      </w:r>
      <w:r>
        <w:t>Primacy Agencies</w:t>
      </w:r>
    </w:p>
    <w:p w14:paraId="7FE526B8" w14:textId="1F9B7461" w:rsidR="0034332A" w:rsidRDefault="00E604CC" w:rsidP="00983901">
      <w:pPr>
        <w:pStyle w:val="NormalIndent"/>
      </w:pPr>
      <w:r>
        <w:t>Primacy agencies</w:t>
      </w:r>
      <w:r w:rsidR="0034332A" w:rsidRPr="000C0ED7">
        <w:t xml:space="preserve"> </w:t>
      </w:r>
      <w:r w:rsidR="0034332A">
        <w:t>must</w:t>
      </w:r>
      <w:r w:rsidR="00FA4521">
        <w:t xml:space="preserve"> 1) adopt the rule and develop a program to implement the LCRR, 2) modify their data management systems, 3)</w:t>
      </w:r>
      <w:r w:rsidR="000A79E2" w:rsidRPr="000A79E2">
        <w:t xml:space="preserve"> </w:t>
      </w:r>
      <w:r w:rsidR="000A79E2">
        <w:t>train internal staff for implementation of the LCRR</w:t>
      </w:r>
      <w:r w:rsidR="00FA4521">
        <w:t>, and 4)</w:t>
      </w:r>
      <w:r w:rsidR="000A79E2" w:rsidRPr="000A79E2">
        <w:t xml:space="preserve"> </w:t>
      </w:r>
      <w:r w:rsidR="000A79E2">
        <w:t>provide system staff with training and technical assistance</w:t>
      </w:r>
      <w:r w:rsidR="0034332A">
        <w:t xml:space="preserve">. </w:t>
      </w:r>
    </w:p>
    <w:p w14:paraId="150B506A" w14:textId="77777777" w:rsidR="0027766C" w:rsidRDefault="0027766C" w:rsidP="0027766C">
      <w:pPr>
        <w:pStyle w:val="Heading4"/>
      </w:pPr>
      <w:bookmarkStart w:id="81" w:name="_Toc23138978"/>
      <w:r>
        <w:t>Developing and reporting the lead service line inventory</w:t>
      </w:r>
      <w:bookmarkEnd w:id="81"/>
    </w:p>
    <w:p w14:paraId="6E18B7D0" w14:textId="77777777" w:rsidR="0027766C" w:rsidRDefault="0027766C" w:rsidP="0027766C">
      <w:pPr>
        <w:pStyle w:val="Heading5"/>
      </w:pPr>
      <w:r w:rsidRPr="00423550">
        <w:t xml:space="preserve">Activities for </w:t>
      </w:r>
      <w:r>
        <w:t>Systems</w:t>
      </w:r>
    </w:p>
    <w:p w14:paraId="4550A770" w14:textId="41DD3A02" w:rsidR="0027766C" w:rsidRPr="0027766C" w:rsidRDefault="0027766C" w:rsidP="0027766C">
      <w:r>
        <w:tab/>
        <w:t xml:space="preserve">Systems with </w:t>
      </w:r>
      <w:r w:rsidR="005E5A5E">
        <w:t>LSLs</w:t>
      </w:r>
      <w:r>
        <w:t xml:space="preserve"> must prepare a service line material inventory that identifies </w:t>
      </w:r>
      <w:r w:rsidR="005E5A5E">
        <w:t xml:space="preserve">LSLs </w:t>
      </w:r>
      <w:r>
        <w:t xml:space="preserve">within the first three years. The inventory does not need to be developed if the system has an existing inventory that meets the standards of the </w:t>
      </w:r>
      <w:r w:rsidR="00C018A3">
        <w:t>LCRR</w:t>
      </w:r>
      <w:r>
        <w:t xml:space="preserve"> or if the system does not have lead service lines and can demonstrate that to the primacy agency.</w:t>
      </w:r>
      <w:r w:rsidR="001F2124">
        <w:t xml:space="preserve"> </w:t>
      </w:r>
    </w:p>
    <w:p w14:paraId="42345DB6" w14:textId="77777777" w:rsidR="0027766C" w:rsidRPr="0027766C" w:rsidRDefault="0027766C" w:rsidP="0027766C"/>
    <w:p w14:paraId="6DFBE9C7" w14:textId="77777777" w:rsidR="0027766C" w:rsidRDefault="0027766C" w:rsidP="0027766C">
      <w:pPr>
        <w:pStyle w:val="Heading5"/>
      </w:pPr>
      <w:r w:rsidRPr="00423550">
        <w:t xml:space="preserve">Activities for </w:t>
      </w:r>
      <w:r>
        <w:t>Primacy Agencies</w:t>
      </w:r>
    </w:p>
    <w:p w14:paraId="74446F40" w14:textId="5B7561B7" w:rsidR="0027766C" w:rsidRDefault="0027766C" w:rsidP="0027766C">
      <w:r>
        <w:tab/>
      </w:r>
      <w:r w:rsidR="00E604CC">
        <w:t>Primacy agencies</w:t>
      </w:r>
      <w:r>
        <w:t xml:space="preserve"> must </w:t>
      </w:r>
      <w:r w:rsidR="00547019">
        <w:t>provide assistance to systems with the creation of LSL inventor</w:t>
      </w:r>
      <w:r w:rsidR="00AE14EF">
        <w:t>ies</w:t>
      </w:r>
      <w:r w:rsidR="00547019">
        <w:t xml:space="preserve">. Primacy agencies must also </w:t>
      </w:r>
      <w:r>
        <w:t xml:space="preserve">review the submissions from systems </w:t>
      </w:r>
      <w:r w:rsidR="00A278E1">
        <w:t>for completeness of LSL inventory and submissions</w:t>
      </w:r>
      <w:r>
        <w:t xml:space="preserve"> that demonstrate the system does not have any within the first three years. </w:t>
      </w:r>
    </w:p>
    <w:p w14:paraId="006CE31D" w14:textId="77777777" w:rsidR="00AA47AC" w:rsidRDefault="00AA47AC" w:rsidP="0027766C"/>
    <w:p w14:paraId="6C51828F" w14:textId="77777777" w:rsidR="00AA47AC" w:rsidRDefault="00AA47AC" w:rsidP="00AA47AC">
      <w:pPr>
        <w:pStyle w:val="Heading4"/>
      </w:pPr>
      <w:bookmarkStart w:id="82" w:name="_Toc23138979"/>
      <w:r>
        <w:t>Developing and reporting the lead service line replacement plan</w:t>
      </w:r>
      <w:bookmarkEnd w:id="82"/>
    </w:p>
    <w:p w14:paraId="0E0A9C8B" w14:textId="77777777" w:rsidR="00AA47AC" w:rsidRDefault="00AA47AC" w:rsidP="00AA47AC">
      <w:pPr>
        <w:pStyle w:val="Heading5"/>
      </w:pPr>
      <w:r w:rsidRPr="00423550">
        <w:t xml:space="preserve">Activities for </w:t>
      </w:r>
      <w:r>
        <w:t>Systems</w:t>
      </w:r>
    </w:p>
    <w:p w14:paraId="4824316D" w14:textId="77777777" w:rsidR="00AA47AC" w:rsidRDefault="00AA47AC" w:rsidP="00AA47AC">
      <w:r>
        <w:tab/>
        <w:t xml:space="preserve">Systems with LSLs must create a lead service line replacement plan. The plan would include: </w:t>
      </w:r>
    </w:p>
    <w:p w14:paraId="2F88ED87" w14:textId="77777777" w:rsidR="00AA47AC" w:rsidRPr="00AA47AC" w:rsidRDefault="00AA47AC" w:rsidP="00AA47AC"/>
    <w:p w14:paraId="330D2019" w14:textId="77777777" w:rsidR="00AA47AC" w:rsidRPr="00AA47AC" w:rsidRDefault="00AA47AC" w:rsidP="00AA47AC">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communication plan to alert consumers before LSLR. The plan must include customer notification within 24 hours of emergency repairs and within 45 days o</w:t>
      </w:r>
      <w:r w:rsidR="00986121">
        <w:rPr>
          <w:rFonts w:ascii="Times New Roman" w:hAnsi="Times New Roman" w:cs="Times New Roman"/>
          <w:sz w:val="24"/>
          <w:szCs w:val="24"/>
        </w:rPr>
        <w:t>f planned full or partial LSLR</w:t>
      </w:r>
    </w:p>
    <w:p w14:paraId="19952092" w14:textId="77777777" w:rsidR="00AA47AC" w:rsidRPr="00AA47AC" w:rsidRDefault="00AA47AC" w:rsidP="00AA47AC">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Procedures for coordinating the full LSLR where the ownership is shared betwe</w:t>
      </w:r>
      <w:r w:rsidR="00986121">
        <w:rPr>
          <w:rFonts w:ascii="Times New Roman" w:hAnsi="Times New Roman" w:cs="Times New Roman"/>
          <w:sz w:val="24"/>
          <w:szCs w:val="24"/>
        </w:rPr>
        <w:t>en the system and the homeowner</w:t>
      </w:r>
    </w:p>
    <w:p w14:paraId="090F5171" w14:textId="77777777" w:rsidR="00AA47AC" w:rsidRPr="00AA47AC" w:rsidRDefault="00AA47AC" w:rsidP="00AA47AC">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fundi</w:t>
      </w:r>
      <w:r w:rsidR="00986121">
        <w:rPr>
          <w:rFonts w:ascii="Times New Roman" w:hAnsi="Times New Roman" w:cs="Times New Roman"/>
          <w:sz w:val="24"/>
          <w:szCs w:val="24"/>
        </w:rPr>
        <w:t>ng strategy for conducting LSLR</w:t>
      </w:r>
      <w:r w:rsidRPr="00AA47AC">
        <w:rPr>
          <w:rFonts w:ascii="Times New Roman" w:hAnsi="Times New Roman" w:cs="Times New Roman"/>
          <w:sz w:val="24"/>
          <w:szCs w:val="24"/>
        </w:rPr>
        <w:t xml:space="preserve"> </w:t>
      </w:r>
    </w:p>
    <w:p w14:paraId="2BB40BB5" w14:textId="77777777" w:rsidR="00AA47AC" w:rsidRPr="00AA47AC" w:rsidRDefault="00AA47AC" w:rsidP="00AA47AC">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pitcher filte</w:t>
      </w:r>
      <w:r w:rsidR="00986121">
        <w:rPr>
          <w:rFonts w:ascii="Times New Roman" w:hAnsi="Times New Roman" w:cs="Times New Roman"/>
          <w:sz w:val="24"/>
          <w:szCs w:val="24"/>
        </w:rPr>
        <w:t>r tracking and maintenance plan.</w:t>
      </w:r>
      <w:r w:rsidRPr="00AA47AC">
        <w:rPr>
          <w:rFonts w:ascii="Times New Roman" w:hAnsi="Times New Roman" w:cs="Times New Roman"/>
          <w:sz w:val="24"/>
          <w:szCs w:val="24"/>
        </w:rPr>
        <w:t xml:space="preserve"> </w:t>
      </w:r>
    </w:p>
    <w:p w14:paraId="3531E650" w14:textId="77777777" w:rsidR="00AA47AC" w:rsidRPr="0027766C" w:rsidRDefault="00AA47AC" w:rsidP="00AA47AC"/>
    <w:p w14:paraId="565D5072" w14:textId="77777777" w:rsidR="00AA47AC" w:rsidRDefault="00AA47AC" w:rsidP="00AA47AC">
      <w:pPr>
        <w:pStyle w:val="Heading5"/>
      </w:pPr>
      <w:r w:rsidRPr="00423550">
        <w:t xml:space="preserve">Activities for </w:t>
      </w:r>
      <w:r>
        <w:t>Primacy Agencies</w:t>
      </w:r>
    </w:p>
    <w:p w14:paraId="54E406E5" w14:textId="5456996C" w:rsidR="00AA47AC" w:rsidRDefault="00AA47AC" w:rsidP="00AA47AC">
      <w:r>
        <w:tab/>
      </w:r>
      <w:r w:rsidR="00E604CC">
        <w:t>Primacy agencies</w:t>
      </w:r>
      <w:r>
        <w:t xml:space="preserve"> must</w:t>
      </w:r>
      <w:r w:rsidR="00415776">
        <w:t xml:space="preserve"> confer with systems and</w:t>
      </w:r>
      <w:r>
        <w:t xml:space="preserve"> review the lead service line replacement plans </w:t>
      </w:r>
      <w:r w:rsidR="002C2B30">
        <w:t>submitted by systems</w:t>
      </w:r>
      <w:r>
        <w:t xml:space="preserve">. </w:t>
      </w:r>
    </w:p>
    <w:p w14:paraId="4AE96518" w14:textId="77777777" w:rsidR="00AA47AC" w:rsidRDefault="00AA47AC" w:rsidP="0027766C"/>
    <w:p w14:paraId="76D824C1" w14:textId="77777777" w:rsidR="00FD2D01" w:rsidRPr="00A46240" w:rsidRDefault="00FD2D01" w:rsidP="00983901">
      <w:pPr>
        <w:pStyle w:val="Heading4"/>
      </w:pPr>
      <w:bookmarkStart w:id="83" w:name="_Toc23138980"/>
      <w:r>
        <w:t xml:space="preserve">Additional Activities Required by </w:t>
      </w:r>
      <w:r w:rsidR="00C018A3">
        <w:t>LCRR</w:t>
      </w:r>
      <w:bookmarkEnd w:id="83"/>
    </w:p>
    <w:p w14:paraId="5D06F48D" w14:textId="25671784" w:rsidR="0034332A" w:rsidRDefault="00792F80" w:rsidP="00983901">
      <w:pPr>
        <w:pStyle w:val="NormalIndent"/>
      </w:pPr>
      <w:r>
        <w:fldChar w:fldCharType="begin"/>
      </w:r>
      <w:r>
        <w:instrText xml:space="preserve"> REF _Ref4507333 \h </w:instrText>
      </w:r>
      <w:r>
        <w:fldChar w:fldCharType="separate"/>
      </w:r>
      <w:r w:rsidR="007A79EF">
        <w:t xml:space="preserve">Exhibit </w:t>
      </w:r>
      <w:r w:rsidR="007A79EF">
        <w:rPr>
          <w:noProof/>
        </w:rPr>
        <w:t>1</w:t>
      </w:r>
      <w:r>
        <w:fldChar w:fldCharType="end"/>
      </w:r>
      <w:r>
        <w:t xml:space="preserve"> </w:t>
      </w:r>
      <w:r w:rsidR="0034332A">
        <w:t xml:space="preserve">in </w:t>
      </w:r>
      <w:r>
        <w:t>Section 1</w:t>
      </w:r>
      <w:r w:rsidR="0034332A">
        <w:t xml:space="preserve"> summarizes additional activities required by the </w:t>
      </w:r>
      <w:r w:rsidR="00B95A89">
        <w:t xml:space="preserve">proposed </w:t>
      </w:r>
      <w:r w:rsidR="00C018A3">
        <w:t>LCRR</w:t>
      </w:r>
      <w:r w:rsidR="0034332A">
        <w:t xml:space="preserve"> that will take place after the initial three years.</w:t>
      </w:r>
      <w:r w:rsidR="0034332A" w:rsidRPr="00423550">
        <w:t xml:space="preserve"> </w:t>
      </w:r>
    </w:p>
    <w:p w14:paraId="6EE0A98D" w14:textId="77777777" w:rsidR="00CF00D6" w:rsidRPr="00423550" w:rsidRDefault="00CF00D6" w:rsidP="00CF00D6">
      <w:pPr>
        <w:pStyle w:val="Heading1"/>
      </w:pPr>
      <w:bookmarkStart w:id="84" w:name="_Toc23138981"/>
      <w:bookmarkStart w:id="85" w:name="_Toc23139126"/>
      <w:r>
        <w:t>5</w:t>
      </w:r>
      <w:r>
        <w:tab/>
      </w:r>
      <w:r w:rsidRPr="00CF00D6">
        <w:t>THE INFORMATION COLLECTED—AGENCY ACTIVITIES, COLLECTION METHODOLOGY, AND INFORMATION MANAGEMENT</w:t>
      </w:r>
      <w:bookmarkEnd w:id="84"/>
      <w:bookmarkEnd w:id="85"/>
    </w:p>
    <w:p w14:paraId="3BD56861" w14:textId="77777777" w:rsidR="00484C51" w:rsidRPr="00423550" w:rsidRDefault="00484C51" w:rsidP="0038118E">
      <w:pPr>
        <w:pStyle w:val="Heading2"/>
      </w:pPr>
      <w:bookmarkStart w:id="86" w:name="_Toc160872066"/>
      <w:bookmarkStart w:id="87" w:name="_Toc23138982"/>
      <w:bookmarkStart w:id="88" w:name="_Toc23139127"/>
      <w:r w:rsidRPr="00423550">
        <w:t xml:space="preserve">5(a) </w:t>
      </w:r>
      <w:r w:rsidR="00883D78" w:rsidRPr="00423550">
        <w:tab/>
      </w:r>
      <w:r w:rsidRPr="00423550">
        <w:t>Agency Activities</w:t>
      </w:r>
      <w:bookmarkEnd w:id="86"/>
      <w:bookmarkEnd w:id="87"/>
      <w:bookmarkEnd w:id="88"/>
    </w:p>
    <w:p w14:paraId="05122948" w14:textId="77777777" w:rsidR="00484C51" w:rsidRPr="00423550" w:rsidRDefault="00484C51" w:rsidP="00021325">
      <w:pPr>
        <w:pStyle w:val="NormalIndent"/>
      </w:pPr>
      <w:r w:rsidRPr="00423550">
        <w:t xml:space="preserve">The Agency is responsible for promulgating and overseeing the implementation of the </w:t>
      </w:r>
      <w:r w:rsidR="005173B4">
        <w:t>revision</w:t>
      </w:r>
      <w:r w:rsidR="00266F7C">
        <w:t>s</w:t>
      </w:r>
      <w:r w:rsidRPr="00423550">
        <w:t xml:space="preserve"> to the LCR. The Agency is involved in the following activities that assist </w:t>
      </w:r>
      <w:r w:rsidR="007606BB">
        <w:t>primacy agencies</w:t>
      </w:r>
      <w:r w:rsidRPr="00423550">
        <w:t xml:space="preserve"> in implementing the modifications:</w:t>
      </w:r>
    </w:p>
    <w:p w14:paraId="24C6730B" w14:textId="77777777" w:rsidR="00484C51" w:rsidRPr="00423550" w:rsidRDefault="00484C51" w:rsidP="00983901">
      <w:pPr>
        <w:pStyle w:val="Bullets"/>
      </w:pPr>
      <w:r w:rsidRPr="00423550">
        <w:t xml:space="preserve">Develop the </w:t>
      </w:r>
      <w:r w:rsidR="00266F7C">
        <w:t>revised</w:t>
      </w:r>
      <w:r w:rsidR="00883D78" w:rsidRPr="00423550">
        <w:t xml:space="preserve"> </w:t>
      </w:r>
      <w:r w:rsidRPr="00423550">
        <w:t>regulations</w:t>
      </w:r>
    </w:p>
    <w:p w14:paraId="6C383633" w14:textId="77777777" w:rsidR="00127423" w:rsidRDefault="00484C51" w:rsidP="00983901">
      <w:pPr>
        <w:pStyle w:val="Bullets"/>
      </w:pPr>
      <w:r w:rsidRPr="00423550">
        <w:t xml:space="preserve">Respond to questions on the </w:t>
      </w:r>
      <w:r w:rsidR="00266F7C">
        <w:t>revised</w:t>
      </w:r>
      <w:r w:rsidR="00883D78" w:rsidRPr="00423550">
        <w:t xml:space="preserve"> </w:t>
      </w:r>
      <w:r w:rsidR="005173B4">
        <w:t>regulations</w:t>
      </w:r>
      <w:r w:rsidR="00381F71">
        <w:t>.</w:t>
      </w:r>
    </w:p>
    <w:p w14:paraId="43842E20" w14:textId="68E4D9FD" w:rsidR="00127423" w:rsidRDefault="003A725C" w:rsidP="003A725C">
      <w:pPr>
        <w:pStyle w:val="NormalIndent"/>
      </w:pPr>
      <w:r>
        <w:t>The Agency will also conduct primacy activities in states, tribes, and territories that do not have primacy. Specifically, EPA Regions will be involved in the following activities:</w:t>
      </w:r>
    </w:p>
    <w:p w14:paraId="6C543D68" w14:textId="2F53A617" w:rsidR="00B95A89" w:rsidRDefault="00B95A89" w:rsidP="003A725C">
      <w:pPr>
        <w:pStyle w:val="Bullets"/>
      </w:pPr>
      <w:r>
        <w:t>Reviewing LSL inventories.</w:t>
      </w:r>
    </w:p>
    <w:p w14:paraId="40EA552C" w14:textId="7EFDDEAB" w:rsidR="003A725C" w:rsidRDefault="00D23847" w:rsidP="003A725C">
      <w:pPr>
        <w:pStyle w:val="Bullets"/>
      </w:pPr>
      <w:r>
        <w:t>Reviewing demonstrations of no lead service lines from systems</w:t>
      </w:r>
    </w:p>
    <w:p w14:paraId="78D240C3" w14:textId="0BF2CBB0" w:rsidR="00D23847" w:rsidRDefault="00D23847" w:rsidP="003A725C">
      <w:pPr>
        <w:pStyle w:val="Bullets"/>
      </w:pPr>
      <w:r>
        <w:t>Reviewing lead service line replacement plans.</w:t>
      </w:r>
    </w:p>
    <w:p w14:paraId="350B797E" w14:textId="59E37239" w:rsidR="00D23847" w:rsidRPr="00D23847" w:rsidRDefault="00D23847" w:rsidP="00D23847">
      <w:pPr>
        <w:pStyle w:val="NormalIndent"/>
      </w:pPr>
      <w:r w:rsidRPr="00D23847">
        <w:t xml:space="preserve">However, burden and costs for these activities are accounted for under the primacy agency burden (see section 6). </w:t>
      </w:r>
    </w:p>
    <w:p w14:paraId="1440ABF8" w14:textId="77777777" w:rsidR="00883D78" w:rsidRPr="00423550" w:rsidRDefault="00883D78" w:rsidP="0038118E">
      <w:pPr>
        <w:pStyle w:val="Heading2"/>
      </w:pPr>
      <w:bookmarkStart w:id="89" w:name="_Toc160872067"/>
      <w:bookmarkStart w:id="90" w:name="_Toc23138983"/>
      <w:bookmarkStart w:id="91" w:name="_Toc23139128"/>
      <w:r w:rsidRPr="00423550">
        <w:t xml:space="preserve">5(b) </w:t>
      </w:r>
      <w:r w:rsidRPr="00423550">
        <w:tab/>
        <w:t>Col</w:t>
      </w:r>
      <w:r w:rsidR="003D2CC4">
        <w:t>lection Methodology a</w:t>
      </w:r>
      <w:r w:rsidRPr="00423550">
        <w:t>nd Management</w:t>
      </w:r>
      <w:bookmarkEnd w:id="89"/>
      <w:bookmarkEnd w:id="90"/>
      <w:bookmarkEnd w:id="91"/>
    </w:p>
    <w:p w14:paraId="101210BA" w14:textId="7AFF71F9" w:rsidR="00883D78" w:rsidRPr="00423550" w:rsidRDefault="00883D78" w:rsidP="00021325">
      <w:pPr>
        <w:pStyle w:val="NormalIndent"/>
      </w:pPr>
      <w:r w:rsidRPr="0079196D">
        <w:t xml:space="preserve">The data generated as a result of the </w:t>
      </w:r>
      <w:r w:rsidR="00DC717E" w:rsidRPr="0079196D">
        <w:t xml:space="preserve">regulatory changes </w:t>
      </w:r>
      <w:r w:rsidRPr="0079196D">
        <w:t>will be integrated in the existing quarterly SDWIS repo</w:t>
      </w:r>
      <w:r w:rsidR="00DC717E" w:rsidRPr="0079196D">
        <w:t>rting process</w:t>
      </w:r>
      <w:r w:rsidR="007624F1" w:rsidRPr="0079196D">
        <w:t xml:space="preserve">. </w:t>
      </w:r>
      <w:r w:rsidR="00DC717E" w:rsidRPr="0079196D">
        <w:t>The</w:t>
      </w:r>
      <w:r w:rsidR="00DC717E">
        <w:t xml:space="preserve"> collection methodology and management of SDWIS is described in the </w:t>
      </w:r>
      <w:r w:rsidR="001C09C2">
        <w:t xml:space="preserve">ICR entitled </w:t>
      </w:r>
      <w:r w:rsidR="00632E3D">
        <w:rPr>
          <w:i/>
        </w:rPr>
        <w:t>Public Water System Supervision Program</w:t>
      </w:r>
      <w:r w:rsidR="004043A5" w:rsidRPr="004043A5">
        <w:rPr>
          <w:i/>
        </w:rPr>
        <w:t xml:space="preserve"> (</w:t>
      </w:r>
      <w:r w:rsidR="004043A5" w:rsidRPr="00632E3D">
        <w:t>OMB control number 2040-0</w:t>
      </w:r>
      <w:r w:rsidR="00632E3D">
        <w:t>090</w:t>
      </w:r>
      <w:r w:rsidR="00D9214D">
        <w:t xml:space="preserve">; </w:t>
      </w:r>
      <w:r w:rsidR="00D9214D" w:rsidRPr="00D9214D">
        <w:t xml:space="preserve">EPA </w:t>
      </w:r>
      <w:r w:rsidR="00D9214D">
        <w:t xml:space="preserve">ID </w:t>
      </w:r>
      <w:r w:rsidR="00D9214D" w:rsidRPr="00D9214D">
        <w:t>0270.46</w:t>
      </w:r>
      <w:r w:rsidR="004043A5" w:rsidRPr="00632E3D">
        <w:t>)</w:t>
      </w:r>
      <w:r w:rsidR="00DC717E">
        <w:t>.</w:t>
      </w:r>
    </w:p>
    <w:p w14:paraId="20187BED" w14:textId="77777777" w:rsidR="00883D78" w:rsidRPr="00423550" w:rsidRDefault="00883D78" w:rsidP="0038118E">
      <w:pPr>
        <w:pStyle w:val="Heading2"/>
      </w:pPr>
      <w:bookmarkStart w:id="92" w:name="_Toc160872068"/>
      <w:bookmarkStart w:id="93" w:name="_Toc23138984"/>
      <w:bookmarkStart w:id="94" w:name="_Toc23139129"/>
      <w:r w:rsidRPr="0079196D">
        <w:t xml:space="preserve">5(c) </w:t>
      </w:r>
      <w:r w:rsidRPr="0079196D">
        <w:tab/>
        <w:t>Small Entity Flexibility</w:t>
      </w:r>
      <w:bookmarkEnd w:id="92"/>
      <w:bookmarkEnd w:id="93"/>
      <w:bookmarkEnd w:id="94"/>
    </w:p>
    <w:p w14:paraId="6656EA18" w14:textId="77777777" w:rsidR="00266F7C" w:rsidRDefault="00266F7C" w:rsidP="00021325">
      <w:pPr>
        <w:pStyle w:val="NormalIndent"/>
      </w:pPr>
      <w:r>
        <w:t xml:space="preserve">In developing the revisions to the LCR ICR, </w:t>
      </w:r>
      <w:r w:rsidR="00E62E42">
        <w:t>the</w:t>
      </w:r>
      <w:r>
        <w:t xml:space="preserve"> EPA considered the requirement of the Small Business Regulatory Enforcement Fairness Act (SBREFA) to minimize the burden of information collections on small entities. Small entities include “small businesses,” “small organizations” and </w:t>
      </w:r>
      <w:r w:rsidR="00B276C0">
        <w:t>“small government jurisdictions,</w:t>
      </w:r>
      <w:r>
        <w:t xml:space="preserve">” </w:t>
      </w:r>
      <w:r w:rsidR="00B276C0">
        <w:t>and are</w:t>
      </w:r>
      <w:r>
        <w:t xml:space="preserve"> defined </w:t>
      </w:r>
      <w:r w:rsidR="00B276C0">
        <w:t>as follows:</w:t>
      </w:r>
    </w:p>
    <w:p w14:paraId="2F5F80FF" w14:textId="77777777" w:rsidR="00B276C0" w:rsidRDefault="00266F7C" w:rsidP="00983901">
      <w:pPr>
        <w:pStyle w:val="Bullets"/>
      </w:pPr>
      <w:r>
        <w:t>A small business is any business that is independently owned and operated and not dominant in its field, as defined by the Small Business Administration regulations under section 3 of the Small Business Act.</w:t>
      </w:r>
    </w:p>
    <w:p w14:paraId="7DE48E26" w14:textId="77777777" w:rsidR="00B276C0" w:rsidRDefault="00266F7C" w:rsidP="00983901">
      <w:pPr>
        <w:pStyle w:val="Bullets"/>
      </w:pPr>
      <w:r>
        <w:t>A small organization is any non-profit enterprise that is independently owned and operated and not dominant in its field.</w:t>
      </w:r>
    </w:p>
    <w:p w14:paraId="442E4E00" w14:textId="77777777" w:rsidR="00266F7C" w:rsidRDefault="00266F7C" w:rsidP="00983901">
      <w:pPr>
        <w:pStyle w:val="Bullets"/>
      </w:pPr>
      <w:r>
        <w:t xml:space="preserve">A small governmental jurisdiction is the government of a city, county, town, township, village, school district, or special district that has a population of fewer than 50,000. This definition may also include </w:t>
      </w:r>
      <w:r w:rsidR="00B276C0">
        <w:t>tribal governments</w:t>
      </w:r>
      <w:r>
        <w:t>.</w:t>
      </w:r>
    </w:p>
    <w:p w14:paraId="3F733C21" w14:textId="77777777" w:rsidR="00883D78" w:rsidRPr="00423550" w:rsidRDefault="00266F7C" w:rsidP="00021325">
      <w:pPr>
        <w:pStyle w:val="NormalIndent"/>
      </w:pPr>
      <w:r>
        <w:t>The major requirement under SBREFA is a regulatory flexibility analysis of all rules that have a “significant economic impact on a substantial number of small entities.”</w:t>
      </w:r>
      <w:r w:rsidR="00883D78" w:rsidRPr="00423550">
        <w:t xml:space="preserve"> </w:t>
      </w:r>
    </w:p>
    <w:p w14:paraId="42D68791" w14:textId="767414C2" w:rsidR="0048008A" w:rsidRDefault="00E62E42" w:rsidP="00021325">
      <w:pPr>
        <w:pStyle w:val="NormalIndent"/>
      </w:pPr>
      <w:r>
        <w:t xml:space="preserve">The </w:t>
      </w:r>
      <w:r w:rsidR="00FB7532" w:rsidRPr="009820CB">
        <w:t xml:space="preserve">EPA considered the particular needs of small </w:t>
      </w:r>
      <w:r w:rsidR="00A85FD9">
        <w:t>businesses, small governments, and small organizations</w:t>
      </w:r>
      <w:r w:rsidR="00FB7532" w:rsidRPr="009820CB">
        <w:t xml:space="preserve"> when proposing rule changes in the </w:t>
      </w:r>
      <w:r w:rsidR="00C018A3">
        <w:t>LCRR</w:t>
      </w:r>
      <w:r w:rsidR="00FB7532" w:rsidRPr="009820CB">
        <w:t xml:space="preserve">. For example, </w:t>
      </w:r>
      <w:r>
        <w:t>the</w:t>
      </w:r>
      <w:r w:rsidR="00FB7532" w:rsidRPr="009820CB">
        <w:t xml:space="preserve"> </w:t>
      </w:r>
      <w:r w:rsidR="0048008A">
        <w:t xml:space="preserve">EPA has prepared a Regulatory Flexibility Act analysis for the </w:t>
      </w:r>
      <w:r w:rsidR="009F5BB6">
        <w:t>Proposed Rule</w:t>
      </w:r>
      <w:r w:rsidR="0048008A">
        <w:t>, which can be found in the Economic Analysis</w:t>
      </w:r>
      <w:r w:rsidR="007624F1">
        <w:t>.</w:t>
      </w:r>
      <w:r w:rsidR="00A85FD9">
        <w:t xml:space="preserve"> </w:t>
      </w:r>
      <w:r>
        <w:t>The</w:t>
      </w:r>
      <w:r w:rsidR="00A85FD9">
        <w:t xml:space="preserve"> </w:t>
      </w:r>
      <w:r w:rsidR="0048008A">
        <w:t xml:space="preserve">EPA recognizes that </w:t>
      </w:r>
      <w:r w:rsidR="009F5BB6">
        <w:t>many</w:t>
      </w:r>
      <w:r w:rsidR="0048008A">
        <w:t xml:space="preserve"> water systems are sm</w:t>
      </w:r>
      <w:r w:rsidR="00DE306D">
        <w:t xml:space="preserve">all entities; therefore, the </w:t>
      </w:r>
      <w:r w:rsidR="00C018A3">
        <w:t>LCRR</w:t>
      </w:r>
      <w:r w:rsidR="0048008A">
        <w:t xml:space="preserve"> reduces to the extent practicable and appropriate the burden on PWSs, especially smaller systems. The regulations include the following examples of reduced burden for small systems</w:t>
      </w:r>
      <w:r w:rsidR="00A25DB8">
        <w:t xml:space="preserve">, </w:t>
      </w:r>
      <w:r w:rsidR="00D9214D">
        <w:t>most</w:t>
      </w:r>
      <w:r w:rsidR="00A25DB8">
        <w:t xml:space="preserve"> of which occur outside of the three years discussed in this ICR</w:t>
      </w:r>
      <w:r w:rsidR="0048008A">
        <w:t>:</w:t>
      </w:r>
    </w:p>
    <w:p w14:paraId="3B1BADC0" w14:textId="77777777" w:rsidR="0048008A" w:rsidRDefault="0048008A" w:rsidP="002034F3">
      <w:pPr>
        <w:pStyle w:val="Bullets"/>
      </w:pPr>
      <w:r>
        <w:t xml:space="preserve">Different </w:t>
      </w:r>
      <w:r w:rsidR="009F5BB6">
        <w:t xml:space="preserve">monitoring, </w:t>
      </w:r>
      <w:r>
        <w:t>compliance</w:t>
      </w:r>
      <w:r w:rsidR="009F5BB6">
        <w:t>,</w:t>
      </w:r>
      <w:r>
        <w:t xml:space="preserve"> or reporting requirements or schedules that take into account the resources available to smaller water systems. </w:t>
      </w:r>
    </w:p>
    <w:p w14:paraId="2FE5840E" w14:textId="77777777" w:rsidR="0048008A" w:rsidRDefault="0048008A" w:rsidP="002034F3">
      <w:pPr>
        <w:pStyle w:val="Bullets"/>
      </w:pPr>
      <w:r>
        <w:t>Consolidated or simplified compliance and reporting requirements.</w:t>
      </w:r>
    </w:p>
    <w:p w14:paraId="1307D6BE" w14:textId="77777777" w:rsidR="00B037A1" w:rsidRDefault="0048008A" w:rsidP="002034F3">
      <w:pPr>
        <w:pStyle w:val="Bullets"/>
      </w:pPr>
      <w:r>
        <w:t>No unnecessary or redundant requirements.</w:t>
      </w:r>
    </w:p>
    <w:p w14:paraId="2EC5FFB5" w14:textId="77777777" w:rsidR="00B037A1" w:rsidRPr="00423550" w:rsidRDefault="00B037A1" w:rsidP="0038118E">
      <w:pPr>
        <w:pStyle w:val="Heading2"/>
      </w:pPr>
      <w:bookmarkStart w:id="95" w:name="_Toc160872069"/>
      <w:bookmarkStart w:id="96" w:name="_Toc23138985"/>
      <w:bookmarkStart w:id="97" w:name="_Toc23139130"/>
      <w:r w:rsidRPr="00C01CAF">
        <w:t xml:space="preserve">5(d) </w:t>
      </w:r>
      <w:r w:rsidRPr="00C01CAF">
        <w:tab/>
        <w:t>Collection Schedule</w:t>
      </w:r>
      <w:bookmarkEnd w:id="95"/>
      <w:bookmarkEnd w:id="96"/>
      <w:bookmarkEnd w:id="97"/>
    </w:p>
    <w:p w14:paraId="7CEF7D92" w14:textId="368A9EE7" w:rsidR="005911AB" w:rsidRPr="00423550" w:rsidRDefault="005911AB" w:rsidP="00021325">
      <w:pPr>
        <w:pStyle w:val="NormalIndent"/>
      </w:pPr>
      <w:r w:rsidRPr="00423550">
        <w:t xml:space="preserve">For both the LCR and </w:t>
      </w:r>
      <w:r w:rsidR="00150A90">
        <w:t>Proposed LCRR</w:t>
      </w:r>
      <w:r w:rsidRPr="00423550">
        <w:t xml:space="preserve"> the Agency considered a wide range of alternatives for frequency of data collection and </w:t>
      </w:r>
      <w:r w:rsidR="0053501C">
        <w:t xml:space="preserve">chose </w:t>
      </w:r>
      <w:r w:rsidRPr="00423550">
        <w:t>the option that requires the least frequent collection possible while still</w:t>
      </w:r>
      <w:r w:rsidR="00BB2E1B">
        <w:t xml:space="preserve"> protecting public health. When </w:t>
      </w:r>
      <w:r w:rsidRPr="00423550">
        <w:t xml:space="preserve">possible, </w:t>
      </w:r>
      <w:r w:rsidR="0053501C">
        <w:t xml:space="preserve">primacy agency </w:t>
      </w:r>
      <w:r w:rsidRPr="00423550">
        <w:t xml:space="preserve">discretion in adjusting these frequencies has been allowed. Monitoring frequencies for PWSs have been carefully devised based on the following factors: system size, source </w:t>
      </w:r>
      <w:r w:rsidR="0053501C">
        <w:t xml:space="preserve">water </w:t>
      </w:r>
      <w:r w:rsidRPr="00423550">
        <w:t>type, system</w:t>
      </w:r>
      <w:r w:rsidR="0053501C">
        <w:t xml:space="preserve"> type (e.g., CWS</w:t>
      </w:r>
      <w:r w:rsidR="002A696A">
        <w:t xml:space="preserve"> and</w:t>
      </w:r>
      <w:r w:rsidR="0053501C">
        <w:t xml:space="preserve"> NTNCWS)</w:t>
      </w:r>
      <w:r w:rsidRPr="00423550">
        <w:t xml:space="preserve">, and contaminant </w:t>
      </w:r>
      <w:r w:rsidR="00B95A89">
        <w:t xml:space="preserve">monitoring </w:t>
      </w:r>
      <w:r w:rsidRPr="00423550">
        <w:t>history.</w:t>
      </w:r>
      <w:r w:rsidR="0038118E">
        <w:t xml:space="preserve"> The collection schedule for the first three years assumes that systems and primacy agencies will conduct all rule implementation activities in the first year. </w:t>
      </w:r>
    </w:p>
    <w:p w14:paraId="0AB13A6F" w14:textId="2DE53179" w:rsidR="005911AB" w:rsidRPr="009820CB" w:rsidRDefault="005911AB" w:rsidP="002034F3">
      <w:pPr>
        <w:pStyle w:val="NormalIndent"/>
      </w:pPr>
      <w:r w:rsidRPr="009820CB">
        <w:t xml:space="preserve">Some of the regulatory changes associated with the </w:t>
      </w:r>
      <w:r w:rsidR="00150A90">
        <w:t>Proposed LCRR</w:t>
      </w:r>
      <w:r w:rsidR="008514F4" w:rsidRPr="009820CB">
        <w:t xml:space="preserve"> </w:t>
      </w:r>
      <w:r w:rsidR="0038118E">
        <w:t xml:space="preserve">in subsequent years </w:t>
      </w:r>
      <w:r w:rsidRPr="009820CB">
        <w:t xml:space="preserve">increase the frequency of data collection and reporting. </w:t>
      </w:r>
      <w:r w:rsidR="00E62E42">
        <w:t>The</w:t>
      </w:r>
      <w:r w:rsidRPr="009820CB">
        <w:t xml:space="preserve"> EPA h</w:t>
      </w:r>
      <w:r w:rsidR="002034F3">
        <w:t xml:space="preserve">as deemed this change necessary </w:t>
      </w:r>
      <w:r w:rsidRPr="009820CB">
        <w:t xml:space="preserve">to continue to protect public health and ensure the quality of drinking water. </w:t>
      </w:r>
    </w:p>
    <w:p w14:paraId="4C1B797C" w14:textId="77777777" w:rsidR="000B17BF" w:rsidRPr="0027584B" w:rsidRDefault="000B17BF" w:rsidP="0038118E">
      <w:pPr>
        <w:pStyle w:val="Heading1"/>
      </w:pPr>
      <w:bookmarkStart w:id="98" w:name="_Toc160872070"/>
      <w:bookmarkStart w:id="99" w:name="_Toc23138986"/>
      <w:bookmarkStart w:id="100" w:name="_Toc23139131"/>
      <w:r w:rsidRPr="0027584B">
        <w:t xml:space="preserve">6. </w:t>
      </w:r>
      <w:r w:rsidRPr="0027584B">
        <w:tab/>
        <w:t>ESTIMATING THE BURDEN AND COST OF THE COLLECTION</w:t>
      </w:r>
      <w:bookmarkEnd w:id="98"/>
      <w:bookmarkEnd w:id="99"/>
      <w:bookmarkEnd w:id="100"/>
    </w:p>
    <w:p w14:paraId="5510569F" w14:textId="437BB909" w:rsidR="00C203D5" w:rsidRPr="0027584B" w:rsidRDefault="00C203D5" w:rsidP="002034F3">
      <w:pPr>
        <w:pStyle w:val="NormalIndent"/>
      </w:pPr>
      <w:r w:rsidRPr="0027584B">
        <w:t xml:space="preserve">This section describes the estimates of burden and </w:t>
      </w:r>
      <w:r>
        <w:t xml:space="preserve">direct </w:t>
      </w:r>
      <w:r w:rsidRPr="0027584B">
        <w:t xml:space="preserve">costs to </w:t>
      </w:r>
      <w:r w:rsidR="00066B78">
        <w:t xml:space="preserve">water systems and </w:t>
      </w:r>
      <w:r w:rsidR="007606BB">
        <w:t>primacy agencies</w:t>
      </w:r>
      <w:r w:rsidDel="002A61D7">
        <w:t xml:space="preserve"> </w:t>
      </w:r>
      <w:r>
        <w:t xml:space="preserve">associated with the proposed </w:t>
      </w:r>
      <w:r w:rsidRPr="0027584B">
        <w:t>regulatory changes.</w:t>
      </w:r>
      <w:r w:rsidRPr="0027584B">
        <w:rPr>
          <w:rStyle w:val="FootnoteReference"/>
        </w:rPr>
        <w:footnoteReference w:id="10"/>
      </w:r>
      <w:r w:rsidRPr="0027584B">
        <w:t xml:space="preserve"> This ICR only focuses on the</w:t>
      </w:r>
      <w:r>
        <w:t xml:space="preserve"> incremental changes to burden and costs that will result from the </w:t>
      </w:r>
      <w:r w:rsidR="00C018A3">
        <w:t>LCRR</w:t>
      </w:r>
      <w:r w:rsidR="00F8006D">
        <w:t xml:space="preserve"> based on the proposed revisions</w:t>
      </w:r>
      <w:r>
        <w:t xml:space="preserve">. The burden and costs associated the other elements of the </w:t>
      </w:r>
      <w:r w:rsidR="00896295">
        <w:t>LCR</w:t>
      </w:r>
      <w:r>
        <w:t xml:space="preserve"> </w:t>
      </w:r>
      <w:r w:rsidR="00D9214D">
        <w:t xml:space="preserve">will </w:t>
      </w:r>
      <w:r>
        <w:t xml:space="preserve">continue to be described and accounted for in the </w:t>
      </w:r>
      <w:r w:rsidR="001C09C2">
        <w:t xml:space="preserve">ICR </w:t>
      </w:r>
      <w:r w:rsidR="001C09C2" w:rsidRPr="001C09C2">
        <w:t xml:space="preserve">entitled </w:t>
      </w:r>
      <w:r w:rsidR="001C09C2" w:rsidRPr="001C09C2">
        <w:rPr>
          <w:i/>
        </w:rPr>
        <w:t>Disinfectants/Disinfection Byproducts, Chemical, and Radionuclides</w:t>
      </w:r>
      <w:r w:rsidR="001C09C2" w:rsidRPr="001C09C2">
        <w:t xml:space="preserve"> (OMB control number 2040-0204</w:t>
      </w:r>
      <w:r w:rsidR="00D9214D">
        <w:t xml:space="preserve">; EPA ID 1896.10 </w:t>
      </w:r>
      <w:r w:rsidR="008A02C0">
        <w:t xml:space="preserve">for </w:t>
      </w:r>
      <w:r w:rsidR="00D9214D">
        <w:t>approved</w:t>
      </w:r>
      <w:r w:rsidR="008A02C0">
        <w:t xml:space="preserve"> collection</w:t>
      </w:r>
      <w:r w:rsidR="00D9214D">
        <w:t xml:space="preserve"> and EPA ID 1896.11 renewal </w:t>
      </w:r>
      <w:r w:rsidR="003C4FD0">
        <w:t>submitted August 2019</w:t>
      </w:r>
      <w:r w:rsidR="00D9214D">
        <w:t>)</w:t>
      </w:r>
      <w:r w:rsidRPr="0027584B">
        <w:t xml:space="preserve">. </w:t>
      </w:r>
    </w:p>
    <w:p w14:paraId="6ED80406" w14:textId="77777777" w:rsidR="000B17BF" w:rsidRPr="0027584B" w:rsidRDefault="000B17BF" w:rsidP="002034F3">
      <w:pPr>
        <w:pStyle w:val="NormalIndent"/>
      </w:pPr>
      <w:r>
        <w:t>The burden and cost estimates in this ICR are based on the calculations documented in the Economic Analysis and Supporting Analyses for the Regulatory Revisions to the Lead and Copper Rule</w:t>
      </w:r>
      <w:r w:rsidR="00B128E9">
        <w:t xml:space="preserve">. </w:t>
      </w:r>
      <w:r>
        <w:t>Major underlying assumptions</w:t>
      </w:r>
      <w:r w:rsidR="0038118E">
        <w:t>,</w:t>
      </w:r>
      <w:r>
        <w:t xml:space="preserve"> data sources</w:t>
      </w:r>
      <w:r w:rsidR="0038118E">
        <w:t>, and calculations are detailed in</w:t>
      </w:r>
      <w:r>
        <w:t xml:space="preserve"> in the Economic Analysis.</w:t>
      </w:r>
      <w:r w:rsidR="00292CBC">
        <w:t xml:space="preserve"> </w:t>
      </w:r>
    </w:p>
    <w:p w14:paraId="701F5A74" w14:textId="77777777" w:rsidR="000B17BF" w:rsidRDefault="000B17BF" w:rsidP="0038118E">
      <w:pPr>
        <w:pStyle w:val="Heading2"/>
      </w:pPr>
      <w:bookmarkStart w:id="101" w:name="_Toc160872071"/>
      <w:bookmarkStart w:id="102" w:name="_Toc23138987"/>
      <w:bookmarkStart w:id="103" w:name="_Toc23139132"/>
      <w:r w:rsidRPr="0027584B">
        <w:t xml:space="preserve">6(a) </w:t>
      </w:r>
      <w:r w:rsidRPr="0027584B">
        <w:tab/>
        <w:t>Estimating Respondent Burden</w:t>
      </w:r>
      <w:bookmarkEnd w:id="101"/>
      <w:bookmarkEnd w:id="102"/>
      <w:bookmarkEnd w:id="103"/>
    </w:p>
    <w:p w14:paraId="7DDE1324" w14:textId="226B05EC" w:rsidR="00F967F6" w:rsidRPr="00EC602C" w:rsidRDefault="00786106" w:rsidP="00021325">
      <w:pPr>
        <w:pStyle w:val="NormalIndent"/>
      </w:pPr>
      <w:r>
        <w:t xml:space="preserve">The following sections discuss the burden faced by PWSs and </w:t>
      </w:r>
      <w:r w:rsidR="00A067CC">
        <w:t>primacy agencies</w:t>
      </w:r>
      <w:r w:rsidR="00B276C0">
        <w:t>.</w:t>
      </w:r>
      <w:r w:rsidR="00583E88">
        <w:t xml:space="preserve"> The EPA </w:t>
      </w:r>
      <w:r w:rsidR="00D9214D">
        <w:t>developed</w:t>
      </w:r>
      <w:r w:rsidR="00583E88">
        <w:t xml:space="preserve"> a low</w:t>
      </w:r>
      <w:r w:rsidR="00D9214D">
        <w:t>-</w:t>
      </w:r>
      <w:r w:rsidR="00583E88">
        <w:t>cost</w:t>
      </w:r>
      <w:r w:rsidR="00D9214D">
        <w:t xml:space="preserve"> scenario</w:t>
      </w:r>
      <w:r w:rsidR="00583E88">
        <w:t xml:space="preserve"> and </w:t>
      </w:r>
      <w:r w:rsidR="00D9214D">
        <w:t xml:space="preserve">a </w:t>
      </w:r>
      <w:r w:rsidR="00583E88">
        <w:t>high</w:t>
      </w:r>
      <w:r w:rsidR="00D9214D">
        <w:t>-</w:t>
      </w:r>
      <w:r w:rsidR="00583E88">
        <w:t xml:space="preserve">cost scenario </w:t>
      </w:r>
      <w:r w:rsidR="00D9214D">
        <w:t xml:space="preserve">to estimate </w:t>
      </w:r>
      <w:r w:rsidR="00583E88">
        <w:t>the costs and benefits of the proposed rule</w:t>
      </w:r>
      <w:r w:rsidR="00D9214D">
        <w:t>. The</w:t>
      </w:r>
      <w:r w:rsidR="00583E88">
        <w:t xml:space="preserve"> ranges presented in this ICR represent those scenarios</w:t>
      </w:r>
      <w:r w:rsidR="00D9214D">
        <w:t xml:space="preserve">, which include low and high national estimates of </w:t>
      </w:r>
      <w:r w:rsidR="00EF7C17">
        <w:t xml:space="preserve">the number of </w:t>
      </w:r>
      <w:r w:rsidR="00D9214D">
        <w:t>LSLs.</w:t>
      </w:r>
      <w:r w:rsidR="00583E88">
        <w:t xml:space="preserve"> The </w:t>
      </w:r>
      <w:r w:rsidR="00583E88" w:rsidRPr="005048A2">
        <w:t>EPA used data from Cornwell et al. (2016)</w:t>
      </w:r>
      <w:r w:rsidR="00583E88">
        <w:rPr>
          <w:rStyle w:val="FootnoteReference"/>
        </w:rPr>
        <w:footnoteReference w:id="11"/>
      </w:r>
      <w:r w:rsidR="00583E88" w:rsidRPr="005048A2">
        <w:t xml:space="preserve"> to generate the </w:t>
      </w:r>
      <w:r w:rsidR="00D9214D">
        <w:t>LSL estimate</w:t>
      </w:r>
      <w:r w:rsidR="00583E88" w:rsidRPr="005048A2">
        <w:t xml:space="preserve"> </w:t>
      </w:r>
      <w:r w:rsidR="00746316">
        <w:t xml:space="preserve">used in the low-cost scenario </w:t>
      </w:r>
      <w:r w:rsidR="00583E88" w:rsidRPr="005048A2">
        <w:t>and the 1991 RIA (USEPA, 1991)</w:t>
      </w:r>
      <w:r w:rsidR="00583E88">
        <w:rPr>
          <w:rStyle w:val="FootnoteReference"/>
        </w:rPr>
        <w:footnoteReference w:id="12"/>
      </w:r>
      <w:r w:rsidR="00583E88" w:rsidRPr="005048A2">
        <w:t xml:space="preserve"> to generate the </w:t>
      </w:r>
      <w:r w:rsidR="00E4328E">
        <w:t xml:space="preserve">high-cost </w:t>
      </w:r>
      <w:r w:rsidR="00D9214D">
        <w:t>LSL</w:t>
      </w:r>
      <w:r w:rsidR="00583E88" w:rsidRPr="005048A2">
        <w:t xml:space="preserve"> estimate</w:t>
      </w:r>
      <w:r w:rsidR="00746316">
        <w:t xml:space="preserve">. </w:t>
      </w:r>
      <w:r w:rsidR="00792F80">
        <w:fldChar w:fldCharType="begin"/>
      </w:r>
      <w:r w:rsidR="00792F80">
        <w:instrText xml:space="preserve"> REF _Ref4507412 \h </w:instrText>
      </w:r>
      <w:r w:rsidR="00792F80">
        <w:fldChar w:fldCharType="separate"/>
      </w:r>
      <w:r w:rsidR="007A79EF">
        <w:t xml:space="preserve">Exhibit </w:t>
      </w:r>
      <w:r w:rsidR="007A79EF">
        <w:rPr>
          <w:noProof/>
        </w:rPr>
        <w:t>4</w:t>
      </w:r>
      <w:r w:rsidR="00792F80">
        <w:fldChar w:fldCharType="end"/>
      </w:r>
      <w:r w:rsidR="00792F80">
        <w:t xml:space="preserve"> </w:t>
      </w:r>
      <w:r>
        <w:t xml:space="preserve">presents a </w:t>
      </w:r>
      <w:r w:rsidR="000E01AE">
        <w:t xml:space="preserve">summary of estimated responses and </w:t>
      </w:r>
      <w:r>
        <w:t>burden</w:t>
      </w:r>
      <w:r w:rsidR="000E01AE">
        <w:t xml:space="preserve"> for</w:t>
      </w:r>
      <w:r>
        <w:t xml:space="preserve"> the </w:t>
      </w:r>
      <w:r w:rsidR="009214D9">
        <w:t>three</w:t>
      </w:r>
      <w:r w:rsidR="00510CDC">
        <w:t>-</w:t>
      </w:r>
      <w:r>
        <w:t>year window of the ICR</w:t>
      </w:r>
      <w:r w:rsidR="000E01AE">
        <w:t>.</w:t>
      </w:r>
      <w:r w:rsidR="005E7FD0">
        <w:t xml:space="preserve"> There is one response per respondent</w:t>
      </w:r>
      <w:r w:rsidR="00510CDC">
        <w:t xml:space="preserve"> per requirement</w:t>
      </w:r>
      <w:r w:rsidR="005E7FD0">
        <w:t>.</w:t>
      </w:r>
      <w:r w:rsidR="001F2124">
        <w:t xml:space="preserve"> </w:t>
      </w:r>
    </w:p>
    <w:p w14:paraId="4B9147C9" w14:textId="02984396" w:rsidR="00792F80" w:rsidRDefault="00792F80" w:rsidP="00792F80">
      <w:pPr>
        <w:pStyle w:val="Caption"/>
      </w:pPr>
      <w:bookmarkStart w:id="104" w:name="_Ref4507412"/>
      <w:bookmarkStart w:id="105" w:name="_Toc23139293"/>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7A79EF">
        <w:rPr>
          <w:noProof/>
        </w:rPr>
        <w:t>4</w:t>
      </w:r>
      <w:r w:rsidR="00856859">
        <w:rPr>
          <w:noProof/>
        </w:rPr>
        <w:fldChar w:fldCharType="end"/>
      </w:r>
      <w:bookmarkEnd w:id="104"/>
      <w:r>
        <w:rPr>
          <w:noProof/>
        </w:rPr>
        <w:t xml:space="preserve">. </w:t>
      </w:r>
      <w:r w:rsidRPr="00480AC7">
        <w:rPr>
          <w:noProof/>
        </w:rPr>
        <w:t xml:space="preserve">Respondents and Burden for </w:t>
      </w:r>
      <w:r w:rsidR="00F8006D">
        <w:rPr>
          <w:noProof/>
        </w:rPr>
        <w:t xml:space="preserve">the Proposed </w:t>
      </w:r>
      <w:r w:rsidR="00C018A3">
        <w:rPr>
          <w:noProof/>
        </w:rPr>
        <w:t>LCRR</w:t>
      </w:r>
      <w:r w:rsidR="003C4FD0">
        <w:rPr>
          <w:noProof/>
        </w:rPr>
        <w:t>, 3-</w:t>
      </w:r>
      <w:r w:rsidR="00EF7C17">
        <w:rPr>
          <w:noProof/>
        </w:rPr>
        <w:t>Y</w:t>
      </w:r>
      <w:r w:rsidR="003C4FD0">
        <w:rPr>
          <w:noProof/>
        </w:rPr>
        <w:t>ear Total</w:t>
      </w:r>
      <w:bookmarkEnd w:id="105"/>
    </w:p>
    <w:tbl>
      <w:tblPr>
        <w:tblStyle w:val="TableGrid"/>
        <w:tblW w:w="9350" w:type="dxa"/>
        <w:tblLook w:val="04A0" w:firstRow="1" w:lastRow="0" w:firstColumn="1" w:lastColumn="0" w:noHBand="0" w:noVBand="1"/>
      </w:tblPr>
      <w:tblGrid>
        <w:gridCol w:w="2925"/>
        <w:gridCol w:w="1944"/>
        <w:gridCol w:w="2563"/>
        <w:gridCol w:w="1918"/>
      </w:tblGrid>
      <w:tr w:rsidR="00BA6A31" w:rsidRPr="004F0396" w14:paraId="367D9CA5" w14:textId="77777777" w:rsidTr="003C4FD0">
        <w:trPr>
          <w:tblHeader/>
        </w:trPr>
        <w:tc>
          <w:tcPr>
            <w:tcW w:w="2925" w:type="dxa"/>
            <w:vAlign w:val="center"/>
            <w:hideMark/>
          </w:tcPr>
          <w:p w14:paraId="1F7BBFAA" w14:textId="77777777" w:rsidR="00BA6A31" w:rsidRPr="004F0396" w:rsidRDefault="00BA6A31" w:rsidP="00BA6A31">
            <w:pPr>
              <w:pStyle w:val="Table"/>
              <w:jc w:val="center"/>
              <w:rPr>
                <w:b/>
                <w:sz w:val="18"/>
              </w:rPr>
            </w:pPr>
            <w:r w:rsidRPr="004F0396">
              <w:rPr>
                <w:b/>
                <w:sz w:val="18"/>
              </w:rPr>
              <w:t>Requirement</w:t>
            </w:r>
          </w:p>
        </w:tc>
        <w:tc>
          <w:tcPr>
            <w:tcW w:w="1944" w:type="dxa"/>
            <w:vAlign w:val="center"/>
          </w:tcPr>
          <w:p w14:paraId="5854C0E7" w14:textId="46FFF621" w:rsidR="00BA6A31" w:rsidRPr="004F0396" w:rsidRDefault="00BA6A31" w:rsidP="00BA6A31">
            <w:pPr>
              <w:pStyle w:val="Table"/>
              <w:jc w:val="center"/>
              <w:rPr>
                <w:b/>
                <w:sz w:val="18"/>
              </w:rPr>
            </w:pPr>
            <w:r w:rsidRPr="004F0396">
              <w:rPr>
                <w:b/>
                <w:sz w:val="18"/>
              </w:rPr>
              <w:t>Respondents</w:t>
            </w:r>
            <w:r w:rsidR="00F77E85" w:rsidRPr="00311DDE">
              <w:rPr>
                <w:b/>
                <w:sz w:val="18"/>
                <w:vertAlign w:val="superscript"/>
              </w:rPr>
              <w:t>a</w:t>
            </w:r>
          </w:p>
        </w:tc>
        <w:tc>
          <w:tcPr>
            <w:tcW w:w="2563" w:type="dxa"/>
            <w:vAlign w:val="center"/>
            <w:hideMark/>
          </w:tcPr>
          <w:p w14:paraId="6974A7D5" w14:textId="37A363CB" w:rsidR="00BA6A31" w:rsidRPr="004F0396" w:rsidRDefault="00BA6A31" w:rsidP="00BA6A31">
            <w:pPr>
              <w:pStyle w:val="Table"/>
              <w:jc w:val="center"/>
              <w:rPr>
                <w:b/>
                <w:sz w:val="18"/>
              </w:rPr>
            </w:pPr>
            <w:r w:rsidRPr="004F0396">
              <w:rPr>
                <w:b/>
                <w:sz w:val="18"/>
              </w:rPr>
              <w:t>Responses</w:t>
            </w:r>
            <w:r w:rsidR="00311DDE" w:rsidRPr="00311DDE">
              <w:rPr>
                <w:b/>
                <w:sz w:val="18"/>
                <w:vertAlign w:val="superscript"/>
              </w:rPr>
              <w:t>a</w:t>
            </w:r>
          </w:p>
        </w:tc>
        <w:tc>
          <w:tcPr>
            <w:tcW w:w="1918" w:type="dxa"/>
            <w:vAlign w:val="center"/>
            <w:hideMark/>
          </w:tcPr>
          <w:p w14:paraId="2A3E638B" w14:textId="092C5BDB" w:rsidR="00BA6A31" w:rsidRPr="004F0396" w:rsidRDefault="00BA6A31" w:rsidP="00BA6A31">
            <w:pPr>
              <w:pStyle w:val="Table"/>
              <w:jc w:val="center"/>
              <w:rPr>
                <w:b/>
                <w:sz w:val="18"/>
              </w:rPr>
            </w:pPr>
            <w:r w:rsidRPr="004F0396">
              <w:rPr>
                <w:b/>
                <w:sz w:val="18"/>
              </w:rPr>
              <w:t>Av</w:t>
            </w:r>
            <w:r w:rsidR="00311DDE">
              <w:rPr>
                <w:b/>
                <w:sz w:val="18"/>
              </w:rPr>
              <w:t>erage Burden Hours per Response</w:t>
            </w:r>
            <w:r w:rsidR="00311DDE">
              <w:rPr>
                <w:b/>
                <w:sz w:val="18"/>
                <w:vertAlign w:val="superscript"/>
              </w:rPr>
              <w:t>b</w:t>
            </w:r>
          </w:p>
        </w:tc>
      </w:tr>
      <w:tr w:rsidR="00BA6A31" w:rsidRPr="004F0396" w14:paraId="7D36DC79" w14:textId="77777777" w:rsidTr="003C4FD0">
        <w:tc>
          <w:tcPr>
            <w:tcW w:w="2925" w:type="dxa"/>
            <w:vAlign w:val="center"/>
            <w:hideMark/>
          </w:tcPr>
          <w:p w14:paraId="0BEF34EB" w14:textId="77777777" w:rsidR="00BA6A31" w:rsidRPr="004F0396" w:rsidRDefault="00BA6A31" w:rsidP="00BA6A31">
            <w:pPr>
              <w:pStyle w:val="Table"/>
              <w:rPr>
                <w:sz w:val="18"/>
              </w:rPr>
            </w:pPr>
            <w:r w:rsidRPr="004F0396">
              <w:rPr>
                <w:sz w:val="18"/>
              </w:rPr>
              <w:t xml:space="preserve">System reads and understands the </w:t>
            </w:r>
            <w:r>
              <w:rPr>
                <w:sz w:val="18"/>
              </w:rPr>
              <w:t>LCRR</w:t>
            </w:r>
          </w:p>
        </w:tc>
        <w:tc>
          <w:tcPr>
            <w:tcW w:w="1944" w:type="dxa"/>
            <w:vAlign w:val="center"/>
          </w:tcPr>
          <w:p w14:paraId="359325AC" w14:textId="060F8F81" w:rsidR="00BA6A31" w:rsidRPr="004F0396" w:rsidRDefault="00BA6A31" w:rsidP="00BA6A31">
            <w:pPr>
              <w:pStyle w:val="Table"/>
              <w:jc w:val="center"/>
              <w:rPr>
                <w:sz w:val="18"/>
              </w:rPr>
            </w:pPr>
            <w:r w:rsidRPr="00044AC4">
              <w:rPr>
                <w:sz w:val="18"/>
              </w:rPr>
              <w:t>67,656</w:t>
            </w:r>
          </w:p>
        </w:tc>
        <w:tc>
          <w:tcPr>
            <w:tcW w:w="2563" w:type="dxa"/>
            <w:vAlign w:val="center"/>
            <w:hideMark/>
          </w:tcPr>
          <w:p w14:paraId="72CDE014" w14:textId="1DF110B2" w:rsidR="00BA6A31" w:rsidRPr="004F0396" w:rsidRDefault="00BA6A31" w:rsidP="00BA6A31">
            <w:pPr>
              <w:pStyle w:val="Table"/>
              <w:jc w:val="center"/>
              <w:rPr>
                <w:sz w:val="18"/>
              </w:rPr>
            </w:pPr>
            <w:r w:rsidRPr="004F0396">
              <w:rPr>
                <w:sz w:val="18"/>
              </w:rPr>
              <w:t>67,656</w:t>
            </w:r>
          </w:p>
        </w:tc>
        <w:tc>
          <w:tcPr>
            <w:tcW w:w="1918" w:type="dxa"/>
            <w:vAlign w:val="center"/>
            <w:hideMark/>
          </w:tcPr>
          <w:p w14:paraId="0F4C4D1C" w14:textId="41329F6B" w:rsidR="00BA6A31" w:rsidRPr="004F0396" w:rsidRDefault="00BA6A31" w:rsidP="00BA6A31">
            <w:pPr>
              <w:pStyle w:val="Table"/>
              <w:jc w:val="center"/>
              <w:rPr>
                <w:sz w:val="18"/>
              </w:rPr>
            </w:pPr>
            <w:r>
              <w:rPr>
                <w:color w:val="000000"/>
                <w:sz w:val="18"/>
                <w:szCs w:val="18"/>
              </w:rPr>
              <w:t>4</w:t>
            </w:r>
          </w:p>
        </w:tc>
      </w:tr>
      <w:tr w:rsidR="00BA6A31" w:rsidRPr="004F0396" w14:paraId="5F34B899" w14:textId="77777777" w:rsidTr="003C4FD0">
        <w:tc>
          <w:tcPr>
            <w:tcW w:w="2925" w:type="dxa"/>
            <w:vAlign w:val="center"/>
            <w:hideMark/>
          </w:tcPr>
          <w:p w14:paraId="3CB4FBBA" w14:textId="77777777" w:rsidR="00BA6A31" w:rsidRPr="004F0396" w:rsidRDefault="00BA6A31" w:rsidP="00BA6A31">
            <w:pPr>
              <w:pStyle w:val="Table"/>
              <w:rPr>
                <w:sz w:val="18"/>
              </w:rPr>
            </w:pPr>
            <w:r w:rsidRPr="004F0396">
              <w:rPr>
                <w:sz w:val="18"/>
              </w:rPr>
              <w:t>System assigns personnel and resources for rule implementation</w:t>
            </w:r>
          </w:p>
        </w:tc>
        <w:tc>
          <w:tcPr>
            <w:tcW w:w="1944" w:type="dxa"/>
            <w:vAlign w:val="center"/>
          </w:tcPr>
          <w:p w14:paraId="00BA9A57" w14:textId="27E4DCB3" w:rsidR="00BA6A31" w:rsidRPr="004F0396" w:rsidRDefault="00BA6A31" w:rsidP="00BA6A31">
            <w:pPr>
              <w:pStyle w:val="Table"/>
              <w:jc w:val="center"/>
              <w:rPr>
                <w:sz w:val="18"/>
              </w:rPr>
            </w:pPr>
            <w:r w:rsidRPr="0054114D">
              <w:rPr>
                <w:sz w:val="18"/>
              </w:rPr>
              <w:t>67,656</w:t>
            </w:r>
          </w:p>
        </w:tc>
        <w:tc>
          <w:tcPr>
            <w:tcW w:w="2563" w:type="dxa"/>
            <w:vAlign w:val="center"/>
            <w:hideMark/>
          </w:tcPr>
          <w:p w14:paraId="0629EC76" w14:textId="3DBB0F79" w:rsidR="00BA6A31" w:rsidRPr="004F0396" w:rsidRDefault="00BA6A31" w:rsidP="00BA6A31">
            <w:pPr>
              <w:pStyle w:val="Table"/>
              <w:jc w:val="center"/>
              <w:rPr>
                <w:sz w:val="18"/>
              </w:rPr>
            </w:pPr>
            <w:r w:rsidRPr="004F0396">
              <w:rPr>
                <w:sz w:val="18"/>
              </w:rPr>
              <w:t>67,656</w:t>
            </w:r>
          </w:p>
        </w:tc>
        <w:tc>
          <w:tcPr>
            <w:tcW w:w="1918" w:type="dxa"/>
            <w:vAlign w:val="center"/>
            <w:hideMark/>
          </w:tcPr>
          <w:p w14:paraId="5382E269" w14:textId="4E1AA1F7" w:rsidR="00BA6A31" w:rsidRPr="004F0396" w:rsidRDefault="00BA6A31" w:rsidP="00BA6A31">
            <w:pPr>
              <w:pStyle w:val="Table"/>
              <w:jc w:val="center"/>
              <w:rPr>
                <w:sz w:val="18"/>
              </w:rPr>
            </w:pPr>
            <w:r>
              <w:rPr>
                <w:color w:val="000000"/>
                <w:sz w:val="18"/>
                <w:szCs w:val="18"/>
              </w:rPr>
              <w:t>8</w:t>
            </w:r>
          </w:p>
        </w:tc>
      </w:tr>
      <w:tr w:rsidR="00BA6A31" w:rsidRPr="004F0396" w14:paraId="5197FF8B" w14:textId="77777777" w:rsidTr="003C4FD0">
        <w:tc>
          <w:tcPr>
            <w:tcW w:w="2925" w:type="dxa"/>
            <w:vAlign w:val="center"/>
            <w:hideMark/>
          </w:tcPr>
          <w:p w14:paraId="049AB95A" w14:textId="77777777" w:rsidR="00BA6A31" w:rsidRPr="004F0396" w:rsidRDefault="00BA6A31" w:rsidP="00BA6A31">
            <w:pPr>
              <w:pStyle w:val="Table"/>
              <w:rPr>
                <w:sz w:val="18"/>
              </w:rPr>
            </w:pPr>
            <w:r w:rsidRPr="004F0396">
              <w:rPr>
                <w:sz w:val="18"/>
              </w:rPr>
              <w:t xml:space="preserve">System attends training and receives technical assistance from the state during implementation of the </w:t>
            </w:r>
            <w:r>
              <w:rPr>
                <w:sz w:val="18"/>
              </w:rPr>
              <w:t>LCRR</w:t>
            </w:r>
          </w:p>
        </w:tc>
        <w:tc>
          <w:tcPr>
            <w:tcW w:w="1944" w:type="dxa"/>
            <w:vAlign w:val="center"/>
          </w:tcPr>
          <w:p w14:paraId="7F14882C" w14:textId="11F38DB5" w:rsidR="00BA6A31" w:rsidRPr="004F0396" w:rsidRDefault="00BA6A31" w:rsidP="00BA6A31">
            <w:pPr>
              <w:pStyle w:val="Table"/>
              <w:jc w:val="center"/>
              <w:rPr>
                <w:sz w:val="18"/>
              </w:rPr>
            </w:pPr>
            <w:r w:rsidRPr="0054114D">
              <w:rPr>
                <w:sz w:val="18"/>
              </w:rPr>
              <w:t>67,656</w:t>
            </w:r>
          </w:p>
        </w:tc>
        <w:tc>
          <w:tcPr>
            <w:tcW w:w="2563" w:type="dxa"/>
            <w:vAlign w:val="center"/>
            <w:hideMark/>
          </w:tcPr>
          <w:p w14:paraId="3EC55729" w14:textId="4FA0B0CD" w:rsidR="00BA6A31" w:rsidRPr="004F0396" w:rsidRDefault="00BA6A31" w:rsidP="00BA6A31">
            <w:pPr>
              <w:pStyle w:val="Table"/>
              <w:jc w:val="center"/>
              <w:rPr>
                <w:sz w:val="18"/>
              </w:rPr>
            </w:pPr>
            <w:r w:rsidRPr="004F0396">
              <w:rPr>
                <w:sz w:val="18"/>
              </w:rPr>
              <w:t>67,656</w:t>
            </w:r>
          </w:p>
        </w:tc>
        <w:tc>
          <w:tcPr>
            <w:tcW w:w="1918" w:type="dxa"/>
            <w:vAlign w:val="center"/>
            <w:hideMark/>
          </w:tcPr>
          <w:p w14:paraId="24E71EDE" w14:textId="6EC44F41" w:rsidR="00BA6A31" w:rsidRPr="004F0396" w:rsidRDefault="00BA6A31" w:rsidP="00BA6A31">
            <w:pPr>
              <w:pStyle w:val="Table"/>
              <w:jc w:val="center"/>
              <w:rPr>
                <w:sz w:val="18"/>
              </w:rPr>
            </w:pPr>
            <w:r>
              <w:rPr>
                <w:color w:val="000000"/>
                <w:sz w:val="18"/>
                <w:szCs w:val="18"/>
              </w:rPr>
              <w:t>8</w:t>
            </w:r>
          </w:p>
        </w:tc>
      </w:tr>
      <w:tr w:rsidR="00BA6A31" w:rsidRPr="004F0396" w14:paraId="2A0268A5" w14:textId="77777777" w:rsidTr="003C4FD0">
        <w:tc>
          <w:tcPr>
            <w:tcW w:w="2925" w:type="dxa"/>
            <w:vAlign w:val="center"/>
            <w:hideMark/>
          </w:tcPr>
          <w:p w14:paraId="4F33499E" w14:textId="15B97F0A" w:rsidR="00BA6A31" w:rsidRPr="004F0396" w:rsidRDefault="00BA6A31" w:rsidP="0054114D">
            <w:pPr>
              <w:pStyle w:val="Table"/>
              <w:rPr>
                <w:sz w:val="18"/>
              </w:rPr>
            </w:pPr>
            <w:r>
              <w:rPr>
                <w:sz w:val="18"/>
              </w:rPr>
              <w:t>System</w:t>
            </w:r>
            <w:r w:rsidRPr="004F0396">
              <w:rPr>
                <w:sz w:val="18"/>
              </w:rPr>
              <w:t xml:space="preserve"> develop</w:t>
            </w:r>
            <w:r>
              <w:rPr>
                <w:sz w:val="18"/>
              </w:rPr>
              <w:t>s</w:t>
            </w:r>
            <w:r w:rsidRPr="004F0396">
              <w:rPr>
                <w:sz w:val="18"/>
              </w:rPr>
              <w:t xml:space="preserve"> lead service line inventory</w:t>
            </w:r>
            <w:r w:rsidR="00F77E85" w:rsidRPr="00311DDE">
              <w:rPr>
                <w:sz w:val="18"/>
                <w:vertAlign w:val="superscript"/>
              </w:rPr>
              <w:t>c</w:t>
            </w:r>
          </w:p>
        </w:tc>
        <w:tc>
          <w:tcPr>
            <w:tcW w:w="1944" w:type="dxa"/>
            <w:vAlign w:val="center"/>
          </w:tcPr>
          <w:p w14:paraId="41DFEC5B" w14:textId="21F8BDF3" w:rsidR="00BA6A31" w:rsidRDefault="004043A5" w:rsidP="00BA6A31">
            <w:pPr>
              <w:pStyle w:val="Table"/>
              <w:jc w:val="center"/>
              <w:rPr>
                <w:sz w:val="18"/>
                <w:szCs w:val="18"/>
              </w:rPr>
            </w:pPr>
            <w:r>
              <w:rPr>
                <w:sz w:val="18"/>
                <w:szCs w:val="18"/>
              </w:rPr>
              <w:t xml:space="preserve">9,448 to </w:t>
            </w:r>
            <w:r w:rsidRPr="00D32894">
              <w:rPr>
                <w:sz w:val="18"/>
                <w:szCs w:val="18"/>
              </w:rPr>
              <w:t>11,692</w:t>
            </w:r>
          </w:p>
        </w:tc>
        <w:tc>
          <w:tcPr>
            <w:tcW w:w="2563" w:type="dxa"/>
            <w:vAlign w:val="center"/>
            <w:hideMark/>
          </w:tcPr>
          <w:p w14:paraId="7D9C0F3B" w14:textId="6954017D" w:rsidR="00BA6A31" w:rsidRPr="00A355B6" w:rsidRDefault="00BA6A31" w:rsidP="00BA6A31">
            <w:pPr>
              <w:pStyle w:val="Table"/>
              <w:jc w:val="center"/>
              <w:rPr>
                <w:sz w:val="18"/>
                <w:szCs w:val="18"/>
              </w:rPr>
            </w:pPr>
            <w:r>
              <w:rPr>
                <w:sz w:val="18"/>
                <w:szCs w:val="18"/>
              </w:rPr>
              <w:t xml:space="preserve">9,448 to </w:t>
            </w:r>
            <w:r w:rsidRPr="00D32894">
              <w:rPr>
                <w:sz w:val="18"/>
                <w:szCs w:val="18"/>
              </w:rPr>
              <w:t>11,692</w:t>
            </w:r>
          </w:p>
        </w:tc>
        <w:tc>
          <w:tcPr>
            <w:tcW w:w="1918" w:type="dxa"/>
            <w:vAlign w:val="center"/>
            <w:hideMark/>
          </w:tcPr>
          <w:p w14:paraId="37E6BD8C" w14:textId="18539834" w:rsidR="00BA6A31" w:rsidRPr="004F0396" w:rsidRDefault="00BA6A31" w:rsidP="00BA6A31">
            <w:pPr>
              <w:pStyle w:val="Table"/>
              <w:jc w:val="center"/>
              <w:rPr>
                <w:sz w:val="18"/>
              </w:rPr>
            </w:pPr>
            <w:r>
              <w:rPr>
                <w:color w:val="000000"/>
                <w:sz w:val="18"/>
                <w:szCs w:val="18"/>
              </w:rPr>
              <w:t>5.25 to 300</w:t>
            </w:r>
          </w:p>
        </w:tc>
      </w:tr>
      <w:tr w:rsidR="00F32B41" w:rsidRPr="004F0396" w14:paraId="0064572A" w14:textId="77777777" w:rsidTr="003C4FD0">
        <w:tc>
          <w:tcPr>
            <w:tcW w:w="2925" w:type="dxa"/>
            <w:vAlign w:val="center"/>
            <w:hideMark/>
          </w:tcPr>
          <w:p w14:paraId="3975520A" w14:textId="7B6F2EAF" w:rsidR="00F32B41" w:rsidRPr="00C76509" w:rsidRDefault="00F32B41" w:rsidP="0054114D">
            <w:pPr>
              <w:pStyle w:val="Table"/>
              <w:rPr>
                <w:sz w:val="18"/>
                <w:szCs w:val="18"/>
              </w:rPr>
            </w:pPr>
            <w:r>
              <w:rPr>
                <w:sz w:val="18"/>
                <w:szCs w:val="18"/>
              </w:rPr>
              <w:t>System</w:t>
            </w:r>
            <w:r w:rsidRPr="00C76509">
              <w:rPr>
                <w:sz w:val="18"/>
                <w:szCs w:val="18"/>
              </w:rPr>
              <w:t xml:space="preserve"> submit</w:t>
            </w:r>
            <w:r>
              <w:rPr>
                <w:sz w:val="18"/>
                <w:szCs w:val="18"/>
              </w:rPr>
              <w:t>s</w:t>
            </w:r>
            <w:r w:rsidRPr="00C76509">
              <w:rPr>
                <w:sz w:val="18"/>
                <w:szCs w:val="18"/>
              </w:rPr>
              <w:t xml:space="preserve"> a demonstration to the </w:t>
            </w:r>
            <w:r>
              <w:rPr>
                <w:sz w:val="18"/>
                <w:szCs w:val="18"/>
              </w:rPr>
              <w:t>primacy agency</w:t>
            </w:r>
            <w:r w:rsidRPr="00C76509">
              <w:rPr>
                <w:sz w:val="18"/>
                <w:szCs w:val="18"/>
              </w:rPr>
              <w:t xml:space="preserve"> that they do not have lead service lines</w:t>
            </w:r>
            <w:r w:rsidR="00311DDE" w:rsidRPr="00311DDE">
              <w:rPr>
                <w:sz w:val="18"/>
                <w:vertAlign w:val="superscript"/>
              </w:rPr>
              <w:t>c</w:t>
            </w:r>
          </w:p>
        </w:tc>
        <w:tc>
          <w:tcPr>
            <w:tcW w:w="1944" w:type="dxa"/>
            <w:vAlign w:val="center"/>
          </w:tcPr>
          <w:p w14:paraId="02C96422" w14:textId="0B2DB0FB" w:rsidR="00F32B41" w:rsidRDefault="004043A5" w:rsidP="00F32B41">
            <w:pPr>
              <w:pStyle w:val="Table"/>
              <w:jc w:val="center"/>
              <w:rPr>
                <w:sz w:val="18"/>
                <w:szCs w:val="18"/>
              </w:rPr>
            </w:pPr>
            <w:r>
              <w:rPr>
                <w:sz w:val="18"/>
                <w:szCs w:val="18"/>
              </w:rPr>
              <w:t xml:space="preserve">44,037 to </w:t>
            </w:r>
            <w:r w:rsidRPr="00D32894">
              <w:rPr>
                <w:sz w:val="18"/>
                <w:szCs w:val="18"/>
              </w:rPr>
              <w:t>41,806</w:t>
            </w:r>
          </w:p>
        </w:tc>
        <w:tc>
          <w:tcPr>
            <w:tcW w:w="2563" w:type="dxa"/>
            <w:vAlign w:val="center"/>
            <w:hideMark/>
          </w:tcPr>
          <w:p w14:paraId="64D92A23" w14:textId="21F6D285" w:rsidR="00F32B41" w:rsidRPr="00C92CD1" w:rsidRDefault="00F32B41" w:rsidP="00F32B41">
            <w:pPr>
              <w:pStyle w:val="Table"/>
              <w:jc w:val="center"/>
              <w:rPr>
                <w:sz w:val="18"/>
                <w:szCs w:val="18"/>
              </w:rPr>
            </w:pPr>
            <w:r>
              <w:rPr>
                <w:sz w:val="18"/>
                <w:szCs w:val="18"/>
              </w:rPr>
              <w:t xml:space="preserve">44,037 to </w:t>
            </w:r>
            <w:r w:rsidRPr="00D32894">
              <w:rPr>
                <w:sz w:val="18"/>
                <w:szCs w:val="18"/>
              </w:rPr>
              <w:t>41,806</w:t>
            </w:r>
          </w:p>
        </w:tc>
        <w:tc>
          <w:tcPr>
            <w:tcW w:w="1918" w:type="dxa"/>
            <w:vAlign w:val="center"/>
            <w:hideMark/>
          </w:tcPr>
          <w:p w14:paraId="7E438C25" w14:textId="020D69A3" w:rsidR="00F32B41" w:rsidRPr="00C92CD1" w:rsidRDefault="00F32B41" w:rsidP="00F32B41">
            <w:pPr>
              <w:pStyle w:val="Table"/>
              <w:jc w:val="center"/>
              <w:rPr>
                <w:sz w:val="18"/>
                <w:szCs w:val="18"/>
              </w:rPr>
            </w:pPr>
            <w:r>
              <w:rPr>
                <w:color w:val="000000"/>
                <w:sz w:val="18"/>
                <w:szCs w:val="18"/>
              </w:rPr>
              <w:t>5 to 40</w:t>
            </w:r>
          </w:p>
        </w:tc>
      </w:tr>
      <w:tr w:rsidR="00F32B41" w:rsidRPr="004F0396" w14:paraId="5121D7B8" w14:textId="77777777" w:rsidTr="003C4FD0">
        <w:tc>
          <w:tcPr>
            <w:tcW w:w="2925" w:type="dxa"/>
          </w:tcPr>
          <w:p w14:paraId="24709324" w14:textId="6E347553" w:rsidR="00F32B41" w:rsidRPr="00C76509" w:rsidRDefault="00F32B41" w:rsidP="00D46A3E">
            <w:pPr>
              <w:pStyle w:val="Table"/>
              <w:rPr>
                <w:sz w:val="18"/>
                <w:szCs w:val="18"/>
              </w:rPr>
            </w:pPr>
            <w:r>
              <w:rPr>
                <w:sz w:val="18"/>
                <w:szCs w:val="18"/>
              </w:rPr>
              <w:t>System</w:t>
            </w:r>
            <w:r w:rsidRPr="00C33DF8">
              <w:rPr>
                <w:sz w:val="18"/>
                <w:szCs w:val="18"/>
              </w:rPr>
              <w:t xml:space="preserve"> conduct</w:t>
            </w:r>
            <w:r>
              <w:rPr>
                <w:sz w:val="18"/>
                <w:szCs w:val="18"/>
              </w:rPr>
              <w:t>s</w:t>
            </w:r>
            <w:r w:rsidRPr="00C33DF8">
              <w:rPr>
                <w:sz w:val="18"/>
                <w:szCs w:val="18"/>
              </w:rPr>
              <w:t xml:space="preserve"> planning and identif</w:t>
            </w:r>
            <w:r>
              <w:rPr>
                <w:sz w:val="18"/>
                <w:szCs w:val="18"/>
              </w:rPr>
              <w:t>ies</w:t>
            </w:r>
            <w:r w:rsidRPr="00C33DF8">
              <w:rPr>
                <w:sz w:val="18"/>
                <w:szCs w:val="18"/>
              </w:rPr>
              <w:t xml:space="preserve"> financial options</w:t>
            </w:r>
            <w:r>
              <w:rPr>
                <w:sz w:val="18"/>
                <w:szCs w:val="18"/>
              </w:rPr>
              <w:t xml:space="preserve"> </w:t>
            </w:r>
            <w:r w:rsidRPr="00C33DF8">
              <w:rPr>
                <w:sz w:val="18"/>
                <w:szCs w:val="18"/>
              </w:rPr>
              <w:t>for initial planning of LSLR Program</w:t>
            </w:r>
          </w:p>
        </w:tc>
        <w:tc>
          <w:tcPr>
            <w:tcW w:w="1944" w:type="dxa"/>
            <w:vAlign w:val="center"/>
          </w:tcPr>
          <w:p w14:paraId="0EAD85B8" w14:textId="46713168" w:rsidR="00F32B41" w:rsidRDefault="004043A5" w:rsidP="00F32B41">
            <w:pPr>
              <w:pStyle w:val="Table"/>
              <w:jc w:val="center"/>
              <w:rPr>
                <w:sz w:val="18"/>
                <w:szCs w:val="18"/>
              </w:rPr>
            </w:pPr>
            <w:r>
              <w:rPr>
                <w:sz w:val="18"/>
                <w:szCs w:val="18"/>
              </w:rPr>
              <w:t xml:space="preserve">11,782 to </w:t>
            </w:r>
            <w:r w:rsidRPr="00D32894">
              <w:rPr>
                <w:sz w:val="18"/>
                <w:szCs w:val="18"/>
              </w:rPr>
              <w:t>14,574</w:t>
            </w:r>
          </w:p>
        </w:tc>
        <w:tc>
          <w:tcPr>
            <w:tcW w:w="2563" w:type="dxa"/>
            <w:vAlign w:val="center"/>
          </w:tcPr>
          <w:p w14:paraId="0DC99E5B" w14:textId="6294FBD3" w:rsidR="00F32B41" w:rsidRPr="00C76509" w:rsidRDefault="00F32B41" w:rsidP="00F32B41">
            <w:pPr>
              <w:pStyle w:val="Table"/>
              <w:jc w:val="center"/>
              <w:rPr>
                <w:sz w:val="18"/>
                <w:szCs w:val="18"/>
              </w:rPr>
            </w:pPr>
            <w:r>
              <w:rPr>
                <w:sz w:val="18"/>
                <w:szCs w:val="18"/>
              </w:rPr>
              <w:t xml:space="preserve">11,782 to </w:t>
            </w:r>
            <w:r w:rsidRPr="00D32894">
              <w:rPr>
                <w:sz w:val="18"/>
                <w:szCs w:val="18"/>
              </w:rPr>
              <w:t>14,574</w:t>
            </w:r>
          </w:p>
        </w:tc>
        <w:tc>
          <w:tcPr>
            <w:tcW w:w="1918" w:type="dxa"/>
            <w:vAlign w:val="center"/>
          </w:tcPr>
          <w:p w14:paraId="6A5B7199" w14:textId="669700E8" w:rsidR="00F32B41" w:rsidRPr="00C76509" w:rsidRDefault="00F32B41" w:rsidP="00F32B41">
            <w:pPr>
              <w:pStyle w:val="Table"/>
              <w:jc w:val="center"/>
              <w:rPr>
                <w:sz w:val="18"/>
                <w:szCs w:val="18"/>
              </w:rPr>
            </w:pPr>
            <w:r>
              <w:rPr>
                <w:color w:val="000000"/>
                <w:sz w:val="18"/>
                <w:szCs w:val="18"/>
              </w:rPr>
              <w:t>1.75 to 100</w:t>
            </w:r>
          </w:p>
        </w:tc>
      </w:tr>
      <w:tr w:rsidR="00BA6A31" w:rsidRPr="004F0396" w14:paraId="10A86CE0" w14:textId="77777777" w:rsidTr="003C4FD0">
        <w:tc>
          <w:tcPr>
            <w:tcW w:w="2925" w:type="dxa"/>
            <w:hideMark/>
          </w:tcPr>
          <w:p w14:paraId="1A5D7F38" w14:textId="77777777" w:rsidR="00BA6A31" w:rsidRPr="00C33DF8" w:rsidRDefault="00BA6A31" w:rsidP="00BA6A31">
            <w:pPr>
              <w:pStyle w:val="Table"/>
              <w:rPr>
                <w:b/>
                <w:sz w:val="18"/>
                <w:szCs w:val="18"/>
              </w:rPr>
            </w:pPr>
            <w:bookmarkStart w:id="106" w:name="_Hlk21629550"/>
            <w:r w:rsidRPr="00C33DF8">
              <w:rPr>
                <w:b/>
                <w:sz w:val="18"/>
                <w:szCs w:val="18"/>
              </w:rPr>
              <w:t>System Subtotal</w:t>
            </w:r>
          </w:p>
        </w:tc>
        <w:tc>
          <w:tcPr>
            <w:tcW w:w="1944" w:type="dxa"/>
            <w:vAlign w:val="center"/>
          </w:tcPr>
          <w:p w14:paraId="52DFA231" w14:textId="49D81409" w:rsidR="00BA6A31" w:rsidRDefault="00BA6A31" w:rsidP="00BA6A31">
            <w:pPr>
              <w:pStyle w:val="Table"/>
              <w:jc w:val="center"/>
              <w:rPr>
                <w:b/>
                <w:sz w:val="18"/>
                <w:szCs w:val="18"/>
              </w:rPr>
            </w:pPr>
            <w:r w:rsidRPr="00C33DF8">
              <w:rPr>
                <w:b/>
                <w:sz w:val="18"/>
                <w:szCs w:val="18"/>
              </w:rPr>
              <w:t>67,656</w:t>
            </w:r>
          </w:p>
        </w:tc>
        <w:tc>
          <w:tcPr>
            <w:tcW w:w="2563" w:type="dxa"/>
            <w:vAlign w:val="center"/>
            <w:hideMark/>
          </w:tcPr>
          <w:p w14:paraId="0FE644DD" w14:textId="42A661AA" w:rsidR="00BA6A31" w:rsidRPr="00C76509" w:rsidRDefault="00BA6A31" w:rsidP="00BA6A31">
            <w:pPr>
              <w:pStyle w:val="Table"/>
              <w:jc w:val="center"/>
              <w:rPr>
                <w:b/>
                <w:sz w:val="18"/>
                <w:szCs w:val="18"/>
              </w:rPr>
            </w:pPr>
            <w:r>
              <w:rPr>
                <w:b/>
                <w:sz w:val="18"/>
                <w:szCs w:val="18"/>
              </w:rPr>
              <w:t>268,235</w:t>
            </w:r>
            <w:r>
              <w:rPr>
                <w:sz w:val="18"/>
                <w:szCs w:val="18"/>
              </w:rPr>
              <w:t xml:space="preserve"> to </w:t>
            </w:r>
            <w:r w:rsidRPr="00D32894">
              <w:rPr>
                <w:b/>
                <w:sz w:val="18"/>
                <w:szCs w:val="18"/>
              </w:rPr>
              <w:t>271,040</w:t>
            </w:r>
          </w:p>
        </w:tc>
        <w:tc>
          <w:tcPr>
            <w:tcW w:w="1918" w:type="dxa"/>
            <w:vAlign w:val="center"/>
            <w:hideMark/>
          </w:tcPr>
          <w:p w14:paraId="008F331C" w14:textId="77777777" w:rsidR="00BA6A31" w:rsidRPr="00567583" w:rsidRDefault="00BA6A31" w:rsidP="00BA6A31">
            <w:pPr>
              <w:pStyle w:val="Table"/>
              <w:jc w:val="center"/>
              <w:rPr>
                <w:b/>
                <w:sz w:val="18"/>
                <w:szCs w:val="18"/>
              </w:rPr>
            </w:pPr>
            <w:r>
              <w:rPr>
                <w:b/>
                <w:sz w:val="18"/>
                <w:szCs w:val="18"/>
              </w:rPr>
              <w:t>varies</w:t>
            </w:r>
          </w:p>
        </w:tc>
      </w:tr>
      <w:bookmarkEnd w:id="106"/>
      <w:tr w:rsidR="00BA6A31" w:rsidRPr="004F0396" w14:paraId="0B5CC278" w14:textId="77777777" w:rsidTr="003C4FD0">
        <w:tc>
          <w:tcPr>
            <w:tcW w:w="2925" w:type="dxa"/>
            <w:vAlign w:val="center"/>
            <w:hideMark/>
          </w:tcPr>
          <w:p w14:paraId="28658D97" w14:textId="77777777" w:rsidR="00BA6A31" w:rsidRPr="00BA6A31" w:rsidRDefault="00BA6A31" w:rsidP="00BA6A31">
            <w:pPr>
              <w:pStyle w:val="Table"/>
              <w:rPr>
                <w:sz w:val="18"/>
                <w:highlight w:val="yellow"/>
              </w:rPr>
            </w:pPr>
            <w:r w:rsidRPr="00246E1B">
              <w:rPr>
                <w:sz w:val="18"/>
              </w:rPr>
              <w:t>Primacy agency reads and understand the LCRR</w:t>
            </w:r>
          </w:p>
        </w:tc>
        <w:tc>
          <w:tcPr>
            <w:tcW w:w="1944" w:type="dxa"/>
            <w:vAlign w:val="center"/>
          </w:tcPr>
          <w:p w14:paraId="7D94E5DB" w14:textId="0185716B" w:rsidR="00BA6A31" w:rsidRPr="004F0396" w:rsidRDefault="00BA6A31" w:rsidP="00BA6A31">
            <w:pPr>
              <w:pStyle w:val="Table"/>
              <w:jc w:val="center"/>
              <w:rPr>
                <w:sz w:val="18"/>
              </w:rPr>
            </w:pPr>
            <w:r w:rsidRPr="004F0396">
              <w:rPr>
                <w:sz w:val="18"/>
              </w:rPr>
              <w:t>56</w:t>
            </w:r>
          </w:p>
        </w:tc>
        <w:tc>
          <w:tcPr>
            <w:tcW w:w="2563" w:type="dxa"/>
            <w:vAlign w:val="center"/>
            <w:hideMark/>
          </w:tcPr>
          <w:p w14:paraId="5AF5B262" w14:textId="2EC1305D" w:rsidR="00BA6A31" w:rsidRPr="004F0396" w:rsidRDefault="00BA6A31" w:rsidP="00BA6A31">
            <w:pPr>
              <w:pStyle w:val="Table"/>
              <w:jc w:val="center"/>
              <w:rPr>
                <w:sz w:val="18"/>
              </w:rPr>
            </w:pPr>
            <w:r w:rsidRPr="004F0396">
              <w:rPr>
                <w:sz w:val="18"/>
              </w:rPr>
              <w:t>56</w:t>
            </w:r>
          </w:p>
        </w:tc>
        <w:tc>
          <w:tcPr>
            <w:tcW w:w="1918" w:type="dxa"/>
            <w:vAlign w:val="center"/>
            <w:hideMark/>
          </w:tcPr>
          <w:p w14:paraId="2866D096" w14:textId="4D7AD8D3" w:rsidR="00BA6A31" w:rsidRPr="004F0396" w:rsidRDefault="00BA6A31" w:rsidP="00BA6A31">
            <w:pPr>
              <w:pStyle w:val="Table"/>
              <w:jc w:val="center"/>
              <w:rPr>
                <w:sz w:val="18"/>
              </w:rPr>
            </w:pPr>
            <w:r>
              <w:rPr>
                <w:color w:val="000000"/>
                <w:sz w:val="18"/>
                <w:szCs w:val="18"/>
              </w:rPr>
              <w:t>15</w:t>
            </w:r>
          </w:p>
        </w:tc>
      </w:tr>
      <w:tr w:rsidR="00BA6A31" w:rsidRPr="004F0396" w14:paraId="0DFADE40" w14:textId="77777777" w:rsidTr="003C4FD0">
        <w:tc>
          <w:tcPr>
            <w:tcW w:w="2925" w:type="dxa"/>
            <w:vAlign w:val="center"/>
            <w:hideMark/>
          </w:tcPr>
          <w:p w14:paraId="009D1D03" w14:textId="6CF86D57" w:rsidR="00BA6A31" w:rsidRPr="003C4FD0" w:rsidRDefault="00BA6A31" w:rsidP="00BA6A31">
            <w:pPr>
              <w:pStyle w:val="Table"/>
              <w:rPr>
                <w:sz w:val="18"/>
              </w:rPr>
            </w:pPr>
            <w:r w:rsidRPr="003C4FD0">
              <w:rPr>
                <w:sz w:val="18"/>
              </w:rPr>
              <w:t>Primacy agency adopts the rule and develop</w:t>
            </w:r>
            <w:r w:rsidR="00246E1B">
              <w:rPr>
                <w:sz w:val="18"/>
              </w:rPr>
              <w:t>s</w:t>
            </w:r>
            <w:r w:rsidRPr="003C4FD0">
              <w:rPr>
                <w:sz w:val="18"/>
              </w:rPr>
              <w:t xml:space="preserve"> program to implement the LCRR</w:t>
            </w:r>
          </w:p>
        </w:tc>
        <w:tc>
          <w:tcPr>
            <w:tcW w:w="1944" w:type="dxa"/>
            <w:vAlign w:val="center"/>
          </w:tcPr>
          <w:p w14:paraId="28553575" w14:textId="775CC8AB" w:rsidR="00BA6A31" w:rsidRPr="004F0396" w:rsidRDefault="00BA6A31" w:rsidP="00BA6A31">
            <w:pPr>
              <w:pStyle w:val="Table"/>
              <w:jc w:val="center"/>
              <w:rPr>
                <w:sz w:val="18"/>
              </w:rPr>
            </w:pPr>
            <w:r w:rsidRPr="004F0396">
              <w:rPr>
                <w:sz w:val="18"/>
              </w:rPr>
              <w:t>56</w:t>
            </w:r>
          </w:p>
        </w:tc>
        <w:tc>
          <w:tcPr>
            <w:tcW w:w="2563" w:type="dxa"/>
            <w:vAlign w:val="center"/>
            <w:hideMark/>
          </w:tcPr>
          <w:p w14:paraId="266E9E09" w14:textId="10E362AF" w:rsidR="00BA6A31" w:rsidRPr="004F0396" w:rsidRDefault="00BA6A31" w:rsidP="00BA6A31">
            <w:pPr>
              <w:pStyle w:val="Table"/>
              <w:jc w:val="center"/>
              <w:rPr>
                <w:sz w:val="18"/>
              </w:rPr>
            </w:pPr>
            <w:r w:rsidRPr="004F0396">
              <w:rPr>
                <w:sz w:val="18"/>
              </w:rPr>
              <w:t>56</w:t>
            </w:r>
          </w:p>
        </w:tc>
        <w:tc>
          <w:tcPr>
            <w:tcW w:w="1918" w:type="dxa"/>
            <w:vAlign w:val="center"/>
            <w:hideMark/>
          </w:tcPr>
          <w:p w14:paraId="402CB3CF" w14:textId="7CDCE7CC" w:rsidR="00BA6A31" w:rsidRPr="004F0396" w:rsidRDefault="00BA6A31" w:rsidP="00BA6A31">
            <w:pPr>
              <w:pStyle w:val="Table"/>
              <w:jc w:val="center"/>
              <w:rPr>
                <w:sz w:val="18"/>
              </w:rPr>
            </w:pPr>
            <w:r>
              <w:rPr>
                <w:color w:val="000000"/>
                <w:sz w:val="18"/>
                <w:szCs w:val="18"/>
              </w:rPr>
              <w:t>260</w:t>
            </w:r>
          </w:p>
        </w:tc>
      </w:tr>
      <w:tr w:rsidR="00BA6A31" w:rsidRPr="004F0396" w14:paraId="79197FE1" w14:textId="77777777" w:rsidTr="003C4FD0">
        <w:tc>
          <w:tcPr>
            <w:tcW w:w="2925" w:type="dxa"/>
            <w:vAlign w:val="center"/>
            <w:hideMark/>
          </w:tcPr>
          <w:p w14:paraId="6C2CECC1" w14:textId="77777777" w:rsidR="00BA6A31" w:rsidRPr="003C4FD0" w:rsidRDefault="00BA6A31" w:rsidP="00BA6A31">
            <w:pPr>
              <w:pStyle w:val="Table"/>
              <w:rPr>
                <w:sz w:val="18"/>
              </w:rPr>
            </w:pPr>
            <w:r w:rsidRPr="003C4FD0">
              <w:rPr>
                <w:sz w:val="18"/>
              </w:rPr>
              <w:t>Primacy agency modifies their data system while implementing the LCRR</w:t>
            </w:r>
          </w:p>
        </w:tc>
        <w:tc>
          <w:tcPr>
            <w:tcW w:w="1944" w:type="dxa"/>
            <w:vAlign w:val="center"/>
          </w:tcPr>
          <w:p w14:paraId="105096D9" w14:textId="3D8B4E2B" w:rsidR="00BA6A31" w:rsidRPr="004F0396" w:rsidRDefault="00BA6A31" w:rsidP="00BA6A31">
            <w:pPr>
              <w:pStyle w:val="Table"/>
              <w:jc w:val="center"/>
              <w:rPr>
                <w:sz w:val="18"/>
              </w:rPr>
            </w:pPr>
            <w:r w:rsidRPr="004F0396">
              <w:rPr>
                <w:sz w:val="18"/>
              </w:rPr>
              <w:t>56</w:t>
            </w:r>
          </w:p>
        </w:tc>
        <w:tc>
          <w:tcPr>
            <w:tcW w:w="2563" w:type="dxa"/>
            <w:vAlign w:val="center"/>
            <w:hideMark/>
          </w:tcPr>
          <w:p w14:paraId="12838819" w14:textId="0006469B" w:rsidR="00BA6A31" w:rsidRPr="004F0396" w:rsidRDefault="00BA6A31" w:rsidP="00BA6A31">
            <w:pPr>
              <w:pStyle w:val="Table"/>
              <w:jc w:val="center"/>
              <w:rPr>
                <w:sz w:val="18"/>
              </w:rPr>
            </w:pPr>
            <w:r w:rsidRPr="004F0396">
              <w:rPr>
                <w:sz w:val="18"/>
              </w:rPr>
              <w:t>56</w:t>
            </w:r>
          </w:p>
        </w:tc>
        <w:tc>
          <w:tcPr>
            <w:tcW w:w="1918" w:type="dxa"/>
            <w:vAlign w:val="center"/>
            <w:hideMark/>
          </w:tcPr>
          <w:p w14:paraId="01A3845C" w14:textId="41B57273" w:rsidR="00BA6A31" w:rsidRPr="004F0396" w:rsidRDefault="00BA6A31" w:rsidP="00BA6A31">
            <w:pPr>
              <w:pStyle w:val="Table"/>
              <w:jc w:val="center"/>
              <w:rPr>
                <w:sz w:val="18"/>
              </w:rPr>
            </w:pPr>
            <w:r>
              <w:rPr>
                <w:color w:val="000000"/>
                <w:sz w:val="18"/>
                <w:szCs w:val="18"/>
              </w:rPr>
              <w:t>520</w:t>
            </w:r>
          </w:p>
        </w:tc>
      </w:tr>
      <w:tr w:rsidR="00BA6A31" w:rsidRPr="004F0396" w14:paraId="56F2E686" w14:textId="77777777" w:rsidTr="003C4FD0">
        <w:tc>
          <w:tcPr>
            <w:tcW w:w="2925" w:type="dxa"/>
            <w:vAlign w:val="center"/>
            <w:hideMark/>
          </w:tcPr>
          <w:p w14:paraId="624BDF5C" w14:textId="2B91DD49" w:rsidR="00BA6A31" w:rsidRPr="00246E1B" w:rsidRDefault="00BA6A31" w:rsidP="00FA4521">
            <w:pPr>
              <w:pStyle w:val="Table"/>
              <w:rPr>
                <w:sz w:val="18"/>
              </w:rPr>
            </w:pPr>
            <w:r w:rsidRPr="003C4FD0">
              <w:rPr>
                <w:sz w:val="18"/>
              </w:rPr>
              <w:t xml:space="preserve">Primacy agency provides </w:t>
            </w:r>
            <w:r w:rsidR="00FA4521" w:rsidRPr="00246E1B">
              <w:rPr>
                <w:sz w:val="18"/>
              </w:rPr>
              <w:t xml:space="preserve">system </w:t>
            </w:r>
            <w:r w:rsidRPr="00246E1B">
              <w:rPr>
                <w:sz w:val="18"/>
              </w:rPr>
              <w:t>staff with training and technical assistance during implementation of the LCRR</w:t>
            </w:r>
          </w:p>
        </w:tc>
        <w:tc>
          <w:tcPr>
            <w:tcW w:w="1944" w:type="dxa"/>
            <w:vAlign w:val="center"/>
          </w:tcPr>
          <w:p w14:paraId="6CA27AC9" w14:textId="2442AB5A" w:rsidR="00BA6A31" w:rsidRPr="004F0396" w:rsidRDefault="00BA6A31" w:rsidP="00BA6A31">
            <w:pPr>
              <w:pStyle w:val="Table"/>
              <w:jc w:val="center"/>
              <w:rPr>
                <w:sz w:val="18"/>
              </w:rPr>
            </w:pPr>
            <w:r w:rsidRPr="004F0396">
              <w:rPr>
                <w:sz w:val="18"/>
              </w:rPr>
              <w:t>56</w:t>
            </w:r>
          </w:p>
        </w:tc>
        <w:tc>
          <w:tcPr>
            <w:tcW w:w="2563" w:type="dxa"/>
            <w:vAlign w:val="center"/>
            <w:hideMark/>
          </w:tcPr>
          <w:p w14:paraId="13C4C522" w14:textId="2B351463" w:rsidR="00BA6A31" w:rsidRPr="004F0396" w:rsidRDefault="00BA6A31" w:rsidP="00BA6A31">
            <w:pPr>
              <w:pStyle w:val="Table"/>
              <w:jc w:val="center"/>
              <w:rPr>
                <w:sz w:val="18"/>
              </w:rPr>
            </w:pPr>
            <w:r w:rsidRPr="004F0396">
              <w:rPr>
                <w:sz w:val="18"/>
              </w:rPr>
              <w:t>56</w:t>
            </w:r>
          </w:p>
        </w:tc>
        <w:tc>
          <w:tcPr>
            <w:tcW w:w="1918" w:type="dxa"/>
            <w:vAlign w:val="center"/>
            <w:hideMark/>
          </w:tcPr>
          <w:p w14:paraId="5E49F96E" w14:textId="68F46AA2" w:rsidR="00BA6A31" w:rsidRPr="004F0396" w:rsidRDefault="00BA6A31" w:rsidP="00BA6A31">
            <w:pPr>
              <w:pStyle w:val="Table"/>
              <w:jc w:val="center"/>
              <w:rPr>
                <w:sz w:val="18"/>
              </w:rPr>
            </w:pPr>
            <w:r>
              <w:rPr>
                <w:color w:val="000000"/>
                <w:sz w:val="18"/>
                <w:szCs w:val="18"/>
              </w:rPr>
              <w:t>520</w:t>
            </w:r>
          </w:p>
        </w:tc>
      </w:tr>
      <w:tr w:rsidR="00BA6A31" w:rsidRPr="004F0396" w14:paraId="3132F42D" w14:textId="77777777" w:rsidTr="003C4FD0">
        <w:tc>
          <w:tcPr>
            <w:tcW w:w="2925" w:type="dxa"/>
            <w:vAlign w:val="center"/>
            <w:hideMark/>
          </w:tcPr>
          <w:p w14:paraId="3F827C4B" w14:textId="378E9AFB" w:rsidR="00BA6A31" w:rsidRPr="00246E1B" w:rsidRDefault="00BA6A31" w:rsidP="00FA4521">
            <w:pPr>
              <w:pStyle w:val="Table"/>
              <w:rPr>
                <w:sz w:val="18"/>
              </w:rPr>
            </w:pPr>
            <w:r w:rsidRPr="00246E1B">
              <w:rPr>
                <w:sz w:val="18"/>
              </w:rPr>
              <w:t xml:space="preserve">Primacy agency </w:t>
            </w:r>
            <w:r w:rsidRPr="00044AC4">
              <w:rPr>
                <w:sz w:val="18"/>
              </w:rPr>
              <w:t xml:space="preserve">provides </w:t>
            </w:r>
            <w:r w:rsidR="00FA4521" w:rsidRPr="00044AC4">
              <w:rPr>
                <w:sz w:val="18"/>
              </w:rPr>
              <w:t xml:space="preserve">internal primacy agency </w:t>
            </w:r>
            <w:r w:rsidRPr="00044AC4">
              <w:rPr>
                <w:sz w:val="18"/>
              </w:rPr>
              <w:t>staff with training for implementation of the</w:t>
            </w:r>
            <w:r w:rsidRPr="00246E1B">
              <w:rPr>
                <w:sz w:val="18"/>
              </w:rPr>
              <w:t xml:space="preserve"> LCRR</w:t>
            </w:r>
          </w:p>
        </w:tc>
        <w:tc>
          <w:tcPr>
            <w:tcW w:w="1944" w:type="dxa"/>
            <w:vAlign w:val="center"/>
          </w:tcPr>
          <w:p w14:paraId="24C6F76C" w14:textId="2CB46C78" w:rsidR="00BA6A31" w:rsidRPr="004F0396" w:rsidRDefault="00BA6A31" w:rsidP="00BA6A31">
            <w:pPr>
              <w:pStyle w:val="Table"/>
              <w:jc w:val="center"/>
              <w:rPr>
                <w:sz w:val="18"/>
              </w:rPr>
            </w:pPr>
            <w:r w:rsidRPr="004F0396">
              <w:rPr>
                <w:sz w:val="18"/>
              </w:rPr>
              <w:t>56</w:t>
            </w:r>
          </w:p>
        </w:tc>
        <w:tc>
          <w:tcPr>
            <w:tcW w:w="2563" w:type="dxa"/>
            <w:vAlign w:val="center"/>
            <w:hideMark/>
          </w:tcPr>
          <w:p w14:paraId="0BE72C61" w14:textId="15F3CE7F" w:rsidR="00BA6A31" w:rsidRPr="004F0396" w:rsidRDefault="00BA6A31" w:rsidP="00BA6A31">
            <w:pPr>
              <w:pStyle w:val="Table"/>
              <w:jc w:val="center"/>
              <w:rPr>
                <w:sz w:val="18"/>
              </w:rPr>
            </w:pPr>
            <w:r w:rsidRPr="004F0396">
              <w:rPr>
                <w:sz w:val="18"/>
              </w:rPr>
              <w:t>56</w:t>
            </w:r>
          </w:p>
        </w:tc>
        <w:tc>
          <w:tcPr>
            <w:tcW w:w="1918" w:type="dxa"/>
            <w:vAlign w:val="center"/>
            <w:hideMark/>
          </w:tcPr>
          <w:p w14:paraId="58BBA197" w14:textId="03ABC649" w:rsidR="00BA6A31" w:rsidRPr="004F0396" w:rsidRDefault="00BA6A31" w:rsidP="00BA6A31">
            <w:pPr>
              <w:pStyle w:val="Table"/>
              <w:jc w:val="center"/>
              <w:rPr>
                <w:sz w:val="18"/>
              </w:rPr>
            </w:pPr>
            <w:r>
              <w:rPr>
                <w:color w:val="000000"/>
                <w:sz w:val="18"/>
                <w:szCs w:val="18"/>
              </w:rPr>
              <w:t>130</w:t>
            </w:r>
          </w:p>
        </w:tc>
      </w:tr>
      <w:tr w:rsidR="00BA6A31" w:rsidRPr="004F0396" w14:paraId="7B37AE29" w14:textId="77777777" w:rsidTr="003C4FD0">
        <w:tc>
          <w:tcPr>
            <w:tcW w:w="2925" w:type="dxa"/>
            <w:vAlign w:val="center"/>
          </w:tcPr>
          <w:p w14:paraId="1B8FF44D" w14:textId="747CE227" w:rsidR="00BA6A31" w:rsidRDefault="00BA6A31" w:rsidP="00BA6A31">
            <w:pPr>
              <w:pStyle w:val="Table"/>
              <w:rPr>
                <w:sz w:val="18"/>
              </w:rPr>
            </w:pPr>
            <w:r w:rsidRPr="0047765A">
              <w:rPr>
                <w:sz w:val="18"/>
              </w:rPr>
              <w:t>Primacy agency assists systems to develop lead service line inventory and reviews submission of the inventory</w:t>
            </w:r>
          </w:p>
        </w:tc>
        <w:tc>
          <w:tcPr>
            <w:tcW w:w="1944" w:type="dxa"/>
            <w:vAlign w:val="center"/>
          </w:tcPr>
          <w:p w14:paraId="50348DB4" w14:textId="20B20A18" w:rsidR="00BA6A31" w:rsidRDefault="00BA6A31" w:rsidP="00BA6A31">
            <w:pPr>
              <w:pStyle w:val="Table"/>
              <w:jc w:val="center"/>
              <w:rPr>
                <w:sz w:val="18"/>
              </w:rPr>
            </w:pPr>
            <w:r w:rsidRPr="004F0396">
              <w:rPr>
                <w:sz w:val="18"/>
              </w:rPr>
              <w:t>56</w:t>
            </w:r>
          </w:p>
        </w:tc>
        <w:tc>
          <w:tcPr>
            <w:tcW w:w="2563" w:type="dxa"/>
            <w:vAlign w:val="center"/>
          </w:tcPr>
          <w:p w14:paraId="7C9BE2B8" w14:textId="1CF2378A" w:rsidR="00BA6A31" w:rsidRPr="004F0396" w:rsidRDefault="00BA6A31" w:rsidP="00BA6A31">
            <w:pPr>
              <w:pStyle w:val="Table"/>
              <w:jc w:val="center"/>
              <w:rPr>
                <w:sz w:val="18"/>
              </w:rPr>
            </w:pPr>
            <w:r>
              <w:rPr>
                <w:sz w:val="18"/>
              </w:rPr>
              <w:t>9,448</w:t>
            </w:r>
            <w:r>
              <w:rPr>
                <w:sz w:val="18"/>
                <w:szCs w:val="18"/>
              </w:rPr>
              <w:t xml:space="preserve"> to </w:t>
            </w:r>
            <w:r w:rsidRPr="00D32894">
              <w:rPr>
                <w:sz w:val="18"/>
              </w:rPr>
              <w:t>11,692</w:t>
            </w:r>
          </w:p>
        </w:tc>
        <w:tc>
          <w:tcPr>
            <w:tcW w:w="1918" w:type="dxa"/>
            <w:vAlign w:val="center"/>
          </w:tcPr>
          <w:p w14:paraId="08247F63" w14:textId="770579C6" w:rsidR="00BA6A31" w:rsidRPr="00C76509" w:rsidRDefault="00BA6A31" w:rsidP="00BA6A31">
            <w:pPr>
              <w:pStyle w:val="Table"/>
              <w:jc w:val="center"/>
              <w:rPr>
                <w:sz w:val="18"/>
              </w:rPr>
            </w:pPr>
            <w:r>
              <w:rPr>
                <w:color w:val="000000"/>
                <w:sz w:val="18"/>
                <w:szCs w:val="18"/>
              </w:rPr>
              <w:t>5 to 20</w:t>
            </w:r>
          </w:p>
        </w:tc>
      </w:tr>
      <w:tr w:rsidR="00BA6A31" w:rsidRPr="004F0396" w14:paraId="19A7B432" w14:textId="77777777" w:rsidTr="003C4FD0">
        <w:tc>
          <w:tcPr>
            <w:tcW w:w="2925" w:type="dxa"/>
            <w:vAlign w:val="center"/>
            <w:hideMark/>
          </w:tcPr>
          <w:p w14:paraId="0ACE1F6B" w14:textId="77777777" w:rsidR="00BA6A31" w:rsidRPr="004F0396" w:rsidRDefault="00BA6A31" w:rsidP="00BA6A31">
            <w:pPr>
              <w:pStyle w:val="Table"/>
              <w:rPr>
                <w:sz w:val="18"/>
              </w:rPr>
            </w:pPr>
            <w:r>
              <w:rPr>
                <w:sz w:val="18"/>
              </w:rPr>
              <w:t>Primacy agency</w:t>
            </w:r>
            <w:r w:rsidRPr="004F0396">
              <w:rPr>
                <w:sz w:val="18"/>
              </w:rPr>
              <w:t xml:space="preserve"> reviews demonstration of no lead service lines from systems</w:t>
            </w:r>
          </w:p>
        </w:tc>
        <w:tc>
          <w:tcPr>
            <w:tcW w:w="1944" w:type="dxa"/>
            <w:vAlign w:val="center"/>
          </w:tcPr>
          <w:p w14:paraId="5D6E4DE2" w14:textId="6939EDAB" w:rsidR="00BA6A31" w:rsidRDefault="00BA6A31" w:rsidP="00BA6A31">
            <w:pPr>
              <w:pStyle w:val="Table"/>
              <w:jc w:val="center"/>
              <w:rPr>
                <w:sz w:val="18"/>
              </w:rPr>
            </w:pPr>
            <w:r w:rsidRPr="004F0396">
              <w:rPr>
                <w:sz w:val="18"/>
              </w:rPr>
              <w:t>56</w:t>
            </w:r>
          </w:p>
        </w:tc>
        <w:tc>
          <w:tcPr>
            <w:tcW w:w="2563" w:type="dxa"/>
            <w:vAlign w:val="center"/>
            <w:hideMark/>
          </w:tcPr>
          <w:p w14:paraId="209800C6" w14:textId="041E940F" w:rsidR="00BA6A31" w:rsidRPr="004F0396" w:rsidRDefault="00BA6A31" w:rsidP="00BA6A31">
            <w:pPr>
              <w:pStyle w:val="Table"/>
              <w:jc w:val="center"/>
              <w:rPr>
                <w:sz w:val="18"/>
              </w:rPr>
            </w:pPr>
            <w:r>
              <w:rPr>
                <w:sz w:val="18"/>
              </w:rPr>
              <w:t>44,037</w:t>
            </w:r>
            <w:r>
              <w:rPr>
                <w:sz w:val="18"/>
                <w:szCs w:val="18"/>
              </w:rPr>
              <w:t xml:space="preserve"> to </w:t>
            </w:r>
            <w:r w:rsidRPr="00D32894">
              <w:rPr>
                <w:sz w:val="18"/>
              </w:rPr>
              <w:t>41,806</w:t>
            </w:r>
          </w:p>
        </w:tc>
        <w:tc>
          <w:tcPr>
            <w:tcW w:w="1918" w:type="dxa"/>
            <w:vAlign w:val="center"/>
            <w:hideMark/>
          </w:tcPr>
          <w:p w14:paraId="14519AAE" w14:textId="626970E9" w:rsidR="00BA6A31" w:rsidRPr="004F0396" w:rsidRDefault="00BA6A31" w:rsidP="00BA6A31">
            <w:pPr>
              <w:pStyle w:val="Table"/>
              <w:jc w:val="center"/>
              <w:rPr>
                <w:sz w:val="18"/>
              </w:rPr>
            </w:pPr>
            <w:r>
              <w:rPr>
                <w:color w:val="000000"/>
                <w:sz w:val="18"/>
                <w:szCs w:val="18"/>
              </w:rPr>
              <w:t>5 to 20</w:t>
            </w:r>
          </w:p>
        </w:tc>
      </w:tr>
      <w:tr w:rsidR="00BA6A31" w:rsidRPr="004F0396" w14:paraId="7BCDC7D6" w14:textId="77777777" w:rsidTr="003C4FD0">
        <w:tc>
          <w:tcPr>
            <w:tcW w:w="2925" w:type="dxa"/>
            <w:vAlign w:val="center"/>
          </w:tcPr>
          <w:p w14:paraId="51B8A85F" w14:textId="7991787D" w:rsidR="00BA6A31" w:rsidRPr="004F0396" w:rsidRDefault="00BA6A31" w:rsidP="00BA6A31">
            <w:pPr>
              <w:pStyle w:val="Table"/>
              <w:rPr>
                <w:sz w:val="18"/>
              </w:rPr>
            </w:pPr>
            <w:r>
              <w:rPr>
                <w:color w:val="000000"/>
                <w:sz w:val="18"/>
                <w:szCs w:val="18"/>
              </w:rPr>
              <w:t>Primacy agency confers on and reviews initial LSLR plan</w:t>
            </w:r>
          </w:p>
        </w:tc>
        <w:tc>
          <w:tcPr>
            <w:tcW w:w="1944" w:type="dxa"/>
            <w:vAlign w:val="center"/>
          </w:tcPr>
          <w:p w14:paraId="2A4222A5" w14:textId="6E5FA6BD" w:rsidR="00BA6A31" w:rsidRDefault="00BA6A31" w:rsidP="00BA6A31">
            <w:pPr>
              <w:pStyle w:val="Table"/>
              <w:jc w:val="center"/>
              <w:rPr>
                <w:color w:val="000000"/>
                <w:sz w:val="18"/>
                <w:szCs w:val="18"/>
              </w:rPr>
            </w:pPr>
            <w:r>
              <w:rPr>
                <w:color w:val="000000"/>
                <w:sz w:val="18"/>
                <w:szCs w:val="18"/>
              </w:rPr>
              <w:t>56</w:t>
            </w:r>
          </w:p>
        </w:tc>
        <w:tc>
          <w:tcPr>
            <w:tcW w:w="2563" w:type="dxa"/>
            <w:vAlign w:val="center"/>
          </w:tcPr>
          <w:p w14:paraId="342025EB" w14:textId="62045CF3" w:rsidR="00BA6A31" w:rsidRPr="004F0396" w:rsidRDefault="00BA6A31" w:rsidP="00BA6A31">
            <w:pPr>
              <w:pStyle w:val="Table"/>
              <w:jc w:val="center"/>
              <w:rPr>
                <w:sz w:val="18"/>
              </w:rPr>
            </w:pPr>
            <w:r>
              <w:rPr>
                <w:color w:val="000000"/>
                <w:sz w:val="18"/>
                <w:szCs w:val="18"/>
              </w:rPr>
              <w:t>11,782</w:t>
            </w:r>
            <w:r>
              <w:rPr>
                <w:sz w:val="18"/>
                <w:szCs w:val="18"/>
              </w:rPr>
              <w:t xml:space="preserve"> to </w:t>
            </w:r>
            <w:r w:rsidRPr="00D32894">
              <w:rPr>
                <w:color w:val="000000"/>
                <w:sz w:val="18"/>
                <w:szCs w:val="18"/>
              </w:rPr>
              <w:t>14,574</w:t>
            </w:r>
          </w:p>
        </w:tc>
        <w:tc>
          <w:tcPr>
            <w:tcW w:w="1918" w:type="dxa"/>
            <w:vAlign w:val="center"/>
          </w:tcPr>
          <w:p w14:paraId="62629A7E" w14:textId="40F8F47A" w:rsidR="00BA6A31" w:rsidRPr="004F0396" w:rsidRDefault="00BA6A31" w:rsidP="00BA6A31">
            <w:pPr>
              <w:pStyle w:val="Table"/>
              <w:jc w:val="center"/>
              <w:rPr>
                <w:sz w:val="18"/>
              </w:rPr>
            </w:pPr>
            <w:r>
              <w:rPr>
                <w:color w:val="000000"/>
                <w:sz w:val="18"/>
                <w:szCs w:val="18"/>
              </w:rPr>
              <w:t>8</w:t>
            </w:r>
          </w:p>
        </w:tc>
      </w:tr>
      <w:tr w:rsidR="00BA6A31" w:rsidRPr="004F0396" w14:paraId="5FCA749B" w14:textId="77777777" w:rsidTr="003C4FD0">
        <w:tc>
          <w:tcPr>
            <w:tcW w:w="2925" w:type="dxa"/>
            <w:vAlign w:val="center"/>
            <w:hideMark/>
          </w:tcPr>
          <w:p w14:paraId="20784472" w14:textId="77777777" w:rsidR="00BA6A31" w:rsidRPr="004F0396" w:rsidRDefault="00BA6A31" w:rsidP="00BA6A31">
            <w:pPr>
              <w:pStyle w:val="Table"/>
              <w:rPr>
                <w:b/>
                <w:sz w:val="18"/>
              </w:rPr>
            </w:pPr>
            <w:bookmarkStart w:id="107" w:name="_Hlk21629496"/>
            <w:r>
              <w:rPr>
                <w:b/>
                <w:bCs/>
                <w:color w:val="000000"/>
                <w:sz w:val="18"/>
                <w:szCs w:val="18"/>
              </w:rPr>
              <w:t>Primacy Agency Subtotal</w:t>
            </w:r>
          </w:p>
        </w:tc>
        <w:tc>
          <w:tcPr>
            <w:tcW w:w="1944" w:type="dxa"/>
            <w:vAlign w:val="center"/>
          </w:tcPr>
          <w:p w14:paraId="665A14FD" w14:textId="668C96E5" w:rsidR="00BA6A31" w:rsidRDefault="00BA6A31" w:rsidP="00BA6A31">
            <w:pPr>
              <w:pStyle w:val="Table"/>
              <w:jc w:val="center"/>
              <w:rPr>
                <w:b/>
                <w:bCs/>
                <w:color w:val="000000"/>
                <w:sz w:val="18"/>
                <w:szCs w:val="18"/>
              </w:rPr>
            </w:pPr>
            <w:r>
              <w:rPr>
                <w:b/>
                <w:bCs/>
                <w:color w:val="000000"/>
                <w:sz w:val="18"/>
                <w:szCs w:val="18"/>
              </w:rPr>
              <w:t>56</w:t>
            </w:r>
          </w:p>
        </w:tc>
        <w:tc>
          <w:tcPr>
            <w:tcW w:w="2563" w:type="dxa"/>
            <w:vAlign w:val="center"/>
            <w:hideMark/>
          </w:tcPr>
          <w:p w14:paraId="40E68BE0" w14:textId="20F0B7D6" w:rsidR="00BA6A31" w:rsidRPr="004F0396" w:rsidRDefault="00BA6A31" w:rsidP="00BA6A31">
            <w:pPr>
              <w:pStyle w:val="Table"/>
              <w:jc w:val="center"/>
              <w:rPr>
                <w:b/>
                <w:sz w:val="18"/>
              </w:rPr>
            </w:pPr>
            <w:r>
              <w:rPr>
                <w:b/>
                <w:bCs/>
                <w:color w:val="000000"/>
                <w:sz w:val="18"/>
                <w:szCs w:val="18"/>
              </w:rPr>
              <w:t>65,547</w:t>
            </w:r>
            <w:r>
              <w:rPr>
                <w:sz w:val="18"/>
                <w:szCs w:val="18"/>
              </w:rPr>
              <w:t xml:space="preserve"> to </w:t>
            </w:r>
            <w:r w:rsidRPr="00D32894">
              <w:rPr>
                <w:b/>
                <w:bCs/>
                <w:color w:val="000000"/>
                <w:sz w:val="18"/>
                <w:szCs w:val="18"/>
              </w:rPr>
              <w:t>68,352</w:t>
            </w:r>
          </w:p>
        </w:tc>
        <w:tc>
          <w:tcPr>
            <w:tcW w:w="1918" w:type="dxa"/>
            <w:vAlign w:val="center"/>
            <w:hideMark/>
          </w:tcPr>
          <w:p w14:paraId="3E1FAA06" w14:textId="77777777" w:rsidR="00BA6A31" w:rsidRPr="004F0396" w:rsidRDefault="00BA6A31" w:rsidP="00BA6A31">
            <w:pPr>
              <w:pStyle w:val="Table"/>
              <w:jc w:val="center"/>
              <w:rPr>
                <w:b/>
                <w:sz w:val="18"/>
              </w:rPr>
            </w:pPr>
            <w:r>
              <w:rPr>
                <w:b/>
                <w:bCs/>
                <w:color w:val="000000"/>
                <w:sz w:val="18"/>
                <w:szCs w:val="18"/>
              </w:rPr>
              <w:t>varies</w:t>
            </w:r>
          </w:p>
        </w:tc>
      </w:tr>
      <w:tr w:rsidR="00BA6A31" w:rsidRPr="004F0396" w14:paraId="24C40B2B" w14:textId="77777777" w:rsidTr="003C4FD0">
        <w:tc>
          <w:tcPr>
            <w:tcW w:w="2925" w:type="dxa"/>
            <w:vAlign w:val="center"/>
            <w:hideMark/>
          </w:tcPr>
          <w:p w14:paraId="74E842A2" w14:textId="77777777" w:rsidR="00BA6A31" w:rsidRPr="004F0396" w:rsidRDefault="00BA6A31" w:rsidP="00BA6A31">
            <w:pPr>
              <w:pStyle w:val="Table"/>
              <w:rPr>
                <w:b/>
                <w:sz w:val="18"/>
              </w:rPr>
            </w:pPr>
            <w:bookmarkStart w:id="108" w:name="_Hlk21629467"/>
            <w:bookmarkEnd w:id="107"/>
            <w:r>
              <w:rPr>
                <w:b/>
                <w:bCs/>
                <w:color w:val="000000"/>
                <w:sz w:val="18"/>
                <w:szCs w:val="18"/>
              </w:rPr>
              <w:t>Combined System and Primacy Agency Total</w:t>
            </w:r>
          </w:p>
        </w:tc>
        <w:tc>
          <w:tcPr>
            <w:tcW w:w="1944" w:type="dxa"/>
            <w:vAlign w:val="center"/>
          </w:tcPr>
          <w:p w14:paraId="5068D2A5" w14:textId="3A85C14F" w:rsidR="00BA6A31" w:rsidRDefault="00BA6A31" w:rsidP="00BA6A31">
            <w:pPr>
              <w:pStyle w:val="Table"/>
              <w:jc w:val="center"/>
              <w:rPr>
                <w:b/>
                <w:bCs/>
                <w:color w:val="000000"/>
                <w:sz w:val="18"/>
                <w:szCs w:val="18"/>
              </w:rPr>
            </w:pPr>
            <w:r>
              <w:rPr>
                <w:b/>
                <w:bCs/>
                <w:color w:val="000000"/>
                <w:sz w:val="18"/>
                <w:szCs w:val="18"/>
              </w:rPr>
              <w:t>67,712</w:t>
            </w:r>
          </w:p>
        </w:tc>
        <w:tc>
          <w:tcPr>
            <w:tcW w:w="2563" w:type="dxa"/>
            <w:vAlign w:val="center"/>
            <w:hideMark/>
          </w:tcPr>
          <w:p w14:paraId="0D514960" w14:textId="3D8ECC0F" w:rsidR="00BA6A31" w:rsidRPr="004F0396" w:rsidRDefault="00BA6A31" w:rsidP="00BA6A31">
            <w:pPr>
              <w:pStyle w:val="Table"/>
              <w:jc w:val="center"/>
              <w:rPr>
                <w:b/>
                <w:sz w:val="18"/>
              </w:rPr>
            </w:pPr>
            <w:bookmarkStart w:id="109" w:name="_Hlk21629580"/>
            <w:r>
              <w:rPr>
                <w:b/>
                <w:bCs/>
                <w:color w:val="000000"/>
                <w:sz w:val="18"/>
                <w:szCs w:val="18"/>
              </w:rPr>
              <w:t>333,782</w:t>
            </w:r>
            <w:r>
              <w:rPr>
                <w:sz w:val="18"/>
                <w:szCs w:val="18"/>
              </w:rPr>
              <w:t xml:space="preserve"> to </w:t>
            </w:r>
            <w:r w:rsidRPr="00D32894">
              <w:rPr>
                <w:b/>
                <w:bCs/>
                <w:color w:val="000000"/>
                <w:sz w:val="18"/>
                <w:szCs w:val="18"/>
              </w:rPr>
              <w:t>339,392</w:t>
            </w:r>
            <w:bookmarkEnd w:id="109"/>
          </w:p>
        </w:tc>
        <w:tc>
          <w:tcPr>
            <w:tcW w:w="1918" w:type="dxa"/>
            <w:vAlign w:val="center"/>
            <w:hideMark/>
          </w:tcPr>
          <w:p w14:paraId="67A7A078" w14:textId="77777777" w:rsidR="00BA6A31" w:rsidRPr="004F0396" w:rsidRDefault="00BA6A31" w:rsidP="00BA6A31">
            <w:pPr>
              <w:pStyle w:val="Table"/>
              <w:jc w:val="center"/>
              <w:rPr>
                <w:b/>
                <w:sz w:val="18"/>
              </w:rPr>
            </w:pPr>
            <w:r>
              <w:rPr>
                <w:b/>
                <w:bCs/>
                <w:color w:val="000000"/>
                <w:sz w:val="18"/>
                <w:szCs w:val="18"/>
              </w:rPr>
              <w:t>varies</w:t>
            </w:r>
          </w:p>
        </w:tc>
      </w:tr>
    </w:tbl>
    <w:bookmarkEnd w:id="108"/>
    <w:p w14:paraId="27AF1DD3" w14:textId="77777777" w:rsidR="00F77E85" w:rsidRDefault="002B6D67" w:rsidP="00F77E85">
      <w:pPr>
        <w:pStyle w:val="TableNote"/>
        <w:spacing w:after="0"/>
      </w:pPr>
      <w:r>
        <w:t xml:space="preserve">Notes: </w:t>
      </w:r>
      <w:r w:rsidR="00FA670C">
        <w:t>Detail may not add exactly to total due to independent rounding.</w:t>
      </w:r>
      <w:r w:rsidR="007315D6">
        <w:t xml:space="preserve"> </w:t>
      </w:r>
    </w:p>
    <w:p w14:paraId="02438240" w14:textId="0182FE3F" w:rsidR="00F77E85" w:rsidRDefault="00F77E85" w:rsidP="00F77E85">
      <w:pPr>
        <w:pStyle w:val="TableNote"/>
        <w:spacing w:after="0"/>
      </w:pPr>
      <w:r>
        <w:t xml:space="preserve">(a) </w:t>
      </w:r>
      <w:r w:rsidR="009048AD">
        <w:t xml:space="preserve">Ranges reflect the </w:t>
      </w:r>
      <w:r w:rsidR="00F85327">
        <w:t>low-cost</w:t>
      </w:r>
      <w:r w:rsidR="009048AD">
        <w:t xml:space="preserve"> scenario to the high</w:t>
      </w:r>
      <w:r w:rsidR="001A36C3">
        <w:t>-</w:t>
      </w:r>
      <w:r w:rsidR="009048AD">
        <w:t xml:space="preserve">cost scenario. </w:t>
      </w:r>
    </w:p>
    <w:p w14:paraId="5A0DB15A" w14:textId="73AD67FF" w:rsidR="00F77E85" w:rsidRDefault="00F77E85" w:rsidP="00F77E85">
      <w:pPr>
        <w:pStyle w:val="TableNote"/>
        <w:spacing w:after="0"/>
      </w:pPr>
      <w:r>
        <w:t>(b) Ranges reflect variation across system sizes. Values in this column without a range are average estimates per response across all respondents; larger PWS or primacy agencies may incur more hours and smaller PWS and primacy agencies may incur fewer hours.</w:t>
      </w:r>
    </w:p>
    <w:p w14:paraId="302E116B" w14:textId="4ECFCF56" w:rsidR="001A36C3" w:rsidRDefault="00F77E85" w:rsidP="001A36C3">
      <w:pPr>
        <w:pStyle w:val="TableNote"/>
        <w:spacing w:after="0"/>
      </w:pPr>
      <w:r>
        <w:t xml:space="preserve">(c) </w:t>
      </w:r>
      <w:r w:rsidR="00D46A3E">
        <w:t xml:space="preserve">Every system falls into one of the following four categories: (i) system has LSLs and </w:t>
      </w:r>
      <w:r w:rsidR="0054114D">
        <w:t xml:space="preserve">incurs burden to </w:t>
      </w:r>
      <w:r w:rsidR="00D46A3E">
        <w:t>develop an inventory; (ii) system already has an LSL inventory</w:t>
      </w:r>
      <w:r w:rsidR="0054114D">
        <w:t xml:space="preserve"> and does not incur burden</w:t>
      </w:r>
      <w:r w:rsidR="00D46A3E">
        <w:t xml:space="preserve">; (iii) system does not have LSLs and </w:t>
      </w:r>
      <w:r w:rsidR="0054114D">
        <w:t xml:space="preserve">incurs burden to </w:t>
      </w:r>
      <w:r w:rsidR="00D46A3E">
        <w:t>prepare a demonstration; and (iv) system does not have LSLs and has already demonstrated it</w:t>
      </w:r>
      <w:r w:rsidR="0054114D">
        <w:t>, and thus does not incur burden</w:t>
      </w:r>
      <w:r w:rsidR="00D46A3E">
        <w:t xml:space="preserve">. Under the low-cost scenario, the system distribution of 67,656 systems across the categories is: (i) </w:t>
      </w:r>
      <w:r w:rsidR="0054114D">
        <w:t>9,448;</w:t>
      </w:r>
      <w:r w:rsidR="00D46A3E">
        <w:t xml:space="preserve"> (ii) </w:t>
      </w:r>
      <w:r w:rsidR="0054114D">
        <w:t>2,334;</w:t>
      </w:r>
      <w:r w:rsidR="00D46A3E">
        <w:t xml:space="preserve"> (iii)</w:t>
      </w:r>
      <w:r w:rsidR="0054114D">
        <w:t xml:space="preserve"> 44,037; and</w:t>
      </w:r>
      <w:r w:rsidR="00D46A3E">
        <w:t xml:space="preserve"> (iv) </w:t>
      </w:r>
      <w:r w:rsidR="0054114D">
        <w:t>11,837</w:t>
      </w:r>
      <w:r w:rsidR="00D46A3E">
        <w:t>.</w:t>
      </w:r>
      <w:r w:rsidR="0054114D">
        <w:t xml:space="preserve"> Under the low-cost scenario, the system distribution of 67,656 systems across the categories is: (i) 11,692; (ii) 2,882; (iii) 41,806; and (iv) 11,276. Note that the </w:t>
      </w:r>
      <w:r w:rsidR="009048AD">
        <w:t>number of systems submitting a demonstration of no LSLs is lower in the high</w:t>
      </w:r>
      <w:r w:rsidR="0054114D">
        <w:t>-</w:t>
      </w:r>
      <w:r w:rsidR="009048AD">
        <w:t xml:space="preserve">cost scenario because more systems are estimated to have LSLs in that scenario, resulting in higher total burden and cost. </w:t>
      </w:r>
    </w:p>
    <w:p w14:paraId="725EFC87" w14:textId="77777777" w:rsidR="001A36C3" w:rsidRDefault="001A36C3" w:rsidP="00F77E85">
      <w:pPr>
        <w:pStyle w:val="TableNote"/>
        <w:spacing w:after="0"/>
      </w:pPr>
    </w:p>
    <w:p w14:paraId="17EAA09E" w14:textId="77777777" w:rsidR="00E64F81" w:rsidRDefault="00E64F81" w:rsidP="005E2D56">
      <w:pPr>
        <w:pStyle w:val="Heading3"/>
      </w:pPr>
      <w:bookmarkStart w:id="110" w:name="_Toc160872072"/>
      <w:bookmarkStart w:id="111" w:name="_Toc23138988"/>
      <w:bookmarkStart w:id="112" w:name="_Toc23139133"/>
      <w:r>
        <w:t>6</w:t>
      </w:r>
      <w:r w:rsidR="00B276C0">
        <w:t>(</w:t>
      </w:r>
      <w:r>
        <w:t>a</w:t>
      </w:r>
      <w:r w:rsidR="00B276C0">
        <w:t>)</w:t>
      </w:r>
      <w:r>
        <w:t>(i)</w:t>
      </w:r>
      <w:r>
        <w:tab/>
        <w:t>Burden to P</w:t>
      </w:r>
      <w:r w:rsidR="00B276C0">
        <w:t xml:space="preserve">ublic </w:t>
      </w:r>
      <w:r>
        <w:t>W</w:t>
      </w:r>
      <w:r w:rsidR="00B276C0">
        <w:t xml:space="preserve">ater </w:t>
      </w:r>
      <w:r>
        <w:t>S</w:t>
      </w:r>
      <w:r w:rsidR="00B276C0">
        <w:t>ystem</w:t>
      </w:r>
      <w:r>
        <w:t>s</w:t>
      </w:r>
      <w:bookmarkEnd w:id="110"/>
      <w:bookmarkEnd w:id="111"/>
      <w:bookmarkEnd w:id="112"/>
    </w:p>
    <w:p w14:paraId="1F209602" w14:textId="4AF7E448" w:rsidR="002B6D67" w:rsidRDefault="002B6D67" w:rsidP="002B6D67">
      <w:pPr>
        <w:pStyle w:val="NormalIndent"/>
      </w:pPr>
      <w:r>
        <w:t xml:space="preserve">During the initial </w:t>
      </w:r>
      <w:r w:rsidR="00F85327">
        <w:t>three-year</w:t>
      </w:r>
      <w:r>
        <w:t xml:space="preserve"> period, public water systems will conduct one-time startup activities that include the following:</w:t>
      </w:r>
    </w:p>
    <w:p w14:paraId="40277E94" w14:textId="77777777" w:rsidR="002B6D67" w:rsidRDefault="002B6D67" w:rsidP="002B6D67">
      <w:pPr>
        <w:pStyle w:val="Bullets"/>
      </w:pPr>
      <w:r>
        <w:t xml:space="preserve">Reading and understanding the </w:t>
      </w:r>
      <w:r w:rsidR="00C018A3">
        <w:t>LCRR</w:t>
      </w:r>
    </w:p>
    <w:p w14:paraId="462FC1EA" w14:textId="77777777" w:rsidR="002B6D67" w:rsidRDefault="002B6D67" w:rsidP="002B6D67">
      <w:pPr>
        <w:pStyle w:val="Bullets"/>
      </w:pPr>
      <w:r>
        <w:t>Assigning personnel and resources for rule implementation</w:t>
      </w:r>
    </w:p>
    <w:p w14:paraId="312F1928" w14:textId="77777777" w:rsidR="002B6D67" w:rsidRDefault="002B6D67" w:rsidP="009F5BB6">
      <w:pPr>
        <w:pStyle w:val="Bullets"/>
      </w:pPr>
      <w:r>
        <w:t xml:space="preserve">Attending training and receiving technical assistance from the </w:t>
      </w:r>
      <w:r w:rsidR="009F5BB6">
        <w:t>primacy agency</w:t>
      </w:r>
    </w:p>
    <w:p w14:paraId="76E4E3A0" w14:textId="77777777" w:rsidR="002B6D67" w:rsidRDefault="002B6D67" w:rsidP="009F5BB6">
      <w:pPr>
        <w:pStyle w:val="Bullets"/>
      </w:pPr>
      <w:r>
        <w:t>D</w:t>
      </w:r>
      <w:r w:rsidRPr="0063474A">
        <w:t>evelop</w:t>
      </w:r>
      <w:r>
        <w:t>ing</w:t>
      </w:r>
      <w:r w:rsidRPr="0063474A">
        <w:t xml:space="preserve"> </w:t>
      </w:r>
      <w:r>
        <w:t>LSL</w:t>
      </w:r>
      <w:r w:rsidRPr="0063474A">
        <w:t xml:space="preserve"> inventor</w:t>
      </w:r>
      <w:r>
        <w:t>ies</w:t>
      </w:r>
      <w:r w:rsidRPr="0063474A">
        <w:t xml:space="preserve"> or submit</w:t>
      </w:r>
      <w:r>
        <w:t xml:space="preserve">ting </w:t>
      </w:r>
      <w:r w:rsidRPr="0063474A">
        <w:t>demonstration</w:t>
      </w:r>
      <w:r>
        <w:t>s</w:t>
      </w:r>
      <w:r w:rsidRPr="0063474A">
        <w:t xml:space="preserve"> that they do not have </w:t>
      </w:r>
      <w:r>
        <w:t>LSL</w:t>
      </w:r>
      <w:r w:rsidRPr="0063474A">
        <w:t>s</w:t>
      </w:r>
    </w:p>
    <w:p w14:paraId="45FD77FF" w14:textId="4B4AFBC8" w:rsidR="00C76509" w:rsidRDefault="00A539B3" w:rsidP="009F5BB6">
      <w:pPr>
        <w:pStyle w:val="Bullets"/>
      </w:pPr>
      <w:r>
        <w:t>Planning and identifying financial options for initial plan for LSLR Program</w:t>
      </w:r>
      <w:r w:rsidR="00C76509">
        <w:t>.</w:t>
      </w:r>
    </w:p>
    <w:p w14:paraId="27F149AE" w14:textId="77777777" w:rsidR="00B1767A" w:rsidRDefault="00B95A19" w:rsidP="002034F3">
      <w:pPr>
        <w:pStyle w:val="NormalIndent"/>
      </w:pPr>
      <w:r>
        <w:t>The</w:t>
      </w:r>
      <w:r w:rsidR="008F0759" w:rsidRPr="0027584B">
        <w:t xml:space="preserve"> one-time burden associated with </w:t>
      </w:r>
      <w:r w:rsidR="00B1767A">
        <w:t xml:space="preserve">reading and understanding the rule, assigning personnel and resources, and attending training is estimated </w:t>
      </w:r>
      <w:r w:rsidR="009F5BB6">
        <w:t>to average</w:t>
      </w:r>
      <w:r w:rsidR="00B1767A">
        <w:t xml:space="preserve"> 20 hours per system</w:t>
      </w:r>
      <w:r w:rsidR="008F0759" w:rsidRPr="0027584B">
        <w:t>. These activit</w:t>
      </w:r>
      <w:r w:rsidR="008F0759">
        <w:t xml:space="preserve">ies </w:t>
      </w:r>
      <w:r w:rsidR="008F0759" w:rsidRPr="0027584B">
        <w:t xml:space="preserve">will be undertaken by </w:t>
      </w:r>
      <w:r w:rsidR="00B1767A">
        <w:t>all</w:t>
      </w:r>
      <w:r w:rsidR="00B1767A" w:rsidRPr="0027584B">
        <w:t xml:space="preserve"> </w:t>
      </w:r>
      <w:r w:rsidR="000E01AE">
        <w:t>67,656</w:t>
      </w:r>
      <w:r w:rsidR="008F0759" w:rsidRPr="0027584B">
        <w:t xml:space="preserve"> CWSs and NTNCWSs that must comply with the LCR. </w:t>
      </w:r>
      <w:r w:rsidR="00B1767A" w:rsidRPr="0027584B">
        <w:t>T</w:t>
      </w:r>
      <w:r w:rsidR="00B1767A">
        <w:t>he t</w:t>
      </w:r>
      <w:r w:rsidR="00B1767A" w:rsidRPr="0027584B">
        <w:t>otal burden</w:t>
      </w:r>
      <w:r w:rsidR="00B1767A">
        <w:t xml:space="preserve"> for these activities, for the three-year period,</w:t>
      </w:r>
      <w:r w:rsidR="00B1767A" w:rsidRPr="0027584B">
        <w:t xml:space="preserve"> for all systems is estimated to be </w:t>
      </w:r>
      <w:r w:rsidR="00B1767A">
        <w:t>1,353,120 hours (67,656</w:t>
      </w:r>
      <w:r w:rsidR="00D8246F">
        <w:t xml:space="preserve"> systems</w:t>
      </w:r>
      <w:r w:rsidR="00B1767A">
        <w:t xml:space="preserve"> x 20</w:t>
      </w:r>
      <w:r w:rsidR="00D8246F">
        <w:t xml:space="preserve"> hours/system</w:t>
      </w:r>
      <w:r w:rsidR="00B1767A">
        <w:t>)</w:t>
      </w:r>
      <w:r w:rsidR="00CC0AFB">
        <w:t xml:space="preserve">, </w:t>
      </w:r>
      <w:r w:rsidR="00361B65">
        <w:t xml:space="preserve">or </w:t>
      </w:r>
      <w:r w:rsidR="00CC0AFB">
        <w:t>an average of 451,040 hours per year</w:t>
      </w:r>
      <w:r w:rsidR="00B1767A">
        <w:t>.</w:t>
      </w:r>
      <w:r w:rsidR="008F0759" w:rsidRPr="0027584B">
        <w:t xml:space="preserve"> </w:t>
      </w:r>
    </w:p>
    <w:p w14:paraId="6EA45C18" w14:textId="30BBFF40" w:rsidR="002B6D67" w:rsidRDefault="005B18FC" w:rsidP="00120EA8">
      <w:pPr>
        <w:pStyle w:val="NormalIndent"/>
      </w:pPr>
      <w:r>
        <w:t xml:space="preserve">The EPA’s estimates of burden for </w:t>
      </w:r>
      <w:r w:rsidR="00E8725A">
        <w:t>systems to submit demonstrations of no LSLs</w:t>
      </w:r>
      <w:r>
        <w:t xml:space="preserve"> incorporate </w:t>
      </w:r>
      <w:r w:rsidR="00D22055">
        <w:t xml:space="preserve">the likelihood </w:t>
      </w:r>
      <w:r>
        <w:t xml:space="preserve">that systems have existing documentation of no LSLs. The </w:t>
      </w:r>
      <w:r w:rsidR="00D22055">
        <w:t xml:space="preserve">likelihood </w:t>
      </w:r>
      <w:r>
        <w:t xml:space="preserve">used to estimate </w:t>
      </w:r>
      <w:r w:rsidR="0026218F">
        <w:t xml:space="preserve">this </w:t>
      </w:r>
      <w:r>
        <w:t>burden range from 5% to 33% depending on system size</w:t>
      </w:r>
      <w:r w:rsidR="00E8725A">
        <w:t xml:space="preserve"> and type (i.e., CWSs versus NTNCWSs)</w:t>
      </w:r>
      <w:r>
        <w:t xml:space="preserve">. </w:t>
      </w:r>
      <w:r w:rsidR="00E62E42">
        <w:t xml:space="preserve">The </w:t>
      </w:r>
      <w:r w:rsidR="00120EA8">
        <w:t xml:space="preserve">EPA estimates that </w:t>
      </w:r>
      <w:r w:rsidR="00D32894">
        <w:t xml:space="preserve">44,037 to </w:t>
      </w:r>
      <w:r w:rsidR="00D32894" w:rsidRPr="00D32894">
        <w:t>41,806</w:t>
      </w:r>
      <w:r w:rsidR="00D32894" w:rsidRPr="00D32894" w:rsidDel="00D32894">
        <w:t xml:space="preserve"> </w:t>
      </w:r>
      <w:r w:rsidR="00120EA8">
        <w:t>systems will submit demonstrations of no LSLs.</w:t>
      </w:r>
      <w:r w:rsidR="00E8725A">
        <w:rPr>
          <w:rStyle w:val="FootnoteReference"/>
        </w:rPr>
        <w:footnoteReference w:id="13"/>
      </w:r>
      <w:r w:rsidR="00120EA8">
        <w:t xml:space="preserve"> The burden for </w:t>
      </w:r>
      <w:r w:rsidR="00E170F7">
        <w:t>this activity</w:t>
      </w:r>
      <w:r w:rsidR="002B6D67">
        <w:t xml:space="preserve"> is estimated to range from </w:t>
      </w:r>
      <w:r w:rsidR="00E02C57">
        <w:t xml:space="preserve">5 </w:t>
      </w:r>
      <w:r w:rsidR="002B6D67">
        <w:t xml:space="preserve">to </w:t>
      </w:r>
      <w:r w:rsidR="00D32894">
        <w:t>4</w:t>
      </w:r>
      <w:r w:rsidR="00E02C57">
        <w:t xml:space="preserve">0 </w:t>
      </w:r>
      <w:r w:rsidR="00120EA8">
        <w:t>hours per system depending on system size</w:t>
      </w:r>
      <w:r w:rsidR="0026218F">
        <w:t xml:space="preserve"> and type</w:t>
      </w:r>
      <w:r w:rsidR="00120EA8">
        <w:t xml:space="preserve">. </w:t>
      </w:r>
      <w:r w:rsidR="002B6D67">
        <w:t xml:space="preserve">The total burden for this activity is estimated to be </w:t>
      </w:r>
      <w:r w:rsidR="00D32894">
        <w:t xml:space="preserve">434,455 to </w:t>
      </w:r>
      <w:r w:rsidR="00D32894" w:rsidRPr="00D32894">
        <w:t>401,995</w:t>
      </w:r>
      <w:r w:rsidR="00D32894" w:rsidRPr="00D32894" w:rsidDel="00D32894">
        <w:t xml:space="preserve"> </w:t>
      </w:r>
      <w:r w:rsidR="002B6D67">
        <w:t>hours</w:t>
      </w:r>
      <w:r w:rsidR="00EC1DDE">
        <w:t xml:space="preserve">, </w:t>
      </w:r>
      <w:r w:rsidR="00361B65">
        <w:t xml:space="preserve">or </w:t>
      </w:r>
      <w:r w:rsidR="00EC1DDE">
        <w:t xml:space="preserve">an average of </w:t>
      </w:r>
      <w:r w:rsidR="00D32894">
        <w:t xml:space="preserve">144,818 to </w:t>
      </w:r>
      <w:r w:rsidR="00D32894" w:rsidRPr="00D32894">
        <w:t xml:space="preserve">133,998 </w:t>
      </w:r>
      <w:r w:rsidR="00EC1DDE">
        <w:t>hours</w:t>
      </w:r>
      <w:r w:rsidR="003749F0">
        <w:t xml:space="preserve"> per year</w:t>
      </w:r>
      <w:r w:rsidR="002B6D67">
        <w:t>. See Appendix B for a more detailed presentation of the data used in generating this estimate.</w:t>
      </w:r>
    </w:p>
    <w:p w14:paraId="326DF44A" w14:textId="13047443" w:rsidR="00120EA8" w:rsidRDefault="00120EA8" w:rsidP="00120EA8">
      <w:pPr>
        <w:pStyle w:val="NormalIndent"/>
      </w:pPr>
      <w:r>
        <w:t xml:space="preserve">The remaining systems will have to develop an inventory if they do not already have an existing inventory that meets the requirements of the </w:t>
      </w:r>
      <w:r w:rsidR="00F62F94">
        <w:t>p</w:t>
      </w:r>
      <w:r w:rsidR="00150A90">
        <w:t>roposed LCRR</w:t>
      </w:r>
      <w:r>
        <w:t xml:space="preserve">. </w:t>
      </w:r>
      <w:r w:rsidR="00E62E42">
        <w:t>The</w:t>
      </w:r>
      <w:r>
        <w:t xml:space="preserve"> EPA’s estimates of burden </w:t>
      </w:r>
      <w:r w:rsidR="002B6D67">
        <w:t xml:space="preserve">for this provision incorporate </w:t>
      </w:r>
      <w:r w:rsidR="00D22055">
        <w:t xml:space="preserve">the likelihood </w:t>
      </w:r>
      <w:r w:rsidR="00F00B30">
        <w:t>that</w:t>
      </w:r>
      <w:r>
        <w:t xml:space="preserve"> systems have an</w:t>
      </w:r>
      <w:r w:rsidR="002B6D67">
        <w:t xml:space="preserve"> existing inventory. </w:t>
      </w:r>
      <w:r w:rsidR="00D23847">
        <w:t xml:space="preserve">The </w:t>
      </w:r>
      <w:r w:rsidR="00D22055">
        <w:t xml:space="preserve">likelihood </w:t>
      </w:r>
      <w:r w:rsidR="00D23847">
        <w:t>used to estimate burden range from</w:t>
      </w:r>
      <w:r w:rsidR="002B6D67">
        <w:t xml:space="preserve"> </w:t>
      </w:r>
      <w:r w:rsidR="00D32894">
        <w:t>5</w:t>
      </w:r>
      <w:r w:rsidR="002B6D67">
        <w:t>% to 3</w:t>
      </w:r>
      <w:r w:rsidR="00D32894">
        <w:t>2</w:t>
      </w:r>
      <w:r w:rsidR="002B6D67">
        <w:t>%</w:t>
      </w:r>
      <w:r w:rsidR="00D23847">
        <w:t xml:space="preserve"> depending on system size</w:t>
      </w:r>
      <w:r w:rsidR="0026218F" w:rsidRPr="0026218F">
        <w:t xml:space="preserve"> </w:t>
      </w:r>
      <w:r w:rsidR="0026218F">
        <w:t>and type (i.e., CWSs versus NTNCWSs)</w:t>
      </w:r>
      <w:r w:rsidR="002B6D67">
        <w:t xml:space="preserve">. </w:t>
      </w:r>
      <w:r>
        <w:t xml:space="preserve">The </w:t>
      </w:r>
      <w:r w:rsidR="005B18FC">
        <w:t xml:space="preserve">EPA estimates that 9,448 to </w:t>
      </w:r>
      <w:r w:rsidR="005B18FC" w:rsidRPr="005B18FC">
        <w:t>11,692</w:t>
      </w:r>
      <w:r w:rsidR="005B18FC">
        <w:t xml:space="preserve"> systems will develop an LSL inventory</w:t>
      </w:r>
      <w:r>
        <w:t xml:space="preserve">. The </w:t>
      </w:r>
      <w:r w:rsidR="00361B65">
        <w:t xml:space="preserve">per-system </w:t>
      </w:r>
      <w:r>
        <w:t xml:space="preserve">burden is estimated to range from </w:t>
      </w:r>
      <w:r w:rsidR="005B18FC" w:rsidRPr="005B18FC">
        <w:t>5.25 to 300</w:t>
      </w:r>
      <w:r w:rsidR="00F77E85">
        <w:t xml:space="preserve"> </w:t>
      </w:r>
      <w:r>
        <w:t>hours depending on system size</w:t>
      </w:r>
      <w:r w:rsidR="0026218F">
        <w:t xml:space="preserve"> and type</w:t>
      </w:r>
      <w:r>
        <w:t xml:space="preserve">. </w:t>
      </w:r>
      <w:r w:rsidR="00011D69">
        <w:t xml:space="preserve">The total burden </w:t>
      </w:r>
      <w:r w:rsidR="007F39D1">
        <w:t>estimate</w:t>
      </w:r>
      <w:r w:rsidR="009F5BB6">
        <w:t xml:space="preserve"> </w:t>
      </w:r>
      <w:r w:rsidR="00011D69">
        <w:t xml:space="preserve">for this activity </w:t>
      </w:r>
      <w:r w:rsidR="00D23847">
        <w:t>is</w:t>
      </w:r>
      <w:r w:rsidR="00011D69">
        <w:t xml:space="preserve"> </w:t>
      </w:r>
      <w:r w:rsidR="005B18FC">
        <w:t xml:space="preserve">312,558 to </w:t>
      </w:r>
      <w:r w:rsidR="005B18FC" w:rsidRPr="005B18FC">
        <w:t>414,153</w:t>
      </w:r>
      <w:r w:rsidR="006235D2">
        <w:t xml:space="preserve"> </w:t>
      </w:r>
      <w:r w:rsidR="00EC1DDE">
        <w:t xml:space="preserve">hours, </w:t>
      </w:r>
      <w:r w:rsidR="00361B65">
        <w:t xml:space="preserve">or </w:t>
      </w:r>
      <w:r w:rsidR="00EC1DDE">
        <w:t xml:space="preserve">an average of </w:t>
      </w:r>
      <w:r w:rsidR="005B18FC">
        <w:t xml:space="preserve">104,186 to </w:t>
      </w:r>
      <w:r w:rsidR="005B18FC" w:rsidRPr="005B18FC">
        <w:t xml:space="preserve">138,051 </w:t>
      </w:r>
      <w:r w:rsidR="00EC1DDE">
        <w:t>hours</w:t>
      </w:r>
      <w:r w:rsidR="003749F0">
        <w:t xml:space="preserve"> per year</w:t>
      </w:r>
      <w:r w:rsidR="00011D69">
        <w:t>. See Appendix B for a more detailed presentation of the data used in generating this estimate.</w:t>
      </w:r>
    </w:p>
    <w:p w14:paraId="3F418031" w14:textId="1A89372E" w:rsidR="00E52ED6" w:rsidRDefault="00E52ED6" w:rsidP="00120EA8">
      <w:pPr>
        <w:pStyle w:val="NormalIndent"/>
      </w:pPr>
      <w:r>
        <w:t xml:space="preserve">In addition, systems </w:t>
      </w:r>
      <w:r w:rsidR="005B18FC">
        <w:t>with LSLs</w:t>
      </w:r>
      <w:r w:rsidR="002C2B30">
        <w:t xml:space="preserve"> </w:t>
      </w:r>
      <w:r w:rsidR="00C92CD1">
        <w:t>will d</w:t>
      </w:r>
      <w:r w:rsidR="00C92CD1" w:rsidRPr="00C92CD1">
        <w:t xml:space="preserve">evelop an LSLR plan that describes how the system would implement and fund an LSLR program and develop an LSLR replacement goal rate in coordination with the </w:t>
      </w:r>
      <w:r w:rsidR="007F39D1">
        <w:t>p</w:t>
      </w:r>
      <w:r w:rsidR="00E5250C">
        <w:t>rimacy agency</w:t>
      </w:r>
      <w:r w:rsidR="00E604CC">
        <w:t xml:space="preserve"> </w:t>
      </w:r>
      <w:r w:rsidR="00C92CD1" w:rsidRPr="00C92CD1">
        <w:t>should the system exceed the TL</w:t>
      </w:r>
      <w:r w:rsidR="00C92CD1">
        <w:t xml:space="preserve">. </w:t>
      </w:r>
      <w:r w:rsidR="00E02C57">
        <w:t xml:space="preserve">The burden for this activity is estimated to range from </w:t>
      </w:r>
      <w:r w:rsidR="005B18FC" w:rsidRPr="005B18FC">
        <w:t>1.75 to 100</w:t>
      </w:r>
      <w:r w:rsidR="005B18FC">
        <w:t xml:space="preserve"> </w:t>
      </w:r>
      <w:r w:rsidR="00E02C57">
        <w:t>hours per system depending on system size</w:t>
      </w:r>
      <w:r w:rsidR="0026218F">
        <w:t xml:space="preserve"> and type</w:t>
      </w:r>
      <w:r w:rsidR="00E02C57">
        <w:t xml:space="preserve">. The total burden for this activity is estimated to be </w:t>
      </w:r>
      <w:r w:rsidR="005B18FC">
        <w:t xml:space="preserve">135,002 to </w:t>
      </w:r>
      <w:r w:rsidR="005B18FC" w:rsidRPr="005B18FC">
        <w:t xml:space="preserve">177,692 </w:t>
      </w:r>
      <w:r w:rsidR="00E02C57">
        <w:t>hours</w:t>
      </w:r>
      <w:r w:rsidR="00EC1DDE">
        <w:t xml:space="preserve">, an average of </w:t>
      </w:r>
      <w:r w:rsidR="005B18FC">
        <w:t xml:space="preserve">45,001 to </w:t>
      </w:r>
      <w:r w:rsidR="005B18FC" w:rsidRPr="005B18FC">
        <w:t xml:space="preserve">59,231 </w:t>
      </w:r>
      <w:r w:rsidR="00EC1DDE">
        <w:t>hours</w:t>
      </w:r>
      <w:r w:rsidR="00145AA1">
        <w:t xml:space="preserve"> per year</w:t>
      </w:r>
      <w:r w:rsidR="00E02C57">
        <w:t>.</w:t>
      </w:r>
      <w:r w:rsidR="004741EF">
        <w:t xml:space="preserve"> See Appendix B for a more detailed presentation of the data used in generating this estimate.</w:t>
      </w:r>
    </w:p>
    <w:p w14:paraId="4EDFB250" w14:textId="731EBDE7" w:rsidR="00F16140" w:rsidRDefault="00120EA8" w:rsidP="00120EA8">
      <w:pPr>
        <w:pStyle w:val="NormalIndent"/>
      </w:pPr>
      <w:r>
        <w:t xml:space="preserve">Adding the burden for </w:t>
      </w:r>
      <w:r w:rsidR="00011D69">
        <w:t xml:space="preserve">all of the activities </w:t>
      </w:r>
      <w:r>
        <w:t xml:space="preserve">for the three-year period, </w:t>
      </w:r>
      <w:r w:rsidR="00011D69">
        <w:t xml:space="preserve">the total burden </w:t>
      </w:r>
      <w:r>
        <w:t xml:space="preserve">for all systems is estimated to be </w:t>
      </w:r>
      <w:r w:rsidR="005B18FC">
        <w:t xml:space="preserve">2,235,135 to </w:t>
      </w:r>
      <w:r w:rsidR="005B18FC" w:rsidRPr="005B18FC">
        <w:t>2,346,960</w:t>
      </w:r>
      <w:r w:rsidR="005B18FC">
        <w:t xml:space="preserve"> </w:t>
      </w:r>
      <w:r w:rsidR="006D58E6" w:rsidRPr="00663BE6">
        <w:t>hours</w:t>
      </w:r>
      <w:r>
        <w:t xml:space="preserve">, </w:t>
      </w:r>
      <w:r w:rsidR="00F74B39">
        <w:t xml:space="preserve">or </w:t>
      </w:r>
      <w:r w:rsidR="00EC1DDE">
        <w:t xml:space="preserve">an average of </w:t>
      </w:r>
      <w:r w:rsidR="005B18FC">
        <w:t xml:space="preserve">745,045 to </w:t>
      </w:r>
      <w:r w:rsidR="005B18FC" w:rsidRPr="005B18FC">
        <w:t xml:space="preserve">782,320 </w:t>
      </w:r>
      <w:r w:rsidR="00EC1DDE">
        <w:t xml:space="preserve">hours </w:t>
      </w:r>
      <w:r w:rsidR="003749F0">
        <w:t>per year</w:t>
      </w:r>
      <w:r w:rsidR="00145AA1">
        <w:t>,</w:t>
      </w:r>
      <w:r w:rsidR="003749F0">
        <w:t xml:space="preserve"> </w:t>
      </w:r>
      <w:r w:rsidR="00EC1DDE">
        <w:t xml:space="preserve">and </w:t>
      </w:r>
      <w:r>
        <w:t xml:space="preserve">an average burden </w:t>
      </w:r>
      <w:r w:rsidR="00145AA1">
        <w:t xml:space="preserve">total over three years </w:t>
      </w:r>
      <w:r w:rsidR="006D58E6">
        <w:t xml:space="preserve">of </w:t>
      </w:r>
      <w:r w:rsidR="005B18FC">
        <w:t xml:space="preserve">33.04 to </w:t>
      </w:r>
      <w:r w:rsidR="005B18FC" w:rsidRPr="005B18FC">
        <w:t xml:space="preserve">34.69 </w:t>
      </w:r>
      <w:r w:rsidR="006D58E6">
        <w:t>hours per system</w:t>
      </w:r>
      <w:r>
        <w:t>.</w:t>
      </w:r>
      <w:r w:rsidR="008F0759">
        <w:t xml:space="preserve"> </w:t>
      </w:r>
    </w:p>
    <w:p w14:paraId="76C89115" w14:textId="77777777" w:rsidR="00E64F81" w:rsidRDefault="00C203D5" w:rsidP="002034F3">
      <w:pPr>
        <w:pStyle w:val="NormalIndent"/>
      </w:pPr>
      <w:r w:rsidRPr="00D92095">
        <w:t>All recurring</w:t>
      </w:r>
      <w:r w:rsidR="000E01AE" w:rsidRPr="00D92095">
        <w:t xml:space="preserve"> activities begin after the first three years and are qualitatively described in Section </w:t>
      </w:r>
      <w:r w:rsidR="00F16140" w:rsidRPr="00D92095">
        <w:t>2</w:t>
      </w:r>
      <w:r w:rsidR="000E01AE" w:rsidRPr="00D92095">
        <w:t>.</w:t>
      </w:r>
      <w:r w:rsidR="000E01AE">
        <w:t xml:space="preserve"> </w:t>
      </w:r>
    </w:p>
    <w:p w14:paraId="0772D3A9" w14:textId="77777777" w:rsidR="00E64F81" w:rsidRDefault="00E64F81" w:rsidP="005E2D56">
      <w:pPr>
        <w:pStyle w:val="Heading3"/>
      </w:pPr>
      <w:bookmarkStart w:id="113" w:name="_Toc160872073"/>
      <w:bookmarkStart w:id="114" w:name="_Toc23138989"/>
      <w:bookmarkStart w:id="115" w:name="_Toc23139134"/>
      <w:r>
        <w:t>6</w:t>
      </w:r>
      <w:r w:rsidR="00B276C0">
        <w:t>(</w:t>
      </w:r>
      <w:r>
        <w:t>a</w:t>
      </w:r>
      <w:r w:rsidR="00B276C0">
        <w:t>)</w:t>
      </w:r>
      <w:r>
        <w:t>(ii)</w:t>
      </w:r>
      <w:r>
        <w:tab/>
        <w:t xml:space="preserve">Burden to </w:t>
      </w:r>
      <w:bookmarkEnd w:id="113"/>
      <w:r w:rsidR="00B276C0">
        <w:t>Primacy Agencies</w:t>
      </w:r>
      <w:bookmarkEnd w:id="114"/>
      <w:bookmarkEnd w:id="115"/>
    </w:p>
    <w:p w14:paraId="5B2EA5C7" w14:textId="0DCDF096" w:rsidR="00C203D5" w:rsidRDefault="00C203D5" w:rsidP="00021325">
      <w:pPr>
        <w:pStyle w:val="NormalIndent"/>
      </w:pPr>
      <w:r>
        <w:t xml:space="preserve">During the initial </w:t>
      </w:r>
      <w:r w:rsidR="0043231F">
        <w:t>three-year</w:t>
      </w:r>
      <w:r>
        <w:t xml:space="preserve"> period, primacy agencies will incur burden associated with one-time startup activities that include the following:</w:t>
      </w:r>
    </w:p>
    <w:p w14:paraId="279AA3A7" w14:textId="77777777" w:rsidR="00C203D5" w:rsidRDefault="00C203D5" w:rsidP="002034F3">
      <w:pPr>
        <w:pStyle w:val="Bullets"/>
      </w:pPr>
      <w:r>
        <w:t xml:space="preserve">Reading and understanding the </w:t>
      </w:r>
      <w:r w:rsidR="00C018A3">
        <w:t>LCRR</w:t>
      </w:r>
    </w:p>
    <w:p w14:paraId="728507C5" w14:textId="77777777" w:rsidR="00C203D5" w:rsidRDefault="00C203D5" w:rsidP="002034F3">
      <w:pPr>
        <w:pStyle w:val="Bullets"/>
      </w:pPr>
      <w:r>
        <w:t>Adopting the rule and developing a program to implement it</w:t>
      </w:r>
    </w:p>
    <w:p w14:paraId="7488030E" w14:textId="77777777" w:rsidR="00C203D5" w:rsidRDefault="00C203D5" w:rsidP="002034F3">
      <w:pPr>
        <w:pStyle w:val="Bullets"/>
      </w:pPr>
      <w:r>
        <w:t>Modifying their data system</w:t>
      </w:r>
    </w:p>
    <w:p w14:paraId="4D121065" w14:textId="77777777" w:rsidR="00CC3FDC" w:rsidRDefault="00CC3FDC" w:rsidP="00CC3FDC">
      <w:pPr>
        <w:pStyle w:val="Bullets"/>
      </w:pPr>
      <w:r>
        <w:t xml:space="preserve">Providing </w:t>
      </w:r>
      <w:r w:rsidRPr="003C4FD0">
        <w:t>internal primacy agency staff with training for implementation</w:t>
      </w:r>
    </w:p>
    <w:p w14:paraId="20EA1EE8" w14:textId="764450FC" w:rsidR="00444917" w:rsidRDefault="00C203D5" w:rsidP="002034F3">
      <w:pPr>
        <w:pStyle w:val="Bullets"/>
      </w:pPr>
      <w:r>
        <w:t xml:space="preserve">Providing </w:t>
      </w:r>
      <w:r w:rsidR="003C4FD0">
        <w:t xml:space="preserve">system </w:t>
      </w:r>
      <w:r>
        <w:t>staff with training and technical assistance</w:t>
      </w:r>
    </w:p>
    <w:p w14:paraId="4F732075" w14:textId="67A2CCEA" w:rsidR="00224DF7" w:rsidRDefault="00224DF7" w:rsidP="002034F3">
      <w:pPr>
        <w:pStyle w:val="Bullets"/>
      </w:pPr>
      <w:r>
        <w:t>Providing assistance with the creation of LSL inventories and reviewing inventories</w:t>
      </w:r>
    </w:p>
    <w:p w14:paraId="50B076A2" w14:textId="77777777" w:rsidR="00E02C57" w:rsidRDefault="00444917" w:rsidP="002034F3">
      <w:pPr>
        <w:pStyle w:val="Bullets"/>
      </w:pPr>
      <w:r>
        <w:t>Reviewing demonstrations of no LSLs from systems</w:t>
      </w:r>
    </w:p>
    <w:p w14:paraId="1CC40237" w14:textId="7497B9A3" w:rsidR="00C203D5" w:rsidRDefault="00A539B3" w:rsidP="00A539B3">
      <w:pPr>
        <w:pStyle w:val="Bullets"/>
      </w:pPr>
      <w:r>
        <w:t>Conferring</w:t>
      </w:r>
      <w:r w:rsidRPr="00A539B3">
        <w:t xml:space="preserve"> on and </w:t>
      </w:r>
      <w:r>
        <w:t>reviewing</w:t>
      </w:r>
      <w:r w:rsidRPr="00A539B3">
        <w:t xml:space="preserve"> initial LSLR plan</w:t>
      </w:r>
      <w:r w:rsidR="00E02C57">
        <w:t>.</w:t>
      </w:r>
    </w:p>
    <w:p w14:paraId="2695B7E5" w14:textId="77777777" w:rsidR="00444917" w:rsidRDefault="00444917" w:rsidP="00444917">
      <w:pPr>
        <w:pStyle w:val="NormalIndent"/>
      </w:pPr>
      <w:r>
        <w:t>The</w:t>
      </w:r>
      <w:r w:rsidRPr="0027584B">
        <w:t xml:space="preserve"> one-time burden associated with </w:t>
      </w:r>
      <w:r>
        <w:t xml:space="preserve">reading and understanding the rule, </w:t>
      </w:r>
      <w:r w:rsidR="00E170F7">
        <w:t>adopting the rule</w:t>
      </w:r>
      <w:r>
        <w:t xml:space="preserve">, </w:t>
      </w:r>
      <w:r w:rsidR="00E170F7">
        <w:t xml:space="preserve">modifying data systems, </w:t>
      </w:r>
      <w:r>
        <w:t xml:space="preserve">and </w:t>
      </w:r>
      <w:r w:rsidR="00E170F7">
        <w:t>providing</w:t>
      </w:r>
      <w:r>
        <w:t xml:space="preserve"> training is estimated at </w:t>
      </w:r>
      <w:r w:rsidR="00363F61">
        <w:t xml:space="preserve">an average of </w:t>
      </w:r>
      <w:r>
        <w:t>1,445 hours per primacy agency</w:t>
      </w:r>
      <w:r w:rsidRPr="0027584B">
        <w:t>. T</w:t>
      </w:r>
      <w:r>
        <w:t>he t</w:t>
      </w:r>
      <w:r w:rsidRPr="0027584B">
        <w:t>otal burden</w:t>
      </w:r>
      <w:r>
        <w:t xml:space="preserve"> for these activities, for the three-year period,</w:t>
      </w:r>
      <w:r w:rsidRPr="0027584B">
        <w:t xml:space="preserve"> for </w:t>
      </w:r>
      <w:r w:rsidR="00E170F7">
        <w:t>the 56 primacy agencies</w:t>
      </w:r>
      <w:r w:rsidRPr="0027584B">
        <w:t xml:space="preserve"> is estimated to be </w:t>
      </w:r>
      <w:r w:rsidR="00E170F7">
        <w:t>80,920</w:t>
      </w:r>
      <w:r>
        <w:t xml:space="preserve"> hours (</w:t>
      </w:r>
      <w:r w:rsidR="00E170F7">
        <w:t>56</w:t>
      </w:r>
      <w:r w:rsidR="00D8246F">
        <w:t xml:space="preserve"> agencies</w:t>
      </w:r>
      <w:r w:rsidR="00E170F7">
        <w:t xml:space="preserve"> x 1,445</w:t>
      </w:r>
      <w:r w:rsidR="00D8246F">
        <w:t xml:space="preserve"> hours/agency</w:t>
      </w:r>
      <w:r>
        <w:t>)</w:t>
      </w:r>
      <w:r w:rsidR="00EC1DDE">
        <w:t>, an average of 26,973 hours</w:t>
      </w:r>
      <w:r w:rsidR="00145AA1">
        <w:t xml:space="preserve"> per year</w:t>
      </w:r>
      <w:r>
        <w:t>.</w:t>
      </w:r>
      <w:r w:rsidRPr="0027584B">
        <w:t xml:space="preserve"> </w:t>
      </w:r>
    </w:p>
    <w:p w14:paraId="6B9C0F3D" w14:textId="75169E6C" w:rsidR="00224DF7" w:rsidRDefault="00224DF7" w:rsidP="00444917">
      <w:pPr>
        <w:pStyle w:val="NormalIndent"/>
      </w:pPr>
      <w:r>
        <w:t xml:space="preserve">The burden for primacy agencies to provide assistance with the creation of the LSL inventories and review the submitted inventories is estimated to range from </w:t>
      </w:r>
      <w:r w:rsidRPr="00224DF7">
        <w:t>5 to 20</w:t>
      </w:r>
      <w:r>
        <w:t xml:space="preserve"> per system depending on the size of the system creating and submitting the inventory. The total burden for this activity is estimated to be </w:t>
      </w:r>
      <w:r w:rsidRPr="00224DF7">
        <w:t>61,390</w:t>
      </w:r>
      <w:r>
        <w:t xml:space="preserve"> to </w:t>
      </w:r>
      <w:r w:rsidRPr="00224DF7">
        <w:t>77,670</w:t>
      </w:r>
      <w:r>
        <w:t xml:space="preserve"> hours, an average of 20,463 to </w:t>
      </w:r>
      <w:r w:rsidRPr="00224DF7">
        <w:t>25,890</w:t>
      </w:r>
      <w:r>
        <w:t xml:space="preserve"> hours per year. See Appendix B for a more detailed presentation of the data used in generating this estimate.</w:t>
      </w:r>
    </w:p>
    <w:p w14:paraId="58BCA3B5" w14:textId="0505672B" w:rsidR="00444917" w:rsidRDefault="00444917" w:rsidP="00444917">
      <w:pPr>
        <w:pStyle w:val="NormalIndent"/>
      </w:pPr>
      <w:r>
        <w:t xml:space="preserve">The burden for </w:t>
      </w:r>
      <w:r w:rsidR="00E170F7">
        <w:t xml:space="preserve">primacy agencies to review demonstrations of no LSLs </w:t>
      </w:r>
      <w:r>
        <w:t xml:space="preserve">is estimated to range from </w:t>
      </w:r>
      <w:r w:rsidR="00E170F7">
        <w:t>5 to 2</w:t>
      </w:r>
      <w:r>
        <w:t>0 hours per system depending on</w:t>
      </w:r>
      <w:r w:rsidR="00E170F7">
        <w:t xml:space="preserve"> the size of the</w:t>
      </w:r>
      <w:r>
        <w:t xml:space="preserve"> system </w:t>
      </w:r>
      <w:r w:rsidR="00E170F7">
        <w:t>submitting the demonstration</w:t>
      </w:r>
      <w:r>
        <w:t xml:space="preserve">. The total burden for this activity is estimated to be </w:t>
      </w:r>
      <w:r w:rsidR="00224DF7">
        <w:t xml:space="preserve">249,255 to </w:t>
      </w:r>
      <w:r w:rsidR="00224DF7" w:rsidRPr="00224DF7">
        <w:t xml:space="preserve">233,025 </w:t>
      </w:r>
      <w:r>
        <w:t>hours</w:t>
      </w:r>
      <w:r w:rsidR="00EC1DDE">
        <w:t xml:space="preserve">, an average of </w:t>
      </w:r>
      <w:r w:rsidR="00224DF7">
        <w:t xml:space="preserve">83,085 to </w:t>
      </w:r>
      <w:r w:rsidR="00224DF7" w:rsidRPr="00224DF7">
        <w:t xml:space="preserve">77,675 </w:t>
      </w:r>
      <w:r w:rsidR="00EC1DDE">
        <w:t>hours</w:t>
      </w:r>
      <w:r w:rsidR="00145AA1">
        <w:t xml:space="preserve"> per year</w:t>
      </w:r>
      <w:r>
        <w:t>.</w:t>
      </w:r>
      <w:r w:rsidR="00445ADD">
        <w:rPr>
          <w:rStyle w:val="FootnoteReference"/>
        </w:rPr>
        <w:footnoteReference w:id="14"/>
      </w:r>
      <w:r>
        <w:t xml:space="preserve"> See Appendix B for a more detailed presentation of the data used in generating this estimate.</w:t>
      </w:r>
    </w:p>
    <w:p w14:paraId="57E13696" w14:textId="7BB9978D" w:rsidR="00E02C57" w:rsidRPr="00444917" w:rsidRDefault="00E02C57" w:rsidP="00E02C57">
      <w:pPr>
        <w:pStyle w:val="NormalIndent"/>
      </w:pPr>
      <w:r>
        <w:t xml:space="preserve">The burden for primacy agencies to </w:t>
      </w:r>
      <w:r w:rsidR="00A539B3">
        <w:t xml:space="preserve">confer on and </w:t>
      </w:r>
      <w:r>
        <w:t>review LSL</w:t>
      </w:r>
      <w:r w:rsidR="007F39D1">
        <w:t xml:space="preserve"> </w:t>
      </w:r>
      <w:r>
        <w:t xml:space="preserve">replacement plans is estimated be 8 hours per system submitting the </w:t>
      </w:r>
      <w:r w:rsidR="00C8303B">
        <w:t>plan</w:t>
      </w:r>
      <w:r>
        <w:t xml:space="preserve">. The total burden for this activity is estimated to be </w:t>
      </w:r>
      <w:r w:rsidR="00224DF7">
        <w:t xml:space="preserve">94,256 to </w:t>
      </w:r>
      <w:r w:rsidR="00224DF7" w:rsidRPr="00224DF7">
        <w:t xml:space="preserve">116,592 </w:t>
      </w:r>
      <w:r>
        <w:t>hours</w:t>
      </w:r>
      <w:r w:rsidR="00EC1DDE">
        <w:t xml:space="preserve">, an average of </w:t>
      </w:r>
      <w:r w:rsidR="00224DF7">
        <w:t xml:space="preserve">31,419 to </w:t>
      </w:r>
      <w:r w:rsidR="00224DF7" w:rsidRPr="00224DF7">
        <w:t xml:space="preserve">38,864 </w:t>
      </w:r>
      <w:r w:rsidR="00EC1DDE">
        <w:t>hours</w:t>
      </w:r>
      <w:r w:rsidR="00145AA1">
        <w:t xml:space="preserve"> per year</w:t>
      </w:r>
      <w:r>
        <w:t xml:space="preserve">. </w:t>
      </w:r>
    </w:p>
    <w:p w14:paraId="75F7FE8B" w14:textId="0906CA71" w:rsidR="0040026D" w:rsidRDefault="00934231" w:rsidP="00021325">
      <w:pPr>
        <w:pStyle w:val="NormalIndent"/>
      </w:pPr>
      <w:r>
        <w:t xml:space="preserve"> </w:t>
      </w:r>
      <w:r w:rsidR="00E170F7">
        <w:t>Adding the burden for all of the activities for the three-year p</w:t>
      </w:r>
      <w:r w:rsidR="000657C8">
        <w:t>eriod, the total burden for primacy agencies</w:t>
      </w:r>
      <w:r w:rsidR="00E170F7">
        <w:t xml:space="preserve"> is estimated to be </w:t>
      </w:r>
      <w:r w:rsidR="005D291B">
        <w:t xml:space="preserve">485,821 to </w:t>
      </w:r>
      <w:r w:rsidR="005D291B" w:rsidRPr="005D291B">
        <w:t>508,207</w:t>
      </w:r>
      <w:r w:rsidR="005D291B">
        <w:t xml:space="preserve"> </w:t>
      </w:r>
      <w:r w:rsidR="00E170F7">
        <w:t xml:space="preserve">hours, </w:t>
      </w:r>
      <w:r w:rsidR="00EC1DDE">
        <w:t xml:space="preserve">an average of </w:t>
      </w:r>
      <w:r w:rsidR="005D291B" w:rsidRPr="005D291B">
        <w:t>161,940</w:t>
      </w:r>
      <w:r w:rsidR="005D291B">
        <w:t xml:space="preserve"> to </w:t>
      </w:r>
      <w:r w:rsidR="0043231F" w:rsidRPr="005D291B">
        <w:t xml:space="preserve">169,402 </w:t>
      </w:r>
      <w:r w:rsidR="0043231F">
        <w:t>hours</w:t>
      </w:r>
      <w:r w:rsidR="00145AA1">
        <w:t xml:space="preserve"> per year,</w:t>
      </w:r>
      <w:r w:rsidR="00EC1DDE">
        <w:t xml:space="preserve"> and </w:t>
      </w:r>
      <w:r w:rsidR="00E170F7">
        <w:t xml:space="preserve">an average burden </w:t>
      </w:r>
      <w:r w:rsidR="00145AA1">
        <w:t xml:space="preserve">total over three years </w:t>
      </w:r>
      <w:r w:rsidR="00E170F7">
        <w:t xml:space="preserve">per </w:t>
      </w:r>
      <w:r w:rsidR="000657C8">
        <w:t>agency</w:t>
      </w:r>
      <w:r w:rsidR="00E170F7">
        <w:t xml:space="preserve"> of </w:t>
      </w:r>
      <w:r w:rsidR="005D291B">
        <w:t xml:space="preserve">8,675 to </w:t>
      </w:r>
      <w:r w:rsidR="0043231F" w:rsidRPr="005D291B">
        <w:t xml:space="preserve">9,075 </w:t>
      </w:r>
      <w:r w:rsidR="0043231F">
        <w:t>hours</w:t>
      </w:r>
      <w:r w:rsidR="00363F61">
        <w:t xml:space="preserve"> (</w:t>
      </w:r>
      <w:r w:rsidR="005D291B">
        <w:t xml:space="preserve">485,821 </w:t>
      </w:r>
      <w:r w:rsidR="00363F61">
        <w:t>hours/56 agencies</w:t>
      </w:r>
      <w:r w:rsidR="005D291B">
        <w:t xml:space="preserve"> to </w:t>
      </w:r>
      <w:r w:rsidR="005D291B" w:rsidRPr="005D291B">
        <w:t>508,207</w:t>
      </w:r>
      <w:r w:rsidR="005D291B">
        <w:t xml:space="preserve"> hours/56 agencies</w:t>
      </w:r>
      <w:r w:rsidR="00363F61">
        <w:t>)</w:t>
      </w:r>
      <w:r w:rsidR="00E170F7">
        <w:t>.</w:t>
      </w:r>
    </w:p>
    <w:p w14:paraId="45ED0378" w14:textId="77777777" w:rsidR="00E87DD3" w:rsidRDefault="009214D9" w:rsidP="002034F3">
      <w:pPr>
        <w:pStyle w:val="NormalIndent"/>
      </w:pPr>
      <w:r w:rsidRPr="00D92095">
        <w:t xml:space="preserve">All </w:t>
      </w:r>
      <w:r w:rsidR="00C203D5" w:rsidRPr="00D92095">
        <w:t>recurring</w:t>
      </w:r>
      <w:r w:rsidRPr="00D92095">
        <w:t xml:space="preserve"> activities begin after the first three years and are qualitatively described in Section </w:t>
      </w:r>
      <w:r w:rsidR="00F16140" w:rsidRPr="00D92095">
        <w:t>2</w:t>
      </w:r>
      <w:r w:rsidRPr="00D92095">
        <w:t>.</w:t>
      </w:r>
      <w:r>
        <w:t xml:space="preserve"> </w:t>
      </w:r>
    </w:p>
    <w:p w14:paraId="30AAFEDE" w14:textId="77777777" w:rsidR="00BD7532" w:rsidRDefault="00BD7532" w:rsidP="000C0ED7">
      <w:pPr>
        <w:pStyle w:val="Heading2"/>
      </w:pPr>
      <w:bookmarkStart w:id="116" w:name="_Toc23138990"/>
      <w:bookmarkStart w:id="117" w:name="_Toc23139135"/>
      <w:bookmarkStart w:id="118" w:name="_Toc160872075"/>
      <w:r>
        <w:t>6(b)</w:t>
      </w:r>
      <w:r>
        <w:tab/>
        <w:t>Estimating Respondent Costs</w:t>
      </w:r>
      <w:bookmarkEnd w:id="116"/>
      <w:bookmarkEnd w:id="117"/>
    </w:p>
    <w:p w14:paraId="2B00502F" w14:textId="77777777" w:rsidR="009214D9" w:rsidRDefault="009214D9" w:rsidP="00AE49D6">
      <w:pPr>
        <w:pStyle w:val="NormalIndent"/>
      </w:pPr>
      <w:r>
        <w:t xml:space="preserve">The following sections </w:t>
      </w:r>
      <w:r w:rsidR="00363F61">
        <w:t xml:space="preserve">provide the </w:t>
      </w:r>
      <w:r w:rsidR="00AE49D6">
        <w:t xml:space="preserve">estimate </w:t>
      </w:r>
      <w:r>
        <w:t xml:space="preserve">the costs </w:t>
      </w:r>
      <w:r w:rsidR="00AE49D6">
        <w:t>to</w:t>
      </w:r>
      <w:r>
        <w:t xml:space="preserve"> PWSs and primacy agencies. </w:t>
      </w:r>
    </w:p>
    <w:p w14:paraId="4610E421" w14:textId="77777777" w:rsidR="006927DF" w:rsidRDefault="006927DF" w:rsidP="000C0ED7">
      <w:pPr>
        <w:pStyle w:val="Heading3"/>
      </w:pPr>
      <w:bookmarkStart w:id="119" w:name="_Toc23138991"/>
      <w:bookmarkStart w:id="120" w:name="_Toc23139136"/>
      <w:r>
        <w:t>6(b)(i)</w:t>
      </w:r>
      <w:r>
        <w:tab/>
        <w:t xml:space="preserve">Cost to </w:t>
      </w:r>
      <w:r w:rsidR="00B95A19">
        <w:t>Public Water Systems</w:t>
      </w:r>
      <w:bookmarkEnd w:id="119"/>
      <w:bookmarkEnd w:id="120"/>
    </w:p>
    <w:p w14:paraId="110CA3A7" w14:textId="756C1750" w:rsidR="00B95A19" w:rsidRPr="004F0396" w:rsidRDefault="004F0396" w:rsidP="004A1618">
      <w:pPr>
        <w:pStyle w:val="NormalIndent"/>
      </w:pPr>
      <w:r>
        <w:t>The labor rates associated with the initial, one-time costs included in the first three years of implementation apply to all 67,656</w:t>
      </w:r>
      <w:r w:rsidRPr="0027584B">
        <w:t xml:space="preserve"> CWSs and NTNCWSs that must comply with the LCR</w:t>
      </w:r>
      <w:r>
        <w:t xml:space="preserve">. </w:t>
      </w:r>
      <w:r w:rsidRPr="0027584B">
        <w:t xml:space="preserve">The </w:t>
      </w:r>
      <w:r w:rsidR="00D23847">
        <w:t xml:space="preserve">fully loaded </w:t>
      </w:r>
      <w:r>
        <w:t>labor rate estimate</w:t>
      </w:r>
      <w:r w:rsidR="00363F61">
        <w:t xml:space="preserve">s </w:t>
      </w:r>
      <w:r>
        <w:t>range from $28.64 to $44.38 per hour depending on system size</w:t>
      </w:r>
      <w:r w:rsidRPr="0027584B">
        <w:t>.</w:t>
      </w:r>
      <w:r>
        <w:t xml:space="preserve"> See Appendix B for more information on the development of the labor rate</w:t>
      </w:r>
      <w:r w:rsidR="00363F61">
        <w:t xml:space="preserve"> estimates</w:t>
      </w:r>
      <w:r>
        <w:t xml:space="preserve">. Based on these labor rates, </w:t>
      </w:r>
      <w:r w:rsidRPr="004F0396">
        <w:rPr>
          <w:b/>
        </w:rPr>
        <w:fldChar w:fldCharType="begin"/>
      </w:r>
      <w:r w:rsidRPr="004F0396">
        <w:rPr>
          <w:b/>
        </w:rPr>
        <w:instrText xml:space="preserve"> REF _Ref4698627 \h </w:instrText>
      </w:r>
      <w:r>
        <w:rPr>
          <w:b/>
        </w:rPr>
        <w:instrText xml:space="preserve"> \* MERGEFORMAT </w:instrText>
      </w:r>
      <w:r w:rsidRPr="004F0396">
        <w:rPr>
          <w:b/>
        </w:rPr>
      </w:r>
      <w:r w:rsidRPr="004F0396">
        <w:rPr>
          <w:b/>
        </w:rPr>
        <w:fldChar w:fldCharType="separate"/>
      </w:r>
      <w:r w:rsidR="007A79EF" w:rsidRPr="007A79EF">
        <w:rPr>
          <w:b/>
        </w:rPr>
        <w:t xml:space="preserve">Exhibit </w:t>
      </w:r>
      <w:r w:rsidR="007A79EF" w:rsidRPr="007A79EF">
        <w:rPr>
          <w:b/>
          <w:noProof/>
        </w:rPr>
        <w:t>5</w:t>
      </w:r>
      <w:r w:rsidRPr="004F0396">
        <w:rPr>
          <w:b/>
        </w:rPr>
        <w:fldChar w:fldCharType="end"/>
      </w:r>
      <w:r>
        <w:t xml:space="preserve"> through </w:t>
      </w:r>
      <w:r w:rsidR="00DD45C1" w:rsidRPr="00DD45C1">
        <w:rPr>
          <w:b/>
        </w:rPr>
        <w:fldChar w:fldCharType="begin"/>
      </w:r>
      <w:r w:rsidR="00DD45C1" w:rsidRPr="00DD45C1">
        <w:rPr>
          <w:b/>
        </w:rPr>
        <w:instrText xml:space="preserve"> REF _Ref11156888 \h  \* MERGEFORMAT </w:instrText>
      </w:r>
      <w:r w:rsidR="00DD45C1" w:rsidRPr="00DD45C1">
        <w:rPr>
          <w:b/>
        </w:rPr>
      </w:r>
      <w:r w:rsidR="00DD45C1" w:rsidRPr="00DD45C1">
        <w:rPr>
          <w:b/>
        </w:rPr>
        <w:fldChar w:fldCharType="separate"/>
      </w:r>
      <w:r w:rsidR="007A79EF" w:rsidRPr="007A79EF">
        <w:rPr>
          <w:b/>
        </w:rPr>
        <w:t xml:space="preserve">Exhibit </w:t>
      </w:r>
      <w:r w:rsidR="007A79EF" w:rsidRPr="007A79EF">
        <w:rPr>
          <w:b/>
          <w:noProof/>
        </w:rPr>
        <w:t>8</w:t>
      </w:r>
      <w:r w:rsidR="00DD45C1" w:rsidRPr="00DD45C1">
        <w:rPr>
          <w:b/>
        </w:rPr>
        <w:fldChar w:fldCharType="end"/>
      </w:r>
      <w:r>
        <w:rPr>
          <w:b/>
        </w:rPr>
        <w:t xml:space="preserve"> </w:t>
      </w:r>
      <w:r w:rsidR="003613B6">
        <w:t>present the costs to systems for each of the activities conducted in the first three years.</w:t>
      </w:r>
      <w:r w:rsidR="003269D1">
        <w:t xml:space="preserve"> </w:t>
      </w:r>
      <w:r w:rsidR="000657C8">
        <w:t>The total labor cost to systems for all activities in the first three years is</w:t>
      </w:r>
      <w:r w:rsidR="00B242D1">
        <w:t xml:space="preserve"> </w:t>
      </w:r>
      <w:r w:rsidR="00B70768">
        <w:t xml:space="preserve">$68,392,317 to </w:t>
      </w:r>
      <w:r w:rsidR="00B70768" w:rsidRPr="00B70768">
        <w:t>$72,098,606</w:t>
      </w:r>
      <w:r w:rsidR="00145AA1">
        <w:t>, an average of</w:t>
      </w:r>
      <w:r w:rsidR="00B70768">
        <w:t xml:space="preserve"> $22,797,439 to </w:t>
      </w:r>
      <w:r w:rsidR="00B70768" w:rsidRPr="00B70768">
        <w:t xml:space="preserve">$24,032,869 </w:t>
      </w:r>
      <w:r w:rsidR="00145AA1">
        <w:t>per year</w:t>
      </w:r>
      <w:r w:rsidR="000657C8">
        <w:t xml:space="preserve">. </w:t>
      </w:r>
      <w:r w:rsidR="003269D1">
        <w:t xml:space="preserve">There are no capital or </w:t>
      </w:r>
      <w:r w:rsidR="002A696A">
        <w:t>operation and maintenance (</w:t>
      </w:r>
      <w:r w:rsidR="003269D1">
        <w:t>O&amp;M</w:t>
      </w:r>
      <w:r w:rsidR="002A696A">
        <w:t>)</w:t>
      </w:r>
      <w:r w:rsidR="003269D1">
        <w:t xml:space="preserve"> costs associated with this period.</w:t>
      </w:r>
    </w:p>
    <w:p w14:paraId="2CEEF318" w14:textId="77777777" w:rsidR="004F0396" w:rsidRDefault="00B95A19" w:rsidP="004F0396">
      <w:pPr>
        <w:pStyle w:val="NormalIndent"/>
      </w:pPr>
      <w:r>
        <w:t xml:space="preserve">All </w:t>
      </w:r>
      <w:r w:rsidR="00C203D5">
        <w:t>recurring</w:t>
      </w:r>
      <w:r>
        <w:t xml:space="preserve"> activities begin after the first three years and are qualitatively described in </w:t>
      </w:r>
      <w:r w:rsidRPr="00792F80">
        <w:t xml:space="preserve">Section </w:t>
      </w:r>
      <w:r w:rsidR="007C7D21" w:rsidRPr="00792F80">
        <w:t>2</w:t>
      </w:r>
      <w:r w:rsidRPr="00792F80">
        <w:t>.</w:t>
      </w:r>
    </w:p>
    <w:p w14:paraId="65F0A6C0" w14:textId="4FB875A1" w:rsidR="00B95A19" w:rsidRDefault="004F0396" w:rsidP="004F0396">
      <w:pPr>
        <w:pStyle w:val="Caption"/>
        <w:rPr>
          <w:noProof/>
        </w:rPr>
      </w:pPr>
      <w:bookmarkStart w:id="121" w:name="_Ref4698627"/>
      <w:bookmarkStart w:id="122" w:name="_Toc23139294"/>
      <w:r>
        <w:t xml:space="preserve">Exhibit </w:t>
      </w:r>
      <w:r>
        <w:rPr>
          <w:noProof/>
        </w:rPr>
        <w:fldChar w:fldCharType="begin"/>
      </w:r>
      <w:r>
        <w:rPr>
          <w:noProof/>
        </w:rPr>
        <w:instrText xml:space="preserve"> SEQ Exhibit \* ARABIC </w:instrText>
      </w:r>
      <w:r>
        <w:rPr>
          <w:noProof/>
        </w:rPr>
        <w:fldChar w:fldCharType="separate"/>
      </w:r>
      <w:r w:rsidR="007A79EF">
        <w:rPr>
          <w:noProof/>
        </w:rPr>
        <w:t>5</w:t>
      </w:r>
      <w:r>
        <w:rPr>
          <w:noProof/>
        </w:rPr>
        <w:fldChar w:fldCharType="end"/>
      </w:r>
      <w:bookmarkEnd w:id="121"/>
      <w:r>
        <w:rPr>
          <w:noProof/>
        </w:rPr>
        <w:t xml:space="preserve">. </w:t>
      </w:r>
      <w:r w:rsidRPr="004F0396">
        <w:rPr>
          <w:noProof/>
        </w:rPr>
        <w:t xml:space="preserve">Burden and Costs for </w:t>
      </w:r>
      <w:r>
        <w:rPr>
          <w:noProof/>
        </w:rPr>
        <w:t xml:space="preserve">Public Water Systems for </w:t>
      </w:r>
      <w:r w:rsidRPr="004F0396">
        <w:rPr>
          <w:noProof/>
        </w:rPr>
        <w:t>Start-up Activities</w:t>
      </w:r>
      <w:r w:rsidR="00E71DB1">
        <w:rPr>
          <w:noProof/>
        </w:rPr>
        <w:t>, 3-</w:t>
      </w:r>
      <w:r w:rsidR="00044AC4">
        <w:rPr>
          <w:noProof/>
        </w:rPr>
        <w:t>Y</w:t>
      </w:r>
      <w:r w:rsidR="00E71DB1">
        <w:rPr>
          <w:noProof/>
        </w:rPr>
        <w:t>ear Total</w:t>
      </w:r>
      <w:r w:rsidR="00D8246F">
        <w:rPr>
          <w:noProof/>
        </w:rPr>
        <w:t xml:space="preserve"> (Reading Rule, Assigning Personnel, Attending Training)</w:t>
      </w:r>
      <w:bookmarkEnd w:id="122"/>
    </w:p>
    <w:tbl>
      <w:tblPr>
        <w:tblStyle w:val="TableGrid"/>
        <w:tblW w:w="0" w:type="auto"/>
        <w:tblLook w:val="04A0" w:firstRow="1" w:lastRow="0" w:firstColumn="1" w:lastColumn="0" w:noHBand="0" w:noVBand="1"/>
      </w:tblPr>
      <w:tblGrid>
        <w:gridCol w:w="1875"/>
        <w:gridCol w:w="1581"/>
        <w:gridCol w:w="1396"/>
        <w:gridCol w:w="1665"/>
        <w:gridCol w:w="1373"/>
        <w:gridCol w:w="1460"/>
      </w:tblGrid>
      <w:tr w:rsidR="003613B6" w:rsidRPr="003613B6" w14:paraId="1613FB97" w14:textId="77777777" w:rsidTr="004750F7">
        <w:trPr>
          <w:trHeight w:val="540"/>
          <w:tblHeader/>
        </w:trPr>
        <w:tc>
          <w:tcPr>
            <w:tcW w:w="1875" w:type="dxa"/>
            <w:vAlign w:val="center"/>
            <w:hideMark/>
          </w:tcPr>
          <w:p w14:paraId="5C39F515" w14:textId="77777777" w:rsidR="003613B6" w:rsidRPr="003613B6" w:rsidRDefault="003613B6" w:rsidP="003613B6">
            <w:pPr>
              <w:pStyle w:val="Table"/>
              <w:jc w:val="center"/>
              <w:rPr>
                <w:b/>
                <w:bCs/>
                <w:sz w:val="18"/>
              </w:rPr>
            </w:pPr>
            <w:r w:rsidRPr="003613B6">
              <w:rPr>
                <w:b/>
                <w:bCs/>
                <w:sz w:val="18"/>
              </w:rPr>
              <w:t>Respondent Type (service population size category)</w:t>
            </w:r>
          </w:p>
        </w:tc>
        <w:tc>
          <w:tcPr>
            <w:tcW w:w="1581" w:type="dxa"/>
            <w:vAlign w:val="center"/>
            <w:hideMark/>
          </w:tcPr>
          <w:p w14:paraId="367BFE98" w14:textId="77777777" w:rsidR="003613B6" w:rsidRPr="003613B6" w:rsidRDefault="003613B6" w:rsidP="003613B6">
            <w:pPr>
              <w:pStyle w:val="Table"/>
              <w:jc w:val="center"/>
              <w:rPr>
                <w:b/>
                <w:bCs/>
                <w:sz w:val="18"/>
              </w:rPr>
            </w:pPr>
            <w:r w:rsidRPr="003613B6">
              <w:rPr>
                <w:b/>
                <w:bCs/>
                <w:sz w:val="18"/>
              </w:rPr>
              <w:t>Respondents</w:t>
            </w:r>
          </w:p>
        </w:tc>
        <w:tc>
          <w:tcPr>
            <w:tcW w:w="1396" w:type="dxa"/>
            <w:vAlign w:val="center"/>
            <w:hideMark/>
          </w:tcPr>
          <w:p w14:paraId="4DE2F080" w14:textId="77777777" w:rsidR="003613B6" w:rsidRPr="003613B6" w:rsidRDefault="009B0677" w:rsidP="003613B6">
            <w:pPr>
              <w:pStyle w:val="Table"/>
              <w:jc w:val="center"/>
              <w:rPr>
                <w:b/>
                <w:bCs/>
                <w:sz w:val="18"/>
              </w:rPr>
            </w:pPr>
            <w:r>
              <w:rPr>
                <w:b/>
                <w:bCs/>
                <w:sz w:val="18"/>
              </w:rPr>
              <w:t>Burden per R</w:t>
            </w:r>
            <w:r w:rsidR="003613B6" w:rsidRPr="003613B6">
              <w:rPr>
                <w:b/>
                <w:bCs/>
                <w:sz w:val="18"/>
              </w:rPr>
              <w:t>esponse</w:t>
            </w:r>
            <w:r>
              <w:rPr>
                <w:b/>
                <w:bCs/>
                <w:sz w:val="18"/>
              </w:rPr>
              <w:t xml:space="preserve"> (hours)</w:t>
            </w:r>
          </w:p>
        </w:tc>
        <w:tc>
          <w:tcPr>
            <w:tcW w:w="1665" w:type="dxa"/>
            <w:vAlign w:val="center"/>
            <w:hideMark/>
          </w:tcPr>
          <w:p w14:paraId="16312BD4" w14:textId="77777777" w:rsidR="003613B6" w:rsidRPr="003613B6" w:rsidRDefault="003613B6" w:rsidP="003613B6">
            <w:pPr>
              <w:pStyle w:val="Table"/>
              <w:jc w:val="center"/>
              <w:rPr>
                <w:b/>
                <w:bCs/>
                <w:sz w:val="18"/>
              </w:rPr>
            </w:pPr>
            <w:r w:rsidRPr="003613B6">
              <w:rPr>
                <w:b/>
                <w:bCs/>
                <w:sz w:val="18"/>
              </w:rPr>
              <w:t>Burden</w:t>
            </w:r>
            <w:r w:rsidR="009B0677">
              <w:rPr>
                <w:b/>
                <w:bCs/>
                <w:sz w:val="18"/>
              </w:rPr>
              <w:t xml:space="preserve"> (hours)</w:t>
            </w:r>
          </w:p>
        </w:tc>
        <w:tc>
          <w:tcPr>
            <w:tcW w:w="1373" w:type="dxa"/>
            <w:vAlign w:val="center"/>
            <w:hideMark/>
          </w:tcPr>
          <w:p w14:paraId="776B28DF" w14:textId="77777777" w:rsidR="003613B6" w:rsidRPr="003613B6" w:rsidRDefault="003613B6" w:rsidP="003613B6">
            <w:pPr>
              <w:pStyle w:val="Table"/>
              <w:jc w:val="center"/>
              <w:rPr>
                <w:b/>
                <w:bCs/>
                <w:sz w:val="18"/>
              </w:rPr>
            </w:pPr>
            <w:r w:rsidRPr="003613B6">
              <w:rPr>
                <w:b/>
                <w:bCs/>
                <w:sz w:val="18"/>
              </w:rPr>
              <w:t>Labor Rate ($/hour)</w:t>
            </w:r>
          </w:p>
        </w:tc>
        <w:tc>
          <w:tcPr>
            <w:tcW w:w="1460" w:type="dxa"/>
            <w:vAlign w:val="center"/>
            <w:hideMark/>
          </w:tcPr>
          <w:p w14:paraId="650BF071" w14:textId="77777777" w:rsidR="003613B6" w:rsidRPr="003613B6" w:rsidRDefault="003613B6" w:rsidP="003613B6">
            <w:pPr>
              <w:pStyle w:val="Table"/>
              <w:jc w:val="center"/>
              <w:rPr>
                <w:b/>
                <w:bCs/>
                <w:sz w:val="18"/>
              </w:rPr>
            </w:pPr>
            <w:r w:rsidRPr="003613B6">
              <w:rPr>
                <w:b/>
                <w:bCs/>
                <w:sz w:val="18"/>
              </w:rPr>
              <w:t>Cost</w:t>
            </w:r>
            <w:r w:rsidR="009B0677">
              <w:rPr>
                <w:b/>
                <w:bCs/>
                <w:sz w:val="18"/>
              </w:rPr>
              <w:t xml:space="preserve"> (2016 dollars)</w:t>
            </w:r>
          </w:p>
        </w:tc>
      </w:tr>
      <w:tr w:rsidR="003613B6" w:rsidRPr="003613B6" w14:paraId="57964557" w14:textId="77777777" w:rsidTr="00734756">
        <w:trPr>
          <w:trHeight w:val="300"/>
        </w:trPr>
        <w:tc>
          <w:tcPr>
            <w:tcW w:w="1875" w:type="dxa"/>
            <w:vAlign w:val="center"/>
            <w:hideMark/>
          </w:tcPr>
          <w:p w14:paraId="17A78FD9" w14:textId="77777777" w:rsidR="003613B6" w:rsidRPr="003613B6" w:rsidRDefault="003613B6" w:rsidP="003613B6">
            <w:pPr>
              <w:pStyle w:val="Table"/>
              <w:rPr>
                <w:sz w:val="18"/>
              </w:rPr>
            </w:pPr>
            <w:r w:rsidRPr="003613B6">
              <w:rPr>
                <w:sz w:val="18"/>
              </w:rPr>
              <w:t xml:space="preserve">&lt;=100 </w:t>
            </w:r>
          </w:p>
        </w:tc>
        <w:tc>
          <w:tcPr>
            <w:tcW w:w="1581" w:type="dxa"/>
            <w:tcMar>
              <w:left w:w="115" w:type="dxa"/>
              <w:right w:w="360" w:type="dxa"/>
            </w:tcMar>
            <w:vAlign w:val="center"/>
            <w:hideMark/>
          </w:tcPr>
          <w:p w14:paraId="12462FF5" w14:textId="77777777" w:rsidR="003613B6" w:rsidRPr="003613B6" w:rsidRDefault="003613B6" w:rsidP="00734756">
            <w:pPr>
              <w:pStyle w:val="Table"/>
              <w:jc w:val="right"/>
              <w:rPr>
                <w:sz w:val="18"/>
              </w:rPr>
            </w:pPr>
            <w:r w:rsidRPr="003613B6">
              <w:rPr>
                <w:sz w:val="18"/>
              </w:rPr>
              <w:t>20,475</w:t>
            </w:r>
          </w:p>
        </w:tc>
        <w:tc>
          <w:tcPr>
            <w:tcW w:w="1396" w:type="dxa"/>
            <w:vAlign w:val="center"/>
            <w:hideMark/>
          </w:tcPr>
          <w:p w14:paraId="29AA7F5B"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0CE48620" w14:textId="77777777" w:rsidR="003613B6" w:rsidRPr="003613B6" w:rsidRDefault="003613B6" w:rsidP="00734756">
            <w:pPr>
              <w:pStyle w:val="Table"/>
              <w:jc w:val="right"/>
              <w:rPr>
                <w:sz w:val="18"/>
              </w:rPr>
            </w:pPr>
            <w:r w:rsidRPr="003613B6">
              <w:rPr>
                <w:sz w:val="18"/>
              </w:rPr>
              <w:t>409,500</w:t>
            </w:r>
          </w:p>
        </w:tc>
        <w:tc>
          <w:tcPr>
            <w:tcW w:w="1373" w:type="dxa"/>
            <w:vAlign w:val="center"/>
            <w:hideMark/>
          </w:tcPr>
          <w:p w14:paraId="35FA38B7" w14:textId="77777777" w:rsidR="003613B6" w:rsidRPr="003613B6" w:rsidRDefault="003613B6" w:rsidP="003613B6">
            <w:pPr>
              <w:pStyle w:val="Table"/>
              <w:jc w:val="center"/>
              <w:rPr>
                <w:sz w:val="18"/>
              </w:rPr>
            </w:pPr>
            <w:r w:rsidRPr="003613B6">
              <w:rPr>
                <w:sz w:val="18"/>
              </w:rPr>
              <w:t>$28.64</w:t>
            </w:r>
          </w:p>
        </w:tc>
        <w:tc>
          <w:tcPr>
            <w:tcW w:w="1460" w:type="dxa"/>
            <w:noWrap/>
            <w:tcMar>
              <w:left w:w="115" w:type="dxa"/>
              <w:right w:w="288" w:type="dxa"/>
            </w:tcMar>
            <w:vAlign w:val="center"/>
            <w:hideMark/>
          </w:tcPr>
          <w:p w14:paraId="5B5E9C12" w14:textId="77777777" w:rsidR="003613B6" w:rsidRPr="003613B6" w:rsidRDefault="003613B6" w:rsidP="00734756">
            <w:pPr>
              <w:pStyle w:val="Table"/>
              <w:jc w:val="right"/>
              <w:rPr>
                <w:sz w:val="18"/>
              </w:rPr>
            </w:pPr>
            <w:r w:rsidRPr="003613B6">
              <w:rPr>
                <w:sz w:val="18"/>
              </w:rPr>
              <w:t>$11,728,080</w:t>
            </w:r>
          </w:p>
        </w:tc>
      </w:tr>
      <w:tr w:rsidR="003613B6" w:rsidRPr="003613B6" w14:paraId="5B0CE843" w14:textId="77777777" w:rsidTr="00734756">
        <w:trPr>
          <w:trHeight w:val="300"/>
        </w:trPr>
        <w:tc>
          <w:tcPr>
            <w:tcW w:w="1875" w:type="dxa"/>
            <w:vAlign w:val="center"/>
            <w:hideMark/>
          </w:tcPr>
          <w:p w14:paraId="3AEEFC8A" w14:textId="77777777" w:rsidR="003613B6" w:rsidRPr="003613B6" w:rsidRDefault="003613B6" w:rsidP="003613B6">
            <w:pPr>
              <w:pStyle w:val="Table"/>
              <w:rPr>
                <w:sz w:val="18"/>
              </w:rPr>
            </w:pPr>
            <w:r w:rsidRPr="003613B6">
              <w:rPr>
                <w:sz w:val="18"/>
              </w:rPr>
              <w:t xml:space="preserve">101-500 </w:t>
            </w:r>
          </w:p>
        </w:tc>
        <w:tc>
          <w:tcPr>
            <w:tcW w:w="1581" w:type="dxa"/>
            <w:tcMar>
              <w:left w:w="115" w:type="dxa"/>
              <w:right w:w="360" w:type="dxa"/>
            </w:tcMar>
            <w:vAlign w:val="center"/>
            <w:hideMark/>
          </w:tcPr>
          <w:p w14:paraId="7D5AFD1E" w14:textId="77777777" w:rsidR="003613B6" w:rsidRPr="003613B6" w:rsidRDefault="003613B6" w:rsidP="00734756">
            <w:pPr>
              <w:pStyle w:val="Table"/>
              <w:jc w:val="right"/>
              <w:rPr>
                <w:sz w:val="18"/>
              </w:rPr>
            </w:pPr>
            <w:r w:rsidRPr="003613B6">
              <w:rPr>
                <w:sz w:val="18"/>
              </w:rPr>
              <w:t>21,821</w:t>
            </w:r>
          </w:p>
        </w:tc>
        <w:tc>
          <w:tcPr>
            <w:tcW w:w="1396" w:type="dxa"/>
            <w:vAlign w:val="center"/>
            <w:hideMark/>
          </w:tcPr>
          <w:p w14:paraId="26AD5093"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61F8E7CC" w14:textId="77777777" w:rsidR="003613B6" w:rsidRPr="003613B6" w:rsidRDefault="003613B6" w:rsidP="00734756">
            <w:pPr>
              <w:pStyle w:val="Table"/>
              <w:jc w:val="right"/>
              <w:rPr>
                <w:sz w:val="18"/>
              </w:rPr>
            </w:pPr>
            <w:r w:rsidRPr="003613B6">
              <w:rPr>
                <w:sz w:val="18"/>
              </w:rPr>
              <w:t>436,420</w:t>
            </w:r>
          </w:p>
        </w:tc>
        <w:tc>
          <w:tcPr>
            <w:tcW w:w="1373" w:type="dxa"/>
            <w:vAlign w:val="center"/>
            <w:hideMark/>
          </w:tcPr>
          <w:p w14:paraId="24E1797E" w14:textId="77777777" w:rsidR="003613B6" w:rsidRPr="003613B6" w:rsidRDefault="003613B6" w:rsidP="003613B6">
            <w:pPr>
              <w:pStyle w:val="Table"/>
              <w:jc w:val="center"/>
              <w:rPr>
                <w:sz w:val="18"/>
              </w:rPr>
            </w:pPr>
            <w:r w:rsidRPr="003613B6">
              <w:rPr>
                <w:sz w:val="18"/>
              </w:rPr>
              <w:t>$28.64</w:t>
            </w:r>
          </w:p>
        </w:tc>
        <w:tc>
          <w:tcPr>
            <w:tcW w:w="1460" w:type="dxa"/>
            <w:noWrap/>
            <w:tcMar>
              <w:left w:w="115" w:type="dxa"/>
              <w:right w:w="288" w:type="dxa"/>
            </w:tcMar>
            <w:vAlign w:val="center"/>
            <w:hideMark/>
          </w:tcPr>
          <w:p w14:paraId="78FE9E54" w14:textId="77777777" w:rsidR="003613B6" w:rsidRPr="003613B6" w:rsidRDefault="003613B6" w:rsidP="00734756">
            <w:pPr>
              <w:pStyle w:val="Table"/>
              <w:jc w:val="right"/>
              <w:rPr>
                <w:sz w:val="18"/>
              </w:rPr>
            </w:pPr>
            <w:r w:rsidRPr="003613B6">
              <w:rPr>
                <w:sz w:val="18"/>
              </w:rPr>
              <w:t>$12,499,069</w:t>
            </w:r>
          </w:p>
        </w:tc>
      </w:tr>
      <w:tr w:rsidR="003613B6" w:rsidRPr="003613B6" w14:paraId="15BC1902" w14:textId="77777777" w:rsidTr="00734756">
        <w:trPr>
          <w:trHeight w:val="300"/>
        </w:trPr>
        <w:tc>
          <w:tcPr>
            <w:tcW w:w="1875" w:type="dxa"/>
            <w:vAlign w:val="center"/>
            <w:hideMark/>
          </w:tcPr>
          <w:p w14:paraId="193733F9" w14:textId="77777777" w:rsidR="003613B6" w:rsidRPr="003613B6" w:rsidRDefault="003613B6" w:rsidP="003613B6">
            <w:pPr>
              <w:pStyle w:val="Table"/>
              <w:rPr>
                <w:sz w:val="18"/>
              </w:rPr>
            </w:pPr>
            <w:r w:rsidRPr="003613B6">
              <w:rPr>
                <w:sz w:val="18"/>
              </w:rPr>
              <w:t>501-1,000</w:t>
            </w:r>
          </w:p>
        </w:tc>
        <w:tc>
          <w:tcPr>
            <w:tcW w:w="1581" w:type="dxa"/>
            <w:tcMar>
              <w:left w:w="115" w:type="dxa"/>
              <w:right w:w="360" w:type="dxa"/>
            </w:tcMar>
            <w:vAlign w:val="center"/>
            <w:hideMark/>
          </w:tcPr>
          <w:p w14:paraId="75D1A4EE" w14:textId="77777777" w:rsidR="003613B6" w:rsidRPr="003613B6" w:rsidRDefault="003613B6" w:rsidP="00734756">
            <w:pPr>
              <w:pStyle w:val="Table"/>
              <w:jc w:val="right"/>
              <w:rPr>
                <w:sz w:val="18"/>
              </w:rPr>
            </w:pPr>
            <w:r w:rsidRPr="003613B6">
              <w:rPr>
                <w:sz w:val="18"/>
              </w:rPr>
              <w:t>7,004</w:t>
            </w:r>
          </w:p>
        </w:tc>
        <w:tc>
          <w:tcPr>
            <w:tcW w:w="1396" w:type="dxa"/>
            <w:vAlign w:val="center"/>
            <w:hideMark/>
          </w:tcPr>
          <w:p w14:paraId="06B137A0"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57AF9DA9" w14:textId="77777777" w:rsidR="003613B6" w:rsidRPr="003613B6" w:rsidRDefault="003613B6" w:rsidP="00734756">
            <w:pPr>
              <w:pStyle w:val="Table"/>
              <w:jc w:val="right"/>
              <w:rPr>
                <w:sz w:val="18"/>
              </w:rPr>
            </w:pPr>
            <w:r w:rsidRPr="003613B6">
              <w:rPr>
                <w:sz w:val="18"/>
              </w:rPr>
              <w:t>140,080</w:t>
            </w:r>
          </w:p>
        </w:tc>
        <w:tc>
          <w:tcPr>
            <w:tcW w:w="1373" w:type="dxa"/>
            <w:vAlign w:val="center"/>
            <w:hideMark/>
          </w:tcPr>
          <w:p w14:paraId="07404081" w14:textId="77777777" w:rsidR="003613B6" w:rsidRPr="003613B6" w:rsidRDefault="003613B6" w:rsidP="003613B6">
            <w:pPr>
              <w:pStyle w:val="Table"/>
              <w:jc w:val="center"/>
              <w:rPr>
                <w:sz w:val="18"/>
              </w:rPr>
            </w:pPr>
            <w:r w:rsidRPr="003613B6">
              <w:rPr>
                <w:sz w:val="18"/>
              </w:rPr>
              <w:t>$28.64</w:t>
            </w:r>
          </w:p>
        </w:tc>
        <w:tc>
          <w:tcPr>
            <w:tcW w:w="1460" w:type="dxa"/>
            <w:noWrap/>
            <w:tcMar>
              <w:left w:w="115" w:type="dxa"/>
              <w:right w:w="288" w:type="dxa"/>
            </w:tcMar>
            <w:vAlign w:val="center"/>
            <w:hideMark/>
          </w:tcPr>
          <w:p w14:paraId="46F73BC0" w14:textId="77777777" w:rsidR="003613B6" w:rsidRPr="003613B6" w:rsidRDefault="003613B6" w:rsidP="00734756">
            <w:pPr>
              <w:pStyle w:val="Table"/>
              <w:jc w:val="right"/>
              <w:rPr>
                <w:sz w:val="18"/>
              </w:rPr>
            </w:pPr>
            <w:r w:rsidRPr="003613B6">
              <w:rPr>
                <w:sz w:val="18"/>
              </w:rPr>
              <w:t>$4,011,891</w:t>
            </w:r>
          </w:p>
        </w:tc>
      </w:tr>
      <w:tr w:rsidR="003613B6" w:rsidRPr="003613B6" w14:paraId="6A2D2D4E" w14:textId="77777777" w:rsidTr="00734756">
        <w:trPr>
          <w:trHeight w:val="300"/>
        </w:trPr>
        <w:tc>
          <w:tcPr>
            <w:tcW w:w="1875" w:type="dxa"/>
            <w:vAlign w:val="center"/>
            <w:hideMark/>
          </w:tcPr>
          <w:p w14:paraId="6C18168C" w14:textId="77777777" w:rsidR="003613B6" w:rsidRPr="003613B6" w:rsidRDefault="003613B6" w:rsidP="003613B6">
            <w:pPr>
              <w:pStyle w:val="Table"/>
              <w:rPr>
                <w:sz w:val="18"/>
              </w:rPr>
            </w:pPr>
            <w:r w:rsidRPr="003613B6">
              <w:rPr>
                <w:sz w:val="18"/>
              </w:rPr>
              <w:t>1,001-3,300</w:t>
            </w:r>
          </w:p>
        </w:tc>
        <w:tc>
          <w:tcPr>
            <w:tcW w:w="1581" w:type="dxa"/>
            <w:tcMar>
              <w:left w:w="115" w:type="dxa"/>
              <w:right w:w="360" w:type="dxa"/>
            </w:tcMar>
            <w:vAlign w:val="center"/>
            <w:hideMark/>
          </w:tcPr>
          <w:p w14:paraId="7325FB3B" w14:textId="77777777" w:rsidR="003613B6" w:rsidRPr="003613B6" w:rsidRDefault="003613B6" w:rsidP="00734756">
            <w:pPr>
              <w:pStyle w:val="Table"/>
              <w:jc w:val="right"/>
              <w:rPr>
                <w:sz w:val="18"/>
              </w:rPr>
            </w:pPr>
            <w:r w:rsidRPr="003613B6">
              <w:rPr>
                <w:sz w:val="18"/>
              </w:rPr>
              <w:t>8,902</w:t>
            </w:r>
          </w:p>
        </w:tc>
        <w:tc>
          <w:tcPr>
            <w:tcW w:w="1396" w:type="dxa"/>
            <w:vAlign w:val="center"/>
            <w:hideMark/>
          </w:tcPr>
          <w:p w14:paraId="132408BD"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686FE957" w14:textId="77777777" w:rsidR="003613B6" w:rsidRPr="003613B6" w:rsidRDefault="003613B6" w:rsidP="00734756">
            <w:pPr>
              <w:pStyle w:val="Table"/>
              <w:jc w:val="right"/>
              <w:rPr>
                <w:sz w:val="18"/>
              </w:rPr>
            </w:pPr>
            <w:r w:rsidRPr="003613B6">
              <w:rPr>
                <w:sz w:val="18"/>
              </w:rPr>
              <w:t>178,040</w:t>
            </w:r>
          </w:p>
        </w:tc>
        <w:tc>
          <w:tcPr>
            <w:tcW w:w="1373" w:type="dxa"/>
            <w:vAlign w:val="center"/>
            <w:hideMark/>
          </w:tcPr>
          <w:p w14:paraId="28578EAA" w14:textId="77777777" w:rsidR="003613B6" w:rsidRPr="003613B6" w:rsidRDefault="003613B6" w:rsidP="003613B6">
            <w:pPr>
              <w:pStyle w:val="Table"/>
              <w:jc w:val="center"/>
              <w:rPr>
                <w:sz w:val="18"/>
              </w:rPr>
            </w:pPr>
            <w:r w:rsidRPr="003613B6">
              <w:rPr>
                <w:sz w:val="18"/>
              </w:rPr>
              <w:t>$28.64</w:t>
            </w:r>
          </w:p>
        </w:tc>
        <w:tc>
          <w:tcPr>
            <w:tcW w:w="1460" w:type="dxa"/>
            <w:noWrap/>
            <w:tcMar>
              <w:left w:w="115" w:type="dxa"/>
              <w:right w:w="288" w:type="dxa"/>
            </w:tcMar>
            <w:vAlign w:val="center"/>
            <w:hideMark/>
          </w:tcPr>
          <w:p w14:paraId="4208E45A" w14:textId="77777777" w:rsidR="003613B6" w:rsidRPr="003613B6" w:rsidRDefault="003613B6" w:rsidP="00734756">
            <w:pPr>
              <w:pStyle w:val="Table"/>
              <w:jc w:val="right"/>
              <w:rPr>
                <w:sz w:val="18"/>
              </w:rPr>
            </w:pPr>
            <w:r w:rsidRPr="003613B6">
              <w:rPr>
                <w:sz w:val="18"/>
              </w:rPr>
              <w:t>$5,099,066</w:t>
            </w:r>
          </w:p>
        </w:tc>
      </w:tr>
      <w:tr w:rsidR="003613B6" w:rsidRPr="003613B6" w14:paraId="0E88EFF4" w14:textId="77777777" w:rsidTr="00734756">
        <w:trPr>
          <w:trHeight w:val="300"/>
        </w:trPr>
        <w:tc>
          <w:tcPr>
            <w:tcW w:w="1875" w:type="dxa"/>
            <w:vAlign w:val="center"/>
            <w:hideMark/>
          </w:tcPr>
          <w:p w14:paraId="622FF6A8" w14:textId="77777777" w:rsidR="003613B6" w:rsidRPr="003613B6" w:rsidRDefault="003613B6" w:rsidP="003613B6">
            <w:pPr>
              <w:pStyle w:val="Table"/>
              <w:rPr>
                <w:sz w:val="18"/>
              </w:rPr>
            </w:pPr>
            <w:r w:rsidRPr="003613B6">
              <w:rPr>
                <w:sz w:val="18"/>
              </w:rPr>
              <w:t>3,301-10,000</w:t>
            </w:r>
          </w:p>
        </w:tc>
        <w:tc>
          <w:tcPr>
            <w:tcW w:w="1581" w:type="dxa"/>
            <w:tcMar>
              <w:left w:w="115" w:type="dxa"/>
              <w:right w:w="360" w:type="dxa"/>
            </w:tcMar>
            <w:vAlign w:val="center"/>
            <w:hideMark/>
          </w:tcPr>
          <w:p w14:paraId="65166565" w14:textId="77777777" w:rsidR="003613B6" w:rsidRPr="003613B6" w:rsidRDefault="003613B6" w:rsidP="00734756">
            <w:pPr>
              <w:pStyle w:val="Table"/>
              <w:jc w:val="right"/>
              <w:rPr>
                <w:sz w:val="18"/>
              </w:rPr>
            </w:pPr>
            <w:r w:rsidRPr="003613B6">
              <w:rPr>
                <w:sz w:val="18"/>
              </w:rPr>
              <w:t>5,122</w:t>
            </w:r>
          </w:p>
        </w:tc>
        <w:tc>
          <w:tcPr>
            <w:tcW w:w="1396" w:type="dxa"/>
            <w:vAlign w:val="center"/>
            <w:hideMark/>
          </w:tcPr>
          <w:p w14:paraId="273CAFC8"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5E304832" w14:textId="77777777" w:rsidR="003613B6" w:rsidRPr="003613B6" w:rsidRDefault="003613B6" w:rsidP="00734756">
            <w:pPr>
              <w:pStyle w:val="Table"/>
              <w:jc w:val="right"/>
              <w:rPr>
                <w:sz w:val="18"/>
              </w:rPr>
            </w:pPr>
            <w:r w:rsidRPr="003613B6">
              <w:rPr>
                <w:sz w:val="18"/>
              </w:rPr>
              <w:t>102,440</w:t>
            </w:r>
          </w:p>
        </w:tc>
        <w:tc>
          <w:tcPr>
            <w:tcW w:w="1373" w:type="dxa"/>
            <w:vAlign w:val="center"/>
            <w:hideMark/>
          </w:tcPr>
          <w:p w14:paraId="7D4E9D5F" w14:textId="77777777" w:rsidR="003613B6" w:rsidRPr="003613B6" w:rsidRDefault="003613B6" w:rsidP="003613B6">
            <w:pPr>
              <w:pStyle w:val="Table"/>
              <w:jc w:val="center"/>
              <w:rPr>
                <w:sz w:val="18"/>
              </w:rPr>
            </w:pPr>
            <w:r w:rsidRPr="003613B6">
              <w:rPr>
                <w:sz w:val="18"/>
              </w:rPr>
              <w:t>$33.74</w:t>
            </w:r>
          </w:p>
        </w:tc>
        <w:tc>
          <w:tcPr>
            <w:tcW w:w="1460" w:type="dxa"/>
            <w:noWrap/>
            <w:tcMar>
              <w:left w:w="115" w:type="dxa"/>
              <w:right w:w="288" w:type="dxa"/>
            </w:tcMar>
            <w:vAlign w:val="center"/>
            <w:hideMark/>
          </w:tcPr>
          <w:p w14:paraId="4BF84557" w14:textId="77777777" w:rsidR="003613B6" w:rsidRPr="003613B6" w:rsidRDefault="003613B6" w:rsidP="00734756">
            <w:pPr>
              <w:pStyle w:val="Table"/>
              <w:jc w:val="right"/>
              <w:rPr>
                <w:sz w:val="18"/>
              </w:rPr>
            </w:pPr>
            <w:r w:rsidRPr="003613B6">
              <w:rPr>
                <w:sz w:val="18"/>
              </w:rPr>
              <w:t>$3,456,326</w:t>
            </w:r>
          </w:p>
        </w:tc>
      </w:tr>
      <w:tr w:rsidR="003613B6" w:rsidRPr="003613B6" w14:paraId="31EEF85E" w14:textId="77777777" w:rsidTr="00734756">
        <w:trPr>
          <w:trHeight w:val="300"/>
        </w:trPr>
        <w:tc>
          <w:tcPr>
            <w:tcW w:w="1875" w:type="dxa"/>
            <w:vAlign w:val="center"/>
            <w:hideMark/>
          </w:tcPr>
          <w:p w14:paraId="366A12D9" w14:textId="77777777" w:rsidR="003613B6" w:rsidRPr="003613B6" w:rsidRDefault="003613B6" w:rsidP="003613B6">
            <w:pPr>
              <w:pStyle w:val="Table"/>
              <w:rPr>
                <w:sz w:val="18"/>
              </w:rPr>
            </w:pPr>
            <w:r w:rsidRPr="003613B6">
              <w:rPr>
                <w:sz w:val="18"/>
              </w:rPr>
              <w:t>10,001-50,000</w:t>
            </w:r>
          </w:p>
        </w:tc>
        <w:tc>
          <w:tcPr>
            <w:tcW w:w="1581" w:type="dxa"/>
            <w:tcMar>
              <w:left w:w="115" w:type="dxa"/>
              <w:right w:w="360" w:type="dxa"/>
            </w:tcMar>
            <w:vAlign w:val="center"/>
            <w:hideMark/>
          </w:tcPr>
          <w:p w14:paraId="1E61D2F2" w14:textId="77777777" w:rsidR="003613B6" w:rsidRPr="003613B6" w:rsidRDefault="003613B6" w:rsidP="00734756">
            <w:pPr>
              <w:pStyle w:val="Table"/>
              <w:jc w:val="right"/>
              <w:rPr>
                <w:sz w:val="18"/>
              </w:rPr>
            </w:pPr>
            <w:r w:rsidRPr="003613B6">
              <w:rPr>
                <w:sz w:val="18"/>
              </w:rPr>
              <w:t>3,351</w:t>
            </w:r>
          </w:p>
        </w:tc>
        <w:tc>
          <w:tcPr>
            <w:tcW w:w="1396" w:type="dxa"/>
            <w:vAlign w:val="center"/>
            <w:hideMark/>
          </w:tcPr>
          <w:p w14:paraId="29E645AA"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020B43A2" w14:textId="77777777" w:rsidR="003613B6" w:rsidRPr="003613B6" w:rsidRDefault="003613B6" w:rsidP="00734756">
            <w:pPr>
              <w:pStyle w:val="Table"/>
              <w:jc w:val="right"/>
              <w:rPr>
                <w:sz w:val="18"/>
              </w:rPr>
            </w:pPr>
            <w:r w:rsidRPr="003613B6">
              <w:rPr>
                <w:sz w:val="18"/>
              </w:rPr>
              <w:t>67,020</w:t>
            </w:r>
          </w:p>
        </w:tc>
        <w:tc>
          <w:tcPr>
            <w:tcW w:w="1373" w:type="dxa"/>
            <w:vAlign w:val="center"/>
            <w:hideMark/>
          </w:tcPr>
          <w:p w14:paraId="052E4C29" w14:textId="77777777" w:rsidR="003613B6" w:rsidRPr="003613B6" w:rsidRDefault="003613B6" w:rsidP="003613B6">
            <w:pPr>
              <w:pStyle w:val="Table"/>
              <w:jc w:val="center"/>
              <w:rPr>
                <w:sz w:val="18"/>
              </w:rPr>
            </w:pPr>
            <w:r w:rsidRPr="003613B6">
              <w:rPr>
                <w:sz w:val="18"/>
              </w:rPr>
              <w:t>$36.15</w:t>
            </w:r>
          </w:p>
        </w:tc>
        <w:tc>
          <w:tcPr>
            <w:tcW w:w="1460" w:type="dxa"/>
            <w:noWrap/>
            <w:tcMar>
              <w:left w:w="115" w:type="dxa"/>
              <w:right w:w="288" w:type="dxa"/>
            </w:tcMar>
            <w:vAlign w:val="center"/>
            <w:hideMark/>
          </w:tcPr>
          <w:p w14:paraId="5C2C7E1D" w14:textId="77777777" w:rsidR="003613B6" w:rsidRPr="003613B6" w:rsidRDefault="003613B6" w:rsidP="00734756">
            <w:pPr>
              <w:pStyle w:val="Table"/>
              <w:jc w:val="right"/>
              <w:rPr>
                <w:sz w:val="18"/>
              </w:rPr>
            </w:pPr>
            <w:r w:rsidRPr="003613B6">
              <w:rPr>
                <w:sz w:val="18"/>
              </w:rPr>
              <w:t>$2,422,773</w:t>
            </w:r>
          </w:p>
        </w:tc>
      </w:tr>
      <w:tr w:rsidR="003613B6" w:rsidRPr="003613B6" w14:paraId="59AC2F6C" w14:textId="77777777" w:rsidTr="00734756">
        <w:trPr>
          <w:trHeight w:val="300"/>
        </w:trPr>
        <w:tc>
          <w:tcPr>
            <w:tcW w:w="1875" w:type="dxa"/>
            <w:vAlign w:val="center"/>
            <w:hideMark/>
          </w:tcPr>
          <w:p w14:paraId="37BAF089" w14:textId="77777777" w:rsidR="003613B6" w:rsidRPr="003613B6" w:rsidRDefault="003613B6" w:rsidP="003613B6">
            <w:pPr>
              <w:pStyle w:val="Table"/>
              <w:rPr>
                <w:sz w:val="18"/>
              </w:rPr>
            </w:pPr>
            <w:r w:rsidRPr="003613B6">
              <w:rPr>
                <w:sz w:val="18"/>
              </w:rPr>
              <w:t>50,001-100,000</w:t>
            </w:r>
          </w:p>
        </w:tc>
        <w:tc>
          <w:tcPr>
            <w:tcW w:w="1581" w:type="dxa"/>
            <w:tcMar>
              <w:left w:w="115" w:type="dxa"/>
              <w:right w:w="360" w:type="dxa"/>
            </w:tcMar>
            <w:vAlign w:val="center"/>
            <w:hideMark/>
          </w:tcPr>
          <w:p w14:paraId="19AA8F10" w14:textId="77777777" w:rsidR="003613B6" w:rsidRPr="003613B6" w:rsidRDefault="003613B6" w:rsidP="00734756">
            <w:pPr>
              <w:pStyle w:val="Table"/>
              <w:jc w:val="right"/>
              <w:rPr>
                <w:sz w:val="18"/>
              </w:rPr>
            </w:pPr>
            <w:r w:rsidRPr="003613B6">
              <w:rPr>
                <w:sz w:val="18"/>
              </w:rPr>
              <w:t>552</w:t>
            </w:r>
          </w:p>
        </w:tc>
        <w:tc>
          <w:tcPr>
            <w:tcW w:w="1396" w:type="dxa"/>
            <w:vAlign w:val="center"/>
            <w:hideMark/>
          </w:tcPr>
          <w:p w14:paraId="3F3F23BE"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744AFC13" w14:textId="77777777" w:rsidR="003613B6" w:rsidRPr="003613B6" w:rsidRDefault="003613B6" w:rsidP="00734756">
            <w:pPr>
              <w:pStyle w:val="Table"/>
              <w:jc w:val="right"/>
              <w:rPr>
                <w:sz w:val="18"/>
              </w:rPr>
            </w:pPr>
            <w:r w:rsidRPr="003613B6">
              <w:rPr>
                <w:sz w:val="18"/>
              </w:rPr>
              <w:t>11,040</w:t>
            </w:r>
          </w:p>
        </w:tc>
        <w:tc>
          <w:tcPr>
            <w:tcW w:w="1373" w:type="dxa"/>
            <w:vAlign w:val="center"/>
            <w:hideMark/>
          </w:tcPr>
          <w:p w14:paraId="7BB54CC0" w14:textId="77777777" w:rsidR="003613B6" w:rsidRPr="003613B6" w:rsidRDefault="003613B6" w:rsidP="003613B6">
            <w:pPr>
              <w:pStyle w:val="Table"/>
              <w:jc w:val="center"/>
              <w:rPr>
                <w:sz w:val="18"/>
              </w:rPr>
            </w:pPr>
            <w:r w:rsidRPr="003613B6">
              <w:rPr>
                <w:sz w:val="18"/>
              </w:rPr>
              <w:t>$39.01</w:t>
            </w:r>
          </w:p>
        </w:tc>
        <w:tc>
          <w:tcPr>
            <w:tcW w:w="1460" w:type="dxa"/>
            <w:noWrap/>
            <w:tcMar>
              <w:left w:w="115" w:type="dxa"/>
              <w:right w:w="288" w:type="dxa"/>
            </w:tcMar>
            <w:vAlign w:val="center"/>
            <w:hideMark/>
          </w:tcPr>
          <w:p w14:paraId="754E58A9" w14:textId="77777777" w:rsidR="003613B6" w:rsidRPr="003613B6" w:rsidRDefault="003613B6" w:rsidP="00734756">
            <w:pPr>
              <w:pStyle w:val="Table"/>
              <w:jc w:val="right"/>
              <w:rPr>
                <w:sz w:val="18"/>
              </w:rPr>
            </w:pPr>
            <w:r w:rsidRPr="003613B6">
              <w:rPr>
                <w:sz w:val="18"/>
              </w:rPr>
              <w:t>$430,670</w:t>
            </w:r>
          </w:p>
        </w:tc>
      </w:tr>
      <w:tr w:rsidR="003613B6" w:rsidRPr="003613B6" w14:paraId="69F55D06" w14:textId="77777777" w:rsidTr="00734756">
        <w:trPr>
          <w:trHeight w:val="300"/>
        </w:trPr>
        <w:tc>
          <w:tcPr>
            <w:tcW w:w="1875" w:type="dxa"/>
            <w:vAlign w:val="center"/>
            <w:hideMark/>
          </w:tcPr>
          <w:p w14:paraId="3DA42EF5" w14:textId="77777777" w:rsidR="003613B6" w:rsidRPr="003613B6" w:rsidRDefault="003613B6" w:rsidP="003613B6">
            <w:pPr>
              <w:pStyle w:val="Table"/>
              <w:rPr>
                <w:sz w:val="18"/>
              </w:rPr>
            </w:pPr>
            <w:r w:rsidRPr="003613B6">
              <w:rPr>
                <w:sz w:val="18"/>
              </w:rPr>
              <w:t>100,001-1,000,000</w:t>
            </w:r>
          </w:p>
        </w:tc>
        <w:tc>
          <w:tcPr>
            <w:tcW w:w="1581" w:type="dxa"/>
            <w:tcMar>
              <w:left w:w="115" w:type="dxa"/>
              <w:right w:w="360" w:type="dxa"/>
            </w:tcMar>
            <w:vAlign w:val="center"/>
            <w:hideMark/>
          </w:tcPr>
          <w:p w14:paraId="5EAA35FC" w14:textId="77777777" w:rsidR="003613B6" w:rsidRPr="003613B6" w:rsidRDefault="003613B6" w:rsidP="00734756">
            <w:pPr>
              <w:pStyle w:val="Table"/>
              <w:jc w:val="right"/>
              <w:rPr>
                <w:sz w:val="18"/>
              </w:rPr>
            </w:pPr>
            <w:r w:rsidRPr="003613B6">
              <w:rPr>
                <w:sz w:val="18"/>
              </w:rPr>
              <w:t>408</w:t>
            </w:r>
          </w:p>
        </w:tc>
        <w:tc>
          <w:tcPr>
            <w:tcW w:w="1396" w:type="dxa"/>
            <w:vAlign w:val="center"/>
            <w:hideMark/>
          </w:tcPr>
          <w:p w14:paraId="42E5DB3D"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07189312" w14:textId="77777777" w:rsidR="003613B6" w:rsidRPr="003613B6" w:rsidRDefault="003613B6" w:rsidP="00734756">
            <w:pPr>
              <w:pStyle w:val="Table"/>
              <w:jc w:val="right"/>
              <w:rPr>
                <w:sz w:val="18"/>
              </w:rPr>
            </w:pPr>
            <w:r w:rsidRPr="003613B6">
              <w:rPr>
                <w:sz w:val="18"/>
              </w:rPr>
              <w:t>8,160</w:t>
            </w:r>
          </w:p>
        </w:tc>
        <w:tc>
          <w:tcPr>
            <w:tcW w:w="1373" w:type="dxa"/>
            <w:vAlign w:val="center"/>
            <w:hideMark/>
          </w:tcPr>
          <w:p w14:paraId="54CEE032" w14:textId="77777777" w:rsidR="003613B6" w:rsidRPr="003613B6" w:rsidRDefault="003613B6" w:rsidP="003613B6">
            <w:pPr>
              <w:pStyle w:val="Table"/>
              <w:jc w:val="center"/>
              <w:rPr>
                <w:sz w:val="18"/>
              </w:rPr>
            </w:pPr>
            <w:r w:rsidRPr="003613B6">
              <w:rPr>
                <w:sz w:val="18"/>
              </w:rPr>
              <w:t>$44.38</w:t>
            </w:r>
          </w:p>
        </w:tc>
        <w:tc>
          <w:tcPr>
            <w:tcW w:w="1460" w:type="dxa"/>
            <w:noWrap/>
            <w:tcMar>
              <w:left w:w="115" w:type="dxa"/>
              <w:right w:w="288" w:type="dxa"/>
            </w:tcMar>
            <w:vAlign w:val="center"/>
            <w:hideMark/>
          </w:tcPr>
          <w:p w14:paraId="1F7BC305" w14:textId="77777777" w:rsidR="003613B6" w:rsidRPr="003613B6" w:rsidRDefault="003613B6" w:rsidP="00734756">
            <w:pPr>
              <w:pStyle w:val="Table"/>
              <w:jc w:val="right"/>
              <w:rPr>
                <w:sz w:val="18"/>
              </w:rPr>
            </w:pPr>
            <w:r w:rsidRPr="003613B6">
              <w:rPr>
                <w:sz w:val="18"/>
              </w:rPr>
              <w:t>$362,141</w:t>
            </w:r>
          </w:p>
        </w:tc>
      </w:tr>
      <w:tr w:rsidR="003613B6" w:rsidRPr="003613B6" w14:paraId="363DC1A2" w14:textId="77777777" w:rsidTr="00734756">
        <w:trPr>
          <w:trHeight w:val="300"/>
        </w:trPr>
        <w:tc>
          <w:tcPr>
            <w:tcW w:w="1875" w:type="dxa"/>
            <w:vAlign w:val="center"/>
            <w:hideMark/>
          </w:tcPr>
          <w:p w14:paraId="04FE9097" w14:textId="77777777" w:rsidR="003613B6" w:rsidRPr="003613B6" w:rsidRDefault="003613B6" w:rsidP="003613B6">
            <w:pPr>
              <w:pStyle w:val="Table"/>
              <w:rPr>
                <w:sz w:val="18"/>
              </w:rPr>
            </w:pPr>
            <w:r w:rsidRPr="003613B6">
              <w:rPr>
                <w:sz w:val="18"/>
              </w:rPr>
              <w:t>&gt;1,000,000</w:t>
            </w:r>
          </w:p>
        </w:tc>
        <w:tc>
          <w:tcPr>
            <w:tcW w:w="1581" w:type="dxa"/>
            <w:tcMar>
              <w:left w:w="115" w:type="dxa"/>
              <w:right w:w="360" w:type="dxa"/>
            </w:tcMar>
            <w:vAlign w:val="center"/>
            <w:hideMark/>
          </w:tcPr>
          <w:p w14:paraId="34FDA96D" w14:textId="77777777" w:rsidR="003613B6" w:rsidRPr="003613B6" w:rsidRDefault="003613B6" w:rsidP="00734756">
            <w:pPr>
              <w:pStyle w:val="Table"/>
              <w:jc w:val="right"/>
              <w:rPr>
                <w:sz w:val="18"/>
              </w:rPr>
            </w:pPr>
            <w:r w:rsidRPr="003613B6">
              <w:rPr>
                <w:sz w:val="18"/>
              </w:rPr>
              <w:t>21</w:t>
            </w:r>
          </w:p>
        </w:tc>
        <w:tc>
          <w:tcPr>
            <w:tcW w:w="1396" w:type="dxa"/>
            <w:vAlign w:val="center"/>
            <w:hideMark/>
          </w:tcPr>
          <w:p w14:paraId="025999C3" w14:textId="77777777" w:rsidR="003613B6" w:rsidRPr="003613B6" w:rsidRDefault="003613B6" w:rsidP="003613B6">
            <w:pPr>
              <w:pStyle w:val="Table"/>
              <w:jc w:val="center"/>
              <w:rPr>
                <w:sz w:val="18"/>
              </w:rPr>
            </w:pPr>
            <w:r w:rsidRPr="003613B6">
              <w:rPr>
                <w:sz w:val="18"/>
              </w:rPr>
              <w:t>20</w:t>
            </w:r>
          </w:p>
        </w:tc>
        <w:tc>
          <w:tcPr>
            <w:tcW w:w="1665" w:type="dxa"/>
            <w:tcMar>
              <w:left w:w="115" w:type="dxa"/>
              <w:right w:w="360" w:type="dxa"/>
            </w:tcMar>
            <w:vAlign w:val="center"/>
            <w:hideMark/>
          </w:tcPr>
          <w:p w14:paraId="426C752D" w14:textId="77777777" w:rsidR="003613B6" w:rsidRPr="003613B6" w:rsidRDefault="003613B6" w:rsidP="00734756">
            <w:pPr>
              <w:pStyle w:val="Table"/>
              <w:jc w:val="right"/>
              <w:rPr>
                <w:sz w:val="18"/>
              </w:rPr>
            </w:pPr>
            <w:r w:rsidRPr="003613B6">
              <w:rPr>
                <w:sz w:val="18"/>
              </w:rPr>
              <w:t>420</w:t>
            </w:r>
          </w:p>
        </w:tc>
        <w:tc>
          <w:tcPr>
            <w:tcW w:w="1373" w:type="dxa"/>
            <w:vAlign w:val="center"/>
            <w:hideMark/>
          </w:tcPr>
          <w:p w14:paraId="55D8270D" w14:textId="77777777" w:rsidR="003613B6" w:rsidRPr="003613B6" w:rsidRDefault="003613B6" w:rsidP="003613B6">
            <w:pPr>
              <w:pStyle w:val="Table"/>
              <w:jc w:val="center"/>
              <w:rPr>
                <w:sz w:val="18"/>
              </w:rPr>
            </w:pPr>
            <w:r w:rsidRPr="003613B6">
              <w:rPr>
                <w:sz w:val="18"/>
              </w:rPr>
              <w:t>$44.38</w:t>
            </w:r>
          </w:p>
        </w:tc>
        <w:tc>
          <w:tcPr>
            <w:tcW w:w="1460" w:type="dxa"/>
            <w:noWrap/>
            <w:tcMar>
              <w:left w:w="115" w:type="dxa"/>
              <w:right w:w="288" w:type="dxa"/>
            </w:tcMar>
            <w:vAlign w:val="center"/>
            <w:hideMark/>
          </w:tcPr>
          <w:p w14:paraId="605EF72F" w14:textId="77777777" w:rsidR="003613B6" w:rsidRPr="003613B6" w:rsidRDefault="003613B6" w:rsidP="00734756">
            <w:pPr>
              <w:pStyle w:val="Table"/>
              <w:jc w:val="right"/>
              <w:rPr>
                <w:sz w:val="18"/>
              </w:rPr>
            </w:pPr>
            <w:r w:rsidRPr="003613B6">
              <w:rPr>
                <w:sz w:val="18"/>
              </w:rPr>
              <w:t>$18,640</w:t>
            </w:r>
          </w:p>
        </w:tc>
      </w:tr>
      <w:tr w:rsidR="003613B6" w:rsidRPr="003613B6" w14:paraId="3886505E" w14:textId="77777777" w:rsidTr="00734756">
        <w:trPr>
          <w:trHeight w:val="300"/>
        </w:trPr>
        <w:tc>
          <w:tcPr>
            <w:tcW w:w="1875" w:type="dxa"/>
            <w:vAlign w:val="center"/>
            <w:hideMark/>
          </w:tcPr>
          <w:p w14:paraId="7A3A2B7B" w14:textId="77777777" w:rsidR="003613B6" w:rsidRPr="003613B6" w:rsidRDefault="003613B6" w:rsidP="003613B6">
            <w:pPr>
              <w:pStyle w:val="Table"/>
              <w:rPr>
                <w:b/>
                <w:bCs/>
                <w:sz w:val="18"/>
              </w:rPr>
            </w:pPr>
            <w:r w:rsidRPr="003613B6">
              <w:rPr>
                <w:b/>
                <w:bCs/>
                <w:sz w:val="18"/>
              </w:rPr>
              <w:t xml:space="preserve">System </w:t>
            </w:r>
            <w:r w:rsidR="005A0C29">
              <w:rPr>
                <w:b/>
                <w:bCs/>
                <w:sz w:val="18"/>
              </w:rPr>
              <w:t xml:space="preserve">3-year </w:t>
            </w:r>
            <w:r w:rsidRPr="003613B6">
              <w:rPr>
                <w:b/>
                <w:bCs/>
                <w:sz w:val="18"/>
              </w:rPr>
              <w:t>Total</w:t>
            </w:r>
          </w:p>
        </w:tc>
        <w:tc>
          <w:tcPr>
            <w:tcW w:w="1581" w:type="dxa"/>
            <w:tcMar>
              <w:left w:w="115" w:type="dxa"/>
              <w:right w:w="360" w:type="dxa"/>
            </w:tcMar>
            <w:vAlign w:val="center"/>
            <w:hideMark/>
          </w:tcPr>
          <w:p w14:paraId="24A30067" w14:textId="77777777" w:rsidR="003613B6" w:rsidRPr="003613B6" w:rsidRDefault="003613B6" w:rsidP="00734756">
            <w:pPr>
              <w:pStyle w:val="Table"/>
              <w:jc w:val="right"/>
              <w:rPr>
                <w:b/>
                <w:bCs/>
                <w:sz w:val="18"/>
              </w:rPr>
            </w:pPr>
            <w:r w:rsidRPr="003613B6">
              <w:rPr>
                <w:b/>
                <w:bCs/>
                <w:sz w:val="18"/>
              </w:rPr>
              <w:t>67,656</w:t>
            </w:r>
          </w:p>
        </w:tc>
        <w:tc>
          <w:tcPr>
            <w:tcW w:w="1396" w:type="dxa"/>
            <w:vAlign w:val="center"/>
            <w:hideMark/>
          </w:tcPr>
          <w:p w14:paraId="1C53267E" w14:textId="77777777" w:rsidR="003613B6" w:rsidRPr="003613B6" w:rsidRDefault="003613B6" w:rsidP="003613B6">
            <w:pPr>
              <w:pStyle w:val="Table"/>
              <w:jc w:val="center"/>
              <w:rPr>
                <w:b/>
                <w:bCs/>
                <w:sz w:val="18"/>
              </w:rPr>
            </w:pPr>
            <w:r w:rsidRPr="003613B6">
              <w:rPr>
                <w:b/>
                <w:bCs/>
                <w:sz w:val="18"/>
              </w:rPr>
              <w:t>not applicable</w:t>
            </w:r>
          </w:p>
        </w:tc>
        <w:tc>
          <w:tcPr>
            <w:tcW w:w="1665" w:type="dxa"/>
            <w:tcMar>
              <w:left w:w="115" w:type="dxa"/>
              <w:right w:w="360" w:type="dxa"/>
            </w:tcMar>
            <w:vAlign w:val="center"/>
            <w:hideMark/>
          </w:tcPr>
          <w:p w14:paraId="3CF876A8" w14:textId="77777777" w:rsidR="003613B6" w:rsidRPr="003613B6" w:rsidRDefault="003613B6" w:rsidP="00734756">
            <w:pPr>
              <w:pStyle w:val="Table"/>
              <w:jc w:val="right"/>
              <w:rPr>
                <w:b/>
                <w:bCs/>
                <w:sz w:val="18"/>
              </w:rPr>
            </w:pPr>
            <w:r w:rsidRPr="003613B6">
              <w:rPr>
                <w:b/>
                <w:bCs/>
                <w:sz w:val="18"/>
              </w:rPr>
              <w:t>1,353,120</w:t>
            </w:r>
          </w:p>
        </w:tc>
        <w:tc>
          <w:tcPr>
            <w:tcW w:w="1373" w:type="dxa"/>
            <w:vAlign w:val="center"/>
            <w:hideMark/>
          </w:tcPr>
          <w:p w14:paraId="22ECDE6E" w14:textId="77777777" w:rsidR="003613B6" w:rsidRPr="003613B6" w:rsidRDefault="003613B6" w:rsidP="003613B6">
            <w:pPr>
              <w:pStyle w:val="Table"/>
              <w:jc w:val="center"/>
              <w:rPr>
                <w:b/>
                <w:bCs/>
                <w:sz w:val="18"/>
              </w:rPr>
            </w:pPr>
            <w:r w:rsidRPr="003613B6">
              <w:rPr>
                <w:b/>
                <w:bCs/>
                <w:sz w:val="18"/>
              </w:rPr>
              <w:t>not applicable</w:t>
            </w:r>
          </w:p>
        </w:tc>
        <w:tc>
          <w:tcPr>
            <w:tcW w:w="1460" w:type="dxa"/>
            <w:noWrap/>
            <w:tcMar>
              <w:left w:w="115" w:type="dxa"/>
              <w:right w:w="288" w:type="dxa"/>
            </w:tcMar>
            <w:vAlign w:val="center"/>
            <w:hideMark/>
          </w:tcPr>
          <w:p w14:paraId="741DDBCD" w14:textId="77777777" w:rsidR="003613B6" w:rsidRPr="003613B6" w:rsidRDefault="003613B6" w:rsidP="00734756">
            <w:pPr>
              <w:pStyle w:val="Table"/>
              <w:jc w:val="right"/>
              <w:rPr>
                <w:b/>
                <w:bCs/>
                <w:sz w:val="18"/>
              </w:rPr>
            </w:pPr>
            <w:r w:rsidRPr="003613B6">
              <w:rPr>
                <w:b/>
                <w:bCs/>
                <w:sz w:val="18"/>
              </w:rPr>
              <w:t>$40,028,655</w:t>
            </w:r>
          </w:p>
        </w:tc>
      </w:tr>
      <w:tr w:rsidR="005A0C29" w:rsidRPr="003613B6" w14:paraId="76C18CD4" w14:textId="77777777" w:rsidTr="00734756">
        <w:trPr>
          <w:trHeight w:val="300"/>
        </w:trPr>
        <w:tc>
          <w:tcPr>
            <w:tcW w:w="1875" w:type="dxa"/>
            <w:vAlign w:val="center"/>
          </w:tcPr>
          <w:p w14:paraId="13C5FA98" w14:textId="77777777" w:rsidR="005A0C29" w:rsidRPr="003613B6" w:rsidRDefault="005A0C29" w:rsidP="003613B6">
            <w:pPr>
              <w:pStyle w:val="Table"/>
              <w:rPr>
                <w:b/>
                <w:bCs/>
                <w:sz w:val="18"/>
              </w:rPr>
            </w:pPr>
            <w:r>
              <w:rPr>
                <w:b/>
                <w:bCs/>
                <w:sz w:val="18"/>
              </w:rPr>
              <w:t>Annual Average</w:t>
            </w:r>
          </w:p>
        </w:tc>
        <w:tc>
          <w:tcPr>
            <w:tcW w:w="1581" w:type="dxa"/>
            <w:vAlign w:val="center"/>
          </w:tcPr>
          <w:p w14:paraId="2D2B67E5" w14:textId="77777777" w:rsidR="005A0C29" w:rsidRPr="003613B6" w:rsidRDefault="00D23847" w:rsidP="003613B6">
            <w:pPr>
              <w:pStyle w:val="Table"/>
              <w:jc w:val="center"/>
              <w:rPr>
                <w:b/>
                <w:bCs/>
                <w:sz w:val="18"/>
              </w:rPr>
            </w:pPr>
            <w:r>
              <w:rPr>
                <w:b/>
                <w:bCs/>
                <w:sz w:val="18"/>
              </w:rPr>
              <w:t>n</w:t>
            </w:r>
            <w:r w:rsidR="005A0C29">
              <w:rPr>
                <w:b/>
                <w:bCs/>
                <w:sz w:val="18"/>
              </w:rPr>
              <w:t>ot applicable</w:t>
            </w:r>
          </w:p>
        </w:tc>
        <w:tc>
          <w:tcPr>
            <w:tcW w:w="1396" w:type="dxa"/>
            <w:vAlign w:val="center"/>
          </w:tcPr>
          <w:p w14:paraId="753D8B63" w14:textId="77777777" w:rsidR="005A0C29" w:rsidRPr="003613B6" w:rsidRDefault="00D23847" w:rsidP="005A0C29">
            <w:pPr>
              <w:pStyle w:val="Table"/>
              <w:jc w:val="center"/>
              <w:rPr>
                <w:b/>
                <w:bCs/>
                <w:sz w:val="18"/>
              </w:rPr>
            </w:pPr>
            <w:r>
              <w:rPr>
                <w:b/>
                <w:bCs/>
                <w:sz w:val="18"/>
              </w:rPr>
              <w:t>n</w:t>
            </w:r>
            <w:r w:rsidR="005A0C29">
              <w:rPr>
                <w:b/>
                <w:bCs/>
                <w:sz w:val="18"/>
              </w:rPr>
              <w:t>ot applicable</w:t>
            </w:r>
          </w:p>
        </w:tc>
        <w:tc>
          <w:tcPr>
            <w:tcW w:w="1665" w:type="dxa"/>
            <w:tcMar>
              <w:left w:w="115" w:type="dxa"/>
              <w:right w:w="360" w:type="dxa"/>
            </w:tcMar>
            <w:vAlign w:val="center"/>
          </w:tcPr>
          <w:p w14:paraId="551954F1" w14:textId="77777777" w:rsidR="005A0C29" w:rsidRPr="003613B6" w:rsidRDefault="005A0C29" w:rsidP="00734756">
            <w:pPr>
              <w:pStyle w:val="Table"/>
              <w:jc w:val="right"/>
              <w:rPr>
                <w:b/>
                <w:bCs/>
                <w:sz w:val="18"/>
              </w:rPr>
            </w:pPr>
            <w:r>
              <w:rPr>
                <w:b/>
                <w:bCs/>
                <w:sz w:val="18"/>
              </w:rPr>
              <w:t>451,040</w:t>
            </w:r>
          </w:p>
        </w:tc>
        <w:tc>
          <w:tcPr>
            <w:tcW w:w="1373" w:type="dxa"/>
            <w:vAlign w:val="center"/>
          </w:tcPr>
          <w:p w14:paraId="47DC84AE" w14:textId="77777777" w:rsidR="005A0C29" w:rsidRPr="003613B6" w:rsidRDefault="00D23847" w:rsidP="003613B6">
            <w:pPr>
              <w:pStyle w:val="Table"/>
              <w:jc w:val="center"/>
              <w:rPr>
                <w:b/>
                <w:bCs/>
                <w:sz w:val="18"/>
              </w:rPr>
            </w:pPr>
            <w:r>
              <w:rPr>
                <w:b/>
                <w:bCs/>
                <w:sz w:val="18"/>
              </w:rPr>
              <w:t>n</w:t>
            </w:r>
            <w:r w:rsidR="005A0C29">
              <w:rPr>
                <w:b/>
                <w:bCs/>
                <w:sz w:val="18"/>
              </w:rPr>
              <w:t>ot applicable</w:t>
            </w:r>
          </w:p>
        </w:tc>
        <w:tc>
          <w:tcPr>
            <w:tcW w:w="1460" w:type="dxa"/>
            <w:noWrap/>
            <w:tcMar>
              <w:left w:w="115" w:type="dxa"/>
              <w:right w:w="288" w:type="dxa"/>
            </w:tcMar>
            <w:vAlign w:val="center"/>
          </w:tcPr>
          <w:p w14:paraId="71DAECF6" w14:textId="77777777" w:rsidR="005A0C29" w:rsidRPr="003613B6" w:rsidRDefault="005A0C29" w:rsidP="00734756">
            <w:pPr>
              <w:pStyle w:val="Table"/>
              <w:jc w:val="right"/>
              <w:rPr>
                <w:b/>
                <w:bCs/>
                <w:sz w:val="18"/>
              </w:rPr>
            </w:pPr>
            <w:r>
              <w:rPr>
                <w:b/>
                <w:bCs/>
                <w:sz w:val="18"/>
              </w:rPr>
              <w:t>$13,342,885</w:t>
            </w:r>
          </w:p>
        </w:tc>
      </w:tr>
    </w:tbl>
    <w:p w14:paraId="7A449DC5" w14:textId="77777777" w:rsidR="004F0396" w:rsidRPr="004F0396" w:rsidRDefault="004750F7" w:rsidP="004750F7">
      <w:pPr>
        <w:pStyle w:val="TableNote"/>
      </w:pPr>
      <w:r>
        <w:t>Notes: Detail may not add exactly to total due to independent rounding.</w:t>
      </w:r>
    </w:p>
    <w:p w14:paraId="3565790A" w14:textId="1063CFDB" w:rsidR="004F0396" w:rsidRDefault="00EB07E2" w:rsidP="00EB07E2">
      <w:pPr>
        <w:pStyle w:val="Caption"/>
        <w:rPr>
          <w:noProof/>
        </w:rPr>
      </w:pPr>
      <w:bookmarkStart w:id="123" w:name="_Toc23139295"/>
      <w:r>
        <w:t xml:space="preserve">Exhibit </w:t>
      </w:r>
      <w:r w:rsidR="00DD17DA">
        <w:rPr>
          <w:noProof/>
        </w:rPr>
        <w:fldChar w:fldCharType="begin"/>
      </w:r>
      <w:r w:rsidR="00DD17DA">
        <w:rPr>
          <w:noProof/>
        </w:rPr>
        <w:instrText xml:space="preserve"> SEQ Exhibit \* ARABIC </w:instrText>
      </w:r>
      <w:r w:rsidR="00DD17DA">
        <w:rPr>
          <w:noProof/>
        </w:rPr>
        <w:fldChar w:fldCharType="separate"/>
      </w:r>
      <w:r w:rsidR="007A79EF">
        <w:rPr>
          <w:noProof/>
        </w:rPr>
        <w:t>6</w:t>
      </w:r>
      <w:r w:rsidR="00DD17DA">
        <w:rPr>
          <w:noProof/>
        </w:rPr>
        <w:fldChar w:fldCharType="end"/>
      </w:r>
      <w:r w:rsidR="004F0396">
        <w:rPr>
          <w:noProof/>
        </w:rPr>
        <w:t xml:space="preserve">. </w:t>
      </w:r>
      <w:r w:rsidR="004F0396" w:rsidRPr="004F0396">
        <w:rPr>
          <w:noProof/>
        </w:rPr>
        <w:t xml:space="preserve">Burden and Costs for </w:t>
      </w:r>
      <w:r w:rsidR="004F0396">
        <w:rPr>
          <w:noProof/>
        </w:rPr>
        <w:t xml:space="preserve">Public Water Systems </w:t>
      </w:r>
      <w:r w:rsidR="004F0396" w:rsidRPr="004F0396">
        <w:rPr>
          <w:noProof/>
        </w:rPr>
        <w:t>Preparing a Lead Service Line Inventory</w:t>
      </w:r>
      <w:r w:rsidR="00E71DB1">
        <w:rPr>
          <w:noProof/>
        </w:rPr>
        <w:t>, 3-</w:t>
      </w:r>
      <w:r w:rsidR="00044AC4">
        <w:rPr>
          <w:noProof/>
        </w:rPr>
        <w:t>Y</w:t>
      </w:r>
      <w:r w:rsidR="00E71DB1">
        <w:rPr>
          <w:noProof/>
        </w:rPr>
        <w:t>ear Total</w:t>
      </w:r>
      <w:bookmarkEnd w:id="123"/>
      <w:r w:rsidR="004F0396" w:rsidRPr="004F0396">
        <w:rPr>
          <w:noProof/>
        </w:rPr>
        <w:t xml:space="preserve"> </w:t>
      </w:r>
    </w:p>
    <w:tbl>
      <w:tblPr>
        <w:tblStyle w:val="TableGrid"/>
        <w:tblW w:w="9355" w:type="dxa"/>
        <w:tblCellMar>
          <w:left w:w="43" w:type="dxa"/>
          <w:right w:w="43" w:type="dxa"/>
        </w:tblCellMar>
        <w:tblLook w:val="04A0" w:firstRow="1" w:lastRow="0" w:firstColumn="1" w:lastColumn="0" w:noHBand="0" w:noVBand="1"/>
      </w:tblPr>
      <w:tblGrid>
        <w:gridCol w:w="2155"/>
        <w:gridCol w:w="1260"/>
        <w:gridCol w:w="990"/>
        <w:gridCol w:w="1710"/>
        <w:gridCol w:w="990"/>
        <w:gridCol w:w="2250"/>
      </w:tblGrid>
      <w:tr w:rsidR="00415776" w:rsidRPr="00415776" w14:paraId="50B2CE62" w14:textId="77777777" w:rsidTr="0049228A">
        <w:tc>
          <w:tcPr>
            <w:tcW w:w="2155" w:type="dxa"/>
            <w:vAlign w:val="center"/>
          </w:tcPr>
          <w:p w14:paraId="3305BB81"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Respondent service population size category and type</w:t>
            </w:r>
          </w:p>
        </w:tc>
        <w:tc>
          <w:tcPr>
            <w:tcW w:w="1260" w:type="dxa"/>
            <w:vAlign w:val="center"/>
          </w:tcPr>
          <w:p w14:paraId="7DF70114"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Respondents</w:t>
            </w:r>
          </w:p>
        </w:tc>
        <w:tc>
          <w:tcPr>
            <w:tcW w:w="990" w:type="dxa"/>
            <w:vAlign w:val="center"/>
          </w:tcPr>
          <w:p w14:paraId="07F14578"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Burden per Response (hours)</w:t>
            </w:r>
          </w:p>
        </w:tc>
        <w:tc>
          <w:tcPr>
            <w:tcW w:w="1710" w:type="dxa"/>
            <w:vAlign w:val="center"/>
          </w:tcPr>
          <w:p w14:paraId="4E02C0F8"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Burden (hours)</w:t>
            </w:r>
          </w:p>
        </w:tc>
        <w:tc>
          <w:tcPr>
            <w:tcW w:w="990" w:type="dxa"/>
            <w:vAlign w:val="center"/>
          </w:tcPr>
          <w:p w14:paraId="5AB1C2A8"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Labor Rate ($/hour)</w:t>
            </w:r>
          </w:p>
        </w:tc>
        <w:tc>
          <w:tcPr>
            <w:tcW w:w="2250" w:type="dxa"/>
            <w:vAlign w:val="center"/>
          </w:tcPr>
          <w:p w14:paraId="70859BB1"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Cost (2016 dollars)</w:t>
            </w:r>
          </w:p>
        </w:tc>
      </w:tr>
      <w:tr w:rsidR="00415776" w:rsidRPr="00415776" w14:paraId="20FBD6D1" w14:textId="77777777" w:rsidTr="0049228A">
        <w:tc>
          <w:tcPr>
            <w:tcW w:w="2155" w:type="dxa"/>
            <w:vAlign w:val="center"/>
          </w:tcPr>
          <w:p w14:paraId="76A473D1"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&lt;=100, CWS</w:t>
            </w:r>
          </w:p>
        </w:tc>
        <w:tc>
          <w:tcPr>
            <w:tcW w:w="1260" w:type="dxa"/>
            <w:vAlign w:val="center"/>
          </w:tcPr>
          <w:p w14:paraId="1DFC208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1,993 to 1,439</w:t>
            </w:r>
          </w:p>
        </w:tc>
        <w:tc>
          <w:tcPr>
            <w:tcW w:w="990" w:type="dxa"/>
            <w:vAlign w:val="center"/>
          </w:tcPr>
          <w:p w14:paraId="6C796C0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w:t>
            </w:r>
          </w:p>
        </w:tc>
        <w:tc>
          <w:tcPr>
            <w:tcW w:w="1710" w:type="dxa"/>
            <w:vAlign w:val="center"/>
          </w:tcPr>
          <w:p w14:paraId="093157B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29,895 to 21,585</w:t>
            </w:r>
          </w:p>
        </w:tc>
        <w:tc>
          <w:tcPr>
            <w:tcW w:w="990" w:type="dxa"/>
            <w:vAlign w:val="center"/>
          </w:tcPr>
          <w:p w14:paraId="44FE594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14:paraId="6CB2C35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$856,193 to $618,194</w:t>
            </w:r>
          </w:p>
        </w:tc>
      </w:tr>
      <w:tr w:rsidR="00415776" w:rsidRPr="00415776" w14:paraId="418F9ABA" w14:textId="77777777" w:rsidTr="0049228A">
        <w:tc>
          <w:tcPr>
            <w:tcW w:w="2155" w:type="dxa"/>
            <w:vAlign w:val="center"/>
          </w:tcPr>
          <w:p w14:paraId="786CC20D"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101-500, CWS</w:t>
            </w:r>
          </w:p>
        </w:tc>
        <w:tc>
          <w:tcPr>
            <w:tcW w:w="1260" w:type="dxa"/>
            <w:vAlign w:val="center"/>
          </w:tcPr>
          <w:p w14:paraId="7F5D5A6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2,610 to 2,547</w:t>
            </w:r>
          </w:p>
        </w:tc>
        <w:tc>
          <w:tcPr>
            <w:tcW w:w="990" w:type="dxa"/>
            <w:vAlign w:val="center"/>
          </w:tcPr>
          <w:p w14:paraId="3B6291B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w:t>
            </w:r>
          </w:p>
        </w:tc>
        <w:tc>
          <w:tcPr>
            <w:tcW w:w="1710" w:type="dxa"/>
            <w:vAlign w:val="center"/>
          </w:tcPr>
          <w:p w14:paraId="4F7CE10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39,150 to 38,205</w:t>
            </w:r>
          </w:p>
        </w:tc>
        <w:tc>
          <w:tcPr>
            <w:tcW w:w="990" w:type="dxa"/>
            <w:vAlign w:val="center"/>
          </w:tcPr>
          <w:p w14:paraId="04D20205"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14:paraId="07A434F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$1,121,256 to $1,094,191</w:t>
            </w:r>
          </w:p>
        </w:tc>
      </w:tr>
      <w:tr w:rsidR="00415776" w:rsidRPr="00415776" w14:paraId="4B9917F8" w14:textId="77777777" w:rsidTr="0049228A">
        <w:tc>
          <w:tcPr>
            <w:tcW w:w="2155" w:type="dxa"/>
            <w:vAlign w:val="center"/>
          </w:tcPr>
          <w:p w14:paraId="3D2FAC9C"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501-1,000, CWS</w:t>
            </w:r>
          </w:p>
        </w:tc>
        <w:tc>
          <w:tcPr>
            <w:tcW w:w="1260" w:type="dxa"/>
            <w:vAlign w:val="center"/>
          </w:tcPr>
          <w:p w14:paraId="68FDAABF"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967 to 1,693</w:t>
            </w:r>
          </w:p>
        </w:tc>
        <w:tc>
          <w:tcPr>
            <w:tcW w:w="990" w:type="dxa"/>
            <w:vAlign w:val="center"/>
          </w:tcPr>
          <w:p w14:paraId="668C459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w:t>
            </w:r>
          </w:p>
        </w:tc>
        <w:tc>
          <w:tcPr>
            <w:tcW w:w="1710" w:type="dxa"/>
            <w:vAlign w:val="center"/>
          </w:tcPr>
          <w:p w14:paraId="2E559FE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14,505 to 25,395</w:t>
            </w:r>
          </w:p>
        </w:tc>
        <w:tc>
          <w:tcPr>
            <w:tcW w:w="990" w:type="dxa"/>
            <w:vAlign w:val="center"/>
          </w:tcPr>
          <w:p w14:paraId="25E3F45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14:paraId="3520EFB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$415,423 to $727,313</w:t>
            </w:r>
          </w:p>
        </w:tc>
      </w:tr>
      <w:tr w:rsidR="00415776" w:rsidRPr="00415776" w14:paraId="56D3C6AA" w14:textId="77777777" w:rsidTr="0049228A">
        <w:tc>
          <w:tcPr>
            <w:tcW w:w="2155" w:type="dxa"/>
            <w:vAlign w:val="center"/>
          </w:tcPr>
          <w:p w14:paraId="4B3972CA"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1,001-3,300, CWS</w:t>
            </w:r>
          </w:p>
        </w:tc>
        <w:tc>
          <w:tcPr>
            <w:tcW w:w="1260" w:type="dxa"/>
            <w:vAlign w:val="center"/>
          </w:tcPr>
          <w:p w14:paraId="75F5863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1,418 to 2,557</w:t>
            </w:r>
          </w:p>
        </w:tc>
        <w:tc>
          <w:tcPr>
            <w:tcW w:w="990" w:type="dxa"/>
            <w:vAlign w:val="center"/>
          </w:tcPr>
          <w:p w14:paraId="672B268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30</w:t>
            </w:r>
          </w:p>
        </w:tc>
        <w:tc>
          <w:tcPr>
            <w:tcW w:w="1710" w:type="dxa"/>
            <w:vAlign w:val="center"/>
          </w:tcPr>
          <w:p w14:paraId="7D72D42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42,540 to 76,710</w:t>
            </w:r>
          </w:p>
        </w:tc>
        <w:tc>
          <w:tcPr>
            <w:tcW w:w="990" w:type="dxa"/>
            <w:vAlign w:val="center"/>
          </w:tcPr>
          <w:p w14:paraId="3941A958"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14:paraId="270A7268"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$1,218,346 to $2,196,974</w:t>
            </w:r>
          </w:p>
        </w:tc>
      </w:tr>
      <w:tr w:rsidR="00415776" w:rsidRPr="00415776" w14:paraId="717B32E7" w14:textId="77777777" w:rsidTr="0049228A">
        <w:tc>
          <w:tcPr>
            <w:tcW w:w="2155" w:type="dxa"/>
            <w:vAlign w:val="center"/>
          </w:tcPr>
          <w:p w14:paraId="15793B28"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3,301-10,000, CWS</w:t>
            </w:r>
          </w:p>
        </w:tc>
        <w:tc>
          <w:tcPr>
            <w:tcW w:w="1260" w:type="dxa"/>
            <w:vAlign w:val="center"/>
          </w:tcPr>
          <w:p w14:paraId="66DF276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833 to 1,672</w:t>
            </w:r>
          </w:p>
        </w:tc>
        <w:tc>
          <w:tcPr>
            <w:tcW w:w="990" w:type="dxa"/>
            <w:vAlign w:val="center"/>
          </w:tcPr>
          <w:p w14:paraId="19F6706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60</w:t>
            </w:r>
          </w:p>
        </w:tc>
        <w:tc>
          <w:tcPr>
            <w:tcW w:w="1710" w:type="dxa"/>
            <w:vAlign w:val="center"/>
          </w:tcPr>
          <w:p w14:paraId="1E431A2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49,980 to 100,320</w:t>
            </w:r>
          </w:p>
        </w:tc>
        <w:tc>
          <w:tcPr>
            <w:tcW w:w="990" w:type="dxa"/>
            <w:vAlign w:val="center"/>
          </w:tcPr>
          <w:p w14:paraId="0F4F11E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$33.74</w:t>
            </w:r>
          </w:p>
        </w:tc>
        <w:tc>
          <w:tcPr>
            <w:tcW w:w="2250" w:type="dxa"/>
            <w:vAlign w:val="center"/>
          </w:tcPr>
          <w:p w14:paraId="676D91B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$1,686,325 to $3,384,797</w:t>
            </w:r>
          </w:p>
        </w:tc>
      </w:tr>
      <w:tr w:rsidR="00415776" w:rsidRPr="00415776" w14:paraId="4FBF547D" w14:textId="77777777" w:rsidTr="0049228A">
        <w:tc>
          <w:tcPr>
            <w:tcW w:w="2155" w:type="dxa"/>
            <w:vAlign w:val="center"/>
          </w:tcPr>
          <w:p w14:paraId="1E5CAE92"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10,001-50,000, CWS</w:t>
            </w:r>
          </w:p>
        </w:tc>
        <w:tc>
          <w:tcPr>
            <w:tcW w:w="1260" w:type="dxa"/>
            <w:vAlign w:val="center"/>
          </w:tcPr>
          <w:p w14:paraId="64A1EB2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951 to 1,100</w:t>
            </w:r>
          </w:p>
        </w:tc>
        <w:tc>
          <w:tcPr>
            <w:tcW w:w="990" w:type="dxa"/>
            <w:vAlign w:val="center"/>
          </w:tcPr>
          <w:p w14:paraId="32C8433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75</w:t>
            </w:r>
          </w:p>
        </w:tc>
        <w:tc>
          <w:tcPr>
            <w:tcW w:w="1710" w:type="dxa"/>
            <w:vAlign w:val="center"/>
          </w:tcPr>
          <w:p w14:paraId="47C85AD8"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71,325 to 82,500</w:t>
            </w:r>
          </w:p>
        </w:tc>
        <w:tc>
          <w:tcPr>
            <w:tcW w:w="990" w:type="dxa"/>
            <w:vAlign w:val="center"/>
          </w:tcPr>
          <w:p w14:paraId="6C51E895"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$36.15</w:t>
            </w:r>
          </w:p>
        </w:tc>
        <w:tc>
          <w:tcPr>
            <w:tcW w:w="2250" w:type="dxa"/>
            <w:vAlign w:val="center"/>
          </w:tcPr>
          <w:p w14:paraId="1D548D5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$2,578,399 to $2,982,375</w:t>
            </w:r>
          </w:p>
        </w:tc>
      </w:tr>
      <w:tr w:rsidR="00415776" w:rsidRPr="00415776" w14:paraId="31D5AA7B" w14:textId="77777777" w:rsidTr="0049228A">
        <w:tc>
          <w:tcPr>
            <w:tcW w:w="2155" w:type="dxa"/>
            <w:vAlign w:val="center"/>
          </w:tcPr>
          <w:p w14:paraId="7A193259"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50,001-100,000, CWS</w:t>
            </w:r>
          </w:p>
        </w:tc>
        <w:tc>
          <w:tcPr>
            <w:tcW w:w="1260" w:type="dxa"/>
            <w:vAlign w:val="center"/>
          </w:tcPr>
          <w:p w14:paraId="33AD729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199 to 167</w:t>
            </w:r>
          </w:p>
        </w:tc>
        <w:tc>
          <w:tcPr>
            <w:tcW w:w="990" w:type="dxa"/>
            <w:vAlign w:val="center"/>
          </w:tcPr>
          <w:p w14:paraId="20123193"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150</w:t>
            </w:r>
          </w:p>
        </w:tc>
        <w:tc>
          <w:tcPr>
            <w:tcW w:w="1710" w:type="dxa"/>
            <w:vAlign w:val="center"/>
          </w:tcPr>
          <w:p w14:paraId="75048DA5"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29,850 to 25,050</w:t>
            </w:r>
          </w:p>
        </w:tc>
        <w:tc>
          <w:tcPr>
            <w:tcW w:w="990" w:type="dxa"/>
            <w:vAlign w:val="center"/>
          </w:tcPr>
          <w:p w14:paraId="4ABAEA7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$39.01</w:t>
            </w:r>
          </w:p>
        </w:tc>
        <w:tc>
          <w:tcPr>
            <w:tcW w:w="2250" w:type="dxa"/>
            <w:vAlign w:val="center"/>
          </w:tcPr>
          <w:p w14:paraId="7FC1333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$1,164,449 to $977,201</w:t>
            </w:r>
          </w:p>
        </w:tc>
      </w:tr>
      <w:tr w:rsidR="00415776" w:rsidRPr="00415776" w14:paraId="134B7371" w14:textId="77777777" w:rsidTr="0049228A">
        <w:tc>
          <w:tcPr>
            <w:tcW w:w="2155" w:type="dxa"/>
            <w:vAlign w:val="center"/>
          </w:tcPr>
          <w:p w14:paraId="6CF9F5D7"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100,001-1,000,000, CWS</w:t>
            </w:r>
          </w:p>
        </w:tc>
        <w:tc>
          <w:tcPr>
            <w:tcW w:w="1260" w:type="dxa"/>
            <w:vAlign w:val="center"/>
          </w:tcPr>
          <w:p w14:paraId="4C592C0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137 to 176</w:t>
            </w:r>
          </w:p>
        </w:tc>
        <w:tc>
          <w:tcPr>
            <w:tcW w:w="990" w:type="dxa"/>
            <w:vAlign w:val="center"/>
          </w:tcPr>
          <w:p w14:paraId="13FB946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225</w:t>
            </w:r>
          </w:p>
        </w:tc>
        <w:tc>
          <w:tcPr>
            <w:tcW w:w="1710" w:type="dxa"/>
            <w:vAlign w:val="center"/>
          </w:tcPr>
          <w:p w14:paraId="357967FF"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30,825 to 39,600</w:t>
            </w:r>
          </w:p>
        </w:tc>
        <w:tc>
          <w:tcPr>
            <w:tcW w:w="990" w:type="dxa"/>
            <w:vAlign w:val="center"/>
          </w:tcPr>
          <w:p w14:paraId="0D97720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$44.38</w:t>
            </w:r>
          </w:p>
        </w:tc>
        <w:tc>
          <w:tcPr>
            <w:tcW w:w="2250" w:type="dxa"/>
            <w:vAlign w:val="center"/>
          </w:tcPr>
          <w:p w14:paraId="05FE994B"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$1,368,014 to $1,757,448</w:t>
            </w:r>
          </w:p>
        </w:tc>
      </w:tr>
      <w:tr w:rsidR="00415776" w:rsidRPr="00415776" w14:paraId="1E3BD53D" w14:textId="77777777" w:rsidTr="0049228A">
        <w:tc>
          <w:tcPr>
            <w:tcW w:w="2155" w:type="dxa"/>
            <w:vAlign w:val="center"/>
          </w:tcPr>
          <w:p w14:paraId="50987B6F"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&gt;1,000,000, CWS</w:t>
            </w:r>
          </w:p>
        </w:tc>
        <w:tc>
          <w:tcPr>
            <w:tcW w:w="1260" w:type="dxa"/>
            <w:vAlign w:val="center"/>
          </w:tcPr>
          <w:p w14:paraId="04C432CF"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 to 10</w:t>
            </w:r>
          </w:p>
        </w:tc>
        <w:tc>
          <w:tcPr>
            <w:tcW w:w="990" w:type="dxa"/>
            <w:vAlign w:val="center"/>
          </w:tcPr>
          <w:p w14:paraId="75DDEEB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300</w:t>
            </w:r>
          </w:p>
        </w:tc>
        <w:tc>
          <w:tcPr>
            <w:tcW w:w="1710" w:type="dxa"/>
            <w:vAlign w:val="center"/>
          </w:tcPr>
          <w:p w14:paraId="5E1CA3B2"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2,700 to 3,000</w:t>
            </w:r>
          </w:p>
        </w:tc>
        <w:tc>
          <w:tcPr>
            <w:tcW w:w="990" w:type="dxa"/>
            <w:vAlign w:val="center"/>
          </w:tcPr>
          <w:p w14:paraId="0BC0D82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$44.38</w:t>
            </w:r>
          </w:p>
        </w:tc>
        <w:tc>
          <w:tcPr>
            <w:tcW w:w="2250" w:type="dxa"/>
            <w:vAlign w:val="center"/>
          </w:tcPr>
          <w:p w14:paraId="0032218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$119,826 to $133,140</w:t>
            </w:r>
          </w:p>
        </w:tc>
      </w:tr>
      <w:tr w:rsidR="00415776" w:rsidRPr="00415776" w14:paraId="0B05D352" w14:textId="77777777" w:rsidTr="0049228A">
        <w:tc>
          <w:tcPr>
            <w:tcW w:w="2155" w:type="dxa"/>
            <w:vAlign w:val="center"/>
          </w:tcPr>
          <w:p w14:paraId="78703F4E"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&lt;=100, NTNCWS</w:t>
            </w:r>
          </w:p>
        </w:tc>
        <w:tc>
          <w:tcPr>
            <w:tcW w:w="1260" w:type="dxa"/>
            <w:vAlign w:val="center"/>
          </w:tcPr>
          <w:p w14:paraId="053979C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155</w:t>
            </w:r>
          </w:p>
        </w:tc>
        <w:tc>
          <w:tcPr>
            <w:tcW w:w="990" w:type="dxa"/>
            <w:vAlign w:val="center"/>
          </w:tcPr>
          <w:p w14:paraId="0901135F"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5.25</w:t>
            </w:r>
          </w:p>
        </w:tc>
        <w:tc>
          <w:tcPr>
            <w:tcW w:w="1710" w:type="dxa"/>
            <w:vAlign w:val="center"/>
          </w:tcPr>
          <w:p w14:paraId="0950DBB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814</w:t>
            </w:r>
          </w:p>
        </w:tc>
        <w:tc>
          <w:tcPr>
            <w:tcW w:w="990" w:type="dxa"/>
            <w:vAlign w:val="center"/>
          </w:tcPr>
          <w:p w14:paraId="7E09916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14:paraId="501D31A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$23,306 </w:t>
            </w:r>
          </w:p>
        </w:tc>
      </w:tr>
      <w:tr w:rsidR="00415776" w:rsidRPr="00415776" w14:paraId="18595E5D" w14:textId="77777777" w:rsidTr="0049228A">
        <w:tc>
          <w:tcPr>
            <w:tcW w:w="2155" w:type="dxa"/>
            <w:vAlign w:val="center"/>
          </w:tcPr>
          <w:p w14:paraId="79889E7E"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101-500, NTNCWS</w:t>
            </w:r>
          </w:p>
        </w:tc>
        <w:tc>
          <w:tcPr>
            <w:tcW w:w="1260" w:type="dxa"/>
            <w:vAlign w:val="center"/>
          </w:tcPr>
          <w:p w14:paraId="0935405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121</w:t>
            </w:r>
          </w:p>
        </w:tc>
        <w:tc>
          <w:tcPr>
            <w:tcW w:w="990" w:type="dxa"/>
            <w:vAlign w:val="center"/>
          </w:tcPr>
          <w:p w14:paraId="5AF1E0C2"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5.25</w:t>
            </w:r>
          </w:p>
        </w:tc>
        <w:tc>
          <w:tcPr>
            <w:tcW w:w="1710" w:type="dxa"/>
            <w:vAlign w:val="center"/>
          </w:tcPr>
          <w:p w14:paraId="0C48513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635</w:t>
            </w:r>
          </w:p>
        </w:tc>
        <w:tc>
          <w:tcPr>
            <w:tcW w:w="990" w:type="dxa"/>
            <w:vAlign w:val="center"/>
          </w:tcPr>
          <w:p w14:paraId="4D5F68B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14:paraId="6040285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$18,194 </w:t>
            </w:r>
          </w:p>
        </w:tc>
      </w:tr>
      <w:tr w:rsidR="00415776" w:rsidRPr="00415776" w14:paraId="31DD1476" w14:textId="77777777" w:rsidTr="0049228A">
        <w:tc>
          <w:tcPr>
            <w:tcW w:w="2155" w:type="dxa"/>
            <w:vAlign w:val="center"/>
          </w:tcPr>
          <w:p w14:paraId="3785E2D0"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501-1,000, NTNCWS</w:t>
            </w:r>
          </w:p>
        </w:tc>
        <w:tc>
          <w:tcPr>
            <w:tcW w:w="1260" w:type="dxa"/>
            <w:vAlign w:val="center"/>
          </w:tcPr>
          <w:p w14:paraId="265B14E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30</w:t>
            </w:r>
          </w:p>
        </w:tc>
        <w:tc>
          <w:tcPr>
            <w:tcW w:w="990" w:type="dxa"/>
            <w:vAlign w:val="center"/>
          </w:tcPr>
          <w:p w14:paraId="0F3E1633"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5.25</w:t>
            </w:r>
          </w:p>
        </w:tc>
        <w:tc>
          <w:tcPr>
            <w:tcW w:w="1710" w:type="dxa"/>
            <w:vAlign w:val="center"/>
          </w:tcPr>
          <w:p w14:paraId="5BE6570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158</w:t>
            </w:r>
          </w:p>
        </w:tc>
        <w:tc>
          <w:tcPr>
            <w:tcW w:w="990" w:type="dxa"/>
            <w:vAlign w:val="center"/>
          </w:tcPr>
          <w:p w14:paraId="2EA6743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14:paraId="42C59B21"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$4,511 </w:t>
            </w:r>
          </w:p>
        </w:tc>
      </w:tr>
      <w:tr w:rsidR="00415776" w:rsidRPr="00415776" w14:paraId="1FDE2E9F" w14:textId="77777777" w:rsidTr="0049228A">
        <w:tc>
          <w:tcPr>
            <w:tcW w:w="2155" w:type="dxa"/>
            <w:vAlign w:val="center"/>
          </w:tcPr>
          <w:p w14:paraId="0966B3AF"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1,001-3,300, NTNCWS</w:t>
            </w:r>
          </w:p>
        </w:tc>
        <w:tc>
          <w:tcPr>
            <w:tcW w:w="1260" w:type="dxa"/>
            <w:vAlign w:val="center"/>
          </w:tcPr>
          <w:p w14:paraId="4407F89F"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18</w:t>
            </w:r>
          </w:p>
        </w:tc>
        <w:tc>
          <w:tcPr>
            <w:tcW w:w="990" w:type="dxa"/>
            <w:vAlign w:val="center"/>
          </w:tcPr>
          <w:p w14:paraId="00D9C083"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5.25</w:t>
            </w:r>
          </w:p>
        </w:tc>
        <w:tc>
          <w:tcPr>
            <w:tcW w:w="1710" w:type="dxa"/>
            <w:vAlign w:val="center"/>
          </w:tcPr>
          <w:p w14:paraId="3CBAFF6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95</w:t>
            </w:r>
          </w:p>
        </w:tc>
        <w:tc>
          <w:tcPr>
            <w:tcW w:w="990" w:type="dxa"/>
            <w:vAlign w:val="center"/>
          </w:tcPr>
          <w:p w14:paraId="6CE5443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14:paraId="3277254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$2,706 </w:t>
            </w:r>
          </w:p>
        </w:tc>
      </w:tr>
      <w:tr w:rsidR="00415776" w:rsidRPr="00415776" w14:paraId="1D139B07" w14:textId="77777777" w:rsidTr="0049228A">
        <w:tc>
          <w:tcPr>
            <w:tcW w:w="2155" w:type="dxa"/>
            <w:vAlign w:val="center"/>
          </w:tcPr>
          <w:p w14:paraId="29AF6015"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3,301-10,000, NTNCWS</w:t>
            </w:r>
          </w:p>
        </w:tc>
        <w:tc>
          <w:tcPr>
            <w:tcW w:w="1260" w:type="dxa"/>
            <w:vAlign w:val="center"/>
          </w:tcPr>
          <w:p w14:paraId="4805C2B2"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4</w:t>
            </w:r>
          </w:p>
        </w:tc>
        <w:tc>
          <w:tcPr>
            <w:tcW w:w="990" w:type="dxa"/>
            <w:vAlign w:val="center"/>
          </w:tcPr>
          <w:p w14:paraId="200B01E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w:t>
            </w:r>
          </w:p>
        </w:tc>
        <w:tc>
          <w:tcPr>
            <w:tcW w:w="1710" w:type="dxa"/>
            <w:vAlign w:val="center"/>
          </w:tcPr>
          <w:p w14:paraId="6155C41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36</w:t>
            </w:r>
          </w:p>
        </w:tc>
        <w:tc>
          <w:tcPr>
            <w:tcW w:w="990" w:type="dxa"/>
            <w:vAlign w:val="center"/>
          </w:tcPr>
          <w:p w14:paraId="32500B15"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$33.74 </w:t>
            </w:r>
          </w:p>
        </w:tc>
        <w:tc>
          <w:tcPr>
            <w:tcW w:w="2250" w:type="dxa"/>
            <w:vAlign w:val="center"/>
          </w:tcPr>
          <w:p w14:paraId="43C5F9F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$1,215 </w:t>
            </w:r>
          </w:p>
        </w:tc>
      </w:tr>
      <w:tr w:rsidR="00415776" w:rsidRPr="00415776" w14:paraId="698941F7" w14:textId="77777777" w:rsidTr="0049228A">
        <w:tc>
          <w:tcPr>
            <w:tcW w:w="2155" w:type="dxa"/>
            <w:vAlign w:val="center"/>
          </w:tcPr>
          <w:p w14:paraId="142F1FA8"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10,001-50,000, NTNCWS</w:t>
            </w:r>
          </w:p>
        </w:tc>
        <w:tc>
          <w:tcPr>
            <w:tcW w:w="1260" w:type="dxa"/>
            <w:vAlign w:val="center"/>
          </w:tcPr>
          <w:p w14:paraId="6EDE27C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w:t>
            </w:r>
          </w:p>
        </w:tc>
        <w:tc>
          <w:tcPr>
            <w:tcW w:w="990" w:type="dxa"/>
            <w:vAlign w:val="center"/>
          </w:tcPr>
          <w:p w14:paraId="5BA8DC8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w:t>
            </w:r>
          </w:p>
        </w:tc>
        <w:tc>
          <w:tcPr>
            <w:tcW w:w="1710" w:type="dxa"/>
            <w:vAlign w:val="center"/>
          </w:tcPr>
          <w:p w14:paraId="7820FBC9"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9</w:t>
            </w:r>
          </w:p>
        </w:tc>
        <w:tc>
          <w:tcPr>
            <w:tcW w:w="990" w:type="dxa"/>
            <w:vAlign w:val="center"/>
          </w:tcPr>
          <w:p w14:paraId="24683892"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$36.15 </w:t>
            </w:r>
          </w:p>
        </w:tc>
        <w:tc>
          <w:tcPr>
            <w:tcW w:w="2250" w:type="dxa"/>
            <w:vAlign w:val="center"/>
          </w:tcPr>
          <w:p w14:paraId="4D4EF7E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$325 </w:t>
            </w:r>
          </w:p>
        </w:tc>
      </w:tr>
      <w:tr w:rsidR="00415776" w:rsidRPr="00415776" w14:paraId="514954B6" w14:textId="77777777" w:rsidTr="0049228A">
        <w:tc>
          <w:tcPr>
            <w:tcW w:w="2155" w:type="dxa"/>
            <w:vAlign w:val="center"/>
          </w:tcPr>
          <w:p w14:paraId="51B493E5"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50,001-100,000, NTNCWS</w:t>
            </w:r>
          </w:p>
        </w:tc>
        <w:tc>
          <w:tcPr>
            <w:tcW w:w="1260" w:type="dxa"/>
            <w:vAlign w:val="center"/>
          </w:tcPr>
          <w:p w14:paraId="179A990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w:t>
            </w:r>
          </w:p>
        </w:tc>
        <w:tc>
          <w:tcPr>
            <w:tcW w:w="990" w:type="dxa"/>
            <w:vAlign w:val="center"/>
          </w:tcPr>
          <w:p w14:paraId="20EC628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21</w:t>
            </w:r>
          </w:p>
        </w:tc>
        <w:tc>
          <w:tcPr>
            <w:tcW w:w="1710" w:type="dxa"/>
            <w:vAlign w:val="center"/>
          </w:tcPr>
          <w:p w14:paraId="278D94F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21</w:t>
            </w:r>
          </w:p>
        </w:tc>
        <w:tc>
          <w:tcPr>
            <w:tcW w:w="990" w:type="dxa"/>
            <w:vAlign w:val="center"/>
          </w:tcPr>
          <w:p w14:paraId="7D99789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$39.01 </w:t>
            </w:r>
          </w:p>
        </w:tc>
        <w:tc>
          <w:tcPr>
            <w:tcW w:w="2250" w:type="dxa"/>
            <w:vAlign w:val="center"/>
          </w:tcPr>
          <w:p w14:paraId="03B4FC8D"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$819 </w:t>
            </w:r>
          </w:p>
        </w:tc>
      </w:tr>
      <w:tr w:rsidR="00415776" w:rsidRPr="00415776" w14:paraId="44804578" w14:textId="77777777" w:rsidTr="0049228A">
        <w:tc>
          <w:tcPr>
            <w:tcW w:w="2155" w:type="dxa"/>
            <w:vAlign w:val="center"/>
          </w:tcPr>
          <w:p w14:paraId="05439965"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100,001-1,000,000, NTNCWS</w:t>
            </w:r>
          </w:p>
        </w:tc>
        <w:tc>
          <w:tcPr>
            <w:tcW w:w="1260" w:type="dxa"/>
            <w:vAlign w:val="center"/>
          </w:tcPr>
          <w:p w14:paraId="0D6071EA"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1</w:t>
            </w:r>
          </w:p>
        </w:tc>
        <w:tc>
          <w:tcPr>
            <w:tcW w:w="990" w:type="dxa"/>
            <w:vAlign w:val="center"/>
          </w:tcPr>
          <w:p w14:paraId="47FED6A7"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21</w:t>
            </w:r>
          </w:p>
        </w:tc>
        <w:tc>
          <w:tcPr>
            <w:tcW w:w="1710" w:type="dxa"/>
            <w:vAlign w:val="center"/>
          </w:tcPr>
          <w:p w14:paraId="167DAAC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21</w:t>
            </w:r>
          </w:p>
        </w:tc>
        <w:tc>
          <w:tcPr>
            <w:tcW w:w="990" w:type="dxa"/>
            <w:vAlign w:val="center"/>
          </w:tcPr>
          <w:p w14:paraId="6E0E1DB0"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$44.38 </w:t>
            </w:r>
          </w:p>
        </w:tc>
        <w:tc>
          <w:tcPr>
            <w:tcW w:w="2250" w:type="dxa"/>
            <w:vAlign w:val="center"/>
          </w:tcPr>
          <w:p w14:paraId="2E95D104"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$932 </w:t>
            </w:r>
          </w:p>
        </w:tc>
      </w:tr>
      <w:tr w:rsidR="00415776" w:rsidRPr="00415776" w14:paraId="4D5C067E" w14:textId="77777777" w:rsidTr="0049228A">
        <w:tc>
          <w:tcPr>
            <w:tcW w:w="2155" w:type="dxa"/>
            <w:vAlign w:val="center"/>
          </w:tcPr>
          <w:p w14:paraId="07F5DD38" w14:textId="77777777" w:rsidR="00415776" w:rsidRPr="00415776" w:rsidRDefault="00415776" w:rsidP="00415776">
            <w:pPr>
              <w:pStyle w:val="TableNote"/>
              <w:spacing w:after="0"/>
              <w:rPr>
                <w:rFonts w:ascii="Arial" w:hAnsi="Arial" w:cs="Arial"/>
                <w:sz w:val="18"/>
                <w:szCs w:val="18"/>
              </w:rPr>
            </w:pPr>
            <w:r w:rsidRPr="00415776">
              <w:rPr>
                <w:rFonts w:ascii="Arial" w:hAnsi="Arial" w:cs="Arial"/>
                <w:sz w:val="18"/>
                <w:szCs w:val="18"/>
              </w:rPr>
              <w:t>&gt;1,000,000, NTNCWS</w:t>
            </w:r>
          </w:p>
        </w:tc>
        <w:tc>
          <w:tcPr>
            <w:tcW w:w="1260" w:type="dxa"/>
            <w:vAlign w:val="center"/>
          </w:tcPr>
          <w:p w14:paraId="7E3471E6"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0</w:t>
            </w:r>
          </w:p>
        </w:tc>
        <w:tc>
          <w:tcPr>
            <w:tcW w:w="990" w:type="dxa"/>
            <w:vAlign w:val="center"/>
          </w:tcPr>
          <w:p w14:paraId="3D028C7A" w14:textId="77777777" w:rsidR="00415776" w:rsidRPr="00415776" w:rsidRDefault="00415776" w:rsidP="00415776">
            <w:pPr>
              <w:pStyle w:val="TableNote"/>
              <w:spacing w:after="0"/>
              <w:jc w:val="center"/>
              <w:rPr>
                <w:rFonts w:ascii="Arial" w:hAnsi="Arial" w:cs="Arial"/>
                <w:sz w:val="18"/>
                <w:szCs w:val="18"/>
              </w:rPr>
            </w:pPr>
            <w:r w:rsidRPr="00415776">
              <w:rPr>
                <w:rFonts w:ascii="Arial" w:hAnsi="Arial" w:cs="Arial"/>
                <w:sz w:val="18"/>
                <w:szCs w:val="18"/>
              </w:rPr>
              <w:t>not applicable</w:t>
            </w:r>
          </w:p>
        </w:tc>
        <w:tc>
          <w:tcPr>
            <w:tcW w:w="1710" w:type="dxa"/>
            <w:vAlign w:val="center"/>
          </w:tcPr>
          <w:p w14:paraId="25D3EAFB"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0</w:t>
            </w:r>
          </w:p>
        </w:tc>
        <w:tc>
          <w:tcPr>
            <w:tcW w:w="990" w:type="dxa"/>
            <w:vAlign w:val="center"/>
          </w:tcPr>
          <w:p w14:paraId="4DEA5DAC"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$44.38 </w:t>
            </w:r>
          </w:p>
        </w:tc>
        <w:tc>
          <w:tcPr>
            <w:tcW w:w="2250" w:type="dxa"/>
            <w:vAlign w:val="center"/>
          </w:tcPr>
          <w:p w14:paraId="33187C0E" w14:textId="77777777" w:rsidR="00415776" w:rsidRPr="00415776" w:rsidRDefault="00415776" w:rsidP="00415776">
            <w:pPr>
              <w:pStyle w:val="TableNote"/>
              <w:spacing w:after="0"/>
              <w:jc w:val="right"/>
              <w:rPr>
                <w:rFonts w:ascii="Arial" w:hAnsi="Arial" w:cs="Arial"/>
                <w:sz w:val="18"/>
                <w:szCs w:val="18"/>
              </w:rPr>
            </w:pPr>
            <w:r w:rsidRPr="00415776">
              <w:rPr>
                <w:rFonts w:ascii="Arial" w:hAnsi="Arial" w:cs="Arial"/>
                <w:sz w:val="18"/>
                <w:szCs w:val="18"/>
              </w:rPr>
              <w:t xml:space="preserve">$0 </w:t>
            </w:r>
          </w:p>
        </w:tc>
      </w:tr>
      <w:tr w:rsidR="00415776" w:rsidRPr="00415776" w14:paraId="1ED952F4" w14:textId="77777777" w:rsidTr="0049228A">
        <w:tc>
          <w:tcPr>
            <w:tcW w:w="2155" w:type="dxa"/>
            <w:vAlign w:val="center"/>
          </w:tcPr>
          <w:p w14:paraId="5E71EEB5" w14:textId="77777777" w:rsidR="00415776" w:rsidRPr="00415776" w:rsidRDefault="00415776" w:rsidP="00415776">
            <w:pPr>
              <w:pStyle w:val="TableNote"/>
              <w:spacing w:after="0"/>
              <w:rPr>
                <w:rFonts w:ascii="Arial" w:hAnsi="Arial" w:cs="Arial"/>
                <w:b/>
                <w:sz w:val="18"/>
                <w:szCs w:val="18"/>
              </w:rPr>
            </w:pPr>
            <w:r w:rsidRPr="00415776">
              <w:rPr>
                <w:rFonts w:ascii="Arial" w:hAnsi="Arial" w:cs="Arial"/>
                <w:b/>
                <w:sz w:val="18"/>
                <w:szCs w:val="18"/>
              </w:rPr>
              <w:t>System 3-year Total</w:t>
            </w:r>
          </w:p>
        </w:tc>
        <w:tc>
          <w:tcPr>
            <w:tcW w:w="1260" w:type="dxa"/>
            <w:vAlign w:val="center"/>
          </w:tcPr>
          <w:p w14:paraId="53DF74E9"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9,448 to 11,692</w:t>
            </w:r>
          </w:p>
        </w:tc>
        <w:tc>
          <w:tcPr>
            <w:tcW w:w="990" w:type="dxa"/>
            <w:vAlign w:val="center"/>
          </w:tcPr>
          <w:p w14:paraId="3E9502B5"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1710" w:type="dxa"/>
            <w:vAlign w:val="center"/>
          </w:tcPr>
          <w:p w14:paraId="7595C174"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312,558 to 414,153</w:t>
            </w:r>
          </w:p>
        </w:tc>
        <w:tc>
          <w:tcPr>
            <w:tcW w:w="990" w:type="dxa"/>
            <w:vAlign w:val="center"/>
          </w:tcPr>
          <w:p w14:paraId="0D2B67F8"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2250" w:type="dxa"/>
            <w:vAlign w:val="center"/>
          </w:tcPr>
          <w:p w14:paraId="55404D10" w14:textId="77777777" w:rsidR="00415776" w:rsidRPr="00415776" w:rsidRDefault="00415776" w:rsidP="00415776">
            <w:pPr>
              <w:pStyle w:val="TableNote"/>
              <w:spacing w:after="0"/>
              <w:jc w:val="right"/>
              <w:rPr>
                <w:rFonts w:ascii="Arial" w:hAnsi="Arial" w:cs="Arial"/>
                <w:b/>
                <w:sz w:val="18"/>
                <w:szCs w:val="18"/>
              </w:rPr>
            </w:pPr>
            <w:r w:rsidRPr="00415776">
              <w:rPr>
                <w:rFonts w:ascii="Arial" w:hAnsi="Arial" w:cs="Arial"/>
                <w:b/>
                <w:sz w:val="18"/>
                <w:szCs w:val="18"/>
              </w:rPr>
              <w:t>$10,580,237 to $13,923,641</w:t>
            </w:r>
          </w:p>
        </w:tc>
      </w:tr>
      <w:tr w:rsidR="00415776" w:rsidRPr="00415776" w14:paraId="673B741D" w14:textId="77777777" w:rsidTr="0049228A">
        <w:tc>
          <w:tcPr>
            <w:tcW w:w="2155" w:type="dxa"/>
            <w:vAlign w:val="center"/>
          </w:tcPr>
          <w:p w14:paraId="125022F3" w14:textId="77777777" w:rsidR="00415776" w:rsidRPr="00415776" w:rsidRDefault="00415776" w:rsidP="00415776">
            <w:pPr>
              <w:pStyle w:val="TableNote"/>
              <w:spacing w:after="0"/>
              <w:rPr>
                <w:rFonts w:ascii="Arial" w:hAnsi="Arial" w:cs="Arial"/>
                <w:b/>
                <w:sz w:val="18"/>
                <w:szCs w:val="18"/>
              </w:rPr>
            </w:pPr>
            <w:r w:rsidRPr="00415776">
              <w:rPr>
                <w:rFonts w:ascii="Arial" w:hAnsi="Arial" w:cs="Arial"/>
                <w:b/>
                <w:sz w:val="18"/>
                <w:szCs w:val="18"/>
              </w:rPr>
              <w:t>Annual Average</w:t>
            </w:r>
          </w:p>
        </w:tc>
        <w:tc>
          <w:tcPr>
            <w:tcW w:w="1260" w:type="dxa"/>
            <w:vAlign w:val="center"/>
          </w:tcPr>
          <w:p w14:paraId="2759829F"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990" w:type="dxa"/>
            <w:vAlign w:val="center"/>
          </w:tcPr>
          <w:p w14:paraId="2FF4C609"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1710" w:type="dxa"/>
            <w:vAlign w:val="center"/>
          </w:tcPr>
          <w:p w14:paraId="5C5E0A8E"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104,186 to 138,051</w:t>
            </w:r>
          </w:p>
        </w:tc>
        <w:tc>
          <w:tcPr>
            <w:tcW w:w="990" w:type="dxa"/>
            <w:vAlign w:val="center"/>
          </w:tcPr>
          <w:p w14:paraId="1EC7C7C6" w14:textId="77777777" w:rsidR="00415776" w:rsidRPr="00415776" w:rsidRDefault="00415776" w:rsidP="00415776">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2250" w:type="dxa"/>
            <w:vAlign w:val="center"/>
          </w:tcPr>
          <w:p w14:paraId="7147B6C4" w14:textId="77777777" w:rsidR="00415776" w:rsidRPr="00415776" w:rsidRDefault="00415776" w:rsidP="00415776">
            <w:pPr>
              <w:pStyle w:val="TableNote"/>
              <w:spacing w:after="0"/>
              <w:jc w:val="right"/>
              <w:rPr>
                <w:rFonts w:ascii="Arial" w:hAnsi="Arial" w:cs="Arial"/>
                <w:b/>
                <w:sz w:val="18"/>
                <w:szCs w:val="18"/>
              </w:rPr>
            </w:pPr>
            <w:r w:rsidRPr="00415776">
              <w:rPr>
                <w:rFonts w:ascii="Arial" w:hAnsi="Arial" w:cs="Arial"/>
                <w:b/>
                <w:sz w:val="18"/>
                <w:szCs w:val="18"/>
              </w:rPr>
              <w:t>$3,526,746 to $4,641,214</w:t>
            </w:r>
          </w:p>
        </w:tc>
      </w:tr>
    </w:tbl>
    <w:p w14:paraId="4BA3F44F" w14:textId="4B847BB2" w:rsidR="004750F7" w:rsidRDefault="004750F7" w:rsidP="004750F7">
      <w:pPr>
        <w:pStyle w:val="TableNote"/>
      </w:pPr>
      <w:r>
        <w:t>Notes: Detail may not add exactly to total due to independent rounding.</w:t>
      </w:r>
      <w:r w:rsidR="00313D27">
        <w:t xml:space="preserve"> Ranges shown reflect the </w:t>
      </w:r>
      <w:r w:rsidR="0008027F">
        <w:t>low-cost</w:t>
      </w:r>
      <w:r w:rsidR="00313D27">
        <w:t xml:space="preserve"> scenario to the high cost scenario. For some individual respondent categories, the number of respondents, burden, and cost are lower in the high cost scenario. However, the total burden and cost across all systems is higher in the high cost scenario.</w:t>
      </w:r>
    </w:p>
    <w:p w14:paraId="6BE047DF" w14:textId="76C0E4AD" w:rsidR="004F0396" w:rsidRDefault="004F0396" w:rsidP="004F0396">
      <w:pPr>
        <w:pStyle w:val="Caption"/>
        <w:rPr>
          <w:noProof/>
        </w:rPr>
      </w:pPr>
      <w:bookmarkStart w:id="124" w:name="_Ref4698634"/>
      <w:bookmarkStart w:id="125" w:name="_Toc23139296"/>
      <w:r>
        <w:t xml:space="preserve">Exhibit </w:t>
      </w:r>
      <w:r>
        <w:rPr>
          <w:noProof/>
        </w:rPr>
        <w:fldChar w:fldCharType="begin"/>
      </w:r>
      <w:r>
        <w:rPr>
          <w:noProof/>
        </w:rPr>
        <w:instrText xml:space="preserve"> SEQ Exhibit \* ARABIC </w:instrText>
      </w:r>
      <w:r>
        <w:rPr>
          <w:noProof/>
        </w:rPr>
        <w:fldChar w:fldCharType="separate"/>
      </w:r>
      <w:r w:rsidR="007A79EF">
        <w:rPr>
          <w:noProof/>
        </w:rPr>
        <w:t>7</w:t>
      </w:r>
      <w:r>
        <w:rPr>
          <w:noProof/>
        </w:rPr>
        <w:fldChar w:fldCharType="end"/>
      </w:r>
      <w:bookmarkEnd w:id="124"/>
      <w:r>
        <w:rPr>
          <w:noProof/>
        </w:rPr>
        <w:t xml:space="preserve">. </w:t>
      </w:r>
      <w:r w:rsidRPr="004F0396">
        <w:rPr>
          <w:noProof/>
        </w:rPr>
        <w:t xml:space="preserve">Burden and Costs for </w:t>
      </w:r>
      <w:r>
        <w:rPr>
          <w:noProof/>
        </w:rPr>
        <w:t xml:space="preserve">Public Water Systems </w:t>
      </w:r>
      <w:r w:rsidRPr="004F0396">
        <w:rPr>
          <w:noProof/>
        </w:rPr>
        <w:t xml:space="preserve">Preparing Demonstrations of no Lead Service </w:t>
      </w:r>
      <w:r w:rsidRPr="00044AC4">
        <w:rPr>
          <w:noProof/>
        </w:rPr>
        <w:t>Lines</w:t>
      </w:r>
      <w:r w:rsidR="00E71DB1" w:rsidRPr="00044AC4">
        <w:rPr>
          <w:noProof/>
        </w:rPr>
        <w:t>, 3-</w:t>
      </w:r>
      <w:r w:rsidR="00044AC4" w:rsidRPr="00044AC4">
        <w:rPr>
          <w:noProof/>
        </w:rPr>
        <w:t>Y</w:t>
      </w:r>
      <w:r w:rsidR="00E71DB1" w:rsidRPr="00044AC4">
        <w:rPr>
          <w:noProof/>
        </w:rPr>
        <w:t>ear Total</w:t>
      </w:r>
      <w:bookmarkEnd w:id="125"/>
    </w:p>
    <w:tbl>
      <w:tblPr>
        <w:tblStyle w:val="TableGrid"/>
        <w:tblW w:w="9355" w:type="dxa"/>
        <w:tblLayout w:type="fixed"/>
        <w:tblCellMar>
          <w:left w:w="43" w:type="dxa"/>
          <w:right w:w="43" w:type="dxa"/>
        </w:tblCellMar>
        <w:tblLook w:val="04A0" w:firstRow="1" w:lastRow="0" w:firstColumn="1" w:lastColumn="0" w:noHBand="0" w:noVBand="1"/>
      </w:tblPr>
      <w:tblGrid>
        <w:gridCol w:w="1885"/>
        <w:gridCol w:w="1530"/>
        <w:gridCol w:w="990"/>
        <w:gridCol w:w="1800"/>
        <w:gridCol w:w="990"/>
        <w:gridCol w:w="2160"/>
      </w:tblGrid>
      <w:tr w:rsidR="00D143D9" w:rsidRPr="003613B6" w14:paraId="077ACDA2" w14:textId="77777777" w:rsidTr="0049228A">
        <w:trPr>
          <w:trHeight w:val="540"/>
          <w:tblHeader/>
        </w:trPr>
        <w:tc>
          <w:tcPr>
            <w:tcW w:w="1885" w:type="dxa"/>
            <w:vAlign w:val="center"/>
            <w:hideMark/>
          </w:tcPr>
          <w:p w14:paraId="163239AA" w14:textId="28BA0AA2" w:rsidR="003613B6" w:rsidRPr="003613B6" w:rsidRDefault="00313D27" w:rsidP="00D8246F">
            <w:pPr>
              <w:pStyle w:val="Table"/>
              <w:jc w:val="center"/>
              <w:rPr>
                <w:b/>
                <w:sz w:val="18"/>
              </w:rPr>
            </w:pPr>
            <w:r w:rsidRPr="003613B6">
              <w:rPr>
                <w:b/>
                <w:sz w:val="18"/>
              </w:rPr>
              <w:t>Respondent service population size category</w:t>
            </w:r>
            <w:r>
              <w:rPr>
                <w:b/>
                <w:sz w:val="18"/>
              </w:rPr>
              <w:t xml:space="preserve"> and type</w:t>
            </w:r>
          </w:p>
        </w:tc>
        <w:tc>
          <w:tcPr>
            <w:tcW w:w="1530" w:type="dxa"/>
            <w:vAlign w:val="center"/>
            <w:hideMark/>
          </w:tcPr>
          <w:p w14:paraId="1FDAE7C8" w14:textId="77777777" w:rsidR="003613B6" w:rsidRPr="003613B6" w:rsidRDefault="003613B6" w:rsidP="00A251BF">
            <w:pPr>
              <w:pStyle w:val="Table"/>
              <w:jc w:val="center"/>
              <w:rPr>
                <w:b/>
                <w:sz w:val="18"/>
              </w:rPr>
            </w:pPr>
            <w:r w:rsidRPr="003613B6">
              <w:rPr>
                <w:b/>
                <w:sz w:val="18"/>
              </w:rPr>
              <w:t>Respondents</w:t>
            </w:r>
          </w:p>
        </w:tc>
        <w:tc>
          <w:tcPr>
            <w:tcW w:w="990" w:type="dxa"/>
            <w:vAlign w:val="center"/>
            <w:hideMark/>
          </w:tcPr>
          <w:p w14:paraId="2BFA9FE6" w14:textId="77777777" w:rsidR="003613B6" w:rsidRPr="003613B6" w:rsidRDefault="009B0677" w:rsidP="00A251BF">
            <w:pPr>
              <w:pStyle w:val="Table"/>
              <w:jc w:val="center"/>
              <w:rPr>
                <w:b/>
                <w:sz w:val="18"/>
              </w:rPr>
            </w:pPr>
            <w:r>
              <w:rPr>
                <w:b/>
                <w:sz w:val="18"/>
              </w:rPr>
              <w:t>Burden per R</w:t>
            </w:r>
            <w:r w:rsidR="003613B6" w:rsidRPr="003613B6">
              <w:rPr>
                <w:b/>
                <w:sz w:val="18"/>
              </w:rPr>
              <w:t>esponse</w:t>
            </w:r>
            <w:r>
              <w:rPr>
                <w:b/>
                <w:sz w:val="18"/>
              </w:rPr>
              <w:t xml:space="preserve"> (hours)</w:t>
            </w:r>
          </w:p>
        </w:tc>
        <w:tc>
          <w:tcPr>
            <w:tcW w:w="1800" w:type="dxa"/>
            <w:vAlign w:val="center"/>
            <w:hideMark/>
          </w:tcPr>
          <w:p w14:paraId="48D515E4" w14:textId="77777777" w:rsidR="003613B6" w:rsidRPr="003613B6" w:rsidRDefault="003613B6" w:rsidP="00036E51">
            <w:pPr>
              <w:pStyle w:val="Table"/>
              <w:jc w:val="center"/>
              <w:rPr>
                <w:b/>
                <w:sz w:val="18"/>
              </w:rPr>
            </w:pPr>
            <w:r w:rsidRPr="003613B6">
              <w:rPr>
                <w:b/>
                <w:sz w:val="18"/>
              </w:rPr>
              <w:t>Burden</w:t>
            </w:r>
            <w:r w:rsidR="009B0677">
              <w:rPr>
                <w:b/>
                <w:sz w:val="18"/>
              </w:rPr>
              <w:t xml:space="preserve"> (hours)</w:t>
            </w:r>
          </w:p>
        </w:tc>
        <w:tc>
          <w:tcPr>
            <w:tcW w:w="990" w:type="dxa"/>
            <w:vAlign w:val="center"/>
            <w:hideMark/>
          </w:tcPr>
          <w:p w14:paraId="31B5B5C7" w14:textId="77777777" w:rsidR="003613B6" w:rsidRPr="003613B6" w:rsidRDefault="003613B6" w:rsidP="00036E51">
            <w:pPr>
              <w:pStyle w:val="Table"/>
              <w:jc w:val="center"/>
              <w:rPr>
                <w:b/>
                <w:sz w:val="18"/>
              </w:rPr>
            </w:pPr>
            <w:r w:rsidRPr="003613B6">
              <w:rPr>
                <w:b/>
                <w:sz w:val="18"/>
              </w:rPr>
              <w:t>Labor Rate ($/hour)</w:t>
            </w:r>
          </w:p>
        </w:tc>
        <w:tc>
          <w:tcPr>
            <w:tcW w:w="2160" w:type="dxa"/>
            <w:vAlign w:val="center"/>
            <w:hideMark/>
          </w:tcPr>
          <w:p w14:paraId="230B66FD" w14:textId="77777777" w:rsidR="003613B6" w:rsidRPr="003613B6" w:rsidRDefault="003613B6" w:rsidP="00446AC8">
            <w:pPr>
              <w:pStyle w:val="Table"/>
              <w:jc w:val="center"/>
              <w:rPr>
                <w:b/>
                <w:sz w:val="18"/>
              </w:rPr>
            </w:pPr>
            <w:r w:rsidRPr="003613B6">
              <w:rPr>
                <w:b/>
                <w:sz w:val="18"/>
              </w:rPr>
              <w:t>Cost</w:t>
            </w:r>
            <w:r w:rsidR="009B0677">
              <w:rPr>
                <w:b/>
                <w:sz w:val="18"/>
              </w:rPr>
              <w:t xml:space="preserve"> </w:t>
            </w:r>
            <w:r w:rsidR="009B0677">
              <w:rPr>
                <w:b/>
                <w:bCs/>
                <w:sz w:val="18"/>
              </w:rPr>
              <w:t>(2016 dollars)</w:t>
            </w:r>
          </w:p>
        </w:tc>
      </w:tr>
      <w:tr w:rsidR="00D143D9" w:rsidRPr="003613B6" w14:paraId="60ABCB96" w14:textId="77777777" w:rsidTr="0049228A">
        <w:trPr>
          <w:trHeight w:val="300"/>
        </w:trPr>
        <w:tc>
          <w:tcPr>
            <w:tcW w:w="1885" w:type="dxa"/>
            <w:vAlign w:val="center"/>
            <w:hideMark/>
          </w:tcPr>
          <w:p w14:paraId="0D2F6B8A" w14:textId="0A52BB77" w:rsidR="002462E6" w:rsidRPr="003613B6" w:rsidRDefault="002462E6" w:rsidP="002462E6">
            <w:pPr>
              <w:pStyle w:val="Table"/>
              <w:rPr>
                <w:sz w:val="18"/>
              </w:rPr>
            </w:pPr>
            <w:r>
              <w:rPr>
                <w:color w:val="000000"/>
                <w:sz w:val="18"/>
                <w:szCs w:val="18"/>
              </w:rPr>
              <w:t>&lt;=100, CWS</w:t>
            </w:r>
          </w:p>
        </w:tc>
        <w:tc>
          <w:tcPr>
            <w:tcW w:w="1530" w:type="dxa"/>
            <w:tcMar>
              <w:left w:w="115" w:type="dxa"/>
              <w:right w:w="360" w:type="dxa"/>
            </w:tcMar>
            <w:vAlign w:val="center"/>
            <w:hideMark/>
          </w:tcPr>
          <w:p w14:paraId="6F3D3CA3" w14:textId="22EE7B4E" w:rsidR="002462E6" w:rsidRPr="003613B6" w:rsidRDefault="00D143D9" w:rsidP="0049228A">
            <w:pPr>
              <w:pStyle w:val="Table"/>
              <w:ind w:right="-252"/>
              <w:jc w:val="right"/>
              <w:rPr>
                <w:sz w:val="18"/>
              </w:rPr>
            </w:pPr>
            <w:r>
              <w:rPr>
                <w:sz w:val="18"/>
              </w:rPr>
              <w:t xml:space="preserve">7,886 to </w:t>
            </w:r>
            <w:r w:rsidR="002462E6" w:rsidRPr="002462E6">
              <w:rPr>
                <w:sz w:val="18"/>
              </w:rPr>
              <w:t>8,440</w:t>
            </w:r>
          </w:p>
        </w:tc>
        <w:tc>
          <w:tcPr>
            <w:tcW w:w="990" w:type="dxa"/>
            <w:vAlign w:val="center"/>
            <w:hideMark/>
          </w:tcPr>
          <w:p w14:paraId="1B4C1933" w14:textId="31FD2638" w:rsidR="002462E6" w:rsidRPr="003613B6" w:rsidRDefault="002462E6" w:rsidP="0049228A">
            <w:pPr>
              <w:pStyle w:val="Table"/>
              <w:jc w:val="right"/>
              <w:rPr>
                <w:sz w:val="18"/>
              </w:rPr>
            </w:pPr>
            <w:r>
              <w:rPr>
                <w:color w:val="000000"/>
                <w:sz w:val="18"/>
                <w:szCs w:val="18"/>
              </w:rPr>
              <w:t>10</w:t>
            </w:r>
          </w:p>
        </w:tc>
        <w:tc>
          <w:tcPr>
            <w:tcW w:w="1800" w:type="dxa"/>
            <w:tcMar>
              <w:left w:w="115" w:type="dxa"/>
              <w:right w:w="360" w:type="dxa"/>
            </w:tcMar>
            <w:vAlign w:val="center"/>
            <w:hideMark/>
          </w:tcPr>
          <w:p w14:paraId="516F873A" w14:textId="57B005BD" w:rsidR="002462E6" w:rsidRPr="00986121" w:rsidRDefault="00D143D9" w:rsidP="0049228A">
            <w:pPr>
              <w:pStyle w:val="Table"/>
              <w:ind w:right="-270"/>
              <w:jc w:val="right"/>
              <w:rPr>
                <w:sz w:val="18"/>
                <w:szCs w:val="18"/>
              </w:rPr>
            </w:pPr>
            <w:r>
              <w:rPr>
                <w:sz w:val="18"/>
                <w:szCs w:val="18"/>
              </w:rPr>
              <w:t>78,860</w:t>
            </w:r>
            <w:r>
              <w:rPr>
                <w:sz w:val="18"/>
              </w:rPr>
              <w:t xml:space="preserve"> to </w:t>
            </w:r>
            <w:r w:rsidR="002462E6" w:rsidRPr="002462E6">
              <w:rPr>
                <w:sz w:val="18"/>
                <w:szCs w:val="18"/>
              </w:rPr>
              <w:t>84,400</w:t>
            </w:r>
          </w:p>
        </w:tc>
        <w:tc>
          <w:tcPr>
            <w:tcW w:w="990" w:type="dxa"/>
            <w:vAlign w:val="center"/>
            <w:hideMark/>
          </w:tcPr>
          <w:p w14:paraId="3EA3A3C5" w14:textId="77777777" w:rsidR="002462E6" w:rsidRPr="003613B6" w:rsidRDefault="002462E6" w:rsidP="0049228A">
            <w:pPr>
              <w:pStyle w:val="Table"/>
              <w:jc w:val="right"/>
              <w:rPr>
                <w:sz w:val="18"/>
              </w:rPr>
            </w:pPr>
            <w:r w:rsidRPr="003613B6">
              <w:rPr>
                <w:sz w:val="18"/>
              </w:rPr>
              <w:t>$28.64</w:t>
            </w:r>
          </w:p>
        </w:tc>
        <w:tc>
          <w:tcPr>
            <w:tcW w:w="2160" w:type="dxa"/>
            <w:noWrap/>
            <w:tcMar>
              <w:left w:w="115" w:type="dxa"/>
              <w:right w:w="288" w:type="dxa"/>
            </w:tcMar>
            <w:vAlign w:val="center"/>
            <w:hideMark/>
          </w:tcPr>
          <w:p w14:paraId="26CEA565" w14:textId="1E763E2E" w:rsidR="002462E6" w:rsidRPr="00986121" w:rsidRDefault="00D143D9" w:rsidP="0049228A">
            <w:pPr>
              <w:pStyle w:val="Table"/>
              <w:ind w:right="-198"/>
              <w:jc w:val="right"/>
              <w:rPr>
                <w:sz w:val="18"/>
                <w:szCs w:val="18"/>
              </w:rPr>
            </w:pPr>
            <w:r>
              <w:rPr>
                <w:sz w:val="18"/>
                <w:szCs w:val="18"/>
              </w:rPr>
              <w:t>$2,258,550</w:t>
            </w:r>
            <w:r>
              <w:rPr>
                <w:sz w:val="18"/>
              </w:rPr>
              <w:t xml:space="preserve"> to </w:t>
            </w:r>
            <w:r w:rsidR="002462E6" w:rsidRPr="002462E6">
              <w:rPr>
                <w:sz w:val="18"/>
                <w:szCs w:val="18"/>
              </w:rPr>
              <w:t>$2,417,216</w:t>
            </w:r>
          </w:p>
        </w:tc>
      </w:tr>
      <w:tr w:rsidR="00D143D9" w:rsidRPr="003613B6" w14:paraId="0F9AA366" w14:textId="77777777" w:rsidTr="0049228A">
        <w:trPr>
          <w:trHeight w:val="300"/>
        </w:trPr>
        <w:tc>
          <w:tcPr>
            <w:tcW w:w="1885" w:type="dxa"/>
            <w:vAlign w:val="center"/>
            <w:hideMark/>
          </w:tcPr>
          <w:p w14:paraId="39AE26AA" w14:textId="393C3F15" w:rsidR="002462E6" w:rsidRPr="003613B6" w:rsidRDefault="002462E6" w:rsidP="002462E6">
            <w:pPr>
              <w:pStyle w:val="Table"/>
              <w:rPr>
                <w:sz w:val="18"/>
              </w:rPr>
            </w:pPr>
            <w:r>
              <w:rPr>
                <w:color w:val="000000"/>
                <w:sz w:val="18"/>
                <w:szCs w:val="18"/>
              </w:rPr>
              <w:t>101-500, CWS</w:t>
            </w:r>
          </w:p>
        </w:tc>
        <w:tc>
          <w:tcPr>
            <w:tcW w:w="1530" w:type="dxa"/>
            <w:tcMar>
              <w:left w:w="115" w:type="dxa"/>
              <w:right w:w="360" w:type="dxa"/>
            </w:tcMar>
            <w:vAlign w:val="center"/>
            <w:hideMark/>
          </w:tcPr>
          <w:p w14:paraId="690E142F" w14:textId="574CD056" w:rsidR="002462E6" w:rsidRPr="003613B6" w:rsidRDefault="002462E6" w:rsidP="0049228A">
            <w:pPr>
              <w:pStyle w:val="Table"/>
              <w:ind w:right="-252"/>
              <w:jc w:val="right"/>
              <w:rPr>
                <w:sz w:val="18"/>
              </w:rPr>
            </w:pPr>
            <w:r w:rsidRPr="002462E6">
              <w:rPr>
                <w:sz w:val="18"/>
              </w:rPr>
              <w:t>9</w:t>
            </w:r>
            <w:r w:rsidR="00D143D9">
              <w:rPr>
                <w:sz w:val="18"/>
              </w:rPr>
              <w:t xml:space="preserve">,943 to </w:t>
            </w:r>
            <w:r w:rsidRPr="002462E6">
              <w:rPr>
                <w:sz w:val="18"/>
              </w:rPr>
              <w:t>10,006</w:t>
            </w:r>
          </w:p>
        </w:tc>
        <w:tc>
          <w:tcPr>
            <w:tcW w:w="990" w:type="dxa"/>
            <w:vAlign w:val="center"/>
            <w:hideMark/>
          </w:tcPr>
          <w:p w14:paraId="5C293367" w14:textId="38E14690" w:rsidR="002462E6" w:rsidRPr="003613B6" w:rsidRDefault="002462E6" w:rsidP="0049228A">
            <w:pPr>
              <w:pStyle w:val="Table"/>
              <w:jc w:val="right"/>
              <w:rPr>
                <w:sz w:val="18"/>
              </w:rPr>
            </w:pPr>
            <w:r>
              <w:rPr>
                <w:color w:val="000000"/>
                <w:sz w:val="18"/>
                <w:szCs w:val="18"/>
              </w:rPr>
              <w:t>10</w:t>
            </w:r>
          </w:p>
        </w:tc>
        <w:tc>
          <w:tcPr>
            <w:tcW w:w="1800" w:type="dxa"/>
            <w:tcMar>
              <w:left w:w="115" w:type="dxa"/>
              <w:right w:w="360" w:type="dxa"/>
            </w:tcMar>
            <w:vAlign w:val="center"/>
            <w:hideMark/>
          </w:tcPr>
          <w:p w14:paraId="33A5D893" w14:textId="355CDB8E" w:rsidR="002462E6" w:rsidRPr="00986121" w:rsidRDefault="00D143D9" w:rsidP="0049228A">
            <w:pPr>
              <w:pStyle w:val="Table"/>
              <w:ind w:right="-270"/>
              <w:jc w:val="right"/>
              <w:rPr>
                <w:sz w:val="18"/>
                <w:szCs w:val="18"/>
              </w:rPr>
            </w:pPr>
            <w:r>
              <w:rPr>
                <w:sz w:val="18"/>
                <w:szCs w:val="18"/>
              </w:rPr>
              <w:t>99,430</w:t>
            </w:r>
            <w:r>
              <w:rPr>
                <w:sz w:val="18"/>
              </w:rPr>
              <w:t xml:space="preserve"> to </w:t>
            </w:r>
            <w:r w:rsidR="002462E6" w:rsidRPr="002462E6">
              <w:rPr>
                <w:sz w:val="18"/>
                <w:szCs w:val="18"/>
              </w:rPr>
              <w:t>100,060</w:t>
            </w:r>
          </w:p>
        </w:tc>
        <w:tc>
          <w:tcPr>
            <w:tcW w:w="990" w:type="dxa"/>
            <w:vAlign w:val="center"/>
            <w:hideMark/>
          </w:tcPr>
          <w:p w14:paraId="7C72574A" w14:textId="77777777" w:rsidR="002462E6" w:rsidRPr="003613B6" w:rsidRDefault="002462E6" w:rsidP="0049228A">
            <w:pPr>
              <w:pStyle w:val="Table"/>
              <w:jc w:val="right"/>
              <w:rPr>
                <w:sz w:val="18"/>
              </w:rPr>
            </w:pPr>
            <w:r w:rsidRPr="003613B6">
              <w:rPr>
                <w:sz w:val="18"/>
              </w:rPr>
              <w:t>$28.64</w:t>
            </w:r>
          </w:p>
        </w:tc>
        <w:tc>
          <w:tcPr>
            <w:tcW w:w="2160" w:type="dxa"/>
            <w:noWrap/>
            <w:tcMar>
              <w:left w:w="115" w:type="dxa"/>
              <w:right w:w="288" w:type="dxa"/>
            </w:tcMar>
            <w:vAlign w:val="center"/>
            <w:hideMark/>
          </w:tcPr>
          <w:p w14:paraId="498BB48F" w14:textId="5C2BE35E" w:rsidR="002462E6" w:rsidRPr="00986121" w:rsidRDefault="00D143D9" w:rsidP="0049228A">
            <w:pPr>
              <w:pStyle w:val="Table"/>
              <w:ind w:right="-198"/>
              <w:jc w:val="right"/>
              <w:rPr>
                <w:sz w:val="18"/>
                <w:szCs w:val="18"/>
              </w:rPr>
            </w:pPr>
            <w:r>
              <w:rPr>
                <w:sz w:val="18"/>
                <w:szCs w:val="18"/>
              </w:rPr>
              <w:t>$2,847,675</w:t>
            </w:r>
            <w:r>
              <w:rPr>
                <w:sz w:val="18"/>
              </w:rPr>
              <w:t xml:space="preserve"> to </w:t>
            </w:r>
            <w:r w:rsidR="002462E6" w:rsidRPr="002462E6">
              <w:rPr>
                <w:sz w:val="18"/>
                <w:szCs w:val="18"/>
              </w:rPr>
              <w:t>$2,865,718</w:t>
            </w:r>
          </w:p>
        </w:tc>
      </w:tr>
      <w:tr w:rsidR="00D143D9" w:rsidRPr="003613B6" w14:paraId="44C7FF0D" w14:textId="77777777" w:rsidTr="0049228A">
        <w:trPr>
          <w:trHeight w:val="300"/>
        </w:trPr>
        <w:tc>
          <w:tcPr>
            <w:tcW w:w="1885" w:type="dxa"/>
            <w:vAlign w:val="center"/>
            <w:hideMark/>
          </w:tcPr>
          <w:p w14:paraId="3A7B448A" w14:textId="1ABE7EBE" w:rsidR="002462E6" w:rsidRPr="003613B6" w:rsidRDefault="002462E6" w:rsidP="002462E6">
            <w:pPr>
              <w:pStyle w:val="Table"/>
              <w:rPr>
                <w:sz w:val="18"/>
              </w:rPr>
            </w:pPr>
            <w:r>
              <w:rPr>
                <w:color w:val="000000"/>
                <w:sz w:val="18"/>
                <w:szCs w:val="18"/>
              </w:rPr>
              <w:t>501-1,000, CWS</w:t>
            </w:r>
          </w:p>
        </w:tc>
        <w:tc>
          <w:tcPr>
            <w:tcW w:w="1530" w:type="dxa"/>
            <w:tcMar>
              <w:left w:w="115" w:type="dxa"/>
              <w:right w:w="360" w:type="dxa"/>
            </w:tcMar>
            <w:vAlign w:val="center"/>
            <w:hideMark/>
          </w:tcPr>
          <w:p w14:paraId="26013CB9" w14:textId="19110097" w:rsidR="002462E6" w:rsidRPr="003613B6" w:rsidRDefault="00D143D9" w:rsidP="0049228A">
            <w:pPr>
              <w:pStyle w:val="Table"/>
              <w:ind w:right="-252"/>
              <w:jc w:val="right"/>
              <w:rPr>
                <w:sz w:val="18"/>
              </w:rPr>
            </w:pPr>
            <w:r>
              <w:rPr>
                <w:sz w:val="18"/>
              </w:rPr>
              <w:t xml:space="preserve">3,405 to </w:t>
            </w:r>
            <w:r w:rsidR="002462E6" w:rsidRPr="002462E6">
              <w:rPr>
                <w:sz w:val="18"/>
              </w:rPr>
              <w:t>2,679</w:t>
            </w:r>
          </w:p>
        </w:tc>
        <w:tc>
          <w:tcPr>
            <w:tcW w:w="990" w:type="dxa"/>
            <w:vAlign w:val="center"/>
            <w:hideMark/>
          </w:tcPr>
          <w:p w14:paraId="18834FD7" w14:textId="3C5051DC" w:rsidR="002462E6" w:rsidRPr="003613B6" w:rsidRDefault="002462E6" w:rsidP="0049228A">
            <w:pPr>
              <w:pStyle w:val="Table"/>
              <w:jc w:val="right"/>
              <w:rPr>
                <w:sz w:val="18"/>
              </w:rPr>
            </w:pPr>
            <w:r>
              <w:rPr>
                <w:color w:val="000000"/>
                <w:sz w:val="18"/>
                <w:szCs w:val="18"/>
              </w:rPr>
              <w:t>10</w:t>
            </w:r>
          </w:p>
        </w:tc>
        <w:tc>
          <w:tcPr>
            <w:tcW w:w="1800" w:type="dxa"/>
            <w:tcMar>
              <w:left w:w="115" w:type="dxa"/>
              <w:right w:w="360" w:type="dxa"/>
            </w:tcMar>
            <w:vAlign w:val="center"/>
            <w:hideMark/>
          </w:tcPr>
          <w:p w14:paraId="009A9B4A" w14:textId="706136D1" w:rsidR="002462E6" w:rsidRPr="00986121" w:rsidRDefault="00D143D9" w:rsidP="0049228A">
            <w:pPr>
              <w:pStyle w:val="Table"/>
              <w:ind w:right="-270"/>
              <w:jc w:val="right"/>
              <w:rPr>
                <w:sz w:val="18"/>
                <w:szCs w:val="18"/>
              </w:rPr>
            </w:pPr>
            <w:r>
              <w:rPr>
                <w:sz w:val="18"/>
                <w:szCs w:val="18"/>
              </w:rPr>
              <w:t>34,050</w:t>
            </w:r>
            <w:r>
              <w:rPr>
                <w:sz w:val="18"/>
              </w:rPr>
              <w:t xml:space="preserve"> to </w:t>
            </w:r>
            <w:r w:rsidR="002462E6" w:rsidRPr="002462E6">
              <w:rPr>
                <w:sz w:val="18"/>
                <w:szCs w:val="18"/>
              </w:rPr>
              <w:t>26,790</w:t>
            </w:r>
          </w:p>
        </w:tc>
        <w:tc>
          <w:tcPr>
            <w:tcW w:w="990" w:type="dxa"/>
            <w:vAlign w:val="center"/>
            <w:hideMark/>
          </w:tcPr>
          <w:p w14:paraId="4644117E" w14:textId="77777777" w:rsidR="002462E6" w:rsidRPr="003613B6" w:rsidRDefault="002462E6" w:rsidP="0049228A">
            <w:pPr>
              <w:pStyle w:val="Table"/>
              <w:jc w:val="right"/>
              <w:rPr>
                <w:sz w:val="18"/>
              </w:rPr>
            </w:pPr>
            <w:r w:rsidRPr="003613B6">
              <w:rPr>
                <w:sz w:val="18"/>
              </w:rPr>
              <w:t>$28.64</w:t>
            </w:r>
          </w:p>
        </w:tc>
        <w:tc>
          <w:tcPr>
            <w:tcW w:w="2160" w:type="dxa"/>
            <w:noWrap/>
            <w:tcMar>
              <w:left w:w="115" w:type="dxa"/>
              <w:right w:w="288" w:type="dxa"/>
            </w:tcMar>
            <w:vAlign w:val="center"/>
            <w:hideMark/>
          </w:tcPr>
          <w:p w14:paraId="3C5FDDAD" w14:textId="56D9F291" w:rsidR="002462E6" w:rsidRPr="00986121" w:rsidRDefault="00D143D9" w:rsidP="0049228A">
            <w:pPr>
              <w:pStyle w:val="Table"/>
              <w:ind w:right="-198"/>
              <w:jc w:val="right"/>
              <w:rPr>
                <w:sz w:val="18"/>
                <w:szCs w:val="18"/>
              </w:rPr>
            </w:pPr>
            <w:r>
              <w:rPr>
                <w:sz w:val="18"/>
                <w:szCs w:val="18"/>
              </w:rPr>
              <w:t>$975,192</w:t>
            </w:r>
            <w:r>
              <w:rPr>
                <w:sz w:val="18"/>
              </w:rPr>
              <w:t xml:space="preserve"> to </w:t>
            </w:r>
            <w:r w:rsidR="002462E6" w:rsidRPr="002462E6">
              <w:rPr>
                <w:sz w:val="18"/>
                <w:szCs w:val="18"/>
              </w:rPr>
              <w:t>$767,266</w:t>
            </w:r>
          </w:p>
        </w:tc>
      </w:tr>
      <w:tr w:rsidR="00D143D9" w:rsidRPr="003613B6" w14:paraId="2B98D1EA" w14:textId="77777777" w:rsidTr="0049228A">
        <w:trPr>
          <w:trHeight w:val="300"/>
        </w:trPr>
        <w:tc>
          <w:tcPr>
            <w:tcW w:w="1885" w:type="dxa"/>
            <w:vAlign w:val="center"/>
            <w:hideMark/>
          </w:tcPr>
          <w:p w14:paraId="47908152" w14:textId="023B97EB" w:rsidR="002462E6" w:rsidRPr="003613B6" w:rsidRDefault="002462E6" w:rsidP="002462E6">
            <w:pPr>
              <w:pStyle w:val="Table"/>
              <w:rPr>
                <w:sz w:val="18"/>
              </w:rPr>
            </w:pPr>
            <w:r>
              <w:rPr>
                <w:color w:val="000000"/>
                <w:sz w:val="18"/>
                <w:szCs w:val="18"/>
              </w:rPr>
              <w:t>1,001-3,300, CWS</w:t>
            </w:r>
          </w:p>
        </w:tc>
        <w:tc>
          <w:tcPr>
            <w:tcW w:w="1530" w:type="dxa"/>
            <w:tcMar>
              <w:left w:w="115" w:type="dxa"/>
              <w:right w:w="360" w:type="dxa"/>
            </w:tcMar>
            <w:vAlign w:val="center"/>
            <w:hideMark/>
          </w:tcPr>
          <w:p w14:paraId="0DBDFA56" w14:textId="433FD3C9" w:rsidR="002462E6" w:rsidRPr="003613B6" w:rsidRDefault="00D143D9" w:rsidP="0049228A">
            <w:pPr>
              <w:pStyle w:val="Table"/>
              <w:ind w:right="-252"/>
              <w:jc w:val="right"/>
              <w:rPr>
                <w:sz w:val="18"/>
              </w:rPr>
            </w:pPr>
            <w:r>
              <w:rPr>
                <w:sz w:val="18"/>
              </w:rPr>
              <w:t xml:space="preserve">5,108 to </w:t>
            </w:r>
            <w:r w:rsidR="002462E6" w:rsidRPr="002462E6">
              <w:rPr>
                <w:sz w:val="18"/>
              </w:rPr>
              <w:t>3,983</w:t>
            </w:r>
          </w:p>
        </w:tc>
        <w:tc>
          <w:tcPr>
            <w:tcW w:w="990" w:type="dxa"/>
            <w:vAlign w:val="center"/>
            <w:hideMark/>
          </w:tcPr>
          <w:p w14:paraId="4C397D06" w14:textId="02AC8F75" w:rsidR="002462E6" w:rsidRPr="003613B6" w:rsidRDefault="002462E6" w:rsidP="0049228A">
            <w:pPr>
              <w:pStyle w:val="Table"/>
              <w:jc w:val="right"/>
              <w:rPr>
                <w:sz w:val="18"/>
              </w:rPr>
            </w:pPr>
            <w:r>
              <w:rPr>
                <w:color w:val="000000"/>
                <w:sz w:val="18"/>
                <w:szCs w:val="18"/>
              </w:rPr>
              <w:t>10</w:t>
            </w:r>
          </w:p>
        </w:tc>
        <w:tc>
          <w:tcPr>
            <w:tcW w:w="1800" w:type="dxa"/>
            <w:tcMar>
              <w:left w:w="115" w:type="dxa"/>
              <w:right w:w="360" w:type="dxa"/>
            </w:tcMar>
            <w:vAlign w:val="center"/>
            <w:hideMark/>
          </w:tcPr>
          <w:p w14:paraId="547E2978" w14:textId="31081FEC" w:rsidR="002462E6" w:rsidRPr="00986121" w:rsidRDefault="00D143D9" w:rsidP="0049228A">
            <w:pPr>
              <w:pStyle w:val="Table"/>
              <w:ind w:right="-270"/>
              <w:jc w:val="right"/>
              <w:rPr>
                <w:sz w:val="18"/>
                <w:szCs w:val="18"/>
              </w:rPr>
            </w:pPr>
            <w:r>
              <w:rPr>
                <w:sz w:val="18"/>
                <w:szCs w:val="18"/>
              </w:rPr>
              <w:t>51,080</w:t>
            </w:r>
            <w:r>
              <w:rPr>
                <w:sz w:val="18"/>
              </w:rPr>
              <w:t xml:space="preserve"> to </w:t>
            </w:r>
            <w:r w:rsidR="002462E6" w:rsidRPr="002462E6">
              <w:rPr>
                <w:sz w:val="18"/>
                <w:szCs w:val="18"/>
              </w:rPr>
              <w:t>39,830</w:t>
            </w:r>
          </w:p>
        </w:tc>
        <w:tc>
          <w:tcPr>
            <w:tcW w:w="990" w:type="dxa"/>
            <w:vAlign w:val="center"/>
            <w:hideMark/>
          </w:tcPr>
          <w:p w14:paraId="0709B5B7" w14:textId="77777777" w:rsidR="002462E6" w:rsidRPr="003613B6" w:rsidRDefault="002462E6" w:rsidP="0049228A">
            <w:pPr>
              <w:pStyle w:val="Table"/>
              <w:jc w:val="right"/>
              <w:rPr>
                <w:sz w:val="18"/>
              </w:rPr>
            </w:pPr>
            <w:r w:rsidRPr="003613B6">
              <w:rPr>
                <w:sz w:val="18"/>
              </w:rPr>
              <w:t>$28.64</w:t>
            </w:r>
          </w:p>
        </w:tc>
        <w:tc>
          <w:tcPr>
            <w:tcW w:w="2160" w:type="dxa"/>
            <w:noWrap/>
            <w:tcMar>
              <w:left w:w="115" w:type="dxa"/>
              <w:right w:w="288" w:type="dxa"/>
            </w:tcMar>
            <w:vAlign w:val="center"/>
            <w:hideMark/>
          </w:tcPr>
          <w:p w14:paraId="1A8CEE25" w14:textId="3EECB1EE" w:rsidR="002462E6" w:rsidRPr="00986121" w:rsidRDefault="00D143D9" w:rsidP="0049228A">
            <w:pPr>
              <w:pStyle w:val="Table"/>
              <w:ind w:right="-198"/>
              <w:jc w:val="right"/>
              <w:rPr>
                <w:sz w:val="18"/>
                <w:szCs w:val="18"/>
              </w:rPr>
            </w:pPr>
            <w:r>
              <w:rPr>
                <w:sz w:val="18"/>
                <w:szCs w:val="18"/>
              </w:rPr>
              <w:t>$1,462,931</w:t>
            </w:r>
            <w:r>
              <w:rPr>
                <w:sz w:val="18"/>
              </w:rPr>
              <w:t xml:space="preserve"> to </w:t>
            </w:r>
            <w:r w:rsidR="002462E6" w:rsidRPr="002462E6">
              <w:rPr>
                <w:sz w:val="18"/>
                <w:szCs w:val="18"/>
              </w:rPr>
              <w:t>$1,140,731</w:t>
            </w:r>
          </w:p>
        </w:tc>
      </w:tr>
      <w:tr w:rsidR="00D143D9" w:rsidRPr="003613B6" w14:paraId="1E7DF2ED" w14:textId="77777777" w:rsidTr="0049228A">
        <w:trPr>
          <w:trHeight w:val="300"/>
        </w:trPr>
        <w:tc>
          <w:tcPr>
            <w:tcW w:w="1885" w:type="dxa"/>
            <w:vAlign w:val="center"/>
            <w:hideMark/>
          </w:tcPr>
          <w:p w14:paraId="20B9DAFF" w14:textId="1972BE0C" w:rsidR="002462E6" w:rsidRPr="003613B6" w:rsidRDefault="002462E6" w:rsidP="002462E6">
            <w:pPr>
              <w:pStyle w:val="Table"/>
              <w:rPr>
                <w:sz w:val="18"/>
              </w:rPr>
            </w:pPr>
            <w:r>
              <w:rPr>
                <w:color w:val="000000"/>
                <w:sz w:val="18"/>
                <w:szCs w:val="18"/>
              </w:rPr>
              <w:t>3,301-10,000, CWS</w:t>
            </w:r>
          </w:p>
        </w:tc>
        <w:tc>
          <w:tcPr>
            <w:tcW w:w="1530" w:type="dxa"/>
            <w:tcMar>
              <w:left w:w="115" w:type="dxa"/>
              <w:right w:w="360" w:type="dxa"/>
            </w:tcMar>
            <w:vAlign w:val="center"/>
            <w:hideMark/>
          </w:tcPr>
          <w:p w14:paraId="15132C13" w14:textId="61F189E1" w:rsidR="002462E6" w:rsidRPr="003613B6" w:rsidRDefault="00D143D9" w:rsidP="0049228A">
            <w:pPr>
              <w:pStyle w:val="Table"/>
              <w:ind w:right="-252"/>
              <w:jc w:val="right"/>
              <w:rPr>
                <w:sz w:val="18"/>
              </w:rPr>
            </w:pPr>
            <w:r>
              <w:rPr>
                <w:sz w:val="18"/>
              </w:rPr>
              <w:t xml:space="preserve">3,147 to </w:t>
            </w:r>
            <w:r w:rsidR="002462E6" w:rsidRPr="002462E6">
              <w:rPr>
                <w:sz w:val="18"/>
              </w:rPr>
              <w:t>2,308</w:t>
            </w:r>
          </w:p>
        </w:tc>
        <w:tc>
          <w:tcPr>
            <w:tcW w:w="990" w:type="dxa"/>
            <w:vAlign w:val="center"/>
            <w:hideMark/>
          </w:tcPr>
          <w:p w14:paraId="1B8E9AAA" w14:textId="0A436D6F" w:rsidR="002462E6" w:rsidRPr="003613B6" w:rsidRDefault="002462E6" w:rsidP="0049228A">
            <w:pPr>
              <w:pStyle w:val="Table"/>
              <w:jc w:val="right"/>
              <w:rPr>
                <w:sz w:val="18"/>
              </w:rPr>
            </w:pPr>
            <w:r>
              <w:rPr>
                <w:color w:val="000000"/>
                <w:sz w:val="18"/>
                <w:szCs w:val="18"/>
              </w:rPr>
              <w:t>20</w:t>
            </w:r>
          </w:p>
        </w:tc>
        <w:tc>
          <w:tcPr>
            <w:tcW w:w="1800" w:type="dxa"/>
            <w:tcMar>
              <w:left w:w="115" w:type="dxa"/>
              <w:right w:w="360" w:type="dxa"/>
            </w:tcMar>
            <w:vAlign w:val="center"/>
            <w:hideMark/>
          </w:tcPr>
          <w:p w14:paraId="48D0235B" w14:textId="57C9F5FE" w:rsidR="002462E6" w:rsidRPr="00986121" w:rsidRDefault="00D143D9" w:rsidP="0049228A">
            <w:pPr>
              <w:pStyle w:val="Table"/>
              <w:ind w:right="-270"/>
              <w:jc w:val="right"/>
              <w:rPr>
                <w:sz w:val="18"/>
                <w:szCs w:val="18"/>
              </w:rPr>
            </w:pPr>
            <w:r>
              <w:rPr>
                <w:sz w:val="18"/>
                <w:szCs w:val="18"/>
              </w:rPr>
              <w:t>62,940</w:t>
            </w:r>
            <w:r>
              <w:rPr>
                <w:sz w:val="18"/>
              </w:rPr>
              <w:t xml:space="preserve"> to </w:t>
            </w:r>
            <w:r w:rsidR="002462E6" w:rsidRPr="002462E6">
              <w:rPr>
                <w:sz w:val="18"/>
                <w:szCs w:val="18"/>
              </w:rPr>
              <w:t>46,160</w:t>
            </w:r>
          </w:p>
        </w:tc>
        <w:tc>
          <w:tcPr>
            <w:tcW w:w="990" w:type="dxa"/>
            <w:vAlign w:val="center"/>
            <w:hideMark/>
          </w:tcPr>
          <w:p w14:paraId="73E92B5A" w14:textId="77777777" w:rsidR="002462E6" w:rsidRPr="003613B6" w:rsidRDefault="002462E6" w:rsidP="0049228A">
            <w:pPr>
              <w:pStyle w:val="Table"/>
              <w:jc w:val="right"/>
              <w:rPr>
                <w:sz w:val="18"/>
              </w:rPr>
            </w:pPr>
            <w:r w:rsidRPr="003613B6">
              <w:rPr>
                <w:sz w:val="18"/>
              </w:rPr>
              <w:t>$33.74</w:t>
            </w:r>
          </w:p>
        </w:tc>
        <w:tc>
          <w:tcPr>
            <w:tcW w:w="2160" w:type="dxa"/>
            <w:noWrap/>
            <w:tcMar>
              <w:left w:w="115" w:type="dxa"/>
              <w:right w:w="288" w:type="dxa"/>
            </w:tcMar>
            <w:vAlign w:val="center"/>
            <w:hideMark/>
          </w:tcPr>
          <w:p w14:paraId="53311EF8" w14:textId="79EEF3BA" w:rsidR="002462E6" w:rsidRPr="00986121" w:rsidRDefault="00D143D9" w:rsidP="0049228A">
            <w:pPr>
              <w:pStyle w:val="Table"/>
              <w:ind w:right="-198"/>
              <w:jc w:val="right"/>
              <w:rPr>
                <w:sz w:val="18"/>
                <w:szCs w:val="18"/>
              </w:rPr>
            </w:pPr>
            <w:r>
              <w:rPr>
                <w:sz w:val="18"/>
                <w:szCs w:val="18"/>
              </w:rPr>
              <w:t>$2,123,596</w:t>
            </w:r>
            <w:r>
              <w:rPr>
                <w:sz w:val="18"/>
              </w:rPr>
              <w:t xml:space="preserve"> to </w:t>
            </w:r>
            <w:r w:rsidR="002462E6" w:rsidRPr="002462E6">
              <w:rPr>
                <w:sz w:val="18"/>
                <w:szCs w:val="18"/>
              </w:rPr>
              <w:t>$1,557,438</w:t>
            </w:r>
          </w:p>
        </w:tc>
      </w:tr>
      <w:tr w:rsidR="00D143D9" w:rsidRPr="003613B6" w14:paraId="234E2DC9" w14:textId="77777777" w:rsidTr="0049228A">
        <w:trPr>
          <w:trHeight w:val="300"/>
        </w:trPr>
        <w:tc>
          <w:tcPr>
            <w:tcW w:w="1885" w:type="dxa"/>
            <w:vAlign w:val="center"/>
            <w:hideMark/>
          </w:tcPr>
          <w:p w14:paraId="60DD37FA" w14:textId="5F091A55" w:rsidR="002462E6" w:rsidRPr="003613B6" w:rsidRDefault="002462E6" w:rsidP="002462E6">
            <w:pPr>
              <w:pStyle w:val="Table"/>
              <w:rPr>
                <w:sz w:val="18"/>
              </w:rPr>
            </w:pPr>
            <w:r>
              <w:rPr>
                <w:color w:val="000000"/>
                <w:sz w:val="18"/>
                <w:szCs w:val="18"/>
              </w:rPr>
              <w:t>10,001-50,000, CWS</w:t>
            </w:r>
          </w:p>
        </w:tc>
        <w:tc>
          <w:tcPr>
            <w:tcW w:w="1530" w:type="dxa"/>
            <w:tcMar>
              <w:left w:w="115" w:type="dxa"/>
              <w:right w:w="360" w:type="dxa"/>
            </w:tcMar>
            <w:vAlign w:val="center"/>
            <w:hideMark/>
          </w:tcPr>
          <w:p w14:paraId="21B94F68" w14:textId="7B442124" w:rsidR="002462E6" w:rsidRPr="003613B6" w:rsidRDefault="00D143D9" w:rsidP="0049228A">
            <w:pPr>
              <w:pStyle w:val="Table"/>
              <w:ind w:right="-252"/>
              <w:jc w:val="right"/>
              <w:rPr>
                <w:sz w:val="18"/>
              </w:rPr>
            </w:pPr>
            <w:r>
              <w:rPr>
                <w:sz w:val="18"/>
              </w:rPr>
              <w:t xml:space="preserve">1,548 to </w:t>
            </w:r>
            <w:r w:rsidR="002462E6" w:rsidRPr="002462E6">
              <w:rPr>
                <w:sz w:val="18"/>
              </w:rPr>
              <w:t>1,399</w:t>
            </w:r>
          </w:p>
        </w:tc>
        <w:tc>
          <w:tcPr>
            <w:tcW w:w="990" w:type="dxa"/>
            <w:vAlign w:val="center"/>
            <w:hideMark/>
          </w:tcPr>
          <w:p w14:paraId="5D281D99" w14:textId="7FB8625A" w:rsidR="002462E6" w:rsidRPr="003613B6" w:rsidRDefault="002462E6" w:rsidP="0049228A">
            <w:pPr>
              <w:pStyle w:val="Table"/>
              <w:jc w:val="right"/>
              <w:rPr>
                <w:sz w:val="18"/>
              </w:rPr>
            </w:pPr>
            <w:r>
              <w:rPr>
                <w:color w:val="000000"/>
                <w:sz w:val="18"/>
                <w:szCs w:val="18"/>
              </w:rPr>
              <w:t>20</w:t>
            </w:r>
          </w:p>
        </w:tc>
        <w:tc>
          <w:tcPr>
            <w:tcW w:w="1800" w:type="dxa"/>
            <w:tcMar>
              <w:left w:w="115" w:type="dxa"/>
              <w:right w:w="360" w:type="dxa"/>
            </w:tcMar>
            <w:vAlign w:val="center"/>
            <w:hideMark/>
          </w:tcPr>
          <w:p w14:paraId="67046819" w14:textId="5FA215B2" w:rsidR="002462E6" w:rsidRPr="00986121" w:rsidRDefault="00D143D9" w:rsidP="0049228A">
            <w:pPr>
              <w:pStyle w:val="Table"/>
              <w:ind w:right="-270"/>
              <w:jc w:val="right"/>
              <w:rPr>
                <w:sz w:val="18"/>
                <w:szCs w:val="18"/>
              </w:rPr>
            </w:pPr>
            <w:r>
              <w:rPr>
                <w:sz w:val="18"/>
                <w:szCs w:val="18"/>
              </w:rPr>
              <w:t>30,960</w:t>
            </w:r>
            <w:r>
              <w:rPr>
                <w:sz w:val="18"/>
              </w:rPr>
              <w:t xml:space="preserve"> to </w:t>
            </w:r>
            <w:r w:rsidR="002462E6" w:rsidRPr="002462E6">
              <w:rPr>
                <w:sz w:val="18"/>
                <w:szCs w:val="18"/>
              </w:rPr>
              <w:t>27,980</w:t>
            </w:r>
          </w:p>
        </w:tc>
        <w:tc>
          <w:tcPr>
            <w:tcW w:w="990" w:type="dxa"/>
            <w:vAlign w:val="center"/>
            <w:hideMark/>
          </w:tcPr>
          <w:p w14:paraId="2F1A680A" w14:textId="77777777" w:rsidR="002462E6" w:rsidRPr="003613B6" w:rsidRDefault="002462E6" w:rsidP="0049228A">
            <w:pPr>
              <w:pStyle w:val="Table"/>
              <w:jc w:val="right"/>
              <w:rPr>
                <w:sz w:val="18"/>
              </w:rPr>
            </w:pPr>
            <w:r w:rsidRPr="003613B6">
              <w:rPr>
                <w:sz w:val="18"/>
              </w:rPr>
              <w:t>$36.15</w:t>
            </w:r>
          </w:p>
        </w:tc>
        <w:tc>
          <w:tcPr>
            <w:tcW w:w="2160" w:type="dxa"/>
            <w:noWrap/>
            <w:tcMar>
              <w:left w:w="115" w:type="dxa"/>
              <w:right w:w="288" w:type="dxa"/>
            </w:tcMar>
            <w:vAlign w:val="center"/>
            <w:hideMark/>
          </w:tcPr>
          <w:p w14:paraId="2316231F" w14:textId="46369714" w:rsidR="002462E6" w:rsidRPr="00986121" w:rsidRDefault="00D143D9" w:rsidP="0049228A">
            <w:pPr>
              <w:pStyle w:val="Table"/>
              <w:ind w:right="-198"/>
              <w:jc w:val="right"/>
              <w:rPr>
                <w:sz w:val="18"/>
                <w:szCs w:val="18"/>
              </w:rPr>
            </w:pPr>
            <w:r>
              <w:rPr>
                <w:sz w:val="18"/>
                <w:szCs w:val="18"/>
              </w:rPr>
              <w:t>$1,119,204</w:t>
            </w:r>
            <w:r>
              <w:rPr>
                <w:sz w:val="18"/>
              </w:rPr>
              <w:t xml:space="preserve"> to </w:t>
            </w:r>
            <w:r w:rsidR="002462E6" w:rsidRPr="002462E6">
              <w:rPr>
                <w:sz w:val="18"/>
                <w:szCs w:val="18"/>
              </w:rPr>
              <w:t>$1,011,477</w:t>
            </w:r>
          </w:p>
        </w:tc>
      </w:tr>
      <w:tr w:rsidR="00D143D9" w:rsidRPr="003613B6" w14:paraId="10B32173" w14:textId="77777777" w:rsidTr="0049228A">
        <w:trPr>
          <w:trHeight w:val="300"/>
        </w:trPr>
        <w:tc>
          <w:tcPr>
            <w:tcW w:w="1885" w:type="dxa"/>
            <w:vAlign w:val="center"/>
            <w:hideMark/>
          </w:tcPr>
          <w:p w14:paraId="093F437A" w14:textId="374EC4BD" w:rsidR="002462E6" w:rsidRPr="003613B6" w:rsidRDefault="002462E6" w:rsidP="002462E6">
            <w:pPr>
              <w:pStyle w:val="Table"/>
              <w:rPr>
                <w:sz w:val="18"/>
              </w:rPr>
            </w:pPr>
            <w:r>
              <w:rPr>
                <w:color w:val="000000"/>
                <w:sz w:val="18"/>
                <w:szCs w:val="18"/>
              </w:rPr>
              <w:t>50,001-100,000, CWS</w:t>
            </w:r>
          </w:p>
        </w:tc>
        <w:tc>
          <w:tcPr>
            <w:tcW w:w="1530" w:type="dxa"/>
            <w:tcMar>
              <w:left w:w="115" w:type="dxa"/>
              <w:right w:w="360" w:type="dxa"/>
            </w:tcMar>
            <w:vAlign w:val="center"/>
            <w:hideMark/>
          </w:tcPr>
          <w:p w14:paraId="5B0C4F6C" w14:textId="63DE64C5" w:rsidR="002462E6" w:rsidRPr="003613B6" w:rsidRDefault="00D143D9" w:rsidP="0049228A">
            <w:pPr>
              <w:pStyle w:val="Table"/>
              <w:ind w:right="-252"/>
              <w:jc w:val="right"/>
              <w:rPr>
                <w:sz w:val="18"/>
              </w:rPr>
            </w:pPr>
            <w:r>
              <w:rPr>
                <w:sz w:val="18"/>
              </w:rPr>
              <w:t xml:space="preserve">179 to </w:t>
            </w:r>
            <w:r w:rsidR="002462E6" w:rsidRPr="002462E6">
              <w:rPr>
                <w:sz w:val="18"/>
              </w:rPr>
              <w:t>210</w:t>
            </w:r>
          </w:p>
        </w:tc>
        <w:tc>
          <w:tcPr>
            <w:tcW w:w="990" w:type="dxa"/>
            <w:vAlign w:val="center"/>
            <w:hideMark/>
          </w:tcPr>
          <w:p w14:paraId="024FD39B" w14:textId="65CCB8CC" w:rsidR="002462E6" w:rsidRPr="003613B6" w:rsidRDefault="002462E6" w:rsidP="0049228A">
            <w:pPr>
              <w:pStyle w:val="Table"/>
              <w:jc w:val="right"/>
              <w:rPr>
                <w:sz w:val="18"/>
              </w:rPr>
            </w:pPr>
            <w:r>
              <w:rPr>
                <w:color w:val="000000"/>
                <w:sz w:val="18"/>
                <w:szCs w:val="18"/>
              </w:rPr>
              <w:t>40</w:t>
            </w:r>
          </w:p>
        </w:tc>
        <w:tc>
          <w:tcPr>
            <w:tcW w:w="1800" w:type="dxa"/>
            <w:tcMar>
              <w:left w:w="115" w:type="dxa"/>
              <w:right w:w="360" w:type="dxa"/>
            </w:tcMar>
            <w:vAlign w:val="center"/>
            <w:hideMark/>
          </w:tcPr>
          <w:p w14:paraId="4B758DF7" w14:textId="79DA6523" w:rsidR="002462E6" w:rsidRPr="00986121" w:rsidRDefault="00D143D9" w:rsidP="0049228A">
            <w:pPr>
              <w:pStyle w:val="Table"/>
              <w:ind w:right="-270"/>
              <w:jc w:val="right"/>
              <w:rPr>
                <w:sz w:val="18"/>
                <w:szCs w:val="18"/>
              </w:rPr>
            </w:pPr>
            <w:r>
              <w:rPr>
                <w:sz w:val="18"/>
                <w:szCs w:val="18"/>
              </w:rPr>
              <w:t>7,160</w:t>
            </w:r>
            <w:r>
              <w:rPr>
                <w:sz w:val="18"/>
              </w:rPr>
              <w:t xml:space="preserve"> to </w:t>
            </w:r>
            <w:r w:rsidR="002462E6" w:rsidRPr="002462E6">
              <w:rPr>
                <w:sz w:val="18"/>
                <w:szCs w:val="18"/>
              </w:rPr>
              <w:t>8,400</w:t>
            </w:r>
          </w:p>
        </w:tc>
        <w:tc>
          <w:tcPr>
            <w:tcW w:w="990" w:type="dxa"/>
            <w:vAlign w:val="center"/>
            <w:hideMark/>
          </w:tcPr>
          <w:p w14:paraId="77D42076" w14:textId="77777777" w:rsidR="002462E6" w:rsidRPr="003613B6" w:rsidRDefault="002462E6" w:rsidP="0049228A">
            <w:pPr>
              <w:pStyle w:val="Table"/>
              <w:jc w:val="right"/>
              <w:rPr>
                <w:sz w:val="18"/>
              </w:rPr>
            </w:pPr>
            <w:r w:rsidRPr="003613B6">
              <w:rPr>
                <w:sz w:val="18"/>
              </w:rPr>
              <w:t>$39.01</w:t>
            </w:r>
          </w:p>
        </w:tc>
        <w:tc>
          <w:tcPr>
            <w:tcW w:w="2160" w:type="dxa"/>
            <w:noWrap/>
            <w:tcMar>
              <w:left w:w="115" w:type="dxa"/>
              <w:right w:w="288" w:type="dxa"/>
            </w:tcMar>
            <w:vAlign w:val="center"/>
            <w:hideMark/>
          </w:tcPr>
          <w:p w14:paraId="1FEE36A5" w14:textId="56E1110B" w:rsidR="002462E6" w:rsidRPr="00986121" w:rsidRDefault="00D143D9" w:rsidP="0049228A">
            <w:pPr>
              <w:pStyle w:val="Table"/>
              <w:ind w:right="-198"/>
              <w:jc w:val="right"/>
              <w:rPr>
                <w:sz w:val="18"/>
                <w:szCs w:val="18"/>
              </w:rPr>
            </w:pPr>
            <w:r>
              <w:rPr>
                <w:sz w:val="18"/>
                <w:szCs w:val="18"/>
              </w:rPr>
              <w:t>$279,312</w:t>
            </w:r>
            <w:r>
              <w:rPr>
                <w:sz w:val="18"/>
              </w:rPr>
              <w:t xml:space="preserve"> to </w:t>
            </w:r>
            <w:r w:rsidR="002462E6" w:rsidRPr="002462E6">
              <w:rPr>
                <w:sz w:val="18"/>
                <w:szCs w:val="18"/>
              </w:rPr>
              <w:t>$327,684</w:t>
            </w:r>
          </w:p>
        </w:tc>
      </w:tr>
      <w:tr w:rsidR="00D143D9" w:rsidRPr="003613B6" w14:paraId="05A6B994" w14:textId="77777777" w:rsidTr="0049228A">
        <w:trPr>
          <w:trHeight w:val="300"/>
        </w:trPr>
        <w:tc>
          <w:tcPr>
            <w:tcW w:w="1885" w:type="dxa"/>
            <w:vAlign w:val="center"/>
            <w:hideMark/>
          </w:tcPr>
          <w:p w14:paraId="4316F385" w14:textId="1357A771" w:rsidR="002462E6" w:rsidRPr="003613B6" w:rsidRDefault="002462E6" w:rsidP="002462E6">
            <w:pPr>
              <w:pStyle w:val="Table"/>
              <w:rPr>
                <w:sz w:val="18"/>
              </w:rPr>
            </w:pPr>
            <w:r>
              <w:rPr>
                <w:color w:val="000000"/>
                <w:sz w:val="18"/>
                <w:szCs w:val="18"/>
              </w:rPr>
              <w:t>100,001-1,000,000, CWS</w:t>
            </w:r>
          </w:p>
        </w:tc>
        <w:tc>
          <w:tcPr>
            <w:tcW w:w="1530" w:type="dxa"/>
            <w:tcMar>
              <w:left w:w="115" w:type="dxa"/>
              <w:right w:w="360" w:type="dxa"/>
            </w:tcMar>
            <w:vAlign w:val="center"/>
            <w:hideMark/>
          </w:tcPr>
          <w:p w14:paraId="62891EBD" w14:textId="24BF68BA" w:rsidR="002462E6" w:rsidRPr="003613B6" w:rsidRDefault="00D143D9" w:rsidP="0049228A">
            <w:pPr>
              <w:pStyle w:val="Table"/>
              <w:ind w:right="-252"/>
              <w:jc w:val="right"/>
              <w:rPr>
                <w:sz w:val="18"/>
              </w:rPr>
            </w:pPr>
            <w:r>
              <w:rPr>
                <w:sz w:val="18"/>
              </w:rPr>
              <w:t xml:space="preserve">141 to </w:t>
            </w:r>
            <w:r w:rsidR="002462E6" w:rsidRPr="002462E6">
              <w:rPr>
                <w:sz w:val="18"/>
              </w:rPr>
              <w:t>103</w:t>
            </w:r>
          </w:p>
        </w:tc>
        <w:tc>
          <w:tcPr>
            <w:tcW w:w="990" w:type="dxa"/>
            <w:vAlign w:val="center"/>
            <w:hideMark/>
          </w:tcPr>
          <w:p w14:paraId="416D284E" w14:textId="5E2176C5" w:rsidR="002462E6" w:rsidRPr="003613B6" w:rsidRDefault="002462E6" w:rsidP="0049228A">
            <w:pPr>
              <w:pStyle w:val="Table"/>
              <w:jc w:val="right"/>
              <w:rPr>
                <w:sz w:val="18"/>
              </w:rPr>
            </w:pPr>
            <w:r>
              <w:rPr>
                <w:color w:val="000000"/>
                <w:sz w:val="18"/>
                <w:szCs w:val="18"/>
              </w:rPr>
              <w:t>40</w:t>
            </w:r>
          </w:p>
        </w:tc>
        <w:tc>
          <w:tcPr>
            <w:tcW w:w="1800" w:type="dxa"/>
            <w:tcMar>
              <w:left w:w="115" w:type="dxa"/>
              <w:right w:w="360" w:type="dxa"/>
            </w:tcMar>
            <w:vAlign w:val="center"/>
            <w:hideMark/>
          </w:tcPr>
          <w:p w14:paraId="13B0048B" w14:textId="44D63D2E" w:rsidR="002462E6" w:rsidRPr="00986121" w:rsidRDefault="00D143D9" w:rsidP="0049228A">
            <w:pPr>
              <w:pStyle w:val="Table"/>
              <w:ind w:right="-270"/>
              <w:jc w:val="right"/>
              <w:rPr>
                <w:sz w:val="18"/>
                <w:szCs w:val="18"/>
              </w:rPr>
            </w:pPr>
            <w:r>
              <w:rPr>
                <w:sz w:val="18"/>
                <w:szCs w:val="18"/>
              </w:rPr>
              <w:t>5,640</w:t>
            </w:r>
            <w:r>
              <w:rPr>
                <w:sz w:val="18"/>
              </w:rPr>
              <w:t xml:space="preserve"> to </w:t>
            </w:r>
            <w:r w:rsidR="002462E6" w:rsidRPr="002462E6">
              <w:rPr>
                <w:sz w:val="18"/>
                <w:szCs w:val="18"/>
              </w:rPr>
              <w:t>4,120</w:t>
            </w:r>
          </w:p>
        </w:tc>
        <w:tc>
          <w:tcPr>
            <w:tcW w:w="990" w:type="dxa"/>
            <w:vAlign w:val="center"/>
            <w:hideMark/>
          </w:tcPr>
          <w:p w14:paraId="62AAF18E" w14:textId="77777777" w:rsidR="002462E6" w:rsidRPr="003613B6" w:rsidRDefault="002462E6" w:rsidP="0049228A">
            <w:pPr>
              <w:pStyle w:val="Table"/>
              <w:jc w:val="right"/>
              <w:rPr>
                <w:sz w:val="18"/>
              </w:rPr>
            </w:pPr>
            <w:r w:rsidRPr="003613B6">
              <w:rPr>
                <w:sz w:val="18"/>
              </w:rPr>
              <w:t>$44.38</w:t>
            </w:r>
          </w:p>
        </w:tc>
        <w:tc>
          <w:tcPr>
            <w:tcW w:w="2160" w:type="dxa"/>
            <w:noWrap/>
            <w:tcMar>
              <w:left w:w="115" w:type="dxa"/>
              <w:right w:w="288" w:type="dxa"/>
            </w:tcMar>
            <w:vAlign w:val="center"/>
            <w:hideMark/>
          </w:tcPr>
          <w:p w14:paraId="5301C31B" w14:textId="0128BE07" w:rsidR="002462E6" w:rsidRPr="00986121" w:rsidRDefault="00D143D9" w:rsidP="0049228A">
            <w:pPr>
              <w:pStyle w:val="Table"/>
              <w:ind w:right="-198"/>
              <w:jc w:val="right"/>
              <w:rPr>
                <w:sz w:val="18"/>
                <w:szCs w:val="18"/>
              </w:rPr>
            </w:pPr>
            <w:r>
              <w:rPr>
                <w:sz w:val="18"/>
                <w:szCs w:val="18"/>
              </w:rPr>
              <w:t>$250,303</w:t>
            </w:r>
            <w:r>
              <w:rPr>
                <w:sz w:val="18"/>
              </w:rPr>
              <w:t xml:space="preserve"> to </w:t>
            </w:r>
            <w:r w:rsidR="002462E6" w:rsidRPr="002462E6">
              <w:rPr>
                <w:sz w:val="18"/>
                <w:szCs w:val="18"/>
              </w:rPr>
              <w:t>$182,846</w:t>
            </w:r>
          </w:p>
        </w:tc>
      </w:tr>
      <w:tr w:rsidR="00D143D9" w:rsidRPr="003613B6" w14:paraId="04DF02F6" w14:textId="77777777" w:rsidTr="0049228A">
        <w:trPr>
          <w:trHeight w:val="300"/>
        </w:trPr>
        <w:tc>
          <w:tcPr>
            <w:tcW w:w="1885" w:type="dxa"/>
            <w:vAlign w:val="center"/>
            <w:hideMark/>
          </w:tcPr>
          <w:p w14:paraId="682A2347" w14:textId="130EC280" w:rsidR="002462E6" w:rsidRPr="003613B6" w:rsidRDefault="002462E6" w:rsidP="002462E6">
            <w:pPr>
              <w:pStyle w:val="Table"/>
              <w:rPr>
                <w:sz w:val="18"/>
              </w:rPr>
            </w:pPr>
            <w:r>
              <w:rPr>
                <w:color w:val="000000"/>
                <w:sz w:val="18"/>
                <w:szCs w:val="18"/>
              </w:rPr>
              <w:t>&gt;1,000,000, CWS</w:t>
            </w:r>
          </w:p>
        </w:tc>
        <w:tc>
          <w:tcPr>
            <w:tcW w:w="1530" w:type="dxa"/>
            <w:tcMar>
              <w:left w:w="115" w:type="dxa"/>
              <w:right w:w="360" w:type="dxa"/>
            </w:tcMar>
            <w:vAlign w:val="center"/>
            <w:hideMark/>
          </w:tcPr>
          <w:p w14:paraId="339843B2" w14:textId="38486592" w:rsidR="002462E6" w:rsidRPr="003613B6" w:rsidRDefault="00D143D9" w:rsidP="0049228A">
            <w:pPr>
              <w:pStyle w:val="Table"/>
              <w:tabs>
                <w:tab w:val="left" w:pos="1046"/>
              </w:tabs>
              <w:ind w:right="-252"/>
              <w:jc w:val="right"/>
              <w:rPr>
                <w:sz w:val="18"/>
              </w:rPr>
            </w:pPr>
            <w:r>
              <w:rPr>
                <w:sz w:val="18"/>
              </w:rPr>
              <w:t xml:space="preserve">7 to </w:t>
            </w:r>
            <w:r w:rsidR="002462E6" w:rsidRPr="002462E6">
              <w:rPr>
                <w:sz w:val="18"/>
              </w:rPr>
              <w:t>5</w:t>
            </w:r>
          </w:p>
        </w:tc>
        <w:tc>
          <w:tcPr>
            <w:tcW w:w="990" w:type="dxa"/>
            <w:vAlign w:val="center"/>
            <w:hideMark/>
          </w:tcPr>
          <w:p w14:paraId="7369C287" w14:textId="4C6D5271" w:rsidR="002462E6" w:rsidRPr="003613B6" w:rsidRDefault="002462E6" w:rsidP="0049228A">
            <w:pPr>
              <w:pStyle w:val="Table"/>
              <w:jc w:val="right"/>
              <w:rPr>
                <w:sz w:val="18"/>
              </w:rPr>
            </w:pPr>
            <w:r>
              <w:rPr>
                <w:color w:val="000000"/>
                <w:sz w:val="18"/>
                <w:szCs w:val="18"/>
              </w:rPr>
              <w:t>40</w:t>
            </w:r>
          </w:p>
        </w:tc>
        <w:tc>
          <w:tcPr>
            <w:tcW w:w="1800" w:type="dxa"/>
            <w:tcMar>
              <w:left w:w="115" w:type="dxa"/>
              <w:right w:w="360" w:type="dxa"/>
            </w:tcMar>
            <w:vAlign w:val="center"/>
            <w:hideMark/>
          </w:tcPr>
          <w:p w14:paraId="3B589E18" w14:textId="19008448" w:rsidR="002462E6" w:rsidRPr="00986121" w:rsidRDefault="00D143D9" w:rsidP="0049228A">
            <w:pPr>
              <w:pStyle w:val="Table"/>
              <w:ind w:right="-270"/>
              <w:jc w:val="right"/>
              <w:rPr>
                <w:sz w:val="18"/>
                <w:szCs w:val="18"/>
              </w:rPr>
            </w:pPr>
            <w:r>
              <w:rPr>
                <w:sz w:val="18"/>
                <w:szCs w:val="18"/>
              </w:rPr>
              <w:t>280</w:t>
            </w:r>
            <w:r>
              <w:rPr>
                <w:sz w:val="18"/>
              </w:rPr>
              <w:t xml:space="preserve"> to </w:t>
            </w:r>
            <w:r w:rsidR="002462E6" w:rsidRPr="002462E6">
              <w:rPr>
                <w:sz w:val="18"/>
                <w:szCs w:val="18"/>
              </w:rPr>
              <w:t>200</w:t>
            </w:r>
          </w:p>
        </w:tc>
        <w:tc>
          <w:tcPr>
            <w:tcW w:w="990" w:type="dxa"/>
            <w:vAlign w:val="center"/>
            <w:hideMark/>
          </w:tcPr>
          <w:p w14:paraId="51B5CBAB" w14:textId="77777777" w:rsidR="002462E6" w:rsidRPr="003613B6" w:rsidRDefault="002462E6" w:rsidP="0049228A">
            <w:pPr>
              <w:pStyle w:val="Table"/>
              <w:jc w:val="right"/>
              <w:rPr>
                <w:sz w:val="18"/>
              </w:rPr>
            </w:pPr>
            <w:r w:rsidRPr="003613B6">
              <w:rPr>
                <w:sz w:val="18"/>
              </w:rPr>
              <w:t>$44.38</w:t>
            </w:r>
          </w:p>
        </w:tc>
        <w:tc>
          <w:tcPr>
            <w:tcW w:w="2160" w:type="dxa"/>
            <w:noWrap/>
            <w:tcMar>
              <w:left w:w="115" w:type="dxa"/>
              <w:right w:w="288" w:type="dxa"/>
            </w:tcMar>
            <w:vAlign w:val="center"/>
            <w:hideMark/>
          </w:tcPr>
          <w:p w14:paraId="46534DDD" w14:textId="70338D35" w:rsidR="002462E6" w:rsidRPr="00986121" w:rsidRDefault="00D143D9" w:rsidP="0049228A">
            <w:pPr>
              <w:pStyle w:val="Table"/>
              <w:ind w:right="-198"/>
              <w:jc w:val="right"/>
              <w:rPr>
                <w:sz w:val="18"/>
                <w:szCs w:val="18"/>
              </w:rPr>
            </w:pPr>
            <w:r>
              <w:rPr>
                <w:sz w:val="18"/>
                <w:szCs w:val="18"/>
              </w:rPr>
              <w:t>$12,426</w:t>
            </w:r>
            <w:r>
              <w:rPr>
                <w:sz w:val="18"/>
              </w:rPr>
              <w:t xml:space="preserve"> to </w:t>
            </w:r>
            <w:r w:rsidR="002462E6" w:rsidRPr="002462E6">
              <w:rPr>
                <w:sz w:val="18"/>
                <w:szCs w:val="18"/>
              </w:rPr>
              <w:t>$8,876</w:t>
            </w:r>
          </w:p>
        </w:tc>
      </w:tr>
      <w:tr w:rsidR="00B63BB0" w:rsidRPr="003613B6" w14:paraId="4C69335C" w14:textId="77777777" w:rsidTr="0049228A">
        <w:trPr>
          <w:trHeight w:val="300"/>
        </w:trPr>
        <w:tc>
          <w:tcPr>
            <w:tcW w:w="1885" w:type="dxa"/>
            <w:vAlign w:val="center"/>
          </w:tcPr>
          <w:p w14:paraId="2B067742" w14:textId="7422BBE5" w:rsidR="00B63BB0" w:rsidRPr="003613B6" w:rsidRDefault="00B63BB0" w:rsidP="00B63BB0">
            <w:pPr>
              <w:pStyle w:val="Table"/>
              <w:rPr>
                <w:sz w:val="18"/>
              </w:rPr>
            </w:pPr>
            <w:r>
              <w:rPr>
                <w:color w:val="000000"/>
                <w:sz w:val="18"/>
                <w:szCs w:val="18"/>
              </w:rPr>
              <w:t>&lt;=100, NTNCWS</w:t>
            </w:r>
          </w:p>
        </w:tc>
        <w:tc>
          <w:tcPr>
            <w:tcW w:w="1530" w:type="dxa"/>
            <w:tcMar>
              <w:left w:w="115" w:type="dxa"/>
              <w:right w:w="360" w:type="dxa"/>
            </w:tcMar>
            <w:vAlign w:val="center"/>
          </w:tcPr>
          <w:p w14:paraId="3219F4EC" w14:textId="26FCB44C" w:rsidR="00B63BB0" w:rsidRPr="002462E6" w:rsidRDefault="00B63BB0" w:rsidP="0049228A">
            <w:pPr>
              <w:pStyle w:val="Table"/>
              <w:ind w:right="-252"/>
              <w:jc w:val="right"/>
              <w:rPr>
                <w:sz w:val="18"/>
              </w:rPr>
            </w:pPr>
            <w:r>
              <w:rPr>
                <w:color w:val="000000"/>
                <w:sz w:val="18"/>
                <w:szCs w:val="18"/>
              </w:rPr>
              <w:t>6,000</w:t>
            </w:r>
          </w:p>
        </w:tc>
        <w:tc>
          <w:tcPr>
            <w:tcW w:w="990" w:type="dxa"/>
            <w:vAlign w:val="center"/>
          </w:tcPr>
          <w:p w14:paraId="28D5C253" w14:textId="42A9FF8D" w:rsidR="00B63BB0" w:rsidRDefault="00B63BB0" w:rsidP="0049228A">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14:paraId="2B8CB3A9" w14:textId="0EBDA855" w:rsidR="00B63BB0" w:rsidRPr="002462E6" w:rsidRDefault="00B63BB0" w:rsidP="0049228A">
            <w:pPr>
              <w:pStyle w:val="Table"/>
              <w:ind w:right="-270"/>
              <w:jc w:val="right"/>
              <w:rPr>
                <w:sz w:val="18"/>
                <w:szCs w:val="18"/>
              </w:rPr>
            </w:pPr>
            <w:r>
              <w:rPr>
                <w:color w:val="000000"/>
                <w:sz w:val="18"/>
                <w:szCs w:val="18"/>
              </w:rPr>
              <w:t>30,000</w:t>
            </w:r>
          </w:p>
        </w:tc>
        <w:tc>
          <w:tcPr>
            <w:tcW w:w="990" w:type="dxa"/>
            <w:vAlign w:val="center"/>
          </w:tcPr>
          <w:p w14:paraId="4FD51523" w14:textId="000C2B2E" w:rsidR="00B63BB0" w:rsidRPr="003613B6" w:rsidRDefault="00B63BB0" w:rsidP="0049228A">
            <w:pPr>
              <w:pStyle w:val="Table"/>
              <w:jc w:val="right"/>
              <w:rPr>
                <w:sz w:val="18"/>
              </w:rPr>
            </w:pPr>
            <w:r w:rsidRPr="003613B6">
              <w:rPr>
                <w:sz w:val="18"/>
              </w:rPr>
              <w:t>$28.64</w:t>
            </w:r>
          </w:p>
        </w:tc>
        <w:tc>
          <w:tcPr>
            <w:tcW w:w="2160" w:type="dxa"/>
            <w:noWrap/>
            <w:tcMar>
              <w:left w:w="115" w:type="dxa"/>
              <w:right w:w="288" w:type="dxa"/>
            </w:tcMar>
            <w:vAlign w:val="center"/>
          </w:tcPr>
          <w:p w14:paraId="3C98C924" w14:textId="3B20A8A6" w:rsidR="00B63BB0" w:rsidRPr="002462E6" w:rsidRDefault="00B63BB0" w:rsidP="0049228A">
            <w:pPr>
              <w:pStyle w:val="Table"/>
              <w:ind w:right="-198"/>
              <w:jc w:val="right"/>
              <w:rPr>
                <w:sz w:val="18"/>
                <w:szCs w:val="18"/>
              </w:rPr>
            </w:pPr>
            <w:r>
              <w:rPr>
                <w:color w:val="000000"/>
                <w:sz w:val="18"/>
                <w:szCs w:val="18"/>
              </w:rPr>
              <w:t xml:space="preserve"> $859,200 </w:t>
            </w:r>
          </w:p>
        </w:tc>
      </w:tr>
      <w:tr w:rsidR="00B63BB0" w:rsidRPr="003613B6" w14:paraId="4BE5EE02" w14:textId="77777777" w:rsidTr="0049228A">
        <w:trPr>
          <w:trHeight w:val="300"/>
        </w:trPr>
        <w:tc>
          <w:tcPr>
            <w:tcW w:w="1885" w:type="dxa"/>
            <w:vAlign w:val="center"/>
          </w:tcPr>
          <w:p w14:paraId="57CA4DD9" w14:textId="738F3274" w:rsidR="00B63BB0" w:rsidRPr="003613B6" w:rsidRDefault="00B63BB0" w:rsidP="00B63BB0">
            <w:pPr>
              <w:pStyle w:val="Table"/>
              <w:rPr>
                <w:sz w:val="18"/>
              </w:rPr>
            </w:pPr>
            <w:r>
              <w:rPr>
                <w:color w:val="000000"/>
                <w:sz w:val="18"/>
                <w:szCs w:val="18"/>
              </w:rPr>
              <w:t>101-500, NTNCWS</w:t>
            </w:r>
          </w:p>
        </w:tc>
        <w:tc>
          <w:tcPr>
            <w:tcW w:w="1530" w:type="dxa"/>
            <w:tcMar>
              <w:left w:w="115" w:type="dxa"/>
              <w:right w:w="360" w:type="dxa"/>
            </w:tcMar>
            <w:vAlign w:val="center"/>
          </w:tcPr>
          <w:p w14:paraId="07196E3A" w14:textId="479D81E7" w:rsidR="00B63BB0" w:rsidRPr="002462E6" w:rsidRDefault="00B63BB0" w:rsidP="0049228A">
            <w:pPr>
              <w:pStyle w:val="Table"/>
              <w:ind w:right="-252"/>
              <w:jc w:val="right"/>
              <w:rPr>
                <w:sz w:val="18"/>
              </w:rPr>
            </w:pPr>
            <w:r>
              <w:rPr>
                <w:color w:val="000000"/>
                <w:sz w:val="18"/>
                <w:szCs w:val="18"/>
              </w:rPr>
              <w:t>4,700</w:t>
            </w:r>
          </w:p>
        </w:tc>
        <w:tc>
          <w:tcPr>
            <w:tcW w:w="990" w:type="dxa"/>
            <w:vAlign w:val="center"/>
          </w:tcPr>
          <w:p w14:paraId="75A66C3A" w14:textId="1CEF6BC5" w:rsidR="00B63BB0" w:rsidRDefault="00B63BB0" w:rsidP="0049228A">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14:paraId="0C92E004" w14:textId="28062275" w:rsidR="00B63BB0" w:rsidRPr="002462E6" w:rsidRDefault="00B63BB0" w:rsidP="0049228A">
            <w:pPr>
              <w:pStyle w:val="Table"/>
              <w:ind w:right="-270"/>
              <w:jc w:val="right"/>
              <w:rPr>
                <w:sz w:val="18"/>
                <w:szCs w:val="18"/>
              </w:rPr>
            </w:pPr>
            <w:r>
              <w:rPr>
                <w:color w:val="000000"/>
                <w:sz w:val="18"/>
                <w:szCs w:val="18"/>
              </w:rPr>
              <w:t>23,500</w:t>
            </w:r>
          </w:p>
        </w:tc>
        <w:tc>
          <w:tcPr>
            <w:tcW w:w="990" w:type="dxa"/>
            <w:vAlign w:val="center"/>
          </w:tcPr>
          <w:p w14:paraId="79A89F24" w14:textId="6DE12EA4" w:rsidR="00B63BB0" w:rsidRPr="003613B6" w:rsidRDefault="00B63BB0" w:rsidP="0049228A">
            <w:pPr>
              <w:pStyle w:val="Table"/>
              <w:jc w:val="right"/>
              <w:rPr>
                <w:sz w:val="18"/>
              </w:rPr>
            </w:pPr>
            <w:r w:rsidRPr="003613B6">
              <w:rPr>
                <w:sz w:val="18"/>
              </w:rPr>
              <w:t>$28.64</w:t>
            </w:r>
          </w:p>
        </w:tc>
        <w:tc>
          <w:tcPr>
            <w:tcW w:w="2160" w:type="dxa"/>
            <w:noWrap/>
            <w:tcMar>
              <w:left w:w="115" w:type="dxa"/>
              <w:right w:w="288" w:type="dxa"/>
            </w:tcMar>
            <w:vAlign w:val="center"/>
          </w:tcPr>
          <w:p w14:paraId="54EE0FEE" w14:textId="6EF2B2EE" w:rsidR="00B63BB0" w:rsidRPr="002462E6" w:rsidRDefault="00B63BB0" w:rsidP="0049228A">
            <w:pPr>
              <w:pStyle w:val="Table"/>
              <w:ind w:right="-198"/>
              <w:jc w:val="right"/>
              <w:rPr>
                <w:sz w:val="18"/>
                <w:szCs w:val="18"/>
              </w:rPr>
            </w:pPr>
            <w:r>
              <w:rPr>
                <w:color w:val="000000"/>
                <w:sz w:val="18"/>
                <w:szCs w:val="18"/>
              </w:rPr>
              <w:t xml:space="preserve"> $673,040 </w:t>
            </w:r>
          </w:p>
        </w:tc>
      </w:tr>
      <w:tr w:rsidR="00B63BB0" w:rsidRPr="003613B6" w14:paraId="6B2C03B6" w14:textId="77777777" w:rsidTr="0049228A">
        <w:trPr>
          <w:trHeight w:val="300"/>
        </w:trPr>
        <w:tc>
          <w:tcPr>
            <w:tcW w:w="1885" w:type="dxa"/>
            <w:vAlign w:val="center"/>
          </w:tcPr>
          <w:p w14:paraId="7838BDBD" w14:textId="578F8C7E" w:rsidR="00B63BB0" w:rsidRPr="003613B6" w:rsidRDefault="00B63BB0" w:rsidP="00B63BB0">
            <w:pPr>
              <w:pStyle w:val="Table"/>
              <w:rPr>
                <w:sz w:val="18"/>
              </w:rPr>
            </w:pPr>
            <w:r>
              <w:rPr>
                <w:color w:val="000000"/>
                <w:sz w:val="18"/>
                <w:szCs w:val="18"/>
              </w:rPr>
              <w:t>501-1,000, NTNCWS</w:t>
            </w:r>
          </w:p>
        </w:tc>
        <w:tc>
          <w:tcPr>
            <w:tcW w:w="1530" w:type="dxa"/>
            <w:tcMar>
              <w:left w:w="115" w:type="dxa"/>
              <w:right w:w="360" w:type="dxa"/>
            </w:tcMar>
            <w:vAlign w:val="center"/>
          </w:tcPr>
          <w:p w14:paraId="33D3FEF0" w14:textId="008D60E6" w:rsidR="00B63BB0" w:rsidRPr="002462E6" w:rsidRDefault="00B63BB0" w:rsidP="0049228A">
            <w:pPr>
              <w:pStyle w:val="Table"/>
              <w:ind w:right="-252"/>
              <w:jc w:val="right"/>
              <w:rPr>
                <w:sz w:val="18"/>
              </w:rPr>
            </w:pPr>
            <w:r>
              <w:rPr>
                <w:color w:val="000000"/>
                <w:sz w:val="18"/>
                <w:szCs w:val="18"/>
              </w:rPr>
              <w:t>1,161</w:t>
            </w:r>
          </w:p>
        </w:tc>
        <w:tc>
          <w:tcPr>
            <w:tcW w:w="990" w:type="dxa"/>
            <w:vAlign w:val="center"/>
          </w:tcPr>
          <w:p w14:paraId="66E7F9A7" w14:textId="0E64BDB2" w:rsidR="00B63BB0" w:rsidRDefault="00B63BB0" w:rsidP="0049228A">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14:paraId="6C616BE8" w14:textId="49CE0B50" w:rsidR="00B63BB0" w:rsidRPr="002462E6" w:rsidRDefault="00B63BB0" w:rsidP="0049228A">
            <w:pPr>
              <w:pStyle w:val="Table"/>
              <w:ind w:right="-270"/>
              <w:jc w:val="right"/>
              <w:rPr>
                <w:sz w:val="18"/>
                <w:szCs w:val="18"/>
              </w:rPr>
            </w:pPr>
            <w:r>
              <w:rPr>
                <w:color w:val="000000"/>
                <w:sz w:val="18"/>
                <w:szCs w:val="18"/>
              </w:rPr>
              <w:t>5,805</w:t>
            </w:r>
          </w:p>
        </w:tc>
        <w:tc>
          <w:tcPr>
            <w:tcW w:w="990" w:type="dxa"/>
            <w:vAlign w:val="center"/>
          </w:tcPr>
          <w:p w14:paraId="7075A73A" w14:textId="72C74CDA" w:rsidR="00B63BB0" w:rsidRPr="003613B6" w:rsidRDefault="00B63BB0" w:rsidP="0049228A">
            <w:pPr>
              <w:pStyle w:val="Table"/>
              <w:jc w:val="right"/>
              <w:rPr>
                <w:sz w:val="18"/>
              </w:rPr>
            </w:pPr>
            <w:r w:rsidRPr="003613B6">
              <w:rPr>
                <w:sz w:val="18"/>
              </w:rPr>
              <w:t>$28.64</w:t>
            </w:r>
          </w:p>
        </w:tc>
        <w:tc>
          <w:tcPr>
            <w:tcW w:w="2160" w:type="dxa"/>
            <w:noWrap/>
            <w:tcMar>
              <w:left w:w="115" w:type="dxa"/>
              <w:right w:w="288" w:type="dxa"/>
            </w:tcMar>
            <w:vAlign w:val="center"/>
          </w:tcPr>
          <w:p w14:paraId="6C9D5753" w14:textId="6FC7515D" w:rsidR="00B63BB0" w:rsidRPr="002462E6" w:rsidRDefault="00B63BB0" w:rsidP="0049228A">
            <w:pPr>
              <w:pStyle w:val="Table"/>
              <w:ind w:right="-198"/>
              <w:jc w:val="right"/>
              <w:rPr>
                <w:sz w:val="18"/>
                <w:szCs w:val="18"/>
              </w:rPr>
            </w:pPr>
            <w:r>
              <w:rPr>
                <w:color w:val="000000"/>
                <w:sz w:val="18"/>
                <w:szCs w:val="18"/>
              </w:rPr>
              <w:t xml:space="preserve"> $166,255 </w:t>
            </w:r>
          </w:p>
        </w:tc>
      </w:tr>
      <w:tr w:rsidR="00B63BB0" w:rsidRPr="003613B6" w14:paraId="6082110F" w14:textId="77777777" w:rsidTr="0049228A">
        <w:trPr>
          <w:trHeight w:val="300"/>
        </w:trPr>
        <w:tc>
          <w:tcPr>
            <w:tcW w:w="1885" w:type="dxa"/>
            <w:vAlign w:val="center"/>
          </w:tcPr>
          <w:p w14:paraId="256AF204" w14:textId="390D9D75" w:rsidR="00B63BB0" w:rsidRPr="003613B6" w:rsidRDefault="00B63BB0" w:rsidP="00B63BB0">
            <w:pPr>
              <w:pStyle w:val="Table"/>
              <w:rPr>
                <w:sz w:val="18"/>
              </w:rPr>
            </w:pPr>
            <w:r>
              <w:rPr>
                <w:color w:val="000000"/>
                <w:sz w:val="18"/>
                <w:szCs w:val="18"/>
              </w:rPr>
              <w:t>1,001-3,300, NTNCWS</w:t>
            </w:r>
          </w:p>
        </w:tc>
        <w:tc>
          <w:tcPr>
            <w:tcW w:w="1530" w:type="dxa"/>
            <w:tcMar>
              <w:left w:w="115" w:type="dxa"/>
              <w:right w:w="360" w:type="dxa"/>
            </w:tcMar>
            <w:vAlign w:val="center"/>
          </w:tcPr>
          <w:p w14:paraId="12D343F8" w14:textId="4ACB1333" w:rsidR="00B63BB0" w:rsidRPr="002462E6" w:rsidRDefault="00B63BB0" w:rsidP="0049228A">
            <w:pPr>
              <w:pStyle w:val="Table"/>
              <w:ind w:right="-252"/>
              <w:jc w:val="right"/>
              <w:rPr>
                <w:sz w:val="18"/>
              </w:rPr>
            </w:pPr>
            <w:r>
              <w:rPr>
                <w:color w:val="000000"/>
                <w:sz w:val="18"/>
                <w:szCs w:val="18"/>
              </w:rPr>
              <w:t>676</w:t>
            </w:r>
          </w:p>
        </w:tc>
        <w:tc>
          <w:tcPr>
            <w:tcW w:w="990" w:type="dxa"/>
            <w:vAlign w:val="center"/>
          </w:tcPr>
          <w:p w14:paraId="4DE343A1" w14:textId="0094D801" w:rsidR="00B63BB0" w:rsidRDefault="00B63BB0" w:rsidP="0049228A">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14:paraId="22A65CB8" w14:textId="692F4CF7" w:rsidR="00B63BB0" w:rsidRPr="002462E6" w:rsidRDefault="00B63BB0" w:rsidP="0049228A">
            <w:pPr>
              <w:pStyle w:val="Table"/>
              <w:ind w:right="-270"/>
              <w:jc w:val="right"/>
              <w:rPr>
                <w:sz w:val="18"/>
                <w:szCs w:val="18"/>
              </w:rPr>
            </w:pPr>
            <w:r>
              <w:rPr>
                <w:color w:val="000000"/>
                <w:sz w:val="18"/>
                <w:szCs w:val="18"/>
              </w:rPr>
              <w:t>3,380</w:t>
            </w:r>
          </w:p>
        </w:tc>
        <w:tc>
          <w:tcPr>
            <w:tcW w:w="990" w:type="dxa"/>
            <w:vAlign w:val="center"/>
          </w:tcPr>
          <w:p w14:paraId="633FC187" w14:textId="62DC37D0" w:rsidR="00B63BB0" w:rsidRPr="003613B6" w:rsidRDefault="00B63BB0" w:rsidP="0049228A">
            <w:pPr>
              <w:pStyle w:val="Table"/>
              <w:jc w:val="right"/>
              <w:rPr>
                <w:sz w:val="18"/>
              </w:rPr>
            </w:pPr>
            <w:r w:rsidRPr="003613B6">
              <w:rPr>
                <w:sz w:val="18"/>
              </w:rPr>
              <w:t>$28.64</w:t>
            </w:r>
          </w:p>
        </w:tc>
        <w:tc>
          <w:tcPr>
            <w:tcW w:w="2160" w:type="dxa"/>
            <w:noWrap/>
            <w:tcMar>
              <w:left w:w="115" w:type="dxa"/>
              <w:right w:w="288" w:type="dxa"/>
            </w:tcMar>
            <w:vAlign w:val="center"/>
          </w:tcPr>
          <w:p w14:paraId="1FF04B36" w14:textId="4B96351B" w:rsidR="00B63BB0" w:rsidRPr="002462E6" w:rsidRDefault="00B63BB0" w:rsidP="0049228A">
            <w:pPr>
              <w:pStyle w:val="Table"/>
              <w:ind w:right="-198"/>
              <w:jc w:val="right"/>
              <w:rPr>
                <w:sz w:val="18"/>
                <w:szCs w:val="18"/>
              </w:rPr>
            </w:pPr>
            <w:r>
              <w:rPr>
                <w:color w:val="000000"/>
                <w:sz w:val="18"/>
                <w:szCs w:val="18"/>
              </w:rPr>
              <w:t xml:space="preserve"> $96,803 </w:t>
            </w:r>
          </w:p>
        </w:tc>
      </w:tr>
      <w:tr w:rsidR="00B63BB0" w:rsidRPr="003613B6" w14:paraId="3D501422" w14:textId="77777777" w:rsidTr="0049228A">
        <w:trPr>
          <w:trHeight w:val="300"/>
        </w:trPr>
        <w:tc>
          <w:tcPr>
            <w:tcW w:w="1885" w:type="dxa"/>
            <w:vAlign w:val="center"/>
          </w:tcPr>
          <w:p w14:paraId="56800958" w14:textId="5A5E699E" w:rsidR="00B63BB0" w:rsidRPr="003613B6" w:rsidRDefault="00B63BB0" w:rsidP="00B63BB0">
            <w:pPr>
              <w:pStyle w:val="Table"/>
              <w:rPr>
                <w:sz w:val="18"/>
              </w:rPr>
            </w:pPr>
            <w:r>
              <w:rPr>
                <w:color w:val="000000"/>
                <w:sz w:val="18"/>
                <w:szCs w:val="18"/>
              </w:rPr>
              <w:t>3,301-10,000, NTNCWS</w:t>
            </w:r>
          </w:p>
        </w:tc>
        <w:tc>
          <w:tcPr>
            <w:tcW w:w="1530" w:type="dxa"/>
            <w:tcMar>
              <w:left w:w="115" w:type="dxa"/>
              <w:right w:w="360" w:type="dxa"/>
            </w:tcMar>
            <w:vAlign w:val="center"/>
          </w:tcPr>
          <w:p w14:paraId="08F35807" w14:textId="6BAC557B" w:rsidR="00B63BB0" w:rsidRPr="002462E6" w:rsidRDefault="00B63BB0" w:rsidP="0049228A">
            <w:pPr>
              <w:pStyle w:val="Table"/>
              <w:ind w:right="-252"/>
              <w:jc w:val="right"/>
              <w:rPr>
                <w:sz w:val="18"/>
              </w:rPr>
            </w:pPr>
            <w:r>
              <w:rPr>
                <w:color w:val="000000"/>
                <w:sz w:val="18"/>
                <w:szCs w:val="18"/>
              </w:rPr>
              <w:t>119</w:t>
            </w:r>
          </w:p>
        </w:tc>
        <w:tc>
          <w:tcPr>
            <w:tcW w:w="990" w:type="dxa"/>
            <w:vAlign w:val="center"/>
          </w:tcPr>
          <w:p w14:paraId="7A84BCF6" w14:textId="56A89F2F" w:rsidR="00B63BB0" w:rsidRDefault="00B63BB0" w:rsidP="0049228A">
            <w:pPr>
              <w:pStyle w:val="Table"/>
              <w:jc w:val="right"/>
              <w:rPr>
                <w:color w:val="000000"/>
                <w:sz w:val="18"/>
                <w:szCs w:val="18"/>
              </w:rPr>
            </w:pPr>
            <w:r>
              <w:rPr>
                <w:color w:val="000000"/>
                <w:sz w:val="18"/>
                <w:szCs w:val="18"/>
              </w:rPr>
              <w:t>10</w:t>
            </w:r>
          </w:p>
        </w:tc>
        <w:tc>
          <w:tcPr>
            <w:tcW w:w="1800" w:type="dxa"/>
            <w:tcMar>
              <w:left w:w="115" w:type="dxa"/>
              <w:right w:w="360" w:type="dxa"/>
            </w:tcMar>
            <w:vAlign w:val="center"/>
          </w:tcPr>
          <w:p w14:paraId="515220F4" w14:textId="1DEFB241" w:rsidR="00B63BB0" w:rsidRPr="002462E6" w:rsidRDefault="00B63BB0" w:rsidP="0049228A">
            <w:pPr>
              <w:pStyle w:val="Table"/>
              <w:ind w:right="-270"/>
              <w:jc w:val="right"/>
              <w:rPr>
                <w:sz w:val="18"/>
                <w:szCs w:val="18"/>
              </w:rPr>
            </w:pPr>
            <w:r>
              <w:rPr>
                <w:color w:val="000000"/>
                <w:sz w:val="18"/>
                <w:szCs w:val="18"/>
              </w:rPr>
              <w:t>1,190</w:t>
            </w:r>
          </w:p>
        </w:tc>
        <w:tc>
          <w:tcPr>
            <w:tcW w:w="990" w:type="dxa"/>
            <w:vAlign w:val="center"/>
          </w:tcPr>
          <w:p w14:paraId="56C70695" w14:textId="355600B4" w:rsidR="00B63BB0" w:rsidRPr="003613B6" w:rsidRDefault="00B63BB0" w:rsidP="0049228A">
            <w:pPr>
              <w:pStyle w:val="Table"/>
              <w:jc w:val="right"/>
              <w:rPr>
                <w:sz w:val="18"/>
              </w:rPr>
            </w:pPr>
            <w:r w:rsidRPr="003613B6">
              <w:rPr>
                <w:sz w:val="18"/>
              </w:rPr>
              <w:t>$33.74</w:t>
            </w:r>
          </w:p>
        </w:tc>
        <w:tc>
          <w:tcPr>
            <w:tcW w:w="2160" w:type="dxa"/>
            <w:noWrap/>
            <w:tcMar>
              <w:left w:w="115" w:type="dxa"/>
              <w:right w:w="288" w:type="dxa"/>
            </w:tcMar>
            <w:vAlign w:val="center"/>
          </w:tcPr>
          <w:p w14:paraId="2C546915" w14:textId="5C8033C2" w:rsidR="00B63BB0" w:rsidRPr="002462E6" w:rsidRDefault="00B63BB0" w:rsidP="0049228A">
            <w:pPr>
              <w:pStyle w:val="Table"/>
              <w:ind w:right="-198"/>
              <w:jc w:val="right"/>
              <w:rPr>
                <w:sz w:val="18"/>
                <w:szCs w:val="18"/>
              </w:rPr>
            </w:pPr>
            <w:r>
              <w:rPr>
                <w:color w:val="000000"/>
                <w:sz w:val="18"/>
                <w:szCs w:val="18"/>
              </w:rPr>
              <w:t xml:space="preserve"> $40,151 </w:t>
            </w:r>
          </w:p>
        </w:tc>
      </w:tr>
      <w:tr w:rsidR="00B63BB0" w:rsidRPr="003613B6" w14:paraId="40BA2929" w14:textId="77777777" w:rsidTr="0049228A">
        <w:trPr>
          <w:trHeight w:val="300"/>
        </w:trPr>
        <w:tc>
          <w:tcPr>
            <w:tcW w:w="1885" w:type="dxa"/>
            <w:vAlign w:val="center"/>
          </w:tcPr>
          <w:p w14:paraId="526EA054" w14:textId="7306C39D" w:rsidR="00B63BB0" w:rsidRPr="003613B6" w:rsidRDefault="00B63BB0" w:rsidP="00B63BB0">
            <w:pPr>
              <w:pStyle w:val="Table"/>
              <w:rPr>
                <w:sz w:val="18"/>
              </w:rPr>
            </w:pPr>
            <w:r>
              <w:rPr>
                <w:color w:val="000000"/>
                <w:sz w:val="18"/>
                <w:szCs w:val="18"/>
              </w:rPr>
              <w:t>10,001-50,000, NTNCWS</w:t>
            </w:r>
          </w:p>
        </w:tc>
        <w:tc>
          <w:tcPr>
            <w:tcW w:w="1530" w:type="dxa"/>
            <w:tcMar>
              <w:left w:w="115" w:type="dxa"/>
              <w:right w:w="360" w:type="dxa"/>
            </w:tcMar>
            <w:vAlign w:val="center"/>
          </w:tcPr>
          <w:p w14:paraId="7909AABA" w14:textId="4D583FB3" w:rsidR="00B63BB0" w:rsidRPr="002462E6" w:rsidRDefault="00B63BB0" w:rsidP="0049228A">
            <w:pPr>
              <w:pStyle w:val="Table"/>
              <w:ind w:right="-252"/>
              <w:jc w:val="right"/>
              <w:rPr>
                <w:sz w:val="18"/>
              </w:rPr>
            </w:pPr>
            <w:r>
              <w:rPr>
                <w:color w:val="000000"/>
                <w:sz w:val="18"/>
                <w:szCs w:val="18"/>
              </w:rPr>
              <w:t>16</w:t>
            </w:r>
          </w:p>
        </w:tc>
        <w:tc>
          <w:tcPr>
            <w:tcW w:w="990" w:type="dxa"/>
            <w:vAlign w:val="center"/>
          </w:tcPr>
          <w:p w14:paraId="02E79736" w14:textId="0F963BD6" w:rsidR="00B63BB0" w:rsidRDefault="00B63BB0" w:rsidP="0049228A">
            <w:pPr>
              <w:pStyle w:val="Table"/>
              <w:jc w:val="right"/>
              <w:rPr>
                <w:color w:val="000000"/>
                <w:sz w:val="18"/>
                <w:szCs w:val="18"/>
              </w:rPr>
            </w:pPr>
            <w:r>
              <w:rPr>
                <w:color w:val="000000"/>
                <w:sz w:val="18"/>
                <w:szCs w:val="18"/>
              </w:rPr>
              <w:t>10</w:t>
            </w:r>
          </w:p>
        </w:tc>
        <w:tc>
          <w:tcPr>
            <w:tcW w:w="1800" w:type="dxa"/>
            <w:tcMar>
              <w:left w:w="115" w:type="dxa"/>
              <w:right w:w="360" w:type="dxa"/>
            </w:tcMar>
            <w:vAlign w:val="center"/>
          </w:tcPr>
          <w:p w14:paraId="09A0ACFD" w14:textId="11823A84" w:rsidR="00B63BB0" w:rsidRPr="002462E6" w:rsidRDefault="00B63BB0" w:rsidP="0049228A">
            <w:pPr>
              <w:pStyle w:val="Table"/>
              <w:ind w:right="-270"/>
              <w:jc w:val="right"/>
              <w:rPr>
                <w:sz w:val="18"/>
                <w:szCs w:val="18"/>
              </w:rPr>
            </w:pPr>
            <w:r>
              <w:rPr>
                <w:color w:val="000000"/>
                <w:sz w:val="18"/>
                <w:szCs w:val="18"/>
              </w:rPr>
              <w:t>160</w:t>
            </w:r>
          </w:p>
        </w:tc>
        <w:tc>
          <w:tcPr>
            <w:tcW w:w="990" w:type="dxa"/>
            <w:vAlign w:val="center"/>
          </w:tcPr>
          <w:p w14:paraId="74192C7E" w14:textId="3F65C093" w:rsidR="00B63BB0" w:rsidRPr="003613B6" w:rsidRDefault="00B63BB0" w:rsidP="0049228A">
            <w:pPr>
              <w:pStyle w:val="Table"/>
              <w:jc w:val="right"/>
              <w:rPr>
                <w:sz w:val="18"/>
              </w:rPr>
            </w:pPr>
            <w:r w:rsidRPr="003613B6">
              <w:rPr>
                <w:sz w:val="18"/>
              </w:rPr>
              <w:t>$36.15</w:t>
            </w:r>
          </w:p>
        </w:tc>
        <w:tc>
          <w:tcPr>
            <w:tcW w:w="2160" w:type="dxa"/>
            <w:noWrap/>
            <w:tcMar>
              <w:left w:w="115" w:type="dxa"/>
              <w:right w:w="288" w:type="dxa"/>
            </w:tcMar>
            <w:vAlign w:val="center"/>
          </w:tcPr>
          <w:p w14:paraId="04CCD2A8" w14:textId="3D4E8958" w:rsidR="00B63BB0" w:rsidRPr="002462E6" w:rsidRDefault="00B63BB0" w:rsidP="0049228A">
            <w:pPr>
              <w:pStyle w:val="Table"/>
              <w:ind w:right="-198"/>
              <w:jc w:val="right"/>
              <w:rPr>
                <w:sz w:val="18"/>
                <w:szCs w:val="18"/>
              </w:rPr>
            </w:pPr>
            <w:r>
              <w:rPr>
                <w:color w:val="000000"/>
                <w:sz w:val="18"/>
                <w:szCs w:val="18"/>
              </w:rPr>
              <w:t xml:space="preserve"> $5,784 </w:t>
            </w:r>
          </w:p>
        </w:tc>
      </w:tr>
      <w:tr w:rsidR="00B63BB0" w:rsidRPr="003613B6" w14:paraId="535FC6CC" w14:textId="77777777" w:rsidTr="0049228A">
        <w:trPr>
          <w:trHeight w:val="300"/>
        </w:trPr>
        <w:tc>
          <w:tcPr>
            <w:tcW w:w="1885" w:type="dxa"/>
            <w:vAlign w:val="center"/>
          </w:tcPr>
          <w:p w14:paraId="7C0C8DB8" w14:textId="658B497B" w:rsidR="00B63BB0" w:rsidRPr="003613B6" w:rsidRDefault="00B63BB0" w:rsidP="00B63BB0">
            <w:pPr>
              <w:pStyle w:val="Table"/>
              <w:rPr>
                <w:sz w:val="18"/>
              </w:rPr>
            </w:pPr>
            <w:r>
              <w:rPr>
                <w:color w:val="000000"/>
                <w:sz w:val="18"/>
                <w:szCs w:val="18"/>
              </w:rPr>
              <w:t>50,001-100,000, NTNCWS</w:t>
            </w:r>
          </w:p>
        </w:tc>
        <w:tc>
          <w:tcPr>
            <w:tcW w:w="1530" w:type="dxa"/>
            <w:tcMar>
              <w:left w:w="115" w:type="dxa"/>
              <w:right w:w="360" w:type="dxa"/>
            </w:tcMar>
            <w:vAlign w:val="center"/>
          </w:tcPr>
          <w:p w14:paraId="08A5C348" w14:textId="4D90A525" w:rsidR="00B63BB0" w:rsidRPr="002462E6" w:rsidRDefault="00B63BB0" w:rsidP="0049228A">
            <w:pPr>
              <w:pStyle w:val="Table"/>
              <w:ind w:right="-252"/>
              <w:jc w:val="right"/>
              <w:rPr>
                <w:sz w:val="18"/>
              </w:rPr>
            </w:pPr>
            <w:r>
              <w:rPr>
                <w:color w:val="000000"/>
                <w:sz w:val="18"/>
                <w:szCs w:val="18"/>
              </w:rPr>
              <w:t>1</w:t>
            </w:r>
          </w:p>
        </w:tc>
        <w:tc>
          <w:tcPr>
            <w:tcW w:w="990" w:type="dxa"/>
            <w:vAlign w:val="center"/>
          </w:tcPr>
          <w:p w14:paraId="5A416950" w14:textId="4C0B8F27" w:rsidR="00B63BB0" w:rsidRDefault="00B63BB0" w:rsidP="0049228A">
            <w:pPr>
              <w:pStyle w:val="Table"/>
              <w:jc w:val="right"/>
              <w:rPr>
                <w:color w:val="000000"/>
                <w:sz w:val="18"/>
                <w:szCs w:val="18"/>
              </w:rPr>
            </w:pPr>
            <w:r>
              <w:rPr>
                <w:color w:val="000000"/>
                <w:sz w:val="18"/>
                <w:szCs w:val="18"/>
              </w:rPr>
              <w:t>20</w:t>
            </w:r>
          </w:p>
        </w:tc>
        <w:tc>
          <w:tcPr>
            <w:tcW w:w="1800" w:type="dxa"/>
            <w:tcMar>
              <w:left w:w="115" w:type="dxa"/>
              <w:right w:w="360" w:type="dxa"/>
            </w:tcMar>
            <w:vAlign w:val="center"/>
          </w:tcPr>
          <w:p w14:paraId="1A71F8D5" w14:textId="727FA3A8" w:rsidR="00B63BB0" w:rsidRPr="002462E6" w:rsidRDefault="00B63BB0" w:rsidP="0049228A">
            <w:pPr>
              <w:pStyle w:val="Table"/>
              <w:ind w:right="-270"/>
              <w:jc w:val="right"/>
              <w:rPr>
                <w:sz w:val="18"/>
                <w:szCs w:val="18"/>
              </w:rPr>
            </w:pPr>
            <w:r>
              <w:rPr>
                <w:color w:val="000000"/>
                <w:sz w:val="18"/>
                <w:szCs w:val="18"/>
              </w:rPr>
              <w:t>20</w:t>
            </w:r>
          </w:p>
        </w:tc>
        <w:tc>
          <w:tcPr>
            <w:tcW w:w="990" w:type="dxa"/>
            <w:vAlign w:val="center"/>
          </w:tcPr>
          <w:p w14:paraId="2163C3E5" w14:textId="3D99904F" w:rsidR="00B63BB0" w:rsidRPr="003613B6" w:rsidRDefault="00B63BB0" w:rsidP="0049228A">
            <w:pPr>
              <w:pStyle w:val="Table"/>
              <w:jc w:val="right"/>
              <w:rPr>
                <w:sz w:val="18"/>
              </w:rPr>
            </w:pPr>
            <w:r w:rsidRPr="003613B6">
              <w:rPr>
                <w:sz w:val="18"/>
              </w:rPr>
              <w:t>$39.01</w:t>
            </w:r>
          </w:p>
        </w:tc>
        <w:tc>
          <w:tcPr>
            <w:tcW w:w="2160" w:type="dxa"/>
            <w:noWrap/>
            <w:tcMar>
              <w:left w:w="115" w:type="dxa"/>
              <w:right w:w="288" w:type="dxa"/>
            </w:tcMar>
            <w:vAlign w:val="center"/>
          </w:tcPr>
          <w:p w14:paraId="0B5EEABB" w14:textId="08F7D614" w:rsidR="00B63BB0" w:rsidRPr="002462E6" w:rsidRDefault="00B63BB0" w:rsidP="0049228A">
            <w:pPr>
              <w:pStyle w:val="Table"/>
              <w:ind w:right="-198"/>
              <w:jc w:val="right"/>
              <w:rPr>
                <w:sz w:val="18"/>
                <w:szCs w:val="18"/>
              </w:rPr>
            </w:pPr>
            <w:r>
              <w:rPr>
                <w:color w:val="000000"/>
                <w:sz w:val="18"/>
                <w:szCs w:val="18"/>
              </w:rPr>
              <w:t xml:space="preserve"> $780 </w:t>
            </w:r>
          </w:p>
        </w:tc>
      </w:tr>
      <w:tr w:rsidR="00B63BB0" w:rsidRPr="003613B6" w14:paraId="5CC32C5B" w14:textId="77777777" w:rsidTr="0049228A">
        <w:trPr>
          <w:trHeight w:val="300"/>
        </w:trPr>
        <w:tc>
          <w:tcPr>
            <w:tcW w:w="1885" w:type="dxa"/>
            <w:vAlign w:val="center"/>
          </w:tcPr>
          <w:p w14:paraId="6FF85BC6" w14:textId="2B8EDFCF" w:rsidR="00B63BB0" w:rsidRPr="003613B6" w:rsidRDefault="00B63BB0" w:rsidP="00B63BB0">
            <w:pPr>
              <w:pStyle w:val="Table"/>
              <w:rPr>
                <w:sz w:val="18"/>
              </w:rPr>
            </w:pPr>
            <w:r>
              <w:rPr>
                <w:color w:val="000000"/>
                <w:sz w:val="18"/>
                <w:szCs w:val="18"/>
              </w:rPr>
              <w:t>100,001-1,000,000, NTNCWS</w:t>
            </w:r>
          </w:p>
        </w:tc>
        <w:tc>
          <w:tcPr>
            <w:tcW w:w="1530" w:type="dxa"/>
            <w:tcMar>
              <w:left w:w="115" w:type="dxa"/>
              <w:right w:w="360" w:type="dxa"/>
            </w:tcMar>
            <w:vAlign w:val="center"/>
          </w:tcPr>
          <w:p w14:paraId="25E5A51B" w14:textId="411C6498" w:rsidR="00B63BB0" w:rsidRPr="002462E6" w:rsidRDefault="00B63BB0" w:rsidP="0049228A">
            <w:pPr>
              <w:pStyle w:val="Table"/>
              <w:ind w:right="-252"/>
              <w:jc w:val="right"/>
              <w:rPr>
                <w:sz w:val="18"/>
              </w:rPr>
            </w:pPr>
            <w:r>
              <w:rPr>
                <w:color w:val="000000"/>
                <w:sz w:val="18"/>
                <w:szCs w:val="18"/>
              </w:rPr>
              <w:t>0</w:t>
            </w:r>
          </w:p>
        </w:tc>
        <w:tc>
          <w:tcPr>
            <w:tcW w:w="990" w:type="dxa"/>
            <w:vAlign w:val="center"/>
          </w:tcPr>
          <w:p w14:paraId="75FBBF1E" w14:textId="25B651BA" w:rsidR="00B63BB0" w:rsidRDefault="00B63BB0" w:rsidP="0049228A">
            <w:pPr>
              <w:pStyle w:val="Table"/>
              <w:jc w:val="right"/>
              <w:rPr>
                <w:color w:val="000000"/>
                <w:sz w:val="18"/>
                <w:szCs w:val="18"/>
              </w:rPr>
            </w:pPr>
            <w:r>
              <w:rPr>
                <w:color w:val="000000"/>
                <w:sz w:val="18"/>
                <w:szCs w:val="18"/>
              </w:rPr>
              <w:t>20</w:t>
            </w:r>
          </w:p>
        </w:tc>
        <w:tc>
          <w:tcPr>
            <w:tcW w:w="1800" w:type="dxa"/>
            <w:tcMar>
              <w:left w:w="115" w:type="dxa"/>
              <w:right w:w="360" w:type="dxa"/>
            </w:tcMar>
            <w:vAlign w:val="center"/>
          </w:tcPr>
          <w:p w14:paraId="55DFD895" w14:textId="5E6A2369" w:rsidR="00B63BB0" w:rsidRPr="002462E6" w:rsidRDefault="00B63BB0" w:rsidP="0049228A">
            <w:pPr>
              <w:pStyle w:val="Table"/>
              <w:ind w:right="-270"/>
              <w:jc w:val="right"/>
              <w:rPr>
                <w:sz w:val="18"/>
                <w:szCs w:val="18"/>
              </w:rPr>
            </w:pPr>
            <w:r>
              <w:rPr>
                <w:color w:val="000000"/>
                <w:sz w:val="18"/>
                <w:szCs w:val="18"/>
              </w:rPr>
              <w:t>0</w:t>
            </w:r>
          </w:p>
        </w:tc>
        <w:tc>
          <w:tcPr>
            <w:tcW w:w="990" w:type="dxa"/>
            <w:vAlign w:val="center"/>
          </w:tcPr>
          <w:p w14:paraId="0784C18C" w14:textId="4741F66C" w:rsidR="00B63BB0" w:rsidRPr="003613B6" w:rsidRDefault="00B63BB0" w:rsidP="0049228A">
            <w:pPr>
              <w:pStyle w:val="Table"/>
              <w:jc w:val="right"/>
              <w:rPr>
                <w:sz w:val="18"/>
              </w:rPr>
            </w:pPr>
            <w:r w:rsidRPr="003613B6">
              <w:rPr>
                <w:sz w:val="18"/>
              </w:rPr>
              <w:t>$44.38</w:t>
            </w:r>
          </w:p>
        </w:tc>
        <w:tc>
          <w:tcPr>
            <w:tcW w:w="2160" w:type="dxa"/>
            <w:noWrap/>
            <w:tcMar>
              <w:left w:w="115" w:type="dxa"/>
              <w:right w:w="288" w:type="dxa"/>
            </w:tcMar>
            <w:vAlign w:val="center"/>
          </w:tcPr>
          <w:p w14:paraId="0B01BD2D" w14:textId="15BF4A59" w:rsidR="00B63BB0" w:rsidRPr="002462E6" w:rsidRDefault="0049228A" w:rsidP="0049228A">
            <w:pPr>
              <w:pStyle w:val="Table"/>
              <w:ind w:right="-198"/>
              <w:jc w:val="right"/>
              <w:rPr>
                <w:sz w:val="18"/>
                <w:szCs w:val="18"/>
              </w:rPr>
            </w:pPr>
            <w:r>
              <w:rPr>
                <w:color w:val="000000"/>
                <w:sz w:val="18"/>
                <w:szCs w:val="18"/>
              </w:rPr>
              <w:t xml:space="preserve"> $0</w:t>
            </w:r>
            <w:r w:rsidR="00B63BB0">
              <w:rPr>
                <w:color w:val="000000"/>
                <w:sz w:val="18"/>
                <w:szCs w:val="18"/>
              </w:rPr>
              <w:t xml:space="preserve">   </w:t>
            </w:r>
          </w:p>
        </w:tc>
      </w:tr>
      <w:tr w:rsidR="00B63BB0" w:rsidRPr="003613B6" w14:paraId="6E1F974E" w14:textId="77777777" w:rsidTr="0049228A">
        <w:trPr>
          <w:trHeight w:val="300"/>
        </w:trPr>
        <w:tc>
          <w:tcPr>
            <w:tcW w:w="1885" w:type="dxa"/>
            <w:vAlign w:val="center"/>
          </w:tcPr>
          <w:p w14:paraId="68E63391" w14:textId="232CBFCC" w:rsidR="00B63BB0" w:rsidRPr="003613B6" w:rsidRDefault="00B63BB0" w:rsidP="00B63BB0">
            <w:pPr>
              <w:pStyle w:val="Table"/>
              <w:rPr>
                <w:sz w:val="18"/>
              </w:rPr>
            </w:pPr>
            <w:r>
              <w:rPr>
                <w:color w:val="000000"/>
                <w:sz w:val="18"/>
                <w:szCs w:val="18"/>
              </w:rPr>
              <w:t>&gt;1,000,000, NTNCWS</w:t>
            </w:r>
          </w:p>
        </w:tc>
        <w:tc>
          <w:tcPr>
            <w:tcW w:w="1530" w:type="dxa"/>
            <w:tcMar>
              <w:left w:w="115" w:type="dxa"/>
              <w:right w:w="360" w:type="dxa"/>
            </w:tcMar>
            <w:vAlign w:val="center"/>
          </w:tcPr>
          <w:p w14:paraId="625529AD" w14:textId="794BE120" w:rsidR="00B63BB0" w:rsidRPr="002462E6" w:rsidRDefault="00B63BB0" w:rsidP="0049228A">
            <w:pPr>
              <w:pStyle w:val="Table"/>
              <w:ind w:right="-252"/>
              <w:jc w:val="right"/>
              <w:rPr>
                <w:sz w:val="18"/>
              </w:rPr>
            </w:pPr>
            <w:r>
              <w:rPr>
                <w:color w:val="000000"/>
                <w:sz w:val="18"/>
                <w:szCs w:val="18"/>
              </w:rPr>
              <w:t>0</w:t>
            </w:r>
          </w:p>
        </w:tc>
        <w:tc>
          <w:tcPr>
            <w:tcW w:w="990" w:type="dxa"/>
            <w:vAlign w:val="center"/>
          </w:tcPr>
          <w:p w14:paraId="782CB02E" w14:textId="28DD60FE" w:rsidR="00B63BB0" w:rsidRDefault="00B63BB0" w:rsidP="0049228A">
            <w:pPr>
              <w:pStyle w:val="Table"/>
              <w:jc w:val="center"/>
              <w:rPr>
                <w:color w:val="000000"/>
                <w:sz w:val="18"/>
                <w:szCs w:val="18"/>
              </w:rPr>
            </w:pPr>
            <w:r>
              <w:rPr>
                <w:color w:val="000000"/>
                <w:sz w:val="18"/>
                <w:szCs w:val="18"/>
              </w:rPr>
              <w:t>not applicable</w:t>
            </w:r>
          </w:p>
        </w:tc>
        <w:tc>
          <w:tcPr>
            <w:tcW w:w="1800" w:type="dxa"/>
            <w:tcMar>
              <w:left w:w="115" w:type="dxa"/>
              <w:right w:w="360" w:type="dxa"/>
            </w:tcMar>
            <w:vAlign w:val="center"/>
          </w:tcPr>
          <w:p w14:paraId="656FC8D9" w14:textId="4FDEAEB0" w:rsidR="00B63BB0" w:rsidRPr="002462E6" w:rsidRDefault="00B63BB0" w:rsidP="0049228A">
            <w:pPr>
              <w:pStyle w:val="Table"/>
              <w:ind w:right="-270"/>
              <w:jc w:val="right"/>
              <w:rPr>
                <w:sz w:val="18"/>
                <w:szCs w:val="18"/>
              </w:rPr>
            </w:pPr>
            <w:r>
              <w:rPr>
                <w:color w:val="000000"/>
                <w:sz w:val="18"/>
                <w:szCs w:val="18"/>
              </w:rPr>
              <w:t>0</w:t>
            </w:r>
          </w:p>
        </w:tc>
        <w:tc>
          <w:tcPr>
            <w:tcW w:w="990" w:type="dxa"/>
            <w:vAlign w:val="center"/>
          </w:tcPr>
          <w:p w14:paraId="0C791BA8" w14:textId="48977143" w:rsidR="00B63BB0" w:rsidRPr="003613B6" w:rsidRDefault="00B63BB0" w:rsidP="0049228A">
            <w:pPr>
              <w:pStyle w:val="Table"/>
              <w:jc w:val="right"/>
              <w:rPr>
                <w:sz w:val="18"/>
              </w:rPr>
            </w:pPr>
            <w:r w:rsidRPr="003613B6">
              <w:rPr>
                <w:sz w:val="18"/>
              </w:rPr>
              <w:t>$44.38</w:t>
            </w:r>
          </w:p>
        </w:tc>
        <w:tc>
          <w:tcPr>
            <w:tcW w:w="2160" w:type="dxa"/>
            <w:noWrap/>
            <w:tcMar>
              <w:left w:w="115" w:type="dxa"/>
              <w:right w:w="288" w:type="dxa"/>
            </w:tcMar>
            <w:vAlign w:val="center"/>
          </w:tcPr>
          <w:p w14:paraId="1D26A1F3" w14:textId="59F76BC0" w:rsidR="00B63BB0" w:rsidRPr="002462E6" w:rsidRDefault="0049228A" w:rsidP="0049228A">
            <w:pPr>
              <w:pStyle w:val="Table"/>
              <w:ind w:right="-198"/>
              <w:jc w:val="right"/>
              <w:rPr>
                <w:sz w:val="18"/>
                <w:szCs w:val="18"/>
              </w:rPr>
            </w:pPr>
            <w:r>
              <w:rPr>
                <w:color w:val="000000"/>
                <w:sz w:val="18"/>
                <w:szCs w:val="18"/>
              </w:rPr>
              <w:t xml:space="preserve"> $0</w:t>
            </w:r>
            <w:r w:rsidR="00B63BB0">
              <w:rPr>
                <w:color w:val="000000"/>
                <w:sz w:val="18"/>
                <w:szCs w:val="18"/>
              </w:rPr>
              <w:t xml:space="preserve"> </w:t>
            </w:r>
          </w:p>
        </w:tc>
      </w:tr>
      <w:tr w:rsidR="00B63BB0" w:rsidRPr="003613B6" w14:paraId="0BD6701A" w14:textId="77777777" w:rsidTr="0049228A">
        <w:trPr>
          <w:trHeight w:val="300"/>
        </w:trPr>
        <w:tc>
          <w:tcPr>
            <w:tcW w:w="1885" w:type="dxa"/>
            <w:vAlign w:val="center"/>
            <w:hideMark/>
          </w:tcPr>
          <w:p w14:paraId="7A814B84" w14:textId="77777777" w:rsidR="00B63BB0" w:rsidRPr="003613B6" w:rsidRDefault="00B63BB0" w:rsidP="00B63BB0">
            <w:pPr>
              <w:pStyle w:val="Table"/>
              <w:rPr>
                <w:b/>
                <w:sz w:val="18"/>
              </w:rPr>
            </w:pPr>
            <w:r w:rsidRPr="003613B6">
              <w:rPr>
                <w:b/>
                <w:sz w:val="18"/>
              </w:rPr>
              <w:t xml:space="preserve">System </w:t>
            </w:r>
            <w:r>
              <w:rPr>
                <w:b/>
                <w:sz w:val="18"/>
              </w:rPr>
              <w:t>3-year T</w:t>
            </w:r>
            <w:r w:rsidRPr="003613B6">
              <w:rPr>
                <w:b/>
                <w:sz w:val="18"/>
              </w:rPr>
              <w:t>otal</w:t>
            </w:r>
          </w:p>
        </w:tc>
        <w:tc>
          <w:tcPr>
            <w:tcW w:w="1530" w:type="dxa"/>
            <w:tcMar>
              <w:left w:w="115" w:type="dxa"/>
              <w:right w:w="360" w:type="dxa"/>
            </w:tcMar>
            <w:vAlign w:val="center"/>
            <w:hideMark/>
          </w:tcPr>
          <w:p w14:paraId="4D3AF0FA" w14:textId="04BD2285" w:rsidR="00B63BB0" w:rsidRPr="00D143D9" w:rsidRDefault="00B63BB0" w:rsidP="0049228A">
            <w:pPr>
              <w:pStyle w:val="Table"/>
              <w:tabs>
                <w:tab w:val="left" w:pos="1032"/>
              </w:tabs>
              <w:ind w:right="-252"/>
              <w:jc w:val="right"/>
              <w:rPr>
                <w:b/>
                <w:sz w:val="18"/>
              </w:rPr>
            </w:pPr>
            <w:r w:rsidRPr="00D143D9">
              <w:rPr>
                <w:b/>
                <w:sz w:val="18"/>
              </w:rPr>
              <w:t>44,037</w:t>
            </w:r>
            <w:r w:rsidRPr="00313D27">
              <w:rPr>
                <w:b/>
                <w:sz w:val="18"/>
              </w:rPr>
              <w:t xml:space="preserve"> to </w:t>
            </w:r>
            <w:r w:rsidRPr="00D143D9">
              <w:rPr>
                <w:b/>
                <w:sz w:val="18"/>
              </w:rPr>
              <w:t>41,806</w:t>
            </w:r>
          </w:p>
        </w:tc>
        <w:tc>
          <w:tcPr>
            <w:tcW w:w="990" w:type="dxa"/>
            <w:vAlign w:val="center"/>
            <w:hideMark/>
          </w:tcPr>
          <w:p w14:paraId="693B818E" w14:textId="77777777" w:rsidR="00B63BB0" w:rsidRPr="003613B6" w:rsidRDefault="00B63BB0" w:rsidP="0049228A">
            <w:pPr>
              <w:pStyle w:val="Table"/>
              <w:jc w:val="center"/>
              <w:rPr>
                <w:b/>
                <w:sz w:val="18"/>
              </w:rPr>
            </w:pPr>
            <w:r w:rsidRPr="003613B6">
              <w:rPr>
                <w:b/>
                <w:sz w:val="18"/>
              </w:rPr>
              <w:t>not applicable</w:t>
            </w:r>
          </w:p>
        </w:tc>
        <w:tc>
          <w:tcPr>
            <w:tcW w:w="1800" w:type="dxa"/>
            <w:tcMar>
              <w:left w:w="115" w:type="dxa"/>
              <w:right w:w="360" w:type="dxa"/>
            </w:tcMar>
            <w:vAlign w:val="center"/>
            <w:hideMark/>
          </w:tcPr>
          <w:p w14:paraId="2AE62384" w14:textId="03D94B34" w:rsidR="00B63BB0" w:rsidRPr="00D143D9" w:rsidRDefault="00B63BB0" w:rsidP="0049228A">
            <w:pPr>
              <w:pStyle w:val="Table"/>
              <w:ind w:right="-270"/>
              <w:jc w:val="right"/>
              <w:rPr>
                <w:b/>
                <w:sz w:val="18"/>
                <w:szCs w:val="18"/>
              </w:rPr>
            </w:pPr>
            <w:r w:rsidRPr="00D143D9">
              <w:rPr>
                <w:b/>
                <w:sz w:val="18"/>
                <w:szCs w:val="18"/>
              </w:rPr>
              <w:t>434,455</w:t>
            </w:r>
            <w:r w:rsidRPr="00313D27">
              <w:rPr>
                <w:b/>
                <w:sz w:val="18"/>
              </w:rPr>
              <w:t xml:space="preserve"> to </w:t>
            </w:r>
            <w:r w:rsidRPr="00D143D9">
              <w:rPr>
                <w:b/>
                <w:sz w:val="18"/>
                <w:szCs w:val="18"/>
              </w:rPr>
              <w:t>401,995</w:t>
            </w:r>
          </w:p>
        </w:tc>
        <w:tc>
          <w:tcPr>
            <w:tcW w:w="990" w:type="dxa"/>
            <w:vAlign w:val="center"/>
            <w:hideMark/>
          </w:tcPr>
          <w:p w14:paraId="59ED4D40" w14:textId="77777777" w:rsidR="00B63BB0" w:rsidRPr="003613B6" w:rsidRDefault="00B63BB0" w:rsidP="0049228A">
            <w:pPr>
              <w:pStyle w:val="Table"/>
              <w:jc w:val="center"/>
              <w:rPr>
                <w:b/>
                <w:sz w:val="18"/>
              </w:rPr>
            </w:pPr>
            <w:r w:rsidRPr="003613B6">
              <w:rPr>
                <w:b/>
                <w:sz w:val="18"/>
              </w:rPr>
              <w:t>not applicable</w:t>
            </w:r>
          </w:p>
        </w:tc>
        <w:tc>
          <w:tcPr>
            <w:tcW w:w="2160" w:type="dxa"/>
            <w:noWrap/>
            <w:tcMar>
              <w:left w:w="115" w:type="dxa"/>
              <w:right w:w="288" w:type="dxa"/>
            </w:tcMar>
            <w:vAlign w:val="center"/>
            <w:hideMark/>
          </w:tcPr>
          <w:p w14:paraId="7FB98955" w14:textId="4879529B" w:rsidR="00B63BB0" w:rsidRPr="00D143D9" w:rsidRDefault="00B63BB0" w:rsidP="0049228A">
            <w:pPr>
              <w:pStyle w:val="Table"/>
              <w:ind w:right="-198"/>
              <w:jc w:val="right"/>
              <w:rPr>
                <w:b/>
                <w:sz w:val="18"/>
                <w:szCs w:val="18"/>
              </w:rPr>
            </w:pPr>
            <w:r w:rsidRPr="00D143D9">
              <w:rPr>
                <w:b/>
                <w:sz w:val="18"/>
                <w:szCs w:val="18"/>
              </w:rPr>
              <w:t>13,171,203</w:t>
            </w:r>
            <w:r w:rsidRPr="00313D27">
              <w:rPr>
                <w:b/>
                <w:sz w:val="18"/>
              </w:rPr>
              <w:t xml:space="preserve"> to </w:t>
            </w:r>
            <w:r w:rsidRPr="00D143D9">
              <w:rPr>
                <w:b/>
                <w:sz w:val="18"/>
                <w:szCs w:val="18"/>
              </w:rPr>
              <w:t>12,121,265</w:t>
            </w:r>
          </w:p>
        </w:tc>
      </w:tr>
      <w:tr w:rsidR="00B63BB0" w:rsidRPr="003613B6" w14:paraId="088FF6BE" w14:textId="77777777" w:rsidTr="0049228A">
        <w:trPr>
          <w:trHeight w:val="300"/>
        </w:trPr>
        <w:tc>
          <w:tcPr>
            <w:tcW w:w="1885" w:type="dxa"/>
            <w:vAlign w:val="center"/>
          </w:tcPr>
          <w:p w14:paraId="3C97506A" w14:textId="77777777" w:rsidR="00B63BB0" w:rsidRPr="003613B6" w:rsidRDefault="00B63BB0" w:rsidP="00B63BB0">
            <w:pPr>
              <w:pStyle w:val="Table"/>
              <w:rPr>
                <w:b/>
                <w:sz w:val="18"/>
              </w:rPr>
            </w:pPr>
            <w:r>
              <w:rPr>
                <w:b/>
                <w:bCs/>
                <w:sz w:val="18"/>
              </w:rPr>
              <w:t>Annual Average</w:t>
            </w:r>
          </w:p>
        </w:tc>
        <w:tc>
          <w:tcPr>
            <w:tcW w:w="1530" w:type="dxa"/>
            <w:vAlign w:val="center"/>
          </w:tcPr>
          <w:p w14:paraId="13F4CA7A" w14:textId="77777777" w:rsidR="00B63BB0" w:rsidRPr="003613B6" w:rsidRDefault="00B63BB0" w:rsidP="0049228A">
            <w:pPr>
              <w:pStyle w:val="Table"/>
              <w:jc w:val="right"/>
              <w:rPr>
                <w:b/>
                <w:sz w:val="18"/>
              </w:rPr>
            </w:pPr>
            <w:r>
              <w:rPr>
                <w:b/>
                <w:bCs/>
                <w:sz w:val="18"/>
              </w:rPr>
              <w:t>not applicable</w:t>
            </w:r>
          </w:p>
        </w:tc>
        <w:tc>
          <w:tcPr>
            <w:tcW w:w="990" w:type="dxa"/>
            <w:vAlign w:val="center"/>
          </w:tcPr>
          <w:p w14:paraId="3108673D" w14:textId="77777777" w:rsidR="00B63BB0" w:rsidRPr="003613B6" w:rsidRDefault="00B63BB0" w:rsidP="0049228A">
            <w:pPr>
              <w:pStyle w:val="Table"/>
              <w:jc w:val="center"/>
              <w:rPr>
                <w:b/>
                <w:sz w:val="18"/>
              </w:rPr>
            </w:pPr>
            <w:r>
              <w:rPr>
                <w:b/>
                <w:bCs/>
                <w:sz w:val="18"/>
              </w:rPr>
              <w:t>not applicable</w:t>
            </w:r>
          </w:p>
        </w:tc>
        <w:tc>
          <w:tcPr>
            <w:tcW w:w="1800" w:type="dxa"/>
            <w:tcMar>
              <w:left w:w="115" w:type="dxa"/>
              <w:right w:w="360" w:type="dxa"/>
            </w:tcMar>
            <w:vAlign w:val="center"/>
          </w:tcPr>
          <w:p w14:paraId="2A6D5C7D" w14:textId="7BA5EA4E" w:rsidR="00B63BB0" w:rsidRPr="002A1815" w:rsidRDefault="00B63BB0" w:rsidP="0049228A">
            <w:pPr>
              <w:pStyle w:val="Table"/>
              <w:ind w:right="-270"/>
              <w:jc w:val="right"/>
              <w:rPr>
                <w:b/>
                <w:sz w:val="18"/>
                <w:szCs w:val="18"/>
                <w:highlight w:val="yellow"/>
              </w:rPr>
            </w:pPr>
            <w:r w:rsidRPr="00D143D9">
              <w:rPr>
                <w:b/>
                <w:bCs/>
                <w:sz w:val="18"/>
              </w:rPr>
              <w:t>144,818</w:t>
            </w:r>
            <w:r w:rsidRPr="00313D27">
              <w:rPr>
                <w:b/>
                <w:sz w:val="18"/>
              </w:rPr>
              <w:t xml:space="preserve"> to </w:t>
            </w:r>
            <w:r w:rsidRPr="00D143D9">
              <w:rPr>
                <w:b/>
                <w:bCs/>
                <w:sz w:val="18"/>
              </w:rPr>
              <w:t>133,998</w:t>
            </w:r>
          </w:p>
        </w:tc>
        <w:tc>
          <w:tcPr>
            <w:tcW w:w="990" w:type="dxa"/>
            <w:vAlign w:val="center"/>
          </w:tcPr>
          <w:p w14:paraId="4081EC45" w14:textId="77777777" w:rsidR="00B63BB0" w:rsidRPr="003613B6" w:rsidRDefault="00B63BB0" w:rsidP="0049228A">
            <w:pPr>
              <w:pStyle w:val="Table"/>
              <w:jc w:val="center"/>
              <w:rPr>
                <w:b/>
                <w:sz w:val="18"/>
              </w:rPr>
            </w:pPr>
            <w:r>
              <w:rPr>
                <w:b/>
                <w:bCs/>
                <w:sz w:val="18"/>
              </w:rPr>
              <w:t>not applicable</w:t>
            </w:r>
          </w:p>
        </w:tc>
        <w:tc>
          <w:tcPr>
            <w:tcW w:w="2160" w:type="dxa"/>
            <w:noWrap/>
            <w:tcMar>
              <w:left w:w="115" w:type="dxa"/>
              <w:right w:w="288" w:type="dxa"/>
            </w:tcMar>
            <w:vAlign w:val="center"/>
          </w:tcPr>
          <w:p w14:paraId="5351EA22" w14:textId="271AB670" w:rsidR="00B63BB0" w:rsidRPr="00D143D9" w:rsidRDefault="00B63BB0" w:rsidP="0049228A">
            <w:pPr>
              <w:pStyle w:val="Table"/>
              <w:ind w:right="-198"/>
              <w:jc w:val="right"/>
              <w:rPr>
                <w:b/>
                <w:sz w:val="18"/>
                <w:szCs w:val="18"/>
                <w:highlight w:val="yellow"/>
              </w:rPr>
            </w:pPr>
            <w:r w:rsidRPr="00D143D9">
              <w:rPr>
                <w:b/>
                <w:bCs/>
                <w:sz w:val="18"/>
              </w:rPr>
              <w:t>$4,390,401</w:t>
            </w:r>
            <w:r w:rsidRPr="00313D27">
              <w:rPr>
                <w:b/>
                <w:sz w:val="18"/>
              </w:rPr>
              <w:t xml:space="preserve"> to </w:t>
            </w:r>
            <w:r w:rsidRPr="00D143D9">
              <w:rPr>
                <w:b/>
                <w:bCs/>
                <w:sz w:val="18"/>
              </w:rPr>
              <w:t>$4,040,422</w:t>
            </w:r>
          </w:p>
        </w:tc>
      </w:tr>
    </w:tbl>
    <w:p w14:paraId="15F98914" w14:textId="4004FF5F" w:rsidR="004750F7" w:rsidRDefault="004750F7" w:rsidP="004750F7">
      <w:pPr>
        <w:pStyle w:val="TableNote"/>
      </w:pPr>
      <w:r>
        <w:t>Notes: Detail may not add exactly to total due to independent rounding.</w:t>
      </w:r>
      <w:r w:rsidR="00B63BB0">
        <w:t xml:space="preserve"> Ranges shown reflect the </w:t>
      </w:r>
      <w:r w:rsidR="0008027F">
        <w:t>low-</w:t>
      </w:r>
      <w:r w:rsidR="00B63BB0">
        <w:t>cost scenario to the high cost scenario. The number of systems submitting demonstrations of no LSLs is lower in the high cost scenario because more systems are estimated to have LSLs in that scenario. Thus, the total burden and associated with this activity in the high cost scenario is lower, because these systems would instead undertake the higher burden and cost activities of an LSL inventory and LSLR planning.</w:t>
      </w:r>
    </w:p>
    <w:p w14:paraId="210C84A2" w14:textId="0A88F3DF" w:rsidR="00986121" w:rsidRDefault="00986121" w:rsidP="00986121">
      <w:pPr>
        <w:pStyle w:val="Caption"/>
        <w:rPr>
          <w:noProof/>
        </w:rPr>
      </w:pPr>
      <w:bookmarkStart w:id="126" w:name="_Ref11156888"/>
      <w:bookmarkStart w:id="127" w:name="_Toc23139297"/>
      <w:r>
        <w:t xml:space="preserve">Exhibit </w:t>
      </w:r>
      <w:r>
        <w:rPr>
          <w:noProof/>
        </w:rPr>
        <w:fldChar w:fldCharType="begin"/>
      </w:r>
      <w:r>
        <w:rPr>
          <w:noProof/>
        </w:rPr>
        <w:instrText xml:space="preserve"> SEQ Exhibit \* ARABIC </w:instrText>
      </w:r>
      <w:r>
        <w:rPr>
          <w:noProof/>
        </w:rPr>
        <w:fldChar w:fldCharType="separate"/>
      </w:r>
      <w:r w:rsidR="007A79EF">
        <w:rPr>
          <w:noProof/>
        </w:rPr>
        <w:t>8</w:t>
      </w:r>
      <w:r>
        <w:rPr>
          <w:noProof/>
        </w:rPr>
        <w:fldChar w:fldCharType="end"/>
      </w:r>
      <w:bookmarkEnd w:id="126"/>
      <w:r>
        <w:rPr>
          <w:noProof/>
        </w:rPr>
        <w:t xml:space="preserve">. </w:t>
      </w:r>
      <w:r w:rsidRPr="004F0396">
        <w:rPr>
          <w:noProof/>
        </w:rPr>
        <w:t xml:space="preserve">Burden and Costs for </w:t>
      </w:r>
      <w:r>
        <w:rPr>
          <w:noProof/>
        </w:rPr>
        <w:t>Public Water Systems for Preparing and Submitting a Lead Service Line Replacement Plan</w:t>
      </w:r>
      <w:r w:rsidR="00E71DB1">
        <w:rPr>
          <w:noProof/>
        </w:rPr>
        <w:t>, 3-</w:t>
      </w:r>
      <w:r w:rsidR="00044AC4">
        <w:rPr>
          <w:noProof/>
        </w:rPr>
        <w:t>Y</w:t>
      </w:r>
      <w:r w:rsidR="00E71DB1">
        <w:rPr>
          <w:noProof/>
        </w:rPr>
        <w:t>ear Total</w:t>
      </w:r>
      <w:bookmarkEnd w:id="127"/>
    </w:p>
    <w:tbl>
      <w:tblPr>
        <w:tblStyle w:val="TableGrid"/>
        <w:tblW w:w="0" w:type="auto"/>
        <w:tblCellMar>
          <w:left w:w="43" w:type="dxa"/>
          <w:right w:w="43" w:type="dxa"/>
        </w:tblCellMar>
        <w:tblLook w:val="04A0" w:firstRow="1" w:lastRow="0" w:firstColumn="1" w:lastColumn="0" w:noHBand="0" w:noVBand="1"/>
      </w:tblPr>
      <w:tblGrid>
        <w:gridCol w:w="1861"/>
        <w:gridCol w:w="1357"/>
        <w:gridCol w:w="1097"/>
        <w:gridCol w:w="1603"/>
        <w:gridCol w:w="1097"/>
        <w:gridCol w:w="2335"/>
      </w:tblGrid>
      <w:tr w:rsidR="00357FC2" w:rsidRPr="003613B6" w14:paraId="2B12A823" w14:textId="77777777" w:rsidTr="0049228A">
        <w:trPr>
          <w:trHeight w:val="540"/>
          <w:tblHeader/>
        </w:trPr>
        <w:tc>
          <w:tcPr>
            <w:tcW w:w="1861" w:type="dxa"/>
            <w:vAlign w:val="center"/>
            <w:hideMark/>
          </w:tcPr>
          <w:p w14:paraId="7848EF73" w14:textId="2CE07B8B" w:rsidR="00986121" w:rsidRPr="003613B6" w:rsidRDefault="00313D27" w:rsidP="0031118A">
            <w:pPr>
              <w:pStyle w:val="Table"/>
              <w:jc w:val="center"/>
              <w:rPr>
                <w:b/>
                <w:bCs/>
                <w:sz w:val="18"/>
              </w:rPr>
            </w:pPr>
            <w:r w:rsidRPr="003613B6">
              <w:rPr>
                <w:b/>
                <w:sz w:val="18"/>
              </w:rPr>
              <w:t>Respondent service population size category</w:t>
            </w:r>
            <w:r>
              <w:rPr>
                <w:b/>
                <w:sz w:val="18"/>
              </w:rPr>
              <w:t xml:space="preserve"> and type</w:t>
            </w:r>
          </w:p>
        </w:tc>
        <w:tc>
          <w:tcPr>
            <w:tcW w:w="1357" w:type="dxa"/>
            <w:vAlign w:val="center"/>
            <w:hideMark/>
          </w:tcPr>
          <w:p w14:paraId="2116FC40" w14:textId="77777777" w:rsidR="00986121" w:rsidRPr="003613B6" w:rsidRDefault="00986121" w:rsidP="0031118A">
            <w:pPr>
              <w:pStyle w:val="Table"/>
              <w:jc w:val="center"/>
              <w:rPr>
                <w:b/>
                <w:bCs/>
                <w:sz w:val="18"/>
              </w:rPr>
            </w:pPr>
            <w:r w:rsidRPr="003613B6">
              <w:rPr>
                <w:b/>
                <w:bCs/>
                <w:sz w:val="18"/>
              </w:rPr>
              <w:t>Respondents</w:t>
            </w:r>
          </w:p>
        </w:tc>
        <w:tc>
          <w:tcPr>
            <w:tcW w:w="1097" w:type="dxa"/>
            <w:vAlign w:val="center"/>
            <w:hideMark/>
          </w:tcPr>
          <w:p w14:paraId="09D7E544" w14:textId="77777777" w:rsidR="00986121" w:rsidRPr="003613B6" w:rsidRDefault="00986121" w:rsidP="0031118A">
            <w:pPr>
              <w:pStyle w:val="Table"/>
              <w:jc w:val="center"/>
              <w:rPr>
                <w:b/>
                <w:bCs/>
                <w:sz w:val="18"/>
              </w:rPr>
            </w:pPr>
            <w:r>
              <w:rPr>
                <w:b/>
                <w:bCs/>
                <w:sz w:val="18"/>
              </w:rPr>
              <w:t>Burden per R</w:t>
            </w:r>
            <w:r w:rsidRPr="003613B6">
              <w:rPr>
                <w:b/>
                <w:bCs/>
                <w:sz w:val="18"/>
              </w:rPr>
              <w:t>esponse</w:t>
            </w:r>
            <w:r>
              <w:rPr>
                <w:b/>
                <w:bCs/>
                <w:sz w:val="18"/>
              </w:rPr>
              <w:t xml:space="preserve"> (hours)</w:t>
            </w:r>
          </w:p>
        </w:tc>
        <w:tc>
          <w:tcPr>
            <w:tcW w:w="1603" w:type="dxa"/>
            <w:vAlign w:val="center"/>
            <w:hideMark/>
          </w:tcPr>
          <w:p w14:paraId="3A831627" w14:textId="77777777" w:rsidR="00986121" w:rsidRPr="003613B6" w:rsidRDefault="00986121" w:rsidP="0031118A">
            <w:pPr>
              <w:pStyle w:val="Table"/>
              <w:jc w:val="center"/>
              <w:rPr>
                <w:b/>
                <w:bCs/>
                <w:sz w:val="18"/>
              </w:rPr>
            </w:pPr>
            <w:r w:rsidRPr="003613B6">
              <w:rPr>
                <w:b/>
                <w:bCs/>
                <w:sz w:val="18"/>
              </w:rPr>
              <w:t>Burden</w:t>
            </w:r>
            <w:r>
              <w:rPr>
                <w:b/>
                <w:bCs/>
                <w:sz w:val="18"/>
              </w:rPr>
              <w:t xml:space="preserve"> (hours)</w:t>
            </w:r>
          </w:p>
        </w:tc>
        <w:tc>
          <w:tcPr>
            <w:tcW w:w="1097" w:type="dxa"/>
            <w:vAlign w:val="center"/>
            <w:hideMark/>
          </w:tcPr>
          <w:p w14:paraId="51F5B5B3" w14:textId="77777777" w:rsidR="00986121" w:rsidRPr="003613B6" w:rsidRDefault="00986121" w:rsidP="0031118A">
            <w:pPr>
              <w:pStyle w:val="Table"/>
              <w:jc w:val="center"/>
              <w:rPr>
                <w:b/>
                <w:bCs/>
                <w:sz w:val="18"/>
              </w:rPr>
            </w:pPr>
            <w:r w:rsidRPr="003613B6">
              <w:rPr>
                <w:b/>
                <w:bCs/>
                <w:sz w:val="18"/>
              </w:rPr>
              <w:t>Labor Rate ($/hour)</w:t>
            </w:r>
          </w:p>
        </w:tc>
        <w:tc>
          <w:tcPr>
            <w:tcW w:w="2335" w:type="dxa"/>
            <w:vAlign w:val="center"/>
            <w:hideMark/>
          </w:tcPr>
          <w:p w14:paraId="5A488491" w14:textId="77777777" w:rsidR="00986121" w:rsidRPr="003613B6" w:rsidRDefault="00986121" w:rsidP="0031118A">
            <w:pPr>
              <w:pStyle w:val="Table"/>
              <w:jc w:val="center"/>
              <w:rPr>
                <w:b/>
                <w:bCs/>
                <w:sz w:val="18"/>
              </w:rPr>
            </w:pPr>
            <w:r w:rsidRPr="003613B6">
              <w:rPr>
                <w:b/>
                <w:bCs/>
                <w:sz w:val="18"/>
              </w:rPr>
              <w:t>Cost</w:t>
            </w:r>
            <w:r>
              <w:rPr>
                <w:b/>
                <w:bCs/>
                <w:sz w:val="18"/>
              </w:rPr>
              <w:t xml:space="preserve"> (2016 dollars)</w:t>
            </w:r>
          </w:p>
        </w:tc>
      </w:tr>
      <w:tr w:rsidR="00357FC2" w:rsidRPr="003613B6" w14:paraId="3C6D29C9" w14:textId="77777777" w:rsidTr="0049228A">
        <w:trPr>
          <w:trHeight w:val="300"/>
        </w:trPr>
        <w:tc>
          <w:tcPr>
            <w:tcW w:w="1861" w:type="dxa"/>
            <w:vAlign w:val="center"/>
            <w:hideMark/>
          </w:tcPr>
          <w:p w14:paraId="05C90B0E" w14:textId="46D5A328" w:rsidR="002A1815" w:rsidRPr="003613B6" w:rsidRDefault="002A1815" w:rsidP="002A1815">
            <w:pPr>
              <w:pStyle w:val="Table"/>
              <w:rPr>
                <w:sz w:val="18"/>
              </w:rPr>
            </w:pPr>
            <w:r>
              <w:rPr>
                <w:color w:val="000000"/>
                <w:sz w:val="18"/>
                <w:szCs w:val="18"/>
              </w:rPr>
              <w:t>&lt;=100, CWS</w:t>
            </w:r>
          </w:p>
        </w:tc>
        <w:tc>
          <w:tcPr>
            <w:tcW w:w="1357" w:type="dxa"/>
            <w:tcMar>
              <w:left w:w="115" w:type="dxa"/>
              <w:right w:w="360" w:type="dxa"/>
            </w:tcMar>
            <w:vAlign w:val="center"/>
            <w:hideMark/>
          </w:tcPr>
          <w:p w14:paraId="0CB9BE61" w14:textId="0CE0FF6A" w:rsidR="002A1815" w:rsidRPr="002450B1" w:rsidRDefault="00357FC2" w:rsidP="0049228A">
            <w:pPr>
              <w:pStyle w:val="Table"/>
              <w:ind w:right="-272"/>
              <w:jc w:val="right"/>
              <w:rPr>
                <w:sz w:val="18"/>
                <w:szCs w:val="18"/>
              </w:rPr>
            </w:pPr>
            <w:r>
              <w:rPr>
                <w:sz w:val="18"/>
                <w:szCs w:val="18"/>
              </w:rPr>
              <w:t xml:space="preserve">2,430 to </w:t>
            </w:r>
            <w:r w:rsidR="002A1815" w:rsidRPr="002A1815">
              <w:rPr>
                <w:sz w:val="18"/>
                <w:szCs w:val="18"/>
              </w:rPr>
              <w:t>1,754</w:t>
            </w:r>
          </w:p>
        </w:tc>
        <w:tc>
          <w:tcPr>
            <w:tcW w:w="1097" w:type="dxa"/>
            <w:vAlign w:val="center"/>
            <w:hideMark/>
          </w:tcPr>
          <w:p w14:paraId="4CC93BBF" w14:textId="2D2DA6C1" w:rsidR="002A1815" w:rsidRPr="00EA69E3" w:rsidRDefault="002A1815" w:rsidP="002A1815">
            <w:pPr>
              <w:pStyle w:val="Table"/>
              <w:jc w:val="center"/>
              <w:rPr>
                <w:sz w:val="18"/>
                <w:szCs w:val="18"/>
              </w:rPr>
            </w:pPr>
            <w:r>
              <w:rPr>
                <w:color w:val="000000"/>
                <w:sz w:val="18"/>
                <w:szCs w:val="18"/>
              </w:rPr>
              <w:t>5</w:t>
            </w:r>
          </w:p>
        </w:tc>
        <w:tc>
          <w:tcPr>
            <w:tcW w:w="1603" w:type="dxa"/>
            <w:tcMar>
              <w:left w:w="115" w:type="dxa"/>
              <w:right w:w="360" w:type="dxa"/>
            </w:tcMar>
            <w:vAlign w:val="center"/>
            <w:hideMark/>
          </w:tcPr>
          <w:p w14:paraId="5F05E42E" w14:textId="4B630544" w:rsidR="002A1815" w:rsidRPr="00A355B6" w:rsidRDefault="002A1815" w:rsidP="0049228A">
            <w:pPr>
              <w:pStyle w:val="Table"/>
              <w:ind w:right="-281"/>
              <w:jc w:val="right"/>
              <w:rPr>
                <w:sz w:val="18"/>
                <w:szCs w:val="18"/>
              </w:rPr>
            </w:pPr>
            <w:r w:rsidRPr="002A1815">
              <w:rPr>
                <w:sz w:val="18"/>
                <w:szCs w:val="18"/>
              </w:rPr>
              <w:t>12,1</w:t>
            </w:r>
            <w:r w:rsidR="00357FC2">
              <w:rPr>
                <w:sz w:val="18"/>
                <w:szCs w:val="18"/>
              </w:rPr>
              <w:t xml:space="preserve">50 to </w:t>
            </w:r>
            <w:r w:rsidRPr="002A1815">
              <w:rPr>
                <w:sz w:val="18"/>
                <w:szCs w:val="18"/>
              </w:rPr>
              <w:t>8,770</w:t>
            </w:r>
          </w:p>
        </w:tc>
        <w:tc>
          <w:tcPr>
            <w:tcW w:w="1097" w:type="dxa"/>
            <w:vAlign w:val="center"/>
            <w:hideMark/>
          </w:tcPr>
          <w:p w14:paraId="000F91BB" w14:textId="77777777"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hideMark/>
          </w:tcPr>
          <w:p w14:paraId="70565E51" w14:textId="30CDE2A9" w:rsidR="002A1815" w:rsidRPr="00A355B6" w:rsidRDefault="00357FC2" w:rsidP="0049228A">
            <w:pPr>
              <w:pStyle w:val="Table"/>
              <w:ind w:right="-203"/>
              <w:jc w:val="right"/>
              <w:rPr>
                <w:sz w:val="18"/>
                <w:szCs w:val="18"/>
              </w:rPr>
            </w:pPr>
            <w:r>
              <w:rPr>
                <w:sz w:val="18"/>
                <w:szCs w:val="18"/>
              </w:rPr>
              <w:t xml:space="preserve">$347,976 to </w:t>
            </w:r>
            <w:r w:rsidR="002A1815" w:rsidRPr="002A1815">
              <w:rPr>
                <w:sz w:val="18"/>
                <w:szCs w:val="18"/>
              </w:rPr>
              <w:t>$251,173</w:t>
            </w:r>
          </w:p>
        </w:tc>
      </w:tr>
      <w:tr w:rsidR="00357FC2" w:rsidRPr="003613B6" w14:paraId="7F503EEA" w14:textId="77777777" w:rsidTr="0049228A">
        <w:trPr>
          <w:trHeight w:val="300"/>
        </w:trPr>
        <w:tc>
          <w:tcPr>
            <w:tcW w:w="1861" w:type="dxa"/>
            <w:vAlign w:val="center"/>
            <w:hideMark/>
          </w:tcPr>
          <w:p w14:paraId="42E8DBE9" w14:textId="657D48E1" w:rsidR="002A1815" w:rsidRPr="003613B6" w:rsidRDefault="002A1815" w:rsidP="002A1815">
            <w:pPr>
              <w:pStyle w:val="Table"/>
              <w:rPr>
                <w:sz w:val="18"/>
              </w:rPr>
            </w:pPr>
            <w:r>
              <w:rPr>
                <w:color w:val="000000"/>
                <w:sz w:val="18"/>
                <w:szCs w:val="18"/>
              </w:rPr>
              <w:t>101-500, CWS</w:t>
            </w:r>
          </w:p>
        </w:tc>
        <w:tc>
          <w:tcPr>
            <w:tcW w:w="1357" w:type="dxa"/>
            <w:tcMar>
              <w:left w:w="115" w:type="dxa"/>
              <w:right w:w="360" w:type="dxa"/>
            </w:tcMar>
            <w:vAlign w:val="center"/>
            <w:hideMark/>
          </w:tcPr>
          <w:p w14:paraId="7A4955F4" w14:textId="4E99E094" w:rsidR="002A1815" w:rsidRPr="002450B1" w:rsidRDefault="00357FC2" w:rsidP="0049228A">
            <w:pPr>
              <w:pStyle w:val="Table"/>
              <w:ind w:right="-272"/>
              <w:jc w:val="right"/>
              <w:rPr>
                <w:sz w:val="18"/>
                <w:szCs w:val="18"/>
              </w:rPr>
            </w:pPr>
            <w:r>
              <w:rPr>
                <w:sz w:val="18"/>
                <w:szCs w:val="18"/>
              </w:rPr>
              <w:t xml:space="preserve">3,182 to </w:t>
            </w:r>
            <w:r w:rsidR="002A1815" w:rsidRPr="002A1815">
              <w:rPr>
                <w:sz w:val="18"/>
                <w:szCs w:val="18"/>
              </w:rPr>
              <w:t>3,105</w:t>
            </w:r>
          </w:p>
        </w:tc>
        <w:tc>
          <w:tcPr>
            <w:tcW w:w="1097" w:type="dxa"/>
            <w:vAlign w:val="center"/>
            <w:hideMark/>
          </w:tcPr>
          <w:p w14:paraId="6A736973" w14:textId="0049643D" w:rsidR="002A1815" w:rsidRPr="00EA69E3" w:rsidRDefault="002A1815" w:rsidP="002A1815">
            <w:pPr>
              <w:pStyle w:val="Table"/>
              <w:jc w:val="center"/>
              <w:rPr>
                <w:sz w:val="18"/>
                <w:szCs w:val="18"/>
              </w:rPr>
            </w:pPr>
            <w:r>
              <w:rPr>
                <w:color w:val="000000"/>
                <w:sz w:val="18"/>
                <w:szCs w:val="18"/>
              </w:rPr>
              <w:t>5</w:t>
            </w:r>
          </w:p>
        </w:tc>
        <w:tc>
          <w:tcPr>
            <w:tcW w:w="1603" w:type="dxa"/>
            <w:tcMar>
              <w:left w:w="115" w:type="dxa"/>
              <w:right w:w="360" w:type="dxa"/>
            </w:tcMar>
            <w:vAlign w:val="center"/>
            <w:hideMark/>
          </w:tcPr>
          <w:p w14:paraId="68A14BB3" w14:textId="1A971CCD" w:rsidR="002A1815" w:rsidRPr="00A355B6" w:rsidRDefault="00357FC2" w:rsidP="0049228A">
            <w:pPr>
              <w:pStyle w:val="Table"/>
              <w:ind w:right="-281"/>
              <w:jc w:val="right"/>
              <w:rPr>
                <w:sz w:val="18"/>
                <w:szCs w:val="18"/>
              </w:rPr>
            </w:pPr>
            <w:r>
              <w:rPr>
                <w:sz w:val="18"/>
                <w:szCs w:val="18"/>
              </w:rPr>
              <w:t xml:space="preserve">15,910 to </w:t>
            </w:r>
            <w:r w:rsidR="002A1815" w:rsidRPr="002A1815">
              <w:rPr>
                <w:sz w:val="18"/>
                <w:szCs w:val="18"/>
              </w:rPr>
              <w:t>15,525</w:t>
            </w:r>
          </w:p>
        </w:tc>
        <w:tc>
          <w:tcPr>
            <w:tcW w:w="1097" w:type="dxa"/>
            <w:vAlign w:val="center"/>
            <w:hideMark/>
          </w:tcPr>
          <w:p w14:paraId="0EE1F396" w14:textId="77777777"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hideMark/>
          </w:tcPr>
          <w:p w14:paraId="0D4A8801" w14:textId="3238B77F" w:rsidR="002A1815" w:rsidRPr="00A355B6" w:rsidRDefault="00357FC2" w:rsidP="0049228A">
            <w:pPr>
              <w:pStyle w:val="Table"/>
              <w:ind w:right="-203"/>
              <w:jc w:val="right"/>
              <w:rPr>
                <w:sz w:val="18"/>
                <w:szCs w:val="18"/>
              </w:rPr>
            </w:pPr>
            <w:r>
              <w:rPr>
                <w:sz w:val="18"/>
                <w:szCs w:val="18"/>
              </w:rPr>
              <w:t xml:space="preserve">$455,662 to </w:t>
            </w:r>
            <w:r w:rsidR="002A1815" w:rsidRPr="002A1815">
              <w:rPr>
                <w:sz w:val="18"/>
                <w:szCs w:val="18"/>
              </w:rPr>
              <w:t>$444,636</w:t>
            </w:r>
          </w:p>
        </w:tc>
      </w:tr>
      <w:tr w:rsidR="00357FC2" w:rsidRPr="003613B6" w14:paraId="4359D806" w14:textId="77777777" w:rsidTr="0049228A">
        <w:trPr>
          <w:trHeight w:val="300"/>
        </w:trPr>
        <w:tc>
          <w:tcPr>
            <w:tcW w:w="1861" w:type="dxa"/>
            <w:vAlign w:val="center"/>
            <w:hideMark/>
          </w:tcPr>
          <w:p w14:paraId="448A8BD2" w14:textId="44E44EDF" w:rsidR="002A1815" w:rsidRPr="003613B6" w:rsidRDefault="002A1815" w:rsidP="002A1815">
            <w:pPr>
              <w:pStyle w:val="Table"/>
              <w:rPr>
                <w:sz w:val="18"/>
              </w:rPr>
            </w:pPr>
            <w:r>
              <w:rPr>
                <w:color w:val="000000"/>
                <w:sz w:val="18"/>
                <w:szCs w:val="18"/>
              </w:rPr>
              <w:t>501-1,000, CWS</w:t>
            </w:r>
          </w:p>
        </w:tc>
        <w:tc>
          <w:tcPr>
            <w:tcW w:w="1357" w:type="dxa"/>
            <w:tcMar>
              <w:left w:w="115" w:type="dxa"/>
              <w:right w:w="360" w:type="dxa"/>
            </w:tcMar>
            <w:vAlign w:val="center"/>
            <w:hideMark/>
          </w:tcPr>
          <w:p w14:paraId="1222D806" w14:textId="05B294DC" w:rsidR="002A1815" w:rsidRPr="002450B1" w:rsidRDefault="00357FC2" w:rsidP="0049228A">
            <w:pPr>
              <w:pStyle w:val="Table"/>
              <w:ind w:right="-272"/>
              <w:jc w:val="right"/>
              <w:rPr>
                <w:sz w:val="18"/>
                <w:szCs w:val="18"/>
              </w:rPr>
            </w:pPr>
            <w:r>
              <w:rPr>
                <w:sz w:val="18"/>
                <w:szCs w:val="18"/>
              </w:rPr>
              <w:t xml:space="preserve">1,193 to </w:t>
            </w:r>
            <w:r w:rsidR="002A1815" w:rsidRPr="002A1815">
              <w:rPr>
                <w:sz w:val="18"/>
                <w:szCs w:val="18"/>
              </w:rPr>
              <w:t>2,089</w:t>
            </w:r>
          </w:p>
        </w:tc>
        <w:tc>
          <w:tcPr>
            <w:tcW w:w="1097" w:type="dxa"/>
            <w:vAlign w:val="center"/>
            <w:hideMark/>
          </w:tcPr>
          <w:p w14:paraId="5DC624C3" w14:textId="2F057937" w:rsidR="002A1815" w:rsidRPr="00EA69E3" w:rsidRDefault="002A1815" w:rsidP="002A1815">
            <w:pPr>
              <w:pStyle w:val="Table"/>
              <w:jc w:val="center"/>
              <w:rPr>
                <w:sz w:val="18"/>
                <w:szCs w:val="18"/>
              </w:rPr>
            </w:pPr>
            <w:r>
              <w:rPr>
                <w:color w:val="000000"/>
                <w:sz w:val="18"/>
                <w:szCs w:val="18"/>
              </w:rPr>
              <w:t>5</w:t>
            </w:r>
          </w:p>
        </w:tc>
        <w:tc>
          <w:tcPr>
            <w:tcW w:w="1603" w:type="dxa"/>
            <w:tcMar>
              <w:left w:w="115" w:type="dxa"/>
              <w:right w:w="360" w:type="dxa"/>
            </w:tcMar>
            <w:vAlign w:val="center"/>
            <w:hideMark/>
          </w:tcPr>
          <w:p w14:paraId="157D2ABA" w14:textId="0007FCCA" w:rsidR="002A1815" w:rsidRPr="00A355B6" w:rsidRDefault="00357FC2" w:rsidP="0049228A">
            <w:pPr>
              <w:pStyle w:val="Table"/>
              <w:ind w:right="-281"/>
              <w:jc w:val="right"/>
              <w:rPr>
                <w:sz w:val="18"/>
                <w:szCs w:val="18"/>
              </w:rPr>
            </w:pPr>
            <w:r>
              <w:rPr>
                <w:sz w:val="18"/>
                <w:szCs w:val="18"/>
              </w:rPr>
              <w:t xml:space="preserve">5,965 to </w:t>
            </w:r>
            <w:r w:rsidR="002A1815" w:rsidRPr="002A1815">
              <w:rPr>
                <w:sz w:val="18"/>
                <w:szCs w:val="18"/>
              </w:rPr>
              <w:t>10,445</w:t>
            </w:r>
          </w:p>
        </w:tc>
        <w:tc>
          <w:tcPr>
            <w:tcW w:w="1097" w:type="dxa"/>
            <w:vAlign w:val="center"/>
            <w:hideMark/>
          </w:tcPr>
          <w:p w14:paraId="7DDCEBE5" w14:textId="77777777"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hideMark/>
          </w:tcPr>
          <w:p w14:paraId="1F52B797" w14:textId="4D7981A3" w:rsidR="002A1815" w:rsidRPr="00A355B6" w:rsidRDefault="00357FC2" w:rsidP="0049228A">
            <w:pPr>
              <w:pStyle w:val="Table"/>
              <w:ind w:right="-203"/>
              <w:jc w:val="right"/>
              <w:rPr>
                <w:sz w:val="18"/>
                <w:szCs w:val="18"/>
              </w:rPr>
            </w:pPr>
            <w:r>
              <w:rPr>
                <w:sz w:val="18"/>
                <w:szCs w:val="18"/>
              </w:rPr>
              <w:t xml:space="preserve">$170,838 to </w:t>
            </w:r>
            <w:r w:rsidR="002A1815" w:rsidRPr="002A1815">
              <w:rPr>
                <w:sz w:val="18"/>
                <w:szCs w:val="18"/>
              </w:rPr>
              <w:t>$299,145</w:t>
            </w:r>
          </w:p>
        </w:tc>
      </w:tr>
      <w:tr w:rsidR="00357FC2" w:rsidRPr="003613B6" w14:paraId="61E3C588" w14:textId="77777777" w:rsidTr="0049228A">
        <w:trPr>
          <w:trHeight w:val="300"/>
        </w:trPr>
        <w:tc>
          <w:tcPr>
            <w:tcW w:w="1861" w:type="dxa"/>
            <w:vAlign w:val="center"/>
            <w:hideMark/>
          </w:tcPr>
          <w:p w14:paraId="68C1328C" w14:textId="496F2328" w:rsidR="002A1815" w:rsidRPr="003613B6" w:rsidRDefault="002A1815" w:rsidP="002A1815">
            <w:pPr>
              <w:pStyle w:val="Table"/>
              <w:rPr>
                <w:sz w:val="18"/>
              </w:rPr>
            </w:pPr>
            <w:r>
              <w:rPr>
                <w:color w:val="000000"/>
                <w:sz w:val="18"/>
                <w:szCs w:val="18"/>
              </w:rPr>
              <w:t>1,001-3,300, CWS</w:t>
            </w:r>
          </w:p>
        </w:tc>
        <w:tc>
          <w:tcPr>
            <w:tcW w:w="1357" w:type="dxa"/>
            <w:tcMar>
              <w:left w:w="115" w:type="dxa"/>
              <w:right w:w="360" w:type="dxa"/>
            </w:tcMar>
            <w:vAlign w:val="center"/>
            <w:hideMark/>
          </w:tcPr>
          <w:p w14:paraId="56BD12EE" w14:textId="47A48DF2" w:rsidR="002A1815" w:rsidRPr="002450B1" w:rsidRDefault="00357FC2" w:rsidP="0049228A">
            <w:pPr>
              <w:pStyle w:val="Table"/>
              <w:ind w:right="-272"/>
              <w:jc w:val="right"/>
              <w:rPr>
                <w:sz w:val="18"/>
                <w:szCs w:val="18"/>
              </w:rPr>
            </w:pPr>
            <w:r>
              <w:rPr>
                <w:sz w:val="18"/>
                <w:szCs w:val="18"/>
              </w:rPr>
              <w:t xml:space="preserve">1,729 to </w:t>
            </w:r>
            <w:r w:rsidR="002A1815" w:rsidRPr="002A1815">
              <w:rPr>
                <w:sz w:val="18"/>
                <w:szCs w:val="18"/>
              </w:rPr>
              <w:t>3,118</w:t>
            </w:r>
          </w:p>
        </w:tc>
        <w:tc>
          <w:tcPr>
            <w:tcW w:w="1097" w:type="dxa"/>
            <w:vAlign w:val="center"/>
            <w:hideMark/>
          </w:tcPr>
          <w:p w14:paraId="2E8C07C8" w14:textId="0EE663A5" w:rsidR="002A1815" w:rsidRPr="00EA69E3" w:rsidRDefault="002A1815" w:rsidP="002A1815">
            <w:pPr>
              <w:pStyle w:val="Table"/>
              <w:jc w:val="center"/>
              <w:rPr>
                <w:sz w:val="18"/>
                <w:szCs w:val="18"/>
              </w:rPr>
            </w:pPr>
            <w:r>
              <w:rPr>
                <w:color w:val="000000"/>
                <w:sz w:val="18"/>
                <w:szCs w:val="18"/>
              </w:rPr>
              <w:t>10</w:t>
            </w:r>
          </w:p>
        </w:tc>
        <w:tc>
          <w:tcPr>
            <w:tcW w:w="1603" w:type="dxa"/>
            <w:tcMar>
              <w:left w:w="115" w:type="dxa"/>
              <w:right w:w="360" w:type="dxa"/>
            </w:tcMar>
            <w:vAlign w:val="center"/>
            <w:hideMark/>
          </w:tcPr>
          <w:p w14:paraId="4D135CE5" w14:textId="3789658B" w:rsidR="002A1815" w:rsidRPr="00A355B6" w:rsidRDefault="00357FC2" w:rsidP="0049228A">
            <w:pPr>
              <w:pStyle w:val="Table"/>
              <w:ind w:right="-281"/>
              <w:jc w:val="right"/>
              <w:rPr>
                <w:sz w:val="18"/>
                <w:szCs w:val="18"/>
              </w:rPr>
            </w:pPr>
            <w:r>
              <w:rPr>
                <w:sz w:val="18"/>
                <w:szCs w:val="18"/>
              </w:rPr>
              <w:t xml:space="preserve">17,290 to </w:t>
            </w:r>
            <w:r w:rsidR="002A1815" w:rsidRPr="002A1815">
              <w:rPr>
                <w:sz w:val="18"/>
                <w:szCs w:val="18"/>
              </w:rPr>
              <w:t>31,180</w:t>
            </w:r>
          </w:p>
        </w:tc>
        <w:tc>
          <w:tcPr>
            <w:tcW w:w="1097" w:type="dxa"/>
            <w:vAlign w:val="center"/>
            <w:hideMark/>
          </w:tcPr>
          <w:p w14:paraId="7ADFA3D7" w14:textId="77777777"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hideMark/>
          </w:tcPr>
          <w:p w14:paraId="709D6976" w14:textId="2D094C9B" w:rsidR="002A1815" w:rsidRPr="00A355B6" w:rsidRDefault="00357FC2" w:rsidP="0049228A">
            <w:pPr>
              <w:pStyle w:val="Table"/>
              <w:ind w:right="-203"/>
              <w:jc w:val="right"/>
              <w:rPr>
                <w:sz w:val="18"/>
                <w:szCs w:val="18"/>
              </w:rPr>
            </w:pPr>
            <w:r>
              <w:rPr>
                <w:sz w:val="18"/>
                <w:szCs w:val="18"/>
              </w:rPr>
              <w:t xml:space="preserve">$495,186 to </w:t>
            </w:r>
            <w:r w:rsidR="002A1815" w:rsidRPr="002A1815">
              <w:rPr>
                <w:sz w:val="18"/>
                <w:szCs w:val="18"/>
              </w:rPr>
              <w:t>$892,995</w:t>
            </w:r>
          </w:p>
        </w:tc>
      </w:tr>
      <w:tr w:rsidR="00357FC2" w:rsidRPr="003613B6" w14:paraId="3448B5D4" w14:textId="77777777" w:rsidTr="0049228A">
        <w:trPr>
          <w:trHeight w:val="300"/>
        </w:trPr>
        <w:tc>
          <w:tcPr>
            <w:tcW w:w="1861" w:type="dxa"/>
            <w:vAlign w:val="center"/>
            <w:hideMark/>
          </w:tcPr>
          <w:p w14:paraId="7A1DE15F" w14:textId="58CC983F" w:rsidR="002A1815" w:rsidRPr="003613B6" w:rsidRDefault="002A1815" w:rsidP="002A1815">
            <w:pPr>
              <w:pStyle w:val="Table"/>
              <w:rPr>
                <w:sz w:val="18"/>
              </w:rPr>
            </w:pPr>
            <w:r>
              <w:rPr>
                <w:color w:val="000000"/>
                <w:sz w:val="18"/>
                <w:szCs w:val="18"/>
              </w:rPr>
              <w:t>3,301-10,000, CWS</w:t>
            </w:r>
          </w:p>
        </w:tc>
        <w:tc>
          <w:tcPr>
            <w:tcW w:w="1357" w:type="dxa"/>
            <w:tcMar>
              <w:left w:w="115" w:type="dxa"/>
              <w:right w:w="360" w:type="dxa"/>
            </w:tcMar>
            <w:vAlign w:val="center"/>
            <w:hideMark/>
          </w:tcPr>
          <w:p w14:paraId="675BFA16" w14:textId="5FA30916" w:rsidR="002A1815" w:rsidRPr="002450B1" w:rsidRDefault="00357FC2" w:rsidP="0049228A">
            <w:pPr>
              <w:pStyle w:val="Table"/>
              <w:ind w:right="-272"/>
              <w:jc w:val="right"/>
              <w:rPr>
                <w:sz w:val="18"/>
                <w:szCs w:val="18"/>
              </w:rPr>
            </w:pPr>
            <w:r>
              <w:rPr>
                <w:sz w:val="18"/>
                <w:szCs w:val="18"/>
              </w:rPr>
              <w:t xml:space="preserve">1,041 to </w:t>
            </w:r>
            <w:r w:rsidR="002A1815" w:rsidRPr="002A1815">
              <w:rPr>
                <w:sz w:val="18"/>
                <w:szCs w:val="18"/>
              </w:rPr>
              <w:t>2,089</w:t>
            </w:r>
          </w:p>
        </w:tc>
        <w:tc>
          <w:tcPr>
            <w:tcW w:w="1097" w:type="dxa"/>
            <w:vAlign w:val="center"/>
            <w:hideMark/>
          </w:tcPr>
          <w:p w14:paraId="4E961281" w14:textId="0CA070E7" w:rsidR="002A1815" w:rsidRPr="00EA69E3" w:rsidRDefault="002A1815" w:rsidP="002A1815">
            <w:pPr>
              <w:pStyle w:val="Table"/>
              <w:jc w:val="center"/>
              <w:rPr>
                <w:sz w:val="18"/>
                <w:szCs w:val="18"/>
              </w:rPr>
            </w:pPr>
            <w:r>
              <w:rPr>
                <w:color w:val="000000"/>
                <w:sz w:val="18"/>
                <w:szCs w:val="18"/>
              </w:rPr>
              <w:t>20</w:t>
            </w:r>
          </w:p>
        </w:tc>
        <w:tc>
          <w:tcPr>
            <w:tcW w:w="1603" w:type="dxa"/>
            <w:tcMar>
              <w:left w:w="115" w:type="dxa"/>
              <w:right w:w="360" w:type="dxa"/>
            </w:tcMar>
            <w:vAlign w:val="center"/>
            <w:hideMark/>
          </w:tcPr>
          <w:p w14:paraId="6E50CA02" w14:textId="02181494" w:rsidR="002A1815" w:rsidRPr="00A355B6" w:rsidRDefault="00357FC2" w:rsidP="0049228A">
            <w:pPr>
              <w:pStyle w:val="Table"/>
              <w:ind w:right="-281"/>
              <w:jc w:val="right"/>
              <w:rPr>
                <w:sz w:val="18"/>
                <w:szCs w:val="18"/>
              </w:rPr>
            </w:pPr>
            <w:r>
              <w:rPr>
                <w:sz w:val="18"/>
                <w:szCs w:val="18"/>
              </w:rPr>
              <w:t xml:space="preserve">20,820 to </w:t>
            </w:r>
            <w:r w:rsidR="002A1815" w:rsidRPr="002A1815">
              <w:rPr>
                <w:sz w:val="18"/>
                <w:szCs w:val="18"/>
              </w:rPr>
              <w:t>41,780</w:t>
            </w:r>
          </w:p>
        </w:tc>
        <w:tc>
          <w:tcPr>
            <w:tcW w:w="1097" w:type="dxa"/>
            <w:vAlign w:val="center"/>
            <w:hideMark/>
          </w:tcPr>
          <w:p w14:paraId="2C62A531" w14:textId="77777777" w:rsidR="002A1815" w:rsidRPr="00EA69E3" w:rsidRDefault="002A1815" w:rsidP="002A1815">
            <w:pPr>
              <w:pStyle w:val="Table"/>
              <w:jc w:val="center"/>
              <w:rPr>
                <w:sz w:val="18"/>
                <w:szCs w:val="18"/>
              </w:rPr>
            </w:pPr>
            <w:r w:rsidRPr="00EA69E3">
              <w:rPr>
                <w:sz w:val="18"/>
                <w:szCs w:val="18"/>
              </w:rPr>
              <w:t>$33.74</w:t>
            </w:r>
          </w:p>
        </w:tc>
        <w:tc>
          <w:tcPr>
            <w:tcW w:w="2335" w:type="dxa"/>
            <w:noWrap/>
            <w:tcMar>
              <w:left w:w="115" w:type="dxa"/>
              <w:right w:w="288" w:type="dxa"/>
            </w:tcMar>
            <w:vAlign w:val="center"/>
            <w:hideMark/>
          </w:tcPr>
          <w:p w14:paraId="5F680305" w14:textId="70DA3041" w:rsidR="002A1815" w:rsidRPr="00A355B6" w:rsidRDefault="00357FC2" w:rsidP="0049228A">
            <w:pPr>
              <w:pStyle w:val="Table"/>
              <w:ind w:right="-203"/>
              <w:jc w:val="right"/>
              <w:rPr>
                <w:sz w:val="18"/>
                <w:szCs w:val="18"/>
              </w:rPr>
            </w:pPr>
            <w:r>
              <w:rPr>
                <w:sz w:val="18"/>
                <w:szCs w:val="18"/>
              </w:rPr>
              <w:t xml:space="preserve">$702,467 to </w:t>
            </w:r>
            <w:r w:rsidR="002A1815" w:rsidRPr="002A1815">
              <w:rPr>
                <w:sz w:val="18"/>
                <w:szCs w:val="18"/>
              </w:rPr>
              <w:t>$1,409,657</w:t>
            </w:r>
          </w:p>
        </w:tc>
      </w:tr>
      <w:tr w:rsidR="00357FC2" w:rsidRPr="003613B6" w14:paraId="09A42A59" w14:textId="77777777" w:rsidTr="0049228A">
        <w:trPr>
          <w:trHeight w:val="300"/>
        </w:trPr>
        <w:tc>
          <w:tcPr>
            <w:tcW w:w="1861" w:type="dxa"/>
            <w:vAlign w:val="center"/>
            <w:hideMark/>
          </w:tcPr>
          <w:p w14:paraId="647445C7" w14:textId="7D7A1A2F" w:rsidR="002A1815" w:rsidRPr="003613B6" w:rsidRDefault="002A1815" w:rsidP="002A1815">
            <w:pPr>
              <w:pStyle w:val="Table"/>
              <w:rPr>
                <w:sz w:val="18"/>
              </w:rPr>
            </w:pPr>
            <w:r>
              <w:rPr>
                <w:color w:val="000000"/>
                <w:sz w:val="18"/>
                <w:szCs w:val="18"/>
              </w:rPr>
              <w:t>10,001-50,000, CWS</w:t>
            </w:r>
          </w:p>
        </w:tc>
        <w:tc>
          <w:tcPr>
            <w:tcW w:w="1357" w:type="dxa"/>
            <w:tcMar>
              <w:left w:w="115" w:type="dxa"/>
              <w:right w:w="360" w:type="dxa"/>
            </w:tcMar>
            <w:vAlign w:val="center"/>
            <w:hideMark/>
          </w:tcPr>
          <w:p w14:paraId="5BA5D33C" w14:textId="2AF82FDD" w:rsidR="002A1815" w:rsidRPr="002450B1" w:rsidRDefault="00357FC2" w:rsidP="0049228A">
            <w:pPr>
              <w:pStyle w:val="Table"/>
              <w:ind w:right="-272"/>
              <w:jc w:val="right"/>
              <w:rPr>
                <w:sz w:val="18"/>
                <w:szCs w:val="18"/>
              </w:rPr>
            </w:pPr>
            <w:r>
              <w:rPr>
                <w:sz w:val="18"/>
                <w:szCs w:val="18"/>
              </w:rPr>
              <w:t xml:space="preserve">1,267 to </w:t>
            </w:r>
            <w:r w:rsidR="002A1815" w:rsidRPr="002A1815">
              <w:rPr>
                <w:sz w:val="18"/>
                <w:szCs w:val="18"/>
              </w:rPr>
              <w:t>1,466</w:t>
            </w:r>
          </w:p>
        </w:tc>
        <w:tc>
          <w:tcPr>
            <w:tcW w:w="1097" w:type="dxa"/>
            <w:vAlign w:val="center"/>
            <w:hideMark/>
          </w:tcPr>
          <w:p w14:paraId="03A58CE0" w14:textId="0E50FAF1" w:rsidR="002A1815" w:rsidRPr="00EA69E3" w:rsidRDefault="002A1815" w:rsidP="002A1815">
            <w:pPr>
              <w:pStyle w:val="Table"/>
              <w:jc w:val="center"/>
              <w:rPr>
                <w:sz w:val="18"/>
                <w:szCs w:val="18"/>
              </w:rPr>
            </w:pPr>
            <w:r>
              <w:rPr>
                <w:color w:val="000000"/>
                <w:sz w:val="18"/>
                <w:szCs w:val="18"/>
              </w:rPr>
              <w:t>25</w:t>
            </w:r>
          </w:p>
        </w:tc>
        <w:tc>
          <w:tcPr>
            <w:tcW w:w="1603" w:type="dxa"/>
            <w:tcMar>
              <w:left w:w="115" w:type="dxa"/>
              <w:right w:w="360" w:type="dxa"/>
            </w:tcMar>
            <w:vAlign w:val="center"/>
            <w:hideMark/>
          </w:tcPr>
          <w:p w14:paraId="011A2C52" w14:textId="53B7B83B" w:rsidR="002A1815" w:rsidRPr="00A355B6" w:rsidRDefault="00357FC2" w:rsidP="0049228A">
            <w:pPr>
              <w:pStyle w:val="Table"/>
              <w:ind w:right="-281"/>
              <w:jc w:val="right"/>
              <w:rPr>
                <w:sz w:val="18"/>
                <w:szCs w:val="18"/>
              </w:rPr>
            </w:pPr>
            <w:r>
              <w:rPr>
                <w:sz w:val="18"/>
                <w:szCs w:val="18"/>
              </w:rPr>
              <w:t xml:space="preserve">31,675 to </w:t>
            </w:r>
            <w:r w:rsidR="002A1815" w:rsidRPr="002A1815">
              <w:rPr>
                <w:sz w:val="18"/>
                <w:szCs w:val="18"/>
              </w:rPr>
              <w:t>36,650</w:t>
            </w:r>
          </w:p>
        </w:tc>
        <w:tc>
          <w:tcPr>
            <w:tcW w:w="1097" w:type="dxa"/>
            <w:vAlign w:val="center"/>
            <w:hideMark/>
          </w:tcPr>
          <w:p w14:paraId="6422E914" w14:textId="77777777" w:rsidR="002A1815" w:rsidRPr="00EA69E3" w:rsidRDefault="002A1815" w:rsidP="002A1815">
            <w:pPr>
              <w:pStyle w:val="Table"/>
              <w:jc w:val="center"/>
              <w:rPr>
                <w:sz w:val="18"/>
                <w:szCs w:val="18"/>
              </w:rPr>
            </w:pPr>
            <w:r w:rsidRPr="00EA69E3">
              <w:rPr>
                <w:sz w:val="18"/>
                <w:szCs w:val="18"/>
              </w:rPr>
              <w:t>$36.15</w:t>
            </w:r>
          </w:p>
        </w:tc>
        <w:tc>
          <w:tcPr>
            <w:tcW w:w="2335" w:type="dxa"/>
            <w:noWrap/>
            <w:tcMar>
              <w:left w:w="115" w:type="dxa"/>
              <w:right w:w="288" w:type="dxa"/>
            </w:tcMar>
            <w:vAlign w:val="center"/>
            <w:hideMark/>
          </w:tcPr>
          <w:p w14:paraId="2A549350" w14:textId="4A23909E" w:rsidR="002A1815" w:rsidRPr="00A355B6" w:rsidRDefault="00357FC2" w:rsidP="0049228A">
            <w:pPr>
              <w:pStyle w:val="Table"/>
              <w:ind w:right="-203"/>
              <w:jc w:val="right"/>
              <w:rPr>
                <w:sz w:val="18"/>
                <w:szCs w:val="18"/>
              </w:rPr>
            </w:pPr>
            <w:r>
              <w:rPr>
                <w:sz w:val="18"/>
                <w:szCs w:val="18"/>
              </w:rPr>
              <w:t xml:space="preserve">$1,145,051 to </w:t>
            </w:r>
            <w:r w:rsidR="002A1815" w:rsidRPr="002A1815">
              <w:rPr>
                <w:sz w:val="18"/>
                <w:szCs w:val="18"/>
              </w:rPr>
              <w:t>$1,324,898</w:t>
            </w:r>
          </w:p>
        </w:tc>
      </w:tr>
      <w:tr w:rsidR="00357FC2" w:rsidRPr="003613B6" w14:paraId="42548DA1" w14:textId="77777777" w:rsidTr="0049228A">
        <w:trPr>
          <w:trHeight w:val="300"/>
        </w:trPr>
        <w:tc>
          <w:tcPr>
            <w:tcW w:w="1861" w:type="dxa"/>
            <w:vAlign w:val="center"/>
            <w:hideMark/>
          </w:tcPr>
          <w:p w14:paraId="79F95A57" w14:textId="516FC76D" w:rsidR="002A1815" w:rsidRPr="003613B6" w:rsidRDefault="002A1815" w:rsidP="002A1815">
            <w:pPr>
              <w:pStyle w:val="Table"/>
              <w:rPr>
                <w:sz w:val="18"/>
              </w:rPr>
            </w:pPr>
            <w:r>
              <w:rPr>
                <w:color w:val="000000"/>
                <w:sz w:val="18"/>
                <w:szCs w:val="18"/>
              </w:rPr>
              <w:t>50,001-100,000, CWS</w:t>
            </w:r>
          </w:p>
        </w:tc>
        <w:tc>
          <w:tcPr>
            <w:tcW w:w="1357" w:type="dxa"/>
            <w:tcMar>
              <w:left w:w="115" w:type="dxa"/>
              <w:right w:w="360" w:type="dxa"/>
            </w:tcMar>
            <w:vAlign w:val="center"/>
            <w:hideMark/>
          </w:tcPr>
          <w:p w14:paraId="6E0BBCC8" w14:textId="48428C1F" w:rsidR="002A1815" w:rsidRPr="002450B1" w:rsidRDefault="00357FC2" w:rsidP="0049228A">
            <w:pPr>
              <w:pStyle w:val="Table"/>
              <w:ind w:right="-272"/>
              <w:jc w:val="right"/>
              <w:rPr>
                <w:sz w:val="18"/>
                <w:szCs w:val="18"/>
              </w:rPr>
            </w:pPr>
            <w:r>
              <w:rPr>
                <w:sz w:val="18"/>
                <w:szCs w:val="18"/>
              </w:rPr>
              <w:t xml:space="preserve">287 to </w:t>
            </w:r>
            <w:r w:rsidR="002A1815" w:rsidRPr="002A1815">
              <w:rPr>
                <w:sz w:val="18"/>
                <w:szCs w:val="18"/>
              </w:rPr>
              <w:t>242</w:t>
            </w:r>
          </w:p>
        </w:tc>
        <w:tc>
          <w:tcPr>
            <w:tcW w:w="1097" w:type="dxa"/>
            <w:vAlign w:val="center"/>
            <w:hideMark/>
          </w:tcPr>
          <w:p w14:paraId="53562430" w14:textId="3C064DD7" w:rsidR="002A1815" w:rsidRPr="00EA69E3" w:rsidRDefault="002A1815" w:rsidP="002A1815">
            <w:pPr>
              <w:pStyle w:val="Table"/>
              <w:jc w:val="center"/>
              <w:rPr>
                <w:sz w:val="18"/>
                <w:szCs w:val="18"/>
              </w:rPr>
            </w:pPr>
            <w:r>
              <w:rPr>
                <w:color w:val="000000"/>
                <w:sz w:val="18"/>
                <w:szCs w:val="18"/>
              </w:rPr>
              <w:t>50</w:t>
            </w:r>
          </w:p>
        </w:tc>
        <w:tc>
          <w:tcPr>
            <w:tcW w:w="1603" w:type="dxa"/>
            <w:tcMar>
              <w:left w:w="115" w:type="dxa"/>
              <w:right w:w="360" w:type="dxa"/>
            </w:tcMar>
            <w:vAlign w:val="center"/>
            <w:hideMark/>
          </w:tcPr>
          <w:p w14:paraId="2AB7360E" w14:textId="58E4FD02" w:rsidR="002A1815" w:rsidRPr="00A355B6" w:rsidRDefault="00357FC2" w:rsidP="0049228A">
            <w:pPr>
              <w:pStyle w:val="Table"/>
              <w:ind w:right="-281"/>
              <w:jc w:val="right"/>
              <w:rPr>
                <w:sz w:val="18"/>
                <w:szCs w:val="18"/>
              </w:rPr>
            </w:pPr>
            <w:r>
              <w:rPr>
                <w:sz w:val="18"/>
                <w:szCs w:val="18"/>
              </w:rPr>
              <w:t xml:space="preserve">14,350 to </w:t>
            </w:r>
            <w:r w:rsidR="002A1815" w:rsidRPr="002A1815">
              <w:rPr>
                <w:sz w:val="18"/>
                <w:szCs w:val="18"/>
              </w:rPr>
              <w:t>12,100</w:t>
            </w:r>
          </w:p>
        </w:tc>
        <w:tc>
          <w:tcPr>
            <w:tcW w:w="1097" w:type="dxa"/>
            <w:vAlign w:val="center"/>
            <w:hideMark/>
          </w:tcPr>
          <w:p w14:paraId="51A19126" w14:textId="77777777" w:rsidR="002A1815" w:rsidRPr="00EA69E3" w:rsidRDefault="002A1815" w:rsidP="002A1815">
            <w:pPr>
              <w:pStyle w:val="Table"/>
              <w:jc w:val="center"/>
              <w:rPr>
                <w:sz w:val="18"/>
                <w:szCs w:val="18"/>
              </w:rPr>
            </w:pPr>
            <w:r w:rsidRPr="00EA69E3">
              <w:rPr>
                <w:sz w:val="18"/>
                <w:szCs w:val="18"/>
              </w:rPr>
              <w:t>$39.01</w:t>
            </w:r>
          </w:p>
        </w:tc>
        <w:tc>
          <w:tcPr>
            <w:tcW w:w="2335" w:type="dxa"/>
            <w:noWrap/>
            <w:tcMar>
              <w:left w:w="115" w:type="dxa"/>
              <w:right w:w="288" w:type="dxa"/>
            </w:tcMar>
            <w:vAlign w:val="center"/>
            <w:hideMark/>
          </w:tcPr>
          <w:p w14:paraId="3E4A4562" w14:textId="63CB0FA3" w:rsidR="002A1815" w:rsidRPr="00A355B6" w:rsidRDefault="00357FC2" w:rsidP="0049228A">
            <w:pPr>
              <w:pStyle w:val="Table"/>
              <w:ind w:right="-203"/>
              <w:jc w:val="right"/>
              <w:rPr>
                <w:sz w:val="18"/>
                <w:szCs w:val="18"/>
              </w:rPr>
            </w:pPr>
            <w:r>
              <w:rPr>
                <w:sz w:val="18"/>
                <w:szCs w:val="18"/>
              </w:rPr>
              <w:t xml:space="preserve">$559,794 to </w:t>
            </w:r>
            <w:r w:rsidR="002A1815" w:rsidRPr="002A1815">
              <w:rPr>
                <w:sz w:val="18"/>
                <w:szCs w:val="18"/>
              </w:rPr>
              <w:t>$472,021</w:t>
            </w:r>
          </w:p>
        </w:tc>
      </w:tr>
      <w:tr w:rsidR="00357FC2" w:rsidRPr="003613B6" w14:paraId="14914CD5" w14:textId="77777777" w:rsidTr="0049228A">
        <w:trPr>
          <w:trHeight w:val="300"/>
        </w:trPr>
        <w:tc>
          <w:tcPr>
            <w:tcW w:w="1861" w:type="dxa"/>
            <w:vAlign w:val="center"/>
            <w:hideMark/>
          </w:tcPr>
          <w:p w14:paraId="40CA28D6" w14:textId="7B373C9C" w:rsidR="002A1815" w:rsidRPr="003613B6" w:rsidRDefault="002A1815" w:rsidP="002A1815">
            <w:pPr>
              <w:pStyle w:val="Table"/>
              <w:rPr>
                <w:sz w:val="18"/>
              </w:rPr>
            </w:pPr>
            <w:r>
              <w:rPr>
                <w:color w:val="000000"/>
                <w:sz w:val="18"/>
                <w:szCs w:val="18"/>
              </w:rPr>
              <w:t>100,001-1,000,000, CWS</w:t>
            </w:r>
          </w:p>
        </w:tc>
        <w:tc>
          <w:tcPr>
            <w:tcW w:w="1357" w:type="dxa"/>
            <w:tcMar>
              <w:left w:w="115" w:type="dxa"/>
              <w:right w:w="360" w:type="dxa"/>
            </w:tcMar>
            <w:vAlign w:val="center"/>
            <w:hideMark/>
          </w:tcPr>
          <w:p w14:paraId="268D814C" w14:textId="111D21A4" w:rsidR="002A1815" w:rsidRPr="002450B1" w:rsidRDefault="00357FC2" w:rsidP="0049228A">
            <w:pPr>
              <w:pStyle w:val="Table"/>
              <w:ind w:right="-272"/>
              <w:jc w:val="right"/>
              <w:rPr>
                <w:sz w:val="18"/>
                <w:szCs w:val="18"/>
              </w:rPr>
            </w:pPr>
            <w:r>
              <w:rPr>
                <w:sz w:val="18"/>
                <w:szCs w:val="18"/>
              </w:rPr>
              <w:t xml:space="preserve">198 to </w:t>
            </w:r>
            <w:r w:rsidR="002A1815" w:rsidRPr="002A1815">
              <w:rPr>
                <w:sz w:val="18"/>
                <w:szCs w:val="18"/>
              </w:rPr>
              <w:t>254</w:t>
            </w:r>
          </w:p>
        </w:tc>
        <w:tc>
          <w:tcPr>
            <w:tcW w:w="1097" w:type="dxa"/>
            <w:vAlign w:val="center"/>
            <w:hideMark/>
          </w:tcPr>
          <w:p w14:paraId="1DA5F523" w14:textId="27CCF276" w:rsidR="002A1815" w:rsidRPr="00EA69E3" w:rsidRDefault="002A1815" w:rsidP="002A1815">
            <w:pPr>
              <w:pStyle w:val="Table"/>
              <w:jc w:val="center"/>
              <w:rPr>
                <w:sz w:val="18"/>
                <w:szCs w:val="18"/>
              </w:rPr>
            </w:pPr>
            <w:r>
              <w:rPr>
                <w:color w:val="000000"/>
                <w:sz w:val="18"/>
                <w:szCs w:val="18"/>
              </w:rPr>
              <w:t>75</w:t>
            </w:r>
          </w:p>
        </w:tc>
        <w:tc>
          <w:tcPr>
            <w:tcW w:w="1603" w:type="dxa"/>
            <w:tcMar>
              <w:left w:w="115" w:type="dxa"/>
              <w:right w:w="360" w:type="dxa"/>
            </w:tcMar>
            <w:vAlign w:val="center"/>
            <w:hideMark/>
          </w:tcPr>
          <w:p w14:paraId="02B9FFDC" w14:textId="7C7E575B" w:rsidR="002A1815" w:rsidRPr="00A355B6" w:rsidRDefault="00357FC2" w:rsidP="0049228A">
            <w:pPr>
              <w:pStyle w:val="Table"/>
              <w:ind w:right="-281"/>
              <w:jc w:val="right"/>
              <w:rPr>
                <w:sz w:val="18"/>
                <w:szCs w:val="18"/>
              </w:rPr>
            </w:pPr>
            <w:r>
              <w:rPr>
                <w:sz w:val="18"/>
                <w:szCs w:val="18"/>
              </w:rPr>
              <w:t xml:space="preserve">14,850 to </w:t>
            </w:r>
            <w:r w:rsidR="002A1815" w:rsidRPr="002A1815">
              <w:rPr>
                <w:sz w:val="18"/>
                <w:szCs w:val="18"/>
              </w:rPr>
              <w:t>19,050</w:t>
            </w:r>
          </w:p>
        </w:tc>
        <w:tc>
          <w:tcPr>
            <w:tcW w:w="1097" w:type="dxa"/>
            <w:vAlign w:val="center"/>
            <w:hideMark/>
          </w:tcPr>
          <w:p w14:paraId="34993A9E" w14:textId="77777777" w:rsidR="002A1815" w:rsidRPr="00EA69E3" w:rsidRDefault="002A1815" w:rsidP="002A1815">
            <w:pPr>
              <w:pStyle w:val="Table"/>
              <w:jc w:val="center"/>
              <w:rPr>
                <w:sz w:val="18"/>
                <w:szCs w:val="18"/>
              </w:rPr>
            </w:pPr>
            <w:r w:rsidRPr="00EA69E3">
              <w:rPr>
                <w:sz w:val="18"/>
                <w:szCs w:val="18"/>
              </w:rPr>
              <w:t>$44.38</w:t>
            </w:r>
          </w:p>
        </w:tc>
        <w:tc>
          <w:tcPr>
            <w:tcW w:w="2335" w:type="dxa"/>
            <w:noWrap/>
            <w:tcMar>
              <w:left w:w="115" w:type="dxa"/>
              <w:right w:w="288" w:type="dxa"/>
            </w:tcMar>
            <w:vAlign w:val="center"/>
            <w:hideMark/>
          </w:tcPr>
          <w:p w14:paraId="756A92DE" w14:textId="15EA2AA2" w:rsidR="002A1815" w:rsidRPr="00A355B6" w:rsidRDefault="00357FC2" w:rsidP="0049228A">
            <w:pPr>
              <w:pStyle w:val="Table"/>
              <w:ind w:right="-203"/>
              <w:jc w:val="right"/>
              <w:rPr>
                <w:sz w:val="18"/>
                <w:szCs w:val="18"/>
              </w:rPr>
            </w:pPr>
            <w:r>
              <w:rPr>
                <w:sz w:val="18"/>
                <w:szCs w:val="18"/>
              </w:rPr>
              <w:t xml:space="preserve">$659,043 to </w:t>
            </w:r>
            <w:r w:rsidR="002A1815" w:rsidRPr="002A1815">
              <w:rPr>
                <w:sz w:val="18"/>
                <w:szCs w:val="18"/>
              </w:rPr>
              <w:t>$845,439</w:t>
            </w:r>
          </w:p>
        </w:tc>
      </w:tr>
      <w:tr w:rsidR="00357FC2" w:rsidRPr="003613B6" w14:paraId="4D89AE84" w14:textId="77777777" w:rsidTr="0049228A">
        <w:trPr>
          <w:trHeight w:val="300"/>
        </w:trPr>
        <w:tc>
          <w:tcPr>
            <w:tcW w:w="1861" w:type="dxa"/>
            <w:vAlign w:val="center"/>
            <w:hideMark/>
          </w:tcPr>
          <w:p w14:paraId="253D365C" w14:textId="537243F8" w:rsidR="002A1815" w:rsidRPr="003613B6" w:rsidRDefault="002A1815" w:rsidP="002A1815">
            <w:pPr>
              <w:pStyle w:val="Table"/>
              <w:rPr>
                <w:sz w:val="18"/>
              </w:rPr>
            </w:pPr>
            <w:r>
              <w:rPr>
                <w:color w:val="000000"/>
                <w:sz w:val="18"/>
                <w:szCs w:val="18"/>
              </w:rPr>
              <w:t>&gt;1,000,000, CWS</w:t>
            </w:r>
          </w:p>
        </w:tc>
        <w:tc>
          <w:tcPr>
            <w:tcW w:w="1357" w:type="dxa"/>
            <w:tcMar>
              <w:left w:w="115" w:type="dxa"/>
              <w:right w:w="360" w:type="dxa"/>
            </w:tcMar>
            <w:vAlign w:val="center"/>
            <w:hideMark/>
          </w:tcPr>
          <w:p w14:paraId="385B3CFE" w14:textId="61A666FF" w:rsidR="002A1815" w:rsidRPr="002450B1" w:rsidRDefault="00357FC2" w:rsidP="0049228A">
            <w:pPr>
              <w:pStyle w:val="Table"/>
              <w:ind w:right="-272"/>
              <w:jc w:val="right"/>
              <w:rPr>
                <w:sz w:val="18"/>
                <w:szCs w:val="18"/>
              </w:rPr>
            </w:pPr>
            <w:r>
              <w:rPr>
                <w:sz w:val="18"/>
                <w:szCs w:val="18"/>
              </w:rPr>
              <w:t xml:space="preserve">12 to </w:t>
            </w:r>
            <w:r w:rsidR="002A1815" w:rsidRPr="002A1815">
              <w:rPr>
                <w:sz w:val="18"/>
                <w:szCs w:val="18"/>
              </w:rPr>
              <w:t>14</w:t>
            </w:r>
          </w:p>
        </w:tc>
        <w:tc>
          <w:tcPr>
            <w:tcW w:w="1097" w:type="dxa"/>
            <w:vAlign w:val="center"/>
            <w:hideMark/>
          </w:tcPr>
          <w:p w14:paraId="1F3FA063" w14:textId="6F732AE9" w:rsidR="002A1815" w:rsidRPr="00EA69E3" w:rsidRDefault="002A1815" w:rsidP="002A1815">
            <w:pPr>
              <w:pStyle w:val="Table"/>
              <w:jc w:val="center"/>
              <w:rPr>
                <w:sz w:val="18"/>
                <w:szCs w:val="18"/>
              </w:rPr>
            </w:pPr>
            <w:r>
              <w:rPr>
                <w:color w:val="000000"/>
                <w:sz w:val="18"/>
                <w:szCs w:val="18"/>
              </w:rPr>
              <w:t>100</w:t>
            </w:r>
          </w:p>
        </w:tc>
        <w:tc>
          <w:tcPr>
            <w:tcW w:w="1603" w:type="dxa"/>
            <w:tcMar>
              <w:left w:w="115" w:type="dxa"/>
              <w:right w:w="360" w:type="dxa"/>
            </w:tcMar>
            <w:vAlign w:val="center"/>
            <w:hideMark/>
          </w:tcPr>
          <w:p w14:paraId="66F8ADB6" w14:textId="3042273A" w:rsidR="002A1815" w:rsidRPr="00A355B6" w:rsidRDefault="00357FC2" w:rsidP="0049228A">
            <w:pPr>
              <w:pStyle w:val="Table"/>
              <w:ind w:right="-281"/>
              <w:jc w:val="right"/>
              <w:rPr>
                <w:sz w:val="18"/>
                <w:szCs w:val="18"/>
              </w:rPr>
            </w:pPr>
            <w:r>
              <w:rPr>
                <w:sz w:val="18"/>
                <w:szCs w:val="18"/>
              </w:rPr>
              <w:t xml:space="preserve">1,200 to </w:t>
            </w:r>
            <w:r w:rsidR="002A1815" w:rsidRPr="002A1815">
              <w:rPr>
                <w:sz w:val="18"/>
                <w:szCs w:val="18"/>
              </w:rPr>
              <w:t>1,400</w:t>
            </w:r>
          </w:p>
        </w:tc>
        <w:tc>
          <w:tcPr>
            <w:tcW w:w="1097" w:type="dxa"/>
            <w:vAlign w:val="center"/>
            <w:hideMark/>
          </w:tcPr>
          <w:p w14:paraId="6D2CFE59" w14:textId="77777777" w:rsidR="002A1815" w:rsidRPr="00EA69E3" w:rsidRDefault="002A1815" w:rsidP="002A1815">
            <w:pPr>
              <w:pStyle w:val="Table"/>
              <w:jc w:val="center"/>
              <w:rPr>
                <w:sz w:val="18"/>
                <w:szCs w:val="18"/>
              </w:rPr>
            </w:pPr>
            <w:r w:rsidRPr="00EA69E3">
              <w:rPr>
                <w:sz w:val="18"/>
                <w:szCs w:val="18"/>
              </w:rPr>
              <w:t>$44.38</w:t>
            </w:r>
          </w:p>
        </w:tc>
        <w:tc>
          <w:tcPr>
            <w:tcW w:w="2335" w:type="dxa"/>
            <w:noWrap/>
            <w:tcMar>
              <w:left w:w="115" w:type="dxa"/>
              <w:right w:w="288" w:type="dxa"/>
            </w:tcMar>
            <w:vAlign w:val="center"/>
            <w:hideMark/>
          </w:tcPr>
          <w:p w14:paraId="7226975D" w14:textId="74E7BC33" w:rsidR="002A1815" w:rsidRPr="00A355B6" w:rsidRDefault="00357FC2" w:rsidP="0049228A">
            <w:pPr>
              <w:pStyle w:val="Table"/>
              <w:ind w:right="-203"/>
              <w:jc w:val="right"/>
              <w:rPr>
                <w:sz w:val="18"/>
                <w:szCs w:val="18"/>
              </w:rPr>
            </w:pPr>
            <w:r>
              <w:rPr>
                <w:sz w:val="18"/>
                <w:szCs w:val="18"/>
              </w:rPr>
              <w:t xml:space="preserve">$53,256 to </w:t>
            </w:r>
            <w:r w:rsidR="002A1815" w:rsidRPr="002A1815">
              <w:rPr>
                <w:sz w:val="18"/>
                <w:szCs w:val="18"/>
              </w:rPr>
              <w:t>$62,132</w:t>
            </w:r>
          </w:p>
        </w:tc>
      </w:tr>
      <w:tr w:rsidR="00357FC2" w:rsidRPr="003613B6" w14:paraId="13BEBACE" w14:textId="77777777" w:rsidTr="0049228A">
        <w:trPr>
          <w:trHeight w:val="300"/>
        </w:trPr>
        <w:tc>
          <w:tcPr>
            <w:tcW w:w="1861" w:type="dxa"/>
            <w:vAlign w:val="center"/>
          </w:tcPr>
          <w:p w14:paraId="739B05B4" w14:textId="66AE082D" w:rsidR="002A1815" w:rsidRPr="003613B6" w:rsidRDefault="002A1815" w:rsidP="002A1815">
            <w:pPr>
              <w:pStyle w:val="Table"/>
              <w:rPr>
                <w:sz w:val="18"/>
              </w:rPr>
            </w:pPr>
            <w:r>
              <w:rPr>
                <w:color w:val="000000"/>
                <w:sz w:val="18"/>
                <w:szCs w:val="18"/>
              </w:rPr>
              <w:t>&lt;=100, NTNCWS</w:t>
            </w:r>
          </w:p>
        </w:tc>
        <w:tc>
          <w:tcPr>
            <w:tcW w:w="1357" w:type="dxa"/>
            <w:tcMar>
              <w:left w:w="115" w:type="dxa"/>
              <w:right w:w="360" w:type="dxa"/>
            </w:tcMar>
            <w:vAlign w:val="center"/>
          </w:tcPr>
          <w:p w14:paraId="1D36D2D6" w14:textId="7F9AE985" w:rsidR="002A1815" w:rsidRPr="00192A44" w:rsidRDefault="002A1815" w:rsidP="0049228A">
            <w:pPr>
              <w:pStyle w:val="Table"/>
              <w:ind w:right="-272"/>
              <w:jc w:val="right"/>
              <w:rPr>
                <w:sz w:val="18"/>
                <w:szCs w:val="18"/>
              </w:rPr>
            </w:pPr>
            <w:r>
              <w:rPr>
                <w:color w:val="000000"/>
                <w:sz w:val="18"/>
                <w:szCs w:val="18"/>
              </w:rPr>
              <w:t>211</w:t>
            </w:r>
          </w:p>
        </w:tc>
        <w:tc>
          <w:tcPr>
            <w:tcW w:w="1097" w:type="dxa"/>
            <w:vAlign w:val="center"/>
          </w:tcPr>
          <w:p w14:paraId="5B432CBD" w14:textId="18EBD00F" w:rsidR="002A1815" w:rsidRPr="00EA69E3" w:rsidRDefault="002A1815" w:rsidP="002A1815">
            <w:pPr>
              <w:pStyle w:val="Table"/>
              <w:jc w:val="center"/>
              <w:rPr>
                <w:sz w:val="18"/>
                <w:szCs w:val="18"/>
              </w:rPr>
            </w:pPr>
            <w:r>
              <w:rPr>
                <w:color w:val="000000"/>
                <w:sz w:val="18"/>
                <w:szCs w:val="18"/>
              </w:rPr>
              <w:t>1.75</w:t>
            </w:r>
          </w:p>
        </w:tc>
        <w:tc>
          <w:tcPr>
            <w:tcW w:w="1603" w:type="dxa"/>
            <w:tcMar>
              <w:left w:w="115" w:type="dxa"/>
              <w:right w:w="360" w:type="dxa"/>
            </w:tcMar>
            <w:vAlign w:val="center"/>
          </w:tcPr>
          <w:p w14:paraId="3B183610" w14:textId="65B58C35" w:rsidR="002A1815" w:rsidRPr="00192A44" w:rsidRDefault="002A1815" w:rsidP="0049228A">
            <w:pPr>
              <w:pStyle w:val="Table"/>
              <w:ind w:right="-281"/>
              <w:jc w:val="right"/>
              <w:rPr>
                <w:sz w:val="18"/>
                <w:szCs w:val="18"/>
              </w:rPr>
            </w:pPr>
            <w:r>
              <w:rPr>
                <w:color w:val="000000"/>
                <w:sz w:val="18"/>
                <w:szCs w:val="18"/>
              </w:rPr>
              <w:t>369</w:t>
            </w:r>
          </w:p>
        </w:tc>
        <w:tc>
          <w:tcPr>
            <w:tcW w:w="1097" w:type="dxa"/>
            <w:vAlign w:val="center"/>
          </w:tcPr>
          <w:p w14:paraId="2ADED0C4" w14:textId="56F64B1B"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tcPr>
          <w:p w14:paraId="40FBB796" w14:textId="4E16418F" w:rsidR="002A1815" w:rsidRPr="00192A44" w:rsidRDefault="002A1815" w:rsidP="0049228A">
            <w:pPr>
              <w:pStyle w:val="Table"/>
              <w:ind w:right="-203"/>
              <w:jc w:val="right"/>
              <w:rPr>
                <w:sz w:val="18"/>
                <w:szCs w:val="18"/>
              </w:rPr>
            </w:pPr>
            <w:r>
              <w:rPr>
                <w:color w:val="000000"/>
                <w:sz w:val="18"/>
                <w:szCs w:val="18"/>
              </w:rPr>
              <w:t xml:space="preserve">$10,575 </w:t>
            </w:r>
          </w:p>
        </w:tc>
      </w:tr>
      <w:tr w:rsidR="00357FC2" w:rsidRPr="003613B6" w14:paraId="00FA4CAE" w14:textId="77777777" w:rsidTr="0049228A">
        <w:trPr>
          <w:trHeight w:val="300"/>
        </w:trPr>
        <w:tc>
          <w:tcPr>
            <w:tcW w:w="1861" w:type="dxa"/>
            <w:vAlign w:val="center"/>
          </w:tcPr>
          <w:p w14:paraId="6FB08F38" w14:textId="3D7C923F" w:rsidR="002A1815" w:rsidRPr="003613B6" w:rsidRDefault="002A1815" w:rsidP="002A1815">
            <w:pPr>
              <w:pStyle w:val="Table"/>
              <w:rPr>
                <w:sz w:val="18"/>
              </w:rPr>
            </w:pPr>
            <w:r>
              <w:rPr>
                <w:color w:val="000000"/>
                <w:sz w:val="18"/>
                <w:szCs w:val="18"/>
              </w:rPr>
              <w:t>101-500, NTNCWS</w:t>
            </w:r>
          </w:p>
        </w:tc>
        <w:tc>
          <w:tcPr>
            <w:tcW w:w="1357" w:type="dxa"/>
            <w:tcMar>
              <w:left w:w="115" w:type="dxa"/>
              <w:right w:w="360" w:type="dxa"/>
            </w:tcMar>
            <w:vAlign w:val="center"/>
          </w:tcPr>
          <w:p w14:paraId="6373415E" w14:textId="74FD9218" w:rsidR="002A1815" w:rsidRPr="00192A44" w:rsidRDefault="002A1815" w:rsidP="0049228A">
            <w:pPr>
              <w:pStyle w:val="Table"/>
              <w:ind w:right="-272"/>
              <w:jc w:val="right"/>
              <w:rPr>
                <w:sz w:val="18"/>
                <w:szCs w:val="18"/>
              </w:rPr>
            </w:pPr>
            <w:r>
              <w:rPr>
                <w:color w:val="000000"/>
                <w:sz w:val="18"/>
                <w:szCs w:val="18"/>
              </w:rPr>
              <w:t>163</w:t>
            </w:r>
          </w:p>
        </w:tc>
        <w:tc>
          <w:tcPr>
            <w:tcW w:w="1097" w:type="dxa"/>
            <w:vAlign w:val="center"/>
          </w:tcPr>
          <w:p w14:paraId="579F8DE3" w14:textId="29999A3B" w:rsidR="002A1815" w:rsidRPr="00EA69E3" w:rsidRDefault="002A1815" w:rsidP="002A1815">
            <w:pPr>
              <w:pStyle w:val="Table"/>
              <w:jc w:val="center"/>
              <w:rPr>
                <w:sz w:val="18"/>
                <w:szCs w:val="18"/>
              </w:rPr>
            </w:pPr>
            <w:r>
              <w:rPr>
                <w:color w:val="000000"/>
                <w:sz w:val="18"/>
                <w:szCs w:val="18"/>
              </w:rPr>
              <w:t>1.75</w:t>
            </w:r>
          </w:p>
        </w:tc>
        <w:tc>
          <w:tcPr>
            <w:tcW w:w="1603" w:type="dxa"/>
            <w:tcMar>
              <w:left w:w="115" w:type="dxa"/>
              <w:right w:w="360" w:type="dxa"/>
            </w:tcMar>
            <w:vAlign w:val="center"/>
          </w:tcPr>
          <w:p w14:paraId="1F131608" w14:textId="00D0B2C9" w:rsidR="002A1815" w:rsidRPr="00192A44" w:rsidRDefault="002A1815" w:rsidP="0049228A">
            <w:pPr>
              <w:pStyle w:val="Table"/>
              <w:ind w:right="-281"/>
              <w:jc w:val="right"/>
              <w:rPr>
                <w:sz w:val="18"/>
                <w:szCs w:val="18"/>
              </w:rPr>
            </w:pPr>
            <w:r>
              <w:rPr>
                <w:color w:val="000000"/>
                <w:sz w:val="18"/>
                <w:szCs w:val="18"/>
              </w:rPr>
              <w:t>285</w:t>
            </w:r>
          </w:p>
        </w:tc>
        <w:tc>
          <w:tcPr>
            <w:tcW w:w="1097" w:type="dxa"/>
            <w:vAlign w:val="center"/>
          </w:tcPr>
          <w:p w14:paraId="3A40FF35" w14:textId="41AC3A27"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tcPr>
          <w:p w14:paraId="6A8B66F9" w14:textId="46DDF499" w:rsidR="002A1815" w:rsidRPr="00192A44" w:rsidRDefault="002A1815" w:rsidP="0049228A">
            <w:pPr>
              <w:pStyle w:val="Table"/>
              <w:ind w:right="-203"/>
              <w:jc w:val="right"/>
              <w:rPr>
                <w:sz w:val="18"/>
                <w:szCs w:val="18"/>
              </w:rPr>
            </w:pPr>
            <w:r>
              <w:rPr>
                <w:color w:val="000000"/>
                <w:sz w:val="18"/>
                <w:szCs w:val="18"/>
              </w:rPr>
              <w:t xml:space="preserve">$8,170 </w:t>
            </w:r>
          </w:p>
        </w:tc>
      </w:tr>
      <w:tr w:rsidR="00357FC2" w:rsidRPr="003613B6" w14:paraId="3EBB060E" w14:textId="77777777" w:rsidTr="0049228A">
        <w:trPr>
          <w:trHeight w:val="300"/>
        </w:trPr>
        <w:tc>
          <w:tcPr>
            <w:tcW w:w="1861" w:type="dxa"/>
            <w:vAlign w:val="center"/>
          </w:tcPr>
          <w:p w14:paraId="0F0A7742" w14:textId="6F0343F0" w:rsidR="002A1815" w:rsidRPr="003613B6" w:rsidRDefault="002A1815" w:rsidP="002A1815">
            <w:pPr>
              <w:pStyle w:val="Table"/>
              <w:rPr>
                <w:sz w:val="18"/>
              </w:rPr>
            </w:pPr>
            <w:r>
              <w:rPr>
                <w:color w:val="000000"/>
                <w:sz w:val="18"/>
                <w:szCs w:val="18"/>
              </w:rPr>
              <w:t>501-1,000, NTNCWS</w:t>
            </w:r>
          </w:p>
        </w:tc>
        <w:tc>
          <w:tcPr>
            <w:tcW w:w="1357" w:type="dxa"/>
            <w:tcMar>
              <w:left w:w="115" w:type="dxa"/>
              <w:right w:w="360" w:type="dxa"/>
            </w:tcMar>
            <w:vAlign w:val="center"/>
          </w:tcPr>
          <w:p w14:paraId="1F8DCA83" w14:textId="3EDA8972" w:rsidR="002A1815" w:rsidRPr="00192A44" w:rsidRDefault="002A1815" w:rsidP="0049228A">
            <w:pPr>
              <w:pStyle w:val="Table"/>
              <w:ind w:right="-272"/>
              <w:jc w:val="right"/>
              <w:rPr>
                <w:sz w:val="18"/>
                <w:szCs w:val="18"/>
              </w:rPr>
            </w:pPr>
            <w:r>
              <w:rPr>
                <w:color w:val="000000"/>
                <w:sz w:val="18"/>
                <w:szCs w:val="18"/>
              </w:rPr>
              <w:t>40</w:t>
            </w:r>
          </w:p>
        </w:tc>
        <w:tc>
          <w:tcPr>
            <w:tcW w:w="1097" w:type="dxa"/>
            <w:vAlign w:val="center"/>
          </w:tcPr>
          <w:p w14:paraId="1D9ECB86" w14:textId="04BE878E" w:rsidR="002A1815" w:rsidRPr="00EA69E3" w:rsidRDefault="002A1815" w:rsidP="002A1815">
            <w:pPr>
              <w:pStyle w:val="Table"/>
              <w:jc w:val="center"/>
              <w:rPr>
                <w:sz w:val="18"/>
                <w:szCs w:val="18"/>
              </w:rPr>
            </w:pPr>
            <w:r>
              <w:rPr>
                <w:color w:val="000000"/>
                <w:sz w:val="18"/>
                <w:szCs w:val="18"/>
              </w:rPr>
              <w:t>1.75</w:t>
            </w:r>
          </w:p>
        </w:tc>
        <w:tc>
          <w:tcPr>
            <w:tcW w:w="1603" w:type="dxa"/>
            <w:tcMar>
              <w:left w:w="115" w:type="dxa"/>
              <w:right w:w="360" w:type="dxa"/>
            </w:tcMar>
            <w:vAlign w:val="center"/>
          </w:tcPr>
          <w:p w14:paraId="6FF2958A" w14:textId="61678137" w:rsidR="002A1815" w:rsidRPr="00192A44" w:rsidRDefault="002A1815" w:rsidP="0049228A">
            <w:pPr>
              <w:pStyle w:val="Table"/>
              <w:ind w:right="-281"/>
              <w:jc w:val="right"/>
              <w:rPr>
                <w:sz w:val="18"/>
                <w:szCs w:val="18"/>
              </w:rPr>
            </w:pPr>
            <w:r>
              <w:rPr>
                <w:color w:val="000000"/>
                <w:sz w:val="18"/>
                <w:szCs w:val="18"/>
              </w:rPr>
              <w:t>70</w:t>
            </w:r>
          </w:p>
        </w:tc>
        <w:tc>
          <w:tcPr>
            <w:tcW w:w="1097" w:type="dxa"/>
            <w:vAlign w:val="center"/>
          </w:tcPr>
          <w:p w14:paraId="485FC25F" w14:textId="073FC0DD"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tcPr>
          <w:p w14:paraId="1CB09E71" w14:textId="4BFD6FC4" w:rsidR="002A1815" w:rsidRPr="00192A44" w:rsidRDefault="002A1815" w:rsidP="0049228A">
            <w:pPr>
              <w:pStyle w:val="Table"/>
              <w:ind w:right="-203"/>
              <w:jc w:val="right"/>
              <w:rPr>
                <w:sz w:val="18"/>
                <w:szCs w:val="18"/>
              </w:rPr>
            </w:pPr>
            <w:r>
              <w:rPr>
                <w:color w:val="000000"/>
                <w:sz w:val="18"/>
                <w:szCs w:val="18"/>
              </w:rPr>
              <w:t xml:space="preserve">$2,005 </w:t>
            </w:r>
          </w:p>
        </w:tc>
      </w:tr>
      <w:tr w:rsidR="00357FC2" w:rsidRPr="003613B6" w14:paraId="010FD5BE" w14:textId="77777777" w:rsidTr="0049228A">
        <w:trPr>
          <w:trHeight w:val="300"/>
        </w:trPr>
        <w:tc>
          <w:tcPr>
            <w:tcW w:w="1861" w:type="dxa"/>
            <w:vAlign w:val="center"/>
          </w:tcPr>
          <w:p w14:paraId="1093925B" w14:textId="6B525235" w:rsidR="002A1815" w:rsidRPr="003613B6" w:rsidRDefault="002A1815" w:rsidP="002A1815">
            <w:pPr>
              <w:pStyle w:val="Table"/>
              <w:rPr>
                <w:sz w:val="18"/>
              </w:rPr>
            </w:pPr>
            <w:r>
              <w:rPr>
                <w:color w:val="000000"/>
                <w:sz w:val="18"/>
                <w:szCs w:val="18"/>
              </w:rPr>
              <w:t>1,001-3,300, NTNCWS</w:t>
            </w:r>
          </w:p>
        </w:tc>
        <w:tc>
          <w:tcPr>
            <w:tcW w:w="1357" w:type="dxa"/>
            <w:tcMar>
              <w:left w:w="115" w:type="dxa"/>
              <w:right w:w="360" w:type="dxa"/>
            </w:tcMar>
            <w:vAlign w:val="center"/>
          </w:tcPr>
          <w:p w14:paraId="08625E37" w14:textId="60D7B573" w:rsidR="002A1815" w:rsidRPr="00192A44" w:rsidRDefault="002A1815" w:rsidP="0049228A">
            <w:pPr>
              <w:pStyle w:val="Table"/>
              <w:ind w:right="-272"/>
              <w:jc w:val="right"/>
              <w:rPr>
                <w:sz w:val="18"/>
                <w:szCs w:val="18"/>
              </w:rPr>
            </w:pPr>
            <w:r>
              <w:rPr>
                <w:color w:val="000000"/>
                <w:sz w:val="18"/>
                <w:szCs w:val="18"/>
              </w:rPr>
              <w:t>22</w:t>
            </w:r>
          </w:p>
        </w:tc>
        <w:tc>
          <w:tcPr>
            <w:tcW w:w="1097" w:type="dxa"/>
            <w:vAlign w:val="center"/>
          </w:tcPr>
          <w:p w14:paraId="40C51D73" w14:textId="1C62F5F4" w:rsidR="002A1815" w:rsidRPr="00EA69E3" w:rsidRDefault="002A1815" w:rsidP="002A1815">
            <w:pPr>
              <w:pStyle w:val="Table"/>
              <w:jc w:val="center"/>
              <w:rPr>
                <w:sz w:val="18"/>
                <w:szCs w:val="18"/>
              </w:rPr>
            </w:pPr>
            <w:r>
              <w:rPr>
                <w:color w:val="000000"/>
                <w:sz w:val="18"/>
                <w:szCs w:val="18"/>
              </w:rPr>
              <w:t>1.75</w:t>
            </w:r>
          </w:p>
        </w:tc>
        <w:tc>
          <w:tcPr>
            <w:tcW w:w="1603" w:type="dxa"/>
            <w:tcMar>
              <w:left w:w="115" w:type="dxa"/>
              <w:right w:w="360" w:type="dxa"/>
            </w:tcMar>
            <w:vAlign w:val="center"/>
          </w:tcPr>
          <w:p w14:paraId="6507AAD4" w14:textId="5AD4FDA9" w:rsidR="002A1815" w:rsidRPr="00192A44" w:rsidRDefault="002A1815" w:rsidP="0049228A">
            <w:pPr>
              <w:pStyle w:val="Table"/>
              <w:ind w:right="-281"/>
              <w:jc w:val="right"/>
              <w:rPr>
                <w:sz w:val="18"/>
                <w:szCs w:val="18"/>
              </w:rPr>
            </w:pPr>
            <w:r>
              <w:rPr>
                <w:color w:val="000000"/>
                <w:sz w:val="18"/>
                <w:szCs w:val="18"/>
              </w:rPr>
              <w:t>39</w:t>
            </w:r>
          </w:p>
        </w:tc>
        <w:tc>
          <w:tcPr>
            <w:tcW w:w="1097" w:type="dxa"/>
            <w:vAlign w:val="center"/>
          </w:tcPr>
          <w:p w14:paraId="72316FFD" w14:textId="33D697D5" w:rsidR="002A1815" w:rsidRPr="00EA69E3" w:rsidRDefault="002A1815" w:rsidP="002A1815">
            <w:pPr>
              <w:pStyle w:val="Table"/>
              <w:jc w:val="center"/>
              <w:rPr>
                <w:sz w:val="18"/>
                <w:szCs w:val="18"/>
              </w:rPr>
            </w:pPr>
            <w:r w:rsidRPr="00EA69E3">
              <w:rPr>
                <w:sz w:val="18"/>
                <w:szCs w:val="18"/>
              </w:rPr>
              <w:t>$28.64</w:t>
            </w:r>
          </w:p>
        </w:tc>
        <w:tc>
          <w:tcPr>
            <w:tcW w:w="2335" w:type="dxa"/>
            <w:noWrap/>
            <w:tcMar>
              <w:left w:w="115" w:type="dxa"/>
              <w:right w:w="288" w:type="dxa"/>
            </w:tcMar>
            <w:vAlign w:val="center"/>
          </w:tcPr>
          <w:p w14:paraId="6DA2291B" w14:textId="54B59868" w:rsidR="002A1815" w:rsidRPr="00192A44" w:rsidRDefault="002A1815" w:rsidP="0049228A">
            <w:pPr>
              <w:pStyle w:val="Table"/>
              <w:ind w:right="-203"/>
              <w:jc w:val="right"/>
              <w:rPr>
                <w:sz w:val="18"/>
                <w:szCs w:val="18"/>
              </w:rPr>
            </w:pPr>
            <w:r>
              <w:rPr>
                <w:color w:val="000000"/>
                <w:sz w:val="18"/>
                <w:szCs w:val="18"/>
              </w:rPr>
              <w:t xml:space="preserve">$1,103 </w:t>
            </w:r>
          </w:p>
        </w:tc>
      </w:tr>
      <w:tr w:rsidR="00357FC2" w:rsidRPr="003613B6" w14:paraId="5C9C3F13" w14:textId="77777777" w:rsidTr="0049228A">
        <w:trPr>
          <w:trHeight w:val="300"/>
        </w:trPr>
        <w:tc>
          <w:tcPr>
            <w:tcW w:w="1861" w:type="dxa"/>
            <w:vAlign w:val="center"/>
          </w:tcPr>
          <w:p w14:paraId="7F85ED07" w14:textId="5028BD8E" w:rsidR="002A1815" w:rsidRPr="003613B6" w:rsidRDefault="002A1815" w:rsidP="002A1815">
            <w:pPr>
              <w:pStyle w:val="Table"/>
              <w:rPr>
                <w:sz w:val="18"/>
              </w:rPr>
            </w:pPr>
            <w:r>
              <w:rPr>
                <w:color w:val="000000"/>
                <w:sz w:val="18"/>
                <w:szCs w:val="18"/>
              </w:rPr>
              <w:t>3,301-10,000, NTNCWS</w:t>
            </w:r>
          </w:p>
        </w:tc>
        <w:tc>
          <w:tcPr>
            <w:tcW w:w="1357" w:type="dxa"/>
            <w:tcMar>
              <w:left w:w="115" w:type="dxa"/>
              <w:right w:w="360" w:type="dxa"/>
            </w:tcMar>
            <w:vAlign w:val="center"/>
          </w:tcPr>
          <w:p w14:paraId="4FE32824" w14:textId="4E58F137" w:rsidR="002A1815" w:rsidRPr="00192A44" w:rsidRDefault="002A1815" w:rsidP="0049228A">
            <w:pPr>
              <w:pStyle w:val="Table"/>
              <w:ind w:right="-272"/>
              <w:jc w:val="right"/>
              <w:rPr>
                <w:sz w:val="18"/>
                <w:szCs w:val="18"/>
              </w:rPr>
            </w:pPr>
            <w:r>
              <w:rPr>
                <w:color w:val="000000"/>
                <w:sz w:val="18"/>
                <w:szCs w:val="18"/>
              </w:rPr>
              <w:t>4</w:t>
            </w:r>
          </w:p>
        </w:tc>
        <w:tc>
          <w:tcPr>
            <w:tcW w:w="1097" w:type="dxa"/>
            <w:vAlign w:val="center"/>
          </w:tcPr>
          <w:p w14:paraId="5887DDFE" w14:textId="1B82614B" w:rsidR="002A1815" w:rsidRPr="00EA69E3" w:rsidRDefault="002A1815" w:rsidP="002A1815">
            <w:pPr>
              <w:pStyle w:val="Table"/>
              <w:jc w:val="center"/>
              <w:rPr>
                <w:sz w:val="18"/>
                <w:szCs w:val="18"/>
              </w:rPr>
            </w:pPr>
            <w:r>
              <w:rPr>
                <w:color w:val="000000"/>
                <w:sz w:val="18"/>
                <w:szCs w:val="18"/>
              </w:rPr>
              <w:t>3</w:t>
            </w:r>
          </w:p>
        </w:tc>
        <w:tc>
          <w:tcPr>
            <w:tcW w:w="1603" w:type="dxa"/>
            <w:tcMar>
              <w:left w:w="115" w:type="dxa"/>
              <w:right w:w="360" w:type="dxa"/>
            </w:tcMar>
            <w:vAlign w:val="center"/>
          </w:tcPr>
          <w:p w14:paraId="6F5C4F35" w14:textId="38142A2A" w:rsidR="002A1815" w:rsidRPr="00192A44" w:rsidRDefault="002A1815" w:rsidP="0049228A">
            <w:pPr>
              <w:pStyle w:val="Table"/>
              <w:ind w:right="-281"/>
              <w:jc w:val="right"/>
              <w:rPr>
                <w:sz w:val="18"/>
                <w:szCs w:val="18"/>
              </w:rPr>
            </w:pPr>
            <w:r>
              <w:rPr>
                <w:color w:val="000000"/>
                <w:sz w:val="18"/>
                <w:szCs w:val="18"/>
              </w:rPr>
              <w:t>12</w:t>
            </w:r>
          </w:p>
        </w:tc>
        <w:tc>
          <w:tcPr>
            <w:tcW w:w="1097" w:type="dxa"/>
            <w:vAlign w:val="center"/>
          </w:tcPr>
          <w:p w14:paraId="4357A0B6" w14:textId="4A8B8D09" w:rsidR="002A1815" w:rsidRPr="00EA69E3" w:rsidRDefault="002A1815" w:rsidP="002A1815">
            <w:pPr>
              <w:pStyle w:val="Table"/>
              <w:jc w:val="center"/>
              <w:rPr>
                <w:sz w:val="18"/>
                <w:szCs w:val="18"/>
              </w:rPr>
            </w:pPr>
            <w:r w:rsidRPr="00EA69E3">
              <w:rPr>
                <w:sz w:val="18"/>
                <w:szCs w:val="18"/>
              </w:rPr>
              <w:t>$33.74</w:t>
            </w:r>
          </w:p>
        </w:tc>
        <w:tc>
          <w:tcPr>
            <w:tcW w:w="2335" w:type="dxa"/>
            <w:noWrap/>
            <w:tcMar>
              <w:left w:w="115" w:type="dxa"/>
              <w:right w:w="288" w:type="dxa"/>
            </w:tcMar>
            <w:vAlign w:val="center"/>
          </w:tcPr>
          <w:p w14:paraId="13BD34B8" w14:textId="55A49E54" w:rsidR="002A1815" w:rsidRPr="00192A44" w:rsidRDefault="002A1815" w:rsidP="0049228A">
            <w:pPr>
              <w:pStyle w:val="Table"/>
              <w:ind w:right="-203"/>
              <w:jc w:val="right"/>
              <w:rPr>
                <w:sz w:val="18"/>
                <w:szCs w:val="18"/>
              </w:rPr>
            </w:pPr>
            <w:r>
              <w:rPr>
                <w:color w:val="000000"/>
                <w:sz w:val="18"/>
                <w:szCs w:val="18"/>
              </w:rPr>
              <w:t xml:space="preserve">$405 </w:t>
            </w:r>
          </w:p>
        </w:tc>
      </w:tr>
      <w:tr w:rsidR="00357FC2" w:rsidRPr="003613B6" w14:paraId="690B188A" w14:textId="77777777" w:rsidTr="0049228A">
        <w:trPr>
          <w:trHeight w:val="300"/>
        </w:trPr>
        <w:tc>
          <w:tcPr>
            <w:tcW w:w="1861" w:type="dxa"/>
            <w:vAlign w:val="center"/>
          </w:tcPr>
          <w:p w14:paraId="5FCFDD7F" w14:textId="45FCC5A1" w:rsidR="002A1815" w:rsidRPr="003613B6" w:rsidRDefault="002A1815" w:rsidP="002A1815">
            <w:pPr>
              <w:pStyle w:val="Table"/>
              <w:rPr>
                <w:sz w:val="18"/>
              </w:rPr>
            </w:pPr>
            <w:r>
              <w:rPr>
                <w:color w:val="000000"/>
                <w:sz w:val="18"/>
                <w:szCs w:val="18"/>
              </w:rPr>
              <w:t>10,001-50,000, NTNCWS</w:t>
            </w:r>
          </w:p>
        </w:tc>
        <w:tc>
          <w:tcPr>
            <w:tcW w:w="1357" w:type="dxa"/>
            <w:tcMar>
              <w:left w:w="115" w:type="dxa"/>
              <w:right w:w="360" w:type="dxa"/>
            </w:tcMar>
            <w:vAlign w:val="center"/>
          </w:tcPr>
          <w:p w14:paraId="44714221" w14:textId="452AAF29" w:rsidR="002A1815" w:rsidRPr="00192A44" w:rsidRDefault="002A1815" w:rsidP="0049228A">
            <w:pPr>
              <w:pStyle w:val="Table"/>
              <w:ind w:right="-272"/>
              <w:jc w:val="right"/>
              <w:rPr>
                <w:sz w:val="18"/>
                <w:szCs w:val="18"/>
              </w:rPr>
            </w:pPr>
            <w:r>
              <w:rPr>
                <w:color w:val="000000"/>
                <w:sz w:val="18"/>
                <w:szCs w:val="18"/>
              </w:rPr>
              <w:t>1</w:t>
            </w:r>
          </w:p>
        </w:tc>
        <w:tc>
          <w:tcPr>
            <w:tcW w:w="1097" w:type="dxa"/>
            <w:vAlign w:val="center"/>
          </w:tcPr>
          <w:p w14:paraId="4802C288" w14:textId="73DB30F1" w:rsidR="002A1815" w:rsidRPr="00EA69E3" w:rsidRDefault="002A1815" w:rsidP="002A1815">
            <w:pPr>
              <w:pStyle w:val="Table"/>
              <w:jc w:val="center"/>
              <w:rPr>
                <w:sz w:val="18"/>
                <w:szCs w:val="18"/>
              </w:rPr>
            </w:pPr>
            <w:r>
              <w:rPr>
                <w:color w:val="000000"/>
                <w:sz w:val="18"/>
                <w:szCs w:val="18"/>
              </w:rPr>
              <w:t>3</w:t>
            </w:r>
          </w:p>
        </w:tc>
        <w:tc>
          <w:tcPr>
            <w:tcW w:w="1603" w:type="dxa"/>
            <w:tcMar>
              <w:left w:w="115" w:type="dxa"/>
              <w:right w:w="360" w:type="dxa"/>
            </w:tcMar>
            <w:vAlign w:val="center"/>
          </w:tcPr>
          <w:p w14:paraId="2CEDAD61" w14:textId="78A26B11" w:rsidR="002A1815" w:rsidRPr="00192A44" w:rsidRDefault="002A1815" w:rsidP="0049228A">
            <w:pPr>
              <w:pStyle w:val="Table"/>
              <w:ind w:right="-281"/>
              <w:jc w:val="right"/>
              <w:rPr>
                <w:sz w:val="18"/>
                <w:szCs w:val="18"/>
              </w:rPr>
            </w:pPr>
            <w:r>
              <w:rPr>
                <w:color w:val="000000"/>
                <w:sz w:val="18"/>
                <w:szCs w:val="18"/>
              </w:rPr>
              <w:t>3</w:t>
            </w:r>
          </w:p>
        </w:tc>
        <w:tc>
          <w:tcPr>
            <w:tcW w:w="1097" w:type="dxa"/>
            <w:vAlign w:val="center"/>
          </w:tcPr>
          <w:p w14:paraId="35213124" w14:textId="66AE771F" w:rsidR="002A1815" w:rsidRPr="00EA69E3" w:rsidRDefault="002A1815" w:rsidP="002A1815">
            <w:pPr>
              <w:pStyle w:val="Table"/>
              <w:jc w:val="center"/>
              <w:rPr>
                <w:sz w:val="18"/>
                <w:szCs w:val="18"/>
              </w:rPr>
            </w:pPr>
            <w:r w:rsidRPr="00EA69E3">
              <w:rPr>
                <w:sz w:val="18"/>
                <w:szCs w:val="18"/>
              </w:rPr>
              <w:t>$36.15</w:t>
            </w:r>
          </w:p>
        </w:tc>
        <w:tc>
          <w:tcPr>
            <w:tcW w:w="2335" w:type="dxa"/>
            <w:noWrap/>
            <w:tcMar>
              <w:left w:w="115" w:type="dxa"/>
              <w:right w:w="288" w:type="dxa"/>
            </w:tcMar>
            <w:vAlign w:val="center"/>
          </w:tcPr>
          <w:p w14:paraId="5566EFD1" w14:textId="275AE079" w:rsidR="002A1815" w:rsidRPr="00192A44" w:rsidRDefault="002A1815" w:rsidP="0049228A">
            <w:pPr>
              <w:pStyle w:val="Table"/>
              <w:ind w:right="-203"/>
              <w:jc w:val="right"/>
              <w:rPr>
                <w:sz w:val="18"/>
                <w:szCs w:val="18"/>
              </w:rPr>
            </w:pPr>
            <w:r>
              <w:rPr>
                <w:color w:val="000000"/>
                <w:sz w:val="18"/>
                <w:szCs w:val="18"/>
              </w:rPr>
              <w:t xml:space="preserve">$108 </w:t>
            </w:r>
          </w:p>
        </w:tc>
      </w:tr>
      <w:tr w:rsidR="00357FC2" w:rsidRPr="003613B6" w14:paraId="408199F2" w14:textId="77777777" w:rsidTr="0049228A">
        <w:trPr>
          <w:trHeight w:val="300"/>
        </w:trPr>
        <w:tc>
          <w:tcPr>
            <w:tcW w:w="1861" w:type="dxa"/>
            <w:vAlign w:val="center"/>
          </w:tcPr>
          <w:p w14:paraId="0A9DA30E" w14:textId="0D36918D" w:rsidR="002A1815" w:rsidRPr="003613B6" w:rsidRDefault="002A1815" w:rsidP="002A1815">
            <w:pPr>
              <w:pStyle w:val="Table"/>
              <w:rPr>
                <w:sz w:val="18"/>
              </w:rPr>
            </w:pPr>
            <w:r>
              <w:rPr>
                <w:color w:val="000000"/>
                <w:sz w:val="18"/>
                <w:szCs w:val="18"/>
              </w:rPr>
              <w:t>50,001-100,000, NTNCWS</w:t>
            </w:r>
          </w:p>
        </w:tc>
        <w:tc>
          <w:tcPr>
            <w:tcW w:w="1357" w:type="dxa"/>
            <w:tcMar>
              <w:left w:w="115" w:type="dxa"/>
              <w:right w:w="360" w:type="dxa"/>
            </w:tcMar>
            <w:vAlign w:val="center"/>
          </w:tcPr>
          <w:p w14:paraId="5C84FE2A" w14:textId="118E8C1E" w:rsidR="002A1815" w:rsidRPr="00192A44" w:rsidRDefault="002A1815" w:rsidP="0049228A">
            <w:pPr>
              <w:pStyle w:val="Table"/>
              <w:ind w:right="-272"/>
              <w:jc w:val="right"/>
              <w:rPr>
                <w:sz w:val="18"/>
                <w:szCs w:val="18"/>
              </w:rPr>
            </w:pPr>
            <w:r>
              <w:rPr>
                <w:color w:val="000000"/>
                <w:sz w:val="18"/>
                <w:szCs w:val="18"/>
              </w:rPr>
              <w:t>1</w:t>
            </w:r>
          </w:p>
        </w:tc>
        <w:tc>
          <w:tcPr>
            <w:tcW w:w="1097" w:type="dxa"/>
            <w:vAlign w:val="center"/>
          </w:tcPr>
          <w:p w14:paraId="7517864B" w14:textId="3AF17E52" w:rsidR="002A1815" w:rsidRPr="00EA69E3" w:rsidRDefault="002A1815" w:rsidP="002A1815">
            <w:pPr>
              <w:pStyle w:val="Table"/>
              <w:jc w:val="center"/>
              <w:rPr>
                <w:sz w:val="18"/>
                <w:szCs w:val="18"/>
              </w:rPr>
            </w:pPr>
            <w:r>
              <w:rPr>
                <w:color w:val="000000"/>
                <w:sz w:val="18"/>
                <w:szCs w:val="18"/>
              </w:rPr>
              <w:t>7</w:t>
            </w:r>
          </w:p>
        </w:tc>
        <w:tc>
          <w:tcPr>
            <w:tcW w:w="1603" w:type="dxa"/>
            <w:tcMar>
              <w:left w:w="115" w:type="dxa"/>
              <w:right w:w="360" w:type="dxa"/>
            </w:tcMar>
            <w:vAlign w:val="center"/>
          </w:tcPr>
          <w:p w14:paraId="2287E0D0" w14:textId="09F254E7" w:rsidR="002A1815" w:rsidRPr="00192A44" w:rsidRDefault="002A1815" w:rsidP="0049228A">
            <w:pPr>
              <w:pStyle w:val="Table"/>
              <w:ind w:right="-281"/>
              <w:jc w:val="right"/>
              <w:rPr>
                <w:sz w:val="18"/>
                <w:szCs w:val="18"/>
              </w:rPr>
            </w:pPr>
            <w:r>
              <w:rPr>
                <w:color w:val="000000"/>
                <w:sz w:val="18"/>
                <w:szCs w:val="18"/>
              </w:rPr>
              <w:t>7</w:t>
            </w:r>
          </w:p>
        </w:tc>
        <w:tc>
          <w:tcPr>
            <w:tcW w:w="1097" w:type="dxa"/>
            <w:vAlign w:val="center"/>
          </w:tcPr>
          <w:p w14:paraId="51C83EE3" w14:textId="4E1CCCD5" w:rsidR="002A1815" w:rsidRPr="00EA69E3" w:rsidRDefault="002A1815" w:rsidP="002A1815">
            <w:pPr>
              <w:pStyle w:val="Table"/>
              <w:jc w:val="center"/>
              <w:rPr>
                <w:sz w:val="18"/>
                <w:szCs w:val="18"/>
              </w:rPr>
            </w:pPr>
            <w:r w:rsidRPr="00EA69E3">
              <w:rPr>
                <w:sz w:val="18"/>
                <w:szCs w:val="18"/>
              </w:rPr>
              <w:t>$39.01</w:t>
            </w:r>
          </w:p>
        </w:tc>
        <w:tc>
          <w:tcPr>
            <w:tcW w:w="2335" w:type="dxa"/>
            <w:noWrap/>
            <w:tcMar>
              <w:left w:w="115" w:type="dxa"/>
              <w:right w:w="288" w:type="dxa"/>
            </w:tcMar>
            <w:vAlign w:val="center"/>
          </w:tcPr>
          <w:p w14:paraId="0A217491" w14:textId="64624145" w:rsidR="002A1815" w:rsidRPr="00192A44" w:rsidRDefault="002A1815" w:rsidP="0049228A">
            <w:pPr>
              <w:pStyle w:val="Table"/>
              <w:ind w:right="-203"/>
              <w:jc w:val="right"/>
              <w:rPr>
                <w:sz w:val="18"/>
                <w:szCs w:val="18"/>
              </w:rPr>
            </w:pPr>
            <w:r>
              <w:rPr>
                <w:color w:val="000000"/>
                <w:sz w:val="18"/>
                <w:szCs w:val="18"/>
              </w:rPr>
              <w:t xml:space="preserve">$273 </w:t>
            </w:r>
          </w:p>
        </w:tc>
      </w:tr>
      <w:tr w:rsidR="00357FC2" w:rsidRPr="003613B6" w14:paraId="46AEE3A3" w14:textId="77777777" w:rsidTr="0049228A">
        <w:trPr>
          <w:trHeight w:val="300"/>
        </w:trPr>
        <w:tc>
          <w:tcPr>
            <w:tcW w:w="1861" w:type="dxa"/>
            <w:vAlign w:val="center"/>
          </w:tcPr>
          <w:p w14:paraId="4A65392E" w14:textId="017A7C75" w:rsidR="002A1815" w:rsidRPr="003613B6" w:rsidRDefault="002A1815" w:rsidP="002A1815">
            <w:pPr>
              <w:pStyle w:val="Table"/>
              <w:rPr>
                <w:sz w:val="18"/>
              </w:rPr>
            </w:pPr>
            <w:r>
              <w:rPr>
                <w:color w:val="000000"/>
                <w:sz w:val="18"/>
                <w:szCs w:val="18"/>
              </w:rPr>
              <w:t>100,001-1,000,000, NTNCWS</w:t>
            </w:r>
          </w:p>
        </w:tc>
        <w:tc>
          <w:tcPr>
            <w:tcW w:w="1357" w:type="dxa"/>
            <w:tcMar>
              <w:left w:w="115" w:type="dxa"/>
              <w:right w:w="360" w:type="dxa"/>
            </w:tcMar>
            <w:vAlign w:val="center"/>
          </w:tcPr>
          <w:p w14:paraId="284F6910" w14:textId="24A214AC" w:rsidR="002A1815" w:rsidRPr="00192A44" w:rsidRDefault="002A1815" w:rsidP="0049228A">
            <w:pPr>
              <w:pStyle w:val="Table"/>
              <w:ind w:right="-272"/>
              <w:jc w:val="right"/>
              <w:rPr>
                <w:sz w:val="18"/>
                <w:szCs w:val="18"/>
              </w:rPr>
            </w:pPr>
            <w:r>
              <w:rPr>
                <w:color w:val="000000"/>
                <w:sz w:val="18"/>
                <w:szCs w:val="18"/>
              </w:rPr>
              <w:t>1</w:t>
            </w:r>
          </w:p>
        </w:tc>
        <w:tc>
          <w:tcPr>
            <w:tcW w:w="1097" w:type="dxa"/>
            <w:vAlign w:val="center"/>
          </w:tcPr>
          <w:p w14:paraId="097E4C01" w14:textId="5D87D180" w:rsidR="002A1815" w:rsidRPr="00EA69E3" w:rsidRDefault="002A1815" w:rsidP="002A1815">
            <w:pPr>
              <w:pStyle w:val="Table"/>
              <w:jc w:val="center"/>
              <w:rPr>
                <w:sz w:val="18"/>
                <w:szCs w:val="18"/>
              </w:rPr>
            </w:pPr>
            <w:r>
              <w:rPr>
                <w:color w:val="000000"/>
                <w:sz w:val="18"/>
                <w:szCs w:val="18"/>
              </w:rPr>
              <w:t>7</w:t>
            </w:r>
          </w:p>
        </w:tc>
        <w:tc>
          <w:tcPr>
            <w:tcW w:w="1603" w:type="dxa"/>
            <w:tcMar>
              <w:left w:w="115" w:type="dxa"/>
              <w:right w:w="360" w:type="dxa"/>
            </w:tcMar>
            <w:vAlign w:val="center"/>
          </w:tcPr>
          <w:p w14:paraId="4D3676E3" w14:textId="30AFE0C9" w:rsidR="002A1815" w:rsidRPr="00192A44" w:rsidRDefault="002A1815" w:rsidP="0049228A">
            <w:pPr>
              <w:pStyle w:val="Table"/>
              <w:ind w:right="-281"/>
              <w:jc w:val="right"/>
              <w:rPr>
                <w:sz w:val="18"/>
                <w:szCs w:val="18"/>
              </w:rPr>
            </w:pPr>
            <w:r>
              <w:rPr>
                <w:color w:val="000000"/>
                <w:sz w:val="18"/>
                <w:szCs w:val="18"/>
              </w:rPr>
              <w:t>7</w:t>
            </w:r>
          </w:p>
        </w:tc>
        <w:tc>
          <w:tcPr>
            <w:tcW w:w="1097" w:type="dxa"/>
            <w:vAlign w:val="center"/>
          </w:tcPr>
          <w:p w14:paraId="3D7BC8F8" w14:textId="41EAE8C9" w:rsidR="002A1815" w:rsidRPr="00EA69E3" w:rsidRDefault="002A1815" w:rsidP="002A1815">
            <w:pPr>
              <w:pStyle w:val="Table"/>
              <w:jc w:val="center"/>
              <w:rPr>
                <w:sz w:val="18"/>
                <w:szCs w:val="18"/>
              </w:rPr>
            </w:pPr>
            <w:r w:rsidRPr="00EA69E3">
              <w:rPr>
                <w:sz w:val="18"/>
                <w:szCs w:val="18"/>
              </w:rPr>
              <w:t>$44.38</w:t>
            </w:r>
          </w:p>
        </w:tc>
        <w:tc>
          <w:tcPr>
            <w:tcW w:w="2335" w:type="dxa"/>
            <w:noWrap/>
            <w:tcMar>
              <w:left w:w="115" w:type="dxa"/>
              <w:right w:w="288" w:type="dxa"/>
            </w:tcMar>
            <w:vAlign w:val="center"/>
          </w:tcPr>
          <w:p w14:paraId="50D99827" w14:textId="286EE090" w:rsidR="002A1815" w:rsidRPr="00192A44" w:rsidRDefault="002A1815" w:rsidP="0049228A">
            <w:pPr>
              <w:pStyle w:val="Table"/>
              <w:ind w:right="-203"/>
              <w:jc w:val="right"/>
              <w:rPr>
                <w:sz w:val="18"/>
                <w:szCs w:val="18"/>
              </w:rPr>
            </w:pPr>
            <w:r>
              <w:rPr>
                <w:color w:val="000000"/>
                <w:sz w:val="18"/>
                <w:szCs w:val="18"/>
              </w:rPr>
              <w:t xml:space="preserve">$311 </w:t>
            </w:r>
          </w:p>
        </w:tc>
      </w:tr>
      <w:tr w:rsidR="00357FC2" w:rsidRPr="003613B6" w14:paraId="7AFD67AA" w14:textId="77777777" w:rsidTr="0049228A">
        <w:trPr>
          <w:trHeight w:val="300"/>
        </w:trPr>
        <w:tc>
          <w:tcPr>
            <w:tcW w:w="1861" w:type="dxa"/>
            <w:vAlign w:val="center"/>
          </w:tcPr>
          <w:p w14:paraId="383BC6C7" w14:textId="53054AC0" w:rsidR="002A1815" w:rsidRPr="003613B6" w:rsidRDefault="002A1815" w:rsidP="002A1815">
            <w:pPr>
              <w:pStyle w:val="Table"/>
              <w:rPr>
                <w:sz w:val="18"/>
              </w:rPr>
            </w:pPr>
            <w:r>
              <w:rPr>
                <w:color w:val="000000"/>
                <w:sz w:val="18"/>
                <w:szCs w:val="18"/>
              </w:rPr>
              <w:t>&gt;1,000,000, NTNCWS</w:t>
            </w:r>
          </w:p>
        </w:tc>
        <w:tc>
          <w:tcPr>
            <w:tcW w:w="1357" w:type="dxa"/>
            <w:tcMar>
              <w:left w:w="115" w:type="dxa"/>
              <w:right w:w="360" w:type="dxa"/>
            </w:tcMar>
            <w:vAlign w:val="center"/>
          </w:tcPr>
          <w:p w14:paraId="68458D2B" w14:textId="78FFBFAE" w:rsidR="002A1815" w:rsidRPr="00192A44" w:rsidRDefault="002A1815" w:rsidP="0049228A">
            <w:pPr>
              <w:pStyle w:val="Table"/>
              <w:ind w:right="-272"/>
              <w:jc w:val="right"/>
              <w:rPr>
                <w:sz w:val="18"/>
                <w:szCs w:val="18"/>
              </w:rPr>
            </w:pPr>
            <w:r>
              <w:rPr>
                <w:color w:val="000000"/>
                <w:sz w:val="18"/>
                <w:szCs w:val="18"/>
              </w:rPr>
              <w:t>0</w:t>
            </w:r>
          </w:p>
        </w:tc>
        <w:tc>
          <w:tcPr>
            <w:tcW w:w="1097" w:type="dxa"/>
            <w:vAlign w:val="center"/>
          </w:tcPr>
          <w:p w14:paraId="4F459265" w14:textId="3AF042A9" w:rsidR="002A1815" w:rsidRPr="00EA69E3" w:rsidRDefault="00B63BB0" w:rsidP="002A1815">
            <w:pPr>
              <w:pStyle w:val="Table"/>
              <w:jc w:val="center"/>
              <w:rPr>
                <w:sz w:val="18"/>
                <w:szCs w:val="18"/>
              </w:rPr>
            </w:pPr>
            <w:r>
              <w:rPr>
                <w:color w:val="000000"/>
                <w:sz w:val="18"/>
                <w:szCs w:val="18"/>
              </w:rPr>
              <w:t>not applicable</w:t>
            </w:r>
          </w:p>
        </w:tc>
        <w:tc>
          <w:tcPr>
            <w:tcW w:w="1603" w:type="dxa"/>
            <w:tcMar>
              <w:left w:w="115" w:type="dxa"/>
              <w:right w:w="360" w:type="dxa"/>
            </w:tcMar>
            <w:vAlign w:val="center"/>
          </w:tcPr>
          <w:p w14:paraId="3B0E1C7C" w14:textId="664F41B4" w:rsidR="002A1815" w:rsidRPr="00192A44" w:rsidRDefault="002A1815" w:rsidP="0049228A">
            <w:pPr>
              <w:pStyle w:val="Table"/>
              <w:ind w:right="-281"/>
              <w:jc w:val="right"/>
              <w:rPr>
                <w:sz w:val="18"/>
                <w:szCs w:val="18"/>
              </w:rPr>
            </w:pPr>
            <w:r>
              <w:rPr>
                <w:color w:val="000000"/>
                <w:sz w:val="18"/>
                <w:szCs w:val="18"/>
              </w:rPr>
              <w:t>0</w:t>
            </w:r>
          </w:p>
        </w:tc>
        <w:tc>
          <w:tcPr>
            <w:tcW w:w="1097" w:type="dxa"/>
            <w:vAlign w:val="center"/>
          </w:tcPr>
          <w:p w14:paraId="27679B30" w14:textId="6BF145F4" w:rsidR="002A1815" w:rsidRPr="00EA69E3" w:rsidRDefault="002A1815" w:rsidP="002A1815">
            <w:pPr>
              <w:pStyle w:val="Table"/>
              <w:jc w:val="center"/>
              <w:rPr>
                <w:sz w:val="18"/>
                <w:szCs w:val="18"/>
              </w:rPr>
            </w:pPr>
            <w:r w:rsidRPr="00EA69E3">
              <w:rPr>
                <w:sz w:val="18"/>
                <w:szCs w:val="18"/>
              </w:rPr>
              <w:t>$44.38</w:t>
            </w:r>
          </w:p>
        </w:tc>
        <w:tc>
          <w:tcPr>
            <w:tcW w:w="2335" w:type="dxa"/>
            <w:noWrap/>
            <w:tcMar>
              <w:left w:w="115" w:type="dxa"/>
              <w:right w:w="288" w:type="dxa"/>
            </w:tcMar>
            <w:vAlign w:val="center"/>
          </w:tcPr>
          <w:p w14:paraId="4CB9479E" w14:textId="40A9CEC0" w:rsidR="002A1815" w:rsidRPr="00192A44" w:rsidRDefault="002A1815" w:rsidP="0049228A">
            <w:pPr>
              <w:pStyle w:val="Table"/>
              <w:ind w:right="-203"/>
              <w:jc w:val="right"/>
              <w:rPr>
                <w:sz w:val="18"/>
                <w:szCs w:val="18"/>
              </w:rPr>
            </w:pPr>
            <w:r>
              <w:rPr>
                <w:color w:val="000000"/>
                <w:sz w:val="18"/>
                <w:szCs w:val="18"/>
              </w:rPr>
              <w:t xml:space="preserve">$0 </w:t>
            </w:r>
          </w:p>
        </w:tc>
      </w:tr>
      <w:tr w:rsidR="00357FC2" w:rsidRPr="003613B6" w14:paraId="4F31F889" w14:textId="77777777" w:rsidTr="0049228A">
        <w:trPr>
          <w:trHeight w:val="300"/>
        </w:trPr>
        <w:tc>
          <w:tcPr>
            <w:tcW w:w="1861" w:type="dxa"/>
            <w:vAlign w:val="center"/>
            <w:hideMark/>
          </w:tcPr>
          <w:p w14:paraId="35F8CECD" w14:textId="77777777" w:rsidR="00A355B6" w:rsidRPr="003613B6" w:rsidRDefault="00A355B6" w:rsidP="00A355B6">
            <w:pPr>
              <w:pStyle w:val="Table"/>
              <w:rPr>
                <w:b/>
                <w:bCs/>
                <w:sz w:val="18"/>
              </w:rPr>
            </w:pPr>
            <w:r w:rsidRPr="003613B6">
              <w:rPr>
                <w:b/>
                <w:bCs/>
                <w:sz w:val="18"/>
              </w:rPr>
              <w:t xml:space="preserve">System </w:t>
            </w:r>
            <w:r w:rsidR="00EB07E2">
              <w:rPr>
                <w:b/>
                <w:bCs/>
                <w:sz w:val="18"/>
              </w:rPr>
              <w:t>3-ye</w:t>
            </w:r>
            <w:r w:rsidR="001F4012">
              <w:rPr>
                <w:b/>
                <w:bCs/>
                <w:sz w:val="18"/>
              </w:rPr>
              <w:t>a</w:t>
            </w:r>
            <w:r w:rsidR="00EB07E2">
              <w:rPr>
                <w:b/>
                <w:bCs/>
                <w:sz w:val="18"/>
              </w:rPr>
              <w:t xml:space="preserve">r </w:t>
            </w:r>
            <w:r w:rsidRPr="003613B6">
              <w:rPr>
                <w:b/>
                <w:bCs/>
                <w:sz w:val="18"/>
              </w:rPr>
              <w:t>Total</w:t>
            </w:r>
          </w:p>
        </w:tc>
        <w:tc>
          <w:tcPr>
            <w:tcW w:w="1357" w:type="dxa"/>
            <w:tcMar>
              <w:left w:w="115" w:type="dxa"/>
              <w:right w:w="360" w:type="dxa"/>
            </w:tcMar>
            <w:vAlign w:val="center"/>
            <w:hideMark/>
          </w:tcPr>
          <w:p w14:paraId="252267F0" w14:textId="792BF273" w:rsidR="00A355B6" w:rsidRPr="002450B1" w:rsidRDefault="00357FC2" w:rsidP="0049228A">
            <w:pPr>
              <w:pStyle w:val="Table"/>
              <w:ind w:right="-110"/>
              <w:jc w:val="right"/>
              <w:rPr>
                <w:b/>
                <w:bCs/>
                <w:sz w:val="18"/>
                <w:szCs w:val="18"/>
              </w:rPr>
            </w:pPr>
            <w:r>
              <w:rPr>
                <w:b/>
                <w:sz w:val="18"/>
                <w:szCs w:val="18"/>
              </w:rPr>
              <w:t>11,782</w:t>
            </w:r>
            <w:r>
              <w:rPr>
                <w:sz w:val="18"/>
                <w:szCs w:val="18"/>
              </w:rPr>
              <w:t xml:space="preserve"> </w:t>
            </w:r>
            <w:r w:rsidRPr="00313D27">
              <w:rPr>
                <w:b/>
                <w:sz w:val="18"/>
                <w:szCs w:val="18"/>
              </w:rPr>
              <w:t>to</w:t>
            </w:r>
            <w:r>
              <w:rPr>
                <w:sz w:val="18"/>
                <w:szCs w:val="18"/>
              </w:rPr>
              <w:t xml:space="preserve"> </w:t>
            </w:r>
            <w:r w:rsidRPr="00357FC2">
              <w:rPr>
                <w:b/>
                <w:sz w:val="18"/>
                <w:szCs w:val="18"/>
              </w:rPr>
              <w:t>14,574</w:t>
            </w:r>
          </w:p>
        </w:tc>
        <w:tc>
          <w:tcPr>
            <w:tcW w:w="1097" w:type="dxa"/>
            <w:vAlign w:val="center"/>
            <w:hideMark/>
          </w:tcPr>
          <w:p w14:paraId="33FA3762" w14:textId="77777777" w:rsidR="00A355B6" w:rsidRPr="00C134B0" w:rsidRDefault="00A355B6" w:rsidP="00192A44">
            <w:pPr>
              <w:pStyle w:val="Table"/>
              <w:jc w:val="center"/>
              <w:rPr>
                <w:b/>
                <w:bCs/>
                <w:sz w:val="18"/>
                <w:szCs w:val="18"/>
              </w:rPr>
            </w:pPr>
            <w:r w:rsidRPr="00EA69E3">
              <w:rPr>
                <w:b/>
                <w:bCs/>
                <w:sz w:val="18"/>
                <w:szCs w:val="18"/>
              </w:rPr>
              <w:t>not applicable</w:t>
            </w:r>
          </w:p>
        </w:tc>
        <w:tc>
          <w:tcPr>
            <w:tcW w:w="1603" w:type="dxa"/>
            <w:tcMar>
              <w:left w:w="115" w:type="dxa"/>
              <w:right w:w="360" w:type="dxa"/>
            </w:tcMar>
            <w:vAlign w:val="center"/>
            <w:hideMark/>
          </w:tcPr>
          <w:p w14:paraId="212B723C" w14:textId="260124C8" w:rsidR="00A355B6" w:rsidRPr="00F73AC1" w:rsidRDefault="00357FC2" w:rsidP="0049228A">
            <w:pPr>
              <w:pStyle w:val="Table"/>
              <w:ind w:right="-281"/>
              <w:jc w:val="right"/>
              <w:rPr>
                <w:b/>
                <w:bCs/>
                <w:sz w:val="18"/>
                <w:szCs w:val="18"/>
              </w:rPr>
            </w:pPr>
            <w:r>
              <w:rPr>
                <w:b/>
                <w:sz w:val="18"/>
                <w:szCs w:val="18"/>
              </w:rPr>
              <w:t>135,002</w:t>
            </w:r>
            <w:r>
              <w:rPr>
                <w:sz w:val="18"/>
                <w:szCs w:val="18"/>
              </w:rPr>
              <w:t xml:space="preserve"> </w:t>
            </w:r>
            <w:r w:rsidRPr="00313D27">
              <w:rPr>
                <w:b/>
                <w:sz w:val="18"/>
                <w:szCs w:val="18"/>
              </w:rPr>
              <w:t>to</w:t>
            </w:r>
            <w:r>
              <w:rPr>
                <w:sz w:val="18"/>
                <w:szCs w:val="18"/>
              </w:rPr>
              <w:t xml:space="preserve"> </w:t>
            </w:r>
            <w:r w:rsidRPr="00357FC2">
              <w:rPr>
                <w:b/>
                <w:sz w:val="18"/>
                <w:szCs w:val="18"/>
              </w:rPr>
              <w:t>177,692</w:t>
            </w:r>
          </w:p>
        </w:tc>
        <w:tc>
          <w:tcPr>
            <w:tcW w:w="1097" w:type="dxa"/>
            <w:vAlign w:val="center"/>
            <w:hideMark/>
          </w:tcPr>
          <w:p w14:paraId="1ACA3427" w14:textId="77777777" w:rsidR="00A355B6" w:rsidRPr="00A355B6" w:rsidRDefault="00A355B6" w:rsidP="00192A44">
            <w:pPr>
              <w:pStyle w:val="Table"/>
              <w:jc w:val="center"/>
              <w:rPr>
                <w:b/>
                <w:bCs/>
                <w:sz w:val="18"/>
                <w:szCs w:val="18"/>
              </w:rPr>
            </w:pPr>
            <w:r w:rsidRPr="00C70EB2">
              <w:rPr>
                <w:b/>
                <w:bCs/>
                <w:sz w:val="18"/>
                <w:szCs w:val="18"/>
              </w:rPr>
              <w:t>not applicable</w:t>
            </w:r>
          </w:p>
        </w:tc>
        <w:tc>
          <w:tcPr>
            <w:tcW w:w="2335" w:type="dxa"/>
            <w:noWrap/>
            <w:tcMar>
              <w:left w:w="115" w:type="dxa"/>
              <w:right w:w="288" w:type="dxa"/>
            </w:tcMar>
            <w:vAlign w:val="center"/>
            <w:hideMark/>
          </w:tcPr>
          <w:p w14:paraId="5A3F732A" w14:textId="14ECE201" w:rsidR="00A355B6" w:rsidRPr="00F73AC1" w:rsidRDefault="00357FC2" w:rsidP="0049228A">
            <w:pPr>
              <w:pStyle w:val="Table"/>
              <w:ind w:right="-203"/>
              <w:jc w:val="right"/>
              <w:rPr>
                <w:b/>
                <w:bCs/>
                <w:sz w:val="18"/>
                <w:szCs w:val="18"/>
              </w:rPr>
            </w:pPr>
            <w:r>
              <w:rPr>
                <w:b/>
                <w:sz w:val="18"/>
                <w:szCs w:val="18"/>
              </w:rPr>
              <w:t>4,612,222</w:t>
            </w:r>
            <w:r>
              <w:rPr>
                <w:sz w:val="18"/>
                <w:szCs w:val="18"/>
              </w:rPr>
              <w:t xml:space="preserve"> </w:t>
            </w:r>
            <w:r w:rsidRPr="00313D27">
              <w:rPr>
                <w:b/>
                <w:sz w:val="18"/>
                <w:szCs w:val="18"/>
              </w:rPr>
              <w:t>to</w:t>
            </w:r>
            <w:r>
              <w:rPr>
                <w:sz w:val="18"/>
                <w:szCs w:val="18"/>
              </w:rPr>
              <w:t xml:space="preserve"> </w:t>
            </w:r>
            <w:r w:rsidR="002A1815" w:rsidRPr="002A1815">
              <w:rPr>
                <w:b/>
                <w:sz w:val="18"/>
                <w:szCs w:val="18"/>
              </w:rPr>
              <w:t>6,025,045</w:t>
            </w:r>
          </w:p>
        </w:tc>
      </w:tr>
      <w:tr w:rsidR="00357FC2" w:rsidRPr="003613B6" w14:paraId="7A8E63B0" w14:textId="77777777" w:rsidTr="0049228A">
        <w:trPr>
          <w:trHeight w:val="300"/>
        </w:trPr>
        <w:tc>
          <w:tcPr>
            <w:tcW w:w="1861" w:type="dxa"/>
            <w:vAlign w:val="center"/>
          </w:tcPr>
          <w:p w14:paraId="4B187749" w14:textId="77777777" w:rsidR="00A14CFC" w:rsidRPr="003613B6" w:rsidRDefault="00A14CFC" w:rsidP="00A14CFC">
            <w:pPr>
              <w:pStyle w:val="Table"/>
              <w:rPr>
                <w:b/>
                <w:bCs/>
                <w:sz w:val="18"/>
              </w:rPr>
            </w:pPr>
            <w:r>
              <w:rPr>
                <w:b/>
                <w:bCs/>
                <w:sz w:val="18"/>
              </w:rPr>
              <w:t>Annual Average</w:t>
            </w:r>
          </w:p>
        </w:tc>
        <w:tc>
          <w:tcPr>
            <w:tcW w:w="1357" w:type="dxa"/>
            <w:vAlign w:val="center"/>
          </w:tcPr>
          <w:p w14:paraId="04A50B5B" w14:textId="77777777" w:rsidR="00A14CFC" w:rsidRPr="00192A44" w:rsidRDefault="00EB07E2" w:rsidP="0049228A">
            <w:pPr>
              <w:pStyle w:val="Table"/>
              <w:ind w:right="-110"/>
              <w:jc w:val="center"/>
              <w:rPr>
                <w:b/>
                <w:sz w:val="18"/>
                <w:szCs w:val="18"/>
              </w:rPr>
            </w:pPr>
            <w:r>
              <w:rPr>
                <w:b/>
                <w:bCs/>
                <w:sz w:val="18"/>
              </w:rPr>
              <w:t>n</w:t>
            </w:r>
            <w:r w:rsidR="00A14CFC">
              <w:rPr>
                <w:b/>
                <w:bCs/>
                <w:sz w:val="18"/>
              </w:rPr>
              <w:t>ot applicable</w:t>
            </w:r>
          </w:p>
        </w:tc>
        <w:tc>
          <w:tcPr>
            <w:tcW w:w="1097" w:type="dxa"/>
            <w:vAlign w:val="center"/>
          </w:tcPr>
          <w:p w14:paraId="4AB161BF" w14:textId="77777777" w:rsidR="00A14CFC" w:rsidRPr="00EA69E3" w:rsidRDefault="00EB07E2" w:rsidP="00A14CFC">
            <w:pPr>
              <w:pStyle w:val="Table"/>
              <w:jc w:val="center"/>
              <w:rPr>
                <w:b/>
                <w:bCs/>
                <w:sz w:val="18"/>
                <w:szCs w:val="18"/>
              </w:rPr>
            </w:pPr>
            <w:r>
              <w:rPr>
                <w:b/>
                <w:bCs/>
                <w:sz w:val="18"/>
              </w:rPr>
              <w:t>n</w:t>
            </w:r>
            <w:r w:rsidR="00A14CFC">
              <w:rPr>
                <w:b/>
                <w:bCs/>
                <w:sz w:val="18"/>
              </w:rPr>
              <w:t>ot applicable</w:t>
            </w:r>
          </w:p>
        </w:tc>
        <w:tc>
          <w:tcPr>
            <w:tcW w:w="1603" w:type="dxa"/>
            <w:tcMar>
              <w:left w:w="115" w:type="dxa"/>
              <w:right w:w="360" w:type="dxa"/>
            </w:tcMar>
            <w:vAlign w:val="center"/>
          </w:tcPr>
          <w:p w14:paraId="11FFC55D" w14:textId="5EA6EF91" w:rsidR="00A14CFC" w:rsidRPr="00A14CFC" w:rsidRDefault="00357FC2" w:rsidP="0049228A">
            <w:pPr>
              <w:pStyle w:val="Table"/>
              <w:ind w:right="-281"/>
              <w:jc w:val="right"/>
              <w:rPr>
                <w:b/>
                <w:sz w:val="18"/>
                <w:szCs w:val="18"/>
                <w:highlight w:val="yellow"/>
              </w:rPr>
            </w:pPr>
            <w:r>
              <w:rPr>
                <w:b/>
                <w:bCs/>
                <w:sz w:val="18"/>
              </w:rPr>
              <w:t>45,001</w:t>
            </w:r>
            <w:r>
              <w:rPr>
                <w:sz w:val="18"/>
                <w:szCs w:val="18"/>
              </w:rPr>
              <w:t xml:space="preserve"> </w:t>
            </w:r>
            <w:r w:rsidRPr="00313D27">
              <w:rPr>
                <w:b/>
                <w:sz w:val="18"/>
                <w:szCs w:val="18"/>
              </w:rPr>
              <w:t>to</w:t>
            </w:r>
            <w:r>
              <w:rPr>
                <w:sz w:val="18"/>
                <w:szCs w:val="18"/>
              </w:rPr>
              <w:t xml:space="preserve"> </w:t>
            </w:r>
            <w:r w:rsidRPr="00357FC2">
              <w:rPr>
                <w:b/>
                <w:bCs/>
                <w:sz w:val="18"/>
              </w:rPr>
              <w:t>59,231</w:t>
            </w:r>
          </w:p>
        </w:tc>
        <w:tc>
          <w:tcPr>
            <w:tcW w:w="1097" w:type="dxa"/>
            <w:vAlign w:val="center"/>
          </w:tcPr>
          <w:p w14:paraId="1C43469F" w14:textId="77777777" w:rsidR="00A14CFC" w:rsidRPr="00C70EB2" w:rsidRDefault="00EB07E2" w:rsidP="00A14CFC">
            <w:pPr>
              <w:pStyle w:val="Table"/>
              <w:jc w:val="center"/>
              <w:rPr>
                <w:b/>
                <w:bCs/>
                <w:sz w:val="18"/>
                <w:szCs w:val="18"/>
              </w:rPr>
            </w:pPr>
            <w:r>
              <w:rPr>
                <w:b/>
                <w:bCs/>
                <w:sz w:val="18"/>
              </w:rPr>
              <w:t>n</w:t>
            </w:r>
            <w:r w:rsidR="00A14CFC">
              <w:rPr>
                <w:b/>
                <w:bCs/>
                <w:sz w:val="18"/>
              </w:rPr>
              <w:t>ot applicable</w:t>
            </w:r>
          </w:p>
        </w:tc>
        <w:tc>
          <w:tcPr>
            <w:tcW w:w="2335" w:type="dxa"/>
            <w:noWrap/>
            <w:tcMar>
              <w:left w:w="115" w:type="dxa"/>
              <w:right w:w="288" w:type="dxa"/>
            </w:tcMar>
            <w:vAlign w:val="center"/>
          </w:tcPr>
          <w:p w14:paraId="5BF90053" w14:textId="7BAB27E9" w:rsidR="00A14CFC" w:rsidRPr="00A14CFC" w:rsidRDefault="00357FC2" w:rsidP="0049228A">
            <w:pPr>
              <w:pStyle w:val="Table"/>
              <w:ind w:right="-203"/>
              <w:jc w:val="right"/>
              <w:rPr>
                <w:b/>
                <w:sz w:val="18"/>
                <w:szCs w:val="18"/>
                <w:highlight w:val="yellow"/>
              </w:rPr>
            </w:pPr>
            <w:r>
              <w:rPr>
                <w:b/>
                <w:bCs/>
                <w:sz w:val="18"/>
              </w:rPr>
              <w:t>$1,537,407</w:t>
            </w:r>
            <w:r>
              <w:rPr>
                <w:sz w:val="18"/>
                <w:szCs w:val="18"/>
              </w:rPr>
              <w:t xml:space="preserve"> </w:t>
            </w:r>
            <w:r w:rsidRPr="00313D27">
              <w:rPr>
                <w:b/>
                <w:sz w:val="18"/>
                <w:szCs w:val="18"/>
              </w:rPr>
              <w:t>to</w:t>
            </w:r>
            <w:r>
              <w:rPr>
                <w:sz w:val="18"/>
                <w:szCs w:val="18"/>
              </w:rPr>
              <w:t xml:space="preserve"> </w:t>
            </w:r>
            <w:r w:rsidR="002A1815" w:rsidRPr="002A1815">
              <w:rPr>
                <w:b/>
                <w:bCs/>
                <w:sz w:val="18"/>
              </w:rPr>
              <w:t>$2,008,348</w:t>
            </w:r>
          </w:p>
        </w:tc>
      </w:tr>
    </w:tbl>
    <w:p w14:paraId="43935A96" w14:textId="4251FCA7" w:rsidR="00986121" w:rsidRPr="004F0396" w:rsidRDefault="00986121" w:rsidP="00986121">
      <w:pPr>
        <w:pStyle w:val="TableNote"/>
      </w:pPr>
      <w:r>
        <w:t xml:space="preserve">Notes: Detail may not add exactly to total due to independent rounding. </w:t>
      </w:r>
      <w:r w:rsidR="00B63BB0">
        <w:t xml:space="preserve">Ranges shown reflect the </w:t>
      </w:r>
      <w:r w:rsidR="0008027F">
        <w:t>low-</w:t>
      </w:r>
      <w:r w:rsidR="00B63BB0">
        <w:t xml:space="preserve">cost scenario to the high cost scenario. For some individual respondent categories, the number of respondents, burden, and cost are lower in the high cost scenario. However, the total burden and cost across all systems is higher in the high cost scenario. Also, </w:t>
      </w:r>
      <w:r w:rsidR="00F00B30">
        <w:t>number</w:t>
      </w:r>
      <w:r w:rsidR="00B63BB0">
        <w:t xml:space="preserve"> </w:t>
      </w:r>
      <w:r w:rsidR="00EC4C89">
        <w:t xml:space="preserve">of respondents </w:t>
      </w:r>
      <w:r w:rsidR="00B63BB0">
        <w:t xml:space="preserve">preparing LSLR plans </w:t>
      </w:r>
      <w:r w:rsidR="00EC4C89">
        <w:t>can exceed the number of systems developing LSL inventories if there are systems that already have inventories that prepare and submit a LSLR plan.</w:t>
      </w:r>
    </w:p>
    <w:p w14:paraId="07070BE1" w14:textId="77777777" w:rsidR="006927DF" w:rsidRDefault="006927DF" w:rsidP="00B95A19">
      <w:pPr>
        <w:pStyle w:val="Heading3"/>
      </w:pPr>
      <w:bookmarkStart w:id="128" w:name="_Toc23138992"/>
      <w:bookmarkStart w:id="129" w:name="_Toc23139137"/>
      <w:r>
        <w:t>6(b)(ii)</w:t>
      </w:r>
      <w:r>
        <w:tab/>
        <w:t xml:space="preserve">Cost to </w:t>
      </w:r>
      <w:r w:rsidR="00B95A19">
        <w:t>Primacy Agencies</w:t>
      </w:r>
      <w:bookmarkEnd w:id="128"/>
      <w:bookmarkEnd w:id="129"/>
    </w:p>
    <w:p w14:paraId="345F72FB" w14:textId="78397F39" w:rsidR="00B95A19" w:rsidRPr="0027584B" w:rsidRDefault="003269D1" w:rsidP="00021325">
      <w:pPr>
        <w:pStyle w:val="NormalIndent"/>
      </w:pPr>
      <w:r w:rsidRPr="0027584B">
        <w:t>Fifty-s</w:t>
      </w:r>
      <w:r>
        <w:t xml:space="preserve">ix </w:t>
      </w:r>
      <w:r w:rsidRPr="0027584B">
        <w:t>primacy agencies will review and implement the</w:t>
      </w:r>
      <w:r>
        <w:t xml:space="preserve"> final</w:t>
      </w:r>
      <w:r w:rsidRPr="0027584B">
        <w:t xml:space="preserve"> </w:t>
      </w:r>
      <w:r w:rsidR="00C018A3">
        <w:t>LCRR</w:t>
      </w:r>
      <w:r w:rsidR="00044AC4">
        <w:t xml:space="preserve">. </w:t>
      </w:r>
      <w:r w:rsidR="007C7D21">
        <w:t xml:space="preserve">The </w:t>
      </w:r>
      <w:r w:rsidR="00145AA1">
        <w:t xml:space="preserve">fully loaded </w:t>
      </w:r>
      <w:r w:rsidR="007C7D21">
        <w:t xml:space="preserve">labor </w:t>
      </w:r>
      <w:r w:rsidR="00504F66">
        <w:t>rate</w:t>
      </w:r>
      <w:r w:rsidR="007C7D21">
        <w:t xml:space="preserve"> applied to primacy</w:t>
      </w:r>
      <w:r w:rsidR="00B95A19">
        <w:t xml:space="preserve"> agenc</w:t>
      </w:r>
      <w:r w:rsidR="00E56684">
        <w:t>y</w:t>
      </w:r>
      <w:r w:rsidR="00B95A19">
        <w:t xml:space="preserve"> costs for the initial three years of the </w:t>
      </w:r>
      <w:r w:rsidR="00C018A3">
        <w:t>LCRR</w:t>
      </w:r>
      <w:r w:rsidR="00B95A19">
        <w:t xml:space="preserve"> </w:t>
      </w:r>
      <w:r w:rsidR="007C7D21">
        <w:t>is $57.24</w:t>
      </w:r>
      <w:r w:rsidR="00B95A19">
        <w:t xml:space="preserve"> </w:t>
      </w:r>
      <w:r w:rsidR="007E3A3C">
        <w:t>per hour</w:t>
      </w:r>
      <w:r w:rsidR="00B95A19">
        <w:t xml:space="preserve">. </w:t>
      </w:r>
      <w:r w:rsidR="00C203D5">
        <w:t xml:space="preserve">See Appendix B for more information on the development of the estimated labor rate. </w:t>
      </w:r>
      <w:r w:rsidR="00A251BF">
        <w:t xml:space="preserve">Based on this labor rate, the </w:t>
      </w:r>
      <w:r w:rsidR="00145AA1">
        <w:t xml:space="preserve">total </w:t>
      </w:r>
      <w:r w:rsidR="00A251BF">
        <w:t xml:space="preserve">cost to primacy agencies for start-up activities (reading and understanding the rule, adopting the rule, modifying data systems, and providing training) is </w:t>
      </w:r>
      <w:r w:rsidR="00A251BF" w:rsidRPr="00A251BF">
        <w:t xml:space="preserve">$4,631,861 </w:t>
      </w:r>
      <w:r w:rsidR="00A251BF">
        <w:t>(56 agencies x 1,445 hours/agency x $57.2</w:t>
      </w:r>
      <w:r w:rsidR="00032260">
        <w:t>4</w:t>
      </w:r>
      <w:r w:rsidR="00A251BF">
        <w:t>/hour)</w:t>
      </w:r>
      <w:r w:rsidR="00145AA1">
        <w:t>, an average of $1,543,954 per year</w:t>
      </w:r>
      <w:r w:rsidR="00A251BF">
        <w:t>.</w:t>
      </w:r>
      <w:r w:rsidR="002D6A85">
        <w:t xml:space="preserve"> </w:t>
      </w:r>
      <w:r w:rsidR="002D6A85" w:rsidRPr="0028475A">
        <w:rPr>
          <w:b/>
        </w:rPr>
        <w:fldChar w:fldCharType="begin"/>
      </w:r>
      <w:r w:rsidR="002D6A85" w:rsidRPr="0028475A">
        <w:rPr>
          <w:b/>
        </w:rPr>
        <w:instrText xml:space="preserve"> REF _Ref21010952 \h </w:instrText>
      </w:r>
      <w:r w:rsidR="002D6A85">
        <w:rPr>
          <w:b/>
        </w:rPr>
        <w:instrText xml:space="preserve"> \* MERGEFORMAT </w:instrText>
      </w:r>
      <w:r w:rsidR="002D6A85" w:rsidRPr="0028475A">
        <w:rPr>
          <w:b/>
        </w:rPr>
      </w:r>
      <w:r w:rsidR="002D6A85" w:rsidRPr="0028475A">
        <w:rPr>
          <w:b/>
        </w:rPr>
        <w:fldChar w:fldCharType="separate"/>
      </w:r>
      <w:r w:rsidR="007A79EF" w:rsidRPr="007A79EF">
        <w:rPr>
          <w:b/>
        </w:rPr>
        <w:t xml:space="preserve">Exhibit </w:t>
      </w:r>
      <w:r w:rsidR="007A79EF" w:rsidRPr="007A79EF">
        <w:rPr>
          <w:b/>
          <w:noProof/>
        </w:rPr>
        <w:t>9</w:t>
      </w:r>
      <w:r w:rsidR="002D6A85" w:rsidRPr="0028475A">
        <w:rPr>
          <w:b/>
        </w:rPr>
        <w:fldChar w:fldCharType="end"/>
      </w:r>
      <w:r w:rsidR="00A251BF">
        <w:t xml:space="preserve"> </w:t>
      </w:r>
      <w:r w:rsidR="002D6A85">
        <w:t xml:space="preserve">presents the labor costs to primacy agencies for assisting with the LSL inventories and reviewing the submission of the inventories. </w:t>
      </w:r>
      <w:r w:rsidR="00A251BF" w:rsidRPr="00446AC8">
        <w:rPr>
          <w:b/>
        </w:rPr>
        <w:fldChar w:fldCharType="begin"/>
      </w:r>
      <w:r w:rsidR="00A251BF" w:rsidRPr="00446AC8">
        <w:rPr>
          <w:b/>
        </w:rPr>
        <w:instrText xml:space="preserve"> REF _Ref4699657 \h </w:instrText>
      </w:r>
      <w:r w:rsidR="00A251BF">
        <w:rPr>
          <w:b/>
        </w:rPr>
        <w:instrText xml:space="preserve"> \* MERGEFORMAT </w:instrText>
      </w:r>
      <w:r w:rsidR="00A251BF" w:rsidRPr="00446AC8">
        <w:rPr>
          <w:b/>
        </w:rPr>
      </w:r>
      <w:r w:rsidR="00A251BF" w:rsidRPr="00446AC8">
        <w:rPr>
          <w:b/>
        </w:rPr>
        <w:fldChar w:fldCharType="separate"/>
      </w:r>
      <w:r w:rsidR="007A79EF" w:rsidRPr="007A79EF">
        <w:rPr>
          <w:b/>
        </w:rPr>
        <w:t xml:space="preserve">Exhibit </w:t>
      </w:r>
      <w:r w:rsidR="007A79EF" w:rsidRPr="007A79EF">
        <w:rPr>
          <w:b/>
          <w:noProof/>
        </w:rPr>
        <w:t>10</w:t>
      </w:r>
      <w:r w:rsidR="00A251BF" w:rsidRPr="00446AC8">
        <w:rPr>
          <w:b/>
        </w:rPr>
        <w:fldChar w:fldCharType="end"/>
      </w:r>
      <w:r w:rsidR="00A251BF">
        <w:t xml:space="preserve"> presents the labor costs to primacy agencies for reviewing demonstrations from systems of no </w:t>
      </w:r>
      <w:r w:rsidR="00A251BF" w:rsidRPr="00F00B30">
        <w:t xml:space="preserve">LSLs. </w:t>
      </w:r>
      <w:r w:rsidR="00D624A0" w:rsidRPr="00F00B30">
        <w:t xml:space="preserve">The </w:t>
      </w:r>
      <w:r w:rsidR="00145AA1" w:rsidRPr="00F00B30">
        <w:t xml:space="preserve">total </w:t>
      </w:r>
      <w:r w:rsidR="00D624A0" w:rsidRPr="00F00B30">
        <w:t xml:space="preserve">cost to primacy agencies for </w:t>
      </w:r>
      <w:r w:rsidR="00A539B3">
        <w:t xml:space="preserve">conferring on and </w:t>
      </w:r>
      <w:r w:rsidR="00D624A0" w:rsidRPr="00F00B30">
        <w:t xml:space="preserve">reviewing </w:t>
      </w:r>
      <w:r w:rsidR="00BE3988" w:rsidRPr="00F00B30">
        <w:t>the</w:t>
      </w:r>
      <w:r w:rsidR="0053179F" w:rsidRPr="00F00B30">
        <w:t xml:space="preserve"> </w:t>
      </w:r>
      <w:r w:rsidR="00D624A0" w:rsidRPr="00F00B30">
        <w:t xml:space="preserve">replacement plan is </w:t>
      </w:r>
      <w:r w:rsidR="000C1AA9" w:rsidRPr="00F00B30">
        <w:t>$5,395,213 to $6,673,726</w:t>
      </w:r>
      <w:r w:rsidR="002450B1" w:rsidRPr="00F00B30">
        <w:t xml:space="preserve"> </w:t>
      </w:r>
      <w:r w:rsidR="00D624A0" w:rsidRPr="00F00B30">
        <w:t>(</w:t>
      </w:r>
      <w:r w:rsidR="000C1AA9" w:rsidRPr="00F00B30">
        <w:t>94,256</w:t>
      </w:r>
      <w:r w:rsidR="000C1AA9" w:rsidRPr="00F00B30" w:rsidDel="000C1AA9">
        <w:t xml:space="preserve"> </w:t>
      </w:r>
      <w:r w:rsidR="00D624A0" w:rsidRPr="00F00B30">
        <w:t>hours x $57.2</w:t>
      </w:r>
      <w:r w:rsidR="00032260" w:rsidRPr="00F00B30">
        <w:t>4</w:t>
      </w:r>
      <w:r w:rsidR="00D624A0" w:rsidRPr="00F00B30">
        <w:t>/hour</w:t>
      </w:r>
      <w:r w:rsidR="000C1AA9" w:rsidRPr="00F00B30">
        <w:t xml:space="preserve"> to 116,592</w:t>
      </w:r>
      <w:r w:rsidR="000C1AA9" w:rsidRPr="00F00B30" w:rsidDel="000C1AA9">
        <w:t xml:space="preserve"> </w:t>
      </w:r>
      <w:r w:rsidR="000C1AA9" w:rsidRPr="00F00B30">
        <w:t>hours x $57.24/hour</w:t>
      </w:r>
      <w:r w:rsidR="00D624A0" w:rsidRPr="00F00B30">
        <w:t>)</w:t>
      </w:r>
      <w:r w:rsidR="00145AA1" w:rsidRPr="00F00B30">
        <w:t xml:space="preserve">, an average of </w:t>
      </w:r>
      <w:r w:rsidR="000C1AA9" w:rsidRPr="00F00B30">
        <w:t xml:space="preserve">$1,798,404 to $2,224,575 </w:t>
      </w:r>
      <w:r w:rsidR="00145AA1" w:rsidRPr="00F00B30">
        <w:t>per year</w:t>
      </w:r>
      <w:r w:rsidR="00D624A0" w:rsidRPr="00F00B30">
        <w:t xml:space="preserve">. </w:t>
      </w:r>
      <w:r w:rsidR="000657C8" w:rsidRPr="00F00B30">
        <w:t>The total cost to primacy agencies for all activities in the first three years is</w:t>
      </w:r>
      <w:r w:rsidR="00D624A0" w:rsidRPr="00F00B30">
        <w:t xml:space="preserve"> </w:t>
      </w:r>
      <w:r w:rsidR="000C1AA9" w:rsidRPr="00F00B30">
        <w:t>$27,808,394 to $29,089,769</w:t>
      </w:r>
      <w:r w:rsidR="00145AA1" w:rsidRPr="00F00B30">
        <w:t>,</w:t>
      </w:r>
      <w:r w:rsidR="00145AA1">
        <w:t xml:space="preserve"> </w:t>
      </w:r>
      <w:r w:rsidR="001F4012">
        <w:t xml:space="preserve">or </w:t>
      </w:r>
      <w:r w:rsidR="00145AA1">
        <w:t xml:space="preserve">an average of </w:t>
      </w:r>
      <w:r w:rsidR="000C1AA9">
        <w:t xml:space="preserve">$9,269,465 to </w:t>
      </w:r>
      <w:r w:rsidR="000C1AA9" w:rsidRPr="000C1AA9">
        <w:t xml:space="preserve">$9,696,590 </w:t>
      </w:r>
      <w:r w:rsidR="001F4012">
        <w:t>per year</w:t>
      </w:r>
      <w:r w:rsidR="000657C8">
        <w:t xml:space="preserve">. </w:t>
      </w:r>
      <w:r w:rsidR="00B95A19">
        <w:t xml:space="preserve">There are no capital or O&amp;M costs associated with this period. </w:t>
      </w:r>
    </w:p>
    <w:p w14:paraId="4CCAE285" w14:textId="77777777" w:rsidR="00B95A19" w:rsidRDefault="00B95A19" w:rsidP="00A251BF">
      <w:pPr>
        <w:pStyle w:val="NormalIndent"/>
      </w:pPr>
      <w:r>
        <w:t xml:space="preserve">All </w:t>
      </w:r>
      <w:r w:rsidR="00C203D5">
        <w:t>recurring</w:t>
      </w:r>
      <w:r>
        <w:t xml:space="preserve"> activities begin after the first three years and are qualitatively described in </w:t>
      </w:r>
      <w:r w:rsidRPr="00792F80">
        <w:t xml:space="preserve">Section </w:t>
      </w:r>
      <w:r w:rsidR="007C7D21" w:rsidRPr="00792F80">
        <w:t>2</w:t>
      </w:r>
      <w:r w:rsidRPr="00792F80">
        <w:t>.</w:t>
      </w:r>
      <w:r>
        <w:t xml:space="preserve"> </w:t>
      </w:r>
    </w:p>
    <w:p w14:paraId="0F4B1BFB" w14:textId="4F8268D6" w:rsidR="002D6A85" w:rsidRDefault="002D6A85" w:rsidP="002D6A85">
      <w:pPr>
        <w:pStyle w:val="Caption"/>
      </w:pPr>
      <w:bookmarkStart w:id="130" w:name="_Ref21010952"/>
      <w:bookmarkStart w:id="131" w:name="_Toc23139298"/>
      <w:r>
        <w:t xml:space="preserve">Exhibit </w:t>
      </w:r>
      <w:r>
        <w:rPr>
          <w:noProof/>
        </w:rPr>
        <w:fldChar w:fldCharType="begin"/>
      </w:r>
      <w:r>
        <w:rPr>
          <w:noProof/>
        </w:rPr>
        <w:instrText xml:space="preserve"> SEQ Exhibit \* ARABIC </w:instrText>
      </w:r>
      <w:r>
        <w:rPr>
          <w:noProof/>
        </w:rPr>
        <w:fldChar w:fldCharType="separate"/>
      </w:r>
      <w:r w:rsidR="007A79EF">
        <w:rPr>
          <w:noProof/>
        </w:rPr>
        <w:t>9</w:t>
      </w:r>
      <w:r>
        <w:rPr>
          <w:noProof/>
        </w:rPr>
        <w:fldChar w:fldCharType="end"/>
      </w:r>
      <w:bookmarkEnd w:id="130"/>
      <w:r>
        <w:rPr>
          <w:noProof/>
        </w:rPr>
        <w:t xml:space="preserve">. </w:t>
      </w:r>
      <w:r w:rsidRPr="00A251BF">
        <w:rPr>
          <w:noProof/>
        </w:rPr>
        <w:t xml:space="preserve">Burden and Costs for Primacy Agencies </w:t>
      </w:r>
      <w:r>
        <w:rPr>
          <w:noProof/>
        </w:rPr>
        <w:t>Assisting with LSL Inventories and Reviewing Inventories</w:t>
      </w:r>
      <w:r w:rsidR="00E71DB1">
        <w:rPr>
          <w:noProof/>
        </w:rPr>
        <w:t>, 3-</w:t>
      </w:r>
      <w:r w:rsidR="00044AC4">
        <w:rPr>
          <w:noProof/>
        </w:rPr>
        <w:t>Y</w:t>
      </w:r>
      <w:r w:rsidR="00E71DB1">
        <w:rPr>
          <w:noProof/>
        </w:rPr>
        <w:t>ear Total</w:t>
      </w:r>
      <w:bookmarkEnd w:id="131"/>
    </w:p>
    <w:tbl>
      <w:tblPr>
        <w:tblStyle w:val="TableGrid"/>
        <w:tblW w:w="0" w:type="auto"/>
        <w:tblCellMar>
          <w:left w:w="43" w:type="dxa"/>
          <w:right w:w="43" w:type="dxa"/>
        </w:tblCellMar>
        <w:tblLook w:val="04A0" w:firstRow="1" w:lastRow="0" w:firstColumn="1" w:lastColumn="0" w:noHBand="0" w:noVBand="1"/>
      </w:tblPr>
      <w:tblGrid>
        <w:gridCol w:w="1920"/>
        <w:gridCol w:w="1520"/>
        <w:gridCol w:w="1055"/>
        <w:gridCol w:w="1620"/>
        <w:gridCol w:w="990"/>
        <w:gridCol w:w="2245"/>
      </w:tblGrid>
      <w:tr w:rsidR="00BE3988" w:rsidRPr="00A251BF" w14:paraId="610A2145" w14:textId="77777777" w:rsidTr="0049228A">
        <w:trPr>
          <w:trHeight w:val="540"/>
        </w:trPr>
        <w:tc>
          <w:tcPr>
            <w:tcW w:w="1920" w:type="dxa"/>
            <w:vAlign w:val="center"/>
            <w:hideMark/>
          </w:tcPr>
          <w:p w14:paraId="619A748F" w14:textId="77777777" w:rsidR="002D6A85" w:rsidRPr="00A251BF" w:rsidRDefault="002D6A85" w:rsidP="00AE14EF">
            <w:pPr>
              <w:pStyle w:val="Table"/>
              <w:jc w:val="center"/>
              <w:rPr>
                <w:b/>
                <w:sz w:val="18"/>
              </w:rPr>
            </w:pPr>
            <w:r>
              <w:rPr>
                <w:b/>
                <w:sz w:val="18"/>
              </w:rPr>
              <w:t>System</w:t>
            </w:r>
            <w:r w:rsidRPr="00A251BF">
              <w:rPr>
                <w:b/>
                <w:sz w:val="18"/>
              </w:rPr>
              <w:t xml:space="preserve"> Type (service population size category)</w:t>
            </w:r>
          </w:p>
        </w:tc>
        <w:tc>
          <w:tcPr>
            <w:tcW w:w="1520" w:type="dxa"/>
            <w:vAlign w:val="center"/>
            <w:hideMark/>
          </w:tcPr>
          <w:p w14:paraId="7D768B68" w14:textId="77777777" w:rsidR="002D6A85" w:rsidRPr="00A251BF" w:rsidRDefault="002D6A85" w:rsidP="00AE14EF">
            <w:pPr>
              <w:pStyle w:val="Table"/>
              <w:jc w:val="center"/>
              <w:rPr>
                <w:b/>
                <w:sz w:val="18"/>
              </w:rPr>
            </w:pPr>
            <w:r w:rsidRPr="00A251BF">
              <w:rPr>
                <w:b/>
                <w:sz w:val="18"/>
              </w:rPr>
              <w:t>Responses (Reviews)</w:t>
            </w:r>
          </w:p>
        </w:tc>
        <w:tc>
          <w:tcPr>
            <w:tcW w:w="1055" w:type="dxa"/>
            <w:vAlign w:val="center"/>
            <w:hideMark/>
          </w:tcPr>
          <w:p w14:paraId="47CEFF7B" w14:textId="77777777" w:rsidR="002D6A85" w:rsidRPr="00A251BF" w:rsidRDefault="002D6A85" w:rsidP="00AE14EF">
            <w:pPr>
              <w:pStyle w:val="Table"/>
              <w:jc w:val="center"/>
              <w:rPr>
                <w:b/>
                <w:sz w:val="18"/>
              </w:rPr>
            </w:pPr>
            <w:r>
              <w:rPr>
                <w:b/>
                <w:sz w:val="18"/>
              </w:rPr>
              <w:t>Burden per R</w:t>
            </w:r>
            <w:r w:rsidRPr="00A251BF">
              <w:rPr>
                <w:b/>
                <w:sz w:val="18"/>
              </w:rPr>
              <w:t>esponse</w:t>
            </w:r>
            <w:r>
              <w:rPr>
                <w:b/>
                <w:sz w:val="18"/>
              </w:rPr>
              <w:t xml:space="preserve"> (hours)</w:t>
            </w:r>
          </w:p>
        </w:tc>
        <w:tc>
          <w:tcPr>
            <w:tcW w:w="1620" w:type="dxa"/>
            <w:vAlign w:val="center"/>
            <w:hideMark/>
          </w:tcPr>
          <w:p w14:paraId="6B2BDE55" w14:textId="77777777" w:rsidR="002D6A85" w:rsidRPr="00A251BF" w:rsidRDefault="002D6A85" w:rsidP="00AE14EF">
            <w:pPr>
              <w:pStyle w:val="Table"/>
              <w:jc w:val="center"/>
              <w:rPr>
                <w:b/>
                <w:sz w:val="18"/>
              </w:rPr>
            </w:pPr>
            <w:r w:rsidRPr="00A251BF">
              <w:rPr>
                <w:b/>
                <w:sz w:val="18"/>
              </w:rPr>
              <w:t>Burden</w:t>
            </w:r>
            <w:r>
              <w:rPr>
                <w:b/>
                <w:sz w:val="18"/>
              </w:rPr>
              <w:t xml:space="preserve"> (hours)</w:t>
            </w:r>
          </w:p>
        </w:tc>
        <w:tc>
          <w:tcPr>
            <w:tcW w:w="990" w:type="dxa"/>
            <w:vAlign w:val="center"/>
            <w:hideMark/>
          </w:tcPr>
          <w:p w14:paraId="0CFD5C1E" w14:textId="77777777" w:rsidR="002D6A85" w:rsidRPr="00A251BF" w:rsidRDefault="002D6A85" w:rsidP="00AE14EF">
            <w:pPr>
              <w:pStyle w:val="Table"/>
              <w:jc w:val="center"/>
              <w:rPr>
                <w:b/>
                <w:sz w:val="18"/>
              </w:rPr>
            </w:pPr>
            <w:r w:rsidRPr="00A251BF">
              <w:rPr>
                <w:b/>
                <w:sz w:val="18"/>
              </w:rPr>
              <w:t>Labor Rate ($/hour)</w:t>
            </w:r>
          </w:p>
        </w:tc>
        <w:tc>
          <w:tcPr>
            <w:tcW w:w="2245" w:type="dxa"/>
            <w:vAlign w:val="center"/>
            <w:hideMark/>
          </w:tcPr>
          <w:p w14:paraId="6EC39A7A" w14:textId="77777777" w:rsidR="002D6A85" w:rsidRPr="00A251BF" w:rsidRDefault="002D6A85" w:rsidP="00AE14EF">
            <w:pPr>
              <w:pStyle w:val="Table"/>
              <w:jc w:val="center"/>
              <w:rPr>
                <w:b/>
                <w:sz w:val="18"/>
              </w:rPr>
            </w:pPr>
            <w:r w:rsidRPr="00A251BF">
              <w:rPr>
                <w:b/>
                <w:sz w:val="18"/>
              </w:rPr>
              <w:t>Cost</w:t>
            </w:r>
            <w:r>
              <w:rPr>
                <w:b/>
                <w:sz w:val="18"/>
              </w:rPr>
              <w:t xml:space="preserve"> </w:t>
            </w:r>
            <w:r>
              <w:rPr>
                <w:b/>
                <w:bCs/>
                <w:sz w:val="18"/>
              </w:rPr>
              <w:t>(2016 dollars)</w:t>
            </w:r>
          </w:p>
        </w:tc>
      </w:tr>
      <w:tr w:rsidR="00BE3988" w:rsidRPr="00A251BF" w14:paraId="575D319F" w14:textId="77777777" w:rsidTr="0049228A">
        <w:trPr>
          <w:trHeight w:val="300"/>
        </w:trPr>
        <w:tc>
          <w:tcPr>
            <w:tcW w:w="1920" w:type="dxa"/>
            <w:vAlign w:val="center"/>
            <w:hideMark/>
          </w:tcPr>
          <w:p w14:paraId="5CAB4415" w14:textId="77777777" w:rsidR="00BE3988" w:rsidRPr="00A251BF" w:rsidRDefault="00BE3988" w:rsidP="00BE3988">
            <w:pPr>
              <w:pStyle w:val="Table"/>
              <w:rPr>
                <w:sz w:val="18"/>
              </w:rPr>
            </w:pPr>
            <w:r w:rsidRPr="00A251BF">
              <w:rPr>
                <w:sz w:val="18"/>
              </w:rPr>
              <w:t xml:space="preserve">&lt;=100 </w:t>
            </w:r>
          </w:p>
        </w:tc>
        <w:tc>
          <w:tcPr>
            <w:tcW w:w="1520" w:type="dxa"/>
            <w:tcMar>
              <w:left w:w="115" w:type="dxa"/>
              <w:right w:w="360" w:type="dxa"/>
            </w:tcMar>
            <w:vAlign w:val="center"/>
          </w:tcPr>
          <w:p w14:paraId="315FC8AD" w14:textId="32951553" w:rsidR="00BE3988" w:rsidRPr="00A251BF" w:rsidRDefault="006477B3" w:rsidP="0049228A">
            <w:pPr>
              <w:pStyle w:val="Table"/>
              <w:ind w:right="-245"/>
              <w:jc w:val="right"/>
              <w:rPr>
                <w:sz w:val="18"/>
              </w:rPr>
            </w:pPr>
            <w:r>
              <w:rPr>
                <w:sz w:val="18"/>
              </w:rPr>
              <w:t xml:space="preserve">2,148 to </w:t>
            </w:r>
            <w:r w:rsidR="00BE3988" w:rsidRPr="00BE3988">
              <w:rPr>
                <w:sz w:val="18"/>
              </w:rPr>
              <w:t>1,594</w:t>
            </w:r>
          </w:p>
        </w:tc>
        <w:tc>
          <w:tcPr>
            <w:tcW w:w="1055" w:type="dxa"/>
            <w:vAlign w:val="center"/>
          </w:tcPr>
          <w:p w14:paraId="42A24FAB" w14:textId="14312563" w:rsidR="00BE3988" w:rsidRPr="00D624A0" w:rsidRDefault="00BE3988" w:rsidP="00BE3988">
            <w:pPr>
              <w:pStyle w:val="Table"/>
              <w:jc w:val="center"/>
              <w:rPr>
                <w:sz w:val="18"/>
                <w:szCs w:val="18"/>
              </w:rPr>
            </w:pPr>
            <w:r>
              <w:rPr>
                <w:color w:val="000000"/>
                <w:sz w:val="18"/>
                <w:szCs w:val="18"/>
              </w:rPr>
              <w:t>5</w:t>
            </w:r>
          </w:p>
        </w:tc>
        <w:tc>
          <w:tcPr>
            <w:tcW w:w="1620" w:type="dxa"/>
            <w:tcMar>
              <w:left w:w="115" w:type="dxa"/>
              <w:right w:w="360" w:type="dxa"/>
            </w:tcMar>
            <w:vAlign w:val="center"/>
          </w:tcPr>
          <w:p w14:paraId="67D71D26" w14:textId="3FED496F" w:rsidR="00BE3988" w:rsidRPr="00D624A0" w:rsidRDefault="00BE3988" w:rsidP="0049228A">
            <w:pPr>
              <w:pStyle w:val="Table"/>
              <w:ind w:right="-270"/>
              <w:jc w:val="right"/>
              <w:rPr>
                <w:sz w:val="18"/>
                <w:szCs w:val="18"/>
              </w:rPr>
            </w:pPr>
            <w:r>
              <w:rPr>
                <w:sz w:val="18"/>
                <w:szCs w:val="18"/>
              </w:rPr>
              <w:t xml:space="preserve">10,740 to </w:t>
            </w:r>
            <w:r w:rsidRPr="00BE3988">
              <w:rPr>
                <w:sz w:val="18"/>
                <w:szCs w:val="18"/>
              </w:rPr>
              <w:t>7,970</w:t>
            </w:r>
          </w:p>
        </w:tc>
        <w:tc>
          <w:tcPr>
            <w:tcW w:w="990" w:type="dxa"/>
            <w:vAlign w:val="center"/>
          </w:tcPr>
          <w:p w14:paraId="42862654" w14:textId="622183BE"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2F793118" w14:textId="72A78531" w:rsidR="00BE3988" w:rsidRPr="00D624A0" w:rsidRDefault="00BE3988" w:rsidP="0049228A">
            <w:pPr>
              <w:pStyle w:val="Table"/>
              <w:ind w:right="-203"/>
              <w:jc w:val="right"/>
              <w:rPr>
                <w:sz w:val="18"/>
                <w:szCs w:val="18"/>
              </w:rPr>
            </w:pPr>
            <w:r>
              <w:rPr>
                <w:sz w:val="18"/>
                <w:szCs w:val="18"/>
              </w:rPr>
              <w:t xml:space="preserve">$614,758 to </w:t>
            </w:r>
            <w:r w:rsidRPr="00BE3988">
              <w:rPr>
                <w:sz w:val="18"/>
                <w:szCs w:val="18"/>
              </w:rPr>
              <w:t>$456,203</w:t>
            </w:r>
          </w:p>
        </w:tc>
      </w:tr>
      <w:tr w:rsidR="00BE3988" w:rsidRPr="00A251BF" w14:paraId="704FE170" w14:textId="77777777" w:rsidTr="0049228A">
        <w:trPr>
          <w:trHeight w:val="300"/>
        </w:trPr>
        <w:tc>
          <w:tcPr>
            <w:tcW w:w="1920" w:type="dxa"/>
            <w:vAlign w:val="center"/>
            <w:hideMark/>
          </w:tcPr>
          <w:p w14:paraId="2D457AAD" w14:textId="77777777" w:rsidR="00BE3988" w:rsidRPr="00A251BF" w:rsidRDefault="00BE3988" w:rsidP="00BE3988">
            <w:pPr>
              <w:pStyle w:val="Table"/>
              <w:rPr>
                <w:sz w:val="18"/>
              </w:rPr>
            </w:pPr>
            <w:r w:rsidRPr="00A251BF">
              <w:rPr>
                <w:sz w:val="18"/>
              </w:rPr>
              <w:t xml:space="preserve">101-500 </w:t>
            </w:r>
          </w:p>
        </w:tc>
        <w:tc>
          <w:tcPr>
            <w:tcW w:w="1520" w:type="dxa"/>
            <w:tcMar>
              <w:left w:w="115" w:type="dxa"/>
              <w:right w:w="360" w:type="dxa"/>
            </w:tcMar>
            <w:vAlign w:val="center"/>
          </w:tcPr>
          <w:p w14:paraId="5D80177D" w14:textId="256B313A" w:rsidR="00BE3988" w:rsidRPr="00A251BF" w:rsidRDefault="00BE3988" w:rsidP="0049228A">
            <w:pPr>
              <w:pStyle w:val="Table"/>
              <w:ind w:right="-245"/>
              <w:jc w:val="right"/>
              <w:rPr>
                <w:sz w:val="18"/>
              </w:rPr>
            </w:pPr>
            <w:r>
              <w:rPr>
                <w:sz w:val="18"/>
              </w:rPr>
              <w:t xml:space="preserve">2,731 to </w:t>
            </w:r>
            <w:r w:rsidRPr="00BE3988">
              <w:rPr>
                <w:sz w:val="18"/>
              </w:rPr>
              <w:t>2,668</w:t>
            </w:r>
          </w:p>
        </w:tc>
        <w:tc>
          <w:tcPr>
            <w:tcW w:w="1055" w:type="dxa"/>
            <w:vAlign w:val="center"/>
          </w:tcPr>
          <w:p w14:paraId="1611EBAE" w14:textId="3C740E72" w:rsidR="00BE3988" w:rsidRPr="00D624A0" w:rsidRDefault="00BE3988" w:rsidP="00BE3988">
            <w:pPr>
              <w:pStyle w:val="Table"/>
              <w:jc w:val="center"/>
              <w:rPr>
                <w:sz w:val="18"/>
                <w:szCs w:val="18"/>
              </w:rPr>
            </w:pPr>
            <w:r>
              <w:rPr>
                <w:color w:val="000000"/>
                <w:sz w:val="18"/>
                <w:szCs w:val="18"/>
              </w:rPr>
              <w:t>5</w:t>
            </w:r>
          </w:p>
        </w:tc>
        <w:tc>
          <w:tcPr>
            <w:tcW w:w="1620" w:type="dxa"/>
            <w:tcMar>
              <w:left w:w="115" w:type="dxa"/>
              <w:right w:w="360" w:type="dxa"/>
            </w:tcMar>
            <w:vAlign w:val="center"/>
          </w:tcPr>
          <w:p w14:paraId="488B40CF" w14:textId="29901A85" w:rsidR="00BE3988" w:rsidRPr="00D624A0" w:rsidRDefault="00BE3988" w:rsidP="0049228A">
            <w:pPr>
              <w:pStyle w:val="Table"/>
              <w:ind w:right="-270"/>
              <w:jc w:val="right"/>
              <w:rPr>
                <w:sz w:val="18"/>
                <w:szCs w:val="18"/>
              </w:rPr>
            </w:pPr>
            <w:r>
              <w:rPr>
                <w:sz w:val="18"/>
                <w:szCs w:val="18"/>
              </w:rPr>
              <w:t xml:space="preserve">13,655 to </w:t>
            </w:r>
            <w:r w:rsidRPr="00BE3988">
              <w:rPr>
                <w:sz w:val="18"/>
                <w:szCs w:val="18"/>
              </w:rPr>
              <w:t>13,340</w:t>
            </w:r>
          </w:p>
        </w:tc>
        <w:tc>
          <w:tcPr>
            <w:tcW w:w="990" w:type="dxa"/>
            <w:vAlign w:val="center"/>
          </w:tcPr>
          <w:p w14:paraId="214233CC" w14:textId="3AC80BA8"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03C9D07C" w14:textId="62CF2D67" w:rsidR="00BE3988" w:rsidRPr="00D624A0" w:rsidRDefault="00BE3988" w:rsidP="0049228A">
            <w:pPr>
              <w:pStyle w:val="Table"/>
              <w:ind w:right="-203"/>
              <w:jc w:val="right"/>
              <w:rPr>
                <w:sz w:val="18"/>
                <w:szCs w:val="18"/>
              </w:rPr>
            </w:pPr>
            <w:r>
              <w:rPr>
                <w:sz w:val="18"/>
                <w:szCs w:val="18"/>
              </w:rPr>
              <w:t xml:space="preserve">$781,612 to </w:t>
            </w:r>
            <w:r w:rsidRPr="00BE3988">
              <w:rPr>
                <w:sz w:val="18"/>
                <w:szCs w:val="18"/>
              </w:rPr>
              <w:t>$763,582</w:t>
            </w:r>
          </w:p>
        </w:tc>
      </w:tr>
      <w:tr w:rsidR="00BE3988" w:rsidRPr="00A251BF" w14:paraId="19FDEF28" w14:textId="77777777" w:rsidTr="0049228A">
        <w:trPr>
          <w:trHeight w:val="300"/>
        </w:trPr>
        <w:tc>
          <w:tcPr>
            <w:tcW w:w="1920" w:type="dxa"/>
            <w:vAlign w:val="center"/>
            <w:hideMark/>
          </w:tcPr>
          <w:p w14:paraId="43886EF6" w14:textId="77777777" w:rsidR="00BE3988" w:rsidRPr="00A251BF" w:rsidRDefault="00BE3988" w:rsidP="00BE3988">
            <w:pPr>
              <w:pStyle w:val="Table"/>
              <w:rPr>
                <w:sz w:val="18"/>
              </w:rPr>
            </w:pPr>
            <w:r w:rsidRPr="00A251BF">
              <w:rPr>
                <w:sz w:val="18"/>
              </w:rPr>
              <w:t>501-1,000</w:t>
            </w:r>
          </w:p>
        </w:tc>
        <w:tc>
          <w:tcPr>
            <w:tcW w:w="1520" w:type="dxa"/>
            <w:tcMar>
              <w:left w:w="115" w:type="dxa"/>
              <w:right w:w="360" w:type="dxa"/>
            </w:tcMar>
            <w:vAlign w:val="center"/>
          </w:tcPr>
          <w:p w14:paraId="6415B526" w14:textId="35BBCF80" w:rsidR="00BE3988" w:rsidRPr="00A251BF" w:rsidRDefault="00BE3988" w:rsidP="0049228A">
            <w:pPr>
              <w:pStyle w:val="Table"/>
              <w:ind w:right="-245"/>
              <w:jc w:val="right"/>
              <w:rPr>
                <w:sz w:val="18"/>
              </w:rPr>
            </w:pPr>
            <w:r>
              <w:rPr>
                <w:sz w:val="18"/>
              </w:rPr>
              <w:t xml:space="preserve">997 to </w:t>
            </w:r>
            <w:r w:rsidRPr="00BE3988">
              <w:rPr>
                <w:sz w:val="18"/>
              </w:rPr>
              <w:t>1,723</w:t>
            </w:r>
          </w:p>
        </w:tc>
        <w:tc>
          <w:tcPr>
            <w:tcW w:w="1055" w:type="dxa"/>
            <w:vAlign w:val="center"/>
          </w:tcPr>
          <w:p w14:paraId="2FD34E38" w14:textId="4B5B1031" w:rsidR="00BE3988" w:rsidRPr="00D624A0" w:rsidRDefault="00BE3988" w:rsidP="00BE3988">
            <w:pPr>
              <w:pStyle w:val="Table"/>
              <w:jc w:val="center"/>
              <w:rPr>
                <w:sz w:val="18"/>
                <w:szCs w:val="18"/>
              </w:rPr>
            </w:pPr>
            <w:r>
              <w:rPr>
                <w:color w:val="000000"/>
                <w:sz w:val="18"/>
                <w:szCs w:val="18"/>
              </w:rPr>
              <w:t>5</w:t>
            </w:r>
          </w:p>
        </w:tc>
        <w:tc>
          <w:tcPr>
            <w:tcW w:w="1620" w:type="dxa"/>
            <w:tcMar>
              <w:left w:w="115" w:type="dxa"/>
              <w:right w:w="360" w:type="dxa"/>
            </w:tcMar>
            <w:vAlign w:val="center"/>
          </w:tcPr>
          <w:p w14:paraId="586C84E5" w14:textId="3F581E53" w:rsidR="00BE3988" w:rsidRPr="00D624A0" w:rsidRDefault="00BE3988" w:rsidP="0049228A">
            <w:pPr>
              <w:pStyle w:val="Table"/>
              <w:ind w:right="-270"/>
              <w:jc w:val="right"/>
              <w:rPr>
                <w:sz w:val="18"/>
                <w:szCs w:val="18"/>
              </w:rPr>
            </w:pPr>
            <w:r>
              <w:rPr>
                <w:sz w:val="18"/>
                <w:szCs w:val="18"/>
              </w:rPr>
              <w:t xml:space="preserve">4,985 to </w:t>
            </w:r>
            <w:r w:rsidRPr="00BE3988">
              <w:rPr>
                <w:sz w:val="18"/>
                <w:szCs w:val="18"/>
              </w:rPr>
              <w:t>8,615</w:t>
            </w:r>
          </w:p>
        </w:tc>
        <w:tc>
          <w:tcPr>
            <w:tcW w:w="990" w:type="dxa"/>
            <w:vAlign w:val="center"/>
          </w:tcPr>
          <w:p w14:paraId="56333B21" w14:textId="277411A3"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06703716" w14:textId="472440F6" w:rsidR="00BE3988" w:rsidRPr="00D624A0" w:rsidRDefault="00BE3988" w:rsidP="0049228A">
            <w:pPr>
              <w:pStyle w:val="Table"/>
              <w:ind w:right="-203"/>
              <w:jc w:val="right"/>
              <w:rPr>
                <w:sz w:val="18"/>
                <w:szCs w:val="18"/>
              </w:rPr>
            </w:pPr>
            <w:r>
              <w:rPr>
                <w:sz w:val="18"/>
                <w:szCs w:val="18"/>
              </w:rPr>
              <w:t xml:space="preserve">$285,341 to </w:t>
            </w:r>
            <w:r w:rsidRPr="00BE3988">
              <w:rPr>
                <w:sz w:val="18"/>
                <w:szCs w:val="18"/>
              </w:rPr>
              <w:t>$493,123</w:t>
            </w:r>
          </w:p>
        </w:tc>
      </w:tr>
      <w:tr w:rsidR="00BE3988" w:rsidRPr="00A251BF" w14:paraId="0D1E1224" w14:textId="77777777" w:rsidTr="0049228A">
        <w:trPr>
          <w:trHeight w:val="300"/>
        </w:trPr>
        <w:tc>
          <w:tcPr>
            <w:tcW w:w="1920" w:type="dxa"/>
            <w:vAlign w:val="center"/>
            <w:hideMark/>
          </w:tcPr>
          <w:p w14:paraId="3DCC92CB" w14:textId="77777777" w:rsidR="00BE3988" w:rsidRPr="00A251BF" w:rsidRDefault="00BE3988" w:rsidP="00BE3988">
            <w:pPr>
              <w:pStyle w:val="Table"/>
              <w:rPr>
                <w:sz w:val="18"/>
              </w:rPr>
            </w:pPr>
            <w:r w:rsidRPr="00A251BF">
              <w:rPr>
                <w:sz w:val="18"/>
              </w:rPr>
              <w:t>1,001-3,300</w:t>
            </w:r>
          </w:p>
        </w:tc>
        <w:tc>
          <w:tcPr>
            <w:tcW w:w="1520" w:type="dxa"/>
            <w:tcMar>
              <w:left w:w="115" w:type="dxa"/>
              <w:right w:w="360" w:type="dxa"/>
            </w:tcMar>
            <w:vAlign w:val="center"/>
          </w:tcPr>
          <w:p w14:paraId="6C28579A" w14:textId="00A5653D" w:rsidR="00BE3988" w:rsidRPr="00A251BF" w:rsidRDefault="00BE3988" w:rsidP="0049228A">
            <w:pPr>
              <w:pStyle w:val="Table"/>
              <w:ind w:right="-245"/>
              <w:jc w:val="right"/>
              <w:rPr>
                <w:sz w:val="18"/>
              </w:rPr>
            </w:pPr>
            <w:r>
              <w:rPr>
                <w:sz w:val="18"/>
              </w:rPr>
              <w:t xml:space="preserve">1,436 to </w:t>
            </w:r>
            <w:r w:rsidRPr="00BE3988">
              <w:rPr>
                <w:sz w:val="18"/>
              </w:rPr>
              <w:t>2,575</w:t>
            </w:r>
          </w:p>
        </w:tc>
        <w:tc>
          <w:tcPr>
            <w:tcW w:w="1055" w:type="dxa"/>
            <w:vAlign w:val="center"/>
          </w:tcPr>
          <w:p w14:paraId="62B59153" w14:textId="7F890D66" w:rsidR="00BE3988" w:rsidRPr="00D624A0" w:rsidRDefault="00BE3988" w:rsidP="00BE3988">
            <w:pPr>
              <w:pStyle w:val="Table"/>
              <w:jc w:val="center"/>
              <w:rPr>
                <w:sz w:val="18"/>
                <w:szCs w:val="18"/>
              </w:rPr>
            </w:pPr>
            <w:r>
              <w:rPr>
                <w:color w:val="000000"/>
                <w:sz w:val="18"/>
                <w:szCs w:val="18"/>
              </w:rPr>
              <w:t>5</w:t>
            </w:r>
          </w:p>
        </w:tc>
        <w:tc>
          <w:tcPr>
            <w:tcW w:w="1620" w:type="dxa"/>
            <w:tcMar>
              <w:left w:w="115" w:type="dxa"/>
              <w:right w:w="360" w:type="dxa"/>
            </w:tcMar>
            <w:vAlign w:val="center"/>
          </w:tcPr>
          <w:p w14:paraId="6A950A05" w14:textId="5F350476" w:rsidR="00BE3988" w:rsidRPr="00D624A0" w:rsidRDefault="00BE3988" w:rsidP="0049228A">
            <w:pPr>
              <w:pStyle w:val="Table"/>
              <w:ind w:right="-270"/>
              <w:jc w:val="right"/>
              <w:rPr>
                <w:sz w:val="18"/>
                <w:szCs w:val="18"/>
              </w:rPr>
            </w:pPr>
            <w:r>
              <w:rPr>
                <w:sz w:val="18"/>
                <w:szCs w:val="18"/>
              </w:rPr>
              <w:t xml:space="preserve">7,180 to </w:t>
            </w:r>
            <w:r w:rsidRPr="00BE3988">
              <w:rPr>
                <w:sz w:val="18"/>
                <w:szCs w:val="18"/>
              </w:rPr>
              <w:t>12,875</w:t>
            </w:r>
          </w:p>
        </w:tc>
        <w:tc>
          <w:tcPr>
            <w:tcW w:w="990" w:type="dxa"/>
            <w:vAlign w:val="center"/>
          </w:tcPr>
          <w:p w14:paraId="72AE5F18" w14:textId="2AD55962"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26831089" w14:textId="3D381017" w:rsidR="00BE3988" w:rsidRPr="00D624A0" w:rsidRDefault="00BE3988" w:rsidP="0049228A">
            <w:pPr>
              <w:pStyle w:val="Table"/>
              <w:ind w:right="-203"/>
              <w:jc w:val="right"/>
              <w:rPr>
                <w:sz w:val="18"/>
                <w:szCs w:val="18"/>
              </w:rPr>
            </w:pPr>
            <w:r>
              <w:rPr>
                <w:sz w:val="18"/>
                <w:szCs w:val="18"/>
              </w:rPr>
              <w:t xml:space="preserve">$410,983 to </w:t>
            </w:r>
            <w:r w:rsidRPr="00BE3988">
              <w:rPr>
                <w:sz w:val="18"/>
                <w:szCs w:val="18"/>
              </w:rPr>
              <w:t>$736,965</w:t>
            </w:r>
          </w:p>
        </w:tc>
      </w:tr>
      <w:tr w:rsidR="00BE3988" w:rsidRPr="00A251BF" w14:paraId="51481964" w14:textId="77777777" w:rsidTr="0049228A">
        <w:trPr>
          <w:trHeight w:val="300"/>
        </w:trPr>
        <w:tc>
          <w:tcPr>
            <w:tcW w:w="1920" w:type="dxa"/>
            <w:vAlign w:val="center"/>
            <w:hideMark/>
          </w:tcPr>
          <w:p w14:paraId="55AAB5A9" w14:textId="77777777" w:rsidR="00BE3988" w:rsidRPr="00A251BF" w:rsidRDefault="00BE3988" w:rsidP="00BE3988">
            <w:pPr>
              <w:pStyle w:val="Table"/>
              <w:rPr>
                <w:sz w:val="18"/>
              </w:rPr>
            </w:pPr>
            <w:r w:rsidRPr="00A251BF">
              <w:rPr>
                <w:sz w:val="18"/>
              </w:rPr>
              <w:t>3,301-10,000</w:t>
            </w:r>
          </w:p>
        </w:tc>
        <w:tc>
          <w:tcPr>
            <w:tcW w:w="1520" w:type="dxa"/>
            <w:tcMar>
              <w:left w:w="115" w:type="dxa"/>
              <w:right w:w="360" w:type="dxa"/>
            </w:tcMar>
            <w:vAlign w:val="center"/>
          </w:tcPr>
          <w:p w14:paraId="1107F248" w14:textId="27439FB5" w:rsidR="00BE3988" w:rsidRPr="00A251BF" w:rsidRDefault="00BE3988" w:rsidP="0049228A">
            <w:pPr>
              <w:pStyle w:val="Table"/>
              <w:ind w:right="-245"/>
              <w:jc w:val="right"/>
              <w:rPr>
                <w:sz w:val="18"/>
              </w:rPr>
            </w:pPr>
            <w:r>
              <w:rPr>
                <w:sz w:val="18"/>
              </w:rPr>
              <w:t xml:space="preserve">837 to </w:t>
            </w:r>
            <w:r w:rsidRPr="00BE3988">
              <w:rPr>
                <w:sz w:val="18"/>
              </w:rPr>
              <w:t>1,676</w:t>
            </w:r>
          </w:p>
        </w:tc>
        <w:tc>
          <w:tcPr>
            <w:tcW w:w="1055" w:type="dxa"/>
            <w:vAlign w:val="center"/>
          </w:tcPr>
          <w:p w14:paraId="78E67E7B" w14:textId="47D40DF2" w:rsidR="00BE3988" w:rsidRPr="00D624A0" w:rsidRDefault="00BE3988" w:rsidP="00BE3988">
            <w:pPr>
              <w:pStyle w:val="Table"/>
              <w:jc w:val="center"/>
              <w:rPr>
                <w:sz w:val="18"/>
                <w:szCs w:val="18"/>
              </w:rPr>
            </w:pPr>
            <w:r>
              <w:rPr>
                <w:color w:val="000000"/>
                <w:sz w:val="18"/>
                <w:szCs w:val="18"/>
              </w:rPr>
              <w:t>10</w:t>
            </w:r>
          </w:p>
        </w:tc>
        <w:tc>
          <w:tcPr>
            <w:tcW w:w="1620" w:type="dxa"/>
            <w:tcMar>
              <w:left w:w="115" w:type="dxa"/>
              <w:right w:w="360" w:type="dxa"/>
            </w:tcMar>
            <w:vAlign w:val="center"/>
          </w:tcPr>
          <w:p w14:paraId="3D8F3C14" w14:textId="6311033A" w:rsidR="00BE3988" w:rsidRPr="00D624A0" w:rsidRDefault="00BE3988" w:rsidP="0049228A">
            <w:pPr>
              <w:pStyle w:val="Table"/>
              <w:ind w:right="-270"/>
              <w:jc w:val="right"/>
              <w:rPr>
                <w:sz w:val="18"/>
                <w:szCs w:val="18"/>
              </w:rPr>
            </w:pPr>
            <w:r>
              <w:rPr>
                <w:sz w:val="18"/>
                <w:szCs w:val="18"/>
              </w:rPr>
              <w:t xml:space="preserve">8,370 to </w:t>
            </w:r>
            <w:r w:rsidRPr="00BE3988">
              <w:rPr>
                <w:sz w:val="18"/>
                <w:szCs w:val="18"/>
              </w:rPr>
              <w:t>16,760</w:t>
            </w:r>
          </w:p>
        </w:tc>
        <w:tc>
          <w:tcPr>
            <w:tcW w:w="990" w:type="dxa"/>
            <w:vAlign w:val="center"/>
          </w:tcPr>
          <w:p w14:paraId="3B00ADCC" w14:textId="55D2BCCC"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24183F7B" w14:textId="3D33FD55" w:rsidR="00BE3988" w:rsidRPr="00D624A0" w:rsidRDefault="00BE3988" w:rsidP="0049228A">
            <w:pPr>
              <w:pStyle w:val="Table"/>
              <w:ind w:right="-203"/>
              <w:jc w:val="right"/>
              <w:rPr>
                <w:sz w:val="18"/>
                <w:szCs w:val="18"/>
              </w:rPr>
            </w:pPr>
            <w:r>
              <w:rPr>
                <w:sz w:val="18"/>
                <w:szCs w:val="18"/>
              </w:rPr>
              <w:t xml:space="preserve">$479,099 to </w:t>
            </w:r>
            <w:r w:rsidRPr="00BE3988">
              <w:rPr>
                <w:sz w:val="18"/>
                <w:szCs w:val="18"/>
              </w:rPr>
              <w:t>$959,342</w:t>
            </w:r>
          </w:p>
        </w:tc>
      </w:tr>
      <w:tr w:rsidR="00BE3988" w:rsidRPr="00A251BF" w14:paraId="0E78A203" w14:textId="77777777" w:rsidTr="0049228A">
        <w:trPr>
          <w:trHeight w:val="300"/>
        </w:trPr>
        <w:tc>
          <w:tcPr>
            <w:tcW w:w="1920" w:type="dxa"/>
            <w:vAlign w:val="center"/>
            <w:hideMark/>
          </w:tcPr>
          <w:p w14:paraId="5602E4A6" w14:textId="77777777" w:rsidR="00BE3988" w:rsidRPr="00A251BF" w:rsidRDefault="00BE3988" w:rsidP="00BE3988">
            <w:pPr>
              <w:pStyle w:val="Table"/>
              <w:rPr>
                <w:sz w:val="18"/>
              </w:rPr>
            </w:pPr>
            <w:r w:rsidRPr="00A251BF">
              <w:rPr>
                <w:sz w:val="18"/>
              </w:rPr>
              <w:t>10,001-50,000</w:t>
            </w:r>
          </w:p>
        </w:tc>
        <w:tc>
          <w:tcPr>
            <w:tcW w:w="1520" w:type="dxa"/>
            <w:tcMar>
              <w:left w:w="115" w:type="dxa"/>
              <w:right w:w="360" w:type="dxa"/>
            </w:tcMar>
            <w:vAlign w:val="center"/>
          </w:tcPr>
          <w:p w14:paraId="480A8D8B" w14:textId="48286FC1" w:rsidR="00BE3988" w:rsidRPr="00A251BF" w:rsidRDefault="00BE3988" w:rsidP="0049228A">
            <w:pPr>
              <w:pStyle w:val="Table"/>
              <w:ind w:right="-245"/>
              <w:jc w:val="right"/>
              <w:rPr>
                <w:sz w:val="18"/>
              </w:rPr>
            </w:pPr>
            <w:r>
              <w:rPr>
                <w:sz w:val="18"/>
              </w:rPr>
              <w:t xml:space="preserve">952 to </w:t>
            </w:r>
            <w:r w:rsidRPr="00BE3988">
              <w:rPr>
                <w:sz w:val="18"/>
              </w:rPr>
              <w:t>1,101</w:t>
            </w:r>
          </w:p>
        </w:tc>
        <w:tc>
          <w:tcPr>
            <w:tcW w:w="1055" w:type="dxa"/>
            <w:vAlign w:val="center"/>
          </w:tcPr>
          <w:p w14:paraId="57E4F426" w14:textId="2D27DB8D" w:rsidR="00BE3988" w:rsidRPr="00D624A0" w:rsidRDefault="00BE3988" w:rsidP="00BE3988">
            <w:pPr>
              <w:pStyle w:val="Table"/>
              <w:jc w:val="center"/>
              <w:rPr>
                <w:sz w:val="18"/>
                <w:szCs w:val="18"/>
              </w:rPr>
            </w:pPr>
            <w:r>
              <w:rPr>
                <w:color w:val="000000"/>
                <w:sz w:val="18"/>
                <w:szCs w:val="18"/>
              </w:rPr>
              <w:t>10</w:t>
            </w:r>
          </w:p>
        </w:tc>
        <w:tc>
          <w:tcPr>
            <w:tcW w:w="1620" w:type="dxa"/>
            <w:tcMar>
              <w:left w:w="115" w:type="dxa"/>
              <w:right w:w="360" w:type="dxa"/>
            </w:tcMar>
            <w:vAlign w:val="center"/>
          </w:tcPr>
          <w:p w14:paraId="057729CE" w14:textId="3CCB8E61" w:rsidR="00BE3988" w:rsidRPr="00D624A0" w:rsidRDefault="00BE3988" w:rsidP="0049228A">
            <w:pPr>
              <w:pStyle w:val="Table"/>
              <w:ind w:right="-270"/>
              <w:jc w:val="right"/>
              <w:rPr>
                <w:sz w:val="18"/>
                <w:szCs w:val="18"/>
              </w:rPr>
            </w:pPr>
            <w:r>
              <w:rPr>
                <w:sz w:val="18"/>
                <w:szCs w:val="18"/>
              </w:rPr>
              <w:t xml:space="preserve">9,520 to </w:t>
            </w:r>
            <w:r w:rsidRPr="00BE3988">
              <w:rPr>
                <w:sz w:val="18"/>
                <w:szCs w:val="18"/>
              </w:rPr>
              <w:t>11,010</w:t>
            </w:r>
          </w:p>
        </w:tc>
        <w:tc>
          <w:tcPr>
            <w:tcW w:w="990" w:type="dxa"/>
            <w:vAlign w:val="center"/>
          </w:tcPr>
          <w:p w14:paraId="478B68B3" w14:textId="10A1C0CB"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4A3C82F4" w14:textId="713BB40F" w:rsidR="00BE3988" w:rsidRPr="00D624A0" w:rsidRDefault="00BE3988" w:rsidP="0049228A">
            <w:pPr>
              <w:pStyle w:val="Table"/>
              <w:ind w:right="-203"/>
              <w:jc w:val="right"/>
              <w:rPr>
                <w:sz w:val="18"/>
                <w:szCs w:val="18"/>
              </w:rPr>
            </w:pPr>
            <w:r>
              <w:rPr>
                <w:sz w:val="18"/>
                <w:szCs w:val="18"/>
              </w:rPr>
              <w:t xml:space="preserve">$544,925 to </w:t>
            </w:r>
            <w:r w:rsidRPr="00BE3988">
              <w:rPr>
                <w:sz w:val="18"/>
                <w:szCs w:val="18"/>
              </w:rPr>
              <w:t>$630,212</w:t>
            </w:r>
          </w:p>
        </w:tc>
      </w:tr>
      <w:tr w:rsidR="00BE3988" w:rsidRPr="00A251BF" w14:paraId="081535E8" w14:textId="77777777" w:rsidTr="0049228A">
        <w:trPr>
          <w:trHeight w:val="300"/>
        </w:trPr>
        <w:tc>
          <w:tcPr>
            <w:tcW w:w="1920" w:type="dxa"/>
            <w:vAlign w:val="center"/>
            <w:hideMark/>
          </w:tcPr>
          <w:p w14:paraId="44EBF8A0" w14:textId="77777777" w:rsidR="00BE3988" w:rsidRPr="00A251BF" w:rsidRDefault="00BE3988" w:rsidP="00BE3988">
            <w:pPr>
              <w:pStyle w:val="Table"/>
              <w:rPr>
                <w:sz w:val="18"/>
              </w:rPr>
            </w:pPr>
            <w:r w:rsidRPr="00A251BF">
              <w:rPr>
                <w:sz w:val="18"/>
              </w:rPr>
              <w:t>50,001-100,000</w:t>
            </w:r>
          </w:p>
        </w:tc>
        <w:tc>
          <w:tcPr>
            <w:tcW w:w="1520" w:type="dxa"/>
            <w:tcMar>
              <w:left w:w="115" w:type="dxa"/>
              <w:right w:w="360" w:type="dxa"/>
            </w:tcMar>
            <w:vAlign w:val="center"/>
          </w:tcPr>
          <w:p w14:paraId="2BADDA0F" w14:textId="7F5F5988" w:rsidR="00BE3988" w:rsidRPr="00A251BF" w:rsidRDefault="00BE3988" w:rsidP="0049228A">
            <w:pPr>
              <w:pStyle w:val="Table"/>
              <w:ind w:right="-245"/>
              <w:jc w:val="right"/>
              <w:rPr>
                <w:sz w:val="18"/>
              </w:rPr>
            </w:pPr>
            <w:r>
              <w:rPr>
                <w:sz w:val="18"/>
              </w:rPr>
              <w:t xml:space="preserve">200 to </w:t>
            </w:r>
            <w:r w:rsidRPr="00BE3988">
              <w:rPr>
                <w:sz w:val="18"/>
              </w:rPr>
              <w:t>168</w:t>
            </w:r>
          </w:p>
        </w:tc>
        <w:tc>
          <w:tcPr>
            <w:tcW w:w="1055" w:type="dxa"/>
            <w:vAlign w:val="center"/>
          </w:tcPr>
          <w:p w14:paraId="47933350" w14:textId="6D1E7381" w:rsidR="00BE3988" w:rsidRPr="00D624A0" w:rsidRDefault="00BE3988" w:rsidP="00BE3988">
            <w:pPr>
              <w:pStyle w:val="Table"/>
              <w:jc w:val="center"/>
              <w:rPr>
                <w:sz w:val="18"/>
                <w:szCs w:val="18"/>
              </w:rPr>
            </w:pPr>
            <w:r>
              <w:rPr>
                <w:color w:val="000000"/>
                <w:sz w:val="18"/>
                <w:szCs w:val="18"/>
              </w:rPr>
              <w:t>20</w:t>
            </w:r>
          </w:p>
        </w:tc>
        <w:tc>
          <w:tcPr>
            <w:tcW w:w="1620" w:type="dxa"/>
            <w:tcMar>
              <w:left w:w="115" w:type="dxa"/>
              <w:right w:w="360" w:type="dxa"/>
            </w:tcMar>
            <w:vAlign w:val="center"/>
          </w:tcPr>
          <w:p w14:paraId="752450F0" w14:textId="7C3A7077" w:rsidR="00BE3988" w:rsidRPr="00D624A0" w:rsidRDefault="00BE3988" w:rsidP="0049228A">
            <w:pPr>
              <w:pStyle w:val="Table"/>
              <w:ind w:right="-270"/>
              <w:jc w:val="right"/>
              <w:rPr>
                <w:sz w:val="18"/>
                <w:szCs w:val="18"/>
              </w:rPr>
            </w:pPr>
            <w:r>
              <w:rPr>
                <w:sz w:val="18"/>
                <w:szCs w:val="18"/>
              </w:rPr>
              <w:t xml:space="preserve">4,000 to </w:t>
            </w:r>
            <w:r w:rsidRPr="00BE3988">
              <w:rPr>
                <w:sz w:val="18"/>
                <w:szCs w:val="18"/>
              </w:rPr>
              <w:t>3,360</w:t>
            </w:r>
          </w:p>
        </w:tc>
        <w:tc>
          <w:tcPr>
            <w:tcW w:w="990" w:type="dxa"/>
            <w:vAlign w:val="center"/>
          </w:tcPr>
          <w:p w14:paraId="0D41EEF7" w14:textId="286DE7B1"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3579433C" w14:textId="77671686" w:rsidR="00BE3988" w:rsidRPr="00D624A0" w:rsidRDefault="00BE3988" w:rsidP="0049228A">
            <w:pPr>
              <w:pStyle w:val="Table"/>
              <w:ind w:right="-203"/>
              <w:jc w:val="right"/>
              <w:rPr>
                <w:sz w:val="18"/>
                <w:szCs w:val="18"/>
              </w:rPr>
            </w:pPr>
            <w:r>
              <w:rPr>
                <w:sz w:val="18"/>
                <w:szCs w:val="18"/>
              </w:rPr>
              <w:t xml:space="preserve">$228,960 to </w:t>
            </w:r>
            <w:r w:rsidRPr="00BE3988">
              <w:rPr>
                <w:sz w:val="18"/>
                <w:szCs w:val="18"/>
              </w:rPr>
              <w:t>$192,326</w:t>
            </w:r>
          </w:p>
        </w:tc>
      </w:tr>
      <w:tr w:rsidR="00BE3988" w:rsidRPr="00A251BF" w14:paraId="6A81D377" w14:textId="77777777" w:rsidTr="0049228A">
        <w:trPr>
          <w:trHeight w:val="300"/>
        </w:trPr>
        <w:tc>
          <w:tcPr>
            <w:tcW w:w="1920" w:type="dxa"/>
            <w:vAlign w:val="center"/>
            <w:hideMark/>
          </w:tcPr>
          <w:p w14:paraId="30C1C858" w14:textId="77777777" w:rsidR="00BE3988" w:rsidRPr="00A251BF" w:rsidRDefault="00BE3988" w:rsidP="00BE3988">
            <w:pPr>
              <w:pStyle w:val="Table"/>
              <w:rPr>
                <w:sz w:val="18"/>
              </w:rPr>
            </w:pPr>
            <w:r w:rsidRPr="00A251BF">
              <w:rPr>
                <w:sz w:val="18"/>
              </w:rPr>
              <w:t>100,001-1,000,000</w:t>
            </w:r>
          </w:p>
        </w:tc>
        <w:tc>
          <w:tcPr>
            <w:tcW w:w="1520" w:type="dxa"/>
            <w:tcMar>
              <w:left w:w="115" w:type="dxa"/>
              <w:right w:w="360" w:type="dxa"/>
            </w:tcMar>
            <w:vAlign w:val="center"/>
          </w:tcPr>
          <w:p w14:paraId="152FA140" w14:textId="3A3639A8" w:rsidR="00BE3988" w:rsidRPr="00A251BF" w:rsidRDefault="00BE3988" w:rsidP="0049228A">
            <w:pPr>
              <w:pStyle w:val="Table"/>
              <w:ind w:right="-245"/>
              <w:jc w:val="right"/>
              <w:rPr>
                <w:sz w:val="18"/>
              </w:rPr>
            </w:pPr>
            <w:r>
              <w:rPr>
                <w:sz w:val="18"/>
              </w:rPr>
              <w:t xml:space="preserve">138 to </w:t>
            </w:r>
            <w:r w:rsidRPr="00BE3988">
              <w:rPr>
                <w:sz w:val="18"/>
              </w:rPr>
              <w:t>177</w:t>
            </w:r>
          </w:p>
        </w:tc>
        <w:tc>
          <w:tcPr>
            <w:tcW w:w="1055" w:type="dxa"/>
            <w:vAlign w:val="center"/>
          </w:tcPr>
          <w:p w14:paraId="5F49E073" w14:textId="44422069" w:rsidR="00BE3988" w:rsidRPr="00D624A0" w:rsidRDefault="00BE3988" w:rsidP="00BE3988">
            <w:pPr>
              <w:pStyle w:val="Table"/>
              <w:jc w:val="center"/>
              <w:rPr>
                <w:sz w:val="18"/>
                <w:szCs w:val="18"/>
              </w:rPr>
            </w:pPr>
            <w:r>
              <w:rPr>
                <w:color w:val="000000"/>
                <w:sz w:val="18"/>
                <w:szCs w:val="18"/>
              </w:rPr>
              <w:t>20</w:t>
            </w:r>
          </w:p>
        </w:tc>
        <w:tc>
          <w:tcPr>
            <w:tcW w:w="1620" w:type="dxa"/>
            <w:tcMar>
              <w:left w:w="115" w:type="dxa"/>
              <w:right w:w="360" w:type="dxa"/>
            </w:tcMar>
            <w:vAlign w:val="center"/>
          </w:tcPr>
          <w:p w14:paraId="30349191" w14:textId="4866BABA" w:rsidR="00BE3988" w:rsidRPr="00D624A0" w:rsidRDefault="00BE3988" w:rsidP="0049228A">
            <w:pPr>
              <w:pStyle w:val="Table"/>
              <w:ind w:right="-270"/>
              <w:jc w:val="right"/>
              <w:rPr>
                <w:sz w:val="18"/>
                <w:szCs w:val="18"/>
              </w:rPr>
            </w:pPr>
            <w:r>
              <w:rPr>
                <w:sz w:val="18"/>
                <w:szCs w:val="18"/>
              </w:rPr>
              <w:t xml:space="preserve">2,760 to </w:t>
            </w:r>
            <w:r w:rsidRPr="00BE3988">
              <w:rPr>
                <w:sz w:val="18"/>
                <w:szCs w:val="18"/>
              </w:rPr>
              <w:t>3,540</w:t>
            </w:r>
          </w:p>
        </w:tc>
        <w:tc>
          <w:tcPr>
            <w:tcW w:w="990" w:type="dxa"/>
            <w:vAlign w:val="center"/>
          </w:tcPr>
          <w:p w14:paraId="6BC12FD4" w14:textId="1B5E30C5"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6D54D525" w14:textId="21AFF893" w:rsidR="00BE3988" w:rsidRPr="00D624A0" w:rsidRDefault="00BE3988" w:rsidP="0049228A">
            <w:pPr>
              <w:pStyle w:val="Table"/>
              <w:ind w:right="-203"/>
              <w:jc w:val="right"/>
              <w:rPr>
                <w:sz w:val="18"/>
                <w:szCs w:val="18"/>
              </w:rPr>
            </w:pPr>
            <w:r>
              <w:rPr>
                <w:sz w:val="18"/>
                <w:szCs w:val="18"/>
              </w:rPr>
              <w:t xml:space="preserve">$157,982 to </w:t>
            </w:r>
            <w:r w:rsidRPr="00BE3988">
              <w:rPr>
                <w:sz w:val="18"/>
                <w:szCs w:val="18"/>
              </w:rPr>
              <w:t>$202,630</w:t>
            </w:r>
          </w:p>
        </w:tc>
      </w:tr>
      <w:tr w:rsidR="00BE3988" w:rsidRPr="00A251BF" w14:paraId="67ED9C22" w14:textId="77777777" w:rsidTr="0049228A">
        <w:trPr>
          <w:trHeight w:val="300"/>
        </w:trPr>
        <w:tc>
          <w:tcPr>
            <w:tcW w:w="1920" w:type="dxa"/>
            <w:vAlign w:val="center"/>
            <w:hideMark/>
          </w:tcPr>
          <w:p w14:paraId="119A7325" w14:textId="77777777" w:rsidR="00BE3988" w:rsidRPr="00A251BF" w:rsidRDefault="00BE3988" w:rsidP="00BE3988">
            <w:pPr>
              <w:pStyle w:val="Table"/>
              <w:rPr>
                <w:sz w:val="18"/>
              </w:rPr>
            </w:pPr>
            <w:r w:rsidRPr="00A251BF">
              <w:rPr>
                <w:sz w:val="18"/>
              </w:rPr>
              <w:t>&gt;1,000,000</w:t>
            </w:r>
          </w:p>
        </w:tc>
        <w:tc>
          <w:tcPr>
            <w:tcW w:w="1520" w:type="dxa"/>
            <w:tcMar>
              <w:left w:w="115" w:type="dxa"/>
              <w:right w:w="360" w:type="dxa"/>
            </w:tcMar>
            <w:vAlign w:val="center"/>
          </w:tcPr>
          <w:p w14:paraId="6D401008" w14:textId="620E3A39" w:rsidR="00BE3988" w:rsidRPr="00A251BF" w:rsidRDefault="00BE3988" w:rsidP="0049228A">
            <w:pPr>
              <w:pStyle w:val="Table"/>
              <w:ind w:right="-245"/>
              <w:jc w:val="right"/>
              <w:rPr>
                <w:sz w:val="18"/>
              </w:rPr>
            </w:pPr>
            <w:r>
              <w:rPr>
                <w:sz w:val="18"/>
              </w:rPr>
              <w:t xml:space="preserve">9 to </w:t>
            </w:r>
            <w:r w:rsidRPr="00BE3988">
              <w:rPr>
                <w:sz w:val="18"/>
              </w:rPr>
              <w:t>10</w:t>
            </w:r>
          </w:p>
        </w:tc>
        <w:tc>
          <w:tcPr>
            <w:tcW w:w="1055" w:type="dxa"/>
            <w:vAlign w:val="center"/>
          </w:tcPr>
          <w:p w14:paraId="4DB3E895" w14:textId="37E2426C" w:rsidR="00BE3988" w:rsidRPr="00D624A0" w:rsidRDefault="00BE3988" w:rsidP="00BE3988">
            <w:pPr>
              <w:pStyle w:val="Table"/>
              <w:jc w:val="center"/>
              <w:rPr>
                <w:sz w:val="18"/>
                <w:szCs w:val="18"/>
              </w:rPr>
            </w:pPr>
            <w:r>
              <w:rPr>
                <w:color w:val="000000"/>
                <w:sz w:val="18"/>
                <w:szCs w:val="18"/>
              </w:rPr>
              <w:t>20</w:t>
            </w:r>
          </w:p>
        </w:tc>
        <w:tc>
          <w:tcPr>
            <w:tcW w:w="1620" w:type="dxa"/>
            <w:tcMar>
              <w:left w:w="115" w:type="dxa"/>
              <w:right w:w="360" w:type="dxa"/>
            </w:tcMar>
            <w:vAlign w:val="center"/>
          </w:tcPr>
          <w:p w14:paraId="09EE88B4" w14:textId="2B9649B8" w:rsidR="00BE3988" w:rsidRPr="00D624A0" w:rsidRDefault="00BE3988" w:rsidP="0049228A">
            <w:pPr>
              <w:pStyle w:val="Table"/>
              <w:ind w:right="-270"/>
              <w:jc w:val="right"/>
              <w:rPr>
                <w:sz w:val="18"/>
                <w:szCs w:val="18"/>
              </w:rPr>
            </w:pPr>
            <w:r>
              <w:rPr>
                <w:sz w:val="18"/>
                <w:szCs w:val="18"/>
              </w:rPr>
              <w:t xml:space="preserve">180 </w:t>
            </w:r>
            <w:r w:rsidR="00432DE4">
              <w:rPr>
                <w:sz w:val="18"/>
                <w:szCs w:val="18"/>
              </w:rPr>
              <w:t xml:space="preserve">to </w:t>
            </w:r>
            <w:r w:rsidRPr="00BE3988">
              <w:rPr>
                <w:sz w:val="18"/>
                <w:szCs w:val="18"/>
              </w:rPr>
              <w:t>200</w:t>
            </w:r>
          </w:p>
        </w:tc>
        <w:tc>
          <w:tcPr>
            <w:tcW w:w="990" w:type="dxa"/>
            <w:vAlign w:val="center"/>
          </w:tcPr>
          <w:p w14:paraId="1EFF1C70" w14:textId="0781A347" w:rsidR="00BE3988" w:rsidRPr="00D624A0" w:rsidRDefault="00BE3988" w:rsidP="00BE3988">
            <w:pPr>
              <w:pStyle w:val="Table"/>
              <w:jc w:val="center"/>
              <w:rPr>
                <w:sz w:val="18"/>
                <w:szCs w:val="18"/>
              </w:rPr>
            </w:pPr>
            <w:r>
              <w:rPr>
                <w:color w:val="000000"/>
                <w:sz w:val="18"/>
                <w:szCs w:val="18"/>
              </w:rPr>
              <w:t xml:space="preserve">$57.24 </w:t>
            </w:r>
          </w:p>
        </w:tc>
        <w:tc>
          <w:tcPr>
            <w:tcW w:w="2245" w:type="dxa"/>
            <w:noWrap/>
            <w:tcMar>
              <w:left w:w="115" w:type="dxa"/>
              <w:right w:w="288" w:type="dxa"/>
            </w:tcMar>
            <w:vAlign w:val="center"/>
          </w:tcPr>
          <w:p w14:paraId="3BF2AD42" w14:textId="39780604" w:rsidR="00BE3988" w:rsidRPr="00D624A0" w:rsidRDefault="00BE3988" w:rsidP="0049228A">
            <w:pPr>
              <w:pStyle w:val="Table"/>
              <w:ind w:right="-203"/>
              <w:jc w:val="right"/>
              <w:rPr>
                <w:sz w:val="18"/>
                <w:szCs w:val="18"/>
              </w:rPr>
            </w:pPr>
            <w:r>
              <w:rPr>
                <w:sz w:val="18"/>
                <w:szCs w:val="18"/>
              </w:rPr>
              <w:t xml:space="preserve">$10,303 to </w:t>
            </w:r>
            <w:r w:rsidRPr="00BE3988">
              <w:rPr>
                <w:sz w:val="18"/>
                <w:szCs w:val="18"/>
              </w:rPr>
              <w:t>$11,448</w:t>
            </w:r>
          </w:p>
        </w:tc>
      </w:tr>
      <w:tr w:rsidR="00BE3988" w:rsidRPr="00A251BF" w14:paraId="66DC298D" w14:textId="77777777" w:rsidTr="0049228A">
        <w:trPr>
          <w:trHeight w:val="300"/>
        </w:trPr>
        <w:tc>
          <w:tcPr>
            <w:tcW w:w="1920" w:type="dxa"/>
            <w:vAlign w:val="center"/>
            <w:hideMark/>
          </w:tcPr>
          <w:p w14:paraId="218BB86B" w14:textId="77777777" w:rsidR="002D6A85" w:rsidRPr="00A251BF" w:rsidRDefault="002D6A85" w:rsidP="00AE14EF">
            <w:pPr>
              <w:pStyle w:val="Table"/>
              <w:rPr>
                <w:b/>
                <w:sz w:val="18"/>
              </w:rPr>
            </w:pPr>
            <w:r w:rsidRPr="00A251BF">
              <w:rPr>
                <w:b/>
                <w:sz w:val="18"/>
              </w:rPr>
              <w:t xml:space="preserve">Primacy </w:t>
            </w:r>
            <w:r>
              <w:rPr>
                <w:b/>
                <w:sz w:val="18"/>
              </w:rPr>
              <w:t>agency</w:t>
            </w:r>
            <w:r w:rsidRPr="00A251BF">
              <w:rPr>
                <w:b/>
                <w:sz w:val="18"/>
              </w:rPr>
              <w:t xml:space="preserve"> </w:t>
            </w:r>
            <w:r>
              <w:rPr>
                <w:b/>
                <w:sz w:val="18"/>
              </w:rPr>
              <w:t xml:space="preserve">3-year </w:t>
            </w:r>
            <w:r w:rsidRPr="00A251BF">
              <w:rPr>
                <w:b/>
                <w:sz w:val="18"/>
              </w:rPr>
              <w:t>Total</w:t>
            </w:r>
          </w:p>
        </w:tc>
        <w:tc>
          <w:tcPr>
            <w:tcW w:w="1520" w:type="dxa"/>
            <w:tcMar>
              <w:left w:w="115" w:type="dxa"/>
              <w:right w:w="360" w:type="dxa"/>
            </w:tcMar>
            <w:vAlign w:val="center"/>
            <w:hideMark/>
          </w:tcPr>
          <w:p w14:paraId="082EA236" w14:textId="2B98D175" w:rsidR="002D6A85" w:rsidRPr="00A251BF" w:rsidRDefault="00BE3988" w:rsidP="0049228A">
            <w:pPr>
              <w:pStyle w:val="Table"/>
              <w:ind w:right="-245"/>
              <w:jc w:val="right"/>
              <w:rPr>
                <w:b/>
                <w:sz w:val="18"/>
              </w:rPr>
            </w:pPr>
            <w:r>
              <w:rPr>
                <w:b/>
                <w:sz w:val="18"/>
              </w:rPr>
              <w:t xml:space="preserve">9,448 to </w:t>
            </w:r>
            <w:r w:rsidRPr="00BE3988">
              <w:rPr>
                <w:b/>
                <w:sz w:val="18"/>
              </w:rPr>
              <w:t>11,692</w:t>
            </w:r>
          </w:p>
        </w:tc>
        <w:tc>
          <w:tcPr>
            <w:tcW w:w="1055" w:type="dxa"/>
            <w:vAlign w:val="center"/>
            <w:hideMark/>
          </w:tcPr>
          <w:p w14:paraId="0011B415" w14:textId="77777777" w:rsidR="002D6A85" w:rsidRPr="00D624A0" w:rsidRDefault="002D6A85" w:rsidP="00AE14EF">
            <w:pPr>
              <w:pStyle w:val="Table"/>
              <w:jc w:val="center"/>
              <w:rPr>
                <w:b/>
                <w:sz w:val="18"/>
                <w:szCs w:val="18"/>
              </w:rPr>
            </w:pPr>
            <w:r w:rsidRPr="00D624A0">
              <w:rPr>
                <w:b/>
                <w:sz w:val="18"/>
                <w:szCs w:val="18"/>
              </w:rPr>
              <w:t>not applicable</w:t>
            </w:r>
          </w:p>
        </w:tc>
        <w:tc>
          <w:tcPr>
            <w:tcW w:w="1620" w:type="dxa"/>
            <w:tcMar>
              <w:left w:w="115" w:type="dxa"/>
              <w:right w:w="360" w:type="dxa"/>
            </w:tcMar>
            <w:vAlign w:val="center"/>
            <w:hideMark/>
          </w:tcPr>
          <w:p w14:paraId="42364187" w14:textId="5161C0A6" w:rsidR="002D6A85" w:rsidRPr="00D624A0" w:rsidRDefault="00BE3988" w:rsidP="0049228A">
            <w:pPr>
              <w:pStyle w:val="Table"/>
              <w:ind w:right="-270"/>
              <w:jc w:val="right"/>
              <w:rPr>
                <w:b/>
                <w:sz w:val="18"/>
                <w:szCs w:val="18"/>
              </w:rPr>
            </w:pPr>
            <w:r>
              <w:rPr>
                <w:b/>
                <w:sz w:val="18"/>
                <w:szCs w:val="18"/>
              </w:rPr>
              <w:t xml:space="preserve">61,390 to </w:t>
            </w:r>
            <w:r w:rsidRPr="00BE3988">
              <w:rPr>
                <w:b/>
                <w:sz w:val="18"/>
                <w:szCs w:val="18"/>
              </w:rPr>
              <w:t>77,670</w:t>
            </w:r>
          </w:p>
        </w:tc>
        <w:tc>
          <w:tcPr>
            <w:tcW w:w="990" w:type="dxa"/>
            <w:vAlign w:val="center"/>
            <w:hideMark/>
          </w:tcPr>
          <w:p w14:paraId="367C9EDA" w14:textId="77777777" w:rsidR="002D6A85" w:rsidRPr="00D624A0" w:rsidRDefault="002D6A85" w:rsidP="00AE14EF">
            <w:pPr>
              <w:pStyle w:val="Table"/>
              <w:jc w:val="center"/>
              <w:rPr>
                <w:b/>
                <w:sz w:val="18"/>
                <w:szCs w:val="18"/>
              </w:rPr>
            </w:pPr>
            <w:r>
              <w:rPr>
                <w:b/>
                <w:sz w:val="18"/>
                <w:szCs w:val="18"/>
              </w:rPr>
              <w:t>not applicable</w:t>
            </w:r>
          </w:p>
        </w:tc>
        <w:tc>
          <w:tcPr>
            <w:tcW w:w="2245" w:type="dxa"/>
            <w:noWrap/>
            <w:tcMar>
              <w:left w:w="115" w:type="dxa"/>
              <w:right w:w="288" w:type="dxa"/>
            </w:tcMar>
            <w:vAlign w:val="center"/>
            <w:hideMark/>
          </w:tcPr>
          <w:p w14:paraId="65E6EB42" w14:textId="207031AF" w:rsidR="002D6A85" w:rsidRPr="00D624A0" w:rsidRDefault="00BE3988" w:rsidP="0049228A">
            <w:pPr>
              <w:pStyle w:val="Table"/>
              <w:ind w:right="-203"/>
              <w:jc w:val="right"/>
              <w:rPr>
                <w:b/>
                <w:sz w:val="18"/>
                <w:szCs w:val="18"/>
              </w:rPr>
            </w:pPr>
            <w:r>
              <w:rPr>
                <w:b/>
                <w:sz w:val="18"/>
                <w:szCs w:val="18"/>
              </w:rPr>
              <w:t xml:space="preserve">$3,513,964 to </w:t>
            </w:r>
            <w:r w:rsidRPr="00BE3988">
              <w:rPr>
                <w:b/>
                <w:sz w:val="18"/>
                <w:szCs w:val="18"/>
              </w:rPr>
              <w:t>$4,445,831</w:t>
            </w:r>
          </w:p>
        </w:tc>
      </w:tr>
      <w:tr w:rsidR="00BE3988" w:rsidRPr="00A251BF" w14:paraId="70CBDE8D" w14:textId="77777777" w:rsidTr="0049228A">
        <w:trPr>
          <w:trHeight w:val="300"/>
        </w:trPr>
        <w:tc>
          <w:tcPr>
            <w:tcW w:w="1920" w:type="dxa"/>
            <w:vAlign w:val="center"/>
          </w:tcPr>
          <w:p w14:paraId="2732F99D" w14:textId="77777777" w:rsidR="002D6A85" w:rsidRPr="00A251BF" w:rsidRDefault="002D6A85" w:rsidP="00AE14EF">
            <w:pPr>
              <w:pStyle w:val="Table"/>
              <w:rPr>
                <w:b/>
                <w:sz w:val="18"/>
              </w:rPr>
            </w:pPr>
            <w:r>
              <w:rPr>
                <w:b/>
                <w:bCs/>
                <w:sz w:val="18"/>
              </w:rPr>
              <w:t>Annual Average</w:t>
            </w:r>
          </w:p>
        </w:tc>
        <w:tc>
          <w:tcPr>
            <w:tcW w:w="1520" w:type="dxa"/>
            <w:vAlign w:val="center"/>
          </w:tcPr>
          <w:p w14:paraId="699ECB62" w14:textId="77777777" w:rsidR="002D6A85" w:rsidRPr="00A251BF" w:rsidRDefault="002D6A85" w:rsidP="0049228A">
            <w:pPr>
              <w:pStyle w:val="Table"/>
              <w:ind w:right="-245"/>
              <w:jc w:val="center"/>
              <w:rPr>
                <w:b/>
                <w:sz w:val="18"/>
              </w:rPr>
            </w:pPr>
            <w:r>
              <w:rPr>
                <w:b/>
                <w:bCs/>
                <w:sz w:val="18"/>
              </w:rPr>
              <w:t>not applicable</w:t>
            </w:r>
          </w:p>
        </w:tc>
        <w:tc>
          <w:tcPr>
            <w:tcW w:w="1055" w:type="dxa"/>
            <w:vAlign w:val="center"/>
          </w:tcPr>
          <w:p w14:paraId="0BED5628" w14:textId="77777777" w:rsidR="002D6A85" w:rsidRPr="00D624A0" w:rsidRDefault="002D6A85" w:rsidP="00AE14EF">
            <w:pPr>
              <w:pStyle w:val="Table"/>
              <w:jc w:val="center"/>
              <w:rPr>
                <w:b/>
                <w:sz w:val="18"/>
                <w:szCs w:val="18"/>
              </w:rPr>
            </w:pPr>
            <w:r>
              <w:rPr>
                <w:b/>
                <w:bCs/>
                <w:sz w:val="18"/>
              </w:rPr>
              <w:t>not applicable</w:t>
            </w:r>
          </w:p>
        </w:tc>
        <w:tc>
          <w:tcPr>
            <w:tcW w:w="1620" w:type="dxa"/>
            <w:tcMar>
              <w:left w:w="115" w:type="dxa"/>
              <w:right w:w="360" w:type="dxa"/>
            </w:tcMar>
            <w:vAlign w:val="center"/>
          </w:tcPr>
          <w:p w14:paraId="2B0EF10F" w14:textId="65102A83" w:rsidR="002D6A85" w:rsidRPr="00A14CFC" w:rsidRDefault="00BE3988" w:rsidP="0049228A">
            <w:pPr>
              <w:pStyle w:val="Table"/>
              <w:ind w:right="-270"/>
              <w:jc w:val="right"/>
              <w:rPr>
                <w:b/>
                <w:sz w:val="18"/>
                <w:szCs w:val="18"/>
                <w:highlight w:val="yellow"/>
              </w:rPr>
            </w:pPr>
            <w:r>
              <w:rPr>
                <w:b/>
                <w:bCs/>
                <w:sz w:val="18"/>
              </w:rPr>
              <w:t xml:space="preserve">20,463 to </w:t>
            </w:r>
            <w:r w:rsidRPr="00BE3988">
              <w:rPr>
                <w:b/>
                <w:bCs/>
                <w:sz w:val="18"/>
              </w:rPr>
              <w:t>25,890</w:t>
            </w:r>
          </w:p>
        </w:tc>
        <w:tc>
          <w:tcPr>
            <w:tcW w:w="990" w:type="dxa"/>
            <w:vAlign w:val="center"/>
          </w:tcPr>
          <w:p w14:paraId="77428C96" w14:textId="77777777" w:rsidR="002D6A85" w:rsidRPr="00D624A0" w:rsidRDefault="002D6A85" w:rsidP="00AE14EF">
            <w:pPr>
              <w:pStyle w:val="Table"/>
              <w:jc w:val="center"/>
              <w:rPr>
                <w:b/>
                <w:sz w:val="18"/>
                <w:szCs w:val="18"/>
              </w:rPr>
            </w:pPr>
            <w:r>
              <w:rPr>
                <w:b/>
                <w:bCs/>
                <w:sz w:val="18"/>
              </w:rPr>
              <w:t>not applicable</w:t>
            </w:r>
          </w:p>
        </w:tc>
        <w:tc>
          <w:tcPr>
            <w:tcW w:w="2245" w:type="dxa"/>
            <w:noWrap/>
            <w:tcMar>
              <w:left w:w="115" w:type="dxa"/>
              <w:right w:w="288" w:type="dxa"/>
            </w:tcMar>
            <w:vAlign w:val="center"/>
          </w:tcPr>
          <w:p w14:paraId="4F1842EA" w14:textId="1CAF7EDC" w:rsidR="002D6A85" w:rsidRPr="00A14CFC" w:rsidRDefault="00BE3988" w:rsidP="0049228A">
            <w:pPr>
              <w:pStyle w:val="Table"/>
              <w:ind w:right="-203"/>
              <w:jc w:val="right"/>
              <w:rPr>
                <w:b/>
                <w:sz w:val="18"/>
                <w:szCs w:val="18"/>
                <w:highlight w:val="yellow"/>
              </w:rPr>
            </w:pPr>
            <w:r>
              <w:rPr>
                <w:b/>
                <w:bCs/>
                <w:sz w:val="18"/>
              </w:rPr>
              <w:t xml:space="preserve">$1,171,321 to </w:t>
            </w:r>
            <w:r w:rsidRPr="00BE3988">
              <w:rPr>
                <w:b/>
                <w:bCs/>
                <w:sz w:val="18"/>
              </w:rPr>
              <w:t>$1,481,944</w:t>
            </w:r>
          </w:p>
        </w:tc>
      </w:tr>
    </w:tbl>
    <w:p w14:paraId="79B4270D" w14:textId="78DFD57A" w:rsidR="002D6A85" w:rsidRDefault="00C901F3" w:rsidP="006477B3">
      <w:pPr>
        <w:pStyle w:val="TableNote"/>
      </w:pPr>
      <w:r>
        <w:t xml:space="preserve">Notes: Detail may not add exactly to total due to independent rounding. Ranges shown reflect the </w:t>
      </w:r>
      <w:r w:rsidR="0043231F">
        <w:t>low-cost</w:t>
      </w:r>
      <w:r>
        <w:t xml:space="preserve"> scenario to the high cost scenario. For some individual s</w:t>
      </w:r>
      <w:r w:rsidR="00432DE4">
        <w:t xml:space="preserve">ystem </w:t>
      </w:r>
      <w:r>
        <w:t xml:space="preserve">categories, the number of responses, burden, and cost are lower in the high cost scenario. However, the total burden and cost </w:t>
      </w:r>
      <w:r w:rsidR="00432DE4">
        <w:t>across all system types</w:t>
      </w:r>
      <w:r>
        <w:t xml:space="preserve"> is higher in the high cost scenario.</w:t>
      </w:r>
    </w:p>
    <w:p w14:paraId="1E60F244" w14:textId="200A7AE0" w:rsidR="00A251BF" w:rsidRDefault="00A251BF" w:rsidP="00A251BF">
      <w:pPr>
        <w:pStyle w:val="Caption"/>
      </w:pPr>
      <w:bookmarkStart w:id="132" w:name="_Ref4699657"/>
      <w:bookmarkStart w:id="133" w:name="_Toc23139299"/>
      <w:r>
        <w:t xml:space="preserve">Exhibit </w:t>
      </w:r>
      <w:r>
        <w:rPr>
          <w:noProof/>
        </w:rPr>
        <w:fldChar w:fldCharType="begin"/>
      </w:r>
      <w:r>
        <w:rPr>
          <w:noProof/>
        </w:rPr>
        <w:instrText xml:space="preserve"> SEQ Exhibit \* ARABIC </w:instrText>
      </w:r>
      <w:r>
        <w:rPr>
          <w:noProof/>
        </w:rPr>
        <w:fldChar w:fldCharType="separate"/>
      </w:r>
      <w:r w:rsidR="007A79EF">
        <w:rPr>
          <w:noProof/>
        </w:rPr>
        <w:t>10</w:t>
      </w:r>
      <w:r>
        <w:rPr>
          <w:noProof/>
        </w:rPr>
        <w:fldChar w:fldCharType="end"/>
      </w:r>
      <w:bookmarkEnd w:id="132"/>
      <w:r>
        <w:rPr>
          <w:noProof/>
        </w:rPr>
        <w:t xml:space="preserve">. </w:t>
      </w:r>
      <w:r w:rsidRPr="00A251BF">
        <w:rPr>
          <w:noProof/>
        </w:rPr>
        <w:t>Burden and Costs for Primacy Agencies Reviewing Demonstrations of no Lead Service Lines</w:t>
      </w:r>
      <w:r w:rsidR="00E71DB1">
        <w:rPr>
          <w:noProof/>
        </w:rPr>
        <w:t>, 3-</w:t>
      </w:r>
      <w:r w:rsidR="00044AC4">
        <w:rPr>
          <w:noProof/>
        </w:rPr>
        <w:t>Y</w:t>
      </w:r>
      <w:r w:rsidR="00E71DB1">
        <w:rPr>
          <w:noProof/>
        </w:rPr>
        <w:t>ear Total</w:t>
      </w:r>
      <w:bookmarkEnd w:id="133"/>
    </w:p>
    <w:tbl>
      <w:tblPr>
        <w:tblStyle w:val="TableGrid"/>
        <w:tblpPr w:leftFromText="180" w:rightFromText="180" w:vertAnchor="text" w:horzAnchor="margin" w:tblpY="-50"/>
        <w:tblW w:w="9586" w:type="dxa"/>
        <w:tblCellMar>
          <w:left w:w="43" w:type="dxa"/>
          <w:right w:w="43" w:type="dxa"/>
        </w:tblCellMar>
        <w:tblLook w:val="04A0" w:firstRow="1" w:lastRow="0" w:firstColumn="1" w:lastColumn="0" w:noHBand="0" w:noVBand="1"/>
      </w:tblPr>
      <w:tblGrid>
        <w:gridCol w:w="1794"/>
        <w:gridCol w:w="1531"/>
        <w:gridCol w:w="1080"/>
        <w:gridCol w:w="1710"/>
        <w:gridCol w:w="990"/>
        <w:gridCol w:w="2481"/>
      </w:tblGrid>
      <w:tr w:rsidR="00A539B3" w:rsidRPr="006477B3" w14:paraId="21ABDD55" w14:textId="77777777" w:rsidTr="0049228A">
        <w:tc>
          <w:tcPr>
            <w:tcW w:w="1794" w:type="dxa"/>
            <w:vAlign w:val="center"/>
          </w:tcPr>
          <w:p w14:paraId="4DCE0C75"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System Type (service population size category)</w:t>
            </w:r>
          </w:p>
        </w:tc>
        <w:tc>
          <w:tcPr>
            <w:tcW w:w="1531" w:type="dxa"/>
            <w:vAlign w:val="center"/>
          </w:tcPr>
          <w:p w14:paraId="74C0CF46"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Responses (Reviews)</w:t>
            </w:r>
          </w:p>
        </w:tc>
        <w:tc>
          <w:tcPr>
            <w:tcW w:w="1080" w:type="dxa"/>
            <w:vAlign w:val="center"/>
          </w:tcPr>
          <w:p w14:paraId="23DCAA6A"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Burden per Response (hours)</w:t>
            </w:r>
          </w:p>
        </w:tc>
        <w:tc>
          <w:tcPr>
            <w:tcW w:w="1710" w:type="dxa"/>
            <w:vAlign w:val="center"/>
          </w:tcPr>
          <w:p w14:paraId="63827341"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Burden (hours)</w:t>
            </w:r>
          </w:p>
        </w:tc>
        <w:tc>
          <w:tcPr>
            <w:tcW w:w="990" w:type="dxa"/>
            <w:vAlign w:val="center"/>
          </w:tcPr>
          <w:p w14:paraId="1E8C8125"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Labor Rate ($/hour)</w:t>
            </w:r>
          </w:p>
        </w:tc>
        <w:tc>
          <w:tcPr>
            <w:tcW w:w="2481" w:type="dxa"/>
            <w:vAlign w:val="center"/>
          </w:tcPr>
          <w:p w14:paraId="0F433DF0" w14:textId="77777777" w:rsidR="006477B3" w:rsidRPr="006477B3" w:rsidRDefault="006477B3" w:rsidP="006477B3">
            <w:pPr>
              <w:pStyle w:val="TableNote"/>
              <w:spacing w:after="0"/>
              <w:jc w:val="center"/>
              <w:rPr>
                <w:rFonts w:ascii="Arial" w:hAnsi="Arial" w:cs="Arial"/>
                <w:b/>
                <w:sz w:val="18"/>
                <w:szCs w:val="18"/>
              </w:rPr>
            </w:pPr>
            <w:r w:rsidRPr="006477B3">
              <w:rPr>
                <w:rFonts w:ascii="Arial" w:hAnsi="Arial" w:cs="Arial"/>
                <w:b/>
                <w:sz w:val="18"/>
                <w:szCs w:val="18"/>
              </w:rPr>
              <w:t>Cost (2016 dollars)</w:t>
            </w:r>
          </w:p>
        </w:tc>
      </w:tr>
      <w:tr w:rsidR="00A539B3" w:rsidRPr="006477B3" w14:paraId="088C73A3" w14:textId="77777777" w:rsidTr="0049228A">
        <w:tc>
          <w:tcPr>
            <w:tcW w:w="1794" w:type="dxa"/>
            <w:vAlign w:val="center"/>
          </w:tcPr>
          <w:p w14:paraId="5956C1BF"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 xml:space="preserve">&lt;=100 </w:t>
            </w:r>
          </w:p>
        </w:tc>
        <w:tc>
          <w:tcPr>
            <w:tcW w:w="1531" w:type="dxa"/>
            <w:vAlign w:val="center"/>
          </w:tcPr>
          <w:p w14:paraId="70539B3E" w14:textId="11D2C7E3" w:rsidR="006477B3" w:rsidRPr="0049228A" w:rsidRDefault="00A539B3" w:rsidP="00A539B3">
            <w:pPr>
              <w:pStyle w:val="TableNote"/>
              <w:spacing w:after="0"/>
              <w:jc w:val="right"/>
              <w:rPr>
                <w:rFonts w:ascii="Arial" w:hAnsi="Arial" w:cs="Arial"/>
                <w:sz w:val="18"/>
                <w:szCs w:val="18"/>
              </w:rPr>
            </w:pPr>
            <w:r w:rsidRPr="0049228A">
              <w:rPr>
                <w:rFonts w:ascii="Arial" w:hAnsi="Arial" w:cs="Arial"/>
                <w:sz w:val="18"/>
                <w:szCs w:val="18"/>
              </w:rPr>
              <w:t xml:space="preserve">13,886 to </w:t>
            </w:r>
            <w:r w:rsidR="006477B3" w:rsidRPr="0049228A">
              <w:rPr>
                <w:rFonts w:ascii="Arial" w:hAnsi="Arial" w:cs="Arial"/>
                <w:sz w:val="18"/>
                <w:szCs w:val="18"/>
              </w:rPr>
              <w:t>14,440</w:t>
            </w:r>
          </w:p>
        </w:tc>
        <w:tc>
          <w:tcPr>
            <w:tcW w:w="1080" w:type="dxa"/>
            <w:vAlign w:val="center"/>
          </w:tcPr>
          <w:p w14:paraId="52779814"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w:t>
            </w:r>
          </w:p>
        </w:tc>
        <w:tc>
          <w:tcPr>
            <w:tcW w:w="1710" w:type="dxa"/>
            <w:vAlign w:val="center"/>
          </w:tcPr>
          <w:p w14:paraId="51120929"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69,430 to 72,200</w:t>
            </w:r>
          </w:p>
        </w:tc>
        <w:tc>
          <w:tcPr>
            <w:tcW w:w="990" w:type="dxa"/>
            <w:vAlign w:val="center"/>
          </w:tcPr>
          <w:p w14:paraId="3BF65831"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74A211A9"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$3,974,173 to $4,132,728</w:t>
            </w:r>
          </w:p>
        </w:tc>
      </w:tr>
      <w:tr w:rsidR="00A539B3" w:rsidRPr="006477B3" w14:paraId="73379591" w14:textId="77777777" w:rsidTr="0049228A">
        <w:tc>
          <w:tcPr>
            <w:tcW w:w="1794" w:type="dxa"/>
            <w:vAlign w:val="center"/>
          </w:tcPr>
          <w:p w14:paraId="0F3CF5C8"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 xml:space="preserve">101-500 </w:t>
            </w:r>
          </w:p>
        </w:tc>
        <w:tc>
          <w:tcPr>
            <w:tcW w:w="1531" w:type="dxa"/>
            <w:vAlign w:val="center"/>
          </w:tcPr>
          <w:p w14:paraId="30ADAAA9"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14,643 to 14,706</w:t>
            </w:r>
          </w:p>
        </w:tc>
        <w:tc>
          <w:tcPr>
            <w:tcW w:w="1080" w:type="dxa"/>
            <w:vAlign w:val="center"/>
          </w:tcPr>
          <w:p w14:paraId="1178E74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w:t>
            </w:r>
          </w:p>
        </w:tc>
        <w:tc>
          <w:tcPr>
            <w:tcW w:w="1710" w:type="dxa"/>
            <w:vAlign w:val="center"/>
          </w:tcPr>
          <w:p w14:paraId="664DF02D"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73,215 to 73,530</w:t>
            </w:r>
          </w:p>
        </w:tc>
        <w:tc>
          <w:tcPr>
            <w:tcW w:w="990" w:type="dxa"/>
            <w:vAlign w:val="center"/>
          </w:tcPr>
          <w:p w14:paraId="5703D692"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494B924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$4,190,827 to $4,208,857</w:t>
            </w:r>
          </w:p>
        </w:tc>
      </w:tr>
      <w:tr w:rsidR="00A539B3" w:rsidRPr="006477B3" w14:paraId="3CBCEF65" w14:textId="77777777" w:rsidTr="0049228A">
        <w:tc>
          <w:tcPr>
            <w:tcW w:w="1794" w:type="dxa"/>
            <w:vAlign w:val="center"/>
          </w:tcPr>
          <w:p w14:paraId="3671CB78"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501-1,000</w:t>
            </w:r>
          </w:p>
        </w:tc>
        <w:tc>
          <w:tcPr>
            <w:tcW w:w="1531" w:type="dxa"/>
            <w:vAlign w:val="center"/>
          </w:tcPr>
          <w:p w14:paraId="469794B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4,566 to 3,840</w:t>
            </w:r>
          </w:p>
        </w:tc>
        <w:tc>
          <w:tcPr>
            <w:tcW w:w="1080" w:type="dxa"/>
            <w:vAlign w:val="center"/>
          </w:tcPr>
          <w:p w14:paraId="4031B77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w:t>
            </w:r>
          </w:p>
        </w:tc>
        <w:tc>
          <w:tcPr>
            <w:tcW w:w="1710" w:type="dxa"/>
            <w:vAlign w:val="center"/>
          </w:tcPr>
          <w:p w14:paraId="4E58B29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22,830 to 19,200</w:t>
            </w:r>
          </w:p>
        </w:tc>
        <w:tc>
          <w:tcPr>
            <w:tcW w:w="990" w:type="dxa"/>
            <w:vAlign w:val="center"/>
          </w:tcPr>
          <w:p w14:paraId="3BC81A94"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06B083CC"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$1,306,789 to $1,099,008</w:t>
            </w:r>
          </w:p>
        </w:tc>
      </w:tr>
      <w:tr w:rsidR="00A539B3" w:rsidRPr="006477B3" w14:paraId="06DF1B6A" w14:textId="77777777" w:rsidTr="0049228A">
        <w:tc>
          <w:tcPr>
            <w:tcW w:w="1794" w:type="dxa"/>
            <w:vAlign w:val="center"/>
          </w:tcPr>
          <w:p w14:paraId="3738B7B4"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1,001-3,300</w:t>
            </w:r>
          </w:p>
        </w:tc>
        <w:tc>
          <w:tcPr>
            <w:tcW w:w="1531" w:type="dxa"/>
            <w:vAlign w:val="center"/>
          </w:tcPr>
          <w:p w14:paraId="15EC4F35"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5,784 to 4,659</w:t>
            </w:r>
          </w:p>
        </w:tc>
        <w:tc>
          <w:tcPr>
            <w:tcW w:w="1080" w:type="dxa"/>
            <w:vAlign w:val="center"/>
          </w:tcPr>
          <w:p w14:paraId="25A75D6D"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w:t>
            </w:r>
          </w:p>
        </w:tc>
        <w:tc>
          <w:tcPr>
            <w:tcW w:w="1710" w:type="dxa"/>
            <w:vAlign w:val="center"/>
          </w:tcPr>
          <w:p w14:paraId="20B7E8C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28,920 to 23,295</w:t>
            </w:r>
          </w:p>
        </w:tc>
        <w:tc>
          <w:tcPr>
            <w:tcW w:w="990" w:type="dxa"/>
            <w:vAlign w:val="center"/>
          </w:tcPr>
          <w:p w14:paraId="4A69ED63"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5CC4D9A9"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$1,655,381 to $1,333,406</w:t>
            </w:r>
          </w:p>
        </w:tc>
      </w:tr>
      <w:tr w:rsidR="00A539B3" w:rsidRPr="006477B3" w14:paraId="7A7ED67D" w14:textId="77777777" w:rsidTr="0049228A">
        <w:tc>
          <w:tcPr>
            <w:tcW w:w="1794" w:type="dxa"/>
            <w:vAlign w:val="center"/>
          </w:tcPr>
          <w:p w14:paraId="382B5E04"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3,301-10,000</w:t>
            </w:r>
          </w:p>
        </w:tc>
        <w:tc>
          <w:tcPr>
            <w:tcW w:w="1531" w:type="dxa"/>
            <w:vAlign w:val="center"/>
          </w:tcPr>
          <w:p w14:paraId="72C2953E"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3,266 to 2,427</w:t>
            </w:r>
          </w:p>
        </w:tc>
        <w:tc>
          <w:tcPr>
            <w:tcW w:w="1080" w:type="dxa"/>
            <w:vAlign w:val="center"/>
          </w:tcPr>
          <w:p w14:paraId="2DE46AE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10</w:t>
            </w:r>
          </w:p>
        </w:tc>
        <w:tc>
          <w:tcPr>
            <w:tcW w:w="1710" w:type="dxa"/>
            <w:vAlign w:val="center"/>
          </w:tcPr>
          <w:p w14:paraId="2EE5F1A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32,660 to 24,270</w:t>
            </w:r>
          </w:p>
        </w:tc>
        <w:tc>
          <w:tcPr>
            <w:tcW w:w="990" w:type="dxa"/>
            <w:vAlign w:val="center"/>
          </w:tcPr>
          <w:p w14:paraId="4674E71E"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0DD33402"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$1,869,458 to $1,389,215</w:t>
            </w:r>
          </w:p>
        </w:tc>
      </w:tr>
      <w:tr w:rsidR="00A539B3" w:rsidRPr="006477B3" w14:paraId="23976F05" w14:textId="77777777" w:rsidTr="0049228A">
        <w:tc>
          <w:tcPr>
            <w:tcW w:w="1794" w:type="dxa"/>
            <w:vAlign w:val="center"/>
          </w:tcPr>
          <w:p w14:paraId="6EF7683A"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10,001-50,000</w:t>
            </w:r>
          </w:p>
        </w:tc>
        <w:tc>
          <w:tcPr>
            <w:tcW w:w="1531" w:type="dxa"/>
            <w:vAlign w:val="center"/>
          </w:tcPr>
          <w:p w14:paraId="24666BCA"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1,564 to 1,415</w:t>
            </w:r>
          </w:p>
        </w:tc>
        <w:tc>
          <w:tcPr>
            <w:tcW w:w="1080" w:type="dxa"/>
            <w:vAlign w:val="center"/>
          </w:tcPr>
          <w:p w14:paraId="0841DB75"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10</w:t>
            </w:r>
          </w:p>
        </w:tc>
        <w:tc>
          <w:tcPr>
            <w:tcW w:w="1710" w:type="dxa"/>
            <w:vAlign w:val="center"/>
          </w:tcPr>
          <w:p w14:paraId="618CDE62"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15,640 to 14,150</w:t>
            </w:r>
          </w:p>
        </w:tc>
        <w:tc>
          <w:tcPr>
            <w:tcW w:w="990" w:type="dxa"/>
            <w:vAlign w:val="center"/>
          </w:tcPr>
          <w:p w14:paraId="743C4F5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48BD5CA1"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$895,234 to $809,946</w:t>
            </w:r>
          </w:p>
        </w:tc>
      </w:tr>
      <w:tr w:rsidR="00A539B3" w:rsidRPr="006477B3" w14:paraId="5D7DB5AE" w14:textId="77777777" w:rsidTr="0049228A">
        <w:tc>
          <w:tcPr>
            <w:tcW w:w="1794" w:type="dxa"/>
            <w:vAlign w:val="center"/>
          </w:tcPr>
          <w:p w14:paraId="038AE731"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50,001-100,000</w:t>
            </w:r>
          </w:p>
        </w:tc>
        <w:tc>
          <w:tcPr>
            <w:tcW w:w="1531" w:type="dxa"/>
            <w:vAlign w:val="center"/>
          </w:tcPr>
          <w:p w14:paraId="02D3E426"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180 to 211</w:t>
            </w:r>
          </w:p>
        </w:tc>
        <w:tc>
          <w:tcPr>
            <w:tcW w:w="1080" w:type="dxa"/>
            <w:vAlign w:val="center"/>
          </w:tcPr>
          <w:p w14:paraId="15E432C4"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20</w:t>
            </w:r>
          </w:p>
        </w:tc>
        <w:tc>
          <w:tcPr>
            <w:tcW w:w="1710" w:type="dxa"/>
            <w:vAlign w:val="center"/>
          </w:tcPr>
          <w:p w14:paraId="6E7C3C14"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3,600 to 4,220</w:t>
            </w:r>
          </w:p>
        </w:tc>
        <w:tc>
          <w:tcPr>
            <w:tcW w:w="990" w:type="dxa"/>
            <w:vAlign w:val="center"/>
          </w:tcPr>
          <w:p w14:paraId="2F19C8EC"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0B3DD0BE"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$206,064 to $241,553</w:t>
            </w:r>
          </w:p>
        </w:tc>
      </w:tr>
      <w:tr w:rsidR="00A539B3" w:rsidRPr="006477B3" w14:paraId="22506815" w14:textId="77777777" w:rsidTr="0049228A">
        <w:tc>
          <w:tcPr>
            <w:tcW w:w="1794" w:type="dxa"/>
            <w:vAlign w:val="center"/>
          </w:tcPr>
          <w:p w14:paraId="3AAFB7F1"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100,001-1,000,000</w:t>
            </w:r>
          </w:p>
        </w:tc>
        <w:tc>
          <w:tcPr>
            <w:tcW w:w="1531" w:type="dxa"/>
            <w:vAlign w:val="center"/>
          </w:tcPr>
          <w:p w14:paraId="02306954"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141 to 103</w:t>
            </w:r>
          </w:p>
        </w:tc>
        <w:tc>
          <w:tcPr>
            <w:tcW w:w="1080" w:type="dxa"/>
            <w:vAlign w:val="center"/>
          </w:tcPr>
          <w:p w14:paraId="164567A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20</w:t>
            </w:r>
          </w:p>
        </w:tc>
        <w:tc>
          <w:tcPr>
            <w:tcW w:w="1710" w:type="dxa"/>
            <w:vAlign w:val="center"/>
          </w:tcPr>
          <w:p w14:paraId="7FA6249E"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2,820 to 2,060</w:t>
            </w:r>
          </w:p>
        </w:tc>
        <w:tc>
          <w:tcPr>
            <w:tcW w:w="990" w:type="dxa"/>
            <w:vAlign w:val="center"/>
          </w:tcPr>
          <w:p w14:paraId="23D7C606"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27D49B23"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$161,417 to $117,914</w:t>
            </w:r>
          </w:p>
        </w:tc>
      </w:tr>
      <w:tr w:rsidR="00A539B3" w:rsidRPr="006477B3" w14:paraId="6FB5D0A7" w14:textId="77777777" w:rsidTr="0049228A">
        <w:tc>
          <w:tcPr>
            <w:tcW w:w="1794" w:type="dxa"/>
            <w:vAlign w:val="center"/>
          </w:tcPr>
          <w:p w14:paraId="01B5A35B" w14:textId="77777777" w:rsidR="006477B3" w:rsidRPr="0049228A" w:rsidRDefault="006477B3" w:rsidP="006477B3">
            <w:pPr>
              <w:pStyle w:val="TableNote"/>
              <w:spacing w:after="0"/>
              <w:rPr>
                <w:rFonts w:ascii="Arial" w:hAnsi="Arial" w:cs="Arial"/>
                <w:sz w:val="18"/>
                <w:szCs w:val="18"/>
              </w:rPr>
            </w:pPr>
            <w:r w:rsidRPr="0049228A">
              <w:rPr>
                <w:rFonts w:ascii="Arial" w:hAnsi="Arial" w:cs="Arial"/>
                <w:sz w:val="18"/>
                <w:szCs w:val="18"/>
              </w:rPr>
              <w:t>&gt;1,000,000</w:t>
            </w:r>
          </w:p>
        </w:tc>
        <w:tc>
          <w:tcPr>
            <w:tcW w:w="1531" w:type="dxa"/>
            <w:vAlign w:val="center"/>
          </w:tcPr>
          <w:p w14:paraId="3048969A"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7 to 5</w:t>
            </w:r>
          </w:p>
        </w:tc>
        <w:tc>
          <w:tcPr>
            <w:tcW w:w="1080" w:type="dxa"/>
            <w:vAlign w:val="center"/>
          </w:tcPr>
          <w:p w14:paraId="6BC662CB"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20</w:t>
            </w:r>
          </w:p>
        </w:tc>
        <w:tc>
          <w:tcPr>
            <w:tcW w:w="1710" w:type="dxa"/>
            <w:vAlign w:val="center"/>
          </w:tcPr>
          <w:p w14:paraId="34C8F637"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140 to 100</w:t>
            </w:r>
          </w:p>
        </w:tc>
        <w:tc>
          <w:tcPr>
            <w:tcW w:w="990" w:type="dxa"/>
            <w:vAlign w:val="center"/>
          </w:tcPr>
          <w:p w14:paraId="1C9A682F"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14:paraId="6A9BA27F" w14:textId="77777777" w:rsidR="006477B3" w:rsidRPr="0049228A" w:rsidRDefault="006477B3" w:rsidP="006477B3">
            <w:pPr>
              <w:pStyle w:val="TableNote"/>
              <w:spacing w:after="0"/>
              <w:jc w:val="right"/>
              <w:rPr>
                <w:rFonts w:ascii="Arial" w:hAnsi="Arial" w:cs="Arial"/>
                <w:sz w:val="18"/>
                <w:szCs w:val="18"/>
              </w:rPr>
            </w:pPr>
            <w:r w:rsidRPr="0049228A">
              <w:rPr>
                <w:rFonts w:ascii="Arial" w:hAnsi="Arial" w:cs="Arial"/>
                <w:sz w:val="18"/>
                <w:szCs w:val="18"/>
              </w:rPr>
              <w:t>$8,014 to $5,724</w:t>
            </w:r>
          </w:p>
        </w:tc>
      </w:tr>
      <w:tr w:rsidR="00A539B3" w:rsidRPr="006477B3" w14:paraId="1D8DB381" w14:textId="77777777" w:rsidTr="0049228A">
        <w:tc>
          <w:tcPr>
            <w:tcW w:w="1794" w:type="dxa"/>
            <w:vAlign w:val="center"/>
          </w:tcPr>
          <w:p w14:paraId="2D1293CD" w14:textId="77777777" w:rsidR="006477B3" w:rsidRPr="0049228A" w:rsidRDefault="006477B3" w:rsidP="006477B3">
            <w:pPr>
              <w:pStyle w:val="TableNote"/>
              <w:spacing w:after="0"/>
              <w:rPr>
                <w:rFonts w:ascii="Arial" w:hAnsi="Arial" w:cs="Arial"/>
                <w:b/>
                <w:sz w:val="18"/>
                <w:szCs w:val="18"/>
              </w:rPr>
            </w:pPr>
            <w:r w:rsidRPr="0049228A">
              <w:rPr>
                <w:rFonts w:ascii="Arial" w:hAnsi="Arial" w:cs="Arial"/>
                <w:b/>
                <w:sz w:val="18"/>
                <w:szCs w:val="18"/>
              </w:rPr>
              <w:t>Primacy agency 3-year Total</w:t>
            </w:r>
          </w:p>
        </w:tc>
        <w:tc>
          <w:tcPr>
            <w:tcW w:w="1531" w:type="dxa"/>
            <w:vAlign w:val="center"/>
          </w:tcPr>
          <w:p w14:paraId="3CBCE023" w14:textId="77777777" w:rsidR="006477B3" w:rsidRPr="0049228A" w:rsidRDefault="006477B3" w:rsidP="006477B3">
            <w:pPr>
              <w:pStyle w:val="TableNote"/>
              <w:spacing w:after="0"/>
              <w:jc w:val="right"/>
              <w:rPr>
                <w:rFonts w:ascii="Arial" w:hAnsi="Arial" w:cs="Arial"/>
                <w:b/>
                <w:sz w:val="18"/>
                <w:szCs w:val="18"/>
              </w:rPr>
            </w:pPr>
            <w:r w:rsidRPr="0049228A">
              <w:rPr>
                <w:rFonts w:ascii="Arial" w:hAnsi="Arial" w:cs="Arial"/>
                <w:b/>
                <w:sz w:val="18"/>
                <w:szCs w:val="18"/>
              </w:rPr>
              <w:t>44,037 to 41,806</w:t>
            </w:r>
          </w:p>
        </w:tc>
        <w:tc>
          <w:tcPr>
            <w:tcW w:w="1080" w:type="dxa"/>
            <w:vAlign w:val="center"/>
          </w:tcPr>
          <w:p w14:paraId="34EF6F30" w14:textId="77777777" w:rsidR="006477B3" w:rsidRPr="0049228A" w:rsidRDefault="006477B3" w:rsidP="006477B3">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710" w:type="dxa"/>
            <w:vAlign w:val="center"/>
          </w:tcPr>
          <w:p w14:paraId="6089616C" w14:textId="77777777" w:rsidR="006477B3" w:rsidRPr="0049228A" w:rsidRDefault="006477B3" w:rsidP="006477B3">
            <w:pPr>
              <w:pStyle w:val="TableNote"/>
              <w:spacing w:after="0"/>
              <w:jc w:val="right"/>
              <w:rPr>
                <w:rFonts w:ascii="Arial" w:hAnsi="Arial" w:cs="Arial"/>
                <w:b/>
                <w:sz w:val="18"/>
                <w:szCs w:val="18"/>
              </w:rPr>
            </w:pPr>
            <w:r w:rsidRPr="0049228A">
              <w:rPr>
                <w:rFonts w:ascii="Arial" w:hAnsi="Arial" w:cs="Arial"/>
                <w:b/>
                <w:sz w:val="18"/>
                <w:szCs w:val="18"/>
              </w:rPr>
              <w:t>249,255 to 233,025</w:t>
            </w:r>
          </w:p>
        </w:tc>
        <w:tc>
          <w:tcPr>
            <w:tcW w:w="990" w:type="dxa"/>
            <w:vAlign w:val="center"/>
          </w:tcPr>
          <w:p w14:paraId="116B5609" w14:textId="77777777" w:rsidR="006477B3" w:rsidRPr="0049228A" w:rsidRDefault="006477B3" w:rsidP="006477B3">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2481" w:type="dxa"/>
            <w:vAlign w:val="center"/>
          </w:tcPr>
          <w:p w14:paraId="5DD05D07" w14:textId="77777777" w:rsidR="006477B3" w:rsidRPr="0049228A" w:rsidRDefault="006477B3" w:rsidP="006477B3">
            <w:pPr>
              <w:pStyle w:val="TableNote"/>
              <w:spacing w:after="0"/>
              <w:jc w:val="right"/>
              <w:rPr>
                <w:rFonts w:ascii="Arial" w:hAnsi="Arial" w:cs="Arial"/>
                <w:b/>
                <w:sz w:val="18"/>
                <w:szCs w:val="18"/>
              </w:rPr>
            </w:pPr>
            <w:r w:rsidRPr="0049228A">
              <w:rPr>
                <w:rFonts w:ascii="Arial" w:hAnsi="Arial" w:cs="Arial"/>
                <w:b/>
                <w:sz w:val="18"/>
                <w:szCs w:val="18"/>
              </w:rPr>
              <w:t>$14,267,356 to $13,338,351</w:t>
            </w:r>
          </w:p>
        </w:tc>
      </w:tr>
      <w:tr w:rsidR="00A539B3" w:rsidRPr="006477B3" w14:paraId="5F9CA8F1" w14:textId="77777777" w:rsidTr="0049228A">
        <w:tc>
          <w:tcPr>
            <w:tcW w:w="1794" w:type="dxa"/>
            <w:vAlign w:val="center"/>
          </w:tcPr>
          <w:p w14:paraId="602C2D29" w14:textId="77777777" w:rsidR="006477B3" w:rsidRPr="0049228A" w:rsidRDefault="006477B3" w:rsidP="006477B3">
            <w:pPr>
              <w:pStyle w:val="TableNote"/>
              <w:spacing w:after="0"/>
              <w:rPr>
                <w:rFonts w:ascii="Arial" w:hAnsi="Arial" w:cs="Arial"/>
                <w:b/>
                <w:sz w:val="18"/>
                <w:szCs w:val="18"/>
              </w:rPr>
            </w:pPr>
            <w:r w:rsidRPr="0049228A">
              <w:rPr>
                <w:rFonts w:ascii="Arial" w:hAnsi="Arial" w:cs="Arial"/>
                <w:b/>
                <w:sz w:val="18"/>
                <w:szCs w:val="18"/>
              </w:rPr>
              <w:t>Annual Average</w:t>
            </w:r>
          </w:p>
        </w:tc>
        <w:tc>
          <w:tcPr>
            <w:tcW w:w="1531" w:type="dxa"/>
            <w:vAlign w:val="center"/>
          </w:tcPr>
          <w:p w14:paraId="19CD5ACF" w14:textId="77777777" w:rsidR="006477B3" w:rsidRPr="0049228A" w:rsidRDefault="006477B3" w:rsidP="006477B3">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080" w:type="dxa"/>
            <w:vAlign w:val="center"/>
          </w:tcPr>
          <w:p w14:paraId="762173AA" w14:textId="77777777" w:rsidR="006477B3" w:rsidRPr="0049228A" w:rsidRDefault="006477B3" w:rsidP="006477B3">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710" w:type="dxa"/>
            <w:vAlign w:val="center"/>
          </w:tcPr>
          <w:p w14:paraId="7C5F30FF" w14:textId="77777777" w:rsidR="006477B3" w:rsidRPr="0049228A" w:rsidRDefault="006477B3" w:rsidP="006477B3">
            <w:pPr>
              <w:pStyle w:val="TableNote"/>
              <w:spacing w:after="0"/>
              <w:jc w:val="right"/>
              <w:rPr>
                <w:rFonts w:ascii="Arial" w:hAnsi="Arial" w:cs="Arial"/>
                <w:b/>
                <w:sz w:val="18"/>
                <w:szCs w:val="18"/>
              </w:rPr>
            </w:pPr>
            <w:r w:rsidRPr="0049228A">
              <w:rPr>
                <w:rFonts w:ascii="Arial" w:hAnsi="Arial" w:cs="Arial"/>
                <w:b/>
                <w:sz w:val="18"/>
                <w:szCs w:val="18"/>
              </w:rPr>
              <w:t>83,085 to 77,675</w:t>
            </w:r>
          </w:p>
        </w:tc>
        <w:tc>
          <w:tcPr>
            <w:tcW w:w="990" w:type="dxa"/>
            <w:vAlign w:val="center"/>
          </w:tcPr>
          <w:p w14:paraId="6AE7AABC" w14:textId="77777777" w:rsidR="006477B3" w:rsidRPr="0049228A" w:rsidRDefault="006477B3" w:rsidP="006477B3">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2481" w:type="dxa"/>
            <w:vAlign w:val="center"/>
          </w:tcPr>
          <w:p w14:paraId="548DD120" w14:textId="77777777" w:rsidR="006477B3" w:rsidRPr="0049228A" w:rsidRDefault="006477B3" w:rsidP="006477B3">
            <w:pPr>
              <w:pStyle w:val="TableNote"/>
              <w:spacing w:after="0"/>
              <w:jc w:val="right"/>
              <w:rPr>
                <w:rFonts w:ascii="Arial" w:hAnsi="Arial" w:cs="Arial"/>
                <w:b/>
                <w:sz w:val="18"/>
                <w:szCs w:val="18"/>
              </w:rPr>
            </w:pPr>
            <w:r w:rsidRPr="0049228A">
              <w:rPr>
                <w:rFonts w:ascii="Arial" w:hAnsi="Arial" w:cs="Arial"/>
                <w:b/>
                <w:sz w:val="18"/>
                <w:szCs w:val="18"/>
              </w:rPr>
              <w:t>$4,755,785 to $4,446,117</w:t>
            </w:r>
          </w:p>
        </w:tc>
      </w:tr>
    </w:tbl>
    <w:p w14:paraId="0AF20BC8" w14:textId="5D19F616" w:rsidR="0023452F" w:rsidRDefault="0023452F" w:rsidP="0023452F">
      <w:pPr>
        <w:pStyle w:val="TableNote"/>
      </w:pPr>
      <w:r>
        <w:t>Notes: Detail may not add exactly to total due to independent rounding</w:t>
      </w:r>
      <w:r w:rsidR="002A53B6">
        <w:t xml:space="preserve">. </w:t>
      </w:r>
      <w:r w:rsidR="00432DE4">
        <w:t xml:space="preserve">Ranges shown reflect the </w:t>
      </w:r>
      <w:r w:rsidR="0043231F">
        <w:t>low-</w:t>
      </w:r>
      <w:r w:rsidR="00432DE4">
        <w:t>cost scenario to the high cost scenario. The total burden and cost for primacy agencies to review demonstrations of no LSLs is lower in the high</w:t>
      </w:r>
      <w:r w:rsidR="00044AC4">
        <w:t>-</w:t>
      </w:r>
      <w:r w:rsidR="00432DE4">
        <w:t>cost scenario because more systems are estimated to have LSLs in that scenario. For these systems, primacy agencies would instead undertake the higher burden and cost activities of reviewing LSL inventories and assisting with LSLR planning.</w:t>
      </w:r>
    </w:p>
    <w:p w14:paraId="02BABAA5" w14:textId="77777777" w:rsidR="000B17BF" w:rsidRPr="0027584B" w:rsidRDefault="000B17BF" w:rsidP="006770D4">
      <w:pPr>
        <w:pStyle w:val="Heading2"/>
      </w:pPr>
      <w:bookmarkStart w:id="134" w:name="_Toc23138993"/>
      <w:bookmarkStart w:id="135" w:name="_Toc23139138"/>
      <w:r w:rsidRPr="0027584B">
        <w:t xml:space="preserve">6(c) </w:t>
      </w:r>
      <w:r w:rsidRPr="0027584B">
        <w:tab/>
        <w:t>Estimating Agency Burden and Cost</w:t>
      </w:r>
      <w:bookmarkEnd w:id="118"/>
      <w:bookmarkEnd w:id="134"/>
      <w:bookmarkEnd w:id="135"/>
    </w:p>
    <w:p w14:paraId="50970E41" w14:textId="0EC49A0D" w:rsidR="00354760" w:rsidRDefault="006612EC" w:rsidP="00021325">
      <w:pPr>
        <w:pStyle w:val="NormalIndent"/>
      </w:pPr>
      <w:r>
        <w:t xml:space="preserve"> </w:t>
      </w:r>
      <w:r w:rsidR="0077505C">
        <w:t>I</w:t>
      </w:r>
      <w:r w:rsidR="001C1AAF">
        <w:t>nformation-related activities that may be undertaken by</w:t>
      </w:r>
      <w:r w:rsidR="00A06944" w:rsidRPr="00077858">
        <w:t xml:space="preserve"> both </w:t>
      </w:r>
      <w:r w:rsidR="001C1AAF">
        <w:t xml:space="preserve">EPA </w:t>
      </w:r>
      <w:r w:rsidR="00354760" w:rsidRPr="00077858">
        <w:t xml:space="preserve">headquarters </w:t>
      </w:r>
      <w:r w:rsidR="00354760">
        <w:t xml:space="preserve">and </w:t>
      </w:r>
      <w:r w:rsidR="001C1AAF">
        <w:t>regional offices include</w:t>
      </w:r>
      <w:r w:rsidR="00A06944" w:rsidRPr="00077858">
        <w:t xml:space="preserve"> review</w:t>
      </w:r>
      <w:r w:rsidR="001C1AAF">
        <w:t>ing</w:t>
      </w:r>
      <w:r w:rsidR="00A06944" w:rsidRPr="00077858">
        <w:t>, interpret</w:t>
      </w:r>
      <w:r w:rsidR="001C1AAF">
        <w:t>ing</w:t>
      </w:r>
      <w:r w:rsidR="00A06944" w:rsidRPr="00077858">
        <w:t xml:space="preserve"> and explain</w:t>
      </w:r>
      <w:r w:rsidR="001C1AAF">
        <w:t>ing</w:t>
      </w:r>
      <w:r w:rsidR="00A06944" w:rsidRPr="00077858">
        <w:t xml:space="preserve"> the new regulations to </w:t>
      </w:r>
      <w:r w:rsidR="007606BB">
        <w:t>primacy agencies</w:t>
      </w:r>
      <w:r w:rsidR="00A06944" w:rsidRPr="00077858">
        <w:t xml:space="preserve"> that ask for guidance. For</w:t>
      </w:r>
      <w:r w:rsidR="00A06944">
        <w:t xml:space="preserve"> example, during t</w:t>
      </w:r>
      <w:r w:rsidR="00354760">
        <w:t>he implementation process, EPA headquarters or r</w:t>
      </w:r>
      <w:r w:rsidR="00A06944">
        <w:t>egions might be asked for explanations or interpretation</w:t>
      </w:r>
      <w:r w:rsidR="00354760">
        <w:t>s</w:t>
      </w:r>
      <w:r w:rsidR="00A06944">
        <w:t xml:space="preserve"> of the intent of the new regulations. </w:t>
      </w:r>
      <w:r w:rsidR="00E62E42">
        <w:t xml:space="preserve">The </w:t>
      </w:r>
      <w:r w:rsidR="00A06944">
        <w:t>EPA believes that these regulatory changes are relatively straightforward and limited in scope and expects that the preamble</w:t>
      </w:r>
      <w:r w:rsidR="001C1AAF">
        <w:t xml:space="preserve"> language</w:t>
      </w:r>
      <w:r w:rsidR="00A06944">
        <w:t xml:space="preserve"> will </w:t>
      </w:r>
      <w:r w:rsidR="00820665">
        <w:t>generally be sufficient for the</w:t>
      </w:r>
      <w:r w:rsidR="00A06944">
        <w:t xml:space="preserve"> purpose</w:t>
      </w:r>
      <w:r w:rsidR="00820665">
        <w:t xml:space="preserve"> of explaining </w:t>
      </w:r>
      <w:r w:rsidR="00E62E42">
        <w:t xml:space="preserve">the </w:t>
      </w:r>
      <w:r w:rsidR="00820665">
        <w:t>EPA’s intent</w:t>
      </w:r>
      <w:r w:rsidR="00A06944">
        <w:t xml:space="preserve">. </w:t>
      </w:r>
      <w:r w:rsidR="00354760">
        <w:t xml:space="preserve">Therefore, the additional burden incurred by headquarters and regional offices </w:t>
      </w:r>
      <w:r w:rsidR="001C1AAF">
        <w:t>is expected to be minimal.</w:t>
      </w:r>
    </w:p>
    <w:p w14:paraId="4E0AA3F0" w14:textId="35C9DA5F" w:rsidR="000B17BF" w:rsidRDefault="00AF5571" w:rsidP="00021325">
      <w:pPr>
        <w:pStyle w:val="NormalIndent"/>
      </w:pPr>
      <w:r>
        <w:t xml:space="preserve">Further, the </w:t>
      </w:r>
      <w:r w:rsidR="006612EC">
        <w:t xml:space="preserve">additional </w:t>
      </w:r>
      <w:r>
        <w:t xml:space="preserve">burden and costs incurred by </w:t>
      </w:r>
      <w:r w:rsidR="00E62E42">
        <w:t>the</w:t>
      </w:r>
      <w:r>
        <w:t xml:space="preserve"> E</w:t>
      </w:r>
      <w:r w:rsidR="00075704">
        <w:t>PA’s drinking water program at h</w:t>
      </w:r>
      <w:r>
        <w:t xml:space="preserve">eadquarters and </w:t>
      </w:r>
      <w:r w:rsidR="00075704">
        <w:t xml:space="preserve">regional offices </w:t>
      </w:r>
      <w:r>
        <w:t xml:space="preserve">to assist primacy agencies in implementing drinking water regulations are already included in existing ICRs. </w:t>
      </w:r>
      <w:r w:rsidR="00E62E42">
        <w:t>The</w:t>
      </w:r>
      <w:r>
        <w:t xml:space="preserve"> EPA burden and costs for on-going </w:t>
      </w:r>
      <w:r w:rsidR="00075704">
        <w:t>regulatory development and support</w:t>
      </w:r>
      <w:r>
        <w:t xml:space="preserve"> activities for all EPA drinking water regulations are accounted for under the </w:t>
      </w:r>
      <w:r w:rsidR="00093747">
        <w:t>PWS</w:t>
      </w:r>
      <w:r w:rsidR="00C203D5">
        <w:t xml:space="preserve"> Supervision </w:t>
      </w:r>
      <w:r>
        <w:t>Program ICR</w:t>
      </w:r>
      <w:r w:rsidR="00D957B5">
        <w:t xml:space="preserve"> (OMB control number 2040-0090, EPA ID 1895.10).</w:t>
      </w:r>
      <w:r>
        <w:t xml:space="preserve"> </w:t>
      </w:r>
      <w:r w:rsidR="006455A7">
        <w:t xml:space="preserve">This proposed rule does not create any additional Agency burden beyond that which is already described in </w:t>
      </w:r>
      <w:r w:rsidR="00D957B5">
        <w:t>the PWS Supervision Program ICR.</w:t>
      </w:r>
    </w:p>
    <w:p w14:paraId="0940143E" w14:textId="77777777" w:rsidR="009E59E4" w:rsidRDefault="009E59E4" w:rsidP="00B95A19">
      <w:pPr>
        <w:pStyle w:val="Heading2"/>
      </w:pPr>
      <w:bookmarkStart w:id="136" w:name="_Toc160872076"/>
      <w:bookmarkStart w:id="137" w:name="_Toc23138994"/>
      <w:bookmarkStart w:id="138" w:name="_Toc23139139"/>
      <w:r>
        <w:t>6(d)</w:t>
      </w:r>
      <w:r>
        <w:tab/>
      </w:r>
      <w:r w:rsidR="002567F3">
        <w:t xml:space="preserve">Estimating the </w:t>
      </w:r>
      <w:r>
        <w:t>Respondent Universe</w:t>
      </w:r>
      <w:bookmarkEnd w:id="136"/>
      <w:r w:rsidR="002567F3">
        <w:t xml:space="preserve"> and </w:t>
      </w:r>
      <w:r w:rsidR="00B174B7">
        <w:t>Total Burden and Cost</w:t>
      </w:r>
      <w:bookmarkEnd w:id="137"/>
      <w:bookmarkEnd w:id="138"/>
    </w:p>
    <w:p w14:paraId="7A555122" w14:textId="0A8C9C54" w:rsidR="000B17BF" w:rsidRDefault="002D58FA" w:rsidP="00021325">
      <w:pPr>
        <w:pStyle w:val="NormalIndent"/>
      </w:pPr>
      <w:r w:rsidRPr="002D58FA">
        <w:t xml:space="preserve">Respondents for this ICR include both PWSs and primacy agencies. This ICR estimates that the </w:t>
      </w:r>
      <w:r w:rsidR="00761D84">
        <w:t xml:space="preserve">total </w:t>
      </w:r>
      <w:r w:rsidRPr="002D58FA">
        <w:t>number of PWS respondents is</w:t>
      </w:r>
      <w:r>
        <w:t xml:space="preserve"> </w:t>
      </w:r>
      <w:r w:rsidRPr="00B95A19">
        <w:t>67,656</w:t>
      </w:r>
      <w:r w:rsidR="00761D84">
        <w:t>, although some provisions affect fewer PWS.</w:t>
      </w:r>
      <w:r w:rsidRPr="002D58FA">
        <w:t xml:space="preserve"> </w:t>
      </w:r>
      <w:r>
        <w:t>Section 6(a)(i) identifies</w:t>
      </w:r>
      <w:r w:rsidRPr="002D58FA">
        <w:t xml:space="preserve"> the numbers and types of PWSs that are subject to each particular provision.</w:t>
      </w:r>
      <w:r w:rsidR="003E6E12">
        <w:t xml:space="preserve"> </w:t>
      </w:r>
      <w:r w:rsidR="003E6E12" w:rsidRPr="003E6E12">
        <w:t xml:space="preserve">In addition to the PWS </w:t>
      </w:r>
      <w:r w:rsidR="003E6E12">
        <w:t>respondents, this ICR assumes 56</w:t>
      </w:r>
      <w:r w:rsidR="003E6E12" w:rsidRPr="003E6E12">
        <w:t xml:space="preserve"> primacy agencies (50 states plus U.S. Territ</w:t>
      </w:r>
      <w:r w:rsidR="003E6E12">
        <w:t>ories and the Navajo Nation).</w:t>
      </w:r>
      <w:r w:rsidR="003E6E12">
        <w:rPr>
          <w:rStyle w:val="FootnoteReference"/>
        </w:rPr>
        <w:footnoteReference w:id="15"/>
      </w:r>
      <w:r w:rsidR="003E6E12">
        <w:t xml:space="preserve"> </w:t>
      </w:r>
      <w:r w:rsidR="003E6E12" w:rsidRPr="003E6E12">
        <w:t xml:space="preserve">Therefore, the total number of respondents is </w:t>
      </w:r>
      <w:r w:rsidR="003E6E12">
        <w:t>67,712</w:t>
      </w:r>
      <w:r w:rsidR="003E6E12" w:rsidRPr="003E6E12">
        <w:t>.</w:t>
      </w:r>
    </w:p>
    <w:p w14:paraId="3616718D" w14:textId="77777777" w:rsidR="0004562C" w:rsidRDefault="0004562C" w:rsidP="00B95A19">
      <w:pPr>
        <w:pStyle w:val="Heading2"/>
      </w:pPr>
      <w:bookmarkStart w:id="139" w:name="_Toc160872077"/>
      <w:bookmarkStart w:id="140" w:name="_Toc23138995"/>
      <w:bookmarkStart w:id="141" w:name="_Toc23139140"/>
      <w:r>
        <w:t>6(e)</w:t>
      </w:r>
      <w:r>
        <w:tab/>
        <w:t>Bottom Line Burden Hours and Costs</w:t>
      </w:r>
      <w:bookmarkEnd w:id="139"/>
      <w:r w:rsidR="00B174B7">
        <w:t xml:space="preserve"> Tables</w:t>
      </w:r>
      <w:bookmarkEnd w:id="140"/>
      <w:bookmarkEnd w:id="141"/>
    </w:p>
    <w:p w14:paraId="31B1152C" w14:textId="2CECD754" w:rsidR="008A780C" w:rsidRDefault="0004562C" w:rsidP="00021325">
      <w:pPr>
        <w:pStyle w:val="NormalIndent"/>
      </w:pPr>
      <w:r>
        <w:t>This section provides a description of bottom line estimates f</w:t>
      </w:r>
      <w:r w:rsidR="00B174B7">
        <w:t xml:space="preserve">or implementation of the </w:t>
      </w:r>
      <w:r w:rsidR="0040127B">
        <w:t>LCRR</w:t>
      </w:r>
      <w:r w:rsidR="00B174B7">
        <w:t xml:space="preserve">. </w:t>
      </w:r>
      <w:r>
        <w:t xml:space="preserve">The </w:t>
      </w:r>
      <w:r w:rsidR="00C70BA3">
        <w:t>bottom-</w:t>
      </w:r>
      <w:r>
        <w:t xml:space="preserve">line burden hours and costs for systems and </w:t>
      </w:r>
      <w:r w:rsidR="007606BB">
        <w:t>primacy agencies</w:t>
      </w:r>
      <w:r>
        <w:t xml:space="preserve"> are the summaries of the hours and costs collectively incurred for all activities. The first part of this section describes the estimated costs and hourly burden</w:t>
      </w:r>
      <w:r w:rsidR="00B174B7">
        <w:t>s for respondents to the rule</w:t>
      </w:r>
      <w:r w:rsidR="0040127B">
        <w:t xml:space="preserve"> revisions</w:t>
      </w:r>
    </w:p>
    <w:p w14:paraId="160EECCA" w14:textId="2492E03C" w:rsidR="00792F80" w:rsidRPr="00EC602C" w:rsidRDefault="00B174B7" w:rsidP="00021325">
      <w:pPr>
        <w:pStyle w:val="NormalIndent"/>
      </w:pPr>
      <w:r>
        <w:t xml:space="preserve">. </w:t>
      </w:r>
      <w:r w:rsidR="0004562C">
        <w:t xml:space="preserve">The second part discusses the potential cost and burden to </w:t>
      </w:r>
      <w:r w:rsidR="00E62E42">
        <w:t xml:space="preserve">the </w:t>
      </w:r>
      <w:r w:rsidR="0004562C">
        <w:t>EPA.</w:t>
      </w:r>
      <w:r w:rsidR="00792F80">
        <w:t xml:space="preserve"> </w:t>
      </w:r>
      <w:r w:rsidR="00792F80" w:rsidRPr="00DD45C1">
        <w:rPr>
          <w:b/>
        </w:rPr>
        <w:fldChar w:fldCharType="begin"/>
      </w:r>
      <w:r w:rsidR="00792F80" w:rsidRPr="00DD45C1">
        <w:rPr>
          <w:b/>
        </w:rPr>
        <w:instrText xml:space="preserve"> REF _Ref4507444 \h </w:instrText>
      </w:r>
      <w:r w:rsidR="00DD45C1">
        <w:rPr>
          <w:b/>
        </w:rPr>
        <w:instrText xml:space="preserve"> \* MERGEFORMAT </w:instrText>
      </w:r>
      <w:r w:rsidR="00792F80" w:rsidRPr="00DD45C1">
        <w:rPr>
          <w:b/>
        </w:rPr>
      </w:r>
      <w:r w:rsidR="00792F80" w:rsidRPr="00DD45C1">
        <w:rPr>
          <w:b/>
        </w:rPr>
        <w:fldChar w:fldCharType="separate"/>
      </w:r>
      <w:r w:rsidR="007A79EF" w:rsidRPr="007A79EF">
        <w:rPr>
          <w:b/>
        </w:rPr>
        <w:t xml:space="preserve">Exhibit </w:t>
      </w:r>
      <w:r w:rsidR="007A79EF" w:rsidRPr="007A79EF">
        <w:rPr>
          <w:b/>
          <w:noProof/>
        </w:rPr>
        <w:t>11</w:t>
      </w:r>
      <w:r w:rsidR="00792F80" w:rsidRPr="00DD45C1">
        <w:rPr>
          <w:b/>
        </w:rPr>
        <w:fldChar w:fldCharType="end"/>
      </w:r>
      <w:r w:rsidR="0004562C">
        <w:t xml:space="preserve"> presents a summary of the respondent burden over </w:t>
      </w:r>
      <w:r w:rsidR="007315D6">
        <w:t>three</w:t>
      </w:r>
      <w:r w:rsidR="0004562C">
        <w:t xml:space="preserve"> years for PWSs and </w:t>
      </w:r>
      <w:r w:rsidR="007606BB">
        <w:t>primacy agencies</w:t>
      </w:r>
      <w:r w:rsidR="00663BE6">
        <w:t>.</w:t>
      </w:r>
      <w:r w:rsidR="001F2124">
        <w:t xml:space="preserve"> </w:t>
      </w:r>
    </w:p>
    <w:p w14:paraId="559ECE8F" w14:textId="50BEC5C1" w:rsidR="00792F80" w:rsidRDefault="00792F80" w:rsidP="004A1618">
      <w:pPr>
        <w:pStyle w:val="Caption"/>
        <w:spacing w:after="0"/>
        <w:rPr>
          <w:noProof/>
        </w:rPr>
      </w:pPr>
      <w:bookmarkStart w:id="142" w:name="_Ref4507444"/>
      <w:bookmarkStart w:id="143" w:name="_Toc23139300"/>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7A79EF">
        <w:rPr>
          <w:noProof/>
        </w:rPr>
        <w:t>11</w:t>
      </w:r>
      <w:r w:rsidR="00856859">
        <w:rPr>
          <w:noProof/>
        </w:rPr>
        <w:fldChar w:fldCharType="end"/>
      </w:r>
      <w:bookmarkEnd w:id="142"/>
      <w:r>
        <w:rPr>
          <w:noProof/>
        </w:rPr>
        <w:t xml:space="preserve">. </w:t>
      </w:r>
      <w:r w:rsidRPr="00A149EE">
        <w:rPr>
          <w:noProof/>
        </w:rPr>
        <w:t>Bottom Line Burden and Costs</w:t>
      </w:r>
      <w:r w:rsidR="00E71DB1">
        <w:rPr>
          <w:noProof/>
        </w:rPr>
        <w:t>, 3-</w:t>
      </w:r>
      <w:r w:rsidR="00761D84">
        <w:rPr>
          <w:noProof/>
        </w:rPr>
        <w:t>Y</w:t>
      </w:r>
      <w:r w:rsidR="00E71DB1">
        <w:rPr>
          <w:noProof/>
        </w:rPr>
        <w:t>ear Total</w:t>
      </w:r>
      <w:bookmarkEnd w:id="143"/>
    </w:p>
    <w:p w14:paraId="4867213C" w14:textId="77777777" w:rsidR="00792F80" w:rsidRPr="00792F80" w:rsidRDefault="00792F80" w:rsidP="004A1618">
      <w:pPr>
        <w:keepNext/>
        <w:jc w:val="center"/>
      </w:pPr>
      <w:r w:rsidRPr="00F967F6">
        <w:rPr>
          <w:bCs/>
          <w:sz w:val="20"/>
          <w:szCs w:val="20"/>
        </w:rPr>
        <w:t>(</w:t>
      </w:r>
      <w:r>
        <w:rPr>
          <w:bCs/>
          <w:sz w:val="20"/>
          <w:szCs w:val="20"/>
        </w:rPr>
        <w:t>2016</w:t>
      </w:r>
      <w:r w:rsidR="004A1618">
        <w:rPr>
          <w:bCs/>
          <w:sz w:val="20"/>
          <w:szCs w:val="20"/>
        </w:rPr>
        <w:t xml:space="preserve"> dollars</w:t>
      </w:r>
      <w:r w:rsidRPr="00F967F6">
        <w:rPr>
          <w:bCs/>
          <w:sz w:val="20"/>
          <w:szCs w:val="20"/>
        </w:rPr>
        <w: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4" w:type="dxa"/>
          <w:right w:w="154" w:type="dxa"/>
        </w:tblCellMar>
        <w:tblLook w:val="0000" w:firstRow="0" w:lastRow="0" w:firstColumn="0" w:lastColumn="0" w:noHBand="0" w:noVBand="0"/>
      </w:tblPr>
      <w:tblGrid>
        <w:gridCol w:w="2592"/>
        <w:gridCol w:w="2088"/>
        <w:gridCol w:w="2070"/>
        <w:gridCol w:w="3618"/>
      </w:tblGrid>
      <w:tr w:rsidR="007F4A44" w:rsidRPr="00D44693" w14:paraId="13D861A4" w14:textId="77777777" w:rsidTr="00805A41">
        <w:trPr>
          <w:jc w:val="center"/>
        </w:trPr>
        <w:tc>
          <w:tcPr>
            <w:tcW w:w="2592" w:type="dxa"/>
            <w:tcBorders>
              <w:top w:val="nil"/>
              <w:left w:val="nil"/>
            </w:tcBorders>
            <w:vAlign w:val="center"/>
          </w:tcPr>
          <w:p w14:paraId="14FFE8FA" w14:textId="5EB4124F" w:rsidR="007F4A44" w:rsidRPr="00EC602C" w:rsidRDefault="007F4A44" w:rsidP="007F4A44">
            <w:pPr>
              <w:pStyle w:val="Table"/>
              <w:jc w:val="right"/>
              <w:rPr>
                <w:b/>
                <w:color w:val="000000"/>
                <w:sz w:val="18"/>
              </w:rPr>
            </w:pPr>
          </w:p>
        </w:tc>
        <w:tc>
          <w:tcPr>
            <w:tcW w:w="2088" w:type="dxa"/>
            <w:vAlign w:val="center"/>
          </w:tcPr>
          <w:p w14:paraId="5FB280EC" w14:textId="3E08CD37" w:rsidR="007F4A44" w:rsidRPr="00EC602C" w:rsidRDefault="007F4A44" w:rsidP="007F4A44">
            <w:pPr>
              <w:pStyle w:val="Table"/>
              <w:jc w:val="right"/>
              <w:rPr>
                <w:b/>
                <w:color w:val="000000"/>
                <w:sz w:val="18"/>
              </w:rPr>
            </w:pPr>
            <w:r>
              <w:rPr>
                <w:b/>
                <w:color w:val="000000"/>
                <w:sz w:val="18"/>
              </w:rPr>
              <w:t>Low Cost Scenario</w:t>
            </w:r>
          </w:p>
        </w:tc>
        <w:tc>
          <w:tcPr>
            <w:tcW w:w="2070" w:type="dxa"/>
            <w:vAlign w:val="center"/>
          </w:tcPr>
          <w:p w14:paraId="7647A9E1" w14:textId="21AFA762" w:rsidR="007F4A44" w:rsidRPr="005E2E1A" w:rsidRDefault="007F4A44" w:rsidP="005E2E1A">
            <w:pPr>
              <w:pStyle w:val="Table"/>
              <w:jc w:val="right"/>
              <w:rPr>
                <w:b/>
                <w:sz w:val="18"/>
              </w:rPr>
            </w:pPr>
            <w:r w:rsidRPr="005E2E1A">
              <w:rPr>
                <w:b/>
                <w:sz w:val="18"/>
              </w:rPr>
              <w:t>High Cost Scenario</w:t>
            </w:r>
          </w:p>
        </w:tc>
        <w:tc>
          <w:tcPr>
            <w:tcW w:w="3618" w:type="dxa"/>
            <w:tcBorders>
              <w:top w:val="nil"/>
              <w:right w:val="nil"/>
            </w:tcBorders>
            <w:vAlign w:val="center"/>
          </w:tcPr>
          <w:p w14:paraId="5E08D4CB" w14:textId="515CF59F" w:rsidR="007F4A44" w:rsidRDefault="007F4A44" w:rsidP="007F4A44">
            <w:pPr>
              <w:pStyle w:val="Table"/>
              <w:rPr>
                <w:sz w:val="18"/>
              </w:rPr>
            </w:pPr>
          </w:p>
        </w:tc>
      </w:tr>
      <w:tr w:rsidR="007F4A44" w:rsidRPr="00D44693" w14:paraId="1B84F542" w14:textId="77777777" w:rsidTr="00805A41">
        <w:trPr>
          <w:jc w:val="center"/>
        </w:trPr>
        <w:tc>
          <w:tcPr>
            <w:tcW w:w="2592" w:type="dxa"/>
            <w:vAlign w:val="center"/>
          </w:tcPr>
          <w:p w14:paraId="3772DA1B" w14:textId="77777777" w:rsidR="007F4A44" w:rsidRPr="00EC602C" w:rsidRDefault="007F4A44" w:rsidP="00805A41">
            <w:pPr>
              <w:pStyle w:val="Table"/>
              <w:rPr>
                <w:sz w:val="18"/>
              </w:rPr>
            </w:pPr>
            <w:r w:rsidRPr="00EC602C">
              <w:rPr>
                <w:b/>
                <w:bCs/>
                <w:sz w:val="18"/>
              </w:rPr>
              <w:t>Number of Respondents</w:t>
            </w:r>
          </w:p>
        </w:tc>
        <w:tc>
          <w:tcPr>
            <w:tcW w:w="2088" w:type="dxa"/>
            <w:vAlign w:val="center"/>
          </w:tcPr>
          <w:p w14:paraId="4C261972" w14:textId="77777777" w:rsidR="007F4A44" w:rsidRDefault="007F4A44" w:rsidP="00805A41">
            <w:pPr>
              <w:pStyle w:val="Table"/>
              <w:jc w:val="right"/>
              <w:rPr>
                <w:sz w:val="18"/>
              </w:rPr>
            </w:pPr>
            <w:r w:rsidRPr="00EC602C">
              <w:rPr>
                <w:b/>
                <w:color w:val="000000"/>
                <w:sz w:val="18"/>
              </w:rPr>
              <w:t xml:space="preserve">67,712 </w:t>
            </w:r>
            <w:r w:rsidRPr="00EC602C">
              <w:rPr>
                <w:sz w:val="18"/>
              </w:rPr>
              <w:t xml:space="preserve">= </w:t>
            </w:r>
          </w:p>
          <w:p w14:paraId="6CAB09DF" w14:textId="77777777" w:rsidR="007F4A44" w:rsidRPr="00EC602C" w:rsidRDefault="007F4A44" w:rsidP="00805A41">
            <w:pPr>
              <w:pStyle w:val="Table"/>
              <w:jc w:val="right"/>
              <w:rPr>
                <w:sz w:val="18"/>
              </w:rPr>
            </w:pPr>
            <w:r w:rsidRPr="00EC602C">
              <w:rPr>
                <w:sz w:val="18"/>
              </w:rPr>
              <w:t>67,656</w:t>
            </w:r>
          </w:p>
          <w:p w14:paraId="78A69995" w14:textId="77777777" w:rsidR="007F4A44" w:rsidRPr="00EC602C" w:rsidRDefault="007F4A44" w:rsidP="00805A41">
            <w:pPr>
              <w:pStyle w:val="Table"/>
              <w:jc w:val="right"/>
              <w:rPr>
                <w:sz w:val="18"/>
              </w:rPr>
            </w:pPr>
            <w:r w:rsidRPr="00EC602C">
              <w:rPr>
                <w:sz w:val="18"/>
              </w:rPr>
              <w:t>+56</w:t>
            </w:r>
          </w:p>
        </w:tc>
        <w:tc>
          <w:tcPr>
            <w:tcW w:w="2070" w:type="dxa"/>
            <w:vAlign w:val="center"/>
          </w:tcPr>
          <w:p w14:paraId="73CD9841" w14:textId="77777777" w:rsidR="007F4A44" w:rsidRDefault="007F4A44" w:rsidP="00805A41">
            <w:pPr>
              <w:pStyle w:val="Table"/>
              <w:jc w:val="right"/>
              <w:rPr>
                <w:sz w:val="18"/>
              </w:rPr>
            </w:pPr>
            <w:r w:rsidRPr="00EC602C">
              <w:rPr>
                <w:b/>
                <w:color w:val="000000"/>
                <w:sz w:val="18"/>
              </w:rPr>
              <w:t xml:space="preserve">67,712 </w:t>
            </w:r>
            <w:r w:rsidRPr="00EC602C">
              <w:rPr>
                <w:sz w:val="18"/>
              </w:rPr>
              <w:t xml:space="preserve">= </w:t>
            </w:r>
          </w:p>
          <w:p w14:paraId="3156F7EA" w14:textId="77777777" w:rsidR="007F4A44" w:rsidRPr="00EC602C" w:rsidRDefault="007F4A44" w:rsidP="00805A41">
            <w:pPr>
              <w:pStyle w:val="Table"/>
              <w:jc w:val="right"/>
              <w:rPr>
                <w:sz w:val="18"/>
              </w:rPr>
            </w:pPr>
            <w:r w:rsidRPr="00EC602C">
              <w:rPr>
                <w:sz w:val="18"/>
              </w:rPr>
              <w:t>67,656</w:t>
            </w:r>
          </w:p>
          <w:p w14:paraId="439646C0" w14:textId="7071A10C" w:rsidR="007F4A44" w:rsidRDefault="007F4A44" w:rsidP="00805A41">
            <w:pPr>
              <w:pStyle w:val="Table"/>
              <w:jc w:val="right"/>
              <w:rPr>
                <w:sz w:val="18"/>
              </w:rPr>
            </w:pPr>
            <w:r w:rsidRPr="00EC602C">
              <w:rPr>
                <w:sz w:val="18"/>
              </w:rPr>
              <w:t>+56</w:t>
            </w:r>
          </w:p>
        </w:tc>
        <w:tc>
          <w:tcPr>
            <w:tcW w:w="3618" w:type="dxa"/>
            <w:vAlign w:val="center"/>
          </w:tcPr>
          <w:p w14:paraId="2A5EE6C9" w14:textId="364D03C4" w:rsidR="007F4A44" w:rsidRDefault="007F4A44" w:rsidP="00805A41">
            <w:pPr>
              <w:pStyle w:val="Table"/>
              <w:rPr>
                <w:sz w:val="18"/>
              </w:rPr>
            </w:pPr>
          </w:p>
          <w:p w14:paraId="15C87807" w14:textId="77777777" w:rsidR="007F4A44" w:rsidRPr="00EC602C" w:rsidRDefault="007F4A44" w:rsidP="00805A41">
            <w:pPr>
              <w:pStyle w:val="Table"/>
              <w:rPr>
                <w:sz w:val="18"/>
              </w:rPr>
            </w:pPr>
            <w:r w:rsidRPr="00EC602C">
              <w:rPr>
                <w:sz w:val="18"/>
              </w:rPr>
              <w:t>Public water systems</w:t>
            </w:r>
          </w:p>
          <w:p w14:paraId="46B15133" w14:textId="77777777" w:rsidR="007F4A44" w:rsidRPr="00EC602C" w:rsidRDefault="007F4A44" w:rsidP="00805A41">
            <w:pPr>
              <w:pStyle w:val="Table"/>
              <w:rPr>
                <w:sz w:val="18"/>
              </w:rPr>
            </w:pPr>
            <w:r>
              <w:rPr>
                <w:sz w:val="18"/>
              </w:rPr>
              <w:t>Primacy agencies</w:t>
            </w:r>
            <w:r w:rsidRPr="00EC602C">
              <w:rPr>
                <w:sz w:val="18"/>
              </w:rPr>
              <w:t xml:space="preserve"> </w:t>
            </w:r>
          </w:p>
        </w:tc>
      </w:tr>
      <w:tr w:rsidR="007F4A44" w:rsidRPr="00D44693" w14:paraId="28CE97DC" w14:textId="77777777" w:rsidTr="00805A41">
        <w:trPr>
          <w:jc w:val="center"/>
        </w:trPr>
        <w:tc>
          <w:tcPr>
            <w:tcW w:w="2592" w:type="dxa"/>
            <w:vAlign w:val="center"/>
          </w:tcPr>
          <w:p w14:paraId="56C1B5C0" w14:textId="77777777" w:rsidR="007F4A44" w:rsidRPr="00EC602C" w:rsidRDefault="007F4A44" w:rsidP="00805A41">
            <w:pPr>
              <w:pStyle w:val="Table"/>
              <w:rPr>
                <w:sz w:val="18"/>
              </w:rPr>
            </w:pPr>
            <w:r w:rsidRPr="00EC602C">
              <w:rPr>
                <w:b/>
                <w:bCs/>
                <w:sz w:val="18"/>
              </w:rPr>
              <w:t>Number of Responses</w:t>
            </w:r>
          </w:p>
        </w:tc>
        <w:tc>
          <w:tcPr>
            <w:tcW w:w="2088" w:type="dxa"/>
            <w:vAlign w:val="center"/>
          </w:tcPr>
          <w:p w14:paraId="6066593F" w14:textId="091DD51A" w:rsidR="007F4A44" w:rsidRDefault="007F4A44" w:rsidP="00805A41">
            <w:pPr>
              <w:pStyle w:val="Table"/>
              <w:jc w:val="right"/>
              <w:rPr>
                <w:sz w:val="18"/>
              </w:rPr>
            </w:pPr>
            <w:r w:rsidRPr="007F4A44">
              <w:rPr>
                <w:b/>
                <w:sz w:val="18"/>
              </w:rPr>
              <w:t>333,782</w:t>
            </w:r>
            <w:r>
              <w:rPr>
                <w:b/>
                <w:sz w:val="18"/>
              </w:rPr>
              <w:t xml:space="preserve"> </w:t>
            </w:r>
            <w:r w:rsidRPr="00EC602C">
              <w:rPr>
                <w:sz w:val="18"/>
              </w:rPr>
              <w:t>=</w:t>
            </w:r>
            <w:r>
              <w:rPr>
                <w:sz w:val="18"/>
              </w:rPr>
              <w:t xml:space="preserve"> </w:t>
            </w:r>
          </w:p>
          <w:p w14:paraId="27B4F276" w14:textId="77777777" w:rsidR="00805A41" w:rsidRDefault="007F4A44" w:rsidP="00805A41">
            <w:pPr>
              <w:pStyle w:val="Table"/>
              <w:jc w:val="right"/>
              <w:rPr>
                <w:sz w:val="18"/>
              </w:rPr>
            </w:pPr>
            <w:r w:rsidRPr="007F4A44">
              <w:rPr>
                <w:sz w:val="18"/>
              </w:rPr>
              <w:t>268,235</w:t>
            </w:r>
          </w:p>
          <w:p w14:paraId="683A5525" w14:textId="63C665D1" w:rsidR="007F4A44" w:rsidRPr="00EC602C" w:rsidRDefault="007F4A44" w:rsidP="00805A41">
            <w:pPr>
              <w:pStyle w:val="Table"/>
              <w:jc w:val="right"/>
              <w:rPr>
                <w:b/>
                <w:bCs/>
                <w:sz w:val="18"/>
              </w:rPr>
            </w:pPr>
            <w:r w:rsidRPr="00EC602C">
              <w:rPr>
                <w:sz w:val="18"/>
              </w:rPr>
              <w:t>+</w:t>
            </w:r>
            <w:r w:rsidR="005E2E1A" w:rsidRPr="005E2E1A">
              <w:rPr>
                <w:sz w:val="18"/>
              </w:rPr>
              <w:t>65,547</w:t>
            </w:r>
          </w:p>
        </w:tc>
        <w:tc>
          <w:tcPr>
            <w:tcW w:w="2070" w:type="dxa"/>
            <w:vAlign w:val="center"/>
          </w:tcPr>
          <w:p w14:paraId="523C4FC8" w14:textId="62D26C37" w:rsidR="007F4A44" w:rsidRDefault="007F4A44" w:rsidP="00805A41">
            <w:pPr>
              <w:pStyle w:val="Table"/>
              <w:jc w:val="right"/>
              <w:rPr>
                <w:sz w:val="18"/>
              </w:rPr>
            </w:pPr>
            <w:r w:rsidRPr="007F4A44">
              <w:rPr>
                <w:b/>
                <w:sz w:val="18"/>
              </w:rPr>
              <w:t>339,392</w:t>
            </w:r>
            <w:r>
              <w:rPr>
                <w:b/>
                <w:sz w:val="18"/>
              </w:rPr>
              <w:t xml:space="preserve"> </w:t>
            </w:r>
            <w:r w:rsidRPr="00EC602C">
              <w:rPr>
                <w:sz w:val="18"/>
              </w:rPr>
              <w:t>=</w:t>
            </w:r>
            <w:r>
              <w:rPr>
                <w:sz w:val="18"/>
              </w:rPr>
              <w:t xml:space="preserve"> </w:t>
            </w:r>
          </w:p>
          <w:p w14:paraId="1D5BAA24" w14:textId="77777777" w:rsidR="007F4A44" w:rsidRDefault="007F4A44" w:rsidP="00805A41">
            <w:pPr>
              <w:ind w:firstLineChars="100" w:firstLine="180"/>
              <w:jc w:val="right"/>
              <w:rPr>
                <w:rFonts w:ascii="Arial" w:hAnsi="Arial" w:cs="Arial"/>
                <w:color w:val="000000"/>
                <w:sz w:val="18"/>
                <w:szCs w:val="18"/>
              </w:rPr>
            </w:pPr>
            <w:r>
              <w:rPr>
                <w:rFonts w:ascii="Arial" w:hAnsi="Arial" w:cs="Arial"/>
                <w:color w:val="000000"/>
                <w:sz w:val="18"/>
                <w:szCs w:val="18"/>
              </w:rPr>
              <w:t>271,040</w:t>
            </w:r>
          </w:p>
          <w:p w14:paraId="650B3A11" w14:textId="0249D0FB" w:rsidR="007F4A44" w:rsidRPr="007F4A44" w:rsidRDefault="007F4A44" w:rsidP="00805A41">
            <w:pPr>
              <w:pStyle w:val="Table"/>
              <w:jc w:val="right"/>
              <w:rPr>
                <w:sz w:val="18"/>
              </w:rPr>
            </w:pPr>
            <w:r w:rsidRPr="00EC602C">
              <w:rPr>
                <w:sz w:val="18"/>
              </w:rPr>
              <w:t>+</w:t>
            </w:r>
            <w:r>
              <w:rPr>
                <w:color w:val="000000"/>
                <w:sz w:val="18"/>
                <w:szCs w:val="18"/>
              </w:rPr>
              <w:t>68,352</w:t>
            </w:r>
          </w:p>
        </w:tc>
        <w:tc>
          <w:tcPr>
            <w:tcW w:w="3618" w:type="dxa"/>
            <w:vAlign w:val="center"/>
          </w:tcPr>
          <w:p w14:paraId="20E162AE" w14:textId="772517B4" w:rsidR="007F4A44" w:rsidRDefault="007F4A44" w:rsidP="00805A41">
            <w:pPr>
              <w:pStyle w:val="Table"/>
              <w:rPr>
                <w:sz w:val="18"/>
              </w:rPr>
            </w:pPr>
          </w:p>
          <w:p w14:paraId="019378D1" w14:textId="77777777" w:rsidR="007F4A44" w:rsidRPr="00EC602C" w:rsidRDefault="007F4A44" w:rsidP="00805A41">
            <w:pPr>
              <w:pStyle w:val="Table"/>
              <w:rPr>
                <w:sz w:val="18"/>
              </w:rPr>
            </w:pPr>
            <w:r w:rsidRPr="00EC602C">
              <w:rPr>
                <w:sz w:val="18"/>
              </w:rPr>
              <w:t>Public water systems</w:t>
            </w:r>
          </w:p>
          <w:p w14:paraId="118EA7F8" w14:textId="77777777" w:rsidR="007F4A44" w:rsidRPr="00EC602C" w:rsidRDefault="007F4A44" w:rsidP="00805A41">
            <w:pPr>
              <w:pStyle w:val="Table"/>
              <w:rPr>
                <w:sz w:val="18"/>
              </w:rPr>
            </w:pPr>
            <w:r>
              <w:rPr>
                <w:sz w:val="18"/>
              </w:rPr>
              <w:t>Primacy agencies</w:t>
            </w:r>
            <w:r w:rsidRPr="00EC602C">
              <w:rPr>
                <w:sz w:val="18"/>
              </w:rPr>
              <w:t xml:space="preserve"> </w:t>
            </w:r>
          </w:p>
        </w:tc>
      </w:tr>
      <w:tr w:rsidR="007F4A44" w:rsidRPr="00D44693" w14:paraId="33299262" w14:textId="77777777" w:rsidTr="00805A41">
        <w:trPr>
          <w:jc w:val="center"/>
        </w:trPr>
        <w:tc>
          <w:tcPr>
            <w:tcW w:w="2592" w:type="dxa"/>
            <w:vAlign w:val="center"/>
          </w:tcPr>
          <w:p w14:paraId="18A48BD5" w14:textId="77777777" w:rsidR="007F4A44" w:rsidRPr="00EC602C" w:rsidRDefault="007F4A44" w:rsidP="00805A41">
            <w:pPr>
              <w:pStyle w:val="Table"/>
              <w:rPr>
                <w:sz w:val="18"/>
              </w:rPr>
            </w:pPr>
            <w:r w:rsidRPr="00EC602C">
              <w:rPr>
                <w:b/>
                <w:bCs/>
                <w:sz w:val="18"/>
              </w:rPr>
              <w:t>Total Respondent Burden Hours</w:t>
            </w:r>
          </w:p>
        </w:tc>
        <w:tc>
          <w:tcPr>
            <w:tcW w:w="2088" w:type="dxa"/>
            <w:vAlign w:val="center"/>
          </w:tcPr>
          <w:p w14:paraId="7B952F59" w14:textId="7CDB12D4" w:rsidR="007F4A44" w:rsidRDefault="005E2E1A" w:rsidP="00805A41">
            <w:pPr>
              <w:pStyle w:val="Table"/>
              <w:jc w:val="right"/>
              <w:rPr>
                <w:sz w:val="18"/>
              </w:rPr>
            </w:pPr>
            <w:r w:rsidRPr="005E2E1A">
              <w:rPr>
                <w:b/>
                <w:bCs/>
                <w:sz w:val="18"/>
              </w:rPr>
              <w:t>2,720,956</w:t>
            </w:r>
            <w:r>
              <w:rPr>
                <w:b/>
                <w:bCs/>
                <w:sz w:val="18"/>
              </w:rPr>
              <w:t xml:space="preserve"> </w:t>
            </w:r>
            <w:r w:rsidR="007F4A44" w:rsidRPr="00BE162E">
              <w:rPr>
                <w:sz w:val="18"/>
              </w:rPr>
              <w:t xml:space="preserve">= </w:t>
            </w:r>
          </w:p>
          <w:p w14:paraId="72671F93" w14:textId="77777777" w:rsidR="005E2E1A" w:rsidRDefault="005E2E1A" w:rsidP="00805A41">
            <w:pPr>
              <w:pStyle w:val="Table"/>
              <w:jc w:val="right"/>
              <w:rPr>
                <w:sz w:val="18"/>
              </w:rPr>
            </w:pPr>
            <w:r w:rsidRPr="005E2E1A">
              <w:rPr>
                <w:sz w:val="18"/>
              </w:rPr>
              <w:t>2,235,135</w:t>
            </w:r>
          </w:p>
          <w:p w14:paraId="17924255" w14:textId="77A12E74" w:rsidR="007F4A44" w:rsidRPr="00BE162E" w:rsidRDefault="007F4A44" w:rsidP="00805A41">
            <w:pPr>
              <w:pStyle w:val="Table"/>
              <w:jc w:val="right"/>
              <w:rPr>
                <w:sz w:val="18"/>
              </w:rPr>
            </w:pPr>
            <w:r w:rsidRPr="00BE162E">
              <w:rPr>
                <w:sz w:val="18"/>
              </w:rPr>
              <w:t>+</w:t>
            </w:r>
            <w:r w:rsidR="005E2E1A" w:rsidRPr="005E2E1A">
              <w:rPr>
                <w:sz w:val="18"/>
              </w:rPr>
              <w:t>485,821</w:t>
            </w:r>
          </w:p>
        </w:tc>
        <w:tc>
          <w:tcPr>
            <w:tcW w:w="2070" w:type="dxa"/>
            <w:vAlign w:val="center"/>
          </w:tcPr>
          <w:p w14:paraId="5ACE002C" w14:textId="6971C2FC" w:rsidR="007F4A44" w:rsidRPr="005E2E1A" w:rsidRDefault="007F4A44" w:rsidP="00805A41">
            <w:pPr>
              <w:ind w:firstLineChars="100" w:firstLine="181"/>
              <w:jc w:val="right"/>
              <w:rPr>
                <w:rFonts w:ascii="Arial" w:hAnsi="Arial" w:cs="Arial"/>
                <w:b/>
                <w:bCs/>
                <w:color w:val="000000"/>
                <w:sz w:val="18"/>
                <w:szCs w:val="18"/>
              </w:rPr>
            </w:pPr>
            <w:r>
              <w:rPr>
                <w:rFonts w:ascii="Arial" w:hAnsi="Arial" w:cs="Arial"/>
                <w:b/>
                <w:bCs/>
                <w:color w:val="000000"/>
                <w:sz w:val="18"/>
                <w:szCs w:val="18"/>
              </w:rPr>
              <w:t xml:space="preserve">2,855,167 </w:t>
            </w:r>
            <w:r w:rsidRPr="00BE162E">
              <w:rPr>
                <w:sz w:val="18"/>
              </w:rPr>
              <w:t xml:space="preserve">= </w:t>
            </w:r>
          </w:p>
          <w:p w14:paraId="3333082C" w14:textId="77777777" w:rsidR="007F4A44" w:rsidRDefault="007F4A44" w:rsidP="00805A41">
            <w:pPr>
              <w:pStyle w:val="Table"/>
              <w:jc w:val="right"/>
              <w:rPr>
                <w:sz w:val="18"/>
              </w:rPr>
            </w:pPr>
            <w:r w:rsidRPr="007F4A44">
              <w:rPr>
                <w:sz w:val="18"/>
              </w:rPr>
              <w:t>2,346,960</w:t>
            </w:r>
          </w:p>
          <w:p w14:paraId="213AA2CC" w14:textId="1C3A40E4" w:rsidR="007F4A44" w:rsidRDefault="007F4A44" w:rsidP="00805A41">
            <w:pPr>
              <w:pStyle w:val="Table"/>
              <w:jc w:val="right"/>
              <w:rPr>
                <w:sz w:val="18"/>
              </w:rPr>
            </w:pPr>
            <w:r w:rsidRPr="00BE162E">
              <w:rPr>
                <w:sz w:val="18"/>
              </w:rPr>
              <w:t>+</w:t>
            </w:r>
            <w:r w:rsidRPr="007F4A44">
              <w:rPr>
                <w:sz w:val="18"/>
              </w:rPr>
              <w:t>508,207</w:t>
            </w:r>
          </w:p>
        </w:tc>
        <w:tc>
          <w:tcPr>
            <w:tcW w:w="3618" w:type="dxa"/>
            <w:vAlign w:val="center"/>
          </w:tcPr>
          <w:p w14:paraId="61078028" w14:textId="7ABF8ABE" w:rsidR="007F4A44" w:rsidRDefault="007F4A44" w:rsidP="00805A41">
            <w:pPr>
              <w:pStyle w:val="Table"/>
              <w:rPr>
                <w:sz w:val="18"/>
              </w:rPr>
            </w:pPr>
          </w:p>
          <w:p w14:paraId="77CC7118" w14:textId="77777777" w:rsidR="007F4A44" w:rsidRPr="00EC602C" w:rsidRDefault="007F4A44" w:rsidP="00805A41">
            <w:pPr>
              <w:pStyle w:val="Table"/>
              <w:rPr>
                <w:sz w:val="18"/>
              </w:rPr>
            </w:pPr>
            <w:r w:rsidRPr="00EC602C">
              <w:rPr>
                <w:sz w:val="18"/>
              </w:rPr>
              <w:t>Public water system hours</w:t>
            </w:r>
          </w:p>
          <w:p w14:paraId="791B9B81" w14:textId="77777777" w:rsidR="007F4A44" w:rsidRPr="00EC602C" w:rsidRDefault="007F4A44" w:rsidP="00805A41">
            <w:pPr>
              <w:pStyle w:val="Table"/>
              <w:rPr>
                <w:sz w:val="18"/>
              </w:rPr>
            </w:pPr>
            <w:r>
              <w:rPr>
                <w:sz w:val="18"/>
              </w:rPr>
              <w:t>Primacy agency</w:t>
            </w:r>
            <w:r w:rsidRPr="00EC602C">
              <w:rPr>
                <w:sz w:val="18"/>
              </w:rPr>
              <w:t xml:space="preserve"> hours</w:t>
            </w:r>
          </w:p>
        </w:tc>
      </w:tr>
      <w:tr w:rsidR="007F4A44" w:rsidRPr="00D44693" w14:paraId="2BA1C283" w14:textId="77777777" w:rsidTr="00805A41">
        <w:trPr>
          <w:jc w:val="center"/>
        </w:trPr>
        <w:tc>
          <w:tcPr>
            <w:tcW w:w="2592" w:type="dxa"/>
            <w:vAlign w:val="center"/>
          </w:tcPr>
          <w:p w14:paraId="5CE19071" w14:textId="77777777" w:rsidR="007F4A44" w:rsidRPr="00EC602C" w:rsidRDefault="007F4A44" w:rsidP="00805A41">
            <w:pPr>
              <w:pStyle w:val="Table"/>
              <w:rPr>
                <w:b/>
                <w:bCs/>
                <w:sz w:val="18"/>
              </w:rPr>
            </w:pPr>
            <w:r w:rsidRPr="00EC602C">
              <w:rPr>
                <w:b/>
                <w:bCs/>
                <w:sz w:val="18"/>
              </w:rPr>
              <w:t>Hours per System</w:t>
            </w:r>
          </w:p>
          <w:p w14:paraId="546F2CE5" w14:textId="77777777" w:rsidR="007F4A44" w:rsidRPr="00EC602C" w:rsidRDefault="007F4A44" w:rsidP="00805A41">
            <w:pPr>
              <w:pStyle w:val="Table"/>
              <w:rPr>
                <w:sz w:val="18"/>
              </w:rPr>
            </w:pPr>
            <w:r w:rsidRPr="00EC602C">
              <w:rPr>
                <w:b/>
                <w:bCs/>
                <w:sz w:val="18"/>
              </w:rPr>
              <w:t>for Public Water Systems</w:t>
            </w:r>
          </w:p>
        </w:tc>
        <w:tc>
          <w:tcPr>
            <w:tcW w:w="2088" w:type="dxa"/>
            <w:vAlign w:val="center"/>
          </w:tcPr>
          <w:p w14:paraId="481A31F8" w14:textId="724F5F91" w:rsidR="007F4A44" w:rsidRDefault="005E2E1A" w:rsidP="00805A41">
            <w:pPr>
              <w:pStyle w:val="Table"/>
              <w:jc w:val="right"/>
              <w:rPr>
                <w:sz w:val="18"/>
              </w:rPr>
            </w:pPr>
            <w:r w:rsidRPr="005E2E1A">
              <w:rPr>
                <w:b/>
                <w:bCs/>
                <w:sz w:val="18"/>
              </w:rPr>
              <w:t>33.04</w:t>
            </w:r>
            <w:r>
              <w:rPr>
                <w:b/>
                <w:bCs/>
                <w:sz w:val="18"/>
              </w:rPr>
              <w:t xml:space="preserve"> </w:t>
            </w:r>
            <w:r w:rsidR="007F4A44" w:rsidRPr="00BE162E">
              <w:rPr>
                <w:sz w:val="18"/>
              </w:rPr>
              <w:t xml:space="preserve">= </w:t>
            </w:r>
          </w:p>
          <w:p w14:paraId="12A3BDDF" w14:textId="77777777" w:rsidR="005E2E1A" w:rsidRDefault="005E2E1A" w:rsidP="00805A41">
            <w:pPr>
              <w:pStyle w:val="Table"/>
              <w:jc w:val="right"/>
              <w:rPr>
                <w:sz w:val="18"/>
              </w:rPr>
            </w:pPr>
            <w:r w:rsidRPr="005E2E1A">
              <w:rPr>
                <w:sz w:val="18"/>
              </w:rPr>
              <w:t>2,235,135</w:t>
            </w:r>
          </w:p>
          <w:p w14:paraId="6C4E7E31" w14:textId="2EB7CC95" w:rsidR="007F4A44" w:rsidRPr="00BE162E" w:rsidRDefault="007F4A44" w:rsidP="00805A41">
            <w:pPr>
              <w:pStyle w:val="Table"/>
              <w:jc w:val="right"/>
              <w:rPr>
                <w:sz w:val="18"/>
              </w:rPr>
            </w:pPr>
            <w:r w:rsidRPr="00BE162E">
              <w:rPr>
                <w:sz w:val="18"/>
              </w:rPr>
              <w:t>/67,656</w:t>
            </w:r>
          </w:p>
        </w:tc>
        <w:tc>
          <w:tcPr>
            <w:tcW w:w="2070" w:type="dxa"/>
            <w:vAlign w:val="center"/>
          </w:tcPr>
          <w:p w14:paraId="266AAA59" w14:textId="69D077B6" w:rsidR="007F4A44" w:rsidRDefault="007F4A44" w:rsidP="00805A41">
            <w:pPr>
              <w:pStyle w:val="Table"/>
              <w:jc w:val="right"/>
              <w:rPr>
                <w:sz w:val="18"/>
              </w:rPr>
            </w:pPr>
            <w:r w:rsidRPr="007F4A44">
              <w:rPr>
                <w:b/>
                <w:bCs/>
                <w:sz w:val="18"/>
              </w:rPr>
              <w:t>34.69</w:t>
            </w:r>
            <w:r>
              <w:rPr>
                <w:b/>
                <w:bCs/>
                <w:sz w:val="18"/>
              </w:rPr>
              <w:t xml:space="preserve"> </w:t>
            </w:r>
            <w:r w:rsidRPr="00BE162E">
              <w:rPr>
                <w:sz w:val="18"/>
              </w:rPr>
              <w:t xml:space="preserve">= </w:t>
            </w:r>
          </w:p>
          <w:p w14:paraId="5E6CD6DE" w14:textId="77777777" w:rsidR="007F4A44" w:rsidRDefault="007F4A44" w:rsidP="00805A41">
            <w:pPr>
              <w:pStyle w:val="Table"/>
              <w:jc w:val="right"/>
              <w:rPr>
                <w:sz w:val="18"/>
              </w:rPr>
            </w:pPr>
            <w:r w:rsidRPr="007F4A44">
              <w:rPr>
                <w:sz w:val="18"/>
              </w:rPr>
              <w:t>2,346,960</w:t>
            </w:r>
          </w:p>
          <w:p w14:paraId="2580065F" w14:textId="107BE901" w:rsidR="007F4A44" w:rsidRDefault="007F4A44" w:rsidP="00805A41">
            <w:pPr>
              <w:pStyle w:val="Table"/>
              <w:jc w:val="right"/>
              <w:rPr>
                <w:sz w:val="18"/>
              </w:rPr>
            </w:pPr>
            <w:r w:rsidRPr="00BE162E">
              <w:rPr>
                <w:sz w:val="18"/>
              </w:rPr>
              <w:t>/67,656</w:t>
            </w:r>
          </w:p>
        </w:tc>
        <w:tc>
          <w:tcPr>
            <w:tcW w:w="3618" w:type="dxa"/>
            <w:vAlign w:val="center"/>
          </w:tcPr>
          <w:p w14:paraId="1A4BFC5D" w14:textId="618424AE" w:rsidR="007F4A44" w:rsidRDefault="007F4A44" w:rsidP="00805A41">
            <w:pPr>
              <w:pStyle w:val="Table"/>
              <w:rPr>
                <w:sz w:val="18"/>
              </w:rPr>
            </w:pPr>
          </w:p>
          <w:p w14:paraId="701D3840" w14:textId="77777777" w:rsidR="007F4A44" w:rsidRPr="00EC602C" w:rsidRDefault="007F4A44" w:rsidP="00805A41">
            <w:pPr>
              <w:pStyle w:val="Table"/>
              <w:rPr>
                <w:sz w:val="18"/>
              </w:rPr>
            </w:pPr>
            <w:r w:rsidRPr="00EC602C">
              <w:rPr>
                <w:sz w:val="18"/>
              </w:rPr>
              <w:t>Total PWS hours from above</w:t>
            </w:r>
          </w:p>
          <w:p w14:paraId="2C03DF7E" w14:textId="77777777" w:rsidR="007F4A44" w:rsidRPr="00EC602C" w:rsidRDefault="007F4A44" w:rsidP="00805A41">
            <w:pPr>
              <w:pStyle w:val="Table"/>
              <w:rPr>
                <w:sz w:val="18"/>
              </w:rPr>
            </w:pPr>
            <w:r w:rsidRPr="00EC602C">
              <w:rPr>
                <w:sz w:val="18"/>
              </w:rPr>
              <w:t>Total PWS from above</w:t>
            </w:r>
          </w:p>
        </w:tc>
      </w:tr>
      <w:tr w:rsidR="007F4A44" w:rsidRPr="00D44693" w14:paraId="5A720D8E" w14:textId="77777777" w:rsidTr="00805A41">
        <w:trPr>
          <w:jc w:val="center"/>
        </w:trPr>
        <w:tc>
          <w:tcPr>
            <w:tcW w:w="2592" w:type="dxa"/>
            <w:vAlign w:val="center"/>
          </w:tcPr>
          <w:p w14:paraId="77AFD7FB" w14:textId="4651C5F9" w:rsidR="007F4A44" w:rsidRPr="00EC602C" w:rsidRDefault="007F4A44" w:rsidP="00805A41">
            <w:pPr>
              <w:pStyle w:val="Table"/>
              <w:rPr>
                <w:sz w:val="18"/>
              </w:rPr>
            </w:pPr>
            <w:r w:rsidRPr="00EC602C">
              <w:rPr>
                <w:b/>
                <w:bCs/>
                <w:sz w:val="18"/>
              </w:rPr>
              <w:t xml:space="preserve">Hours per </w:t>
            </w:r>
            <w:r>
              <w:rPr>
                <w:b/>
                <w:bCs/>
                <w:sz w:val="18"/>
              </w:rPr>
              <w:t>Primacy Agency</w:t>
            </w:r>
            <w:r w:rsidRPr="00EC602C">
              <w:rPr>
                <w:b/>
                <w:bCs/>
                <w:sz w:val="18"/>
              </w:rPr>
              <w:t xml:space="preserve"> </w:t>
            </w:r>
          </w:p>
        </w:tc>
        <w:tc>
          <w:tcPr>
            <w:tcW w:w="2088" w:type="dxa"/>
            <w:vAlign w:val="center"/>
          </w:tcPr>
          <w:p w14:paraId="2FFDA176" w14:textId="1386C95A" w:rsidR="007F4A44" w:rsidRDefault="005E2E1A" w:rsidP="00805A41">
            <w:pPr>
              <w:pStyle w:val="Table"/>
              <w:jc w:val="right"/>
              <w:rPr>
                <w:sz w:val="18"/>
              </w:rPr>
            </w:pPr>
            <w:r w:rsidRPr="005E2E1A">
              <w:rPr>
                <w:b/>
                <w:sz w:val="18"/>
              </w:rPr>
              <w:t>8,675</w:t>
            </w:r>
            <w:r>
              <w:rPr>
                <w:b/>
                <w:sz w:val="18"/>
              </w:rPr>
              <w:t xml:space="preserve"> </w:t>
            </w:r>
            <w:r w:rsidR="007F4A44" w:rsidRPr="00BE162E">
              <w:rPr>
                <w:sz w:val="18"/>
              </w:rPr>
              <w:t xml:space="preserve">= </w:t>
            </w:r>
          </w:p>
          <w:p w14:paraId="58963112" w14:textId="77777777" w:rsidR="005E2E1A" w:rsidRDefault="005E2E1A" w:rsidP="00805A41">
            <w:pPr>
              <w:pStyle w:val="Table"/>
              <w:jc w:val="right"/>
              <w:rPr>
                <w:sz w:val="18"/>
              </w:rPr>
            </w:pPr>
            <w:r w:rsidRPr="005E2E1A">
              <w:rPr>
                <w:sz w:val="18"/>
              </w:rPr>
              <w:t>485,821</w:t>
            </w:r>
          </w:p>
          <w:p w14:paraId="05E0B6F0" w14:textId="14E564EC" w:rsidR="007F4A44" w:rsidRPr="00BE162E" w:rsidRDefault="007F4A44" w:rsidP="00805A41">
            <w:pPr>
              <w:pStyle w:val="Table"/>
              <w:jc w:val="right"/>
              <w:rPr>
                <w:sz w:val="18"/>
              </w:rPr>
            </w:pPr>
            <w:r w:rsidRPr="00BE162E">
              <w:rPr>
                <w:sz w:val="18"/>
              </w:rPr>
              <w:t>/56</w:t>
            </w:r>
          </w:p>
        </w:tc>
        <w:tc>
          <w:tcPr>
            <w:tcW w:w="2070" w:type="dxa"/>
            <w:vAlign w:val="center"/>
          </w:tcPr>
          <w:p w14:paraId="4D92575A" w14:textId="5AB939BA" w:rsidR="007F4A44" w:rsidRDefault="007F4A44" w:rsidP="00805A41">
            <w:pPr>
              <w:pStyle w:val="Table"/>
              <w:jc w:val="right"/>
              <w:rPr>
                <w:sz w:val="18"/>
              </w:rPr>
            </w:pPr>
            <w:r w:rsidRPr="007F4A44">
              <w:rPr>
                <w:b/>
                <w:sz w:val="18"/>
              </w:rPr>
              <w:t>9,075</w:t>
            </w:r>
            <w:r>
              <w:rPr>
                <w:b/>
                <w:sz w:val="18"/>
              </w:rPr>
              <w:t xml:space="preserve"> </w:t>
            </w:r>
            <w:r w:rsidRPr="00BE162E">
              <w:rPr>
                <w:sz w:val="18"/>
              </w:rPr>
              <w:t xml:space="preserve">= </w:t>
            </w:r>
          </w:p>
          <w:p w14:paraId="5A7DF90B" w14:textId="77777777" w:rsidR="007F4A44" w:rsidRDefault="007F4A44" w:rsidP="00805A41">
            <w:pPr>
              <w:pStyle w:val="Table"/>
              <w:jc w:val="right"/>
              <w:rPr>
                <w:sz w:val="18"/>
              </w:rPr>
            </w:pPr>
            <w:r w:rsidRPr="007F4A44">
              <w:rPr>
                <w:sz w:val="18"/>
              </w:rPr>
              <w:t>508,207</w:t>
            </w:r>
          </w:p>
          <w:p w14:paraId="67565751" w14:textId="2DC81488" w:rsidR="007F4A44" w:rsidRDefault="007F4A44" w:rsidP="00805A41">
            <w:pPr>
              <w:pStyle w:val="Table"/>
              <w:jc w:val="right"/>
              <w:rPr>
                <w:sz w:val="18"/>
              </w:rPr>
            </w:pPr>
            <w:r w:rsidRPr="00BE162E">
              <w:rPr>
                <w:sz w:val="18"/>
              </w:rPr>
              <w:t>/56</w:t>
            </w:r>
          </w:p>
        </w:tc>
        <w:tc>
          <w:tcPr>
            <w:tcW w:w="3618" w:type="dxa"/>
            <w:vAlign w:val="center"/>
          </w:tcPr>
          <w:p w14:paraId="18D6B961" w14:textId="3B813837" w:rsidR="007F4A44" w:rsidRDefault="007F4A44" w:rsidP="00805A41">
            <w:pPr>
              <w:pStyle w:val="Table"/>
              <w:rPr>
                <w:sz w:val="18"/>
              </w:rPr>
            </w:pPr>
          </w:p>
          <w:p w14:paraId="00928DD1" w14:textId="77777777" w:rsidR="007F4A44" w:rsidRPr="00EC602C" w:rsidRDefault="007F4A44" w:rsidP="00805A41">
            <w:pPr>
              <w:pStyle w:val="Table"/>
              <w:rPr>
                <w:sz w:val="18"/>
              </w:rPr>
            </w:pPr>
            <w:r w:rsidRPr="00EC602C">
              <w:rPr>
                <w:sz w:val="18"/>
              </w:rPr>
              <w:t xml:space="preserve">Total </w:t>
            </w:r>
            <w:r>
              <w:rPr>
                <w:sz w:val="18"/>
              </w:rPr>
              <w:t>primacy agency</w:t>
            </w:r>
            <w:r w:rsidRPr="00EC602C">
              <w:rPr>
                <w:sz w:val="18"/>
              </w:rPr>
              <w:t xml:space="preserve"> hours from above</w:t>
            </w:r>
          </w:p>
          <w:p w14:paraId="11573AA9" w14:textId="77777777" w:rsidR="007F4A44" w:rsidRPr="00EC602C" w:rsidRDefault="007F4A44" w:rsidP="00805A41">
            <w:pPr>
              <w:pStyle w:val="Table"/>
              <w:rPr>
                <w:sz w:val="18"/>
              </w:rPr>
            </w:pPr>
            <w:r w:rsidRPr="00EC602C">
              <w:rPr>
                <w:sz w:val="18"/>
              </w:rPr>
              <w:t xml:space="preserve">Total </w:t>
            </w:r>
            <w:r>
              <w:rPr>
                <w:sz w:val="18"/>
              </w:rPr>
              <w:t>primacy agencies</w:t>
            </w:r>
            <w:r w:rsidRPr="00EC602C">
              <w:rPr>
                <w:sz w:val="18"/>
              </w:rPr>
              <w:t xml:space="preserve"> from above</w:t>
            </w:r>
          </w:p>
        </w:tc>
      </w:tr>
      <w:tr w:rsidR="007F4A44" w:rsidRPr="00D44693" w14:paraId="62984C36" w14:textId="77777777" w:rsidTr="00805A41">
        <w:trPr>
          <w:jc w:val="center"/>
        </w:trPr>
        <w:tc>
          <w:tcPr>
            <w:tcW w:w="2592" w:type="dxa"/>
            <w:vAlign w:val="center"/>
          </w:tcPr>
          <w:p w14:paraId="647EF3B6" w14:textId="77777777" w:rsidR="007F4A44" w:rsidRPr="00EC602C" w:rsidRDefault="007F4A44" w:rsidP="00805A41">
            <w:pPr>
              <w:pStyle w:val="Table"/>
              <w:rPr>
                <w:sz w:val="18"/>
              </w:rPr>
            </w:pPr>
            <w:r w:rsidRPr="00EC602C">
              <w:rPr>
                <w:b/>
                <w:bCs/>
                <w:sz w:val="18"/>
              </w:rPr>
              <w:t>Total Respondent Cost</w:t>
            </w:r>
          </w:p>
        </w:tc>
        <w:tc>
          <w:tcPr>
            <w:tcW w:w="2088" w:type="dxa"/>
            <w:vAlign w:val="center"/>
          </w:tcPr>
          <w:p w14:paraId="75587DA8" w14:textId="7387A613" w:rsidR="007F4A44" w:rsidRDefault="005E2E1A" w:rsidP="00805A41">
            <w:pPr>
              <w:pStyle w:val="Table"/>
              <w:jc w:val="right"/>
              <w:rPr>
                <w:sz w:val="18"/>
              </w:rPr>
            </w:pPr>
            <w:r w:rsidRPr="005E2E1A">
              <w:rPr>
                <w:b/>
                <w:bCs/>
                <w:sz w:val="18"/>
              </w:rPr>
              <w:t>$96,200,711</w:t>
            </w:r>
            <w:r>
              <w:rPr>
                <w:b/>
                <w:bCs/>
                <w:sz w:val="18"/>
              </w:rPr>
              <w:t xml:space="preserve"> </w:t>
            </w:r>
            <w:r w:rsidR="007F4A44" w:rsidRPr="00BE162E">
              <w:rPr>
                <w:sz w:val="18"/>
              </w:rPr>
              <w:t>=</w:t>
            </w:r>
            <w:r w:rsidR="007F4A44">
              <w:rPr>
                <w:sz w:val="18"/>
              </w:rPr>
              <w:t xml:space="preserve">   </w:t>
            </w:r>
          </w:p>
          <w:p w14:paraId="45F117CB" w14:textId="77777777" w:rsidR="005E2E1A" w:rsidRDefault="005E2E1A" w:rsidP="00805A41">
            <w:pPr>
              <w:pStyle w:val="Table"/>
              <w:jc w:val="right"/>
              <w:rPr>
                <w:sz w:val="18"/>
              </w:rPr>
            </w:pPr>
            <w:r w:rsidRPr="005E2E1A">
              <w:rPr>
                <w:sz w:val="18"/>
              </w:rPr>
              <w:t>$68,392,317</w:t>
            </w:r>
          </w:p>
          <w:p w14:paraId="5B62992E" w14:textId="64664FB0" w:rsidR="007F4A44" w:rsidRPr="00BE162E" w:rsidRDefault="007F4A44" w:rsidP="00805A41">
            <w:pPr>
              <w:pStyle w:val="Table"/>
              <w:jc w:val="right"/>
              <w:rPr>
                <w:sz w:val="18"/>
              </w:rPr>
            </w:pPr>
            <w:r w:rsidRPr="00BE162E">
              <w:rPr>
                <w:sz w:val="18"/>
              </w:rPr>
              <w:t>+</w:t>
            </w:r>
            <w:r w:rsidR="005E2E1A" w:rsidRPr="005E2E1A">
              <w:rPr>
                <w:sz w:val="18"/>
              </w:rPr>
              <w:t>$27,808,394</w:t>
            </w:r>
          </w:p>
        </w:tc>
        <w:tc>
          <w:tcPr>
            <w:tcW w:w="2070" w:type="dxa"/>
            <w:vAlign w:val="center"/>
          </w:tcPr>
          <w:p w14:paraId="74EA9B15" w14:textId="0BC57DEC" w:rsidR="007F4A44" w:rsidRDefault="007F4A44" w:rsidP="00805A41">
            <w:pPr>
              <w:pStyle w:val="Table"/>
              <w:jc w:val="right"/>
              <w:rPr>
                <w:sz w:val="18"/>
              </w:rPr>
            </w:pPr>
            <w:r w:rsidRPr="007F4A44">
              <w:rPr>
                <w:b/>
                <w:bCs/>
                <w:sz w:val="18"/>
              </w:rPr>
              <w:t>$101,188,375</w:t>
            </w:r>
            <w:r>
              <w:rPr>
                <w:b/>
                <w:bCs/>
                <w:sz w:val="18"/>
              </w:rPr>
              <w:t xml:space="preserve"> </w:t>
            </w:r>
            <w:r w:rsidRPr="00BE162E">
              <w:rPr>
                <w:sz w:val="18"/>
              </w:rPr>
              <w:t>=</w:t>
            </w:r>
            <w:r>
              <w:rPr>
                <w:sz w:val="18"/>
              </w:rPr>
              <w:t xml:space="preserve">   </w:t>
            </w:r>
          </w:p>
          <w:p w14:paraId="3A5D9146" w14:textId="77777777" w:rsidR="007F4A44" w:rsidRDefault="007F4A44" w:rsidP="00805A41">
            <w:pPr>
              <w:pStyle w:val="Table"/>
              <w:jc w:val="right"/>
              <w:rPr>
                <w:sz w:val="18"/>
              </w:rPr>
            </w:pPr>
            <w:r w:rsidRPr="007F4A44">
              <w:rPr>
                <w:sz w:val="18"/>
              </w:rPr>
              <w:t>$72,098,606</w:t>
            </w:r>
          </w:p>
          <w:p w14:paraId="74FD2082" w14:textId="42E78B68" w:rsidR="007F4A44" w:rsidRPr="007F4A44" w:rsidRDefault="007F4A44" w:rsidP="00805A41">
            <w:pPr>
              <w:pStyle w:val="Table"/>
              <w:jc w:val="right"/>
              <w:rPr>
                <w:sz w:val="18"/>
              </w:rPr>
            </w:pPr>
            <w:r w:rsidRPr="00BE162E">
              <w:rPr>
                <w:sz w:val="18"/>
              </w:rPr>
              <w:t>+</w:t>
            </w:r>
            <w:r>
              <w:rPr>
                <w:color w:val="000000"/>
                <w:sz w:val="18"/>
                <w:szCs w:val="18"/>
              </w:rPr>
              <w:t xml:space="preserve">$29,089,769 </w:t>
            </w:r>
          </w:p>
        </w:tc>
        <w:tc>
          <w:tcPr>
            <w:tcW w:w="3618" w:type="dxa"/>
            <w:vAlign w:val="center"/>
          </w:tcPr>
          <w:p w14:paraId="709B73B1" w14:textId="7660A73F" w:rsidR="007F4A44" w:rsidRDefault="007F4A44" w:rsidP="00805A41">
            <w:pPr>
              <w:pStyle w:val="Table"/>
              <w:rPr>
                <w:sz w:val="18"/>
              </w:rPr>
            </w:pPr>
          </w:p>
          <w:p w14:paraId="16B2426B" w14:textId="77777777" w:rsidR="007F4A44" w:rsidRPr="00EC602C" w:rsidRDefault="007F4A44" w:rsidP="00805A41">
            <w:pPr>
              <w:pStyle w:val="Table"/>
              <w:rPr>
                <w:sz w:val="18"/>
              </w:rPr>
            </w:pPr>
            <w:r w:rsidRPr="00EC602C">
              <w:rPr>
                <w:sz w:val="18"/>
              </w:rPr>
              <w:t>Public water system costs</w:t>
            </w:r>
          </w:p>
          <w:p w14:paraId="4FAAB2C0" w14:textId="77777777" w:rsidR="007F4A44" w:rsidRPr="00EC602C" w:rsidRDefault="007F4A44" w:rsidP="00805A41">
            <w:pPr>
              <w:pStyle w:val="Table"/>
              <w:rPr>
                <w:sz w:val="18"/>
              </w:rPr>
            </w:pPr>
            <w:r>
              <w:rPr>
                <w:sz w:val="18"/>
              </w:rPr>
              <w:t>Primacy agency</w:t>
            </w:r>
            <w:r w:rsidRPr="00EC602C">
              <w:rPr>
                <w:sz w:val="18"/>
              </w:rPr>
              <w:t xml:space="preserve"> costs</w:t>
            </w:r>
          </w:p>
        </w:tc>
      </w:tr>
      <w:tr w:rsidR="007F4A44" w:rsidRPr="00D44693" w14:paraId="15F9E9C3" w14:textId="77777777" w:rsidTr="00805A41">
        <w:trPr>
          <w:jc w:val="center"/>
        </w:trPr>
        <w:tc>
          <w:tcPr>
            <w:tcW w:w="2592" w:type="dxa"/>
            <w:vAlign w:val="center"/>
          </w:tcPr>
          <w:p w14:paraId="07B09301" w14:textId="77777777" w:rsidR="007F4A44" w:rsidRPr="00EC602C" w:rsidRDefault="007F4A44" w:rsidP="00805A41">
            <w:pPr>
              <w:pStyle w:val="Table"/>
              <w:rPr>
                <w:b/>
                <w:sz w:val="18"/>
              </w:rPr>
            </w:pPr>
            <w:r>
              <w:rPr>
                <w:b/>
                <w:sz w:val="18"/>
              </w:rPr>
              <w:t xml:space="preserve">Average </w:t>
            </w:r>
            <w:r w:rsidRPr="00EC602C">
              <w:rPr>
                <w:b/>
                <w:sz w:val="18"/>
              </w:rPr>
              <w:t>Cost per System for Public Water Systems</w:t>
            </w:r>
          </w:p>
        </w:tc>
        <w:tc>
          <w:tcPr>
            <w:tcW w:w="2088" w:type="dxa"/>
            <w:vAlign w:val="center"/>
          </w:tcPr>
          <w:p w14:paraId="1C04499C" w14:textId="56866020" w:rsidR="007F4A44" w:rsidRDefault="005E2E1A" w:rsidP="00805A41">
            <w:pPr>
              <w:pStyle w:val="Table"/>
              <w:jc w:val="right"/>
              <w:rPr>
                <w:sz w:val="18"/>
              </w:rPr>
            </w:pPr>
            <w:r w:rsidRPr="005E2E1A">
              <w:rPr>
                <w:b/>
                <w:bCs/>
                <w:sz w:val="18"/>
              </w:rPr>
              <w:t>$1,010.88</w:t>
            </w:r>
            <w:r>
              <w:rPr>
                <w:b/>
                <w:bCs/>
                <w:sz w:val="18"/>
              </w:rPr>
              <w:t xml:space="preserve"> </w:t>
            </w:r>
            <w:r w:rsidR="007F4A44" w:rsidRPr="00EC602C">
              <w:rPr>
                <w:sz w:val="18"/>
              </w:rPr>
              <w:t xml:space="preserve">= </w:t>
            </w:r>
          </w:p>
          <w:p w14:paraId="034DD604" w14:textId="77777777" w:rsidR="005E2E1A" w:rsidRDefault="005E2E1A" w:rsidP="00805A41">
            <w:pPr>
              <w:pStyle w:val="Table"/>
              <w:jc w:val="right"/>
              <w:rPr>
                <w:sz w:val="18"/>
              </w:rPr>
            </w:pPr>
            <w:r w:rsidRPr="005E2E1A">
              <w:rPr>
                <w:sz w:val="18"/>
              </w:rPr>
              <w:t>$68,392,317</w:t>
            </w:r>
          </w:p>
          <w:p w14:paraId="72A195E3" w14:textId="5C17FAD1" w:rsidR="007F4A44" w:rsidRPr="00EC602C" w:rsidRDefault="007F4A44" w:rsidP="00805A41">
            <w:pPr>
              <w:pStyle w:val="Table"/>
              <w:jc w:val="right"/>
              <w:rPr>
                <w:b/>
                <w:bCs/>
                <w:sz w:val="18"/>
              </w:rPr>
            </w:pPr>
            <w:r w:rsidRPr="00EC602C">
              <w:rPr>
                <w:sz w:val="18"/>
              </w:rPr>
              <w:t>/67,656</w:t>
            </w:r>
          </w:p>
        </w:tc>
        <w:tc>
          <w:tcPr>
            <w:tcW w:w="2070" w:type="dxa"/>
            <w:vAlign w:val="center"/>
          </w:tcPr>
          <w:p w14:paraId="2D66F7B0" w14:textId="70774D2F" w:rsidR="007F4A44" w:rsidRDefault="007F4A44" w:rsidP="00805A41">
            <w:pPr>
              <w:pStyle w:val="Table"/>
              <w:jc w:val="right"/>
              <w:rPr>
                <w:sz w:val="18"/>
              </w:rPr>
            </w:pPr>
            <w:r w:rsidRPr="007F4A44">
              <w:rPr>
                <w:b/>
                <w:bCs/>
                <w:sz w:val="18"/>
              </w:rPr>
              <w:t>$1,065.66</w:t>
            </w:r>
            <w:r>
              <w:rPr>
                <w:b/>
                <w:bCs/>
                <w:sz w:val="18"/>
              </w:rPr>
              <w:t xml:space="preserve"> </w:t>
            </w:r>
            <w:r w:rsidRPr="00EC602C">
              <w:rPr>
                <w:sz w:val="18"/>
              </w:rPr>
              <w:t xml:space="preserve">= </w:t>
            </w:r>
          </w:p>
          <w:p w14:paraId="1B61B5ED" w14:textId="77777777" w:rsidR="007F4A44" w:rsidRDefault="007F4A44" w:rsidP="00805A41">
            <w:pPr>
              <w:pStyle w:val="Table"/>
              <w:jc w:val="right"/>
              <w:rPr>
                <w:sz w:val="18"/>
              </w:rPr>
            </w:pPr>
            <w:r w:rsidRPr="007F4A44">
              <w:rPr>
                <w:sz w:val="18"/>
              </w:rPr>
              <w:t>$72,098,606</w:t>
            </w:r>
          </w:p>
          <w:p w14:paraId="60B5BD4C" w14:textId="0E8CFB93" w:rsidR="007F4A44" w:rsidRDefault="007F4A44" w:rsidP="00805A41">
            <w:pPr>
              <w:pStyle w:val="Table"/>
              <w:jc w:val="right"/>
              <w:rPr>
                <w:sz w:val="18"/>
              </w:rPr>
            </w:pPr>
            <w:r w:rsidRPr="00EC602C">
              <w:rPr>
                <w:sz w:val="18"/>
              </w:rPr>
              <w:t>/67,656</w:t>
            </w:r>
          </w:p>
        </w:tc>
        <w:tc>
          <w:tcPr>
            <w:tcW w:w="3618" w:type="dxa"/>
            <w:vAlign w:val="center"/>
          </w:tcPr>
          <w:p w14:paraId="3C001FAC" w14:textId="2DD5088C" w:rsidR="007F4A44" w:rsidRDefault="007F4A44" w:rsidP="00805A41">
            <w:pPr>
              <w:pStyle w:val="Table"/>
              <w:rPr>
                <w:sz w:val="18"/>
              </w:rPr>
            </w:pPr>
          </w:p>
          <w:p w14:paraId="6BCBED36" w14:textId="77777777" w:rsidR="007F4A44" w:rsidRPr="00EC602C" w:rsidRDefault="007F4A44" w:rsidP="00805A41">
            <w:pPr>
              <w:pStyle w:val="Table"/>
              <w:rPr>
                <w:sz w:val="18"/>
              </w:rPr>
            </w:pPr>
            <w:r w:rsidRPr="00EC602C">
              <w:rPr>
                <w:sz w:val="18"/>
              </w:rPr>
              <w:t>Total PWS costs from above</w:t>
            </w:r>
          </w:p>
          <w:p w14:paraId="095827C2" w14:textId="77777777" w:rsidR="007F4A44" w:rsidRPr="00EC602C" w:rsidRDefault="007F4A44" w:rsidP="00805A41">
            <w:pPr>
              <w:pStyle w:val="Table"/>
              <w:rPr>
                <w:sz w:val="18"/>
              </w:rPr>
            </w:pPr>
            <w:r w:rsidRPr="00EC602C">
              <w:rPr>
                <w:sz w:val="18"/>
              </w:rPr>
              <w:t>Total PWS from above</w:t>
            </w:r>
          </w:p>
        </w:tc>
      </w:tr>
      <w:tr w:rsidR="007F4A44" w:rsidRPr="00D44693" w14:paraId="51870149" w14:textId="77777777" w:rsidTr="00805A41">
        <w:trPr>
          <w:trHeight w:val="703"/>
          <w:jc w:val="center"/>
        </w:trPr>
        <w:tc>
          <w:tcPr>
            <w:tcW w:w="2592" w:type="dxa"/>
            <w:vAlign w:val="center"/>
          </w:tcPr>
          <w:p w14:paraId="2F899EBB" w14:textId="2436AF2E" w:rsidR="007F4A44" w:rsidRPr="00EC602C" w:rsidRDefault="007F4A44" w:rsidP="00805A41">
            <w:pPr>
              <w:pStyle w:val="Table"/>
              <w:rPr>
                <w:b/>
                <w:sz w:val="18"/>
              </w:rPr>
            </w:pPr>
            <w:r>
              <w:rPr>
                <w:b/>
                <w:sz w:val="18"/>
              </w:rPr>
              <w:t xml:space="preserve">Average </w:t>
            </w:r>
            <w:r w:rsidRPr="00EC602C">
              <w:rPr>
                <w:b/>
                <w:sz w:val="18"/>
              </w:rPr>
              <w:t xml:space="preserve">Cost per </w:t>
            </w:r>
            <w:r>
              <w:rPr>
                <w:b/>
                <w:sz w:val="18"/>
              </w:rPr>
              <w:t>Primacy Agency</w:t>
            </w:r>
            <w:r w:rsidRPr="00EC602C">
              <w:rPr>
                <w:b/>
                <w:sz w:val="18"/>
              </w:rPr>
              <w:t xml:space="preserve"> </w:t>
            </w:r>
          </w:p>
        </w:tc>
        <w:tc>
          <w:tcPr>
            <w:tcW w:w="2088" w:type="dxa"/>
            <w:vAlign w:val="center"/>
          </w:tcPr>
          <w:p w14:paraId="4D9B2AF3" w14:textId="5F778411" w:rsidR="007F4A44" w:rsidRDefault="005E2E1A" w:rsidP="00805A41">
            <w:pPr>
              <w:pStyle w:val="Table"/>
              <w:jc w:val="right"/>
              <w:rPr>
                <w:sz w:val="18"/>
              </w:rPr>
            </w:pPr>
            <w:r w:rsidRPr="005E2E1A">
              <w:rPr>
                <w:b/>
                <w:bCs/>
                <w:sz w:val="18"/>
              </w:rPr>
              <w:t xml:space="preserve">$496,578 </w:t>
            </w:r>
            <w:r w:rsidR="007F4A44" w:rsidRPr="00EC602C">
              <w:rPr>
                <w:sz w:val="18"/>
              </w:rPr>
              <w:t>=</w:t>
            </w:r>
            <w:r w:rsidR="007F4A44">
              <w:rPr>
                <w:sz w:val="18"/>
              </w:rPr>
              <w:t xml:space="preserve"> </w:t>
            </w:r>
          </w:p>
          <w:p w14:paraId="0FE3D0CC" w14:textId="77777777" w:rsidR="005E2E1A" w:rsidRDefault="005E2E1A" w:rsidP="00805A41">
            <w:pPr>
              <w:pStyle w:val="Table"/>
              <w:jc w:val="right"/>
              <w:rPr>
                <w:sz w:val="18"/>
              </w:rPr>
            </w:pPr>
            <w:r w:rsidRPr="005E2E1A">
              <w:rPr>
                <w:sz w:val="18"/>
              </w:rPr>
              <w:t>27,808,394</w:t>
            </w:r>
          </w:p>
          <w:p w14:paraId="1D836E7B" w14:textId="31CDD4B0" w:rsidR="007F4A44" w:rsidRPr="00EC602C" w:rsidRDefault="007F4A44" w:rsidP="00805A41">
            <w:pPr>
              <w:pStyle w:val="Table"/>
              <w:jc w:val="right"/>
              <w:rPr>
                <w:b/>
                <w:bCs/>
                <w:sz w:val="18"/>
              </w:rPr>
            </w:pPr>
            <w:r w:rsidRPr="00EC602C">
              <w:rPr>
                <w:sz w:val="18"/>
              </w:rPr>
              <w:t>/56</w:t>
            </w:r>
          </w:p>
        </w:tc>
        <w:tc>
          <w:tcPr>
            <w:tcW w:w="2070" w:type="dxa"/>
            <w:vAlign w:val="center"/>
          </w:tcPr>
          <w:p w14:paraId="79534FBC" w14:textId="74030093" w:rsidR="007F4A44" w:rsidRDefault="007F4A44" w:rsidP="00805A41">
            <w:pPr>
              <w:pStyle w:val="Table"/>
              <w:jc w:val="right"/>
              <w:rPr>
                <w:sz w:val="18"/>
              </w:rPr>
            </w:pPr>
            <w:r w:rsidRPr="007F4A44">
              <w:rPr>
                <w:b/>
                <w:bCs/>
                <w:sz w:val="18"/>
              </w:rPr>
              <w:t xml:space="preserve">$519,460 </w:t>
            </w:r>
            <w:r w:rsidRPr="00EC602C">
              <w:rPr>
                <w:sz w:val="18"/>
              </w:rPr>
              <w:t>=</w:t>
            </w:r>
            <w:r>
              <w:rPr>
                <w:sz w:val="18"/>
              </w:rPr>
              <w:t xml:space="preserve"> </w:t>
            </w:r>
          </w:p>
          <w:p w14:paraId="37B9A4B7" w14:textId="77777777" w:rsidR="007F4A44" w:rsidRDefault="007F4A44" w:rsidP="00805A41">
            <w:pPr>
              <w:pStyle w:val="Table"/>
              <w:jc w:val="right"/>
              <w:rPr>
                <w:sz w:val="18"/>
              </w:rPr>
            </w:pPr>
            <w:r w:rsidRPr="007F4A44">
              <w:rPr>
                <w:sz w:val="18"/>
              </w:rPr>
              <w:t>29,089,769</w:t>
            </w:r>
          </w:p>
          <w:p w14:paraId="2B962B8B" w14:textId="67F0C7BC" w:rsidR="007F4A44" w:rsidRDefault="007F4A44" w:rsidP="00805A41">
            <w:pPr>
              <w:pStyle w:val="Table"/>
              <w:jc w:val="right"/>
              <w:rPr>
                <w:sz w:val="18"/>
              </w:rPr>
            </w:pPr>
            <w:r w:rsidRPr="00EC602C">
              <w:rPr>
                <w:sz w:val="18"/>
              </w:rPr>
              <w:t>/56</w:t>
            </w:r>
          </w:p>
        </w:tc>
        <w:tc>
          <w:tcPr>
            <w:tcW w:w="3618" w:type="dxa"/>
            <w:vAlign w:val="center"/>
          </w:tcPr>
          <w:p w14:paraId="56321FE0" w14:textId="372BEFAA" w:rsidR="007F4A44" w:rsidRDefault="007F4A44" w:rsidP="00805A41">
            <w:pPr>
              <w:pStyle w:val="Table"/>
              <w:rPr>
                <w:sz w:val="18"/>
              </w:rPr>
            </w:pPr>
          </w:p>
          <w:p w14:paraId="5BFDC13F" w14:textId="77777777" w:rsidR="007F4A44" w:rsidRPr="00EC602C" w:rsidRDefault="007F4A44" w:rsidP="00805A41">
            <w:pPr>
              <w:pStyle w:val="Table"/>
              <w:rPr>
                <w:sz w:val="18"/>
              </w:rPr>
            </w:pPr>
            <w:r w:rsidRPr="00EC602C">
              <w:rPr>
                <w:sz w:val="18"/>
              </w:rPr>
              <w:t xml:space="preserve">Total </w:t>
            </w:r>
            <w:r>
              <w:rPr>
                <w:sz w:val="18"/>
              </w:rPr>
              <w:t>primacy agency</w:t>
            </w:r>
            <w:r w:rsidRPr="00EC602C">
              <w:rPr>
                <w:sz w:val="18"/>
              </w:rPr>
              <w:t xml:space="preserve"> costs from above</w:t>
            </w:r>
          </w:p>
          <w:p w14:paraId="30EB64CE" w14:textId="77777777" w:rsidR="007F4A44" w:rsidRPr="00EC602C" w:rsidRDefault="007F4A44" w:rsidP="00805A41">
            <w:pPr>
              <w:pStyle w:val="Table"/>
              <w:rPr>
                <w:sz w:val="18"/>
              </w:rPr>
            </w:pPr>
            <w:r w:rsidRPr="00EC602C">
              <w:rPr>
                <w:sz w:val="18"/>
              </w:rPr>
              <w:t xml:space="preserve">Total </w:t>
            </w:r>
            <w:r>
              <w:rPr>
                <w:sz w:val="18"/>
              </w:rPr>
              <w:t>primacy agencies</w:t>
            </w:r>
            <w:r w:rsidRPr="00EC602C">
              <w:rPr>
                <w:sz w:val="18"/>
              </w:rPr>
              <w:t xml:space="preserve"> from above</w:t>
            </w:r>
          </w:p>
        </w:tc>
      </w:tr>
    </w:tbl>
    <w:p w14:paraId="43492E2D" w14:textId="77777777" w:rsidR="00DE2EB8" w:rsidRDefault="00DE2EB8" w:rsidP="004A1618">
      <w:pPr>
        <w:pStyle w:val="TableNote"/>
      </w:pPr>
      <w:r>
        <w:t>Note: Detail may not add exactly to total due to independent rounding</w:t>
      </w:r>
      <w:r w:rsidR="00663BE6">
        <w:t xml:space="preserve">. </w:t>
      </w:r>
    </w:p>
    <w:p w14:paraId="697D5A53" w14:textId="77777777" w:rsidR="0004562C" w:rsidRDefault="0004562C" w:rsidP="004B66B9">
      <w:pPr>
        <w:pStyle w:val="Heading3"/>
      </w:pPr>
      <w:bookmarkStart w:id="144" w:name="_Toc160872078"/>
      <w:bookmarkStart w:id="145" w:name="_Toc23138996"/>
      <w:bookmarkStart w:id="146" w:name="_Toc23139141"/>
      <w:r>
        <w:t>6</w:t>
      </w:r>
      <w:r w:rsidR="00B174B7">
        <w:t>(</w:t>
      </w:r>
      <w:r>
        <w:t>e</w:t>
      </w:r>
      <w:r w:rsidR="00B174B7">
        <w:t>)</w:t>
      </w:r>
      <w:r>
        <w:t>(i)</w:t>
      </w:r>
      <w:r>
        <w:tab/>
        <w:t>Respondent</w:t>
      </w:r>
      <w:bookmarkEnd w:id="144"/>
      <w:r w:rsidR="00B174B7">
        <w:t xml:space="preserve"> Tally</w:t>
      </w:r>
      <w:bookmarkEnd w:id="145"/>
      <w:bookmarkEnd w:id="146"/>
    </w:p>
    <w:p w14:paraId="7874F028" w14:textId="24CD3845" w:rsidR="00E279AE" w:rsidRDefault="00E279AE" w:rsidP="00E279AE">
      <w:pPr>
        <w:pStyle w:val="NormalIndent"/>
      </w:pPr>
      <w:bookmarkStart w:id="147" w:name="_Toc160872079"/>
      <w:r>
        <w:t xml:space="preserve">For the first three years after the final rule </w:t>
      </w:r>
      <w:r w:rsidRPr="0027631A">
        <w:t>is</w:t>
      </w:r>
      <w:r>
        <w:t xml:space="preserve"> published</w:t>
      </w:r>
      <w:r w:rsidRPr="00847F36">
        <w:t xml:space="preserve">, </w:t>
      </w:r>
      <w:r>
        <w:t xml:space="preserve">the average burden associated with this ICR is estimated to be </w:t>
      </w:r>
      <w:r>
        <w:rPr>
          <w:szCs w:val="24"/>
        </w:rPr>
        <w:t xml:space="preserve">906,985 to </w:t>
      </w:r>
      <w:r w:rsidRPr="005E2E1A">
        <w:rPr>
          <w:szCs w:val="24"/>
        </w:rPr>
        <w:t xml:space="preserve">951,722 </w:t>
      </w:r>
      <w:r>
        <w:t>burden hours per year</w:t>
      </w:r>
      <w:r w:rsidR="00AB13A1">
        <w:t xml:space="preserve">. </w:t>
      </w:r>
      <w:r>
        <w:t>The corresponding average total respondent costs are estimated to be</w:t>
      </w:r>
      <w:r>
        <w:rPr>
          <w:szCs w:val="24"/>
        </w:rPr>
        <w:t xml:space="preserve"> $32,066,904 to </w:t>
      </w:r>
      <w:r w:rsidRPr="005E2E1A">
        <w:rPr>
          <w:szCs w:val="24"/>
        </w:rPr>
        <w:t xml:space="preserve">$33,729,458 </w:t>
      </w:r>
      <w:r>
        <w:rPr>
          <w:szCs w:val="24"/>
        </w:rPr>
        <w:t>per year</w:t>
      </w:r>
      <w:r>
        <w:t xml:space="preserve">. </w:t>
      </w:r>
      <w:r w:rsidR="00AB13A1">
        <w:t xml:space="preserve">The ranges reflect estimates for the low cost and high cost scenarios described in </w:t>
      </w:r>
      <w:r w:rsidR="00C45A4F">
        <w:t>Section 1(b).</w:t>
      </w:r>
    </w:p>
    <w:p w14:paraId="392E3614" w14:textId="54C11C41" w:rsidR="00E279AE" w:rsidRDefault="00E279AE" w:rsidP="00E279AE">
      <w:pPr>
        <w:pStyle w:val="NormalIndent"/>
      </w:pPr>
      <w:r>
        <w:t xml:space="preserve">The </w:t>
      </w:r>
      <w:r w:rsidRPr="00663BE6">
        <w:t xml:space="preserve">EPA estimates the </w:t>
      </w:r>
      <w:r>
        <w:t xml:space="preserve">average </w:t>
      </w:r>
      <w:r w:rsidRPr="00663BE6">
        <w:t xml:space="preserve">respondent burden for PWSs to be </w:t>
      </w:r>
      <w:r>
        <w:rPr>
          <w:szCs w:val="24"/>
        </w:rPr>
        <w:t xml:space="preserve">745,045 to </w:t>
      </w:r>
      <w:r w:rsidRPr="005E2E1A">
        <w:rPr>
          <w:szCs w:val="24"/>
        </w:rPr>
        <w:t xml:space="preserve">782,320 </w:t>
      </w:r>
      <w:r w:rsidRPr="00663BE6">
        <w:t>hours</w:t>
      </w:r>
      <w:r>
        <w:t xml:space="preserve"> per year</w:t>
      </w:r>
      <w:r w:rsidRPr="00663BE6">
        <w:t>.</w:t>
      </w:r>
      <w:r>
        <w:t xml:space="preserve"> </w:t>
      </w:r>
      <w:r w:rsidRPr="00663BE6">
        <w:t>Respondent costs for PWSs are estimated to be</w:t>
      </w:r>
      <w:r>
        <w:t xml:space="preserve"> </w:t>
      </w:r>
      <w:r>
        <w:rPr>
          <w:szCs w:val="24"/>
        </w:rPr>
        <w:t xml:space="preserve">$22,797,439 to </w:t>
      </w:r>
      <w:r w:rsidRPr="005E2E1A">
        <w:rPr>
          <w:szCs w:val="24"/>
        </w:rPr>
        <w:t xml:space="preserve">$24,032,869 </w:t>
      </w:r>
      <w:r>
        <w:rPr>
          <w:szCs w:val="24"/>
        </w:rPr>
        <w:t>per year</w:t>
      </w:r>
      <w:r>
        <w:t xml:space="preserve">. </w:t>
      </w:r>
      <w:r w:rsidRPr="00663BE6">
        <w:t xml:space="preserve">The Agency estimates that the burden for </w:t>
      </w:r>
      <w:r>
        <w:t>primacy agencies is</w:t>
      </w:r>
      <w:r>
        <w:rPr>
          <w:szCs w:val="24"/>
        </w:rPr>
        <w:t xml:space="preserve"> 161,940 to 169,402 </w:t>
      </w:r>
      <w:r w:rsidRPr="00663BE6">
        <w:t>hours</w:t>
      </w:r>
      <w:r>
        <w:t xml:space="preserve"> per year. </w:t>
      </w:r>
      <w:r w:rsidRPr="00663BE6">
        <w:t xml:space="preserve">The corresponding costs for </w:t>
      </w:r>
      <w:r>
        <w:t>primacy agencies</w:t>
      </w:r>
      <w:r w:rsidRPr="00663BE6">
        <w:t xml:space="preserve"> are estimated to be</w:t>
      </w:r>
      <w:r>
        <w:t xml:space="preserve"> $9,269,465 to </w:t>
      </w:r>
      <w:r w:rsidRPr="005E2E1A">
        <w:t xml:space="preserve">$9,696,590 </w:t>
      </w:r>
      <w:r>
        <w:t>per year</w:t>
      </w:r>
      <w:r w:rsidR="00746316">
        <w:t xml:space="preserve">. </w:t>
      </w:r>
      <w:r>
        <w:t xml:space="preserve"> </w:t>
      </w:r>
    </w:p>
    <w:p w14:paraId="12900364" w14:textId="17771877" w:rsidR="0004562C" w:rsidRDefault="0004562C" w:rsidP="00040DBE">
      <w:pPr>
        <w:pStyle w:val="Heading3"/>
      </w:pPr>
      <w:bookmarkStart w:id="148" w:name="_Toc23138997"/>
      <w:bookmarkStart w:id="149" w:name="_Toc23139142"/>
      <w:r>
        <w:t>6</w:t>
      </w:r>
      <w:r w:rsidR="00B174B7">
        <w:t>(</w:t>
      </w:r>
      <w:r>
        <w:t>e</w:t>
      </w:r>
      <w:r w:rsidR="00B174B7">
        <w:t>)</w:t>
      </w:r>
      <w:r>
        <w:t>(ii)</w:t>
      </w:r>
      <w:r>
        <w:tab/>
      </w:r>
      <w:r w:rsidR="00B174B7">
        <w:t>The</w:t>
      </w:r>
      <w:r>
        <w:t xml:space="preserve"> Agency</w:t>
      </w:r>
      <w:bookmarkEnd w:id="147"/>
      <w:r w:rsidR="00B174B7">
        <w:t xml:space="preserve"> Tally</w:t>
      </w:r>
      <w:bookmarkEnd w:id="148"/>
      <w:bookmarkEnd w:id="149"/>
    </w:p>
    <w:p w14:paraId="39DEBDAA" w14:textId="523291D6" w:rsidR="000B17BF" w:rsidRDefault="00093747" w:rsidP="00EC602C">
      <w:pPr>
        <w:pStyle w:val="NormalIndent"/>
      </w:pPr>
      <w:r>
        <w:t>As noted in section 6 (c), t</w:t>
      </w:r>
      <w:r w:rsidRPr="00093747">
        <w:t xml:space="preserve">he EPA burden and costs for on-going regulatory development and support activities for all EPA drinking water regulations are accounted for under the </w:t>
      </w:r>
      <w:r>
        <w:t>PWS</w:t>
      </w:r>
      <w:r w:rsidRPr="00093747">
        <w:t xml:space="preserve"> Supervision Program ICR</w:t>
      </w:r>
      <w:r w:rsidR="00746316">
        <w:t xml:space="preserve">. </w:t>
      </w:r>
      <w:r>
        <w:t>Therefore, t</w:t>
      </w:r>
      <w:r w:rsidRPr="00093747">
        <w:t>his proposed rule does not create any additional Agency burden beyond that which is already described in the latest version of the PWS Supervision Program ICR (OMB control number 2040-0090, EPA ID 1895.10).</w:t>
      </w:r>
      <w:r w:rsidDel="00F32B41">
        <w:t xml:space="preserve"> </w:t>
      </w:r>
    </w:p>
    <w:p w14:paraId="311EEE49" w14:textId="77777777" w:rsidR="00834729" w:rsidRDefault="00834729" w:rsidP="00834729">
      <w:pPr>
        <w:pStyle w:val="Heading3"/>
      </w:pPr>
      <w:bookmarkStart w:id="150" w:name="_Toc23138998"/>
      <w:bookmarkStart w:id="151" w:name="_Toc23139143"/>
      <w:r>
        <w:t>6(e)(iii)</w:t>
      </w:r>
      <w:r>
        <w:tab/>
        <w:t>Variations in the Annual Bottom Line</w:t>
      </w:r>
      <w:bookmarkEnd w:id="150"/>
      <w:bookmarkEnd w:id="151"/>
    </w:p>
    <w:p w14:paraId="0AA843F5" w14:textId="7BCDCB9F" w:rsidR="00834729" w:rsidRDefault="00E62E42" w:rsidP="00834729">
      <w:pPr>
        <w:pStyle w:val="NormalIndent"/>
      </w:pPr>
      <w:r>
        <w:t xml:space="preserve">The </w:t>
      </w:r>
      <w:r w:rsidR="00E96D39">
        <w:t xml:space="preserve">EPA assumes the rule implementation and startup activities will take place in the first year, while the implementation of the LSL inventory </w:t>
      </w:r>
      <w:r w:rsidR="00B46EAD">
        <w:t>and demonstrations requirements and review are</w:t>
      </w:r>
      <w:r w:rsidR="00E96D39">
        <w:t xml:space="preserve"> distributed </w:t>
      </w:r>
      <w:r w:rsidR="00B46EAD">
        <w:t xml:space="preserve">uniformly </w:t>
      </w:r>
      <w:r w:rsidR="00E96D39">
        <w:t>over the first three years.</w:t>
      </w:r>
      <w:r w:rsidR="009F22A6">
        <w:t xml:space="preserve"> </w:t>
      </w:r>
      <w:r w:rsidR="009F22A6" w:rsidRPr="00DD45C1">
        <w:rPr>
          <w:b/>
        </w:rPr>
        <w:fldChar w:fldCharType="begin"/>
      </w:r>
      <w:r w:rsidR="009F22A6" w:rsidRPr="00DD45C1">
        <w:rPr>
          <w:b/>
        </w:rPr>
        <w:instrText xml:space="preserve"> REF _Ref4740504 \h </w:instrText>
      </w:r>
      <w:r w:rsidR="00DD45C1">
        <w:rPr>
          <w:b/>
        </w:rPr>
        <w:instrText xml:space="preserve"> \* MERGEFORMAT </w:instrText>
      </w:r>
      <w:r w:rsidR="009F22A6" w:rsidRPr="00DD45C1">
        <w:rPr>
          <w:b/>
        </w:rPr>
      </w:r>
      <w:r w:rsidR="009F22A6" w:rsidRPr="00DD45C1">
        <w:rPr>
          <w:b/>
        </w:rPr>
        <w:fldChar w:fldCharType="separate"/>
      </w:r>
      <w:r w:rsidR="007A79EF" w:rsidRPr="007A79EF">
        <w:rPr>
          <w:b/>
        </w:rPr>
        <w:t xml:space="preserve">Exhibit </w:t>
      </w:r>
      <w:r w:rsidR="007A79EF" w:rsidRPr="007A79EF">
        <w:rPr>
          <w:b/>
          <w:noProof/>
        </w:rPr>
        <w:t>12</w:t>
      </w:r>
      <w:r w:rsidR="009F22A6" w:rsidRPr="00DD45C1">
        <w:rPr>
          <w:b/>
        </w:rPr>
        <w:fldChar w:fldCharType="end"/>
      </w:r>
      <w:r w:rsidR="009F22A6">
        <w:t xml:space="preserve"> </w:t>
      </w:r>
      <w:r w:rsidR="00C5374C">
        <w:t xml:space="preserve">and </w:t>
      </w:r>
      <w:r w:rsidR="00C5374C" w:rsidRPr="00DD45C1">
        <w:rPr>
          <w:b/>
        </w:rPr>
        <w:fldChar w:fldCharType="begin"/>
      </w:r>
      <w:r w:rsidR="00C5374C" w:rsidRPr="00DD45C1">
        <w:rPr>
          <w:b/>
        </w:rPr>
        <w:instrText xml:space="preserve"> REF _Ref4742203 \h </w:instrText>
      </w:r>
      <w:r w:rsidR="00DD45C1">
        <w:rPr>
          <w:b/>
        </w:rPr>
        <w:instrText xml:space="preserve"> \* MERGEFORMAT </w:instrText>
      </w:r>
      <w:r w:rsidR="00C5374C" w:rsidRPr="00DD45C1">
        <w:rPr>
          <w:b/>
        </w:rPr>
      </w:r>
      <w:r w:rsidR="00C5374C" w:rsidRPr="00DD45C1">
        <w:rPr>
          <w:b/>
        </w:rPr>
        <w:fldChar w:fldCharType="separate"/>
      </w:r>
      <w:r w:rsidR="007A79EF" w:rsidRPr="007A79EF">
        <w:rPr>
          <w:b/>
        </w:rPr>
        <w:t xml:space="preserve">Exhibit </w:t>
      </w:r>
      <w:r w:rsidR="007A79EF" w:rsidRPr="007A79EF">
        <w:rPr>
          <w:b/>
          <w:noProof/>
        </w:rPr>
        <w:t>13</w:t>
      </w:r>
      <w:r w:rsidR="00C5374C" w:rsidRPr="00DD45C1">
        <w:rPr>
          <w:b/>
        </w:rPr>
        <w:fldChar w:fldCharType="end"/>
      </w:r>
      <w:r w:rsidR="00C5374C">
        <w:t xml:space="preserve"> show</w:t>
      </w:r>
      <w:r w:rsidR="009F22A6">
        <w:t xml:space="preserve"> the resulting </w:t>
      </w:r>
      <w:r w:rsidR="00C5374C">
        <w:t>distribution of burden and cost, respectively</w:t>
      </w:r>
      <w:r w:rsidR="009F22A6">
        <w:t>.</w:t>
      </w:r>
    </w:p>
    <w:p w14:paraId="7443D4E2" w14:textId="3F1DD312" w:rsidR="009F22A6" w:rsidRDefault="009F22A6" w:rsidP="009F22A6">
      <w:pPr>
        <w:pStyle w:val="Caption"/>
        <w:rPr>
          <w:noProof/>
        </w:rPr>
      </w:pPr>
      <w:bookmarkStart w:id="152" w:name="_Ref4740504"/>
      <w:bookmarkStart w:id="153" w:name="_Toc23139301"/>
      <w:r>
        <w:t xml:space="preserve">Exhibit </w:t>
      </w:r>
      <w:r>
        <w:rPr>
          <w:noProof/>
        </w:rPr>
        <w:fldChar w:fldCharType="begin"/>
      </w:r>
      <w:r>
        <w:rPr>
          <w:noProof/>
        </w:rPr>
        <w:instrText xml:space="preserve"> SEQ Exhibit \* ARABIC </w:instrText>
      </w:r>
      <w:r>
        <w:rPr>
          <w:noProof/>
        </w:rPr>
        <w:fldChar w:fldCharType="separate"/>
      </w:r>
      <w:r w:rsidR="007A79EF">
        <w:rPr>
          <w:noProof/>
        </w:rPr>
        <w:t>12</w:t>
      </w:r>
      <w:r>
        <w:rPr>
          <w:noProof/>
        </w:rPr>
        <w:fldChar w:fldCharType="end"/>
      </w:r>
      <w:bookmarkEnd w:id="152"/>
      <w:r>
        <w:rPr>
          <w:noProof/>
        </w:rPr>
        <w:t xml:space="preserve">. </w:t>
      </w:r>
      <w:r w:rsidR="009F7A5C">
        <w:rPr>
          <w:noProof/>
        </w:rPr>
        <w:t xml:space="preserve">Annual </w:t>
      </w:r>
      <w:r>
        <w:rPr>
          <w:noProof/>
        </w:rPr>
        <w:t xml:space="preserve">Distribution of </w:t>
      </w:r>
      <w:r w:rsidRPr="00A251BF">
        <w:rPr>
          <w:noProof/>
        </w:rPr>
        <w:t xml:space="preserve">Burden </w:t>
      </w:r>
      <w:r>
        <w:rPr>
          <w:noProof/>
        </w:rPr>
        <w:t>over the ICR Period</w:t>
      </w:r>
      <w:bookmarkEnd w:id="153"/>
    </w:p>
    <w:tbl>
      <w:tblPr>
        <w:tblStyle w:val="TableGrid"/>
        <w:tblW w:w="9977" w:type="dxa"/>
        <w:tblLayout w:type="fixed"/>
        <w:tblLook w:val="04A0" w:firstRow="1" w:lastRow="0" w:firstColumn="1" w:lastColumn="0" w:noHBand="0" w:noVBand="1"/>
      </w:tblPr>
      <w:tblGrid>
        <w:gridCol w:w="3685"/>
        <w:gridCol w:w="1170"/>
        <w:gridCol w:w="990"/>
        <w:gridCol w:w="990"/>
        <w:gridCol w:w="1033"/>
        <w:gridCol w:w="990"/>
        <w:gridCol w:w="1119"/>
      </w:tblGrid>
      <w:tr w:rsidR="00011D83" w:rsidRPr="00A04EFB" w14:paraId="05A16B9D" w14:textId="77777777" w:rsidTr="00940C93">
        <w:trPr>
          <w:trHeight w:val="300"/>
          <w:tblHeader/>
        </w:trPr>
        <w:tc>
          <w:tcPr>
            <w:tcW w:w="3685" w:type="dxa"/>
            <w:vMerge w:val="restart"/>
            <w:vAlign w:val="center"/>
          </w:tcPr>
          <w:p w14:paraId="5EBD15D7" w14:textId="38C42FD9" w:rsidR="00011D83" w:rsidRPr="00A04EFB" w:rsidRDefault="00011D83" w:rsidP="00011D83">
            <w:pPr>
              <w:pStyle w:val="Table"/>
              <w:jc w:val="center"/>
              <w:rPr>
                <w:b/>
                <w:sz w:val="18"/>
              </w:rPr>
            </w:pPr>
            <w:r w:rsidRPr="00A04EFB">
              <w:rPr>
                <w:b/>
                <w:sz w:val="18"/>
              </w:rPr>
              <w:t>Requirement</w:t>
            </w:r>
          </w:p>
        </w:tc>
        <w:tc>
          <w:tcPr>
            <w:tcW w:w="3150" w:type="dxa"/>
            <w:gridSpan w:val="3"/>
            <w:vAlign w:val="center"/>
          </w:tcPr>
          <w:p w14:paraId="1472C5FF" w14:textId="006C75E8" w:rsidR="00011D83" w:rsidRPr="00A04EFB" w:rsidRDefault="00011D83" w:rsidP="00011D83">
            <w:pPr>
              <w:pStyle w:val="Table"/>
              <w:jc w:val="center"/>
              <w:rPr>
                <w:b/>
                <w:sz w:val="18"/>
              </w:rPr>
            </w:pPr>
            <w:r>
              <w:rPr>
                <w:b/>
                <w:sz w:val="18"/>
              </w:rPr>
              <w:t>Low Cost Scenario</w:t>
            </w:r>
          </w:p>
        </w:tc>
        <w:tc>
          <w:tcPr>
            <w:tcW w:w="3142" w:type="dxa"/>
            <w:gridSpan w:val="3"/>
            <w:vAlign w:val="center"/>
          </w:tcPr>
          <w:p w14:paraId="5F70CE26" w14:textId="51F3DBAF" w:rsidR="00011D83" w:rsidRPr="00A04EFB" w:rsidRDefault="00011D83" w:rsidP="00011D83">
            <w:pPr>
              <w:pStyle w:val="Table"/>
              <w:jc w:val="center"/>
              <w:rPr>
                <w:b/>
                <w:sz w:val="18"/>
              </w:rPr>
            </w:pPr>
            <w:r>
              <w:rPr>
                <w:b/>
                <w:sz w:val="18"/>
              </w:rPr>
              <w:t>High Cost Scenario</w:t>
            </w:r>
          </w:p>
        </w:tc>
      </w:tr>
      <w:tr w:rsidR="00940C93" w:rsidRPr="00A04EFB" w14:paraId="418868D9" w14:textId="6BDA8D26" w:rsidTr="00940C93">
        <w:trPr>
          <w:trHeight w:val="300"/>
          <w:tblHeader/>
        </w:trPr>
        <w:tc>
          <w:tcPr>
            <w:tcW w:w="3685" w:type="dxa"/>
            <w:vMerge/>
            <w:vAlign w:val="center"/>
            <w:hideMark/>
          </w:tcPr>
          <w:p w14:paraId="694ADBDC" w14:textId="687056F0" w:rsidR="00011D83" w:rsidRPr="00A04EFB" w:rsidRDefault="00011D83" w:rsidP="00011D83">
            <w:pPr>
              <w:pStyle w:val="Table"/>
              <w:jc w:val="center"/>
              <w:rPr>
                <w:b/>
                <w:sz w:val="18"/>
              </w:rPr>
            </w:pPr>
          </w:p>
        </w:tc>
        <w:tc>
          <w:tcPr>
            <w:tcW w:w="1170" w:type="dxa"/>
            <w:vAlign w:val="center"/>
            <w:hideMark/>
          </w:tcPr>
          <w:p w14:paraId="77E16734" w14:textId="6FA84589" w:rsidR="00011D83" w:rsidRPr="00A04EFB" w:rsidRDefault="00011D83" w:rsidP="00011D83">
            <w:pPr>
              <w:pStyle w:val="Table"/>
              <w:jc w:val="center"/>
              <w:rPr>
                <w:b/>
                <w:sz w:val="18"/>
              </w:rPr>
            </w:pPr>
            <w:r w:rsidRPr="00A04EFB">
              <w:rPr>
                <w:b/>
                <w:sz w:val="18"/>
              </w:rPr>
              <w:t>Year 1 Burden (hours)</w:t>
            </w:r>
          </w:p>
        </w:tc>
        <w:tc>
          <w:tcPr>
            <w:tcW w:w="990" w:type="dxa"/>
            <w:vAlign w:val="center"/>
            <w:hideMark/>
          </w:tcPr>
          <w:p w14:paraId="1D411F64" w14:textId="77777777" w:rsidR="00011D83" w:rsidRPr="00A04EFB" w:rsidRDefault="00011D83" w:rsidP="00011D83">
            <w:pPr>
              <w:pStyle w:val="Table"/>
              <w:jc w:val="center"/>
              <w:rPr>
                <w:b/>
                <w:sz w:val="18"/>
              </w:rPr>
            </w:pPr>
            <w:r w:rsidRPr="00A04EFB">
              <w:rPr>
                <w:b/>
                <w:sz w:val="18"/>
              </w:rPr>
              <w:t>Year 2 Burden (hours)</w:t>
            </w:r>
          </w:p>
        </w:tc>
        <w:tc>
          <w:tcPr>
            <w:tcW w:w="990" w:type="dxa"/>
            <w:vAlign w:val="center"/>
            <w:hideMark/>
          </w:tcPr>
          <w:p w14:paraId="665E0F93" w14:textId="77777777" w:rsidR="00011D83" w:rsidRPr="00A04EFB" w:rsidRDefault="00011D83" w:rsidP="00011D83">
            <w:pPr>
              <w:pStyle w:val="Table"/>
              <w:jc w:val="center"/>
              <w:rPr>
                <w:b/>
                <w:sz w:val="18"/>
              </w:rPr>
            </w:pPr>
            <w:r w:rsidRPr="00A04EFB">
              <w:rPr>
                <w:b/>
                <w:sz w:val="18"/>
              </w:rPr>
              <w:t>Year 3 Burden (hours)</w:t>
            </w:r>
          </w:p>
        </w:tc>
        <w:tc>
          <w:tcPr>
            <w:tcW w:w="1033" w:type="dxa"/>
            <w:vAlign w:val="center"/>
          </w:tcPr>
          <w:p w14:paraId="39AA67BA" w14:textId="207BACDB" w:rsidR="00011D83" w:rsidRPr="00A04EFB" w:rsidRDefault="00011D83" w:rsidP="00011D83">
            <w:pPr>
              <w:pStyle w:val="Table"/>
              <w:jc w:val="center"/>
              <w:rPr>
                <w:b/>
                <w:sz w:val="18"/>
              </w:rPr>
            </w:pPr>
            <w:r w:rsidRPr="00A04EFB">
              <w:rPr>
                <w:b/>
                <w:sz w:val="18"/>
              </w:rPr>
              <w:t>Year 1 Burden (hours)</w:t>
            </w:r>
          </w:p>
        </w:tc>
        <w:tc>
          <w:tcPr>
            <w:tcW w:w="990" w:type="dxa"/>
            <w:vAlign w:val="center"/>
          </w:tcPr>
          <w:p w14:paraId="390D1290" w14:textId="43A30B3A" w:rsidR="00011D83" w:rsidRPr="00A04EFB" w:rsidRDefault="00011D83" w:rsidP="00011D83">
            <w:pPr>
              <w:pStyle w:val="Table"/>
              <w:jc w:val="center"/>
              <w:rPr>
                <w:b/>
                <w:sz w:val="18"/>
              </w:rPr>
            </w:pPr>
            <w:r w:rsidRPr="00A04EFB">
              <w:rPr>
                <w:b/>
                <w:sz w:val="18"/>
              </w:rPr>
              <w:t>Year 2 Burden (hours)</w:t>
            </w:r>
          </w:p>
        </w:tc>
        <w:tc>
          <w:tcPr>
            <w:tcW w:w="1119" w:type="dxa"/>
            <w:vAlign w:val="center"/>
          </w:tcPr>
          <w:p w14:paraId="3A65DD72" w14:textId="60F2765A" w:rsidR="00011D83" w:rsidRPr="00A04EFB" w:rsidRDefault="00011D83" w:rsidP="00011D83">
            <w:pPr>
              <w:pStyle w:val="Table"/>
              <w:jc w:val="center"/>
              <w:rPr>
                <w:b/>
                <w:sz w:val="18"/>
              </w:rPr>
            </w:pPr>
            <w:r w:rsidRPr="00A04EFB">
              <w:rPr>
                <w:b/>
                <w:sz w:val="18"/>
              </w:rPr>
              <w:t>Year 3 Burden (hours)</w:t>
            </w:r>
          </w:p>
        </w:tc>
      </w:tr>
      <w:tr w:rsidR="00940C93" w:rsidRPr="00A04EFB" w14:paraId="6C70398B" w14:textId="70ED34F4" w:rsidTr="00940C93">
        <w:trPr>
          <w:trHeight w:val="540"/>
        </w:trPr>
        <w:tc>
          <w:tcPr>
            <w:tcW w:w="3685" w:type="dxa"/>
            <w:vAlign w:val="center"/>
            <w:hideMark/>
          </w:tcPr>
          <w:p w14:paraId="292B1CA2" w14:textId="77777777" w:rsidR="00940C93" w:rsidRPr="00A04EFB" w:rsidRDefault="00940C93" w:rsidP="00940C93">
            <w:pPr>
              <w:pStyle w:val="Table"/>
              <w:rPr>
                <w:sz w:val="18"/>
              </w:rPr>
            </w:pPr>
            <w:r w:rsidRPr="00A04EFB">
              <w:rPr>
                <w:sz w:val="18"/>
              </w:rPr>
              <w:t>System start-up activities (read rule, assign staff, attend training)</w:t>
            </w:r>
          </w:p>
        </w:tc>
        <w:tc>
          <w:tcPr>
            <w:tcW w:w="1170" w:type="dxa"/>
            <w:tcMar>
              <w:left w:w="115" w:type="dxa"/>
              <w:right w:w="720" w:type="dxa"/>
            </w:tcMar>
            <w:vAlign w:val="center"/>
            <w:hideMark/>
          </w:tcPr>
          <w:p w14:paraId="75F6377C" w14:textId="37D1ECBD" w:rsidR="00940C93" w:rsidRPr="004358ED" w:rsidRDefault="00940C93" w:rsidP="00940C93">
            <w:pPr>
              <w:pStyle w:val="Table"/>
              <w:ind w:right="-517"/>
              <w:jc w:val="right"/>
              <w:rPr>
                <w:sz w:val="18"/>
                <w:szCs w:val="18"/>
              </w:rPr>
            </w:pPr>
            <w:r>
              <w:rPr>
                <w:color w:val="000000"/>
                <w:sz w:val="18"/>
                <w:szCs w:val="18"/>
              </w:rPr>
              <w:t>1,353,120</w:t>
            </w:r>
          </w:p>
        </w:tc>
        <w:tc>
          <w:tcPr>
            <w:tcW w:w="990" w:type="dxa"/>
            <w:tcMar>
              <w:left w:w="115" w:type="dxa"/>
              <w:right w:w="720" w:type="dxa"/>
            </w:tcMar>
            <w:vAlign w:val="center"/>
            <w:hideMark/>
          </w:tcPr>
          <w:p w14:paraId="01BB7893" w14:textId="790FE3A4" w:rsidR="00940C93" w:rsidRPr="004358ED" w:rsidRDefault="00940C93" w:rsidP="00940C93">
            <w:pPr>
              <w:pStyle w:val="Table"/>
              <w:ind w:right="-559"/>
              <w:jc w:val="right"/>
              <w:rPr>
                <w:sz w:val="18"/>
                <w:szCs w:val="18"/>
              </w:rPr>
            </w:pPr>
            <w:r>
              <w:rPr>
                <w:color w:val="000000"/>
                <w:sz w:val="18"/>
                <w:szCs w:val="18"/>
              </w:rPr>
              <w:t>0</w:t>
            </w:r>
          </w:p>
        </w:tc>
        <w:tc>
          <w:tcPr>
            <w:tcW w:w="990" w:type="dxa"/>
            <w:tcMar>
              <w:left w:w="115" w:type="dxa"/>
              <w:right w:w="720" w:type="dxa"/>
            </w:tcMar>
            <w:vAlign w:val="center"/>
            <w:hideMark/>
          </w:tcPr>
          <w:p w14:paraId="100D61DE" w14:textId="3203BD33" w:rsidR="00940C93" w:rsidRPr="004358ED" w:rsidRDefault="00940C93" w:rsidP="00940C93">
            <w:pPr>
              <w:pStyle w:val="Table"/>
              <w:ind w:right="-600"/>
              <w:jc w:val="right"/>
              <w:rPr>
                <w:sz w:val="18"/>
                <w:szCs w:val="18"/>
              </w:rPr>
            </w:pPr>
            <w:r>
              <w:rPr>
                <w:color w:val="000000"/>
                <w:sz w:val="18"/>
                <w:szCs w:val="18"/>
              </w:rPr>
              <w:t>0</w:t>
            </w:r>
          </w:p>
        </w:tc>
        <w:tc>
          <w:tcPr>
            <w:tcW w:w="1033" w:type="dxa"/>
            <w:vAlign w:val="center"/>
          </w:tcPr>
          <w:p w14:paraId="6FC3DDE1" w14:textId="0366391B" w:rsidR="00940C93" w:rsidRPr="00CE2FCB" w:rsidRDefault="00940C93" w:rsidP="00940C93">
            <w:pPr>
              <w:pStyle w:val="Table"/>
              <w:jc w:val="right"/>
              <w:rPr>
                <w:sz w:val="18"/>
                <w:szCs w:val="18"/>
              </w:rPr>
            </w:pPr>
            <w:r>
              <w:rPr>
                <w:color w:val="000000"/>
                <w:sz w:val="18"/>
                <w:szCs w:val="18"/>
              </w:rPr>
              <w:t>1,353,120</w:t>
            </w:r>
          </w:p>
        </w:tc>
        <w:tc>
          <w:tcPr>
            <w:tcW w:w="990" w:type="dxa"/>
            <w:vAlign w:val="center"/>
          </w:tcPr>
          <w:p w14:paraId="7092D790" w14:textId="15A2B46C" w:rsidR="00940C93" w:rsidRPr="00CE2FCB" w:rsidRDefault="00940C93" w:rsidP="00940C93">
            <w:pPr>
              <w:pStyle w:val="Table"/>
              <w:jc w:val="right"/>
              <w:rPr>
                <w:sz w:val="18"/>
                <w:szCs w:val="18"/>
              </w:rPr>
            </w:pPr>
            <w:r>
              <w:rPr>
                <w:color w:val="000000"/>
                <w:sz w:val="18"/>
                <w:szCs w:val="18"/>
              </w:rPr>
              <w:t>0</w:t>
            </w:r>
          </w:p>
        </w:tc>
        <w:tc>
          <w:tcPr>
            <w:tcW w:w="1119" w:type="dxa"/>
            <w:vAlign w:val="center"/>
          </w:tcPr>
          <w:p w14:paraId="57156CF9" w14:textId="24B612B9" w:rsidR="00940C93" w:rsidRPr="00CE2FCB" w:rsidRDefault="00940C93" w:rsidP="00940C93">
            <w:pPr>
              <w:pStyle w:val="Table"/>
              <w:jc w:val="right"/>
              <w:rPr>
                <w:sz w:val="18"/>
                <w:szCs w:val="18"/>
              </w:rPr>
            </w:pPr>
            <w:r>
              <w:rPr>
                <w:color w:val="000000"/>
                <w:sz w:val="18"/>
                <w:szCs w:val="18"/>
              </w:rPr>
              <w:t>0</w:t>
            </w:r>
          </w:p>
        </w:tc>
      </w:tr>
      <w:tr w:rsidR="00940C93" w:rsidRPr="00A04EFB" w14:paraId="06746C66" w14:textId="6C0281DE" w:rsidTr="00940C93">
        <w:trPr>
          <w:trHeight w:val="540"/>
        </w:trPr>
        <w:tc>
          <w:tcPr>
            <w:tcW w:w="3685" w:type="dxa"/>
            <w:vAlign w:val="center"/>
            <w:hideMark/>
          </w:tcPr>
          <w:p w14:paraId="285C8DAC" w14:textId="77777777" w:rsidR="00940C93" w:rsidRPr="00A04EFB" w:rsidRDefault="00940C93" w:rsidP="00940C93">
            <w:pPr>
              <w:pStyle w:val="Table"/>
              <w:rPr>
                <w:sz w:val="18"/>
              </w:rPr>
            </w:pPr>
            <w:r>
              <w:rPr>
                <w:sz w:val="18"/>
              </w:rPr>
              <w:t>System</w:t>
            </w:r>
            <w:r w:rsidRPr="00A04EFB">
              <w:rPr>
                <w:sz w:val="18"/>
              </w:rPr>
              <w:t xml:space="preserve"> develop</w:t>
            </w:r>
            <w:r>
              <w:rPr>
                <w:sz w:val="18"/>
              </w:rPr>
              <w:t>s</w:t>
            </w:r>
            <w:r w:rsidRPr="00A04EFB">
              <w:rPr>
                <w:sz w:val="18"/>
              </w:rPr>
              <w:t xml:space="preserve"> lead service line inventory </w:t>
            </w:r>
          </w:p>
        </w:tc>
        <w:tc>
          <w:tcPr>
            <w:tcW w:w="1170" w:type="dxa"/>
            <w:tcMar>
              <w:left w:w="115" w:type="dxa"/>
              <w:right w:w="720" w:type="dxa"/>
            </w:tcMar>
            <w:vAlign w:val="center"/>
            <w:hideMark/>
          </w:tcPr>
          <w:p w14:paraId="01B3C2D9" w14:textId="294F78E1" w:rsidR="00940C93" w:rsidRPr="004358ED" w:rsidRDefault="00940C93" w:rsidP="00940C93">
            <w:pPr>
              <w:pStyle w:val="Table"/>
              <w:ind w:right="-517"/>
              <w:jc w:val="right"/>
              <w:rPr>
                <w:sz w:val="18"/>
                <w:szCs w:val="18"/>
              </w:rPr>
            </w:pPr>
            <w:r>
              <w:rPr>
                <w:color w:val="000000"/>
                <w:sz w:val="18"/>
                <w:szCs w:val="18"/>
              </w:rPr>
              <w:t>104,186</w:t>
            </w:r>
          </w:p>
        </w:tc>
        <w:tc>
          <w:tcPr>
            <w:tcW w:w="990" w:type="dxa"/>
            <w:tcMar>
              <w:left w:w="115" w:type="dxa"/>
              <w:right w:w="720" w:type="dxa"/>
            </w:tcMar>
            <w:vAlign w:val="center"/>
            <w:hideMark/>
          </w:tcPr>
          <w:p w14:paraId="6846BD9F" w14:textId="067CF0DB" w:rsidR="00940C93" w:rsidRPr="004358ED" w:rsidRDefault="00940C93" w:rsidP="00940C93">
            <w:pPr>
              <w:pStyle w:val="Table"/>
              <w:ind w:right="-559"/>
              <w:jc w:val="right"/>
              <w:rPr>
                <w:sz w:val="18"/>
                <w:szCs w:val="18"/>
              </w:rPr>
            </w:pPr>
            <w:r>
              <w:rPr>
                <w:color w:val="000000"/>
                <w:sz w:val="18"/>
                <w:szCs w:val="18"/>
              </w:rPr>
              <w:t>104,186</w:t>
            </w:r>
          </w:p>
        </w:tc>
        <w:tc>
          <w:tcPr>
            <w:tcW w:w="990" w:type="dxa"/>
            <w:tcMar>
              <w:left w:w="115" w:type="dxa"/>
              <w:right w:w="720" w:type="dxa"/>
            </w:tcMar>
            <w:vAlign w:val="center"/>
            <w:hideMark/>
          </w:tcPr>
          <w:p w14:paraId="7CE55ED8" w14:textId="23589807" w:rsidR="00940C93" w:rsidRPr="004358ED" w:rsidRDefault="00940C93" w:rsidP="00940C93">
            <w:pPr>
              <w:pStyle w:val="Table"/>
              <w:ind w:right="-600"/>
              <w:jc w:val="right"/>
              <w:rPr>
                <w:sz w:val="18"/>
                <w:szCs w:val="18"/>
              </w:rPr>
            </w:pPr>
            <w:r>
              <w:rPr>
                <w:color w:val="000000"/>
                <w:sz w:val="18"/>
                <w:szCs w:val="18"/>
              </w:rPr>
              <w:t>104,186</w:t>
            </w:r>
          </w:p>
        </w:tc>
        <w:tc>
          <w:tcPr>
            <w:tcW w:w="1033" w:type="dxa"/>
            <w:vAlign w:val="center"/>
          </w:tcPr>
          <w:p w14:paraId="243CFDA7" w14:textId="0CE32302" w:rsidR="00940C93" w:rsidRPr="00F73AC1" w:rsidRDefault="00940C93" w:rsidP="00940C93">
            <w:pPr>
              <w:pStyle w:val="Table"/>
              <w:jc w:val="right"/>
              <w:rPr>
                <w:sz w:val="18"/>
                <w:szCs w:val="18"/>
              </w:rPr>
            </w:pPr>
            <w:r>
              <w:rPr>
                <w:color w:val="000000"/>
                <w:sz w:val="18"/>
                <w:szCs w:val="18"/>
              </w:rPr>
              <w:t>138,051</w:t>
            </w:r>
          </w:p>
        </w:tc>
        <w:tc>
          <w:tcPr>
            <w:tcW w:w="990" w:type="dxa"/>
            <w:vAlign w:val="center"/>
          </w:tcPr>
          <w:p w14:paraId="4DE1EA5F" w14:textId="4A79665D" w:rsidR="00940C93" w:rsidRPr="00F73AC1" w:rsidRDefault="00940C93" w:rsidP="00940C93">
            <w:pPr>
              <w:pStyle w:val="Table"/>
              <w:jc w:val="right"/>
              <w:rPr>
                <w:sz w:val="18"/>
                <w:szCs w:val="18"/>
              </w:rPr>
            </w:pPr>
            <w:r>
              <w:rPr>
                <w:color w:val="000000"/>
                <w:sz w:val="18"/>
                <w:szCs w:val="18"/>
              </w:rPr>
              <w:t>138,051</w:t>
            </w:r>
          </w:p>
        </w:tc>
        <w:tc>
          <w:tcPr>
            <w:tcW w:w="1119" w:type="dxa"/>
            <w:vAlign w:val="center"/>
          </w:tcPr>
          <w:p w14:paraId="373D13B1" w14:textId="1F9D260D" w:rsidR="00940C93" w:rsidRPr="00F73AC1" w:rsidRDefault="00940C93" w:rsidP="00940C93">
            <w:pPr>
              <w:pStyle w:val="Table"/>
              <w:jc w:val="right"/>
              <w:rPr>
                <w:sz w:val="18"/>
                <w:szCs w:val="18"/>
              </w:rPr>
            </w:pPr>
            <w:r>
              <w:rPr>
                <w:color w:val="000000"/>
                <w:sz w:val="18"/>
                <w:szCs w:val="18"/>
              </w:rPr>
              <w:t>138,051</w:t>
            </w:r>
          </w:p>
        </w:tc>
      </w:tr>
      <w:tr w:rsidR="00940C93" w:rsidRPr="00A04EFB" w14:paraId="26C541EC" w14:textId="3D293276" w:rsidTr="00940C93">
        <w:trPr>
          <w:trHeight w:val="540"/>
        </w:trPr>
        <w:tc>
          <w:tcPr>
            <w:tcW w:w="3685" w:type="dxa"/>
            <w:vAlign w:val="center"/>
            <w:hideMark/>
          </w:tcPr>
          <w:p w14:paraId="3B6F3622" w14:textId="77777777" w:rsidR="00940C93" w:rsidRPr="00A04EFB" w:rsidRDefault="00940C93" w:rsidP="00940C93">
            <w:pPr>
              <w:pStyle w:val="Table"/>
              <w:rPr>
                <w:sz w:val="18"/>
              </w:rPr>
            </w:pPr>
            <w:r w:rsidRPr="00A04EFB">
              <w:rPr>
                <w:sz w:val="18"/>
              </w:rPr>
              <w:t>System submit</w:t>
            </w:r>
            <w:r>
              <w:rPr>
                <w:sz w:val="18"/>
              </w:rPr>
              <w:t>s</w:t>
            </w:r>
            <w:r w:rsidRPr="00A04EFB">
              <w:rPr>
                <w:sz w:val="18"/>
              </w:rPr>
              <w:t xml:space="preserve"> a demonstration of no lead service lines</w:t>
            </w:r>
          </w:p>
        </w:tc>
        <w:tc>
          <w:tcPr>
            <w:tcW w:w="1170" w:type="dxa"/>
            <w:tcMar>
              <w:left w:w="115" w:type="dxa"/>
              <w:right w:w="720" w:type="dxa"/>
            </w:tcMar>
            <w:vAlign w:val="center"/>
            <w:hideMark/>
          </w:tcPr>
          <w:p w14:paraId="347C8F38" w14:textId="4EB7CBF9" w:rsidR="00940C93" w:rsidRPr="004358ED" w:rsidRDefault="00940C93" w:rsidP="00940C93">
            <w:pPr>
              <w:pStyle w:val="Table"/>
              <w:ind w:right="-517"/>
              <w:jc w:val="right"/>
              <w:rPr>
                <w:sz w:val="18"/>
                <w:szCs w:val="18"/>
              </w:rPr>
            </w:pPr>
            <w:r>
              <w:rPr>
                <w:color w:val="000000"/>
                <w:sz w:val="18"/>
                <w:szCs w:val="18"/>
              </w:rPr>
              <w:t>144,818</w:t>
            </w:r>
          </w:p>
        </w:tc>
        <w:tc>
          <w:tcPr>
            <w:tcW w:w="990" w:type="dxa"/>
            <w:tcMar>
              <w:left w:w="115" w:type="dxa"/>
              <w:right w:w="720" w:type="dxa"/>
            </w:tcMar>
            <w:vAlign w:val="center"/>
            <w:hideMark/>
          </w:tcPr>
          <w:p w14:paraId="298F1B28" w14:textId="63B7CEE6" w:rsidR="00940C93" w:rsidRPr="004358ED" w:rsidRDefault="00940C93" w:rsidP="00940C93">
            <w:pPr>
              <w:pStyle w:val="Table"/>
              <w:ind w:right="-559"/>
              <w:jc w:val="right"/>
              <w:rPr>
                <w:sz w:val="18"/>
                <w:szCs w:val="18"/>
              </w:rPr>
            </w:pPr>
            <w:r>
              <w:rPr>
                <w:color w:val="000000"/>
                <w:sz w:val="18"/>
                <w:szCs w:val="18"/>
              </w:rPr>
              <w:t>144,818</w:t>
            </w:r>
          </w:p>
        </w:tc>
        <w:tc>
          <w:tcPr>
            <w:tcW w:w="990" w:type="dxa"/>
            <w:tcMar>
              <w:left w:w="115" w:type="dxa"/>
              <w:right w:w="720" w:type="dxa"/>
            </w:tcMar>
            <w:vAlign w:val="center"/>
            <w:hideMark/>
          </w:tcPr>
          <w:p w14:paraId="72118FC4" w14:textId="34D27BAC" w:rsidR="00940C93" w:rsidRPr="004358ED" w:rsidRDefault="00940C93" w:rsidP="00940C93">
            <w:pPr>
              <w:pStyle w:val="Table"/>
              <w:ind w:right="-600"/>
              <w:jc w:val="right"/>
              <w:rPr>
                <w:sz w:val="18"/>
                <w:szCs w:val="18"/>
              </w:rPr>
            </w:pPr>
            <w:r>
              <w:rPr>
                <w:color w:val="000000"/>
                <w:sz w:val="18"/>
                <w:szCs w:val="18"/>
              </w:rPr>
              <w:t>144,818</w:t>
            </w:r>
          </w:p>
        </w:tc>
        <w:tc>
          <w:tcPr>
            <w:tcW w:w="1033" w:type="dxa"/>
            <w:vAlign w:val="center"/>
          </w:tcPr>
          <w:p w14:paraId="523C0F83" w14:textId="53276089" w:rsidR="00940C93" w:rsidRPr="00CE2FCB" w:rsidRDefault="00940C93" w:rsidP="00940C93">
            <w:pPr>
              <w:pStyle w:val="Table"/>
              <w:jc w:val="right"/>
              <w:rPr>
                <w:sz w:val="18"/>
                <w:szCs w:val="18"/>
              </w:rPr>
            </w:pPr>
            <w:r>
              <w:rPr>
                <w:color w:val="000000"/>
                <w:sz w:val="18"/>
                <w:szCs w:val="18"/>
              </w:rPr>
              <w:t>133,998</w:t>
            </w:r>
          </w:p>
        </w:tc>
        <w:tc>
          <w:tcPr>
            <w:tcW w:w="990" w:type="dxa"/>
            <w:vAlign w:val="center"/>
          </w:tcPr>
          <w:p w14:paraId="00B3D6B9" w14:textId="6829BBAF" w:rsidR="00940C93" w:rsidRPr="00CE2FCB" w:rsidRDefault="00940C93" w:rsidP="00940C93">
            <w:pPr>
              <w:pStyle w:val="Table"/>
              <w:jc w:val="right"/>
              <w:rPr>
                <w:sz w:val="18"/>
                <w:szCs w:val="18"/>
              </w:rPr>
            </w:pPr>
            <w:r>
              <w:rPr>
                <w:color w:val="000000"/>
                <w:sz w:val="18"/>
                <w:szCs w:val="18"/>
              </w:rPr>
              <w:t>133,998</w:t>
            </w:r>
          </w:p>
        </w:tc>
        <w:tc>
          <w:tcPr>
            <w:tcW w:w="1119" w:type="dxa"/>
            <w:vAlign w:val="center"/>
          </w:tcPr>
          <w:p w14:paraId="7081A571" w14:textId="65BF0277" w:rsidR="00940C93" w:rsidRPr="00CE2FCB" w:rsidRDefault="00940C93" w:rsidP="00940C93">
            <w:pPr>
              <w:pStyle w:val="Table"/>
              <w:jc w:val="right"/>
              <w:rPr>
                <w:sz w:val="18"/>
                <w:szCs w:val="18"/>
              </w:rPr>
            </w:pPr>
            <w:r>
              <w:rPr>
                <w:color w:val="000000"/>
                <w:sz w:val="18"/>
                <w:szCs w:val="18"/>
              </w:rPr>
              <w:t>133,998</w:t>
            </w:r>
          </w:p>
        </w:tc>
      </w:tr>
      <w:tr w:rsidR="00940C93" w:rsidRPr="00A04EFB" w14:paraId="4089CB05" w14:textId="38B4D251" w:rsidTr="00940C93">
        <w:trPr>
          <w:trHeight w:val="300"/>
        </w:trPr>
        <w:tc>
          <w:tcPr>
            <w:tcW w:w="3685" w:type="dxa"/>
            <w:vAlign w:val="center"/>
          </w:tcPr>
          <w:p w14:paraId="787ECDFA" w14:textId="607F8BB3" w:rsidR="00940C93" w:rsidRPr="00CE2FCB" w:rsidRDefault="00A539B3" w:rsidP="00940C93">
            <w:pPr>
              <w:pStyle w:val="Table"/>
              <w:rPr>
                <w:sz w:val="18"/>
              </w:rPr>
            </w:pPr>
            <w:r>
              <w:rPr>
                <w:sz w:val="18"/>
                <w:szCs w:val="18"/>
              </w:rPr>
              <w:t xml:space="preserve">System </w:t>
            </w:r>
            <w:r w:rsidRPr="00C33DF8">
              <w:rPr>
                <w:sz w:val="18"/>
                <w:szCs w:val="18"/>
              </w:rPr>
              <w:t>conduct</w:t>
            </w:r>
            <w:r>
              <w:rPr>
                <w:sz w:val="18"/>
                <w:szCs w:val="18"/>
              </w:rPr>
              <w:t>s</w:t>
            </w:r>
            <w:r w:rsidRPr="00C33DF8">
              <w:rPr>
                <w:sz w:val="18"/>
                <w:szCs w:val="18"/>
              </w:rPr>
              <w:t xml:space="preserve"> planning and identif</w:t>
            </w:r>
            <w:r>
              <w:rPr>
                <w:sz w:val="18"/>
                <w:szCs w:val="18"/>
              </w:rPr>
              <w:t>ies</w:t>
            </w:r>
            <w:r w:rsidRPr="00C33DF8">
              <w:rPr>
                <w:sz w:val="18"/>
                <w:szCs w:val="18"/>
              </w:rPr>
              <w:t xml:space="preserve"> financial options</w:t>
            </w:r>
            <w:r>
              <w:rPr>
                <w:sz w:val="18"/>
                <w:szCs w:val="18"/>
              </w:rPr>
              <w:t xml:space="preserve"> </w:t>
            </w:r>
            <w:r w:rsidRPr="00C33DF8">
              <w:rPr>
                <w:sz w:val="18"/>
                <w:szCs w:val="18"/>
              </w:rPr>
              <w:t>for initial planning of LSLR Program</w:t>
            </w:r>
          </w:p>
        </w:tc>
        <w:tc>
          <w:tcPr>
            <w:tcW w:w="1170" w:type="dxa"/>
            <w:tcMar>
              <w:left w:w="115" w:type="dxa"/>
              <w:right w:w="720" w:type="dxa"/>
            </w:tcMar>
            <w:vAlign w:val="center"/>
          </w:tcPr>
          <w:p w14:paraId="33B0E875" w14:textId="6C89FC34" w:rsidR="00940C93" w:rsidRPr="004358ED" w:rsidRDefault="00940C93" w:rsidP="00940C93">
            <w:pPr>
              <w:pStyle w:val="Table"/>
              <w:ind w:right="-517"/>
              <w:jc w:val="right"/>
              <w:rPr>
                <w:b/>
                <w:sz w:val="18"/>
                <w:szCs w:val="18"/>
              </w:rPr>
            </w:pPr>
            <w:r>
              <w:rPr>
                <w:color w:val="000000"/>
                <w:sz w:val="18"/>
                <w:szCs w:val="18"/>
              </w:rPr>
              <w:t>45,001</w:t>
            </w:r>
          </w:p>
        </w:tc>
        <w:tc>
          <w:tcPr>
            <w:tcW w:w="990" w:type="dxa"/>
            <w:tcMar>
              <w:left w:w="115" w:type="dxa"/>
              <w:right w:w="720" w:type="dxa"/>
            </w:tcMar>
            <w:vAlign w:val="center"/>
          </w:tcPr>
          <w:p w14:paraId="24D29511" w14:textId="20E41F55" w:rsidR="00940C93" w:rsidRPr="004358ED" w:rsidRDefault="00940C93" w:rsidP="00940C93">
            <w:pPr>
              <w:pStyle w:val="Table"/>
              <w:ind w:right="-559"/>
              <w:jc w:val="right"/>
              <w:rPr>
                <w:b/>
                <w:sz w:val="18"/>
                <w:szCs w:val="18"/>
              </w:rPr>
            </w:pPr>
            <w:r>
              <w:rPr>
                <w:color w:val="000000"/>
                <w:sz w:val="18"/>
                <w:szCs w:val="18"/>
              </w:rPr>
              <w:t>45,001</w:t>
            </w:r>
          </w:p>
        </w:tc>
        <w:tc>
          <w:tcPr>
            <w:tcW w:w="990" w:type="dxa"/>
            <w:tcMar>
              <w:left w:w="115" w:type="dxa"/>
              <w:right w:w="720" w:type="dxa"/>
            </w:tcMar>
            <w:vAlign w:val="center"/>
          </w:tcPr>
          <w:p w14:paraId="3DAD685F" w14:textId="1CBA7069" w:rsidR="00940C93" w:rsidRPr="004358ED" w:rsidRDefault="00940C93" w:rsidP="00940C93">
            <w:pPr>
              <w:pStyle w:val="Table"/>
              <w:ind w:right="-600"/>
              <w:jc w:val="right"/>
              <w:rPr>
                <w:b/>
                <w:sz w:val="18"/>
                <w:szCs w:val="18"/>
              </w:rPr>
            </w:pPr>
            <w:r>
              <w:rPr>
                <w:color w:val="000000"/>
                <w:sz w:val="18"/>
                <w:szCs w:val="18"/>
              </w:rPr>
              <w:t>45,001</w:t>
            </w:r>
          </w:p>
        </w:tc>
        <w:tc>
          <w:tcPr>
            <w:tcW w:w="1033" w:type="dxa"/>
            <w:vAlign w:val="center"/>
          </w:tcPr>
          <w:p w14:paraId="64C7FCB4" w14:textId="7007C84D" w:rsidR="00940C93" w:rsidRDefault="00940C93" w:rsidP="00940C93">
            <w:pPr>
              <w:pStyle w:val="Table"/>
              <w:jc w:val="right"/>
              <w:rPr>
                <w:sz w:val="18"/>
                <w:szCs w:val="18"/>
              </w:rPr>
            </w:pPr>
            <w:r>
              <w:rPr>
                <w:color w:val="000000"/>
                <w:sz w:val="18"/>
                <w:szCs w:val="18"/>
              </w:rPr>
              <w:t>59,231</w:t>
            </w:r>
          </w:p>
        </w:tc>
        <w:tc>
          <w:tcPr>
            <w:tcW w:w="990" w:type="dxa"/>
            <w:vAlign w:val="center"/>
          </w:tcPr>
          <w:p w14:paraId="7503CDC3" w14:textId="038E6210" w:rsidR="00940C93" w:rsidRDefault="00940C93" w:rsidP="00940C93">
            <w:pPr>
              <w:pStyle w:val="Table"/>
              <w:jc w:val="right"/>
              <w:rPr>
                <w:sz w:val="18"/>
                <w:szCs w:val="18"/>
              </w:rPr>
            </w:pPr>
            <w:r>
              <w:rPr>
                <w:color w:val="000000"/>
                <w:sz w:val="18"/>
                <w:szCs w:val="18"/>
              </w:rPr>
              <w:t>59,231</w:t>
            </w:r>
          </w:p>
        </w:tc>
        <w:tc>
          <w:tcPr>
            <w:tcW w:w="1119" w:type="dxa"/>
            <w:vAlign w:val="center"/>
          </w:tcPr>
          <w:p w14:paraId="0BF5476B" w14:textId="33E4F5C3" w:rsidR="00940C93" w:rsidRDefault="00940C93" w:rsidP="00940C93">
            <w:pPr>
              <w:pStyle w:val="Table"/>
              <w:jc w:val="right"/>
              <w:rPr>
                <w:sz w:val="18"/>
                <w:szCs w:val="18"/>
              </w:rPr>
            </w:pPr>
            <w:r>
              <w:rPr>
                <w:color w:val="000000"/>
                <w:sz w:val="18"/>
                <w:szCs w:val="18"/>
              </w:rPr>
              <w:t>59,231</w:t>
            </w:r>
          </w:p>
        </w:tc>
      </w:tr>
      <w:tr w:rsidR="00940C93" w:rsidRPr="00A04EFB" w14:paraId="621D44D3" w14:textId="5BC18D1D" w:rsidTr="00940C93">
        <w:trPr>
          <w:trHeight w:val="300"/>
        </w:trPr>
        <w:tc>
          <w:tcPr>
            <w:tcW w:w="3685" w:type="dxa"/>
            <w:vAlign w:val="center"/>
            <w:hideMark/>
          </w:tcPr>
          <w:p w14:paraId="013E55BD" w14:textId="77777777" w:rsidR="00940C93" w:rsidRPr="00A04EFB" w:rsidRDefault="00940C93" w:rsidP="00940C93">
            <w:pPr>
              <w:pStyle w:val="Table"/>
              <w:rPr>
                <w:b/>
                <w:sz w:val="18"/>
              </w:rPr>
            </w:pPr>
            <w:r w:rsidRPr="00A04EFB">
              <w:rPr>
                <w:b/>
                <w:sz w:val="18"/>
              </w:rPr>
              <w:t>System Subtotal</w:t>
            </w:r>
          </w:p>
        </w:tc>
        <w:tc>
          <w:tcPr>
            <w:tcW w:w="1170" w:type="dxa"/>
            <w:tcMar>
              <w:left w:w="115" w:type="dxa"/>
              <w:right w:w="720" w:type="dxa"/>
            </w:tcMar>
            <w:vAlign w:val="center"/>
            <w:hideMark/>
          </w:tcPr>
          <w:p w14:paraId="4F6BDBBF" w14:textId="4B958250" w:rsidR="00940C93" w:rsidRPr="004358ED" w:rsidRDefault="00940C93" w:rsidP="00940C93">
            <w:pPr>
              <w:pStyle w:val="Table"/>
              <w:ind w:right="-517"/>
              <w:jc w:val="right"/>
              <w:rPr>
                <w:b/>
                <w:sz w:val="18"/>
                <w:szCs w:val="18"/>
              </w:rPr>
            </w:pPr>
            <w:r>
              <w:rPr>
                <w:b/>
                <w:bCs/>
                <w:color w:val="000000"/>
                <w:sz w:val="18"/>
                <w:szCs w:val="18"/>
              </w:rPr>
              <w:t>1,647,125</w:t>
            </w:r>
          </w:p>
        </w:tc>
        <w:tc>
          <w:tcPr>
            <w:tcW w:w="990" w:type="dxa"/>
            <w:tcMar>
              <w:left w:w="115" w:type="dxa"/>
              <w:right w:w="720" w:type="dxa"/>
            </w:tcMar>
            <w:vAlign w:val="center"/>
            <w:hideMark/>
          </w:tcPr>
          <w:p w14:paraId="77DA0F0B" w14:textId="5A8FBD01" w:rsidR="00940C93" w:rsidRPr="004358ED" w:rsidRDefault="00940C93" w:rsidP="00940C93">
            <w:pPr>
              <w:pStyle w:val="Table"/>
              <w:ind w:right="-559"/>
              <w:jc w:val="right"/>
              <w:rPr>
                <w:b/>
                <w:sz w:val="18"/>
                <w:szCs w:val="18"/>
              </w:rPr>
            </w:pPr>
            <w:r>
              <w:rPr>
                <w:b/>
                <w:bCs/>
                <w:color w:val="000000"/>
                <w:sz w:val="18"/>
                <w:szCs w:val="18"/>
              </w:rPr>
              <w:t>294,005</w:t>
            </w:r>
          </w:p>
        </w:tc>
        <w:tc>
          <w:tcPr>
            <w:tcW w:w="990" w:type="dxa"/>
            <w:tcMar>
              <w:left w:w="115" w:type="dxa"/>
              <w:right w:w="720" w:type="dxa"/>
            </w:tcMar>
            <w:vAlign w:val="center"/>
            <w:hideMark/>
          </w:tcPr>
          <w:p w14:paraId="03800A71" w14:textId="18464C2C" w:rsidR="00940C93" w:rsidRPr="004358ED" w:rsidRDefault="00940C93" w:rsidP="00940C93">
            <w:pPr>
              <w:pStyle w:val="Table"/>
              <w:ind w:right="-600"/>
              <w:jc w:val="right"/>
              <w:rPr>
                <w:b/>
                <w:sz w:val="18"/>
                <w:szCs w:val="18"/>
              </w:rPr>
            </w:pPr>
            <w:r>
              <w:rPr>
                <w:b/>
                <w:bCs/>
                <w:color w:val="000000"/>
                <w:sz w:val="18"/>
                <w:szCs w:val="18"/>
              </w:rPr>
              <w:t>294,005</w:t>
            </w:r>
          </w:p>
        </w:tc>
        <w:tc>
          <w:tcPr>
            <w:tcW w:w="1033" w:type="dxa"/>
            <w:vAlign w:val="center"/>
          </w:tcPr>
          <w:p w14:paraId="2FB320C8" w14:textId="766578FC" w:rsidR="00940C93" w:rsidRDefault="00940C93" w:rsidP="00940C93">
            <w:pPr>
              <w:pStyle w:val="Table"/>
              <w:jc w:val="right"/>
              <w:rPr>
                <w:b/>
                <w:sz w:val="18"/>
                <w:szCs w:val="18"/>
              </w:rPr>
            </w:pPr>
            <w:r>
              <w:rPr>
                <w:b/>
                <w:bCs/>
                <w:color w:val="000000"/>
                <w:sz w:val="18"/>
                <w:szCs w:val="18"/>
              </w:rPr>
              <w:t>1,684,400</w:t>
            </w:r>
          </w:p>
        </w:tc>
        <w:tc>
          <w:tcPr>
            <w:tcW w:w="990" w:type="dxa"/>
            <w:vAlign w:val="center"/>
          </w:tcPr>
          <w:p w14:paraId="5D90C477" w14:textId="6DBB5BE4" w:rsidR="00940C93" w:rsidRDefault="00940C93" w:rsidP="00940C93">
            <w:pPr>
              <w:pStyle w:val="Table"/>
              <w:jc w:val="right"/>
              <w:rPr>
                <w:b/>
                <w:sz w:val="18"/>
                <w:szCs w:val="18"/>
              </w:rPr>
            </w:pPr>
            <w:r>
              <w:rPr>
                <w:b/>
                <w:bCs/>
                <w:color w:val="000000"/>
                <w:sz w:val="18"/>
                <w:szCs w:val="18"/>
              </w:rPr>
              <w:t>331,280</w:t>
            </w:r>
          </w:p>
        </w:tc>
        <w:tc>
          <w:tcPr>
            <w:tcW w:w="1119" w:type="dxa"/>
            <w:vAlign w:val="center"/>
          </w:tcPr>
          <w:p w14:paraId="2B4F890C" w14:textId="573020DE" w:rsidR="00940C93" w:rsidRDefault="00940C93" w:rsidP="00940C93">
            <w:pPr>
              <w:pStyle w:val="Table"/>
              <w:jc w:val="right"/>
              <w:rPr>
                <w:b/>
                <w:sz w:val="18"/>
                <w:szCs w:val="18"/>
              </w:rPr>
            </w:pPr>
            <w:r>
              <w:rPr>
                <w:b/>
                <w:bCs/>
                <w:color w:val="000000"/>
                <w:sz w:val="18"/>
                <w:szCs w:val="18"/>
              </w:rPr>
              <w:t>331,280</w:t>
            </w:r>
          </w:p>
        </w:tc>
      </w:tr>
      <w:tr w:rsidR="00940C93" w:rsidRPr="00A04EFB" w14:paraId="2D2295B0" w14:textId="25496056" w:rsidTr="00940C93">
        <w:trPr>
          <w:trHeight w:val="804"/>
        </w:trPr>
        <w:tc>
          <w:tcPr>
            <w:tcW w:w="3685" w:type="dxa"/>
            <w:vAlign w:val="center"/>
            <w:hideMark/>
          </w:tcPr>
          <w:p w14:paraId="17E64033" w14:textId="77777777" w:rsidR="00940C93" w:rsidRPr="00A04EFB" w:rsidRDefault="00940C93" w:rsidP="00940C93">
            <w:pPr>
              <w:pStyle w:val="Table"/>
              <w:rPr>
                <w:sz w:val="18"/>
              </w:rPr>
            </w:pPr>
            <w:r>
              <w:rPr>
                <w:sz w:val="18"/>
              </w:rPr>
              <w:t>Primacy agency</w:t>
            </w:r>
            <w:r w:rsidRPr="00A04EFB">
              <w:rPr>
                <w:sz w:val="18"/>
              </w:rPr>
              <w:t xml:space="preserve"> start-up activities (read rule, adopt rule, modify data systems, provide training)</w:t>
            </w:r>
          </w:p>
        </w:tc>
        <w:tc>
          <w:tcPr>
            <w:tcW w:w="1170" w:type="dxa"/>
            <w:tcMar>
              <w:left w:w="115" w:type="dxa"/>
              <w:right w:w="720" w:type="dxa"/>
            </w:tcMar>
            <w:vAlign w:val="center"/>
            <w:hideMark/>
          </w:tcPr>
          <w:p w14:paraId="7739AD6E" w14:textId="30672B74" w:rsidR="00940C93" w:rsidRPr="004358ED" w:rsidRDefault="00940C93" w:rsidP="00940C93">
            <w:pPr>
              <w:pStyle w:val="Table"/>
              <w:ind w:right="-517"/>
              <w:jc w:val="right"/>
              <w:rPr>
                <w:sz w:val="18"/>
                <w:szCs w:val="18"/>
              </w:rPr>
            </w:pPr>
            <w:r>
              <w:rPr>
                <w:color w:val="000000"/>
                <w:sz w:val="18"/>
                <w:szCs w:val="18"/>
              </w:rPr>
              <w:t>80,920</w:t>
            </w:r>
          </w:p>
        </w:tc>
        <w:tc>
          <w:tcPr>
            <w:tcW w:w="990" w:type="dxa"/>
            <w:tcMar>
              <w:left w:w="115" w:type="dxa"/>
              <w:right w:w="720" w:type="dxa"/>
            </w:tcMar>
            <w:vAlign w:val="center"/>
            <w:hideMark/>
          </w:tcPr>
          <w:p w14:paraId="7ABF4B0B" w14:textId="30AFF7E0" w:rsidR="00940C93" w:rsidRPr="004358ED" w:rsidRDefault="00940C93" w:rsidP="00940C93">
            <w:pPr>
              <w:pStyle w:val="Table"/>
              <w:ind w:right="-559"/>
              <w:jc w:val="right"/>
              <w:rPr>
                <w:sz w:val="18"/>
                <w:szCs w:val="18"/>
              </w:rPr>
            </w:pPr>
            <w:r>
              <w:rPr>
                <w:color w:val="000000"/>
                <w:sz w:val="18"/>
                <w:szCs w:val="18"/>
              </w:rPr>
              <w:t>0</w:t>
            </w:r>
          </w:p>
        </w:tc>
        <w:tc>
          <w:tcPr>
            <w:tcW w:w="990" w:type="dxa"/>
            <w:tcMar>
              <w:left w:w="115" w:type="dxa"/>
              <w:right w:w="720" w:type="dxa"/>
            </w:tcMar>
            <w:vAlign w:val="center"/>
            <w:hideMark/>
          </w:tcPr>
          <w:p w14:paraId="17AEEF64" w14:textId="4BF8E1E9" w:rsidR="00940C93" w:rsidRPr="004358ED" w:rsidRDefault="00940C93" w:rsidP="00940C93">
            <w:pPr>
              <w:pStyle w:val="Table"/>
              <w:ind w:right="-600"/>
              <w:jc w:val="right"/>
              <w:rPr>
                <w:sz w:val="18"/>
                <w:szCs w:val="18"/>
              </w:rPr>
            </w:pPr>
            <w:r>
              <w:rPr>
                <w:color w:val="000000"/>
                <w:sz w:val="18"/>
                <w:szCs w:val="18"/>
              </w:rPr>
              <w:t>0</w:t>
            </w:r>
          </w:p>
        </w:tc>
        <w:tc>
          <w:tcPr>
            <w:tcW w:w="1033" w:type="dxa"/>
            <w:vAlign w:val="center"/>
          </w:tcPr>
          <w:p w14:paraId="672123AD" w14:textId="581F8C4F" w:rsidR="00940C93" w:rsidRPr="00CE2FCB" w:rsidRDefault="00940C93" w:rsidP="00940C93">
            <w:pPr>
              <w:pStyle w:val="Table"/>
              <w:jc w:val="right"/>
              <w:rPr>
                <w:sz w:val="18"/>
                <w:szCs w:val="18"/>
              </w:rPr>
            </w:pPr>
            <w:r>
              <w:rPr>
                <w:color w:val="000000"/>
                <w:sz w:val="18"/>
                <w:szCs w:val="18"/>
              </w:rPr>
              <w:t>80,920</w:t>
            </w:r>
          </w:p>
        </w:tc>
        <w:tc>
          <w:tcPr>
            <w:tcW w:w="990" w:type="dxa"/>
            <w:vAlign w:val="center"/>
          </w:tcPr>
          <w:p w14:paraId="1B0DA75B" w14:textId="0F7C57BA" w:rsidR="00940C93" w:rsidRPr="00CE2FCB" w:rsidRDefault="00940C93" w:rsidP="00940C93">
            <w:pPr>
              <w:pStyle w:val="Table"/>
              <w:jc w:val="right"/>
              <w:rPr>
                <w:sz w:val="18"/>
                <w:szCs w:val="18"/>
              </w:rPr>
            </w:pPr>
            <w:r>
              <w:rPr>
                <w:color w:val="000000"/>
                <w:sz w:val="18"/>
                <w:szCs w:val="18"/>
              </w:rPr>
              <w:t>0</w:t>
            </w:r>
          </w:p>
        </w:tc>
        <w:tc>
          <w:tcPr>
            <w:tcW w:w="1119" w:type="dxa"/>
            <w:vAlign w:val="center"/>
          </w:tcPr>
          <w:p w14:paraId="0B0187F4" w14:textId="5C9332DE" w:rsidR="00940C93" w:rsidRPr="00CE2FCB" w:rsidRDefault="00940C93" w:rsidP="00940C93">
            <w:pPr>
              <w:pStyle w:val="Table"/>
              <w:jc w:val="right"/>
              <w:rPr>
                <w:sz w:val="18"/>
                <w:szCs w:val="18"/>
              </w:rPr>
            </w:pPr>
            <w:r>
              <w:rPr>
                <w:color w:val="000000"/>
                <w:sz w:val="18"/>
                <w:szCs w:val="18"/>
              </w:rPr>
              <w:t>0</w:t>
            </w:r>
          </w:p>
        </w:tc>
      </w:tr>
      <w:tr w:rsidR="00940C93" w:rsidRPr="00A04EFB" w14:paraId="2A923944" w14:textId="77777777" w:rsidTr="00940C93">
        <w:trPr>
          <w:trHeight w:val="804"/>
        </w:trPr>
        <w:tc>
          <w:tcPr>
            <w:tcW w:w="3685" w:type="dxa"/>
            <w:vAlign w:val="center"/>
          </w:tcPr>
          <w:p w14:paraId="3A9944CD" w14:textId="00C80A54" w:rsidR="00940C93" w:rsidRPr="00940C93" w:rsidRDefault="00940C93" w:rsidP="00940C93">
            <w:pPr>
              <w:rPr>
                <w:rFonts w:ascii="Arial" w:hAnsi="Arial" w:cs="Arial"/>
                <w:sz w:val="18"/>
                <w:szCs w:val="18"/>
              </w:rPr>
            </w:pPr>
            <w:r>
              <w:rPr>
                <w:rFonts w:ascii="Arial" w:hAnsi="Arial" w:cs="Arial"/>
                <w:sz w:val="18"/>
                <w:szCs w:val="18"/>
              </w:rPr>
              <w:t xml:space="preserve">Primacy Agency assists with </w:t>
            </w:r>
            <w:r w:rsidR="00A539B3">
              <w:rPr>
                <w:rFonts w:ascii="Arial" w:hAnsi="Arial" w:cs="Arial"/>
                <w:sz w:val="18"/>
                <w:szCs w:val="18"/>
              </w:rPr>
              <w:t xml:space="preserve">and reviews </w:t>
            </w:r>
            <w:r>
              <w:rPr>
                <w:rFonts w:ascii="Arial" w:hAnsi="Arial" w:cs="Arial"/>
                <w:sz w:val="18"/>
                <w:szCs w:val="18"/>
              </w:rPr>
              <w:t>lead service line inventory</w:t>
            </w:r>
          </w:p>
        </w:tc>
        <w:tc>
          <w:tcPr>
            <w:tcW w:w="1170" w:type="dxa"/>
            <w:tcMar>
              <w:left w:w="115" w:type="dxa"/>
              <w:right w:w="720" w:type="dxa"/>
            </w:tcMar>
            <w:vAlign w:val="center"/>
          </w:tcPr>
          <w:p w14:paraId="24F13096" w14:textId="16134951" w:rsidR="00940C93" w:rsidRDefault="00940C93" w:rsidP="00940C93">
            <w:pPr>
              <w:pStyle w:val="Table"/>
              <w:ind w:right="-517"/>
              <w:jc w:val="right"/>
              <w:rPr>
                <w:color w:val="000000"/>
                <w:sz w:val="18"/>
                <w:szCs w:val="18"/>
              </w:rPr>
            </w:pPr>
            <w:r>
              <w:rPr>
                <w:color w:val="000000"/>
                <w:sz w:val="18"/>
                <w:szCs w:val="18"/>
              </w:rPr>
              <w:t>20,463</w:t>
            </w:r>
          </w:p>
        </w:tc>
        <w:tc>
          <w:tcPr>
            <w:tcW w:w="990" w:type="dxa"/>
            <w:tcMar>
              <w:left w:w="115" w:type="dxa"/>
              <w:right w:w="720" w:type="dxa"/>
            </w:tcMar>
            <w:vAlign w:val="center"/>
          </w:tcPr>
          <w:p w14:paraId="53E1A23D" w14:textId="7CF053A8" w:rsidR="00940C93" w:rsidRDefault="00940C93" w:rsidP="00940C93">
            <w:pPr>
              <w:pStyle w:val="Table"/>
              <w:ind w:right="-559"/>
              <w:jc w:val="right"/>
              <w:rPr>
                <w:color w:val="000000"/>
                <w:sz w:val="18"/>
                <w:szCs w:val="18"/>
              </w:rPr>
            </w:pPr>
            <w:r>
              <w:rPr>
                <w:color w:val="000000"/>
                <w:sz w:val="18"/>
                <w:szCs w:val="18"/>
              </w:rPr>
              <w:t>20,463</w:t>
            </w:r>
          </w:p>
        </w:tc>
        <w:tc>
          <w:tcPr>
            <w:tcW w:w="990" w:type="dxa"/>
            <w:tcMar>
              <w:left w:w="115" w:type="dxa"/>
              <w:right w:w="720" w:type="dxa"/>
            </w:tcMar>
            <w:vAlign w:val="center"/>
          </w:tcPr>
          <w:p w14:paraId="1219DD66" w14:textId="2AC64CD1" w:rsidR="00940C93" w:rsidRDefault="00940C93" w:rsidP="00940C93">
            <w:pPr>
              <w:pStyle w:val="Table"/>
              <w:ind w:right="-600"/>
              <w:jc w:val="right"/>
              <w:rPr>
                <w:color w:val="000000"/>
                <w:sz w:val="18"/>
                <w:szCs w:val="18"/>
              </w:rPr>
            </w:pPr>
            <w:r>
              <w:rPr>
                <w:color w:val="000000"/>
                <w:sz w:val="18"/>
                <w:szCs w:val="18"/>
              </w:rPr>
              <w:t>20,463</w:t>
            </w:r>
          </w:p>
        </w:tc>
        <w:tc>
          <w:tcPr>
            <w:tcW w:w="1033" w:type="dxa"/>
            <w:vAlign w:val="center"/>
          </w:tcPr>
          <w:p w14:paraId="054F405D" w14:textId="147DC046" w:rsidR="00940C93" w:rsidRDefault="00940C93" w:rsidP="00940C93">
            <w:pPr>
              <w:pStyle w:val="Table"/>
              <w:jc w:val="right"/>
              <w:rPr>
                <w:color w:val="000000"/>
                <w:sz w:val="18"/>
                <w:szCs w:val="18"/>
              </w:rPr>
            </w:pPr>
            <w:r>
              <w:rPr>
                <w:color w:val="000000"/>
                <w:sz w:val="18"/>
                <w:szCs w:val="18"/>
              </w:rPr>
              <w:t>25,890</w:t>
            </w:r>
          </w:p>
        </w:tc>
        <w:tc>
          <w:tcPr>
            <w:tcW w:w="990" w:type="dxa"/>
            <w:vAlign w:val="center"/>
          </w:tcPr>
          <w:p w14:paraId="4C64ED00" w14:textId="374608CF" w:rsidR="00940C93" w:rsidRDefault="00940C93" w:rsidP="00940C93">
            <w:pPr>
              <w:pStyle w:val="Table"/>
              <w:jc w:val="right"/>
              <w:rPr>
                <w:color w:val="000000"/>
                <w:sz w:val="18"/>
                <w:szCs w:val="18"/>
              </w:rPr>
            </w:pPr>
            <w:r>
              <w:rPr>
                <w:color w:val="000000"/>
                <w:sz w:val="18"/>
                <w:szCs w:val="18"/>
              </w:rPr>
              <w:t>25,890</w:t>
            </w:r>
          </w:p>
        </w:tc>
        <w:tc>
          <w:tcPr>
            <w:tcW w:w="1119" w:type="dxa"/>
            <w:vAlign w:val="center"/>
          </w:tcPr>
          <w:p w14:paraId="56E50233" w14:textId="14CCBCB3" w:rsidR="00940C93" w:rsidRDefault="00940C93" w:rsidP="00940C93">
            <w:pPr>
              <w:pStyle w:val="Table"/>
              <w:jc w:val="right"/>
              <w:rPr>
                <w:color w:val="000000"/>
                <w:sz w:val="18"/>
                <w:szCs w:val="18"/>
              </w:rPr>
            </w:pPr>
            <w:r>
              <w:rPr>
                <w:color w:val="000000"/>
                <w:sz w:val="18"/>
                <w:szCs w:val="18"/>
              </w:rPr>
              <w:t>25,890</w:t>
            </w:r>
          </w:p>
        </w:tc>
      </w:tr>
      <w:tr w:rsidR="00940C93" w:rsidRPr="00A04EFB" w14:paraId="790C3223" w14:textId="54C964C5" w:rsidTr="00940C93">
        <w:trPr>
          <w:trHeight w:val="540"/>
        </w:trPr>
        <w:tc>
          <w:tcPr>
            <w:tcW w:w="3685" w:type="dxa"/>
            <w:vAlign w:val="center"/>
            <w:hideMark/>
          </w:tcPr>
          <w:p w14:paraId="22D549EB" w14:textId="77777777" w:rsidR="00940C93" w:rsidRPr="00A04EFB" w:rsidRDefault="00940C93" w:rsidP="00940C93">
            <w:pPr>
              <w:pStyle w:val="Table"/>
              <w:rPr>
                <w:sz w:val="18"/>
              </w:rPr>
            </w:pPr>
            <w:r>
              <w:rPr>
                <w:sz w:val="18"/>
              </w:rPr>
              <w:t>Primacy agency</w:t>
            </w:r>
            <w:r w:rsidRPr="00A04EFB">
              <w:rPr>
                <w:sz w:val="18"/>
              </w:rPr>
              <w:t xml:space="preserve"> reviews demonstrations of no lead service lines</w:t>
            </w:r>
          </w:p>
        </w:tc>
        <w:tc>
          <w:tcPr>
            <w:tcW w:w="1170" w:type="dxa"/>
            <w:tcMar>
              <w:left w:w="115" w:type="dxa"/>
              <w:right w:w="720" w:type="dxa"/>
            </w:tcMar>
            <w:vAlign w:val="center"/>
            <w:hideMark/>
          </w:tcPr>
          <w:p w14:paraId="6B819310" w14:textId="1A1020D1" w:rsidR="00940C93" w:rsidRPr="004358ED" w:rsidRDefault="00940C93" w:rsidP="00940C93">
            <w:pPr>
              <w:pStyle w:val="Table"/>
              <w:ind w:right="-517"/>
              <w:jc w:val="right"/>
              <w:rPr>
                <w:sz w:val="18"/>
                <w:szCs w:val="18"/>
              </w:rPr>
            </w:pPr>
            <w:r>
              <w:rPr>
                <w:color w:val="000000"/>
                <w:sz w:val="18"/>
                <w:szCs w:val="18"/>
              </w:rPr>
              <w:t>83,085</w:t>
            </w:r>
          </w:p>
        </w:tc>
        <w:tc>
          <w:tcPr>
            <w:tcW w:w="990" w:type="dxa"/>
            <w:tcMar>
              <w:left w:w="115" w:type="dxa"/>
              <w:right w:w="720" w:type="dxa"/>
            </w:tcMar>
            <w:vAlign w:val="center"/>
            <w:hideMark/>
          </w:tcPr>
          <w:p w14:paraId="64F3ACB8" w14:textId="4323BAF1" w:rsidR="00940C93" w:rsidRPr="004358ED" w:rsidRDefault="00940C93" w:rsidP="00940C93">
            <w:pPr>
              <w:pStyle w:val="Table"/>
              <w:ind w:right="-559"/>
              <w:jc w:val="right"/>
              <w:rPr>
                <w:sz w:val="18"/>
                <w:szCs w:val="18"/>
              </w:rPr>
            </w:pPr>
            <w:r>
              <w:rPr>
                <w:color w:val="000000"/>
                <w:sz w:val="18"/>
                <w:szCs w:val="18"/>
              </w:rPr>
              <w:t>83,085</w:t>
            </w:r>
          </w:p>
        </w:tc>
        <w:tc>
          <w:tcPr>
            <w:tcW w:w="990" w:type="dxa"/>
            <w:tcMar>
              <w:left w:w="115" w:type="dxa"/>
              <w:right w:w="720" w:type="dxa"/>
            </w:tcMar>
            <w:vAlign w:val="center"/>
            <w:hideMark/>
          </w:tcPr>
          <w:p w14:paraId="7335FBDD" w14:textId="1C8FE2C8" w:rsidR="00940C93" w:rsidRPr="004358ED" w:rsidRDefault="00940C93" w:rsidP="00940C93">
            <w:pPr>
              <w:pStyle w:val="Table"/>
              <w:ind w:right="-600"/>
              <w:jc w:val="right"/>
              <w:rPr>
                <w:sz w:val="18"/>
                <w:szCs w:val="18"/>
              </w:rPr>
            </w:pPr>
            <w:r>
              <w:rPr>
                <w:color w:val="000000"/>
                <w:sz w:val="18"/>
                <w:szCs w:val="18"/>
              </w:rPr>
              <w:t>83,085</w:t>
            </w:r>
          </w:p>
        </w:tc>
        <w:tc>
          <w:tcPr>
            <w:tcW w:w="1033" w:type="dxa"/>
            <w:vAlign w:val="center"/>
          </w:tcPr>
          <w:p w14:paraId="4B8D0048" w14:textId="1476D1D2" w:rsidR="00940C93" w:rsidRPr="00CE2FCB" w:rsidRDefault="00940C93" w:rsidP="00940C93">
            <w:pPr>
              <w:pStyle w:val="Table"/>
              <w:jc w:val="right"/>
              <w:rPr>
                <w:sz w:val="18"/>
                <w:szCs w:val="18"/>
              </w:rPr>
            </w:pPr>
            <w:r>
              <w:rPr>
                <w:color w:val="000000"/>
                <w:sz w:val="18"/>
                <w:szCs w:val="18"/>
              </w:rPr>
              <w:t>77,675</w:t>
            </w:r>
          </w:p>
        </w:tc>
        <w:tc>
          <w:tcPr>
            <w:tcW w:w="990" w:type="dxa"/>
            <w:vAlign w:val="center"/>
          </w:tcPr>
          <w:p w14:paraId="46F85C43" w14:textId="4037B3FF" w:rsidR="00940C93" w:rsidRPr="00CE2FCB" w:rsidRDefault="00940C93" w:rsidP="00940C93">
            <w:pPr>
              <w:pStyle w:val="Table"/>
              <w:jc w:val="right"/>
              <w:rPr>
                <w:sz w:val="18"/>
                <w:szCs w:val="18"/>
              </w:rPr>
            </w:pPr>
            <w:r>
              <w:rPr>
                <w:color w:val="000000"/>
                <w:sz w:val="18"/>
                <w:szCs w:val="18"/>
              </w:rPr>
              <w:t>77,675</w:t>
            </w:r>
          </w:p>
        </w:tc>
        <w:tc>
          <w:tcPr>
            <w:tcW w:w="1119" w:type="dxa"/>
            <w:vAlign w:val="center"/>
          </w:tcPr>
          <w:p w14:paraId="4D2BBE32" w14:textId="2A3BE5FE" w:rsidR="00940C93" w:rsidRPr="00CE2FCB" w:rsidRDefault="00940C93" w:rsidP="00940C93">
            <w:pPr>
              <w:pStyle w:val="Table"/>
              <w:jc w:val="right"/>
              <w:rPr>
                <w:sz w:val="18"/>
                <w:szCs w:val="18"/>
              </w:rPr>
            </w:pPr>
            <w:r>
              <w:rPr>
                <w:color w:val="000000"/>
                <w:sz w:val="18"/>
                <w:szCs w:val="18"/>
              </w:rPr>
              <w:t>77,675</w:t>
            </w:r>
          </w:p>
        </w:tc>
      </w:tr>
      <w:tr w:rsidR="00940C93" w:rsidRPr="00A04EFB" w14:paraId="3563D78F" w14:textId="222C5BD5" w:rsidTr="00940C93">
        <w:trPr>
          <w:trHeight w:val="300"/>
        </w:trPr>
        <w:tc>
          <w:tcPr>
            <w:tcW w:w="3685" w:type="dxa"/>
            <w:vAlign w:val="center"/>
          </w:tcPr>
          <w:p w14:paraId="63EC556F" w14:textId="1B2E5B7C" w:rsidR="00940C93" w:rsidRPr="00A04EFB" w:rsidRDefault="00940C93" w:rsidP="00940C93">
            <w:pPr>
              <w:pStyle w:val="Table"/>
              <w:rPr>
                <w:b/>
                <w:sz w:val="18"/>
              </w:rPr>
            </w:pPr>
            <w:r>
              <w:rPr>
                <w:sz w:val="18"/>
              </w:rPr>
              <w:t>Primacy agency</w:t>
            </w:r>
            <w:r w:rsidRPr="00A04EFB">
              <w:rPr>
                <w:sz w:val="18"/>
              </w:rPr>
              <w:t xml:space="preserve"> </w:t>
            </w:r>
            <w:r w:rsidR="00A539B3">
              <w:rPr>
                <w:color w:val="000000"/>
                <w:sz w:val="18"/>
                <w:szCs w:val="18"/>
              </w:rPr>
              <w:t>confers on and reviews initial LSLR plan</w:t>
            </w:r>
          </w:p>
        </w:tc>
        <w:tc>
          <w:tcPr>
            <w:tcW w:w="1170" w:type="dxa"/>
            <w:tcMar>
              <w:left w:w="115" w:type="dxa"/>
              <w:right w:w="720" w:type="dxa"/>
            </w:tcMar>
            <w:vAlign w:val="center"/>
          </w:tcPr>
          <w:p w14:paraId="7C9672BD" w14:textId="44AC5881" w:rsidR="00940C93" w:rsidRPr="004358ED" w:rsidRDefault="00940C93" w:rsidP="00940C93">
            <w:pPr>
              <w:pStyle w:val="Table"/>
              <w:ind w:right="-517"/>
              <w:jc w:val="right"/>
              <w:rPr>
                <w:b/>
                <w:sz w:val="18"/>
                <w:szCs w:val="18"/>
              </w:rPr>
            </w:pPr>
            <w:r>
              <w:rPr>
                <w:color w:val="000000"/>
                <w:sz w:val="18"/>
                <w:szCs w:val="18"/>
              </w:rPr>
              <w:t>31,419</w:t>
            </w:r>
          </w:p>
        </w:tc>
        <w:tc>
          <w:tcPr>
            <w:tcW w:w="990" w:type="dxa"/>
            <w:tcMar>
              <w:left w:w="115" w:type="dxa"/>
              <w:right w:w="720" w:type="dxa"/>
            </w:tcMar>
            <w:vAlign w:val="center"/>
          </w:tcPr>
          <w:p w14:paraId="32BCC0AF" w14:textId="0CDE9A1A" w:rsidR="00940C93" w:rsidRPr="004358ED" w:rsidRDefault="00940C93" w:rsidP="00940C93">
            <w:pPr>
              <w:pStyle w:val="Table"/>
              <w:ind w:right="-559"/>
              <w:jc w:val="right"/>
              <w:rPr>
                <w:b/>
                <w:sz w:val="18"/>
                <w:szCs w:val="18"/>
              </w:rPr>
            </w:pPr>
            <w:r>
              <w:rPr>
                <w:color w:val="000000"/>
                <w:sz w:val="18"/>
                <w:szCs w:val="18"/>
              </w:rPr>
              <w:t>31,419</w:t>
            </w:r>
          </w:p>
        </w:tc>
        <w:tc>
          <w:tcPr>
            <w:tcW w:w="990" w:type="dxa"/>
            <w:tcMar>
              <w:left w:w="115" w:type="dxa"/>
              <w:right w:w="720" w:type="dxa"/>
            </w:tcMar>
            <w:vAlign w:val="center"/>
          </w:tcPr>
          <w:p w14:paraId="0E38D584" w14:textId="3E601B7E" w:rsidR="00940C93" w:rsidRPr="004358ED" w:rsidRDefault="00940C93" w:rsidP="00940C93">
            <w:pPr>
              <w:pStyle w:val="Table"/>
              <w:ind w:right="-600"/>
              <w:jc w:val="right"/>
              <w:rPr>
                <w:b/>
                <w:sz w:val="18"/>
                <w:szCs w:val="18"/>
              </w:rPr>
            </w:pPr>
            <w:r>
              <w:rPr>
                <w:color w:val="000000"/>
                <w:sz w:val="18"/>
                <w:szCs w:val="18"/>
              </w:rPr>
              <w:t>31,419</w:t>
            </w:r>
          </w:p>
        </w:tc>
        <w:tc>
          <w:tcPr>
            <w:tcW w:w="1033" w:type="dxa"/>
            <w:vAlign w:val="center"/>
          </w:tcPr>
          <w:p w14:paraId="62CF5B5B" w14:textId="3FEDE265" w:rsidR="00940C93" w:rsidRPr="000D72F3" w:rsidRDefault="00940C93" w:rsidP="00940C93">
            <w:pPr>
              <w:pStyle w:val="Table"/>
              <w:jc w:val="right"/>
              <w:rPr>
                <w:sz w:val="18"/>
                <w:szCs w:val="18"/>
              </w:rPr>
            </w:pPr>
            <w:r>
              <w:rPr>
                <w:color w:val="000000"/>
                <w:sz w:val="18"/>
                <w:szCs w:val="18"/>
              </w:rPr>
              <w:t>38,864</w:t>
            </w:r>
          </w:p>
        </w:tc>
        <w:tc>
          <w:tcPr>
            <w:tcW w:w="990" w:type="dxa"/>
            <w:vAlign w:val="center"/>
          </w:tcPr>
          <w:p w14:paraId="10261206" w14:textId="0A237ECA" w:rsidR="00940C93" w:rsidRPr="000D72F3" w:rsidRDefault="00940C93" w:rsidP="00940C93">
            <w:pPr>
              <w:pStyle w:val="Table"/>
              <w:jc w:val="right"/>
              <w:rPr>
                <w:sz w:val="18"/>
                <w:szCs w:val="18"/>
              </w:rPr>
            </w:pPr>
            <w:r>
              <w:rPr>
                <w:color w:val="000000"/>
                <w:sz w:val="18"/>
                <w:szCs w:val="18"/>
              </w:rPr>
              <w:t>38,864</w:t>
            </w:r>
          </w:p>
        </w:tc>
        <w:tc>
          <w:tcPr>
            <w:tcW w:w="1119" w:type="dxa"/>
            <w:vAlign w:val="center"/>
          </w:tcPr>
          <w:p w14:paraId="1ACBC1CA" w14:textId="08A5B6C4" w:rsidR="00940C93" w:rsidRPr="000D72F3" w:rsidRDefault="00940C93" w:rsidP="00940C93">
            <w:pPr>
              <w:pStyle w:val="Table"/>
              <w:jc w:val="right"/>
              <w:rPr>
                <w:sz w:val="18"/>
                <w:szCs w:val="18"/>
              </w:rPr>
            </w:pPr>
            <w:r>
              <w:rPr>
                <w:color w:val="000000"/>
                <w:sz w:val="18"/>
                <w:szCs w:val="18"/>
              </w:rPr>
              <w:t>38,864</w:t>
            </w:r>
          </w:p>
        </w:tc>
      </w:tr>
      <w:tr w:rsidR="00940C93" w:rsidRPr="00A04EFB" w14:paraId="7F7CD1EB" w14:textId="15D619D5" w:rsidTr="00940C93">
        <w:trPr>
          <w:trHeight w:val="300"/>
        </w:trPr>
        <w:tc>
          <w:tcPr>
            <w:tcW w:w="3685" w:type="dxa"/>
            <w:vAlign w:val="center"/>
            <w:hideMark/>
          </w:tcPr>
          <w:p w14:paraId="5251620A" w14:textId="77777777" w:rsidR="00940C93" w:rsidRPr="00A04EFB" w:rsidRDefault="00940C93" w:rsidP="00940C93">
            <w:pPr>
              <w:pStyle w:val="Table"/>
              <w:rPr>
                <w:b/>
                <w:sz w:val="18"/>
              </w:rPr>
            </w:pPr>
            <w:r>
              <w:rPr>
                <w:b/>
                <w:sz w:val="18"/>
              </w:rPr>
              <w:t>Primacy Agency</w:t>
            </w:r>
            <w:r w:rsidRPr="00A04EFB">
              <w:rPr>
                <w:b/>
                <w:sz w:val="18"/>
              </w:rPr>
              <w:t xml:space="preserve"> Subtotal</w:t>
            </w:r>
          </w:p>
        </w:tc>
        <w:tc>
          <w:tcPr>
            <w:tcW w:w="1170" w:type="dxa"/>
            <w:tcMar>
              <w:left w:w="115" w:type="dxa"/>
              <w:right w:w="720" w:type="dxa"/>
            </w:tcMar>
            <w:vAlign w:val="center"/>
            <w:hideMark/>
          </w:tcPr>
          <w:p w14:paraId="172AF25A" w14:textId="25ABFCD5" w:rsidR="00940C93" w:rsidRPr="003E6D4B" w:rsidRDefault="00940C93" w:rsidP="00940C93">
            <w:pPr>
              <w:pStyle w:val="Table"/>
              <w:ind w:right="-517"/>
              <w:jc w:val="right"/>
              <w:rPr>
                <w:b/>
                <w:sz w:val="18"/>
                <w:szCs w:val="18"/>
              </w:rPr>
            </w:pPr>
            <w:r>
              <w:rPr>
                <w:b/>
                <w:bCs/>
                <w:color w:val="000000"/>
                <w:sz w:val="18"/>
                <w:szCs w:val="18"/>
              </w:rPr>
              <w:t>215,887</w:t>
            </w:r>
          </w:p>
        </w:tc>
        <w:tc>
          <w:tcPr>
            <w:tcW w:w="990" w:type="dxa"/>
            <w:tcMar>
              <w:left w:w="115" w:type="dxa"/>
              <w:right w:w="720" w:type="dxa"/>
            </w:tcMar>
            <w:vAlign w:val="center"/>
            <w:hideMark/>
          </w:tcPr>
          <w:p w14:paraId="65A01C91" w14:textId="2AF764B7" w:rsidR="00940C93" w:rsidRPr="003E6D4B" w:rsidRDefault="00940C93" w:rsidP="00940C93">
            <w:pPr>
              <w:pStyle w:val="Table"/>
              <w:ind w:right="-559"/>
              <w:jc w:val="right"/>
              <w:rPr>
                <w:b/>
                <w:sz w:val="18"/>
                <w:szCs w:val="18"/>
              </w:rPr>
            </w:pPr>
            <w:r>
              <w:rPr>
                <w:b/>
                <w:bCs/>
                <w:color w:val="000000"/>
                <w:sz w:val="18"/>
                <w:szCs w:val="18"/>
              </w:rPr>
              <w:t>134,967</w:t>
            </w:r>
          </w:p>
        </w:tc>
        <w:tc>
          <w:tcPr>
            <w:tcW w:w="990" w:type="dxa"/>
            <w:tcMar>
              <w:left w:w="115" w:type="dxa"/>
              <w:right w:w="720" w:type="dxa"/>
            </w:tcMar>
            <w:vAlign w:val="center"/>
            <w:hideMark/>
          </w:tcPr>
          <w:p w14:paraId="4A74D784" w14:textId="6DA66AB0" w:rsidR="00940C93" w:rsidRPr="003E6D4B" w:rsidRDefault="00940C93" w:rsidP="00940C93">
            <w:pPr>
              <w:pStyle w:val="Table"/>
              <w:ind w:right="-600"/>
              <w:jc w:val="right"/>
              <w:rPr>
                <w:b/>
                <w:sz w:val="18"/>
                <w:szCs w:val="18"/>
              </w:rPr>
            </w:pPr>
            <w:r>
              <w:rPr>
                <w:b/>
                <w:bCs/>
                <w:color w:val="000000"/>
                <w:sz w:val="18"/>
                <w:szCs w:val="18"/>
              </w:rPr>
              <w:t>134,967</w:t>
            </w:r>
          </w:p>
        </w:tc>
        <w:tc>
          <w:tcPr>
            <w:tcW w:w="1033" w:type="dxa"/>
            <w:vAlign w:val="center"/>
          </w:tcPr>
          <w:p w14:paraId="72EBBFF2" w14:textId="56528173" w:rsidR="00940C93" w:rsidRDefault="00940C93" w:rsidP="00940C93">
            <w:pPr>
              <w:pStyle w:val="Table"/>
              <w:jc w:val="right"/>
              <w:rPr>
                <w:b/>
                <w:sz w:val="18"/>
                <w:szCs w:val="18"/>
              </w:rPr>
            </w:pPr>
            <w:r>
              <w:rPr>
                <w:b/>
                <w:bCs/>
                <w:color w:val="000000"/>
                <w:sz w:val="18"/>
                <w:szCs w:val="18"/>
              </w:rPr>
              <w:t>223,349</w:t>
            </w:r>
          </w:p>
        </w:tc>
        <w:tc>
          <w:tcPr>
            <w:tcW w:w="990" w:type="dxa"/>
            <w:vAlign w:val="center"/>
          </w:tcPr>
          <w:p w14:paraId="2EC08A40" w14:textId="5E6D63F4" w:rsidR="00940C93" w:rsidRDefault="00940C93" w:rsidP="00940C93">
            <w:pPr>
              <w:pStyle w:val="Table"/>
              <w:jc w:val="right"/>
              <w:rPr>
                <w:b/>
                <w:sz w:val="18"/>
                <w:szCs w:val="18"/>
              </w:rPr>
            </w:pPr>
            <w:r>
              <w:rPr>
                <w:b/>
                <w:bCs/>
                <w:color w:val="000000"/>
                <w:sz w:val="18"/>
                <w:szCs w:val="18"/>
              </w:rPr>
              <w:t>142,429</w:t>
            </w:r>
          </w:p>
        </w:tc>
        <w:tc>
          <w:tcPr>
            <w:tcW w:w="1119" w:type="dxa"/>
            <w:vAlign w:val="center"/>
          </w:tcPr>
          <w:p w14:paraId="51A9C3BD" w14:textId="15B152E2" w:rsidR="00940C93" w:rsidRDefault="00940C93" w:rsidP="00940C93">
            <w:pPr>
              <w:pStyle w:val="Table"/>
              <w:jc w:val="right"/>
              <w:rPr>
                <w:b/>
                <w:sz w:val="18"/>
                <w:szCs w:val="18"/>
              </w:rPr>
            </w:pPr>
            <w:r>
              <w:rPr>
                <w:b/>
                <w:bCs/>
                <w:color w:val="000000"/>
                <w:sz w:val="18"/>
                <w:szCs w:val="18"/>
              </w:rPr>
              <w:t>142,429</w:t>
            </w:r>
          </w:p>
        </w:tc>
      </w:tr>
      <w:tr w:rsidR="00940C93" w:rsidRPr="00A04EFB" w14:paraId="0A61EE73" w14:textId="78C70ECF" w:rsidTr="00940C93">
        <w:trPr>
          <w:trHeight w:val="300"/>
        </w:trPr>
        <w:tc>
          <w:tcPr>
            <w:tcW w:w="3685" w:type="dxa"/>
            <w:vAlign w:val="center"/>
            <w:hideMark/>
          </w:tcPr>
          <w:p w14:paraId="728E24F2" w14:textId="77777777" w:rsidR="00940C93" w:rsidRPr="00A04EFB" w:rsidRDefault="00940C93" w:rsidP="00940C93">
            <w:pPr>
              <w:pStyle w:val="Table"/>
              <w:rPr>
                <w:b/>
                <w:sz w:val="18"/>
              </w:rPr>
            </w:pPr>
            <w:r>
              <w:rPr>
                <w:b/>
                <w:sz w:val="18"/>
              </w:rPr>
              <w:t>Combined System</w:t>
            </w:r>
            <w:r w:rsidRPr="00A04EFB">
              <w:rPr>
                <w:b/>
                <w:sz w:val="18"/>
              </w:rPr>
              <w:t xml:space="preserve"> and </w:t>
            </w:r>
            <w:r>
              <w:rPr>
                <w:b/>
                <w:sz w:val="18"/>
              </w:rPr>
              <w:t>Primacy Agency Total</w:t>
            </w:r>
          </w:p>
        </w:tc>
        <w:tc>
          <w:tcPr>
            <w:tcW w:w="1170" w:type="dxa"/>
            <w:tcMar>
              <w:left w:w="115" w:type="dxa"/>
              <w:right w:w="720" w:type="dxa"/>
            </w:tcMar>
            <w:vAlign w:val="center"/>
            <w:hideMark/>
          </w:tcPr>
          <w:p w14:paraId="522C4C6D" w14:textId="05FD9B6E" w:rsidR="00940C93" w:rsidRPr="003E6D4B" w:rsidRDefault="00940C93" w:rsidP="00940C93">
            <w:pPr>
              <w:pStyle w:val="Table"/>
              <w:ind w:right="-517"/>
              <w:jc w:val="right"/>
              <w:rPr>
                <w:b/>
                <w:sz w:val="18"/>
                <w:szCs w:val="18"/>
              </w:rPr>
            </w:pPr>
            <w:r>
              <w:rPr>
                <w:b/>
                <w:bCs/>
                <w:color w:val="000000"/>
                <w:sz w:val="18"/>
                <w:szCs w:val="18"/>
              </w:rPr>
              <w:t>1,863,012</w:t>
            </w:r>
          </w:p>
        </w:tc>
        <w:tc>
          <w:tcPr>
            <w:tcW w:w="990" w:type="dxa"/>
            <w:tcMar>
              <w:left w:w="115" w:type="dxa"/>
              <w:right w:w="720" w:type="dxa"/>
            </w:tcMar>
            <w:vAlign w:val="center"/>
            <w:hideMark/>
          </w:tcPr>
          <w:p w14:paraId="087CDCD3" w14:textId="5F61B34C" w:rsidR="00940C93" w:rsidRPr="003E6D4B" w:rsidRDefault="00940C93" w:rsidP="00940C93">
            <w:pPr>
              <w:pStyle w:val="Table"/>
              <w:ind w:right="-559"/>
              <w:jc w:val="right"/>
              <w:rPr>
                <w:b/>
                <w:sz w:val="18"/>
                <w:szCs w:val="18"/>
              </w:rPr>
            </w:pPr>
            <w:r>
              <w:rPr>
                <w:b/>
                <w:bCs/>
                <w:color w:val="000000"/>
                <w:sz w:val="18"/>
                <w:szCs w:val="18"/>
              </w:rPr>
              <w:t>428,972</w:t>
            </w:r>
          </w:p>
        </w:tc>
        <w:tc>
          <w:tcPr>
            <w:tcW w:w="990" w:type="dxa"/>
            <w:tcMar>
              <w:left w:w="115" w:type="dxa"/>
              <w:right w:w="720" w:type="dxa"/>
            </w:tcMar>
            <w:vAlign w:val="center"/>
            <w:hideMark/>
          </w:tcPr>
          <w:p w14:paraId="39303B5B" w14:textId="1EA5B824" w:rsidR="00940C93" w:rsidRPr="003E6D4B" w:rsidRDefault="00940C93" w:rsidP="00940C93">
            <w:pPr>
              <w:pStyle w:val="Table"/>
              <w:ind w:right="-600"/>
              <w:jc w:val="right"/>
              <w:rPr>
                <w:b/>
                <w:sz w:val="18"/>
                <w:szCs w:val="18"/>
              </w:rPr>
            </w:pPr>
            <w:r>
              <w:rPr>
                <w:b/>
                <w:bCs/>
                <w:color w:val="000000"/>
                <w:sz w:val="18"/>
                <w:szCs w:val="18"/>
              </w:rPr>
              <w:t>428,972</w:t>
            </w:r>
          </w:p>
        </w:tc>
        <w:tc>
          <w:tcPr>
            <w:tcW w:w="1033" w:type="dxa"/>
            <w:vAlign w:val="center"/>
          </w:tcPr>
          <w:p w14:paraId="14D1B426" w14:textId="52AFF872" w:rsidR="00940C93" w:rsidRPr="00C70EB2" w:rsidRDefault="00940C93" w:rsidP="00940C93">
            <w:pPr>
              <w:pStyle w:val="Table"/>
              <w:jc w:val="right"/>
              <w:rPr>
                <w:b/>
                <w:sz w:val="18"/>
                <w:szCs w:val="18"/>
              </w:rPr>
            </w:pPr>
            <w:r>
              <w:rPr>
                <w:b/>
                <w:bCs/>
                <w:color w:val="000000"/>
                <w:sz w:val="18"/>
                <w:szCs w:val="18"/>
              </w:rPr>
              <w:t>1,907,749</w:t>
            </w:r>
          </w:p>
        </w:tc>
        <w:tc>
          <w:tcPr>
            <w:tcW w:w="990" w:type="dxa"/>
            <w:vAlign w:val="center"/>
          </w:tcPr>
          <w:p w14:paraId="17707204" w14:textId="44D498BC" w:rsidR="00940C93" w:rsidRPr="00C70EB2" w:rsidRDefault="00940C93" w:rsidP="00940C93">
            <w:pPr>
              <w:pStyle w:val="Table"/>
              <w:jc w:val="right"/>
              <w:rPr>
                <w:b/>
                <w:sz w:val="18"/>
                <w:szCs w:val="18"/>
              </w:rPr>
            </w:pPr>
            <w:r>
              <w:rPr>
                <w:b/>
                <w:bCs/>
                <w:color w:val="000000"/>
                <w:sz w:val="18"/>
                <w:szCs w:val="18"/>
              </w:rPr>
              <w:t>473,709</w:t>
            </w:r>
          </w:p>
        </w:tc>
        <w:tc>
          <w:tcPr>
            <w:tcW w:w="1119" w:type="dxa"/>
            <w:vAlign w:val="center"/>
          </w:tcPr>
          <w:p w14:paraId="079023A6" w14:textId="7545EA4D" w:rsidR="00940C93" w:rsidRPr="00C70EB2" w:rsidRDefault="00940C93" w:rsidP="00940C93">
            <w:pPr>
              <w:pStyle w:val="Table"/>
              <w:jc w:val="right"/>
              <w:rPr>
                <w:b/>
                <w:sz w:val="18"/>
                <w:szCs w:val="18"/>
              </w:rPr>
            </w:pPr>
            <w:r>
              <w:rPr>
                <w:b/>
                <w:bCs/>
                <w:color w:val="000000"/>
                <w:sz w:val="18"/>
                <w:szCs w:val="18"/>
              </w:rPr>
              <w:t>473,709</w:t>
            </w:r>
          </w:p>
        </w:tc>
      </w:tr>
    </w:tbl>
    <w:p w14:paraId="6A0563D4" w14:textId="77777777" w:rsidR="009F22A6" w:rsidRDefault="009F22A6" w:rsidP="009F22A6"/>
    <w:p w14:paraId="6BD3A2BD" w14:textId="79BE230B" w:rsidR="00C5374C" w:rsidRDefault="00C5374C" w:rsidP="00C5374C">
      <w:pPr>
        <w:pStyle w:val="Caption"/>
        <w:rPr>
          <w:noProof/>
        </w:rPr>
      </w:pPr>
      <w:bookmarkStart w:id="154" w:name="_Ref4742203"/>
      <w:bookmarkStart w:id="155" w:name="_Toc23139302"/>
      <w:bookmarkStart w:id="156" w:name="OLE_LINK1"/>
      <w:r>
        <w:t xml:space="preserve">Exhibit </w:t>
      </w:r>
      <w:r>
        <w:rPr>
          <w:noProof/>
        </w:rPr>
        <w:fldChar w:fldCharType="begin"/>
      </w:r>
      <w:r>
        <w:rPr>
          <w:noProof/>
        </w:rPr>
        <w:instrText xml:space="preserve"> SEQ Exhibit \* ARABIC </w:instrText>
      </w:r>
      <w:r>
        <w:rPr>
          <w:noProof/>
        </w:rPr>
        <w:fldChar w:fldCharType="separate"/>
      </w:r>
      <w:r w:rsidR="007A79EF">
        <w:rPr>
          <w:noProof/>
        </w:rPr>
        <w:t>13</w:t>
      </w:r>
      <w:r>
        <w:rPr>
          <w:noProof/>
        </w:rPr>
        <w:fldChar w:fldCharType="end"/>
      </w:r>
      <w:bookmarkEnd w:id="154"/>
      <w:r>
        <w:rPr>
          <w:noProof/>
        </w:rPr>
        <w:t xml:space="preserve">. </w:t>
      </w:r>
      <w:r w:rsidR="009F7A5C">
        <w:rPr>
          <w:noProof/>
        </w:rPr>
        <w:t xml:space="preserve">Annual </w:t>
      </w:r>
      <w:r>
        <w:rPr>
          <w:noProof/>
        </w:rPr>
        <w:t>Distribution of Cost</w:t>
      </w:r>
      <w:r w:rsidRPr="00A251BF">
        <w:rPr>
          <w:noProof/>
        </w:rPr>
        <w:t xml:space="preserve"> </w:t>
      </w:r>
      <w:r>
        <w:rPr>
          <w:noProof/>
        </w:rPr>
        <w:t>over the ICR Period</w:t>
      </w:r>
      <w:bookmarkEnd w:id="155"/>
    </w:p>
    <w:tbl>
      <w:tblPr>
        <w:tblStyle w:val="TableGrid"/>
        <w:tblW w:w="9977" w:type="dxa"/>
        <w:tblLayout w:type="fixed"/>
        <w:tblLook w:val="04A0" w:firstRow="1" w:lastRow="0" w:firstColumn="1" w:lastColumn="0" w:noHBand="0" w:noVBand="1"/>
      </w:tblPr>
      <w:tblGrid>
        <w:gridCol w:w="2245"/>
        <w:gridCol w:w="1350"/>
        <w:gridCol w:w="1350"/>
        <w:gridCol w:w="1260"/>
        <w:gridCol w:w="1260"/>
        <w:gridCol w:w="1260"/>
        <w:gridCol w:w="1252"/>
      </w:tblGrid>
      <w:tr w:rsidR="00940C93" w:rsidRPr="00A04EFB" w14:paraId="6D0D232F" w14:textId="77777777" w:rsidTr="00940C93">
        <w:trPr>
          <w:trHeight w:val="300"/>
          <w:tblHeader/>
        </w:trPr>
        <w:tc>
          <w:tcPr>
            <w:tcW w:w="2245" w:type="dxa"/>
            <w:vMerge w:val="restart"/>
            <w:vAlign w:val="center"/>
          </w:tcPr>
          <w:bookmarkEnd w:id="156"/>
          <w:p w14:paraId="7F2C2A5D" w14:textId="77777777" w:rsidR="00940C93" w:rsidRPr="00A04EFB" w:rsidRDefault="00940C93" w:rsidP="00AE14EF">
            <w:pPr>
              <w:pStyle w:val="Table"/>
              <w:jc w:val="center"/>
              <w:rPr>
                <w:b/>
                <w:sz w:val="18"/>
              </w:rPr>
            </w:pPr>
            <w:r w:rsidRPr="00A04EFB">
              <w:rPr>
                <w:b/>
                <w:sz w:val="18"/>
              </w:rPr>
              <w:t>Requirement</w:t>
            </w:r>
          </w:p>
        </w:tc>
        <w:tc>
          <w:tcPr>
            <w:tcW w:w="3960" w:type="dxa"/>
            <w:gridSpan w:val="3"/>
            <w:vAlign w:val="center"/>
          </w:tcPr>
          <w:p w14:paraId="5C623D00" w14:textId="77777777" w:rsidR="00940C93" w:rsidRPr="00A04EFB" w:rsidRDefault="00940C93" w:rsidP="00AE14EF">
            <w:pPr>
              <w:pStyle w:val="Table"/>
              <w:jc w:val="center"/>
              <w:rPr>
                <w:b/>
                <w:sz w:val="18"/>
              </w:rPr>
            </w:pPr>
            <w:r>
              <w:rPr>
                <w:b/>
                <w:sz w:val="18"/>
              </w:rPr>
              <w:t>Low Cost Scenario</w:t>
            </w:r>
          </w:p>
        </w:tc>
        <w:tc>
          <w:tcPr>
            <w:tcW w:w="3772" w:type="dxa"/>
            <w:gridSpan w:val="3"/>
            <w:vAlign w:val="center"/>
          </w:tcPr>
          <w:p w14:paraId="3FCB15B9" w14:textId="77777777" w:rsidR="00940C93" w:rsidRPr="00A04EFB" w:rsidRDefault="00940C93" w:rsidP="00AE14EF">
            <w:pPr>
              <w:pStyle w:val="Table"/>
              <w:jc w:val="center"/>
              <w:rPr>
                <w:b/>
                <w:sz w:val="18"/>
              </w:rPr>
            </w:pPr>
            <w:r>
              <w:rPr>
                <w:b/>
                <w:sz w:val="18"/>
              </w:rPr>
              <w:t>High Cost Scenario</w:t>
            </w:r>
          </w:p>
        </w:tc>
      </w:tr>
      <w:tr w:rsidR="00940C93" w:rsidRPr="00A04EFB" w14:paraId="44DD679E" w14:textId="77777777" w:rsidTr="00940C93">
        <w:trPr>
          <w:trHeight w:val="300"/>
          <w:tblHeader/>
        </w:trPr>
        <w:tc>
          <w:tcPr>
            <w:tcW w:w="2245" w:type="dxa"/>
            <w:vMerge/>
            <w:vAlign w:val="center"/>
            <w:hideMark/>
          </w:tcPr>
          <w:p w14:paraId="2C0BBF22" w14:textId="77777777" w:rsidR="00940C93" w:rsidRPr="00A04EFB" w:rsidRDefault="00940C93" w:rsidP="00AE14EF">
            <w:pPr>
              <w:pStyle w:val="Table"/>
              <w:jc w:val="center"/>
              <w:rPr>
                <w:b/>
                <w:sz w:val="18"/>
              </w:rPr>
            </w:pPr>
          </w:p>
        </w:tc>
        <w:tc>
          <w:tcPr>
            <w:tcW w:w="1350" w:type="dxa"/>
            <w:vAlign w:val="center"/>
            <w:hideMark/>
          </w:tcPr>
          <w:p w14:paraId="59B034F8" w14:textId="769EEF77" w:rsidR="00940C93" w:rsidRPr="00A04EFB" w:rsidRDefault="00940C93" w:rsidP="00E71DB1">
            <w:pPr>
              <w:pStyle w:val="Table"/>
              <w:jc w:val="center"/>
              <w:rPr>
                <w:b/>
                <w:sz w:val="18"/>
              </w:rPr>
            </w:pPr>
            <w:r w:rsidRPr="00A04EFB">
              <w:rPr>
                <w:b/>
                <w:sz w:val="18"/>
              </w:rPr>
              <w:t xml:space="preserve">Year 1 </w:t>
            </w:r>
            <w:r w:rsidR="00E71DB1">
              <w:rPr>
                <w:b/>
                <w:sz w:val="18"/>
              </w:rPr>
              <w:t>Cost</w:t>
            </w:r>
          </w:p>
        </w:tc>
        <w:tc>
          <w:tcPr>
            <w:tcW w:w="1350" w:type="dxa"/>
            <w:vAlign w:val="center"/>
            <w:hideMark/>
          </w:tcPr>
          <w:p w14:paraId="57ED0215" w14:textId="533CBB4B" w:rsidR="00940C93" w:rsidRPr="00A04EFB" w:rsidRDefault="00940C93" w:rsidP="00E71DB1">
            <w:pPr>
              <w:pStyle w:val="Table"/>
              <w:jc w:val="center"/>
              <w:rPr>
                <w:b/>
                <w:sz w:val="18"/>
              </w:rPr>
            </w:pPr>
            <w:r w:rsidRPr="00A04EFB">
              <w:rPr>
                <w:b/>
                <w:sz w:val="18"/>
              </w:rPr>
              <w:t xml:space="preserve">Year 2 </w:t>
            </w:r>
            <w:r w:rsidR="00E71DB1">
              <w:rPr>
                <w:b/>
                <w:sz w:val="18"/>
              </w:rPr>
              <w:t>Cost</w:t>
            </w:r>
          </w:p>
        </w:tc>
        <w:tc>
          <w:tcPr>
            <w:tcW w:w="1260" w:type="dxa"/>
            <w:vAlign w:val="center"/>
            <w:hideMark/>
          </w:tcPr>
          <w:p w14:paraId="3A75C05D" w14:textId="5BEA1A3D" w:rsidR="00940C93" w:rsidRPr="00A04EFB" w:rsidRDefault="00940C93" w:rsidP="00E71DB1">
            <w:pPr>
              <w:pStyle w:val="Table"/>
              <w:jc w:val="center"/>
              <w:rPr>
                <w:b/>
                <w:sz w:val="18"/>
              </w:rPr>
            </w:pPr>
            <w:r w:rsidRPr="00A04EFB">
              <w:rPr>
                <w:b/>
                <w:sz w:val="18"/>
              </w:rPr>
              <w:t xml:space="preserve">Year 3 </w:t>
            </w:r>
            <w:r w:rsidR="00E71DB1">
              <w:rPr>
                <w:b/>
                <w:sz w:val="18"/>
              </w:rPr>
              <w:t>Cost</w:t>
            </w:r>
          </w:p>
        </w:tc>
        <w:tc>
          <w:tcPr>
            <w:tcW w:w="1260" w:type="dxa"/>
            <w:vAlign w:val="center"/>
          </w:tcPr>
          <w:p w14:paraId="5261765E" w14:textId="3EFD88E0" w:rsidR="00940C93" w:rsidRPr="00A04EFB" w:rsidRDefault="00940C93" w:rsidP="00E71DB1">
            <w:pPr>
              <w:pStyle w:val="Table"/>
              <w:jc w:val="center"/>
              <w:rPr>
                <w:b/>
                <w:sz w:val="18"/>
              </w:rPr>
            </w:pPr>
            <w:r w:rsidRPr="00A04EFB">
              <w:rPr>
                <w:b/>
                <w:sz w:val="18"/>
              </w:rPr>
              <w:t xml:space="preserve">Year 1 </w:t>
            </w:r>
            <w:r w:rsidR="00E71DB1">
              <w:rPr>
                <w:b/>
                <w:sz w:val="18"/>
              </w:rPr>
              <w:t>Cost</w:t>
            </w:r>
          </w:p>
        </w:tc>
        <w:tc>
          <w:tcPr>
            <w:tcW w:w="1260" w:type="dxa"/>
            <w:vAlign w:val="center"/>
          </w:tcPr>
          <w:p w14:paraId="0006D20A" w14:textId="1F78D6BD" w:rsidR="00940C93" w:rsidRPr="00A04EFB" w:rsidRDefault="00940C93" w:rsidP="00E71DB1">
            <w:pPr>
              <w:pStyle w:val="Table"/>
              <w:jc w:val="center"/>
              <w:rPr>
                <w:b/>
                <w:sz w:val="18"/>
              </w:rPr>
            </w:pPr>
            <w:r w:rsidRPr="00A04EFB">
              <w:rPr>
                <w:b/>
                <w:sz w:val="18"/>
              </w:rPr>
              <w:t xml:space="preserve">Year 2 </w:t>
            </w:r>
            <w:r w:rsidR="00E71DB1">
              <w:rPr>
                <w:b/>
                <w:sz w:val="18"/>
              </w:rPr>
              <w:t>Cost</w:t>
            </w:r>
          </w:p>
        </w:tc>
        <w:tc>
          <w:tcPr>
            <w:tcW w:w="1252" w:type="dxa"/>
            <w:vAlign w:val="center"/>
          </w:tcPr>
          <w:p w14:paraId="20B46D9A" w14:textId="79D2D092" w:rsidR="00940C93" w:rsidRPr="00A04EFB" w:rsidRDefault="00940C93" w:rsidP="00E71DB1">
            <w:pPr>
              <w:pStyle w:val="Table"/>
              <w:jc w:val="center"/>
              <w:rPr>
                <w:b/>
                <w:sz w:val="18"/>
              </w:rPr>
            </w:pPr>
            <w:r w:rsidRPr="00A04EFB">
              <w:rPr>
                <w:b/>
                <w:sz w:val="18"/>
              </w:rPr>
              <w:t xml:space="preserve">Year 3 </w:t>
            </w:r>
            <w:r w:rsidR="00E71DB1">
              <w:rPr>
                <w:b/>
                <w:sz w:val="18"/>
              </w:rPr>
              <w:t>Cost</w:t>
            </w:r>
          </w:p>
        </w:tc>
      </w:tr>
      <w:tr w:rsidR="00940C93" w:rsidRPr="00A04EFB" w14:paraId="688CE7D9" w14:textId="77777777" w:rsidTr="00940C93">
        <w:trPr>
          <w:trHeight w:val="540"/>
        </w:trPr>
        <w:tc>
          <w:tcPr>
            <w:tcW w:w="2245" w:type="dxa"/>
            <w:vAlign w:val="center"/>
            <w:hideMark/>
          </w:tcPr>
          <w:p w14:paraId="7CDCE220" w14:textId="77777777" w:rsidR="00940C93" w:rsidRPr="00A04EFB" w:rsidRDefault="00940C93" w:rsidP="00940C93">
            <w:pPr>
              <w:pStyle w:val="Table"/>
              <w:rPr>
                <w:sz w:val="18"/>
              </w:rPr>
            </w:pPr>
            <w:r w:rsidRPr="00A04EFB">
              <w:rPr>
                <w:sz w:val="18"/>
              </w:rPr>
              <w:t>System start-up activities (read rule, assign staff, attend training)</w:t>
            </w:r>
          </w:p>
        </w:tc>
        <w:tc>
          <w:tcPr>
            <w:tcW w:w="1350" w:type="dxa"/>
            <w:tcMar>
              <w:left w:w="115" w:type="dxa"/>
              <w:right w:w="720" w:type="dxa"/>
            </w:tcMar>
            <w:vAlign w:val="center"/>
            <w:hideMark/>
          </w:tcPr>
          <w:p w14:paraId="40DBDBA3" w14:textId="7E4C8F1E" w:rsidR="00940C93" w:rsidRPr="004358ED" w:rsidRDefault="00940C93" w:rsidP="00940C93">
            <w:pPr>
              <w:pStyle w:val="Table"/>
              <w:ind w:right="-517"/>
              <w:jc w:val="right"/>
              <w:rPr>
                <w:sz w:val="18"/>
                <w:szCs w:val="18"/>
              </w:rPr>
            </w:pPr>
            <w:r>
              <w:rPr>
                <w:color w:val="000000"/>
                <w:sz w:val="18"/>
                <w:szCs w:val="18"/>
              </w:rPr>
              <w:t xml:space="preserve">$40,028,655 </w:t>
            </w:r>
          </w:p>
        </w:tc>
        <w:tc>
          <w:tcPr>
            <w:tcW w:w="1350" w:type="dxa"/>
            <w:tcMar>
              <w:left w:w="115" w:type="dxa"/>
              <w:right w:w="720" w:type="dxa"/>
            </w:tcMar>
            <w:vAlign w:val="center"/>
            <w:hideMark/>
          </w:tcPr>
          <w:p w14:paraId="4D85D95A" w14:textId="6C1468AC" w:rsidR="00940C93" w:rsidRPr="004358ED" w:rsidRDefault="00940C93" w:rsidP="00940C93">
            <w:pPr>
              <w:pStyle w:val="Table"/>
              <w:ind w:right="-559"/>
              <w:jc w:val="right"/>
              <w:rPr>
                <w:sz w:val="18"/>
                <w:szCs w:val="18"/>
              </w:rPr>
            </w:pPr>
            <w:r>
              <w:rPr>
                <w:color w:val="000000"/>
                <w:sz w:val="18"/>
                <w:szCs w:val="18"/>
              </w:rPr>
              <w:t xml:space="preserve">$0 </w:t>
            </w:r>
          </w:p>
        </w:tc>
        <w:tc>
          <w:tcPr>
            <w:tcW w:w="1260" w:type="dxa"/>
            <w:tcMar>
              <w:left w:w="115" w:type="dxa"/>
              <w:right w:w="720" w:type="dxa"/>
            </w:tcMar>
            <w:vAlign w:val="center"/>
            <w:hideMark/>
          </w:tcPr>
          <w:p w14:paraId="22F02312" w14:textId="3C9FFC95" w:rsidR="00940C93" w:rsidRPr="004358ED" w:rsidRDefault="00940C93" w:rsidP="00940C93">
            <w:pPr>
              <w:pStyle w:val="Table"/>
              <w:ind w:right="-600"/>
              <w:jc w:val="right"/>
              <w:rPr>
                <w:sz w:val="18"/>
                <w:szCs w:val="18"/>
              </w:rPr>
            </w:pPr>
            <w:r>
              <w:rPr>
                <w:color w:val="000000"/>
                <w:sz w:val="18"/>
                <w:szCs w:val="18"/>
              </w:rPr>
              <w:t xml:space="preserve">$0 </w:t>
            </w:r>
          </w:p>
        </w:tc>
        <w:tc>
          <w:tcPr>
            <w:tcW w:w="1260" w:type="dxa"/>
            <w:vAlign w:val="center"/>
          </w:tcPr>
          <w:p w14:paraId="717E270D" w14:textId="6847E82C" w:rsidR="00940C93" w:rsidRPr="00CE2FCB" w:rsidRDefault="00940C93" w:rsidP="00940C93">
            <w:pPr>
              <w:pStyle w:val="Table"/>
              <w:jc w:val="right"/>
              <w:rPr>
                <w:sz w:val="18"/>
                <w:szCs w:val="18"/>
              </w:rPr>
            </w:pPr>
            <w:r>
              <w:rPr>
                <w:color w:val="000000"/>
                <w:sz w:val="18"/>
                <w:szCs w:val="18"/>
              </w:rPr>
              <w:t xml:space="preserve">$40,028,655 </w:t>
            </w:r>
          </w:p>
        </w:tc>
        <w:tc>
          <w:tcPr>
            <w:tcW w:w="1260" w:type="dxa"/>
            <w:vAlign w:val="center"/>
          </w:tcPr>
          <w:p w14:paraId="0FAD22CC" w14:textId="653AE8BE" w:rsidR="00940C93" w:rsidRPr="00CE2FCB" w:rsidRDefault="00940C93" w:rsidP="00940C93">
            <w:pPr>
              <w:pStyle w:val="Table"/>
              <w:jc w:val="right"/>
              <w:rPr>
                <w:sz w:val="18"/>
                <w:szCs w:val="18"/>
              </w:rPr>
            </w:pPr>
            <w:r>
              <w:rPr>
                <w:color w:val="000000"/>
                <w:sz w:val="18"/>
                <w:szCs w:val="18"/>
              </w:rPr>
              <w:t xml:space="preserve">$0 </w:t>
            </w:r>
          </w:p>
        </w:tc>
        <w:tc>
          <w:tcPr>
            <w:tcW w:w="1252" w:type="dxa"/>
            <w:vAlign w:val="center"/>
          </w:tcPr>
          <w:p w14:paraId="001CB65E" w14:textId="2D51F189" w:rsidR="00940C93" w:rsidRPr="00CE2FCB" w:rsidRDefault="00940C93" w:rsidP="00940C93">
            <w:pPr>
              <w:pStyle w:val="Table"/>
              <w:jc w:val="right"/>
              <w:rPr>
                <w:sz w:val="18"/>
                <w:szCs w:val="18"/>
              </w:rPr>
            </w:pPr>
            <w:r>
              <w:rPr>
                <w:color w:val="000000"/>
                <w:sz w:val="18"/>
                <w:szCs w:val="18"/>
              </w:rPr>
              <w:t xml:space="preserve">$0 </w:t>
            </w:r>
          </w:p>
        </w:tc>
      </w:tr>
      <w:tr w:rsidR="00940C93" w:rsidRPr="00A04EFB" w14:paraId="4C758A57" w14:textId="77777777" w:rsidTr="00940C93">
        <w:trPr>
          <w:trHeight w:val="540"/>
        </w:trPr>
        <w:tc>
          <w:tcPr>
            <w:tcW w:w="2245" w:type="dxa"/>
            <w:vAlign w:val="center"/>
            <w:hideMark/>
          </w:tcPr>
          <w:p w14:paraId="00A7566A" w14:textId="77777777" w:rsidR="00940C93" w:rsidRPr="00A04EFB" w:rsidRDefault="00940C93" w:rsidP="00940C93">
            <w:pPr>
              <w:pStyle w:val="Table"/>
              <w:rPr>
                <w:sz w:val="18"/>
              </w:rPr>
            </w:pPr>
            <w:r>
              <w:rPr>
                <w:sz w:val="18"/>
              </w:rPr>
              <w:t>System</w:t>
            </w:r>
            <w:r w:rsidRPr="00A04EFB">
              <w:rPr>
                <w:sz w:val="18"/>
              </w:rPr>
              <w:t xml:space="preserve"> develop</w:t>
            </w:r>
            <w:r>
              <w:rPr>
                <w:sz w:val="18"/>
              </w:rPr>
              <w:t>s</w:t>
            </w:r>
            <w:r w:rsidRPr="00A04EFB">
              <w:rPr>
                <w:sz w:val="18"/>
              </w:rPr>
              <w:t xml:space="preserve"> lead service line inventory </w:t>
            </w:r>
          </w:p>
        </w:tc>
        <w:tc>
          <w:tcPr>
            <w:tcW w:w="1350" w:type="dxa"/>
            <w:tcMar>
              <w:left w:w="115" w:type="dxa"/>
              <w:right w:w="720" w:type="dxa"/>
            </w:tcMar>
            <w:vAlign w:val="center"/>
            <w:hideMark/>
          </w:tcPr>
          <w:p w14:paraId="2EAAD58F" w14:textId="4A2AB3AB" w:rsidR="00940C93" w:rsidRPr="004358ED" w:rsidRDefault="00940C93" w:rsidP="00940C93">
            <w:pPr>
              <w:pStyle w:val="Table"/>
              <w:ind w:right="-517"/>
              <w:jc w:val="right"/>
              <w:rPr>
                <w:sz w:val="18"/>
                <w:szCs w:val="18"/>
              </w:rPr>
            </w:pPr>
            <w:r>
              <w:rPr>
                <w:color w:val="000000"/>
                <w:sz w:val="18"/>
                <w:szCs w:val="18"/>
              </w:rPr>
              <w:t xml:space="preserve">$3,526,746 </w:t>
            </w:r>
          </w:p>
        </w:tc>
        <w:tc>
          <w:tcPr>
            <w:tcW w:w="1350" w:type="dxa"/>
            <w:tcMar>
              <w:left w:w="115" w:type="dxa"/>
              <w:right w:w="720" w:type="dxa"/>
            </w:tcMar>
            <w:vAlign w:val="center"/>
            <w:hideMark/>
          </w:tcPr>
          <w:p w14:paraId="6ACF9980" w14:textId="7CA9D0B8" w:rsidR="00940C93" w:rsidRPr="004358ED" w:rsidRDefault="00940C93" w:rsidP="00940C93">
            <w:pPr>
              <w:pStyle w:val="Table"/>
              <w:ind w:right="-559"/>
              <w:jc w:val="right"/>
              <w:rPr>
                <w:sz w:val="18"/>
                <w:szCs w:val="18"/>
              </w:rPr>
            </w:pPr>
            <w:r>
              <w:rPr>
                <w:color w:val="000000"/>
                <w:sz w:val="18"/>
                <w:szCs w:val="18"/>
              </w:rPr>
              <w:t xml:space="preserve">$3,526,746 </w:t>
            </w:r>
          </w:p>
        </w:tc>
        <w:tc>
          <w:tcPr>
            <w:tcW w:w="1260" w:type="dxa"/>
            <w:tcMar>
              <w:left w:w="115" w:type="dxa"/>
              <w:right w:w="720" w:type="dxa"/>
            </w:tcMar>
            <w:vAlign w:val="center"/>
            <w:hideMark/>
          </w:tcPr>
          <w:p w14:paraId="3940C4F0" w14:textId="6AF8DDC4" w:rsidR="00940C93" w:rsidRPr="004358ED" w:rsidRDefault="00940C93" w:rsidP="00940C93">
            <w:pPr>
              <w:pStyle w:val="Table"/>
              <w:ind w:right="-600"/>
              <w:jc w:val="right"/>
              <w:rPr>
                <w:sz w:val="18"/>
                <w:szCs w:val="18"/>
              </w:rPr>
            </w:pPr>
            <w:r>
              <w:rPr>
                <w:color w:val="000000"/>
                <w:sz w:val="18"/>
                <w:szCs w:val="18"/>
              </w:rPr>
              <w:t xml:space="preserve">$3,526,746 </w:t>
            </w:r>
          </w:p>
        </w:tc>
        <w:tc>
          <w:tcPr>
            <w:tcW w:w="1260" w:type="dxa"/>
            <w:vAlign w:val="center"/>
          </w:tcPr>
          <w:p w14:paraId="04D00FF8" w14:textId="5E299B1D" w:rsidR="00940C93" w:rsidRPr="00F73AC1" w:rsidRDefault="00940C93" w:rsidP="00940C93">
            <w:pPr>
              <w:pStyle w:val="Table"/>
              <w:jc w:val="right"/>
              <w:rPr>
                <w:sz w:val="18"/>
                <w:szCs w:val="18"/>
              </w:rPr>
            </w:pPr>
            <w:r>
              <w:rPr>
                <w:color w:val="000000"/>
                <w:sz w:val="18"/>
                <w:szCs w:val="18"/>
              </w:rPr>
              <w:t xml:space="preserve">$4,641,214 </w:t>
            </w:r>
          </w:p>
        </w:tc>
        <w:tc>
          <w:tcPr>
            <w:tcW w:w="1260" w:type="dxa"/>
            <w:vAlign w:val="center"/>
          </w:tcPr>
          <w:p w14:paraId="3D015C55" w14:textId="485EB75E" w:rsidR="00940C93" w:rsidRPr="00F73AC1" w:rsidRDefault="00940C93" w:rsidP="00940C93">
            <w:pPr>
              <w:pStyle w:val="Table"/>
              <w:jc w:val="right"/>
              <w:rPr>
                <w:sz w:val="18"/>
                <w:szCs w:val="18"/>
              </w:rPr>
            </w:pPr>
            <w:r>
              <w:rPr>
                <w:color w:val="000000"/>
                <w:sz w:val="18"/>
                <w:szCs w:val="18"/>
              </w:rPr>
              <w:t xml:space="preserve">$4,641,214 </w:t>
            </w:r>
          </w:p>
        </w:tc>
        <w:tc>
          <w:tcPr>
            <w:tcW w:w="1252" w:type="dxa"/>
            <w:vAlign w:val="center"/>
          </w:tcPr>
          <w:p w14:paraId="78400E67" w14:textId="3AEB8939" w:rsidR="00940C93" w:rsidRPr="00F73AC1" w:rsidRDefault="00940C93" w:rsidP="00940C93">
            <w:pPr>
              <w:pStyle w:val="Table"/>
              <w:jc w:val="right"/>
              <w:rPr>
                <w:sz w:val="18"/>
                <w:szCs w:val="18"/>
              </w:rPr>
            </w:pPr>
            <w:r>
              <w:rPr>
                <w:color w:val="000000"/>
                <w:sz w:val="18"/>
                <w:szCs w:val="18"/>
              </w:rPr>
              <w:t xml:space="preserve">$4,641,214 </w:t>
            </w:r>
          </w:p>
        </w:tc>
      </w:tr>
      <w:tr w:rsidR="00940C93" w:rsidRPr="00A04EFB" w14:paraId="76F4DC87" w14:textId="77777777" w:rsidTr="00940C93">
        <w:trPr>
          <w:trHeight w:val="540"/>
        </w:trPr>
        <w:tc>
          <w:tcPr>
            <w:tcW w:w="2245" w:type="dxa"/>
            <w:vAlign w:val="center"/>
            <w:hideMark/>
          </w:tcPr>
          <w:p w14:paraId="54490E6F" w14:textId="77777777" w:rsidR="00940C93" w:rsidRPr="00A04EFB" w:rsidRDefault="00940C93" w:rsidP="00940C93">
            <w:pPr>
              <w:pStyle w:val="Table"/>
              <w:rPr>
                <w:sz w:val="18"/>
              </w:rPr>
            </w:pPr>
            <w:r w:rsidRPr="00A04EFB">
              <w:rPr>
                <w:sz w:val="18"/>
              </w:rPr>
              <w:t>System submit</w:t>
            </w:r>
            <w:r>
              <w:rPr>
                <w:sz w:val="18"/>
              </w:rPr>
              <w:t>s</w:t>
            </w:r>
            <w:r w:rsidRPr="00A04EFB">
              <w:rPr>
                <w:sz w:val="18"/>
              </w:rPr>
              <w:t xml:space="preserve"> a demonstration of no lead service lines</w:t>
            </w:r>
          </w:p>
        </w:tc>
        <w:tc>
          <w:tcPr>
            <w:tcW w:w="1350" w:type="dxa"/>
            <w:tcMar>
              <w:left w:w="115" w:type="dxa"/>
              <w:right w:w="720" w:type="dxa"/>
            </w:tcMar>
            <w:vAlign w:val="center"/>
            <w:hideMark/>
          </w:tcPr>
          <w:p w14:paraId="11BBA892" w14:textId="7AD8C84A" w:rsidR="00940C93" w:rsidRPr="004358ED" w:rsidRDefault="00940C93" w:rsidP="00940C93">
            <w:pPr>
              <w:pStyle w:val="Table"/>
              <w:ind w:right="-517"/>
              <w:jc w:val="right"/>
              <w:rPr>
                <w:sz w:val="18"/>
                <w:szCs w:val="18"/>
              </w:rPr>
            </w:pPr>
            <w:r>
              <w:rPr>
                <w:color w:val="000000"/>
                <w:sz w:val="18"/>
                <w:szCs w:val="18"/>
              </w:rPr>
              <w:t xml:space="preserve">$4,390,401 </w:t>
            </w:r>
          </w:p>
        </w:tc>
        <w:tc>
          <w:tcPr>
            <w:tcW w:w="1350" w:type="dxa"/>
            <w:tcMar>
              <w:left w:w="115" w:type="dxa"/>
              <w:right w:w="720" w:type="dxa"/>
            </w:tcMar>
            <w:vAlign w:val="center"/>
            <w:hideMark/>
          </w:tcPr>
          <w:p w14:paraId="673EA042" w14:textId="3D820777" w:rsidR="00940C93" w:rsidRPr="004358ED" w:rsidRDefault="00940C93" w:rsidP="00940C93">
            <w:pPr>
              <w:pStyle w:val="Table"/>
              <w:ind w:right="-559"/>
              <w:jc w:val="right"/>
              <w:rPr>
                <w:sz w:val="18"/>
                <w:szCs w:val="18"/>
              </w:rPr>
            </w:pPr>
            <w:r>
              <w:rPr>
                <w:color w:val="000000"/>
                <w:sz w:val="18"/>
                <w:szCs w:val="18"/>
              </w:rPr>
              <w:t xml:space="preserve">$4,390,401 </w:t>
            </w:r>
          </w:p>
        </w:tc>
        <w:tc>
          <w:tcPr>
            <w:tcW w:w="1260" w:type="dxa"/>
            <w:tcMar>
              <w:left w:w="115" w:type="dxa"/>
              <w:right w:w="720" w:type="dxa"/>
            </w:tcMar>
            <w:vAlign w:val="center"/>
            <w:hideMark/>
          </w:tcPr>
          <w:p w14:paraId="6896FF28" w14:textId="050A4661" w:rsidR="00940C93" w:rsidRPr="004358ED" w:rsidRDefault="00940C93" w:rsidP="00940C93">
            <w:pPr>
              <w:pStyle w:val="Table"/>
              <w:ind w:right="-600"/>
              <w:jc w:val="right"/>
              <w:rPr>
                <w:sz w:val="18"/>
                <w:szCs w:val="18"/>
              </w:rPr>
            </w:pPr>
            <w:r>
              <w:rPr>
                <w:color w:val="000000"/>
                <w:sz w:val="18"/>
                <w:szCs w:val="18"/>
              </w:rPr>
              <w:t xml:space="preserve">$4,390,401 </w:t>
            </w:r>
          </w:p>
        </w:tc>
        <w:tc>
          <w:tcPr>
            <w:tcW w:w="1260" w:type="dxa"/>
            <w:vAlign w:val="center"/>
          </w:tcPr>
          <w:p w14:paraId="03C7930D" w14:textId="4618449B" w:rsidR="00940C93" w:rsidRPr="00CE2FCB" w:rsidRDefault="00940C93" w:rsidP="00940C93">
            <w:pPr>
              <w:pStyle w:val="Table"/>
              <w:jc w:val="right"/>
              <w:rPr>
                <w:sz w:val="18"/>
                <w:szCs w:val="18"/>
              </w:rPr>
            </w:pPr>
            <w:r>
              <w:rPr>
                <w:color w:val="000000"/>
                <w:sz w:val="18"/>
                <w:szCs w:val="18"/>
              </w:rPr>
              <w:t xml:space="preserve">$4,040,422 </w:t>
            </w:r>
          </w:p>
        </w:tc>
        <w:tc>
          <w:tcPr>
            <w:tcW w:w="1260" w:type="dxa"/>
            <w:vAlign w:val="center"/>
          </w:tcPr>
          <w:p w14:paraId="1A611452" w14:textId="0208243D" w:rsidR="00940C93" w:rsidRPr="00CE2FCB" w:rsidRDefault="00940C93" w:rsidP="00940C93">
            <w:pPr>
              <w:pStyle w:val="Table"/>
              <w:jc w:val="right"/>
              <w:rPr>
                <w:sz w:val="18"/>
                <w:szCs w:val="18"/>
              </w:rPr>
            </w:pPr>
            <w:r>
              <w:rPr>
                <w:color w:val="000000"/>
                <w:sz w:val="18"/>
                <w:szCs w:val="18"/>
              </w:rPr>
              <w:t xml:space="preserve">$4,040,422 </w:t>
            </w:r>
          </w:p>
        </w:tc>
        <w:tc>
          <w:tcPr>
            <w:tcW w:w="1252" w:type="dxa"/>
            <w:vAlign w:val="center"/>
          </w:tcPr>
          <w:p w14:paraId="195542EA" w14:textId="26CE5FB4" w:rsidR="00940C93" w:rsidRPr="00CE2FCB" w:rsidRDefault="00940C93" w:rsidP="00940C93">
            <w:pPr>
              <w:pStyle w:val="Table"/>
              <w:jc w:val="right"/>
              <w:rPr>
                <w:sz w:val="18"/>
                <w:szCs w:val="18"/>
              </w:rPr>
            </w:pPr>
            <w:r>
              <w:rPr>
                <w:color w:val="000000"/>
                <w:sz w:val="18"/>
                <w:szCs w:val="18"/>
              </w:rPr>
              <w:t xml:space="preserve">$4,040,422 </w:t>
            </w:r>
          </w:p>
        </w:tc>
      </w:tr>
      <w:tr w:rsidR="00940C93" w:rsidRPr="00A04EFB" w14:paraId="2063E57F" w14:textId="77777777" w:rsidTr="00940C93">
        <w:trPr>
          <w:trHeight w:val="300"/>
        </w:trPr>
        <w:tc>
          <w:tcPr>
            <w:tcW w:w="2245" w:type="dxa"/>
            <w:vAlign w:val="center"/>
          </w:tcPr>
          <w:p w14:paraId="2ABD18DC" w14:textId="465512AF" w:rsidR="00940C93" w:rsidRPr="00CE2FCB" w:rsidRDefault="00A539B3" w:rsidP="00940C93">
            <w:pPr>
              <w:pStyle w:val="Table"/>
              <w:rPr>
                <w:sz w:val="18"/>
              </w:rPr>
            </w:pPr>
            <w:r>
              <w:rPr>
                <w:sz w:val="18"/>
                <w:szCs w:val="18"/>
              </w:rPr>
              <w:t xml:space="preserve">System </w:t>
            </w:r>
            <w:r w:rsidRPr="00C33DF8">
              <w:rPr>
                <w:sz w:val="18"/>
                <w:szCs w:val="18"/>
              </w:rPr>
              <w:t>conduct</w:t>
            </w:r>
            <w:r>
              <w:rPr>
                <w:sz w:val="18"/>
                <w:szCs w:val="18"/>
              </w:rPr>
              <w:t>s</w:t>
            </w:r>
            <w:r w:rsidRPr="00C33DF8">
              <w:rPr>
                <w:sz w:val="18"/>
                <w:szCs w:val="18"/>
              </w:rPr>
              <w:t xml:space="preserve"> planning and identif</w:t>
            </w:r>
            <w:r>
              <w:rPr>
                <w:sz w:val="18"/>
                <w:szCs w:val="18"/>
              </w:rPr>
              <w:t>ies</w:t>
            </w:r>
            <w:r w:rsidRPr="00C33DF8">
              <w:rPr>
                <w:sz w:val="18"/>
                <w:szCs w:val="18"/>
              </w:rPr>
              <w:t xml:space="preserve"> financial options</w:t>
            </w:r>
            <w:r>
              <w:rPr>
                <w:sz w:val="18"/>
                <w:szCs w:val="18"/>
              </w:rPr>
              <w:t xml:space="preserve"> </w:t>
            </w:r>
            <w:r w:rsidRPr="00C33DF8">
              <w:rPr>
                <w:sz w:val="18"/>
                <w:szCs w:val="18"/>
              </w:rPr>
              <w:t>for initial planning of LSLR Program</w:t>
            </w:r>
          </w:p>
        </w:tc>
        <w:tc>
          <w:tcPr>
            <w:tcW w:w="1350" w:type="dxa"/>
            <w:tcMar>
              <w:left w:w="115" w:type="dxa"/>
              <w:right w:w="720" w:type="dxa"/>
            </w:tcMar>
            <w:vAlign w:val="center"/>
          </w:tcPr>
          <w:p w14:paraId="336F8677" w14:textId="11D2433F" w:rsidR="00940C93" w:rsidRPr="004358ED" w:rsidRDefault="00940C93" w:rsidP="00940C93">
            <w:pPr>
              <w:pStyle w:val="Table"/>
              <w:ind w:right="-517"/>
              <w:jc w:val="right"/>
              <w:rPr>
                <w:b/>
                <w:sz w:val="18"/>
                <w:szCs w:val="18"/>
              </w:rPr>
            </w:pPr>
            <w:r>
              <w:rPr>
                <w:color w:val="000000"/>
                <w:sz w:val="18"/>
                <w:szCs w:val="18"/>
              </w:rPr>
              <w:t xml:space="preserve">$1,537,407 </w:t>
            </w:r>
          </w:p>
        </w:tc>
        <w:tc>
          <w:tcPr>
            <w:tcW w:w="1350" w:type="dxa"/>
            <w:tcMar>
              <w:left w:w="115" w:type="dxa"/>
              <w:right w:w="720" w:type="dxa"/>
            </w:tcMar>
            <w:vAlign w:val="center"/>
          </w:tcPr>
          <w:p w14:paraId="58865533" w14:textId="71B25477" w:rsidR="00940C93" w:rsidRPr="004358ED" w:rsidRDefault="00940C93" w:rsidP="00940C93">
            <w:pPr>
              <w:pStyle w:val="Table"/>
              <w:ind w:right="-559"/>
              <w:jc w:val="right"/>
              <w:rPr>
                <w:b/>
                <w:sz w:val="18"/>
                <w:szCs w:val="18"/>
              </w:rPr>
            </w:pPr>
            <w:r>
              <w:rPr>
                <w:color w:val="000000"/>
                <w:sz w:val="18"/>
                <w:szCs w:val="18"/>
              </w:rPr>
              <w:t xml:space="preserve">$1,537,407 </w:t>
            </w:r>
          </w:p>
        </w:tc>
        <w:tc>
          <w:tcPr>
            <w:tcW w:w="1260" w:type="dxa"/>
            <w:tcMar>
              <w:left w:w="115" w:type="dxa"/>
              <w:right w:w="720" w:type="dxa"/>
            </w:tcMar>
            <w:vAlign w:val="center"/>
          </w:tcPr>
          <w:p w14:paraId="347F7ACB" w14:textId="1E0B9648" w:rsidR="00940C93" w:rsidRPr="004358ED" w:rsidRDefault="00940C93" w:rsidP="00940C93">
            <w:pPr>
              <w:pStyle w:val="Table"/>
              <w:ind w:right="-600"/>
              <w:jc w:val="right"/>
              <w:rPr>
                <w:b/>
                <w:sz w:val="18"/>
                <w:szCs w:val="18"/>
              </w:rPr>
            </w:pPr>
            <w:r>
              <w:rPr>
                <w:color w:val="000000"/>
                <w:sz w:val="18"/>
                <w:szCs w:val="18"/>
              </w:rPr>
              <w:t xml:space="preserve">$1,537,407 </w:t>
            </w:r>
          </w:p>
        </w:tc>
        <w:tc>
          <w:tcPr>
            <w:tcW w:w="1260" w:type="dxa"/>
            <w:vAlign w:val="center"/>
          </w:tcPr>
          <w:p w14:paraId="19967B7D" w14:textId="02E92FCA" w:rsidR="00940C93" w:rsidRDefault="00940C93" w:rsidP="00940C93">
            <w:pPr>
              <w:pStyle w:val="Table"/>
              <w:jc w:val="right"/>
              <w:rPr>
                <w:sz w:val="18"/>
                <w:szCs w:val="18"/>
              </w:rPr>
            </w:pPr>
            <w:r>
              <w:rPr>
                <w:color w:val="000000"/>
                <w:sz w:val="18"/>
                <w:szCs w:val="18"/>
              </w:rPr>
              <w:t xml:space="preserve">$2,008,348 </w:t>
            </w:r>
          </w:p>
        </w:tc>
        <w:tc>
          <w:tcPr>
            <w:tcW w:w="1260" w:type="dxa"/>
            <w:vAlign w:val="center"/>
          </w:tcPr>
          <w:p w14:paraId="3D0C37A9" w14:textId="5A99BD28" w:rsidR="00940C93" w:rsidRDefault="00940C93" w:rsidP="00940C93">
            <w:pPr>
              <w:pStyle w:val="Table"/>
              <w:jc w:val="right"/>
              <w:rPr>
                <w:sz w:val="18"/>
                <w:szCs w:val="18"/>
              </w:rPr>
            </w:pPr>
            <w:r>
              <w:rPr>
                <w:color w:val="000000"/>
                <w:sz w:val="18"/>
                <w:szCs w:val="18"/>
              </w:rPr>
              <w:t xml:space="preserve">$2,008,348 </w:t>
            </w:r>
          </w:p>
        </w:tc>
        <w:tc>
          <w:tcPr>
            <w:tcW w:w="1252" w:type="dxa"/>
            <w:vAlign w:val="center"/>
          </w:tcPr>
          <w:p w14:paraId="18C032A7" w14:textId="6718FEF4" w:rsidR="00940C93" w:rsidRDefault="00940C93" w:rsidP="00940C93">
            <w:pPr>
              <w:pStyle w:val="Table"/>
              <w:jc w:val="right"/>
              <w:rPr>
                <w:sz w:val="18"/>
                <w:szCs w:val="18"/>
              </w:rPr>
            </w:pPr>
            <w:r>
              <w:rPr>
                <w:color w:val="000000"/>
                <w:sz w:val="18"/>
                <w:szCs w:val="18"/>
              </w:rPr>
              <w:t xml:space="preserve">$2,008,348 </w:t>
            </w:r>
          </w:p>
        </w:tc>
      </w:tr>
      <w:tr w:rsidR="00940C93" w:rsidRPr="00A04EFB" w14:paraId="17C1A00F" w14:textId="77777777" w:rsidTr="00940C93">
        <w:trPr>
          <w:trHeight w:val="300"/>
        </w:trPr>
        <w:tc>
          <w:tcPr>
            <w:tcW w:w="2245" w:type="dxa"/>
            <w:vAlign w:val="center"/>
            <w:hideMark/>
          </w:tcPr>
          <w:p w14:paraId="3367EEC9" w14:textId="77777777" w:rsidR="00940C93" w:rsidRPr="00A04EFB" w:rsidRDefault="00940C93" w:rsidP="00940C93">
            <w:pPr>
              <w:pStyle w:val="Table"/>
              <w:rPr>
                <w:b/>
                <w:sz w:val="18"/>
              </w:rPr>
            </w:pPr>
            <w:r w:rsidRPr="00A04EFB">
              <w:rPr>
                <w:b/>
                <w:sz w:val="18"/>
              </w:rPr>
              <w:t>System Subtotal</w:t>
            </w:r>
          </w:p>
        </w:tc>
        <w:tc>
          <w:tcPr>
            <w:tcW w:w="1350" w:type="dxa"/>
            <w:tcMar>
              <w:left w:w="115" w:type="dxa"/>
              <w:right w:w="720" w:type="dxa"/>
            </w:tcMar>
            <w:vAlign w:val="center"/>
            <w:hideMark/>
          </w:tcPr>
          <w:p w14:paraId="354070F5" w14:textId="3B641FCD" w:rsidR="00940C93" w:rsidRPr="004358ED" w:rsidRDefault="00940C93" w:rsidP="00940C93">
            <w:pPr>
              <w:pStyle w:val="Table"/>
              <w:ind w:right="-517"/>
              <w:jc w:val="right"/>
              <w:rPr>
                <w:b/>
                <w:sz w:val="18"/>
                <w:szCs w:val="18"/>
              </w:rPr>
            </w:pPr>
            <w:r>
              <w:rPr>
                <w:b/>
                <w:bCs/>
                <w:color w:val="000000"/>
                <w:sz w:val="18"/>
                <w:szCs w:val="18"/>
              </w:rPr>
              <w:t xml:space="preserve">$49,483,209 </w:t>
            </w:r>
          </w:p>
        </w:tc>
        <w:tc>
          <w:tcPr>
            <w:tcW w:w="1350" w:type="dxa"/>
            <w:tcMar>
              <w:left w:w="115" w:type="dxa"/>
              <w:right w:w="720" w:type="dxa"/>
            </w:tcMar>
            <w:vAlign w:val="center"/>
            <w:hideMark/>
          </w:tcPr>
          <w:p w14:paraId="043A3BFA" w14:textId="2076DFF5" w:rsidR="00940C93" w:rsidRPr="004358ED" w:rsidRDefault="00940C93" w:rsidP="00940C93">
            <w:pPr>
              <w:pStyle w:val="Table"/>
              <w:ind w:right="-559"/>
              <w:jc w:val="right"/>
              <w:rPr>
                <w:b/>
                <w:sz w:val="18"/>
                <w:szCs w:val="18"/>
              </w:rPr>
            </w:pPr>
            <w:r>
              <w:rPr>
                <w:b/>
                <w:bCs/>
                <w:color w:val="000000"/>
                <w:sz w:val="18"/>
                <w:szCs w:val="18"/>
              </w:rPr>
              <w:t xml:space="preserve">$9,454,554 </w:t>
            </w:r>
          </w:p>
        </w:tc>
        <w:tc>
          <w:tcPr>
            <w:tcW w:w="1260" w:type="dxa"/>
            <w:tcMar>
              <w:left w:w="115" w:type="dxa"/>
              <w:right w:w="720" w:type="dxa"/>
            </w:tcMar>
            <w:vAlign w:val="center"/>
            <w:hideMark/>
          </w:tcPr>
          <w:p w14:paraId="491B988C" w14:textId="77DA1EE6" w:rsidR="00940C93" w:rsidRPr="004358ED" w:rsidRDefault="00940C93" w:rsidP="00940C93">
            <w:pPr>
              <w:pStyle w:val="Table"/>
              <w:ind w:right="-600"/>
              <w:jc w:val="right"/>
              <w:rPr>
                <w:b/>
                <w:sz w:val="18"/>
                <w:szCs w:val="18"/>
              </w:rPr>
            </w:pPr>
            <w:r>
              <w:rPr>
                <w:b/>
                <w:bCs/>
                <w:color w:val="000000"/>
                <w:sz w:val="18"/>
                <w:szCs w:val="18"/>
              </w:rPr>
              <w:t xml:space="preserve">$9,454,554 </w:t>
            </w:r>
          </w:p>
        </w:tc>
        <w:tc>
          <w:tcPr>
            <w:tcW w:w="1260" w:type="dxa"/>
            <w:vAlign w:val="center"/>
          </w:tcPr>
          <w:p w14:paraId="42B80B93" w14:textId="083812BB" w:rsidR="00940C93" w:rsidRDefault="00940C93" w:rsidP="00940C93">
            <w:pPr>
              <w:pStyle w:val="Table"/>
              <w:jc w:val="right"/>
              <w:rPr>
                <w:b/>
                <w:sz w:val="18"/>
                <w:szCs w:val="18"/>
              </w:rPr>
            </w:pPr>
            <w:r>
              <w:rPr>
                <w:b/>
                <w:bCs/>
                <w:color w:val="000000"/>
                <w:sz w:val="18"/>
                <w:szCs w:val="18"/>
              </w:rPr>
              <w:t xml:space="preserve">$50,718,639 </w:t>
            </w:r>
          </w:p>
        </w:tc>
        <w:tc>
          <w:tcPr>
            <w:tcW w:w="1260" w:type="dxa"/>
            <w:vAlign w:val="center"/>
          </w:tcPr>
          <w:p w14:paraId="29A0E2A4" w14:textId="4D882F7A" w:rsidR="00940C93" w:rsidRDefault="00940C93" w:rsidP="00940C93">
            <w:pPr>
              <w:pStyle w:val="Table"/>
              <w:jc w:val="right"/>
              <w:rPr>
                <w:b/>
                <w:sz w:val="18"/>
                <w:szCs w:val="18"/>
              </w:rPr>
            </w:pPr>
            <w:r>
              <w:rPr>
                <w:b/>
                <w:bCs/>
                <w:color w:val="000000"/>
                <w:sz w:val="18"/>
                <w:szCs w:val="18"/>
              </w:rPr>
              <w:t xml:space="preserve">$10,689,984 </w:t>
            </w:r>
          </w:p>
        </w:tc>
        <w:tc>
          <w:tcPr>
            <w:tcW w:w="1252" w:type="dxa"/>
            <w:vAlign w:val="center"/>
          </w:tcPr>
          <w:p w14:paraId="1C23780F" w14:textId="1192461C" w:rsidR="00940C93" w:rsidRDefault="00940C93" w:rsidP="00940C93">
            <w:pPr>
              <w:pStyle w:val="Table"/>
              <w:jc w:val="right"/>
              <w:rPr>
                <w:b/>
                <w:sz w:val="18"/>
                <w:szCs w:val="18"/>
              </w:rPr>
            </w:pPr>
            <w:r>
              <w:rPr>
                <w:b/>
                <w:bCs/>
                <w:color w:val="000000"/>
                <w:sz w:val="18"/>
                <w:szCs w:val="18"/>
              </w:rPr>
              <w:t xml:space="preserve">$10,689,984 </w:t>
            </w:r>
          </w:p>
        </w:tc>
      </w:tr>
      <w:tr w:rsidR="00940C93" w:rsidRPr="00A04EFB" w14:paraId="4A1B815E" w14:textId="77777777" w:rsidTr="00940C93">
        <w:trPr>
          <w:trHeight w:val="804"/>
        </w:trPr>
        <w:tc>
          <w:tcPr>
            <w:tcW w:w="2245" w:type="dxa"/>
            <w:vAlign w:val="center"/>
            <w:hideMark/>
          </w:tcPr>
          <w:p w14:paraId="7A26134C" w14:textId="77777777" w:rsidR="00940C93" w:rsidRPr="00A04EFB" w:rsidRDefault="00940C93" w:rsidP="00940C93">
            <w:pPr>
              <w:pStyle w:val="Table"/>
              <w:rPr>
                <w:sz w:val="18"/>
              </w:rPr>
            </w:pPr>
            <w:r>
              <w:rPr>
                <w:sz w:val="18"/>
              </w:rPr>
              <w:t>Primacy agency</w:t>
            </w:r>
            <w:r w:rsidRPr="00A04EFB">
              <w:rPr>
                <w:sz w:val="18"/>
              </w:rPr>
              <w:t xml:space="preserve"> start-up activities (read rule, adopt rule, modify data systems, provide training)</w:t>
            </w:r>
          </w:p>
        </w:tc>
        <w:tc>
          <w:tcPr>
            <w:tcW w:w="1350" w:type="dxa"/>
            <w:tcMar>
              <w:left w:w="115" w:type="dxa"/>
              <w:right w:w="720" w:type="dxa"/>
            </w:tcMar>
            <w:vAlign w:val="center"/>
            <w:hideMark/>
          </w:tcPr>
          <w:p w14:paraId="21BF3F20" w14:textId="789C78A4" w:rsidR="00940C93" w:rsidRPr="004358ED" w:rsidRDefault="00940C93" w:rsidP="00940C93">
            <w:pPr>
              <w:pStyle w:val="Table"/>
              <w:ind w:right="-517"/>
              <w:jc w:val="right"/>
              <w:rPr>
                <w:sz w:val="18"/>
                <w:szCs w:val="18"/>
              </w:rPr>
            </w:pPr>
            <w:r>
              <w:rPr>
                <w:color w:val="000000"/>
                <w:sz w:val="18"/>
                <w:szCs w:val="18"/>
              </w:rPr>
              <w:t xml:space="preserve">$4,631,861 </w:t>
            </w:r>
          </w:p>
        </w:tc>
        <w:tc>
          <w:tcPr>
            <w:tcW w:w="1350" w:type="dxa"/>
            <w:tcMar>
              <w:left w:w="115" w:type="dxa"/>
              <w:right w:w="720" w:type="dxa"/>
            </w:tcMar>
            <w:vAlign w:val="center"/>
            <w:hideMark/>
          </w:tcPr>
          <w:p w14:paraId="40E5737C" w14:textId="4BD8E09C" w:rsidR="00940C93" w:rsidRPr="004358ED" w:rsidRDefault="00940C93" w:rsidP="00940C93">
            <w:pPr>
              <w:pStyle w:val="Table"/>
              <w:ind w:right="-559"/>
              <w:jc w:val="right"/>
              <w:rPr>
                <w:sz w:val="18"/>
                <w:szCs w:val="18"/>
              </w:rPr>
            </w:pPr>
            <w:r>
              <w:rPr>
                <w:color w:val="000000"/>
                <w:sz w:val="18"/>
                <w:szCs w:val="18"/>
              </w:rPr>
              <w:t xml:space="preserve">$0 </w:t>
            </w:r>
          </w:p>
        </w:tc>
        <w:tc>
          <w:tcPr>
            <w:tcW w:w="1260" w:type="dxa"/>
            <w:tcMar>
              <w:left w:w="115" w:type="dxa"/>
              <w:right w:w="720" w:type="dxa"/>
            </w:tcMar>
            <w:vAlign w:val="center"/>
            <w:hideMark/>
          </w:tcPr>
          <w:p w14:paraId="3D8C331D" w14:textId="21C70E30" w:rsidR="00940C93" w:rsidRPr="004358ED" w:rsidRDefault="00940C93" w:rsidP="00940C93">
            <w:pPr>
              <w:pStyle w:val="Table"/>
              <w:ind w:right="-600"/>
              <w:jc w:val="right"/>
              <w:rPr>
                <w:sz w:val="18"/>
                <w:szCs w:val="18"/>
              </w:rPr>
            </w:pPr>
            <w:r>
              <w:rPr>
                <w:color w:val="000000"/>
                <w:sz w:val="18"/>
                <w:szCs w:val="18"/>
              </w:rPr>
              <w:t xml:space="preserve">$0 </w:t>
            </w:r>
          </w:p>
        </w:tc>
        <w:tc>
          <w:tcPr>
            <w:tcW w:w="1260" w:type="dxa"/>
            <w:vAlign w:val="center"/>
          </w:tcPr>
          <w:p w14:paraId="4691BBEC" w14:textId="542EFA2B" w:rsidR="00940C93" w:rsidRPr="00CE2FCB" w:rsidRDefault="00940C93" w:rsidP="00940C93">
            <w:pPr>
              <w:pStyle w:val="Table"/>
              <w:jc w:val="right"/>
              <w:rPr>
                <w:sz w:val="18"/>
                <w:szCs w:val="18"/>
              </w:rPr>
            </w:pPr>
            <w:r>
              <w:rPr>
                <w:color w:val="000000"/>
                <w:sz w:val="18"/>
                <w:szCs w:val="18"/>
              </w:rPr>
              <w:t xml:space="preserve">$4,631,861 </w:t>
            </w:r>
          </w:p>
        </w:tc>
        <w:tc>
          <w:tcPr>
            <w:tcW w:w="1260" w:type="dxa"/>
            <w:vAlign w:val="center"/>
          </w:tcPr>
          <w:p w14:paraId="5FE32526" w14:textId="1B890B9C" w:rsidR="00940C93" w:rsidRPr="00CE2FCB" w:rsidRDefault="00940C93" w:rsidP="00940C93">
            <w:pPr>
              <w:pStyle w:val="Table"/>
              <w:jc w:val="right"/>
              <w:rPr>
                <w:sz w:val="18"/>
                <w:szCs w:val="18"/>
              </w:rPr>
            </w:pPr>
            <w:r>
              <w:rPr>
                <w:color w:val="000000"/>
                <w:sz w:val="18"/>
                <w:szCs w:val="18"/>
              </w:rPr>
              <w:t xml:space="preserve">$0 </w:t>
            </w:r>
          </w:p>
        </w:tc>
        <w:tc>
          <w:tcPr>
            <w:tcW w:w="1252" w:type="dxa"/>
            <w:vAlign w:val="center"/>
          </w:tcPr>
          <w:p w14:paraId="28150988" w14:textId="56EEFBA9" w:rsidR="00940C93" w:rsidRPr="00CE2FCB" w:rsidRDefault="00940C93" w:rsidP="00940C93">
            <w:pPr>
              <w:pStyle w:val="Table"/>
              <w:jc w:val="right"/>
              <w:rPr>
                <w:sz w:val="18"/>
                <w:szCs w:val="18"/>
              </w:rPr>
            </w:pPr>
            <w:r>
              <w:rPr>
                <w:color w:val="000000"/>
                <w:sz w:val="18"/>
                <w:szCs w:val="18"/>
              </w:rPr>
              <w:t xml:space="preserve">$0 </w:t>
            </w:r>
          </w:p>
        </w:tc>
      </w:tr>
      <w:tr w:rsidR="00940C93" w:rsidRPr="00A04EFB" w14:paraId="61E40B03" w14:textId="77777777" w:rsidTr="00940C93">
        <w:trPr>
          <w:trHeight w:val="804"/>
        </w:trPr>
        <w:tc>
          <w:tcPr>
            <w:tcW w:w="2245" w:type="dxa"/>
            <w:vAlign w:val="center"/>
          </w:tcPr>
          <w:p w14:paraId="1C3EE09F" w14:textId="2262B994" w:rsidR="00940C93" w:rsidRPr="00940C93" w:rsidRDefault="00940C93" w:rsidP="00940C93">
            <w:pPr>
              <w:rPr>
                <w:rFonts w:ascii="Arial" w:hAnsi="Arial" w:cs="Arial"/>
                <w:sz w:val="18"/>
                <w:szCs w:val="18"/>
              </w:rPr>
            </w:pPr>
            <w:r>
              <w:rPr>
                <w:rFonts w:ascii="Arial" w:hAnsi="Arial" w:cs="Arial"/>
                <w:sz w:val="18"/>
                <w:szCs w:val="18"/>
              </w:rPr>
              <w:t>Primacy Agency assists with</w:t>
            </w:r>
            <w:r w:rsidR="00A539B3">
              <w:rPr>
                <w:rFonts w:ascii="Arial" w:hAnsi="Arial" w:cs="Arial"/>
                <w:sz w:val="18"/>
                <w:szCs w:val="18"/>
              </w:rPr>
              <w:t xml:space="preserve"> and reviews</w:t>
            </w:r>
            <w:r>
              <w:rPr>
                <w:rFonts w:ascii="Arial" w:hAnsi="Arial" w:cs="Arial"/>
                <w:sz w:val="18"/>
                <w:szCs w:val="18"/>
              </w:rPr>
              <w:t xml:space="preserve"> lead service line inventory</w:t>
            </w:r>
          </w:p>
        </w:tc>
        <w:tc>
          <w:tcPr>
            <w:tcW w:w="1350" w:type="dxa"/>
            <w:tcMar>
              <w:left w:w="115" w:type="dxa"/>
              <w:right w:w="720" w:type="dxa"/>
            </w:tcMar>
            <w:vAlign w:val="center"/>
          </w:tcPr>
          <w:p w14:paraId="333BF5B3" w14:textId="1929B4BF" w:rsidR="00940C93" w:rsidRDefault="00940C93" w:rsidP="00940C93">
            <w:pPr>
              <w:pStyle w:val="Table"/>
              <w:ind w:right="-517"/>
              <w:jc w:val="right"/>
              <w:rPr>
                <w:color w:val="000000"/>
                <w:sz w:val="18"/>
                <w:szCs w:val="18"/>
              </w:rPr>
            </w:pPr>
            <w:r>
              <w:rPr>
                <w:color w:val="000000"/>
                <w:sz w:val="18"/>
                <w:szCs w:val="18"/>
              </w:rPr>
              <w:t xml:space="preserve">$1,171,321 </w:t>
            </w:r>
          </w:p>
        </w:tc>
        <w:tc>
          <w:tcPr>
            <w:tcW w:w="1350" w:type="dxa"/>
            <w:tcMar>
              <w:left w:w="115" w:type="dxa"/>
              <w:right w:w="720" w:type="dxa"/>
            </w:tcMar>
            <w:vAlign w:val="center"/>
          </w:tcPr>
          <w:p w14:paraId="1E4DA7E0" w14:textId="754F3350" w:rsidR="00940C93" w:rsidRDefault="00940C93" w:rsidP="00940C93">
            <w:pPr>
              <w:pStyle w:val="Table"/>
              <w:ind w:right="-559"/>
              <w:jc w:val="right"/>
              <w:rPr>
                <w:color w:val="000000"/>
                <w:sz w:val="18"/>
                <w:szCs w:val="18"/>
              </w:rPr>
            </w:pPr>
            <w:r>
              <w:rPr>
                <w:color w:val="000000"/>
                <w:sz w:val="18"/>
                <w:szCs w:val="18"/>
              </w:rPr>
              <w:t xml:space="preserve">$1,171,321 </w:t>
            </w:r>
          </w:p>
        </w:tc>
        <w:tc>
          <w:tcPr>
            <w:tcW w:w="1260" w:type="dxa"/>
            <w:tcMar>
              <w:left w:w="115" w:type="dxa"/>
              <w:right w:w="720" w:type="dxa"/>
            </w:tcMar>
            <w:vAlign w:val="center"/>
          </w:tcPr>
          <w:p w14:paraId="242DF9AB" w14:textId="48BFFFC3" w:rsidR="00940C93" w:rsidRDefault="00940C93" w:rsidP="00940C93">
            <w:pPr>
              <w:pStyle w:val="Table"/>
              <w:ind w:right="-600"/>
              <w:jc w:val="right"/>
              <w:rPr>
                <w:color w:val="000000"/>
                <w:sz w:val="18"/>
                <w:szCs w:val="18"/>
              </w:rPr>
            </w:pPr>
            <w:r>
              <w:rPr>
                <w:color w:val="000000"/>
                <w:sz w:val="18"/>
                <w:szCs w:val="18"/>
              </w:rPr>
              <w:t xml:space="preserve">$1,171,321 </w:t>
            </w:r>
          </w:p>
        </w:tc>
        <w:tc>
          <w:tcPr>
            <w:tcW w:w="1260" w:type="dxa"/>
            <w:vAlign w:val="center"/>
          </w:tcPr>
          <w:p w14:paraId="12CFDEEE" w14:textId="5693AC17" w:rsidR="00940C93" w:rsidRDefault="00940C93" w:rsidP="00940C93">
            <w:pPr>
              <w:pStyle w:val="Table"/>
              <w:jc w:val="right"/>
              <w:rPr>
                <w:color w:val="000000"/>
                <w:sz w:val="18"/>
                <w:szCs w:val="18"/>
              </w:rPr>
            </w:pPr>
            <w:r>
              <w:rPr>
                <w:color w:val="000000"/>
                <w:sz w:val="18"/>
                <w:szCs w:val="18"/>
              </w:rPr>
              <w:t xml:space="preserve">$1,481,944 </w:t>
            </w:r>
          </w:p>
        </w:tc>
        <w:tc>
          <w:tcPr>
            <w:tcW w:w="1260" w:type="dxa"/>
            <w:vAlign w:val="center"/>
          </w:tcPr>
          <w:p w14:paraId="4BA800B7" w14:textId="300AAE44" w:rsidR="00940C93" w:rsidRDefault="00940C93" w:rsidP="00940C93">
            <w:pPr>
              <w:pStyle w:val="Table"/>
              <w:jc w:val="right"/>
              <w:rPr>
                <w:color w:val="000000"/>
                <w:sz w:val="18"/>
                <w:szCs w:val="18"/>
              </w:rPr>
            </w:pPr>
            <w:r>
              <w:rPr>
                <w:color w:val="000000"/>
                <w:sz w:val="18"/>
                <w:szCs w:val="18"/>
              </w:rPr>
              <w:t xml:space="preserve">$1,481,944 </w:t>
            </w:r>
          </w:p>
        </w:tc>
        <w:tc>
          <w:tcPr>
            <w:tcW w:w="1252" w:type="dxa"/>
            <w:vAlign w:val="center"/>
          </w:tcPr>
          <w:p w14:paraId="0730456D" w14:textId="4B0E6395" w:rsidR="00940C93" w:rsidRDefault="00940C93" w:rsidP="00940C93">
            <w:pPr>
              <w:pStyle w:val="Table"/>
              <w:jc w:val="right"/>
              <w:rPr>
                <w:color w:val="000000"/>
                <w:sz w:val="18"/>
                <w:szCs w:val="18"/>
              </w:rPr>
            </w:pPr>
            <w:r>
              <w:rPr>
                <w:color w:val="000000"/>
                <w:sz w:val="18"/>
                <w:szCs w:val="18"/>
              </w:rPr>
              <w:t xml:space="preserve">$1,481,944 </w:t>
            </w:r>
          </w:p>
        </w:tc>
      </w:tr>
      <w:tr w:rsidR="00940C93" w:rsidRPr="00A04EFB" w14:paraId="3129C503" w14:textId="77777777" w:rsidTr="00940C93">
        <w:trPr>
          <w:trHeight w:val="540"/>
        </w:trPr>
        <w:tc>
          <w:tcPr>
            <w:tcW w:w="2245" w:type="dxa"/>
            <w:vAlign w:val="center"/>
            <w:hideMark/>
          </w:tcPr>
          <w:p w14:paraId="04875693" w14:textId="77777777" w:rsidR="00940C93" w:rsidRPr="00A04EFB" w:rsidRDefault="00940C93" w:rsidP="00940C93">
            <w:pPr>
              <w:pStyle w:val="Table"/>
              <w:rPr>
                <w:sz w:val="18"/>
              </w:rPr>
            </w:pPr>
            <w:r>
              <w:rPr>
                <w:sz w:val="18"/>
              </w:rPr>
              <w:t>Primacy agency</w:t>
            </w:r>
            <w:r w:rsidRPr="00A04EFB">
              <w:rPr>
                <w:sz w:val="18"/>
              </w:rPr>
              <w:t xml:space="preserve"> reviews demonstrations of no lead service lines</w:t>
            </w:r>
          </w:p>
        </w:tc>
        <w:tc>
          <w:tcPr>
            <w:tcW w:w="1350" w:type="dxa"/>
            <w:tcMar>
              <w:left w:w="115" w:type="dxa"/>
              <w:right w:w="720" w:type="dxa"/>
            </w:tcMar>
            <w:vAlign w:val="center"/>
            <w:hideMark/>
          </w:tcPr>
          <w:p w14:paraId="5710E8C4" w14:textId="191E5A5F" w:rsidR="00940C93" w:rsidRPr="004358ED" w:rsidRDefault="00940C93" w:rsidP="00940C93">
            <w:pPr>
              <w:pStyle w:val="Table"/>
              <w:ind w:right="-517"/>
              <w:jc w:val="right"/>
              <w:rPr>
                <w:sz w:val="18"/>
                <w:szCs w:val="18"/>
              </w:rPr>
            </w:pPr>
            <w:r>
              <w:rPr>
                <w:color w:val="000000"/>
                <w:sz w:val="18"/>
                <w:szCs w:val="18"/>
              </w:rPr>
              <w:t xml:space="preserve">$4,755,785 </w:t>
            </w:r>
          </w:p>
        </w:tc>
        <w:tc>
          <w:tcPr>
            <w:tcW w:w="1350" w:type="dxa"/>
            <w:tcMar>
              <w:left w:w="115" w:type="dxa"/>
              <w:right w:w="720" w:type="dxa"/>
            </w:tcMar>
            <w:vAlign w:val="center"/>
            <w:hideMark/>
          </w:tcPr>
          <w:p w14:paraId="3EBE9D37" w14:textId="3F511AD2" w:rsidR="00940C93" w:rsidRPr="004358ED" w:rsidRDefault="00940C93" w:rsidP="00940C93">
            <w:pPr>
              <w:pStyle w:val="Table"/>
              <w:ind w:right="-559"/>
              <w:jc w:val="right"/>
              <w:rPr>
                <w:sz w:val="18"/>
                <w:szCs w:val="18"/>
              </w:rPr>
            </w:pPr>
            <w:r>
              <w:rPr>
                <w:color w:val="000000"/>
                <w:sz w:val="18"/>
                <w:szCs w:val="18"/>
              </w:rPr>
              <w:t xml:space="preserve">$4,755,785 </w:t>
            </w:r>
          </w:p>
        </w:tc>
        <w:tc>
          <w:tcPr>
            <w:tcW w:w="1260" w:type="dxa"/>
            <w:tcMar>
              <w:left w:w="115" w:type="dxa"/>
              <w:right w:w="720" w:type="dxa"/>
            </w:tcMar>
            <w:vAlign w:val="center"/>
            <w:hideMark/>
          </w:tcPr>
          <w:p w14:paraId="31A2240B" w14:textId="0AC6DCB5" w:rsidR="00940C93" w:rsidRPr="004358ED" w:rsidRDefault="00940C93" w:rsidP="00940C93">
            <w:pPr>
              <w:pStyle w:val="Table"/>
              <w:ind w:right="-600"/>
              <w:jc w:val="right"/>
              <w:rPr>
                <w:sz w:val="18"/>
                <w:szCs w:val="18"/>
              </w:rPr>
            </w:pPr>
            <w:r>
              <w:rPr>
                <w:color w:val="000000"/>
                <w:sz w:val="18"/>
                <w:szCs w:val="18"/>
              </w:rPr>
              <w:t xml:space="preserve">$4,755,785 </w:t>
            </w:r>
          </w:p>
        </w:tc>
        <w:tc>
          <w:tcPr>
            <w:tcW w:w="1260" w:type="dxa"/>
            <w:vAlign w:val="center"/>
          </w:tcPr>
          <w:p w14:paraId="344D8467" w14:textId="4D73A056" w:rsidR="00940C93" w:rsidRPr="00CE2FCB" w:rsidRDefault="00940C93" w:rsidP="00940C93">
            <w:pPr>
              <w:pStyle w:val="Table"/>
              <w:jc w:val="right"/>
              <w:rPr>
                <w:sz w:val="18"/>
                <w:szCs w:val="18"/>
              </w:rPr>
            </w:pPr>
            <w:r>
              <w:rPr>
                <w:color w:val="000000"/>
                <w:sz w:val="18"/>
                <w:szCs w:val="18"/>
              </w:rPr>
              <w:t xml:space="preserve">$4,446,117 </w:t>
            </w:r>
          </w:p>
        </w:tc>
        <w:tc>
          <w:tcPr>
            <w:tcW w:w="1260" w:type="dxa"/>
            <w:vAlign w:val="center"/>
          </w:tcPr>
          <w:p w14:paraId="1CDD250F" w14:textId="53999234" w:rsidR="00940C93" w:rsidRPr="00CE2FCB" w:rsidRDefault="00940C93" w:rsidP="00940C93">
            <w:pPr>
              <w:pStyle w:val="Table"/>
              <w:jc w:val="right"/>
              <w:rPr>
                <w:sz w:val="18"/>
                <w:szCs w:val="18"/>
              </w:rPr>
            </w:pPr>
            <w:r>
              <w:rPr>
                <w:color w:val="000000"/>
                <w:sz w:val="18"/>
                <w:szCs w:val="18"/>
              </w:rPr>
              <w:t xml:space="preserve">$4,446,117 </w:t>
            </w:r>
          </w:p>
        </w:tc>
        <w:tc>
          <w:tcPr>
            <w:tcW w:w="1252" w:type="dxa"/>
            <w:vAlign w:val="center"/>
          </w:tcPr>
          <w:p w14:paraId="6AE3686B" w14:textId="75F91B1C" w:rsidR="00940C93" w:rsidRPr="00CE2FCB" w:rsidRDefault="00940C93" w:rsidP="00940C93">
            <w:pPr>
              <w:pStyle w:val="Table"/>
              <w:jc w:val="right"/>
              <w:rPr>
                <w:sz w:val="18"/>
                <w:szCs w:val="18"/>
              </w:rPr>
            </w:pPr>
            <w:r>
              <w:rPr>
                <w:color w:val="000000"/>
                <w:sz w:val="18"/>
                <w:szCs w:val="18"/>
              </w:rPr>
              <w:t xml:space="preserve">$4,446,117 </w:t>
            </w:r>
          </w:p>
        </w:tc>
      </w:tr>
      <w:tr w:rsidR="00940C93" w:rsidRPr="00A04EFB" w14:paraId="620D1DC4" w14:textId="77777777" w:rsidTr="00940C93">
        <w:trPr>
          <w:trHeight w:val="300"/>
        </w:trPr>
        <w:tc>
          <w:tcPr>
            <w:tcW w:w="2245" w:type="dxa"/>
            <w:vAlign w:val="center"/>
          </w:tcPr>
          <w:p w14:paraId="2A77CC8C" w14:textId="1A55D282" w:rsidR="00940C93" w:rsidRPr="00A04EFB" w:rsidRDefault="00A539B3" w:rsidP="00940C93">
            <w:pPr>
              <w:pStyle w:val="Table"/>
              <w:rPr>
                <w:b/>
                <w:sz w:val="18"/>
              </w:rPr>
            </w:pPr>
            <w:r>
              <w:rPr>
                <w:color w:val="000000"/>
                <w:sz w:val="18"/>
                <w:szCs w:val="18"/>
              </w:rPr>
              <w:t>confers on and reviews initial LSLR plan</w:t>
            </w:r>
          </w:p>
        </w:tc>
        <w:tc>
          <w:tcPr>
            <w:tcW w:w="1350" w:type="dxa"/>
            <w:tcMar>
              <w:left w:w="115" w:type="dxa"/>
              <w:right w:w="720" w:type="dxa"/>
            </w:tcMar>
            <w:vAlign w:val="center"/>
          </w:tcPr>
          <w:p w14:paraId="50EEE323" w14:textId="2A268A40" w:rsidR="00940C93" w:rsidRPr="004358ED" w:rsidRDefault="00940C93" w:rsidP="00940C93">
            <w:pPr>
              <w:pStyle w:val="Table"/>
              <w:ind w:right="-517"/>
              <w:jc w:val="right"/>
              <w:rPr>
                <w:b/>
                <w:sz w:val="18"/>
                <w:szCs w:val="18"/>
              </w:rPr>
            </w:pPr>
            <w:r>
              <w:rPr>
                <w:color w:val="000000"/>
                <w:sz w:val="18"/>
                <w:szCs w:val="18"/>
              </w:rPr>
              <w:t xml:space="preserve">$1,798,404 </w:t>
            </w:r>
          </w:p>
        </w:tc>
        <w:tc>
          <w:tcPr>
            <w:tcW w:w="1350" w:type="dxa"/>
            <w:tcMar>
              <w:left w:w="115" w:type="dxa"/>
              <w:right w:w="720" w:type="dxa"/>
            </w:tcMar>
            <w:vAlign w:val="center"/>
          </w:tcPr>
          <w:p w14:paraId="778C8C1B" w14:textId="464D4B9E" w:rsidR="00940C93" w:rsidRPr="004358ED" w:rsidRDefault="00940C93" w:rsidP="00940C93">
            <w:pPr>
              <w:pStyle w:val="Table"/>
              <w:ind w:right="-559"/>
              <w:jc w:val="right"/>
              <w:rPr>
                <w:b/>
                <w:sz w:val="18"/>
                <w:szCs w:val="18"/>
              </w:rPr>
            </w:pPr>
            <w:r>
              <w:rPr>
                <w:color w:val="000000"/>
                <w:sz w:val="18"/>
                <w:szCs w:val="18"/>
              </w:rPr>
              <w:t xml:space="preserve">$1,798,404 </w:t>
            </w:r>
          </w:p>
        </w:tc>
        <w:tc>
          <w:tcPr>
            <w:tcW w:w="1260" w:type="dxa"/>
            <w:tcMar>
              <w:left w:w="115" w:type="dxa"/>
              <w:right w:w="720" w:type="dxa"/>
            </w:tcMar>
            <w:vAlign w:val="center"/>
          </w:tcPr>
          <w:p w14:paraId="65E7D234" w14:textId="1BCA1FF4" w:rsidR="00940C93" w:rsidRPr="004358ED" w:rsidRDefault="00940C93" w:rsidP="00940C93">
            <w:pPr>
              <w:pStyle w:val="Table"/>
              <w:ind w:right="-600"/>
              <w:jc w:val="right"/>
              <w:rPr>
                <w:b/>
                <w:sz w:val="18"/>
                <w:szCs w:val="18"/>
              </w:rPr>
            </w:pPr>
            <w:r>
              <w:rPr>
                <w:color w:val="000000"/>
                <w:sz w:val="18"/>
                <w:szCs w:val="18"/>
              </w:rPr>
              <w:t xml:space="preserve">$1,798,404 </w:t>
            </w:r>
          </w:p>
        </w:tc>
        <w:tc>
          <w:tcPr>
            <w:tcW w:w="1260" w:type="dxa"/>
            <w:vAlign w:val="center"/>
          </w:tcPr>
          <w:p w14:paraId="09781266" w14:textId="7C0B28DF" w:rsidR="00940C93" w:rsidRPr="000D72F3" w:rsidRDefault="00940C93" w:rsidP="00940C93">
            <w:pPr>
              <w:pStyle w:val="Table"/>
              <w:jc w:val="right"/>
              <w:rPr>
                <w:sz w:val="18"/>
                <w:szCs w:val="18"/>
              </w:rPr>
            </w:pPr>
            <w:r>
              <w:rPr>
                <w:color w:val="000000"/>
                <w:sz w:val="18"/>
                <w:szCs w:val="18"/>
              </w:rPr>
              <w:t xml:space="preserve">$2,224,575 </w:t>
            </w:r>
          </w:p>
        </w:tc>
        <w:tc>
          <w:tcPr>
            <w:tcW w:w="1260" w:type="dxa"/>
            <w:vAlign w:val="center"/>
          </w:tcPr>
          <w:p w14:paraId="5E66900B" w14:textId="576C1EBF" w:rsidR="00940C93" w:rsidRPr="000D72F3" w:rsidRDefault="00940C93" w:rsidP="00940C93">
            <w:pPr>
              <w:pStyle w:val="Table"/>
              <w:jc w:val="right"/>
              <w:rPr>
                <w:sz w:val="18"/>
                <w:szCs w:val="18"/>
              </w:rPr>
            </w:pPr>
            <w:r>
              <w:rPr>
                <w:color w:val="000000"/>
                <w:sz w:val="18"/>
                <w:szCs w:val="18"/>
              </w:rPr>
              <w:t xml:space="preserve">$2,224,575 </w:t>
            </w:r>
          </w:p>
        </w:tc>
        <w:tc>
          <w:tcPr>
            <w:tcW w:w="1252" w:type="dxa"/>
            <w:vAlign w:val="center"/>
          </w:tcPr>
          <w:p w14:paraId="1FB0F0A8" w14:textId="782BF0FE" w:rsidR="00940C93" w:rsidRPr="000D72F3" w:rsidRDefault="00940C93" w:rsidP="00940C93">
            <w:pPr>
              <w:pStyle w:val="Table"/>
              <w:jc w:val="right"/>
              <w:rPr>
                <w:sz w:val="18"/>
                <w:szCs w:val="18"/>
              </w:rPr>
            </w:pPr>
            <w:r>
              <w:rPr>
                <w:color w:val="000000"/>
                <w:sz w:val="18"/>
                <w:szCs w:val="18"/>
              </w:rPr>
              <w:t xml:space="preserve">$2,224,575 </w:t>
            </w:r>
          </w:p>
        </w:tc>
      </w:tr>
      <w:tr w:rsidR="00940C93" w:rsidRPr="00A04EFB" w14:paraId="719CB865" w14:textId="77777777" w:rsidTr="00940C93">
        <w:trPr>
          <w:trHeight w:val="300"/>
        </w:trPr>
        <w:tc>
          <w:tcPr>
            <w:tcW w:w="2245" w:type="dxa"/>
            <w:vAlign w:val="center"/>
            <w:hideMark/>
          </w:tcPr>
          <w:p w14:paraId="2C3BE602" w14:textId="77777777" w:rsidR="00940C93" w:rsidRPr="00A04EFB" w:rsidRDefault="00940C93" w:rsidP="00940C93">
            <w:pPr>
              <w:pStyle w:val="Table"/>
              <w:rPr>
                <w:b/>
                <w:sz w:val="18"/>
              </w:rPr>
            </w:pPr>
            <w:r>
              <w:rPr>
                <w:b/>
                <w:sz w:val="18"/>
              </w:rPr>
              <w:t>Primacy Agency</w:t>
            </w:r>
            <w:r w:rsidRPr="00A04EFB">
              <w:rPr>
                <w:b/>
                <w:sz w:val="18"/>
              </w:rPr>
              <w:t xml:space="preserve"> Subtotal</w:t>
            </w:r>
          </w:p>
        </w:tc>
        <w:tc>
          <w:tcPr>
            <w:tcW w:w="1350" w:type="dxa"/>
            <w:tcMar>
              <w:left w:w="115" w:type="dxa"/>
              <w:right w:w="720" w:type="dxa"/>
            </w:tcMar>
            <w:vAlign w:val="center"/>
            <w:hideMark/>
          </w:tcPr>
          <w:p w14:paraId="10F3B398" w14:textId="67E7263D" w:rsidR="00940C93" w:rsidRPr="003E6D4B" w:rsidRDefault="00940C93" w:rsidP="00940C93">
            <w:pPr>
              <w:pStyle w:val="Table"/>
              <w:ind w:right="-517"/>
              <w:jc w:val="right"/>
              <w:rPr>
                <w:b/>
                <w:sz w:val="18"/>
                <w:szCs w:val="18"/>
              </w:rPr>
            </w:pPr>
            <w:r>
              <w:rPr>
                <w:b/>
                <w:bCs/>
                <w:color w:val="000000"/>
                <w:sz w:val="18"/>
                <w:szCs w:val="18"/>
              </w:rPr>
              <w:t xml:space="preserve">$12,357,372 </w:t>
            </w:r>
          </w:p>
        </w:tc>
        <w:tc>
          <w:tcPr>
            <w:tcW w:w="1350" w:type="dxa"/>
            <w:tcMar>
              <w:left w:w="115" w:type="dxa"/>
              <w:right w:w="720" w:type="dxa"/>
            </w:tcMar>
            <w:vAlign w:val="center"/>
            <w:hideMark/>
          </w:tcPr>
          <w:p w14:paraId="703D9207" w14:textId="50EECC9F" w:rsidR="00940C93" w:rsidRPr="003E6D4B" w:rsidRDefault="00940C93" w:rsidP="00940C93">
            <w:pPr>
              <w:pStyle w:val="Table"/>
              <w:ind w:right="-559"/>
              <w:jc w:val="right"/>
              <w:rPr>
                <w:b/>
                <w:sz w:val="18"/>
                <w:szCs w:val="18"/>
              </w:rPr>
            </w:pPr>
            <w:r>
              <w:rPr>
                <w:b/>
                <w:bCs/>
                <w:color w:val="000000"/>
                <w:sz w:val="18"/>
                <w:szCs w:val="18"/>
              </w:rPr>
              <w:t xml:space="preserve">$7,725,511 </w:t>
            </w:r>
          </w:p>
        </w:tc>
        <w:tc>
          <w:tcPr>
            <w:tcW w:w="1260" w:type="dxa"/>
            <w:tcMar>
              <w:left w:w="115" w:type="dxa"/>
              <w:right w:w="720" w:type="dxa"/>
            </w:tcMar>
            <w:vAlign w:val="center"/>
            <w:hideMark/>
          </w:tcPr>
          <w:p w14:paraId="0517FF26" w14:textId="74FCCD97" w:rsidR="00940C93" w:rsidRPr="003E6D4B" w:rsidRDefault="00940C93" w:rsidP="00940C93">
            <w:pPr>
              <w:pStyle w:val="Table"/>
              <w:ind w:right="-600"/>
              <w:jc w:val="right"/>
              <w:rPr>
                <w:b/>
                <w:sz w:val="18"/>
                <w:szCs w:val="18"/>
              </w:rPr>
            </w:pPr>
            <w:r>
              <w:rPr>
                <w:b/>
                <w:bCs/>
                <w:color w:val="000000"/>
                <w:sz w:val="18"/>
                <w:szCs w:val="18"/>
              </w:rPr>
              <w:t xml:space="preserve">$7,725,511 </w:t>
            </w:r>
          </w:p>
        </w:tc>
        <w:tc>
          <w:tcPr>
            <w:tcW w:w="1260" w:type="dxa"/>
            <w:vAlign w:val="center"/>
          </w:tcPr>
          <w:p w14:paraId="04A3F7CD" w14:textId="2EA326E4" w:rsidR="00940C93" w:rsidRDefault="00940C93" w:rsidP="00940C93">
            <w:pPr>
              <w:pStyle w:val="Table"/>
              <w:jc w:val="right"/>
              <w:rPr>
                <w:b/>
                <w:sz w:val="18"/>
                <w:szCs w:val="18"/>
              </w:rPr>
            </w:pPr>
            <w:r>
              <w:rPr>
                <w:b/>
                <w:bCs/>
                <w:color w:val="000000"/>
                <w:sz w:val="18"/>
                <w:szCs w:val="18"/>
              </w:rPr>
              <w:t xml:space="preserve">$12,784,497 </w:t>
            </w:r>
          </w:p>
        </w:tc>
        <w:tc>
          <w:tcPr>
            <w:tcW w:w="1260" w:type="dxa"/>
            <w:vAlign w:val="center"/>
          </w:tcPr>
          <w:p w14:paraId="21662048" w14:textId="5FEE67D2" w:rsidR="00940C93" w:rsidRDefault="00940C93" w:rsidP="00940C93">
            <w:pPr>
              <w:pStyle w:val="Table"/>
              <w:jc w:val="right"/>
              <w:rPr>
                <w:b/>
                <w:sz w:val="18"/>
                <w:szCs w:val="18"/>
              </w:rPr>
            </w:pPr>
            <w:r>
              <w:rPr>
                <w:b/>
                <w:bCs/>
                <w:color w:val="000000"/>
                <w:sz w:val="18"/>
                <w:szCs w:val="18"/>
              </w:rPr>
              <w:t xml:space="preserve">$8,152,636 </w:t>
            </w:r>
          </w:p>
        </w:tc>
        <w:tc>
          <w:tcPr>
            <w:tcW w:w="1252" w:type="dxa"/>
            <w:vAlign w:val="center"/>
          </w:tcPr>
          <w:p w14:paraId="65F13575" w14:textId="3B71CE15" w:rsidR="00940C93" w:rsidRDefault="00940C93" w:rsidP="00940C93">
            <w:pPr>
              <w:pStyle w:val="Table"/>
              <w:jc w:val="right"/>
              <w:rPr>
                <w:b/>
                <w:sz w:val="18"/>
                <w:szCs w:val="18"/>
              </w:rPr>
            </w:pPr>
            <w:r>
              <w:rPr>
                <w:b/>
                <w:bCs/>
                <w:color w:val="000000"/>
                <w:sz w:val="18"/>
                <w:szCs w:val="18"/>
              </w:rPr>
              <w:t xml:space="preserve">$8,152,636 </w:t>
            </w:r>
          </w:p>
        </w:tc>
      </w:tr>
      <w:tr w:rsidR="00940C93" w:rsidRPr="00A04EFB" w14:paraId="36079BFC" w14:textId="77777777" w:rsidTr="00940C93">
        <w:trPr>
          <w:trHeight w:val="300"/>
        </w:trPr>
        <w:tc>
          <w:tcPr>
            <w:tcW w:w="2245" w:type="dxa"/>
            <w:vAlign w:val="center"/>
            <w:hideMark/>
          </w:tcPr>
          <w:p w14:paraId="245AF44D" w14:textId="77777777" w:rsidR="00940C93" w:rsidRPr="00A04EFB" w:rsidRDefault="00940C93" w:rsidP="00940C93">
            <w:pPr>
              <w:pStyle w:val="Table"/>
              <w:rPr>
                <w:b/>
                <w:sz w:val="18"/>
              </w:rPr>
            </w:pPr>
            <w:r>
              <w:rPr>
                <w:b/>
                <w:sz w:val="18"/>
              </w:rPr>
              <w:t>Combined System</w:t>
            </w:r>
            <w:r w:rsidRPr="00A04EFB">
              <w:rPr>
                <w:b/>
                <w:sz w:val="18"/>
              </w:rPr>
              <w:t xml:space="preserve"> and </w:t>
            </w:r>
            <w:r>
              <w:rPr>
                <w:b/>
                <w:sz w:val="18"/>
              </w:rPr>
              <w:t>Primacy Agency Total</w:t>
            </w:r>
          </w:p>
        </w:tc>
        <w:tc>
          <w:tcPr>
            <w:tcW w:w="1350" w:type="dxa"/>
            <w:tcMar>
              <w:left w:w="115" w:type="dxa"/>
              <w:right w:w="720" w:type="dxa"/>
            </w:tcMar>
            <w:vAlign w:val="center"/>
            <w:hideMark/>
          </w:tcPr>
          <w:p w14:paraId="505B0051" w14:textId="34334304" w:rsidR="00940C93" w:rsidRPr="003E6D4B" w:rsidRDefault="00940C93" w:rsidP="00940C93">
            <w:pPr>
              <w:pStyle w:val="Table"/>
              <w:ind w:right="-517"/>
              <w:jc w:val="right"/>
              <w:rPr>
                <w:b/>
                <w:sz w:val="18"/>
                <w:szCs w:val="18"/>
              </w:rPr>
            </w:pPr>
            <w:r>
              <w:rPr>
                <w:b/>
                <w:bCs/>
                <w:color w:val="000000"/>
                <w:sz w:val="18"/>
                <w:szCs w:val="18"/>
              </w:rPr>
              <w:t xml:space="preserve">$61,840,581 </w:t>
            </w:r>
          </w:p>
        </w:tc>
        <w:tc>
          <w:tcPr>
            <w:tcW w:w="1350" w:type="dxa"/>
            <w:tcMar>
              <w:left w:w="115" w:type="dxa"/>
              <w:right w:w="720" w:type="dxa"/>
            </w:tcMar>
            <w:vAlign w:val="center"/>
            <w:hideMark/>
          </w:tcPr>
          <w:p w14:paraId="4E28152B" w14:textId="3DB56896" w:rsidR="00940C93" w:rsidRPr="003E6D4B" w:rsidRDefault="00940C93" w:rsidP="00940C93">
            <w:pPr>
              <w:pStyle w:val="Table"/>
              <w:ind w:right="-559"/>
              <w:jc w:val="right"/>
              <w:rPr>
                <w:b/>
                <w:sz w:val="18"/>
                <w:szCs w:val="18"/>
              </w:rPr>
            </w:pPr>
            <w:r>
              <w:rPr>
                <w:b/>
                <w:bCs/>
                <w:color w:val="000000"/>
                <w:sz w:val="18"/>
                <w:szCs w:val="18"/>
              </w:rPr>
              <w:t xml:space="preserve">$17,180,065 </w:t>
            </w:r>
          </w:p>
        </w:tc>
        <w:tc>
          <w:tcPr>
            <w:tcW w:w="1260" w:type="dxa"/>
            <w:tcMar>
              <w:left w:w="115" w:type="dxa"/>
              <w:right w:w="720" w:type="dxa"/>
            </w:tcMar>
            <w:vAlign w:val="center"/>
            <w:hideMark/>
          </w:tcPr>
          <w:p w14:paraId="72C0E21E" w14:textId="2C9571F6" w:rsidR="00940C93" w:rsidRPr="003E6D4B" w:rsidRDefault="00940C93" w:rsidP="00940C93">
            <w:pPr>
              <w:pStyle w:val="Table"/>
              <w:ind w:right="-600"/>
              <w:jc w:val="right"/>
              <w:rPr>
                <w:b/>
                <w:sz w:val="18"/>
                <w:szCs w:val="18"/>
              </w:rPr>
            </w:pPr>
            <w:r>
              <w:rPr>
                <w:b/>
                <w:bCs/>
                <w:color w:val="000000"/>
                <w:sz w:val="18"/>
                <w:szCs w:val="18"/>
              </w:rPr>
              <w:t xml:space="preserve">$17,180,065 </w:t>
            </w:r>
          </w:p>
        </w:tc>
        <w:tc>
          <w:tcPr>
            <w:tcW w:w="1260" w:type="dxa"/>
            <w:vAlign w:val="center"/>
          </w:tcPr>
          <w:p w14:paraId="6CAF8E62" w14:textId="7ECF5C6D" w:rsidR="00940C93" w:rsidRPr="00C70EB2" w:rsidRDefault="00940C93" w:rsidP="00940C93">
            <w:pPr>
              <w:pStyle w:val="Table"/>
              <w:jc w:val="right"/>
              <w:rPr>
                <w:b/>
                <w:sz w:val="18"/>
                <w:szCs w:val="18"/>
              </w:rPr>
            </w:pPr>
            <w:r>
              <w:rPr>
                <w:b/>
                <w:bCs/>
                <w:color w:val="000000"/>
                <w:sz w:val="18"/>
                <w:szCs w:val="18"/>
              </w:rPr>
              <w:t xml:space="preserve">$63,503,135 </w:t>
            </w:r>
          </w:p>
        </w:tc>
        <w:tc>
          <w:tcPr>
            <w:tcW w:w="1260" w:type="dxa"/>
            <w:vAlign w:val="center"/>
          </w:tcPr>
          <w:p w14:paraId="25F63E9D" w14:textId="1BFB9DE9" w:rsidR="00940C93" w:rsidRPr="00C70EB2" w:rsidRDefault="00940C93" w:rsidP="00940C93">
            <w:pPr>
              <w:pStyle w:val="Table"/>
              <w:jc w:val="right"/>
              <w:rPr>
                <w:b/>
                <w:sz w:val="18"/>
                <w:szCs w:val="18"/>
              </w:rPr>
            </w:pPr>
            <w:r>
              <w:rPr>
                <w:b/>
                <w:bCs/>
                <w:color w:val="000000"/>
                <w:sz w:val="18"/>
                <w:szCs w:val="18"/>
              </w:rPr>
              <w:t xml:space="preserve">$18,842,620 </w:t>
            </w:r>
          </w:p>
        </w:tc>
        <w:tc>
          <w:tcPr>
            <w:tcW w:w="1252" w:type="dxa"/>
            <w:vAlign w:val="center"/>
          </w:tcPr>
          <w:p w14:paraId="72CCCDFF" w14:textId="6DCD04F6" w:rsidR="00940C93" w:rsidRPr="00C70EB2" w:rsidRDefault="00940C93" w:rsidP="00940C93">
            <w:pPr>
              <w:pStyle w:val="Table"/>
              <w:jc w:val="right"/>
              <w:rPr>
                <w:b/>
                <w:sz w:val="18"/>
                <w:szCs w:val="18"/>
              </w:rPr>
            </w:pPr>
            <w:r>
              <w:rPr>
                <w:b/>
                <w:bCs/>
                <w:color w:val="000000"/>
                <w:sz w:val="18"/>
                <w:szCs w:val="18"/>
              </w:rPr>
              <w:t xml:space="preserve">$18,842,620 </w:t>
            </w:r>
          </w:p>
        </w:tc>
      </w:tr>
    </w:tbl>
    <w:p w14:paraId="72FCC7F5" w14:textId="77777777" w:rsidR="00C5374C" w:rsidRPr="00C5374C" w:rsidRDefault="00C5374C" w:rsidP="00C5374C"/>
    <w:p w14:paraId="668FF8EA" w14:textId="77777777" w:rsidR="00282040" w:rsidRDefault="00282040" w:rsidP="00282040">
      <w:pPr>
        <w:pStyle w:val="Heading1"/>
      </w:pPr>
      <w:bookmarkStart w:id="157" w:name="_Toc23138999"/>
      <w:bookmarkStart w:id="158" w:name="_Toc23139144"/>
      <w:r>
        <w:t>6(f)</w:t>
      </w:r>
      <w:r>
        <w:tab/>
        <w:t>Reasons for Change in Burden</w:t>
      </w:r>
      <w:bookmarkEnd w:id="157"/>
      <w:bookmarkEnd w:id="158"/>
    </w:p>
    <w:p w14:paraId="3C4D0D0A" w14:textId="77777777" w:rsidR="00FC69EB" w:rsidRDefault="00CF00D6" w:rsidP="00FC69EB">
      <w:pPr>
        <w:pStyle w:val="NormalIndent"/>
      </w:pPr>
      <w:r w:rsidRPr="00C16859">
        <w:t xml:space="preserve">The </w:t>
      </w:r>
      <w:r w:rsidR="00824955">
        <w:t>LCR</w:t>
      </w:r>
      <w:r w:rsidRPr="00C16859">
        <w:t xml:space="preserve"> Revisions are </w:t>
      </w:r>
      <w:r w:rsidRPr="00EC602C">
        <w:t xml:space="preserve">intended to strengthen the implementation of the LCR in the areas of CCT, customer awareness, and LSL replacement. </w:t>
      </w:r>
      <w:r w:rsidRPr="00C16859">
        <w:t xml:space="preserve">The changes are expected to ensure and enhance </w:t>
      </w:r>
      <w:r>
        <w:t>the</w:t>
      </w:r>
      <w:r w:rsidRPr="00C16859">
        <w:t xml:space="preserve"> protection of public health through the reduction in lead exposure</w:t>
      </w:r>
      <w:r>
        <w:t xml:space="preserve"> in drinking water</w:t>
      </w:r>
      <w:r w:rsidRPr="00C16859">
        <w:t xml:space="preserve">. </w:t>
      </w:r>
      <w:r w:rsidR="00824955">
        <w:t xml:space="preserve">The </w:t>
      </w:r>
      <w:r w:rsidRPr="00423550">
        <w:t xml:space="preserve">EPA needs comprehensive and current information on lead and copper </w:t>
      </w:r>
      <w:r>
        <w:t>exposure</w:t>
      </w:r>
      <w:r w:rsidRPr="00423550">
        <w:t xml:space="preserve"> and associated enforcement activities to implement its program oversight and enforcement responsibilities mandated by </w:t>
      </w:r>
      <w:r w:rsidRPr="00824A88">
        <w:t>the SDWA.</w:t>
      </w:r>
      <w:r w:rsidRPr="00423550">
        <w:t xml:space="preserve"> </w:t>
      </w:r>
      <w:r w:rsidR="00E604CC">
        <w:t>Primacy agencies</w:t>
      </w:r>
      <w:r w:rsidRPr="00423550">
        <w:t xml:space="preserve"> </w:t>
      </w:r>
      <w:r>
        <w:t>need the information to</w:t>
      </w:r>
      <w:r w:rsidRPr="00423550">
        <w:t xml:space="preserve"> identify significant contaminant concentrations that might threaten the health and safety of drinking water consumers</w:t>
      </w:r>
      <w:r>
        <w:t xml:space="preserve"> </w:t>
      </w:r>
      <w:r w:rsidRPr="00423550">
        <w:t>in a timely fashion</w:t>
      </w:r>
      <w:r>
        <w:t>.</w:t>
      </w:r>
      <w:r w:rsidR="00E44E90">
        <w:t xml:space="preserve"> </w:t>
      </w:r>
    </w:p>
    <w:p w14:paraId="72F9FEEA" w14:textId="7F2A53B5" w:rsidR="00CF00D6" w:rsidRDefault="00E44E90" w:rsidP="00FC69EB">
      <w:pPr>
        <w:pStyle w:val="NormalIndent"/>
      </w:pPr>
      <w:r>
        <w:t xml:space="preserve">Over the next </w:t>
      </w:r>
      <w:r w:rsidR="00665DB7">
        <w:t>three</w:t>
      </w:r>
      <w:r>
        <w:t xml:space="preserve"> years, the </w:t>
      </w:r>
      <w:r w:rsidR="004043A5">
        <w:t>proposed revisions</w:t>
      </w:r>
      <w:r>
        <w:t xml:space="preserve"> would require respondents to undertake additional one-time actions beyond those in the </w:t>
      </w:r>
      <w:r w:rsidR="00726D43" w:rsidRPr="00726D43">
        <w:t xml:space="preserve">ICR entitled </w:t>
      </w:r>
      <w:r w:rsidR="00726D43" w:rsidRPr="00726D43">
        <w:rPr>
          <w:i/>
        </w:rPr>
        <w:t>Disinfectants/Disinfection Byproducts, Chemical, and Radionuclides Rules</w:t>
      </w:r>
      <w:r w:rsidR="00726D43" w:rsidRPr="00726D43">
        <w:t xml:space="preserve"> (OMB control number 2040-020</w:t>
      </w:r>
      <w:r w:rsidR="00562B44">
        <w:t>4</w:t>
      </w:r>
      <w:r w:rsidR="00673B6A">
        <w:t xml:space="preserve">; EPA ID </w:t>
      </w:r>
      <w:r w:rsidR="00D957B5">
        <w:t>1896.10</w:t>
      </w:r>
      <w:r w:rsidR="00726D43" w:rsidRPr="00726D43">
        <w:t>)</w:t>
      </w:r>
      <w:r w:rsidR="00665DB7">
        <w:t xml:space="preserve">. These one-time actions would increase burden by </w:t>
      </w:r>
      <w:r w:rsidR="00E279AE">
        <w:t xml:space="preserve">approximately 0.9 to 1.0 million </w:t>
      </w:r>
      <w:r w:rsidR="00E279AE" w:rsidRPr="004568E3">
        <w:t>hours and $</w:t>
      </w:r>
      <w:r w:rsidR="00E279AE">
        <w:t xml:space="preserve">32.1 to $33.7 </w:t>
      </w:r>
      <w:r w:rsidR="00E279AE" w:rsidRPr="004568E3">
        <w:t>million</w:t>
      </w:r>
      <w:r w:rsidR="00E279AE">
        <w:t xml:space="preserve"> annually over the next three years.</w:t>
      </w:r>
    </w:p>
    <w:p w14:paraId="7BB53F61" w14:textId="77777777" w:rsidR="00282040" w:rsidRDefault="00282040" w:rsidP="00282040">
      <w:pPr>
        <w:pStyle w:val="Heading1"/>
      </w:pPr>
      <w:bookmarkStart w:id="159" w:name="_Toc23139000"/>
      <w:bookmarkStart w:id="160" w:name="_Toc23139145"/>
      <w:r>
        <w:t>6(g)</w:t>
      </w:r>
      <w:r>
        <w:tab/>
        <w:t>Burden Statement</w:t>
      </w:r>
      <w:bookmarkEnd w:id="159"/>
      <w:bookmarkEnd w:id="160"/>
    </w:p>
    <w:p w14:paraId="734D6D7D" w14:textId="27D11075" w:rsidR="00D75BD8" w:rsidRDefault="00F4058C" w:rsidP="00D75BD8">
      <w:pPr>
        <w:pStyle w:val="NormalIndent"/>
      </w:pPr>
      <w:r>
        <w:fldChar w:fldCharType="begin"/>
      </w:r>
      <w:r>
        <w:instrText xml:space="preserve"> REF _Ref4507444 \h </w:instrText>
      </w:r>
      <w:r>
        <w:fldChar w:fldCharType="separate"/>
      </w:r>
      <w:r w:rsidR="007A79EF">
        <w:t xml:space="preserve">Exhibit </w:t>
      </w:r>
      <w:r w:rsidR="007A79EF">
        <w:rPr>
          <w:noProof/>
        </w:rPr>
        <w:t>11</w:t>
      </w:r>
      <w:r>
        <w:fldChar w:fldCharType="end"/>
      </w:r>
      <w:r>
        <w:t xml:space="preserve"> presents the public reporting burden associated with this ICR. </w:t>
      </w:r>
      <w:r w:rsidR="00D75BD8">
        <w:t xml:space="preserve">For the first three years after the final rule </w:t>
      </w:r>
      <w:r w:rsidR="00D75BD8" w:rsidRPr="0027631A">
        <w:t>is</w:t>
      </w:r>
      <w:r w:rsidR="00D75BD8">
        <w:t xml:space="preserve"> published</w:t>
      </w:r>
      <w:r w:rsidR="00D75BD8" w:rsidRPr="00847F36">
        <w:t xml:space="preserve">, </w:t>
      </w:r>
      <w:r w:rsidR="00A14CFC">
        <w:t>the average burden associated w</w:t>
      </w:r>
      <w:r w:rsidR="00E279AE">
        <w:t>ith this ICR is estimated to be</w:t>
      </w:r>
      <w:r w:rsidR="00E279AE">
        <w:rPr>
          <w:szCs w:val="24"/>
        </w:rPr>
        <w:t xml:space="preserve"> 906,985 to </w:t>
      </w:r>
      <w:r w:rsidR="00E279AE" w:rsidRPr="00E279AE">
        <w:rPr>
          <w:szCs w:val="24"/>
        </w:rPr>
        <w:t xml:space="preserve">951,722 </w:t>
      </w:r>
      <w:r w:rsidR="00E279AE">
        <w:t xml:space="preserve">burden hours per year. The corresponding total respondent costs are estimated to be $32,066,904 to </w:t>
      </w:r>
      <w:r w:rsidR="00E279AE" w:rsidRPr="00E279AE">
        <w:t xml:space="preserve">$33,729,458 </w:t>
      </w:r>
      <w:r w:rsidR="00E279AE">
        <w:rPr>
          <w:szCs w:val="24"/>
        </w:rPr>
        <w:t>per year</w:t>
      </w:r>
      <w:r w:rsidR="00E279AE">
        <w:t xml:space="preserve">. </w:t>
      </w:r>
      <w:r w:rsidR="00E279AE" w:rsidRPr="00663BE6">
        <w:t xml:space="preserve">EPA estimates the respondent burden for PWSs to be </w:t>
      </w:r>
      <w:r w:rsidR="00E279AE">
        <w:rPr>
          <w:szCs w:val="24"/>
        </w:rPr>
        <w:t xml:space="preserve">745,045 to </w:t>
      </w:r>
      <w:r w:rsidR="00E279AE" w:rsidRPr="00E279AE">
        <w:rPr>
          <w:szCs w:val="24"/>
        </w:rPr>
        <w:t xml:space="preserve">782,320 </w:t>
      </w:r>
      <w:r w:rsidR="00E279AE" w:rsidRPr="00663BE6">
        <w:t>hours</w:t>
      </w:r>
      <w:r w:rsidR="00E279AE">
        <w:t xml:space="preserve"> per year</w:t>
      </w:r>
      <w:r w:rsidR="00E279AE" w:rsidRPr="00663BE6">
        <w:t>.</w:t>
      </w:r>
      <w:r w:rsidR="00E279AE">
        <w:t xml:space="preserve"> </w:t>
      </w:r>
      <w:r w:rsidR="00E279AE" w:rsidRPr="00663BE6">
        <w:t>Respondent costs for PWSs are estimated to be</w:t>
      </w:r>
      <w:r w:rsidR="00E279AE">
        <w:rPr>
          <w:szCs w:val="24"/>
        </w:rPr>
        <w:t xml:space="preserve"> $22,797,439 to </w:t>
      </w:r>
      <w:r w:rsidR="00E279AE" w:rsidRPr="00E279AE">
        <w:rPr>
          <w:szCs w:val="24"/>
        </w:rPr>
        <w:t xml:space="preserve">$24,032,869 </w:t>
      </w:r>
      <w:r w:rsidR="00E279AE">
        <w:rPr>
          <w:szCs w:val="24"/>
        </w:rPr>
        <w:t>per year</w:t>
      </w:r>
      <w:r w:rsidR="00E279AE">
        <w:t xml:space="preserve">. </w:t>
      </w:r>
      <w:r w:rsidR="00E279AE" w:rsidRPr="00663BE6">
        <w:t xml:space="preserve">The Agency estimates that the respondent burden for </w:t>
      </w:r>
      <w:r w:rsidR="00E279AE">
        <w:t>primacy agencies is</w:t>
      </w:r>
      <w:r w:rsidR="00E279AE">
        <w:rPr>
          <w:szCs w:val="24"/>
        </w:rPr>
        <w:t xml:space="preserve"> 161,940 to </w:t>
      </w:r>
      <w:r w:rsidR="00E279AE" w:rsidRPr="00E279AE">
        <w:rPr>
          <w:szCs w:val="24"/>
        </w:rPr>
        <w:t xml:space="preserve">169,402 </w:t>
      </w:r>
      <w:r w:rsidR="00E279AE" w:rsidRPr="00663BE6">
        <w:t>hours</w:t>
      </w:r>
      <w:r w:rsidR="00E279AE">
        <w:t xml:space="preserve"> per year. </w:t>
      </w:r>
      <w:r w:rsidR="00E279AE" w:rsidRPr="00663BE6">
        <w:t xml:space="preserve">The corresponding respondent costs for </w:t>
      </w:r>
      <w:r w:rsidR="00E279AE">
        <w:t>primacy agencies</w:t>
      </w:r>
      <w:r w:rsidR="00E279AE" w:rsidRPr="00663BE6">
        <w:t xml:space="preserve"> are estimated to be</w:t>
      </w:r>
      <w:r w:rsidR="00E279AE">
        <w:t xml:space="preserve"> $9,269,465 to </w:t>
      </w:r>
      <w:r w:rsidR="00E279AE" w:rsidRPr="00E279AE">
        <w:t xml:space="preserve">$9,696,590 </w:t>
      </w:r>
      <w:r w:rsidR="00E279AE">
        <w:t>per year</w:t>
      </w:r>
      <w:r w:rsidR="00E279AE" w:rsidRPr="00663BE6">
        <w:t>.</w:t>
      </w:r>
      <w:r w:rsidR="00E279AE">
        <w:t xml:space="preserve"> </w:t>
      </w:r>
      <w:r w:rsidR="00D75BD8">
        <w:t xml:space="preserve">The rule implementation and startup activities are assumed to occur in the first year while the implementation of the lead service line inventory is distributed over the first three years. There is no Agency burden or cost except where the Agency acts as </w:t>
      </w:r>
      <w:r w:rsidR="00CB0667">
        <w:t>the</w:t>
      </w:r>
      <w:r w:rsidR="00D75BD8">
        <w:t xml:space="preserve"> primacy agency.</w:t>
      </w:r>
      <w:r w:rsidR="00C45A4F">
        <w:t xml:space="preserve"> The ranges reflect estimates for the low cost and high cost scenarios described in Section 1(b).</w:t>
      </w:r>
      <w:r w:rsidR="00C25FB6">
        <w:rPr>
          <w:rStyle w:val="FootnoteReference"/>
        </w:rPr>
        <w:footnoteReference w:id="16"/>
      </w:r>
    </w:p>
    <w:p w14:paraId="7C6E3AFC" w14:textId="77777777" w:rsidR="00353D5B" w:rsidRDefault="00D75BD8" w:rsidP="00353D5B">
      <w:pPr>
        <w:pStyle w:val="NormalIndent"/>
      </w:pPr>
      <w:r>
        <w:t xml:space="preserve">The total number of respondents for this ICR is 67,712. Fifty-six of these respondents are primacy agencies and the remaining 67,656 respondents are water systems. </w:t>
      </w:r>
    </w:p>
    <w:p w14:paraId="2BD9C903" w14:textId="3C09628F" w:rsidR="002A5BD2" w:rsidRDefault="00C70EB2" w:rsidP="002A5BD2">
      <w:pPr>
        <w:pStyle w:val="NormalIndent"/>
      </w:pPr>
      <w:r>
        <w:t xml:space="preserve">The total number of responses for these respondents is </w:t>
      </w:r>
      <w:r w:rsidR="00E279AE">
        <w:t xml:space="preserve">333,782 to </w:t>
      </w:r>
      <w:r w:rsidR="00E279AE" w:rsidRPr="00E279AE">
        <w:t>339,392</w:t>
      </w:r>
      <w:r w:rsidR="00E279AE">
        <w:t xml:space="preserve"> </w:t>
      </w:r>
      <w:r w:rsidR="004718E8">
        <w:t xml:space="preserve">with </w:t>
      </w:r>
      <w:r w:rsidR="00E279AE">
        <w:t xml:space="preserve">268,235 to </w:t>
      </w:r>
      <w:r w:rsidR="00E279AE" w:rsidRPr="00E279AE">
        <w:t>271,040</w:t>
      </w:r>
      <w:r w:rsidR="00E279AE">
        <w:t xml:space="preserve"> </w:t>
      </w:r>
      <w:r>
        <w:t xml:space="preserve">responses </w:t>
      </w:r>
      <w:r w:rsidRPr="00C16859">
        <w:t xml:space="preserve">for water systems and </w:t>
      </w:r>
      <w:r w:rsidR="00E279AE">
        <w:t xml:space="preserve">65,547 to </w:t>
      </w:r>
      <w:r w:rsidR="00E279AE" w:rsidRPr="00E279AE">
        <w:t>68,352</w:t>
      </w:r>
      <w:r w:rsidR="00E279AE">
        <w:t xml:space="preserve"> </w:t>
      </w:r>
      <w:r>
        <w:t xml:space="preserve">responses </w:t>
      </w:r>
      <w:r w:rsidRPr="00C16859">
        <w:t>for primacy agencies.</w:t>
      </w:r>
      <w:r>
        <w:t xml:space="preserve"> The average burden per response is </w:t>
      </w:r>
      <w:r w:rsidR="00E279AE">
        <w:t xml:space="preserve">8.15 to </w:t>
      </w:r>
      <w:r w:rsidR="00E279AE" w:rsidRPr="00E279AE">
        <w:t xml:space="preserve">8.41 </w:t>
      </w:r>
      <w:r>
        <w:t xml:space="preserve">hours. The average cost per response is </w:t>
      </w:r>
      <w:r w:rsidR="00E279AE">
        <w:t xml:space="preserve">$288 to </w:t>
      </w:r>
      <w:r w:rsidR="00E279AE" w:rsidRPr="00E279AE">
        <w:t>$298</w:t>
      </w:r>
      <w:r>
        <w:t>.</w:t>
      </w:r>
    </w:p>
    <w:p w14:paraId="5D014E7B" w14:textId="77777777" w:rsidR="00D75BD8" w:rsidRDefault="00D75BD8" w:rsidP="00D75BD8">
      <w:pPr>
        <w:pStyle w:val="NormalIndent"/>
      </w:pPr>
      <w:r w:rsidRPr="00847F36">
        <w:t xml:space="preserve">These burden and cost estimates represent those activities that </w:t>
      </w:r>
      <w:r w:rsidR="0077783B">
        <w:t xml:space="preserve">the </w:t>
      </w:r>
      <w:r w:rsidRPr="00847F36">
        <w:t>EPA expects would occur in the initial three-year period. During this period, systems and</w:t>
      </w:r>
      <w:r w:rsidR="00E604CC">
        <w:t xml:space="preserve"> </w:t>
      </w:r>
      <w:r w:rsidR="007606BB">
        <w:t>primacy agencies</w:t>
      </w:r>
      <w:r w:rsidRPr="00847F36">
        <w:t xml:space="preserve"> would perform the initial, one-time activities related to rule review and primacy requirements. </w:t>
      </w:r>
      <w:r>
        <w:t>Because implementation does not begin during the initial three-year period, this ICR does not include burden and costs for activities that are required during full rule implementation (e.g., primacy agencies reporting data to SDWIS and water systems reporting tap sampling</w:t>
      </w:r>
      <w:r w:rsidR="0077783B">
        <w:t>, other monitoring results and regulatory milestones</w:t>
      </w:r>
      <w:r>
        <w:t>).</w:t>
      </w:r>
    </w:p>
    <w:p w14:paraId="162CAF16" w14:textId="77777777" w:rsidR="00282040" w:rsidRDefault="00282040" w:rsidP="00282040">
      <w:pPr>
        <w:pStyle w:val="NormalIndent"/>
      </w:pPr>
      <w:r>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the EPA’s regulations are listed in 40 CFR Part 9 and 48 CFR Chapter 15.</w:t>
      </w:r>
    </w:p>
    <w:p w14:paraId="4B458FC5" w14:textId="77777777" w:rsidR="00A96FB6" w:rsidRDefault="00282040" w:rsidP="004013E7">
      <w:pPr>
        <w:pStyle w:val="NormalIndent"/>
        <w:rPr>
          <w:b/>
          <w:bCs/>
        </w:rPr>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944D98">
        <w:t xml:space="preserve">Number </w:t>
      </w:r>
      <w:r w:rsidRPr="00E604CC">
        <w:t>EPA-HQ-OW-</w:t>
      </w:r>
      <w:r w:rsidR="00944D98" w:rsidRPr="00E604CC">
        <w:t>2017</w:t>
      </w:r>
      <w:r w:rsidR="00944D98" w:rsidRPr="00944D98">
        <w:t>-0300</w:t>
      </w:r>
      <w:r w:rsidRPr="00944D98">
        <w:t>, which is available for online viewing at www.regulations.gov, or in person</w:t>
      </w:r>
      <w:r>
        <w:t xml:space="preserve"> viewing at the Water Docket in the EPA Docket Center (EPA/DC), WJC West, Room 3334, 1301 Constitution Ave., NW, Washington, DC. The EPA Docket Center Public Reading Room is open from 8:30 a.m. to 4:30 p.m., Monday through </w:t>
      </w:r>
      <w:r w:rsidRPr="00604B16">
        <w:t xml:space="preserve">Friday, excluding legal holidays. The telephone number for the Reading Room is (202) 566-1744, and the telephone number for the Water Docket is (202) 566-2426. An electronic version of the public docket is available at </w:t>
      </w:r>
      <w:hyperlink r:id="rId23" w:history="1">
        <w:r w:rsidRPr="00604B16">
          <w:rPr>
            <w:rStyle w:val="Hyperlink"/>
          </w:rPr>
          <w:t>www.regulations.gov</w:t>
        </w:r>
      </w:hyperlink>
      <w:r w:rsidRPr="00604B16">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w:t>
      </w:r>
      <w:r w:rsidRPr="00944D98">
        <w:t>Number (</w:t>
      </w:r>
      <w:r w:rsidRPr="00734756">
        <w:t>EPA-HQ-OW-</w:t>
      </w:r>
      <w:r w:rsidR="00944D98" w:rsidRPr="00944D98">
        <w:t>2017</w:t>
      </w:r>
      <w:r w:rsidR="00944D98">
        <w:t>-0300</w:t>
      </w:r>
      <w:r w:rsidRPr="00604B16">
        <w:t xml:space="preserve">) and the OMB Control </w:t>
      </w:r>
      <w:r w:rsidRPr="003A1C05">
        <w:t xml:space="preserve">Number </w:t>
      </w:r>
      <w:r w:rsidRPr="00E604CC">
        <w:t>2040-</w:t>
      </w:r>
      <w:r w:rsidR="003A1C05" w:rsidRPr="00E604CC">
        <w:t>0204</w:t>
      </w:r>
      <w:r w:rsidRPr="00604B16">
        <w:t xml:space="preserve"> in any correspondence</w:t>
      </w:r>
      <w:r>
        <w:t>.</w:t>
      </w:r>
      <w:r w:rsidR="00A96FB6">
        <w:br w:type="page"/>
      </w:r>
    </w:p>
    <w:p w14:paraId="46A95BEC" w14:textId="77777777" w:rsidR="000B17BF" w:rsidRPr="00A96FB6" w:rsidRDefault="006A22C4" w:rsidP="002B4324">
      <w:pPr>
        <w:pStyle w:val="Heading1"/>
        <w:tabs>
          <w:tab w:val="left" w:pos="756"/>
          <w:tab w:val="center" w:pos="4680"/>
        </w:tabs>
      </w:pPr>
      <w:r>
        <w:tab/>
      </w:r>
      <w:r>
        <w:tab/>
      </w:r>
      <w:bookmarkStart w:id="161" w:name="_Toc23139001"/>
      <w:bookmarkStart w:id="162" w:name="_Toc23139146"/>
      <w:r w:rsidR="00245710">
        <w:t>APPENDIX</w:t>
      </w:r>
      <w:r w:rsidR="000B17BF" w:rsidRPr="00A96FB6">
        <w:t xml:space="preserve"> A: SDWA Sections that Provide Authority for the Collection</w:t>
      </w:r>
      <w:bookmarkEnd w:id="161"/>
      <w:bookmarkEnd w:id="162"/>
    </w:p>
    <w:p w14:paraId="6A384107" w14:textId="77777777" w:rsidR="000B17BF" w:rsidRDefault="000B17BF" w:rsidP="00245710">
      <w:r w:rsidRPr="00245710">
        <w:t>Section 1401. For purposes of this title:</w:t>
      </w:r>
    </w:p>
    <w:p w14:paraId="0B2390A6" w14:textId="77777777" w:rsidR="00245710" w:rsidRPr="00245710" w:rsidRDefault="00245710" w:rsidP="00245710"/>
    <w:p w14:paraId="6E70E161" w14:textId="77777777" w:rsidR="000B17BF" w:rsidRPr="00245710" w:rsidRDefault="000B17BF" w:rsidP="00245710">
      <w:r w:rsidRPr="00245710">
        <w:t>(1) The term “primary drinking water regulation” means a regulation which-</w:t>
      </w:r>
    </w:p>
    <w:p w14:paraId="7B834577" w14:textId="77777777" w:rsidR="000B17BF" w:rsidRPr="00245710" w:rsidRDefault="000B17BF" w:rsidP="00245710"/>
    <w:p w14:paraId="64A9A7D5" w14:textId="4432CB79" w:rsidR="000B17BF" w:rsidRPr="00245710" w:rsidRDefault="000B17BF" w:rsidP="00245710">
      <w:r w:rsidRPr="00245710">
        <w:t>(D) contains criteria and procedures to assure a supply of drinking water which dependably complies with such maximum contaminant levels; including accepted methods for quality control and testing procedures to insure compliance with such levels and to insure proper operation and maintenance of the system, and requirements as to (i)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Federal Register. Such procedures shall be treated as an alternative for public water systems to the quality control and testing procedures listed in the regulation.</w:t>
      </w:r>
    </w:p>
    <w:p w14:paraId="5B9884E6" w14:textId="77777777" w:rsidR="000B17BF" w:rsidRPr="00245710" w:rsidRDefault="000B17BF" w:rsidP="00245710"/>
    <w:p w14:paraId="052F4253" w14:textId="77777777" w:rsidR="000B17BF" w:rsidRPr="00245710" w:rsidRDefault="000B17BF" w:rsidP="00245710">
      <w:r w:rsidRPr="00245710">
        <w:t xml:space="preserve">Section 1413(a) For purposes of this title, a </w:t>
      </w:r>
      <w:r w:rsidR="00BB55A4" w:rsidRPr="00245710">
        <w:t>state</w:t>
      </w:r>
      <w:r w:rsidRPr="00245710">
        <w:t xml:space="preserve"> has primary enforcement responsibility for public water systems during any period for which the Administration determines (pursuant to regulations under subsection (b)) that such </w:t>
      </w:r>
      <w:r w:rsidR="00BB55A4" w:rsidRPr="00245710">
        <w:t>state</w:t>
      </w:r>
      <w:r w:rsidRPr="00245710">
        <w:t>-</w:t>
      </w:r>
    </w:p>
    <w:p w14:paraId="01102AAB" w14:textId="77777777" w:rsidR="000B17BF" w:rsidRPr="00245710" w:rsidRDefault="000B17BF" w:rsidP="00245710"/>
    <w:p w14:paraId="6441A4A8" w14:textId="77777777" w:rsidR="000B17BF" w:rsidRPr="00245710" w:rsidRDefault="000B17BF" w:rsidP="00245710">
      <w:r w:rsidRPr="00245710">
        <w:t xml:space="preserve">(1) has adopted drinking water regulations that are no less stringent than the national primary drinking water regulations promulgated by the Administrator under subsections (a) and (b) of section 1412 not later than 2 years after the date on which the regulations are promulgated by the Administrator, except that the Administrator may provide for an extension of not more than 2 years if, after submission and review of appropriate, adequate documentation from the </w:t>
      </w:r>
      <w:r w:rsidR="00BB55A4" w:rsidRPr="00245710">
        <w:t>state</w:t>
      </w:r>
      <w:r w:rsidRPr="00245710">
        <w:t>, the Administrator determines that the extension is necessary and justified;</w:t>
      </w:r>
    </w:p>
    <w:p w14:paraId="4556A643" w14:textId="77777777" w:rsidR="000B17BF" w:rsidRPr="00245710" w:rsidRDefault="000B17BF" w:rsidP="00245710"/>
    <w:p w14:paraId="2835267E" w14:textId="77777777" w:rsidR="000B17BF" w:rsidRPr="00245710" w:rsidRDefault="000B17BF" w:rsidP="00245710">
      <w:r w:rsidRPr="00245710">
        <w:t xml:space="preserve">(2) has adopted and is implementing adequate procedures for the enforcement of such </w:t>
      </w:r>
      <w:r w:rsidR="00BB55A4" w:rsidRPr="00245710">
        <w:t>state</w:t>
      </w:r>
      <w:r w:rsidRPr="00245710">
        <w:t xml:space="preserve"> regulations, including conducting such monitoring and making such inspections as the Administrator may require by regulation;</w:t>
      </w:r>
    </w:p>
    <w:p w14:paraId="1A12748F" w14:textId="77777777" w:rsidR="000B17BF" w:rsidRPr="00245710" w:rsidRDefault="000B17BF" w:rsidP="00245710"/>
    <w:p w14:paraId="510E620C" w14:textId="77777777" w:rsidR="000B17BF" w:rsidRPr="00245710" w:rsidRDefault="000B17BF" w:rsidP="00245710">
      <w:r w:rsidRPr="00245710">
        <w:t>(3) will keep such records and make such reports with respect to its activities under paragraphs (1) and (2)</w:t>
      </w:r>
      <w:r w:rsidR="00245710">
        <w:t xml:space="preserve"> </w:t>
      </w:r>
      <w:r w:rsidRPr="00245710">
        <w:t>as the Administrator may require by regulation.</w:t>
      </w:r>
    </w:p>
    <w:p w14:paraId="2FD446DE" w14:textId="77777777" w:rsidR="000B17BF" w:rsidRPr="00245710" w:rsidRDefault="000B17BF" w:rsidP="00245710"/>
    <w:p w14:paraId="7DAF8AB0" w14:textId="77777777" w:rsidR="000B17BF" w:rsidRPr="00245710" w:rsidRDefault="000B17BF" w:rsidP="00245710">
      <w:r w:rsidRPr="00245710">
        <w:t>Section 1445 (a)(1)(A)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w:t>
      </w:r>
    </w:p>
    <w:p w14:paraId="52686C2F" w14:textId="77777777" w:rsidR="000B17BF" w:rsidRPr="00245710" w:rsidRDefault="000B17BF" w:rsidP="00245710"/>
    <w:p w14:paraId="0B0B36CC" w14:textId="77777777" w:rsidR="000B17BF" w:rsidRPr="00245710" w:rsidRDefault="000B17BF" w:rsidP="00245710">
      <w:r w:rsidRPr="00245710">
        <w:t xml:space="preserve">(B) Every person who is subject to a national primary drinking water regulation under section 1412 shall provide such information as the Administrator may reasonably require, after consultation with the </w:t>
      </w:r>
      <w:r w:rsidR="00BB55A4" w:rsidRPr="00245710">
        <w:t>state</w:t>
      </w:r>
      <w:r w:rsidRPr="00245710">
        <w:t xml:space="preserve"> in which such person is located if such </w:t>
      </w:r>
      <w:r w:rsidR="00BB55A4" w:rsidRPr="00245710">
        <w:t>state</w:t>
      </w:r>
      <w:r w:rsidRPr="00245710">
        <w:t xml:space="preserve"> has primary enforcement responsibility for public water systems, on a case-by-case basis, to determine whether such person has acted or is acting in compliance with this title.</w:t>
      </w:r>
    </w:p>
    <w:p w14:paraId="4841DCEB" w14:textId="77777777" w:rsidR="000B17BF" w:rsidRPr="00245710" w:rsidRDefault="000B17BF" w:rsidP="00245710"/>
    <w:p w14:paraId="21C4EEAD" w14:textId="77777777" w:rsidR="000B17BF" w:rsidRPr="00245710" w:rsidRDefault="000B17BF" w:rsidP="00245710">
      <w:r w:rsidRPr="00245710">
        <w:t>(C) Every person who is subject to a national primary drinking water regulation under section</w:t>
      </w:r>
    </w:p>
    <w:p w14:paraId="1B052B61" w14:textId="77777777" w:rsidR="000B17BF" w:rsidRPr="00245710" w:rsidRDefault="000B17BF" w:rsidP="00245710">
      <w:r w:rsidRPr="00245710">
        <w:t xml:space="preserve">1412 shall provide such information as the Administrator may reasonably require to assist the Administrator in establishing regulations under section 1412 of this title, after consultation with </w:t>
      </w:r>
      <w:r w:rsidR="007606BB">
        <w:t>primacy agencies</w:t>
      </w:r>
      <w:r w:rsidRPr="00245710">
        <w:t xml:space="preserve">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w:t>
      </w:r>
    </w:p>
    <w:p w14:paraId="305DFB7C" w14:textId="77777777" w:rsidR="000B17BF" w:rsidRPr="00245710" w:rsidRDefault="000B17BF" w:rsidP="00245710"/>
    <w:p w14:paraId="20859652" w14:textId="77777777" w:rsidR="000B17BF" w:rsidRPr="00AF3107" w:rsidRDefault="000B17BF" w:rsidP="00245710">
      <w:pPr>
        <w:rPr>
          <w:sz w:val="22"/>
          <w:szCs w:val="22"/>
        </w:rPr>
      </w:pPr>
      <w:r w:rsidRPr="00245710">
        <w:t xml:space="preserve">(D) The Administrator shall not later than 2 years after the date of enactment of this subparagraph, after consultation with public health experts, representatives of the general public, and officials of </w:t>
      </w:r>
      <w:r w:rsidR="00BB55A4" w:rsidRPr="00245710">
        <w:t>state</w:t>
      </w:r>
      <w:r w:rsidRPr="00245710">
        <w:t xml:space="preserve"> and local governments, review the monitoring requirements for not fewer than 12 contaminants identified by the Administrator, and promulgate any necessary modifications.</w:t>
      </w:r>
    </w:p>
    <w:p w14:paraId="3FE48C33" w14:textId="77777777" w:rsidR="00E672CA" w:rsidRDefault="00E672CA">
      <w:pPr>
        <w:rPr>
          <w:b/>
          <w:bCs/>
          <w:sz w:val="48"/>
          <w:szCs w:val="48"/>
        </w:rPr>
      </w:pPr>
      <w:r>
        <w:rPr>
          <w:b/>
          <w:bCs/>
          <w:sz w:val="48"/>
          <w:szCs w:val="48"/>
        </w:rPr>
        <w:br w:type="page"/>
      </w:r>
    </w:p>
    <w:p w14:paraId="3DE35426" w14:textId="77777777" w:rsidR="00E672CA" w:rsidRDefault="00E672CA" w:rsidP="00EC602C">
      <w:pPr>
        <w:pStyle w:val="Heading1"/>
        <w:jc w:val="center"/>
      </w:pPr>
      <w:bookmarkStart w:id="163" w:name="_Toc23139002"/>
      <w:bookmarkStart w:id="164" w:name="_Toc23139147"/>
      <w:r w:rsidRPr="004A1618">
        <w:t>APPENDIX</w:t>
      </w:r>
      <w:r w:rsidRPr="00E672CA">
        <w:t xml:space="preserve"> B</w:t>
      </w:r>
      <w:r w:rsidR="004A1618">
        <w:t>: Burden and Labor Rate D</w:t>
      </w:r>
      <w:r>
        <w:t>erivations</w:t>
      </w:r>
      <w:r w:rsidR="00952585">
        <w:rPr>
          <w:rStyle w:val="FootnoteReference"/>
        </w:rPr>
        <w:footnoteReference w:id="17"/>
      </w:r>
      <w:bookmarkEnd w:id="163"/>
      <w:bookmarkEnd w:id="164"/>
    </w:p>
    <w:tbl>
      <w:tblPr>
        <w:tblW w:w="9360" w:type="dxa"/>
        <w:tblBorders>
          <w:top w:val="single" w:sz="4" w:space="0" w:color="auto"/>
          <w:bottom w:val="single" w:sz="4" w:space="0" w:color="auto"/>
        </w:tblBorders>
        <w:tblLayout w:type="fixed"/>
        <w:tblLook w:val="04A0" w:firstRow="1" w:lastRow="0" w:firstColumn="1" w:lastColumn="0" w:noHBand="0" w:noVBand="1"/>
      </w:tblPr>
      <w:tblGrid>
        <w:gridCol w:w="2700"/>
        <w:gridCol w:w="90"/>
        <w:gridCol w:w="158"/>
        <w:gridCol w:w="1462"/>
        <w:gridCol w:w="1530"/>
        <w:gridCol w:w="135"/>
        <w:gridCol w:w="3285"/>
      </w:tblGrid>
      <w:tr w:rsidR="007A5B04" w:rsidRPr="00E672CA" w14:paraId="7BF36E9A" w14:textId="77777777" w:rsidTr="00DB28DB">
        <w:trPr>
          <w:trHeight w:val="289"/>
        </w:trPr>
        <w:tc>
          <w:tcPr>
            <w:tcW w:w="2948" w:type="dxa"/>
            <w:gridSpan w:val="3"/>
            <w:shd w:val="clear" w:color="000000" w:fill="FFFFFF"/>
            <w:noWrap/>
            <w:hideMark/>
          </w:tcPr>
          <w:p w14:paraId="5520048E" w14:textId="77777777" w:rsidR="007A5B04" w:rsidRPr="00E672CA" w:rsidRDefault="007A5B04" w:rsidP="007A5B04">
            <w:pPr>
              <w:rPr>
                <w:rFonts w:ascii="Calibri" w:hAnsi="Calibri" w:cs="Calibri"/>
                <w:b/>
                <w:bCs/>
                <w:color w:val="000000"/>
                <w:sz w:val="22"/>
                <w:szCs w:val="22"/>
              </w:rPr>
            </w:pPr>
            <w:r>
              <w:rPr>
                <w:rFonts w:ascii="Calibri" w:hAnsi="Calibri" w:cs="Calibri"/>
                <w:b/>
                <w:bCs/>
                <w:color w:val="000000"/>
                <w:sz w:val="22"/>
                <w:szCs w:val="22"/>
              </w:rPr>
              <w:t>Estimated hours per system to read the rule</w:t>
            </w:r>
          </w:p>
        </w:tc>
        <w:tc>
          <w:tcPr>
            <w:tcW w:w="6412" w:type="dxa"/>
            <w:gridSpan w:val="4"/>
            <w:shd w:val="clear" w:color="000000" w:fill="FFFFFF"/>
            <w:noWrap/>
            <w:hideMark/>
          </w:tcPr>
          <w:p w14:paraId="485B91C1" w14:textId="77777777" w:rsidR="007A5B04" w:rsidRPr="00E672CA" w:rsidRDefault="007A5B04" w:rsidP="007A5B04">
            <w:pPr>
              <w:rPr>
                <w:rFonts w:ascii="Calibri" w:hAnsi="Calibri" w:cs="Calibri"/>
                <w:color w:val="000000"/>
                <w:sz w:val="22"/>
                <w:szCs w:val="22"/>
              </w:rPr>
            </w:pPr>
            <w:r w:rsidRPr="00E672CA">
              <w:rPr>
                <w:rFonts w:ascii="Calibri" w:hAnsi="Calibri" w:cs="Calibri"/>
                <w:b/>
                <w:bCs/>
                <w:color w:val="000000"/>
                <w:sz w:val="22"/>
                <w:szCs w:val="22"/>
              </w:rPr>
              <w:t xml:space="preserve">Source: </w:t>
            </w:r>
            <w:r w:rsidRPr="00E672CA">
              <w:rPr>
                <w:rFonts w:ascii="Calibri" w:hAnsi="Calibri" w:cs="Calibri"/>
                <w:color w:val="000000"/>
                <w:sz w:val="22"/>
                <w:szCs w:val="22"/>
              </w:rPr>
              <w:t xml:space="preserve">Based on implementation burden estimated for the Ground Water Rule </w:t>
            </w:r>
            <w:r w:rsidR="002A6726">
              <w:rPr>
                <w:rFonts w:ascii="Calibri" w:hAnsi="Calibri" w:cs="Calibri"/>
                <w:color w:val="000000"/>
                <w:sz w:val="22"/>
                <w:szCs w:val="22"/>
              </w:rPr>
              <w:t xml:space="preserve">(GWR) </w:t>
            </w:r>
            <w:r w:rsidR="006A22C4">
              <w:rPr>
                <w:rFonts w:ascii="Calibri" w:hAnsi="Calibri" w:cs="Calibri"/>
                <w:color w:val="000000"/>
                <w:sz w:val="22"/>
                <w:szCs w:val="22"/>
              </w:rPr>
              <w:t>Economic Analysis (</w:t>
            </w:r>
            <w:r w:rsidRPr="002E12C7">
              <w:rPr>
                <w:rFonts w:ascii="Calibri" w:hAnsi="Calibri" w:cs="Calibri"/>
                <w:color w:val="000000"/>
                <w:sz w:val="22"/>
                <w:szCs w:val="22"/>
              </w:rPr>
              <w:t>EA</w:t>
            </w:r>
            <w:r w:rsidR="006A22C4">
              <w:rPr>
                <w:rFonts w:ascii="Calibri" w:hAnsi="Calibri" w:cs="Calibri"/>
                <w:color w:val="000000"/>
                <w:sz w:val="22"/>
                <w:szCs w:val="22"/>
              </w:rPr>
              <w:t>)</w:t>
            </w:r>
            <w:r w:rsidRPr="00E672CA">
              <w:rPr>
                <w:rFonts w:ascii="Calibri" w:hAnsi="Calibri" w:cs="Calibri"/>
                <w:color w:val="000000"/>
                <w:sz w:val="22"/>
                <w:szCs w:val="22"/>
              </w:rPr>
              <w:t xml:space="preserve"> (USEPA, 2006).</w:t>
            </w:r>
            <w:r w:rsidR="002A6726">
              <w:rPr>
                <w:rStyle w:val="FootnoteReference"/>
                <w:rFonts w:ascii="Calibri" w:hAnsi="Calibri" w:cs="Calibri"/>
                <w:color w:val="000000"/>
                <w:sz w:val="22"/>
                <w:szCs w:val="22"/>
              </w:rPr>
              <w:footnoteReference w:id="18"/>
            </w:r>
          </w:p>
        </w:tc>
      </w:tr>
      <w:tr w:rsidR="007A5B04" w:rsidRPr="00E672CA" w14:paraId="6FEFF4CA" w14:textId="77777777" w:rsidTr="00DB28DB">
        <w:trPr>
          <w:gridAfter w:val="4"/>
          <w:wAfter w:w="6412" w:type="dxa"/>
          <w:trHeight w:val="289"/>
        </w:trPr>
        <w:tc>
          <w:tcPr>
            <w:tcW w:w="2948" w:type="dxa"/>
            <w:gridSpan w:val="3"/>
            <w:tcBorders>
              <w:bottom w:val="single" w:sz="4" w:space="0" w:color="auto"/>
            </w:tcBorders>
            <w:shd w:val="clear" w:color="000000" w:fill="EDEDED"/>
            <w:noWrap/>
            <w:hideMark/>
          </w:tcPr>
          <w:p w14:paraId="44E713D0" w14:textId="77777777" w:rsidR="007A5B04" w:rsidRPr="00E672CA" w:rsidRDefault="007A5B04" w:rsidP="007A5B04">
            <w:pPr>
              <w:rPr>
                <w:rFonts w:ascii="Calibri" w:hAnsi="Calibri" w:cs="Calibri"/>
                <w:color w:val="000000"/>
                <w:sz w:val="22"/>
                <w:szCs w:val="22"/>
              </w:rPr>
            </w:pPr>
            <w:r w:rsidRPr="00E672CA">
              <w:rPr>
                <w:rFonts w:ascii="Calibri" w:hAnsi="Calibri" w:cs="Calibri"/>
                <w:color w:val="000000"/>
                <w:sz w:val="22"/>
                <w:szCs w:val="22"/>
              </w:rPr>
              <w:t>4</w:t>
            </w:r>
          </w:p>
        </w:tc>
      </w:tr>
      <w:tr w:rsidR="007A5B04" w:rsidRPr="00E672CA" w14:paraId="14DB2811" w14:textId="77777777" w:rsidTr="00DB28DB">
        <w:trPr>
          <w:trHeight w:val="289"/>
        </w:trPr>
        <w:tc>
          <w:tcPr>
            <w:tcW w:w="2948" w:type="dxa"/>
            <w:gridSpan w:val="3"/>
            <w:tcBorders>
              <w:top w:val="single" w:sz="4" w:space="0" w:color="auto"/>
            </w:tcBorders>
            <w:shd w:val="clear" w:color="000000" w:fill="FFFFFF"/>
            <w:noWrap/>
            <w:hideMark/>
          </w:tcPr>
          <w:p w14:paraId="638EEE9A" w14:textId="77777777" w:rsidR="007A5B04" w:rsidRPr="00E672CA" w:rsidRDefault="007A5B04" w:rsidP="007A5B04">
            <w:pPr>
              <w:rPr>
                <w:rFonts w:ascii="Calibri" w:hAnsi="Calibri" w:cs="Calibri"/>
                <w:b/>
                <w:bCs/>
                <w:color w:val="000000"/>
                <w:sz w:val="22"/>
                <w:szCs w:val="22"/>
              </w:rPr>
            </w:pPr>
            <w:r>
              <w:rPr>
                <w:rFonts w:ascii="Calibri" w:hAnsi="Calibri" w:cs="Calibri"/>
                <w:b/>
                <w:bCs/>
                <w:color w:val="000000"/>
                <w:sz w:val="22"/>
                <w:szCs w:val="22"/>
              </w:rPr>
              <w:t>Estimated hours per system to assign staff for implementation</w:t>
            </w:r>
          </w:p>
        </w:tc>
        <w:tc>
          <w:tcPr>
            <w:tcW w:w="6412" w:type="dxa"/>
            <w:gridSpan w:val="4"/>
            <w:tcBorders>
              <w:top w:val="single" w:sz="4" w:space="0" w:color="auto"/>
            </w:tcBorders>
            <w:shd w:val="clear" w:color="000000" w:fill="FFFFFF"/>
            <w:noWrap/>
            <w:hideMark/>
          </w:tcPr>
          <w:p w14:paraId="7D6488A5" w14:textId="77777777" w:rsidR="007A5B04" w:rsidRPr="00E672CA" w:rsidRDefault="007A5B04" w:rsidP="00952585">
            <w:pPr>
              <w:rPr>
                <w:rFonts w:ascii="Calibri" w:hAnsi="Calibri" w:cs="Calibri"/>
                <w:color w:val="000000"/>
                <w:sz w:val="22"/>
                <w:szCs w:val="22"/>
              </w:rPr>
            </w:pPr>
            <w:r w:rsidRPr="00E672CA">
              <w:rPr>
                <w:rFonts w:ascii="Calibri" w:hAnsi="Calibri" w:cs="Calibri"/>
                <w:b/>
                <w:bCs/>
                <w:color w:val="000000"/>
                <w:sz w:val="22"/>
                <w:szCs w:val="22"/>
              </w:rPr>
              <w:t xml:space="preserve">Source: </w:t>
            </w:r>
            <w:r w:rsidRPr="00E672CA">
              <w:rPr>
                <w:rFonts w:ascii="Calibri" w:hAnsi="Calibri" w:cs="Calibri"/>
                <w:color w:val="000000"/>
                <w:sz w:val="22"/>
                <w:szCs w:val="22"/>
              </w:rPr>
              <w:t xml:space="preserve">Based on implementation burden estimated for the </w:t>
            </w:r>
            <w:r w:rsidR="00952585">
              <w:rPr>
                <w:rFonts w:ascii="Calibri" w:hAnsi="Calibri" w:cs="Calibri"/>
                <w:color w:val="000000"/>
                <w:sz w:val="22"/>
                <w:szCs w:val="22"/>
              </w:rPr>
              <w:t>GWR</w:t>
            </w:r>
            <w:r w:rsidRPr="00E672CA">
              <w:rPr>
                <w:rFonts w:ascii="Calibri" w:hAnsi="Calibri" w:cs="Calibri"/>
                <w:color w:val="000000"/>
                <w:sz w:val="22"/>
                <w:szCs w:val="22"/>
              </w:rPr>
              <w:t xml:space="preserve"> EA (USEPA, 2006).</w:t>
            </w:r>
          </w:p>
        </w:tc>
      </w:tr>
      <w:tr w:rsidR="007A5B04" w:rsidRPr="00E672CA" w14:paraId="32BA6220" w14:textId="77777777" w:rsidTr="00DB28DB">
        <w:trPr>
          <w:trHeight w:val="289"/>
        </w:trPr>
        <w:tc>
          <w:tcPr>
            <w:tcW w:w="2948" w:type="dxa"/>
            <w:gridSpan w:val="3"/>
            <w:tcBorders>
              <w:bottom w:val="single" w:sz="4" w:space="0" w:color="auto"/>
            </w:tcBorders>
            <w:shd w:val="clear" w:color="000000" w:fill="EDEDED"/>
            <w:noWrap/>
            <w:hideMark/>
          </w:tcPr>
          <w:p w14:paraId="369CCD0C" w14:textId="77777777" w:rsidR="007A5B04" w:rsidRPr="00E672CA" w:rsidRDefault="007A5B04" w:rsidP="007A5B04">
            <w:pPr>
              <w:rPr>
                <w:rFonts w:ascii="Calibri" w:hAnsi="Calibri" w:cs="Calibri"/>
                <w:color w:val="000000"/>
                <w:sz w:val="22"/>
                <w:szCs w:val="22"/>
              </w:rPr>
            </w:pPr>
            <w:r w:rsidRPr="00E672CA">
              <w:rPr>
                <w:rFonts w:ascii="Calibri" w:hAnsi="Calibri" w:cs="Calibri"/>
                <w:color w:val="000000"/>
                <w:sz w:val="22"/>
                <w:szCs w:val="22"/>
              </w:rPr>
              <w:t>8</w:t>
            </w:r>
          </w:p>
        </w:tc>
        <w:tc>
          <w:tcPr>
            <w:tcW w:w="6412" w:type="dxa"/>
            <w:gridSpan w:val="4"/>
            <w:tcBorders>
              <w:bottom w:val="single" w:sz="4" w:space="0" w:color="auto"/>
            </w:tcBorders>
            <w:shd w:val="clear" w:color="000000" w:fill="FFFFFF"/>
            <w:noWrap/>
            <w:hideMark/>
          </w:tcPr>
          <w:p w14:paraId="38731A07" w14:textId="77777777" w:rsidR="007A5B04" w:rsidRPr="00E672CA" w:rsidRDefault="007A5B04" w:rsidP="007A5B04">
            <w:pPr>
              <w:rPr>
                <w:rFonts w:ascii="Calibri" w:hAnsi="Calibri" w:cs="Calibri"/>
                <w:color w:val="000000"/>
                <w:sz w:val="22"/>
                <w:szCs w:val="22"/>
              </w:rPr>
            </w:pPr>
            <w:r w:rsidRPr="00E672CA">
              <w:rPr>
                <w:rFonts w:ascii="Calibri" w:hAnsi="Calibri" w:cs="Calibri"/>
                <w:color w:val="000000"/>
                <w:sz w:val="22"/>
                <w:szCs w:val="22"/>
              </w:rPr>
              <w:t> </w:t>
            </w:r>
          </w:p>
        </w:tc>
      </w:tr>
      <w:tr w:rsidR="007A5B04" w:rsidRPr="00E672CA" w14:paraId="06643FE1" w14:textId="77777777" w:rsidTr="00DB28DB">
        <w:trPr>
          <w:trHeight w:val="289"/>
        </w:trPr>
        <w:tc>
          <w:tcPr>
            <w:tcW w:w="2948" w:type="dxa"/>
            <w:gridSpan w:val="3"/>
            <w:tcBorders>
              <w:top w:val="single" w:sz="4" w:space="0" w:color="auto"/>
            </w:tcBorders>
            <w:shd w:val="clear" w:color="000000" w:fill="FFFFFF"/>
            <w:noWrap/>
          </w:tcPr>
          <w:p w14:paraId="33532876" w14:textId="77777777" w:rsidR="007A5B04" w:rsidRPr="00606BF0" w:rsidRDefault="007A5B04" w:rsidP="007A5B04">
            <w:pPr>
              <w:rPr>
                <w:rFonts w:ascii="Calibri" w:hAnsi="Calibri" w:cs="Calibri"/>
                <w:b/>
                <w:color w:val="000000"/>
                <w:sz w:val="22"/>
                <w:szCs w:val="22"/>
              </w:rPr>
            </w:pPr>
            <w:r w:rsidRPr="00606BF0">
              <w:rPr>
                <w:rFonts w:ascii="Calibri" w:hAnsi="Calibri" w:cs="Calibri"/>
                <w:b/>
                <w:bCs/>
                <w:color w:val="000000"/>
                <w:sz w:val="22"/>
                <w:szCs w:val="22"/>
              </w:rPr>
              <w:t>Estimated hours per system for staff to attend</w:t>
            </w:r>
            <w:r w:rsidRPr="00606BF0">
              <w:rPr>
                <w:rFonts w:ascii="Calibri" w:hAnsi="Calibri" w:cs="Calibri"/>
                <w:b/>
                <w:color w:val="000000"/>
                <w:sz w:val="22"/>
                <w:szCs w:val="22"/>
              </w:rPr>
              <w:t xml:space="preserve"> training and technical assistance from the state during rule implementation</w:t>
            </w:r>
          </w:p>
        </w:tc>
        <w:tc>
          <w:tcPr>
            <w:tcW w:w="6412" w:type="dxa"/>
            <w:gridSpan w:val="4"/>
            <w:tcBorders>
              <w:top w:val="single" w:sz="4" w:space="0" w:color="auto"/>
            </w:tcBorders>
            <w:shd w:val="clear" w:color="000000" w:fill="FFFFFF"/>
            <w:noWrap/>
          </w:tcPr>
          <w:p w14:paraId="1844119C" w14:textId="77777777" w:rsidR="007A5B04" w:rsidRPr="00E672CA" w:rsidRDefault="007A5B04" w:rsidP="007A5B04">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xml:space="preserve">: </w:t>
            </w:r>
            <w:r w:rsidR="006A22C4">
              <w:rPr>
                <w:rFonts w:ascii="Calibri" w:hAnsi="Calibri" w:cs="Calibri"/>
                <w:color w:val="000000"/>
                <w:sz w:val="22"/>
                <w:szCs w:val="22"/>
              </w:rPr>
              <w:t>Public Water System Supervision (</w:t>
            </w:r>
            <w:r w:rsidRPr="002E12C7">
              <w:rPr>
                <w:rFonts w:ascii="Calibri" w:hAnsi="Calibri" w:cs="Calibri"/>
                <w:color w:val="000000"/>
                <w:sz w:val="22"/>
                <w:szCs w:val="22"/>
              </w:rPr>
              <w:t>PWSS</w:t>
            </w:r>
            <w:r w:rsidR="006A22C4">
              <w:rPr>
                <w:rFonts w:ascii="Calibri" w:hAnsi="Calibri" w:cs="Calibri"/>
                <w:color w:val="000000"/>
                <w:sz w:val="22"/>
                <w:szCs w:val="22"/>
              </w:rPr>
              <w:t>)</w:t>
            </w:r>
            <w:r w:rsidRPr="00E672CA">
              <w:rPr>
                <w:rFonts w:ascii="Calibri" w:hAnsi="Calibri" w:cs="Calibri"/>
                <w:color w:val="000000"/>
                <w:sz w:val="22"/>
                <w:szCs w:val="22"/>
              </w:rPr>
              <w:t xml:space="preserve"> ICR (2015)</w:t>
            </w:r>
            <w:r w:rsidR="002A6726">
              <w:rPr>
                <w:rStyle w:val="FootnoteReference"/>
                <w:rFonts w:ascii="Calibri" w:hAnsi="Calibri" w:cs="Calibri"/>
                <w:color w:val="000000"/>
                <w:sz w:val="22"/>
                <w:szCs w:val="22"/>
              </w:rPr>
              <w:footnoteReference w:id="19"/>
            </w:r>
          </w:p>
        </w:tc>
      </w:tr>
      <w:tr w:rsidR="007A5B04" w:rsidRPr="00E672CA" w14:paraId="0B48DDE6" w14:textId="77777777" w:rsidTr="00DB28DB">
        <w:trPr>
          <w:trHeight w:val="289"/>
        </w:trPr>
        <w:tc>
          <w:tcPr>
            <w:tcW w:w="2948" w:type="dxa"/>
            <w:gridSpan w:val="3"/>
            <w:tcBorders>
              <w:bottom w:val="single" w:sz="4" w:space="0" w:color="auto"/>
            </w:tcBorders>
            <w:shd w:val="clear" w:color="auto" w:fill="F2F2F2" w:themeFill="background1" w:themeFillShade="F2"/>
            <w:noWrap/>
          </w:tcPr>
          <w:p w14:paraId="4EF342AD" w14:textId="77777777" w:rsidR="007A5B04" w:rsidRPr="00606BF0" w:rsidRDefault="007A5B04" w:rsidP="007A5B04">
            <w:pPr>
              <w:rPr>
                <w:rFonts w:ascii="Calibri" w:hAnsi="Calibri" w:cs="Calibri"/>
                <w:b/>
                <w:color w:val="000000"/>
                <w:sz w:val="22"/>
                <w:szCs w:val="22"/>
              </w:rPr>
            </w:pPr>
            <w:r w:rsidRPr="00E672CA">
              <w:rPr>
                <w:rFonts w:ascii="Calibri" w:hAnsi="Calibri" w:cs="Calibri"/>
                <w:color w:val="000000"/>
                <w:sz w:val="22"/>
                <w:szCs w:val="22"/>
              </w:rPr>
              <w:t>8</w:t>
            </w:r>
          </w:p>
        </w:tc>
        <w:tc>
          <w:tcPr>
            <w:tcW w:w="6412" w:type="dxa"/>
            <w:gridSpan w:val="4"/>
            <w:tcBorders>
              <w:bottom w:val="single" w:sz="4" w:space="0" w:color="auto"/>
            </w:tcBorders>
            <w:shd w:val="clear" w:color="000000" w:fill="FFFFFF"/>
            <w:noWrap/>
          </w:tcPr>
          <w:p w14:paraId="6551B991" w14:textId="77777777" w:rsidR="007A5B04" w:rsidRPr="00E672CA" w:rsidRDefault="007A5B04" w:rsidP="007A5B04">
            <w:pPr>
              <w:rPr>
                <w:rFonts w:ascii="Calibri" w:hAnsi="Calibri" w:cs="Calibri"/>
                <w:color w:val="000000"/>
                <w:sz w:val="22"/>
                <w:szCs w:val="22"/>
              </w:rPr>
            </w:pPr>
          </w:p>
        </w:tc>
      </w:tr>
      <w:tr w:rsidR="0031118A" w:rsidRPr="00E672CA" w14:paraId="34E98255" w14:textId="77777777" w:rsidTr="00DB28DB">
        <w:trPr>
          <w:trHeight w:val="289"/>
        </w:trPr>
        <w:tc>
          <w:tcPr>
            <w:tcW w:w="2948" w:type="dxa"/>
            <w:gridSpan w:val="3"/>
            <w:tcBorders>
              <w:top w:val="single" w:sz="4" w:space="0" w:color="auto"/>
            </w:tcBorders>
            <w:shd w:val="clear" w:color="000000" w:fill="FFFFFF"/>
            <w:noWrap/>
          </w:tcPr>
          <w:p w14:paraId="05757B74" w14:textId="404BE112" w:rsidR="0031118A" w:rsidRPr="00040DBE" w:rsidRDefault="0031118A" w:rsidP="00A539B3">
            <w:pPr>
              <w:rPr>
                <w:rFonts w:asciiTheme="minorHAnsi" w:hAnsiTheme="minorHAnsi" w:cstheme="minorHAnsi"/>
                <w:b/>
                <w:color w:val="000000"/>
                <w:sz w:val="22"/>
                <w:szCs w:val="22"/>
              </w:rPr>
            </w:pPr>
            <w:r w:rsidRPr="00040DBE">
              <w:rPr>
                <w:rFonts w:asciiTheme="minorHAnsi" w:hAnsiTheme="minorHAnsi" w:cstheme="minorHAnsi"/>
                <w:b/>
                <w:bCs/>
                <w:color w:val="000000"/>
                <w:sz w:val="22"/>
                <w:szCs w:val="22"/>
              </w:rPr>
              <w:t xml:space="preserve">Estimated hours per system for staff </w:t>
            </w:r>
            <w:r w:rsidR="00E52E93" w:rsidRPr="00040DBE">
              <w:rPr>
                <w:rFonts w:asciiTheme="minorHAnsi" w:hAnsiTheme="minorHAnsi" w:cstheme="minorHAnsi"/>
                <w:b/>
                <w:bCs/>
                <w:color w:val="000000"/>
                <w:sz w:val="22"/>
                <w:szCs w:val="22"/>
              </w:rPr>
              <w:t xml:space="preserve">to </w:t>
            </w:r>
            <w:r w:rsidR="00A539B3" w:rsidRPr="00A539B3">
              <w:rPr>
                <w:rFonts w:asciiTheme="minorHAnsi" w:hAnsiTheme="minorHAnsi" w:cstheme="minorHAnsi"/>
                <w:b/>
                <w:bCs/>
                <w:color w:val="000000"/>
                <w:sz w:val="22"/>
                <w:szCs w:val="22"/>
              </w:rPr>
              <w:t>conduct</w:t>
            </w:r>
            <w:r w:rsidR="00A539B3">
              <w:rPr>
                <w:rFonts w:asciiTheme="minorHAnsi" w:hAnsiTheme="minorHAnsi" w:cstheme="minorHAnsi"/>
                <w:b/>
                <w:bCs/>
                <w:color w:val="000000"/>
                <w:sz w:val="22"/>
                <w:szCs w:val="22"/>
              </w:rPr>
              <w:t xml:space="preserve"> planning and identify</w:t>
            </w:r>
            <w:r w:rsidR="00A539B3" w:rsidRPr="00A539B3">
              <w:rPr>
                <w:rFonts w:asciiTheme="minorHAnsi" w:hAnsiTheme="minorHAnsi" w:cstheme="minorHAnsi"/>
                <w:b/>
                <w:bCs/>
                <w:color w:val="000000"/>
                <w:sz w:val="22"/>
                <w:szCs w:val="22"/>
              </w:rPr>
              <w:t xml:space="preserve"> financial options for initial planning of LSLR Program</w:t>
            </w:r>
          </w:p>
        </w:tc>
        <w:tc>
          <w:tcPr>
            <w:tcW w:w="6412" w:type="dxa"/>
            <w:gridSpan w:val="4"/>
            <w:tcBorders>
              <w:top w:val="single" w:sz="4" w:space="0" w:color="auto"/>
            </w:tcBorders>
            <w:shd w:val="clear" w:color="000000" w:fill="FFFFFF"/>
            <w:noWrap/>
          </w:tcPr>
          <w:p w14:paraId="070DBBC7" w14:textId="77777777" w:rsidR="0031118A" w:rsidRPr="00040DBE" w:rsidRDefault="0031118A" w:rsidP="00E52E93">
            <w:pPr>
              <w:rPr>
                <w:rFonts w:asciiTheme="minorHAnsi" w:hAnsiTheme="minorHAnsi" w:cstheme="minorHAnsi"/>
                <w:b/>
                <w:bCs/>
                <w:color w:val="000000"/>
                <w:sz w:val="22"/>
                <w:szCs w:val="22"/>
              </w:rPr>
            </w:pPr>
          </w:p>
        </w:tc>
      </w:tr>
      <w:tr w:rsidR="003E7268" w:rsidRPr="00E672CA" w14:paraId="114A204D" w14:textId="77777777" w:rsidTr="0028475A">
        <w:trPr>
          <w:trHeight w:val="289"/>
        </w:trPr>
        <w:tc>
          <w:tcPr>
            <w:tcW w:w="2700" w:type="dxa"/>
            <w:tcBorders>
              <w:top w:val="single" w:sz="4" w:space="0" w:color="auto"/>
            </w:tcBorders>
            <w:shd w:val="clear" w:color="000000" w:fill="FFFFFF"/>
            <w:noWrap/>
            <w:vAlign w:val="bottom"/>
          </w:tcPr>
          <w:p w14:paraId="7D39C3D4" w14:textId="1BA4BEE3"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2C1A8AC3" w14:textId="4F16E90E"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5</w:t>
            </w:r>
          </w:p>
        </w:tc>
      </w:tr>
      <w:tr w:rsidR="003E7268" w:rsidRPr="00E672CA" w14:paraId="381CFBD9" w14:textId="77777777" w:rsidTr="0028475A">
        <w:trPr>
          <w:trHeight w:val="289"/>
        </w:trPr>
        <w:tc>
          <w:tcPr>
            <w:tcW w:w="2700" w:type="dxa"/>
            <w:tcBorders>
              <w:top w:val="single" w:sz="4" w:space="0" w:color="auto"/>
            </w:tcBorders>
            <w:shd w:val="clear" w:color="000000" w:fill="FFFFFF"/>
            <w:noWrap/>
            <w:vAlign w:val="bottom"/>
          </w:tcPr>
          <w:p w14:paraId="63C5EC0F" w14:textId="02B3040D"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3AFDDD3B" w14:textId="3CF7A783"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5</w:t>
            </w:r>
          </w:p>
        </w:tc>
      </w:tr>
      <w:tr w:rsidR="003E7268" w:rsidRPr="00E672CA" w14:paraId="67396339" w14:textId="77777777" w:rsidTr="0028475A">
        <w:trPr>
          <w:trHeight w:val="289"/>
        </w:trPr>
        <w:tc>
          <w:tcPr>
            <w:tcW w:w="2700" w:type="dxa"/>
            <w:tcBorders>
              <w:top w:val="single" w:sz="4" w:space="0" w:color="auto"/>
            </w:tcBorders>
            <w:shd w:val="clear" w:color="000000" w:fill="FFFFFF"/>
            <w:noWrap/>
            <w:vAlign w:val="bottom"/>
          </w:tcPr>
          <w:p w14:paraId="4AF67E63" w14:textId="28AF230B"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6D5B6B89" w14:textId="03E215E0"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5</w:t>
            </w:r>
          </w:p>
        </w:tc>
      </w:tr>
      <w:tr w:rsidR="003E7268" w:rsidRPr="00E672CA" w14:paraId="07588638" w14:textId="77777777" w:rsidTr="0028475A">
        <w:trPr>
          <w:trHeight w:val="289"/>
        </w:trPr>
        <w:tc>
          <w:tcPr>
            <w:tcW w:w="2700" w:type="dxa"/>
            <w:tcBorders>
              <w:top w:val="single" w:sz="4" w:space="0" w:color="auto"/>
            </w:tcBorders>
            <w:shd w:val="clear" w:color="000000" w:fill="FFFFFF"/>
            <w:noWrap/>
            <w:vAlign w:val="bottom"/>
          </w:tcPr>
          <w:p w14:paraId="1FA076AC" w14:textId="61E018F0"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69F56CB7" w14:textId="136DD838"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10</w:t>
            </w:r>
          </w:p>
        </w:tc>
      </w:tr>
      <w:tr w:rsidR="003E7268" w:rsidRPr="00E672CA" w14:paraId="0DCE21C0" w14:textId="77777777" w:rsidTr="0028475A">
        <w:trPr>
          <w:trHeight w:val="289"/>
        </w:trPr>
        <w:tc>
          <w:tcPr>
            <w:tcW w:w="2700" w:type="dxa"/>
            <w:tcBorders>
              <w:top w:val="single" w:sz="4" w:space="0" w:color="auto"/>
            </w:tcBorders>
            <w:shd w:val="clear" w:color="000000" w:fill="FFFFFF"/>
            <w:noWrap/>
            <w:vAlign w:val="bottom"/>
          </w:tcPr>
          <w:p w14:paraId="6A21CEBC" w14:textId="6D29AC04"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2E04EB93" w14:textId="780C8567"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20</w:t>
            </w:r>
          </w:p>
        </w:tc>
      </w:tr>
      <w:tr w:rsidR="003E7268" w:rsidRPr="00E672CA" w14:paraId="5A2B6A49" w14:textId="77777777" w:rsidTr="0028475A">
        <w:trPr>
          <w:trHeight w:val="289"/>
        </w:trPr>
        <w:tc>
          <w:tcPr>
            <w:tcW w:w="2700" w:type="dxa"/>
            <w:tcBorders>
              <w:top w:val="single" w:sz="4" w:space="0" w:color="auto"/>
            </w:tcBorders>
            <w:shd w:val="clear" w:color="000000" w:fill="FFFFFF"/>
            <w:noWrap/>
            <w:vAlign w:val="bottom"/>
          </w:tcPr>
          <w:p w14:paraId="37F170D5" w14:textId="72B906D1"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44826A0E" w14:textId="1366AEF1"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25</w:t>
            </w:r>
          </w:p>
        </w:tc>
      </w:tr>
      <w:tr w:rsidR="003E7268" w:rsidRPr="00E672CA" w14:paraId="33622F70" w14:textId="77777777" w:rsidTr="0028475A">
        <w:trPr>
          <w:trHeight w:val="289"/>
        </w:trPr>
        <w:tc>
          <w:tcPr>
            <w:tcW w:w="2700" w:type="dxa"/>
            <w:tcBorders>
              <w:top w:val="single" w:sz="4" w:space="0" w:color="auto"/>
            </w:tcBorders>
            <w:shd w:val="clear" w:color="000000" w:fill="FFFFFF"/>
            <w:noWrap/>
            <w:vAlign w:val="bottom"/>
          </w:tcPr>
          <w:p w14:paraId="4E994C22" w14:textId="3F477963"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6A0A977B" w14:textId="65520407"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50</w:t>
            </w:r>
          </w:p>
        </w:tc>
      </w:tr>
      <w:tr w:rsidR="003E7268" w:rsidRPr="00E672CA" w14:paraId="1EB06D76" w14:textId="77777777" w:rsidTr="0028475A">
        <w:trPr>
          <w:trHeight w:val="289"/>
        </w:trPr>
        <w:tc>
          <w:tcPr>
            <w:tcW w:w="2700" w:type="dxa"/>
            <w:tcBorders>
              <w:top w:val="single" w:sz="4" w:space="0" w:color="auto"/>
            </w:tcBorders>
            <w:shd w:val="clear" w:color="000000" w:fill="FFFFFF"/>
            <w:noWrap/>
            <w:vAlign w:val="bottom"/>
          </w:tcPr>
          <w:p w14:paraId="58C2A8CA" w14:textId="34088F60"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3ED223B3" w14:textId="16716E64"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75</w:t>
            </w:r>
          </w:p>
        </w:tc>
      </w:tr>
      <w:tr w:rsidR="003E7268" w:rsidRPr="00E672CA" w14:paraId="1BC6B8F8" w14:textId="77777777" w:rsidTr="0028475A">
        <w:trPr>
          <w:trHeight w:val="289"/>
        </w:trPr>
        <w:tc>
          <w:tcPr>
            <w:tcW w:w="2700" w:type="dxa"/>
            <w:tcBorders>
              <w:top w:val="single" w:sz="4" w:space="0" w:color="auto"/>
            </w:tcBorders>
            <w:shd w:val="clear" w:color="000000" w:fill="FFFFFF"/>
            <w:noWrap/>
            <w:vAlign w:val="bottom"/>
          </w:tcPr>
          <w:p w14:paraId="7163FCC4" w14:textId="4771297F" w:rsidR="003E7268" w:rsidRPr="00040DBE" w:rsidRDefault="003E7268" w:rsidP="003E7268">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6660" w:type="dxa"/>
            <w:gridSpan w:val="6"/>
            <w:tcBorders>
              <w:top w:val="single" w:sz="4" w:space="0" w:color="auto"/>
            </w:tcBorders>
            <w:shd w:val="clear" w:color="000000" w:fill="FFFFFF"/>
            <w:noWrap/>
          </w:tcPr>
          <w:p w14:paraId="23E4CE2F" w14:textId="18A4B0BF" w:rsidR="003E7268" w:rsidRPr="00040DBE" w:rsidRDefault="003E7268" w:rsidP="003E7268">
            <w:pPr>
              <w:rPr>
                <w:rFonts w:asciiTheme="minorHAnsi" w:hAnsiTheme="minorHAnsi" w:cstheme="minorHAnsi"/>
                <w:b/>
                <w:bCs/>
                <w:color w:val="000000"/>
                <w:sz w:val="22"/>
                <w:szCs w:val="22"/>
              </w:rPr>
            </w:pPr>
            <w:r>
              <w:rPr>
                <w:rFonts w:ascii="Calibri" w:hAnsi="Calibri" w:cs="Calibri"/>
                <w:color w:val="000000"/>
                <w:sz w:val="22"/>
                <w:szCs w:val="22"/>
              </w:rPr>
              <w:t>100</w:t>
            </w:r>
          </w:p>
        </w:tc>
      </w:tr>
      <w:tr w:rsidR="003E7268" w:rsidRPr="00E672CA" w14:paraId="782E19E8" w14:textId="77777777" w:rsidTr="0028475A">
        <w:trPr>
          <w:trHeight w:val="289"/>
        </w:trPr>
        <w:tc>
          <w:tcPr>
            <w:tcW w:w="2700" w:type="dxa"/>
            <w:tcBorders>
              <w:top w:val="single" w:sz="4" w:space="0" w:color="auto"/>
            </w:tcBorders>
            <w:shd w:val="clear" w:color="000000" w:fill="FFFFFF"/>
            <w:noWrap/>
            <w:vAlign w:val="bottom"/>
          </w:tcPr>
          <w:p w14:paraId="0E7B70E2" w14:textId="733EB927"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30A65596" w14:textId="6D8213F0"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1.75</w:t>
            </w:r>
          </w:p>
        </w:tc>
      </w:tr>
      <w:tr w:rsidR="003E7268" w:rsidRPr="00E672CA" w14:paraId="54AE783F" w14:textId="77777777" w:rsidTr="0028475A">
        <w:trPr>
          <w:trHeight w:val="289"/>
        </w:trPr>
        <w:tc>
          <w:tcPr>
            <w:tcW w:w="2700" w:type="dxa"/>
            <w:tcBorders>
              <w:top w:val="single" w:sz="4" w:space="0" w:color="auto"/>
            </w:tcBorders>
            <w:shd w:val="clear" w:color="000000" w:fill="FFFFFF"/>
            <w:noWrap/>
            <w:vAlign w:val="bottom"/>
          </w:tcPr>
          <w:p w14:paraId="27E8882E" w14:textId="1102F816"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1EBD067C" w14:textId="3243DC4B"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1.75</w:t>
            </w:r>
          </w:p>
        </w:tc>
      </w:tr>
      <w:tr w:rsidR="003E7268" w:rsidRPr="00E672CA" w14:paraId="3D3D9275" w14:textId="77777777" w:rsidTr="0028475A">
        <w:trPr>
          <w:trHeight w:val="289"/>
        </w:trPr>
        <w:tc>
          <w:tcPr>
            <w:tcW w:w="2700" w:type="dxa"/>
            <w:tcBorders>
              <w:top w:val="single" w:sz="4" w:space="0" w:color="auto"/>
            </w:tcBorders>
            <w:shd w:val="clear" w:color="000000" w:fill="FFFFFF"/>
            <w:noWrap/>
            <w:vAlign w:val="bottom"/>
          </w:tcPr>
          <w:p w14:paraId="166ACF86" w14:textId="631B74F0"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1AA81515" w14:textId="7066F7B2"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1.75</w:t>
            </w:r>
          </w:p>
        </w:tc>
      </w:tr>
      <w:tr w:rsidR="003E7268" w:rsidRPr="00E672CA" w14:paraId="47F2F771" w14:textId="77777777" w:rsidTr="0028475A">
        <w:trPr>
          <w:trHeight w:val="289"/>
        </w:trPr>
        <w:tc>
          <w:tcPr>
            <w:tcW w:w="2700" w:type="dxa"/>
            <w:tcBorders>
              <w:top w:val="single" w:sz="4" w:space="0" w:color="auto"/>
            </w:tcBorders>
            <w:shd w:val="clear" w:color="000000" w:fill="FFFFFF"/>
            <w:noWrap/>
            <w:vAlign w:val="bottom"/>
          </w:tcPr>
          <w:p w14:paraId="6CF55D95" w14:textId="5EF8BD12"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1C140AE7" w14:textId="39394853"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1.75</w:t>
            </w:r>
          </w:p>
        </w:tc>
      </w:tr>
      <w:tr w:rsidR="003E7268" w:rsidRPr="00E672CA" w14:paraId="7E26C291" w14:textId="77777777" w:rsidTr="0028475A">
        <w:trPr>
          <w:trHeight w:val="289"/>
        </w:trPr>
        <w:tc>
          <w:tcPr>
            <w:tcW w:w="2700" w:type="dxa"/>
            <w:tcBorders>
              <w:top w:val="single" w:sz="4" w:space="0" w:color="auto"/>
            </w:tcBorders>
            <w:shd w:val="clear" w:color="000000" w:fill="FFFFFF"/>
            <w:noWrap/>
            <w:vAlign w:val="bottom"/>
          </w:tcPr>
          <w:p w14:paraId="3C44F9CE" w14:textId="79FC3244"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3D3039D0" w14:textId="659857EA"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3</w:t>
            </w:r>
          </w:p>
        </w:tc>
      </w:tr>
      <w:tr w:rsidR="003E7268" w:rsidRPr="00E672CA" w14:paraId="723E243C" w14:textId="77777777" w:rsidTr="0028475A">
        <w:trPr>
          <w:trHeight w:val="289"/>
        </w:trPr>
        <w:tc>
          <w:tcPr>
            <w:tcW w:w="2700" w:type="dxa"/>
            <w:tcBorders>
              <w:top w:val="single" w:sz="4" w:space="0" w:color="auto"/>
            </w:tcBorders>
            <w:shd w:val="clear" w:color="000000" w:fill="FFFFFF"/>
            <w:noWrap/>
            <w:vAlign w:val="bottom"/>
          </w:tcPr>
          <w:p w14:paraId="0947749E" w14:textId="2633EFDD"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15517D3C" w14:textId="20719BF4"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3</w:t>
            </w:r>
          </w:p>
        </w:tc>
      </w:tr>
      <w:tr w:rsidR="003E7268" w:rsidRPr="00E672CA" w14:paraId="5B67FF75" w14:textId="77777777" w:rsidTr="0028475A">
        <w:trPr>
          <w:trHeight w:val="289"/>
        </w:trPr>
        <w:tc>
          <w:tcPr>
            <w:tcW w:w="2700" w:type="dxa"/>
            <w:tcBorders>
              <w:top w:val="single" w:sz="4" w:space="0" w:color="auto"/>
            </w:tcBorders>
            <w:shd w:val="clear" w:color="000000" w:fill="FFFFFF"/>
            <w:noWrap/>
            <w:vAlign w:val="bottom"/>
          </w:tcPr>
          <w:p w14:paraId="6B82AB45" w14:textId="70872D91"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0EF15574" w14:textId="4178A15A"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7</w:t>
            </w:r>
          </w:p>
        </w:tc>
      </w:tr>
      <w:tr w:rsidR="003E7268" w:rsidRPr="00E672CA" w14:paraId="311BDEC2" w14:textId="77777777" w:rsidTr="0028475A">
        <w:trPr>
          <w:trHeight w:val="289"/>
        </w:trPr>
        <w:tc>
          <w:tcPr>
            <w:tcW w:w="2700" w:type="dxa"/>
            <w:tcBorders>
              <w:top w:val="single" w:sz="4" w:space="0" w:color="auto"/>
            </w:tcBorders>
            <w:shd w:val="clear" w:color="000000" w:fill="FFFFFF"/>
            <w:noWrap/>
            <w:vAlign w:val="bottom"/>
          </w:tcPr>
          <w:p w14:paraId="617C00D4" w14:textId="5747D5F8"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6D38A4EC" w14:textId="4BD2DEFF" w:rsidR="003E7268" w:rsidRPr="00040DBE" w:rsidRDefault="003E7268" w:rsidP="003E7268">
            <w:pPr>
              <w:rPr>
                <w:rFonts w:asciiTheme="minorHAnsi" w:hAnsiTheme="minorHAnsi" w:cstheme="minorHAnsi"/>
                <w:sz w:val="22"/>
                <w:szCs w:val="22"/>
              </w:rPr>
            </w:pPr>
            <w:r>
              <w:rPr>
                <w:rFonts w:ascii="Calibri" w:hAnsi="Calibri" w:cs="Calibri"/>
                <w:color w:val="000000"/>
                <w:sz w:val="22"/>
                <w:szCs w:val="22"/>
              </w:rPr>
              <w:t>7</w:t>
            </w:r>
          </w:p>
        </w:tc>
      </w:tr>
      <w:tr w:rsidR="003E7268" w:rsidRPr="00E672CA" w14:paraId="1C06E558" w14:textId="77777777" w:rsidTr="0028475A">
        <w:trPr>
          <w:trHeight w:val="289"/>
        </w:trPr>
        <w:tc>
          <w:tcPr>
            <w:tcW w:w="2700" w:type="dxa"/>
            <w:tcBorders>
              <w:top w:val="single" w:sz="4" w:space="0" w:color="auto"/>
            </w:tcBorders>
            <w:shd w:val="clear" w:color="000000" w:fill="FFFFFF"/>
            <w:noWrap/>
            <w:vAlign w:val="bottom"/>
          </w:tcPr>
          <w:p w14:paraId="5AB56B39" w14:textId="7CA06A2C" w:rsidR="003E7268" w:rsidRPr="00040DBE" w:rsidRDefault="003E7268" w:rsidP="003E726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6660" w:type="dxa"/>
            <w:gridSpan w:val="6"/>
            <w:tcBorders>
              <w:top w:val="single" w:sz="4" w:space="0" w:color="auto"/>
            </w:tcBorders>
            <w:shd w:val="clear" w:color="000000" w:fill="FFFFFF"/>
            <w:noWrap/>
          </w:tcPr>
          <w:p w14:paraId="7CDF427E" w14:textId="04EB5C3B" w:rsidR="003E7268" w:rsidRPr="00040DBE" w:rsidRDefault="003E7268" w:rsidP="003E7268">
            <w:pPr>
              <w:rPr>
                <w:rFonts w:asciiTheme="minorHAnsi" w:hAnsiTheme="minorHAnsi" w:cstheme="minorHAnsi"/>
                <w:sz w:val="22"/>
                <w:szCs w:val="22"/>
              </w:rPr>
            </w:pPr>
            <w:r>
              <w:rPr>
                <w:rFonts w:asciiTheme="minorHAnsi" w:hAnsiTheme="minorHAnsi" w:cstheme="minorHAnsi"/>
                <w:sz w:val="22"/>
                <w:szCs w:val="22"/>
              </w:rPr>
              <w:t>Not applicable</w:t>
            </w:r>
          </w:p>
        </w:tc>
      </w:tr>
      <w:tr w:rsidR="003E7268" w:rsidRPr="00E672CA" w14:paraId="54338CE6" w14:textId="77777777" w:rsidTr="00DB28DB">
        <w:trPr>
          <w:trHeight w:val="289"/>
        </w:trPr>
        <w:tc>
          <w:tcPr>
            <w:tcW w:w="2948" w:type="dxa"/>
            <w:gridSpan w:val="3"/>
            <w:tcBorders>
              <w:top w:val="single" w:sz="4" w:space="0" w:color="auto"/>
            </w:tcBorders>
            <w:shd w:val="clear" w:color="000000" w:fill="FFFFFF"/>
            <w:noWrap/>
            <w:hideMark/>
          </w:tcPr>
          <w:p w14:paraId="31B2B80B" w14:textId="77777777" w:rsidR="003E7268" w:rsidRPr="00606BF0" w:rsidRDefault="003E7268" w:rsidP="003E7268">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read and understand the rule</w:t>
            </w:r>
          </w:p>
        </w:tc>
        <w:tc>
          <w:tcPr>
            <w:tcW w:w="6412" w:type="dxa"/>
            <w:gridSpan w:val="4"/>
            <w:tcBorders>
              <w:top w:val="single" w:sz="4" w:space="0" w:color="auto"/>
            </w:tcBorders>
            <w:shd w:val="clear" w:color="000000" w:fill="FFFFFF"/>
            <w:noWrap/>
            <w:hideMark/>
          </w:tcPr>
          <w:p w14:paraId="304B4F72" w14:textId="77777777" w:rsidR="003E7268" w:rsidRPr="00E672CA" w:rsidRDefault="003E7268" w:rsidP="003E7268">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xml:space="preserve"> Labor hours for start-up activities are based on </w:t>
            </w:r>
            <w:r>
              <w:rPr>
                <w:rFonts w:ascii="Calibri" w:hAnsi="Calibri" w:cs="Calibri"/>
                <w:color w:val="000000"/>
                <w:sz w:val="22"/>
                <w:szCs w:val="22"/>
              </w:rPr>
              <w:t xml:space="preserve">GWR EA (USEPA, 2006) </w:t>
            </w:r>
            <w:r w:rsidRPr="00E672CA">
              <w:rPr>
                <w:rFonts w:ascii="Calibri" w:hAnsi="Calibri" w:cs="Calibri"/>
                <w:color w:val="000000"/>
                <w:sz w:val="22"/>
                <w:szCs w:val="22"/>
              </w:rPr>
              <w:t xml:space="preserve">estimates. One fourth of the </w:t>
            </w:r>
            <w:r>
              <w:rPr>
                <w:rFonts w:ascii="Calibri" w:hAnsi="Calibri" w:cs="Calibri"/>
                <w:color w:val="000000"/>
                <w:sz w:val="22"/>
                <w:szCs w:val="22"/>
              </w:rPr>
              <w:t>primacy agency</w:t>
            </w:r>
            <w:r w:rsidRPr="00E672CA">
              <w:rPr>
                <w:rFonts w:ascii="Calibri" w:hAnsi="Calibri" w:cs="Calibri"/>
                <w:color w:val="000000"/>
                <w:sz w:val="22"/>
                <w:szCs w:val="22"/>
              </w:rPr>
              <w:t xml:space="preserve"> unit start up burden from GWR is used.</w:t>
            </w:r>
          </w:p>
        </w:tc>
      </w:tr>
      <w:tr w:rsidR="003E7268" w:rsidRPr="00E672CA" w14:paraId="6D8FE514" w14:textId="77777777" w:rsidTr="00DB28DB">
        <w:trPr>
          <w:trHeight w:val="289"/>
        </w:trPr>
        <w:tc>
          <w:tcPr>
            <w:tcW w:w="2948" w:type="dxa"/>
            <w:gridSpan w:val="3"/>
            <w:tcBorders>
              <w:bottom w:val="single" w:sz="4" w:space="0" w:color="auto"/>
            </w:tcBorders>
            <w:shd w:val="clear" w:color="000000" w:fill="EDEDED"/>
            <w:noWrap/>
            <w:hideMark/>
          </w:tcPr>
          <w:p w14:paraId="58B12E24"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15</w:t>
            </w:r>
          </w:p>
        </w:tc>
        <w:tc>
          <w:tcPr>
            <w:tcW w:w="6412" w:type="dxa"/>
            <w:gridSpan w:val="4"/>
            <w:tcBorders>
              <w:bottom w:val="single" w:sz="4" w:space="0" w:color="auto"/>
            </w:tcBorders>
            <w:shd w:val="clear" w:color="000000" w:fill="FFFFFF"/>
            <w:noWrap/>
            <w:hideMark/>
          </w:tcPr>
          <w:p w14:paraId="20440C12"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 </w:t>
            </w:r>
          </w:p>
        </w:tc>
      </w:tr>
      <w:tr w:rsidR="003E7268" w:rsidRPr="00E672CA" w14:paraId="06D7DC97" w14:textId="77777777" w:rsidTr="00DB28DB">
        <w:trPr>
          <w:trHeight w:val="299"/>
        </w:trPr>
        <w:tc>
          <w:tcPr>
            <w:tcW w:w="2948" w:type="dxa"/>
            <w:gridSpan w:val="3"/>
            <w:tcBorders>
              <w:top w:val="single" w:sz="4" w:space="0" w:color="auto"/>
            </w:tcBorders>
            <w:shd w:val="clear" w:color="000000" w:fill="FFFFFF"/>
            <w:noWrap/>
            <w:hideMark/>
          </w:tcPr>
          <w:p w14:paraId="4454289A" w14:textId="77777777" w:rsidR="003E7268" w:rsidRPr="00606BF0" w:rsidRDefault="003E7268" w:rsidP="003E7268">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adopt rule and develop program</w:t>
            </w:r>
          </w:p>
          <w:p w14:paraId="6BA66AFE" w14:textId="77777777" w:rsidR="003E7268" w:rsidRPr="00E672CA" w:rsidRDefault="003E7268" w:rsidP="003E7268">
            <w:pPr>
              <w:rPr>
                <w:rFonts w:ascii="Calibri" w:hAnsi="Calibri" w:cs="Calibri"/>
                <w:b/>
                <w:bCs/>
                <w:color w:val="000000"/>
                <w:sz w:val="22"/>
                <w:szCs w:val="22"/>
              </w:rPr>
            </w:pPr>
            <w:r w:rsidRPr="00E672CA">
              <w:rPr>
                <w:rFonts w:ascii="Calibri" w:hAnsi="Calibri" w:cs="Calibri"/>
                <w:b/>
                <w:bCs/>
                <w:color w:val="000000"/>
                <w:sz w:val="22"/>
                <w:szCs w:val="22"/>
              </w:rPr>
              <w:t>Value</w:t>
            </w:r>
          </w:p>
        </w:tc>
        <w:tc>
          <w:tcPr>
            <w:tcW w:w="6412" w:type="dxa"/>
            <w:gridSpan w:val="4"/>
            <w:tcBorders>
              <w:top w:val="single" w:sz="4" w:space="0" w:color="auto"/>
            </w:tcBorders>
            <w:shd w:val="clear" w:color="000000" w:fill="FFFFFF"/>
            <w:noWrap/>
            <w:hideMark/>
          </w:tcPr>
          <w:p w14:paraId="6A638450" w14:textId="77777777" w:rsidR="003E7268" w:rsidRPr="00E672CA" w:rsidRDefault="003E7268" w:rsidP="003E7268">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xml:space="preserve"> Labor hours for start-up activities are based on </w:t>
            </w:r>
            <w:r>
              <w:rPr>
                <w:rFonts w:ascii="Calibri" w:hAnsi="Calibri" w:cs="Calibri"/>
                <w:color w:val="000000"/>
                <w:sz w:val="22"/>
                <w:szCs w:val="22"/>
              </w:rPr>
              <w:t xml:space="preserve">GWR EA (USEPA, 2006) </w:t>
            </w:r>
            <w:r w:rsidRPr="00E672CA">
              <w:rPr>
                <w:rFonts w:ascii="Calibri" w:hAnsi="Calibri" w:cs="Calibri"/>
                <w:color w:val="000000"/>
                <w:sz w:val="22"/>
                <w:szCs w:val="22"/>
              </w:rPr>
              <w:t xml:space="preserve">estimates. One fourth of the </w:t>
            </w:r>
            <w:r>
              <w:rPr>
                <w:rFonts w:ascii="Calibri" w:hAnsi="Calibri" w:cs="Calibri"/>
                <w:color w:val="000000"/>
                <w:sz w:val="22"/>
                <w:szCs w:val="22"/>
              </w:rPr>
              <w:t>primacy agency</w:t>
            </w:r>
            <w:r w:rsidRPr="00E672CA">
              <w:rPr>
                <w:rFonts w:ascii="Calibri" w:hAnsi="Calibri" w:cs="Calibri"/>
                <w:color w:val="000000"/>
                <w:sz w:val="22"/>
                <w:szCs w:val="22"/>
              </w:rPr>
              <w:t xml:space="preserve"> unit start up burden from GWR is used.</w:t>
            </w:r>
          </w:p>
        </w:tc>
      </w:tr>
      <w:tr w:rsidR="003E7268" w:rsidRPr="00E672CA" w14:paraId="29A799F7" w14:textId="77777777" w:rsidTr="00DB28DB">
        <w:trPr>
          <w:trHeight w:val="289"/>
        </w:trPr>
        <w:tc>
          <w:tcPr>
            <w:tcW w:w="2948" w:type="dxa"/>
            <w:gridSpan w:val="3"/>
            <w:tcBorders>
              <w:bottom w:val="single" w:sz="4" w:space="0" w:color="auto"/>
            </w:tcBorders>
            <w:shd w:val="clear" w:color="000000" w:fill="EDEDED"/>
            <w:noWrap/>
            <w:hideMark/>
          </w:tcPr>
          <w:p w14:paraId="22363312"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260</w:t>
            </w:r>
          </w:p>
        </w:tc>
        <w:tc>
          <w:tcPr>
            <w:tcW w:w="6412" w:type="dxa"/>
            <w:gridSpan w:val="4"/>
            <w:tcBorders>
              <w:bottom w:val="single" w:sz="4" w:space="0" w:color="auto"/>
            </w:tcBorders>
            <w:shd w:val="clear" w:color="000000" w:fill="FFFFFF"/>
            <w:noWrap/>
            <w:hideMark/>
          </w:tcPr>
          <w:p w14:paraId="14520572"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 </w:t>
            </w:r>
          </w:p>
        </w:tc>
      </w:tr>
      <w:tr w:rsidR="003E7268" w:rsidRPr="00E672CA" w14:paraId="20E5AD42" w14:textId="77777777" w:rsidTr="00DB28DB">
        <w:trPr>
          <w:trHeight w:val="289"/>
        </w:trPr>
        <w:tc>
          <w:tcPr>
            <w:tcW w:w="2948" w:type="dxa"/>
            <w:gridSpan w:val="3"/>
            <w:tcBorders>
              <w:top w:val="single" w:sz="4" w:space="0" w:color="auto"/>
            </w:tcBorders>
            <w:shd w:val="clear" w:color="000000" w:fill="FFFFFF"/>
            <w:noWrap/>
            <w:hideMark/>
          </w:tcPr>
          <w:p w14:paraId="1DCA7160" w14:textId="77777777" w:rsidR="003E7268" w:rsidRPr="00606BF0" w:rsidRDefault="003E7268" w:rsidP="003E7268">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modify data system while implementing rule</w:t>
            </w:r>
          </w:p>
        </w:tc>
        <w:tc>
          <w:tcPr>
            <w:tcW w:w="6412" w:type="dxa"/>
            <w:gridSpan w:val="4"/>
            <w:tcBorders>
              <w:top w:val="single" w:sz="4" w:space="0" w:color="auto"/>
            </w:tcBorders>
            <w:shd w:val="clear" w:color="000000" w:fill="FFFFFF"/>
            <w:noWrap/>
            <w:hideMark/>
          </w:tcPr>
          <w:p w14:paraId="7A6C1EC7" w14:textId="77777777" w:rsidR="003E7268" w:rsidRPr="00E672CA" w:rsidRDefault="003E7268" w:rsidP="003E7268">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xml:space="preserve"> Labor hours for start-up activities are based on </w:t>
            </w:r>
            <w:r>
              <w:rPr>
                <w:rFonts w:ascii="Calibri" w:hAnsi="Calibri" w:cs="Calibri"/>
                <w:color w:val="000000"/>
                <w:sz w:val="22"/>
                <w:szCs w:val="22"/>
              </w:rPr>
              <w:t xml:space="preserve">GWR EA (USEPA, 2006) </w:t>
            </w:r>
            <w:r w:rsidRPr="00E672CA">
              <w:rPr>
                <w:rFonts w:ascii="Calibri" w:hAnsi="Calibri" w:cs="Calibri"/>
                <w:color w:val="000000"/>
                <w:sz w:val="22"/>
                <w:szCs w:val="22"/>
              </w:rPr>
              <w:t xml:space="preserve">estimates. One fourth of the </w:t>
            </w:r>
            <w:r>
              <w:rPr>
                <w:rFonts w:ascii="Calibri" w:hAnsi="Calibri" w:cs="Calibri"/>
                <w:color w:val="000000"/>
                <w:sz w:val="22"/>
                <w:szCs w:val="22"/>
              </w:rPr>
              <w:t>primacy agency</w:t>
            </w:r>
            <w:r w:rsidRPr="00E672CA">
              <w:rPr>
                <w:rFonts w:ascii="Calibri" w:hAnsi="Calibri" w:cs="Calibri"/>
                <w:color w:val="000000"/>
                <w:sz w:val="22"/>
                <w:szCs w:val="22"/>
              </w:rPr>
              <w:t xml:space="preserve"> unit start up burden from GWR is used.</w:t>
            </w:r>
          </w:p>
        </w:tc>
      </w:tr>
      <w:tr w:rsidR="003E7268" w:rsidRPr="00E672CA" w14:paraId="7709798E" w14:textId="77777777" w:rsidTr="00DB28DB">
        <w:trPr>
          <w:trHeight w:val="289"/>
        </w:trPr>
        <w:tc>
          <w:tcPr>
            <w:tcW w:w="2948" w:type="dxa"/>
            <w:gridSpan w:val="3"/>
            <w:tcBorders>
              <w:bottom w:val="single" w:sz="4" w:space="0" w:color="auto"/>
            </w:tcBorders>
            <w:shd w:val="clear" w:color="000000" w:fill="EDEDED"/>
            <w:noWrap/>
            <w:hideMark/>
          </w:tcPr>
          <w:p w14:paraId="26348549"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520</w:t>
            </w:r>
          </w:p>
        </w:tc>
        <w:tc>
          <w:tcPr>
            <w:tcW w:w="6412" w:type="dxa"/>
            <w:gridSpan w:val="4"/>
            <w:tcBorders>
              <w:bottom w:val="single" w:sz="4" w:space="0" w:color="auto"/>
            </w:tcBorders>
            <w:shd w:val="clear" w:color="000000" w:fill="FFFFFF"/>
            <w:noWrap/>
            <w:hideMark/>
          </w:tcPr>
          <w:p w14:paraId="47E9FFDC"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 </w:t>
            </w:r>
          </w:p>
        </w:tc>
      </w:tr>
      <w:tr w:rsidR="003E7268" w:rsidRPr="00E672CA" w14:paraId="4067A821" w14:textId="77777777" w:rsidTr="00DB28DB">
        <w:trPr>
          <w:trHeight w:val="289"/>
        </w:trPr>
        <w:tc>
          <w:tcPr>
            <w:tcW w:w="2948" w:type="dxa"/>
            <w:gridSpan w:val="3"/>
            <w:tcBorders>
              <w:top w:val="single" w:sz="4" w:space="0" w:color="auto"/>
            </w:tcBorders>
            <w:shd w:val="clear" w:color="000000" w:fill="FFFFFF"/>
            <w:noWrap/>
            <w:hideMark/>
          </w:tcPr>
          <w:p w14:paraId="4189263C" w14:textId="77777777" w:rsidR="003E7268" w:rsidRPr="00E672CA" w:rsidRDefault="003E7268" w:rsidP="003E7268">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for training and technical assistance during rule implementation</w:t>
            </w:r>
          </w:p>
        </w:tc>
        <w:tc>
          <w:tcPr>
            <w:tcW w:w="6412" w:type="dxa"/>
            <w:gridSpan w:val="4"/>
            <w:tcBorders>
              <w:top w:val="single" w:sz="4" w:space="0" w:color="auto"/>
            </w:tcBorders>
            <w:shd w:val="clear" w:color="000000" w:fill="FFFFFF"/>
            <w:noWrap/>
            <w:hideMark/>
          </w:tcPr>
          <w:p w14:paraId="458CAA22" w14:textId="77777777" w:rsidR="003E7268" w:rsidRPr="00E672CA" w:rsidRDefault="003E7268" w:rsidP="003E7268">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w:t>
            </w:r>
            <w:r>
              <w:rPr>
                <w:rFonts w:ascii="Calibri" w:hAnsi="Calibri" w:cs="Calibri"/>
                <w:color w:val="000000"/>
                <w:sz w:val="22"/>
                <w:szCs w:val="22"/>
              </w:rPr>
              <w:t>A</w:t>
            </w:r>
            <w:r w:rsidRPr="00E672CA">
              <w:rPr>
                <w:rFonts w:ascii="Calibri" w:hAnsi="Calibri" w:cs="Calibri"/>
                <w:color w:val="000000"/>
                <w:sz w:val="22"/>
                <w:szCs w:val="22"/>
              </w:rPr>
              <w:t xml:space="preserve">ssumes labor hours for start-up activities to be based on </w:t>
            </w:r>
            <w:r>
              <w:rPr>
                <w:rFonts w:ascii="Calibri" w:hAnsi="Calibri" w:cs="Calibri"/>
                <w:color w:val="000000"/>
                <w:sz w:val="22"/>
                <w:szCs w:val="22"/>
              </w:rPr>
              <w:t xml:space="preserve">GWR EA (USEPA, 2006) </w:t>
            </w:r>
            <w:r w:rsidRPr="00E672CA">
              <w:rPr>
                <w:rFonts w:ascii="Calibri" w:hAnsi="Calibri" w:cs="Calibri"/>
                <w:color w:val="000000"/>
                <w:sz w:val="22"/>
                <w:szCs w:val="22"/>
              </w:rPr>
              <w:t xml:space="preserve">estimates. One fourth of the </w:t>
            </w:r>
            <w:r>
              <w:rPr>
                <w:rFonts w:ascii="Calibri" w:hAnsi="Calibri" w:cs="Calibri"/>
                <w:color w:val="000000"/>
                <w:sz w:val="22"/>
                <w:szCs w:val="22"/>
              </w:rPr>
              <w:t>primacy agency</w:t>
            </w:r>
            <w:r w:rsidRPr="00E672CA">
              <w:rPr>
                <w:rFonts w:ascii="Calibri" w:hAnsi="Calibri" w:cs="Calibri"/>
                <w:color w:val="000000"/>
                <w:sz w:val="22"/>
                <w:szCs w:val="22"/>
              </w:rPr>
              <w:t xml:space="preserve"> unit start up burden from GWR is used. </w:t>
            </w:r>
          </w:p>
        </w:tc>
      </w:tr>
      <w:tr w:rsidR="003E7268" w:rsidRPr="00E672CA" w14:paraId="5A5E97E9" w14:textId="77777777" w:rsidTr="00DB28DB">
        <w:trPr>
          <w:trHeight w:val="289"/>
        </w:trPr>
        <w:tc>
          <w:tcPr>
            <w:tcW w:w="2948" w:type="dxa"/>
            <w:gridSpan w:val="3"/>
            <w:tcBorders>
              <w:bottom w:val="single" w:sz="4" w:space="0" w:color="auto"/>
            </w:tcBorders>
            <w:shd w:val="clear" w:color="auto" w:fill="F2F2F2" w:themeFill="background1" w:themeFillShade="F2"/>
            <w:noWrap/>
            <w:hideMark/>
          </w:tcPr>
          <w:p w14:paraId="63A9C24B" w14:textId="77777777" w:rsidR="003E7268" w:rsidRPr="00E672CA" w:rsidRDefault="003E7268" w:rsidP="003E7268">
            <w:pPr>
              <w:rPr>
                <w:rFonts w:ascii="Calibri" w:hAnsi="Calibri" w:cs="Calibri"/>
                <w:sz w:val="22"/>
                <w:szCs w:val="22"/>
              </w:rPr>
            </w:pPr>
            <w:r w:rsidRPr="00E672CA">
              <w:rPr>
                <w:rFonts w:ascii="Calibri" w:hAnsi="Calibri" w:cs="Calibri"/>
                <w:sz w:val="22"/>
                <w:szCs w:val="22"/>
              </w:rPr>
              <w:t>520</w:t>
            </w:r>
          </w:p>
        </w:tc>
        <w:tc>
          <w:tcPr>
            <w:tcW w:w="6412" w:type="dxa"/>
            <w:gridSpan w:val="4"/>
            <w:tcBorders>
              <w:bottom w:val="single" w:sz="4" w:space="0" w:color="auto"/>
            </w:tcBorders>
            <w:shd w:val="clear" w:color="000000" w:fill="FFFFFF"/>
            <w:noWrap/>
            <w:hideMark/>
          </w:tcPr>
          <w:p w14:paraId="028F9BF4"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 </w:t>
            </w:r>
          </w:p>
        </w:tc>
      </w:tr>
      <w:tr w:rsidR="003E7268" w:rsidRPr="00E672CA" w14:paraId="7D361075" w14:textId="77777777" w:rsidTr="00DB28DB">
        <w:trPr>
          <w:trHeight w:val="289"/>
        </w:trPr>
        <w:tc>
          <w:tcPr>
            <w:tcW w:w="2948" w:type="dxa"/>
            <w:gridSpan w:val="3"/>
            <w:tcBorders>
              <w:top w:val="single" w:sz="4" w:space="0" w:color="auto"/>
            </w:tcBorders>
            <w:shd w:val="clear" w:color="000000" w:fill="FFFFFF"/>
            <w:noWrap/>
            <w:hideMark/>
          </w:tcPr>
          <w:p w14:paraId="79F6AF4B" w14:textId="77777777" w:rsidR="003E7268" w:rsidRPr="00606BF0" w:rsidRDefault="003E7268" w:rsidP="003E7268">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train internal staff for rule implementation</w:t>
            </w:r>
          </w:p>
        </w:tc>
        <w:tc>
          <w:tcPr>
            <w:tcW w:w="6412" w:type="dxa"/>
            <w:gridSpan w:val="4"/>
            <w:tcBorders>
              <w:top w:val="single" w:sz="4" w:space="0" w:color="auto"/>
              <w:bottom w:val="nil"/>
            </w:tcBorders>
            <w:shd w:val="clear" w:color="000000" w:fill="FFFFFF"/>
            <w:noWrap/>
            <w:hideMark/>
          </w:tcPr>
          <w:p w14:paraId="07AFC570" w14:textId="77777777" w:rsidR="003E7268" w:rsidRPr="00E672CA" w:rsidRDefault="003E7268" w:rsidP="003E7268">
            <w:pPr>
              <w:rPr>
                <w:rFonts w:ascii="Calibri" w:hAnsi="Calibri" w:cs="Calibri"/>
                <w:color w:val="000000"/>
                <w:sz w:val="22"/>
                <w:szCs w:val="22"/>
              </w:rPr>
            </w:pPr>
            <w:r w:rsidRPr="00E672CA">
              <w:rPr>
                <w:rFonts w:ascii="Calibri" w:hAnsi="Calibri" w:cs="Calibri"/>
                <w:b/>
                <w:bCs/>
                <w:color w:val="000000"/>
                <w:sz w:val="22"/>
                <w:szCs w:val="22"/>
              </w:rPr>
              <w:t xml:space="preserve">Source: </w:t>
            </w:r>
            <w:r w:rsidRPr="00E672CA">
              <w:rPr>
                <w:rFonts w:ascii="Calibri" w:hAnsi="Calibri" w:cs="Calibri"/>
                <w:color w:val="000000"/>
                <w:sz w:val="22"/>
                <w:szCs w:val="22"/>
              </w:rPr>
              <w:t xml:space="preserve">Labor hours for start-up activities are based on </w:t>
            </w:r>
            <w:r>
              <w:rPr>
                <w:rFonts w:ascii="Calibri" w:hAnsi="Calibri" w:cs="Calibri"/>
                <w:color w:val="000000"/>
                <w:sz w:val="22"/>
                <w:szCs w:val="22"/>
              </w:rPr>
              <w:t xml:space="preserve">GWR EA (USEPA, 2006) </w:t>
            </w:r>
            <w:r w:rsidRPr="00E672CA">
              <w:rPr>
                <w:rFonts w:ascii="Calibri" w:hAnsi="Calibri" w:cs="Calibri"/>
                <w:color w:val="000000"/>
                <w:sz w:val="22"/>
                <w:szCs w:val="22"/>
              </w:rPr>
              <w:t xml:space="preserve">estimates. One fourth of the </w:t>
            </w:r>
            <w:r>
              <w:rPr>
                <w:rFonts w:ascii="Calibri" w:hAnsi="Calibri" w:cs="Calibri"/>
                <w:color w:val="000000"/>
                <w:sz w:val="22"/>
                <w:szCs w:val="22"/>
              </w:rPr>
              <w:t>primacy agency</w:t>
            </w:r>
            <w:r w:rsidRPr="00E672CA">
              <w:rPr>
                <w:rFonts w:ascii="Calibri" w:hAnsi="Calibri" w:cs="Calibri"/>
                <w:color w:val="000000"/>
                <w:sz w:val="22"/>
                <w:szCs w:val="22"/>
              </w:rPr>
              <w:t xml:space="preserve"> unit start up burden from GWR is used.</w:t>
            </w:r>
          </w:p>
        </w:tc>
      </w:tr>
      <w:tr w:rsidR="003E7268" w:rsidRPr="00E672CA" w14:paraId="6545D615" w14:textId="77777777" w:rsidTr="00DB28DB">
        <w:trPr>
          <w:trHeight w:val="289"/>
        </w:trPr>
        <w:tc>
          <w:tcPr>
            <w:tcW w:w="2948" w:type="dxa"/>
            <w:gridSpan w:val="3"/>
            <w:tcBorders>
              <w:bottom w:val="single" w:sz="4" w:space="0" w:color="000000"/>
            </w:tcBorders>
            <w:shd w:val="clear" w:color="000000" w:fill="EDEDED"/>
            <w:noWrap/>
            <w:hideMark/>
          </w:tcPr>
          <w:p w14:paraId="1E22503E"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130</w:t>
            </w:r>
          </w:p>
        </w:tc>
        <w:tc>
          <w:tcPr>
            <w:tcW w:w="6412" w:type="dxa"/>
            <w:gridSpan w:val="4"/>
            <w:tcBorders>
              <w:top w:val="nil"/>
              <w:bottom w:val="single" w:sz="4" w:space="0" w:color="000000"/>
            </w:tcBorders>
            <w:shd w:val="clear" w:color="000000" w:fill="FFFFFF"/>
            <w:noWrap/>
            <w:hideMark/>
          </w:tcPr>
          <w:p w14:paraId="256D1831" w14:textId="77777777" w:rsidR="003E7268" w:rsidRPr="00E672CA" w:rsidRDefault="003E7268" w:rsidP="003E7268">
            <w:pPr>
              <w:rPr>
                <w:rFonts w:ascii="Calibri" w:hAnsi="Calibri" w:cs="Calibri"/>
                <w:color w:val="000000"/>
                <w:sz w:val="22"/>
                <w:szCs w:val="22"/>
              </w:rPr>
            </w:pPr>
            <w:r w:rsidRPr="00E672CA">
              <w:rPr>
                <w:rFonts w:ascii="Calibri" w:hAnsi="Calibri" w:cs="Calibri"/>
                <w:color w:val="000000"/>
                <w:sz w:val="22"/>
                <w:szCs w:val="22"/>
              </w:rPr>
              <w:t> </w:t>
            </w:r>
          </w:p>
        </w:tc>
      </w:tr>
      <w:tr w:rsidR="003E7268" w:rsidRPr="00E672CA" w14:paraId="547126E1" w14:textId="77777777" w:rsidTr="0001168E">
        <w:trPr>
          <w:trHeight w:val="289"/>
        </w:trPr>
        <w:tc>
          <w:tcPr>
            <w:tcW w:w="2948" w:type="dxa"/>
            <w:gridSpan w:val="3"/>
            <w:tcBorders>
              <w:top w:val="single" w:sz="4" w:space="0" w:color="000000"/>
              <w:bottom w:val="nil"/>
            </w:tcBorders>
            <w:shd w:val="clear" w:color="000000" w:fill="EDEDED"/>
            <w:noWrap/>
          </w:tcPr>
          <w:p w14:paraId="4332CC01" w14:textId="77777777" w:rsidR="003E7268" w:rsidRDefault="003E7268" w:rsidP="003E7268">
            <w:pPr>
              <w:rPr>
                <w:rFonts w:ascii="Calibri" w:hAnsi="Calibri" w:cs="Calibri"/>
                <w:b/>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train internal staff for rule implementation</w:t>
            </w:r>
          </w:p>
        </w:tc>
        <w:tc>
          <w:tcPr>
            <w:tcW w:w="6412" w:type="dxa"/>
            <w:gridSpan w:val="4"/>
            <w:tcBorders>
              <w:top w:val="single" w:sz="4" w:space="0" w:color="000000"/>
              <w:bottom w:val="nil"/>
            </w:tcBorders>
            <w:shd w:val="clear" w:color="000000" w:fill="FFFFFF"/>
            <w:noWrap/>
          </w:tcPr>
          <w:p w14:paraId="0EC91D2E" w14:textId="77777777" w:rsidR="003E7268" w:rsidRPr="00DB28DB" w:rsidRDefault="003E7268" w:rsidP="003E7268">
            <w:pPr>
              <w:rPr>
                <w:rFonts w:ascii="Calibri" w:hAnsi="Calibri" w:cs="Calibri"/>
                <w:color w:val="000000"/>
                <w:sz w:val="22"/>
                <w:szCs w:val="22"/>
              </w:rPr>
            </w:pPr>
          </w:p>
        </w:tc>
      </w:tr>
      <w:tr w:rsidR="003E7268" w:rsidRPr="00E672CA" w14:paraId="738830F2" w14:textId="77777777" w:rsidTr="0001168E">
        <w:trPr>
          <w:trHeight w:val="289"/>
        </w:trPr>
        <w:tc>
          <w:tcPr>
            <w:tcW w:w="2948" w:type="dxa"/>
            <w:gridSpan w:val="3"/>
            <w:tcBorders>
              <w:top w:val="single" w:sz="4" w:space="0" w:color="000000"/>
              <w:bottom w:val="nil"/>
            </w:tcBorders>
            <w:shd w:val="clear" w:color="000000" w:fill="EDEDED"/>
            <w:noWrap/>
          </w:tcPr>
          <w:p w14:paraId="13ED7649" w14:textId="77777777" w:rsidR="003E7268" w:rsidRDefault="003E7268" w:rsidP="003E7268">
            <w:pPr>
              <w:rPr>
                <w:rFonts w:ascii="Calibri" w:hAnsi="Calibri" w:cs="Calibri"/>
                <w:b/>
                <w:color w:val="000000"/>
                <w:sz w:val="22"/>
                <w:szCs w:val="22"/>
              </w:rPr>
            </w:pPr>
            <w:r>
              <w:rPr>
                <w:rFonts w:ascii="Calibri" w:hAnsi="Calibri" w:cs="Calibri"/>
                <w:color w:val="000000"/>
                <w:sz w:val="22"/>
                <w:szCs w:val="22"/>
              </w:rPr>
              <w:t>8</w:t>
            </w:r>
          </w:p>
        </w:tc>
        <w:tc>
          <w:tcPr>
            <w:tcW w:w="6412" w:type="dxa"/>
            <w:gridSpan w:val="4"/>
            <w:tcBorders>
              <w:top w:val="single" w:sz="4" w:space="0" w:color="000000"/>
              <w:bottom w:val="nil"/>
            </w:tcBorders>
            <w:shd w:val="clear" w:color="000000" w:fill="FFFFFF"/>
            <w:noWrap/>
          </w:tcPr>
          <w:p w14:paraId="17DF7B41" w14:textId="77777777" w:rsidR="003E7268" w:rsidRPr="00DB28DB" w:rsidRDefault="003E7268" w:rsidP="003E7268">
            <w:pPr>
              <w:rPr>
                <w:rFonts w:ascii="Calibri" w:hAnsi="Calibri" w:cs="Calibri"/>
                <w:color w:val="000000"/>
                <w:sz w:val="22"/>
                <w:szCs w:val="22"/>
              </w:rPr>
            </w:pPr>
          </w:p>
        </w:tc>
      </w:tr>
      <w:tr w:rsidR="003E7268" w:rsidRPr="00E672CA" w14:paraId="5DF2318A" w14:textId="77777777" w:rsidTr="00DB28DB">
        <w:trPr>
          <w:trHeight w:val="289"/>
        </w:trPr>
        <w:tc>
          <w:tcPr>
            <w:tcW w:w="2948" w:type="dxa"/>
            <w:gridSpan w:val="3"/>
            <w:tcBorders>
              <w:top w:val="single" w:sz="4" w:space="0" w:color="000000"/>
              <w:bottom w:val="nil"/>
            </w:tcBorders>
            <w:shd w:val="clear" w:color="000000" w:fill="EDEDED"/>
            <w:noWrap/>
          </w:tcPr>
          <w:p w14:paraId="4ACAA6EE" w14:textId="77777777" w:rsidR="003E7268" w:rsidRPr="00E672CA" w:rsidRDefault="003E7268" w:rsidP="003E7268">
            <w:pPr>
              <w:rPr>
                <w:rFonts w:ascii="Calibri" w:hAnsi="Calibri" w:cs="Calibri"/>
                <w:color w:val="000000"/>
                <w:sz w:val="22"/>
                <w:szCs w:val="22"/>
              </w:rPr>
            </w:pPr>
            <w:r>
              <w:rPr>
                <w:rFonts w:ascii="Calibri" w:hAnsi="Calibri" w:cs="Calibri"/>
                <w:b/>
                <w:color w:val="000000"/>
                <w:sz w:val="22"/>
                <w:szCs w:val="22"/>
              </w:rPr>
              <w:t>Hours rate for primacy agency staff</w:t>
            </w:r>
          </w:p>
        </w:tc>
        <w:tc>
          <w:tcPr>
            <w:tcW w:w="6412" w:type="dxa"/>
            <w:gridSpan w:val="4"/>
            <w:tcBorders>
              <w:top w:val="single" w:sz="4" w:space="0" w:color="000000"/>
              <w:bottom w:val="nil"/>
            </w:tcBorders>
            <w:shd w:val="clear" w:color="000000" w:fill="FFFFFF"/>
            <w:noWrap/>
            <w:vAlign w:val="bottom"/>
          </w:tcPr>
          <w:p w14:paraId="5B72CB68"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 xml:space="preserve">Fully loaded </w:t>
            </w:r>
            <w:r w:rsidRPr="00DB28DB">
              <w:rPr>
                <w:rFonts w:ascii="Calibri" w:hAnsi="Calibri" w:cs="Calibri"/>
                <w:color w:val="000000"/>
                <w:sz w:val="22"/>
                <w:szCs w:val="22"/>
              </w:rPr>
              <w:t>State employee wage rates</w:t>
            </w:r>
            <w:r>
              <w:rPr>
                <w:rFonts w:ascii="Calibri" w:hAnsi="Calibri" w:cs="Calibri"/>
                <w:color w:val="000000"/>
                <w:sz w:val="22"/>
                <w:szCs w:val="22"/>
              </w:rPr>
              <w:t xml:space="preserve">. Derived in part </w:t>
            </w:r>
            <w:r w:rsidRPr="00DB28DB">
              <w:rPr>
                <w:rFonts w:ascii="Calibri" w:hAnsi="Calibri" w:cs="Calibri"/>
                <w:color w:val="000000"/>
                <w:sz w:val="22"/>
                <w:szCs w:val="22"/>
              </w:rPr>
              <w:t xml:space="preserve">from National Occupational Employment and Wage Estimates, United States, </w:t>
            </w:r>
            <w:r>
              <w:rPr>
                <w:rFonts w:ascii="Calibri" w:hAnsi="Calibri" w:cs="Calibri"/>
                <w:color w:val="000000"/>
                <w:sz w:val="22"/>
                <w:szCs w:val="22"/>
              </w:rPr>
              <w:t>Bureau of Labor Statistics (</w:t>
            </w:r>
            <w:r w:rsidRPr="002E12C7">
              <w:rPr>
                <w:rFonts w:ascii="Calibri" w:hAnsi="Calibri" w:cs="Calibri"/>
                <w:color w:val="000000"/>
                <w:sz w:val="22"/>
                <w:szCs w:val="22"/>
              </w:rPr>
              <w:t>BLS</w:t>
            </w:r>
            <w:r>
              <w:rPr>
                <w:rFonts w:ascii="Calibri" w:hAnsi="Calibri" w:cs="Calibri"/>
                <w:color w:val="000000"/>
                <w:sz w:val="22"/>
                <w:szCs w:val="22"/>
              </w:rPr>
              <w:t>) Standard Occupational Classification (</w:t>
            </w:r>
            <w:r w:rsidRPr="002E12C7">
              <w:rPr>
                <w:rFonts w:ascii="Calibri" w:hAnsi="Calibri" w:cs="Calibri"/>
                <w:color w:val="000000"/>
                <w:sz w:val="22"/>
                <w:szCs w:val="22"/>
              </w:rPr>
              <w:t>SOC</w:t>
            </w:r>
            <w:r>
              <w:rPr>
                <w:rFonts w:ascii="Calibri" w:hAnsi="Calibri" w:cs="Calibri"/>
                <w:color w:val="000000"/>
                <w:sz w:val="22"/>
                <w:szCs w:val="22"/>
              </w:rPr>
              <w:t>)</w:t>
            </w:r>
            <w:r w:rsidRPr="00DB28DB">
              <w:rPr>
                <w:rFonts w:ascii="Calibri" w:hAnsi="Calibri" w:cs="Calibri"/>
                <w:color w:val="000000"/>
                <w:sz w:val="22"/>
                <w:szCs w:val="22"/>
              </w:rPr>
              <w:t xml:space="preserve"> Code 19-2041, "State Government - Environmental Scientists and Specialists, Including Health," hourly mean wage rate. May 2016 data (published in March 2017).</w:t>
            </w:r>
            <w:r>
              <w:rPr>
                <w:rStyle w:val="FootnoteReference"/>
                <w:rFonts w:ascii="Calibri" w:hAnsi="Calibri" w:cs="Calibri"/>
                <w:color w:val="000000"/>
                <w:sz w:val="22"/>
                <w:szCs w:val="22"/>
              </w:rPr>
              <w:footnoteReference w:id="20"/>
            </w:r>
            <w:r w:rsidRPr="00DB28DB">
              <w:rPr>
                <w:rFonts w:ascii="Calibri" w:hAnsi="Calibri" w:cs="Calibri"/>
                <w:color w:val="000000"/>
                <w:sz w:val="22"/>
                <w:szCs w:val="22"/>
              </w:rPr>
              <w:t xml:space="preserve"> https://stats.bls.gov/oes/2016/May/oes192041.htm</w:t>
            </w:r>
          </w:p>
        </w:tc>
      </w:tr>
      <w:tr w:rsidR="003E7268" w:rsidRPr="00E672CA" w14:paraId="4201949D" w14:textId="77777777" w:rsidTr="00DB28DB">
        <w:trPr>
          <w:trHeight w:val="289"/>
        </w:trPr>
        <w:tc>
          <w:tcPr>
            <w:tcW w:w="2948" w:type="dxa"/>
            <w:gridSpan w:val="3"/>
            <w:tcBorders>
              <w:top w:val="nil"/>
              <w:bottom w:val="single" w:sz="4" w:space="0" w:color="000000"/>
            </w:tcBorders>
            <w:shd w:val="clear" w:color="000000" w:fill="EDEDED"/>
            <w:noWrap/>
            <w:vAlign w:val="bottom"/>
          </w:tcPr>
          <w:p w14:paraId="2F637664"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$57.24</w:t>
            </w:r>
          </w:p>
        </w:tc>
        <w:tc>
          <w:tcPr>
            <w:tcW w:w="6412" w:type="dxa"/>
            <w:gridSpan w:val="4"/>
            <w:tcBorders>
              <w:top w:val="nil"/>
              <w:bottom w:val="single" w:sz="4" w:space="0" w:color="000000"/>
            </w:tcBorders>
            <w:shd w:val="clear" w:color="000000" w:fill="FFFFFF"/>
            <w:noWrap/>
            <w:vAlign w:val="bottom"/>
          </w:tcPr>
          <w:p w14:paraId="15C1AC74" w14:textId="77777777" w:rsidR="003E7268" w:rsidRPr="00E672CA" w:rsidRDefault="003E7268" w:rsidP="003E7268">
            <w:pPr>
              <w:rPr>
                <w:rFonts w:ascii="Calibri" w:hAnsi="Calibri" w:cs="Calibri"/>
                <w:color w:val="000000"/>
                <w:sz w:val="22"/>
                <w:szCs w:val="22"/>
              </w:rPr>
            </w:pPr>
          </w:p>
        </w:tc>
      </w:tr>
      <w:tr w:rsidR="003E7268" w:rsidRPr="00E672CA" w14:paraId="4B1F0BCC" w14:textId="77777777" w:rsidTr="00DB28DB">
        <w:trPr>
          <w:trHeight w:val="289"/>
        </w:trPr>
        <w:tc>
          <w:tcPr>
            <w:tcW w:w="2948" w:type="dxa"/>
            <w:gridSpan w:val="3"/>
            <w:tcBorders>
              <w:top w:val="single" w:sz="4" w:space="0" w:color="000000"/>
            </w:tcBorders>
            <w:shd w:val="clear" w:color="auto" w:fill="auto"/>
            <w:noWrap/>
          </w:tcPr>
          <w:p w14:paraId="51AF26E6" w14:textId="77777777" w:rsidR="003E7268" w:rsidRPr="00F16140" w:rsidRDefault="003E7268" w:rsidP="003E7268">
            <w:pPr>
              <w:rPr>
                <w:rFonts w:ascii="Calibri" w:hAnsi="Calibri" w:cs="Calibri"/>
                <w:b/>
                <w:color w:val="000000"/>
                <w:sz w:val="22"/>
                <w:szCs w:val="22"/>
              </w:rPr>
            </w:pPr>
            <w:r>
              <w:rPr>
                <w:rFonts w:ascii="Calibri" w:hAnsi="Calibri" w:cs="Calibri"/>
                <w:b/>
                <w:color w:val="000000"/>
                <w:sz w:val="22"/>
                <w:szCs w:val="22"/>
              </w:rPr>
              <w:t>Hours rate for system staff</w:t>
            </w:r>
          </w:p>
        </w:tc>
        <w:tc>
          <w:tcPr>
            <w:tcW w:w="6412" w:type="dxa"/>
            <w:gridSpan w:val="4"/>
            <w:tcBorders>
              <w:top w:val="single" w:sz="4" w:space="0" w:color="000000"/>
              <w:bottom w:val="nil"/>
            </w:tcBorders>
            <w:shd w:val="clear" w:color="000000" w:fill="FFFFFF"/>
            <w:noWrap/>
          </w:tcPr>
          <w:p w14:paraId="4774138E"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Fully loaded t</w:t>
            </w:r>
            <w:r w:rsidRPr="00DB28DB">
              <w:rPr>
                <w:rFonts w:ascii="Calibri" w:hAnsi="Calibri" w:cs="Calibri"/>
                <w:color w:val="000000"/>
                <w:sz w:val="22"/>
                <w:szCs w:val="22"/>
              </w:rPr>
              <w:t>echnical labor wage rates are based on wage rates for treatment plant operators. EPA estimates that systems serving 3,300 or less use 100% (technical) labor, whereas systems serving &gt;3,300 use 80% technical (operator) labor and 20% managerial (engineer) labor.</w:t>
            </w:r>
          </w:p>
        </w:tc>
      </w:tr>
      <w:tr w:rsidR="003E7268" w:rsidRPr="00E672CA" w14:paraId="1773F1CC" w14:textId="77777777" w:rsidTr="006826AC">
        <w:trPr>
          <w:trHeight w:val="289"/>
        </w:trPr>
        <w:tc>
          <w:tcPr>
            <w:tcW w:w="2790" w:type="dxa"/>
            <w:gridSpan w:val="2"/>
            <w:tcBorders>
              <w:right w:val="single" w:sz="4" w:space="0" w:color="auto"/>
            </w:tcBorders>
            <w:shd w:val="clear" w:color="000000" w:fill="EDEDED"/>
            <w:noWrap/>
            <w:vAlign w:val="bottom"/>
          </w:tcPr>
          <w:p w14:paraId="01146974"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&lt;=100</w:t>
            </w:r>
          </w:p>
        </w:tc>
        <w:tc>
          <w:tcPr>
            <w:tcW w:w="3150" w:type="dxa"/>
            <w:gridSpan w:val="3"/>
            <w:tcBorders>
              <w:top w:val="nil"/>
              <w:left w:val="single" w:sz="4" w:space="0" w:color="auto"/>
              <w:bottom w:val="nil"/>
            </w:tcBorders>
            <w:shd w:val="clear" w:color="000000" w:fill="EDEDED"/>
            <w:vAlign w:val="bottom"/>
          </w:tcPr>
          <w:p w14:paraId="071E408A"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$28.64</w:t>
            </w:r>
          </w:p>
        </w:tc>
        <w:tc>
          <w:tcPr>
            <w:tcW w:w="3420" w:type="dxa"/>
            <w:gridSpan w:val="2"/>
            <w:tcBorders>
              <w:top w:val="nil"/>
              <w:bottom w:val="nil"/>
            </w:tcBorders>
            <w:shd w:val="clear" w:color="000000" w:fill="FFFFFF"/>
            <w:noWrap/>
          </w:tcPr>
          <w:p w14:paraId="2E9EA6DB" w14:textId="77777777" w:rsidR="003E7268" w:rsidRPr="00E672CA" w:rsidRDefault="003E7268" w:rsidP="003E7268">
            <w:pPr>
              <w:rPr>
                <w:rFonts w:ascii="Calibri" w:hAnsi="Calibri" w:cs="Calibri"/>
                <w:color w:val="000000"/>
                <w:sz w:val="22"/>
                <w:szCs w:val="22"/>
              </w:rPr>
            </w:pPr>
          </w:p>
        </w:tc>
      </w:tr>
      <w:tr w:rsidR="003E7268" w:rsidRPr="00E672CA" w14:paraId="3E542115" w14:textId="77777777" w:rsidTr="006826AC">
        <w:trPr>
          <w:trHeight w:val="289"/>
        </w:trPr>
        <w:tc>
          <w:tcPr>
            <w:tcW w:w="2790" w:type="dxa"/>
            <w:gridSpan w:val="2"/>
            <w:tcBorders>
              <w:top w:val="nil"/>
              <w:right w:val="single" w:sz="4" w:space="0" w:color="auto"/>
            </w:tcBorders>
            <w:shd w:val="clear" w:color="000000" w:fill="EDEDED"/>
            <w:noWrap/>
            <w:vAlign w:val="bottom"/>
          </w:tcPr>
          <w:p w14:paraId="560FCCDA"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101-500</w:t>
            </w:r>
          </w:p>
        </w:tc>
        <w:tc>
          <w:tcPr>
            <w:tcW w:w="3150" w:type="dxa"/>
            <w:gridSpan w:val="3"/>
            <w:tcBorders>
              <w:top w:val="nil"/>
              <w:left w:val="single" w:sz="4" w:space="0" w:color="auto"/>
              <w:bottom w:val="nil"/>
            </w:tcBorders>
            <w:shd w:val="clear" w:color="000000" w:fill="EDEDED"/>
            <w:vAlign w:val="bottom"/>
          </w:tcPr>
          <w:p w14:paraId="3732B00F"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$28.64</w:t>
            </w:r>
          </w:p>
        </w:tc>
        <w:tc>
          <w:tcPr>
            <w:tcW w:w="3420" w:type="dxa"/>
            <w:gridSpan w:val="2"/>
            <w:tcBorders>
              <w:top w:val="nil"/>
              <w:bottom w:val="nil"/>
            </w:tcBorders>
            <w:shd w:val="clear" w:color="000000" w:fill="FFFFFF"/>
            <w:noWrap/>
          </w:tcPr>
          <w:p w14:paraId="2E98FDFA" w14:textId="77777777" w:rsidR="003E7268" w:rsidRPr="00E672CA" w:rsidRDefault="003E7268" w:rsidP="003E7268">
            <w:pPr>
              <w:rPr>
                <w:rFonts w:ascii="Calibri" w:hAnsi="Calibri" w:cs="Calibri"/>
                <w:color w:val="000000"/>
                <w:sz w:val="22"/>
                <w:szCs w:val="22"/>
              </w:rPr>
            </w:pPr>
          </w:p>
        </w:tc>
      </w:tr>
      <w:tr w:rsidR="003E7268" w:rsidRPr="00E672CA" w14:paraId="49D66FA4" w14:textId="77777777" w:rsidTr="006826AC">
        <w:trPr>
          <w:trHeight w:val="289"/>
        </w:trPr>
        <w:tc>
          <w:tcPr>
            <w:tcW w:w="2790" w:type="dxa"/>
            <w:gridSpan w:val="2"/>
            <w:tcBorders>
              <w:right w:val="single" w:sz="4" w:space="0" w:color="auto"/>
            </w:tcBorders>
            <w:shd w:val="clear" w:color="000000" w:fill="EDEDED"/>
            <w:noWrap/>
            <w:vAlign w:val="bottom"/>
          </w:tcPr>
          <w:p w14:paraId="3C86047C"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501-1,000</w:t>
            </w:r>
          </w:p>
        </w:tc>
        <w:tc>
          <w:tcPr>
            <w:tcW w:w="3150" w:type="dxa"/>
            <w:gridSpan w:val="3"/>
            <w:tcBorders>
              <w:top w:val="nil"/>
              <w:left w:val="single" w:sz="4" w:space="0" w:color="auto"/>
              <w:bottom w:val="nil"/>
            </w:tcBorders>
            <w:shd w:val="clear" w:color="000000" w:fill="EDEDED"/>
            <w:vAlign w:val="bottom"/>
          </w:tcPr>
          <w:p w14:paraId="7C66EB6D"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$28.64</w:t>
            </w:r>
          </w:p>
        </w:tc>
        <w:tc>
          <w:tcPr>
            <w:tcW w:w="3420" w:type="dxa"/>
            <w:gridSpan w:val="2"/>
            <w:tcBorders>
              <w:top w:val="nil"/>
              <w:bottom w:val="nil"/>
            </w:tcBorders>
            <w:shd w:val="clear" w:color="000000" w:fill="FFFFFF"/>
            <w:noWrap/>
          </w:tcPr>
          <w:p w14:paraId="1362A166" w14:textId="77777777" w:rsidR="003E7268" w:rsidRPr="00E672CA" w:rsidRDefault="003E7268" w:rsidP="003E7268">
            <w:pPr>
              <w:rPr>
                <w:rFonts w:ascii="Calibri" w:hAnsi="Calibri" w:cs="Calibri"/>
                <w:color w:val="000000"/>
                <w:sz w:val="22"/>
                <w:szCs w:val="22"/>
              </w:rPr>
            </w:pPr>
          </w:p>
        </w:tc>
      </w:tr>
      <w:tr w:rsidR="003E7268" w:rsidRPr="00E672CA" w14:paraId="7D643205" w14:textId="77777777" w:rsidTr="006826AC">
        <w:trPr>
          <w:trHeight w:val="289"/>
        </w:trPr>
        <w:tc>
          <w:tcPr>
            <w:tcW w:w="2790" w:type="dxa"/>
            <w:gridSpan w:val="2"/>
            <w:tcBorders>
              <w:right w:val="single" w:sz="4" w:space="0" w:color="auto"/>
            </w:tcBorders>
            <w:shd w:val="clear" w:color="000000" w:fill="EDEDED"/>
            <w:noWrap/>
            <w:vAlign w:val="bottom"/>
          </w:tcPr>
          <w:p w14:paraId="4285B926"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1,001-3,300</w:t>
            </w:r>
          </w:p>
        </w:tc>
        <w:tc>
          <w:tcPr>
            <w:tcW w:w="3150" w:type="dxa"/>
            <w:gridSpan w:val="3"/>
            <w:tcBorders>
              <w:top w:val="nil"/>
              <w:left w:val="single" w:sz="4" w:space="0" w:color="auto"/>
              <w:bottom w:val="nil"/>
            </w:tcBorders>
            <w:shd w:val="clear" w:color="000000" w:fill="EDEDED"/>
            <w:vAlign w:val="bottom"/>
          </w:tcPr>
          <w:p w14:paraId="1F1CC717"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$28.64</w:t>
            </w:r>
          </w:p>
        </w:tc>
        <w:tc>
          <w:tcPr>
            <w:tcW w:w="3420" w:type="dxa"/>
            <w:gridSpan w:val="2"/>
            <w:tcBorders>
              <w:top w:val="nil"/>
              <w:bottom w:val="nil"/>
            </w:tcBorders>
            <w:shd w:val="clear" w:color="000000" w:fill="FFFFFF"/>
            <w:noWrap/>
          </w:tcPr>
          <w:p w14:paraId="2E0E807E" w14:textId="77777777" w:rsidR="003E7268" w:rsidRPr="00E672CA" w:rsidRDefault="003E7268" w:rsidP="003E7268">
            <w:pPr>
              <w:rPr>
                <w:rFonts w:ascii="Calibri" w:hAnsi="Calibri" w:cs="Calibri"/>
                <w:color w:val="000000"/>
                <w:sz w:val="22"/>
                <w:szCs w:val="22"/>
              </w:rPr>
            </w:pPr>
          </w:p>
        </w:tc>
      </w:tr>
      <w:tr w:rsidR="003E7268" w:rsidRPr="00E672CA" w14:paraId="5966496C" w14:textId="77777777" w:rsidTr="006826AC">
        <w:trPr>
          <w:trHeight w:val="289"/>
        </w:trPr>
        <w:tc>
          <w:tcPr>
            <w:tcW w:w="2790" w:type="dxa"/>
            <w:gridSpan w:val="2"/>
            <w:tcBorders>
              <w:right w:val="single" w:sz="4" w:space="0" w:color="auto"/>
            </w:tcBorders>
            <w:shd w:val="clear" w:color="000000" w:fill="EDEDED"/>
            <w:noWrap/>
            <w:vAlign w:val="bottom"/>
          </w:tcPr>
          <w:p w14:paraId="07DFD844"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3,301-10,000</w:t>
            </w:r>
          </w:p>
        </w:tc>
        <w:tc>
          <w:tcPr>
            <w:tcW w:w="3150" w:type="dxa"/>
            <w:gridSpan w:val="3"/>
            <w:tcBorders>
              <w:top w:val="nil"/>
              <w:left w:val="single" w:sz="4" w:space="0" w:color="auto"/>
              <w:bottom w:val="nil"/>
            </w:tcBorders>
            <w:shd w:val="clear" w:color="000000" w:fill="EDEDED"/>
            <w:vAlign w:val="bottom"/>
          </w:tcPr>
          <w:p w14:paraId="3178524A"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$33.74</w:t>
            </w:r>
          </w:p>
        </w:tc>
        <w:tc>
          <w:tcPr>
            <w:tcW w:w="3420" w:type="dxa"/>
            <w:gridSpan w:val="2"/>
            <w:tcBorders>
              <w:top w:val="nil"/>
              <w:bottom w:val="nil"/>
            </w:tcBorders>
            <w:shd w:val="clear" w:color="000000" w:fill="FFFFFF"/>
            <w:noWrap/>
          </w:tcPr>
          <w:p w14:paraId="6FF9B374" w14:textId="77777777" w:rsidR="003E7268" w:rsidRPr="00E672CA" w:rsidRDefault="003E7268" w:rsidP="003E7268">
            <w:pPr>
              <w:rPr>
                <w:rFonts w:ascii="Calibri" w:hAnsi="Calibri" w:cs="Calibri"/>
                <w:color w:val="000000"/>
                <w:sz w:val="22"/>
                <w:szCs w:val="22"/>
              </w:rPr>
            </w:pPr>
          </w:p>
        </w:tc>
      </w:tr>
      <w:tr w:rsidR="003E7268" w:rsidRPr="00E672CA" w14:paraId="63F8A4A0" w14:textId="77777777" w:rsidTr="006826AC">
        <w:trPr>
          <w:trHeight w:val="289"/>
        </w:trPr>
        <w:tc>
          <w:tcPr>
            <w:tcW w:w="2790" w:type="dxa"/>
            <w:gridSpan w:val="2"/>
            <w:tcBorders>
              <w:bottom w:val="nil"/>
              <w:right w:val="single" w:sz="4" w:space="0" w:color="auto"/>
            </w:tcBorders>
            <w:shd w:val="clear" w:color="000000" w:fill="EDEDED"/>
            <w:noWrap/>
            <w:vAlign w:val="bottom"/>
          </w:tcPr>
          <w:p w14:paraId="441B9DCF"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10,001-50,000</w:t>
            </w:r>
          </w:p>
        </w:tc>
        <w:tc>
          <w:tcPr>
            <w:tcW w:w="3150" w:type="dxa"/>
            <w:gridSpan w:val="3"/>
            <w:tcBorders>
              <w:top w:val="nil"/>
              <w:left w:val="single" w:sz="4" w:space="0" w:color="auto"/>
              <w:bottom w:val="nil"/>
            </w:tcBorders>
            <w:shd w:val="clear" w:color="000000" w:fill="EDEDED"/>
            <w:vAlign w:val="bottom"/>
          </w:tcPr>
          <w:p w14:paraId="7281E56A"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$36.15</w:t>
            </w:r>
          </w:p>
        </w:tc>
        <w:tc>
          <w:tcPr>
            <w:tcW w:w="3420" w:type="dxa"/>
            <w:gridSpan w:val="2"/>
            <w:tcBorders>
              <w:top w:val="nil"/>
              <w:bottom w:val="nil"/>
            </w:tcBorders>
            <w:shd w:val="clear" w:color="000000" w:fill="FFFFFF"/>
            <w:noWrap/>
          </w:tcPr>
          <w:p w14:paraId="7C4AFDD4" w14:textId="77777777" w:rsidR="003E7268" w:rsidRPr="00E672CA" w:rsidRDefault="003E7268" w:rsidP="003E7268">
            <w:pPr>
              <w:rPr>
                <w:rFonts w:ascii="Calibri" w:hAnsi="Calibri" w:cs="Calibri"/>
                <w:color w:val="000000"/>
                <w:sz w:val="22"/>
                <w:szCs w:val="22"/>
              </w:rPr>
            </w:pPr>
          </w:p>
        </w:tc>
      </w:tr>
      <w:tr w:rsidR="003E7268" w:rsidRPr="00E672CA" w14:paraId="2253B364" w14:textId="77777777" w:rsidTr="006826AC">
        <w:trPr>
          <w:trHeight w:val="289"/>
        </w:trPr>
        <w:tc>
          <w:tcPr>
            <w:tcW w:w="2790" w:type="dxa"/>
            <w:gridSpan w:val="2"/>
            <w:tcBorders>
              <w:top w:val="nil"/>
              <w:bottom w:val="nil"/>
              <w:right w:val="single" w:sz="4" w:space="0" w:color="000000"/>
            </w:tcBorders>
            <w:shd w:val="clear" w:color="000000" w:fill="EDEDED"/>
            <w:noWrap/>
            <w:vAlign w:val="bottom"/>
          </w:tcPr>
          <w:p w14:paraId="54D07CA5"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50,001-100,000</w:t>
            </w:r>
          </w:p>
        </w:tc>
        <w:tc>
          <w:tcPr>
            <w:tcW w:w="3150" w:type="dxa"/>
            <w:gridSpan w:val="3"/>
            <w:tcBorders>
              <w:top w:val="nil"/>
              <w:left w:val="single" w:sz="4" w:space="0" w:color="000000"/>
              <w:bottom w:val="nil"/>
            </w:tcBorders>
            <w:shd w:val="clear" w:color="000000" w:fill="EDEDED"/>
            <w:vAlign w:val="bottom"/>
          </w:tcPr>
          <w:p w14:paraId="5D4A9CB5"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$39.01</w:t>
            </w:r>
          </w:p>
        </w:tc>
        <w:tc>
          <w:tcPr>
            <w:tcW w:w="3420" w:type="dxa"/>
            <w:gridSpan w:val="2"/>
            <w:tcBorders>
              <w:top w:val="nil"/>
              <w:bottom w:val="nil"/>
            </w:tcBorders>
            <w:shd w:val="clear" w:color="000000" w:fill="FFFFFF"/>
            <w:noWrap/>
          </w:tcPr>
          <w:p w14:paraId="126AB2A2" w14:textId="77777777" w:rsidR="003E7268" w:rsidRPr="00E672CA" w:rsidRDefault="003E7268" w:rsidP="003E7268">
            <w:pPr>
              <w:rPr>
                <w:rFonts w:ascii="Calibri" w:hAnsi="Calibri" w:cs="Calibri"/>
                <w:color w:val="000000"/>
                <w:sz w:val="22"/>
                <w:szCs w:val="22"/>
              </w:rPr>
            </w:pPr>
          </w:p>
        </w:tc>
      </w:tr>
      <w:tr w:rsidR="003E7268" w:rsidRPr="00E672CA" w14:paraId="16846A15"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0015C232"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Systems 100,001-1,000,000</w:t>
            </w:r>
          </w:p>
        </w:tc>
        <w:tc>
          <w:tcPr>
            <w:tcW w:w="3150" w:type="dxa"/>
            <w:gridSpan w:val="3"/>
            <w:tcBorders>
              <w:top w:val="nil"/>
              <w:left w:val="single" w:sz="4" w:space="0" w:color="auto"/>
              <w:bottom w:val="nil"/>
            </w:tcBorders>
            <w:shd w:val="clear" w:color="000000" w:fill="EDEDED"/>
            <w:vAlign w:val="bottom"/>
          </w:tcPr>
          <w:p w14:paraId="5DC7BAD9" w14:textId="7777777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$44.38</w:t>
            </w:r>
          </w:p>
        </w:tc>
        <w:tc>
          <w:tcPr>
            <w:tcW w:w="3420" w:type="dxa"/>
            <w:gridSpan w:val="2"/>
            <w:tcBorders>
              <w:top w:val="nil"/>
              <w:bottom w:val="nil"/>
            </w:tcBorders>
            <w:shd w:val="clear" w:color="000000" w:fill="FFFFFF"/>
            <w:noWrap/>
          </w:tcPr>
          <w:p w14:paraId="525809FF" w14:textId="77777777" w:rsidR="003E7268" w:rsidRPr="00E672CA" w:rsidRDefault="003E7268" w:rsidP="003E7268">
            <w:pPr>
              <w:rPr>
                <w:rFonts w:ascii="Calibri" w:hAnsi="Calibri" w:cs="Calibri"/>
                <w:color w:val="000000"/>
                <w:sz w:val="22"/>
                <w:szCs w:val="22"/>
              </w:rPr>
            </w:pPr>
          </w:p>
        </w:tc>
      </w:tr>
      <w:tr w:rsidR="003E7268" w:rsidRPr="00E672CA" w14:paraId="3BC987C6"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70E6776D" w14:textId="77777777" w:rsidR="003E7268" w:rsidRDefault="003E7268" w:rsidP="003E7268">
            <w:pPr>
              <w:rPr>
                <w:rFonts w:ascii="Calibri" w:hAnsi="Calibri" w:cs="Calibri"/>
                <w:color w:val="000000"/>
                <w:sz w:val="22"/>
                <w:szCs w:val="22"/>
              </w:rPr>
            </w:pPr>
            <w:r>
              <w:rPr>
                <w:rFonts w:ascii="Calibri" w:hAnsi="Calibri" w:cs="Calibri"/>
                <w:color w:val="000000"/>
                <w:sz w:val="22"/>
                <w:szCs w:val="22"/>
              </w:rPr>
              <w:t>Systems &gt;1,000,000</w:t>
            </w:r>
          </w:p>
        </w:tc>
        <w:tc>
          <w:tcPr>
            <w:tcW w:w="3150" w:type="dxa"/>
            <w:gridSpan w:val="3"/>
            <w:tcBorders>
              <w:top w:val="nil"/>
              <w:left w:val="single" w:sz="4" w:space="0" w:color="auto"/>
              <w:bottom w:val="single" w:sz="4" w:space="0" w:color="auto"/>
            </w:tcBorders>
            <w:shd w:val="clear" w:color="000000" w:fill="EDEDED"/>
            <w:vAlign w:val="bottom"/>
          </w:tcPr>
          <w:p w14:paraId="54807B98" w14:textId="77777777" w:rsidR="003E7268" w:rsidRDefault="003E7268" w:rsidP="003E7268">
            <w:pPr>
              <w:rPr>
                <w:rFonts w:ascii="Calibri" w:hAnsi="Calibri" w:cs="Calibri"/>
                <w:color w:val="000000"/>
                <w:sz w:val="22"/>
                <w:szCs w:val="22"/>
              </w:rPr>
            </w:pPr>
            <w:r>
              <w:rPr>
                <w:rFonts w:ascii="Calibri" w:hAnsi="Calibri" w:cs="Calibri"/>
                <w:color w:val="000000"/>
                <w:sz w:val="22"/>
                <w:szCs w:val="22"/>
              </w:rPr>
              <w:t>$44.38</w:t>
            </w:r>
          </w:p>
        </w:tc>
        <w:tc>
          <w:tcPr>
            <w:tcW w:w="3420" w:type="dxa"/>
            <w:gridSpan w:val="2"/>
            <w:tcBorders>
              <w:top w:val="nil"/>
              <w:bottom w:val="single" w:sz="4" w:space="0" w:color="auto"/>
            </w:tcBorders>
            <w:shd w:val="clear" w:color="000000" w:fill="FFFFFF"/>
            <w:noWrap/>
          </w:tcPr>
          <w:p w14:paraId="60125EBE" w14:textId="77777777" w:rsidR="003E7268" w:rsidRPr="00E672CA" w:rsidRDefault="003E7268" w:rsidP="003E7268">
            <w:pPr>
              <w:rPr>
                <w:rFonts w:ascii="Calibri" w:hAnsi="Calibri" w:cs="Calibri"/>
                <w:color w:val="000000"/>
                <w:sz w:val="22"/>
                <w:szCs w:val="22"/>
              </w:rPr>
            </w:pPr>
          </w:p>
        </w:tc>
      </w:tr>
      <w:tr w:rsidR="003E7268" w:rsidRPr="00E672CA" w14:paraId="36572823" w14:textId="77777777" w:rsidTr="006826AC">
        <w:trPr>
          <w:trHeight w:val="289"/>
        </w:trPr>
        <w:tc>
          <w:tcPr>
            <w:tcW w:w="2790" w:type="dxa"/>
            <w:gridSpan w:val="2"/>
            <w:tcBorders>
              <w:top w:val="single" w:sz="4" w:space="0" w:color="auto"/>
              <w:bottom w:val="nil"/>
              <w:right w:val="nil"/>
            </w:tcBorders>
            <w:shd w:val="clear" w:color="auto" w:fill="auto"/>
            <w:noWrap/>
            <w:vAlign w:val="bottom"/>
          </w:tcPr>
          <w:p w14:paraId="3D6A8E39" w14:textId="77777777" w:rsidR="003E7268" w:rsidRDefault="003E7268" w:rsidP="003E7268">
            <w:pPr>
              <w:rPr>
                <w:rFonts w:ascii="Calibri" w:hAnsi="Calibri" w:cs="Calibri"/>
                <w:color w:val="000000"/>
                <w:sz w:val="22"/>
                <w:szCs w:val="22"/>
              </w:rPr>
            </w:pPr>
            <w:r>
              <w:rPr>
                <w:rFonts w:ascii="Calibri" w:hAnsi="Calibri" w:cs="Calibri"/>
                <w:b/>
                <w:color w:val="000000"/>
                <w:sz w:val="22"/>
                <w:szCs w:val="22"/>
              </w:rPr>
              <w:t>Estimated hours per system for staff to create the lead service line inventory</w:t>
            </w:r>
          </w:p>
        </w:tc>
        <w:tc>
          <w:tcPr>
            <w:tcW w:w="1620" w:type="dxa"/>
            <w:gridSpan w:val="2"/>
            <w:tcBorders>
              <w:top w:val="single" w:sz="4" w:space="0" w:color="auto"/>
              <w:left w:val="nil"/>
              <w:bottom w:val="nil"/>
              <w:right w:val="nil"/>
            </w:tcBorders>
            <w:shd w:val="clear" w:color="auto" w:fill="auto"/>
            <w:vAlign w:val="bottom"/>
          </w:tcPr>
          <w:p w14:paraId="3BDEEBA3" w14:textId="77777777" w:rsidR="003E7268" w:rsidRPr="00DF3D04" w:rsidRDefault="003E7268" w:rsidP="003E7268">
            <w:pPr>
              <w:rPr>
                <w:rFonts w:ascii="Calibri" w:hAnsi="Calibri" w:cs="Calibri"/>
                <w:b/>
                <w:color w:val="000000"/>
                <w:sz w:val="22"/>
                <w:szCs w:val="22"/>
              </w:rPr>
            </w:pPr>
          </w:p>
        </w:tc>
        <w:tc>
          <w:tcPr>
            <w:tcW w:w="1530" w:type="dxa"/>
            <w:tcBorders>
              <w:top w:val="single" w:sz="4" w:space="0" w:color="auto"/>
              <w:left w:val="nil"/>
              <w:bottom w:val="nil"/>
              <w:right w:val="nil"/>
            </w:tcBorders>
            <w:shd w:val="clear" w:color="auto" w:fill="auto"/>
            <w:vAlign w:val="bottom"/>
          </w:tcPr>
          <w:p w14:paraId="72029844" w14:textId="77777777" w:rsidR="003E7268" w:rsidRPr="00DF3D04" w:rsidRDefault="003E7268" w:rsidP="003E7268">
            <w:pPr>
              <w:rPr>
                <w:rFonts w:ascii="Calibri" w:hAnsi="Calibri" w:cs="Calibri"/>
                <w:b/>
                <w:color w:val="000000"/>
                <w:sz w:val="22"/>
                <w:szCs w:val="22"/>
              </w:rPr>
            </w:pPr>
          </w:p>
        </w:tc>
        <w:tc>
          <w:tcPr>
            <w:tcW w:w="3420" w:type="dxa"/>
            <w:gridSpan w:val="2"/>
            <w:tcBorders>
              <w:top w:val="single" w:sz="4" w:space="0" w:color="auto"/>
              <w:left w:val="nil"/>
              <w:bottom w:val="nil"/>
            </w:tcBorders>
            <w:shd w:val="clear" w:color="000000" w:fill="FFFFFF"/>
            <w:noWrap/>
          </w:tcPr>
          <w:p w14:paraId="6898508D" w14:textId="77777777" w:rsidR="003E7268" w:rsidRPr="00DF3D04" w:rsidRDefault="003E7268" w:rsidP="003E7268">
            <w:pPr>
              <w:rPr>
                <w:rFonts w:ascii="Calibri" w:hAnsi="Calibri" w:cs="Calibri"/>
                <w:b/>
                <w:color w:val="000000"/>
                <w:sz w:val="22"/>
                <w:szCs w:val="22"/>
              </w:rPr>
            </w:pPr>
          </w:p>
        </w:tc>
      </w:tr>
      <w:tr w:rsidR="003E7268" w:rsidRPr="00E672CA" w14:paraId="67EE5A84"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48AB844E" w14:textId="011D4EA1"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76FF8A03" w14:textId="5C5E35A7" w:rsidR="003E7268" w:rsidRDefault="003E7268" w:rsidP="003E7268">
            <w:pPr>
              <w:rPr>
                <w:rFonts w:ascii="Calibri" w:hAnsi="Calibri" w:cs="Calibri"/>
                <w:color w:val="000000"/>
                <w:sz w:val="22"/>
                <w:szCs w:val="22"/>
              </w:rPr>
            </w:pPr>
            <w:r>
              <w:rPr>
                <w:rFonts w:ascii="Calibri" w:hAnsi="Calibri" w:cs="Calibri"/>
                <w:color w:val="000000"/>
                <w:sz w:val="22"/>
                <w:szCs w:val="22"/>
              </w:rPr>
              <w:t>15</w:t>
            </w:r>
          </w:p>
        </w:tc>
        <w:tc>
          <w:tcPr>
            <w:tcW w:w="1530" w:type="dxa"/>
            <w:tcBorders>
              <w:top w:val="nil"/>
              <w:left w:val="nil"/>
              <w:bottom w:val="nil"/>
              <w:right w:val="nil"/>
            </w:tcBorders>
            <w:shd w:val="clear" w:color="auto" w:fill="auto"/>
            <w:vAlign w:val="bottom"/>
          </w:tcPr>
          <w:p w14:paraId="445E8196"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789E31ED" w14:textId="77777777" w:rsidR="003E7268" w:rsidRPr="00E672CA" w:rsidRDefault="003E7268" w:rsidP="003E7268">
            <w:pPr>
              <w:rPr>
                <w:rFonts w:ascii="Calibri" w:hAnsi="Calibri" w:cs="Calibri"/>
                <w:color w:val="000000"/>
                <w:sz w:val="22"/>
                <w:szCs w:val="22"/>
              </w:rPr>
            </w:pPr>
          </w:p>
        </w:tc>
      </w:tr>
      <w:tr w:rsidR="003E7268" w:rsidRPr="00E672CA" w14:paraId="3E6B9985"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3E1358E3" w14:textId="253D263B"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0745DBA1" w14:textId="35F06D37" w:rsidR="003E7268" w:rsidRDefault="003E7268" w:rsidP="003E7268">
            <w:pPr>
              <w:rPr>
                <w:rFonts w:ascii="Calibri" w:hAnsi="Calibri" w:cs="Calibri"/>
                <w:color w:val="000000"/>
                <w:sz w:val="22"/>
                <w:szCs w:val="22"/>
              </w:rPr>
            </w:pPr>
            <w:r>
              <w:rPr>
                <w:rFonts w:ascii="Calibri" w:hAnsi="Calibri" w:cs="Calibri"/>
                <w:color w:val="000000"/>
                <w:sz w:val="22"/>
                <w:szCs w:val="22"/>
              </w:rPr>
              <w:t>15</w:t>
            </w:r>
          </w:p>
        </w:tc>
        <w:tc>
          <w:tcPr>
            <w:tcW w:w="1530" w:type="dxa"/>
            <w:tcBorders>
              <w:top w:val="nil"/>
              <w:left w:val="nil"/>
              <w:bottom w:val="nil"/>
              <w:right w:val="nil"/>
            </w:tcBorders>
            <w:shd w:val="clear" w:color="auto" w:fill="auto"/>
            <w:vAlign w:val="bottom"/>
          </w:tcPr>
          <w:p w14:paraId="1E0756D4"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1A9AC45B" w14:textId="77777777" w:rsidR="003E7268" w:rsidRPr="00E672CA" w:rsidRDefault="003E7268" w:rsidP="003E7268">
            <w:pPr>
              <w:rPr>
                <w:rFonts w:ascii="Calibri" w:hAnsi="Calibri" w:cs="Calibri"/>
                <w:color w:val="000000"/>
                <w:sz w:val="22"/>
                <w:szCs w:val="22"/>
              </w:rPr>
            </w:pPr>
          </w:p>
        </w:tc>
      </w:tr>
      <w:tr w:rsidR="003E7268" w:rsidRPr="00E672CA" w14:paraId="22AA1720"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40ED6194" w14:textId="639AB144"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6DC53192" w14:textId="408F792F" w:rsidR="003E7268" w:rsidRDefault="003E7268" w:rsidP="003E7268">
            <w:pPr>
              <w:rPr>
                <w:rFonts w:ascii="Calibri" w:hAnsi="Calibri" w:cs="Calibri"/>
                <w:color w:val="000000"/>
                <w:sz w:val="22"/>
                <w:szCs w:val="22"/>
              </w:rPr>
            </w:pPr>
            <w:r>
              <w:rPr>
                <w:rFonts w:ascii="Calibri" w:hAnsi="Calibri" w:cs="Calibri"/>
                <w:color w:val="000000"/>
                <w:sz w:val="22"/>
                <w:szCs w:val="22"/>
              </w:rPr>
              <w:t>15</w:t>
            </w:r>
          </w:p>
        </w:tc>
        <w:tc>
          <w:tcPr>
            <w:tcW w:w="1530" w:type="dxa"/>
            <w:tcBorders>
              <w:top w:val="nil"/>
              <w:left w:val="nil"/>
              <w:bottom w:val="nil"/>
              <w:right w:val="nil"/>
            </w:tcBorders>
            <w:shd w:val="clear" w:color="auto" w:fill="auto"/>
            <w:vAlign w:val="bottom"/>
          </w:tcPr>
          <w:p w14:paraId="410BA0D4"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7625C957" w14:textId="77777777" w:rsidR="003E7268" w:rsidRPr="00E672CA" w:rsidRDefault="003E7268" w:rsidP="003E7268">
            <w:pPr>
              <w:rPr>
                <w:rFonts w:ascii="Calibri" w:hAnsi="Calibri" w:cs="Calibri"/>
                <w:color w:val="000000"/>
                <w:sz w:val="22"/>
                <w:szCs w:val="22"/>
              </w:rPr>
            </w:pPr>
          </w:p>
        </w:tc>
      </w:tr>
      <w:tr w:rsidR="003E7268" w:rsidRPr="00E672CA" w14:paraId="45834AC7"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7245FEAA" w14:textId="5B28E719"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0247AA03" w14:textId="4B36A0EB" w:rsidR="003E7268" w:rsidRDefault="003E7268" w:rsidP="003E7268">
            <w:pPr>
              <w:rPr>
                <w:rFonts w:ascii="Calibri" w:hAnsi="Calibri" w:cs="Calibri"/>
                <w:color w:val="000000"/>
                <w:sz w:val="22"/>
                <w:szCs w:val="22"/>
              </w:rPr>
            </w:pPr>
            <w:r>
              <w:rPr>
                <w:rFonts w:ascii="Calibri" w:hAnsi="Calibri" w:cs="Calibri"/>
                <w:color w:val="000000"/>
                <w:sz w:val="22"/>
                <w:szCs w:val="22"/>
              </w:rPr>
              <w:t>30</w:t>
            </w:r>
          </w:p>
        </w:tc>
        <w:tc>
          <w:tcPr>
            <w:tcW w:w="1530" w:type="dxa"/>
            <w:tcBorders>
              <w:top w:val="nil"/>
              <w:left w:val="nil"/>
              <w:bottom w:val="nil"/>
              <w:right w:val="nil"/>
            </w:tcBorders>
            <w:shd w:val="clear" w:color="auto" w:fill="auto"/>
            <w:vAlign w:val="bottom"/>
          </w:tcPr>
          <w:p w14:paraId="1251D816"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68DB70CD" w14:textId="77777777" w:rsidR="003E7268" w:rsidRPr="00E672CA" w:rsidRDefault="003E7268" w:rsidP="003E7268">
            <w:pPr>
              <w:rPr>
                <w:rFonts w:ascii="Calibri" w:hAnsi="Calibri" w:cs="Calibri"/>
                <w:color w:val="000000"/>
                <w:sz w:val="22"/>
                <w:szCs w:val="22"/>
              </w:rPr>
            </w:pPr>
          </w:p>
        </w:tc>
      </w:tr>
      <w:tr w:rsidR="003E7268" w:rsidRPr="00E672CA" w14:paraId="7416A17E"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58D89A1F" w14:textId="09C8345C"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089D6B56" w14:textId="608D70DB" w:rsidR="003E7268" w:rsidRDefault="003E7268" w:rsidP="003E7268">
            <w:pPr>
              <w:rPr>
                <w:rFonts w:ascii="Calibri" w:hAnsi="Calibri" w:cs="Calibri"/>
                <w:color w:val="000000"/>
                <w:sz w:val="22"/>
                <w:szCs w:val="22"/>
              </w:rPr>
            </w:pPr>
            <w:r>
              <w:rPr>
                <w:rFonts w:ascii="Calibri" w:hAnsi="Calibri" w:cs="Calibri"/>
                <w:color w:val="000000"/>
                <w:sz w:val="22"/>
                <w:szCs w:val="22"/>
              </w:rPr>
              <w:t>60</w:t>
            </w:r>
          </w:p>
        </w:tc>
        <w:tc>
          <w:tcPr>
            <w:tcW w:w="1530" w:type="dxa"/>
            <w:tcBorders>
              <w:top w:val="nil"/>
              <w:left w:val="nil"/>
              <w:bottom w:val="nil"/>
              <w:right w:val="nil"/>
            </w:tcBorders>
            <w:shd w:val="clear" w:color="auto" w:fill="auto"/>
            <w:vAlign w:val="bottom"/>
          </w:tcPr>
          <w:p w14:paraId="1A2B6E14"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F2AB2B6" w14:textId="77777777" w:rsidR="003E7268" w:rsidRPr="00E672CA" w:rsidRDefault="003E7268" w:rsidP="003E7268">
            <w:pPr>
              <w:rPr>
                <w:rFonts w:ascii="Calibri" w:hAnsi="Calibri" w:cs="Calibri"/>
                <w:color w:val="000000"/>
                <w:sz w:val="22"/>
                <w:szCs w:val="22"/>
              </w:rPr>
            </w:pPr>
          </w:p>
        </w:tc>
      </w:tr>
      <w:tr w:rsidR="003E7268" w:rsidRPr="00E672CA" w14:paraId="5B2E57BF"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233E5384" w14:textId="2D2F6DAE"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2916A26E" w14:textId="0F8F8A2D" w:rsidR="003E7268" w:rsidRDefault="003E7268" w:rsidP="003E7268">
            <w:pPr>
              <w:rPr>
                <w:rFonts w:ascii="Calibri" w:hAnsi="Calibri" w:cs="Calibri"/>
                <w:color w:val="000000"/>
                <w:sz w:val="22"/>
                <w:szCs w:val="22"/>
              </w:rPr>
            </w:pPr>
            <w:r>
              <w:rPr>
                <w:rFonts w:ascii="Calibri" w:hAnsi="Calibri" w:cs="Calibri"/>
                <w:color w:val="000000"/>
                <w:sz w:val="22"/>
                <w:szCs w:val="22"/>
              </w:rPr>
              <w:t>75</w:t>
            </w:r>
          </w:p>
        </w:tc>
        <w:tc>
          <w:tcPr>
            <w:tcW w:w="1530" w:type="dxa"/>
            <w:tcBorders>
              <w:top w:val="nil"/>
              <w:left w:val="nil"/>
              <w:bottom w:val="nil"/>
              <w:right w:val="nil"/>
            </w:tcBorders>
            <w:shd w:val="clear" w:color="auto" w:fill="auto"/>
            <w:vAlign w:val="bottom"/>
          </w:tcPr>
          <w:p w14:paraId="646227A2"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24974B3E" w14:textId="77777777" w:rsidR="003E7268" w:rsidRPr="00E672CA" w:rsidRDefault="003E7268" w:rsidP="003E7268">
            <w:pPr>
              <w:rPr>
                <w:rFonts w:ascii="Calibri" w:hAnsi="Calibri" w:cs="Calibri"/>
                <w:color w:val="000000"/>
                <w:sz w:val="22"/>
                <w:szCs w:val="22"/>
              </w:rPr>
            </w:pPr>
          </w:p>
        </w:tc>
      </w:tr>
      <w:tr w:rsidR="003E7268" w:rsidRPr="00E672CA" w14:paraId="2891BB9B"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1BE92C81" w14:textId="10B48B49"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5B5D1CD7" w14:textId="79502610" w:rsidR="003E7268" w:rsidRDefault="003E7268" w:rsidP="003E7268">
            <w:pPr>
              <w:rPr>
                <w:rFonts w:ascii="Calibri" w:hAnsi="Calibri" w:cs="Calibri"/>
                <w:color w:val="000000"/>
                <w:sz w:val="22"/>
                <w:szCs w:val="22"/>
              </w:rPr>
            </w:pPr>
            <w:r>
              <w:rPr>
                <w:rFonts w:ascii="Calibri" w:hAnsi="Calibri" w:cs="Calibri"/>
                <w:color w:val="000000"/>
                <w:sz w:val="22"/>
                <w:szCs w:val="22"/>
              </w:rPr>
              <w:t>150</w:t>
            </w:r>
          </w:p>
        </w:tc>
        <w:tc>
          <w:tcPr>
            <w:tcW w:w="1530" w:type="dxa"/>
            <w:tcBorders>
              <w:top w:val="nil"/>
              <w:left w:val="nil"/>
              <w:bottom w:val="nil"/>
              <w:right w:val="nil"/>
            </w:tcBorders>
            <w:shd w:val="clear" w:color="auto" w:fill="auto"/>
            <w:vAlign w:val="bottom"/>
          </w:tcPr>
          <w:p w14:paraId="1E2844FD"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9EB726F" w14:textId="77777777" w:rsidR="003E7268" w:rsidRPr="00E672CA" w:rsidRDefault="003E7268" w:rsidP="003E7268">
            <w:pPr>
              <w:rPr>
                <w:rFonts w:ascii="Calibri" w:hAnsi="Calibri" w:cs="Calibri"/>
                <w:color w:val="000000"/>
                <w:sz w:val="22"/>
                <w:szCs w:val="22"/>
              </w:rPr>
            </w:pPr>
          </w:p>
        </w:tc>
      </w:tr>
      <w:tr w:rsidR="003E7268" w:rsidRPr="00E672CA" w14:paraId="7762D8EB" w14:textId="77777777" w:rsidTr="006826AC">
        <w:trPr>
          <w:trHeight w:val="289"/>
        </w:trPr>
        <w:tc>
          <w:tcPr>
            <w:tcW w:w="2790" w:type="dxa"/>
            <w:gridSpan w:val="2"/>
            <w:tcBorders>
              <w:top w:val="nil"/>
              <w:bottom w:val="nil"/>
              <w:right w:val="single" w:sz="4" w:space="0" w:color="auto"/>
            </w:tcBorders>
            <w:shd w:val="clear" w:color="000000" w:fill="EDEDED"/>
            <w:noWrap/>
            <w:vAlign w:val="bottom"/>
          </w:tcPr>
          <w:p w14:paraId="79D6F462" w14:textId="12D13D02"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466A53F4" w14:textId="001E3FAF" w:rsidR="003E7268" w:rsidRDefault="003E7268" w:rsidP="003E7268">
            <w:pPr>
              <w:rPr>
                <w:rFonts w:ascii="Calibri" w:hAnsi="Calibri" w:cs="Calibri"/>
                <w:color w:val="000000"/>
                <w:sz w:val="22"/>
                <w:szCs w:val="22"/>
              </w:rPr>
            </w:pPr>
            <w:r>
              <w:rPr>
                <w:rFonts w:ascii="Calibri" w:hAnsi="Calibri" w:cs="Calibri"/>
                <w:color w:val="000000"/>
                <w:sz w:val="22"/>
                <w:szCs w:val="22"/>
              </w:rPr>
              <w:t>225</w:t>
            </w:r>
          </w:p>
        </w:tc>
        <w:tc>
          <w:tcPr>
            <w:tcW w:w="1530" w:type="dxa"/>
            <w:tcBorders>
              <w:top w:val="nil"/>
              <w:left w:val="nil"/>
              <w:bottom w:val="nil"/>
              <w:right w:val="nil"/>
            </w:tcBorders>
            <w:shd w:val="clear" w:color="auto" w:fill="auto"/>
            <w:vAlign w:val="bottom"/>
          </w:tcPr>
          <w:p w14:paraId="78239752"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8712346" w14:textId="77777777" w:rsidR="003E7268" w:rsidRPr="00E672CA" w:rsidRDefault="003E7268" w:rsidP="003E7268">
            <w:pPr>
              <w:rPr>
                <w:rFonts w:ascii="Calibri" w:hAnsi="Calibri" w:cs="Calibri"/>
                <w:color w:val="000000"/>
                <w:sz w:val="22"/>
                <w:szCs w:val="22"/>
              </w:rPr>
            </w:pPr>
          </w:p>
        </w:tc>
      </w:tr>
      <w:tr w:rsidR="003E7268" w:rsidRPr="00E672CA" w14:paraId="04A521A6"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26289AD2" w14:textId="237DDAC4"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single" w:sz="4" w:space="0" w:color="auto"/>
              <w:right w:val="nil"/>
            </w:tcBorders>
            <w:shd w:val="clear" w:color="000000" w:fill="EDEDED"/>
            <w:vAlign w:val="bottom"/>
          </w:tcPr>
          <w:p w14:paraId="7EC8300B" w14:textId="2E3E61E7" w:rsidR="003E7268" w:rsidRDefault="003E7268" w:rsidP="003E7268">
            <w:pPr>
              <w:rPr>
                <w:rFonts w:ascii="Calibri" w:hAnsi="Calibri" w:cs="Calibri"/>
                <w:color w:val="000000"/>
                <w:sz w:val="22"/>
                <w:szCs w:val="22"/>
              </w:rPr>
            </w:pPr>
            <w:r>
              <w:rPr>
                <w:rFonts w:ascii="Calibri" w:hAnsi="Calibri" w:cs="Calibri"/>
                <w:color w:val="000000"/>
                <w:sz w:val="22"/>
                <w:szCs w:val="22"/>
              </w:rPr>
              <w:t>300</w:t>
            </w:r>
          </w:p>
        </w:tc>
        <w:tc>
          <w:tcPr>
            <w:tcW w:w="1530" w:type="dxa"/>
            <w:tcBorders>
              <w:top w:val="nil"/>
              <w:left w:val="nil"/>
              <w:bottom w:val="single" w:sz="4" w:space="0" w:color="auto"/>
              <w:right w:val="nil"/>
            </w:tcBorders>
            <w:shd w:val="clear" w:color="auto" w:fill="auto"/>
            <w:vAlign w:val="bottom"/>
          </w:tcPr>
          <w:p w14:paraId="60E81A51"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43468D3C" w14:textId="77777777" w:rsidR="003E7268" w:rsidRPr="00E672CA" w:rsidRDefault="003E7268" w:rsidP="003E7268">
            <w:pPr>
              <w:rPr>
                <w:rFonts w:ascii="Calibri" w:hAnsi="Calibri" w:cs="Calibri"/>
                <w:color w:val="000000"/>
                <w:sz w:val="22"/>
                <w:szCs w:val="22"/>
              </w:rPr>
            </w:pPr>
          </w:p>
        </w:tc>
      </w:tr>
      <w:tr w:rsidR="003E7268" w:rsidRPr="00E672CA" w14:paraId="73EB8C19"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0F5A3ABB" w14:textId="5F1CC02F"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138BC545" w14:textId="78E4537F" w:rsidR="003E7268" w:rsidRDefault="003E7268" w:rsidP="003E7268">
            <w:pPr>
              <w:rPr>
                <w:rFonts w:ascii="Calibri" w:hAnsi="Calibri" w:cs="Calibri"/>
                <w:color w:val="000000"/>
                <w:sz w:val="22"/>
                <w:szCs w:val="22"/>
              </w:rPr>
            </w:pPr>
            <w:r>
              <w:rPr>
                <w:rFonts w:ascii="Calibri" w:hAnsi="Calibri" w:cs="Calibri"/>
                <w:color w:val="000000"/>
                <w:sz w:val="22"/>
                <w:szCs w:val="22"/>
              </w:rPr>
              <w:t>5.25</w:t>
            </w:r>
          </w:p>
        </w:tc>
        <w:tc>
          <w:tcPr>
            <w:tcW w:w="1530" w:type="dxa"/>
            <w:tcBorders>
              <w:top w:val="nil"/>
              <w:left w:val="nil"/>
              <w:bottom w:val="single" w:sz="4" w:space="0" w:color="auto"/>
              <w:right w:val="nil"/>
            </w:tcBorders>
            <w:shd w:val="clear" w:color="auto" w:fill="auto"/>
            <w:vAlign w:val="bottom"/>
          </w:tcPr>
          <w:p w14:paraId="741B976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618CDC47" w14:textId="77777777" w:rsidR="003E7268" w:rsidRPr="00E672CA" w:rsidRDefault="003E7268" w:rsidP="003E7268">
            <w:pPr>
              <w:rPr>
                <w:rFonts w:ascii="Calibri" w:hAnsi="Calibri" w:cs="Calibri"/>
                <w:color w:val="000000"/>
                <w:sz w:val="22"/>
                <w:szCs w:val="22"/>
              </w:rPr>
            </w:pPr>
          </w:p>
        </w:tc>
      </w:tr>
      <w:tr w:rsidR="003E7268" w:rsidRPr="00E672CA" w14:paraId="5B59FBAD"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493DF81D" w14:textId="6D05A3B6"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69645AB5" w14:textId="6A643302" w:rsidR="003E7268" w:rsidRDefault="003E7268" w:rsidP="003E7268">
            <w:pPr>
              <w:rPr>
                <w:rFonts w:ascii="Calibri" w:hAnsi="Calibri" w:cs="Calibri"/>
                <w:color w:val="000000"/>
                <w:sz w:val="22"/>
                <w:szCs w:val="22"/>
              </w:rPr>
            </w:pPr>
            <w:r>
              <w:rPr>
                <w:rFonts w:ascii="Calibri" w:hAnsi="Calibri" w:cs="Calibri"/>
                <w:color w:val="000000"/>
                <w:sz w:val="22"/>
                <w:szCs w:val="22"/>
              </w:rPr>
              <w:t>5.25</w:t>
            </w:r>
          </w:p>
        </w:tc>
        <w:tc>
          <w:tcPr>
            <w:tcW w:w="1530" w:type="dxa"/>
            <w:tcBorders>
              <w:top w:val="nil"/>
              <w:left w:val="nil"/>
              <w:bottom w:val="single" w:sz="4" w:space="0" w:color="auto"/>
              <w:right w:val="nil"/>
            </w:tcBorders>
            <w:shd w:val="clear" w:color="auto" w:fill="auto"/>
            <w:vAlign w:val="bottom"/>
          </w:tcPr>
          <w:p w14:paraId="49F8BA5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6611FE69" w14:textId="77777777" w:rsidR="003E7268" w:rsidRPr="00E672CA" w:rsidRDefault="003E7268" w:rsidP="003E7268">
            <w:pPr>
              <w:rPr>
                <w:rFonts w:ascii="Calibri" w:hAnsi="Calibri" w:cs="Calibri"/>
                <w:color w:val="000000"/>
                <w:sz w:val="22"/>
                <w:szCs w:val="22"/>
              </w:rPr>
            </w:pPr>
          </w:p>
        </w:tc>
      </w:tr>
      <w:tr w:rsidR="003E7268" w:rsidRPr="00E672CA" w14:paraId="596E6A08"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7E6E4EC4" w14:textId="0C6678C1"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68D0B301" w14:textId="2105C7F1" w:rsidR="003E7268" w:rsidRDefault="003E7268" w:rsidP="003E7268">
            <w:pPr>
              <w:rPr>
                <w:rFonts w:ascii="Calibri" w:hAnsi="Calibri" w:cs="Calibri"/>
                <w:color w:val="000000"/>
                <w:sz w:val="22"/>
                <w:szCs w:val="22"/>
              </w:rPr>
            </w:pPr>
            <w:r>
              <w:rPr>
                <w:rFonts w:ascii="Calibri" w:hAnsi="Calibri" w:cs="Calibri"/>
                <w:color w:val="000000"/>
                <w:sz w:val="22"/>
                <w:szCs w:val="22"/>
              </w:rPr>
              <w:t>5.25</w:t>
            </w:r>
          </w:p>
        </w:tc>
        <w:tc>
          <w:tcPr>
            <w:tcW w:w="1530" w:type="dxa"/>
            <w:tcBorders>
              <w:top w:val="nil"/>
              <w:left w:val="nil"/>
              <w:bottom w:val="single" w:sz="4" w:space="0" w:color="auto"/>
              <w:right w:val="nil"/>
            </w:tcBorders>
            <w:shd w:val="clear" w:color="auto" w:fill="auto"/>
            <w:vAlign w:val="bottom"/>
          </w:tcPr>
          <w:p w14:paraId="29702CA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4F6E66E6" w14:textId="77777777" w:rsidR="003E7268" w:rsidRPr="00E672CA" w:rsidRDefault="003E7268" w:rsidP="003E7268">
            <w:pPr>
              <w:rPr>
                <w:rFonts w:ascii="Calibri" w:hAnsi="Calibri" w:cs="Calibri"/>
                <w:color w:val="000000"/>
                <w:sz w:val="22"/>
                <w:szCs w:val="22"/>
              </w:rPr>
            </w:pPr>
          </w:p>
        </w:tc>
      </w:tr>
      <w:tr w:rsidR="003E7268" w:rsidRPr="00E672CA" w14:paraId="218F403A"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55C7E08F" w14:textId="52332C80"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6FFEB2CD" w14:textId="75D437D2" w:rsidR="003E7268" w:rsidRDefault="003E7268" w:rsidP="003E7268">
            <w:pPr>
              <w:rPr>
                <w:rFonts w:ascii="Calibri" w:hAnsi="Calibri" w:cs="Calibri"/>
                <w:color w:val="000000"/>
                <w:sz w:val="22"/>
                <w:szCs w:val="22"/>
              </w:rPr>
            </w:pPr>
            <w:r>
              <w:rPr>
                <w:rFonts w:ascii="Calibri" w:hAnsi="Calibri" w:cs="Calibri"/>
                <w:color w:val="000000"/>
                <w:sz w:val="22"/>
                <w:szCs w:val="22"/>
              </w:rPr>
              <w:t>5.25</w:t>
            </w:r>
          </w:p>
        </w:tc>
        <w:tc>
          <w:tcPr>
            <w:tcW w:w="1530" w:type="dxa"/>
            <w:tcBorders>
              <w:top w:val="nil"/>
              <w:left w:val="nil"/>
              <w:bottom w:val="single" w:sz="4" w:space="0" w:color="auto"/>
              <w:right w:val="nil"/>
            </w:tcBorders>
            <w:shd w:val="clear" w:color="auto" w:fill="auto"/>
            <w:vAlign w:val="bottom"/>
          </w:tcPr>
          <w:p w14:paraId="191E4F0C"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3ACB3A7A" w14:textId="77777777" w:rsidR="003E7268" w:rsidRPr="00E672CA" w:rsidRDefault="003E7268" w:rsidP="003E7268">
            <w:pPr>
              <w:rPr>
                <w:rFonts w:ascii="Calibri" w:hAnsi="Calibri" w:cs="Calibri"/>
                <w:color w:val="000000"/>
                <w:sz w:val="22"/>
                <w:szCs w:val="22"/>
              </w:rPr>
            </w:pPr>
          </w:p>
        </w:tc>
      </w:tr>
      <w:tr w:rsidR="003E7268" w:rsidRPr="00E672CA" w14:paraId="1B4A829E"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4239AC0B" w14:textId="103F00AC"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398A002F" w14:textId="696E7A3C" w:rsidR="003E7268" w:rsidRDefault="003E7268" w:rsidP="003E7268">
            <w:pPr>
              <w:rPr>
                <w:rFonts w:ascii="Calibri" w:hAnsi="Calibri" w:cs="Calibri"/>
                <w:color w:val="000000"/>
                <w:sz w:val="22"/>
                <w:szCs w:val="22"/>
              </w:rPr>
            </w:pPr>
            <w:r>
              <w:rPr>
                <w:rFonts w:ascii="Calibri" w:hAnsi="Calibri" w:cs="Calibri"/>
                <w:color w:val="000000"/>
                <w:sz w:val="22"/>
                <w:szCs w:val="22"/>
              </w:rPr>
              <w:t>9</w:t>
            </w:r>
          </w:p>
        </w:tc>
        <w:tc>
          <w:tcPr>
            <w:tcW w:w="1530" w:type="dxa"/>
            <w:tcBorders>
              <w:top w:val="nil"/>
              <w:left w:val="nil"/>
              <w:bottom w:val="single" w:sz="4" w:space="0" w:color="auto"/>
              <w:right w:val="nil"/>
            </w:tcBorders>
            <w:shd w:val="clear" w:color="auto" w:fill="auto"/>
            <w:vAlign w:val="bottom"/>
          </w:tcPr>
          <w:p w14:paraId="7E35CAE9"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70B6438E" w14:textId="77777777" w:rsidR="003E7268" w:rsidRPr="00E672CA" w:rsidRDefault="003E7268" w:rsidP="003E7268">
            <w:pPr>
              <w:rPr>
                <w:rFonts w:ascii="Calibri" w:hAnsi="Calibri" w:cs="Calibri"/>
                <w:color w:val="000000"/>
                <w:sz w:val="22"/>
                <w:szCs w:val="22"/>
              </w:rPr>
            </w:pPr>
          </w:p>
        </w:tc>
      </w:tr>
      <w:tr w:rsidR="003E7268" w:rsidRPr="00E672CA" w14:paraId="595C801D"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67B1D044" w14:textId="5C09759D"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2B8FBAFD" w14:textId="4E542EE1" w:rsidR="003E7268" w:rsidRDefault="003E7268" w:rsidP="003E7268">
            <w:pPr>
              <w:rPr>
                <w:rFonts w:ascii="Calibri" w:hAnsi="Calibri" w:cs="Calibri"/>
                <w:color w:val="000000"/>
                <w:sz w:val="22"/>
                <w:szCs w:val="22"/>
              </w:rPr>
            </w:pPr>
            <w:r>
              <w:rPr>
                <w:rFonts w:ascii="Calibri" w:hAnsi="Calibri" w:cs="Calibri"/>
                <w:color w:val="000000"/>
                <w:sz w:val="22"/>
                <w:szCs w:val="22"/>
              </w:rPr>
              <w:t>9</w:t>
            </w:r>
          </w:p>
        </w:tc>
        <w:tc>
          <w:tcPr>
            <w:tcW w:w="1530" w:type="dxa"/>
            <w:tcBorders>
              <w:top w:val="nil"/>
              <w:left w:val="nil"/>
              <w:bottom w:val="single" w:sz="4" w:space="0" w:color="auto"/>
              <w:right w:val="nil"/>
            </w:tcBorders>
            <w:shd w:val="clear" w:color="auto" w:fill="auto"/>
            <w:vAlign w:val="bottom"/>
          </w:tcPr>
          <w:p w14:paraId="4405402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187B9DAC" w14:textId="77777777" w:rsidR="003E7268" w:rsidRPr="00E672CA" w:rsidRDefault="003E7268" w:rsidP="003E7268">
            <w:pPr>
              <w:rPr>
                <w:rFonts w:ascii="Calibri" w:hAnsi="Calibri" w:cs="Calibri"/>
                <w:color w:val="000000"/>
                <w:sz w:val="22"/>
                <w:szCs w:val="22"/>
              </w:rPr>
            </w:pPr>
          </w:p>
        </w:tc>
      </w:tr>
      <w:tr w:rsidR="003E7268" w:rsidRPr="00E672CA" w14:paraId="47026B06"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5FC3A319" w14:textId="71F1EB8A"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6F54E799" w14:textId="0E975AD6" w:rsidR="003E7268" w:rsidRDefault="003E7268" w:rsidP="003E7268">
            <w:pPr>
              <w:rPr>
                <w:rFonts w:ascii="Calibri" w:hAnsi="Calibri" w:cs="Calibri"/>
                <w:color w:val="000000"/>
                <w:sz w:val="22"/>
                <w:szCs w:val="22"/>
              </w:rPr>
            </w:pPr>
            <w:r>
              <w:rPr>
                <w:rFonts w:ascii="Calibri" w:hAnsi="Calibri" w:cs="Calibri"/>
                <w:color w:val="000000"/>
                <w:sz w:val="22"/>
                <w:szCs w:val="22"/>
              </w:rPr>
              <w:t>21</w:t>
            </w:r>
          </w:p>
        </w:tc>
        <w:tc>
          <w:tcPr>
            <w:tcW w:w="1530" w:type="dxa"/>
            <w:tcBorders>
              <w:top w:val="nil"/>
              <w:left w:val="nil"/>
              <w:bottom w:val="single" w:sz="4" w:space="0" w:color="auto"/>
              <w:right w:val="nil"/>
            </w:tcBorders>
            <w:shd w:val="clear" w:color="auto" w:fill="auto"/>
            <w:vAlign w:val="bottom"/>
          </w:tcPr>
          <w:p w14:paraId="2745B98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38EBBEC5" w14:textId="77777777" w:rsidR="003E7268" w:rsidRPr="00E672CA" w:rsidRDefault="003E7268" w:rsidP="003E7268">
            <w:pPr>
              <w:rPr>
                <w:rFonts w:ascii="Calibri" w:hAnsi="Calibri" w:cs="Calibri"/>
                <w:color w:val="000000"/>
                <w:sz w:val="22"/>
                <w:szCs w:val="22"/>
              </w:rPr>
            </w:pPr>
          </w:p>
        </w:tc>
      </w:tr>
      <w:tr w:rsidR="003E7268" w:rsidRPr="00E672CA" w14:paraId="1C8796DC"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498FEE7E" w14:textId="68E5EF5D"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31BD4193" w14:textId="5F848933" w:rsidR="003E7268" w:rsidRDefault="003E7268" w:rsidP="003E7268">
            <w:pPr>
              <w:rPr>
                <w:rFonts w:ascii="Calibri" w:hAnsi="Calibri" w:cs="Calibri"/>
                <w:color w:val="000000"/>
                <w:sz w:val="22"/>
                <w:szCs w:val="22"/>
              </w:rPr>
            </w:pPr>
            <w:r>
              <w:rPr>
                <w:rFonts w:ascii="Calibri" w:hAnsi="Calibri" w:cs="Calibri"/>
                <w:color w:val="000000"/>
                <w:sz w:val="22"/>
                <w:szCs w:val="22"/>
              </w:rPr>
              <w:t>21</w:t>
            </w:r>
          </w:p>
        </w:tc>
        <w:tc>
          <w:tcPr>
            <w:tcW w:w="1530" w:type="dxa"/>
            <w:tcBorders>
              <w:top w:val="nil"/>
              <w:left w:val="nil"/>
              <w:bottom w:val="single" w:sz="4" w:space="0" w:color="auto"/>
              <w:right w:val="nil"/>
            </w:tcBorders>
            <w:shd w:val="clear" w:color="auto" w:fill="auto"/>
            <w:vAlign w:val="bottom"/>
          </w:tcPr>
          <w:p w14:paraId="44896A29"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66BA84DA" w14:textId="77777777" w:rsidR="003E7268" w:rsidRPr="00E672CA" w:rsidRDefault="003E7268" w:rsidP="003E7268">
            <w:pPr>
              <w:rPr>
                <w:rFonts w:ascii="Calibri" w:hAnsi="Calibri" w:cs="Calibri"/>
                <w:color w:val="000000"/>
                <w:sz w:val="22"/>
                <w:szCs w:val="22"/>
              </w:rPr>
            </w:pPr>
          </w:p>
        </w:tc>
      </w:tr>
      <w:tr w:rsidR="003E7268" w:rsidRPr="00E672CA" w14:paraId="4D38EE86" w14:textId="77777777" w:rsidTr="006826AC">
        <w:trPr>
          <w:trHeight w:val="289"/>
        </w:trPr>
        <w:tc>
          <w:tcPr>
            <w:tcW w:w="2790" w:type="dxa"/>
            <w:gridSpan w:val="2"/>
            <w:tcBorders>
              <w:top w:val="nil"/>
              <w:bottom w:val="single" w:sz="4" w:space="0" w:color="auto"/>
              <w:right w:val="single" w:sz="4" w:space="0" w:color="auto"/>
            </w:tcBorders>
            <w:shd w:val="clear" w:color="000000" w:fill="EDEDED"/>
            <w:noWrap/>
            <w:vAlign w:val="bottom"/>
          </w:tcPr>
          <w:p w14:paraId="14AE172D" w14:textId="581CA1B8"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single" w:sz="4" w:space="0" w:color="auto"/>
              <w:right w:val="nil"/>
            </w:tcBorders>
            <w:shd w:val="clear" w:color="000000" w:fill="EDEDED"/>
            <w:vAlign w:val="bottom"/>
          </w:tcPr>
          <w:p w14:paraId="75BBE28D" w14:textId="396DC26A" w:rsidR="003E7268" w:rsidRDefault="003E7268" w:rsidP="003E7268">
            <w:pPr>
              <w:rPr>
                <w:rFonts w:ascii="Calibri" w:hAnsi="Calibri" w:cs="Calibri"/>
                <w:color w:val="000000"/>
                <w:sz w:val="22"/>
                <w:szCs w:val="22"/>
              </w:rPr>
            </w:pPr>
            <w:r>
              <w:rPr>
                <w:rFonts w:ascii="Calibri" w:hAnsi="Calibri" w:cs="Calibri"/>
                <w:color w:val="000000"/>
                <w:sz w:val="22"/>
                <w:szCs w:val="22"/>
              </w:rPr>
              <w:t>Not applicable</w:t>
            </w:r>
          </w:p>
        </w:tc>
        <w:tc>
          <w:tcPr>
            <w:tcW w:w="1530" w:type="dxa"/>
            <w:tcBorders>
              <w:top w:val="nil"/>
              <w:left w:val="nil"/>
              <w:bottom w:val="single" w:sz="4" w:space="0" w:color="auto"/>
              <w:right w:val="nil"/>
            </w:tcBorders>
            <w:shd w:val="clear" w:color="auto" w:fill="auto"/>
            <w:vAlign w:val="bottom"/>
          </w:tcPr>
          <w:p w14:paraId="43EF26D2"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auto"/>
            </w:tcBorders>
            <w:shd w:val="clear" w:color="000000" w:fill="FFFFFF"/>
            <w:noWrap/>
          </w:tcPr>
          <w:p w14:paraId="48B119D5" w14:textId="77777777" w:rsidR="003E7268" w:rsidRPr="00E672CA" w:rsidRDefault="003E7268" w:rsidP="003E7268">
            <w:pPr>
              <w:rPr>
                <w:rFonts w:ascii="Calibri" w:hAnsi="Calibri" w:cs="Calibri"/>
                <w:color w:val="000000"/>
                <w:sz w:val="22"/>
                <w:szCs w:val="22"/>
              </w:rPr>
            </w:pPr>
          </w:p>
        </w:tc>
      </w:tr>
      <w:tr w:rsidR="003E7268" w:rsidRPr="00E672CA" w14:paraId="296A04D0" w14:textId="77777777" w:rsidTr="003E7268">
        <w:trPr>
          <w:trHeight w:val="1151"/>
        </w:trPr>
        <w:tc>
          <w:tcPr>
            <w:tcW w:w="2790" w:type="dxa"/>
            <w:gridSpan w:val="2"/>
            <w:tcBorders>
              <w:top w:val="single" w:sz="4" w:space="0" w:color="auto"/>
              <w:bottom w:val="nil"/>
              <w:right w:val="nil"/>
            </w:tcBorders>
            <w:shd w:val="clear" w:color="auto" w:fill="auto"/>
            <w:noWrap/>
            <w:vAlign w:val="bottom"/>
          </w:tcPr>
          <w:p w14:paraId="4E089187" w14:textId="1828025F" w:rsidR="003E7268" w:rsidRDefault="003A1454" w:rsidP="003E7268">
            <w:pPr>
              <w:rPr>
                <w:rFonts w:ascii="Calibri" w:hAnsi="Calibri" w:cs="Calibri"/>
                <w:b/>
                <w:color w:val="000000"/>
                <w:sz w:val="22"/>
                <w:szCs w:val="22"/>
              </w:rPr>
            </w:pPr>
            <w:r>
              <w:rPr>
                <w:rFonts w:ascii="Calibri" w:hAnsi="Calibri" w:cs="Calibri"/>
                <w:b/>
                <w:color w:val="000000"/>
                <w:sz w:val="22"/>
                <w:szCs w:val="22"/>
              </w:rPr>
              <w:t xml:space="preserve">Likelihood </w:t>
            </w:r>
            <w:r w:rsidR="003E7268">
              <w:rPr>
                <w:rFonts w:ascii="Calibri" w:hAnsi="Calibri" w:cs="Calibri"/>
                <w:b/>
                <w:color w:val="000000"/>
                <w:sz w:val="22"/>
                <w:szCs w:val="22"/>
              </w:rPr>
              <w:t>community water systems with lead service lines already have a lead service line inventory</w:t>
            </w:r>
            <w:r w:rsidR="0093228D">
              <w:rPr>
                <w:rFonts w:ascii="Calibri" w:hAnsi="Calibri" w:cs="Calibri"/>
                <w:b/>
                <w:color w:val="000000"/>
                <w:sz w:val="22"/>
                <w:szCs w:val="22"/>
              </w:rPr>
              <w:t xml:space="preserve"> or demonstration of no lead service lines</w:t>
            </w:r>
          </w:p>
        </w:tc>
        <w:tc>
          <w:tcPr>
            <w:tcW w:w="6570" w:type="dxa"/>
            <w:gridSpan w:val="5"/>
            <w:tcBorders>
              <w:top w:val="single" w:sz="4" w:space="0" w:color="auto"/>
              <w:left w:val="nil"/>
              <w:bottom w:val="nil"/>
            </w:tcBorders>
            <w:shd w:val="clear" w:color="auto" w:fill="auto"/>
            <w:vAlign w:val="bottom"/>
          </w:tcPr>
          <w:p w14:paraId="39C3D909" w14:textId="2A3EB4D5" w:rsidR="003E7268" w:rsidRPr="00E672CA" w:rsidRDefault="003E7268" w:rsidP="003E7268">
            <w:pPr>
              <w:rPr>
                <w:rFonts w:ascii="Calibri" w:hAnsi="Calibri" w:cs="Calibri"/>
                <w:color w:val="000000"/>
                <w:sz w:val="22"/>
                <w:szCs w:val="22"/>
              </w:rPr>
            </w:pPr>
          </w:p>
        </w:tc>
      </w:tr>
      <w:tr w:rsidR="003E7268" w:rsidRPr="00E672CA" w14:paraId="2D4F9A01" w14:textId="77777777" w:rsidTr="00AE14EF">
        <w:trPr>
          <w:trHeight w:val="289"/>
        </w:trPr>
        <w:tc>
          <w:tcPr>
            <w:tcW w:w="2790" w:type="dxa"/>
            <w:gridSpan w:val="2"/>
            <w:tcBorders>
              <w:top w:val="single" w:sz="4" w:space="0" w:color="auto"/>
              <w:bottom w:val="nil"/>
              <w:right w:val="nil"/>
            </w:tcBorders>
            <w:shd w:val="clear" w:color="auto" w:fill="auto"/>
            <w:noWrap/>
            <w:vAlign w:val="bottom"/>
          </w:tcPr>
          <w:p w14:paraId="4A81A265" w14:textId="77777777" w:rsidR="003E7268" w:rsidRDefault="003E7268" w:rsidP="003E7268">
            <w:pPr>
              <w:rPr>
                <w:rFonts w:ascii="Calibri" w:hAnsi="Calibri" w:cs="Calibri"/>
                <w:b/>
                <w:color w:val="000000"/>
                <w:sz w:val="22"/>
                <w:szCs w:val="22"/>
              </w:rPr>
            </w:pPr>
          </w:p>
        </w:tc>
        <w:tc>
          <w:tcPr>
            <w:tcW w:w="3285" w:type="dxa"/>
            <w:gridSpan w:val="4"/>
            <w:tcBorders>
              <w:top w:val="single" w:sz="4" w:space="0" w:color="auto"/>
              <w:left w:val="nil"/>
              <w:bottom w:val="nil"/>
            </w:tcBorders>
            <w:shd w:val="clear" w:color="auto" w:fill="auto"/>
            <w:vAlign w:val="bottom"/>
          </w:tcPr>
          <w:p w14:paraId="19717FE8" w14:textId="22E644E0" w:rsidR="003E7268" w:rsidRDefault="003E7268" w:rsidP="003E7268">
            <w:pPr>
              <w:rPr>
                <w:rFonts w:ascii="Calibri" w:hAnsi="Calibri" w:cs="Calibri"/>
                <w:color w:val="000000"/>
                <w:sz w:val="22"/>
                <w:szCs w:val="22"/>
              </w:rPr>
            </w:pPr>
            <w:r>
              <w:rPr>
                <w:rFonts w:ascii="Calibri" w:hAnsi="Calibri" w:cs="Calibri"/>
                <w:color w:val="000000"/>
                <w:sz w:val="22"/>
                <w:szCs w:val="22"/>
              </w:rPr>
              <w:t>Systems with LSLs</w:t>
            </w:r>
          </w:p>
        </w:tc>
        <w:tc>
          <w:tcPr>
            <w:tcW w:w="3285" w:type="dxa"/>
            <w:tcBorders>
              <w:top w:val="single" w:sz="4" w:space="0" w:color="auto"/>
              <w:left w:val="nil"/>
              <w:bottom w:val="nil"/>
            </w:tcBorders>
            <w:shd w:val="clear" w:color="auto" w:fill="auto"/>
            <w:vAlign w:val="bottom"/>
          </w:tcPr>
          <w:p w14:paraId="6A3FD15C" w14:textId="42AC2805" w:rsidR="003E7268" w:rsidRDefault="003E7268" w:rsidP="003E7268">
            <w:pPr>
              <w:rPr>
                <w:rFonts w:ascii="Calibri" w:hAnsi="Calibri" w:cs="Calibri"/>
                <w:color w:val="000000"/>
                <w:sz w:val="22"/>
                <w:szCs w:val="22"/>
              </w:rPr>
            </w:pPr>
            <w:r>
              <w:rPr>
                <w:rFonts w:ascii="Calibri" w:hAnsi="Calibri" w:cs="Calibri"/>
                <w:color w:val="000000"/>
                <w:sz w:val="22"/>
                <w:szCs w:val="22"/>
              </w:rPr>
              <w:t>Systems without LSLs</w:t>
            </w:r>
          </w:p>
        </w:tc>
      </w:tr>
      <w:tr w:rsidR="003E7268" w:rsidRPr="00E672CA" w14:paraId="3FEE870B"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63477188" w14:textId="61881D15" w:rsidR="003E7268" w:rsidRDefault="003E7268" w:rsidP="003E7268">
            <w:pPr>
              <w:rPr>
                <w:rFonts w:ascii="Calibri" w:hAnsi="Calibri" w:cs="Calibri"/>
                <w:b/>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46DB63AB" w14:textId="3DD0A398" w:rsidR="003E7268" w:rsidRDefault="003E7268" w:rsidP="003E7268">
            <w:pPr>
              <w:rPr>
                <w:rFonts w:ascii="Calibri" w:hAnsi="Calibri" w:cs="Calibri"/>
                <w:b/>
                <w:color w:val="000000"/>
                <w:sz w:val="22"/>
                <w:szCs w:val="22"/>
              </w:rPr>
            </w:pPr>
            <w:r>
              <w:rPr>
                <w:rFonts w:ascii="Calibri" w:hAnsi="Calibri" w:cs="Calibri"/>
                <w:color w:val="000000"/>
                <w:sz w:val="22"/>
                <w:szCs w:val="22"/>
              </w:rPr>
              <w:t>0.18</w:t>
            </w:r>
          </w:p>
        </w:tc>
        <w:tc>
          <w:tcPr>
            <w:tcW w:w="1530" w:type="dxa"/>
            <w:tcBorders>
              <w:top w:val="nil"/>
              <w:left w:val="nil"/>
              <w:bottom w:val="nil"/>
              <w:right w:val="nil"/>
            </w:tcBorders>
            <w:shd w:val="clear" w:color="000000" w:fill="EDEDED"/>
            <w:vAlign w:val="bottom"/>
          </w:tcPr>
          <w:p w14:paraId="698B7B39" w14:textId="77777777" w:rsidR="003E7268" w:rsidRDefault="003E7268" w:rsidP="003E7268">
            <w:pPr>
              <w:rPr>
                <w:rFonts w:ascii="Calibri" w:hAnsi="Calibri" w:cs="Calibri"/>
                <w:b/>
                <w:color w:val="000000"/>
                <w:sz w:val="22"/>
                <w:szCs w:val="22"/>
              </w:rPr>
            </w:pPr>
          </w:p>
        </w:tc>
        <w:tc>
          <w:tcPr>
            <w:tcW w:w="3420" w:type="dxa"/>
            <w:gridSpan w:val="2"/>
            <w:tcBorders>
              <w:top w:val="nil"/>
              <w:left w:val="nil"/>
              <w:bottom w:val="nil"/>
            </w:tcBorders>
            <w:shd w:val="clear" w:color="000000" w:fill="FFFFFF"/>
            <w:noWrap/>
            <w:vAlign w:val="bottom"/>
          </w:tcPr>
          <w:p w14:paraId="27032D53" w14:textId="4AE0D226"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0.18</w:t>
            </w:r>
          </w:p>
        </w:tc>
      </w:tr>
      <w:tr w:rsidR="003E7268" w:rsidRPr="00E672CA" w14:paraId="169FE634"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3CBF8C2F" w14:textId="0820C674"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1B71C317" w14:textId="6C6A0783" w:rsidR="003E7268" w:rsidRDefault="003E7268" w:rsidP="003E7268">
            <w:pPr>
              <w:rPr>
                <w:rFonts w:ascii="Calibri" w:hAnsi="Calibri" w:cs="Calibri"/>
                <w:color w:val="000000"/>
                <w:sz w:val="22"/>
                <w:szCs w:val="22"/>
              </w:rPr>
            </w:pPr>
            <w:r>
              <w:rPr>
                <w:rFonts w:ascii="Calibri" w:hAnsi="Calibri" w:cs="Calibri"/>
                <w:color w:val="000000"/>
                <w:sz w:val="22"/>
                <w:szCs w:val="22"/>
              </w:rPr>
              <w:t>0.18</w:t>
            </w:r>
          </w:p>
        </w:tc>
        <w:tc>
          <w:tcPr>
            <w:tcW w:w="1530" w:type="dxa"/>
            <w:tcBorders>
              <w:top w:val="nil"/>
              <w:left w:val="nil"/>
              <w:bottom w:val="nil"/>
              <w:right w:val="nil"/>
            </w:tcBorders>
            <w:shd w:val="clear" w:color="000000" w:fill="EDEDED"/>
            <w:vAlign w:val="bottom"/>
          </w:tcPr>
          <w:p w14:paraId="7655FEED"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5C21C56E" w14:textId="2DEACEE7"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0.18</w:t>
            </w:r>
          </w:p>
        </w:tc>
      </w:tr>
      <w:tr w:rsidR="003E7268" w:rsidRPr="00E672CA" w14:paraId="6607159C"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0F4F192F" w14:textId="3AAF0F59"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6885CDB4" w14:textId="68EC8C64" w:rsidR="003E7268" w:rsidRDefault="003E7268" w:rsidP="003E7268">
            <w:pPr>
              <w:rPr>
                <w:rFonts w:ascii="Calibri" w:hAnsi="Calibri" w:cs="Calibri"/>
                <w:color w:val="000000"/>
                <w:sz w:val="22"/>
                <w:szCs w:val="22"/>
              </w:rPr>
            </w:pPr>
            <w:r>
              <w:rPr>
                <w:rFonts w:ascii="Calibri" w:hAnsi="Calibri" w:cs="Calibri"/>
                <w:color w:val="000000"/>
                <w:sz w:val="22"/>
                <w:szCs w:val="22"/>
              </w:rPr>
              <w:t>0.19</w:t>
            </w:r>
          </w:p>
        </w:tc>
        <w:tc>
          <w:tcPr>
            <w:tcW w:w="1530" w:type="dxa"/>
            <w:tcBorders>
              <w:top w:val="nil"/>
              <w:left w:val="nil"/>
              <w:bottom w:val="nil"/>
              <w:right w:val="nil"/>
            </w:tcBorders>
            <w:shd w:val="clear" w:color="000000" w:fill="EDEDED"/>
            <w:vAlign w:val="bottom"/>
          </w:tcPr>
          <w:p w14:paraId="703163F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31D57C1C" w14:textId="24103841"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0.19</w:t>
            </w:r>
          </w:p>
        </w:tc>
      </w:tr>
      <w:tr w:rsidR="003E7268" w:rsidRPr="00E672CA" w14:paraId="0FD106C7"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38D500E7" w14:textId="55D2C7F8"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5E9061BA" w14:textId="124E67AA" w:rsidR="003E7268" w:rsidRDefault="003E7268" w:rsidP="003E7268">
            <w:pPr>
              <w:rPr>
                <w:rFonts w:ascii="Calibri" w:hAnsi="Calibri" w:cs="Calibri"/>
                <w:color w:val="000000"/>
                <w:sz w:val="22"/>
                <w:szCs w:val="22"/>
              </w:rPr>
            </w:pPr>
            <w:r>
              <w:rPr>
                <w:rFonts w:ascii="Calibri" w:hAnsi="Calibri" w:cs="Calibri"/>
                <w:color w:val="000000"/>
                <w:sz w:val="22"/>
                <w:szCs w:val="22"/>
              </w:rPr>
              <w:t>0.18</w:t>
            </w:r>
          </w:p>
        </w:tc>
        <w:tc>
          <w:tcPr>
            <w:tcW w:w="1530" w:type="dxa"/>
            <w:tcBorders>
              <w:top w:val="nil"/>
              <w:left w:val="nil"/>
              <w:bottom w:val="nil"/>
              <w:right w:val="nil"/>
            </w:tcBorders>
            <w:shd w:val="clear" w:color="000000" w:fill="EDEDED"/>
            <w:vAlign w:val="bottom"/>
          </w:tcPr>
          <w:p w14:paraId="6402052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3C8D3257" w14:textId="1D4AE244"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0.19</w:t>
            </w:r>
          </w:p>
        </w:tc>
      </w:tr>
      <w:tr w:rsidR="003E7268" w:rsidRPr="00E672CA" w14:paraId="71B3DCDE"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60FDCB98" w14:textId="64EB8DD1"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0378751E" w14:textId="3BAC7972" w:rsidR="003E7268" w:rsidRDefault="003E7268" w:rsidP="003E7268">
            <w:pPr>
              <w:rPr>
                <w:rFonts w:ascii="Calibri" w:hAnsi="Calibri" w:cs="Calibri"/>
                <w:color w:val="000000"/>
                <w:sz w:val="22"/>
                <w:szCs w:val="22"/>
              </w:rPr>
            </w:pPr>
            <w:r>
              <w:rPr>
                <w:rFonts w:ascii="Calibri" w:hAnsi="Calibri" w:cs="Calibri"/>
                <w:color w:val="000000"/>
                <w:sz w:val="22"/>
                <w:szCs w:val="22"/>
              </w:rPr>
              <w:t>0.2</w:t>
            </w:r>
          </w:p>
        </w:tc>
        <w:tc>
          <w:tcPr>
            <w:tcW w:w="1530" w:type="dxa"/>
            <w:tcBorders>
              <w:top w:val="nil"/>
              <w:left w:val="nil"/>
              <w:bottom w:val="nil"/>
              <w:right w:val="nil"/>
            </w:tcBorders>
            <w:shd w:val="clear" w:color="000000" w:fill="EDEDED"/>
            <w:vAlign w:val="bottom"/>
          </w:tcPr>
          <w:p w14:paraId="3F31ACC8"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6FBE46ED" w14:textId="5CD71D93"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0.20</w:t>
            </w:r>
          </w:p>
        </w:tc>
      </w:tr>
      <w:tr w:rsidR="003E7268" w:rsidRPr="00E672CA" w14:paraId="2BE83A9F"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1C2D2AB6" w14:textId="62BBE12E"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0BCC378D" w14:textId="5CBA8896" w:rsidR="003E7268" w:rsidRDefault="003E7268" w:rsidP="003E7268">
            <w:pPr>
              <w:rPr>
                <w:rFonts w:ascii="Calibri" w:hAnsi="Calibri" w:cs="Calibri"/>
                <w:color w:val="000000"/>
                <w:sz w:val="22"/>
                <w:szCs w:val="22"/>
              </w:rPr>
            </w:pPr>
            <w:r>
              <w:rPr>
                <w:rFonts w:ascii="Calibri" w:hAnsi="Calibri" w:cs="Calibri"/>
                <w:color w:val="000000"/>
                <w:sz w:val="22"/>
                <w:szCs w:val="22"/>
              </w:rPr>
              <w:t>0.25</w:t>
            </w:r>
          </w:p>
        </w:tc>
        <w:tc>
          <w:tcPr>
            <w:tcW w:w="1530" w:type="dxa"/>
            <w:tcBorders>
              <w:top w:val="nil"/>
              <w:left w:val="nil"/>
              <w:bottom w:val="nil"/>
              <w:right w:val="nil"/>
            </w:tcBorders>
            <w:shd w:val="clear" w:color="000000" w:fill="EDEDED"/>
            <w:vAlign w:val="bottom"/>
          </w:tcPr>
          <w:p w14:paraId="347BCEE0"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0CBC3920" w14:textId="43966632"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0.25</w:t>
            </w:r>
          </w:p>
        </w:tc>
      </w:tr>
      <w:tr w:rsidR="003E7268" w:rsidRPr="00E672CA" w14:paraId="280405F0"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071DAFDF" w14:textId="7B16CB63"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18F0A3C7" w14:textId="3485A08F" w:rsidR="003E7268" w:rsidRDefault="003E7268" w:rsidP="003E7268">
            <w:pPr>
              <w:rPr>
                <w:rFonts w:ascii="Calibri" w:hAnsi="Calibri" w:cs="Calibri"/>
                <w:color w:val="000000"/>
                <w:sz w:val="22"/>
                <w:szCs w:val="22"/>
              </w:rPr>
            </w:pPr>
            <w:r>
              <w:rPr>
                <w:rFonts w:ascii="Calibri" w:hAnsi="Calibri" w:cs="Calibri"/>
                <w:color w:val="000000"/>
                <w:sz w:val="22"/>
                <w:szCs w:val="22"/>
              </w:rPr>
              <w:t>0.31</w:t>
            </w:r>
          </w:p>
        </w:tc>
        <w:tc>
          <w:tcPr>
            <w:tcW w:w="1530" w:type="dxa"/>
            <w:tcBorders>
              <w:top w:val="nil"/>
              <w:left w:val="nil"/>
              <w:bottom w:val="nil"/>
              <w:right w:val="nil"/>
            </w:tcBorders>
            <w:shd w:val="clear" w:color="000000" w:fill="EDEDED"/>
            <w:vAlign w:val="bottom"/>
          </w:tcPr>
          <w:p w14:paraId="62C7D1BF"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26C67F07" w14:textId="7BDB652D"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0.32</w:t>
            </w:r>
          </w:p>
        </w:tc>
      </w:tr>
      <w:tr w:rsidR="003E7268" w:rsidRPr="00E672CA" w14:paraId="2038970A"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3D648C39" w14:textId="056D50B7"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55643DD9" w14:textId="4DBE29E3" w:rsidR="003E7268" w:rsidRDefault="003E7268" w:rsidP="003E7268">
            <w:pPr>
              <w:rPr>
                <w:rFonts w:ascii="Calibri" w:hAnsi="Calibri" w:cs="Calibri"/>
                <w:color w:val="000000"/>
                <w:sz w:val="22"/>
                <w:szCs w:val="22"/>
              </w:rPr>
            </w:pPr>
            <w:r>
              <w:rPr>
                <w:rFonts w:ascii="Calibri" w:hAnsi="Calibri" w:cs="Calibri"/>
                <w:color w:val="000000"/>
                <w:sz w:val="22"/>
                <w:szCs w:val="22"/>
              </w:rPr>
              <w:t>0.31</w:t>
            </w:r>
          </w:p>
        </w:tc>
        <w:tc>
          <w:tcPr>
            <w:tcW w:w="1530" w:type="dxa"/>
            <w:tcBorders>
              <w:top w:val="nil"/>
              <w:left w:val="nil"/>
              <w:bottom w:val="nil"/>
              <w:right w:val="nil"/>
            </w:tcBorders>
            <w:shd w:val="clear" w:color="000000" w:fill="EDEDED"/>
            <w:vAlign w:val="bottom"/>
          </w:tcPr>
          <w:p w14:paraId="01A59131"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47BFB2BB" w14:textId="2AC56776"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0.33</w:t>
            </w:r>
          </w:p>
        </w:tc>
      </w:tr>
      <w:tr w:rsidR="003E7268" w:rsidRPr="00E672CA" w14:paraId="2649E335"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3607172D" w14:textId="76139417"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1620" w:type="dxa"/>
            <w:gridSpan w:val="2"/>
            <w:tcBorders>
              <w:top w:val="nil"/>
              <w:left w:val="single" w:sz="4" w:space="0" w:color="auto"/>
              <w:bottom w:val="nil"/>
              <w:right w:val="nil"/>
            </w:tcBorders>
            <w:shd w:val="clear" w:color="000000" w:fill="EDEDED"/>
            <w:vAlign w:val="bottom"/>
          </w:tcPr>
          <w:p w14:paraId="4910EA32" w14:textId="682532F6" w:rsidR="003E7268" w:rsidRDefault="003E7268" w:rsidP="003E7268">
            <w:pPr>
              <w:rPr>
                <w:rFonts w:ascii="Calibri" w:hAnsi="Calibri" w:cs="Calibri"/>
                <w:color w:val="000000"/>
                <w:sz w:val="22"/>
                <w:szCs w:val="22"/>
              </w:rPr>
            </w:pPr>
            <w:r>
              <w:rPr>
                <w:rFonts w:ascii="Calibri" w:hAnsi="Calibri" w:cs="Calibri"/>
                <w:color w:val="000000"/>
                <w:sz w:val="22"/>
                <w:szCs w:val="22"/>
              </w:rPr>
              <w:t>0.32</w:t>
            </w:r>
          </w:p>
        </w:tc>
        <w:tc>
          <w:tcPr>
            <w:tcW w:w="1530" w:type="dxa"/>
            <w:tcBorders>
              <w:top w:val="nil"/>
              <w:left w:val="nil"/>
              <w:bottom w:val="nil"/>
              <w:right w:val="nil"/>
            </w:tcBorders>
            <w:shd w:val="clear" w:color="000000" w:fill="EDEDED"/>
            <w:vAlign w:val="bottom"/>
          </w:tcPr>
          <w:p w14:paraId="28F559A1"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677C4AAE" w14:textId="721ED3EF"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0.32</w:t>
            </w:r>
          </w:p>
        </w:tc>
      </w:tr>
      <w:tr w:rsidR="003E7268" w:rsidRPr="00E672CA" w14:paraId="47A1C120"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4DCA8FDF" w14:textId="02E97785"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6EFE3D2B" w14:textId="244999B0" w:rsidR="003E7268" w:rsidRDefault="003E7268" w:rsidP="003E7268">
            <w:pPr>
              <w:rPr>
                <w:rFonts w:ascii="Calibri" w:hAnsi="Calibri" w:cs="Calibri"/>
                <w:color w:val="000000"/>
                <w:sz w:val="22"/>
                <w:szCs w:val="22"/>
              </w:rPr>
            </w:pPr>
            <w:r>
              <w:rPr>
                <w:rFonts w:ascii="Calibri" w:hAnsi="Calibri" w:cs="Calibri"/>
                <w:color w:val="000000"/>
                <w:sz w:val="22"/>
                <w:szCs w:val="22"/>
              </w:rPr>
              <w:t>0.27</w:t>
            </w:r>
          </w:p>
        </w:tc>
        <w:tc>
          <w:tcPr>
            <w:tcW w:w="1530" w:type="dxa"/>
            <w:tcBorders>
              <w:top w:val="nil"/>
              <w:left w:val="nil"/>
              <w:bottom w:val="nil"/>
              <w:right w:val="nil"/>
            </w:tcBorders>
            <w:shd w:val="clear" w:color="000000" w:fill="EDEDED"/>
            <w:vAlign w:val="bottom"/>
          </w:tcPr>
          <w:p w14:paraId="2A7D8EB0"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2DD7B75A" w14:textId="23B56F43"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0.27</w:t>
            </w:r>
          </w:p>
        </w:tc>
      </w:tr>
      <w:tr w:rsidR="003E7268" w:rsidRPr="00E672CA" w14:paraId="09D92996"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5109591E" w14:textId="519AE136"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6EACAE2F" w14:textId="3699A8DD" w:rsidR="003E7268" w:rsidRDefault="003E7268" w:rsidP="003E7268">
            <w:pPr>
              <w:rPr>
                <w:rFonts w:ascii="Calibri" w:hAnsi="Calibri" w:cs="Calibri"/>
                <w:color w:val="000000"/>
                <w:sz w:val="22"/>
                <w:szCs w:val="22"/>
              </w:rPr>
            </w:pPr>
            <w:r>
              <w:rPr>
                <w:rFonts w:ascii="Calibri" w:hAnsi="Calibri" w:cs="Calibri"/>
                <w:color w:val="000000"/>
                <w:sz w:val="22"/>
                <w:szCs w:val="22"/>
              </w:rPr>
              <w:t>0.26</w:t>
            </w:r>
          </w:p>
        </w:tc>
        <w:tc>
          <w:tcPr>
            <w:tcW w:w="1530" w:type="dxa"/>
            <w:tcBorders>
              <w:top w:val="nil"/>
              <w:left w:val="nil"/>
              <w:bottom w:val="nil"/>
              <w:right w:val="nil"/>
            </w:tcBorders>
            <w:shd w:val="clear" w:color="000000" w:fill="EDEDED"/>
            <w:vAlign w:val="bottom"/>
          </w:tcPr>
          <w:p w14:paraId="71A33C8E"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1E56FA9D" w14:textId="027A2580"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0.26</w:t>
            </w:r>
          </w:p>
        </w:tc>
      </w:tr>
      <w:tr w:rsidR="003E7268" w:rsidRPr="00E672CA" w14:paraId="6D36BF15"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7404DFD8" w14:textId="3DBEC1CA"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7A0C506F" w14:textId="3FEFFB67" w:rsidR="003E7268" w:rsidRDefault="003E7268" w:rsidP="003E7268">
            <w:pPr>
              <w:rPr>
                <w:rFonts w:ascii="Calibri" w:hAnsi="Calibri" w:cs="Calibri"/>
                <w:color w:val="000000"/>
                <w:sz w:val="22"/>
                <w:szCs w:val="22"/>
              </w:rPr>
            </w:pPr>
            <w:r>
              <w:rPr>
                <w:rFonts w:ascii="Calibri" w:hAnsi="Calibri" w:cs="Calibri"/>
                <w:color w:val="000000"/>
                <w:sz w:val="22"/>
                <w:szCs w:val="22"/>
              </w:rPr>
              <w:t>0.25</w:t>
            </w:r>
          </w:p>
        </w:tc>
        <w:tc>
          <w:tcPr>
            <w:tcW w:w="1530" w:type="dxa"/>
            <w:tcBorders>
              <w:top w:val="nil"/>
              <w:left w:val="nil"/>
              <w:bottom w:val="nil"/>
              <w:right w:val="nil"/>
            </w:tcBorders>
            <w:shd w:val="clear" w:color="000000" w:fill="EDEDED"/>
            <w:vAlign w:val="bottom"/>
          </w:tcPr>
          <w:p w14:paraId="4576B2FA"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75BCF603" w14:textId="22FD4FE8"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0.26</w:t>
            </w:r>
          </w:p>
        </w:tc>
      </w:tr>
      <w:tr w:rsidR="003E7268" w:rsidRPr="00E672CA" w14:paraId="0FF448A8"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39CDD2BB" w14:textId="5A1D45D0"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281A3430" w14:textId="748C8571" w:rsidR="003E7268" w:rsidRDefault="003E7268" w:rsidP="003E7268">
            <w:pPr>
              <w:rPr>
                <w:rFonts w:ascii="Calibri" w:hAnsi="Calibri" w:cs="Calibri"/>
                <w:color w:val="000000"/>
                <w:sz w:val="22"/>
                <w:szCs w:val="22"/>
              </w:rPr>
            </w:pPr>
            <w:r>
              <w:rPr>
                <w:rFonts w:ascii="Calibri" w:hAnsi="Calibri" w:cs="Calibri"/>
                <w:color w:val="000000"/>
                <w:sz w:val="22"/>
                <w:szCs w:val="22"/>
              </w:rPr>
              <w:t>0.2</w:t>
            </w:r>
          </w:p>
        </w:tc>
        <w:tc>
          <w:tcPr>
            <w:tcW w:w="1530" w:type="dxa"/>
            <w:tcBorders>
              <w:top w:val="nil"/>
              <w:left w:val="nil"/>
              <w:bottom w:val="nil"/>
              <w:right w:val="nil"/>
            </w:tcBorders>
            <w:shd w:val="clear" w:color="000000" w:fill="EDEDED"/>
            <w:vAlign w:val="bottom"/>
          </w:tcPr>
          <w:p w14:paraId="1050F0A1"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0C2C0624" w14:textId="6AEF37CB"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0.20</w:t>
            </w:r>
          </w:p>
        </w:tc>
      </w:tr>
      <w:tr w:rsidR="003E7268" w:rsidRPr="00E672CA" w14:paraId="28E6CFF6"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08815AB0" w14:textId="300C17D4"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6580BD05" w14:textId="4DE836E3" w:rsidR="003E7268" w:rsidRDefault="003E7268" w:rsidP="003E7268">
            <w:pPr>
              <w:rPr>
                <w:rFonts w:ascii="Calibri" w:hAnsi="Calibri" w:cs="Calibri"/>
                <w:color w:val="000000"/>
                <w:sz w:val="22"/>
                <w:szCs w:val="22"/>
              </w:rPr>
            </w:pPr>
            <w:r>
              <w:rPr>
                <w:rFonts w:ascii="Calibri" w:hAnsi="Calibri" w:cs="Calibri"/>
                <w:color w:val="000000"/>
                <w:sz w:val="22"/>
                <w:szCs w:val="22"/>
              </w:rPr>
              <w:t>0.17</w:t>
            </w:r>
          </w:p>
        </w:tc>
        <w:tc>
          <w:tcPr>
            <w:tcW w:w="1530" w:type="dxa"/>
            <w:tcBorders>
              <w:top w:val="nil"/>
              <w:left w:val="nil"/>
              <w:bottom w:val="nil"/>
              <w:right w:val="nil"/>
            </w:tcBorders>
            <w:shd w:val="clear" w:color="000000" w:fill="EDEDED"/>
            <w:vAlign w:val="bottom"/>
          </w:tcPr>
          <w:p w14:paraId="16E053A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36F67B59" w14:textId="763C66A5"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0.18</w:t>
            </w:r>
          </w:p>
        </w:tc>
      </w:tr>
      <w:tr w:rsidR="003E7268" w:rsidRPr="00E672CA" w14:paraId="340BC14A"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4B26BFDA" w14:textId="5AFADCA2"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289AF5E6" w14:textId="608E7F99" w:rsidR="003E7268" w:rsidRDefault="003E7268" w:rsidP="003E7268">
            <w:pPr>
              <w:rPr>
                <w:rFonts w:ascii="Calibri" w:hAnsi="Calibri" w:cs="Calibri"/>
                <w:color w:val="000000"/>
                <w:sz w:val="22"/>
                <w:szCs w:val="22"/>
              </w:rPr>
            </w:pPr>
            <w:r>
              <w:rPr>
                <w:rFonts w:ascii="Calibri" w:hAnsi="Calibri" w:cs="Calibri"/>
                <w:color w:val="000000"/>
                <w:sz w:val="22"/>
                <w:szCs w:val="22"/>
              </w:rPr>
              <w:t>0.19</w:t>
            </w:r>
          </w:p>
        </w:tc>
        <w:tc>
          <w:tcPr>
            <w:tcW w:w="1530" w:type="dxa"/>
            <w:tcBorders>
              <w:top w:val="nil"/>
              <w:left w:val="nil"/>
              <w:bottom w:val="nil"/>
              <w:right w:val="nil"/>
            </w:tcBorders>
            <w:shd w:val="clear" w:color="000000" w:fill="EDEDED"/>
            <w:vAlign w:val="bottom"/>
          </w:tcPr>
          <w:p w14:paraId="5BD83B04"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115CE6B7" w14:textId="063ACA8C"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0.19</w:t>
            </w:r>
          </w:p>
        </w:tc>
      </w:tr>
      <w:tr w:rsidR="003E7268" w:rsidRPr="00E672CA" w14:paraId="51110E1D"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4E3104E7" w14:textId="64EF0AAA"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4995F486" w14:textId="55C20851" w:rsidR="003E7268" w:rsidRDefault="003E7268" w:rsidP="003E7268">
            <w:pPr>
              <w:rPr>
                <w:rFonts w:ascii="Calibri" w:hAnsi="Calibri" w:cs="Calibri"/>
                <w:color w:val="000000"/>
                <w:sz w:val="22"/>
                <w:szCs w:val="22"/>
              </w:rPr>
            </w:pPr>
            <w:r>
              <w:rPr>
                <w:rFonts w:ascii="Calibri" w:hAnsi="Calibri" w:cs="Calibri"/>
                <w:color w:val="000000"/>
                <w:sz w:val="22"/>
                <w:szCs w:val="22"/>
              </w:rPr>
              <w:t>0.05</w:t>
            </w:r>
          </w:p>
        </w:tc>
        <w:tc>
          <w:tcPr>
            <w:tcW w:w="1530" w:type="dxa"/>
            <w:tcBorders>
              <w:top w:val="nil"/>
              <w:left w:val="nil"/>
              <w:bottom w:val="nil"/>
              <w:right w:val="nil"/>
            </w:tcBorders>
            <w:shd w:val="clear" w:color="000000" w:fill="EDEDED"/>
            <w:vAlign w:val="bottom"/>
          </w:tcPr>
          <w:p w14:paraId="18D29405"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61854766" w14:textId="1879010D"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0.05</w:t>
            </w:r>
          </w:p>
        </w:tc>
      </w:tr>
      <w:tr w:rsidR="003E7268" w:rsidRPr="00E672CA" w14:paraId="625F0A48"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5517FE61" w14:textId="41791777"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1486C135" w14:textId="0FC5EF4F" w:rsidR="003E7268" w:rsidRDefault="003E7268" w:rsidP="003E7268">
            <w:pPr>
              <w:rPr>
                <w:rFonts w:ascii="Calibri" w:hAnsi="Calibri" w:cs="Calibri"/>
                <w:color w:val="000000"/>
                <w:sz w:val="22"/>
                <w:szCs w:val="22"/>
              </w:rPr>
            </w:pPr>
            <w:r>
              <w:rPr>
                <w:rFonts w:ascii="Calibri" w:hAnsi="Calibri" w:cs="Calibri"/>
                <w:color w:val="000000"/>
                <w:sz w:val="22"/>
                <w:szCs w:val="22"/>
              </w:rPr>
              <w:t>0.05</w:t>
            </w:r>
          </w:p>
        </w:tc>
        <w:tc>
          <w:tcPr>
            <w:tcW w:w="1530" w:type="dxa"/>
            <w:tcBorders>
              <w:top w:val="nil"/>
              <w:left w:val="nil"/>
              <w:bottom w:val="nil"/>
              <w:right w:val="nil"/>
            </w:tcBorders>
            <w:shd w:val="clear" w:color="000000" w:fill="EDEDED"/>
            <w:vAlign w:val="bottom"/>
          </w:tcPr>
          <w:p w14:paraId="10AECC4C"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1CE0425F" w14:textId="752A1F4B"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0.05</w:t>
            </w:r>
          </w:p>
        </w:tc>
      </w:tr>
      <w:tr w:rsidR="003E7268" w:rsidRPr="00E672CA" w14:paraId="13223D47" w14:textId="77777777" w:rsidTr="0028475A">
        <w:trPr>
          <w:trHeight w:val="289"/>
        </w:trPr>
        <w:tc>
          <w:tcPr>
            <w:tcW w:w="2790" w:type="dxa"/>
            <w:gridSpan w:val="2"/>
            <w:tcBorders>
              <w:top w:val="nil"/>
              <w:bottom w:val="nil"/>
              <w:right w:val="single" w:sz="4" w:space="0" w:color="auto"/>
            </w:tcBorders>
            <w:shd w:val="clear" w:color="000000" w:fill="EDEDED"/>
            <w:noWrap/>
            <w:vAlign w:val="bottom"/>
          </w:tcPr>
          <w:p w14:paraId="20C09749" w14:textId="5D8605CC"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1620" w:type="dxa"/>
            <w:gridSpan w:val="2"/>
            <w:tcBorders>
              <w:top w:val="nil"/>
              <w:left w:val="single" w:sz="4" w:space="0" w:color="auto"/>
              <w:bottom w:val="nil"/>
              <w:right w:val="nil"/>
            </w:tcBorders>
            <w:shd w:val="clear" w:color="000000" w:fill="EDEDED"/>
            <w:vAlign w:val="bottom"/>
          </w:tcPr>
          <w:p w14:paraId="1778A1FD" w14:textId="42D392CF" w:rsidR="003E7268" w:rsidRDefault="003E7268" w:rsidP="003E7268">
            <w:pPr>
              <w:rPr>
                <w:rFonts w:ascii="Calibri" w:hAnsi="Calibri" w:cs="Calibri"/>
                <w:color w:val="000000"/>
                <w:sz w:val="22"/>
                <w:szCs w:val="22"/>
              </w:rPr>
            </w:pPr>
            <w:r>
              <w:rPr>
                <w:rFonts w:ascii="Calibri" w:hAnsi="Calibri" w:cs="Calibri"/>
                <w:color w:val="000000"/>
                <w:sz w:val="22"/>
                <w:szCs w:val="22"/>
              </w:rPr>
              <w:t>Not applicable</w:t>
            </w:r>
          </w:p>
        </w:tc>
        <w:tc>
          <w:tcPr>
            <w:tcW w:w="1530" w:type="dxa"/>
            <w:tcBorders>
              <w:top w:val="nil"/>
              <w:left w:val="nil"/>
              <w:bottom w:val="nil"/>
              <w:right w:val="nil"/>
            </w:tcBorders>
            <w:shd w:val="clear" w:color="000000" w:fill="EDEDED"/>
            <w:vAlign w:val="bottom"/>
          </w:tcPr>
          <w:p w14:paraId="09EB31EB"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vAlign w:val="bottom"/>
          </w:tcPr>
          <w:p w14:paraId="1EE6B108" w14:textId="4D7470BF" w:rsidR="003E7268" w:rsidRPr="00E672CA" w:rsidRDefault="003E7268" w:rsidP="003E7268">
            <w:pPr>
              <w:rPr>
                <w:rFonts w:ascii="Calibri" w:hAnsi="Calibri" w:cs="Calibri"/>
                <w:color w:val="000000"/>
                <w:sz w:val="22"/>
                <w:szCs w:val="22"/>
              </w:rPr>
            </w:pPr>
            <w:r>
              <w:rPr>
                <w:rFonts w:ascii="Calibri" w:hAnsi="Calibri" w:cs="Calibri"/>
                <w:color w:val="000000"/>
                <w:sz w:val="22"/>
                <w:szCs w:val="22"/>
              </w:rPr>
              <w:t>Not applicable</w:t>
            </w:r>
          </w:p>
        </w:tc>
      </w:tr>
      <w:tr w:rsidR="003E7268" w:rsidRPr="00E672CA" w14:paraId="7B983199" w14:textId="77777777" w:rsidTr="006826AC">
        <w:trPr>
          <w:trHeight w:val="289"/>
        </w:trPr>
        <w:tc>
          <w:tcPr>
            <w:tcW w:w="2790" w:type="dxa"/>
            <w:gridSpan w:val="2"/>
            <w:tcBorders>
              <w:top w:val="single" w:sz="4" w:space="0" w:color="000000"/>
              <w:bottom w:val="nil"/>
              <w:right w:val="nil"/>
            </w:tcBorders>
            <w:shd w:val="clear" w:color="auto" w:fill="auto"/>
            <w:noWrap/>
          </w:tcPr>
          <w:p w14:paraId="7B9E349A" w14:textId="77777777" w:rsidR="003E7268" w:rsidRDefault="003E7268" w:rsidP="003E7268">
            <w:pPr>
              <w:rPr>
                <w:rFonts w:ascii="Calibri" w:hAnsi="Calibri" w:cs="Calibri"/>
                <w:color w:val="000000"/>
                <w:sz w:val="22"/>
                <w:szCs w:val="22"/>
              </w:rPr>
            </w:pPr>
            <w:r>
              <w:rPr>
                <w:rFonts w:ascii="Calibri" w:hAnsi="Calibri" w:cs="Calibri"/>
                <w:b/>
                <w:color w:val="000000"/>
                <w:sz w:val="22"/>
                <w:szCs w:val="22"/>
              </w:rPr>
              <w:t>Estimated hours per system for staff to demonstrate that the system has no lead service lines</w:t>
            </w:r>
          </w:p>
        </w:tc>
        <w:tc>
          <w:tcPr>
            <w:tcW w:w="1620" w:type="dxa"/>
            <w:gridSpan w:val="2"/>
            <w:tcBorders>
              <w:top w:val="single" w:sz="4" w:space="0" w:color="000000"/>
              <w:left w:val="nil"/>
              <w:bottom w:val="nil"/>
              <w:right w:val="nil"/>
            </w:tcBorders>
            <w:shd w:val="clear" w:color="auto" w:fill="auto"/>
            <w:vAlign w:val="bottom"/>
          </w:tcPr>
          <w:p w14:paraId="7F54FBAA" w14:textId="77777777" w:rsidR="003E7268" w:rsidRDefault="003E7268" w:rsidP="003E7268">
            <w:pPr>
              <w:rPr>
                <w:rFonts w:ascii="Calibri" w:hAnsi="Calibri" w:cs="Calibri"/>
                <w:color w:val="000000"/>
                <w:sz w:val="22"/>
                <w:szCs w:val="22"/>
              </w:rPr>
            </w:pPr>
          </w:p>
        </w:tc>
        <w:tc>
          <w:tcPr>
            <w:tcW w:w="1530" w:type="dxa"/>
            <w:tcBorders>
              <w:top w:val="single" w:sz="4" w:space="0" w:color="000000"/>
              <w:left w:val="nil"/>
              <w:bottom w:val="nil"/>
              <w:right w:val="nil"/>
            </w:tcBorders>
            <w:shd w:val="clear" w:color="auto" w:fill="auto"/>
            <w:vAlign w:val="bottom"/>
          </w:tcPr>
          <w:p w14:paraId="7A47B58B" w14:textId="77777777" w:rsidR="003E7268" w:rsidRDefault="003E7268" w:rsidP="003E7268">
            <w:pPr>
              <w:rPr>
                <w:rFonts w:ascii="Calibri" w:hAnsi="Calibri" w:cs="Calibri"/>
                <w:color w:val="000000"/>
                <w:sz w:val="22"/>
                <w:szCs w:val="22"/>
              </w:rPr>
            </w:pPr>
          </w:p>
        </w:tc>
        <w:tc>
          <w:tcPr>
            <w:tcW w:w="3420" w:type="dxa"/>
            <w:gridSpan w:val="2"/>
            <w:tcBorders>
              <w:top w:val="single" w:sz="4" w:space="0" w:color="000000"/>
              <w:left w:val="nil"/>
              <w:bottom w:val="nil"/>
            </w:tcBorders>
            <w:shd w:val="clear" w:color="000000" w:fill="FFFFFF"/>
            <w:noWrap/>
          </w:tcPr>
          <w:p w14:paraId="2C0CA164" w14:textId="77777777" w:rsidR="003E7268" w:rsidRPr="00E672CA" w:rsidRDefault="003E7268" w:rsidP="003E7268">
            <w:pPr>
              <w:rPr>
                <w:rFonts w:ascii="Calibri" w:hAnsi="Calibri" w:cs="Calibri"/>
                <w:color w:val="000000"/>
                <w:sz w:val="22"/>
                <w:szCs w:val="22"/>
              </w:rPr>
            </w:pPr>
          </w:p>
        </w:tc>
      </w:tr>
      <w:tr w:rsidR="003E7268" w:rsidRPr="00E672CA" w14:paraId="6C521222" w14:textId="77777777" w:rsidTr="006826AC">
        <w:trPr>
          <w:trHeight w:val="289"/>
        </w:trPr>
        <w:tc>
          <w:tcPr>
            <w:tcW w:w="2790" w:type="dxa"/>
            <w:gridSpan w:val="2"/>
            <w:tcBorders>
              <w:top w:val="nil"/>
              <w:bottom w:val="nil"/>
              <w:right w:val="nil"/>
            </w:tcBorders>
            <w:shd w:val="clear" w:color="000000" w:fill="EDEDED"/>
            <w:noWrap/>
            <w:vAlign w:val="bottom"/>
          </w:tcPr>
          <w:p w14:paraId="18B3A43C" w14:textId="7620E3E7"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3EB049C5" w14:textId="66D3FB45"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0C0AD858"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171A7047" w14:textId="77777777" w:rsidR="003E7268" w:rsidRPr="00E672CA" w:rsidRDefault="003E7268" w:rsidP="003E7268">
            <w:pPr>
              <w:rPr>
                <w:rFonts w:ascii="Calibri" w:hAnsi="Calibri" w:cs="Calibri"/>
                <w:color w:val="000000"/>
                <w:sz w:val="22"/>
                <w:szCs w:val="22"/>
              </w:rPr>
            </w:pPr>
          </w:p>
        </w:tc>
      </w:tr>
      <w:tr w:rsidR="003E7268" w:rsidRPr="00E672CA" w14:paraId="5DC19185" w14:textId="77777777" w:rsidTr="006826AC">
        <w:trPr>
          <w:trHeight w:val="289"/>
        </w:trPr>
        <w:tc>
          <w:tcPr>
            <w:tcW w:w="2790" w:type="dxa"/>
            <w:gridSpan w:val="2"/>
            <w:tcBorders>
              <w:top w:val="nil"/>
              <w:bottom w:val="nil"/>
              <w:right w:val="nil"/>
            </w:tcBorders>
            <w:shd w:val="clear" w:color="000000" w:fill="EDEDED"/>
            <w:noWrap/>
            <w:vAlign w:val="bottom"/>
          </w:tcPr>
          <w:p w14:paraId="238E80FD" w14:textId="6D5B64B3"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2CF72D46" w14:textId="663310AD"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21909539"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42B9676D" w14:textId="77777777" w:rsidR="003E7268" w:rsidRPr="00E672CA" w:rsidRDefault="003E7268" w:rsidP="003E7268">
            <w:pPr>
              <w:rPr>
                <w:rFonts w:ascii="Calibri" w:hAnsi="Calibri" w:cs="Calibri"/>
                <w:color w:val="000000"/>
                <w:sz w:val="22"/>
                <w:szCs w:val="22"/>
              </w:rPr>
            </w:pPr>
          </w:p>
        </w:tc>
      </w:tr>
      <w:tr w:rsidR="003E7268" w:rsidRPr="00E672CA" w14:paraId="179914D4" w14:textId="77777777" w:rsidTr="006826AC">
        <w:trPr>
          <w:trHeight w:val="289"/>
        </w:trPr>
        <w:tc>
          <w:tcPr>
            <w:tcW w:w="2790" w:type="dxa"/>
            <w:gridSpan w:val="2"/>
            <w:tcBorders>
              <w:top w:val="nil"/>
              <w:bottom w:val="nil"/>
              <w:right w:val="nil"/>
            </w:tcBorders>
            <w:shd w:val="clear" w:color="000000" w:fill="EDEDED"/>
            <w:noWrap/>
            <w:vAlign w:val="bottom"/>
          </w:tcPr>
          <w:p w14:paraId="65F87BBF" w14:textId="50139B2F"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08B045D3" w14:textId="1B3527DA"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6D7377A8"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1C2573B" w14:textId="77777777" w:rsidR="003E7268" w:rsidRPr="00E672CA" w:rsidRDefault="003E7268" w:rsidP="003E7268">
            <w:pPr>
              <w:rPr>
                <w:rFonts w:ascii="Calibri" w:hAnsi="Calibri" w:cs="Calibri"/>
                <w:color w:val="000000"/>
                <w:sz w:val="22"/>
                <w:szCs w:val="22"/>
              </w:rPr>
            </w:pPr>
          </w:p>
        </w:tc>
      </w:tr>
      <w:tr w:rsidR="003E7268" w:rsidRPr="00E672CA" w14:paraId="14C9C14C" w14:textId="77777777" w:rsidTr="006826AC">
        <w:trPr>
          <w:trHeight w:val="289"/>
        </w:trPr>
        <w:tc>
          <w:tcPr>
            <w:tcW w:w="2790" w:type="dxa"/>
            <w:gridSpan w:val="2"/>
            <w:tcBorders>
              <w:top w:val="nil"/>
              <w:bottom w:val="nil"/>
              <w:right w:val="nil"/>
            </w:tcBorders>
            <w:shd w:val="clear" w:color="000000" w:fill="EDEDED"/>
            <w:noWrap/>
            <w:vAlign w:val="bottom"/>
          </w:tcPr>
          <w:p w14:paraId="66C0CACE" w14:textId="61469E80"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0D311DC0" w14:textId="6D3B7934"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304F0B38"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636E2D39" w14:textId="77777777" w:rsidR="003E7268" w:rsidRPr="00E672CA" w:rsidRDefault="003E7268" w:rsidP="003E7268">
            <w:pPr>
              <w:rPr>
                <w:rFonts w:ascii="Calibri" w:hAnsi="Calibri" w:cs="Calibri"/>
                <w:color w:val="000000"/>
                <w:sz w:val="22"/>
                <w:szCs w:val="22"/>
              </w:rPr>
            </w:pPr>
          </w:p>
        </w:tc>
      </w:tr>
      <w:tr w:rsidR="003E7268" w:rsidRPr="00E672CA" w14:paraId="487450F0" w14:textId="77777777" w:rsidTr="006826AC">
        <w:trPr>
          <w:trHeight w:val="289"/>
        </w:trPr>
        <w:tc>
          <w:tcPr>
            <w:tcW w:w="2790" w:type="dxa"/>
            <w:gridSpan w:val="2"/>
            <w:tcBorders>
              <w:top w:val="nil"/>
              <w:bottom w:val="nil"/>
              <w:right w:val="nil"/>
            </w:tcBorders>
            <w:shd w:val="clear" w:color="000000" w:fill="EDEDED"/>
            <w:noWrap/>
            <w:vAlign w:val="bottom"/>
          </w:tcPr>
          <w:p w14:paraId="1B092F11" w14:textId="1DA59E87"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4A5F6A54" w14:textId="75BF6467" w:rsidR="003E7268" w:rsidRDefault="003E7268" w:rsidP="003E7268">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nil"/>
              <w:right w:val="nil"/>
            </w:tcBorders>
            <w:shd w:val="clear" w:color="000000" w:fill="EDEDED"/>
            <w:vAlign w:val="bottom"/>
          </w:tcPr>
          <w:p w14:paraId="497EF979"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27357272" w14:textId="77777777" w:rsidR="003E7268" w:rsidRPr="00E672CA" w:rsidRDefault="003E7268" w:rsidP="003E7268">
            <w:pPr>
              <w:rPr>
                <w:rFonts w:ascii="Calibri" w:hAnsi="Calibri" w:cs="Calibri"/>
                <w:color w:val="000000"/>
                <w:sz w:val="22"/>
                <w:szCs w:val="22"/>
              </w:rPr>
            </w:pPr>
          </w:p>
        </w:tc>
      </w:tr>
      <w:tr w:rsidR="003E7268" w:rsidRPr="00E672CA" w14:paraId="29754F91" w14:textId="77777777" w:rsidTr="006826AC">
        <w:trPr>
          <w:trHeight w:val="289"/>
        </w:trPr>
        <w:tc>
          <w:tcPr>
            <w:tcW w:w="2790" w:type="dxa"/>
            <w:gridSpan w:val="2"/>
            <w:tcBorders>
              <w:top w:val="nil"/>
              <w:bottom w:val="nil"/>
              <w:right w:val="nil"/>
            </w:tcBorders>
            <w:shd w:val="clear" w:color="000000" w:fill="EDEDED"/>
            <w:noWrap/>
            <w:vAlign w:val="bottom"/>
          </w:tcPr>
          <w:p w14:paraId="3151D2A4" w14:textId="4A7BA892"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2B0AB40C" w14:textId="04FECB46" w:rsidR="003E7268" w:rsidRDefault="003E7268" w:rsidP="003E7268">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nil"/>
              <w:right w:val="nil"/>
            </w:tcBorders>
            <w:shd w:val="clear" w:color="000000" w:fill="EDEDED"/>
            <w:vAlign w:val="bottom"/>
          </w:tcPr>
          <w:p w14:paraId="54A9FB5D"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181CF1CF" w14:textId="77777777" w:rsidR="003E7268" w:rsidRPr="00E672CA" w:rsidRDefault="003E7268" w:rsidP="003E7268">
            <w:pPr>
              <w:rPr>
                <w:rFonts w:ascii="Calibri" w:hAnsi="Calibri" w:cs="Calibri"/>
                <w:color w:val="000000"/>
                <w:sz w:val="22"/>
                <w:szCs w:val="22"/>
              </w:rPr>
            </w:pPr>
          </w:p>
        </w:tc>
      </w:tr>
      <w:tr w:rsidR="003E7268" w:rsidRPr="00E672CA" w14:paraId="7B6901D0" w14:textId="77777777" w:rsidTr="006826AC">
        <w:trPr>
          <w:trHeight w:val="289"/>
        </w:trPr>
        <w:tc>
          <w:tcPr>
            <w:tcW w:w="2790" w:type="dxa"/>
            <w:gridSpan w:val="2"/>
            <w:tcBorders>
              <w:top w:val="nil"/>
              <w:bottom w:val="nil"/>
              <w:right w:val="nil"/>
            </w:tcBorders>
            <w:shd w:val="clear" w:color="000000" w:fill="EDEDED"/>
            <w:noWrap/>
            <w:vAlign w:val="bottom"/>
          </w:tcPr>
          <w:p w14:paraId="147A3E74" w14:textId="3DC8F4ED"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30BA9446" w14:textId="61690049" w:rsidR="003E7268" w:rsidRDefault="003E7268" w:rsidP="003E7268">
            <w:pPr>
              <w:rPr>
                <w:rFonts w:ascii="Calibri" w:hAnsi="Calibri" w:cs="Calibri"/>
                <w:color w:val="000000"/>
                <w:sz w:val="22"/>
                <w:szCs w:val="22"/>
              </w:rPr>
            </w:pPr>
            <w:r>
              <w:rPr>
                <w:rFonts w:ascii="Calibri" w:hAnsi="Calibri" w:cs="Calibri"/>
                <w:color w:val="000000"/>
                <w:sz w:val="22"/>
                <w:szCs w:val="22"/>
              </w:rPr>
              <w:t>40</w:t>
            </w:r>
          </w:p>
        </w:tc>
        <w:tc>
          <w:tcPr>
            <w:tcW w:w="1530" w:type="dxa"/>
            <w:tcBorders>
              <w:top w:val="nil"/>
              <w:left w:val="nil"/>
              <w:bottom w:val="nil"/>
              <w:right w:val="nil"/>
            </w:tcBorders>
            <w:shd w:val="clear" w:color="000000" w:fill="EDEDED"/>
            <w:vAlign w:val="bottom"/>
          </w:tcPr>
          <w:p w14:paraId="00D71AC0"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5729D8A4" w14:textId="77777777" w:rsidR="003E7268" w:rsidRPr="00E672CA" w:rsidRDefault="003E7268" w:rsidP="003E7268">
            <w:pPr>
              <w:rPr>
                <w:rFonts w:ascii="Calibri" w:hAnsi="Calibri" w:cs="Calibri"/>
                <w:color w:val="000000"/>
                <w:sz w:val="22"/>
                <w:szCs w:val="22"/>
              </w:rPr>
            </w:pPr>
          </w:p>
        </w:tc>
      </w:tr>
      <w:tr w:rsidR="003E7268" w:rsidRPr="00E672CA" w14:paraId="6BCB5277" w14:textId="77777777" w:rsidTr="006826AC">
        <w:trPr>
          <w:trHeight w:val="289"/>
        </w:trPr>
        <w:tc>
          <w:tcPr>
            <w:tcW w:w="2790" w:type="dxa"/>
            <w:gridSpan w:val="2"/>
            <w:tcBorders>
              <w:top w:val="nil"/>
              <w:bottom w:val="nil"/>
              <w:right w:val="nil"/>
            </w:tcBorders>
            <w:shd w:val="clear" w:color="000000" w:fill="EDEDED"/>
            <w:noWrap/>
            <w:vAlign w:val="bottom"/>
          </w:tcPr>
          <w:p w14:paraId="067785FF" w14:textId="143CE8B5"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1620" w:type="dxa"/>
            <w:gridSpan w:val="2"/>
            <w:tcBorders>
              <w:top w:val="nil"/>
              <w:left w:val="nil"/>
              <w:bottom w:val="nil"/>
              <w:right w:val="nil"/>
            </w:tcBorders>
            <w:shd w:val="clear" w:color="000000" w:fill="EDEDED"/>
            <w:vAlign w:val="bottom"/>
          </w:tcPr>
          <w:p w14:paraId="325C3DD0" w14:textId="7FB828B7" w:rsidR="003E7268" w:rsidRDefault="003E7268" w:rsidP="003E7268">
            <w:pPr>
              <w:rPr>
                <w:rFonts w:ascii="Calibri" w:hAnsi="Calibri" w:cs="Calibri"/>
                <w:color w:val="000000"/>
                <w:sz w:val="22"/>
                <w:szCs w:val="22"/>
              </w:rPr>
            </w:pPr>
            <w:r>
              <w:rPr>
                <w:rFonts w:ascii="Calibri" w:hAnsi="Calibri" w:cs="Calibri"/>
                <w:color w:val="000000"/>
                <w:sz w:val="22"/>
                <w:szCs w:val="22"/>
              </w:rPr>
              <w:t>40</w:t>
            </w:r>
          </w:p>
        </w:tc>
        <w:tc>
          <w:tcPr>
            <w:tcW w:w="1530" w:type="dxa"/>
            <w:tcBorders>
              <w:top w:val="nil"/>
              <w:left w:val="nil"/>
              <w:bottom w:val="nil"/>
              <w:right w:val="nil"/>
            </w:tcBorders>
            <w:shd w:val="clear" w:color="000000" w:fill="EDEDED"/>
            <w:vAlign w:val="bottom"/>
          </w:tcPr>
          <w:p w14:paraId="17BC148E"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256D43B6" w14:textId="77777777" w:rsidR="003E7268" w:rsidRPr="00E672CA" w:rsidRDefault="003E7268" w:rsidP="003E7268">
            <w:pPr>
              <w:rPr>
                <w:rFonts w:ascii="Calibri" w:hAnsi="Calibri" w:cs="Calibri"/>
                <w:color w:val="000000"/>
                <w:sz w:val="22"/>
                <w:szCs w:val="22"/>
              </w:rPr>
            </w:pPr>
          </w:p>
        </w:tc>
      </w:tr>
      <w:tr w:rsidR="003E7268" w:rsidRPr="00E672CA" w14:paraId="5AA75459"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722785A8" w14:textId="56FEE0D3"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1620" w:type="dxa"/>
            <w:gridSpan w:val="2"/>
            <w:tcBorders>
              <w:top w:val="nil"/>
              <w:left w:val="nil"/>
              <w:bottom w:val="single" w:sz="4" w:space="0" w:color="000000"/>
              <w:right w:val="nil"/>
            </w:tcBorders>
            <w:shd w:val="clear" w:color="000000" w:fill="EDEDED"/>
            <w:vAlign w:val="bottom"/>
          </w:tcPr>
          <w:p w14:paraId="713F638E" w14:textId="0B03F1AC" w:rsidR="003E7268" w:rsidRDefault="003E7268" w:rsidP="003E7268">
            <w:pPr>
              <w:rPr>
                <w:rFonts w:ascii="Calibri" w:hAnsi="Calibri" w:cs="Calibri"/>
                <w:color w:val="000000"/>
                <w:sz w:val="22"/>
                <w:szCs w:val="22"/>
              </w:rPr>
            </w:pPr>
            <w:r>
              <w:rPr>
                <w:rFonts w:ascii="Calibri" w:hAnsi="Calibri" w:cs="Calibri"/>
                <w:color w:val="000000"/>
                <w:sz w:val="22"/>
                <w:szCs w:val="22"/>
              </w:rPr>
              <w:t>40</w:t>
            </w:r>
          </w:p>
        </w:tc>
        <w:tc>
          <w:tcPr>
            <w:tcW w:w="1530" w:type="dxa"/>
            <w:tcBorders>
              <w:top w:val="nil"/>
              <w:left w:val="nil"/>
              <w:bottom w:val="single" w:sz="4" w:space="0" w:color="000000"/>
              <w:right w:val="nil"/>
            </w:tcBorders>
            <w:shd w:val="clear" w:color="000000" w:fill="EDEDED"/>
            <w:vAlign w:val="bottom"/>
          </w:tcPr>
          <w:p w14:paraId="27DB4396"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21BC94DB" w14:textId="77777777" w:rsidR="003E7268" w:rsidRPr="00E672CA" w:rsidRDefault="003E7268" w:rsidP="003E7268">
            <w:pPr>
              <w:rPr>
                <w:rFonts w:ascii="Calibri" w:hAnsi="Calibri" w:cs="Calibri"/>
                <w:color w:val="000000"/>
                <w:sz w:val="22"/>
                <w:szCs w:val="22"/>
              </w:rPr>
            </w:pPr>
          </w:p>
        </w:tc>
      </w:tr>
      <w:tr w:rsidR="003E7268" w:rsidRPr="00E672CA" w14:paraId="17DAC625"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7CED73B8" w14:textId="3186104F"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3C7D6549" w14:textId="08024933" w:rsidR="003E7268" w:rsidRDefault="003E7268"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single" w:sz="4" w:space="0" w:color="000000"/>
              <w:right w:val="nil"/>
            </w:tcBorders>
            <w:shd w:val="clear" w:color="000000" w:fill="EDEDED"/>
            <w:vAlign w:val="bottom"/>
          </w:tcPr>
          <w:p w14:paraId="31A37CB5"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67F407C4" w14:textId="77777777" w:rsidR="003E7268" w:rsidRPr="00E672CA" w:rsidRDefault="003E7268" w:rsidP="003E7268">
            <w:pPr>
              <w:rPr>
                <w:rFonts w:ascii="Calibri" w:hAnsi="Calibri" w:cs="Calibri"/>
                <w:color w:val="000000"/>
                <w:sz w:val="22"/>
                <w:szCs w:val="22"/>
              </w:rPr>
            </w:pPr>
          </w:p>
        </w:tc>
      </w:tr>
      <w:tr w:rsidR="003E7268" w:rsidRPr="00E672CA" w14:paraId="6B4DB5C1"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26BD2F51" w14:textId="7F2C6616"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42CCF5F7" w14:textId="5ABEEFA9" w:rsidR="003E7268" w:rsidRDefault="003E7268"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single" w:sz="4" w:space="0" w:color="000000"/>
              <w:right w:val="nil"/>
            </w:tcBorders>
            <w:shd w:val="clear" w:color="000000" w:fill="EDEDED"/>
            <w:vAlign w:val="bottom"/>
          </w:tcPr>
          <w:p w14:paraId="4C04DFC5"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720956A4" w14:textId="77777777" w:rsidR="003E7268" w:rsidRPr="00E672CA" w:rsidRDefault="003E7268" w:rsidP="003E7268">
            <w:pPr>
              <w:rPr>
                <w:rFonts w:ascii="Calibri" w:hAnsi="Calibri" w:cs="Calibri"/>
                <w:color w:val="000000"/>
                <w:sz w:val="22"/>
                <w:szCs w:val="22"/>
              </w:rPr>
            </w:pPr>
          </w:p>
        </w:tc>
      </w:tr>
      <w:tr w:rsidR="003E7268" w:rsidRPr="00E672CA" w14:paraId="185D4849"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688F9BE8" w14:textId="65554D74"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685CFA15" w14:textId="69FD00D5" w:rsidR="003E7268" w:rsidRDefault="003E7268"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single" w:sz="4" w:space="0" w:color="000000"/>
              <w:right w:val="nil"/>
            </w:tcBorders>
            <w:shd w:val="clear" w:color="000000" w:fill="EDEDED"/>
            <w:vAlign w:val="bottom"/>
          </w:tcPr>
          <w:p w14:paraId="51F2D98F"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6C912C4C" w14:textId="77777777" w:rsidR="003E7268" w:rsidRPr="00E672CA" w:rsidRDefault="003E7268" w:rsidP="003E7268">
            <w:pPr>
              <w:rPr>
                <w:rFonts w:ascii="Calibri" w:hAnsi="Calibri" w:cs="Calibri"/>
                <w:color w:val="000000"/>
                <w:sz w:val="22"/>
                <w:szCs w:val="22"/>
              </w:rPr>
            </w:pPr>
          </w:p>
        </w:tc>
      </w:tr>
      <w:tr w:rsidR="003E7268" w:rsidRPr="00E672CA" w14:paraId="0E8A6A47"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34675658" w14:textId="148957E6"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7B683BE4" w14:textId="2A15CE70" w:rsidR="003E7268" w:rsidRDefault="003E7268"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single" w:sz="4" w:space="0" w:color="000000"/>
              <w:right w:val="nil"/>
            </w:tcBorders>
            <w:shd w:val="clear" w:color="000000" w:fill="EDEDED"/>
            <w:vAlign w:val="bottom"/>
          </w:tcPr>
          <w:p w14:paraId="68CE966F"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586DFCDC" w14:textId="77777777" w:rsidR="003E7268" w:rsidRPr="00E672CA" w:rsidRDefault="003E7268" w:rsidP="003E7268">
            <w:pPr>
              <w:rPr>
                <w:rFonts w:ascii="Calibri" w:hAnsi="Calibri" w:cs="Calibri"/>
                <w:color w:val="000000"/>
                <w:sz w:val="22"/>
                <w:szCs w:val="22"/>
              </w:rPr>
            </w:pPr>
          </w:p>
        </w:tc>
      </w:tr>
      <w:tr w:rsidR="003E7268" w:rsidRPr="00E672CA" w14:paraId="2221846C"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3932006E" w14:textId="73FDD696"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4E474B62" w14:textId="219D571C"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single" w:sz="4" w:space="0" w:color="000000"/>
              <w:right w:val="nil"/>
            </w:tcBorders>
            <w:shd w:val="clear" w:color="000000" w:fill="EDEDED"/>
            <w:vAlign w:val="bottom"/>
          </w:tcPr>
          <w:p w14:paraId="2023DD20"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1AE6C508" w14:textId="77777777" w:rsidR="003E7268" w:rsidRPr="00E672CA" w:rsidRDefault="003E7268" w:rsidP="003E7268">
            <w:pPr>
              <w:rPr>
                <w:rFonts w:ascii="Calibri" w:hAnsi="Calibri" w:cs="Calibri"/>
                <w:color w:val="000000"/>
                <w:sz w:val="22"/>
                <w:szCs w:val="22"/>
              </w:rPr>
            </w:pPr>
          </w:p>
        </w:tc>
      </w:tr>
      <w:tr w:rsidR="003E7268" w:rsidRPr="00E672CA" w14:paraId="1FE88999"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53BFC7D4" w14:textId="6C1E35FF"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7F61E5BB" w14:textId="2C239E65" w:rsidR="003E7268" w:rsidRDefault="003E7268"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single" w:sz="4" w:space="0" w:color="000000"/>
              <w:right w:val="nil"/>
            </w:tcBorders>
            <w:shd w:val="clear" w:color="000000" w:fill="EDEDED"/>
            <w:vAlign w:val="bottom"/>
          </w:tcPr>
          <w:p w14:paraId="69B72F57"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33A018EA" w14:textId="77777777" w:rsidR="003E7268" w:rsidRPr="00E672CA" w:rsidRDefault="003E7268" w:rsidP="003E7268">
            <w:pPr>
              <w:rPr>
                <w:rFonts w:ascii="Calibri" w:hAnsi="Calibri" w:cs="Calibri"/>
                <w:color w:val="000000"/>
                <w:sz w:val="22"/>
                <w:szCs w:val="22"/>
              </w:rPr>
            </w:pPr>
          </w:p>
        </w:tc>
      </w:tr>
      <w:tr w:rsidR="003E7268" w:rsidRPr="00E672CA" w14:paraId="1AEFD9FD"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5FB5EF8B" w14:textId="5E0A5B11"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61B3842E" w14:textId="6D805EA2" w:rsidR="003E7268" w:rsidRDefault="003E7268" w:rsidP="003E7268">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single" w:sz="4" w:space="0" w:color="000000"/>
              <w:right w:val="nil"/>
            </w:tcBorders>
            <w:shd w:val="clear" w:color="000000" w:fill="EDEDED"/>
            <w:vAlign w:val="bottom"/>
          </w:tcPr>
          <w:p w14:paraId="3EE2CD00"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1DDF4F3F" w14:textId="77777777" w:rsidR="003E7268" w:rsidRPr="00E672CA" w:rsidRDefault="003E7268" w:rsidP="003E7268">
            <w:pPr>
              <w:rPr>
                <w:rFonts w:ascii="Calibri" w:hAnsi="Calibri" w:cs="Calibri"/>
                <w:color w:val="000000"/>
                <w:sz w:val="22"/>
                <w:szCs w:val="22"/>
              </w:rPr>
            </w:pPr>
          </w:p>
        </w:tc>
      </w:tr>
      <w:tr w:rsidR="003E7268" w:rsidRPr="00E672CA" w14:paraId="38398F94"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076B7A9B" w14:textId="4E547683"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414B4494" w14:textId="70BB53CD" w:rsidR="003E7268" w:rsidRDefault="003E7268" w:rsidP="003E7268">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single" w:sz="4" w:space="0" w:color="000000"/>
              <w:right w:val="nil"/>
            </w:tcBorders>
            <w:shd w:val="clear" w:color="000000" w:fill="EDEDED"/>
            <w:vAlign w:val="bottom"/>
          </w:tcPr>
          <w:p w14:paraId="7F92CB69"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3D927FB1" w14:textId="77777777" w:rsidR="003E7268" w:rsidRPr="00E672CA" w:rsidRDefault="003E7268" w:rsidP="003E7268">
            <w:pPr>
              <w:rPr>
                <w:rFonts w:ascii="Calibri" w:hAnsi="Calibri" w:cs="Calibri"/>
                <w:color w:val="000000"/>
                <w:sz w:val="22"/>
                <w:szCs w:val="22"/>
              </w:rPr>
            </w:pPr>
          </w:p>
        </w:tc>
      </w:tr>
      <w:tr w:rsidR="003E7268" w:rsidRPr="00E672CA" w14:paraId="6C5495E0" w14:textId="77777777" w:rsidTr="006826AC">
        <w:trPr>
          <w:trHeight w:val="289"/>
        </w:trPr>
        <w:tc>
          <w:tcPr>
            <w:tcW w:w="2790" w:type="dxa"/>
            <w:gridSpan w:val="2"/>
            <w:tcBorders>
              <w:top w:val="nil"/>
              <w:bottom w:val="single" w:sz="4" w:space="0" w:color="000000"/>
              <w:right w:val="nil"/>
            </w:tcBorders>
            <w:shd w:val="clear" w:color="000000" w:fill="EDEDED"/>
            <w:noWrap/>
            <w:vAlign w:val="bottom"/>
          </w:tcPr>
          <w:p w14:paraId="525CDB2A" w14:textId="1953698B" w:rsidR="003E7268" w:rsidRDefault="003E7268" w:rsidP="003E726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1620" w:type="dxa"/>
            <w:gridSpan w:val="2"/>
            <w:tcBorders>
              <w:top w:val="nil"/>
              <w:left w:val="nil"/>
              <w:bottom w:val="single" w:sz="4" w:space="0" w:color="000000"/>
              <w:right w:val="nil"/>
            </w:tcBorders>
            <w:shd w:val="clear" w:color="000000" w:fill="EDEDED"/>
            <w:vAlign w:val="bottom"/>
          </w:tcPr>
          <w:p w14:paraId="4F50B931" w14:textId="0E2DD124" w:rsidR="003E7268" w:rsidRDefault="003E7268" w:rsidP="003E7268">
            <w:pPr>
              <w:rPr>
                <w:rFonts w:ascii="Calibri" w:hAnsi="Calibri" w:cs="Calibri"/>
                <w:color w:val="000000"/>
                <w:sz w:val="22"/>
                <w:szCs w:val="22"/>
              </w:rPr>
            </w:pPr>
            <w:r>
              <w:rPr>
                <w:rFonts w:ascii="Calibri" w:hAnsi="Calibri" w:cs="Calibri"/>
                <w:color w:val="000000"/>
                <w:sz w:val="22"/>
                <w:szCs w:val="22"/>
              </w:rPr>
              <w:t>Not applicable</w:t>
            </w:r>
          </w:p>
        </w:tc>
        <w:tc>
          <w:tcPr>
            <w:tcW w:w="1530" w:type="dxa"/>
            <w:tcBorders>
              <w:top w:val="nil"/>
              <w:left w:val="nil"/>
              <w:bottom w:val="single" w:sz="4" w:space="0" w:color="000000"/>
              <w:right w:val="nil"/>
            </w:tcBorders>
            <w:shd w:val="clear" w:color="000000" w:fill="EDEDED"/>
            <w:vAlign w:val="bottom"/>
          </w:tcPr>
          <w:p w14:paraId="66DD6BF5"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single" w:sz="4" w:space="0" w:color="000000"/>
            </w:tcBorders>
            <w:shd w:val="clear" w:color="000000" w:fill="FFFFFF"/>
            <w:noWrap/>
          </w:tcPr>
          <w:p w14:paraId="57838A11" w14:textId="77777777" w:rsidR="003E7268" w:rsidRPr="00E672CA" w:rsidRDefault="003E7268" w:rsidP="003E7268">
            <w:pPr>
              <w:rPr>
                <w:rFonts w:ascii="Calibri" w:hAnsi="Calibri" w:cs="Calibri"/>
                <w:color w:val="000000"/>
                <w:sz w:val="22"/>
                <w:szCs w:val="22"/>
              </w:rPr>
            </w:pPr>
          </w:p>
        </w:tc>
      </w:tr>
      <w:tr w:rsidR="003E7268" w:rsidRPr="00E672CA" w14:paraId="454CA536" w14:textId="77777777" w:rsidTr="006826AC">
        <w:trPr>
          <w:trHeight w:val="289"/>
        </w:trPr>
        <w:tc>
          <w:tcPr>
            <w:tcW w:w="2790" w:type="dxa"/>
            <w:gridSpan w:val="2"/>
            <w:tcBorders>
              <w:top w:val="single" w:sz="4" w:space="0" w:color="000000"/>
              <w:bottom w:val="nil"/>
              <w:right w:val="nil"/>
            </w:tcBorders>
            <w:shd w:val="clear" w:color="auto" w:fill="auto"/>
            <w:noWrap/>
          </w:tcPr>
          <w:p w14:paraId="605BBC69" w14:textId="5E292518" w:rsidR="003E7268" w:rsidRDefault="003E7268" w:rsidP="00A539B3">
            <w:pPr>
              <w:rPr>
                <w:rFonts w:ascii="Calibri" w:hAnsi="Calibri" w:cs="Calibri"/>
                <w:color w:val="000000"/>
                <w:sz w:val="22"/>
                <w:szCs w:val="22"/>
              </w:rPr>
            </w:pPr>
            <w:r>
              <w:rPr>
                <w:rFonts w:ascii="Calibri" w:hAnsi="Calibri" w:cs="Calibri"/>
                <w:b/>
                <w:color w:val="000000"/>
                <w:sz w:val="22"/>
                <w:szCs w:val="22"/>
              </w:rPr>
              <w:t xml:space="preserve">Estimated hours per system for primacy agency staff to </w:t>
            </w:r>
            <w:r w:rsidR="002C51C9" w:rsidRPr="002C51C9">
              <w:rPr>
                <w:rFonts w:ascii="Calibri" w:hAnsi="Calibri" w:cs="Calibri"/>
                <w:b/>
                <w:color w:val="000000"/>
                <w:sz w:val="22"/>
                <w:szCs w:val="22"/>
              </w:rPr>
              <w:t xml:space="preserve">confer </w:t>
            </w:r>
            <w:r w:rsidR="00A539B3">
              <w:rPr>
                <w:rFonts w:ascii="Calibri" w:hAnsi="Calibri" w:cs="Calibri"/>
                <w:b/>
                <w:color w:val="000000"/>
                <w:sz w:val="22"/>
                <w:szCs w:val="22"/>
              </w:rPr>
              <w:t>on and review LSLR plan</w:t>
            </w:r>
          </w:p>
        </w:tc>
        <w:tc>
          <w:tcPr>
            <w:tcW w:w="1620" w:type="dxa"/>
            <w:gridSpan w:val="2"/>
            <w:tcBorders>
              <w:top w:val="single" w:sz="4" w:space="0" w:color="000000"/>
              <w:left w:val="nil"/>
              <w:bottom w:val="nil"/>
              <w:right w:val="nil"/>
            </w:tcBorders>
            <w:shd w:val="clear" w:color="auto" w:fill="auto"/>
            <w:vAlign w:val="bottom"/>
          </w:tcPr>
          <w:p w14:paraId="3A57FF6E" w14:textId="77777777" w:rsidR="003E7268" w:rsidRDefault="003E7268" w:rsidP="003E7268">
            <w:pPr>
              <w:rPr>
                <w:rFonts w:ascii="Calibri" w:hAnsi="Calibri" w:cs="Calibri"/>
                <w:color w:val="000000"/>
                <w:sz w:val="22"/>
                <w:szCs w:val="22"/>
              </w:rPr>
            </w:pPr>
          </w:p>
        </w:tc>
        <w:tc>
          <w:tcPr>
            <w:tcW w:w="1530" w:type="dxa"/>
            <w:tcBorders>
              <w:top w:val="single" w:sz="4" w:space="0" w:color="000000"/>
              <w:left w:val="nil"/>
              <w:bottom w:val="nil"/>
              <w:right w:val="nil"/>
            </w:tcBorders>
            <w:shd w:val="clear" w:color="auto" w:fill="auto"/>
            <w:vAlign w:val="bottom"/>
          </w:tcPr>
          <w:p w14:paraId="5CEEFF64" w14:textId="77777777" w:rsidR="003E7268" w:rsidRDefault="003E7268" w:rsidP="003E7268">
            <w:pPr>
              <w:rPr>
                <w:rFonts w:ascii="Calibri" w:hAnsi="Calibri" w:cs="Calibri"/>
                <w:color w:val="000000"/>
                <w:sz w:val="22"/>
                <w:szCs w:val="22"/>
              </w:rPr>
            </w:pPr>
          </w:p>
        </w:tc>
        <w:tc>
          <w:tcPr>
            <w:tcW w:w="3420" w:type="dxa"/>
            <w:gridSpan w:val="2"/>
            <w:tcBorders>
              <w:top w:val="single" w:sz="4" w:space="0" w:color="000000"/>
              <w:left w:val="nil"/>
              <w:bottom w:val="nil"/>
            </w:tcBorders>
            <w:shd w:val="clear" w:color="000000" w:fill="FFFFFF"/>
            <w:noWrap/>
          </w:tcPr>
          <w:p w14:paraId="57C896C3" w14:textId="77777777" w:rsidR="003E7268" w:rsidRPr="00E672CA" w:rsidRDefault="003E7268" w:rsidP="003E7268">
            <w:pPr>
              <w:rPr>
                <w:rFonts w:ascii="Calibri" w:hAnsi="Calibri" w:cs="Calibri"/>
                <w:color w:val="000000"/>
                <w:sz w:val="22"/>
                <w:szCs w:val="22"/>
              </w:rPr>
            </w:pPr>
          </w:p>
        </w:tc>
      </w:tr>
      <w:tr w:rsidR="003E7268" w:rsidRPr="00E672CA" w14:paraId="41354A88" w14:textId="77777777" w:rsidTr="006826AC">
        <w:trPr>
          <w:trHeight w:val="289"/>
        </w:trPr>
        <w:tc>
          <w:tcPr>
            <w:tcW w:w="2790" w:type="dxa"/>
            <w:gridSpan w:val="2"/>
            <w:tcBorders>
              <w:top w:val="nil"/>
              <w:bottom w:val="nil"/>
              <w:right w:val="nil"/>
            </w:tcBorders>
            <w:shd w:val="clear" w:color="000000" w:fill="EDEDED"/>
            <w:noWrap/>
            <w:vAlign w:val="bottom"/>
          </w:tcPr>
          <w:p w14:paraId="286AD173" w14:textId="22D88E1D" w:rsidR="003E7268" w:rsidRDefault="002C51C9" w:rsidP="003E7268">
            <w:pPr>
              <w:rPr>
                <w:rFonts w:ascii="Calibri" w:hAnsi="Calibri" w:cs="Calibri"/>
                <w:color w:val="000000"/>
                <w:sz w:val="22"/>
                <w:szCs w:val="22"/>
              </w:rPr>
            </w:pPr>
            <w:r>
              <w:rPr>
                <w:rFonts w:ascii="Calibri" w:hAnsi="Calibri" w:cs="Calibri"/>
                <w:color w:val="000000"/>
                <w:sz w:val="22"/>
                <w:szCs w:val="22"/>
              </w:rPr>
              <w:t>8</w:t>
            </w:r>
          </w:p>
        </w:tc>
        <w:tc>
          <w:tcPr>
            <w:tcW w:w="1620" w:type="dxa"/>
            <w:gridSpan w:val="2"/>
            <w:tcBorders>
              <w:top w:val="nil"/>
              <w:left w:val="nil"/>
              <w:bottom w:val="nil"/>
              <w:right w:val="nil"/>
            </w:tcBorders>
            <w:shd w:val="clear" w:color="000000" w:fill="EDEDED"/>
            <w:vAlign w:val="bottom"/>
          </w:tcPr>
          <w:p w14:paraId="24F1F189" w14:textId="68D0A23C" w:rsidR="003E7268" w:rsidRDefault="003E7268" w:rsidP="003E7268">
            <w:pPr>
              <w:rPr>
                <w:rFonts w:ascii="Calibri" w:hAnsi="Calibri" w:cs="Calibri"/>
                <w:color w:val="000000"/>
                <w:sz w:val="22"/>
                <w:szCs w:val="22"/>
              </w:rPr>
            </w:pPr>
          </w:p>
        </w:tc>
        <w:tc>
          <w:tcPr>
            <w:tcW w:w="1530" w:type="dxa"/>
            <w:tcBorders>
              <w:top w:val="nil"/>
              <w:left w:val="nil"/>
              <w:bottom w:val="nil"/>
              <w:right w:val="nil"/>
            </w:tcBorders>
            <w:shd w:val="clear" w:color="000000" w:fill="EDEDED"/>
            <w:vAlign w:val="bottom"/>
          </w:tcPr>
          <w:p w14:paraId="70CBD68E" w14:textId="77777777" w:rsidR="003E7268" w:rsidRDefault="003E7268"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56F2F1DB" w14:textId="77777777" w:rsidR="003E7268" w:rsidRPr="00E672CA" w:rsidRDefault="003E7268" w:rsidP="003E7268">
            <w:pPr>
              <w:rPr>
                <w:rFonts w:ascii="Calibri" w:hAnsi="Calibri" w:cs="Calibri"/>
                <w:color w:val="000000"/>
                <w:sz w:val="22"/>
                <w:szCs w:val="22"/>
              </w:rPr>
            </w:pPr>
          </w:p>
        </w:tc>
      </w:tr>
      <w:tr w:rsidR="002C51C9" w:rsidRPr="00E672CA" w14:paraId="7D0B52CA" w14:textId="77777777" w:rsidTr="0049228A">
        <w:trPr>
          <w:trHeight w:val="289"/>
        </w:trPr>
        <w:tc>
          <w:tcPr>
            <w:tcW w:w="2790" w:type="dxa"/>
            <w:gridSpan w:val="2"/>
            <w:tcBorders>
              <w:top w:val="single" w:sz="4" w:space="0" w:color="000000"/>
              <w:bottom w:val="nil"/>
              <w:right w:val="nil"/>
            </w:tcBorders>
            <w:shd w:val="clear" w:color="auto" w:fill="auto"/>
            <w:noWrap/>
          </w:tcPr>
          <w:p w14:paraId="3479136E" w14:textId="1439B0AF" w:rsidR="002C51C9" w:rsidRDefault="002C51C9" w:rsidP="003E7268">
            <w:pPr>
              <w:rPr>
                <w:rFonts w:ascii="Calibri" w:hAnsi="Calibri" w:cs="Calibri"/>
                <w:color w:val="000000"/>
                <w:sz w:val="22"/>
                <w:szCs w:val="22"/>
              </w:rPr>
            </w:pPr>
            <w:r>
              <w:rPr>
                <w:rFonts w:ascii="Calibri" w:hAnsi="Calibri" w:cs="Calibri"/>
                <w:b/>
                <w:color w:val="000000"/>
                <w:sz w:val="22"/>
                <w:szCs w:val="22"/>
              </w:rPr>
              <w:t>Estimated hours per system for primacy agency staff assist with LSL inventory and review submission of inventory</w:t>
            </w:r>
          </w:p>
        </w:tc>
        <w:tc>
          <w:tcPr>
            <w:tcW w:w="1620" w:type="dxa"/>
            <w:gridSpan w:val="2"/>
            <w:tcBorders>
              <w:top w:val="single" w:sz="4" w:space="0" w:color="000000"/>
              <w:left w:val="nil"/>
              <w:bottom w:val="nil"/>
              <w:right w:val="nil"/>
            </w:tcBorders>
            <w:shd w:val="clear" w:color="auto" w:fill="auto"/>
            <w:vAlign w:val="bottom"/>
          </w:tcPr>
          <w:p w14:paraId="23EB3C81" w14:textId="043BDDA7" w:rsidR="002C51C9" w:rsidRDefault="002C51C9" w:rsidP="003E7268">
            <w:pPr>
              <w:rPr>
                <w:rFonts w:ascii="Calibri" w:hAnsi="Calibri" w:cs="Calibri"/>
                <w:color w:val="000000"/>
                <w:sz w:val="22"/>
                <w:szCs w:val="22"/>
              </w:rPr>
            </w:pPr>
          </w:p>
        </w:tc>
        <w:tc>
          <w:tcPr>
            <w:tcW w:w="1530" w:type="dxa"/>
            <w:tcBorders>
              <w:top w:val="single" w:sz="4" w:space="0" w:color="000000"/>
              <w:left w:val="nil"/>
              <w:bottom w:val="nil"/>
              <w:right w:val="nil"/>
            </w:tcBorders>
            <w:shd w:val="clear" w:color="auto" w:fill="auto"/>
            <w:vAlign w:val="bottom"/>
          </w:tcPr>
          <w:p w14:paraId="127CD6AA"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5A43FB44" w14:textId="77777777" w:rsidR="002C51C9" w:rsidRPr="00E672CA" w:rsidRDefault="002C51C9" w:rsidP="003E7268">
            <w:pPr>
              <w:rPr>
                <w:rFonts w:ascii="Calibri" w:hAnsi="Calibri" w:cs="Calibri"/>
                <w:color w:val="000000"/>
                <w:sz w:val="22"/>
                <w:szCs w:val="22"/>
              </w:rPr>
            </w:pPr>
          </w:p>
        </w:tc>
      </w:tr>
      <w:tr w:rsidR="002C51C9" w:rsidRPr="00E672CA" w14:paraId="1866B25D" w14:textId="77777777" w:rsidTr="006826AC">
        <w:trPr>
          <w:trHeight w:val="289"/>
        </w:trPr>
        <w:tc>
          <w:tcPr>
            <w:tcW w:w="2790" w:type="dxa"/>
            <w:gridSpan w:val="2"/>
            <w:tcBorders>
              <w:top w:val="nil"/>
              <w:bottom w:val="nil"/>
              <w:right w:val="nil"/>
            </w:tcBorders>
            <w:shd w:val="clear" w:color="000000" w:fill="EDEDED"/>
            <w:noWrap/>
            <w:vAlign w:val="bottom"/>
          </w:tcPr>
          <w:p w14:paraId="36740F96" w14:textId="7AEE0434" w:rsidR="002C51C9" w:rsidRDefault="002C51C9" w:rsidP="003E7268">
            <w:pPr>
              <w:rPr>
                <w:rFonts w:ascii="Calibri" w:hAnsi="Calibri" w:cs="Calibri"/>
                <w:color w:val="000000"/>
                <w:sz w:val="22"/>
                <w:szCs w:val="22"/>
              </w:rPr>
            </w:pPr>
            <w:r>
              <w:rPr>
                <w:rFonts w:ascii="Calibri" w:hAnsi="Calibri" w:cs="Calibri"/>
                <w:color w:val="000000"/>
                <w:sz w:val="22"/>
                <w:szCs w:val="22"/>
              </w:rPr>
              <w:t>Systems &lt;=100</w:t>
            </w:r>
          </w:p>
        </w:tc>
        <w:tc>
          <w:tcPr>
            <w:tcW w:w="1620" w:type="dxa"/>
            <w:gridSpan w:val="2"/>
            <w:tcBorders>
              <w:top w:val="nil"/>
              <w:left w:val="nil"/>
              <w:bottom w:val="nil"/>
              <w:right w:val="nil"/>
            </w:tcBorders>
            <w:shd w:val="clear" w:color="000000" w:fill="EDEDED"/>
            <w:vAlign w:val="bottom"/>
          </w:tcPr>
          <w:p w14:paraId="1D86BF3E" w14:textId="404ABC43" w:rsidR="002C51C9" w:rsidRDefault="002C51C9"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nil"/>
              <w:right w:val="nil"/>
            </w:tcBorders>
            <w:shd w:val="clear" w:color="000000" w:fill="EDEDED"/>
            <w:vAlign w:val="bottom"/>
          </w:tcPr>
          <w:p w14:paraId="55636784"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6187236B" w14:textId="77777777" w:rsidR="002C51C9" w:rsidRPr="00E672CA" w:rsidRDefault="002C51C9" w:rsidP="003E7268">
            <w:pPr>
              <w:rPr>
                <w:rFonts w:ascii="Calibri" w:hAnsi="Calibri" w:cs="Calibri"/>
                <w:color w:val="000000"/>
                <w:sz w:val="22"/>
                <w:szCs w:val="22"/>
              </w:rPr>
            </w:pPr>
          </w:p>
        </w:tc>
      </w:tr>
      <w:tr w:rsidR="002C51C9" w:rsidRPr="00E672CA" w14:paraId="0859E6B8" w14:textId="77777777" w:rsidTr="006826AC">
        <w:trPr>
          <w:trHeight w:val="289"/>
        </w:trPr>
        <w:tc>
          <w:tcPr>
            <w:tcW w:w="2790" w:type="dxa"/>
            <w:gridSpan w:val="2"/>
            <w:tcBorders>
              <w:top w:val="nil"/>
              <w:bottom w:val="nil"/>
              <w:right w:val="nil"/>
            </w:tcBorders>
            <w:shd w:val="clear" w:color="000000" w:fill="EDEDED"/>
            <w:noWrap/>
            <w:vAlign w:val="bottom"/>
          </w:tcPr>
          <w:p w14:paraId="36D5623E" w14:textId="45AD2FC0" w:rsidR="002C51C9" w:rsidRDefault="002C51C9" w:rsidP="003E7268">
            <w:pPr>
              <w:rPr>
                <w:rFonts w:ascii="Calibri" w:hAnsi="Calibri" w:cs="Calibri"/>
                <w:color w:val="000000"/>
                <w:sz w:val="22"/>
                <w:szCs w:val="22"/>
              </w:rPr>
            </w:pPr>
            <w:r>
              <w:rPr>
                <w:rFonts w:ascii="Calibri" w:hAnsi="Calibri" w:cs="Calibri"/>
                <w:color w:val="000000"/>
                <w:sz w:val="22"/>
                <w:szCs w:val="22"/>
              </w:rPr>
              <w:t>Systems 101-500</w:t>
            </w:r>
          </w:p>
        </w:tc>
        <w:tc>
          <w:tcPr>
            <w:tcW w:w="1620" w:type="dxa"/>
            <w:gridSpan w:val="2"/>
            <w:tcBorders>
              <w:top w:val="nil"/>
              <w:left w:val="nil"/>
              <w:bottom w:val="nil"/>
              <w:right w:val="nil"/>
            </w:tcBorders>
            <w:shd w:val="clear" w:color="000000" w:fill="EDEDED"/>
            <w:vAlign w:val="bottom"/>
          </w:tcPr>
          <w:p w14:paraId="3326B0CD" w14:textId="499FEFFC" w:rsidR="002C51C9" w:rsidRDefault="002C51C9"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nil"/>
              <w:right w:val="nil"/>
            </w:tcBorders>
            <w:shd w:val="clear" w:color="000000" w:fill="EDEDED"/>
            <w:vAlign w:val="bottom"/>
          </w:tcPr>
          <w:p w14:paraId="6E597EDD"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7A64CEAE" w14:textId="77777777" w:rsidR="002C51C9" w:rsidRPr="00E672CA" w:rsidRDefault="002C51C9" w:rsidP="003E7268">
            <w:pPr>
              <w:rPr>
                <w:rFonts w:ascii="Calibri" w:hAnsi="Calibri" w:cs="Calibri"/>
                <w:color w:val="000000"/>
                <w:sz w:val="22"/>
                <w:szCs w:val="22"/>
              </w:rPr>
            </w:pPr>
          </w:p>
        </w:tc>
      </w:tr>
      <w:tr w:rsidR="002C51C9" w:rsidRPr="00E672CA" w14:paraId="64DE0686" w14:textId="77777777" w:rsidTr="006826AC">
        <w:trPr>
          <w:trHeight w:val="289"/>
        </w:trPr>
        <w:tc>
          <w:tcPr>
            <w:tcW w:w="2790" w:type="dxa"/>
            <w:gridSpan w:val="2"/>
            <w:tcBorders>
              <w:top w:val="nil"/>
              <w:bottom w:val="nil"/>
              <w:right w:val="nil"/>
            </w:tcBorders>
            <w:shd w:val="clear" w:color="000000" w:fill="EDEDED"/>
            <w:noWrap/>
            <w:vAlign w:val="bottom"/>
          </w:tcPr>
          <w:p w14:paraId="7BF4DDE8" w14:textId="30571438" w:rsidR="002C51C9" w:rsidRDefault="002C51C9" w:rsidP="003E7268">
            <w:pPr>
              <w:rPr>
                <w:rFonts w:ascii="Calibri" w:hAnsi="Calibri" w:cs="Calibri"/>
                <w:color w:val="000000"/>
                <w:sz w:val="22"/>
                <w:szCs w:val="22"/>
              </w:rPr>
            </w:pPr>
            <w:r>
              <w:rPr>
                <w:rFonts w:ascii="Calibri" w:hAnsi="Calibri" w:cs="Calibri"/>
                <w:color w:val="000000"/>
                <w:sz w:val="22"/>
                <w:szCs w:val="22"/>
              </w:rPr>
              <w:t>Systems 501-1,000</w:t>
            </w:r>
          </w:p>
        </w:tc>
        <w:tc>
          <w:tcPr>
            <w:tcW w:w="1620" w:type="dxa"/>
            <w:gridSpan w:val="2"/>
            <w:tcBorders>
              <w:top w:val="nil"/>
              <w:left w:val="nil"/>
              <w:bottom w:val="nil"/>
              <w:right w:val="nil"/>
            </w:tcBorders>
            <w:shd w:val="clear" w:color="000000" w:fill="EDEDED"/>
            <w:vAlign w:val="bottom"/>
          </w:tcPr>
          <w:p w14:paraId="7BF20EE7" w14:textId="419288B9" w:rsidR="002C51C9" w:rsidRDefault="002C51C9"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nil"/>
              <w:right w:val="nil"/>
            </w:tcBorders>
            <w:shd w:val="clear" w:color="000000" w:fill="EDEDED"/>
            <w:vAlign w:val="bottom"/>
          </w:tcPr>
          <w:p w14:paraId="1032BD6A"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5994AFA" w14:textId="77777777" w:rsidR="002C51C9" w:rsidRPr="00E672CA" w:rsidRDefault="002C51C9" w:rsidP="003E7268">
            <w:pPr>
              <w:rPr>
                <w:rFonts w:ascii="Calibri" w:hAnsi="Calibri" w:cs="Calibri"/>
                <w:color w:val="000000"/>
                <w:sz w:val="22"/>
                <w:szCs w:val="22"/>
              </w:rPr>
            </w:pPr>
          </w:p>
        </w:tc>
      </w:tr>
      <w:tr w:rsidR="002C51C9" w:rsidRPr="00E672CA" w14:paraId="30DDE784" w14:textId="77777777" w:rsidTr="006826AC">
        <w:trPr>
          <w:trHeight w:val="289"/>
        </w:trPr>
        <w:tc>
          <w:tcPr>
            <w:tcW w:w="2790" w:type="dxa"/>
            <w:gridSpan w:val="2"/>
            <w:tcBorders>
              <w:top w:val="nil"/>
              <w:bottom w:val="nil"/>
              <w:right w:val="nil"/>
            </w:tcBorders>
            <w:shd w:val="clear" w:color="000000" w:fill="EDEDED"/>
            <w:noWrap/>
            <w:vAlign w:val="bottom"/>
          </w:tcPr>
          <w:p w14:paraId="34AD3B3E" w14:textId="209CF256" w:rsidR="002C51C9" w:rsidRDefault="002C51C9" w:rsidP="003E7268">
            <w:pPr>
              <w:rPr>
                <w:rFonts w:ascii="Calibri" w:hAnsi="Calibri" w:cs="Calibri"/>
                <w:color w:val="000000"/>
                <w:sz w:val="22"/>
                <w:szCs w:val="22"/>
              </w:rPr>
            </w:pPr>
            <w:r>
              <w:rPr>
                <w:rFonts w:ascii="Calibri" w:hAnsi="Calibri" w:cs="Calibri"/>
                <w:color w:val="000000"/>
                <w:sz w:val="22"/>
                <w:szCs w:val="22"/>
              </w:rPr>
              <w:t>Systems 1,001-3,300</w:t>
            </w:r>
          </w:p>
        </w:tc>
        <w:tc>
          <w:tcPr>
            <w:tcW w:w="1620" w:type="dxa"/>
            <w:gridSpan w:val="2"/>
            <w:tcBorders>
              <w:top w:val="nil"/>
              <w:left w:val="nil"/>
              <w:bottom w:val="nil"/>
              <w:right w:val="nil"/>
            </w:tcBorders>
            <w:shd w:val="clear" w:color="000000" w:fill="EDEDED"/>
            <w:vAlign w:val="bottom"/>
          </w:tcPr>
          <w:p w14:paraId="74C676F6" w14:textId="49DDAA85" w:rsidR="002C51C9" w:rsidRDefault="002C51C9" w:rsidP="003E7268">
            <w:pPr>
              <w:rPr>
                <w:rFonts w:ascii="Calibri" w:hAnsi="Calibri" w:cs="Calibri"/>
                <w:color w:val="000000"/>
                <w:sz w:val="22"/>
                <w:szCs w:val="22"/>
              </w:rPr>
            </w:pPr>
            <w:r>
              <w:rPr>
                <w:rFonts w:ascii="Calibri" w:hAnsi="Calibri" w:cs="Calibri"/>
                <w:color w:val="000000"/>
                <w:sz w:val="22"/>
                <w:szCs w:val="22"/>
              </w:rPr>
              <w:t>5</w:t>
            </w:r>
          </w:p>
        </w:tc>
        <w:tc>
          <w:tcPr>
            <w:tcW w:w="1530" w:type="dxa"/>
            <w:tcBorders>
              <w:top w:val="nil"/>
              <w:left w:val="nil"/>
              <w:bottom w:val="nil"/>
              <w:right w:val="nil"/>
            </w:tcBorders>
            <w:shd w:val="clear" w:color="000000" w:fill="EDEDED"/>
            <w:vAlign w:val="bottom"/>
          </w:tcPr>
          <w:p w14:paraId="7CCEB978"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21AE2569" w14:textId="77777777" w:rsidR="002C51C9" w:rsidRPr="00E672CA" w:rsidRDefault="002C51C9" w:rsidP="003E7268">
            <w:pPr>
              <w:rPr>
                <w:rFonts w:ascii="Calibri" w:hAnsi="Calibri" w:cs="Calibri"/>
                <w:color w:val="000000"/>
                <w:sz w:val="22"/>
                <w:szCs w:val="22"/>
              </w:rPr>
            </w:pPr>
          </w:p>
        </w:tc>
      </w:tr>
      <w:tr w:rsidR="002C51C9" w:rsidRPr="00E672CA" w14:paraId="1B8BB799" w14:textId="77777777" w:rsidTr="006826AC">
        <w:trPr>
          <w:trHeight w:val="289"/>
        </w:trPr>
        <w:tc>
          <w:tcPr>
            <w:tcW w:w="2790" w:type="dxa"/>
            <w:gridSpan w:val="2"/>
            <w:tcBorders>
              <w:top w:val="nil"/>
              <w:bottom w:val="nil"/>
              <w:right w:val="nil"/>
            </w:tcBorders>
            <w:shd w:val="clear" w:color="000000" w:fill="EDEDED"/>
            <w:noWrap/>
            <w:vAlign w:val="bottom"/>
          </w:tcPr>
          <w:p w14:paraId="4C077989" w14:textId="517F77F3" w:rsidR="002C51C9" w:rsidRDefault="002C51C9" w:rsidP="003E7268">
            <w:pPr>
              <w:rPr>
                <w:rFonts w:ascii="Calibri" w:hAnsi="Calibri" w:cs="Calibri"/>
                <w:color w:val="000000"/>
                <w:sz w:val="22"/>
                <w:szCs w:val="22"/>
              </w:rPr>
            </w:pPr>
            <w:r>
              <w:rPr>
                <w:rFonts w:ascii="Calibri" w:hAnsi="Calibri" w:cs="Calibri"/>
                <w:color w:val="000000"/>
                <w:sz w:val="22"/>
                <w:szCs w:val="22"/>
              </w:rPr>
              <w:t>Systems 3,301-10,000</w:t>
            </w:r>
          </w:p>
        </w:tc>
        <w:tc>
          <w:tcPr>
            <w:tcW w:w="1620" w:type="dxa"/>
            <w:gridSpan w:val="2"/>
            <w:tcBorders>
              <w:top w:val="nil"/>
              <w:left w:val="nil"/>
              <w:bottom w:val="nil"/>
              <w:right w:val="nil"/>
            </w:tcBorders>
            <w:shd w:val="clear" w:color="000000" w:fill="EDEDED"/>
            <w:vAlign w:val="bottom"/>
          </w:tcPr>
          <w:p w14:paraId="55CE5AA7" w14:textId="2E09C78B" w:rsidR="002C51C9" w:rsidRDefault="002C51C9"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6878A95C"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78060F73" w14:textId="77777777" w:rsidR="002C51C9" w:rsidRPr="00E672CA" w:rsidRDefault="002C51C9" w:rsidP="003E7268">
            <w:pPr>
              <w:rPr>
                <w:rFonts w:ascii="Calibri" w:hAnsi="Calibri" w:cs="Calibri"/>
                <w:color w:val="000000"/>
                <w:sz w:val="22"/>
                <w:szCs w:val="22"/>
              </w:rPr>
            </w:pPr>
          </w:p>
        </w:tc>
      </w:tr>
      <w:tr w:rsidR="002C51C9" w:rsidRPr="00E672CA" w14:paraId="2EF9045B" w14:textId="77777777" w:rsidTr="00620811">
        <w:trPr>
          <w:trHeight w:val="289"/>
        </w:trPr>
        <w:tc>
          <w:tcPr>
            <w:tcW w:w="2790" w:type="dxa"/>
            <w:gridSpan w:val="2"/>
            <w:tcBorders>
              <w:top w:val="nil"/>
              <w:bottom w:val="nil"/>
              <w:right w:val="nil"/>
            </w:tcBorders>
            <w:shd w:val="clear" w:color="000000" w:fill="EDEDED"/>
            <w:noWrap/>
            <w:vAlign w:val="bottom"/>
          </w:tcPr>
          <w:p w14:paraId="5A0F3622" w14:textId="4CBF4A0B" w:rsidR="002C51C9" w:rsidRDefault="002C51C9" w:rsidP="003E7268">
            <w:pPr>
              <w:rPr>
                <w:rFonts w:ascii="Calibri" w:hAnsi="Calibri" w:cs="Calibri"/>
                <w:color w:val="000000"/>
                <w:sz w:val="22"/>
                <w:szCs w:val="22"/>
              </w:rPr>
            </w:pPr>
            <w:r>
              <w:rPr>
                <w:rFonts w:ascii="Calibri" w:hAnsi="Calibri" w:cs="Calibri"/>
                <w:color w:val="000000"/>
                <w:sz w:val="22"/>
                <w:szCs w:val="22"/>
              </w:rPr>
              <w:t>Systems 10,001-50,000</w:t>
            </w:r>
          </w:p>
        </w:tc>
        <w:tc>
          <w:tcPr>
            <w:tcW w:w="1620" w:type="dxa"/>
            <w:gridSpan w:val="2"/>
            <w:tcBorders>
              <w:top w:val="nil"/>
              <w:left w:val="nil"/>
              <w:bottom w:val="nil"/>
              <w:right w:val="nil"/>
            </w:tcBorders>
            <w:shd w:val="clear" w:color="000000" w:fill="EDEDED"/>
            <w:vAlign w:val="bottom"/>
          </w:tcPr>
          <w:p w14:paraId="149C901E" w14:textId="48AAFA14" w:rsidR="002C51C9" w:rsidRDefault="002C51C9" w:rsidP="003E7268">
            <w:pPr>
              <w:rPr>
                <w:rFonts w:ascii="Calibri" w:hAnsi="Calibri" w:cs="Calibri"/>
                <w:color w:val="000000"/>
                <w:sz w:val="22"/>
                <w:szCs w:val="22"/>
              </w:rPr>
            </w:pPr>
            <w:r>
              <w:rPr>
                <w:rFonts w:ascii="Calibri" w:hAnsi="Calibri" w:cs="Calibri"/>
                <w:color w:val="000000"/>
                <w:sz w:val="22"/>
                <w:szCs w:val="22"/>
              </w:rPr>
              <w:t>10</w:t>
            </w:r>
          </w:p>
        </w:tc>
        <w:tc>
          <w:tcPr>
            <w:tcW w:w="1530" w:type="dxa"/>
            <w:tcBorders>
              <w:top w:val="nil"/>
              <w:left w:val="nil"/>
              <w:bottom w:val="nil"/>
              <w:right w:val="nil"/>
            </w:tcBorders>
            <w:shd w:val="clear" w:color="000000" w:fill="EDEDED"/>
            <w:vAlign w:val="bottom"/>
          </w:tcPr>
          <w:p w14:paraId="5551999A"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367E8675" w14:textId="77777777" w:rsidR="002C51C9" w:rsidRPr="00E672CA" w:rsidRDefault="002C51C9" w:rsidP="003E7268">
            <w:pPr>
              <w:rPr>
                <w:rFonts w:ascii="Calibri" w:hAnsi="Calibri" w:cs="Calibri"/>
                <w:color w:val="000000"/>
                <w:sz w:val="22"/>
                <w:szCs w:val="22"/>
              </w:rPr>
            </w:pPr>
          </w:p>
        </w:tc>
      </w:tr>
      <w:tr w:rsidR="002C51C9" w:rsidRPr="00E672CA" w14:paraId="75D6E571" w14:textId="77777777" w:rsidTr="00620811">
        <w:trPr>
          <w:trHeight w:val="289"/>
        </w:trPr>
        <w:tc>
          <w:tcPr>
            <w:tcW w:w="2790" w:type="dxa"/>
            <w:gridSpan w:val="2"/>
            <w:tcBorders>
              <w:top w:val="nil"/>
              <w:bottom w:val="nil"/>
              <w:right w:val="nil"/>
            </w:tcBorders>
            <w:shd w:val="clear" w:color="000000" w:fill="EDEDED"/>
            <w:noWrap/>
            <w:vAlign w:val="bottom"/>
          </w:tcPr>
          <w:p w14:paraId="2228E656" w14:textId="1743AEB8" w:rsidR="002C51C9" w:rsidRDefault="002C51C9" w:rsidP="003E7268">
            <w:pPr>
              <w:rPr>
                <w:rFonts w:ascii="Calibri" w:hAnsi="Calibri" w:cs="Calibri"/>
                <w:color w:val="000000"/>
                <w:sz w:val="22"/>
                <w:szCs w:val="22"/>
              </w:rPr>
            </w:pPr>
            <w:r>
              <w:rPr>
                <w:rFonts w:ascii="Calibri" w:hAnsi="Calibri" w:cs="Calibri"/>
                <w:color w:val="000000"/>
                <w:sz w:val="22"/>
                <w:szCs w:val="22"/>
              </w:rPr>
              <w:t>Systems 50,001-100,000</w:t>
            </w:r>
          </w:p>
        </w:tc>
        <w:tc>
          <w:tcPr>
            <w:tcW w:w="1620" w:type="dxa"/>
            <w:gridSpan w:val="2"/>
            <w:tcBorders>
              <w:top w:val="nil"/>
              <w:left w:val="nil"/>
              <w:bottom w:val="nil"/>
              <w:right w:val="nil"/>
            </w:tcBorders>
            <w:shd w:val="clear" w:color="000000" w:fill="EDEDED"/>
            <w:vAlign w:val="bottom"/>
          </w:tcPr>
          <w:p w14:paraId="16192B77" w14:textId="017E7E8B" w:rsidR="002C51C9" w:rsidRDefault="002C51C9" w:rsidP="003E7268">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nil"/>
              <w:right w:val="nil"/>
            </w:tcBorders>
            <w:shd w:val="clear" w:color="000000" w:fill="EDEDED"/>
            <w:vAlign w:val="bottom"/>
          </w:tcPr>
          <w:p w14:paraId="5EA52CE0" w14:textId="77777777" w:rsidR="002C51C9" w:rsidRDefault="002C51C9" w:rsidP="003E7268">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14:paraId="01B77382" w14:textId="77777777" w:rsidR="002C51C9" w:rsidRPr="00E672CA" w:rsidRDefault="002C51C9" w:rsidP="003E7268">
            <w:pPr>
              <w:rPr>
                <w:rFonts w:ascii="Calibri" w:hAnsi="Calibri" w:cs="Calibri"/>
                <w:color w:val="000000"/>
                <w:sz w:val="22"/>
                <w:szCs w:val="22"/>
              </w:rPr>
            </w:pPr>
          </w:p>
        </w:tc>
      </w:tr>
      <w:tr w:rsidR="002C51C9" w14:paraId="56F575C0" w14:textId="77777777" w:rsidTr="0049228A">
        <w:trPr>
          <w:gridAfter w:val="2"/>
          <w:wAfter w:w="3420" w:type="dxa"/>
          <w:trHeight w:val="289"/>
        </w:trPr>
        <w:tc>
          <w:tcPr>
            <w:tcW w:w="2790" w:type="dxa"/>
            <w:gridSpan w:val="2"/>
            <w:tcBorders>
              <w:top w:val="nil"/>
              <w:bottom w:val="nil"/>
              <w:right w:val="nil"/>
            </w:tcBorders>
            <w:shd w:val="clear" w:color="000000" w:fill="EDEDED"/>
            <w:noWrap/>
            <w:vAlign w:val="bottom"/>
          </w:tcPr>
          <w:p w14:paraId="7D1B462B" w14:textId="7F515731" w:rsidR="002C51C9" w:rsidRDefault="002C51C9" w:rsidP="003E7268">
            <w:pPr>
              <w:rPr>
                <w:rFonts w:ascii="Calibri" w:hAnsi="Calibri" w:cs="Calibri"/>
                <w:color w:val="000000"/>
                <w:sz w:val="22"/>
                <w:szCs w:val="22"/>
              </w:rPr>
            </w:pPr>
            <w:r>
              <w:rPr>
                <w:rFonts w:ascii="Calibri" w:hAnsi="Calibri" w:cs="Calibri"/>
                <w:color w:val="000000"/>
                <w:sz w:val="22"/>
                <w:szCs w:val="22"/>
              </w:rPr>
              <w:t>Systems 100,001-1,000,000</w:t>
            </w:r>
          </w:p>
        </w:tc>
        <w:tc>
          <w:tcPr>
            <w:tcW w:w="1620" w:type="dxa"/>
            <w:gridSpan w:val="2"/>
            <w:tcBorders>
              <w:top w:val="nil"/>
              <w:left w:val="nil"/>
              <w:bottom w:val="nil"/>
              <w:right w:val="nil"/>
            </w:tcBorders>
            <w:shd w:val="clear" w:color="000000" w:fill="EDEDED"/>
            <w:vAlign w:val="bottom"/>
          </w:tcPr>
          <w:p w14:paraId="1A5FE898" w14:textId="6E8AE3B7" w:rsidR="002C51C9" w:rsidRDefault="002C51C9" w:rsidP="00AE14EF">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nil"/>
              <w:right w:val="nil"/>
            </w:tcBorders>
            <w:shd w:val="clear" w:color="000000" w:fill="EDEDED"/>
            <w:vAlign w:val="bottom"/>
          </w:tcPr>
          <w:p w14:paraId="6C6AC431" w14:textId="77777777" w:rsidR="002C51C9" w:rsidRDefault="002C51C9" w:rsidP="00AE14EF">
            <w:pPr>
              <w:rPr>
                <w:rFonts w:ascii="Calibri" w:hAnsi="Calibri" w:cs="Calibri"/>
                <w:color w:val="000000"/>
                <w:sz w:val="22"/>
                <w:szCs w:val="22"/>
              </w:rPr>
            </w:pPr>
          </w:p>
        </w:tc>
      </w:tr>
      <w:tr w:rsidR="002C51C9" w14:paraId="58BEC667" w14:textId="77777777" w:rsidTr="0049228A">
        <w:trPr>
          <w:gridAfter w:val="2"/>
          <w:wAfter w:w="3420" w:type="dxa"/>
          <w:trHeight w:val="289"/>
        </w:trPr>
        <w:tc>
          <w:tcPr>
            <w:tcW w:w="2790" w:type="dxa"/>
            <w:gridSpan w:val="2"/>
            <w:tcBorders>
              <w:top w:val="nil"/>
              <w:bottom w:val="single" w:sz="4" w:space="0" w:color="000000"/>
              <w:right w:val="nil"/>
            </w:tcBorders>
            <w:shd w:val="clear" w:color="000000" w:fill="EDEDED"/>
            <w:noWrap/>
            <w:vAlign w:val="bottom"/>
          </w:tcPr>
          <w:p w14:paraId="21B31A99" w14:textId="28FA93E9" w:rsidR="002C51C9" w:rsidRDefault="002C51C9" w:rsidP="00AE14EF">
            <w:pPr>
              <w:rPr>
                <w:rFonts w:ascii="Calibri" w:hAnsi="Calibri" w:cs="Calibri"/>
                <w:color w:val="000000"/>
                <w:sz w:val="22"/>
                <w:szCs w:val="22"/>
              </w:rPr>
            </w:pPr>
            <w:r>
              <w:rPr>
                <w:rFonts w:ascii="Calibri" w:hAnsi="Calibri" w:cs="Calibri"/>
                <w:color w:val="000000"/>
                <w:sz w:val="22"/>
                <w:szCs w:val="22"/>
              </w:rPr>
              <w:t>Systems &gt;1,000,000</w:t>
            </w:r>
          </w:p>
        </w:tc>
        <w:tc>
          <w:tcPr>
            <w:tcW w:w="1620" w:type="dxa"/>
            <w:gridSpan w:val="2"/>
            <w:tcBorders>
              <w:top w:val="nil"/>
              <w:left w:val="nil"/>
              <w:bottom w:val="single" w:sz="4" w:space="0" w:color="000000"/>
              <w:right w:val="nil"/>
            </w:tcBorders>
            <w:shd w:val="clear" w:color="000000" w:fill="EDEDED"/>
            <w:vAlign w:val="bottom"/>
          </w:tcPr>
          <w:p w14:paraId="6F101CDF" w14:textId="69913455" w:rsidR="002C51C9" w:rsidRDefault="002C51C9" w:rsidP="00AE14EF">
            <w:pPr>
              <w:rPr>
                <w:rFonts w:ascii="Calibri" w:hAnsi="Calibri" w:cs="Calibri"/>
                <w:color w:val="000000"/>
                <w:sz w:val="22"/>
                <w:szCs w:val="22"/>
              </w:rPr>
            </w:pPr>
            <w:r>
              <w:rPr>
                <w:rFonts w:ascii="Calibri" w:hAnsi="Calibri" w:cs="Calibri"/>
                <w:color w:val="000000"/>
                <w:sz w:val="22"/>
                <w:szCs w:val="22"/>
              </w:rPr>
              <w:t>20</w:t>
            </w:r>
          </w:p>
        </w:tc>
        <w:tc>
          <w:tcPr>
            <w:tcW w:w="1530" w:type="dxa"/>
            <w:tcBorders>
              <w:top w:val="nil"/>
              <w:left w:val="nil"/>
              <w:bottom w:val="single" w:sz="4" w:space="0" w:color="000000"/>
              <w:right w:val="nil"/>
            </w:tcBorders>
            <w:shd w:val="clear" w:color="000000" w:fill="EDEDED"/>
            <w:vAlign w:val="bottom"/>
          </w:tcPr>
          <w:p w14:paraId="5830872E" w14:textId="77777777" w:rsidR="002C51C9" w:rsidRDefault="002C51C9" w:rsidP="00AE14EF">
            <w:pPr>
              <w:rPr>
                <w:rFonts w:ascii="Calibri" w:hAnsi="Calibri" w:cs="Calibri"/>
                <w:color w:val="000000"/>
                <w:sz w:val="22"/>
                <w:szCs w:val="22"/>
              </w:rPr>
            </w:pPr>
          </w:p>
        </w:tc>
      </w:tr>
    </w:tbl>
    <w:p w14:paraId="502D0821" w14:textId="77777777" w:rsidR="00881798" w:rsidRPr="005104C1" w:rsidRDefault="00881798" w:rsidP="00DF3D04"/>
    <w:sectPr w:rsidR="00881798" w:rsidRPr="005104C1" w:rsidSect="007A5B04">
      <w:footerReference w:type="default" r:id="rId24"/>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E4A0A" w14:textId="77777777" w:rsidR="001F65BC" w:rsidRDefault="001F65BC">
      <w:r>
        <w:separator/>
      </w:r>
    </w:p>
  </w:endnote>
  <w:endnote w:type="continuationSeparator" w:id="0">
    <w:p w14:paraId="7D0FD48C" w14:textId="77777777" w:rsidR="001F65BC" w:rsidRDefault="001F65BC">
      <w:r>
        <w:continuationSeparator/>
      </w:r>
    </w:p>
  </w:endnote>
  <w:endnote w:type="continuationNotice" w:id="1">
    <w:p w14:paraId="0B75FEC6" w14:textId="77777777" w:rsidR="001F65BC" w:rsidRDefault="001F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E1714" w14:textId="77777777" w:rsidR="007A79EF" w:rsidRPr="00DB2FFE" w:rsidRDefault="007A79EF" w:rsidP="00002F5B">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04C2" w14:textId="77777777" w:rsidR="007A79EF" w:rsidRPr="00DB2FFE" w:rsidRDefault="007A79EF" w:rsidP="00002F5B">
    <w:pPr>
      <w:pStyle w:val="Footer"/>
      <w:rPr>
        <w:i/>
        <w:sz w:val="20"/>
      </w:rPr>
    </w:pPr>
    <w:r w:rsidRPr="00843980">
      <w:rPr>
        <w:i/>
        <w:sz w:val="20"/>
      </w:rPr>
      <w:ptab w:relativeTo="margin" w:alignment="center" w:leader="none"/>
    </w:r>
    <w:r w:rsidRPr="00843980">
      <w:rPr>
        <w:i/>
        <w:sz w:val="20"/>
      </w:rPr>
      <w:ptab w:relativeTo="margin" w:alignment="right" w:leader="none"/>
    </w:r>
    <w:r w:rsidRPr="00843980">
      <w:rPr>
        <w:i/>
        <w:sz w:val="20"/>
      </w:rPr>
      <w:fldChar w:fldCharType="begin"/>
    </w:r>
    <w:r w:rsidRPr="00843980">
      <w:rPr>
        <w:i/>
        <w:sz w:val="20"/>
      </w:rPr>
      <w:instrText xml:space="preserve"> PAGE   \* MERGEFORMAT </w:instrText>
    </w:r>
    <w:r w:rsidRPr="00843980">
      <w:rPr>
        <w:i/>
        <w:sz w:val="20"/>
      </w:rPr>
      <w:fldChar w:fldCharType="separate"/>
    </w:r>
    <w:r w:rsidR="00085335">
      <w:rPr>
        <w:i/>
        <w:noProof/>
        <w:sz w:val="20"/>
      </w:rPr>
      <w:t>i</w:t>
    </w:r>
    <w:r w:rsidRPr="00843980">
      <w:rPr>
        <w:i/>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C10D4" w14:textId="77777777" w:rsidR="007A79EF" w:rsidRPr="004C0E23" w:rsidRDefault="007A79EF" w:rsidP="00002F5B">
    <w:pPr>
      <w:pStyle w:val="Footer"/>
      <w:rPr>
        <w:i/>
      </w:rPr>
    </w:pPr>
    <w:r w:rsidRPr="00700F1A">
      <w:rPr>
        <w:i/>
        <w:sz w:val="20"/>
      </w:rPr>
      <w:t>Draft</w:t>
    </w:r>
    <w:r>
      <w:tab/>
    </w:r>
    <w:r>
      <w:tab/>
    </w:r>
    <w:r w:rsidRPr="004C0E23">
      <w:rPr>
        <w:i/>
        <w:sz w:val="20"/>
      </w:rPr>
      <w:fldChar w:fldCharType="begin"/>
    </w:r>
    <w:r w:rsidRPr="004C0E23">
      <w:rPr>
        <w:i/>
        <w:sz w:val="20"/>
      </w:rPr>
      <w:instrText xml:space="preserve"> PAGE   \* MERGEFORMAT </w:instrText>
    </w:r>
    <w:r w:rsidRPr="004C0E23">
      <w:rPr>
        <w:i/>
        <w:sz w:val="20"/>
      </w:rPr>
      <w:fldChar w:fldCharType="separate"/>
    </w:r>
    <w:r>
      <w:rPr>
        <w:i/>
        <w:noProof/>
        <w:sz w:val="20"/>
      </w:rPr>
      <w:t>i</w:t>
    </w:r>
    <w:r w:rsidRPr="004C0E23">
      <w:rPr>
        <w:i/>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636056"/>
      <w:docPartObj>
        <w:docPartGallery w:val="Page Numbers (Bottom of Page)"/>
        <w:docPartUnique/>
      </w:docPartObj>
    </w:sdtPr>
    <w:sdtEndPr>
      <w:rPr>
        <w:noProof/>
      </w:rPr>
    </w:sdtEndPr>
    <w:sdtContent>
      <w:p w14:paraId="7D5A8B85" w14:textId="77777777" w:rsidR="007A79EF" w:rsidRDefault="007A79E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15A7747D" w14:textId="77777777" w:rsidR="007A79EF" w:rsidRDefault="007A7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43148" w14:textId="77777777" w:rsidR="001F65BC" w:rsidRDefault="001F65BC">
      <w:r>
        <w:separator/>
      </w:r>
    </w:p>
  </w:footnote>
  <w:footnote w:type="continuationSeparator" w:id="0">
    <w:p w14:paraId="5E3ED547" w14:textId="77777777" w:rsidR="001F65BC" w:rsidRDefault="001F65BC">
      <w:r>
        <w:continuationSeparator/>
      </w:r>
    </w:p>
  </w:footnote>
  <w:footnote w:type="continuationNotice" w:id="1">
    <w:p w14:paraId="3D1C7B29" w14:textId="77777777" w:rsidR="001F65BC" w:rsidRDefault="001F65BC"/>
  </w:footnote>
  <w:footnote w:id="2">
    <w:p w14:paraId="435A6A0E" w14:textId="77777777" w:rsidR="007A79EF" w:rsidRDefault="007A79EF">
      <w:pPr>
        <w:pStyle w:val="FootnoteText"/>
      </w:pPr>
      <w:r>
        <w:rPr>
          <w:rStyle w:val="FootnoteReference"/>
        </w:rPr>
        <w:footnoteRef/>
      </w:r>
      <w: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3">
    <w:p w14:paraId="7EA37898" w14:textId="77777777" w:rsidR="007A79EF" w:rsidRDefault="007A79EF">
      <w:pPr>
        <w:pStyle w:val="FootnoteText"/>
      </w:pPr>
      <w:r w:rsidRPr="00896295">
        <w:rPr>
          <w:rStyle w:val="FootnoteReference"/>
          <w:sz w:val="24"/>
          <w:szCs w:val="24"/>
        </w:rPr>
        <w:footnoteRef/>
      </w:r>
      <w:r>
        <w:t xml:space="preserve"> </w:t>
      </w:r>
      <w:r w:rsidRPr="00856859">
        <w:t>When the system’s lead 90th percentile level is above 15 μg/L</w:t>
      </w:r>
      <w:r>
        <w:t>.</w:t>
      </w:r>
    </w:p>
  </w:footnote>
  <w:footnote w:id="4">
    <w:p w14:paraId="6056536E" w14:textId="77777777" w:rsidR="007A79EF" w:rsidRDefault="007A79EF" w:rsidP="00FE664D">
      <w:pPr>
        <w:pStyle w:val="FootnoteText"/>
      </w:pPr>
      <w:r w:rsidRPr="00896295">
        <w:rPr>
          <w:rStyle w:val="FootnoteReference"/>
          <w:sz w:val="24"/>
          <w:szCs w:val="24"/>
        </w:rPr>
        <w:footnoteRef/>
      </w:r>
      <w:r w:rsidRPr="00896295">
        <w:rPr>
          <w:rStyle w:val="FootnoteReference"/>
          <w:sz w:val="24"/>
          <w:szCs w:val="24"/>
        </w:rPr>
        <w:t xml:space="preserve"> </w:t>
      </w:r>
      <w:r w:rsidRPr="00856859">
        <w:t>When the system’s lead 90th percentile level is above 10 µg/L</w:t>
      </w:r>
      <w:r>
        <w:t>,</w:t>
      </w:r>
      <w:r w:rsidRPr="00856859">
        <w:t xml:space="preserve"> but does not exceed 15 µg/L.</w:t>
      </w:r>
    </w:p>
  </w:footnote>
  <w:footnote w:id="5">
    <w:p w14:paraId="6ACB98AC" w14:textId="77777777" w:rsidR="007A79EF" w:rsidRDefault="007A79EF" w:rsidP="005E2D56">
      <w:pPr>
        <w:autoSpaceDE w:val="0"/>
        <w:autoSpaceDN w:val="0"/>
        <w:adjustRightInd w:val="0"/>
      </w:pPr>
      <w:r>
        <w:rPr>
          <w:rStyle w:val="FootnoteReference"/>
        </w:rPr>
        <w:footnoteRef/>
      </w:r>
      <w:r>
        <w:t xml:space="preserve"> </w:t>
      </w:r>
      <w:r>
        <w:rPr>
          <w:sz w:val="20"/>
          <w:szCs w:val="20"/>
        </w:rPr>
        <w:t>Throughout the rest of this document, the term primacy agency refers to a state, territory, or federally-recognized tribe that has been granted primacy with respect to the LCR or the appropriate EPA Region (where the state, territory, or tribe does not have primacy).</w:t>
      </w:r>
    </w:p>
  </w:footnote>
  <w:footnote w:id="6">
    <w:p w14:paraId="1FACE60A" w14:textId="4D557FA8" w:rsidR="007A79EF" w:rsidRDefault="007A79EF">
      <w:pPr>
        <w:pStyle w:val="FootnoteText"/>
      </w:pPr>
      <w:r>
        <w:rPr>
          <w:rStyle w:val="FootnoteReference"/>
        </w:rPr>
        <w:footnoteRef/>
      </w:r>
      <w:r>
        <w:t xml:space="preserve"> </w:t>
      </w:r>
      <w:r w:rsidRPr="00F26ACD">
        <w:t xml:space="preserve"> </w:t>
      </w:r>
      <w:r>
        <w:t>S</w:t>
      </w:r>
      <w:r w:rsidRPr="00F26ACD">
        <w:t>ystems will no longer be allowed to</w:t>
      </w:r>
      <w:r>
        <w:t xml:space="preserve"> count possible </w:t>
      </w:r>
      <w:r w:rsidRPr="00F26ACD">
        <w:t>LSL</w:t>
      </w:r>
      <w:r>
        <w:t>s that testing indicates are not LSLs toward the replacement goal.</w:t>
      </w:r>
    </w:p>
  </w:footnote>
  <w:footnote w:id="7">
    <w:p w14:paraId="4701C24F" w14:textId="77777777" w:rsidR="007A79EF" w:rsidRDefault="007A79EF" w:rsidP="000543B3">
      <w:pPr>
        <w:pStyle w:val="FootnoteText"/>
      </w:pPr>
      <w:r>
        <w:rPr>
          <w:rStyle w:val="FootnoteReference"/>
        </w:rPr>
        <w:footnoteRef/>
      </w:r>
      <w:r>
        <w:t xml:space="preserve"> Participants were: </w:t>
      </w:r>
      <w:r w:rsidRPr="000C4C6F">
        <w:t>the National Governors’ Association, the National Conference of State Legislatures, the Council of State Governments, the National League of Cities, the U.S. Conference of Mayors, the National Association of Counties, the International City/County Management Association, the National Association of Towns and Townships, the County Executives of America, and the Environmental Council of States. Additionally, the Agency invited the Association of State Drinking Water Administrators, the Association of Metropolitan Water Agencies, the National Rural Water Association, the American Water Works Association, the American Public Works Association, the National School Board Association, the American Association of School Administrators, and the Western Governors’ Association</w:t>
      </w:r>
      <w:r>
        <w:t xml:space="preserve">. For more information regarding the LCR Federalism Consultation, refer to: </w:t>
      </w:r>
      <w:hyperlink r:id="rId1" w:history="1">
        <w:r w:rsidRPr="000B2DC8">
          <w:rPr>
            <w:rStyle w:val="Hyperlink"/>
          </w:rPr>
          <w:t>https://www.epa.gov/dwstandardsregulations/lcr-federalism-consultation</w:t>
        </w:r>
      </w:hyperlink>
      <w:r>
        <w:t xml:space="preserve">. </w:t>
      </w:r>
    </w:p>
  </w:footnote>
  <w:footnote w:id="8">
    <w:p w14:paraId="29881EC7" w14:textId="77777777" w:rsidR="007A79EF" w:rsidRDefault="007A79EF">
      <w:pPr>
        <w:pStyle w:val="FootnoteText"/>
      </w:pPr>
      <w:r>
        <w:rPr>
          <w:rStyle w:val="FootnoteReference"/>
        </w:rPr>
        <w:footnoteRef/>
      </w:r>
      <w:r>
        <w:t xml:space="preserve"> </w:t>
      </w:r>
      <w:hyperlink r:id="rId2" w:history="1">
        <w:r w:rsidRPr="00C26548">
          <w:rPr>
            <w:rStyle w:val="Hyperlink"/>
          </w:rPr>
          <w:t>https://www.epa.gov/dwstandardsregulations/ndwac-recommendations-administrator-long-term-revisions-lead-and-copper-rule</w:t>
        </w:r>
      </w:hyperlink>
    </w:p>
  </w:footnote>
  <w:footnote w:id="9">
    <w:p w14:paraId="6611761B" w14:textId="77777777" w:rsidR="007A79EF" w:rsidRDefault="007A79EF">
      <w:pPr>
        <w:pStyle w:val="FootnoteText"/>
      </w:pPr>
      <w:r>
        <w:rPr>
          <w:rStyle w:val="FootnoteReference"/>
        </w:rPr>
        <w:footnoteRef/>
      </w:r>
      <w:r>
        <w:t xml:space="preserve"> For more information regarding the tribal consultation, refer to the EPA Tribal Portal site at: </w:t>
      </w:r>
      <w:hyperlink r:id="rId3" w:history="1">
        <w:r w:rsidRPr="00EA1072">
          <w:rPr>
            <w:rStyle w:val="Hyperlink"/>
          </w:rPr>
          <w:t>http://www.epa.gov/tribal/consultation/index.htm</w:t>
        </w:r>
      </w:hyperlink>
      <w:r>
        <w:t>.</w:t>
      </w:r>
    </w:p>
  </w:footnote>
  <w:footnote w:id="10">
    <w:p w14:paraId="46ECE464" w14:textId="79FACD05" w:rsidR="007A79EF" w:rsidRPr="00D608B4" w:rsidRDefault="007A79EF" w:rsidP="00C203D5">
      <w:pPr>
        <w:rPr>
          <w:sz w:val="20"/>
          <w:szCs w:val="20"/>
        </w:rPr>
      </w:pPr>
      <w:r w:rsidRPr="004043A5">
        <w:rPr>
          <w:rStyle w:val="FootnoteReference"/>
          <w:sz w:val="20"/>
        </w:rPr>
        <w:footnoteRef/>
      </w:r>
      <w:r>
        <w:t xml:space="preserve"> </w:t>
      </w:r>
      <w:r w:rsidRPr="00D608B4">
        <w:rPr>
          <w:sz w:val="20"/>
          <w:szCs w:val="20"/>
        </w:rPr>
        <w:t xml:space="preserve">There are two types of costs that may result from the </w:t>
      </w:r>
      <w:r>
        <w:rPr>
          <w:sz w:val="20"/>
          <w:szCs w:val="20"/>
        </w:rPr>
        <w:t>proposed LCRR</w:t>
      </w:r>
      <w:r w:rsidRPr="00D608B4">
        <w:rPr>
          <w:sz w:val="20"/>
          <w:szCs w:val="20"/>
        </w:rPr>
        <w:t xml:space="preserve"> rule changes – direct and indirect</w:t>
      </w:r>
      <w:r>
        <w:rPr>
          <w:sz w:val="20"/>
          <w:szCs w:val="20"/>
        </w:rPr>
        <w:t xml:space="preserve">. </w:t>
      </w:r>
      <w:r w:rsidRPr="00D608B4">
        <w:rPr>
          <w:sz w:val="20"/>
          <w:szCs w:val="20"/>
        </w:rPr>
        <w:t>Direct costs are from those activities that are specified by the rule change, such as costs for additional monitoring or distribution of consumer notices</w:t>
      </w:r>
      <w:r>
        <w:rPr>
          <w:sz w:val="20"/>
          <w:szCs w:val="20"/>
        </w:rPr>
        <w:t xml:space="preserve">. </w:t>
      </w:r>
      <w:r w:rsidRPr="00D608B4">
        <w:rPr>
          <w:sz w:val="20"/>
          <w:szCs w:val="20"/>
        </w:rPr>
        <w:t xml:space="preserve">A second type of cost may also result when systems and </w:t>
      </w:r>
      <w:r>
        <w:rPr>
          <w:sz w:val="20"/>
          <w:szCs w:val="20"/>
        </w:rPr>
        <w:t>primacy agencies</w:t>
      </w:r>
      <w:r w:rsidRPr="00D608B4">
        <w:rPr>
          <w:sz w:val="20"/>
          <w:szCs w:val="20"/>
        </w:rPr>
        <w:t xml:space="preserve"> use the information generated by the directly–related rule activities to modify or enhance practices to reduce lead levels</w:t>
      </w:r>
      <w:r>
        <w:rPr>
          <w:sz w:val="20"/>
          <w:szCs w:val="20"/>
        </w:rPr>
        <w:t xml:space="preserve">. </w:t>
      </w:r>
      <w:r w:rsidRPr="00D608B4">
        <w:rPr>
          <w:sz w:val="20"/>
          <w:szCs w:val="20"/>
        </w:rPr>
        <w:t>Section 6 focuses solely on the estimation of direct costs</w:t>
      </w:r>
      <w:r>
        <w:rPr>
          <w:sz w:val="20"/>
          <w:szCs w:val="20"/>
        </w:rPr>
        <w:t xml:space="preserve"> for implementation activities</w:t>
      </w:r>
    </w:p>
    <w:p w14:paraId="0902B077" w14:textId="77777777" w:rsidR="007A79EF" w:rsidRDefault="007A79EF" w:rsidP="00C203D5">
      <w:pPr>
        <w:pStyle w:val="FootnoteText"/>
      </w:pPr>
    </w:p>
  </w:footnote>
  <w:footnote w:id="11">
    <w:p w14:paraId="6D0EBEB9" w14:textId="77777777" w:rsidR="007A79EF" w:rsidRDefault="007A79EF" w:rsidP="00583E88">
      <w:pPr>
        <w:pStyle w:val="FootnoteText"/>
      </w:pPr>
      <w:r>
        <w:rPr>
          <w:rStyle w:val="FootnoteReference"/>
        </w:rPr>
        <w:footnoteRef/>
      </w:r>
      <w:r>
        <w:t xml:space="preserve"> </w:t>
      </w:r>
      <w:r w:rsidRPr="005048A2">
        <w:t>Cornwell, D.A, R.A. Brown, and S.H Via. 2016. National Survey of Lead Service Line Occurrence. Journal American Water Works Association. 108(4):E182-E191.</w:t>
      </w:r>
    </w:p>
  </w:footnote>
  <w:footnote w:id="12">
    <w:p w14:paraId="69B7AA6D" w14:textId="77777777" w:rsidR="007A79EF" w:rsidRDefault="007A79EF" w:rsidP="00583E88">
      <w:pPr>
        <w:pStyle w:val="FootnoteText"/>
      </w:pPr>
      <w:r>
        <w:rPr>
          <w:rStyle w:val="FootnoteReference"/>
        </w:rPr>
        <w:footnoteRef/>
      </w:r>
      <w:r>
        <w:t xml:space="preserve"> </w:t>
      </w:r>
      <w:r w:rsidRPr="005048A2">
        <w:t>USEPA. 1991. Drinking Water Regulations; Maximum Contaminant Level Goals and National Primary Drinking Water Regulations for Lead and Copper; Regulatory Impact Analysis. RIN 2040-AB51.</w:t>
      </w:r>
    </w:p>
  </w:footnote>
  <w:footnote w:id="13">
    <w:p w14:paraId="51525785" w14:textId="7D9581C2" w:rsidR="007A79EF" w:rsidRDefault="007A79EF">
      <w:pPr>
        <w:pStyle w:val="FootnoteText"/>
      </w:pPr>
      <w:r>
        <w:rPr>
          <w:rStyle w:val="FootnoteReference"/>
        </w:rPr>
        <w:footnoteRef/>
      </w:r>
      <w:r>
        <w:t xml:space="preserve"> The number of systems submitting demonstrations of no LSLs is lower in the high cost scenario because more systems are estimated to have LSLs in that scenario. Thus, the total burden associated with this activity in the high cost scenario is lower, because these systems would instead undertake the higher burden and cost activities of an LSL inventory and LSLR planning.</w:t>
      </w:r>
    </w:p>
  </w:footnote>
  <w:footnote w:id="14">
    <w:p w14:paraId="6A86FDFD" w14:textId="6F3E09E0" w:rsidR="007A79EF" w:rsidRDefault="007A79EF" w:rsidP="00445ADD">
      <w:pPr>
        <w:pStyle w:val="FootnoteText"/>
      </w:pPr>
      <w:r>
        <w:rPr>
          <w:rStyle w:val="FootnoteReference"/>
        </w:rPr>
        <w:footnoteRef/>
      </w:r>
      <w:r>
        <w:t xml:space="preserve"> The total burden for primacy agencies to review demonstrations of no LSLs is lower in the high cost scenario because more systems are estimated to have LSLs in that scenario. For these systems, primacy agencies would instead undertake the higher burden and cost activities of reviewing LSL inventories and assisting with LSLR planning.</w:t>
      </w:r>
    </w:p>
  </w:footnote>
  <w:footnote w:id="15">
    <w:p w14:paraId="48F0D664" w14:textId="060E13B6" w:rsidR="007A79EF" w:rsidRDefault="007A79EF">
      <w:pPr>
        <w:pStyle w:val="FootnoteText"/>
      </w:pPr>
      <w:r>
        <w:rPr>
          <w:rStyle w:val="FootnoteReference"/>
        </w:rPr>
        <w:footnoteRef/>
      </w:r>
      <w:r>
        <w:t xml:space="preserve"> </w:t>
      </w:r>
      <w:r w:rsidRPr="003E6E12">
        <w:t>For several of these entities, primacy activities are actually implemented by EPA Regional offices</w:t>
      </w:r>
      <w:r>
        <w:t xml:space="preserve">. </w:t>
      </w:r>
      <w:r w:rsidRPr="003E6E12">
        <w:t>However, as a simplifying assumption, they are included with the states for respondent calculations under this ICR.</w:t>
      </w:r>
    </w:p>
  </w:footnote>
  <w:footnote w:id="16">
    <w:p w14:paraId="70637D8E" w14:textId="6257A2F7" w:rsidR="007A79EF" w:rsidRDefault="007A79EF">
      <w:pPr>
        <w:pStyle w:val="FootnoteText"/>
      </w:pPr>
      <w:r>
        <w:rPr>
          <w:rStyle w:val="FootnoteReference"/>
        </w:rPr>
        <w:footnoteRef/>
      </w:r>
      <w:r>
        <w:t xml:space="preserve"> To accommodate reporting form requirements, entries will be the mean values of each range reported in this section.</w:t>
      </w:r>
    </w:p>
  </w:footnote>
  <w:footnote w:id="17">
    <w:p w14:paraId="1D9F33CD" w14:textId="147EFCE4" w:rsidR="007A79EF" w:rsidRDefault="007A79EF">
      <w:pPr>
        <w:pStyle w:val="FootnoteText"/>
      </w:pPr>
      <w:r>
        <w:rPr>
          <w:rStyle w:val="FootnoteReference"/>
        </w:rPr>
        <w:footnoteRef/>
      </w:r>
      <w:r>
        <w:t xml:space="preserve"> Derivation of the burden and rate estimates are provided in the Economic Analysis for the Proposed Lead and Copper Rule Revisions in the rule docket, </w:t>
      </w:r>
      <w:r w:rsidRPr="00F8006D">
        <w:t>EPA-HQ-OW-2017-0300</w:t>
      </w:r>
    </w:p>
  </w:footnote>
  <w:footnote w:id="18">
    <w:p w14:paraId="7F930707" w14:textId="77777777" w:rsidR="007A79EF" w:rsidRDefault="007A79EF">
      <w:pPr>
        <w:pStyle w:val="FootnoteText"/>
      </w:pPr>
      <w:r>
        <w:rPr>
          <w:rStyle w:val="FootnoteReference"/>
        </w:rPr>
        <w:footnoteRef/>
      </w:r>
      <w:r>
        <w:t xml:space="preserve"> Economic Analysis for the Final Ground Water Rule, EPA 815-R-06-014.</w:t>
      </w:r>
    </w:p>
  </w:footnote>
  <w:footnote w:id="19">
    <w:p w14:paraId="4681834A" w14:textId="32B0E412" w:rsidR="007A79EF" w:rsidRPr="002A6726" w:rsidRDefault="007A79EF" w:rsidP="002A6726">
      <w:pPr>
        <w:rPr>
          <w:sz w:val="20"/>
          <w:szCs w:val="20"/>
        </w:rPr>
      </w:pPr>
      <w:r w:rsidRPr="002A6726">
        <w:rPr>
          <w:rStyle w:val="FootnoteReference"/>
          <w:sz w:val="20"/>
          <w:szCs w:val="20"/>
        </w:rPr>
        <w:footnoteRef/>
      </w:r>
      <w:r w:rsidRPr="002A6726">
        <w:rPr>
          <w:sz w:val="20"/>
          <w:szCs w:val="20"/>
        </w:rPr>
        <w:t xml:space="preserve"> Information Collection Request for the </w:t>
      </w:r>
      <w:r w:rsidRPr="00620811">
        <w:rPr>
          <w:i/>
          <w:sz w:val="20"/>
          <w:szCs w:val="20"/>
        </w:rPr>
        <w:t>Public Water System Supervision Program</w:t>
      </w:r>
      <w:r>
        <w:rPr>
          <w:sz w:val="20"/>
          <w:szCs w:val="20"/>
        </w:rPr>
        <w:t xml:space="preserve"> (</w:t>
      </w:r>
      <w:r w:rsidRPr="002A6726">
        <w:rPr>
          <w:sz w:val="20"/>
          <w:szCs w:val="20"/>
        </w:rPr>
        <w:t>OMB control number 2040-0090</w:t>
      </w:r>
      <w:r>
        <w:rPr>
          <w:sz w:val="20"/>
          <w:szCs w:val="20"/>
        </w:rPr>
        <w:t>, EPA ID 1895.10)</w:t>
      </w:r>
      <w:r w:rsidRPr="002A6726">
        <w:rPr>
          <w:sz w:val="20"/>
          <w:szCs w:val="20"/>
        </w:rPr>
        <w:t>.</w:t>
      </w:r>
    </w:p>
    <w:p w14:paraId="71968F83" w14:textId="77777777" w:rsidR="007A79EF" w:rsidRDefault="007A79EF">
      <w:pPr>
        <w:pStyle w:val="FootnoteText"/>
      </w:pPr>
    </w:p>
  </w:footnote>
  <w:footnote w:id="20">
    <w:p w14:paraId="380C886E" w14:textId="77777777" w:rsidR="007A79EF" w:rsidRPr="00952585" w:rsidRDefault="007A79EF">
      <w:pPr>
        <w:pStyle w:val="FootnoteText"/>
      </w:pPr>
      <w:r w:rsidRPr="00952585">
        <w:rPr>
          <w:rStyle w:val="FootnoteReference"/>
        </w:rPr>
        <w:footnoteRef/>
      </w:r>
      <w:r w:rsidRPr="00952585">
        <w:t xml:space="preserve"> </w:t>
      </w:r>
      <w:r w:rsidRPr="00952585">
        <w:rPr>
          <w:color w:val="000000"/>
        </w:rPr>
        <w:t>Bureau of Labor Statistics (BLS) accessed: https://stats.bls.gov/oes/2016/May/oes192041.htm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0AE6" w14:textId="77777777" w:rsidR="007A79EF" w:rsidRDefault="007A7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52A4FFA"/>
    <w:lvl w:ilvl="0">
      <w:start w:val="1"/>
      <w:numFmt w:val="bullet"/>
      <w:lvlText w:val=""/>
      <w:lvlJc w:val="left"/>
      <w:pPr>
        <w:tabs>
          <w:tab w:val="num" w:pos="1800"/>
        </w:tabs>
        <w:ind w:left="1800" w:hanging="360"/>
      </w:pPr>
      <w:rPr>
        <w:rFonts w:ascii="Symbol" w:hAnsi="Symbol" w:hint="default"/>
      </w:rPr>
    </w:lvl>
  </w:abstractNum>
  <w:abstractNum w:abstractNumId="1">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nsid w:val="000B5A7C"/>
    <w:multiLevelType w:val="hybridMultilevel"/>
    <w:tmpl w:val="EB7A5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624DF1"/>
    <w:multiLevelType w:val="hybridMultilevel"/>
    <w:tmpl w:val="970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F33B6"/>
    <w:multiLevelType w:val="hybridMultilevel"/>
    <w:tmpl w:val="F8E61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962A32"/>
    <w:multiLevelType w:val="hybridMultilevel"/>
    <w:tmpl w:val="72B86E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59130CB"/>
    <w:multiLevelType w:val="hybridMultilevel"/>
    <w:tmpl w:val="74A8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57534E"/>
    <w:multiLevelType w:val="hybridMultilevel"/>
    <w:tmpl w:val="5C861F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2EF7FC6"/>
    <w:multiLevelType w:val="hybridMultilevel"/>
    <w:tmpl w:val="32CC2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E66754"/>
    <w:multiLevelType w:val="hybridMultilevel"/>
    <w:tmpl w:val="7816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976F5E"/>
    <w:multiLevelType w:val="hybridMultilevel"/>
    <w:tmpl w:val="85D2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06211"/>
    <w:multiLevelType w:val="hybridMultilevel"/>
    <w:tmpl w:val="6B562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F1CEB"/>
    <w:multiLevelType w:val="hybridMultilevel"/>
    <w:tmpl w:val="77A2F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F172E2"/>
    <w:multiLevelType w:val="hybridMultilevel"/>
    <w:tmpl w:val="7B58614C"/>
    <w:lvl w:ilvl="0" w:tplc="97FC3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8142F"/>
    <w:multiLevelType w:val="hybridMultilevel"/>
    <w:tmpl w:val="7A663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B71290"/>
    <w:multiLevelType w:val="hybridMultilevel"/>
    <w:tmpl w:val="8C04EE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0CE14AF"/>
    <w:multiLevelType w:val="hybridMultilevel"/>
    <w:tmpl w:val="519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DC0554"/>
    <w:multiLevelType w:val="hybridMultilevel"/>
    <w:tmpl w:val="DB8E97BA"/>
    <w:lvl w:ilvl="0" w:tplc="07AE1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137D5"/>
    <w:multiLevelType w:val="hybridMultilevel"/>
    <w:tmpl w:val="2580F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2C5554"/>
    <w:multiLevelType w:val="hybridMultilevel"/>
    <w:tmpl w:val="89BC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5019D2"/>
    <w:multiLevelType w:val="hybridMultilevel"/>
    <w:tmpl w:val="E0665C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076656"/>
    <w:multiLevelType w:val="multilevel"/>
    <w:tmpl w:val="3FE23D9C"/>
    <w:lvl w:ilvl="0">
      <w:start w:val="1"/>
      <w:numFmt w:val="bullet"/>
      <w:lvlText w:val=""/>
      <w:lvlJc w:val="left"/>
      <w:pPr>
        <w:ind w:left="720" w:hanging="360"/>
      </w:pPr>
      <w:rPr>
        <w:rFonts w:ascii="Symbol" w:hAnsi="Symbol" w:hint="default"/>
        <w:color w:val="auto"/>
        <w:sz w:val="22"/>
        <w:szCs w:val="22"/>
      </w:rPr>
    </w:lvl>
    <w:lvl w:ilvl="1">
      <w:numFmt w:val="bullet"/>
      <w:lvlText w:val="-"/>
      <w:lvlJc w:val="left"/>
      <w:pPr>
        <w:ind w:left="1080" w:hanging="360"/>
      </w:pPr>
      <w:rPr>
        <w:rFonts w:ascii="Calibri" w:eastAsia="Calibri" w:hAnsi="Calibri" w:cs="Calibri" w:hint="default"/>
      </w:rPr>
    </w:lvl>
    <w:lvl w:ilvl="2">
      <w:start w:val="1"/>
      <w:numFmt w:val="lowerRoman"/>
      <w:lvlText w:val="%3."/>
      <w:lvlJc w:val="right"/>
      <w:pPr>
        <w:ind w:left="3366" w:hanging="180"/>
      </w:pPr>
      <w:rPr>
        <w:rFonts w:hint="default"/>
      </w:rPr>
    </w:lvl>
    <w:lvl w:ilvl="3">
      <w:start w:val="1"/>
      <w:numFmt w:val="decimal"/>
      <w:lvlText w:val="%4."/>
      <w:lvlJc w:val="left"/>
      <w:pPr>
        <w:ind w:left="360" w:hanging="360"/>
      </w:pPr>
      <w:rPr>
        <w:rFonts w:hint="default"/>
        <w:vertAlign w:val="superscript"/>
      </w:rPr>
    </w:lvl>
    <w:lvl w:ilvl="4">
      <w:start w:val="1"/>
      <w:numFmt w:val="lowerLetter"/>
      <w:lvlText w:val="%5."/>
      <w:lvlJc w:val="left"/>
      <w:pPr>
        <w:ind w:left="4806" w:hanging="360"/>
      </w:pPr>
      <w:rPr>
        <w:rFonts w:hint="default"/>
      </w:rPr>
    </w:lvl>
    <w:lvl w:ilvl="5">
      <w:start w:val="1"/>
      <w:numFmt w:val="lowerRoman"/>
      <w:lvlText w:val="%6."/>
      <w:lvlJc w:val="right"/>
      <w:pPr>
        <w:ind w:left="5526" w:hanging="180"/>
      </w:pPr>
      <w:rPr>
        <w:rFonts w:hint="default"/>
      </w:rPr>
    </w:lvl>
    <w:lvl w:ilvl="6">
      <w:start w:val="1"/>
      <w:numFmt w:val="decimal"/>
      <w:lvlText w:val="%7."/>
      <w:lvlJc w:val="left"/>
      <w:pPr>
        <w:ind w:left="6246" w:hanging="360"/>
      </w:pPr>
      <w:rPr>
        <w:rFonts w:hint="default"/>
      </w:rPr>
    </w:lvl>
    <w:lvl w:ilvl="7">
      <w:start w:val="1"/>
      <w:numFmt w:val="lowerLetter"/>
      <w:lvlText w:val="%8."/>
      <w:lvlJc w:val="left"/>
      <w:pPr>
        <w:ind w:left="6966" w:hanging="360"/>
      </w:pPr>
      <w:rPr>
        <w:rFonts w:hint="default"/>
      </w:rPr>
    </w:lvl>
    <w:lvl w:ilvl="8">
      <w:start w:val="1"/>
      <w:numFmt w:val="lowerRoman"/>
      <w:lvlText w:val="%9."/>
      <w:lvlJc w:val="right"/>
      <w:pPr>
        <w:ind w:left="7686" w:hanging="180"/>
      </w:pPr>
      <w:rPr>
        <w:rFonts w:hint="default"/>
      </w:rPr>
    </w:lvl>
  </w:abstractNum>
  <w:abstractNum w:abstractNumId="22">
    <w:nsid w:val="3E94766C"/>
    <w:multiLevelType w:val="hybridMultilevel"/>
    <w:tmpl w:val="060EBCAE"/>
    <w:lvl w:ilvl="0" w:tplc="002624F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155F6"/>
    <w:multiLevelType w:val="hybridMultilevel"/>
    <w:tmpl w:val="0562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13909"/>
    <w:multiLevelType w:val="hybridMultilevel"/>
    <w:tmpl w:val="97EA6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6A3242F"/>
    <w:multiLevelType w:val="hybridMultilevel"/>
    <w:tmpl w:val="C3146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AF3C72"/>
    <w:multiLevelType w:val="hybridMultilevel"/>
    <w:tmpl w:val="32B83E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FA0E18"/>
    <w:multiLevelType w:val="hybridMultilevel"/>
    <w:tmpl w:val="1B308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4025CF"/>
    <w:multiLevelType w:val="hybridMultilevel"/>
    <w:tmpl w:val="3A7AAC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D737144"/>
    <w:multiLevelType w:val="hybridMultilevel"/>
    <w:tmpl w:val="66844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5272D8"/>
    <w:multiLevelType w:val="hybridMultilevel"/>
    <w:tmpl w:val="466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D635BB"/>
    <w:multiLevelType w:val="hybridMultilevel"/>
    <w:tmpl w:val="F64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80A4D08"/>
    <w:multiLevelType w:val="hybridMultilevel"/>
    <w:tmpl w:val="D65C0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8C756E"/>
    <w:multiLevelType w:val="hybridMultilevel"/>
    <w:tmpl w:val="4136360E"/>
    <w:lvl w:ilvl="0" w:tplc="47B6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3838BB"/>
    <w:multiLevelType w:val="hybridMultilevel"/>
    <w:tmpl w:val="DA4422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6AF6A68"/>
    <w:multiLevelType w:val="hybridMultilevel"/>
    <w:tmpl w:val="ACCA639C"/>
    <w:lvl w:ilvl="0" w:tplc="A82067D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8553282"/>
    <w:multiLevelType w:val="hybridMultilevel"/>
    <w:tmpl w:val="3466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6E1904"/>
    <w:multiLevelType w:val="hybridMultilevel"/>
    <w:tmpl w:val="628895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C0C2937"/>
    <w:multiLevelType w:val="hybridMultilevel"/>
    <w:tmpl w:val="D64CA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5D37D8"/>
    <w:multiLevelType w:val="hybridMultilevel"/>
    <w:tmpl w:val="2530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CB2128"/>
    <w:multiLevelType w:val="hybridMultilevel"/>
    <w:tmpl w:val="01E60F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37"/>
  </w:num>
  <w:num w:numId="4">
    <w:abstractNumId w:val="1"/>
  </w:num>
  <w:num w:numId="5">
    <w:abstractNumId w:val="7"/>
  </w:num>
  <w:num w:numId="6">
    <w:abstractNumId w:val="31"/>
  </w:num>
  <w:num w:numId="7">
    <w:abstractNumId w:val="8"/>
  </w:num>
  <w:num w:numId="8">
    <w:abstractNumId w:val="14"/>
  </w:num>
  <w:num w:numId="9">
    <w:abstractNumId w:val="18"/>
  </w:num>
  <w:num w:numId="10">
    <w:abstractNumId w:val="28"/>
  </w:num>
  <w:num w:numId="11">
    <w:abstractNumId w:val="15"/>
  </w:num>
  <w:num w:numId="12">
    <w:abstractNumId w:val="35"/>
  </w:num>
  <w:num w:numId="13">
    <w:abstractNumId w:val="19"/>
  </w:num>
  <w:num w:numId="14">
    <w:abstractNumId w:val="36"/>
  </w:num>
  <w:num w:numId="15">
    <w:abstractNumId w:val="5"/>
  </w:num>
  <w:num w:numId="16">
    <w:abstractNumId w:val="34"/>
  </w:num>
  <w:num w:numId="17">
    <w:abstractNumId w:val="38"/>
  </w:num>
  <w:num w:numId="18">
    <w:abstractNumId w:val="2"/>
  </w:num>
  <w:num w:numId="19">
    <w:abstractNumId w:val="32"/>
  </w:num>
  <w:num w:numId="20">
    <w:abstractNumId w:val="29"/>
  </w:num>
  <w:num w:numId="21">
    <w:abstractNumId w:val="11"/>
  </w:num>
  <w:num w:numId="22">
    <w:abstractNumId w:val="6"/>
  </w:num>
  <w:num w:numId="23">
    <w:abstractNumId w:val="12"/>
  </w:num>
  <w:num w:numId="24">
    <w:abstractNumId w:val="39"/>
  </w:num>
  <w:num w:numId="25">
    <w:abstractNumId w:val="9"/>
  </w:num>
  <w:num w:numId="26">
    <w:abstractNumId w:val="10"/>
  </w:num>
  <w:num w:numId="27">
    <w:abstractNumId w:val="26"/>
  </w:num>
  <w:num w:numId="28">
    <w:abstractNumId w:val="3"/>
  </w:num>
  <w:num w:numId="29">
    <w:abstractNumId w:val="27"/>
  </w:num>
  <w:num w:numId="30">
    <w:abstractNumId w:val="25"/>
  </w:num>
  <w:num w:numId="31">
    <w:abstractNumId w:val="13"/>
  </w:num>
  <w:num w:numId="32">
    <w:abstractNumId w:val="17"/>
  </w:num>
  <w:num w:numId="33">
    <w:abstractNumId w:val="33"/>
  </w:num>
  <w:num w:numId="34">
    <w:abstractNumId w:val="4"/>
  </w:num>
  <w:num w:numId="3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2"/>
  </w:num>
  <w:num w:numId="38">
    <w:abstractNumId w:val="30"/>
  </w:num>
  <w:num w:numId="39">
    <w:abstractNumId w:val="40"/>
  </w:num>
  <w:num w:numId="40">
    <w:abstractNumId w:val="23"/>
  </w:num>
  <w:num w:numId="41">
    <w:abstractNumId w:val="1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6A"/>
    <w:rsid w:val="00000BA7"/>
    <w:rsid w:val="00002255"/>
    <w:rsid w:val="00002F5B"/>
    <w:rsid w:val="000034C0"/>
    <w:rsid w:val="00003A3A"/>
    <w:rsid w:val="00004497"/>
    <w:rsid w:val="00004D18"/>
    <w:rsid w:val="00006B80"/>
    <w:rsid w:val="00007DAC"/>
    <w:rsid w:val="000107F1"/>
    <w:rsid w:val="00010FE0"/>
    <w:rsid w:val="000111E8"/>
    <w:rsid w:val="0001168E"/>
    <w:rsid w:val="00011BC8"/>
    <w:rsid w:val="00011D69"/>
    <w:rsid w:val="00011D83"/>
    <w:rsid w:val="00011E97"/>
    <w:rsid w:val="00011EA5"/>
    <w:rsid w:val="00011FB1"/>
    <w:rsid w:val="0001242A"/>
    <w:rsid w:val="000136DC"/>
    <w:rsid w:val="00013A61"/>
    <w:rsid w:val="000145B9"/>
    <w:rsid w:val="000148E6"/>
    <w:rsid w:val="00015001"/>
    <w:rsid w:val="00021325"/>
    <w:rsid w:val="00025BF6"/>
    <w:rsid w:val="0003077B"/>
    <w:rsid w:val="00032260"/>
    <w:rsid w:val="00034B35"/>
    <w:rsid w:val="00035051"/>
    <w:rsid w:val="00036E51"/>
    <w:rsid w:val="00040453"/>
    <w:rsid w:val="00040DBE"/>
    <w:rsid w:val="00041430"/>
    <w:rsid w:val="00043178"/>
    <w:rsid w:val="00044AC4"/>
    <w:rsid w:val="00044B2B"/>
    <w:rsid w:val="0004562C"/>
    <w:rsid w:val="00045AAA"/>
    <w:rsid w:val="00045E41"/>
    <w:rsid w:val="000474EA"/>
    <w:rsid w:val="000475E8"/>
    <w:rsid w:val="00047E3D"/>
    <w:rsid w:val="00050585"/>
    <w:rsid w:val="00051001"/>
    <w:rsid w:val="0005265E"/>
    <w:rsid w:val="000526BD"/>
    <w:rsid w:val="00054267"/>
    <w:rsid w:val="000543B3"/>
    <w:rsid w:val="000657C8"/>
    <w:rsid w:val="00066B78"/>
    <w:rsid w:val="00066ED3"/>
    <w:rsid w:val="0007094A"/>
    <w:rsid w:val="00071A2D"/>
    <w:rsid w:val="00072E45"/>
    <w:rsid w:val="000755DB"/>
    <w:rsid w:val="000756F1"/>
    <w:rsid w:val="00075704"/>
    <w:rsid w:val="00077F71"/>
    <w:rsid w:val="0008027F"/>
    <w:rsid w:val="00081277"/>
    <w:rsid w:val="00082BC3"/>
    <w:rsid w:val="0008309A"/>
    <w:rsid w:val="0008444B"/>
    <w:rsid w:val="00085335"/>
    <w:rsid w:val="00090E74"/>
    <w:rsid w:val="0009139C"/>
    <w:rsid w:val="00091976"/>
    <w:rsid w:val="000929DC"/>
    <w:rsid w:val="00093747"/>
    <w:rsid w:val="00093A7F"/>
    <w:rsid w:val="00093BD9"/>
    <w:rsid w:val="000944FC"/>
    <w:rsid w:val="000945AD"/>
    <w:rsid w:val="00094F63"/>
    <w:rsid w:val="0009612C"/>
    <w:rsid w:val="00096630"/>
    <w:rsid w:val="0009701F"/>
    <w:rsid w:val="000976EE"/>
    <w:rsid w:val="000A010F"/>
    <w:rsid w:val="000A2961"/>
    <w:rsid w:val="000A3BD3"/>
    <w:rsid w:val="000A432B"/>
    <w:rsid w:val="000A573A"/>
    <w:rsid w:val="000A6323"/>
    <w:rsid w:val="000A72E4"/>
    <w:rsid w:val="000A73A1"/>
    <w:rsid w:val="000A79E2"/>
    <w:rsid w:val="000A7CBB"/>
    <w:rsid w:val="000B030B"/>
    <w:rsid w:val="000B1718"/>
    <w:rsid w:val="000B17BF"/>
    <w:rsid w:val="000B2207"/>
    <w:rsid w:val="000B289E"/>
    <w:rsid w:val="000B364A"/>
    <w:rsid w:val="000B754E"/>
    <w:rsid w:val="000C033D"/>
    <w:rsid w:val="000C08CF"/>
    <w:rsid w:val="000C0ED7"/>
    <w:rsid w:val="000C1AA9"/>
    <w:rsid w:val="000C29D2"/>
    <w:rsid w:val="000C3155"/>
    <w:rsid w:val="000C4668"/>
    <w:rsid w:val="000C768B"/>
    <w:rsid w:val="000D0C7D"/>
    <w:rsid w:val="000D4BE4"/>
    <w:rsid w:val="000D5E7F"/>
    <w:rsid w:val="000D6C1C"/>
    <w:rsid w:val="000D72F3"/>
    <w:rsid w:val="000D7C3F"/>
    <w:rsid w:val="000E01AE"/>
    <w:rsid w:val="000E1F36"/>
    <w:rsid w:val="000E4322"/>
    <w:rsid w:val="000E5A44"/>
    <w:rsid w:val="000E77EB"/>
    <w:rsid w:val="000F1680"/>
    <w:rsid w:val="000F36CC"/>
    <w:rsid w:val="000F5A45"/>
    <w:rsid w:val="000F6F69"/>
    <w:rsid w:val="0010300C"/>
    <w:rsid w:val="00104760"/>
    <w:rsid w:val="00105499"/>
    <w:rsid w:val="00106B5A"/>
    <w:rsid w:val="001071B3"/>
    <w:rsid w:val="001078C1"/>
    <w:rsid w:val="0011097F"/>
    <w:rsid w:val="00110E7B"/>
    <w:rsid w:val="0011467F"/>
    <w:rsid w:val="00114AAC"/>
    <w:rsid w:val="00115464"/>
    <w:rsid w:val="00116D64"/>
    <w:rsid w:val="00117206"/>
    <w:rsid w:val="00120EA8"/>
    <w:rsid w:val="00121939"/>
    <w:rsid w:val="00121BBE"/>
    <w:rsid w:val="001243C8"/>
    <w:rsid w:val="00124A08"/>
    <w:rsid w:val="00126883"/>
    <w:rsid w:val="00127423"/>
    <w:rsid w:val="0012794D"/>
    <w:rsid w:val="001308A7"/>
    <w:rsid w:val="00135D48"/>
    <w:rsid w:val="00137430"/>
    <w:rsid w:val="00140141"/>
    <w:rsid w:val="001411E5"/>
    <w:rsid w:val="00142C42"/>
    <w:rsid w:val="00143204"/>
    <w:rsid w:val="00143D34"/>
    <w:rsid w:val="00144C78"/>
    <w:rsid w:val="00144D90"/>
    <w:rsid w:val="00145AA1"/>
    <w:rsid w:val="00147889"/>
    <w:rsid w:val="00150A90"/>
    <w:rsid w:val="00150AB2"/>
    <w:rsid w:val="00151727"/>
    <w:rsid w:val="00152786"/>
    <w:rsid w:val="00160FCF"/>
    <w:rsid w:val="00164DD1"/>
    <w:rsid w:val="00165292"/>
    <w:rsid w:val="00165705"/>
    <w:rsid w:val="001658EC"/>
    <w:rsid w:val="0017170A"/>
    <w:rsid w:val="001718A8"/>
    <w:rsid w:val="00171B45"/>
    <w:rsid w:val="001727CD"/>
    <w:rsid w:val="0017456A"/>
    <w:rsid w:val="001764C8"/>
    <w:rsid w:val="0017650E"/>
    <w:rsid w:val="001773CD"/>
    <w:rsid w:val="00181749"/>
    <w:rsid w:val="001818CA"/>
    <w:rsid w:val="001825E2"/>
    <w:rsid w:val="00183D3D"/>
    <w:rsid w:val="00185F7A"/>
    <w:rsid w:val="00186F4C"/>
    <w:rsid w:val="00190AB4"/>
    <w:rsid w:val="00192A44"/>
    <w:rsid w:val="00194809"/>
    <w:rsid w:val="00194D32"/>
    <w:rsid w:val="001A2579"/>
    <w:rsid w:val="001A2A82"/>
    <w:rsid w:val="001A36C3"/>
    <w:rsid w:val="001A406E"/>
    <w:rsid w:val="001A48BB"/>
    <w:rsid w:val="001A5CB8"/>
    <w:rsid w:val="001A65EF"/>
    <w:rsid w:val="001A7551"/>
    <w:rsid w:val="001B0126"/>
    <w:rsid w:val="001B0711"/>
    <w:rsid w:val="001B1275"/>
    <w:rsid w:val="001B1812"/>
    <w:rsid w:val="001B244F"/>
    <w:rsid w:val="001B48BF"/>
    <w:rsid w:val="001B4C71"/>
    <w:rsid w:val="001B4E6E"/>
    <w:rsid w:val="001B6FF4"/>
    <w:rsid w:val="001B7843"/>
    <w:rsid w:val="001C09C2"/>
    <w:rsid w:val="001C1AAF"/>
    <w:rsid w:val="001C399C"/>
    <w:rsid w:val="001D07A5"/>
    <w:rsid w:val="001D1514"/>
    <w:rsid w:val="001D1E9F"/>
    <w:rsid w:val="001D22E4"/>
    <w:rsid w:val="001D3E1F"/>
    <w:rsid w:val="001D53D3"/>
    <w:rsid w:val="001D6711"/>
    <w:rsid w:val="001D6D83"/>
    <w:rsid w:val="001D75CB"/>
    <w:rsid w:val="001D7A55"/>
    <w:rsid w:val="001E0D20"/>
    <w:rsid w:val="001E1452"/>
    <w:rsid w:val="001E26DF"/>
    <w:rsid w:val="001E32AD"/>
    <w:rsid w:val="001E4BBC"/>
    <w:rsid w:val="001E630F"/>
    <w:rsid w:val="001E6E1D"/>
    <w:rsid w:val="001E7414"/>
    <w:rsid w:val="001F1304"/>
    <w:rsid w:val="001F2124"/>
    <w:rsid w:val="001F4012"/>
    <w:rsid w:val="001F417C"/>
    <w:rsid w:val="001F61B2"/>
    <w:rsid w:val="001F65BC"/>
    <w:rsid w:val="002000F5"/>
    <w:rsid w:val="0020097A"/>
    <w:rsid w:val="0020272C"/>
    <w:rsid w:val="002034F3"/>
    <w:rsid w:val="0020494F"/>
    <w:rsid w:val="00204EAF"/>
    <w:rsid w:val="00207382"/>
    <w:rsid w:val="002073D2"/>
    <w:rsid w:val="0021205A"/>
    <w:rsid w:val="00217A33"/>
    <w:rsid w:val="00217A69"/>
    <w:rsid w:val="00217F97"/>
    <w:rsid w:val="00220DA8"/>
    <w:rsid w:val="002220B5"/>
    <w:rsid w:val="0022215E"/>
    <w:rsid w:val="00224DF7"/>
    <w:rsid w:val="00224E07"/>
    <w:rsid w:val="00225534"/>
    <w:rsid w:val="00225815"/>
    <w:rsid w:val="002260EC"/>
    <w:rsid w:val="00227D1B"/>
    <w:rsid w:val="00230327"/>
    <w:rsid w:val="00231DAF"/>
    <w:rsid w:val="00231E77"/>
    <w:rsid w:val="0023452F"/>
    <w:rsid w:val="00235667"/>
    <w:rsid w:val="00235BBE"/>
    <w:rsid w:val="00235BC2"/>
    <w:rsid w:val="00237E63"/>
    <w:rsid w:val="00240D14"/>
    <w:rsid w:val="002450B1"/>
    <w:rsid w:val="00245710"/>
    <w:rsid w:val="002462E6"/>
    <w:rsid w:val="00246E1B"/>
    <w:rsid w:val="00247D4F"/>
    <w:rsid w:val="00250620"/>
    <w:rsid w:val="00250F0F"/>
    <w:rsid w:val="002564C6"/>
    <w:rsid w:val="002567F3"/>
    <w:rsid w:val="002575F7"/>
    <w:rsid w:val="00260277"/>
    <w:rsid w:val="00261643"/>
    <w:rsid w:val="00261CB2"/>
    <w:rsid w:val="00261EB6"/>
    <w:rsid w:val="0026218F"/>
    <w:rsid w:val="00262661"/>
    <w:rsid w:val="00263C03"/>
    <w:rsid w:val="00266F14"/>
    <w:rsid w:val="00266F7C"/>
    <w:rsid w:val="00270ACD"/>
    <w:rsid w:val="00272E2E"/>
    <w:rsid w:val="00274686"/>
    <w:rsid w:val="00274B90"/>
    <w:rsid w:val="0027631A"/>
    <w:rsid w:val="002773F5"/>
    <w:rsid w:val="0027766C"/>
    <w:rsid w:val="00277A6B"/>
    <w:rsid w:val="00281FC5"/>
    <w:rsid w:val="00282040"/>
    <w:rsid w:val="0028370B"/>
    <w:rsid w:val="00283D46"/>
    <w:rsid w:val="0028475A"/>
    <w:rsid w:val="002856C4"/>
    <w:rsid w:val="00286D02"/>
    <w:rsid w:val="00287A56"/>
    <w:rsid w:val="00287EE9"/>
    <w:rsid w:val="00290F87"/>
    <w:rsid w:val="00292CBC"/>
    <w:rsid w:val="0029725E"/>
    <w:rsid w:val="002A1815"/>
    <w:rsid w:val="002A215B"/>
    <w:rsid w:val="002A2D95"/>
    <w:rsid w:val="002A53B6"/>
    <w:rsid w:val="002A5BD2"/>
    <w:rsid w:val="002A6726"/>
    <w:rsid w:val="002A696A"/>
    <w:rsid w:val="002B1629"/>
    <w:rsid w:val="002B1D73"/>
    <w:rsid w:val="002B1FD9"/>
    <w:rsid w:val="002B2570"/>
    <w:rsid w:val="002B40A7"/>
    <w:rsid w:val="002B4324"/>
    <w:rsid w:val="002B6D67"/>
    <w:rsid w:val="002B6EF4"/>
    <w:rsid w:val="002B746B"/>
    <w:rsid w:val="002B7D61"/>
    <w:rsid w:val="002C2B30"/>
    <w:rsid w:val="002C51C9"/>
    <w:rsid w:val="002D0A93"/>
    <w:rsid w:val="002D3C6B"/>
    <w:rsid w:val="002D3DD1"/>
    <w:rsid w:val="002D4A38"/>
    <w:rsid w:val="002D5402"/>
    <w:rsid w:val="002D58FA"/>
    <w:rsid w:val="002D5D0E"/>
    <w:rsid w:val="002D5E7C"/>
    <w:rsid w:val="002D6254"/>
    <w:rsid w:val="002D6A2E"/>
    <w:rsid w:val="002D6A85"/>
    <w:rsid w:val="002E12C7"/>
    <w:rsid w:val="002E2A73"/>
    <w:rsid w:val="002E2E68"/>
    <w:rsid w:val="002E3588"/>
    <w:rsid w:val="002E42FD"/>
    <w:rsid w:val="002F1354"/>
    <w:rsid w:val="002F434F"/>
    <w:rsid w:val="002F491A"/>
    <w:rsid w:val="002F4B81"/>
    <w:rsid w:val="002F6581"/>
    <w:rsid w:val="002F6CA8"/>
    <w:rsid w:val="002F6F74"/>
    <w:rsid w:val="002F6FAD"/>
    <w:rsid w:val="003015D5"/>
    <w:rsid w:val="003022A0"/>
    <w:rsid w:val="003061FA"/>
    <w:rsid w:val="00306B46"/>
    <w:rsid w:val="00307572"/>
    <w:rsid w:val="00307E04"/>
    <w:rsid w:val="00310DC8"/>
    <w:rsid w:val="0031118A"/>
    <w:rsid w:val="00311DDE"/>
    <w:rsid w:val="00312C50"/>
    <w:rsid w:val="00312DC8"/>
    <w:rsid w:val="00313D27"/>
    <w:rsid w:val="0031426D"/>
    <w:rsid w:val="003151F1"/>
    <w:rsid w:val="00316391"/>
    <w:rsid w:val="00317218"/>
    <w:rsid w:val="00317D6B"/>
    <w:rsid w:val="0032028A"/>
    <w:rsid w:val="003211D4"/>
    <w:rsid w:val="003255B3"/>
    <w:rsid w:val="003269D1"/>
    <w:rsid w:val="00326F7F"/>
    <w:rsid w:val="00327253"/>
    <w:rsid w:val="0033011C"/>
    <w:rsid w:val="00331375"/>
    <w:rsid w:val="0033340D"/>
    <w:rsid w:val="0033371B"/>
    <w:rsid w:val="00335F5C"/>
    <w:rsid w:val="00336EA9"/>
    <w:rsid w:val="00343063"/>
    <w:rsid w:val="0034332A"/>
    <w:rsid w:val="0034376C"/>
    <w:rsid w:val="00344BA9"/>
    <w:rsid w:val="00344F30"/>
    <w:rsid w:val="003454B9"/>
    <w:rsid w:val="00347581"/>
    <w:rsid w:val="003501BE"/>
    <w:rsid w:val="0035066D"/>
    <w:rsid w:val="00353D5B"/>
    <w:rsid w:val="00354760"/>
    <w:rsid w:val="00357FC2"/>
    <w:rsid w:val="003613B6"/>
    <w:rsid w:val="00361B65"/>
    <w:rsid w:val="00361F12"/>
    <w:rsid w:val="0036317C"/>
    <w:rsid w:val="00363F61"/>
    <w:rsid w:val="0036659B"/>
    <w:rsid w:val="00366866"/>
    <w:rsid w:val="00370DE1"/>
    <w:rsid w:val="00372F17"/>
    <w:rsid w:val="00374756"/>
    <w:rsid w:val="0037485A"/>
    <w:rsid w:val="003749F0"/>
    <w:rsid w:val="003751A0"/>
    <w:rsid w:val="0038118E"/>
    <w:rsid w:val="00381F71"/>
    <w:rsid w:val="00384684"/>
    <w:rsid w:val="0038636A"/>
    <w:rsid w:val="00387CC9"/>
    <w:rsid w:val="003906C2"/>
    <w:rsid w:val="003947BF"/>
    <w:rsid w:val="00395AC4"/>
    <w:rsid w:val="003965DA"/>
    <w:rsid w:val="00396943"/>
    <w:rsid w:val="00396FE2"/>
    <w:rsid w:val="00397826"/>
    <w:rsid w:val="003A1454"/>
    <w:rsid w:val="003A1A83"/>
    <w:rsid w:val="003A1B1A"/>
    <w:rsid w:val="003A1C05"/>
    <w:rsid w:val="003A2B2E"/>
    <w:rsid w:val="003A5675"/>
    <w:rsid w:val="003A5E32"/>
    <w:rsid w:val="003A67D2"/>
    <w:rsid w:val="003A725C"/>
    <w:rsid w:val="003A7B36"/>
    <w:rsid w:val="003B005F"/>
    <w:rsid w:val="003B0581"/>
    <w:rsid w:val="003B08B4"/>
    <w:rsid w:val="003B1F88"/>
    <w:rsid w:val="003B42BF"/>
    <w:rsid w:val="003B44C6"/>
    <w:rsid w:val="003B549A"/>
    <w:rsid w:val="003B583F"/>
    <w:rsid w:val="003B7211"/>
    <w:rsid w:val="003C11FA"/>
    <w:rsid w:val="003C1466"/>
    <w:rsid w:val="003C26F7"/>
    <w:rsid w:val="003C2EA0"/>
    <w:rsid w:val="003C3B59"/>
    <w:rsid w:val="003C4FD0"/>
    <w:rsid w:val="003D2036"/>
    <w:rsid w:val="003D2974"/>
    <w:rsid w:val="003D2CC4"/>
    <w:rsid w:val="003D2D0D"/>
    <w:rsid w:val="003D3562"/>
    <w:rsid w:val="003D3F95"/>
    <w:rsid w:val="003D4FD8"/>
    <w:rsid w:val="003D553F"/>
    <w:rsid w:val="003D5B90"/>
    <w:rsid w:val="003D707A"/>
    <w:rsid w:val="003E17DD"/>
    <w:rsid w:val="003E3724"/>
    <w:rsid w:val="003E5E1B"/>
    <w:rsid w:val="003E6A75"/>
    <w:rsid w:val="003E6D4B"/>
    <w:rsid w:val="003E6E12"/>
    <w:rsid w:val="003E7268"/>
    <w:rsid w:val="003F3402"/>
    <w:rsid w:val="003F444D"/>
    <w:rsid w:val="003F4D3C"/>
    <w:rsid w:val="003F70CB"/>
    <w:rsid w:val="003F7208"/>
    <w:rsid w:val="003F768C"/>
    <w:rsid w:val="0040026D"/>
    <w:rsid w:val="0040127B"/>
    <w:rsid w:val="004013E7"/>
    <w:rsid w:val="00401C8E"/>
    <w:rsid w:val="004043A5"/>
    <w:rsid w:val="00404816"/>
    <w:rsid w:val="004056C5"/>
    <w:rsid w:val="00406EBD"/>
    <w:rsid w:val="00413F96"/>
    <w:rsid w:val="0041480F"/>
    <w:rsid w:val="00415776"/>
    <w:rsid w:val="00416C4A"/>
    <w:rsid w:val="00422B00"/>
    <w:rsid w:val="00423550"/>
    <w:rsid w:val="00426155"/>
    <w:rsid w:val="00426815"/>
    <w:rsid w:val="0042767A"/>
    <w:rsid w:val="00430B86"/>
    <w:rsid w:val="00431B34"/>
    <w:rsid w:val="00431C7E"/>
    <w:rsid w:val="0043231F"/>
    <w:rsid w:val="00432B6A"/>
    <w:rsid w:val="00432DE4"/>
    <w:rsid w:val="00433A38"/>
    <w:rsid w:val="00434C0A"/>
    <w:rsid w:val="004358ED"/>
    <w:rsid w:val="0043628D"/>
    <w:rsid w:val="004373F6"/>
    <w:rsid w:val="004377B5"/>
    <w:rsid w:val="0043786A"/>
    <w:rsid w:val="00437D7D"/>
    <w:rsid w:val="00441AFF"/>
    <w:rsid w:val="00441D5A"/>
    <w:rsid w:val="00443812"/>
    <w:rsid w:val="00443BC0"/>
    <w:rsid w:val="00444917"/>
    <w:rsid w:val="004455BF"/>
    <w:rsid w:val="00445ADD"/>
    <w:rsid w:val="0044675F"/>
    <w:rsid w:val="00446AC8"/>
    <w:rsid w:val="004510E5"/>
    <w:rsid w:val="00451DCB"/>
    <w:rsid w:val="0045674A"/>
    <w:rsid w:val="004568E3"/>
    <w:rsid w:val="0045786C"/>
    <w:rsid w:val="0046053F"/>
    <w:rsid w:val="004611E9"/>
    <w:rsid w:val="00462B53"/>
    <w:rsid w:val="00465C51"/>
    <w:rsid w:val="00467959"/>
    <w:rsid w:val="004718E8"/>
    <w:rsid w:val="00473378"/>
    <w:rsid w:val="004741EF"/>
    <w:rsid w:val="004750F7"/>
    <w:rsid w:val="004757A5"/>
    <w:rsid w:val="00475802"/>
    <w:rsid w:val="00475EF0"/>
    <w:rsid w:val="0047658E"/>
    <w:rsid w:val="00476B09"/>
    <w:rsid w:val="0047765A"/>
    <w:rsid w:val="00477BEE"/>
    <w:rsid w:val="0048008A"/>
    <w:rsid w:val="00481470"/>
    <w:rsid w:val="004829C4"/>
    <w:rsid w:val="00484C51"/>
    <w:rsid w:val="00485123"/>
    <w:rsid w:val="00486CB6"/>
    <w:rsid w:val="00487B8D"/>
    <w:rsid w:val="0049228A"/>
    <w:rsid w:val="0049299F"/>
    <w:rsid w:val="004943C7"/>
    <w:rsid w:val="00495770"/>
    <w:rsid w:val="0049615B"/>
    <w:rsid w:val="0049714E"/>
    <w:rsid w:val="004A14B2"/>
    <w:rsid w:val="004A1618"/>
    <w:rsid w:val="004A31A0"/>
    <w:rsid w:val="004B66B9"/>
    <w:rsid w:val="004B6E18"/>
    <w:rsid w:val="004B6F37"/>
    <w:rsid w:val="004C06D3"/>
    <w:rsid w:val="004C0AA2"/>
    <w:rsid w:val="004C0B22"/>
    <w:rsid w:val="004C1310"/>
    <w:rsid w:val="004C1987"/>
    <w:rsid w:val="004C383C"/>
    <w:rsid w:val="004C44E2"/>
    <w:rsid w:val="004C5F68"/>
    <w:rsid w:val="004C6BFE"/>
    <w:rsid w:val="004D1CF9"/>
    <w:rsid w:val="004D1EFF"/>
    <w:rsid w:val="004D3E3B"/>
    <w:rsid w:val="004D65C7"/>
    <w:rsid w:val="004D6817"/>
    <w:rsid w:val="004D6D4D"/>
    <w:rsid w:val="004D78B6"/>
    <w:rsid w:val="004D7BCD"/>
    <w:rsid w:val="004E1109"/>
    <w:rsid w:val="004E3782"/>
    <w:rsid w:val="004E4F83"/>
    <w:rsid w:val="004E59A3"/>
    <w:rsid w:val="004E616F"/>
    <w:rsid w:val="004F0217"/>
    <w:rsid w:val="004F0396"/>
    <w:rsid w:val="004F0D52"/>
    <w:rsid w:val="004F1132"/>
    <w:rsid w:val="004F1234"/>
    <w:rsid w:val="004F1973"/>
    <w:rsid w:val="004F4482"/>
    <w:rsid w:val="004F70FA"/>
    <w:rsid w:val="00502CD2"/>
    <w:rsid w:val="005048A2"/>
    <w:rsid w:val="00504F66"/>
    <w:rsid w:val="00506D6E"/>
    <w:rsid w:val="00507267"/>
    <w:rsid w:val="00507E41"/>
    <w:rsid w:val="005104C1"/>
    <w:rsid w:val="00510CDC"/>
    <w:rsid w:val="005119FD"/>
    <w:rsid w:val="00511C3F"/>
    <w:rsid w:val="00512380"/>
    <w:rsid w:val="005130C3"/>
    <w:rsid w:val="00514A2F"/>
    <w:rsid w:val="00516174"/>
    <w:rsid w:val="00516D26"/>
    <w:rsid w:val="005173B4"/>
    <w:rsid w:val="0052060D"/>
    <w:rsid w:val="00520980"/>
    <w:rsid w:val="00520D48"/>
    <w:rsid w:val="00521AC6"/>
    <w:rsid w:val="00522E92"/>
    <w:rsid w:val="00525B2C"/>
    <w:rsid w:val="005271D6"/>
    <w:rsid w:val="00530E9A"/>
    <w:rsid w:val="005310C3"/>
    <w:rsid w:val="005314A0"/>
    <w:rsid w:val="0053179F"/>
    <w:rsid w:val="00531AB3"/>
    <w:rsid w:val="00533261"/>
    <w:rsid w:val="00533936"/>
    <w:rsid w:val="00534C82"/>
    <w:rsid w:val="0053501C"/>
    <w:rsid w:val="005350B0"/>
    <w:rsid w:val="00535463"/>
    <w:rsid w:val="005379BF"/>
    <w:rsid w:val="0054114D"/>
    <w:rsid w:val="005437E1"/>
    <w:rsid w:val="00543947"/>
    <w:rsid w:val="00543E10"/>
    <w:rsid w:val="00544E15"/>
    <w:rsid w:val="00545879"/>
    <w:rsid w:val="00545D41"/>
    <w:rsid w:val="00546682"/>
    <w:rsid w:val="00546AFB"/>
    <w:rsid w:val="00546E02"/>
    <w:rsid w:val="00547019"/>
    <w:rsid w:val="005504D4"/>
    <w:rsid w:val="00550FAA"/>
    <w:rsid w:val="005524D7"/>
    <w:rsid w:val="005528BD"/>
    <w:rsid w:val="0055316A"/>
    <w:rsid w:val="0055341E"/>
    <w:rsid w:val="0055392B"/>
    <w:rsid w:val="00553C3D"/>
    <w:rsid w:val="0055419B"/>
    <w:rsid w:val="00557ECC"/>
    <w:rsid w:val="00561313"/>
    <w:rsid w:val="00562B44"/>
    <w:rsid w:val="00563BCC"/>
    <w:rsid w:val="00565B8F"/>
    <w:rsid w:val="00566C81"/>
    <w:rsid w:val="00566FBA"/>
    <w:rsid w:val="005674E2"/>
    <w:rsid w:val="00567583"/>
    <w:rsid w:val="00573F58"/>
    <w:rsid w:val="00575D91"/>
    <w:rsid w:val="00577E4F"/>
    <w:rsid w:val="00577FD9"/>
    <w:rsid w:val="005802E4"/>
    <w:rsid w:val="005834D0"/>
    <w:rsid w:val="00583E88"/>
    <w:rsid w:val="0058537C"/>
    <w:rsid w:val="00586B7A"/>
    <w:rsid w:val="0058707F"/>
    <w:rsid w:val="0058750D"/>
    <w:rsid w:val="005877D3"/>
    <w:rsid w:val="00587BED"/>
    <w:rsid w:val="00590BF7"/>
    <w:rsid w:val="00590E0D"/>
    <w:rsid w:val="005911AB"/>
    <w:rsid w:val="00591F0E"/>
    <w:rsid w:val="005925CA"/>
    <w:rsid w:val="00593103"/>
    <w:rsid w:val="00593C55"/>
    <w:rsid w:val="00593FCC"/>
    <w:rsid w:val="0059482B"/>
    <w:rsid w:val="0059483B"/>
    <w:rsid w:val="00596543"/>
    <w:rsid w:val="00597992"/>
    <w:rsid w:val="005A019D"/>
    <w:rsid w:val="005A0C29"/>
    <w:rsid w:val="005A21D6"/>
    <w:rsid w:val="005A34D8"/>
    <w:rsid w:val="005A53B5"/>
    <w:rsid w:val="005B004C"/>
    <w:rsid w:val="005B0250"/>
    <w:rsid w:val="005B1285"/>
    <w:rsid w:val="005B18FC"/>
    <w:rsid w:val="005B267C"/>
    <w:rsid w:val="005B3632"/>
    <w:rsid w:val="005B41EE"/>
    <w:rsid w:val="005B4879"/>
    <w:rsid w:val="005B4B54"/>
    <w:rsid w:val="005C0DD7"/>
    <w:rsid w:val="005C5080"/>
    <w:rsid w:val="005C5301"/>
    <w:rsid w:val="005D235A"/>
    <w:rsid w:val="005D23CF"/>
    <w:rsid w:val="005D291B"/>
    <w:rsid w:val="005D33D1"/>
    <w:rsid w:val="005D3484"/>
    <w:rsid w:val="005D3C6D"/>
    <w:rsid w:val="005D3ED5"/>
    <w:rsid w:val="005D4B1F"/>
    <w:rsid w:val="005E08B2"/>
    <w:rsid w:val="005E15D8"/>
    <w:rsid w:val="005E2C4D"/>
    <w:rsid w:val="005E2D56"/>
    <w:rsid w:val="005E2E1A"/>
    <w:rsid w:val="005E5A5E"/>
    <w:rsid w:val="005E6322"/>
    <w:rsid w:val="005E6F19"/>
    <w:rsid w:val="005E7E11"/>
    <w:rsid w:val="005E7FD0"/>
    <w:rsid w:val="005F0AF1"/>
    <w:rsid w:val="005F1E17"/>
    <w:rsid w:val="005F2818"/>
    <w:rsid w:val="005F368E"/>
    <w:rsid w:val="005F596A"/>
    <w:rsid w:val="005F6CF6"/>
    <w:rsid w:val="005F787A"/>
    <w:rsid w:val="006000B4"/>
    <w:rsid w:val="00600A40"/>
    <w:rsid w:val="006026F0"/>
    <w:rsid w:val="00602AE7"/>
    <w:rsid w:val="00604E47"/>
    <w:rsid w:val="0060534E"/>
    <w:rsid w:val="0060615D"/>
    <w:rsid w:val="00606BF0"/>
    <w:rsid w:val="006070B6"/>
    <w:rsid w:val="006076AB"/>
    <w:rsid w:val="00607F81"/>
    <w:rsid w:val="00610FF3"/>
    <w:rsid w:val="00613326"/>
    <w:rsid w:val="00620811"/>
    <w:rsid w:val="00621D95"/>
    <w:rsid w:val="006228AC"/>
    <w:rsid w:val="006235D2"/>
    <w:rsid w:val="00623B6C"/>
    <w:rsid w:val="006245EB"/>
    <w:rsid w:val="00624775"/>
    <w:rsid w:val="00625D34"/>
    <w:rsid w:val="00626ACC"/>
    <w:rsid w:val="0063023D"/>
    <w:rsid w:val="00632E3D"/>
    <w:rsid w:val="00632F2B"/>
    <w:rsid w:val="0063474A"/>
    <w:rsid w:val="00634F2B"/>
    <w:rsid w:val="00634FF6"/>
    <w:rsid w:val="0063562F"/>
    <w:rsid w:val="00641167"/>
    <w:rsid w:val="006455A7"/>
    <w:rsid w:val="006477B3"/>
    <w:rsid w:val="00651313"/>
    <w:rsid w:val="006522CD"/>
    <w:rsid w:val="00652A9F"/>
    <w:rsid w:val="006532A4"/>
    <w:rsid w:val="00655074"/>
    <w:rsid w:val="006562DB"/>
    <w:rsid w:val="00656E9A"/>
    <w:rsid w:val="006603A4"/>
    <w:rsid w:val="006612EC"/>
    <w:rsid w:val="00662342"/>
    <w:rsid w:val="006628BA"/>
    <w:rsid w:val="00663BE6"/>
    <w:rsid w:val="00663D3F"/>
    <w:rsid w:val="00665DB7"/>
    <w:rsid w:val="006668E1"/>
    <w:rsid w:val="006714B4"/>
    <w:rsid w:val="006726A1"/>
    <w:rsid w:val="00673867"/>
    <w:rsid w:val="00673B6A"/>
    <w:rsid w:val="00673B7C"/>
    <w:rsid w:val="00673D89"/>
    <w:rsid w:val="0067626B"/>
    <w:rsid w:val="006770D4"/>
    <w:rsid w:val="00677454"/>
    <w:rsid w:val="00677E39"/>
    <w:rsid w:val="00680537"/>
    <w:rsid w:val="00681E07"/>
    <w:rsid w:val="006826AC"/>
    <w:rsid w:val="0068398A"/>
    <w:rsid w:val="00684603"/>
    <w:rsid w:val="00691D38"/>
    <w:rsid w:val="006927DF"/>
    <w:rsid w:val="006929D3"/>
    <w:rsid w:val="00693463"/>
    <w:rsid w:val="0069644F"/>
    <w:rsid w:val="006A131F"/>
    <w:rsid w:val="006A2101"/>
    <w:rsid w:val="006A22C4"/>
    <w:rsid w:val="006A389E"/>
    <w:rsid w:val="006A4170"/>
    <w:rsid w:val="006A43C1"/>
    <w:rsid w:val="006A49B5"/>
    <w:rsid w:val="006A5532"/>
    <w:rsid w:val="006A6171"/>
    <w:rsid w:val="006A79EF"/>
    <w:rsid w:val="006A7D84"/>
    <w:rsid w:val="006B156A"/>
    <w:rsid w:val="006B1DE4"/>
    <w:rsid w:val="006B2F06"/>
    <w:rsid w:val="006B358D"/>
    <w:rsid w:val="006B4C09"/>
    <w:rsid w:val="006B6576"/>
    <w:rsid w:val="006B73BD"/>
    <w:rsid w:val="006C3017"/>
    <w:rsid w:val="006C5EBD"/>
    <w:rsid w:val="006C7A23"/>
    <w:rsid w:val="006D2122"/>
    <w:rsid w:val="006D2C95"/>
    <w:rsid w:val="006D321E"/>
    <w:rsid w:val="006D36B7"/>
    <w:rsid w:val="006D58E6"/>
    <w:rsid w:val="006D60DB"/>
    <w:rsid w:val="006E0CFE"/>
    <w:rsid w:val="006E263B"/>
    <w:rsid w:val="006E3FEB"/>
    <w:rsid w:val="006E64B0"/>
    <w:rsid w:val="006F0CB9"/>
    <w:rsid w:val="006F22A8"/>
    <w:rsid w:val="006F2FBF"/>
    <w:rsid w:val="006F32D8"/>
    <w:rsid w:val="006F399A"/>
    <w:rsid w:val="006F415E"/>
    <w:rsid w:val="006F4ABC"/>
    <w:rsid w:val="006F4C4F"/>
    <w:rsid w:val="006F5350"/>
    <w:rsid w:val="006F556E"/>
    <w:rsid w:val="00701B9F"/>
    <w:rsid w:val="00704984"/>
    <w:rsid w:val="00707357"/>
    <w:rsid w:val="0071108F"/>
    <w:rsid w:val="00711504"/>
    <w:rsid w:val="007119D5"/>
    <w:rsid w:val="007133A0"/>
    <w:rsid w:val="00713A46"/>
    <w:rsid w:val="007166E6"/>
    <w:rsid w:val="00716D91"/>
    <w:rsid w:val="007201D2"/>
    <w:rsid w:val="007205C1"/>
    <w:rsid w:val="00720F97"/>
    <w:rsid w:val="0072223C"/>
    <w:rsid w:val="00722576"/>
    <w:rsid w:val="007237B0"/>
    <w:rsid w:val="00725DD2"/>
    <w:rsid w:val="0072622B"/>
    <w:rsid w:val="00726285"/>
    <w:rsid w:val="007269DC"/>
    <w:rsid w:val="00726D43"/>
    <w:rsid w:val="00726DF5"/>
    <w:rsid w:val="007271AD"/>
    <w:rsid w:val="00727C9E"/>
    <w:rsid w:val="00727DA2"/>
    <w:rsid w:val="0073053D"/>
    <w:rsid w:val="007315D6"/>
    <w:rsid w:val="0073171D"/>
    <w:rsid w:val="00731CD1"/>
    <w:rsid w:val="007325E5"/>
    <w:rsid w:val="00734756"/>
    <w:rsid w:val="0073604F"/>
    <w:rsid w:val="007436CB"/>
    <w:rsid w:val="00743B82"/>
    <w:rsid w:val="00744BBB"/>
    <w:rsid w:val="00744BE8"/>
    <w:rsid w:val="00744C79"/>
    <w:rsid w:val="00746316"/>
    <w:rsid w:val="007466DE"/>
    <w:rsid w:val="00746C0D"/>
    <w:rsid w:val="007507AA"/>
    <w:rsid w:val="00752F88"/>
    <w:rsid w:val="00753984"/>
    <w:rsid w:val="00757247"/>
    <w:rsid w:val="007578A4"/>
    <w:rsid w:val="007606BB"/>
    <w:rsid w:val="0076171B"/>
    <w:rsid w:val="00761B95"/>
    <w:rsid w:val="00761CEB"/>
    <w:rsid w:val="00761D18"/>
    <w:rsid w:val="00761D84"/>
    <w:rsid w:val="007624F1"/>
    <w:rsid w:val="00762F1B"/>
    <w:rsid w:val="00763332"/>
    <w:rsid w:val="00764BFE"/>
    <w:rsid w:val="007660E0"/>
    <w:rsid w:val="0076630A"/>
    <w:rsid w:val="00766A5E"/>
    <w:rsid w:val="007679F6"/>
    <w:rsid w:val="007701DC"/>
    <w:rsid w:val="00770A02"/>
    <w:rsid w:val="0077119D"/>
    <w:rsid w:val="007725B3"/>
    <w:rsid w:val="00773769"/>
    <w:rsid w:val="0077505C"/>
    <w:rsid w:val="007751B6"/>
    <w:rsid w:val="007755FF"/>
    <w:rsid w:val="00775D02"/>
    <w:rsid w:val="0077783B"/>
    <w:rsid w:val="00781CFB"/>
    <w:rsid w:val="00783B5B"/>
    <w:rsid w:val="00785D34"/>
    <w:rsid w:val="00786106"/>
    <w:rsid w:val="0078671C"/>
    <w:rsid w:val="0079004B"/>
    <w:rsid w:val="00790B12"/>
    <w:rsid w:val="0079196D"/>
    <w:rsid w:val="00792249"/>
    <w:rsid w:val="007922A5"/>
    <w:rsid w:val="00792F80"/>
    <w:rsid w:val="00795EF5"/>
    <w:rsid w:val="007962FB"/>
    <w:rsid w:val="0079680A"/>
    <w:rsid w:val="007A0847"/>
    <w:rsid w:val="007A3488"/>
    <w:rsid w:val="007A5A97"/>
    <w:rsid w:val="007A5B04"/>
    <w:rsid w:val="007A6595"/>
    <w:rsid w:val="007A7022"/>
    <w:rsid w:val="007A79EF"/>
    <w:rsid w:val="007B18DA"/>
    <w:rsid w:val="007B2F44"/>
    <w:rsid w:val="007C20CE"/>
    <w:rsid w:val="007C5894"/>
    <w:rsid w:val="007C7089"/>
    <w:rsid w:val="007C7D21"/>
    <w:rsid w:val="007C7F0E"/>
    <w:rsid w:val="007D078D"/>
    <w:rsid w:val="007D10BC"/>
    <w:rsid w:val="007D144C"/>
    <w:rsid w:val="007D173C"/>
    <w:rsid w:val="007D67D0"/>
    <w:rsid w:val="007D6C2E"/>
    <w:rsid w:val="007E013F"/>
    <w:rsid w:val="007E05D8"/>
    <w:rsid w:val="007E076F"/>
    <w:rsid w:val="007E1DCE"/>
    <w:rsid w:val="007E3541"/>
    <w:rsid w:val="007E3A3C"/>
    <w:rsid w:val="007E4C70"/>
    <w:rsid w:val="007F0253"/>
    <w:rsid w:val="007F23BE"/>
    <w:rsid w:val="007F35A0"/>
    <w:rsid w:val="007F39D1"/>
    <w:rsid w:val="007F4483"/>
    <w:rsid w:val="007F4A44"/>
    <w:rsid w:val="00803490"/>
    <w:rsid w:val="00803613"/>
    <w:rsid w:val="008044FF"/>
    <w:rsid w:val="00804AEE"/>
    <w:rsid w:val="00805A41"/>
    <w:rsid w:val="008101AD"/>
    <w:rsid w:val="00814B46"/>
    <w:rsid w:val="0081631E"/>
    <w:rsid w:val="00817AFC"/>
    <w:rsid w:val="00817DCF"/>
    <w:rsid w:val="00820282"/>
    <w:rsid w:val="008205D6"/>
    <w:rsid w:val="00820665"/>
    <w:rsid w:val="00820E8C"/>
    <w:rsid w:val="00824955"/>
    <w:rsid w:val="00824A88"/>
    <w:rsid w:val="00826EDE"/>
    <w:rsid w:val="00827AE6"/>
    <w:rsid w:val="008303DE"/>
    <w:rsid w:val="008318A5"/>
    <w:rsid w:val="00833C70"/>
    <w:rsid w:val="0083441D"/>
    <w:rsid w:val="00834729"/>
    <w:rsid w:val="00834745"/>
    <w:rsid w:val="00834CBE"/>
    <w:rsid w:val="0083779F"/>
    <w:rsid w:val="0084162F"/>
    <w:rsid w:val="0084212E"/>
    <w:rsid w:val="00843683"/>
    <w:rsid w:val="008437D0"/>
    <w:rsid w:val="00843F1C"/>
    <w:rsid w:val="0084635C"/>
    <w:rsid w:val="00847538"/>
    <w:rsid w:val="00847F28"/>
    <w:rsid w:val="00847F36"/>
    <w:rsid w:val="008509CD"/>
    <w:rsid w:val="008514F4"/>
    <w:rsid w:val="0085280B"/>
    <w:rsid w:val="00856859"/>
    <w:rsid w:val="00861B0E"/>
    <w:rsid w:val="00862671"/>
    <w:rsid w:val="0086283F"/>
    <w:rsid w:val="00862963"/>
    <w:rsid w:val="00862A2B"/>
    <w:rsid w:val="0086651C"/>
    <w:rsid w:val="00867C38"/>
    <w:rsid w:val="008703C6"/>
    <w:rsid w:val="00871D24"/>
    <w:rsid w:val="00873779"/>
    <w:rsid w:val="00874AA5"/>
    <w:rsid w:val="008765F7"/>
    <w:rsid w:val="00876E47"/>
    <w:rsid w:val="00881574"/>
    <w:rsid w:val="00881798"/>
    <w:rsid w:val="00881DC2"/>
    <w:rsid w:val="00883D78"/>
    <w:rsid w:val="0088455D"/>
    <w:rsid w:val="00886353"/>
    <w:rsid w:val="00886EEE"/>
    <w:rsid w:val="008873CC"/>
    <w:rsid w:val="008877C2"/>
    <w:rsid w:val="00890A40"/>
    <w:rsid w:val="00890B2C"/>
    <w:rsid w:val="00892745"/>
    <w:rsid w:val="00894528"/>
    <w:rsid w:val="00895121"/>
    <w:rsid w:val="008954B2"/>
    <w:rsid w:val="00896295"/>
    <w:rsid w:val="00897F4E"/>
    <w:rsid w:val="008A02C0"/>
    <w:rsid w:val="008A0845"/>
    <w:rsid w:val="008A0CC2"/>
    <w:rsid w:val="008A1E9A"/>
    <w:rsid w:val="008A410E"/>
    <w:rsid w:val="008A62A7"/>
    <w:rsid w:val="008A6C7E"/>
    <w:rsid w:val="008A780C"/>
    <w:rsid w:val="008B0C4C"/>
    <w:rsid w:val="008B18C1"/>
    <w:rsid w:val="008B222C"/>
    <w:rsid w:val="008B2D50"/>
    <w:rsid w:val="008B30DE"/>
    <w:rsid w:val="008B3B60"/>
    <w:rsid w:val="008B3D87"/>
    <w:rsid w:val="008B4762"/>
    <w:rsid w:val="008B51F6"/>
    <w:rsid w:val="008C053B"/>
    <w:rsid w:val="008C0E27"/>
    <w:rsid w:val="008C2C2A"/>
    <w:rsid w:val="008C30A5"/>
    <w:rsid w:val="008C3210"/>
    <w:rsid w:val="008C4930"/>
    <w:rsid w:val="008C63B9"/>
    <w:rsid w:val="008C669C"/>
    <w:rsid w:val="008D3641"/>
    <w:rsid w:val="008D46A8"/>
    <w:rsid w:val="008D4AA0"/>
    <w:rsid w:val="008D50C4"/>
    <w:rsid w:val="008D7894"/>
    <w:rsid w:val="008E0425"/>
    <w:rsid w:val="008E5BB3"/>
    <w:rsid w:val="008E7DC2"/>
    <w:rsid w:val="008F0759"/>
    <w:rsid w:val="008F324B"/>
    <w:rsid w:val="008F3535"/>
    <w:rsid w:val="008F5941"/>
    <w:rsid w:val="008F59D2"/>
    <w:rsid w:val="008F5C37"/>
    <w:rsid w:val="008F74FB"/>
    <w:rsid w:val="008F78DE"/>
    <w:rsid w:val="0090069E"/>
    <w:rsid w:val="00902B69"/>
    <w:rsid w:val="00904339"/>
    <w:rsid w:val="009045D2"/>
    <w:rsid w:val="009048AD"/>
    <w:rsid w:val="009076FB"/>
    <w:rsid w:val="00911C1F"/>
    <w:rsid w:val="00913988"/>
    <w:rsid w:val="00913D9D"/>
    <w:rsid w:val="00914597"/>
    <w:rsid w:val="009150F9"/>
    <w:rsid w:val="00917068"/>
    <w:rsid w:val="00917BA4"/>
    <w:rsid w:val="00917BB2"/>
    <w:rsid w:val="00920E6F"/>
    <w:rsid w:val="009214D9"/>
    <w:rsid w:val="009245CD"/>
    <w:rsid w:val="00924654"/>
    <w:rsid w:val="009251EE"/>
    <w:rsid w:val="00930582"/>
    <w:rsid w:val="00931863"/>
    <w:rsid w:val="00931CA8"/>
    <w:rsid w:val="0093228D"/>
    <w:rsid w:val="00934231"/>
    <w:rsid w:val="009343C1"/>
    <w:rsid w:val="0093449D"/>
    <w:rsid w:val="00936C2C"/>
    <w:rsid w:val="00937284"/>
    <w:rsid w:val="00940C93"/>
    <w:rsid w:val="00941E48"/>
    <w:rsid w:val="009441B6"/>
    <w:rsid w:val="00944A5A"/>
    <w:rsid w:val="00944D98"/>
    <w:rsid w:val="00945FCB"/>
    <w:rsid w:val="00946964"/>
    <w:rsid w:val="00952585"/>
    <w:rsid w:val="009540AB"/>
    <w:rsid w:val="00957048"/>
    <w:rsid w:val="00960F6B"/>
    <w:rsid w:val="00961E46"/>
    <w:rsid w:val="00961F0E"/>
    <w:rsid w:val="00964DA6"/>
    <w:rsid w:val="009719BA"/>
    <w:rsid w:val="00973D70"/>
    <w:rsid w:val="0097410B"/>
    <w:rsid w:val="009755EF"/>
    <w:rsid w:val="00975908"/>
    <w:rsid w:val="009805AC"/>
    <w:rsid w:val="00980DF8"/>
    <w:rsid w:val="009820CB"/>
    <w:rsid w:val="00983901"/>
    <w:rsid w:val="00986121"/>
    <w:rsid w:val="00987C22"/>
    <w:rsid w:val="00991461"/>
    <w:rsid w:val="00993AC1"/>
    <w:rsid w:val="009943B2"/>
    <w:rsid w:val="00994ED2"/>
    <w:rsid w:val="00996405"/>
    <w:rsid w:val="00997C3C"/>
    <w:rsid w:val="009A075A"/>
    <w:rsid w:val="009A229E"/>
    <w:rsid w:val="009A3403"/>
    <w:rsid w:val="009A4521"/>
    <w:rsid w:val="009A6EEF"/>
    <w:rsid w:val="009B047A"/>
    <w:rsid w:val="009B0677"/>
    <w:rsid w:val="009B1180"/>
    <w:rsid w:val="009B34DB"/>
    <w:rsid w:val="009B5248"/>
    <w:rsid w:val="009C26EA"/>
    <w:rsid w:val="009C3EF7"/>
    <w:rsid w:val="009C4C23"/>
    <w:rsid w:val="009D007F"/>
    <w:rsid w:val="009D16BA"/>
    <w:rsid w:val="009D42EE"/>
    <w:rsid w:val="009D56DD"/>
    <w:rsid w:val="009D5F1C"/>
    <w:rsid w:val="009D750C"/>
    <w:rsid w:val="009E00B0"/>
    <w:rsid w:val="009E16C6"/>
    <w:rsid w:val="009E1F84"/>
    <w:rsid w:val="009E3ED6"/>
    <w:rsid w:val="009E59E4"/>
    <w:rsid w:val="009E5A80"/>
    <w:rsid w:val="009E6027"/>
    <w:rsid w:val="009E6927"/>
    <w:rsid w:val="009F030A"/>
    <w:rsid w:val="009F0C3F"/>
    <w:rsid w:val="009F0E1A"/>
    <w:rsid w:val="009F22A6"/>
    <w:rsid w:val="009F4A52"/>
    <w:rsid w:val="009F5BB6"/>
    <w:rsid w:val="009F7A5C"/>
    <w:rsid w:val="00A00A2C"/>
    <w:rsid w:val="00A01AC2"/>
    <w:rsid w:val="00A03313"/>
    <w:rsid w:val="00A0427B"/>
    <w:rsid w:val="00A04EF4"/>
    <w:rsid w:val="00A04EFB"/>
    <w:rsid w:val="00A064A7"/>
    <w:rsid w:val="00A067CC"/>
    <w:rsid w:val="00A06847"/>
    <w:rsid w:val="00A06944"/>
    <w:rsid w:val="00A107C0"/>
    <w:rsid w:val="00A148E8"/>
    <w:rsid w:val="00A14CFC"/>
    <w:rsid w:val="00A1555B"/>
    <w:rsid w:val="00A1572B"/>
    <w:rsid w:val="00A166EE"/>
    <w:rsid w:val="00A202AB"/>
    <w:rsid w:val="00A208A7"/>
    <w:rsid w:val="00A251BF"/>
    <w:rsid w:val="00A25DB8"/>
    <w:rsid w:val="00A27157"/>
    <w:rsid w:val="00A278E1"/>
    <w:rsid w:val="00A27AA4"/>
    <w:rsid w:val="00A355B6"/>
    <w:rsid w:val="00A35D18"/>
    <w:rsid w:val="00A36DA6"/>
    <w:rsid w:val="00A424FD"/>
    <w:rsid w:val="00A42E72"/>
    <w:rsid w:val="00A43A29"/>
    <w:rsid w:val="00A46240"/>
    <w:rsid w:val="00A47C7B"/>
    <w:rsid w:val="00A52B65"/>
    <w:rsid w:val="00A539B3"/>
    <w:rsid w:val="00A541FE"/>
    <w:rsid w:val="00A55FBA"/>
    <w:rsid w:val="00A560D8"/>
    <w:rsid w:val="00A566CB"/>
    <w:rsid w:val="00A57BA6"/>
    <w:rsid w:val="00A60433"/>
    <w:rsid w:val="00A60AB2"/>
    <w:rsid w:val="00A616FA"/>
    <w:rsid w:val="00A64316"/>
    <w:rsid w:val="00A64F1A"/>
    <w:rsid w:val="00A6573F"/>
    <w:rsid w:val="00A665BF"/>
    <w:rsid w:val="00A67350"/>
    <w:rsid w:val="00A674D2"/>
    <w:rsid w:val="00A70649"/>
    <w:rsid w:val="00A71C78"/>
    <w:rsid w:val="00A72003"/>
    <w:rsid w:val="00A72C5F"/>
    <w:rsid w:val="00A7301B"/>
    <w:rsid w:val="00A73B30"/>
    <w:rsid w:val="00A73B3A"/>
    <w:rsid w:val="00A73B65"/>
    <w:rsid w:val="00A74116"/>
    <w:rsid w:val="00A7449F"/>
    <w:rsid w:val="00A7535A"/>
    <w:rsid w:val="00A7562C"/>
    <w:rsid w:val="00A75929"/>
    <w:rsid w:val="00A767DD"/>
    <w:rsid w:val="00A83711"/>
    <w:rsid w:val="00A84311"/>
    <w:rsid w:val="00A85FD9"/>
    <w:rsid w:val="00A867D7"/>
    <w:rsid w:val="00A87135"/>
    <w:rsid w:val="00A87956"/>
    <w:rsid w:val="00A9000F"/>
    <w:rsid w:val="00A92C36"/>
    <w:rsid w:val="00A93415"/>
    <w:rsid w:val="00A938EA"/>
    <w:rsid w:val="00A93985"/>
    <w:rsid w:val="00A94429"/>
    <w:rsid w:val="00A947AD"/>
    <w:rsid w:val="00A95639"/>
    <w:rsid w:val="00A961EA"/>
    <w:rsid w:val="00A96FB6"/>
    <w:rsid w:val="00A97A43"/>
    <w:rsid w:val="00A97B17"/>
    <w:rsid w:val="00AA082E"/>
    <w:rsid w:val="00AA1AF8"/>
    <w:rsid w:val="00AA2BD0"/>
    <w:rsid w:val="00AA382B"/>
    <w:rsid w:val="00AA3C3F"/>
    <w:rsid w:val="00AA3E4E"/>
    <w:rsid w:val="00AA47AC"/>
    <w:rsid w:val="00AA5FDB"/>
    <w:rsid w:val="00AA6F00"/>
    <w:rsid w:val="00AB13A1"/>
    <w:rsid w:val="00AB351A"/>
    <w:rsid w:val="00AB3E13"/>
    <w:rsid w:val="00AB650E"/>
    <w:rsid w:val="00AB766A"/>
    <w:rsid w:val="00AB781C"/>
    <w:rsid w:val="00AC1C1E"/>
    <w:rsid w:val="00AC37F9"/>
    <w:rsid w:val="00AC7C46"/>
    <w:rsid w:val="00AC7FF0"/>
    <w:rsid w:val="00AD0D21"/>
    <w:rsid w:val="00AD11A7"/>
    <w:rsid w:val="00AD31E8"/>
    <w:rsid w:val="00AD52D0"/>
    <w:rsid w:val="00AD7E6F"/>
    <w:rsid w:val="00AE0A27"/>
    <w:rsid w:val="00AE14EF"/>
    <w:rsid w:val="00AE41F0"/>
    <w:rsid w:val="00AE49D6"/>
    <w:rsid w:val="00AE5C8A"/>
    <w:rsid w:val="00AE72F1"/>
    <w:rsid w:val="00AF0FD9"/>
    <w:rsid w:val="00AF5571"/>
    <w:rsid w:val="00AF7A64"/>
    <w:rsid w:val="00B00BC6"/>
    <w:rsid w:val="00B00BE0"/>
    <w:rsid w:val="00B0181B"/>
    <w:rsid w:val="00B037A1"/>
    <w:rsid w:val="00B04E81"/>
    <w:rsid w:val="00B06F7F"/>
    <w:rsid w:val="00B11081"/>
    <w:rsid w:val="00B128E9"/>
    <w:rsid w:val="00B12F11"/>
    <w:rsid w:val="00B13063"/>
    <w:rsid w:val="00B13ACF"/>
    <w:rsid w:val="00B140FD"/>
    <w:rsid w:val="00B1433B"/>
    <w:rsid w:val="00B14572"/>
    <w:rsid w:val="00B14F25"/>
    <w:rsid w:val="00B174B7"/>
    <w:rsid w:val="00B1767A"/>
    <w:rsid w:val="00B17AF0"/>
    <w:rsid w:val="00B22FBB"/>
    <w:rsid w:val="00B231AA"/>
    <w:rsid w:val="00B23AE8"/>
    <w:rsid w:val="00B242D1"/>
    <w:rsid w:val="00B245BE"/>
    <w:rsid w:val="00B25DD2"/>
    <w:rsid w:val="00B261B7"/>
    <w:rsid w:val="00B273F9"/>
    <w:rsid w:val="00B276C0"/>
    <w:rsid w:val="00B310F7"/>
    <w:rsid w:val="00B33CA0"/>
    <w:rsid w:val="00B3516F"/>
    <w:rsid w:val="00B37961"/>
    <w:rsid w:val="00B41EE3"/>
    <w:rsid w:val="00B426D5"/>
    <w:rsid w:val="00B44D7F"/>
    <w:rsid w:val="00B44E0A"/>
    <w:rsid w:val="00B45008"/>
    <w:rsid w:val="00B46EAD"/>
    <w:rsid w:val="00B4730F"/>
    <w:rsid w:val="00B50ABE"/>
    <w:rsid w:val="00B50B44"/>
    <w:rsid w:val="00B519A7"/>
    <w:rsid w:val="00B53453"/>
    <w:rsid w:val="00B537C1"/>
    <w:rsid w:val="00B54253"/>
    <w:rsid w:val="00B5640A"/>
    <w:rsid w:val="00B60469"/>
    <w:rsid w:val="00B629AC"/>
    <w:rsid w:val="00B63BB0"/>
    <w:rsid w:val="00B65303"/>
    <w:rsid w:val="00B65826"/>
    <w:rsid w:val="00B70768"/>
    <w:rsid w:val="00B73673"/>
    <w:rsid w:val="00B73C14"/>
    <w:rsid w:val="00B742A4"/>
    <w:rsid w:val="00B74833"/>
    <w:rsid w:val="00B749EC"/>
    <w:rsid w:val="00B74D1F"/>
    <w:rsid w:val="00B75720"/>
    <w:rsid w:val="00B80256"/>
    <w:rsid w:val="00B84642"/>
    <w:rsid w:val="00B86014"/>
    <w:rsid w:val="00B86D5F"/>
    <w:rsid w:val="00B876F9"/>
    <w:rsid w:val="00B87DC5"/>
    <w:rsid w:val="00B90960"/>
    <w:rsid w:val="00B90CED"/>
    <w:rsid w:val="00B93D2D"/>
    <w:rsid w:val="00B954E8"/>
    <w:rsid w:val="00B95A19"/>
    <w:rsid w:val="00B95A89"/>
    <w:rsid w:val="00B96502"/>
    <w:rsid w:val="00B9656E"/>
    <w:rsid w:val="00B9766D"/>
    <w:rsid w:val="00BA6A31"/>
    <w:rsid w:val="00BB02B4"/>
    <w:rsid w:val="00BB1F44"/>
    <w:rsid w:val="00BB2E1B"/>
    <w:rsid w:val="00BB55A4"/>
    <w:rsid w:val="00BB7600"/>
    <w:rsid w:val="00BB7E93"/>
    <w:rsid w:val="00BB7EC8"/>
    <w:rsid w:val="00BC000A"/>
    <w:rsid w:val="00BC14C8"/>
    <w:rsid w:val="00BC1AE7"/>
    <w:rsid w:val="00BC313A"/>
    <w:rsid w:val="00BC4716"/>
    <w:rsid w:val="00BC476E"/>
    <w:rsid w:val="00BC5E8A"/>
    <w:rsid w:val="00BC78F3"/>
    <w:rsid w:val="00BC7A99"/>
    <w:rsid w:val="00BD0B29"/>
    <w:rsid w:val="00BD0EC9"/>
    <w:rsid w:val="00BD117D"/>
    <w:rsid w:val="00BD1861"/>
    <w:rsid w:val="00BD2482"/>
    <w:rsid w:val="00BD2DC9"/>
    <w:rsid w:val="00BD383F"/>
    <w:rsid w:val="00BD3C9B"/>
    <w:rsid w:val="00BD5023"/>
    <w:rsid w:val="00BD5DF5"/>
    <w:rsid w:val="00BD7532"/>
    <w:rsid w:val="00BD7626"/>
    <w:rsid w:val="00BD7DE8"/>
    <w:rsid w:val="00BD7F82"/>
    <w:rsid w:val="00BE05D2"/>
    <w:rsid w:val="00BE162E"/>
    <w:rsid w:val="00BE3988"/>
    <w:rsid w:val="00BE50B1"/>
    <w:rsid w:val="00BE598F"/>
    <w:rsid w:val="00BE66F2"/>
    <w:rsid w:val="00BE682D"/>
    <w:rsid w:val="00BE7C3B"/>
    <w:rsid w:val="00BF278B"/>
    <w:rsid w:val="00BF3935"/>
    <w:rsid w:val="00BF3F51"/>
    <w:rsid w:val="00BF3F7E"/>
    <w:rsid w:val="00BF4B2B"/>
    <w:rsid w:val="00BF706B"/>
    <w:rsid w:val="00BF7675"/>
    <w:rsid w:val="00C00257"/>
    <w:rsid w:val="00C01319"/>
    <w:rsid w:val="00C018A3"/>
    <w:rsid w:val="00C01CAF"/>
    <w:rsid w:val="00C0304A"/>
    <w:rsid w:val="00C03501"/>
    <w:rsid w:val="00C03C45"/>
    <w:rsid w:val="00C066EF"/>
    <w:rsid w:val="00C11499"/>
    <w:rsid w:val="00C128DE"/>
    <w:rsid w:val="00C134B0"/>
    <w:rsid w:val="00C1528F"/>
    <w:rsid w:val="00C15CD4"/>
    <w:rsid w:val="00C16019"/>
    <w:rsid w:val="00C16859"/>
    <w:rsid w:val="00C170C5"/>
    <w:rsid w:val="00C203D5"/>
    <w:rsid w:val="00C206B0"/>
    <w:rsid w:val="00C247AF"/>
    <w:rsid w:val="00C2496A"/>
    <w:rsid w:val="00C25FB6"/>
    <w:rsid w:val="00C275CD"/>
    <w:rsid w:val="00C27BB6"/>
    <w:rsid w:val="00C30249"/>
    <w:rsid w:val="00C3367A"/>
    <w:rsid w:val="00C33A78"/>
    <w:rsid w:val="00C33DF8"/>
    <w:rsid w:val="00C347D7"/>
    <w:rsid w:val="00C34F91"/>
    <w:rsid w:val="00C37DCA"/>
    <w:rsid w:val="00C40649"/>
    <w:rsid w:val="00C40D8D"/>
    <w:rsid w:val="00C437B2"/>
    <w:rsid w:val="00C4480A"/>
    <w:rsid w:val="00C45063"/>
    <w:rsid w:val="00C45A4F"/>
    <w:rsid w:val="00C516E4"/>
    <w:rsid w:val="00C52109"/>
    <w:rsid w:val="00C52AB4"/>
    <w:rsid w:val="00C5314E"/>
    <w:rsid w:val="00C5374C"/>
    <w:rsid w:val="00C54BDB"/>
    <w:rsid w:val="00C55483"/>
    <w:rsid w:val="00C571F8"/>
    <w:rsid w:val="00C57255"/>
    <w:rsid w:val="00C57613"/>
    <w:rsid w:val="00C61B81"/>
    <w:rsid w:val="00C64D37"/>
    <w:rsid w:val="00C67365"/>
    <w:rsid w:val="00C70729"/>
    <w:rsid w:val="00C70BA3"/>
    <w:rsid w:val="00C70EB2"/>
    <w:rsid w:val="00C71098"/>
    <w:rsid w:val="00C71D09"/>
    <w:rsid w:val="00C72EC6"/>
    <w:rsid w:val="00C72F27"/>
    <w:rsid w:val="00C758CA"/>
    <w:rsid w:val="00C76509"/>
    <w:rsid w:val="00C7680D"/>
    <w:rsid w:val="00C77EC2"/>
    <w:rsid w:val="00C8303B"/>
    <w:rsid w:val="00C8778E"/>
    <w:rsid w:val="00C87FAE"/>
    <w:rsid w:val="00C901F3"/>
    <w:rsid w:val="00C90CF0"/>
    <w:rsid w:val="00C92CD1"/>
    <w:rsid w:val="00C93A78"/>
    <w:rsid w:val="00C94C27"/>
    <w:rsid w:val="00C94E5B"/>
    <w:rsid w:val="00C97256"/>
    <w:rsid w:val="00C97531"/>
    <w:rsid w:val="00C97BD5"/>
    <w:rsid w:val="00CA01A0"/>
    <w:rsid w:val="00CA126F"/>
    <w:rsid w:val="00CA2C01"/>
    <w:rsid w:val="00CB0209"/>
    <w:rsid w:val="00CB0667"/>
    <w:rsid w:val="00CB410D"/>
    <w:rsid w:val="00CB46AF"/>
    <w:rsid w:val="00CB57EF"/>
    <w:rsid w:val="00CC0AFB"/>
    <w:rsid w:val="00CC1A9E"/>
    <w:rsid w:val="00CC1D05"/>
    <w:rsid w:val="00CC31CF"/>
    <w:rsid w:val="00CC3FDC"/>
    <w:rsid w:val="00CC5312"/>
    <w:rsid w:val="00CC582D"/>
    <w:rsid w:val="00CD4AF9"/>
    <w:rsid w:val="00CD6CE3"/>
    <w:rsid w:val="00CE1E13"/>
    <w:rsid w:val="00CE2FCB"/>
    <w:rsid w:val="00CE5FD6"/>
    <w:rsid w:val="00CE75B5"/>
    <w:rsid w:val="00CF00D6"/>
    <w:rsid w:val="00CF027C"/>
    <w:rsid w:val="00CF0B16"/>
    <w:rsid w:val="00CF2BB2"/>
    <w:rsid w:val="00CF2ECB"/>
    <w:rsid w:val="00CF3BFC"/>
    <w:rsid w:val="00CF61DE"/>
    <w:rsid w:val="00D0055A"/>
    <w:rsid w:val="00D01793"/>
    <w:rsid w:val="00D03BC0"/>
    <w:rsid w:val="00D03C4E"/>
    <w:rsid w:val="00D04D77"/>
    <w:rsid w:val="00D050D1"/>
    <w:rsid w:val="00D056B5"/>
    <w:rsid w:val="00D06B89"/>
    <w:rsid w:val="00D071C5"/>
    <w:rsid w:val="00D07293"/>
    <w:rsid w:val="00D07BBF"/>
    <w:rsid w:val="00D11DFA"/>
    <w:rsid w:val="00D12DE0"/>
    <w:rsid w:val="00D1305E"/>
    <w:rsid w:val="00D13A2E"/>
    <w:rsid w:val="00D143D9"/>
    <w:rsid w:val="00D1450E"/>
    <w:rsid w:val="00D174CD"/>
    <w:rsid w:val="00D178E5"/>
    <w:rsid w:val="00D20D08"/>
    <w:rsid w:val="00D22055"/>
    <w:rsid w:val="00D22143"/>
    <w:rsid w:val="00D23847"/>
    <w:rsid w:val="00D2552F"/>
    <w:rsid w:val="00D26536"/>
    <w:rsid w:val="00D26C60"/>
    <w:rsid w:val="00D27947"/>
    <w:rsid w:val="00D32587"/>
    <w:rsid w:val="00D32894"/>
    <w:rsid w:val="00D33386"/>
    <w:rsid w:val="00D35E7F"/>
    <w:rsid w:val="00D36167"/>
    <w:rsid w:val="00D36464"/>
    <w:rsid w:val="00D37D84"/>
    <w:rsid w:val="00D40F27"/>
    <w:rsid w:val="00D41A35"/>
    <w:rsid w:val="00D42B02"/>
    <w:rsid w:val="00D44693"/>
    <w:rsid w:val="00D46A3E"/>
    <w:rsid w:val="00D5122B"/>
    <w:rsid w:val="00D52A2C"/>
    <w:rsid w:val="00D5395F"/>
    <w:rsid w:val="00D55BD4"/>
    <w:rsid w:val="00D57C7E"/>
    <w:rsid w:val="00D606FF"/>
    <w:rsid w:val="00D61BE0"/>
    <w:rsid w:val="00D624A0"/>
    <w:rsid w:val="00D6677B"/>
    <w:rsid w:val="00D66ECF"/>
    <w:rsid w:val="00D67BCB"/>
    <w:rsid w:val="00D70AE0"/>
    <w:rsid w:val="00D71230"/>
    <w:rsid w:val="00D7123C"/>
    <w:rsid w:val="00D73220"/>
    <w:rsid w:val="00D75BD8"/>
    <w:rsid w:val="00D761BE"/>
    <w:rsid w:val="00D76E3F"/>
    <w:rsid w:val="00D80727"/>
    <w:rsid w:val="00D815EC"/>
    <w:rsid w:val="00D81CE0"/>
    <w:rsid w:val="00D8246F"/>
    <w:rsid w:val="00D8388D"/>
    <w:rsid w:val="00D86C48"/>
    <w:rsid w:val="00D92095"/>
    <w:rsid w:val="00D9214D"/>
    <w:rsid w:val="00D957B5"/>
    <w:rsid w:val="00D95BEA"/>
    <w:rsid w:val="00D96FE1"/>
    <w:rsid w:val="00DA1368"/>
    <w:rsid w:val="00DA209B"/>
    <w:rsid w:val="00DA22C8"/>
    <w:rsid w:val="00DA2D3C"/>
    <w:rsid w:val="00DA603E"/>
    <w:rsid w:val="00DB126F"/>
    <w:rsid w:val="00DB21B8"/>
    <w:rsid w:val="00DB28DB"/>
    <w:rsid w:val="00DB2DCA"/>
    <w:rsid w:val="00DB34EE"/>
    <w:rsid w:val="00DB4A73"/>
    <w:rsid w:val="00DB4CE1"/>
    <w:rsid w:val="00DB5CE8"/>
    <w:rsid w:val="00DB7111"/>
    <w:rsid w:val="00DB7925"/>
    <w:rsid w:val="00DB7ED1"/>
    <w:rsid w:val="00DB7F88"/>
    <w:rsid w:val="00DC0296"/>
    <w:rsid w:val="00DC14C7"/>
    <w:rsid w:val="00DC237F"/>
    <w:rsid w:val="00DC4ADF"/>
    <w:rsid w:val="00DC4B8F"/>
    <w:rsid w:val="00DC717E"/>
    <w:rsid w:val="00DC738B"/>
    <w:rsid w:val="00DC7772"/>
    <w:rsid w:val="00DD0E9A"/>
    <w:rsid w:val="00DD11E4"/>
    <w:rsid w:val="00DD17DA"/>
    <w:rsid w:val="00DD2121"/>
    <w:rsid w:val="00DD2769"/>
    <w:rsid w:val="00DD36EB"/>
    <w:rsid w:val="00DD400C"/>
    <w:rsid w:val="00DD45C1"/>
    <w:rsid w:val="00DD460E"/>
    <w:rsid w:val="00DE0686"/>
    <w:rsid w:val="00DE0877"/>
    <w:rsid w:val="00DE0CA3"/>
    <w:rsid w:val="00DE2EB8"/>
    <w:rsid w:val="00DE306D"/>
    <w:rsid w:val="00DE384C"/>
    <w:rsid w:val="00DE40BE"/>
    <w:rsid w:val="00DE57EA"/>
    <w:rsid w:val="00DE6439"/>
    <w:rsid w:val="00DE74EF"/>
    <w:rsid w:val="00DF3D04"/>
    <w:rsid w:val="00DF56DB"/>
    <w:rsid w:val="00DF6C65"/>
    <w:rsid w:val="00E02157"/>
    <w:rsid w:val="00E02C57"/>
    <w:rsid w:val="00E02F4B"/>
    <w:rsid w:val="00E0498B"/>
    <w:rsid w:val="00E0677C"/>
    <w:rsid w:val="00E07F9F"/>
    <w:rsid w:val="00E165BD"/>
    <w:rsid w:val="00E167C6"/>
    <w:rsid w:val="00E169C3"/>
    <w:rsid w:val="00E16C36"/>
    <w:rsid w:val="00E16E0D"/>
    <w:rsid w:val="00E170F7"/>
    <w:rsid w:val="00E23E83"/>
    <w:rsid w:val="00E25FEE"/>
    <w:rsid w:val="00E279AE"/>
    <w:rsid w:val="00E30278"/>
    <w:rsid w:val="00E30D31"/>
    <w:rsid w:val="00E3112D"/>
    <w:rsid w:val="00E31D73"/>
    <w:rsid w:val="00E32175"/>
    <w:rsid w:val="00E356BD"/>
    <w:rsid w:val="00E36525"/>
    <w:rsid w:val="00E40F0D"/>
    <w:rsid w:val="00E42280"/>
    <w:rsid w:val="00E4328E"/>
    <w:rsid w:val="00E43733"/>
    <w:rsid w:val="00E43DB1"/>
    <w:rsid w:val="00E44E90"/>
    <w:rsid w:val="00E4610B"/>
    <w:rsid w:val="00E469CD"/>
    <w:rsid w:val="00E46C76"/>
    <w:rsid w:val="00E471D0"/>
    <w:rsid w:val="00E513B3"/>
    <w:rsid w:val="00E5250C"/>
    <w:rsid w:val="00E52B5D"/>
    <w:rsid w:val="00E52E93"/>
    <w:rsid w:val="00E52ED6"/>
    <w:rsid w:val="00E549FD"/>
    <w:rsid w:val="00E56684"/>
    <w:rsid w:val="00E604CC"/>
    <w:rsid w:val="00E60D80"/>
    <w:rsid w:val="00E626E6"/>
    <w:rsid w:val="00E62BBA"/>
    <w:rsid w:val="00E62E42"/>
    <w:rsid w:val="00E635C2"/>
    <w:rsid w:val="00E645BD"/>
    <w:rsid w:val="00E64F33"/>
    <w:rsid w:val="00E64F81"/>
    <w:rsid w:val="00E6582D"/>
    <w:rsid w:val="00E65AB9"/>
    <w:rsid w:val="00E672CA"/>
    <w:rsid w:val="00E70219"/>
    <w:rsid w:val="00E71185"/>
    <w:rsid w:val="00E71DB1"/>
    <w:rsid w:val="00E729C7"/>
    <w:rsid w:val="00E73614"/>
    <w:rsid w:val="00E76002"/>
    <w:rsid w:val="00E7635B"/>
    <w:rsid w:val="00E77611"/>
    <w:rsid w:val="00E77C6E"/>
    <w:rsid w:val="00E8016A"/>
    <w:rsid w:val="00E804E6"/>
    <w:rsid w:val="00E82C11"/>
    <w:rsid w:val="00E84D23"/>
    <w:rsid w:val="00E8725A"/>
    <w:rsid w:val="00E87399"/>
    <w:rsid w:val="00E87DD3"/>
    <w:rsid w:val="00E91C09"/>
    <w:rsid w:val="00E950E7"/>
    <w:rsid w:val="00E967D9"/>
    <w:rsid w:val="00E9692D"/>
    <w:rsid w:val="00E96D39"/>
    <w:rsid w:val="00EA478C"/>
    <w:rsid w:val="00EA5A71"/>
    <w:rsid w:val="00EA69E3"/>
    <w:rsid w:val="00EA7D50"/>
    <w:rsid w:val="00EB07E2"/>
    <w:rsid w:val="00EB1327"/>
    <w:rsid w:val="00EB1BF1"/>
    <w:rsid w:val="00EB2990"/>
    <w:rsid w:val="00EB41B0"/>
    <w:rsid w:val="00EB45CF"/>
    <w:rsid w:val="00EB65FB"/>
    <w:rsid w:val="00EC1C12"/>
    <w:rsid w:val="00EC1DDE"/>
    <w:rsid w:val="00EC2054"/>
    <w:rsid w:val="00EC4820"/>
    <w:rsid w:val="00EC4C89"/>
    <w:rsid w:val="00EC52AE"/>
    <w:rsid w:val="00EC602C"/>
    <w:rsid w:val="00EC735F"/>
    <w:rsid w:val="00EC738B"/>
    <w:rsid w:val="00ED07F9"/>
    <w:rsid w:val="00EE00A7"/>
    <w:rsid w:val="00EE00CE"/>
    <w:rsid w:val="00EE01F6"/>
    <w:rsid w:val="00EE0253"/>
    <w:rsid w:val="00EE0A26"/>
    <w:rsid w:val="00EE0F2E"/>
    <w:rsid w:val="00EE0FA5"/>
    <w:rsid w:val="00EE37E7"/>
    <w:rsid w:val="00EE393C"/>
    <w:rsid w:val="00EE4E57"/>
    <w:rsid w:val="00EE6A43"/>
    <w:rsid w:val="00EE781C"/>
    <w:rsid w:val="00EE7A4E"/>
    <w:rsid w:val="00EE7C32"/>
    <w:rsid w:val="00EE7E1D"/>
    <w:rsid w:val="00EF0ADC"/>
    <w:rsid w:val="00EF1824"/>
    <w:rsid w:val="00EF1E5B"/>
    <w:rsid w:val="00EF1FC6"/>
    <w:rsid w:val="00EF27F4"/>
    <w:rsid w:val="00EF3D45"/>
    <w:rsid w:val="00EF3ED2"/>
    <w:rsid w:val="00EF4D97"/>
    <w:rsid w:val="00EF5454"/>
    <w:rsid w:val="00EF5D18"/>
    <w:rsid w:val="00EF669B"/>
    <w:rsid w:val="00EF7C17"/>
    <w:rsid w:val="00F00B30"/>
    <w:rsid w:val="00F02641"/>
    <w:rsid w:val="00F052BE"/>
    <w:rsid w:val="00F0665D"/>
    <w:rsid w:val="00F06F1D"/>
    <w:rsid w:val="00F06F40"/>
    <w:rsid w:val="00F07153"/>
    <w:rsid w:val="00F121F9"/>
    <w:rsid w:val="00F15D92"/>
    <w:rsid w:val="00F16140"/>
    <w:rsid w:val="00F16B66"/>
    <w:rsid w:val="00F1703F"/>
    <w:rsid w:val="00F21E82"/>
    <w:rsid w:val="00F236F9"/>
    <w:rsid w:val="00F23935"/>
    <w:rsid w:val="00F23DFC"/>
    <w:rsid w:val="00F24F01"/>
    <w:rsid w:val="00F2552D"/>
    <w:rsid w:val="00F257D4"/>
    <w:rsid w:val="00F26ACD"/>
    <w:rsid w:val="00F31F3E"/>
    <w:rsid w:val="00F32B3B"/>
    <w:rsid w:val="00F32B41"/>
    <w:rsid w:val="00F32E15"/>
    <w:rsid w:val="00F36AFA"/>
    <w:rsid w:val="00F376CD"/>
    <w:rsid w:val="00F4058C"/>
    <w:rsid w:val="00F4070B"/>
    <w:rsid w:val="00F41F38"/>
    <w:rsid w:val="00F45A14"/>
    <w:rsid w:val="00F471C3"/>
    <w:rsid w:val="00F47391"/>
    <w:rsid w:val="00F47DD5"/>
    <w:rsid w:val="00F503D5"/>
    <w:rsid w:val="00F519AD"/>
    <w:rsid w:val="00F5307F"/>
    <w:rsid w:val="00F54DA0"/>
    <w:rsid w:val="00F55725"/>
    <w:rsid w:val="00F56931"/>
    <w:rsid w:val="00F60838"/>
    <w:rsid w:val="00F61C9D"/>
    <w:rsid w:val="00F62F94"/>
    <w:rsid w:val="00F66815"/>
    <w:rsid w:val="00F707BD"/>
    <w:rsid w:val="00F708DB"/>
    <w:rsid w:val="00F72E02"/>
    <w:rsid w:val="00F73AC1"/>
    <w:rsid w:val="00F74B39"/>
    <w:rsid w:val="00F75F7A"/>
    <w:rsid w:val="00F76B69"/>
    <w:rsid w:val="00F77E85"/>
    <w:rsid w:val="00F8006D"/>
    <w:rsid w:val="00F81A9D"/>
    <w:rsid w:val="00F81BEB"/>
    <w:rsid w:val="00F81C2B"/>
    <w:rsid w:val="00F8429F"/>
    <w:rsid w:val="00F85327"/>
    <w:rsid w:val="00F90FEA"/>
    <w:rsid w:val="00F91DF7"/>
    <w:rsid w:val="00F93AB8"/>
    <w:rsid w:val="00F93F38"/>
    <w:rsid w:val="00F94892"/>
    <w:rsid w:val="00F95251"/>
    <w:rsid w:val="00F956DB"/>
    <w:rsid w:val="00F967F6"/>
    <w:rsid w:val="00F97643"/>
    <w:rsid w:val="00F97B00"/>
    <w:rsid w:val="00F97FA6"/>
    <w:rsid w:val="00FA0AF7"/>
    <w:rsid w:val="00FA36F1"/>
    <w:rsid w:val="00FA4521"/>
    <w:rsid w:val="00FA5E36"/>
    <w:rsid w:val="00FA670C"/>
    <w:rsid w:val="00FB0128"/>
    <w:rsid w:val="00FB0654"/>
    <w:rsid w:val="00FB24CD"/>
    <w:rsid w:val="00FB33AD"/>
    <w:rsid w:val="00FB4F7D"/>
    <w:rsid w:val="00FB5E81"/>
    <w:rsid w:val="00FB7460"/>
    <w:rsid w:val="00FB7532"/>
    <w:rsid w:val="00FC0AB1"/>
    <w:rsid w:val="00FC2DF4"/>
    <w:rsid w:val="00FC34CF"/>
    <w:rsid w:val="00FC46DC"/>
    <w:rsid w:val="00FC6531"/>
    <w:rsid w:val="00FC69EB"/>
    <w:rsid w:val="00FC6CEE"/>
    <w:rsid w:val="00FC7368"/>
    <w:rsid w:val="00FD0BF7"/>
    <w:rsid w:val="00FD1D57"/>
    <w:rsid w:val="00FD2D01"/>
    <w:rsid w:val="00FD643F"/>
    <w:rsid w:val="00FD72F1"/>
    <w:rsid w:val="00FE0270"/>
    <w:rsid w:val="00FE138D"/>
    <w:rsid w:val="00FE246F"/>
    <w:rsid w:val="00FE4050"/>
    <w:rsid w:val="00FE664D"/>
    <w:rsid w:val="00FF0099"/>
    <w:rsid w:val="00FF1D45"/>
    <w:rsid w:val="00FF21C7"/>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8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qFormat="1"/>
    <w:lsdException w:name="table of figures" w:uiPriority="99"/>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1A"/>
    <w:rPr>
      <w:sz w:val="24"/>
      <w:szCs w:val="24"/>
    </w:rPr>
  </w:style>
  <w:style w:type="paragraph" w:styleId="Heading1">
    <w:name w:val="heading 1"/>
    <w:basedOn w:val="Normal"/>
    <w:next w:val="Normal"/>
    <w:link w:val="Heading1Char"/>
    <w:qFormat/>
    <w:rsid w:val="00C40649"/>
    <w:pPr>
      <w:keepNext/>
      <w:autoSpaceDE w:val="0"/>
      <w:autoSpaceDN w:val="0"/>
      <w:adjustRightInd w:val="0"/>
      <w:spacing w:after="240"/>
      <w:outlineLvl w:val="0"/>
    </w:pPr>
    <w:rPr>
      <w:b/>
      <w:bCs/>
    </w:rPr>
  </w:style>
  <w:style w:type="paragraph" w:styleId="Heading2">
    <w:name w:val="heading 2"/>
    <w:basedOn w:val="Normal"/>
    <w:next w:val="Normal"/>
    <w:link w:val="Heading2Char"/>
    <w:qFormat/>
    <w:rsid w:val="00344F30"/>
    <w:pPr>
      <w:keepNext/>
      <w:autoSpaceDE w:val="0"/>
      <w:autoSpaceDN w:val="0"/>
      <w:adjustRightInd w:val="0"/>
      <w:spacing w:after="240"/>
      <w:outlineLvl w:val="1"/>
    </w:pPr>
    <w:rPr>
      <w:b/>
      <w:bCs/>
    </w:rPr>
  </w:style>
  <w:style w:type="paragraph" w:styleId="Heading3">
    <w:name w:val="heading 3"/>
    <w:basedOn w:val="Normal"/>
    <w:next w:val="Normal"/>
    <w:link w:val="Heading3Char"/>
    <w:qFormat/>
    <w:rsid w:val="000145B9"/>
    <w:pPr>
      <w:keepNext/>
      <w:tabs>
        <w:tab w:val="left" w:pos="864"/>
      </w:tabs>
      <w:autoSpaceDE w:val="0"/>
      <w:autoSpaceDN w:val="0"/>
      <w:adjustRightInd w:val="0"/>
      <w:spacing w:after="240"/>
      <w:outlineLvl w:val="2"/>
    </w:pPr>
    <w:rPr>
      <w:b/>
      <w:bCs/>
    </w:rPr>
  </w:style>
  <w:style w:type="paragraph" w:styleId="Heading4">
    <w:name w:val="heading 4"/>
    <w:basedOn w:val="Normal"/>
    <w:next w:val="Normal"/>
    <w:link w:val="Heading4Char"/>
    <w:unhideWhenUsed/>
    <w:qFormat/>
    <w:rsid w:val="0098390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983901"/>
    <w:pPr>
      <w:keepNext/>
      <w:keepLines/>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Footnote Text Char Char1,ALTS FOOTNOTE,fn,Char,Char4,Footnote Text - Preamble,Char2,Footnote Text - Preamble1,Char3,f"/>
    <w:basedOn w:val="Normal"/>
    <w:link w:val="FootnoteTextChar"/>
    <w:qFormat/>
    <w:rsid w:val="00FE664D"/>
    <w:rPr>
      <w:sz w:val="20"/>
      <w:szCs w:val="20"/>
    </w:rPr>
  </w:style>
  <w:style w:type="character" w:styleId="FootnoteReference">
    <w:name w:val="footnote reference"/>
    <w:basedOn w:val="DefaultParagraphFont"/>
    <w:qFormat/>
    <w:rsid w:val="00A84311"/>
    <w:rPr>
      <w:vertAlign w:val="superscript"/>
    </w:rPr>
  </w:style>
  <w:style w:type="paragraph" w:styleId="BodyText">
    <w:name w:val="Body Text"/>
    <w:basedOn w:val="Normal"/>
    <w:link w:val="BodyTextChar"/>
    <w:rsid w:val="00282040"/>
    <w:pPr>
      <w:spacing w:after="240"/>
      <w:ind w:firstLine="720"/>
    </w:pPr>
    <w:rPr>
      <w:iCs/>
      <w:color w:val="FF6600"/>
    </w:rPr>
  </w:style>
  <w:style w:type="paragraph" w:styleId="Footer">
    <w:name w:val="footer"/>
    <w:basedOn w:val="Normal"/>
    <w:link w:val="FooterChar"/>
    <w:uiPriority w:val="99"/>
    <w:rsid w:val="006000B4"/>
    <w:pPr>
      <w:tabs>
        <w:tab w:val="center" w:pos="4320"/>
        <w:tab w:val="right" w:pos="8640"/>
      </w:tabs>
    </w:pPr>
    <w:rPr>
      <w:iCs/>
    </w:rPr>
  </w:style>
  <w:style w:type="paragraph" w:customStyle="1" w:styleId="NormalIndent">
    <w:name w:val="Normal + Indent"/>
    <w:basedOn w:val="Normal"/>
    <w:rsid w:val="00021325"/>
    <w:pPr>
      <w:spacing w:after="240"/>
      <w:ind w:firstLine="720"/>
    </w:pPr>
    <w:rPr>
      <w:szCs w:val="20"/>
    </w:rPr>
  </w:style>
  <w:style w:type="paragraph" w:customStyle="1" w:styleId="Bullets">
    <w:name w:val="Bullets"/>
    <w:basedOn w:val="Normal"/>
    <w:qFormat/>
    <w:rsid w:val="00EC602C"/>
    <w:pPr>
      <w:numPr>
        <w:numId w:val="37"/>
      </w:numPr>
      <w:tabs>
        <w:tab w:val="left" w:pos="-1080"/>
        <w:tab w:val="left" w:pos="-720"/>
        <w:tab w:val="left" w:pos="0"/>
        <w:tab w:val="left" w:pos="720"/>
        <w:tab w:val="left" w:pos="1080"/>
      </w:tabs>
      <w:spacing w:after="240"/>
      <w:contextualSpacing/>
    </w:pPr>
  </w:style>
  <w:style w:type="character" w:customStyle="1" w:styleId="Heading4Char">
    <w:name w:val="Heading 4 Char"/>
    <w:basedOn w:val="DefaultParagraphFont"/>
    <w:link w:val="Heading4"/>
    <w:rsid w:val="00983901"/>
    <w:rPr>
      <w:rFonts w:eastAsiaTheme="majorEastAsia" w:cstheme="majorBidi"/>
      <w:b/>
      <w:iCs/>
      <w:sz w:val="24"/>
      <w:szCs w:val="24"/>
    </w:rPr>
  </w:style>
  <w:style w:type="table" w:styleId="TableGrid">
    <w:name w:val="Table Grid"/>
    <w:basedOn w:val="TableNormal"/>
    <w:uiPriority w:val="59"/>
    <w:rsid w:val="004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A1AF8"/>
    <w:rPr>
      <w:sz w:val="16"/>
      <w:szCs w:val="16"/>
    </w:rPr>
  </w:style>
  <w:style w:type="paragraph" w:styleId="CommentText">
    <w:name w:val="annotation text"/>
    <w:basedOn w:val="Normal"/>
    <w:link w:val="CommentTextChar"/>
    <w:semiHidden/>
    <w:rsid w:val="00AA1AF8"/>
    <w:rPr>
      <w:sz w:val="20"/>
      <w:szCs w:val="20"/>
    </w:rPr>
  </w:style>
  <w:style w:type="character" w:styleId="Hyperlink">
    <w:name w:val="Hyperlink"/>
    <w:basedOn w:val="DefaultParagraphFont"/>
    <w:uiPriority w:val="99"/>
    <w:rsid w:val="00AA1AF8"/>
    <w:rPr>
      <w:color w:val="0000FF"/>
      <w:u w:val="single"/>
    </w:rPr>
  </w:style>
  <w:style w:type="paragraph" w:styleId="BalloonText">
    <w:name w:val="Balloon Text"/>
    <w:basedOn w:val="Normal"/>
    <w:link w:val="BalloonTextChar"/>
    <w:semiHidden/>
    <w:rsid w:val="00AA1AF8"/>
    <w:rPr>
      <w:rFonts w:ascii="Tahoma" w:hAnsi="Tahoma" w:cs="Tahoma"/>
      <w:sz w:val="16"/>
      <w:szCs w:val="16"/>
    </w:rPr>
  </w:style>
  <w:style w:type="character" w:styleId="PageNumber">
    <w:name w:val="page number"/>
    <w:basedOn w:val="DefaultParagraphFont"/>
    <w:rsid w:val="00602AE7"/>
  </w:style>
  <w:style w:type="character" w:customStyle="1" w:styleId="Heading5Char">
    <w:name w:val="Heading 5 Char"/>
    <w:basedOn w:val="DefaultParagraphFont"/>
    <w:link w:val="Heading5"/>
    <w:rsid w:val="00983901"/>
    <w:rPr>
      <w:rFonts w:eastAsiaTheme="majorEastAsia" w:cstheme="majorBidi"/>
      <w:i/>
      <w:sz w:val="24"/>
      <w:szCs w:val="24"/>
    </w:rPr>
  </w:style>
  <w:style w:type="paragraph" w:styleId="Header">
    <w:name w:val="header"/>
    <w:basedOn w:val="Normal"/>
    <w:link w:val="HeaderChar"/>
    <w:uiPriority w:val="99"/>
    <w:rsid w:val="0036317C"/>
    <w:pPr>
      <w:tabs>
        <w:tab w:val="center" w:pos="4320"/>
        <w:tab w:val="right" w:pos="8640"/>
      </w:tabs>
    </w:pPr>
  </w:style>
  <w:style w:type="paragraph" w:customStyle="1" w:styleId="TableNote">
    <w:name w:val="Table Note"/>
    <w:basedOn w:val="Normal"/>
    <w:qFormat/>
    <w:rsid w:val="004A1618"/>
    <w:pPr>
      <w:tabs>
        <w:tab w:val="left" w:pos="-1080"/>
        <w:tab w:val="left" w:pos="-720"/>
        <w:tab w:val="left" w:pos="0"/>
        <w:tab w:val="left" w:pos="720"/>
        <w:tab w:val="left" w:pos="1080"/>
      </w:tabs>
      <w:spacing w:after="240"/>
    </w:pPr>
    <w:rPr>
      <w:sz w:val="20"/>
      <w:szCs w:val="20"/>
    </w:rPr>
  </w:style>
  <w:style w:type="paragraph" w:customStyle="1" w:styleId="Table">
    <w:name w:val="Table"/>
    <w:basedOn w:val="Normal"/>
    <w:qFormat/>
    <w:rsid w:val="00344F30"/>
    <w:pPr>
      <w:keepNext/>
      <w:keepLines/>
    </w:pPr>
    <w:rPr>
      <w:rFonts w:ascii="Arial" w:hAnsi="Arial" w:cs="Arial"/>
      <w:sz w:val="20"/>
      <w:szCs w:val="20"/>
    </w:rPr>
  </w:style>
  <w:style w:type="character" w:customStyle="1" w:styleId="BodyTextChar">
    <w:name w:val="Body Text Char"/>
    <w:basedOn w:val="DefaultParagraphFont"/>
    <w:link w:val="BodyText"/>
    <w:rsid w:val="00282040"/>
    <w:rPr>
      <w:iCs/>
      <w:color w:val="FF6600"/>
      <w:sz w:val="24"/>
      <w:szCs w:val="24"/>
    </w:rPr>
  </w:style>
  <w:style w:type="paragraph" w:styleId="TOC1">
    <w:name w:val="toc 1"/>
    <w:basedOn w:val="Normal"/>
    <w:next w:val="Normal"/>
    <w:autoRedefine/>
    <w:uiPriority w:val="39"/>
    <w:rsid w:val="0043628D"/>
  </w:style>
  <w:style w:type="paragraph" w:styleId="TOC2">
    <w:name w:val="toc 2"/>
    <w:basedOn w:val="Normal"/>
    <w:next w:val="Normal"/>
    <w:autoRedefine/>
    <w:uiPriority w:val="39"/>
    <w:rsid w:val="0043628D"/>
    <w:pPr>
      <w:ind w:left="240"/>
    </w:pPr>
  </w:style>
  <w:style w:type="paragraph" w:styleId="TOC3">
    <w:name w:val="toc 3"/>
    <w:basedOn w:val="Normal"/>
    <w:next w:val="Normal"/>
    <w:autoRedefine/>
    <w:uiPriority w:val="39"/>
    <w:rsid w:val="0043628D"/>
    <w:pPr>
      <w:ind w:left="480"/>
    </w:pPr>
  </w:style>
  <w:style w:type="paragraph" w:styleId="CommentSubject">
    <w:name w:val="annotation subject"/>
    <w:basedOn w:val="CommentText"/>
    <w:next w:val="CommentText"/>
    <w:link w:val="CommentSubjectChar"/>
    <w:semiHidden/>
    <w:rsid w:val="00573F58"/>
    <w:rPr>
      <w:b/>
      <w:bCs/>
    </w:rPr>
  </w:style>
  <w:style w:type="paragraph" w:styleId="Caption">
    <w:name w:val="caption"/>
    <w:basedOn w:val="Normal"/>
    <w:next w:val="Normal"/>
    <w:unhideWhenUsed/>
    <w:qFormat/>
    <w:rsid w:val="00792F80"/>
    <w:pPr>
      <w:keepNext/>
      <w:spacing w:after="200"/>
      <w:jc w:val="center"/>
    </w:pPr>
    <w:rPr>
      <w:b/>
      <w:bCs/>
    </w:rPr>
  </w:style>
  <w:style w:type="character" w:styleId="FollowedHyperlink">
    <w:name w:val="FollowedHyperlink"/>
    <w:basedOn w:val="DefaultParagraphFont"/>
    <w:uiPriority w:val="99"/>
    <w:semiHidden/>
    <w:unhideWhenUsed/>
    <w:rsid w:val="00F81A9D"/>
    <w:rPr>
      <w:color w:val="800080" w:themeColor="followedHyperlink"/>
      <w:u w:val="single"/>
    </w:rPr>
  </w:style>
  <w:style w:type="paragraph" w:styleId="Revision">
    <w:name w:val="Revision"/>
    <w:hidden/>
    <w:uiPriority w:val="99"/>
    <w:semiHidden/>
    <w:rsid w:val="008514F4"/>
    <w:rPr>
      <w:sz w:val="24"/>
      <w:szCs w:val="24"/>
    </w:rPr>
  </w:style>
  <w:style w:type="paragraph" w:styleId="Title">
    <w:name w:val="Title"/>
    <w:basedOn w:val="Normal"/>
    <w:next w:val="Normal"/>
    <w:link w:val="TitleChar"/>
    <w:qFormat/>
    <w:rsid w:val="006770D4"/>
    <w:pPr>
      <w:autoSpaceDE w:val="0"/>
      <w:autoSpaceDN w:val="0"/>
      <w:adjustRightInd w:val="0"/>
      <w:jc w:val="center"/>
    </w:pPr>
    <w:rPr>
      <w:b/>
      <w:bCs/>
    </w:rPr>
  </w:style>
  <w:style w:type="character" w:customStyle="1" w:styleId="TitleChar">
    <w:name w:val="Title Char"/>
    <w:basedOn w:val="DefaultParagraphFont"/>
    <w:link w:val="Title"/>
    <w:rsid w:val="00AD7E6F"/>
    <w:rPr>
      <w:b/>
      <w:bCs/>
      <w:sz w:val="24"/>
      <w:szCs w:val="24"/>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FE664D"/>
  </w:style>
  <w:style w:type="character" w:customStyle="1" w:styleId="Heading1Char">
    <w:name w:val="Heading 1 Char"/>
    <w:basedOn w:val="DefaultParagraphFont"/>
    <w:link w:val="Heading1"/>
    <w:rsid w:val="00C40649"/>
    <w:rPr>
      <w:b/>
      <w:bCs/>
      <w:sz w:val="24"/>
      <w:szCs w:val="24"/>
    </w:rPr>
  </w:style>
  <w:style w:type="character" w:customStyle="1" w:styleId="Heading2Char">
    <w:name w:val="Heading 2 Char"/>
    <w:basedOn w:val="DefaultParagraphFont"/>
    <w:link w:val="Heading2"/>
    <w:rsid w:val="00344F30"/>
    <w:rPr>
      <w:b/>
      <w:bCs/>
      <w:sz w:val="24"/>
      <w:szCs w:val="24"/>
    </w:rPr>
  </w:style>
  <w:style w:type="character" w:customStyle="1" w:styleId="Heading3Char">
    <w:name w:val="Heading 3 Char"/>
    <w:basedOn w:val="DefaultParagraphFont"/>
    <w:link w:val="Heading3"/>
    <w:rsid w:val="000145B9"/>
    <w:rPr>
      <w:b/>
      <w:bCs/>
      <w:sz w:val="24"/>
      <w:szCs w:val="24"/>
    </w:rPr>
  </w:style>
  <w:style w:type="character" w:customStyle="1" w:styleId="FooterChar">
    <w:name w:val="Footer Char"/>
    <w:basedOn w:val="DefaultParagraphFont"/>
    <w:link w:val="Footer"/>
    <w:uiPriority w:val="99"/>
    <w:rsid w:val="00E672CA"/>
    <w:rPr>
      <w:iCs/>
      <w:sz w:val="24"/>
      <w:szCs w:val="24"/>
    </w:rPr>
  </w:style>
  <w:style w:type="character" w:customStyle="1" w:styleId="CommentTextChar">
    <w:name w:val="Comment Text Char"/>
    <w:basedOn w:val="DefaultParagraphFont"/>
    <w:link w:val="CommentText"/>
    <w:semiHidden/>
    <w:rsid w:val="00E672CA"/>
  </w:style>
  <w:style w:type="character" w:customStyle="1" w:styleId="BalloonTextChar">
    <w:name w:val="Balloon Text Char"/>
    <w:basedOn w:val="DefaultParagraphFont"/>
    <w:link w:val="BalloonText"/>
    <w:semiHidden/>
    <w:rsid w:val="00E672CA"/>
    <w:rPr>
      <w:rFonts w:ascii="Tahoma" w:hAnsi="Tahoma" w:cs="Tahoma"/>
      <w:sz w:val="16"/>
      <w:szCs w:val="16"/>
    </w:rPr>
  </w:style>
  <w:style w:type="character" w:customStyle="1" w:styleId="HeaderChar">
    <w:name w:val="Header Char"/>
    <w:basedOn w:val="DefaultParagraphFont"/>
    <w:link w:val="Header"/>
    <w:uiPriority w:val="99"/>
    <w:rsid w:val="00E672CA"/>
    <w:rPr>
      <w:sz w:val="24"/>
      <w:szCs w:val="24"/>
    </w:rPr>
  </w:style>
  <w:style w:type="character" w:customStyle="1" w:styleId="CommentSubjectChar">
    <w:name w:val="Comment Subject Char"/>
    <w:basedOn w:val="CommentTextChar"/>
    <w:link w:val="CommentSubject"/>
    <w:semiHidden/>
    <w:rsid w:val="00E672CA"/>
    <w:rPr>
      <w:b/>
      <w:bCs/>
    </w:rPr>
  </w:style>
  <w:style w:type="paragraph" w:styleId="ListParagraph">
    <w:name w:val="List Paragraph"/>
    <w:basedOn w:val="Normal"/>
    <w:link w:val="ListParagraphChar"/>
    <w:uiPriority w:val="34"/>
    <w:qFormat/>
    <w:rsid w:val="00BE05D2"/>
    <w:pPr>
      <w:spacing w:after="160" w:line="259" w:lineRule="auto"/>
      <w:ind w:left="720" w:hanging="36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BE05D2"/>
    <w:rPr>
      <w:rFonts w:asciiTheme="minorHAnsi" w:eastAsiaTheme="minorHAnsi" w:hAnsiTheme="minorHAnsi" w:cstheme="minorBidi"/>
      <w:sz w:val="22"/>
      <w:szCs w:val="22"/>
    </w:rPr>
  </w:style>
  <w:style w:type="paragraph" w:customStyle="1" w:styleId="Tabletext">
    <w:name w:val="Table text"/>
    <w:basedOn w:val="Normal"/>
    <w:link w:val="TabletextChar"/>
    <w:qFormat/>
    <w:rsid w:val="00BE05D2"/>
    <w:pPr>
      <w:widowControl w:val="0"/>
      <w:spacing w:after="160" w:line="259" w:lineRule="auto"/>
    </w:pPr>
    <w:rPr>
      <w:rFonts w:ascii="Calibri" w:eastAsiaTheme="minorHAnsi" w:hAnsi="Calibri" w:cstheme="minorBidi"/>
      <w:sz w:val="20"/>
      <w:szCs w:val="22"/>
    </w:rPr>
  </w:style>
  <w:style w:type="character" w:customStyle="1" w:styleId="TabletextChar">
    <w:name w:val="Table text Char"/>
    <w:basedOn w:val="DefaultParagraphFont"/>
    <w:link w:val="Tabletext"/>
    <w:rsid w:val="00BE05D2"/>
    <w:rPr>
      <w:rFonts w:ascii="Calibri" w:eastAsiaTheme="minorHAnsi" w:hAnsi="Calibri" w:cstheme="minorBidi"/>
      <w:szCs w:val="22"/>
    </w:rPr>
  </w:style>
  <w:style w:type="paragraph" w:customStyle="1" w:styleId="TableHeader">
    <w:name w:val="Table Header"/>
    <w:basedOn w:val="Tabletext"/>
    <w:link w:val="TableHeaderChar"/>
    <w:qFormat/>
    <w:rsid w:val="00BE05D2"/>
    <w:pPr>
      <w:keepNext/>
      <w:keepLines/>
      <w:widowControl/>
      <w:spacing w:after="0"/>
    </w:pPr>
    <w:rPr>
      <w:b/>
    </w:rPr>
  </w:style>
  <w:style w:type="character" w:customStyle="1" w:styleId="TableHeaderChar">
    <w:name w:val="Table Header Char"/>
    <w:basedOn w:val="TabletextChar"/>
    <w:link w:val="TableHeader"/>
    <w:rsid w:val="00BE05D2"/>
    <w:rPr>
      <w:rFonts w:ascii="Calibri" w:eastAsiaTheme="minorHAnsi" w:hAnsi="Calibri" w:cstheme="minorBidi"/>
      <w:b/>
      <w:szCs w:val="22"/>
    </w:rPr>
  </w:style>
  <w:style w:type="paragraph" w:customStyle="1" w:styleId="TableFooter">
    <w:name w:val="TableFooter"/>
    <w:basedOn w:val="Normal"/>
    <w:link w:val="TableFooterChar"/>
    <w:qFormat/>
    <w:rsid w:val="00BE05D2"/>
    <w:pPr>
      <w:spacing w:after="240" w:line="259" w:lineRule="auto"/>
      <w:ind w:left="86"/>
      <w:contextualSpacing/>
    </w:pPr>
    <w:rPr>
      <w:rFonts w:asciiTheme="minorHAnsi" w:eastAsiaTheme="minorHAnsi" w:hAnsiTheme="minorHAnsi" w:cstheme="minorHAnsi"/>
      <w:sz w:val="20"/>
      <w:szCs w:val="20"/>
    </w:rPr>
  </w:style>
  <w:style w:type="character" w:customStyle="1" w:styleId="TableFooterChar">
    <w:name w:val="TableFooter Char"/>
    <w:basedOn w:val="DefaultParagraphFont"/>
    <w:link w:val="TableFooter"/>
    <w:rsid w:val="00BE05D2"/>
    <w:rPr>
      <w:rFonts w:asciiTheme="minorHAnsi" w:eastAsiaTheme="minorHAnsi" w:hAnsiTheme="minorHAnsi" w:cstheme="minorHAnsi"/>
    </w:rPr>
  </w:style>
  <w:style w:type="character" w:customStyle="1" w:styleId="UnresolvedMention1">
    <w:name w:val="Unresolved Mention1"/>
    <w:basedOn w:val="DefaultParagraphFont"/>
    <w:uiPriority w:val="99"/>
    <w:semiHidden/>
    <w:unhideWhenUsed/>
    <w:rsid w:val="00AA3E4E"/>
    <w:rPr>
      <w:color w:val="605E5C"/>
      <w:shd w:val="clear" w:color="auto" w:fill="E1DFDD"/>
    </w:rPr>
  </w:style>
  <w:style w:type="character" w:customStyle="1" w:styleId="UnresolvedMention2">
    <w:name w:val="Unresolved Mention2"/>
    <w:basedOn w:val="DefaultParagraphFont"/>
    <w:uiPriority w:val="99"/>
    <w:semiHidden/>
    <w:unhideWhenUsed/>
    <w:rsid w:val="007C7F0E"/>
    <w:rPr>
      <w:color w:val="605E5C"/>
      <w:shd w:val="clear" w:color="auto" w:fill="E1DFDD"/>
    </w:rPr>
  </w:style>
  <w:style w:type="character" w:customStyle="1" w:styleId="UnresolvedMention20">
    <w:name w:val="Unresolved Mention2"/>
    <w:basedOn w:val="DefaultParagraphFont"/>
    <w:uiPriority w:val="99"/>
    <w:semiHidden/>
    <w:unhideWhenUsed/>
    <w:rsid w:val="00A25DB8"/>
    <w:rPr>
      <w:color w:val="605E5C"/>
      <w:shd w:val="clear" w:color="auto" w:fill="E1DFDD"/>
    </w:rPr>
  </w:style>
  <w:style w:type="paragraph" w:customStyle="1" w:styleId="12ptItalics">
    <w:name w:val="12pt Italics"/>
    <w:basedOn w:val="Normal"/>
    <w:link w:val="12ptItalicsChar"/>
    <w:qFormat/>
    <w:rsid w:val="00002F5B"/>
    <w:pPr>
      <w:spacing w:after="200" w:line="276" w:lineRule="auto"/>
    </w:pPr>
    <w:rPr>
      <w:i/>
      <w:iCs/>
      <w:color w:val="000000"/>
    </w:rPr>
  </w:style>
  <w:style w:type="character" w:customStyle="1" w:styleId="12ptItalicsChar">
    <w:name w:val="12pt Italics Char"/>
    <w:link w:val="12ptItalics"/>
    <w:rsid w:val="00002F5B"/>
    <w:rPr>
      <w:i/>
      <w:iCs/>
      <w:color w:val="000000"/>
      <w:sz w:val="24"/>
      <w:szCs w:val="24"/>
    </w:rPr>
  </w:style>
  <w:style w:type="paragraph" w:customStyle="1" w:styleId="SectionHeading1">
    <w:name w:val="Section Heading 1"/>
    <w:basedOn w:val="Normal"/>
    <w:link w:val="SectionHeading1Char"/>
    <w:qFormat/>
    <w:rsid w:val="00002F5B"/>
    <w:pPr>
      <w:tabs>
        <w:tab w:val="left" w:pos="720"/>
      </w:tabs>
      <w:autoSpaceDE w:val="0"/>
      <w:autoSpaceDN w:val="0"/>
      <w:adjustRightInd w:val="0"/>
    </w:pPr>
    <w:rPr>
      <w:b/>
      <w:bCs/>
      <w:sz w:val="28"/>
      <w:szCs w:val="28"/>
    </w:rPr>
  </w:style>
  <w:style w:type="character" w:customStyle="1" w:styleId="SectionHeading1Char">
    <w:name w:val="Section Heading 1 Char"/>
    <w:link w:val="SectionHeading1"/>
    <w:rsid w:val="00002F5B"/>
    <w:rPr>
      <w:b/>
      <w:bCs/>
      <w:sz w:val="28"/>
      <w:szCs w:val="28"/>
    </w:rPr>
  </w:style>
  <w:style w:type="paragraph" w:styleId="TOCHeading">
    <w:name w:val="TOC Heading"/>
    <w:basedOn w:val="Heading1"/>
    <w:next w:val="Normal"/>
    <w:uiPriority w:val="39"/>
    <w:unhideWhenUsed/>
    <w:qFormat/>
    <w:rsid w:val="00002F5B"/>
    <w:pPr>
      <w:keepLines/>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002F5B"/>
    <w:pPr>
      <w:spacing w:after="100"/>
      <w:ind w:left="720"/>
    </w:pPr>
  </w:style>
  <w:style w:type="paragraph" w:styleId="TableofFigures">
    <w:name w:val="table of figures"/>
    <w:basedOn w:val="Normal"/>
    <w:next w:val="Normal"/>
    <w:uiPriority w:val="99"/>
    <w:unhideWhenUsed/>
    <w:rsid w:val="00B41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qFormat="1"/>
    <w:lsdException w:name="table of figures" w:uiPriority="99"/>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1A"/>
    <w:rPr>
      <w:sz w:val="24"/>
      <w:szCs w:val="24"/>
    </w:rPr>
  </w:style>
  <w:style w:type="paragraph" w:styleId="Heading1">
    <w:name w:val="heading 1"/>
    <w:basedOn w:val="Normal"/>
    <w:next w:val="Normal"/>
    <w:link w:val="Heading1Char"/>
    <w:qFormat/>
    <w:rsid w:val="00C40649"/>
    <w:pPr>
      <w:keepNext/>
      <w:autoSpaceDE w:val="0"/>
      <w:autoSpaceDN w:val="0"/>
      <w:adjustRightInd w:val="0"/>
      <w:spacing w:after="240"/>
      <w:outlineLvl w:val="0"/>
    </w:pPr>
    <w:rPr>
      <w:b/>
      <w:bCs/>
    </w:rPr>
  </w:style>
  <w:style w:type="paragraph" w:styleId="Heading2">
    <w:name w:val="heading 2"/>
    <w:basedOn w:val="Normal"/>
    <w:next w:val="Normal"/>
    <w:link w:val="Heading2Char"/>
    <w:qFormat/>
    <w:rsid w:val="00344F30"/>
    <w:pPr>
      <w:keepNext/>
      <w:autoSpaceDE w:val="0"/>
      <w:autoSpaceDN w:val="0"/>
      <w:adjustRightInd w:val="0"/>
      <w:spacing w:after="240"/>
      <w:outlineLvl w:val="1"/>
    </w:pPr>
    <w:rPr>
      <w:b/>
      <w:bCs/>
    </w:rPr>
  </w:style>
  <w:style w:type="paragraph" w:styleId="Heading3">
    <w:name w:val="heading 3"/>
    <w:basedOn w:val="Normal"/>
    <w:next w:val="Normal"/>
    <w:link w:val="Heading3Char"/>
    <w:qFormat/>
    <w:rsid w:val="000145B9"/>
    <w:pPr>
      <w:keepNext/>
      <w:tabs>
        <w:tab w:val="left" w:pos="864"/>
      </w:tabs>
      <w:autoSpaceDE w:val="0"/>
      <w:autoSpaceDN w:val="0"/>
      <w:adjustRightInd w:val="0"/>
      <w:spacing w:after="240"/>
      <w:outlineLvl w:val="2"/>
    </w:pPr>
    <w:rPr>
      <w:b/>
      <w:bCs/>
    </w:rPr>
  </w:style>
  <w:style w:type="paragraph" w:styleId="Heading4">
    <w:name w:val="heading 4"/>
    <w:basedOn w:val="Normal"/>
    <w:next w:val="Normal"/>
    <w:link w:val="Heading4Char"/>
    <w:unhideWhenUsed/>
    <w:qFormat/>
    <w:rsid w:val="0098390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983901"/>
    <w:pPr>
      <w:keepNext/>
      <w:keepLines/>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Footnote Text Char Char1,ALTS FOOTNOTE,fn,Char,Char4,Footnote Text - Preamble,Char2,Footnote Text - Preamble1,Char3,f"/>
    <w:basedOn w:val="Normal"/>
    <w:link w:val="FootnoteTextChar"/>
    <w:qFormat/>
    <w:rsid w:val="00FE664D"/>
    <w:rPr>
      <w:sz w:val="20"/>
      <w:szCs w:val="20"/>
    </w:rPr>
  </w:style>
  <w:style w:type="character" w:styleId="FootnoteReference">
    <w:name w:val="footnote reference"/>
    <w:basedOn w:val="DefaultParagraphFont"/>
    <w:qFormat/>
    <w:rsid w:val="00A84311"/>
    <w:rPr>
      <w:vertAlign w:val="superscript"/>
    </w:rPr>
  </w:style>
  <w:style w:type="paragraph" w:styleId="BodyText">
    <w:name w:val="Body Text"/>
    <w:basedOn w:val="Normal"/>
    <w:link w:val="BodyTextChar"/>
    <w:rsid w:val="00282040"/>
    <w:pPr>
      <w:spacing w:after="240"/>
      <w:ind w:firstLine="720"/>
    </w:pPr>
    <w:rPr>
      <w:iCs/>
      <w:color w:val="FF6600"/>
    </w:rPr>
  </w:style>
  <w:style w:type="paragraph" w:styleId="Footer">
    <w:name w:val="footer"/>
    <w:basedOn w:val="Normal"/>
    <w:link w:val="FooterChar"/>
    <w:uiPriority w:val="99"/>
    <w:rsid w:val="006000B4"/>
    <w:pPr>
      <w:tabs>
        <w:tab w:val="center" w:pos="4320"/>
        <w:tab w:val="right" w:pos="8640"/>
      </w:tabs>
    </w:pPr>
    <w:rPr>
      <w:iCs/>
    </w:rPr>
  </w:style>
  <w:style w:type="paragraph" w:customStyle="1" w:styleId="NormalIndent">
    <w:name w:val="Normal + Indent"/>
    <w:basedOn w:val="Normal"/>
    <w:rsid w:val="00021325"/>
    <w:pPr>
      <w:spacing w:after="240"/>
      <w:ind w:firstLine="720"/>
    </w:pPr>
    <w:rPr>
      <w:szCs w:val="20"/>
    </w:rPr>
  </w:style>
  <w:style w:type="paragraph" w:customStyle="1" w:styleId="Bullets">
    <w:name w:val="Bullets"/>
    <w:basedOn w:val="Normal"/>
    <w:qFormat/>
    <w:rsid w:val="00EC602C"/>
    <w:pPr>
      <w:numPr>
        <w:numId w:val="37"/>
      </w:numPr>
      <w:tabs>
        <w:tab w:val="left" w:pos="-1080"/>
        <w:tab w:val="left" w:pos="-720"/>
        <w:tab w:val="left" w:pos="0"/>
        <w:tab w:val="left" w:pos="720"/>
        <w:tab w:val="left" w:pos="1080"/>
      </w:tabs>
      <w:spacing w:after="240"/>
      <w:contextualSpacing/>
    </w:pPr>
  </w:style>
  <w:style w:type="character" w:customStyle="1" w:styleId="Heading4Char">
    <w:name w:val="Heading 4 Char"/>
    <w:basedOn w:val="DefaultParagraphFont"/>
    <w:link w:val="Heading4"/>
    <w:rsid w:val="00983901"/>
    <w:rPr>
      <w:rFonts w:eastAsiaTheme="majorEastAsia" w:cstheme="majorBidi"/>
      <w:b/>
      <w:iCs/>
      <w:sz w:val="24"/>
      <w:szCs w:val="24"/>
    </w:rPr>
  </w:style>
  <w:style w:type="table" w:styleId="TableGrid">
    <w:name w:val="Table Grid"/>
    <w:basedOn w:val="TableNormal"/>
    <w:uiPriority w:val="59"/>
    <w:rsid w:val="004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A1AF8"/>
    <w:rPr>
      <w:sz w:val="16"/>
      <w:szCs w:val="16"/>
    </w:rPr>
  </w:style>
  <w:style w:type="paragraph" w:styleId="CommentText">
    <w:name w:val="annotation text"/>
    <w:basedOn w:val="Normal"/>
    <w:link w:val="CommentTextChar"/>
    <w:semiHidden/>
    <w:rsid w:val="00AA1AF8"/>
    <w:rPr>
      <w:sz w:val="20"/>
      <w:szCs w:val="20"/>
    </w:rPr>
  </w:style>
  <w:style w:type="character" w:styleId="Hyperlink">
    <w:name w:val="Hyperlink"/>
    <w:basedOn w:val="DefaultParagraphFont"/>
    <w:uiPriority w:val="99"/>
    <w:rsid w:val="00AA1AF8"/>
    <w:rPr>
      <w:color w:val="0000FF"/>
      <w:u w:val="single"/>
    </w:rPr>
  </w:style>
  <w:style w:type="paragraph" w:styleId="BalloonText">
    <w:name w:val="Balloon Text"/>
    <w:basedOn w:val="Normal"/>
    <w:link w:val="BalloonTextChar"/>
    <w:semiHidden/>
    <w:rsid w:val="00AA1AF8"/>
    <w:rPr>
      <w:rFonts w:ascii="Tahoma" w:hAnsi="Tahoma" w:cs="Tahoma"/>
      <w:sz w:val="16"/>
      <w:szCs w:val="16"/>
    </w:rPr>
  </w:style>
  <w:style w:type="character" w:styleId="PageNumber">
    <w:name w:val="page number"/>
    <w:basedOn w:val="DefaultParagraphFont"/>
    <w:rsid w:val="00602AE7"/>
  </w:style>
  <w:style w:type="character" w:customStyle="1" w:styleId="Heading5Char">
    <w:name w:val="Heading 5 Char"/>
    <w:basedOn w:val="DefaultParagraphFont"/>
    <w:link w:val="Heading5"/>
    <w:rsid w:val="00983901"/>
    <w:rPr>
      <w:rFonts w:eastAsiaTheme="majorEastAsia" w:cstheme="majorBidi"/>
      <w:i/>
      <w:sz w:val="24"/>
      <w:szCs w:val="24"/>
    </w:rPr>
  </w:style>
  <w:style w:type="paragraph" w:styleId="Header">
    <w:name w:val="header"/>
    <w:basedOn w:val="Normal"/>
    <w:link w:val="HeaderChar"/>
    <w:uiPriority w:val="99"/>
    <w:rsid w:val="0036317C"/>
    <w:pPr>
      <w:tabs>
        <w:tab w:val="center" w:pos="4320"/>
        <w:tab w:val="right" w:pos="8640"/>
      </w:tabs>
    </w:pPr>
  </w:style>
  <w:style w:type="paragraph" w:customStyle="1" w:styleId="TableNote">
    <w:name w:val="Table Note"/>
    <w:basedOn w:val="Normal"/>
    <w:qFormat/>
    <w:rsid w:val="004A1618"/>
    <w:pPr>
      <w:tabs>
        <w:tab w:val="left" w:pos="-1080"/>
        <w:tab w:val="left" w:pos="-720"/>
        <w:tab w:val="left" w:pos="0"/>
        <w:tab w:val="left" w:pos="720"/>
        <w:tab w:val="left" w:pos="1080"/>
      </w:tabs>
      <w:spacing w:after="240"/>
    </w:pPr>
    <w:rPr>
      <w:sz w:val="20"/>
      <w:szCs w:val="20"/>
    </w:rPr>
  </w:style>
  <w:style w:type="paragraph" w:customStyle="1" w:styleId="Table">
    <w:name w:val="Table"/>
    <w:basedOn w:val="Normal"/>
    <w:qFormat/>
    <w:rsid w:val="00344F30"/>
    <w:pPr>
      <w:keepNext/>
      <w:keepLines/>
    </w:pPr>
    <w:rPr>
      <w:rFonts w:ascii="Arial" w:hAnsi="Arial" w:cs="Arial"/>
      <w:sz w:val="20"/>
      <w:szCs w:val="20"/>
    </w:rPr>
  </w:style>
  <w:style w:type="character" w:customStyle="1" w:styleId="BodyTextChar">
    <w:name w:val="Body Text Char"/>
    <w:basedOn w:val="DefaultParagraphFont"/>
    <w:link w:val="BodyText"/>
    <w:rsid w:val="00282040"/>
    <w:rPr>
      <w:iCs/>
      <w:color w:val="FF6600"/>
      <w:sz w:val="24"/>
      <w:szCs w:val="24"/>
    </w:rPr>
  </w:style>
  <w:style w:type="paragraph" w:styleId="TOC1">
    <w:name w:val="toc 1"/>
    <w:basedOn w:val="Normal"/>
    <w:next w:val="Normal"/>
    <w:autoRedefine/>
    <w:uiPriority w:val="39"/>
    <w:rsid w:val="0043628D"/>
  </w:style>
  <w:style w:type="paragraph" w:styleId="TOC2">
    <w:name w:val="toc 2"/>
    <w:basedOn w:val="Normal"/>
    <w:next w:val="Normal"/>
    <w:autoRedefine/>
    <w:uiPriority w:val="39"/>
    <w:rsid w:val="0043628D"/>
    <w:pPr>
      <w:ind w:left="240"/>
    </w:pPr>
  </w:style>
  <w:style w:type="paragraph" w:styleId="TOC3">
    <w:name w:val="toc 3"/>
    <w:basedOn w:val="Normal"/>
    <w:next w:val="Normal"/>
    <w:autoRedefine/>
    <w:uiPriority w:val="39"/>
    <w:rsid w:val="0043628D"/>
    <w:pPr>
      <w:ind w:left="480"/>
    </w:pPr>
  </w:style>
  <w:style w:type="paragraph" w:styleId="CommentSubject">
    <w:name w:val="annotation subject"/>
    <w:basedOn w:val="CommentText"/>
    <w:next w:val="CommentText"/>
    <w:link w:val="CommentSubjectChar"/>
    <w:semiHidden/>
    <w:rsid w:val="00573F58"/>
    <w:rPr>
      <w:b/>
      <w:bCs/>
    </w:rPr>
  </w:style>
  <w:style w:type="paragraph" w:styleId="Caption">
    <w:name w:val="caption"/>
    <w:basedOn w:val="Normal"/>
    <w:next w:val="Normal"/>
    <w:unhideWhenUsed/>
    <w:qFormat/>
    <w:rsid w:val="00792F80"/>
    <w:pPr>
      <w:keepNext/>
      <w:spacing w:after="200"/>
      <w:jc w:val="center"/>
    </w:pPr>
    <w:rPr>
      <w:b/>
      <w:bCs/>
    </w:rPr>
  </w:style>
  <w:style w:type="character" w:styleId="FollowedHyperlink">
    <w:name w:val="FollowedHyperlink"/>
    <w:basedOn w:val="DefaultParagraphFont"/>
    <w:uiPriority w:val="99"/>
    <w:semiHidden/>
    <w:unhideWhenUsed/>
    <w:rsid w:val="00F81A9D"/>
    <w:rPr>
      <w:color w:val="800080" w:themeColor="followedHyperlink"/>
      <w:u w:val="single"/>
    </w:rPr>
  </w:style>
  <w:style w:type="paragraph" w:styleId="Revision">
    <w:name w:val="Revision"/>
    <w:hidden/>
    <w:uiPriority w:val="99"/>
    <w:semiHidden/>
    <w:rsid w:val="008514F4"/>
    <w:rPr>
      <w:sz w:val="24"/>
      <w:szCs w:val="24"/>
    </w:rPr>
  </w:style>
  <w:style w:type="paragraph" w:styleId="Title">
    <w:name w:val="Title"/>
    <w:basedOn w:val="Normal"/>
    <w:next w:val="Normal"/>
    <w:link w:val="TitleChar"/>
    <w:qFormat/>
    <w:rsid w:val="006770D4"/>
    <w:pPr>
      <w:autoSpaceDE w:val="0"/>
      <w:autoSpaceDN w:val="0"/>
      <w:adjustRightInd w:val="0"/>
      <w:jc w:val="center"/>
    </w:pPr>
    <w:rPr>
      <w:b/>
      <w:bCs/>
    </w:rPr>
  </w:style>
  <w:style w:type="character" w:customStyle="1" w:styleId="TitleChar">
    <w:name w:val="Title Char"/>
    <w:basedOn w:val="DefaultParagraphFont"/>
    <w:link w:val="Title"/>
    <w:rsid w:val="00AD7E6F"/>
    <w:rPr>
      <w:b/>
      <w:bCs/>
      <w:sz w:val="24"/>
      <w:szCs w:val="24"/>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FE664D"/>
  </w:style>
  <w:style w:type="character" w:customStyle="1" w:styleId="Heading1Char">
    <w:name w:val="Heading 1 Char"/>
    <w:basedOn w:val="DefaultParagraphFont"/>
    <w:link w:val="Heading1"/>
    <w:rsid w:val="00C40649"/>
    <w:rPr>
      <w:b/>
      <w:bCs/>
      <w:sz w:val="24"/>
      <w:szCs w:val="24"/>
    </w:rPr>
  </w:style>
  <w:style w:type="character" w:customStyle="1" w:styleId="Heading2Char">
    <w:name w:val="Heading 2 Char"/>
    <w:basedOn w:val="DefaultParagraphFont"/>
    <w:link w:val="Heading2"/>
    <w:rsid w:val="00344F30"/>
    <w:rPr>
      <w:b/>
      <w:bCs/>
      <w:sz w:val="24"/>
      <w:szCs w:val="24"/>
    </w:rPr>
  </w:style>
  <w:style w:type="character" w:customStyle="1" w:styleId="Heading3Char">
    <w:name w:val="Heading 3 Char"/>
    <w:basedOn w:val="DefaultParagraphFont"/>
    <w:link w:val="Heading3"/>
    <w:rsid w:val="000145B9"/>
    <w:rPr>
      <w:b/>
      <w:bCs/>
      <w:sz w:val="24"/>
      <w:szCs w:val="24"/>
    </w:rPr>
  </w:style>
  <w:style w:type="character" w:customStyle="1" w:styleId="FooterChar">
    <w:name w:val="Footer Char"/>
    <w:basedOn w:val="DefaultParagraphFont"/>
    <w:link w:val="Footer"/>
    <w:uiPriority w:val="99"/>
    <w:rsid w:val="00E672CA"/>
    <w:rPr>
      <w:iCs/>
      <w:sz w:val="24"/>
      <w:szCs w:val="24"/>
    </w:rPr>
  </w:style>
  <w:style w:type="character" w:customStyle="1" w:styleId="CommentTextChar">
    <w:name w:val="Comment Text Char"/>
    <w:basedOn w:val="DefaultParagraphFont"/>
    <w:link w:val="CommentText"/>
    <w:semiHidden/>
    <w:rsid w:val="00E672CA"/>
  </w:style>
  <w:style w:type="character" w:customStyle="1" w:styleId="BalloonTextChar">
    <w:name w:val="Balloon Text Char"/>
    <w:basedOn w:val="DefaultParagraphFont"/>
    <w:link w:val="BalloonText"/>
    <w:semiHidden/>
    <w:rsid w:val="00E672CA"/>
    <w:rPr>
      <w:rFonts w:ascii="Tahoma" w:hAnsi="Tahoma" w:cs="Tahoma"/>
      <w:sz w:val="16"/>
      <w:szCs w:val="16"/>
    </w:rPr>
  </w:style>
  <w:style w:type="character" w:customStyle="1" w:styleId="HeaderChar">
    <w:name w:val="Header Char"/>
    <w:basedOn w:val="DefaultParagraphFont"/>
    <w:link w:val="Header"/>
    <w:uiPriority w:val="99"/>
    <w:rsid w:val="00E672CA"/>
    <w:rPr>
      <w:sz w:val="24"/>
      <w:szCs w:val="24"/>
    </w:rPr>
  </w:style>
  <w:style w:type="character" w:customStyle="1" w:styleId="CommentSubjectChar">
    <w:name w:val="Comment Subject Char"/>
    <w:basedOn w:val="CommentTextChar"/>
    <w:link w:val="CommentSubject"/>
    <w:semiHidden/>
    <w:rsid w:val="00E672CA"/>
    <w:rPr>
      <w:b/>
      <w:bCs/>
    </w:rPr>
  </w:style>
  <w:style w:type="paragraph" w:styleId="ListParagraph">
    <w:name w:val="List Paragraph"/>
    <w:basedOn w:val="Normal"/>
    <w:link w:val="ListParagraphChar"/>
    <w:uiPriority w:val="34"/>
    <w:qFormat/>
    <w:rsid w:val="00BE05D2"/>
    <w:pPr>
      <w:spacing w:after="160" w:line="259" w:lineRule="auto"/>
      <w:ind w:left="720" w:hanging="36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BE05D2"/>
    <w:rPr>
      <w:rFonts w:asciiTheme="minorHAnsi" w:eastAsiaTheme="minorHAnsi" w:hAnsiTheme="minorHAnsi" w:cstheme="minorBidi"/>
      <w:sz w:val="22"/>
      <w:szCs w:val="22"/>
    </w:rPr>
  </w:style>
  <w:style w:type="paragraph" w:customStyle="1" w:styleId="Tabletext">
    <w:name w:val="Table text"/>
    <w:basedOn w:val="Normal"/>
    <w:link w:val="TabletextChar"/>
    <w:qFormat/>
    <w:rsid w:val="00BE05D2"/>
    <w:pPr>
      <w:widowControl w:val="0"/>
      <w:spacing w:after="160" w:line="259" w:lineRule="auto"/>
    </w:pPr>
    <w:rPr>
      <w:rFonts w:ascii="Calibri" w:eastAsiaTheme="minorHAnsi" w:hAnsi="Calibri" w:cstheme="minorBidi"/>
      <w:sz w:val="20"/>
      <w:szCs w:val="22"/>
    </w:rPr>
  </w:style>
  <w:style w:type="character" w:customStyle="1" w:styleId="TabletextChar">
    <w:name w:val="Table text Char"/>
    <w:basedOn w:val="DefaultParagraphFont"/>
    <w:link w:val="Tabletext"/>
    <w:rsid w:val="00BE05D2"/>
    <w:rPr>
      <w:rFonts w:ascii="Calibri" w:eastAsiaTheme="minorHAnsi" w:hAnsi="Calibri" w:cstheme="minorBidi"/>
      <w:szCs w:val="22"/>
    </w:rPr>
  </w:style>
  <w:style w:type="paragraph" w:customStyle="1" w:styleId="TableHeader">
    <w:name w:val="Table Header"/>
    <w:basedOn w:val="Tabletext"/>
    <w:link w:val="TableHeaderChar"/>
    <w:qFormat/>
    <w:rsid w:val="00BE05D2"/>
    <w:pPr>
      <w:keepNext/>
      <w:keepLines/>
      <w:widowControl/>
      <w:spacing w:after="0"/>
    </w:pPr>
    <w:rPr>
      <w:b/>
    </w:rPr>
  </w:style>
  <w:style w:type="character" w:customStyle="1" w:styleId="TableHeaderChar">
    <w:name w:val="Table Header Char"/>
    <w:basedOn w:val="TabletextChar"/>
    <w:link w:val="TableHeader"/>
    <w:rsid w:val="00BE05D2"/>
    <w:rPr>
      <w:rFonts w:ascii="Calibri" w:eastAsiaTheme="minorHAnsi" w:hAnsi="Calibri" w:cstheme="minorBidi"/>
      <w:b/>
      <w:szCs w:val="22"/>
    </w:rPr>
  </w:style>
  <w:style w:type="paragraph" w:customStyle="1" w:styleId="TableFooter">
    <w:name w:val="TableFooter"/>
    <w:basedOn w:val="Normal"/>
    <w:link w:val="TableFooterChar"/>
    <w:qFormat/>
    <w:rsid w:val="00BE05D2"/>
    <w:pPr>
      <w:spacing w:after="240" w:line="259" w:lineRule="auto"/>
      <w:ind w:left="86"/>
      <w:contextualSpacing/>
    </w:pPr>
    <w:rPr>
      <w:rFonts w:asciiTheme="minorHAnsi" w:eastAsiaTheme="minorHAnsi" w:hAnsiTheme="minorHAnsi" w:cstheme="minorHAnsi"/>
      <w:sz w:val="20"/>
      <w:szCs w:val="20"/>
    </w:rPr>
  </w:style>
  <w:style w:type="character" w:customStyle="1" w:styleId="TableFooterChar">
    <w:name w:val="TableFooter Char"/>
    <w:basedOn w:val="DefaultParagraphFont"/>
    <w:link w:val="TableFooter"/>
    <w:rsid w:val="00BE05D2"/>
    <w:rPr>
      <w:rFonts w:asciiTheme="minorHAnsi" w:eastAsiaTheme="minorHAnsi" w:hAnsiTheme="minorHAnsi" w:cstheme="minorHAnsi"/>
    </w:rPr>
  </w:style>
  <w:style w:type="character" w:customStyle="1" w:styleId="UnresolvedMention1">
    <w:name w:val="Unresolved Mention1"/>
    <w:basedOn w:val="DefaultParagraphFont"/>
    <w:uiPriority w:val="99"/>
    <w:semiHidden/>
    <w:unhideWhenUsed/>
    <w:rsid w:val="00AA3E4E"/>
    <w:rPr>
      <w:color w:val="605E5C"/>
      <w:shd w:val="clear" w:color="auto" w:fill="E1DFDD"/>
    </w:rPr>
  </w:style>
  <w:style w:type="character" w:customStyle="1" w:styleId="UnresolvedMention2">
    <w:name w:val="Unresolved Mention2"/>
    <w:basedOn w:val="DefaultParagraphFont"/>
    <w:uiPriority w:val="99"/>
    <w:semiHidden/>
    <w:unhideWhenUsed/>
    <w:rsid w:val="007C7F0E"/>
    <w:rPr>
      <w:color w:val="605E5C"/>
      <w:shd w:val="clear" w:color="auto" w:fill="E1DFDD"/>
    </w:rPr>
  </w:style>
  <w:style w:type="character" w:customStyle="1" w:styleId="UnresolvedMention20">
    <w:name w:val="Unresolved Mention2"/>
    <w:basedOn w:val="DefaultParagraphFont"/>
    <w:uiPriority w:val="99"/>
    <w:semiHidden/>
    <w:unhideWhenUsed/>
    <w:rsid w:val="00A25DB8"/>
    <w:rPr>
      <w:color w:val="605E5C"/>
      <w:shd w:val="clear" w:color="auto" w:fill="E1DFDD"/>
    </w:rPr>
  </w:style>
  <w:style w:type="paragraph" w:customStyle="1" w:styleId="12ptItalics">
    <w:name w:val="12pt Italics"/>
    <w:basedOn w:val="Normal"/>
    <w:link w:val="12ptItalicsChar"/>
    <w:qFormat/>
    <w:rsid w:val="00002F5B"/>
    <w:pPr>
      <w:spacing w:after="200" w:line="276" w:lineRule="auto"/>
    </w:pPr>
    <w:rPr>
      <w:i/>
      <w:iCs/>
      <w:color w:val="000000"/>
    </w:rPr>
  </w:style>
  <w:style w:type="character" w:customStyle="1" w:styleId="12ptItalicsChar">
    <w:name w:val="12pt Italics Char"/>
    <w:link w:val="12ptItalics"/>
    <w:rsid w:val="00002F5B"/>
    <w:rPr>
      <w:i/>
      <w:iCs/>
      <w:color w:val="000000"/>
      <w:sz w:val="24"/>
      <w:szCs w:val="24"/>
    </w:rPr>
  </w:style>
  <w:style w:type="paragraph" w:customStyle="1" w:styleId="SectionHeading1">
    <w:name w:val="Section Heading 1"/>
    <w:basedOn w:val="Normal"/>
    <w:link w:val="SectionHeading1Char"/>
    <w:qFormat/>
    <w:rsid w:val="00002F5B"/>
    <w:pPr>
      <w:tabs>
        <w:tab w:val="left" w:pos="720"/>
      </w:tabs>
      <w:autoSpaceDE w:val="0"/>
      <w:autoSpaceDN w:val="0"/>
      <w:adjustRightInd w:val="0"/>
    </w:pPr>
    <w:rPr>
      <w:b/>
      <w:bCs/>
      <w:sz w:val="28"/>
      <w:szCs w:val="28"/>
    </w:rPr>
  </w:style>
  <w:style w:type="character" w:customStyle="1" w:styleId="SectionHeading1Char">
    <w:name w:val="Section Heading 1 Char"/>
    <w:link w:val="SectionHeading1"/>
    <w:rsid w:val="00002F5B"/>
    <w:rPr>
      <w:b/>
      <w:bCs/>
      <w:sz w:val="28"/>
      <w:szCs w:val="28"/>
    </w:rPr>
  </w:style>
  <w:style w:type="paragraph" w:styleId="TOCHeading">
    <w:name w:val="TOC Heading"/>
    <w:basedOn w:val="Heading1"/>
    <w:next w:val="Normal"/>
    <w:uiPriority w:val="39"/>
    <w:unhideWhenUsed/>
    <w:qFormat/>
    <w:rsid w:val="00002F5B"/>
    <w:pPr>
      <w:keepLines/>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002F5B"/>
    <w:pPr>
      <w:spacing w:after="100"/>
      <w:ind w:left="720"/>
    </w:pPr>
  </w:style>
  <w:style w:type="paragraph" w:styleId="TableofFigures">
    <w:name w:val="table of figures"/>
    <w:basedOn w:val="Normal"/>
    <w:next w:val="Normal"/>
    <w:uiPriority w:val="99"/>
    <w:unhideWhenUsed/>
    <w:rsid w:val="00B4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690">
      <w:bodyDiv w:val="1"/>
      <w:marLeft w:val="0"/>
      <w:marRight w:val="0"/>
      <w:marTop w:val="0"/>
      <w:marBottom w:val="0"/>
      <w:divBdr>
        <w:top w:val="none" w:sz="0" w:space="0" w:color="auto"/>
        <w:left w:val="none" w:sz="0" w:space="0" w:color="auto"/>
        <w:bottom w:val="none" w:sz="0" w:space="0" w:color="auto"/>
        <w:right w:val="none" w:sz="0" w:space="0" w:color="auto"/>
      </w:divBdr>
    </w:div>
    <w:div w:id="29768588">
      <w:bodyDiv w:val="1"/>
      <w:marLeft w:val="0"/>
      <w:marRight w:val="0"/>
      <w:marTop w:val="0"/>
      <w:marBottom w:val="0"/>
      <w:divBdr>
        <w:top w:val="none" w:sz="0" w:space="0" w:color="auto"/>
        <w:left w:val="none" w:sz="0" w:space="0" w:color="auto"/>
        <w:bottom w:val="none" w:sz="0" w:space="0" w:color="auto"/>
        <w:right w:val="none" w:sz="0" w:space="0" w:color="auto"/>
      </w:divBdr>
    </w:div>
    <w:div w:id="42796715">
      <w:bodyDiv w:val="1"/>
      <w:marLeft w:val="0"/>
      <w:marRight w:val="0"/>
      <w:marTop w:val="0"/>
      <w:marBottom w:val="0"/>
      <w:divBdr>
        <w:top w:val="none" w:sz="0" w:space="0" w:color="auto"/>
        <w:left w:val="none" w:sz="0" w:space="0" w:color="auto"/>
        <w:bottom w:val="none" w:sz="0" w:space="0" w:color="auto"/>
        <w:right w:val="none" w:sz="0" w:space="0" w:color="auto"/>
      </w:divBdr>
    </w:div>
    <w:div w:id="51855087">
      <w:bodyDiv w:val="1"/>
      <w:marLeft w:val="0"/>
      <w:marRight w:val="0"/>
      <w:marTop w:val="0"/>
      <w:marBottom w:val="0"/>
      <w:divBdr>
        <w:top w:val="none" w:sz="0" w:space="0" w:color="auto"/>
        <w:left w:val="none" w:sz="0" w:space="0" w:color="auto"/>
        <w:bottom w:val="none" w:sz="0" w:space="0" w:color="auto"/>
        <w:right w:val="none" w:sz="0" w:space="0" w:color="auto"/>
      </w:divBdr>
    </w:div>
    <w:div w:id="60100982">
      <w:bodyDiv w:val="1"/>
      <w:marLeft w:val="0"/>
      <w:marRight w:val="0"/>
      <w:marTop w:val="0"/>
      <w:marBottom w:val="0"/>
      <w:divBdr>
        <w:top w:val="none" w:sz="0" w:space="0" w:color="auto"/>
        <w:left w:val="none" w:sz="0" w:space="0" w:color="auto"/>
        <w:bottom w:val="none" w:sz="0" w:space="0" w:color="auto"/>
        <w:right w:val="none" w:sz="0" w:space="0" w:color="auto"/>
      </w:divBdr>
    </w:div>
    <w:div w:id="65886814">
      <w:bodyDiv w:val="1"/>
      <w:marLeft w:val="0"/>
      <w:marRight w:val="0"/>
      <w:marTop w:val="0"/>
      <w:marBottom w:val="0"/>
      <w:divBdr>
        <w:top w:val="none" w:sz="0" w:space="0" w:color="auto"/>
        <w:left w:val="none" w:sz="0" w:space="0" w:color="auto"/>
        <w:bottom w:val="none" w:sz="0" w:space="0" w:color="auto"/>
        <w:right w:val="none" w:sz="0" w:space="0" w:color="auto"/>
      </w:divBdr>
      <w:divsChild>
        <w:div w:id="1260526656">
          <w:marLeft w:val="0"/>
          <w:marRight w:val="0"/>
          <w:marTop w:val="0"/>
          <w:marBottom w:val="0"/>
          <w:divBdr>
            <w:top w:val="none" w:sz="0" w:space="0" w:color="auto"/>
            <w:left w:val="none" w:sz="0" w:space="0" w:color="auto"/>
            <w:bottom w:val="none" w:sz="0" w:space="0" w:color="auto"/>
            <w:right w:val="none" w:sz="0" w:space="0" w:color="auto"/>
          </w:divBdr>
        </w:div>
        <w:div w:id="2023194308">
          <w:marLeft w:val="0"/>
          <w:marRight w:val="0"/>
          <w:marTop w:val="0"/>
          <w:marBottom w:val="0"/>
          <w:divBdr>
            <w:top w:val="none" w:sz="0" w:space="0" w:color="auto"/>
            <w:left w:val="none" w:sz="0" w:space="0" w:color="auto"/>
            <w:bottom w:val="none" w:sz="0" w:space="0" w:color="auto"/>
            <w:right w:val="none" w:sz="0" w:space="0" w:color="auto"/>
          </w:divBdr>
        </w:div>
        <w:div w:id="1255868910">
          <w:marLeft w:val="0"/>
          <w:marRight w:val="0"/>
          <w:marTop w:val="0"/>
          <w:marBottom w:val="0"/>
          <w:divBdr>
            <w:top w:val="none" w:sz="0" w:space="0" w:color="auto"/>
            <w:left w:val="none" w:sz="0" w:space="0" w:color="auto"/>
            <w:bottom w:val="none" w:sz="0" w:space="0" w:color="auto"/>
            <w:right w:val="none" w:sz="0" w:space="0" w:color="auto"/>
          </w:divBdr>
        </w:div>
      </w:divsChild>
    </w:div>
    <w:div w:id="67581529">
      <w:bodyDiv w:val="1"/>
      <w:marLeft w:val="0"/>
      <w:marRight w:val="0"/>
      <w:marTop w:val="0"/>
      <w:marBottom w:val="0"/>
      <w:divBdr>
        <w:top w:val="none" w:sz="0" w:space="0" w:color="auto"/>
        <w:left w:val="none" w:sz="0" w:space="0" w:color="auto"/>
        <w:bottom w:val="none" w:sz="0" w:space="0" w:color="auto"/>
        <w:right w:val="none" w:sz="0" w:space="0" w:color="auto"/>
      </w:divBdr>
    </w:div>
    <w:div w:id="84157927">
      <w:bodyDiv w:val="1"/>
      <w:marLeft w:val="0"/>
      <w:marRight w:val="0"/>
      <w:marTop w:val="0"/>
      <w:marBottom w:val="0"/>
      <w:divBdr>
        <w:top w:val="none" w:sz="0" w:space="0" w:color="auto"/>
        <w:left w:val="none" w:sz="0" w:space="0" w:color="auto"/>
        <w:bottom w:val="none" w:sz="0" w:space="0" w:color="auto"/>
        <w:right w:val="none" w:sz="0" w:space="0" w:color="auto"/>
      </w:divBdr>
    </w:div>
    <w:div w:id="85463782">
      <w:bodyDiv w:val="1"/>
      <w:marLeft w:val="0"/>
      <w:marRight w:val="0"/>
      <w:marTop w:val="0"/>
      <w:marBottom w:val="0"/>
      <w:divBdr>
        <w:top w:val="none" w:sz="0" w:space="0" w:color="auto"/>
        <w:left w:val="none" w:sz="0" w:space="0" w:color="auto"/>
        <w:bottom w:val="none" w:sz="0" w:space="0" w:color="auto"/>
        <w:right w:val="none" w:sz="0" w:space="0" w:color="auto"/>
      </w:divBdr>
    </w:div>
    <w:div w:id="87773039">
      <w:bodyDiv w:val="1"/>
      <w:marLeft w:val="0"/>
      <w:marRight w:val="0"/>
      <w:marTop w:val="0"/>
      <w:marBottom w:val="0"/>
      <w:divBdr>
        <w:top w:val="none" w:sz="0" w:space="0" w:color="auto"/>
        <w:left w:val="none" w:sz="0" w:space="0" w:color="auto"/>
        <w:bottom w:val="none" w:sz="0" w:space="0" w:color="auto"/>
        <w:right w:val="none" w:sz="0" w:space="0" w:color="auto"/>
      </w:divBdr>
    </w:div>
    <w:div w:id="91627386">
      <w:bodyDiv w:val="1"/>
      <w:marLeft w:val="0"/>
      <w:marRight w:val="0"/>
      <w:marTop w:val="0"/>
      <w:marBottom w:val="0"/>
      <w:divBdr>
        <w:top w:val="none" w:sz="0" w:space="0" w:color="auto"/>
        <w:left w:val="none" w:sz="0" w:space="0" w:color="auto"/>
        <w:bottom w:val="none" w:sz="0" w:space="0" w:color="auto"/>
        <w:right w:val="none" w:sz="0" w:space="0" w:color="auto"/>
      </w:divBdr>
    </w:div>
    <w:div w:id="93601019">
      <w:bodyDiv w:val="1"/>
      <w:marLeft w:val="0"/>
      <w:marRight w:val="0"/>
      <w:marTop w:val="0"/>
      <w:marBottom w:val="0"/>
      <w:divBdr>
        <w:top w:val="none" w:sz="0" w:space="0" w:color="auto"/>
        <w:left w:val="none" w:sz="0" w:space="0" w:color="auto"/>
        <w:bottom w:val="none" w:sz="0" w:space="0" w:color="auto"/>
        <w:right w:val="none" w:sz="0" w:space="0" w:color="auto"/>
      </w:divBdr>
    </w:div>
    <w:div w:id="111291540">
      <w:bodyDiv w:val="1"/>
      <w:marLeft w:val="0"/>
      <w:marRight w:val="0"/>
      <w:marTop w:val="0"/>
      <w:marBottom w:val="0"/>
      <w:divBdr>
        <w:top w:val="none" w:sz="0" w:space="0" w:color="auto"/>
        <w:left w:val="none" w:sz="0" w:space="0" w:color="auto"/>
        <w:bottom w:val="none" w:sz="0" w:space="0" w:color="auto"/>
        <w:right w:val="none" w:sz="0" w:space="0" w:color="auto"/>
      </w:divBdr>
    </w:div>
    <w:div w:id="125970938">
      <w:bodyDiv w:val="1"/>
      <w:marLeft w:val="0"/>
      <w:marRight w:val="0"/>
      <w:marTop w:val="0"/>
      <w:marBottom w:val="0"/>
      <w:divBdr>
        <w:top w:val="none" w:sz="0" w:space="0" w:color="auto"/>
        <w:left w:val="none" w:sz="0" w:space="0" w:color="auto"/>
        <w:bottom w:val="none" w:sz="0" w:space="0" w:color="auto"/>
        <w:right w:val="none" w:sz="0" w:space="0" w:color="auto"/>
      </w:divBdr>
    </w:div>
    <w:div w:id="126356667">
      <w:bodyDiv w:val="1"/>
      <w:marLeft w:val="0"/>
      <w:marRight w:val="0"/>
      <w:marTop w:val="0"/>
      <w:marBottom w:val="0"/>
      <w:divBdr>
        <w:top w:val="none" w:sz="0" w:space="0" w:color="auto"/>
        <w:left w:val="none" w:sz="0" w:space="0" w:color="auto"/>
        <w:bottom w:val="none" w:sz="0" w:space="0" w:color="auto"/>
        <w:right w:val="none" w:sz="0" w:space="0" w:color="auto"/>
      </w:divBdr>
    </w:div>
    <w:div w:id="128712792">
      <w:bodyDiv w:val="1"/>
      <w:marLeft w:val="0"/>
      <w:marRight w:val="0"/>
      <w:marTop w:val="0"/>
      <w:marBottom w:val="0"/>
      <w:divBdr>
        <w:top w:val="none" w:sz="0" w:space="0" w:color="auto"/>
        <w:left w:val="none" w:sz="0" w:space="0" w:color="auto"/>
        <w:bottom w:val="none" w:sz="0" w:space="0" w:color="auto"/>
        <w:right w:val="none" w:sz="0" w:space="0" w:color="auto"/>
      </w:divBdr>
    </w:div>
    <w:div w:id="131755131">
      <w:bodyDiv w:val="1"/>
      <w:marLeft w:val="0"/>
      <w:marRight w:val="0"/>
      <w:marTop w:val="0"/>
      <w:marBottom w:val="0"/>
      <w:divBdr>
        <w:top w:val="none" w:sz="0" w:space="0" w:color="auto"/>
        <w:left w:val="none" w:sz="0" w:space="0" w:color="auto"/>
        <w:bottom w:val="none" w:sz="0" w:space="0" w:color="auto"/>
        <w:right w:val="none" w:sz="0" w:space="0" w:color="auto"/>
      </w:divBdr>
    </w:div>
    <w:div w:id="134223324">
      <w:bodyDiv w:val="1"/>
      <w:marLeft w:val="0"/>
      <w:marRight w:val="0"/>
      <w:marTop w:val="0"/>
      <w:marBottom w:val="0"/>
      <w:divBdr>
        <w:top w:val="none" w:sz="0" w:space="0" w:color="auto"/>
        <w:left w:val="none" w:sz="0" w:space="0" w:color="auto"/>
        <w:bottom w:val="none" w:sz="0" w:space="0" w:color="auto"/>
        <w:right w:val="none" w:sz="0" w:space="0" w:color="auto"/>
      </w:divBdr>
    </w:div>
    <w:div w:id="140853104">
      <w:bodyDiv w:val="1"/>
      <w:marLeft w:val="0"/>
      <w:marRight w:val="0"/>
      <w:marTop w:val="0"/>
      <w:marBottom w:val="0"/>
      <w:divBdr>
        <w:top w:val="none" w:sz="0" w:space="0" w:color="auto"/>
        <w:left w:val="none" w:sz="0" w:space="0" w:color="auto"/>
        <w:bottom w:val="none" w:sz="0" w:space="0" w:color="auto"/>
        <w:right w:val="none" w:sz="0" w:space="0" w:color="auto"/>
      </w:divBdr>
    </w:div>
    <w:div w:id="171190148">
      <w:bodyDiv w:val="1"/>
      <w:marLeft w:val="0"/>
      <w:marRight w:val="0"/>
      <w:marTop w:val="0"/>
      <w:marBottom w:val="0"/>
      <w:divBdr>
        <w:top w:val="none" w:sz="0" w:space="0" w:color="auto"/>
        <w:left w:val="none" w:sz="0" w:space="0" w:color="auto"/>
        <w:bottom w:val="none" w:sz="0" w:space="0" w:color="auto"/>
        <w:right w:val="none" w:sz="0" w:space="0" w:color="auto"/>
      </w:divBdr>
    </w:div>
    <w:div w:id="190145140">
      <w:bodyDiv w:val="1"/>
      <w:marLeft w:val="0"/>
      <w:marRight w:val="0"/>
      <w:marTop w:val="0"/>
      <w:marBottom w:val="0"/>
      <w:divBdr>
        <w:top w:val="none" w:sz="0" w:space="0" w:color="auto"/>
        <w:left w:val="none" w:sz="0" w:space="0" w:color="auto"/>
        <w:bottom w:val="none" w:sz="0" w:space="0" w:color="auto"/>
        <w:right w:val="none" w:sz="0" w:space="0" w:color="auto"/>
      </w:divBdr>
    </w:div>
    <w:div w:id="196891558">
      <w:bodyDiv w:val="1"/>
      <w:marLeft w:val="0"/>
      <w:marRight w:val="0"/>
      <w:marTop w:val="0"/>
      <w:marBottom w:val="0"/>
      <w:divBdr>
        <w:top w:val="none" w:sz="0" w:space="0" w:color="auto"/>
        <w:left w:val="none" w:sz="0" w:space="0" w:color="auto"/>
        <w:bottom w:val="none" w:sz="0" w:space="0" w:color="auto"/>
        <w:right w:val="none" w:sz="0" w:space="0" w:color="auto"/>
      </w:divBdr>
    </w:div>
    <w:div w:id="205410126">
      <w:bodyDiv w:val="1"/>
      <w:marLeft w:val="0"/>
      <w:marRight w:val="0"/>
      <w:marTop w:val="0"/>
      <w:marBottom w:val="0"/>
      <w:divBdr>
        <w:top w:val="none" w:sz="0" w:space="0" w:color="auto"/>
        <w:left w:val="none" w:sz="0" w:space="0" w:color="auto"/>
        <w:bottom w:val="none" w:sz="0" w:space="0" w:color="auto"/>
        <w:right w:val="none" w:sz="0" w:space="0" w:color="auto"/>
      </w:divBdr>
    </w:div>
    <w:div w:id="208612019">
      <w:bodyDiv w:val="1"/>
      <w:marLeft w:val="0"/>
      <w:marRight w:val="0"/>
      <w:marTop w:val="0"/>
      <w:marBottom w:val="0"/>
      <w:divBdr>
        <w:top w:val="none" w:sz="0" w:space="0" w:color="auto"/>
        <w:left w:val="none" w:sz="0" w:space="0" w:color="auto"/>
        <w:bottom w:val="none" w:sz="0" w:space="0" w:color="auto"/>
        <w:right w:val="none" w:sz="0" w:space="0" w:color="auto"/>
      </w:divBdr>
    </w:div>
    <w:div w:id="223026496">
      <w:bodyDiv w:val="1"/>
      <w:marLeft w:val="0"/>
      <w:marRight w:val="0"/>
      <w:marTop w:val="0"/>
      <w:marBottom w:val="0"/>
      <w:divBdr>
        <w:top w:val="none" w:sz="0" w:space="0" w:color="auto"/>
        <w:left w:val="none" w:sz="0" w:space="0" w:color="auto"/>
        <w:bottom w:val="none" w:sz="0" w:space="0" w:color="auto"/>
        <w:right w:val="none" w:sz="0" w:space="0" w:color="auto"/>
      </w:divBdr>
    </w:div>
    <w:div w:id="242836361">
      <w:bodyDiv w:val="1"/>
      <w:marLeft w:val="0"/>
      <w:marRight w:val="0"/>
      <w:marTop w:val="0"/>
      <w:marBottom w:val="0"/>
      <w:divBdr>
        <w:top w:val="none" w:sz="0" w:space="0" w:color="auto"/>
        <w:left w:val="none" w:sz="0" w:space="0" w:color="auto"/>
        <w:bottom w:val="none" w:sz="0" w:space="0" w:color="auto"/>
        <w:right w:val="none" w:sz="0" w:space="0" w:color="auto"/>
      </w:divBdr>
    </w:div>
    <w:div w:id="247231593">
      <w:bodyDiv w:val="1"/>
      <w:marLeft w:val="0"/>
      <w:marRight w:val="0"/>
      <w:marTop w:val="0"/>
      <w:marBottom w:val="0"/>
      <w:divBdr>
        <w:top w:val="none" w:sz="0" w:space="0" w:color="auto"/>
        <w:left w:val="none" w:sz="0" w:space="0" w:color="auto"/>
        <w:bottom w:val="none" w:sz="0" w:space="0" w:color="auto"/>
        <w:right w:val="none" w:sz="0" w:space="0" w:color="auto"/>
      </w:divBdr>
    </w:div>
    <w:div w:id="254483235">
      <w:bodyDiv w:val="1"/>
      <w:marLeft w:val="0"/>
      <w:marRight w:val="0"/>
      <w:marTop w:val="0"/>
      <w:marBottom w:val="0"/>
      <w:divBdr>
        <w:top w:val="none" w:sz="0" w:space="0" w:color="auto"/>
        <w:left w:val="none" w:sz="0" w:space="0" w:color="auto"/>
        <w:bottom w:val="none" w:sz="0" w:space="0" w:color="auto"/>
        <w:right w:val="none" w:sz="0" w:space="0" w:color="auto"/>
      </w:divBdr>
      <w:divsChild>
        <w:div w:id="2125034771">
          <w:marLeft w:val="0"/>
          <w:marRight w:val="0"/>
          <w:marTop w:val="0"/>
          <w:marBottom w:val="0"/>
          <w:divBdr>
            <w:top w:val="none" w:sz="0" w:space="0" w:color="auto"/>
            <w:left w:val="none" w:sz="0" w:space="0" w:color="auto"/>
            <w:bottom w:val="none" w:sz="0" w:space="0" w:color="auto"/>
            <w:right w:val="none" w:sz="0" w:space="0" w:color="auto"/>
          </w:divBdr>
        </w:div>
      </w:divsChild>
    </w:div>
    <w:div w:id="275017693">
      <w:bodyDiv w:val="1"/>
      <w:marLeft w:val="0"/>
      <w:marRight w:val="0"/>
      <w:marTop w:val="0"/>
      <w:marBottom w:val="0"/>
      <w:divBdr>
        <w:top w:val="none" w:sz="0" w:space="0" w:color="auto"/>
        <w:left w:val="none" w:sz="0" w:space="0" w:color="auto"/>
        <w:bottom w:val="none" w:sz="0" w:space="0" w:color="auto"/>
        <w:right w:val="none" w:sz="0" w:space="0" w:color="auto"/>
      </w:divBdr>
    </w:div>
    <w:div w:id="278879343">
      <w:bodyDiv w:val="1"/>
      <w:marLeft w:val="0"/>
      <w:marRight w:val="0"/>
      <w:marTop w:val="0"/>
      <w:marBottom w:val="0"/>
      <w:divBdr>
        <w:top w:val="none" w:sz="0" w:space="0" w:color="auto"/>
        <w:left w:val="none" w:sz="0" w:space="0" w:color="auto"/>
        <w:bottom w:val="none" w:sz="0" w:space="0" w:color="auto"/>
        <w:right w:val="none" w:sz="0" w:space="0" w:color="auto"/>
      </w:divBdr>
    </w:div>
    <w:div w:id="279722702">
      <w:bodyDiv w:val="1"/>
      <w:marLeft w:val="0"/>
      <w:marRight w:val="0"/>
      <w:marTop w:val="0"/>
      <w:marBottom w:val="0"/>
      <w:divBdr>
        <w:top w:val="none" w:sz="0" w:space="0" w:color="auto"/>
        <w:left w:val="none" w:sz="0" w:space="0" w:color="auto"/>
        <w:bottom w:val="none" w:sz="0" w:space="0" w:color="auto"/>
        <w:right w:val="none" w:sz="0" w:space="0" w:color="auto"/>
      </w:divBdr>
    </w:div>
    <w:div w:id="291445223">
      <w:bodyDiv w:val="1"/>
      <w:marLeft w:val="0"/>
      <w:marRight w:val="0"/>
      <w:marTop w:val="0"/>
      <w:marBottom w:val="0"/>
      <w:divBdr>
        <w:top w:val="none" w:sz="0" w:space="0" w:color="auto"/>
        <w:left w:val="none" w:sz="0" w:space="0" w:color="auto"/>
        <w:bottom w:val="none" w:sz="0" w:space="0" w:color="auto"/>
        <w:right w:val="none" w:sz="0" w:space="0" w:color="auto"/>
      </w:divBdr>
    </w:div>
    <w:div w:id="294987098">
      <w:bodyDiv w:val="1"/>
      <w:marLeft w:val="0"/>
      <w:marRight w:val="0"/>
      <w:marTop w:val="0"/>
      <w:marBottom w:val="0"/>
      <w:divBdr>
        <w:top w:val="none" w:sz="0" w:space="0" w:color="auto"/>
        <w:left w:val="none" w:sz="0" w:space="0" w:color="auto"/>
        <w:bottom w:val="none" w:sz="0" w:space="0" w:color="auto"/>
        <w:right w:val="none" w:sz="0" w:space="0" w:color="auto"/>
      </w:divBdr>
    </w:div>
    <w:div w:id="305936537">
      <w:bodyDiv w:val="1"/>
      <w:marLeft w:val="0"/>
      <w:marRight w:val="0"/>
      <w:marTop w:val="0"/>
      <w:marBottom w:val="0"/>
      <w:divBdr>
        <w:top w:val="none" w:sz="0" w:space="0" w:color="auto"/>
        <w:left w:val="none" w:sz="0" w:space="0" w:color="auto"/>
        <w:bottom w:val="none" w:sz="0" w:space="0" w:color="auto"/>
        <w:right w:val="none" w:sz="0" w:space="0" w:color="auto"/>
      </w:divBdr>
    </w:div>
    <w:div w:id="314578233">
      <w:bodyDiv w:val="1"/>
      <w:marLeft w:val="0"/>
      <w:marRight w:val="0"/>
      <w:marTop w:val="0"/>
      <w:marBottom w:val="0"/>
      <w:divBdr>
        <w:top w:val="none" w:sz="0" w:space="0" w:color="auto"/>
        <w:left w:val="none" w:sz="0" w:space="0" w:color="auto"/>
        <w:bottom w:val="none" w:sz="0" w:space="0" w:color="auto"/>
        <w:right w:val="none" w:sz="0" w:space="0" w:color="auto"/>
      </w:divBdr>
    </w:div>
    <w:div w:id="317854783">
      <w:bodyDiv w:val="1"/>
      <w:marLeft w:val="0"/>
      <w:marRight w:val="0"/>
      <w:marTop w:val="0"/>
      <w:marBottom w:val="0"/>
      <w:divBdr>
        <w:top w:val="none" w:sz="0" w:space="0" w:color="auto"/>
        <w:left w:val="none" w:sz="0" w:space="0" w:color="auto"/>
        <w:bottom w:val="none" w:sz="0" w:space="0" w:color="auto"/>
        <w:right w:val="none" w:sz="0" w:space="0" w:color="auto"/>
      </w:divBdr>
    </w:div>
    <w:div w:id="318463564">
      <w:bodyDiv w:val="1"/>
      <w:marLeft w:val="0"/>
      <w:marRight w:val="0"/>
      <w:marTop w:val="0"/>
      <w:marBottom w:val="0"/>
      <w:divBdr>
        <w:top w:val="none" w:sz="0" w:space="0" w:color="auto"/>
        <w:left w:val="none" w:sz="0" w:space="0" w:color="auto"/>
        <w:bottom w:val="none" w:sz="0" w:space="0" w:color="auto"/>
        <w:right w:val="none" w:sz="0" w:space="0" w:color="auto"/>
      </w:divBdr>
    </w:div>
    <w:div w:id="352616133">
      <w:bodyDiv w:val="1"/>
      <w:marLeft w:val="0"/>
      <w:marRight w:val="0"/>
      <w:marTop w:val="0"/>
      <w:marBottom w:val="0"/>
      <w:divBdr>
        <w:top w:val="none" w:sz="0" w:space="0" w:color="auto"/>
        <w:left w:val="none" w:sz="0" w:space="0" w:color="auto"/>
        <w:bottom w:val="none" w:sz="0" w:space="0" w:color="auto"/>
        <w:right w:val="none" w:sz="0" w:space="0" w:color="auto"/>
      </w:divBdr>
    </w:div>
    <w:div w:id="359673230">
      <w:bodyDiv w:val="1"/>
      <w:marLeft w:val="0"/>
      <w:marRight w:val="0"/>
      <w:marTop w:val="0"/>
      <w:marBottom w:val="0"/>
      <w:divBdr>
        <w:top w:val="none" w:sz="0" w:space="0" w:color="auto"/>
        <w:left w:val="none" w:sz="0" w:space="0" w:color="auto"/>
        <w:bottom w:val="none" w:sz="0" w:space="0" w:color="auto"/>
        <w:right w:val="none" w:sz="0" w:space="0" w:color="auto"/>
      </w:divBdr>
    </w:div>
    <w:div w:id="376779513">
      <w:bodyDiv w:val="1"/>
      <w:marLeft w:val="0"/>
      <w:marRight w:val="0"/>
      <w:marTop w:val="0"/>
      <w:marBottom w:val="0"/>
      <w:divBdr>
        <w:top w:val="none" w:sz="0" w:space="0" w:color="auto"/>
        <w:left w:val="none" w:sz="0" w:space="0" w:color="auto"/>
        <w:bottom w:val="none" w:sz="0" w:space="0" w:color="auto"/>
        <w:right w:val="none" w:sz="0" w:space="0" w:color="auto"/>
      </w:divBdr>
    </w:div>
    <w:div w:id="379481116">
      <w:bodyDiv w:val="1"/>
      <w:marLeft w:val="0"/>
      <w:marRight w:val="0"/>
      <w:marTop w:val="0"/>
      <w:marBottom w:val="0"/>
      <w:divBdr>
        <w:top w:val="none" w:sz="0" w:space="0" w:color="auto"/>
        <w:left w:val="none" w:sz="0" w:space="0" w:color="auto"/>
        <w:bottom w:val="none" w:sz="0" w:space="0" w:color="auto"/>
        <w:right w:val="none" w:sz="0" w:space="0" w:color="auto"/>
      </w:divBdr>
    </w:div>
    <w:div w:id="390230230">
      <w:bodyDiv w:val="1"/>
      <w:marLeft w:val="0"/>
      <w:marRight w:val="0"/>
      <w:marTop w:val="0"/>
      <w:marBottom w:val="0"/>
      <w:divBdr>
        <w:top w:val="none" w:sz="0" w:space="0" w:color="auto"/>
        <w:left w:val="none" w:sz="0" w:space="0" w:color="auto"/>
        <w:bottom w:val="none" w:sz="0" w:space="0" w:color="auto"/>
        <w:right w:val="none" w:sz="0" w:space="0" w:color="auto"/>
      </w:divBdr>
    </w:div>
    <w:div w:id="410078708">
      <w:bodyDiv w:val="1"/>
      <w:marLeft w:val="0"/>
      <w:marRight w:val="0"/>
      <w:marTop w:val="0"/>
      <w:marBottom w:val="0"/>
      <w:divBdr>
        <w:top w:val="none" w:sz="0" w:space="0" w:color="auto"/>
        <w:left w:val="none" w:sz="0" w:space="0" w:color="auto"/>
        <w:bottom w:val="none" w:sz="0" w:space="0" w:color="auto"/>
        <w:right w:val="none" w:sz="0" w:space="0" w:color="auto"/>
      </w:divBdr>
    </w:div>
    <w:div w:id="433092921">
      <w:bodyDiv w:val="1"/>
      <w:marLeft w:val="0"/>
      <w:marRight w:val="0"/>
      <w:marTop w:val="0"/>
      <w:marBottom w:val="0"/>
      <w:divBdr>
        <w:top w:val="none" w:sz="0" w:space="0" w:color="auto"/>
        <w:left w:val="none" w:sz="0" w:space="0" w:color="auto"/>
        <w:bottom w:val="none" w:sz="0" w:space="0" w:color="auto"/>
        <w:right w:val="none" w:sz="0" w:space="0" w:color="auto"/>
      </w:divBdr>
    </w:div>
    <w:div w:id="434519970">
      <w:bodyDiv w:val="1"/>
      <w:marLeft w:val="0"/>
      <w:marRight w:val="0"/>
      <w:marTop w:val="0"/>
      <w:marBottom w:val="0"/>
      <w:divBdr>
        <w:top w:val="none" w:sz="0" w:space="0" w:color="auto"/>
        <w:left w:val="none" w:sz="0" w:space="0" w:color="auto"/>
        <w:bottom w:val="none" w:sz="0" w:space="0" w:color="auto"/>
        <w:right w:val="none" w:sz="0" w:space="0" w:color="auto"/>
      </w:divBdr>
    </w:div>
    <w:div w:id="438911691">
      <w:bodyDiv w:val="1"/>
      <w:marLeft w:val="0"/>
      <w:marRight w:val="0"/>
      <w:marTop w:val="0"/>
      <w:marBottom w:val="0"/>
      <w:divBdr>
        <w:top w:val="none" w:sz="0" w:space="0" w:color="auto"/>
        <w:left w:val="none" w:sz="0" w:space="0" w:color="auto"/>
        <w:bottom w:val="none" w:sz="0" w:space="0" w:color="auto"/>
        <w:right w:val="none" w:sz="0" w:space="0" w:color="auto"/>
      </w:divBdr>
    </w:div>
    <w:div w:id="462846847">
      <w:bodyDiv w:val="1"/>
      <w:marLeft w:val="0"/>
      <w:marRight w:val="0"/>
      <w:marTop w:val="0"/>
      <w:marBottom w:val="0"/>
      <w:divBdr>
        <w:top w:val="none" w:sz="0" w:space="0" w:color="auto"/>
        <w:left w:val="none" w:sz="0" w:space="0" w:color="auto"/>
        <w:bottom w:val="none" w:sz="0" w:space="0" w:color="auto"/>
        <w:right w:val="none" w:sz="0" w:space="0" w:color="auto"/>
      </w:divBdr>
    </w:div>
    <w:div w:id="481699492">
      <w:bodyDiv w:val="1"/>
      <w:marLeft w:val="0"/>
      <w:marRight w:val="0"/>
      <w:marTop w:val="0"/>
      <w:marBottom w:val="0"/>
      <w:divBdr>
        <w:top w:val="none" w:sz="0" w:space="0" w:color="auto"/>
        <w:left w:val="none" w:sz="0" w:space="0" w:color="auto"/>
        <w:bottom w:val="none" w:sz="0" w:space="0" w:color="auto"/>
        <w:right w:val="none" w:sz="0" w:space="0" w:color="auto"/>
      </w:divBdr>
    </w:div>
    <w:div w:id="491532246">
      <w:bodyDiv w:val="1"/>
      <w:marLeft w:val="0"/>
      <w:marRight w:val="0"/>
      <w:marTop w:val="0"/>
      <w:marBottom w:val="0"/>
      <w:divBdr>
        <w:top w:val="none" w:sz="0" w:space="0" w:color="auto"/>
        <w:left w:val="none" w:sz="0" w:space="0" w:color="auto"/>
        <w:bottom w:val="none" w:sz="0" w:space="0" w:color="auto"/>
        <w:right w:val="none" w:sz="0" w:space="0" w:color="auto"/>
      </w:divBdr>
    </w:div>
    <w:div w:id="498499423">
      <w:bodyDiv w:val="1"/>
      <w:marLeft w:val="0"/>
      <w:marRight w:val="0"/>
      <w:marTop w:val="0"/>
      <w:marBottom w:val="0"/>
      <w:divBdr>
        <w:top w:val="none" w:sz="0" w:space="0" w:color="auto"/>
        <w:left w:val="none" w:sz="0" w:space="0" w:color="auto"/>
        <w:bottom w:val="none" w:sz="0" w:space="0" w:color="auto"/>
        <w:right w:val="none" w:sz="0" w:space="0" w:color="auto"/>
      </w:divBdr>
    </w:div>
    <w:div w:id="513766989">
      <w:bodyDiv w:val="1"/>
      <w:marLeft w:val="0"/>
      <w:marRight w:val="0"/>
      <w:marTop w:val="0"/>
      <w:marBottom w:val="0"/>
      <w:divBdr>
        <w:top w:val="none" w:sz="0" w:space="0" w:color="auto"/>
        <w:left w:val="none" w:sz="0" w:space="0" w:color="auto"/>
        <w:bottom w:val="none" w:sz="0" w:space="0" w:color="auto"/>
        <w:right w:val="none" w:sz="0" w:space="0" w:color="auto"/>
      </w:divBdr>
    </w:div>
    <w:div w:id="514224272">
      <w:bodyDiv w:val="1"/>
      <w:marLeft w:val="0"/>
      <w:marRight w:val="0"/>
      <w:marTop w:val="0"/>
      <w:marBottom w:val="0"/>
      <w:divBdr>
        <w:top w:val="none" w:sz="0" w:space="0" w:color="auto"/>
        <w:left w:val="none" w:sz="0" w:space="0" w:color="auto"/>
        <w:bottom w:val="none" w:sz="0" w:space="0" w:color="auto"/>
        <w:right w:val="none" w:sz="0" w:space="0" w:color="auto"/>
      </w:divBdr>
    </w:div>
    <w:div w:id="541327536">
      <w:bodyDiv w:val="1"/>
      <w:marLeft w:val="0"/>
      <w:marRight w:val="0"/>
      <w:marTop w:val="0"/>
      <w:marBottom w:val="0"/>
      <w:divBdr>
        <w:top w:val="none" w:sz="0" w:space="0" w:color="auto"/>
        <w:left w:val="none" w:sz="0" w:space="0" w:color="auto"/>
        <w:bottom w:val="none" w:sz="0" w:space="0" w:color="auto"/>
        <w:right w:val="none" w:sz="0" w:space="0" w:color="auto"/>
      </w:divBdr>
    </w:div>
    <w:div w:id="544175636">
      <w:bodyDiv w:val="1"/>
      <w:marLeft w:val="0"/>
      <w:marRight w:val="0"/>
      <w:marTop w:val="0"/>
      <w:marBottom w:val="0"/>
      <w:divBdr>
        <w:top w:val="none" w:sz="0" w:space="0" w:color="auto"/>
        <w:left w:val="none" w:sz="0" w:space="0" w:color="auto"/>
        <w:bottom w:val="none" w:sz="0" w:space="0" w:color="auto"/>
        <w:right w:val="none" w:sz="0" w:space="0" w:color="auto"/>
      </w:divBdr>
    </w:div>
    <w:div w:id="555045136">
      <w:bodyDiv w:val="1"/>
      <w:marLeft w:val="0"/>
      <w:marRight w:val="0"/>
      <w:marTop w:val="0"/>
      <w:marBottom w:val="0"/>
      <w:divBdr>
        <w:top w:val="none" w:sz="0" w:space="0" w:color="auto"/>
        <w:left w:val="none" w:sz="0" w:space="0" w:color="auto"/>
        <w:bottom w:val="none" w:sz="0" w:space="0" w:color="auto"/>
        <w:right w:val="none" w:sz="0" w:space="0" w:color="auto"/>
      </w:divBdr>
    </w:div>
    <w:div w:id="575020004">
      <w:bodyDiv w:val="1"/>
      <w:marLeft w:val="0"/>
      <w:marRight w:val="0"/>
      <w:marTop w:val="0"/>
      <w:marBottom w:val="0"/>
      <w:divBdr>
        <w:top w:val="none" w:sz="0" w:space="0" w:color="auto"/>
        <w:left w:val="none" w:sz="0" w:space="0" w:color="auto"/>
        <w:bottom w:val="none" w:sz="0" w:space="0" w:color="auto"/>
        <w:right w:val="none" w:sz="0" w:space="0" w:color="auto"/>
      </w:divBdr>
    </w:div>
    <w:div w:id="575825019">
      <w:bodyDiv w:val="1"/>
      <w:marLeft w:val="0"/>
      <w:marRight w:val="0"/>
      <w:marTop w:val="0"/>
      <w:marBottom w:val="0"/>
      <w:divBdr>
        <w:top w:val="none" w:sz="0" w:space="0" w:color="auto"/>
        <w:left w:val="none" w:sz="0" w:space="0" w:color="auto"/>
        <w:bottom w:val="none" w:sz="0" w:space="0" w:color="auto"/>
        <w:right w:val="none" w:sz="0" w:space="0" w:color="auto"/>
      </w:divBdr>
    </w:div>
    <w:div w:id="614559772">
      <w:bodyDiv w:val="1"/>
      <w:marLeft w:val="0"/>
      <w:marRight w:val="0"/>
      <w:marTop w:val="0"/>
      <w:marBottom w:val="0"/>
      <w:divBdr>
        <w:top w:val="none" w:sz="0" w:space="0" w:color="auto"/>
        <w:left w:val="none" w:sz="0" w:space="0" w:color="auto"/>
        <w:bottom w:val="none" w:sz="0" w:space="0" w:color="auto"/>
        <w:right w:val="none" w:sz="0" w:space="0" w:color="auto"/>
      </w:divBdr>
    </w:div>
    <w:div w:id="615865324">
      <w:bodyDiv w:val="1"/>
      <w:marLeft w:val="0"/>
      <w:marRight w:val="0"/>
      <w:marTop w:val="0"/>
      <w:marBottom w:val="0"/>
      <w:divBdr>
        <w:top w:val="none" w:sz="0" w:space="0" w:color="auto"/>
        <w:left w:val="none" w:sz="0" w:space="0" w:color="auto"/>
        <w:bottom w:val="none" w:sz="0" w:space="0" w:color="auto"/>
        <w:right w:val="none" w:sz="0" w:space="0" w:color="auto"/>
      </w:divBdr>
    </w:div>
    <w:div w:id="616109451">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9366131">
      <w:bodyDiv w:val="1"/>
      <w:marLeft w:val="0"/>
      <w:marRight w:val="0"/>
      <w:marTop w:val="0"/>
      <w:marBottom w:val="0"/>
      <w:divBdr>
        <w:top w:val="none" w:sz="0" w:space="0" w:color="auto"/>
        <w:left w:val="none" w:sz="0" w:space="0" w:color="auto"/>
        <w:bottom w:val="none" w:sz="0" w:space="0" w:color="auto"/>
        <w:right w:val="none" w:sz="0" w:space="0" w:color="auto"/>
      </w:divBdr>
    </w:div>
    <w:div w:id="652218945">
      <w:bodyDiv w:val="1"/>
      <w:marLeft w:val="0"/>
      <w:marRight w:val="0"/>
      <w:marTop w:val="0"/>
      <w:marBottom w:val="0"/>
      <w:divBdr>
        <w:top w:val="none" w:sz="0" w:space="0" w:color="auto"/>
        <w:left w:val="none" w:sz="0" w:space="0" w:color="auto"/>
        <w:bottom w:val="none" w:sz="0" w:space="0" w:color="auto"/>
        <w:right w:val="none" w:sz="0" w:space="0" w:color="auto"/>
      </w:divBdr>
    </w:div>
    <w:div w:id="659161604">
      <w:bodyDiv w:val="1"/>
      <w:marLeft w:val="0"/>
      <w:marRight w:val="0"/>
      <w:marTop w:val="0"/>
      <w:marBottom w:val="0"/>
      <w:divBdr>
        <w:top w:val="none" w:sz="0" w:space="0" w:color="auto"/>
        <w:left w:val="none" w:sz="0" w:space="0" w:color="auto"/>
        <w:bottom w:val="none" w:sz="0" w:space="0" w:color="auto"/>
        <w:right w:val="none" w:sz="0" w:space="0" w:color="auto"/>
      </w:divBdr>
    </w:div>
    <w:div w:id="666058444">
      <w:bodyDiv w:val="1"/>
      <w:marLeft w:val="0"/>
      <w:marRight w:val="0"/>
      <w:marTop w:val="0"/>
      <w:marBottom w:val="0"/>
      <w:divBdr>
        <w:top w:val="none" w:sz="0" w:space="0" w:color="auto"/>
        <w:left w:val="none" w:sz="0" w:space="0" w:color="auto"/>
        <w:bottom w:val="none" w:sz="0" w:space="0" w:color="auto"/>
        <w:right w:val="none" w:sz="0" w:space="0" w:color="auto"/>
      </w:divBdr>
    </w:div>
    <w:div w:id="668219551">
      <w:bodyDiv w:val="1"/>
      <w:marLeft w:val="0"/>
      <w:marRight w:val="0"/>
      <w:marTop w:val="0"/>
      <w:marBottom w:val="0"/>
      <w:divBdr>
        <w:top w:val="none" w:sz="0" w:space="0" w:color="auto"/>
        <w:left w:val="none" w:sz="0" w:space="0" w:color="auto"/>
        <w:bottom w:val="none" w:sz="0" w:space="0" w:color="auto"/>
        <w:right w:val="none" w:sz="0" w:space="0" w:color="auto"/>
      </w:divBdr>
    </w:div>
    <w:div w:id="675158845">
      <w:bodyDiv w:val="1"/>
      <w:marLeft w:val="0"/>
      <w:marRight w:val="0"/>
      <w:marTop w:val="0"/>
      <w:marBottom w:val="0"/>
      <w:divBdr>
        <w:top w:val="none" w:sz="0" w:space="0" w:color="auto"/>
        <w:left w:val="none" w:sz="0" w:space="0" w:color="auto"/>
        <w:bottom w:val="none" w:sz="0" w:space="0" w:color="auto"/>
        <w:right w:val="none" w:sz="0" w:space="0" w:color="auto"/>
      </w:divBdr>
    </w:div>
    <w:div w:id="675351427">
      <w:bodyDiv w:val="1"/>
      <w:marLeft w:val="0"/>
      <w:marRight w:val="0"/>
      <w:marTop w:val="0"/>
      <w:marBottom w:val="0"/>
      <w:divBdr>
        <w:top w:val="none" w:sz="0" w:space="0" w:color="auto"/>
        <w:left w:val="none" w:sz="0" w:space="0" w:color="auto"/>
        <w:bottom w:val="none" w:sz="0" w:space="0" w:color="auto"/>
        <w:right w:val="none" w:sz="0" w:space="0" w:color="auto"/>
      </w:divBdr>
    </w:div>
    <w:div w:id="684986580">
      <w:bodyDiv w:val="1"/>
      <w:marLeft w:val="0"/>
      <w:marRight w:val="0"/>
      <w:marTop w:val="0"/>
      <w:marBottom w:val="0"/>
      <w:divBdr>
        <w:top w:val="none" w:sz="0" w:space="0" w:color="auto"/>
        <w:left w:val="none" w:sz="0" w:space="0" w:color="auto"/>
        <w:bottom w:val="none" w:sz="0" w:space="0" w:color="auto"/>
        <w:right w:val="none" w:sz="0" w:space="0" w:color="auto"/>
      </w:divBdr>
    </w:div>
    <w:div w:id="686101335">
      <w:bodyDiv w:val="1"/>
      <w:marLeft w:val="0"/>
      <w:marRight w:val="0"/>
      <w:marTop w:val="0"/>
      <w:marBottom w:val="0"/>
      <w:divBdr>
        <w:top w:val="none" w:sz="0" w:space="0" w:color="auto"/>
        <w:left w:val="none" w:sz="0" w:space="0" w:color="auto"/>
        <w:bottom w:val="none" w:sz="0" w:space="0" w:color="auto"/>
        <w:right w:val="none" w:sz="0" w:space="0" w:color="auto"/>
      </w:divBdr>
    </w:div>
    <w:div w:id="688331536">
      <w:bodyDiv w:val="1"/>
      <w:marLeft w:val="0"/>
      <w:marRight w:val="0"/>
      <w:marTop w:val="0"/>
      <w:marBottom w:val="0"/>
      <w:divBdr>
        <w:top w:val="none" w:sz="0" w:space="0" w:color="auto"/>
        <w:left w:val="none" w:sz="0" w:space="0" w:color="auto"/>
        <w:bottom w:val="none" w:sz="0" w:space="0" w:color="auto"/>
        <w:right w:val="none" w:sz="0" w:space="0" w:color="auto"/>
      </w:divBdr>
    </w:div>
    <w:div w:id="696662144">
      <w:bodyDiv w:val="1"/>
      <w:marLeft w:val="0"/>
      <w:marRight w:val="0"/>
      <w:marTop w:val="0"/>
      <w:marBottom w:val="0"/>
      <w:divBdr>
        <w:top w:val="none" w:sz="0" w:space="0" w:color="auto"/>
        <w:left w:val="none" w:sz="0" w:space="0" w:color="auto"/>
        <w:bottom w:val="none" w:sz="0" w:space="0" w:color="auto"/>
        <w:right w:val="none" w:sz="0" w:space="0" w:color="auto"/>
      </w:divBdr>
    </w:div>
    <w:div w:id="719862795">
      <w:bodyDiv w:val="1"/>
      <w:marLeft w:val="0"/>
      <w:marRight w:val="0"/>
      <w:marTop w:val="0"/>
      <w:marBottom w:val="0"/>
      <w:divBdr>
        <w:top w:val="none" w:sz="0" w:space="0" w:color="auto"/>
        <w:left w:val="none" w:sz="0" w:space="0" w:color="auto"/>
        <w:bottom w:val="none" w:sz="0" w:space="0" w:color="auto"/>
        <w:right w:val="none" w:sz="0" w:space="0" w:color="auto"/>
      </w:divBdr>
    </w:div>
    <w:div w:id="737947628">
      <w:bodyDiv w:val="1"/>
      <w:marLeft w:val="0"/>
      <w:marRight w:val="0"/>
      <w:marTop w:val="0"/>
      <w:marBottom w:val="0"/>
      <w:divBdr>
        <w:top w:val="none" w:sz="0" w:space="0" w:color="auto"/>
        <w:left w:val="none" w:sz="0" w:space="0" w:color="auto"/>
        <w:bottom w:val="none" w:sz="0" w:space="0" w:color="auto"/>
        <w:right w:val="none" w:sz="0" w:space="0" w:color="auto"/>
      </w:divBdr>
    </w:div>
    <w:div w:id="739792948">
      <w:bodyDiv w:val="1"/>
      <w:marLeft w:val="0"/>
      <w:marRight w:val="0"/>
      <w:marTop w:val="0"/>
      <w:marBottom w:val="0"/>
      <w:divBdr>
        <w:top w:val="none" w:sz="0" w:space="0" w:color="auto"/>
        <w:left w:val="none" w:sz="0" w:space="0" w:color="auto"/>
        <w:bottom w:val="none" w:sz="0" w:space="0" w:color="auto"/>
        <w:right w:val="none" w:sz="0" w:space="0" w:color="auto"/>
      </w:divBdr>
    </w:div>
    <w:div w:id="781195211">
      <w:bodyDiv w:val="1"/>
      <w:marLeft w:val="0"/>
      <w:marRight w:val="0"/>
      <w:marTop w:val="0"/>
      <w:marBottom w:val="0"/>
      <w:divBdr>
        <w:top w:val="none" w:sz="0" w:space="0" w:color="auto"/>
        <w:left w:val="none" w:sz="0" w:space="0" w:color="auto"/>
        <w:bottom w:val="none" w:sz="0" w:space="0" w:color="auto"/>
        <w:right w:val="none" w:sz="0" w:space="0" w:color="auto"/>
      </w:divBdr>
    </w:div>
    <w:div w:id="782577245">
      <w:bodyDiv w:val="1"/>
      <w:marLeft w:val="0"/>
      <w:marRight w:val="0"/>
      <w:marTop w:val="0"/>
      <w:marBottom w:val="0"/>
      <w:divBdr>
        <w:top w:val="none" w:sz="0" w:space="0" w:color="auto"/>
        <w:left w:val="none" w:sz="0" w:space="0" w:color="auto"/>
        <w:bottom w:val="none" w:sz="0" w:space="0" w:color="auto"/>
        <w:right w:val="none" w:sz="0" w:space="0" w:color="auto"/>
      </w:divBdr>
    </w:div>
    <w:div w:id="783621988">
      <w:bodyDiv w:val="1"/>
      <w:marLeft w:val="0"/>
      <w:marRight w:val="0"/>
      <w:marTop w:val="0"/>
      <w:marBottom w:val="0"/>
      <w:divBdr>
        <w:top w:val="none" w:sz="0" w:space="0" w:color="auto"/>
        <w:left w:val="none" w:sz="0" w:space="0" w:color="auto"/>
        <w:bottom w:val="none" w:sz="0" w:space="0" w:color="auto"/>
        <w:right w:val="none" w:sz="0" w:space="0" w:color="auto"/>
      </w:divBdr>
    </w:div>
    <w:div w:id="786659980">
      <w:bodyDiv w:val="1"/>
      <w:marLeft w:val="0"/>
      <w:marRight w:val="0"/>
      <w:marTop w:val="0"/>
      <w:marBottom w:val="0"/>
      <w:divBdr>
        <w:top w:val="none" w:sz="0" w:space="0" w:color="auto"/>
        <w:left w:val="none" w:sz="0" w:space="0" w:color="auto"/>
        <w:bottom w:val="none" w:sz="0" w:space="0" w:color="auto"/>
        <w:right w:val="none" w:sz="0" w:space="0" w:color="auto"/>
      </w:divBdr>
    </w:div>
    <w:div w:id="788010719">
      <w:bodyDiv w:val="1"/>
      <w:marLeft w:val="0"/>
      <w:marRight w:val="0"/>
      <w:marTop w:val="0"/>
      <w:marBottom w:val="0"/>
      <w:divBdr>
        <w:top w:val="none" w:sz="0" w:space="0" w:color="auto"/>
        <w:left w:val="none" w:sz="0" w:space="0" w:color="auto"/>
        <w:bottom w:val="none" w:sz="0" w:space="0" w:color="auto"/>
        <w:right w:val="none" w:sz="0" w:space="0" w:color="auto"/>
      </w:divBdr>
    </w:div>
    <w:div w:id="804809410">
      <w:bodyDiv w:val="1"/>
      <w:marLeft w:val="0"/>
      <w:marRight w:val="0"/>
      <w:marTop w:val="0"/>
      <w:marBottom w:val="0"/>
      <w:divBdr>
        <w:top w:val="none" w:sz="0" w:space="0" w:color="auto"/>
        <w:left w:val="none" w:sz="0" w:space="0" w:color="auto"/>
        <w:bottom w:val="none" w:sz="0" w:space="0" w:color="auto"/>
        <w:right w:val="none" w:sz="0" w:space="0" w:color="auto"/>
      </w:divBdr>
    </w:div>
    <w:div w:id="876746509">
      <w:bodyDiv w:val="1"/>
      <w:marLeft w:val="0"/>
      <w:marRight w:val="0"/>
      <w:marTop w:val="0"/>
      <w:marBottom w:val="0"/>
      <w:divBdr>
        <w:top w:val="none" w:sz="0" w:space="0" w:color="auto"/>
        <w:left w:val="none" w:sz="0" w:space="0" w:color="auto"/>
        <w:bottom w:val="none" w:sz="0" w:space="0" w:color="auto"/>
        <w:right w:val="none" w:sz="0" w:space="0" w:color="auto"/>
      </w:divBdr>
    </w:div>
    <w:div w:id="888952935">
      <w:bodyDiv w:val="1"/>
      <w:marLeft w:val="0"/>
      <w:marRight w:val="0"/>
      <w:marTop w:val="0"/>
      <w:marBottom w:val="0"/>
      <w:divBdr>
        <w:top w:val="none" w:sz="0" w:space="0" w:color="auto"/>
        <w:left w:val="none" w:sz="0" w:space="0" w:color="auto"/>
        <w:bottom w:val="none" w:sz="0" w:space="0" w:color="auto"/>
        <w:right w:val="none" w:sz="0" w:space="0" w:color="auto"/>
      </w:divBdr>
    </w:div>
    <w:div w:id="958223702">
      <w:bodyDiv w:val="1"/>
      <w:marLeft w:val="0"/>
      <w:marRight w:val="0"/>
      <w:marTop w:val="0"/>
      <w:marBottom w:val="0"/>
      <w:divBdr>
        <w:top w:val="none" w:sz="0" w:space="0" w:color="auto"/>
        <w:left w:val="none" w:sz="0" w:space="0" w:color="auto"/>
        <w:bottom w:val="none" w:sz="0" w:space="0" w:color="auto"/>
        <w:right w:val="none" w:sz="0" w:space="0" w:color="auto"/>
      </w:divBdr>
    </w:div>
    <w:div w:id="962156029">
      <w:bodyDiv w:val="1"/>
      <w:marLeft w:val="0"/>
      <w:marRight w:val="0"/>
      <w:marTop w:val="0"/>
      <w:marBottom w:val="0"/>
      <w:divBdr>
        <w:top w:val="none" w:sz="0" w:space="0" w:color="auto"/>
        <w:left w:val="none" w:sz="0" w:space="0" w:color="auto"/>
        <w:bottom w:val="none" w:sz="0" w:space="0" w:color="auto"/>
        <w:right w:val="none" w:sz="0" w:space="0" w:color="auto"/>
      </w:divBdr>
    </w:div>
    <w:div w:id="966355066">
      <w:bodyDiv w:val="1"/>
      <w:marLeft w:val="0"/>
      <w:marRight w:val="0"/>
      <w:marTop w:val="0"/>
      <w:marBottom w:val="0"/>
      <w:divBdr>
        <w:top w:val="none" w:sz="0" w:space="0" w:color="auto"/>
        <w:left w:val="none" w:sz="0" w:space="0" w:color="auto"/>
        <w:bottom w:val="none" w:sz="0" w:space="0" w:color="auto"/>
        <w:right w:val="none" w:sz="0" w:space="0" w:color="auto"/>
      </w:divBdr>
    </w:div>
    <w:div w:id="986476636">
      <w:bodyDiv w:val="1"/>
      <w:marLeft w:val="0"/>
      <w:marRight w:val="0"/>
      <w:marTop w:val="0"/>
      <w:marBottom w:val="0"/>
      <w:divBdr>
        <w:top w:val="none" w:sz="0" w:space="0" w:color="auto"/>
        <w:left w:val="none" w:sz="0" w:space="0" w:color="auto"/>
        <w:bottom w:val="none" w:sz="0" w:space="0" w:color="auto"/>
        <w:right w:val="none" w:sz="0" w:space="0" w:color="auto"/>
      </w:divBdr>
    </w:div>
    <w:div w:id="1065953575">
      <w:bodyDiv w:val="1"/>
      <w:marLeft w:val="0"/>
      <w:marRight w:val="0"/>
      <w:marTop w:val="0"/>
      <w:marBottom w:val="0"/>
      <w:divBdr>
        <w:top w:val="none" w:sz="0" w:space="0" w:color="auto"/>
        <w:left w:val="none" w:sz="0" w:space="0" w:color="auto"/>
        <w:bottom w:val="none" w:sz="0" w:space="0" w:color="auto"/>
        <w:right w:val="none" w:sz="0" w:space="0" w:color="auto"/>
      </w:divBdr>
    </w:div>
    <w:div w:id="1095126035">
      <w:bodyDiv w:val="1"/>
      <w:marLeft w:val="0"/>
      <w:marRight w:val="0"/>
      <w:marTop w:val="0"/>
      <w:marBottom w:val="0"/>
      <w:divBdr>
        <w:top w:val="none" w:sz="0" w:space="0" w:color="auto"/>
        <w:left w:val="none" w:sz="0" w:space="0" w:color="auto"/>
        <w:bottom w:val="none" w:sz="0" w:space="0" w:color="auto"/>
        <w:right w:val="none" w:sz="0" w:space="0" w:color="auto"/>
      </w:divBdr>
    </w:div>
    <w:div w:id="1103652766">
      <w:bodyDiv w:val="1"/>
      <w:marLeft w:val="0"/>
      <w:marRight w:val="0"/>
      <w:marTop w:val="0"/>
      <w:marBottom w:val="0"/>
      <w:divBdr>
        <w:top w:val="none" w:sz="0" w:space="0" w:color="auto"/>
        <w:left w:val="none" w:sz="0" w:space="0" w:color="auto"/>
        <w:bottom w:val="none" w:sz="0" w:space="0" w:color="auto"/>
        <w:right w:val="none" w:sz="0" w:space="0" w:color="auto"/>
      </w:divBdr>
    </w:div>
    <w:div w:id="1113551771">
      <w:bodyDiv w:val="1"/>
      <w:marLeft w:val="0"/>
      <w:marRight w:val="0"/>
      <w:marTop w:val="0"/>
      <w:marBottom w:val="0"/>
      <w:divBdr>
        <w:top w:val="none" w:sz="0" w:space="0" w:color="auto"/>
        <w:left w:val="none" w:sz="0" w:space="0" w:color="auto"/>
        <w:bottom w:val="none" w:sz="0" w:space="0" w:color="auto"/>
        <w:right w:val="none" w:sz="0" w:space="0" w:color="auto"/>
      </w:divBdr>
    </w:div>
    <w:div w:id="1148591319">
      <w:bodyDiv w:val="1"/>
      <w:marLeft w:val="0"/>
      <w:marRight w:val="0"/>
      <w:marTop w:val="0"/>
      <w:marBottom w:val="0"/>
      <w:divBdr>
        <w:top w:val="none" w:sz="0" w:space="0" w:color="auto"/>
        <w:left w:val="none" w:sz="0" w:space="0" w:color="auto"/>
        <w:bottom w:val="none" w:sz="0" w:space="0" w:color="auto"/>
        <w:right w:val="none" w:sz="0" w:space="0" w:color="auto"/>
      </w:divBdr>
    </w:div>
    <w:div w:id="1150630718">
      <w:bodyDiv w:val="1"/>
      <w:marLeft w:val="0"/>
      <w:marRight w:val="0"/>
      <w:marTop w:val="0"/>
      <w:marBottom w:val="0"/>
      <w:divBdr>
        <w:top w:val="none" w:sz="0" w:space="0" w:color="auto"/>
        <w:left w:val="none" w:sz="0" w:space="0" w:color="auto"/>
        <w:bottom w:val="none" w:sz="0" w:space="0" w:color="auto"/>
        <w:right w:val="none" w:sz="0" w:space="0" w:color="auto"/>
      </w:divBdr>
    </w:div>
    <w:div w:id="1169978977">
      <w:bodyDiv w:val="1"/>
      <w:marLeft w:val="0"/>
      <w:marRight w:val="0"/>
      <w:marTop w:val="0"/>
      <w:marBottom w:val="0"/>
      <w:divBdr>
        <w:top w:val="none" w:sz="0" w:space="0" w:color="auto"/>
        <w:left w:val="none" w:sz="0" w:space="0" w:color="auto"/>
        <w:bottom w:val="none" w:sz="0" w:space="0" w:color="auto"/>
        <w:right w:val="none" w:sz="0" w:space="0" w:color="auto"/>
      </w:divBdr>
    </w:div>
    <w:div w:id="1191455690">
      <w:bodyDiv w:val="1"/>
      <w:marLeft w:val="0"/>
      <w:marRight w:val="0"/>
      <w:marTop w:val="0"/>
      <w:marBottom w:val="0"/>
      <w:divBdr>
        <w:top w:val="none" w:sz="0" w:space="0" w:color="auto"/>
        <w:left w:val="none" w:sz="0" w:space="0" w:color="auto"/>
        <w:bottom w:val="none" w:sz="0" w:space="0" w:color="auto"/>
        <w:right w:val="none" w:sz="0" w:space="0" w:color="auto"/>
      </w:divBdr>
    </w:div>
    <w:div w:id="1203716037">
      <w:bodyDiv w:val="1"/>
      <w:marLeft w:val="0"/>
      <w:marRight w:val="0"/>
      <w:marTop w:val="0"/>
      <w:marBottom w:val="0"/>
      <w:divBdr>
        <w:top w:val="none" w:sz="0" w:space="0" w:color="auto"/>
        <w:left w:val="none" w:sz="0" w:space="0" w:color="auto"/>
        <w:bottom w:val="none" w:sz="0" w:space="0" w:color="auto"/>
        <w:right w:val="none" w:sz="0" w:space="0" w:color="auto"/>
      </w:divBdr>
    </w:div>
    <w:div w:id="1205563098">
      <w:bodyDiv w:val="1"/>
      <w:marLeft w:val="0"/>
      <w:marRight w:val="0"/>
      <w:marTop w:val="0"/>
      <w:marBottom w:val="0"/>
      <w:divBdr>
        <w:top w:val="none" w:sz="0" w:space="0" w:color="auto"/>
        <w:left w:val="none" w:sz="0" w:space="0" w:color="auto"/>
        <w:bottom w:val="none" w:sz="0" w:space="0" w:color="auto"/>
        <w:right w:val="none" w:sz="0" w:space="0" w:color="auto"/>
      </w:divBdr>
    </w:div>
    <w:div w:id="1218319276">
      <w:bodyDiv w:val="1"/>
      <w:marLeft w:val="0"/>
      <w:marRight w:val="0"/>
      <w:marTop w:val="0"/>
      <w:marBottom w:val="0"/>
      <w:divBdr>
        <w:top w:val="none" w:sz="0" w:space="0" w:color="auto"/>
        <w:left w:val="none" w:sz="0" w:space="0" w:color="auto"/>
        <w:bottom w:val="none" w:sz="0" w:space="0" w:color="auto"/>
        <w:right w:val="none" w:sz="0" w:space="0" w:color="auto"/>
      </w:divBdr>
    </w:div>
    <w:div w:id="1291984290">
      <w:bodyDiv w:val="1"/>
      <w:marLeft w:val="0"/>
      <w:marRight w:val="0"/>
      <w:marTop w:val="0"/>
      <w:marBottom w:val="0"/>
      <w:divBdr>
        <w:top w:val="none" w:sz="0" w:space="0" w:color="auto"/>
        <w:left w:val="none" w:sz="0" w:space="0" w:color="auto"/>
        <w:bottom w:val="none" w:sz="0" w:space="0" w:color="auto"/>
        <w:right w:val="none" w:sz="0" w:space="0" w:color="auto"/>
      </w:divBdr>
    </w:div>
    <w:div w:id="1296058487">
      <w:bodyDiv w:val="1"/>
      <w:marLeft w:val="0"/>
      <w:marRight w:val="0"/>
      <w:marTop w:val="0"/>
      <w:marBottom w:val="0"/>
      <w:divBdr>
        <w:top w:val="none" w:sz="0" w:space="0" w:color="auto"/>
        <w:left w:val="none" w:sz="0" w:space="0" w:color="auto"/>
        <w:bottom w:val="none" w:sz="0" w:space="0" w:color="auto"/>
        <w:right w:val="none" w:sz="0" w:space="0" w:color="auto"/>
      </w:divBdr>
    </w:div>
    <w:div w:id="1321736144">
      <w:bodyDiv w:val="1"/>
      <w:marLeft w:val="0"/>
      <w:marRight w:val="0"/>
      <w:marTop w:val="0"/>
      <w:marBottom w:val="0"/>
      <w:divBdr>
        <w:top w:val="none" w:sz="0" w:space="0" w:color="auto"/>
        <w:left w:val="none" w:sz="0" w:space="0" w:color="auto"/>
        <w:bottom w:val="none" w:sz="0" w:space="0" w:color="auto"/>
        <w:right w:val="none" w:sz="0" w:space="0" w:color="auto"/>
      </w:divBdr>
    </w:div>
    <w:div w:id="1324973934">
      <w:bodyDiv w:val="1"/>
      <w:marLeft w:val="0"/>
      <w:marRight w:val="0"/>
      <w:marTop w:val="0"/>
      <w:marBottom w:val="0"/>
      <w:divBdr>
        <w:top w:val="none" w:sz="0" w:space="0" w:color="auto"/>
        <w:left w:val="none" w:sz="0" w:space="0" w:color="auto"/>
        <w:bottom w:val="none" w:sz="0" w:space="0" w:color="auto"/>
        <w:right w:val="none" w:sz="0" w:space="0" w:color="auto"/>
      </w:divBdr>
    </w:div>
    <w:div w:id="1325738832">
      <w:bodyDiv w:val="1"/>
      <w:marLeft w:val="0"/>
      <w:marRight w:val="0"/>
      <w:marTop w:val="0"/>
      <w:marBottom w:val="0"/>
      <w:divBdr>
        <w:top w:val="none" w:sz="0" w:space="0" w:color="auto"/>
        <w:left w:val="none" w:sz="0" w:space="0" w:color="auto"/>
        <w:bottom w:val="none" w:sz="0" w:space="0" w:color="auto"/>
        <w:right w:val="none" w:sz="0" w:space="0" w:color="auto"/>
      </w:divBdr>
    </w:div>
    <w:div w:id="1362321979">
      <w:bodyDiv w:val="1"/>
      <w:marLeft w:val="0"/>
      <w:marRight w:val="0"/>
      <w:marTop w:val="0"/>
      <w:marBottom w:val="0"/>
      <w:divBdr>
        <w:top w:val="none" w:sz="0" w:space="0" w:color="auto"/>
        <w:left w:val="none" w:sz="0" w:space="0" w:color="auto"/>
        <w:bottom w:val="none" w:sz="0" w:space="0" w:color="auto"/>
        <w:right w:val="none" w:sz="0" w:space="0" w:color="auto"/>
      </w:divBdr>
    </w:div>
    <w:div w:id="1399209196">
      <w:bodyDiv w:val="1"/>
      <w:marLeft w:val="0"/>
      <w:marRight w:val="0"/>
      <w:marTop w:val="0"/>
      <w:marBottom w:val="0"/>
      <w:divBdr>
        <w:top w:val="none" w:sz="0" w:space="0" w:color="auto"/>
        <w:left w:val="none" w:sz="0" w:space="0" w:color="auto"/>
        <w:bottom w:val="none" w:sz="0" w:space="0" w:color="auto"/>
        <w:right w:val="none" w:sz="0" w:space="0" w:color="auto"/>
      </w:divBdr>
    </w:div>
    <w:div w:id="1428620632">
      <w:bodyDiv w:val="1"/>
      <w:marLeft w:val="0"/>
      <w:marRight w:val="0"/>
      <w:marTop w:val="0"/>
      <w:marBottom w:val="0"/>
      <w:divBdr>
        <w:top w:val="none" w:sz="0" w:space="0" w:color="auto"/>
        <w:left w:val="none" w:sz="0" w:space="0" w:color="auto"/>
        <w:bottom w:val="none" w:sz="0" w:space="0" w:color="auto"/>
        <w:right w:val="none" w:sz="0" w:space="0" w:color="auto"/>
      </w:divBdr>
    </w:div>
    <w:div w:id="1441561148">
      <w:bodyDiv w:val="1"/>
      <w:marLeft w:val="0"/>
      <w:marRight w:val="0"/>
      <w:marTop w:val="0"/>
      <w:marBottom w:val="0"/>
      <w:divBdr>
        <w:top w:val="none" w:sz="0" w:space="0" w:color="auto"/>
        <w:left w:val="none" w:sz="0" w:space="0" w:color="auto"/>
        <w:bottom w:val="none" w:sz="0" w:space="0" w:color="auto"/>
        <w:right w:val="none" w:sz="0" w:space="0" w:color="auto"/>
      </w:divBdr>
    </w:div>
    <w:div w:id="1447890909">
      <w:bodyDiv w:val="1"/>
      <w:marLeft w:val="0"/>
      <w:marRight w:val="0"/>
      <w:marTop w:val="0"/>
      <w:marBottom w:val="0"/>
      <w:divBdr>
        <w:top w:val="none" w:sz="0" w:space="0" w:color="auto"/>
        <w:left w:val="none" w:sz="0" w:space="0" w:color="auto"/>
        <w:bottom w:val="none" w:sz="0" w:space="0" w:color="auto"/>
        <w:right w:val="none" w:sz="0" w:space="0" w:color="auto"/>
      </w:divBdr>
    </w:div>
    <w:div w:id="1459370917">
      <w:bodyDiv w:val="1"/>
      <w:marLeft w:val="0"/>
      <w:marRight w:val="0"/>
      <w:marTop w:val="0"/>
      <w:marBottom w:val="0"/>
      <w:divBdr>
        <w:top w:val="none" w:sz="0" w:space="0" w:color="auto"/>
        <w:left w:val="none" w:sz="0" w:space="0" w:color="auto"/>
        <w:bottom w:val="none" w:sz="0" w:space="0" w:color="auto"/>
        <w:right w:val="none" w:sz="0" w:space="0" w:color="auto"/>
      </w:divBdr>
    </w:div>
    <w:div w:id="1473716227">
      <w:bodyDiv w:val="1"/>
      <w:marLeft w:val="0"/>
      <w:marRight w:val="0"/>
      <w:marTop w:val="0"/>
      <w:marBottom w:val="0"/>
      <w:divBdr>
        <w:top w:val="none" w:sz="0" w:space="0" w:color="auto"/>
        <w:left w:val="none" w:sz="0" w:space="0" w:color="auto"/>
        <w:bottom w:val="none" w:sz="0" w:space="0" w:color="auto"/>
        <w:right w:val="none" w:sz="0" w:space="0" w:color="auto"/>
      </w:divBdr>
    </w:div>
    <w:div w:id="1500467008">
      <w:bodyDiv w:val="1"/>
      <w:marLeft w:val="0"/>
      <w:marRight w:val="0"/>
      <w:marTop w:val="0"/>
      <w:marBottom w:val="0"/>
      <w:divBdr>
        <w:top w:val="none" w:sz="0" w:space="0" w:color="auto"/>
        <w:left w:val="none" w:sz="0" w:space="0" w:color="auto"/>
        <w:bottom w:val="none" w:sz="0" w:space="0" w:color="auto"/>
        <w:right w:val="none" w:sz="0" w:space="0" w:color="auto"/>
      </w:divBdr>
    </w:div>
    <w:div w:id="1528913172">
      <w:bodyDiv w:val="1"/>
      <w:marLeft w:val="0"/>
      <w:marRight w:val="0"/>
      <w:marTop w:val="0"/>
      <w:marBottom w:val="0"/>
      <w:divBdr>
        <w:top w:val="none" w:sz="0" w:space="0" w:color="auto"/>
        <w:left w:val="none" w:sz="0" w:space="0" w:color="auto"/>
        <w:bottom w:val="none" w:sz="0" w:space="0" w:color="auto"/>
        <w:right w:val="none" w:sz="0" w:space="0" w:color="auto"/>
      </w:divBdr>
    </w:div>
    <w:div w:id="1534347568">
      <w:bodyDiv w:val="1"/>
      <w:marLeft w:val="0"/>
      <w:marRight w:val="0"/>
      <w:marTop w:val="0"/>
      <w:marBottom w:val="0"/>
      <w:divBdr>
        <w:top w:val="none" w:sz="0" w:space="0" w:color="auto"/>
        <w:left w:val="none" w:sz="0" w:space="0" w:color="auto"/>
        <w:bottom w:val="none" w:sz="0" w:space="0" w:color="auto"/>
        <w:right w:val="none" w:sz="0" w:space="0" w:color="auto"/>
      </w:divBdr>
    </w:div>
    <w:div w:id="1549217350">
      <w:bodyDiv w:val="1"/>
      <w:marLeft w:val="0"/>
      <w:marRight w:val="0"/>
      <w:marTop w:val="0"/>
      <w:marBottom w:val="0"/>
      <w:divBdr>
        <w:top w:val="none" w:sz="0" w:space="0" w:color="auto"/>
        <w:left w:val="none" w:sz="0" w:space="0" w:color="auto"/>
        <w:bottom w:val="none" w:sz="0" w:space="0" w:color="auto"/>
        <w:right w:val="none" w:sz="0" w:space="0" w:color="auto"/>
      </w:divBdr>
    </w:div>
    <w:div w:id="1577129642">
      <w:bodyDiv w:val="1"/>
      <w:marLeft w:val="0"/>
      <w:marRight w:val="0"/>
      <w:marTop w:val="0"/>
      <w:marBottom w:val="0"/>
      <w:divBdr>
        <w:top w:val="none" w:sz="0" w:space="0" w:color="auto"/>
        <w:left w:val="none" w:sz="0" w:space="0" w:color="auto"/>
        <w:bottom w:val="none" w:sz="0" w:space="0" w:color="auto"/>
        <w:right w:val="none" w:sz="0" w:space="0" w:color="auto"/>
      </w:divBdr>
    </w:div>
    <w:div w:id="1581141282">
      <w:bodyDiv w:val="1"/>
      <w:marLeft w:val="0"/>
      <w:marRight w:val="0"/>
      <w:marTop w:val="0"/>
      <w:marBottom w:val="0"/>
      <w:divBdr>
        <w:top w:val="none" w:sz="0" w:space="0" w:color="auto"/>
        <w:left w:val="none" w:sz="0" w:space="0" w:color="auto"/>
        <w:bottom w:val="none" w:sz="0" w:space="0" w:color="auto"/>
        <w:right w:val="none" w:sz="0" w:space="0" w:color="auto"/>
      </w:divBdr>
    </w:div>
    <w:div w:id="1594820012">
      <w:bodyDiv w:val="1"/>
      <w:marLeft w:val="0"/>
      <w:marRight w:val="0"/>
      <w:marTop w:val="0"/>
      <w:marBottom w:val="0"/>
      <w:divBdr>
        <w:top w:val="none" w:sz="0" w:space="0" w:color="auto"/>
        <w:left w:val="none" w:sz="0" w:space="0" w:color="auto"/>
        <w:bottom w:val="none" w:sz="0" w:space="0" w:color="auto"/>
        <w:right w:val="none" w:sz="0" w:space="0" w:color="auto"/>
      </w:divBdr>
    </w:div>
    <w:div w:id="1600989592">
      <w:bodyDiv w:val="1"/>
      <w:marLeft w:val="0"/>
      <w:marRight w:val="0"/>
      <w:marTop w:val="0"/>
      <w:marBottom w:val="0"/>
      <w:divBdr>
        <w:top w:val="none" w:sz="0" w:space="0" w:color="auto"/>
        <w:left w:val="none" w:sz="0" w:space="0" w:color="auto"/>
        <w:bottom w:val="none" w:sz="0" w:space="0" w:color="auto"/>
        <w:right w:val="none" w:sz="0" w:space="0" w:color="auto"/>
      </w:divBdr>
    </w:div>
    <w:div w:id="1613248245">
      <w:bodyDiv w:val="1"/>
      <w:marLeft w:val="0"/>
      <w:marRight w:val="0"/>
      <w:marTop w:val="0"/>
      <w:marBottom w:val="0"/>
      <w:divBdr>
        <w:top w:val="none" w:sz="0" w:space="0" w:color="auto"/>
        <w:left w:val="none" w:sz="0" w:space="0" w:color="auto"/>
        <w:bottom w:val="none" w:sz="0" w:space="0" w:color="auto"/>
        <w:right w:val="none" w:sz="0" w:space="0" w:color="auto"/>
      </w:divBdr>
    </w:div>
    <w:div w:id="1623725907">
      <w:bodyDiv w:val="1"/>
      <w:marLeft w:val="0"/>
      <w:marRight w:val="0"/>
      <w:marTop w:val="0"/>
      <w:marBottom w:val="0"/>
      <w:divBdr>
        <w:top w:val="none" w:sz="0" w:space="0" w:color="auto"/>
        <w:left w:val="none" w:sz="0" w:space="0" w:color="auto"/>
        <w:bottom w:val="none" w:sz="0" w:space="0" w:color="auto"/>
        <w:right w:val="none" w:sz="0" w:space="0" w:color="auto"/>
      </w:divBdr>
    </w:div>
    <w:div w:id="1627078529">
      <w:bodyDiv w:val="1"/>
      <w:marLeft w:val="0"/>
      <w:marRight w:val="0"/>
      <w:marTop w:val="0"/>
      <w:marBottom w:val="0"/>
      <w:divBdr>
        <w:top w:val="none" w:sz="0" w:space="0" w:color="auto"/>
        <w:left w:val="none" w:sz="0" w:space="0" w:color="auto"/>
        <w:bottom w:val="none" w:sz="0" w:space="0" w:color="auto"/>
        <w:right w:val="none" w:sz="0" w:space="0" w:color="auto"/>
      </w:divBdr>
    </w:div>
    <w:div w:id="1651590851">
      <w:bodyDiv w:val="1"/>
      <w:marLeft w:val="0"/>
      <w:marRight w:val="0"/>
      <w:marTop w:val="0"/>
      <w:marBottom w:val="0"/>
      <w:divBdr>
        <w:top w:val="none" w:sz="0" w:space="0" w:color="auto"/>
        <w:left w:val="none" w:sz="0" w:space="0" w:color="auto"/>
        <w:bottom w:val="none" w:sz="0" w:space="0" w:color="auto"/>
        <w:right w:val="none" w:sz="0" w:space="0" w:color="auto"/>
      </w:divBdr>
    </w:div>
    <w:div w:id="1659071803">
      <w:bodyDiv w:val="1"/>
      <w:marLeft w:val="0"/>
      <w:marRight w:val="0"/>
      <w:marTop w:val="0"/>
      <w:marBottom w:val="0"/>
      <w:divBdr>
        <w:top w:val="none" w:sz="0" w:space="0" w:color="auto"/>
        <w:left w:val="none" w:sz="0" w:space="0" w:color="auto"/>
        <w:bottom w:val="none" w:sz="0" w:space="0" w:color="auto"/>
        <w:right w:val="none" w:sz="0" w:space="0" w:color="auto"/>
      </w:divBdr>
    </w:div>
    <w:div w:id="1665862955">
      <w:bodyDiv w:val="1"/>
      <w:marLeft w:val="0"/>
      <w:marRight w:val="0"/>
      <w:marTop w:val="0"/>
      <w:marBottom w:val="0"/>
      <w:divBdr>
        <w:top w:val="none" w:sz="0" w:space="0" w:color="auto"/>
        <w:left w:val="none" w:sz="0" w:space="0" w:color="auto"/>
        <w:bottom w:val="none" w:sz="0" w:space="0" w:color="auto"/>
        <w:right w:val="none" w:sz="0" w:space="0" w:color="auto"/>
      </w:divBdr>
    </w:div>
    <w:div w:id="1679114045">
      <w:bodyDiv w:val="1"/>
      <w:marLeft w:val="0"/>
      <w:marRight w:val="0"/>
      <w:marTop w:val="0"/>
      <w:marBottom w:val="0"/>
      <w:divBdr>
        <w:top w:val="none" w:sz="0" w:space="0" w:color="auto"/>
        <w:left w:val="none" w:sz="0" w:space="0" w:color="auto"/>
        <w:bottom w:val="none" w:sz="0" w:space="0" w:color="auto"/>
        <w:right w:val="none" w:sz="0" w:space="0" w:color="auto"/>
      </w:divBdr>
    </w:div>
    <w:div w:id="1690525236">
      <w:bodyDiv w:val="1"/>
      <w:marLeft w:val="0"/>
      <w:marRight w:val="0"/>
      <w:marTop w:val="0"/>
      <w:marBottom w:val="0"/>
      <w:divBdr>
        <w:top w:val="none" w:sz="0" w:space="0" w:color="auto"/>
        <w:left w:val="none" w:sz="0" w:space="0" w:color="auto"/>
        <w:bottom w:val="none" w:sz="0" w:space="0" w:color="auto"/>
        <w:right w:val="none" w:sz="0" w:space="0" w:color="auto"/>
      </w:divBdr>
    </w:div>
    <w:div w:id="1692948611">
      <w:bodyDiv w:val="1"/>
      <w:marLeft w:val="0"/>
      <w:marRight w:val="0"/>
      <w:marTop w:val="0"/>
      <w:marBottom w:val="0"/>
      <w:divBdr>
        <w:top w:val="none" w:sz="0" w:space="0" w:color="auto"/>
        <w:left w:val="none" w:sz="0" w:space="0" w:color="auto"/>
        <w:bottom w:val="none" w:sz="0" w:space="0" w:color="auto"/>
        <w:right w:val="none" w:sz="0" w:space="0" w:color="auto"/>
      </w:divBdr>
    </w:div>
    <w:div w:id="1703364185">
      <w:bodyDiv w:val="1"/>
      <w:marLeft w:val="0"/>
      <w:marRight w:val="0"/>
      <w:marTop w:val="0"/>
      <w:marBottom w:val="0"/>
      <w:divBdr>
        <w:top w:val="none" w:sz="0" w:space="0" w:color="auto"/>
        <w:left w:val="none" w:sz="0" w:space="0" w:color="auto"/>
        <w:bottom w:val="none" w:sz="0" w:space="0" w:color="auto"/>
        <w:right w:val="none" w:sz="0" w:space="0" w:color="auto"/>
      </w:divBdr>
    </w:div>
    <w:div w:id="1742605326">
      <w:bodyDiv w:val="1"/>
      <w:marLeft w:val="0"/>
      <w:marRight w:val="0"/>
      <w:marTop w:val="0"/>
      <w:marBottom w:val="0"/>
      <w:divBdr>
        <w:top w:val="none" w:sz="0" w:space="0" w:color="auto"/>
        <w:left w:val="none" w:sz="0" w:space="0" w:color="auto"/>
        <w:bottom w:val="none" w:sz="0" w:space="0" w:color="auto"/>
        <w:right w:val="none" w:sz="0" w:space="0" w:color="auto"/>
      </w:divBdr>
    </w:div>
    <w:div w:id="1749958768">
      <w:bodyDiv w:val="1"/>
      <w:marLeft w:val="0"/>
      <w:marRight w:val="0"/>
      <w:marTop w:val="0"/>
      <w:marBottom w:val="0"/>
      <w:divBdr>
        <w:top w:val="none" w:sz="0" w:space="0" w:color="auto"/>
        <w:left w:val="none" w:sz="0" w:space="0" w:color="auto"/>
        <w:bottom w:val="none" w:sz="0" w:space="0" w:color="auto"/>
        <w:right w:val="none" w:sz="0" w:space="0" w:color="auto"/>
      </w:divBdr>
    </w:div>
    <w:div w:id="1752308197">
      <w:bodyDiv w:val="1"/>
      <w:marLeft w:val="0"/>
      <w:marRight w:val="0"/>
      <w:marTop w:val="0"/>
      <w:marBottom w:val="0"/>
      <w:divBdr>
        <w:top w:val="none" w:sz="0" w:space="0" w:color="auto"/>
        <w:left w:val="none" w:sz="0" w:space="0" w:color="auto"/>
        <w:bottom w:val="none" w:sz="0" w:space="0" w:color="auto"/>
        <w:right w:val="none" w:sz="0" w:space="0" w:color="auto"/>
      </w:divBdr>
    </w:div>
    <w:div w:id="1757629412">
      <w:bodyDiv w:val="1"/>
      <w:marLeft w:val="0"/>
      <w:marRight w:val="0"/>
      <w:marTop w:val="0"/>
      <w:marBottom w:val="0"/>
      <w:divBdr>
        <w:top w:val="none" w:sz="0" w:space="0" w:color="auto"/>
        <w:left w:val="none" w:sz="0" w:space="0" w:color="auto"/>
        <w:bottom w:val="none" w:sz="0" w:space="0" w:color="auto"/>
        <w:right w:val="none" w:sz="0" w:space="0" w:color="auto"/>
      </w:divBdr>
    </w:div>
    <w:div w:id="1757825271">
      <w:bodyDiv w:val="1"/>
      <w:marLeft w:val="0"/>
      <w:marRight w:val="0"/>
      <w:marTop w:val="0"/>
      <w:marBottom w:val="0"/>
      <w:divBdr>
        <w:top w:val="none" w:sz="0" w:space="0" w:color="auto"/>
        <w:left w:val="none" w:sz="0" w:space="0" w:color="auto"/>
        <w:bottom w:val="none" w:sz="0" w:space="0" w:color="auto"/>
        <w:right w:val="none" w:sz="0" w:space="0" w:color="auto"/>
      </w:divBdr>
    </w:div>
    <w:div w:id="1768844700">
      <w:bodyDiv w:val="1"/>
      <w:marLeft w:val="0"/>
      <w:marRight w:val="0"/>
      <w:marTop w:val="0"/>
      <w:marBottom w:val="0"/>
      <w:divBdr>
        <w:top w:val="none" w:sz="0" w:space="0" w:color="auto"/>
        <w:left w:val="none" w:sz="0" w:space="0" w:color="auto"/>
        <w:bottom w:val="none" w:sz="0" w:space="0" w:color="auto"/>
        <w:right w:val="none" w:sz="0" w:space="0" w:color="auto"/>
      </w:divBdr>
    </w:div>
    <w:div w:id="1770928263">
      <w:bodyDiv w:val="1"/>
      <w:marLeft w:val="0"/>
      <w:marRight w:val="0"/>
      <w:marTop w:val="0"/>
      <w:marBottom w:val="0"/>
      <w:divBdr>
        <w:top w:val="none" w:sz="0" w:space="0" w:color="auto"/>
        <w:left w:val="none" w:sz="0" w:space="0" w:color="auto"/>
        <w:bottom w:val="none" w:sz="0" w:space="0" w:color="auto"/>
        <w:right w:val="none" w:sz="0" w:space="0" w:color="auto"/>
      </w:divBdr>
    </w:div>
    <w:div w:id="1772972109">
      <w:bodyDiv w:val="1"/>
      <w:marLeft w:val="0"/>
      <w:marRight w:val="0"/>
      <w:marTop w:val="0"/>
      <w:marBottom w:val="0"/>
      <w:divBdr>
        <w:top w:val="none" w:sz="0" w:space="0" w:color="auto"/>
        <w:left w:val="none" w:sz="0" w:space="0" w:color="auto"/>
        <w:bottom w:val="none" w:sz="0" w:space="0" w:color="auto"/>
        <w:right w:val="none" w:sz="0" w:space="0" w:color="auto"/>
      </w:divBdr>
    </w:div>
    <w:div w:id="1776972215">
      <w:bodyDiv w:val="1"/>
      <w:marLeft w:val="0"/>
      <w:marRight w:val="0"/>
      <w:marTop w:val="0"/>
      <w:marBottom w:val="0"/>
      <w:divBdr>
        <w:top w:val="none" w:sz="0" w:space="0" w:color="auto"/>
        <w:left w:val="none" w:sz="0" w:space="0" w:color="auto"/>
        <w:bottom w:val="none" w:sz="0" w:space="0" w:color="auto"/>
        <w:right w:val="none" w:sz="0" w:space="0" w:color="auto"/>
      </w:divBdr>
    </w:div>
    <w:div w:id="1793862087">
      <w:bodyDiv w:val="1"/>
      <w:marLeft w:val="0"/>
      <w:marRight w:val="0"/>
      <w:marTop w:val="0"/>
      <w:marBottom w:val="0"/>
      <w:divBdr>
        <w:top w:val="none" w:sz="0" w:space="0" w:color="auto"/>
        <w:left w:val="none" w:sz="0" w:space="0" w:color="auto"/>
        <w:bottom w:val="none" w:sz="0" w:space="0" w:color="auto"/>
        <w:right w:val="none" w:sz="0" w:space="0" w:color="auto"/>
      </w:divBdr>
    </w:div>
    <w:div w:id="1795828601">
      <w:bodyDiv w:val="1"/>
      <w:marLeft w:val="0"/>
      <w:marRight w:val="0"/>
      <w:marTop w:val="0"/>
      <w:marBottom w:val="0"/>
      <w:divBdr>
        <w:top w:val="none" w:sz="0" w:space="0" w:color="auto"/>
        <w:left w:val="none" w:sz="0" w:space="0" w:color="auto"/>
        <w:bottom w:val="none" w:sz="0" w:space="0" w:color="auto"/>
        <w:right w:val="none" w:sz="0" w:space="0" w:color="auto"/>
      </w:divBdr>
    </w:div>
    <w:div w:id="1844857683">
      <w:bodyDiv w:val="1"/>
      <w:marLeft w:val="0"/>
      <w:marRight w:val="0"/>
      <w:marTop w:val="0"/>
      <w:marBottom w:val="0"/>
      <w:divBdr>
        <w:top w:val="none" w:sz="0" w:space="0" w:color="auto"/>
        <w:left w:val="none" w:sz="0" w:space="0" w:color="auto"/>
        <w:bottom w:val="none" w:sz="0" w:space="0" w:color="auto"/>
        <w:right w:val="none" w:sz="0" w:space="0" w:color="auto"/>
      </w:divBdr>
    </w:div>
    <w:div w:id="1855611255">
      <w:bodyDiv w:val="1"/>
      <w:marLeft w:val="0"/>
      <w:marRight w:val="0"/>
      <w:marTop w:val="0"/>
      <w:marBottom w:val="0"/>
      <w:divBdr>
        <w:top w:val="none" w:sz="0" w:space="0" w:color="auto"/>
        <w:left w:val="none" w:sz="0" w:space="0" w:color="auto"/>
        <w:bottom w:val="none" w:sz="0" w:space="0" w:color="auto"/>
        <w:right w:val="none" w:sz="0" w:space="0" w:color="auto"/>
      </w:divBdr>
    </w:div>
    <w:div w:id="1858301824">
      <w:bodyDiv w:val="1"/>
      <w:marLeft w:val="0"/>
      <w:marRight w:val="0"/>
      <w:marTop w:val="0"/>
      <w:marBottom w:val="0"/>
      <w:divBdr>
        <w:top w:val="none" w:sz="0" w:space="0" w:color="auto"/>
        <w:left w:val="none" w:sz="0" w:space="0" w:color="auto"/>
        <w:bottom w:val="none" w:sz="0" w:space="0" w:color="auto"/>
        <w:right w:val="none" w:sz="0" w:space="0" w:color="auto"/>
      </w:divBdr>
    </w:div>
    <w:div w:id="1866403886">
      <w:bodyDiv w:val="1"/>
      <w:marLeft w:val="0"/>
      <w:marRight w:val="0"/>
      <w:marTop w:val="0"/>
      <w:marBottom w:val="0"/>
      <w:divBdr>
        <w:top w:val="none" w:sz="0" w:space="0" w:color="auto"/>
        <w:left w:val="none" w:sz="0" w:space="0" w:color="auto"/>
        <w:bottom w:val="none" w:sz="0" w:space="0" w:color="auto"/>
        <w:right w:val="none" w:sz="0" w:space="0" w:color="auto"/>
      </w:divBdr>
    </w:div>
    <w:div w:id="1867016346">
      <w:bodyDiv w:val="1"/>
      <w:marLeft w:val="0"/>
      <w:marRight w:val="0"/>
      <w:marTop w:val="0"/>
      <w:marBottom w:val="0"/>
      <w:divBdr>
        <w:top w:val="none" w:sz="0" w:space="0" w:color="auto"/>
        <w:left w:val="none" w:sz="0" w:space="0" w:color="auto"/>
        <w:bottom w:val="none" w:sz="0" w:space="0" w:color="auto"/>
        <w:right w:val="none" w:sz="0" w:space="0" w:color="auto"/>
      </w:divBdr>
    </w:div>
    <w:div w:id="1885410310">
      <w:bodyDiv w:val="1"/>
      <w:marLeft w:val="0"/>
      <w:marRight w:val="0"/>
      <w:marTop w:val="0"/>
      <w:marBottom w:val="0"/>
      <w:divBdr>
        <w:top w:val="none" w:sz="0" w:space="0" w:color="auto"/>
        <w:left w:val="none" w:sz="0" w:space="0" w:color="auto"/>
        <w:bottom w:val="none" w:sz="0" w:space="0" w:color="auto"/>
        <w:right w:val="none" w:sz="0" w:space="0" w:color="auto"/>
      </w:divBdr>
    </w:div>
    <w:div w:id="1898584172">
      <w:bodyDiv w:val="1"/>
      <w:marLeft w:val="0"/>
      <w:marRight w:val="0"/>
      <w:marTop w:val="0"/>
      <w:marBottom w:val="0"/>
      <w:divBdr>
        <w:top w:val="none" w:sz="0" w:space="0" w:color="auto"/>
        <w:left w:val="none" w:sz="0" w:space="0" w:color="auto"/>
        <w:bottom w:val="none" w:sz="0" w:space="0" w:color="auto"/>
        <w:right w:val="none" w:sz="0" w:space="0" w:color="auto"/>
      </w:divBdr>
    </w:div>
    <w:div w:id="1916207680">
      <w:bodyDiv w:val="1"/>
      <w:marLeft w:val="0"/>
      <w:marRight w:val="0"/>
      <w:marTop w:val="0"/>
      <w:marBottom w:val="0"/>
      <w:divBdr>
        <w:top w:val="none" w:sz="0" w:space="0" w:color="auto"/>
        <w:left w:val="none" w:sz="0" w:space="0" w:color="auto"/>
        <w:bottom w:val="none" w:sz="0" w:space="0" w:color="auto"/>
        <w:right w:val="none" w:sz="0" w:space="0" w:color="auto"/>
      </w:divBdr>
    </w:div>
    <w:div w:id="1919702817">
      <w:bodyDiv w:val="1"/>
      <w:marLeft w:val="0"/>
      <w:marRight w:val="0"/>
      <w:marTop w:val="0"/>
      <w:marBottom w:val="0"/>
      <w:divBdr>
        <w:top w:val="none" w:sz="0" w:space="0" w:color="auto"/>
        <w:left w:val="none" w:sz="0" w:space="0" w:color="auto"/>
        <w:bottom w:val="none" w:sz="0" w:space="0" w:color="auto"/>
        <w:right w:val="none" w:sz="0" w:space="0" w:color="auto"/>
      </w:divBdr>
    </w:div>
    <w:div w:id="1936395655">
      <w:bodyDiv w:val="1"/>
      <w:marLeft w:val="0"/>
      <w:marRight w:val="0"/>
      <w:marTop w:val="0"/>
      <w:marBottom w:val="0"/>
      <w:divBdr>
        <w:top w:val="none" w:sz="0" w:space="0" w:color="auto"/>
        <w:left w:val="none" w:sz="0" w:space="0" w:color="auto"/>
        <w:bottom w:val="none" w:sz="0" w:space="0" w:color="auto"/>
        <w:right w:val="none" w:sz="0" w:space="0" w:color="auto"/>
      </w:divBdr>
    </w:div>
    <w:div w:id="1971591014">
      <w:bodyDiv w:val="1"/>
      <w:marLeft w:val="0"/>
      <w:marRight w:val="0"/>
      <w:marTop w:val="0"/>
      <w:marBottom w:val="0"/>
      <w:divBdr>
        <w:top w:val="none" w:sz="0" w:space="0" w:color="auto"/>
        <w:left w:val="none" w:sz="0" w:space="0" w:color="auto"/>
        <w:bottom w:val="none" w:sz="0" w:space="0" w:color="auto"/>
        <w:right w:val="none" w:sz="0" w:space="0" w:color="auto"/>
      </w:divBdr>
    </w:div>
    <w:div w:id="1973749099">
      <w:bodyDiv w:val="1"/>
      <w:marLeft w:val="0"/>
      <w:marRight w:val="0"/>
      <w:marTop w:val="0"/>
      <w:marBottom w:val="0"/>
      <w:divBdr>
        <w:top w:val="none" w:sz="0" w:space="0" w:color="auto"/>
        <w:left w:val="none" w:sz="0" w:space="0" w:color="auto"/>
        <w:bottom w:val="none" w:sz="0" w:space="0" w:color="auto"/>
        <w:right w:val="none" w:sz="0" w:space="0" w:color="auto"/>
      </w:divBdr>
    </w:div>
    <w:div w:id="1993825108">
      <w:bodyDiv w:val="1"/>
      <w:marLeft w:val="0"/>
      <w:marRight w:val="0"/>
      <w:marTop w:val="0"/>
      <w:marBottom w:val="0"/>
      <w:divBdr>
        <w:top w:val="none" w:sz="0" w:space="0" w:color="auto"/>
        <w:left w:val="none" w:sz="0" w:space="0" w:color="auto"/>
        <w:bottom w:val="none" w:sz="0" w:space="0" w:color="auto"/>
        <w:right w:val="none" w:sz="0" w:space="0" w:color="auto"/>
      </w:divBdr>
    </w:div>
    <w:div w:id="2007587810">
      <w:bodyDiv w:val="1"/>
      <w:marLeft w:val="0"/>
      <w:marRight w:val="0"/>
      <w:marTop w:val="0"/>
      <w:marBottom w:val="0"/>
      <w:divBdr>
        <w:top w:val="none" w:sz="0" w:space="0" w:color="auto"/>
        <w:left w:val="none" w:sz="0" w:space="0" w:color="auto"/>
        <w:bottom w:val="none" w:sz="0" w:space="0" w:color="auto"/>
        <w:right w:val="none" w:sz="0" w:space="0" w:color="auto"/>
      </w:divBdr>
    </w:div>
    <w:div w:id="2016956355">
      <w:bodyDiv w:val="1"/>
      <w:marLeft w:val="0"/>
      <w:marRight w:val="0"/>
      <w:marTop w:val="0"/>
      <w:marBottom w:val="0"/>
      <w:divBdr>
        <w:top w:val="none" w:sz="0" w:space="0" w:color="auto"/>
        <w:left w:val="none" w:sz="0" w:space="0" w:color="auto"/>
        <w:bottom w:val="none" w:sz="0" w:space="0" w:color="auto"/>
        <w:right w:val="none" w:sz="0" w:space="0" w:color="auto"/>
      </w:divBdr>
    </w:div>
    <w:div w:id="2019577573">
      <w:bodyDiv w:val="1"/>
      <w:marLeft w:val="0"/>
      <w:marRight w:val="0"/>
      <w:marTop w:val="0"/>
      <w:marBottom w:val="0"/>
      <w:divBdr>
        <w:top w:val="none" w:sz="0" w:space="0" w:color="auto"/>
        <w:left w:val="none" w:sz="0" w:space="0" w:color="auto"/>
        <w:bottom w:val="none" w:sz="0" w:space="0" w:color="auto"/>
        <w:right w:val="none" w:sz="0" w:space="0" w:color="auto"/>
      </w:divBdr>
    </w:div>
    <w:div w:id="2031636751">
      <w:bodyDiv w:val="1"/>
      <w:marLeft w:val="0"/>
      <w:marRight w:val="0"/>
      <w:marTop w:val="0"/>
      <w:marBottom w:val="0"/>
      <w:divBdr>
        <w:top w:val="none" w:sz="0" w:space="0" w:color="auto"/>
        <w:left w:val="none" w:sz="0" w:space="0" w:color="auto"/>
        <w:bottom w:val="none" w:sz="0" w:space="0" w:color="auto"/>
        <w:right w:val="none" w:sz="0" w:space="0" w:color="auto"/>
      </w:divBdr>
    </w:div>
    <w:div w:id="2035770360">
      <w:bodyDiv w:val="1"/>
      <w:marLeft w:val="0"/>
      <w:marRight w:val="0"/>
      <w:marTop w:val="0"/>
      <w:marBottom w:val="0"/>
      <w:divBdr>
        <w:top w:val="none" w:sz="0" w:space="0" w:color="auto"/>
        <w:left w:val="none" w:sz="0" w:space="0" w:color="auto"/>
        <w:bottom w:val="none" w:sz="0" w:space="0" w:color="auto"/>
        <w:right w:val="none" w:sz="0" w:space="0" w:color="auto"/>
      </w:divBdr>
    </w:div>
    <w:div w:id="2038845098">
      <w:bodyDiv w:val="1"/>
      <w:marLeft w:val="0"/>
      <w:marRight w:val="0"/>
      <w:marTop w:val="0"/>
      <w:marBottom w:val="0"/>
      <w:divBdr>
        <w:top w:val="none" w:sz="0" w:space="0" w:color="auto"/>
        <w:left w:val="none" w:sz="0" w:space="0" w:color="auto"/>
        <w:bottom w:val="none" w:sz="0" w:space="0" w:color="auto"/>
        <w:right w:val="none" w:sz="0" w:space="0" w:color="auto"/>
      </w:divBdr>
    </w:div>
    <w:div w:id="20597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3.epa.gov/enviro/facts/sdwis/search.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ulation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file:///\\betfilesrv02\redirected$\peppingt\Desktop\Task%203%20ICR\www.regulations.gov" TargetMode="External"/><Relationship Id="rId10" Type="http://schemas.openxmlformats.org/officeDocument/2006/relationships/webSettings" Target="webSettings.xml"/><Relationship Id="rId19" Type="http://schemas.openxmlformats.org/officeDocument/2006/relationships/hyperlink" Target="https://www.regulatio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a.gov/tribal/consultation/index.htm" TargetMode="External"/><Relationship Id="rId2" Type="http://schemas.openxmlformats.org/officeDocument/2006/relationships/hyperlink" Target="https://www.epa.gov/dwstandardsregulations/ndwac-recommendations-administrator-long-term-revisions-lead-and-copper-rule" TargetMode="External"/><Relationship Id="rId1" Type="http://schemas.openxmlformats.org/officeDocument/2006/relationships/hyperlink" Target="https://www.epa.gov/dwstandardsregulations/lcr-federalism-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E752BF853114694BD2A5D25F3F877" ma:contentTypeVersion="15" ma:contentTypeDescription="Create a new document." ma:contentTypeScope="" ma:versionID="03ff367b2e3c371a86cd7f8fb6a62fa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97fbc9a-5f39-46cd-bc59-88b2fe732d98" xmlns:ns7="18b69c93-cd67-44ef-a4e3-402dc337c189" targetNamespace="http://schemas.microsoft.com/office/2006/metadata/properties" ma:root="true" ma:fieldsID="58506b43061b78847f3caf330eedff81" ns1:_="" ns3:_="" ns4:_="" ns5:_="" ns6:_="" ns7:_="">
    <xsd:import namespace="http://schemas.microsoft.com/sharepoint/v3"/>
    <xsd:import namespace="4ffa91fb-a0ff-4ac5-b2db-65c790d184a4"/>
    <xsd:import namespace="http://schemas.microsoft.com/sharepoint.v3"/>
    <xsd:import namespace="http://schemas.microsoft.com/sharepoint/v3/fields"/>
    <xsd:import namespace="d97fbc9a-5f39-46cd-bc59-88b2fe732d98"/>
    <xsd:import namespace="18b69c93-cd67-44ef-a4e3-402dc337c18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7:Records_x0020_Status" minOccurs="0"/>
                <xsd:element ref="ns7:Records_x0020_Date"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7c0059-3c39-4237-8025-65d4c54ce91d}" ma:internalName="TaxCatchAllLabel" ma:readOnly="true" ma:showField="CatchAllDataLabel" ma:web="18b69c93-cd67-44ef-a4e3-402dc337c18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7c0059-3c39-4237-8025-65d4c54ce91d}" ma:internalName="TaxCatchAll" ma:showField="CatchAllData" ma:web="18b69c93-cd67-44ef-a4e3-402dc337c1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7fbc9a-5f39-46cd-bc59-88b2fe732d98"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69c93-cd67-44ef-a4e3-402dc337c189" elementFormDefault="qualified">
    <xsd:import namespace="http://schemas.microsoft.com/office/2006/documentManagement/types"/>
    <xsd:import namespace="http://schemas.microsoft.com/office/infopath/2007/PartnerControls"/>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18b69c93-cd67-44ef-a4e3-402dc337c189">Pending</Records_x0020_Status>
    <TaxKeywordTaxHTField xmlns="4ffa91fb-a0ff-4ac5-b2db-65c790d184a4">
      <Terms xmlns="http://schemas.microsoft.com/office/infopath/2007/PartnerControls"/>
    </TaxKeywordTaxHTField>
    <Record xmlns="4ffa91fb-a0ff-4ac5-b2db-65c790d184a4">Shared</Record>
    <Records_x0020_Date xmlns="18b69c93-cd67-44ef-a4e3-402dc337c189" xsi:nil="true"/>
    <Rights xmlns="4ffa91fb-a0ff-4ac5-b2db-65c790d184a4" xsi:nil="true"/>
    <Document_x0020_Creation_x0020_Date xmlns="4ffa91fb-a0ff-4ac5-b2db-65c790d184a4">2019-10-28T20:28:13+00:00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FB0AF-0D24-4C45-848C-31BE3D150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97fbc9a-5f39-46cd-bc59-88b2fe732d98"/>
    <ds:schemaRef ds:uri="18b69c93-cd67-44ef-a4e3-402dc337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B512F-0BE9-4CD9-9027-1775CAB5C19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8b69c93-cd67-44ef-a4e3-402dc337c189"/>
    <ds:schemaRef ds:uri="http://schemas.microsoft.com/sharepoint.v3"/>
  </ds:schemaRefs>
</ds:datastoreItem>
</file>

<file path=customXml/itemProps3.xml><?xml version="1.0" encoding="utf-8"?>
<ds:datastoreItem xmlns:ds="http://schemas.openxmlformats.org/officeDocument/2006/customXml" ds:itemID="{2860DD1E-6925-469A-847F-89A4D2F84756}">
  <ds:schemaRefs>
    <ds:schemaRef ds:uri="http://schemas.microsoft.com/sharepoint/v3/contenttype/forms"/>
  </ds:schemaRefs>
</ds:datastoreItem>
</file>

<file path=customXml/itemProps4.xml><?xml version="1.0" encoding="utf-8"?>
<ds:datastoreItem xmlns:ds="http://schemas.openxmlformats.org/officeDocument/2006/customXml" ds:itemID="{95F3E95E-4608-4262-B054-47E807051379}">
  <ds:schemaRefs>
    <ds:schemaRef ds:uri="Microsoft.SharePoint.Taxonomy.ContentTypeSync"/>
  </ds:schemaRefs>
</ds:datastoreItem>
</file>

<file path=customXml/itemProps5.xml><?xml version="1.0" encoding="utf-8"?>
<ds:datastoreItem xmlns:ds="http://schemas.openxmlformats.org/officeDocument/2006/customXml" ds:itemID="{7D50662F-181E-4183-8B14-696D9CEE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14889</Words>
  <Characters>84871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Environomics</Company>
  <LinksUpToDate>false</LinksUpToDate>
  <CharactersWithSpaces>99561</CharactersWithSpaces>
  <SharedDoc>false</SharedDoc>
  <HLinks>
    <vt:vector size="228" baseType="variant">
      <vt:variant>
        <vt:i4>3342352</vt:i4>
      </vt:variant>
      <vt:variant>
        <vt:i4>224</vt:i4>
      </vt:variant>
      <vt:variant>
        <vt:i4>0</vt:i4>
      </vt:variant>
      <vt:variant>
        <vt:i4>5</vt:i4>
      </vt:variant>
      <vt:variant>
        <vt:lpwstr>http://www.epa.gov/safewater/lcrmr/pdfs/summary_lcmr_review_lead_line_replacement_workshop_10-26-04.pdf</vt:lpwstr>
      </vt:variant>
      <vt:variant>
        <vt:lpwstr/>
      </vt:variant>
      <vt:variant>
        <vt:i4>2490472</vt:i4>
      </vt:variant>
      <vt:variant>
        <vt:i4>221</vt:i4>
      </vt:variant>
      <vt:variant>
        <vt:i4>0</vt:i4>
      </vt:variant>
      <vt:variant>
        <vt:i4>5</vt:i4>
      </vt:variant>
      <vt:variant>
        <vt:lpwstr>http://www.epa.gov/safewater/data/pivottables.html</vt:lpwstr>
      </vt:variant>
      <vt:variant>
        <vt:lpwstr/>
      </vt:variant>
      <vt:variant>
        <vt:i4>1245238</vt:i4>
      </vt:variant>
      <vt:variant>
        <vt:i4>212</vt:i4>
      </vt:variant>
      <vt:variant>
        <vt:i4>0</vt:i4>
      </vt:variant>
      <vt:variant>
        <vt:i4>5</vt:i4>
      </vt:variant>
      <vt:variant>
        <vt:lpwstr/>
      </vt:variant>
      <vt:variant>
        <vt:lpwstr>_Toc160872081</vt:lpwstr>
      </vt:variant>
      <vt:variant>
        <vt:i4>1245238</vt:i4>
      </vt:variant>
      <vt:variant>
        <vt:i4>206</vt:i4>
      </vt:variant>
      <vt:variant>
        <vt:i4>0</vt:i4>
      </vt:variant>
      <vt:variant>
        <vt:i4>5</vt:i4>
      </vt:variant>
      <vt:variant>
        <vt:lpwstr/>
      </vt:variant>
      <vt:variant>
        <vt:lpwstr>_Toc160872080</vt:lpwstr>
      </vt:variant>
      <vt:variant>
        <vt:i4>1835062</vt:i4>
      </vt:variant>
      <vt:variant>
        <vt:i4>200</vt:i4>
      </vt:variant>
      <vt:variant>
        <vt:i4>0</vt:i4>
      </vt:variant>
      <vt:variant>
        <vt:i4>5</vt:i4>
      </vt:variant>
      <vt:variant>
        <vt:lpwstr/>
      </vt:variant>
      <vt:variant>
        <vt:lpwstr>_Toc160872079</vt:lpwstr>
      </vt:variant>
      <vt:variant>
        <vt:i4>1835062</vt:i4>
      </vt:variant>
      <vt:variant>
        <vt:i4>194</vt:i4>
      </vt:variant>
      <vt:variant>
        <vt:i4>0</vt:i4>
      </vt:variant>
      <vt:variant>
        <vt:i4>5</vt:i4>
      </vt:variant>
      <vt:variant>
        <vt:lpwstr/>
      </vt:variant>
      <vt:variant>
        <vt:lpwstr>_Toc160872078</vt:lpwstr>
      </vt:variant>
      <vt:variant>
        <vt:i4>1835062</vt:i4>
      </vt:variant>
      <vt:variant>
        <vt:i4>188</vt:i4>
      </vt:variant>
      <vt:variant>
        <vt:i4>0</vt:i4>
      </vt:variant>
      <vt:variant>
        <vt:i4>5</vt:i4>
      </vt:variant>
      <vt:variant>
        <vt:lpwstr/>
      </vt:variant>
      <vt:variant>
        <vt:lpwstr>_Toc160872077</vt:lpwstr>
      </vt:variant>
      <vt:variant>
        <vt:i4>1835062</vt:i4>
      </vt:variant>
      <vt:variant>
        <vt:i4>182</vt:i4>
      </vt:variant>
      <vt:variant>
        <vt:i4>0</vt:i4>
      </vt:variant>
      <vt:variant>
        <vt:i4>5</vt:i4>
      </vt:variant>
      <vt:variant>
        <vt:lpwstr/>
      </vt:variant>
      <vt:variant>
        <vt:lpwstr>_Toc160872076</vt:lpwstr>
      </vt:variant>
      <vt:variant>
        <vt:i4>1835062</vt:i4>
      </vt:variant>
      <vt:variant>
        <vt:i4>176</vt:i4>
      </vt:variant>
      <vt:variant>
        <vt:i4>0</vt:i4>
      </vt:variant>
      <vt:variant>
        <vt:i4>5</vt:i4>
      </vt:variant>
      <vt:variant>
        <vt:lpwstr/>
      </vt:variant>
      <vt:variant>
        <vt:lpwstr>_Toc160872075</vt:lpwstr>
      </vt:variant>
      <vt:variant>
        <vt:i4>1835062</vt:i4>
      </vt:variant>
      <vt:variant>
        <vt:i4>170</vt:i4>
      </vt:variant>
      <vt:variant>
        <vt:i4>0</vt:i4>
      </vt:variant>
      <vt:variant>
        <vt:i4>5</vt:i4>
      </vt:variant>
      <vt:variant>
        <vt:lpwstr/>
      </vt:variant>
      <vt:variant>
        <vt:lpwstr>_Toc160872074</vt:lpwstr>
      </vt:variant>
      <vt:variant>
        <vt:i4>1835062</vt:i4>
      </vt:variant>
      <vt:variant>
        <vt:i4>164</vt:i4>
      </vt:variant>
      <vt:variant>
        <vt:i4>0</vt:i4>
      </vt:variant>
      <vt:variant>
        <vt:i4>5</vt:i4>
      </vt:variant>
      <vt:variant>
        <vt:lpwstr/>
      </vt:variant>
      <vt:variant>
        <vt:lpwstr>_Toc160872073</vt:lpwstr>
      </vt:variant>
      <vt:variant>
        <vt:i4>1835062</vt:i4>
      </vt:variant>
      <vt:variant>
        <vt:i4>158</vt:i4>
      </vt:variant>
      <vt:variant>
        <vt:i4>0</vt:i4>
      </vt:variant>
      <vt:variant>
        <vt:i4>5</vt:i4>
      </vt:variant>
      <vt:variant>
        <vt:lpwstr/>
      </vt:variant>
      <vt:variant>
        <vt:lpwstr>_Toc160872072</vt:lpwstr>
      </vt:variant>
      <vt:variant>
        <vt:i4>1835062</vt:i4>
      </vt:variant>
      <vt:variant>
        <vt:i4>152</vt:i4>
      </vt:variant>
      <vt:variant>
        <vt:i4>0</vt:i4>
      </vt:variant>
      <vt:variant>
        <vt:i4>5</vt:i4>
      </vt:variant>
      <vt:variant>
        <vt:lpwstr/>
      </vt:variant>
      <vt:variant>
        <vt:lpwstr>_Toc160872071</vt:lpwstr>
      </vt:variant>
      <vt:variant>
        <vt:i4>1835062</vt:i4>
      </vt:variant>
      <vt:variant>
        <vt:i4>146</vt:i4>
      </vt:variant>
      <vt:variant>
        <vt:i4>0</vt:i4>
      </vt:variant>
      <vt:variant>
        <vt:i4>5</vt:i4>
      </vt:variant>
      <vt:variant>
        <vt:lpwstr/>
      </vt:variant>
      <vt:variant>
        <vt:lpwstr>_Toc160872070</vt:lpwstr>
      </vt:variant>
      <vt:variant>
        <vt:i4>1900598</vt:i4>
      </vt:variant>
      <vt:variant>
        <vt:i4>140</vt:i4>
      </vt:variant>
      <vt:variant>
        <vt:i4>0</vt:i4>
      </vt:variant>
      <vt:variant>
        <vt:i4>5</vt:i4>
      </vt:variant>
      <vt:variant>
        <vt:lpwstr/>
      </vt:variant>
      <vt:variant>
        <vt:lpwstr>_Toc160872069</vt:lpwstr>
      </vt:variant>
      <vt:variant>
        <vt:i4>1900598</vt:i4>
      </vt:variant>
      <vt:variant>
        <vt:i4>134</vt:i4>
      </vt:variant>
      <vt:variant>
        <vt:i4>0</vt:i4>
      </vt:variant>
      <vt:variant>
        <vt:i4>5</vt:i4>
      </vt:variant>
      <vt:variant>
        <vt:lpwstr/>
      </vt:variant>
      <vt:variant>
        <vt:lpwstr>_Toc160872068</vt:lpwstr>
      </vt:variant>
      <vt:variant>
        <vt:i4>1900598</vt:i4>
      </vt:variant>
      <vt:variant>
        <vt:i4>128</vt:i4>
      </vt:variant>
      <vt:variant>
        <vt:i4>0</vt:i4>
      </vt:variant>
      <vt:variant>
        <vt:i4>5</vt:i4>
      </vt:variant>
      <vt:variant>
        <vt:lpwstr/>
      </vt:variant>
      <vt:variant>
        <vt:lpwstr>_Toc160872067</vt:lpwstr>
      </vt:variant>
      <vt:variant>
        <vt:i4>1900598</vt:i4>
      </vt:variant>
      <vt:variant>
        <vt:i4>122</vt:i4>
      </vt:variant>
      <vt:variant>
        <vt:i4>0</vt:i4>
      </vt:variant>
      <vt:variant>
        <vt:i4>5</vt:i4>
      </vt:variant>
      <vt:variant>
        <vt:lpwstr/>
      </vt:variant>
      <vt:variant>
        <vt:lpwstr>_Toc160872066</vt:lpwstr>
      </vt:variant>
      <vt:variant>
        <vt:i4>1900598</vt:i4>
      </vt:variant>
      <vt:variant>
        <vt:i4>116</vt:i4>
      </vt:variant>
      <vt:variant>
        <vt:i4>0</vt:i4>
      </vt:variant>
      <vt:variant>
        <vt:i4>5</vt:i4>
      </vt:variant>
      <vt:variant>
        <vt:lpwstr/>
      </vt:variant>
      <vt:variant>
        <vt:lpwstr>_Toc160872065</vt:lpwstr>
      </vt:variant>
      <vt:variant>
        <vt:i4>1900598</vt:i4>
      </vt:variant>
      <vt:variant>
        <vt:i4>110</vt:i4>
      </vt:variant>
      <vt:variant>
        <vt:i4>0</vt:i4>
      </vt:variant>
      <vt:variant>
        <vt:i4>5</vt:i4>
      </vt:variant>
      <vt:variant>
        <vt:lpwstr/>
      </vt:variant>
      <vt:variant>
        <vt:lpwstr>_Toc160872064</vt:lpwstr>
      </vt:variant>
      <vt:variant>
        <vt:i4>1900598</vt:i4>
      </vt:variant>
      <vt:variant>
        <vt:i4>104</vt:i4>
      </vt:variant>
      <vt:variant>
        <vt:i4>0</vt:i4>
      </vt:variant>
      <vt:variant>
        <vt:i4>5</vt:i4>
      </vt:variant>
      <vt:variant>
        <vt:lpwstr/>
      </vt:variant>
      <vt:variant>
        <vt:lpwstr>_Toc160872063</vt:lpwstr>
      </vt:variant>
      <vt:variant>
        <vt:i4>1900598</vt:i4>
      </vt:variant>
      <vt:variant>
        <vt:i4>98</vt:i4>
      </vt:variant>
      <vt:variant>
        <vt:i4>0</vt:i4>
      </vt:variant>
      <vt:variant>
        <vt:i4>5</vt:i4>
      </vt:variant>
      <vt:variant>
        <vt:lpwstr/>
      </vt:variant>
      <vt:variant>
        <vt:lpwstr>_Toc160872062</vt:lpwstr>
      </vt:variant>
      <vt:variant>
        <vt:i4>1900598</vt:i4>
      </vt:variant>
      <vt:variant>
        <vt:i4>92</vt:i4>
      </vt:variant>
      <vt:variant>
        <vt:i4>0</vt:i4>
      </vt:variant>
      <vt:variant>
        <vt:i4>5</vt:i4>
      </vt:variant>
      <vt:variant>
        <vt:lpwstr/>
      </vt:variant>
      <vt:variant>
        <vt:lpwstr>_Toc160872061</vt:lpwstr>
      </vt:variant>
      <vt:variant>
        <vt:i4>1900598</vt:i4>
      </vt:variant>
      <vt:variant>
        <vt:i4>86</vt:i4>
      </vt:variant>
      <vt:variant>
        <vt:i4>0</vt:i4>
      </vt:variant>
      <vt:variant>
        <vt:i4>5</vt:i4>
      </vt:variant>
      <vt:variant>
        <vt:lpwstr/>
      </vt:variant>
      <vt:variant>
        <vt:lpwstr>_Toc160872060</vt:lpwstr>
      </vt:variant>
      <vt:variant>
        <vt:i4>1966134</vt:i4>
      </vt:variant>
      <vt:variant>
        <vt:i4>80</vt:i4>
      </vt:variant>
      <vt:variant>
        <vt:i4>0</vt:i4>
      </vt:variant>
      <vt:variant>
        <vt:i4>5</vt:i4>
      </vt:variant>
      <vt:variant>
        <vt:lpwstr/>
      </vt:variant>
      <vt:variant>
        <vt:lpwstr>_Toc160872059</vt:lpwstr>
      </vt:variant>
      <vt:variant>
        <vt:i4>1966134</vt:i4>
      </vt:variant>
      <vt:variant>
        <vt:i4>74</vt:i4>
      </vt:variant>
      <vt:variant>
        <vt:i4>0</vt:i4>
      </vt:variant>
      <vt:variant>
        <vt:i4>5</vt:i4>
      </vt:variant>
      <vt:variant>
        <vt:lpwstr/>
      </vt:variant>
      <vt:variant>
        <vt:lpwstr>_Toc160872058</vt:lpwstr>
      </vt:variant>
      <vt:variant>
        <vt:i4>1966134</vt:i4>
      </vt:variant>
      <vt:variant>
        <vt:i4>68</vt:i4>
      </vt:variant>
      <vt:variant>
        <vt:i4>0</vt:i4>
      </vt:variant>
      <vt:variant>
        <vt:i4>5</vt:i4>
      </vt:variant>
      <vt:variant>
        <vt:lpwstr/>
      </vt:variant>
      <vt:variant>
        <vt:lpwstr>_Toc160872057</vt:lpwstr>
      </vt:variant>
      <vt:variant>
        <vt:i4>1966134</vt:i4>
      </vt:variant>
      <vt:variant>
        <vt:i4>62</vt:i4>
      </vt:variant>
      <vt:variant>
        <vt:i4>0</vt:i4>
      </vt:variant>
      <vt:variant>
        <vt:i4>5</vt:i4>
      </vt:variant>
      <vt:variant>
        <vt:lpwstr/>
      </vt:variant>
      <vt:variant>
        <vt:lpwstr>_Toc160872056</vt:lpwstr>
      </vt:variant>
      <vt:variant>
        <vt:i4>1966134</vt:i4>
      </vt:variant>
      <vt:variant>
        <vt:i4>56</vt:i4>
      </vt:variant>
      <vt:variant>
        <vt:i4>0</vt:i4>
      </vt:variant>
      <vt:variant>
        <vt:i4>5</vt:i4>
      </vt:variant>
      <vt:variant>
        <vt:lpwstr/>
      </vt:variant>
      <vt:variant>
        <vt:lpwstr>_Toc160872055</vt:lpwstr>
      </vt:variant>
      <vt:variant>
        <vt:i4>1966134</vt:i4>
      </vt:variant>
      <vt:variant>
        <vt:i4>50</vt:i4>
      </vt:variant>
      <vt:variant>
        <vt:i4>0</vt:i4>
      </vt:variant>
      <vt:variant>
        <vt:i4>5</vt:i4>
      </vt:variant>
      <vt:variant>
        <vt:lpwstr/>
      </vt:variant>
      <vt:variant>
        <vt:lpwstr>_Toc160872054</vt:lpwstr>
      </vt:variant>
      <vt:variant>
        <vt:i4>1966134</vt:i4>
      </vt:variant>
      <vt:variant>
        <vt:i4>44</vt:i4>
      </vt:variant>
      <vt:variant>
        <vt:i4>0</vt:i4>
      </vt:variant>
      <vt:variant>
        <vt:i4>5</vt:i4>
      </vt:variant>
      <vt:variant>
        <vt:lpwstr/>
      </vt:variant>
      <vt:variant>
        <vt:lpwstr>_Toc160872053</vt:lpwstr>
      </vt:variant>
      <vt:variant>
        <vt:i4>1966134</vt:i4>
      </vt:variant>
      <vt:variant>
        <vt:i4>38</vt:i4>
      </vt:variant>
      <vt:variant>
        <vt:i4>0</vt:i4>
      </vt:variant>
      <vt:variant>
        <vt:i4>5</vt:i4>
      </vt:variant>
      <vt:variant>
        <vt:lpwstr/>
      </vt:variant>
      <vt:variant>
        <vt:lpwstr>_Toc160872052</vt:lpwstr>
      </vt:variant>
      <vt:variant>
        <vt:i4>1966134</vt:i4>
      </vt:variant>
      <vt:variant>
        <vt:i4>32</vt:i4>
      </vt:variant>
      <vt:variant>
        <vt:i4>0</vt:i4>
      </vt:variant>
      <vt:variant>
        <vt:i4>5</vt:i4>
      </vt:variant>
      <vt:variant>
        <vt:lpwstr/>
      </vt:variant>
      <vt:variant>
        <vt:lpwstr>_Toc160872051</vt:lpwstr>
      </vt:variant>
      <vt:variant>
        <vt:i4>1966134</vt:i4>
      </vt:variant>
      <vt:variant>
        <vt:i4>26</vt:i4>
      </vt:variant>
      <vt:variant>
        <vt:i4>0</vt:i4>
      </vt:variant>
      <vt:variant>
        <vt:i4>5</vt:i4>
      </vt:variant>
      <vt:variant>
        <vt:lpwstr/>
      </vt:variant>
      <vt:variant>
        <vt:lpwstr>_Toc160872050</vt:lpwstr>
      </vt:variant>
      <vt:variant>
        <vt:i4>2031670</vt:i4>
      </vt:variant>
      <vt:variant>
        <vt:i4>20</vt:i4>
      </vt:variant>
      <vt:variant>
        <vt:i4>0</vt:i4>
      </vt:variant>
      <vt:variant>
        <vt:i4>5</vt:i4>
      </vt:variant>
      <vt:variant>
        <vt:lpwstr/>
      </vt:variant>
      <vt:variant>
        <vt:lpwstr>_Toc160872049</vt:lpwstr>
      </vt:variant>
      <vt:variant>
        <vt:i4>2031670</vt:i4>
      </vt:variant>
      <vt:variant>
        <vt:i4>14</vt:i4>
      </vt:variant>
      <vt:variant>
        <vt:i4>0</vt:i4>
      </vt:variant>
      <vt:variant>
        <vt:i4>5</vt:i4>
      </vt:variant>
      <vt:variant>
        <vt:lpwstr/>
      </vt:variant>
      <vt:variant>
        <vt:lpwstr>_Toc160872048</vt:lpwstr>
      </vt:variant>
      <vt:variant>
        <vt:i4>2031670</vt:i4>
      </vt:variant>
      <vt:variant>
        <vt:i4>8</vt:i4>
      </vt:variant>
      <vt:variant>
        <vt:i4>0</vt:i4>
      </vt:variant>
      <vt:variant>
        <vt:i4>5</vt:i4>
      </vt:variant>
      <vt:variant>
        <vt:lpwstr/>
      </vt:variant>
      <vt:variant>
        <vt:lpwstr>_Toc160872047</vt:lpwstr>
      </vt:variant>
      <vt:variant>
        <vt:i4>2031670</vt:i4>
      </vt:variant>
      <vt:variant>
        <vt:i4>2</vt:i4>
      </vt:variant>
      <vt:variant>
        <vt:i4>0</vt:i4>
      </vt:variant>
      <vt:variant>
        <vt:i4>5</vt:i4>
      </vt:variant>
      <vt:variant>
        <vt:lpwstr/>
      </vt:variant>
      <vt:variant>
        <vt:lpwstr>_Toc160872046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Glidden-Lyon</dc:creator>
  <cp:lastModifiedBy>SYSTEM</cp:lastModifiedBy>
  <cp:revision>2</cp:revision>
  <cp:lastPrinted>2019-10-28T19:00:00Z</cp:lastPrinted>
  <dcterms:created xsi:type="dcterms:W3CDTF">2019-11-15T13:44:00Z</dcterms:created>
  <dcterms:modified xsi:type="dcterms:W3CDTF">2019-11-15T13:44:00Z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0x010100E06E752BF853114694BD2A5D25F3F877</vt:lpwstr>
  </property>
</Properties>
</file>