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F14EF8" w14:textId="77777777" w:rsidR="00A2604E" w:rsidRDefault="00A2604E" w:rsidP="00A2604E">
      <w:pPr>
        <w:jc w:val="center"/>
      </w:pPr>
      <w:bookmarkStart w:id="0" w:name="_GoBack"/>
      <w:bookmarkEnd w:id="0"/>
      <w:smartTag w:uri="urn:schemas-microsoft-com:office:smarttags" w:element="place">
        <w:smartTag w:uri="urn:schemas-microsoft-com:office:smarttags" w:element="country-region">
          <w:r>
            <w:t>UNITED STATES OF AMERICA</w:t>
          </w:r>
        </w:smartTag>
      </w:smartTag>
    </w:p>
    <w:p w14:paraId="796F63BF" w14:textId="77777777" w:rsidR="00A2604E" w:rsidRDefault="00A2604E" w:rsidP="00A2604E">
      <w:pPr>
        <w:jc w:val="center"/>
      </w:pPr>
      <w:r>
        <w:t>FEDERAL ENERGY REGULATORY COMMISSION</w:t>
      </w:r>
    </w:p>
    <w:p w14:paraId="4152868E" w14:textId="77777777" w:rsidR="00A2604E" w:rsidRDefault="00A2604E" w:rsidP="00A2604E"/>
    <w:p w14:paraId="1600CC48" w14:textId="7B96B476" w:rsidR="00A2604E" w:rsidRDefault="00A2604E" w:rsidP="00A2604E">
      <w:pPr>
        <w:jc w:val="center"/>
      </w:pPr>
      <w:r w:rsidRPr="00AC750B">
        <w:t xml:space="preserve">[Docket No. </w:t>
      </w:r>
      <w:r w:rsidR="00F40209">
        <w:t>IC20-1-000</w:t>
      </w:r>
      <w:r w:rsidRPr="00AC750B">
        <w:t>]</w:t>
      </w:r>
    </w:p>
    <w:p w14:paraId="3F4B9642" w14:textId="77777777" w:rsidR="00E33035" w:rsidRDefault="00E33035" w:rsidP="00A2604E">
      <w:pPr>
        <w:jc w:val="center"/>
      </w:pPr>
    </w:p>
    <w:p w14:paraId="37A99FB4" w14:textId="77777777" w:rsidR="00A2604E" w:rsidRDefault="00A2604E" w:rsidP="00A2604E"/>
    <w:p w14:paraId="77E305A1" w14:textId="77777777" w:rsidR="007F10F3" w:rsidRDefault="00A2604E" w:rsidP="00A2604E">
      <w:pPr>
        <w:jc w:val="center"/>
      </w:pPr>
      <w:r>
        <w:t xml:space="preserve">COMMISSION INFORMATION COLLECTION ACTIVITIES </w:t>
      </w:r>
    </w:p>
    <w:p w14:paraId="0160830D" w14:textId="5863633D" w:rsidR="00A2604E" w:rsidRDefault="00A2604E" w:rsidP="00A2604E">
      <w:pPr>
        <w:jc w:val="center"/>
      </w:pPr>
      <w:r>
        <w:t>(</w:t>
      </w:r>
      <w:r w:rsidR="00CA58C7">
        <w:t>FERC-549</w:t>
      </w:r>
      <w:r>
        <w:t>);</w:t>
      </w:r>
    </w:p>
    <w:p w14:paraId="6E904836" w14:textId="23AF18A2" w:rsidR="00A2604E" w:rsidRDefault="00A2604E" w:rsidP="00A2604E">
      <w:pPr>
        <w:jc w:val="center"/>
      </w:pPr>
      <w:r>
        <w:t>COMMENT REQUEST; EXTENSION</w:t>
      </w:r>
    </w:p>
    <w:p w14:paraId="0F50B4BA" w14:textId="77777777" w:rsidR="00E33035" w:rsidRDefault="00E33035" w:rsidP="00A2604E">
      <w:pPr>
        <w:jc w:val="center"/>
      </w:pPr>
    </w:p>
    <w:p w14:paraId="6FC67CE5" w14:textId="1157AFF8" w:rsidR="00810D18" w:rsidRDefault="00810D18" w:rsidP="00810D18"/>
    <w:p w14:paraId="2227FDE9" w14:textId="19B3EFB7" w:rsidR="000D7504" w:rsidRDefault="000D7504" w:rsidP="00F61225">
      <w:pPr>
        <w:jc w:val="center"/>
      </w:pPr>
      <w:r w:rsidRPr="000D7504">
        <w:t>(December 26, 2019)</w:t>
      </w:r>
    </w:p>
    <w:p w14:paraId="58EDECE8" w14:textId="77777777" w:rsidR="00F61225" w:rsidRDefault="00F61225" w:rsidP="00A2604E">
      <w:pPr>
        <w:rPr>
          <w:b/>
        </w:rPr>
      </w:pPr>
    </w:p>
    <w:p w14:paraId="048E03F6" w14:textId="77777777" w:rsidR="00F61225" w:rsidRDefault="00F61225" w:rsidP="00A2604E">
      <w:pPr>
        <w:rPr>
          <w:b/>
        </w:rPr>
      </w:pPr>
    </w:p>
    <w:p w14:paraId="2B06BEDA" w14:textId="4659F80E" w:rsidR="00A2604E" w:rsidRDefault="00A2604E" w:rsidP="00A2604E">
      <w:r w:rsidRPr="00B349EC">
        <w:rPr>
          <w:b/>
        </w:rPr>
        <w:t>AGENCY</w:t>
      </w:r>
      <w:r w:rsidRPr="00AB4DBF">
        <w:rPr>
          <w:b/>
        </w:rPr>
        <w:t>:</w:t>
      </w:r>
      <w:r w:rsidRPr="00AB4DBF">
        <w:t xml:space="preserve">  Federal Energy Regulatory Commission.</w:t>
      </w:r>
    </w:p>
    <w:p w14:paraId="3CD46B7D" w14:textId="77777777" w:rsidR="00A2604E" w:rsidRPr="00AB4DBF" w:rsidRDefault="00A2604E" w:rsidP="00A2604E"/>
    <w:p w14:paraId="3C2C8063" w14:textId="77777777" w:rsidR="00A2604E" w:rsidRDefault="00A2604E" w:rsidP="00A2604E">
      <w:pPr>
        <w:spacing w:line="480" w:lineRule="auto"/>
      </w:pPr>
      <w:r w:rsidRPr="00B349EC">
        <w:rPr>
          <w:b/>
        </w:rPr>
        <w:t>ACTION</w:t>
      </w:r>
      <w:r w:rsidRPr="00CE64F2">
        <w:rPr>
          <w:b/>
        </w:rPr>
        <w:t>:</w:t>
      </w:r>
      <w:r>
        <w:t xml:space="preserve">  Notice of information collection and request for comments.</w:t>
      </w:r>
    </w:p>
    <w:p w14:paraId="124637F9" w14:textId="3C166928" w:rsidR="00A2604E" w:rsidRPr="00762C42" w:rsidRDefault="00A2604E" w:rsidP="00F8646E">
      <w:pPr>
        <w:spacing w:line="480" w:lineRule="auto"/>
      </w:pPr>
      <w:r w:rsidRPr="00B349EC">
        <w:rPr>
          <w:b/>
        </w:rPr>
        <w:t>SUMMARY</w:t>
      </w:r>
      <w:r w:rsidRPr="00CE64F2">
        <w:rPr>
          <w:b/>
        </w:rPr>
        <w:t>:</w:t>
      </w:r>
      <w:r>
        <w:t xml:space="preserve">  In compliance with the requirements of the Paperwork Reduction Act of 1995, the Federal Energy Regulatory Commission (Commission or FERC) is soliciting public comment on the currently approved information collection </w:t>
      </w:r>
      <w:r w:rsidR="00CA58C7">
        <w:t>FERC-549</w:t>
      </w:r>
      <w:r w:rsidR="002E0351" w:rsidRPr="00A713D0">
        <w:t xml:space="preserve"> </w:t>
      </w:r>
      <w:r w:rsidR="00A713D0">
        <w:t>(</w:t>
      </w:r>
      <w:r w:rsidR="00CA58C7" w:rsidRPr="00CA58C7">
        <w:t>NGPA Title III Transactions and NGA Blanket Certificate Transactions</w:t>
      </w:r>
      <w:r w:rsidR="00F8646E">
        <w:t>)</w:t>
      </w:r>
      <w:r w:rsidR="00642602" w:rsidRPr="00642602">
        <w:t xml:space="preserve"> and submitting the information collection to the Office of Management and Budget (OMB) for review.  Any interested person may file comments directly with OMB and should address a copy of those comments to the Commission as </w:t>
      </w:r>
      <w:r w:rsidR="00642602" w:rsidRPr="00C81A97">
        <w:t xml:space="preserve">explained below. </w:t>
      </w:r>
    </w:p>
    <w:p w14:paraId="442CCE36" w14:textId="49B33BDC" w:rsidR="007C1916" w:rsidRPr="007C1916" w:rsidRDefault="00A2604E" w:rsidP="007C1916">
      <w:pPr>
        <w:spacing w:line="480" w:lineRule="auto"/>
      </w:pPr>
      <w:r w:rsidRPr="00B349EC">
        <w:rPr>
          <w:b/>
        </w:rPr>
        <w:t>DATES</w:t>
      </w:r>
      <w:r w:rsidRPr="00762C42">
        <w:rPr>
          <w:b/>
        </w:rPr>
        <w:t>:</w:t>
      </w:r>
      <w:r w:rsidRPr="00762C42">
        <w:t xml:space="preserve">  Comments on the collection of information are due </w:t>
      </w:r>
      <w:bookmarkStart w:id="1" w:name="OLE_LINK1"/>
      <w:r w:rsidR="007C1916" w:rsidRPr="00762C42">
        <w:rPr>
          <w:b/>
        </w:rPr>
        <w:t>[</w:t>
      </w:r>
      <w:r w:rsidR="007C1916" w:rsidRPr="00762C42">
        <w:rPr>
          <w:b/>
          <w:caps/>
        </w:rPr>
        <w:t>Insert Date 30</w:t>
      </w:r>
      <w:r w:rsidR="007C1916" w:rsidRPr="00F11631">
        <w:rPr>
          <w:b/>
          <w:caps/>
        </w:rPr>
        <w:t xml:space="preserve"> days after</w:t>
      </w:r>
      <w:r w:rsidR="00B65A09">
        <w:rPr>
          <w:b/>
          <w:caps/>
        </w:rPr>
        <w:t xml:space="preserve"> </w:t>
      </w:r>
      <w:r w:rsidR="007C422D">
        <w:rPr>
          <w:b/>
          <w:caps/>
        </w:rPr>
        <w:t xml:space="preserve">date of </w:t>
      </w:r>
      <w:r w:rsidR="007C1916" w:rsidRPr="00F11631">
        <w:rPr>
          <w:b/>
          <w:caps/>
        </w:rPr>
        <w:t>publication in the Federal Register]</w:t>
      </w:r>
      <w:r w:rsidR="00B65A09" w:rsidRPr="00F11631">
        <w:rPr>
          <w:b/>
          <w:caps/>
        </w:rPr>
        <w:t>.</w:t>
      </w:r>
      <w:r w:rsidR="00B65A09" w:rsidRPr="00F11631">
        <w:rPr>
          <w:caps/>
        </w:rPr>
        <w:t xml:space="preserve">  </w:t>
      </w:r>
    </w:p>
    <w:p w14:paraId="6A85CC2D" w14:textId="77777777" w:rsidR="0008031C" w:rsidRDefault="007C1916" w:rsidP="007C1916">
      <w:pPr>
        <w:spacing w:line="480" w:lineRule="auto"/>
      </w:pPr>
      <w:r w:rsidRPr="00B349EC">
        <w:rPr>
          <w:b/>
        </w:rPr>
        <w:t>ADDRESSES</w:t>
      </w:r>
      <w:r w:rsidRPr="007C1916">
        <w:rPr>
          <w:b/>
        </w:rPr>
        <w:t>:</w:t>
      </w:r>
      <w:r w:rsidRPr="007C1916">
        <w:t xml:space="preserve">  Comments filed with OMB, identified by OMB Control No. </w:t>
      </w:r>
      <w:r w:rsidR="00CA58C7">
        <w:t>1902-0086</w:t>
      </w:r>
      <w:r w:rsidRPr="007C1916">
        <w:t xml:space="preserve">, </w:t>
      </w:r>
      <w:r w:rsidR="001E6510">
        <w:t xml:space="preserve">should be sent via email to the </w:t>
      </w:r>
      <w:r w:rsidRPr="007C1916">
        <w:t xml:space="preserve">Office of Information and Regulatory Affairs: </w:t>
      </w:r>
    </w:p>
    <w:p w14:paraId="22309F61" w14:textId="77777777" w:rsidR="0008031C" w:rsidRDefault="0008031C" w:rsidP="007C1916">
      <w:pPr>
        <w:spacing w:line="480" w:lineRule="auto"/>
      </w:pPr>
    </w:p>
    <w:p w14:paraId="5FFA64D4" w14:textId="77777777" w:rsidR="0008031C" w:rsidRDefault="0008031C" w:rsidP="007C1916">
      <w:pPr>
        <w:spacing w:line="480" w:lineRule="auto"/>
      </w:pPr>
    </w:p>
    <w:p w14:paraId="05EFC9C8" w14:textId="27DF81D5" w:rsidR="007C1916" w:rsidRPr="007C1916" w:rsidRDefault="00E13D0F" w:rsidP="007C1916">
      <w:pPr>
        <w:spacing w:line="480" w:lineRule="auto"/>
      </w:pPr>
      <w:hyperlink r:id="rId14" w:history="1">
        <w:r w:rsidR="0008031C" w:rsidRPr="00BD13F6">
          <w:rPr>
            <w:rStyle w:val="Hyperlink"/>
          </w:rPr>
          <w:t>oira_submission@omb.gov</w:t>
        </w:r>
      </w:hyperlink>
      <w:r w:rsidR="00E666F5">
        <w:t>,</w:t>
      </w:r>
      <w:r w:rsidR="007C1916" w:rsidRPr="007C1916">
        <w:t xml:space="preserve">  Attention: Federal Energy Regulatory Commission Desk Officer.  </w:t>
      </w:r>
    </w:p>
    <w:p w14:paraId="5B1CC12A" w14:textId="4831919D" w:rsidR="007C1916" w:rsidRPr="007C1916" w:rsidRDefault="007C1916" w:rsidP="007C1916">
      <w:pPr>
        <w:spacing w:line="480" w:lineRule="auto"/>
      </w:pPr>
      <w:r w:rsidRPr="007C1916">
        <w:t xml:space="preserve">A copy of the comments should also be sent to the Commission, in Docket No. </w:t>
      </w:r>
      <w:r w:rsidR="00F40209">
        <w:t>IC20-1-000</w:t>
      </w:r>
      <w:r w:rsidRPr="007C1916">
        <w:t>, by either of the following methods:</w:t>
      </w:r>
    </w:p>
    <w:p w14:paraId="792B5B58" w14:textId="44849242" w:rsidR="007C1916" w:rsidRPr="007C1916" w:rsidRDefault="007C1916" w:rsidP="007C1916">
      <w:pPr>
        <w:numPr>
          <w:ilvl w:val="0"/>
          <w:numId w:val="2"/>
        </w:numPr>
        <w:spacing w:line="480" w:lineRule="auto"/>
      </w:pPr>
      <w:r w:rsidRPr="007C1916">
        <w:t xml:space="preserve">eFiling at Commission’s Web Site: </w:t>
      </w:r>
      <w:hyperlink r:id="rId15" w:history="1">
        <w:r w:rsidRPr="007C1916">
          <w:rPr>
            <w:rStyle w:val="Hyperlink"/>
          </w:rPr>
          <w:t>http://www.ferc.gov/docs-filing/efiling.asp</w:t>
        </w:r>
      </w:hyperlink>
    </w:p>
    <w:p w14:paraId="0F5C3F2D" w14:textId="21F2D506" w:rsidR="007C1916" w:rsidRPr="007C1916" w:rsidRDefault="007C1916" w:rsidP="007C1916">
      <w:pPr>
        <w:numPr>
          <w:ilvl w:val="0"/>
          <w:numId w:val="2"/>
        </w:numPr>
        <w:spacing w:line="480" w:lineRule="auto"/>
      </w:pPr>
      <w:r w:rsidRPr="007C1916">
        <w:t>Mail: Federal Energy Regulatory Commission, Secretary of the Commission, 888 First Street, NE, Washington, DC 20426.</w:t>
      </w:r>
    </w:p>
    <w:p w14:paraId="72FFFB84" w14:textId="2CEBCB90" w:rsidR="00A2604E" w:rsidRDefault="00A2604E" w:rsidP="007C1916">
      <w:pPr>
        <w:spacing w:line="480" w:lineRule="auto"/>
      </w:pPr>
      <w:r>
        <w:rPr>
          <w:i/>
        </w:rPr>
        <w:t xml:space="preserve">Instructions: </w:t>
      </w:r>
      <w:r>
        <w:t xml:space="preserve">All submissions must be formatted and filed in accordance with submission guidelines at: </w:t>
      </w:r>
      <w:hyperlink r:id="rId16" w:history="1">
        <w:r w:rsidRPr="00866BB4">
          <w:rPr>
            <w:rStyle w:val="Hyperlink"/>
          </w:rPr>
          <w:t>http://www.ferc.gov/help/submission-guide.asp</w:t>
        </w:r>
      </w:hyperlink>
      <w:r>
        <w:t>.  For user assistance</w:t>
      </w:r>
      <w:r w:rsidR="00BF2D74">
        <w:t>,</w:t>
      </w:r>
      <w:r>
        <w:t xml:space="preserve"> contact FERC Online Support by e-mail at ferconlinesupport@ferc.gov, or by phone at:  (866) 208-3676 (toll-free), or (202) 502-8659 for TTY.</w:t>
      </w:r>
    </w:p>
    <w:p w14:paraId="6160E432" w14:textId="6CED2821" w:rsidR="00A2604E" w:rsidRPr="00241BFD" w:rsidRDefault="00A2604E" w:rsidP="00A2604E">
      <w:pPr>
        <w:spacing w:line="480" w:lineRule="auto"/>
      </w:pPr>
      <w:r>
        <w:rPr>
          <w:i/>
        </w:rPr>
        <w:t>Docket:</w:t>
      </w:r>
      <w:r>
        <w:t xml:space="preserve"> Users interested in receiving automatic notification of activity in this docket or in viewing/downloading comments and issuances in this docket may do so at </w:t>
      </w:r>
      <w:hyperlink r:id="rId17" w:history="1">
        <w:r w:rsidRPr="0057675D">
          <w:rPr>
            <w:rStyle w:val="Hyperlink"/>
          </w:rPr>
          <w:t>http://www.ferc.gov/docs-filing/docs-filing.asp</w:t>
        </w:r>
      </w:hyperlink>
      <w:r>
        <w:t xml:space="preserve">. </w:t>
      </w:r>
    </w:p>
    <w:bookmarkEnd w:id="1"/>
    <w:p w14:paraId="5D1F4BEC" w14:textId="0A2233A9" w:rsidR="00A2604E" w:rsidRDefault="00A2604E" w:rsidP="00A2604E">
      <w:pPr>
        <w:spacing w:line="480" w:lineRule="auto"/>
      </w:pPr>
      <w:r w:rsidRPr="00B349EC">
        <w:rPr>
          <w:b/>
        </w:rPr>
        <w:t>FOR FURTHER INFORMATION</w:t>
      </w:r>
      <w:r w:rsidR="000D7504">
        <w:rPr>
          <w:b/>
        </w:rPr>
        <w:t xml:space="preserve"> CONTACT</w:t>
      </w:r>
      <w:r w:rsidRPr="00656DF0">
        <w:rPr>
          <w:b/>
        </w:rPr>
        <w:t>:</w:t>
      </w:r>
      <w:r>
        <w:t xml:space="preserve">  </w:t>
      </w:r>
      <w:r w:rsidRPr="007731D6">
        <w:t>Ellen Brown</w:t>
      </w:r>
      <w:r>
        <w:t xml:space="preserve"> may be reached by e-mail at </w:t>
      </w:r>
      <w:hyperlink r:id="rId18" w:history="1">
        <w:r w:rsidRPr="00006D4B">
          <w:rPr>
            <w:rStyle w:val="Hyperlink"/>
          </w:rPr>
          <w:t>DataClearance@FERC.gov</w:t>
        </w:r>
      </w:hyperlink>
      <w:r>
        <w:t>, telephone at (202) 502-8663, and fax at (202) 273-0873.</w:t>
      </w:r>
    </w:p>
    <w:p w14:paraId="6614759F" w14:textId="30BE870E" w:rsidR="00A2604E" w:rsidRPr="00853ABC" w:rsidRDefault="00A2604E" w:rsidP="00C1124F">
      <w:pPr>
        <w:tabs>
          <w:tab w:val="left" w:pos="7880"/>
        </w:tabs>
        <w:spacing w:line="480" w:lineRule="auto"/>
      </w:pPr>
      <w:r w:rsidRPr="00B349EC">
        <w:rPr>
          <w:b/>
        </w:rPr>
        <w:t>SUPPLEMENTARY INFORMATION</w:t>
      </w:r>
      <w:r w:rsidRPr="001C3703">
        <w:rPr>
          <w:b/>
        </w:rPr>
        <w:t>:</w:t>
      </w:r>
      <w:r>
        <w:t xml:space="preserve">  </w:t>
      </w:r>
    </w:p>
    <w:p w14:paraId="1828F029" w14:textId="6D19881E" w:rsidR="00AA4050" w:rsidRDefault="00AA4050" w:rsidP="00A11F38">
      <w:pPr>
        <w:spacing w:line="480" w:lineRule="auto"/>
        <w:rPr>
          <w:i/>
        </w:rPr>
      </w:pPr>
      <w:r>
        <w:rPr>
          <w:i/>
        </w:rPr>
        <w:t xml:space="preserve">Title: </w:t>
      </w:r>
      <w:r w:rsidR="009E5557">
        <w:t>FERC–</w:t>
      </w:r>
      <w:r w:rsidR="00CA58C7">
        <w:t>549</w:t>
      </w:r>
      <w:r w:rsidR="009E5557">
        <w:t xml:space="preserve">, </w:t>
      </w:r>
      <w:r w:rsidR="00CA58C7" w:rsidRPr="00CA58C7">
        <w:t>NGPA Title III Transactions and NGA Blanket Certificate Transactions</w:t>
      </w:r>
      <w:r w:rsidR="00A8690F">
        <w:t>.</w:t>
      </w:r>
      <w:r w:rsidR="00CA58C7" w:rsidDel="00CA58C7">
        <w:rPr>
          <w:rStyle w:val="FootnoteReference"/>
        </w:rPr>
        <w:t xml:space="preserve"> </w:t>
      </w:r>
    </w:p>
    <w:p w14:paraId="75921495" w14:textId="0787DF89" w:rsidR="00AA4050" w:rsidRDefault="00AA4050" w:rsidP="00AA4050">
      <w:pPr>
        <w:spacing w:line="480" w:lineRule="auto"/>
      </w:pPr>
      <w:r>
        <w:rPr>
          <w:i/>
        </w:rPr>
        <w:t>OMB Control No.:</w:t>
      </w:r>
      <w:r w:rsidRPr="00F50EDA">
        <w:t xml:space="preserve"> </w:t>
      </w:r>
      <w:r w:rsidR="00CA58C7">
        <w:t>1902-0086</w:t>
      </w:r>
    </w:p>
    <w:p w14:paraId="11D9BEC1" w14:textId="77777777" w:rsidR="0008031C" w:rsidRDefault="0008031C" w:rsidP="00AA4050">
      <w:pPr>
        <w:spacing w:line="480" w:lineRule="auto"/>
        <w:rPr>
          <w:i/>
        </w:rPr>
      </w:pPr>
    </w:p>
    <w:p w14:paraId="3CB2D50F" w14:textId="77777777" w:rsidR="00F61225" w:rsidRDefault="00AA4050" w:rsidP="00744BCE">
      <w:pPr>
        <w:spacing w:line="480" w:lineRule="auto"/>
      </w:pPr>
      <w:r>
        <w:rPr>
          <w:i/>
        </w:rPr>
        <w:lastRenderedPageBreak/>
        <w:t>Type of Request:</w:t>
      </w:r>
      <w:r>
        <w:t xml:space="preserve"> Three-year extension of the </w:t>
      </w:r>
      <w:r w:rsidR="00CA58C7">
        <w:t>FERC-549</w:t>
      </w:r>
      <w:r>
        <w:t xml:space="preserve"> information collection requirements with no changes to the current reporting </w:t>
      </w:r>
      <w:r w:rsidR="002F24E8">
        <w:t xml:space="preserve">and recordkeeping </w:t>
      </w:r>
      <w:r>
        <w:t xml:space="preserve">requirements. </w:t>
      </w:r>
    </w:p>
    <w:p w14:paraId="051F5B75" w14:textId="6E40E661" w:rsidR="00744BCE" w:rsidRPr="000D68AC" w:rsidRDefault="00F61225" w:rsidP="00744BCE">
      <w:pPr>
        <w:spacing w:line="480" w:lineRule="auto"/>
      </w:pPr>
      <w:r>
        <w:rPr>
          <w:i/>
        </w:rPr>
        <w:t>A</w:t>
      </w:r>
      <w:r w:rsidR="00F40209" w:rsidRPr="000D68AC">
        <w:rPr>
          <w:i/>
        </w:rPr>
        <w:t xml:space="preserve">bstract: </w:t>
      </w:r>
      <w:r w:rsidR="00744BCE" w:rsidRPr="000D68AC">
        <w:t>On October 23, 2019, the Commission published a Notice in the Federal Register (84 FR 56805) in Docket No. IC20-1-000 requesting public comments.  The Commission received no public comments.</w:t>
      </w:r>
    </w:p>
    <w:p w14:paraId="4703272B" w14:textId="44405495" w:rsidR="00F40209" w:rsidRPr="0090772C" w:rsidRDefault="00744BCE" w:rsidP="00F402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0D68AC">
        <w:rPr>
          <w:szCs w:val="26"/>
        </w:rPr>
        <w:tab/>
      </w:r>
      <w:r w:rsidR="00F40209" w:rsidRPr="000D68AC">
        <w:rPr>
          <w:szCs w:val="26"/>
        </w:rPr>
        <w:t>FERC-549 is required to implement the statutory provisions governed by Sections 311 and 312 of the Natural Gas Policy Act (NGPA) (15 USC 3371-3372) and Section 7 of the Natural Gas Act (NGA) (15 USC 717f).  The reporting requirements for implementing</w:t>
      </w:r>
      <w:r w:rsidR="00F40209" w:rsidRPr="0090772C">
        <w:rPr>
          <w:szCs w:val="26"/>
        </w:rPr>
        <w:t xml:space="preserve"> these provisions are contained in 18 CFR Part 284.</w:t>
      </w:r>
    </w:p>
    <w:p w14:paraId="5F02656A" w14:textId="40D3AFE9" w:rsidR="00F40209" w:rsidRPr="00AE0E3C" w:rsidRDefault="00F40209" w:rsidP="00F402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b/>
          <w:szCs w:val="26"/>
          <w:u w:val="single"/>
        </w:rPr>
      </w:pPr>
      <w:r w:rsidRPr="00AE0E3C">
        <w:rPr>
          <w:b/>
          <w:szCs w:val="26"/>
          <w:u w:val="single"/>
        </w:rPr>
        <w:t>Transportation for Intrastate Pipelines</w:t>
      </w:r>
    </w:p>
    <w:p w14:paraId="79F96BEC" w14:textId="6947D91B" w:rsidR="00F40209" w:rsidRPr="0090772C" w:rsidRDefault="00F40209" w:rsidP="00F40209">
      <w:pPr>
        <w:tabs>
          <w:tab w:val="left" w:pos="-1440"/>
          <w:tab w:val="left" w:pos="-720"/>
          <w:tab w:val="left" w:pos="0"/>
          <w:tab w:val="left" w:pos="720"/>
          <w:tab w:val="right" w:pos="9360"/>
        </w:tabs>
        <w:spacing w:line="480" w:lineRule="auto"/>
        <w:rPr>
          <w:szCs w:val="26"/>
        </w:rPr>
      </w:pPr>
      <w:r>
        <w:rPr>
          <w:szCs w:val="26"/>
        </w:rPr>
        <w:tab/>
      </w:r>
      <w:r w:rsidRPr="0090772C">
        <w:rPr>
          <w:szCs w:val="26"/>
        </w:rPr>
        <w:t>In 18 CFR 284.102(e)</w:t>
      </w:r>
      <w:r>
        <w:rPr>
          <w:szCs w:val="26"/>
        </w:rPr>
        <w:t>,</w:t>
      </w:r>
      <w:r w:rsidRPr="0090772C">
        <w:rPr>
          <w:szCs w:val="26"/>
        </w:rPr>
        <w:t xml:space="preserve"> the Commission requires interstate pipelines to obtain proper certification in order to ship natural gas on behalf of intrastate pipelines and local distribution companies (LDC).  This certification consists of a letter from the intrastate pipeline or LDC authorizing the interstate pipeline to ship gas on its behalf.  In addition, interstate pipelines must obtain from its shippers </w:t>
      </w:r>
      <w:r w:rsidR="007D32A5">
        <w:rPr>
          <w:szCs w:val="26"/>
        </w:rPr>
        <w:t xml:space="preserve">the </w:t>
      </w:r>
      <w:r w:rsidRPr="0090772C">
        <w:rPr>
          <w:szCs w:val="26"/>
        </w:rPr>
        <w:t xml:space="preserve">certifications including sufficient information to verify that their services qualify under this section.  </w:t>
      </w:r>
    </w:p>
    <w:p w14:paraId="2913DB4B" w14:textId="72F6E0E8" w:rsidR="0008031C" w:rsidRDefault="00F40209" w:rsidP="00F402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Pr>
          <w:szCs w:val="26"/>
        </w:rPr>
        <w:tab/>
      </w:r>
      <w:r w:rsidR="00A02DB7">
        <w:rPr>
          <w:szCs w:val="26"/>
        </w:rPr>
        <w:t xml:space="preserve">In </w:t>
      </w:r>
      <w:r w:rsidRPr="0090772C">
        <w:rPr>
          <w:szCs w:val="26"/>
        </w:rPr>
        <w:t>18 CFR 284.123(b)</w:t>
      </w:r>
      <w:r w:rsidR="00A02DB7">
        <w:rPr>
          <w:szCs w:val="26"/>
        </w:rPr>
        <w:t>, the Commission</w:t>
      </w:r>
      <w:r w:rsidRPr="0090772C">
        <w:rPr>
          <w:szCs w:val="26"/>
        </w:rPr>
        <w:t xml:space="preserve"> provides that intrastate gas pipeline companies file for Commission approval of rates for services performed in the interstate transportation of gas.  An intrastate gas pipeline company may elect to use rates contained in one of its then effective transportation rate schedules on file with an appropriate state regulatory </w:t>
      </w:r>
    </w:p>
    <w:p w14:paraId="51FC88A2" w14:textId="77777777" w:rsidR="0008031C" w:rsidRDefault="0008031C" w:rsidP="00F402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p>
    <w:p w14:paraId="38BAFB9D" w14:textId="79D0954C" w:rsidR="007F10F3" w:rsidRDefault="00F40209" w:rsidP="00F402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90772C">
        <w:rPr>
          <w:szCs w:val="26"/>
        </w:rPr>
        <w:t xml:space="preserve">agency for intrastate service comparable to the interstate service or file proposed rates and supporting information showing the rates are cost based and are fair and equitable.  It is the Commission policy that each pipeline must file at least every five years to ensure </w:t>
      </w:r>
    </w:p>
    <w:p w14:paraId="70AE2375" w14:textId="42C7CCA5" w:rsidR="00F40209" w:rsidRPr="0090772C" w:rsidRDefault="00F40209" w:rsidP="00F402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90772C">
        <w:rPr>
          <w:szCs w:val="26"/>
        </w:rPr>
        <w:t>its rates are fair and equitable.  Depending on the business process used, either 60 or 150 days after the application is filed, the rate is deemed to be fair and equitable unless the Commission either extends the time for action, institutes a proceeding or issues an order providing for rates it deems to be fair and equitable.</w:t>
      </w:r>
    </w:p>
    <w:p w14:paraId="639340E7" w14:textId="53AA02B4" w:rsidR="00F40209" w:rsidRDefault="00F40209" w:rsidP="00F402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90772C">
        <w:rPr>
          <w:szCs w:val="26"/>
        </w:rPr>
        <w:tab/>
      </w:r>
      <w:r w:rsidR="00A02DB7">
        <w:rPr>
          <w:szCs w:val="26"/>
        </w:rPr>
        <w:t xml:space="preserve">In </w:t>
      </w:r>
      <w:r w:rsidRPr="0090772C">
        <w:rPr>
          <w:szCs w:val="26"/>
        </w:rPr>
        <w:t>18 CFR 284.123(e)</w:t>
      </w:r>
      <w:r w:rsidR="00A02DB7">
        <w:rPr>
          <w:szCs w:val="26"/>
        </w:rPr>
        <w:t>, the Commission</w:t>
      </w:r>
      <w:r w:rsidRPr="0090772C">
        <w:rPr>
          <w:szCs w:val="26"/>
        </w:rPr>
        <w:t xml:space="preserve"> requires that within 30 days of commencement of new service any intrastate pipeline engaging in the transportation of gas in interstate commerce must file a statement that includes the interstate rates and a description of how the pipeline will engage in the transportation services, including operating conditions.  If an intrastate gas pipeline company changes its operations or rates it must amend the statement on file with the Commission.  Such amendment is to be filed not later than 30 days after commencement of the change in operations or change in rate election.</w:t>
      </w:r>
    </w:p>
    <w:p w14:paraId="232DD26F" w14:textId="77777777" w:rsidR="00F40209" w:rsidRPr="00AE0E3C" w:rsidRDefault="00F40209" w:rsidP="00F402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b/>
          <w:szCs w:val="26"/>
          <w:u w:val="single"/>
        </w:rPr>
      </w:pPr>
      <w:r w:rsidRPr="00AE0E3C">
        <w:rPr>
          <w:b/>
          <w:szCs w:val="26"/>
          <w:u w:val="single"/>
        </w:rPr>
        <w:t>Market-Based Rates for Storage</w:t>
      </w:r>
    </w:p>
    <w:p w14:paraId="42633C5A" w14:textId="77777777" w:rsidR="0008031C" w:rsidRDefault="00F40209" w:rsidP="00F402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90772C">
        <w:rPr>
          <w:szCs w:val="26"/>
        </w:rPr>
        <w:tab/>
        <w:t>In 2006</w:t>
      </w:r>
      <w:r>
        <w:rPr>
          <w:szCs w:val="26"/>
        </w:rPr>
        <w:t>,</w:t>
      </w:r>
      <w:r w:rsidRPr="0090772C">
        <w:rPr>
          <w:szCs w:val="26"/>
        </w:rPr>
        <w:t xml:space="preserve"> the Commission amended its regulations to establish criteria for obtaining market-based rates for storage services offered under 18 CFR 284.501-505.  First, the Commission modified its market-power analysis to better reflect the competitive alternatives to storage.  Second, pursuant to the </w:t>
      </w:r>
      <w:r w:rsidR="00FF6E4D">
        <w:rPr>
          <w:szCs w:val="26"/>
        </w:rPr>
        <w:t>Energy Policy Act of 2005 (</w:t>
      </w:r>
      <w:r w:rsidRPr="0090772C">
        <w:rPr>
          <w:szCs w:val="26"/>
        </w:rPr>
        <w:t>EPAct 2005</w:t>
      </w:r>
      <w:r w:rsidR="00FF6E4D">
        <w:rPr>
          <w:szCs w:val="26"/>
        </w:rPr>
        <w:t>)</w:t>
      </w:r>
      <w:r w:rsidRPr="0090772C">
        <w:rPr>
          <w:szCs w:val="26"/>
        </w:rPr>
        <w:t xml:space="preserve">, the Commission promulgated rules to implement section 4(f) of the Natural Gas Act, to </w:t>
      </w:r>
    </w:p>
    <w:p w14:paraId="038FF4BD" w14:textId="77777777" w:rsidR="0008031C" w:rsidRDefault="0008031C" w:rsidP="00F402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p>
    <w:p w14:paraId="31445F45" w14:textId="740F21C8" w:rsidR="007F10F3" w:rsidRDefault="00F40209" w:rsidP="00F402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90772C">
        <w:rPr>
          <w:szCs w:val="26"/>
        </w:rPr>
        <w:t xml:space="preserve">permit underground natural gas storage service providers that are unable to show that they lack market power to negotiate market-based rates in circumstances where market-based rates are in the public interest and necessary to encourage the construction of the storage capacity in the area needing storage services, and where customers are adequately </w:t>
      </w:r>
    </w:p>
    <w:p w14:paraId="2FEEB11C" w14:textId="19FEF0C9" w:rsidR="00F40209" w:rsidRDefault="00F40209" w:rsidP="00F402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90772C">
        <w:rPr>
          <w:szCs w:val="26"/>
        </w:rPr>
        <w:t xml:space="preserve">protected.  The revisions </w:t>
      </w:r>
      <w:r>
        <w:rPr>
          <w:szCs w:val="26"/>
        </w:rPr>
        <w:t>were</w:t>
      </w:r>
      <w:r w:rsidRPr="0090772C">
        <w:rPr>
          <w:szCs w:val="26"/>
        </w:rPr>
        <w:t xml:space="preserve"> intended to facilitate the development of new natural gas storage capacity while protecting customers</w:t>
      </w:r>
      <w:r>
        <w:rPr>
          <w:szCs w:val="26"/>
        </w:rPr>
        <w:t>.</w:t>
      </w:r>
    </w:p>
    <w:p w14:paraId="730D4F44" w14:textId="77777777" w:rsidR="00F40209" w:rsidRPr="00AE0E3C" w:rsidRDefault="00F40209" w:rsidP="00F402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b/>
          <w:szCs w:val="26"/>
          <w:u w:val="single"/>
        </w:rPr>
      </w:pPr>
      <w:r w:rsidRPr="00AE0E3C">
        <w:rPr>
          <w:b/>
          <w:szCs w:val="26"/>
          <w:u w:val="single"/>
        </w:rPr>
        <w:t xml:space="preserve">Code of Conduct </w:t>
      </w:r>
    </w:p>
    <w:p w14:paraId="60A6EA93" w14:textId="77777777" w:rsidR="00F40209" w:rsidRPr="0090772C" w:rsidRDefault="00F40209" w:rsidP="00F402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90772C">
        <w:rPr>
          <w:szCs w:val="26"/>
        </w:rPr>
        <w:tab/>
        <w:t xml:space="preserve">The Commission’s regulations at 18 CFR 284.288 and 284.403 provide that applicable sellers of natural gas adhere to a code of conduct when making gas sales in order to protect the integrity of the market.  As part of this code, the Commission imposes a record retention requirement on applicable sellers to “retain, for a period of five years, all data and information upon which it billed the prices it charged for natural gas it sold pursuant to its market based sales certificate or the prices it reported for use in price indices.”  FERC uses these records to monitor the jurisdictional transportation activities and unbundled sales activities of interstate natural gas pipelines and blanket marketing certificate holders. </w:t>
      </w:r>
    </w:p>
    <w:p w14:paraId="2F63CE40" w14:textId="77777777" w:rsidR="0008031C" w:rsidRDefault="00F40209" w:rsidP="00F402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90772C">
        <w:rPr>
          <w:szCs w:val="26"/>
        </w:rPr>
        <w:tab/>
        <w:t xml:space="preserve">The record retention period of five years is necessary due to the importance of records related to any investigation of possible wrongdoing and related to assuring compliance with the codes of conduct and the integrity of the market.  The requirement is necessary to ensure consistency with the rule prohibiting market manipulation </w:t>
      </w:r>
    </w:p>
    <w:p w14:paraId="51B9886A" w14:textId="77777777" w:rsidR="0008031C" w:rsidRDefault="0008031C" w:rsidP="00F402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p>
    <w:p w14:paraId="7E81E171" w14:textId="1BBA3615" w:rsidR="00F40209" w:rsidRPr="0090772C" w:rsidRDefault="00F40209" w:rsidP="00F402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90772C">
        <w:rPr>
          <w:szCs w:val="26"/>
        </w:rPr>
        <w:t xml:space="preserve">(regulations adopted in Order No. 670, implementing the EPAct 2005 anti-manipulation provisions) and the generally applicable five-year statute of limitations where the Commission seeks civil penalties for violations of the anti-manipulation rules or other rules, regulations, or orders to which the price data may be relevant.   </w:t>
      </w:r>
    </w:p>
    <w:p w14:paraId="57B2964C" w14:textId="1C830F49" w:rsidR="00F40209" w:rsidRPr="0090772C" w:rsidRDefault="00F40209" w:rsidP="00F402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Pr>
          <w:szCs w:val="26"/>
        </w:rPr>
        <w:tab/>
      </w:r>
      <w:r w:rsidRPr="0090772C">
        <w:rPr>
          <w:szCs w:val="26"/>
        </w:rPr>
        <w:t>Failure to have this information available would mean the Commission is unable to perform its regulatory functions and to monitor and evaluate transactions and operations of interstate pipelines and blanket marketing certificate holders.</w:t>
      </w:r>
    </w:p>
    <w:p w14:paraId="2D3756B0" w14:textId="77777777" w:rsidR="00F40209" w:rsidRPr="009679E3" w:rsidRDefault="00F40209" w:rsidP="00F40209">
      <w:pPr>
        <w:spacing w:line="480" w:lineRule="auto"/>
      </w:pPr>
      <w:r>
        <w:rPr>
          <w:i/>
        </w:rPr>
        <w:t xml:space="preserve">Type of Respondents: </w:t>
      </w:r>
      <w:r>
        <w:t>Jurisdictional interstate and intrastate natural gas pipelines.</w:t>
      </w:r>
    </w:p>
    <w:p w14:paraId="327D399A" w14:textId="218080D7" w:rsidR="006A73BD" w:rsidRDefault="006A73BD" w:rsidP="006A73BD">
      <w:pPr>
        <w:spacing w:line="480" w:lineRule="auto"/>
      </w:pPr>
      <w:r w:rsidRPr="006A73BD">
        <w:rPr>
          <w:i/>
        </w:rPr>
        <w:t>Estimate of Annual Burden</w:t>
      </w:r>
      <w:r w:rsidR="003A451F" w:rsidRPr="006A73BD">
        <w:rPr>
          <w:i/>
        </w:rPr>
        <w:t>:</w:t>
      </w:r>
      <w:r w:rsidR="00C94015">
        <w:rPr>
          <w:rStyle w:val="FootnoteReference"/>
          <w:i/>
        </w:rPr>
        <w:footnoteReference w:id="1"/>
      </w:r>
      <w:r w:rsidRPr="006A73BD">
        <w:rPr>
          <w:i/>
        </w:rPr>
        <w:t xml:space="preserve"> </w:t>
      </w:r>
      <w:r w:rsidRPr="006A73BD">
        <w:t>The Commission estimates the annual burden and cost for the information collection as</w:t>
      </w:r>
      <w:r w:rsidR="0059075C">
        <w:t xml:space="preserve"> follows.</w:t>
      </w:r>
    </w:p>
    <w:p w14:paraId="59DB8C79" w14:textId="33E6391D" w:rsidR="0008031C" w:rsidRDefault="0008031C" w:rsidP="006A73BD">
      <w:pPr>
        <w:spacing w:line="480" w:lineRule="auto"/>
      </w:pPr>
    </w:p>
    <w:p w14:paraId="2229D8EA" w14:textId="75594957" w:rsidR="00D70B8D" w:rsidRDefault="00D70B8D" w:rsidP="006A73BD">
      <w:pPr>
        <w:spacing w:line="480" w:lineRule="auto"/>
      </w:pPr>
    </w:p>
    <w:p w14:paraId="7D5F75EE" w14:textId="008B0417" w:rsidR="00D70B8D" w:rsidRDefault="00D70B8D" w:rsidP="006A73BD">
      <w:pPr>
        <w:spacing w:line="480" w:lineRule="auto"/>
      </w:pPr>
    </w:p>
    <w:p w14:paraId="70289A47" w14:textId="55FE9BDC" w:rsidR="00D70B8D" w:rsidRDefault="00D70B8D" w:rsidP="006A73BD">
      <w:pPr>
        <w:spacing w:line="480" w:lineRule="auto"/>
      </w:pPr>
    </w:p>
    <w:p w14:paraId="23AE2DCD" w14:textId="30F1614B" w:rsidR="00D70B8D" w:rsidRDefault="00D70B8D" w:rsidP="006A73BD">
      <w:pPr>
        <w:spacing w:line="480" w:lineRule="auto"/>
      </w:pPr>
    </w:p>
    <w:p w14:paraId="372E561C" w14:textId="58BD03D8" w:rsidR="00D70B8D" w:rsidRDefault="00D70B8D" w:rsidP="006A73BD">
      <w:pPr>
        <w:spacing w:line="480" w:lineRule="auto"/>
      </w:pPr>
    </w:p>
    <w:p w14:paraId="66496290" w14:textId="0AD3901A" w:rsidR="00D70B8D" w:rsidRDefault="00D70B8D" w:rsidP="006A73BD">
      <w:pPr>
        <w:spacing w:line="480" w:lineRule="auto"/>
      </w:pPr>
    </w:p>
    <w:p w14:paraId="714BDEA7" w14:textId="374A2E7E" w:rsidR="00D70B8D" w:rsidRDefault="00D70B8D" w:rsidP="006A73BD">
      <w:pPr>
        <w:spacing w:line="480" w:lineRule="auto"/>
      </w:pPr>
    </w:p>
    <w:p w14:paraId="33E6755C" w14:textId="77777777" w:rsidR="005357D4" w:rsidRPr="006A73BD" w:rsidRDefault="005357D4" w:rsidP="006A73BD">
      <w:pPr>
        <w:spacing w:line="480" w:lineRule="auto"/>
      </w:pP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1"/>
        <w:gridCol w:w="1445"/>
        <w:gridCol w:w="1531"/>
        <w:gridCol w:w="1443"/>
        <w:gridCol w:w="1342"/>
        <w:gridCol w:w="1348"/>
        <w:gridCol w:w="1262"/>
      </w:tblGrid>
      <w:tr w:rsidR="00DE14C9" w:rsidRPr="0078126D" w14:paraId="77A11666" w14:textId="77777777" w:rsidTr="00F65F5C">
        <w:trPr>
          <w:cantSplit/>
        </w:trPr>
        <w:tc>
          <w:tcPr>
            <w:tcW w:w="5000" w:type="pct"/>
            <w:gridSpan w:val="7"/>
            <w:tcBorders>
              <w:bottom w:val="single" w:sz="4" w:space="0" w:color="auto"/>
            </w:tcBorders>
            <w:shd w:val="clear" w:color="auto" w:fill="D9D9D9"/>
          </w:tcPr>
          <w:p w14:paraId="241FEBAD" w14:textId="7A1DB329" w:rsidR="00DE14C9" w:rsidRPr="0078126D" w:rsidRDefault="00DE14C9" w:rsidP="00F65F5C">
            <w:pPr>
              <w:jc w:val="center"/>
              <w:rPr>
                <w:rFonts w:eastAsia="Calibri"/>
                <w:b/>
                <w:sz w:val="20"/>
                <w:szCs w:val="20"/>
              </w:rPr>
            </w:pPr>
            <w:r w:rsidRPr="0078126D">
              <w:rPr>
                <w:rFonts w:eastAsia="Calibri"/>
                <w:b/>
                <w:sz w:val="20"/>
                <w:szCs w:val="20"/>
              </w:rPr>
              <w:t>FERC-549: NGPA Title III Transactions and NGA Blanket Certificate Transaction</w:t>
            </w:r>
            <w:r>
              <w:rPr>
                <w:rStyle w:val="FootnoteReference"/>
                <w:rFonts w:eastAsia="Calibri"/>
              </w:rPr>
              <w:footnoteReference w:id="2"/>
            </w:r>
          </w:p>
        </w:tc>
      </w:tr>
      <w:tr w:rsidR="0008031C" w:rsidRPr="0078126D" w14:paraId="3866E169" w14:textId="77777777" w:rsidTr="00F65F5C">
        <w:trPr>
          <w:cantSplit/>
        </w:trPr>
        <w:tc>
          <w:tcPr>
            <w:tcW w:w="921" w:type="pct"/>
            <w:shd w:val="clear" w:color="auto" w:fill="D9D9D9"/>
          </w:tcPr>
          <w:p w14:paraId="67AA3997" w14:textId="77777777" w:rsidR="0008031C" w:rsidRPr="001251FC" w:rsidRDefault="0008031C" w:rsidP="00F65F5C">
            <w:pPr>
              <w:jc w:val="center"/>
              <w:rPr>
                <w:rFonts w:eastAsia="Calibri"/>
                <w:sz w:val="20"/>
                <w:szCs w:val="20"/>
              </w:rPr>
            </w:pPr>
          </w:p>
        </w:tc>
        <w:tc>
          <w:tcPr>
            <w:tcW w:w="704" w:type="pct"/>
            <w:shd w:val="clear" w:color="auto" w:fill="D9D9D9"/>
            <w:vAlign w:val="bottom"/>
          </w:tcPr>
          <w:p w14:paraId="087056E3" w14:textId="77777777" w:rsidR="0008031C" w:rsidRPr="0078126D" w:rsidRDefault="0008031C" w:rsidP="00F65F5C">
            <w:pPr>
              <w:jc w:val="center"/>
              <w:rPr>
                <w:rFonts w:eastAsia="Calibri"/>
                <w:b/>
                <w:sz w:val="20"/>
                <w:szCs w:val="20"/>
              </w:rPr>
            </w:pPr>
          </w:p>
        </w:tc>
        <w:tc>
          <w:tcPr>
            <w:tcW w:w="746" w:type="pct"/>
            <w:shd w:val="clear" w:color="auto" w:fill="D9D9D9"/>
            <w:vAlign w:val="bottom"/>
          </w:tcPr>
          <w:p w14:paraId="58C1EDB3" w14:textId="77777777" w:rsidR="0008031C" w:rsidRPr="0078126D" w:rsidRDefault="0008031C" w:rsidP="00F65F5C">
            <w:pPr>
              <w:jc w:val="center"/>
              <w:rPr>
                <w:rFonts w:eastAsia="Calibri"/>
                <w:b/>
                <w:sz w:val="20"/>
                <w:szCs w:val="20"/>
              </w:rPr>
            </w:pPr>
          </w:p>
        </w:tc>
        <w:tc>
          <w:tcPr>
            <w:tcW w:w="703" w:type="pct"/>
            <w:shd w:val="clear" w:color="auto" w:fill="D9D9D9"/>
            <w:vAlign w:val="bottom"/>
          </w:tcPr>
          <w:p w14:paraId="22C8BE73" w14:textId="77777777" w:rsidR="0008031C" w:rsidRPr="0078126D" w:rsidRDefault="0008031C" w:rsidP="00F65F5C">
            <w:pPr>
              <w:jc w:val="center"/>
              <w:rPr>
                <w:rFonts w:eastAsia="Calibri"/>
                <w:b/>
                <w:sz w:val="20"/>
                <w:szCs w:val="20"/>
              </w:rPr>
            </w:pPr>
          </w:p>
        </w:tc>
        <w:tc>
          <w:tcPr>
            <w:tcW w:w="654" w:type="pct"/>
            <w:shd w:val="clear" w:color="auto" w:fill="D9D9D9"/>
            <w:vAlign w:val="bottom"/>
          </w:tcPr>
          <w:p w14:paraId="0A3F1421" w14:textId="77777777" w:rsidR="0008031C" w:rsidRPr="0078126D" w:rsidRDefault="0008031C" w:rsidP="00F65F5C">
            <w:pPr>
              <w:jc w:val="center"/>
              <w:rPr>
                <w:rFonts w:eastAsia="Calibri"/>
                <w:b/>
                <w:sz w:val="20"/>
                <w:szCs w:val="20"/>
              </w:rPr>
            </w:pPr>
          </w:p>
        </w:tc>
        <w:tc>
          <w:tcPr>
            <w:tcW w:w="657" w:type="pct"/>
            <w:shd w:val="clear" w:color="auto" w:fill="D9D9D9"/>
            <w:vAlign w:val="bottom"/>
          </w:tcPr>
          <w:p w14:paraId="30F3DB01" w14:textId="77777777" w:rsidR="0008031C" w:rsidRPr="0078126D" w:rsidRDefault="0008031C" w:rsidP="00F65F5C">
            <w:pPr>
              <w:jc w:val="center"/>
              <w:rPr>
                <w:rFonts w:eastAsia="Calibri"/>
                <w:b/>
                <w:sz w:val="20"/>
                <w:szCs w:val="20"/>
              </w:rPr>
            </w:pPr>
          </w:p>
        </w:tc>
        <w:tc>
          <w:tcPr>
            <w:tcW w:w="615" w:type="pct"/>
            <w:shd w:val="clear" w:color="auto" w:fill="D9D9D9"/>
            <w:vAlign w:val="bottom"/>
          </w:tcPr>
          <w:p w14:paraId="162584DD" w14:textId="77777777" w:rsidR="0008031C" w:rsidRPr="0078126D" w:rsidRDefault="0008031C" w:rsidP="00F65F5C">
            <w:pPr>
              <w:jc w:val="center"/>
              <w:rPr>
                <w:rFonts w:eastAsia="Calibri"/>
                <w:b/>
                <w:sz w:val="20"/>
                <w:szCs w:val="20"/>
              </w:rPr>
            </w:pPr>
          </w:p>
        </w:tc>
      </w:tr>
      <w:tr w:rsidR="00DE14C9" w:rsidRPr="0078126D" w14:paraId="708E9651" w14:textId="77777777" w:rsidTr="00F65F5C">
        <w:trPr>
          <w:cantSplit/>
        </w:trPr>
        <w:tc>
          <w:tcPr>
            <w:tcW w:w="921" w:type="pct"/>
            <w:shd w:val="clear" w:color="auto" w:fill="D9D9D9"/>
          </w:tcPr>
          <w:p w14:paraId="79E53CFD" w14:textId="77777777" w:rsidR="00DE14C9" w:rsidRPr="001251FC" w:rsidRDefault="00DE14C9" w:rsidP="00F65F5C">
            <w:pPr>
              <w:jc w:val="center"/>
              <w:rPr>
                <w:rFonts w:eastAsia="Calibri"/>
                <w:sz w:val="20"/>
                <w:szCs w:val="20"/>
              </w:rPr>
            </w:pPr>
          </w:p>
        </w:tc>
        <w:tc>
          <w:tcPr>
            <w:tcW w:w="704" w:type="pct"/>
            <w:shd w:val="clear" w:color="auto" w:fill="D9D9D9"/>
            <w:vAlign w:val="bottom"/>
          </w:tcPr>
          <w:p w14:paraId="6A61B283" w14:textId="77777777" w:rsidR="00DE14C9" w:rsidRPr="0078126D" w:rsidRDefault="00DE14C9" w:rsidP="00F65F5C">
            <w:pPr>
              <w:jc w:val="center"/>
              <w:rPr>
                <w:rFonts w:eastAsia="Calibri"/>
                <w:b/>
                <w:sz w:val="20"/>
                <w:szCs w:val="20"/>
              </w:rPr>
            </w:pPr>
            <w:r w:rsidRPr="0078126D">
              <w:rPr>
                <w:rFonts w:eastAsia="Calibri"/>
                <w:b/>
                <w:sz w:val="20"/>
                <w:szCs w:val="20"/>
              </w:rPr>
              <w:t>Number of Respondents</w:t>
            </w:r>
            <w:r w:rsidRPr="0078126D">
              <w:rPr>
                <w:rFonts w:eastAsia="Calibri"/>
                <w:b/>
                <w:sz w:val="20"/>
                <w:szCs w:val="20"/>
              </w:rPr>
              <w:br/>
              <w:t>(1)</w:t>
            </w:r>
          </w:p>
        </w:tc>
        <w:tc>
          <w:tcPr>
            <w:tcW w:w="746" w:type="pct"/>
            <w:shd w:val="clear" w:color="auto" w:fill="D9D9D9"/>
            <w:vAlign w:val="bottom"/>
          </w:tcPr>
          <w:p w14:paraId="410A4E7D" w14:textId="77777777" w:rsidR="00DE14C9" w:rsidRPr="0078126D" w:rsidRDefault="00DE14C9" w:rsidP="00F65F5C">
            <w:pPr>
              <w:jc w:val="center"/>
              <w:rPr>
                <w:rFonts w:eastAsia="Calibri"/>
                <w:b/>
                <w:sz w:val="20"/>
                <w:szCs w:val="20"/>
              </w:rPr>
            </w:pPr>
            <w:r w:rsidRPr="0078126D">
              <w:rPr>
                <w:rFonts w:eastAsia="Calibri"/>
                <w:b/>
                <w:sz w:val="20"/>
                <w:szCs w:val="20"/>
              </w:rPr>
              <w:t>Annual Number of Responses per Respondent</w:t>
            </w:r>
          </w:p>
          <w:p w14:paraId="4371F7C3" w14:textId="77777777" w:rsidR="00DE14C9" w:rsidRPr="0078126D" w:rsidRDefault="00DE14C9" w:rsidP="00F65F5C">
            <w:pPr>
              <w:jc w:val="center"/>
              <w:rPr>
                <w:rFonts w:eastAsia="Calibri"/>
                <w:b/>
                <w:sz w:val="20"/>
                <w:szCs w:val="20"/>
              </w:rPr>
            </w:pPr>
            <w:r w:rsidRPr="0078126D">
              <w:rPr>
                <w:rFonts w:eastAsia="Calibri"/>
                <w:b/>
                <w:sz w:val="20"/>
                <w:szCs w:val="20"/>
              </w:rPr>
              <w:t>(2)</w:t>
            </w:r>
          </w:p>
        </w:tc>
        <w:tc>
          <w:tcPr>
            <w:tcW w:w="703" w:type="pct"/>
            <w:shd w:val="clear" w:color="auto" w:fill="D9D9D9"/>
            <w:vAlign w:val="bottom"/>
          </w:tcPr>
          <w:p w14:paraId="063AD254" w14:textId="77777777" w:rsidR="00DE14C9" w:rsidRPr="0078126D" w:rsidRDefault="00DE14C9" w:rsidP="00F65F5C">
            <w:pPr>
              <w:jc w:val="center"/>
              <w:rPr>
                <w:rFonts w:eastAsia="Calibri"/>
                <w:b/>
                <w:sz w:val="20"/>
                <w:szCs w:val="20"/>
              </w:rPr>
            </w:pPr>
            <w:r w:rsidRPr="0078126D">
              <w:rPr>
                <w:rFonts w:eastAsia="Calibri"/>
                <w:b/>
                <w:sz w:val="20"/>
                <w:szCs w:val="20"/>
              </w:rPr>
              <w:t>Total Number of Responses (1)*(2)=(3)</w:t>
            </w:r>
          </w:p>
        </w:tc>
        <w:tc>
          <w:tcPr>
            <w:tcW w:w="654" w:type="pct"/>
            <w:shd w:val="clear" w:color="auto" w:fill="D9D9D9"/>
            <w:vAlign w:val="bottom"/>
          </w:tcPr>
          <w:p w14:paraId="19A395DE" w14:textId="77777777" w:rsidR="00DE14C9" w:rsidRPr="0078126D" w:rsidRDefault="00DE14C9" w:rsidP="00F65F5C">
            <w:pPr>
              <w:jc w:val="center"/>
              <w:rPr>
                <w:rFonts w:eastAsia="Calibri"/>
                <w:b/>
                <w:sz w:val="20"/>
                <w:szCs w:val="20"/>
              </w:rPr>
            </w:pPr>
            <w:r w:rsidRPr="0078126D">
              <w:rPr>
                <w:rFonts w:eastAsia="Calibri"/>
                <w:b/>
                <w:sz w:val="20"/>
                <w:szCs w:val="20"/>
              </w:rPr>
              <w:t xml:space="preserve">Average Burden </w:t>
            </w:r>
            <w:r>
              <w:rPr>
                <w:rFonts w:eastAsia="Calibri"/>
                <w:b/>
                <w:sz w:val="20"/>
                <w:szCs w:val="20"/>
              </w:rPr>
              <w:t xml:space="preserve">Hrs. </w:t>
            </w:r>
            <w:r w:rsidRPr="0078126D">
              <w:rPr>
                <w:rFonts w:eastAsia="Calibri"/>
                <w:b/>
                <w:sz w:val="20"/>
                <w:szCs w:val="20"/>
              </w:rPr>
              <w:t xml:space="preserve">&amp; Cost </w:t>
            </w:r>
            <w:r>
              <w:rPr>
                <w:rFonts w:eastAsia="Calibri"/>
                <w:b/>
                <w:sz w:val="20"/>
                <w:szCs w:val="20"/>
              </w:rPr>
              <w:t xml:space="preserve">($) </w:t>
            </w:r>
            <w:r w:rsidRPr="0078126D">
              <w:rPr>
                <w:rFonts w:eastAsia="Calibri"/>
                <w:b/>
                <w:sz w:val="20"/>
                <w:szCs w:val="20"/>
              </w:rPr>
              <w:t>Per Response</w:t>
            </w:r>
          </w:p>
          <w:p w14:paraId="33B925B7" w14:textId="77777777" w:rsidR="00DE14C9" w:rsidRPr="0078126D" w:rsidRDefault="00DE14C9" w:rsidP="00F65F5C">
            <w:pPr>
              <w:jc w:val="center"/>
              <w:rPr>
                <w:rFonts w:eastAsia="Calibri"/>
                <w:b/>
                <w:sz w:val="20"/>
                <w:szCs w:val="20"/>
              </w:rPr>
            </w:pPr>
            <w:r w:rsidRPr="0078126D">
              <w:rPr>
                <w:rFonts w:eastAsia="Calibri"/>
                <w:b/>
                <w:sz w:val="20"/>
                <w:szCs w:val="20"/>
              </w:rPr>
              <w:t>(4)</w:t>
            </w:r>
          </w:p>
        </w:tc>
        <w:tc>
          <w:tcPr>
            <w:tcW w:w="657" w:type="pct"/>
            <w:shd w:val="clear" w:color="auto" w:fill="D9D9D9"/>
            <w:vAlign w:val="bottom"/>
          </w:tcPr>
          <w:p w14:paraId="60E89C92" w14:textId="77777777" w:rsidR="00DE14C9" w:rsidRPr="0078126D" w:rsidRDefault="00DE14C9" w:rsidP="00F65F5C">
            <w:pPr>
              <w:jc w:val="center"/>
              <w:rPr>
                <w:rFonts w:eastAsia="Calibri"/>
                <w:b/>
                <w:sz w:val="20"/>
                <w:szCs w:val="20"/>
              </w:rPr>
            </w:pPr>
            <w:r w:rsidRPr="0078126D">
              <w:rPr>
                <w:rFonts w:eastAsia="Calibri"/>
                <w:b/>
                <w:sz w:val="20"/>
                <w:szCs w:val="20"/>
              </w:rPr>
              <w:t>Total Annual Burden Hours &amp; Total Annual Cost</w:t>
            </w:r>
            <w:r>
              <w:rPr>
                <w:rFonts w:eastAsia="Calibri"/>
                <w:b/>
                <w:sz w:val="20"/>
                <w:szCs w:val="20"/>
              </w:rPr>
              <w:t xml:space="preserve"> ($) (rounded)</w:t>
            </w:r>
          </w:p>
          <w:p w14:paraId="56CB64A1" w14:textId="77777777" w:rsidR="00DE14C9" w:rsidRPr="0078126D" w:rsidRDefault="00DE14C9" w:rsidP="00F65F5C">
            <w:pPr>
              <w:jc w:val="center"/>
              <w:rPr>
                <w:rFonts w:eastAsia="Calibri"/>
                <w:b/>
                <w:sz w:val="20"/>
                <w:szCs w:val="20"/>
              </w:rPr>
            </w:pPr>
            <w:r w:rsidRPr="0078126D">
              <w:rPr>
                <w:rFonts w:eastAsia="Calibri"/>
                <w:b/>
                <w:sz w:val="20"/>
                <w:szCs w:val="20"/>
              </w:rPr>
              <w:t>(3)*(4)=(5)</w:t>
            </w:r>
          </w:p>
        </w:tc>
        <w:tc>
          <w:tcPr>
            <w:tcW w:w="615" w:type="pct"/>
            <w:shd w:val="clear" w:color="auto" w:fill="D9D9D9"/>
            <w:vAlign w:val="bottom"/>
          </w:tcPr>
          <w:p w14:paraId="53E05B4A" w14:textId="77777777" w:rsidR="00DE14C9" w:rsidRPr="0078126D" w:rsidRDefault="00DE14C9" w:rsidP="00F65F5C">
            <w:pPr>
              <w:jc w:val="center"/>
              <w:rPr>
                <w:rFonts w:eastAsia="Calibri"/>
                <w:b/>
                <w:sz w:val="20"/>
                <w:szCs w:val="20"/>
              </w:rPr>
            </w:pPr>
            <w:r w:rsidRPr="0078126D">
              <w:rPr>
                <w:rFonts w:eastAsia="Calibri"/>
                <w:b/>
                <w:sz w:val="20"/>
                <w:szCs w:val="20"/>
              </w:rPr>
              <w:t>Cost per Respondent</w:t>
            </w:r>
          </w:p>
          <w:p w14:paraId="611B07D0" w14:textId="77777777" w:rsidR="00DE14C9" w:rsidRPr="0078126D" w:rsidRDefault="00DE14C9" w:rsidP="00F65F5C">
            <w:pPr>
              <w:jc w:val="center"/>
              <w:rPr>
                <w:rFonts w:eastAsia="Calibri"/>
                <w:b/>
                <w:sz w:val="20"/>
                <w:szCs w:val="20"/>
              </w:rPr>
            </w:pPr>
            <w:r w:rsidRPr="0078126D">
              <w:rPr>
                <w:rFonts w:eastAsia="Calibri"/>
                <w:b/>
                <w:sz w:val="20"/>
                <w:szCs w:val="20"/>
              </w:rPr>
              <w:t xml:space="preserve"> ($)</w:t>
            </w:r>
          </w:p>
          <w:p w14:paraId="65079FE9" w14:textId="77777777" w:rsidR="00DE14C9" w:rsidRPr="0078126D" w:rsidRDefault="00DE14C9" w:rsidP="00F65F5C">
            <w:pPr>
              <w:jc w:val="center"/>
              <w:rPr>
                <w:rFonts w:eastAsia="Calibri"/>
                <w:b/>
                <w:sz w:val="20"/>
                <w:szCs w:val="20"/>
              </w:rPr>
            </w:pPr>
            <w:r w:rsidRPr="0078126D">
              <w:rPr>
                <w:rFonts w:eastAsia="Calibri"/>
                <w:b/>
                <w:sz w:val="20"/>
                <w:szCs w:val="20"/>
              </w:rPr>
              <w:t>(5)÷(1)</w:t>
            </w:r>
          </w:p>
        </w:tc>
      </w:tr>
      <w:tr w:rsidR="00DE14C9" w:rsidRPr="0078126D" w14:paraId="0170AAE6" w14:textId="77777777" w:rsidTr="00F65F5C">
        <w:trPr>
          <w:cantSplit/>
        </w:trPr>
        <w:tc>
          <w:tcPr>
            <w:tcW w:w="921" w:type="pct"/>
          </w:tcPr>
          <w:p w14:paraId="2929981D" w14:textId="77777777" w:rsidR="00DE14C9" w:rsidRPr="0078126D" w:rsidRDefault="00DE14C9" w:rsidP="00F65F5C">
            <w:pPr>
              <w:rPr>
                <w:rFonts w:eastAsia="Calibri"/>
                <w:sz w:val="20"/>
                <w:szCs w:val="20"/>
              </w:rPr>
            </w:pPr>
            <w:r w:rsidRPr="004F0675">
              <w:rPr>
                <w:rFonts w:eastAsia="Calibri"/>
                <w:sz w:val="20"/>
                <w:szCs w:val="20"/>
              </w:rPr>
              <w:t xml:space="preserve">Transportation </w:t>
            </w:r>
            <w:r>
              <w:rPr>
                <w:rFonts w:eastAsia="Calibri"/>
                <w:sz w:val="20"/>
                <w:szCs w:val="20"/>
              </w:rPr>
              <w:t xml:space="preserve">by </w:t>
            </w:r>
            <w:r w:rsidRPr="004F0675">
              <w:rPr>
                <w:rFonts w:eastAsia="Calibri"/>
                <w:sz w:val="20"/>
                <w:szCs w:val="20"/>
              </w:rPr>
              <w:t>Pipelines</w:t>
            </w:r>
            <w:r w:rsidRPr="004F0675">
              <w:rPr>
                <w:rStyle w:val="FootnoteReference"/>
                <w:rFonts w:eastAsia="Calibri"/>
              </w:rPr>
              <w:footnoteReference w:id="3"/>
            </w:r>
          </w:p>
        </w:tc>
        <w:tc>
          <w:tcPr>
            <w:tcW w:w="704" w:type="pct"/>
          </w:tcPr>
          <w:p w14:paraId="3BBD5F96" w14:textId="77777777" w:rsidR="00DE14C9" w:rsidRPr="0078126D" w:rsidRDefault="00DE14C9" w:rsidP="00F65F5C">
            <w:pPr>
              <w:jc w:val="right"/>
              <w:rPr>
                <w:rFonts w:eastAsia="Calibri"/>
                <w:sz w:val="20"/>
                <w:szCs w:val="20"/>
              </w:rPr>
            </w:pPr>
            <w:r w:rsidRPr="0078126D">
              <w:rPr>
                <w:rFonts w:eastAsia="Calibri"/>
                <w:sz w:val="20"/>
                <w:szCs w:val="20"/>
              </w:rPr>
              <w:t>5</w:t>
            </w:r>
            <w:r>
              <w:rPr>
                <w:rFonts w:eastAsia="Calibri"/>
                <w:sz w:val="20"/>
                <w:szCs w:val="20"/>
              </w:rPr>
              <w:t>3</w:t>
            </w:r>
          </w:p>
        </w:tc>
        <w:tc>
          <w:tcPr>
            <w:tcW w:w="746" w:type="pct"/>
          </w:tcPr>
          <w:p w14:paraId="6B08C92B" w14:textId="77777777" w:rsidR="00DE14C9" w:rsidRPr="0078126D" w:rsidRDefault="00DE14C9" w:rsidP="00F65F5C">
            <w:pPr>
              <w:jc w:val="right"/>
              <w:rPr>
                <w:rFonts w:eastAsia="Calibri"/>
                <w:sz w:val="20"/>
                <w:szCs w:val="20"/>
              </w:rPr>
            </w:pPr>
            <w:r>
              <w:rPr>
                <w:rFonts w:eastAsia="Calibri"/>
                <w:sz w:val="20"/>
                <w:szCs w:val="20"/>
              </w:rPr>
              <w:t>2</w:t>
            </w:r>
          </w:p>
        </w:tc>
        <w:tc>
          <w:tcPr>
            <w:tcW w:w="703" w:type="pct"/>
          </w:tcPr>
          <w:p w14:paraId="4B1A61FE" w14:textId="77777777" w:rsidR="00DE14C9" w:rsidRPr="0078126D" w:rsidRDefault="00DE14C9" w:rsidP="00F65F5C">
            <w:pPr>
              <w:jc w:val="right"/>
              <w:rPr>
                <w:rFonts w:eastAsia="Calibri"/>
                <w:sz w:val="20"/>
                <w:szCs w:val="20"/>
              </w:rPr>
            </w:pPr>
            <w:r w:rsidRPr="00655FC4">
              <w:rPr>
                <w:rFonts w:eastAsia="Calibri"/>
                <w:sz w:val="20"/>
                <w:szCs w:val="20"/>
              </w:rPr>
              <w:t>106</w:t>
            </w:r>
          </w:p>
        </w:tc>
        <w:tc>
          <w:tcPr>
            <w:tcW w:w="654" w:type="pct"/>
          </w:tcPr>
          <w:p w14:paraId="4E2E325A" w14:textId="77777777" w:rsidR="00DE14C9" w:rsidRPr="0078126D" w:rsidRDefault="00DE14C9" w:rsidP="00F65F5C">
            <w:pPr>
              <w:jc w:val="right"/>
              <w:rPr>
                <w:rFonts w:eastAsia="Calibri"/>
                <w:sz w:val="20"/>
                <w:szCs w:val="20"/>
              </w:rPr>
            </w:pPr>
            <w:r w:rsidRPr="0078126D">
              <w:rPr>
                <w:rFonts w:eastAsia="Calibri"/>
                <w:sz w:val="20"/>
                <w:szCs w:val="20"/>
              </w:rPr>
              <w:t>50 hrs.;</w:t>
            </w:r>
          </w:p>
          <w:p w14:paraId="5D4E81CF" w14:textId="77777777" w:rsidR="00DE14C9" w:rsidRPr="0078126D" w:rsidRDefault="00DE14C9" w:rsidP="00F65F5C">
            <w:pPr>
              <w:jc w:val="right"/>
              <w:rPr>
                <w:rFonts w:eastAsia="Calibri"/>
                <w:sz w:val="20"/>
                <w:szCs w:val="20"/>
              </w:rPr>
            </w:pPr>
            <w:r w:rsidRPr="0078126D">
              <w:rPr>
                <w:rFonts w:eastAsia="Calibri"/>
                <w:sz w:val="20"/>
                <w:szCs w:val="20"/>
              </w:rPr>
              <w:t>$</w:t>
            </w:r>
            <w:r>
              <w:rPr>
                <w:rFonts w:eastAsia="Calibri"/>
                <w:sz w:val="20"/>
                <w:szCs w:val="20"/>
              </w:rPr>
              <w:t>5,331</w:t>
            </w:r>
          </w:p>
        </w:tc>
        <w:tc>
          <w:tcPr>
            <w:tcW w:w="657" w:type="pct"/>
          </w:tcPr>
          <w:p w14:paraId="27D6B73F" w14:textId="77777777" w:rsidR="00DE14C9" w:rsidRPr="0078126D" w:rsidRDefault="00DE14C9" w:rsidP="00F65F5C">
            <w:pPr>
              <w:jc w:val="right"/>
              <w:rPr>
                <w:rFonts w:eastAsia="Calibri"/>
                <w:sz w:val="20"/>
                <w:szCs w:val="20"/>
              </w:rPr>
            </w:pPr>
            <w:r w:rsidRPr="00655FC4">
              <w:rPr>
                <w:rFonts w:eastAsia="Calibri"/>
                <w:sz w:val="20"/>
                <w:szCs w:val="20"/>
              </w:rPr>
              <w:t>5,300 hrs</w:t>
            </w:r>
            <w:r w:rsidRPr="0078126D">
              <w:rPr>
                <w:rFonts w:eastAsia="Calibri"/>
                <w:sz w:val="20"/>
                <w:szCs w:val="20"/>
              </w:rPr>
              <w:t>.;</w:t>
            </w:r>
          </w:p>
          <w:p w14:paraId="7340A594" w14:textId="77777777" w:rsidR="00DE14C9" w:rsidRPr="0078126D" w:rsidRDefault="00DE14C9" w:rsidP="00F65F5C">
            <w:pPr>
              <w:jc w:val="right"/>
              <w:rPr>
                <w:rFonts w:eastAsia="Calibri"/>
                <w:sz w:val="20"/>
                <w:szCs w:val="20"/>
              </w:rPr>
            </w:pPr>
            <w:r>
              <w:rPr>
                <w:rFonts w:eastAsia="Calibri"/>
                <w:sz w:val="20"/>
                <w:szCs w:val="20"/>
              </w:rPr>
              <w:t>$565,086</w:t>
            </w:r>
          </w:p>
        </w:tc>
        <w:tc>
          <w:tcPr>
            <w:tcW w:w="615" w:type="pct"/>
          </w:tcPr>
          <w:p w14:paraId="121D19BA" w14:textId="77777777" w:rsidR="00DE14C9" w:rsidRPr="0078126D" w:rsidRDefault="00DE14C9" w:rsidP="00F65F5C">
            <w:pPr>
              <w:jc w:val="right"/>
              <w:rPr>
                <w:rFonts w:eastAsia="Calibri"/>
                <w:sz w:val="20"/>
                <w:szCs w:val="20"/>
              </w:rPr>
            </w:pPr>
            <w:r w:rsidRPr="0078126D">
              <w:rPr>
                <w:rFonts w:eastAsia="Calibri"/>
                <w:sz w:val="20"/>
                <w:szCs w:val="20"/>
              </w:rPr>
              <w:t>$</w:t>
            </w:r>
            <w:r>
              <w:rPr>
                <w:rFonts w:eastAsia="Calibri"/>
                <w:sz w:val="20"/>
                <w:szCs w:val="20"/>
              </w:rPr>
              <w:t>10,662</w:t>
            </w:r>
          </w:p>
        </w:tc>
      </w:tr>
      <w:tr w:rsidR="00DE14C9" w:rsidRPr="0078126D" w14:paraId="6B8C1AEE" w14:textId="77777777" w:rsidTr="00F65F5C">
        <w:trPr>
          <w:cantSplit/>
        </w:trPr>
        <w:tc>
          <w:tcPr>
            <w:tcW w:w="921" w:type="pct"/>
          </w:tcPr>
          <w:p w14:paraId="5A58E11E" w14:textId="77777777" w:rsidR="00DE14C9" w:rsidRPr="0078126D" w:rsidRDefault="00DE14C9" w:rsidP="00F65F5C">
            <w:pPr>
              <w:rPr>
                <w:rFonts w:eastAsia="Calibri"/>
                <w:sz w:val="20"/>
                <w:szCs w:val="20"/>
              </w:rPr>
            </w:pPr>
            <w:r w:rsidRPr="0078126D">
              <w:rPr>
                <w:rFonts w:eastAsia="Calibri"/>
                <w:sz w:val="20"/>
                <w:szCs w:val="20"/>
              </w:rPr>
              <w:t>Market-Based Rates</w:t>
            </w:r>
            <w:r w:rsidRPr="0078126D">
              <w:rPr>
                <w:rStyle w:val="FootnoteReference"/>
                <w:rFonts w:eastAsia="Calibri"/>
              </w:rPr>
              <w:footnoteReference w:id="4"/>
            </w:r>
          </w:p>
        </w:tc>
        <w:tc>
          <w:tcPr>
            <w:tcW w:w="704" w:type="pct"/>
          </w:tcPr>
          <w:p w14:paraId="1EC11225" w14:textId="77777777" w:rsidR="00DE14C9" w:rsidRPr="0078126D" w:rsidRDefault="00DE14C9" w:rsidP="00F65F5C">
            <w:pPr>
              <w:jc w:val="right"/>
              <w:rPr>
                <w:rFonts w:eastAsia="Calibri"/>
                <w:sz w:val="20"/>
                <w:szCs w:val="20"/>
              </w:rPr>
            </w:pPr>
            <w:r>
              <w:rPr>
                <w:rFonts w:eastAsia="Calibri"/>
                <w:sz w:val="20"/>
                <w:szCs w:val="20"/>
              </w:rPr>
              <w:t>1</w:t>
            </w:r>
          </w:p>
        </w:tc>
        <w:tc>
          <w:tcPr>
            <w:tcW w:w="746" w:type="pct"/>
          </w:tcPr>
          <w:p w14:paraId="6FE1D700" w14:textId="77777777" w:rsidR="00DE14C9" w:rsidRPr="0078126D" w:rsidRDefault="00DE14C9" w:rsidP="00F65F5C">
            <w:pPr>
              <w:jc w:val="right"/>
              <w:rPr>
                <w:rFonts w:eastAsia="Calibri"/>
                <w:sz w:val="20"/>
                <w:szCs w:val="20"/>
              </w:rPr>
            </w:pPr>
            <w:r w:rsidRPr="0078126D">
              <w:rPr>
                <w:rFonts w:eastAsia="Calibri"/>
                <w:sz w:val="20"/>
                <w:szCs w:val="20"/>
              </w:rPr>
              <w:t>1</w:t>
            </w:r>
          </w:p>
        </w:tc>
        <w:tc>
          <w:tcPr>
            <w:tcW w:w="703" w:type="pct"/>
          </w:tcPr>
          <w:p w14:paraId="460218BB" w14:textId="77777777" w:rsidR="00DE14C9" w:rsidRPr="0078126D" w:rsidRDefault="00DE14C9" w:rsidP="00F65F5C">
            <w:pPr>
              <w:jc w:val="right"/>
              <w:rPr>
                <w:rFonts w:eastAsia="Calibri"/>
                <w:sz w:val="20"/>
                <w:szCs w:val="20"/>
              </w:rPr>
            </w:pPr>
            <w:r>
              <w:rPr>
                <w:rFonts w:eastAsia="Calibri"/>
                <w:sz w:val="20"/>
                <w:szCs w:val="20"/>
              </w:rPr>
              <w:t>1</w:t>
            </w:r>
          </w:p>
        </w:tc>
        <w:tc>
          <w:tcPr>
            <w:tcW w:w="654" w:type="pct"/>
          </w:tcPr>
          <w:p w14:paraId="597B8FFB" w14:textId="77777777" w:rsidR="00DE14C9" w:rsidRPr="0078126D" w:rsidRDefault="00DE14C9" w:rsidP="00F65F5C">
            <w:pPr>
              <w:jc w:val="right"/>
              <w:rPr>
                <w:rFonts w:eastAsia="Calibri"/>
                <w:sz w:val="20"/>
                <w:szCs w:val="20"/>
              </w:rPr>
            </w:pPr>
            <w:r w:rsidRPr="0078126D">
              <w:rPr>
                <w:rFonts w:eastAsia="Calibri"/>
                <w:sz w:val="20"/>
                <w:szCs w:val="20"/>
              </w:rPr>
              <w:t>350 hrs.;</w:t>
            </w:r>
          </w:p>
          <w:p w14:paraId="744F660C" w14:textId="77777777" w:rsidR="00DE14C9" w:rsidRPr="0078126D" w:rsidRDefault="00DE14C9" w:rsidP="00F65F5C">
            <w:pPr>
              <w:jc w:val="right"/>
              <w:rPr>
                <w:rFonts w:eastAsia="Calibri"/>
                <w:sz w:val="20"/>
                <w:szCs w:val="20"/>
              </w:rPr>
            </w:pPr>
            <w:r>
              <w:rPr>
                <w:rFonts w:eastAsia="Calibri"/>
                <w:sz w:val="20"/>
                <w:szCs w:val="20"/>
              </w:rPr>
              <w:t>$37,317</w:t>
            </w:r>
          </w:p>
        </w:tc>
        <w:tc>
          <w:tcPr>
            <w:tcW w:w="657" w:type="pct"/>
          </w:tcPr>
          <w:p w14:paraId="250AE0B5" w14:textId="77777777" w:rsidR="00DE14C9" w:rsidRPr="0078126D" w:rsidRDefault="00DE14C9" w:rsidP="00F65F5C">
            <w:pPr>
              <w:jc w:val="right"/>
              <w:rPr>
                <w:rFonts w:eastAsia="Calibri"/>
                <w:sz w:val="20"/>
                <w:szCs w:val="20"/>
              </w:rPr>
            </w:pPr>
            <w:r w:rsidRPr="00655FC4">
              <w:rPr>
                <w:rFonts w:eastAsia="Calibri"/>
                <w:sz w:val="20"/>
                <w:szCs w:val="20"/>
              </w:rPr>
              <w:t>350 hrs.;</w:t>
            </w:r>
          </w:p>
          <w:p w14:paraId="2D5B4D75" w14:textId="77777777" w:rsidR="00DE14C9" w:rsidRPr="0078126D" w:rsidRDefault="00DE14C9" w:rsidP="00F65F5C">
            <w:pPr>
              <w:jc w:val="right"/>
              <w:rPr>
                <w:rFonts w:eastAsia="Calibri"/>
                <w:sz w:val="20"/>
                <w:szCs w:val="20"/>
              </w:rPr>
            </w:pPr>
            <w:r>
              <w:rPr>
                <w:rFonts w:eastAsia="Calibri"/>
                <w:sz w:val="20"/>
                <w:szCs w:val="20"/>
              </w:rPr>
              <w:t>$37,317</w:t>
            </w:r>
          </w:p>
        </w:tc>
        <w:tc>
          <w:tcPr>
            <w:tcW w:w="615" w:type="pct"/>
          </w:tcPr>
          <w:p w14:paraId="22B742D8" w14:textId="77777777" w:rsidR="00DE14C9" w:rsidRPr="0078126D" w:rsidRDefault="00DE14C9" w:rsidP="00F65F5C">
            <w:pPr>
              <w:jc w:val="right"/>
              <w:rPr>
                <w:rFonts w:eastAsia="Calibri"/>
                <w:sz w:val="20"/>
                <w:szCs w:val="20"/>
              </w:rPr>
            </w:pPr>
            <w:r w:rsidRPr="0078126D">
              <w:rPr>
                <w:rFonts w:eastAsia="Calibri"/>
                <w:sz w:val="20"/>
                <w:szCs w:val="20"/>
              </w:rPr>
              <w:t>$</w:t>
            </w:r>
            <w:r>
              <w:rPr>
                <w:rFonts w:eastAsia="Calibri"/>
                <w:sz w:val="20"/>
                <w:szCs w:val="20"/>
              </w:rPr>
              <w:t>37,317</w:t>
            </w:r>
          </w:p>
        </w:tc>
      </w:tr>
      <w:tr w:rsidR="00DE14C9" w:rsidRPr="00D77538" w14:paraId="5AA56D8D" w14:textId="77777777" w:rsidTr="00F65F5C">
        <w:trPr>
          <w:cantSplit/>
          <w:trHeight w:val="485"/>
        </w:trPr>
        <w:tc>
          <w:tcPr>
            <w:tcW w:w="921" w:type="pct"/>
            <w:tcBorders>
              <w:bottom w:val="single" w:sz="4" w:space="0" w:color="auto"/>
            </w:tcBorders>
          </w:tcPr>
          <w:p w14:paraId="78F1FAB8" w14:textId="77777777" w:rsidR="00DE14C9" w:rsidRPr="0078126D" w:rsidRDefault="00DE14C9" w:rsidP="00F65F5C">
            <w:pPr>
              <w:rPr>
                <w:rFonts w:eastAsia="Calibri"/>
                <w:b/>
                <w:sz w:val="20"/>
                <w:szCs w:val="20"/>
              </w:rPr>
            </w:pPr>
            <w:r w:rsidRPr="0078126D">
              <w:rPr>
                <w:rFonts w:eastAsia="Calibri"/>
                <w:b/>
                <w:sz w:val="20"/>
                <w:szCs w:val="20"/>
              </w:rPr>
              <w:t>TOTAL</w:t>
            </w:r>
          </w:p>
        </w:tc>
        <w:tc>
          <w:tcPr>
            <w:tcW w:w="1450" w:type="pct"/>
            <w:gridSpan w:val="2"/>
            <w:tcBorders>
              <w:bottom w:val="single" w:sz="4" w:space="0" w:color="auto"/>
            </w:tcBorders>
            <w:shd w:val="clear" w:color="auto" w:fill="D9D9D9"/>
          </w:tcPr>
          <w:p w14:paraId="762C5229" w14:textId="77777777" w:rsidR="00DE14C9" w:rsidRPr="0078126D" w:rsidRDefault="00DE14C9" w:rsidP="00F65F5C">
            <w:pPr>
              <w:jc w:val="right"/>
              <w:rPr>
                <w:rFonts w:eastAsia="Calibri"/>
                <w:sz w:val="20"/>
                <w:szCs w:val="20"/>
              </w:rPr>
            </w:pPr>
          </w:p>
        </w:tc>
        <w:tc>
          <w:tcPr>
            <w:tcW w:w="703" w:type="pct"/>
            <w:tcBorders>
              <w:bottom w:val="single" w:sz="4" w:space="0" w:color="auto"/>
            </w:tcBorders>
            <w:shd w:val="clear" w:color="auto" w:fill="auto"/>
          </w:tcPr>
          <w:p w14:paraId="1D58EFB3" w14:textId="77777777" w:rsidR="00DE14C9" w:rsidRPr="0078126D" w:rsidRDefault="00DE14C9" w:rsidP="00F65F5C">
            <w:pPr>
              <w:jc w:val="right"/>
              <w:rPr>
                <w:rFonts w:eastAsia="Calibri"/>
                <w:b/>
                <w:sz w:val="20"/>
                <w:szCs w:val="20"/>
              </w:rPr>
            </w:pPr>
            <w:r>
              <w:rPr>
                <w:rFonts w:eastAsia="Calibri"/>
                <w:b/>
                <w:sz w:val="20"/>
                <w:szCs w:val="20"/>
              </w:rPr>
              <w:t>107</w:t>
            </w:r>
          </w:p>
        </w:tc>
        <w:tc>
          <w:tcPr>
            <w:tcW w:w="654" w:type="pct"/>
            <w:tcBorders>
              <w:bottom w:val="single" w:sz="4" w:space="0" w:color="auto"/>
            </w:tcBorders>
            <w:shd w:val="clear" w:color="auto" w:fill="D9D9D9"/>
          </w:tcPr>
          <w:p w14:paraId="77F062CB" w14:textId="77777777" w:rsidR="00DE14C9" w:rsidRPr="0078126D" w:rsidRDefault="00DE14C9" w:rsidP="00F65F5C">
            <w:pPr>
              <w:jc w:val="right"/>
              <w:rPr>
                <w:rFonts w:eastAsia="Calibri"/>
                <w:sz w:val="20"/>
                <w:szCs w:val="20"/>
              </w:rPr>
            </w:pPr>
          </w:p>
        </w:tc>
        <w:tc>
          <w:tcPr>
            <w:tcW w:w="657" w:type="pct"/>
            <w:tcBorders>
              <w:bottom w:val="single" w:sz="4" w:space="0" w:color="auto"/>
            </w:tcBorders>
          </w:tcPr>
          <w:p w14:paraId="5C0AEB7F" w14:textId="77777777" w:rsidR="00DE14C9" w:rsidRPr="0078126D" w:rsidRDefault="00DE14C9" w:rsidP="00F65F5C">
            <w:pPr>
              <w:jc w:val="right"/>
              <w:rPr>
                <w:rFonts w:eastAsia="Calibri"/>
                <w:b/>
                <w:sz w:val="20"/>
                <w:szCs w:val="20"/>
              </w:rPr>
            </w:pPr>
            <w:r w:rsidRPr="001251FC">
              <w:rPr>
                <w:rFonts w:eastAsia="Calibri"/>
                <w:b/>
                <w:sz w:val="20"/>
                <w:szCs w:val="20"/>
              </w:rPr>
              <w:t>5,650</w:t>
            </w:r>
            <w:r>
              <w:rPr>
                <w:rFonts w:eastAsia="Calibri"/>
                <w:b/>
                <w:sz w:val="20"/>
                <w:szCs w:val="20"/>
              </w:rPr>
              <w:t xml:space="preserve"> </w:t>
            </w:r>
            <w:r w:rsidRPr="001251FC">
              <w:rPr>
                <w:rFonts w:eastAsia="Calibri"/>
                <w:b/>
                <w:sz w:val="20"/>
                <w:szCs w:val="20"/>
              </w:rPr>
              <w:t>hrs.;</w:t>
            </w:r>
          </w:p>
          <w:p w14:paraId="29F95AC1" w14:textId="77777777" w:rsidR="00DE14C9" w:rsidRPr="006A60CF" w:rsidRDefault="00DE14C9" w:rsidP="00F65F5C">
            <w:pPr>
              <w:jc w:val="right"/>
              <w:rPr>
                <w:rFonts w:eastAsia="Calibri"/>
                <w:b/>
                <w:sz w:val="20"/>
                <w:szCs w:val="20"/>
              </w:rPr>
            </w:pPr>
            <w:r w:rsidRPr="001251FC">
              <w:rPr>
                <w:rFonts w:eastAsia="Calibri"/>
                <w:b/>
                <w:sz w:val="20"/>
                <w:szCs w:val="20"/>
              </w:rPr>
              <w:t>$</w:t>
            </w:r>
            <w:r>
              <w:rPr>
                <w:rFonts w:eastAsia="Calibri"/>
                <w:b/>
                <w:sz w:val="20"/>
                <w:szCs w:val="20"/>
              </w:rPr>
              <w:t>602,403</w:t>
            </w:r>
          </w:p>
        </w:tc>
        <w:tc>
          <w:tcPr>
            <w:tcW w:w="615" w:type="pct"/>
            <w:tcBorders>
              <w:bottom w:val="single" w:sz="4" w:space="0" w:color="auto"/>
            </w:tcBorders>
            <w:shd w:val="clear" w:color="auto" w:fill="D9D9D9"/>
          </w:tcPr>
          <w:p w14:paraId="5E1B5C01" w14:textId="77777777" w:rsidR="00DE14C9" w:rsidRPr="006A60CF" w:rsidRDefault="00DE14C9" w:rsidP="00F65F5C">
            <w:pPr>
              <w:jc w:val="right"/>
              <w:rPr>
                <w:rFonts w:eastAsia="Calibri"/>
                <w:b/>
                <w:sz w:val="20"/>
                <w:szCs w:val="20"/>
              </w:rPr>
            </w:pPr>
          </w:p>
        </w:tc>
      </w:tr>
    </w:tbl>
    <w:p w14:paraId="1768963D" w14:textId="1456F23C" w:rsidR="007D32A5" w:rsidRDefault="007D32A5" w:rsidP="00DE14C9">
      <w:pPr>
        <w:spacing w:line="480" w:lineRule="auto"/>
      </w:pP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1"/>
        <w:gridCol w:w="1445"/>
        <w:gridCol w:w="1531"/>
        <w:gridCol w:w="1443"/>
        <w:gridCol w:w="1342"/>
        <w:gridCol w:w="1348"/>
        <w:gridCol w:w="1262"/>
      </w:tblGrid>
      <w:tr w:rsidR="00DE14C9" w:rsidRPr="0078126D" w14:paraId="322A9C44" w14:textId="77777777" w:rsidTr="00F65F5C">
        <w:trPr>
          <w:cantSplit/>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tcPr>
          <w:p w14:paraId="225857BC" w14:textId="7EDD731B" w:rsidR="00DE14C9" w:rsidRPr="0078126D" w:rsidRDefault="007D32A5" w:rsidP="00F65F5C">
            <w:pPr>
              <w:jc w:val="center"/>
              <w:rPr>
                <w:rFonts w:eastAsia="Calibri"/>
                <w:b/>
                <w:sz w:val="20"/>
                <w:szCs w:val="20"/>
              </w:rPr>
            </w:pPr>
            <w:r>
              <w:br w:type="page"/>
            </w:r>
            <w:r w:rsidR="00DE14C9">
              <w:rPr>
                <w:rFonts w:eastAsia="Calibri"/>
                <w:b/>
                <w:sz w:val="20"/>
                <w:szCs w:val="20"/>
              </w:rPr>
              <w:t>Record Retention Requirements for Holders of Blanket Marketing or Unbundled Sales Certificates</w:t>
            </w:r>
          </w:p>
        </w:tc>
      </w:tr>
      <w:tr w:rsidR="00DE14C9" w:rsidRPr="0078126D" w14:paraId="3B600546" w14:textId="77777777" w:rsidTr="00F65F5C">
        <w:trPr>
          <w:cantSplit/>
        </w:trPr>
        <w:tc>
          <w:tcPr>
            <w:tcW w:w="921" w:type="pct"/>
            <w:shd w:val="clear" w:color="auto" w:fill="D9D9D9"/>
            <w:vAlign w:val="bottom"/>
          </w:tcPr>
          <w:p w14:paraId="27B9B5CB" w14:textId="77777777" w:rsidR="00DE14C9" w:rsidRPr="001A6122" w:rsidRDefault="00DE14C9" w:rsidP="00F65F5C">
            <w:pPr>
              <w:jc w:val="center"/>
              <w:rPr>
                <w:rFonts w:eastAsia="Calibri"/>
                <w:b/>
                <w:sz w:val="20"/>
                <w:szCs w:val="20"/>
              </w:rPr>
            </w:pPr>
            <w:r w:rsidRPr="00866CB8">
              <w:rPr>
                <w:rFonts w:eastAsia="Calibri"/>
                <w:b/>
                <w:sz w:val="20"/>
                <w:szCs w:val="20"/>
              </w:rPr>
              <w:t>Labor Burden</w:t>
            </w:r>
            <w:r>
              <w:rPr>
                <w:rFonts w:eastAsia="Calibri"/>
                <w:b/>
                <w:sz w:val="20"/>
                <w:szCs w:val="20"/>
              </w:rPr>
              <w:t xml:space="preserve"> and Cost</w:t>
            </w:r>
          </w:p>
        </w:tc>
        <w:tc>
          <w:tcPr>
            <w:tcW w:w="704" w:type="pct"/>
            <w:shd w:val="clear" w:color="auto" w:fill="D9D9D9"/>
            <w:vAlign w:val="bottom"/>
          </w:tcPr>
          <w:p w14:paraId="1A800577" w14:textId="77777777" w:rsidR="00DE14C9" w:rsidRPr="0078126D" w:rsidRDefault="00DE14C9" w:rsidP="00F65F5C">
            <w:pPr>
              <w:jc w:val="center"/>
              <w:rPr>
                <w:rFonts w:eastAsia="Calibri"/>
                <w:b/>
                <w:sz w:val="20"/>
                <w:szCs w:val="20"/>
              </w:rPr>
            </w:pPr>
            <w:r w:rsidRPr="0078126D">
              <w:rPr>
                <w:rFonts w:eastAsia="Calibri"/>
                <w:b/>
                <w:sz w:val="20"/>
                <w:szCs w:val="20"/>
              </w:rPr>
              <w:t>Number of Respondents</w:t>
            </w:r>
            <w:r w:rsidRPr="0078126D">
              <w:rPr>
                <w:rFonts w:eastAsia="Calibri"/>
                <w:b/>
                <w:sz w:val="20"/>
                <w:szCs w:val="20"/>
              </w:rPr>
              <w:br/>
              <w:t>(1)</w:t>
            </w:r>
          </w:p>
        </w:tc>
        <w:tc>
          <w:tcPr>
            <w:tcW w:w="746" w:type="pct"/>
            <w:shd w:val="clear" w:color="auto" w:fill="D9D9D9"/>
            <w:vAlign w:val="bottom"/>
          </w:tcPr>
          <w:p w14:paraId="3C5E5C1B" w14:textId="77777777" w:rsidR="00DE14C9" w:rsidRPr="0078126D" w:rsidRDefault="00DE14C9" w:rsidP="00F65F5C">
            <w:pPr>
              <w:jc w:val="center"/>
              <w:rPr>
                <w:rFonts w:eastAsia="Calibri"/>
                <w:b/>
                <w:sz w:val="20"/>
                <w:szCs w:val="20"/>
              </w:rPr>
            </w:pPr>
            <w:r w:rsidRPr="0078126D">
              <w:rPr>
                <w:rFonts w:eastAsia="Calibri"/>
                <w:b/>
                <w:sz w:val="20"/>
                <w:szCs w:val="20"/>
              </w:rPr>
              <w:t>Annual Number of Responses per Respondent</w:t>
            </w:r>
          </w:p>
          <w:p w14:paraId="0B00424A" w14:textId="77777777" w:rsidR="00DE14C9" w:rsidRPr="0078126D" w:rsidRDefault="00DE14C9" w:rsidP="00F65F5C">
            <w:pPr>
              <w:jc w:val="center"/>
              <w:rPr>
                <w:rFonts w:eastAsia="Calibri"/>
                <w:b/>
                <w:sz w:val="20"/>
                <w:szCs w:val="20"/>
              </w:rPr>
            </w:pPr>
            <w:r w:rsidRPr="0078126D">
              <w:rPr>
                <w:rFonts w:eastAsia="Calibri"/>
                <w:b/>
                <w:sz w:val="20"/>
                <w:szCs w:val="20"/>
              </w:rPr>
              <w:t>(2)</w:t>
            </w:r>
          </w:p>
        </w:tc>
        <w:tc>
          <w:tcPr>
            <w:tcW w:w="703" w:type="pct"/>
            <w:shd w:val="clear" w:color="auto" w:fill="D9D9D9"/>
            <w:vAlign w:val="bottom"/>
          </w:tcPr>
          <w:p w14:paraId="23FBD97E" w14:textId="77777777" w:rsidR="00DE14C9" w:rsidRPr="0078126D" w:rsidRDefault="00DE14C9" w:rsidP="00F65F5C">
            <w:pPr>
              <w:jc w:val="center"/>
              <w:rPr>
                <w:rFonts w:eastAsia="Calibri"/>
                <w:b/>
                <w:sz w:val="20"/>
                <w:szCs w:val="20"/>
              </w:rPr>
            </w:pPr>
            <w:r w:rsidRPr="0078126D">
              <w:rPr>
                <w:rFonts w:eastAsia="Calibri"/>
                <w:b/>
                <w:sz w:val="20"/>
                <w:szCs w:val="20"/>
              </w:rPr>
              <w:t>Total Number of Responses (1)*(2)=(3)</w:t>
            </w:r>
          </w:p>
        </w:tc>
        <w:tc>
          <w:tcPr>
            <w:tcW w:w="654" w:type="pct"/>
            <w:shd w:val="clear" w:color="auto" w:fill="D9D9D9"/>
            <w:vAlign w:val="bottom"/>
          </w:tcPr>
          <w:p w14:paraId="0FD36AA1" w14:textId="77777777" w:rsidR="00DE14C9" w:rsidRPr="0078126D" w:rsidRDefault="00DE14C9" w:rsidP="00F65F5C">
            <w:pPr>
              <w:jc w:val="center"/>
              <w:rPr>
                <w:rFonts w:eastAsia="Calibri"/>
                <w:b/>
                <w:sz w:val="20"/>
                <w:szCs w:val="20"/>
              </w:rPr>
            </w:pPr>
            <w:r w:rsidRPr="0078126D">
              <w:rPr>
                <w:rFonts w:eastAsia="Calibri"/>
                <w:b/>
                <w:sz w:val="20"/>
                <w:szCs w:val="20"/>
              </w:rPr>
              <w:t xml:space="preserve">Average Burden </w:t>
            </w:r>
            <w:r>
              <w:rPr>
                <w:rFonts w:eastAsia="Calibri"/>
                <w:b/>
                <w:sz w:val="20"/>
                <w:szCs w:val="20"/>
              </w:rPr>
              <w:t xml:space="preserve">Hrs. </w:t>
            </w:r>
            <w:r w:rsidRPr="0078126D">
              <w:rPr>
                <w:rFonts w:eastAsia="Calibri"/>
                <w:b/>
                <w:sz w:val="20"/>
                <w:szCs w:val="20"/>
              </w:rPr>
              <w:t xml:space="preserve">&amp; Cost </w:t>
            </w:r>
            <w:r>
              <w:rPr>
                <w:rFonts w:eastAsia="Calibri"/>
                <w:b/>
                <w:sz w:val="20"/>
                <w:szCs w:val="20"/>
              </w:rPr>
              <w:t xml:space="preserve">($) </w:t>
            </w:r>
            <w:r w:rsidRPr="0078126D">
              <w:rPr>
                <w:rFonts w:eastAsia="Calibri"/>
                <w:b/>
                <w:sz w:val="20"/>
                <w:szCs w:val="20"/>
              </w:rPr>
              <w:t>Per Response</w:t>
            </w:r>
          </w:p>
          <w:p w14:paraId="3CAE4A47" w14:textId="77777777" w:rsidR="00DE14C9" w:rsidRPr="0078126D" w:rsidRDefault="00DE14C9" w:rsidP="00F65F5C">
            <w:pPr>
              <w:jc w:val="center"/>
              <w:rPr>
                <w:rFonts w:eastAsia="Calibri"/>
                <w:b/>
                <w:sz w:val="20"/>
                <w:szCs w:val="20"/>
              </w:rPr>
            </w:pPr>
            <w:r w:rsidRPr="0078126D">
              <w:rPr>
                <w:rFonts w:eastAsia="Calibri"/>
                <w:b/>
                <w:sz w:val="20"/>
                <w:szCs w:val="20"/>
              </w:rPr>
              <w:t>(4)</w:t>
            </w:r>
          </w:p>
        </w:tc>
        <w:tc>
          <w:tcPr>
            <w:tcW w:w="657" w:type="pct"/>
            <w:shd w:val="clear" w:color="auto" w:fill="D9D9D9"/>
            <w:vAlign w:val="bottom"/>
          </w:tcPr>
          <w:p w14:paraId="05644A95" w14:textId="77777777" w:rsidR="00DE14C9" w:rsidRPr="0078126D" w:rsidRDefault="00DE14C9" w:rsidP="00F65F5C">
            <w:pPr>
              <w:jc w:val="center"/>
              <w:rPr>
                <w:rFonts w:eastAsia="Calibri"/>
                <w:b/>
                <w:sz w:val="20"/>
                <w:szCs w:val="20"/>
              </w:rPr>
            </w:pPr>
            <w:r w:rsidRPr="0078126D">
              <w:rPr>
                <w:rFonts w:eastAsia="Calibri"/>
                <w:b/>
                <w:sz w:val="20"/>
                <w:szCs w:val="20"/>
              </w:rPr>
              <w:t>Total Annual Burden Hours &amp; Total Annual Cost</w:t>
            </w:r>
            <w:r>
              <w:rPr>
                <w:rFonts w:eastAsia="Calibri"/>
                <w:b/>
                <w:sz w:val="20"/>
                <w:szCs w:val="20"/>
              </w:rPr>
              <w:t xml:space="preserve"> ($) (rounded)</w:t>
            </w:r>
          </w:p>
          <w:p w14:paraId="738DDFDC" w14:textId="77777777" w:rsidR="00DE14C9" w:rsidRPr="0078126D" w:rsidRDefault="00DE14C9" w:rsidP="00F65F5C">
            <w:pPr>
              <w:jc w:val="center"/>
              <w:rPr>
                <w:rFonts w:eastAsia="Calibri"/>
                <w:b/>
                <w:sz w:val="20"/>
                <w:szCs w:val="20"/>
              </w:rPr>
            </w:pPr>
            <w:r w:rsidRPr="0078126D">
              <w:rPr>
                <w:rFonts w:eastAsia="Calibri"/>
                <w:b/>
                <w:sz w:val="20"/>
                <w:szCs w:val="20"/>
              </w:rPr>
              <w:t>(3)*(4)=(5)</w:t>
            </w:r>
          </w:p>
        </w:tc>
        <w:tc>
          <w:tcPr>
            <w:tcW w:w="615" w:type="pct"/>
            <w:shd w:val="clear" w:color="auto" w:fill="D9D9D9"/>
            <w:vAlign w:val="bottom"/>
          </w:tcPr>
          <w:p w14:paraId="24D201CB" w14:textId="77777777" w:rsidR="00DE14C9" w:rsidRPr="0078126D" w:rsidRDefault="00DE14C9" w:rsidP="00F65F5C">
            <w:pPr>
              <w:jc w:val="center"/>
              <w:rPr>
                <w:rFonts w:eastAsia="Calibri"/>
                <w:b/>
                <w:sz w:val="20"/>
                <w:szCs w:val="20"/>
              </w:rPr>
            </w:pPr>
            <w:r w:rsidRPr="0078126D">
              <w:rPr>
                <w:rFonts w:eastAsia="Calibri"/>
                <w:b/>
                <w:sz w:val="20"/>
                <w:szCs w:val="20"/>
              </w:rPr>
              <w:t>Cost per Respondent</w:t>
            </w:r>
          </w:p>
          <w:p w14:paraId="279BA0CA" w14:textId="77777777" w:rsidR="00DE14C9" w:rsidRPr="0078126D" w:rsidRDefault="00DE14C9" w:rsidP="00F65F5C">
            <w:pPr>
              <w:jc w:val="center"/>
              <w:rPr>
                <w:rFonts w:eastAsia="Calibri"/>
                <w:b/>
                <w:sz w:val="20"/>
                <w:szCs w:val="20"/>
              </w:rPr>
            </w:pPr>
            <w:r w:rsidRPr="0078126D">
              <w:rPr>
                <w:rFonts w:eastAsia="Calibri"/>
                <w:b/>
                <w:sz w:val="20"/>
                <w:szCs w:val="20"/>
              </w:rPr>
              <w:t xml:space="preserve"> ($)</w:t>
            </w:r>
          </w:p>
          <w:p w14:paraId="18742945" w14:textId="77777777" w:rsidR="00DE14C9" w:rsidRPr="0078126D" w:rsidRDefault="00DE14C9" w:rsidP="00F65F5C">
            <w:pPr>
              <w:jc w:val="center"/>
              <w:rPr>
                <w:rFonts w:eastAsia="Calibri"/>
                <w:b/>
                <w:sz w:val="20"/>
                <w:szCs w:val="20"/>
              </w:rPr>
            </w:pPr>
            <w:r w:rsidRPr="0078126D">
              <w:rPr>
                <w:rFonts w:eastAsia="Calibri"/>
                <w:b/>
                <w:sz w:val="20"/>
                <w:szCs w:val="20"/>
              </w:rPr>
              <w:t>(5)÷(1)</w:t>
            </w:r>
          </w:p>
        </w:tc>
      </w:tr>
      <w:tr w:rsidR="00DE14C9" w:rsidRPr="0078126D" w14:paraId="18C0D3ED" w14:textId="77777777" w:rsidTr="00F65F5C">
        <w:trPr>
          <w:cantSplit/>
        </w:trPr>
        <w:tc>
          <w:tcPr>
            <w:tcW w:w="921" w:type="pct"/>
          </w:tcPr>
          <w:p w14:paraId="6DB713A9" w14:textId="77777777" w:rsidR="00DE14C9" w:rsidRPr="0078126D" w:rsidRDefault="00DE14C9" w:rsidP="00F65F5C">
            <w:pPr>
              <w:rPr>
                <w:rFonts w:eastAsia="Calibri"/>
                <w:sz w:val="20"/>
                <w:szCs w:val="20"/>
              </w:rPr>
            </w:pPr>
            <w:r w:rsidRPr="0078126D">
              <w:rPr>
                <w:rFonts w:eastAsia="Calibri"/>
                <w:sz w:val="20"/>
                <w:szCs w:val="20"/>
              </w:rPr>
              <w:t>Code of Conduct (record-keeping)</w:t>
            </w:r>
            <w:r w:rsidRPr="0078126D">
              <w:rPr>
                <w:rStyle w:val="FootnoteReference"/>
                <w:rFonts w:eastAsia="Calibri"/>
              </w:rPr>
              <w:footnoteReference w:id="5"/>
            </w:r>
            <w:r>
              <w:rPr>
                <w:rFonts w:eastAsia="Calibri"/>
                <w:sz w:val="20"/>
                <w:szCs w:val="20"/>
                <w:vertAlign w:val="superscript"/>
              </w:rPr>
              <w:t xml:space="preserve">, </w:t>
            </w:r>
            <w:r w:rsidRPr="001A6122">
              <w:rPr>
                <w:rStyle w:val="FootnoteReference"/>
                <w:rFonts w:eastAsia="Calibri"/>
              </w:rPr>
              <w:footnoteReference w:id="6"/>
            </w:r>
          </w:p>
        </w:tc>
        <w:tc>
          <w:tcPr>
            <w:tcW w:w="704" w:type="pct"/>
            <w:vAlign w:val="bottom"/>
          </w:tcPr>
          <w:p w14:paraId="237A344E" w14:textId="77777777" w:rsidR="00DE14C9" w:rsidRPr="0078126D" w:rsidRDefault="00DE14C9" w:rsidP="00F65F5C">
            <w:pPr>
              <w:jc w:val="right"/>
              <w:rPr>
                <w:rFonts w:eastAsia="Calibri"/>
                <w:sz w:val="20"/>
                <w:szCs w:val="20"/>
              </w:rPr>
            </w:pPr>
            <w:r w:rsidRPr="004A5EF4">
              <w:rPr>
                <w:rFonts w:eastAsia="Calibri"/>
                <w:sz w:val="20"/>
                <w:szCs w:val="20"/>
              </w:rPr>
              <w:t>319</w:t>
            </w:r>
          </w:p>
        </w:tc>
        <w:tc>
          <w:tcPr>
            <w:tcW w:w="746" w:type="pct"/>
            <w:vAlign w:val="bottom"/>
          </w:tcPr>
          <w:p w14:paraId="22355C32" w14:textId="77777777" w:rsidR="00DE14C9" w:rsidRPr="0078126D" w:rsidRDefault="00DE14C9" w:rsidP="00F65F5C">
            <w:pPr>
              <w:jc w:val="right"/>
              <w:rPr>
                <w:rFonts w:eastAsia="Calibri"/>
                <w:sz w:val="20"/>
                <w:szCs w:val="20"/>
              </w:rPr>
            </w:pPr>
            <w:r w:rsidRPr="00722226">
              <w:rPr>
                <w:rFonts w:eastAsia="Calibri"/>
                <w:sz w:val="20"/>
                <w:szCs w:val="20"/>
              </w:rPr>
              <w:t>1</w:t>
            </w:r>
          </w:p>
        </w:tc>
        <w:tc>
          <w:tcPr>
            <w:tcW w:w="703" w:type="pct"/>
            <w:vAlign w:val="bottom"/>
          </w:tcPr>
          <w:p w14:paraId="741EA50E" w14:textId="77777777" w:rsidR="00DE14C9" w:rsidRPr="0078126D" w:rsidRDefault="00DE14C9" w:rsidP="00F65F5C">
            <w:pPr>
              <w:jc w:val="right"/>
              <w:rPr>
                <w:rFonts w:eastAsia="Calibri"/>
                <w:sz w:val="20"/>
                <w:szCs w:val="20"/>
              </w:rPr>
            </w:pPr>
            <w:r>
              <w:rPr>
                <w:rFonts w:eastAsia="Calibri"/>
                <w:sz w:val="20"/>
                <w:szCs w:val="20"/>
              </w:rPr>
              <w:t>319</w:t>
            </w:r>
          </w:p>
        </w:tc>
        <w:tc>
          <w:tcPr>
            <w:tcW w:w="654" w:type="pct"/>
            <w:vAlign w:val="bottom"/>
          </w:tcPr>
          <w:p w14:paraId="56AF0172" w14:textId="77777777" w:rsidR="00DE14C9" w:rsidRPr="0078126D" w:rsidRDefault="00DE14C9" w:rsidP="00F65F5C">
            <w:pPr>
              <w:jc w:val="right"/>
              <w:rPr>
                <w:rFonts w:eastAsia="Calibri"/>
                <w:sz w:val="20"/>
                <w:szCs w:val="20"/>
              </w:rPr>
            </w:pPr>
            <w:r w:rsidRPr="00722226">
              <w:rPr>
                <w:rFonts w:eastAsia="Calibri"/>
                <w:sz w:val="20"/>
                <w:szCs w:val="20"/>
              </w:rPr>
              <w:t>1</w:t>
            </w:r>
            <w:r w:rsidRPr="0078126D">
              <w:rPr>
                <w:rFonts w:eastAsia="Calibri"/>
                <w:sz w:val="20"/>
                <w:szCs w:val="20"/>
              </w:rPr>
              <w:t xml:space="preserve"> hr.;</w:t>
            </w:r>
          </w:p>
          <w:p w14:paraId="12D759E5" w14:textId="77777777" w:rsidR="00DE14C9" w:rsidRPr="0078126D" w:rsidRDefault="00DE14C9" w:rsidP="00F65F5C">
            <w:pPr>
              <w:jc w:val="right"/>
              <w:rPr>
                <w:rFonts w:eastAsia="Calibri"/>
                <w:sz w:val="20"/>
                <w:szCs w:val="20"/>
              </w:rPr>
            </w:pPr>
            <w:r>
              <w:rPr>
                <w:rFonts w:eastAsia="Calibri"/>
                <w:sz w:val="20"/>
                <w:szCs w:val="20"/>
              </w:rPr>
              <w:t>$33.39</w:t>
            </w:r>
          </w:p>
        </w:tc>
        <w:tc>
          <w:tcPr>
            <w:tcW w:w="657" w:type="pct"/>
            <w:vAlign w:val="bottom"/>
          </w:tcPr>
          <w:p w14:paraId="6AA053BF" w14:textId="77777777" w:rsidR="00DE14C9" w:rsidRPr="0078126D" w:rsidRDefault="00DE14C9" w:rsidP="00F65F5C">
            <w:pPr>
              <w:jc w:val="right"/>
              <w:rPr>
                <w:rFonts w:eastAsia="Calibri"/>
                <w:sz w:val="20"/>
                <w:szCs w:val="20"/>
              </w:rPr>
            </w:pPr>
            <w:r>
              <w:rPr>
                <w:rFonts w:eastAsia="Calibri"/>
                <w:sz w:val="20"/>
                <w:szCs w:val="20"/>
              </w:rPr>
              <w:t>319</w:t>
            </w:r>
            <w:r w:rsidRPr="0078126D">
              <w:rPr>
                <w:rFonts w:eastAsia="Calibri"/>
                <w:sz w:val="20"/>
                <w:szCs w:val="20"/>
              </w:rPr>
              <w:t xml:space="preserve"> hrs.;</w:t>
            </w:r>
          </w:p>
          <w:p w14:paraId="23B9B103" w14:textId="77777777" w:rsidR="00DE14C9" w:rsidRPr="0078126D" w:rsidRDefault="00DE14C9" w:rsidP="00F65F5C">
            <w:pPr>
              <w:jc w:val="right"/>
              <w:rPr>
                <w:rFonts w:eastAsia="Calibri"/>
                <w:sz w:val="20"/>
                <w:szCs w:val="20"/>
              </w:rPr>
            </w:pPr>
            <w:r>
              <w:rPr>
                <w:rFonts w:eastAsia="Calibri"/>
                <w:sz w:val="20"/>
                <w:szCs w:val="20"/>
              </w:rPr>
              <w:t>$10,651</w:t>
            </w:r>
          </w:p>
        </w:tc>
        <w:tc>
          <w:tcPr>
            <w:tcW w:w="615" w:type="pct"/>
            <w:vAlign w:val="bottom"/>
          </w:tcPr>
          <w:p w14:paraId="25C885C6" w14:textId="77777777" w:rsidR="00DE14C9" w:rsidRPr="0078126D" w:rsidRDefault="00DE14C9" w:rsidP="00F65F5C">
            <w:pPr>
              <w:jc w:val="right"/>
              <w:rPr>
                <w:rFonts w:eastAsia="Calibri"/>
                <w:sz w:val="20"/>
                <w:szCs w:val="20"/>
              </w:rPr>
            </w:pPr>
            <w:r>
              <w:rPr>
                <w:rFonts w:eastAsia="Calibri"/>
                <w:sz w:val="20"/>
                <w:szCs w:val="20"/>
              </w:rPr>
              <w:t>$33.39</w:t>
            </w:r>
          </w:p>
        </w:tc>
      </w:tr>
      <w:tr w:rsidR="00DE14C9" w:rsidRPr="006A60CF" w14:paraId="1C3AF201" w14:textId="77777777" w:rsidTr="00F65F5C">
        <w:trPr>
          <w:cantSplit/>
          <w:trHeight w:val="485"/>
        </w:trPr>
        <w:tc>
          <w:tcPr>
            <w:tcW w:w="921" w:type="pct"/>
            <w:tcBorders>
              <w:bottom w:val="single" w:sz="4" w:space="0" w:color="auto"/>
            </w:tcBorders>
          </w:tcPr>
          <w:p w14:paraId="388EDA27" w14:textId="77777777" w:rsidR="00DE14C9" w:rsidRPr="0078126D" w:rsidRDefault="00DE14C9" w:rsidP="00F65F5C">
            <w:pPr>
              <w:rPr>
                <w:rFonts w:eastAsia="Calibri"/>
                <w:b/>
                <w:sz w:val="20"/>
                <w:szCs w:val="20"/>
              </w:rPr>
            </w:pPr>
            <w:r w:rsidRPr="0078126D">
              <w:rPr>
                <w:rFonts w:eastAsia="Calibri"/>
                <w:b/>
                <w:sz w:val="20"/>
                <w:szCs w:val="20"/>
              </w:rPr>
              <w:t>TOTAL</w:t>
            </w:r>
          </w:p>
        </w:tc>
        <w:tc>
          <w:tcPr>
            <w:tcW w:w="1450" w:type="pct"/>
            <w:gridSpan w:val="2"/>
            <w:tcBorders>
              <w:bottom w:val="single" w:sz="4" w:space="0" w:color="auto"/>
            </w:tcBorders>
            <w:shd w:val="clear" w:color="auto" w:fill="D9D9D9"/>
            <w:vAlign w:val="bottom"/>
          </w:tcPr>
          <w:p w14:paraId="5B53E6B4" w14:textId="77777777" w:rsidR="00DE14C9" w:rsidRPr="0078126D" w:rsidRDefault="00DE14C9" w:rsidP="00F65F5C">
            <w:pPr>
              <w:jc w:val="right"/>
              <w:rPr>
                <w:rFonts w:eastAsia="Calibri"/>
                <w:sz w:val="20"/>
                <w:szCs w:val="20"/>
              </w:rPr>
            </w:pPr>
          </w:p>
        </w:tc>
        <w:tc>
          <w:tcPr>
            <w:tcW w:w="703" w:type="pct"/>
            <w:tcBorders>
              <w:bottom w:val="single" w:sz="4" w:space="0" w:color="auto"/>
            </w:tcBorders>
            <w:shd w:val="clear" w:color="auto" w:fill="auto"/>
            <w:vAlign w:val="bottom"/>
          </w:tcPr>
          <w:p w14:paraId="3CC66DBE" w14:textId="77777777" w:rsidR="00DE14C9" w:rsidRPr="0078126D" w:rsidRDefault="00DE14C9" w:rsidP="00F65F5C">
            <w:pPr>
              <w:jc w:val="right"/>
              <w:rPr>
                <w:rFonts w:eastAsia="Calibri"/>
                <w:b/>
                <w:sz w:val="20"/>
                <w:szCs w:val="20"/>
              </w:rPr>
            </w:pPr>
            <w:r>
              <w:rPr>
                <w:rFonts w:eastAsia="Calibri"/>
                <w:b/>
                <w:sz w:val="20"/>
                <w:szCs w:val="20"/>
              </w:rPr>
              <w:t>319</w:t>
            </w:r>
          </w:p>
        </w:tc>
        <w:tc>
          <w:tcPr>
            <w:tcW w:w="654" w:type="pct"/>
            <w:tcBorders>
              <w:bottom w:val="single" w:sz="4" w:space="0" w:color="auto"/>
            </w:tcBorders>
            <w:shd w:val="clear" w:color="auto" w:fill="D9D9D9"/>
            <w:vAlign w:val="bottom"/>
          </w:tcPr>
          <w:p w14:paraId="236CF083" w14:textId="77777777" w:rsidR="00DE14C9" w:rsidRPr="0078126D" w:rsidRDefault="00DE14C9" w:rsidP="00F65F5C">
            <w:pPr>
              <w:jc w:val="right"/>
              <w:rPr>
                <w:rFonts w:eastAsia="Calibri"/>
                <w:sz w:val="20"/>
                <w:szCs w:val="20"/>
              </w:rPr>
            </w:pPr>
          </w:p>
        </w:tc>
        <w:tc>
          <w:tcPr>
            <w:tcW w:w="657" w:type="pct"/>
            <w:tcBorders>
              <w:bottom w:val="single" w:sz="4" w:space="0" w:color="auto"/>
            </w:tcBorders>
            <w:vAlign w:val="bottom"/>
          </w:tcPr>
          <w:p w14:paraId="255386F1" w14:textId="3441146D" w:rsidR="00DE14C9" w:rsidRPr="0078126D" w:rsidRDefault="00DE14C9" w:rsidP="00F65F5C">
            <w:pPr>
              <w:jc w:val="right"/>
              <w:rPr>
                <w:rFonts w:eastAsia="Calibri"/>
                <w:b/>
                <w:sz w:val="20"/>
                <w:szCs w:val="20"/>
              </w:rPr>
            </w:pPr>
            <w:r>
              <w:rPr>
                <w:rFonts w:eastAsia="Calibri"/>
                <w:b/>
                <w:sz w:val="20"/>
                <w:szCs w:val="20"/>
              </w:rPr>
              <w:t>319</w:t>
            </w:r>
            <w:r w:rsidR="00206ABB">
              <w:rPr>
                <w:rFonts w:eastAsia="Calibri"/>
                <w:b/>
                <w:sz w:val="20"/>
                <w:szCs w:val="20"/>
              </w:rPr>
              <w:t xml:space="preserve"> hrs.; </w:t>
            </w:r>
          </w:p>
          <w:p w14:paraId="106C8B9E" w14:textId="77777777" w:rsidR="00DE14C9" w:rsidRPr="006A60CF" w:rsidRDefault="00DE14C9" w:rsidP="00F65F5C">
            <w:pPr>
              <w:jc w:val="right"/>
              <w:rPr>
                <w:rFonts w:eastAsia="Calibri"/>
                <w:b/>
                <w:sz w:val="20"/>
                <w:szCs w:val="20"/>
              </w:rPr>
            </w:pPr>
            <w:r w:rsidRPr="001251FC">
              <w:rPr>
                <w:rFonts w:eastAsia="Calibri"/>
                <w:b/>
                <w:sz w:val="20"/>
                <w:szCs w:val="20"/>
              </w:rPr>
              <w:t>$</w:t>
            </w:r>
            <w:r>
              <w:rPr>
                <w:rFonts w:eastAsia="Calibri"/>
                <w:b/>
                <w:sz w:val="20"/>
                <w:szCs w:val="20"/>
              </w:rPr>
              <w:t>10,651</w:t>
            </w:r>
          </w:p>
        </w:tc>
        <w:tc>
          <w:tcPr>
            <w:tcW w:w="615" w:type="pct"/>
            <w:tcBorders>
              <w:bottom w:val="single" w:sz="4" w:space="0" w:color="auto"/>
            </w:tcBorders>
            <w:shd w:val="clear" w:color="auto" w:fill="D9D9D9"/>
            <w:vAlign w:val="bottom"/>
          </w:tcPr>
          <w:p w14:paraId="2F34EB7D" w14:textId="77777777" w:rsidR="00DE14C9" w:rsidRPr="006A60CF" w:rsidRDefault="00DE14C9" w:rsidP="00F65F5C">
            <w:pPr>
              <w:jc w:val="right"/>
              <w:rPr>
                <w:rFonts w:eastAsia="Calibri"/>
                <w:b/>
                <w:sz w:val="20"/>
                <w:szCs w:val="20"/>
              </w:rPr>
            </w:pPr>
          </w:p>
        </w:tc>
      </w:tr>
    </w:tbl>
    <w:p w14:paraId="1C62D0CE" w14:textId="77777777" w:rsidR="00DE14C9" w:rsidRPr="0053593A" w:rsidRDefault="00DE14C9" w:rsidP="00DE14C9">
      <w:pPr>
        <w:rPr>
          <w:vanish/>
        </w:rPr>
      </w:pPr>
    </w:p>
    <w:tbl>
      <w:tblPr>
        <w:tblpPr w:leftFromText="180" w:rightFromText="180" w:vertAnchor="text" w:horzAnchor="margin" w:tblpY="486"/>
        <w:tblW w:w="53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4"/>
        <w:gridCol w:w="2264"/>
        <w:gridCol w:w="2339"/>
        <w:gridCol w:w="3782"/>
      </w:tblGrid>
      <w:tr w:rsidR="00DE14C9" w:rsidRPr="00CE28EA" w14:paraId="5FF49AC4" w14:textId="77777777" w:rsidTr="00F65F5C">
        <w:trPr>
          <w:cantSplit/>
        </w:trPr>
        <w:tc>
          <w:tcPr>
            <w:tcW w:w="5000" w:type="pct"/>
            <w:gridSpan w:val="4"/>
            <w:shd w:val="clear" w:color="auto" w:fill="D9D9D9"/>
          </w:tcPr>
          <w:p w14:paraId="15F12A68" w14:textId="77777777" w:rsidR="00DE14C9" w:rsidRPr="00CE28EA" w:rsidRDefault="00DE14C9" w:rsidP="00F65F5C">
            <w:pPr>
              <w:jc w:val="center"/>
              <w:rPr>
                <w:rFonts w:eastAsia="Calibri"/>
                <w:b/>
                <w:sz w:val="20"/>
                <w:szCs w:val="20"/>
              </w:rPr>
            </w:pPr>
            <w:r>
              <w:rPr>
                <w:rFonts w:eastAsia="Calibri"/>
                <w:b/>
                <w:sz w:val="20"/>
                <w:szCs w:val="20"/>
              </w:rPr>
              <w:t>Storage Cost for Record Retention Requirements for Holders of Blanket Marketing or Unbundled Sales Certificates</w:t>
            </w:r>
            <w:r w:rsidRPr="0078126D" w:rsidDel="00D04A16">
              <w:rPr>
                <w:rFonts w:eastAsia="Calibri"/>
                <w:b/>
                <w:sz w:val="20"/>
                <w:szCs w:val="20"/>
              </w:rPr>
              <w:t xml:space="preserve"> </w:t>
            </w:r>
          </w:p>
        </w:tc>
      </w:tr>
      <w:tr w:rsidR="00DE14C9" w:rsidRPr="00CE28EA" w14:paraId="25AC42FA" w14:textId="77777777" w:rsidTr="00F65F5C">
        <w:trPr>
          <w:cantSplit/>
        </w:trPr>
        <w:tc>
          <w:tcPr>
            <w:tcW w:w="885" w:type="pct"/>
            <w:shd w:val="clear" w:color="auto" w:fill="D9D9D9"/>
          </w:tcPr>
          <w:p w14:paraId="45E239E1" w14:textId="77777777" w:rsidR="00DE14C9" w:rsidRPr="00CE28EA" w:rsidRDefault="00DE14C9" w:rsidP="00F65F5C">
            <w:pPr>
              <w:jc w:val="center"/>
              <w:rPr>
                <w:rFonts w:eastAsia="Calibri"/>
                <w:b/>
                <w:sz w:val="20"/>
                <w:szCs w:val="20"/>
              </w:rPr>
            </w:pPr>
          </w:p>
        </w:tc>
        <w:tc>
          <w:tcPr>
            <w:tcW w:w="1111" w:type="pct"/>
            <w:shd w:val="clear" w:color="auto" w:fill="D9D9D9"/>
            <w:vAlign w:val="bottom"/>
          </w:tcPr>
          <w:p w14:paraId="12D33D11" w14:textId="77777777" w:rsidR="00DE14C9" w:rsidRDefault="00DE14C9" w:rsidP="00F65F5C">
            <w:pPr>
              <w:jc w:val="center"/>
              <w:rPr>
                <w:rFonts w:eastAsia="Calibri"/>
                <w:b/>
                <w:sz w:val="20"/>
                <w:szCs w:val="20"/>
              </w:rPr>
            </w:pPr>
            <w:r w:rsidRPr="00CE28EA">
              <w:rPr>
                <w:rFonts w:eastAsia="Calibri"/>
                <w:b/>
                <w:sz w:val="20"/>
                <w:szCs w:val="20"/>
              </w:rPr>
              <w:t xml:space="preserve">Total Number of Responses </w:t>
            </w:r>
          </w:p>
          <w:p w14:paraId="4CDA5DDD" w14:textId="77777777" w:rsidR="00DE14C9" w:rsidRPr="00CE28EA" w:rsidRDefault="00DE14C9" w:rsidP="00F65F5C">
            <w:pPr>
              <w:jc w:val="center"/>
              <w:rPr>
                <w:rFonts w:eastAsia="Calibri"/>
                <w:b/>
                <w:sz w:val="20"/>
                <w:szCs w:val="20"/>
              </w:rPr>
            </w:pPr>
            <w:r w:rsidRPr="00CE28EA">
              <w:rPr>
                <w:rFonts w:eastAsia="Calibri"/>
                <w:b/>
                <w:sz w:val="20"/>
                <w:szCs w:val="20"/>
              </w:rPr>
              <w:t>(1)*(2)=(3)</w:t>
            </w:r>
          </w:p>
        </w:tc>
        <w:tc>
          <w:tcPr>
            <w:tcW w:w="1148" w:type="pct"/>
            <w:shd w:val="clear" w:color="auto" w:fill="D9D9D9"/>
            <w:vAlign w:val="bottom"/>
          </w:tcPr>
          <w:p w14:paraId="704FB2F6" w14:textId="77777777" w:rsidR="00DE14C9" w:rsidRPr="00CE28EA" w:rsidRDefault="00DE14C9" w:rsidP="00F65F5C">
            <w:pPr>
              <w:jc w:val="center"/>
              <w:rPr>
                <w:rFonts w:eastAsia="Calibri"/>
                <w:b/>
                <w:sz w:val="20"/>
                <w:szCs w:val="20"/>
              </w:rPr>
            </w:pPr>
            <w:r>
              <w:rPr>
                <w:rFonts w:eastAsia="Calibri"/>
                <w:b/>
                <w:sz w:val="20"/>
                <w:szCs w:val="20"/>
              </w:rPr>
              <w:t>Cost ($) Per Respondent</w:t>
            </w:r>
          </w:p>
          <w:p w14:paraId="3C9172BD" w14:textId="77777777" w:rsidR="00DE14C9" w:rsidRPr="00CE28EA" w:rsidRDefault="00DE14C9" w:rsidP="00F65F5C">
            <w:pPr>
              <w:jc w:val="center"/>
              <w:rPr>
                <w:rFonts w:eastAsia="Calibri"/>
                <w:b/>
                <w:sz w:val="20"/>
                <w:szCs w:val="20"/>
              </w:rPr>
            </w:pPr>
            <w:r w:rsidRPr="00CE28EA">
              <w:rPr>
                <w:rFonts w:eastAsia="Calibri"/>
                <w:b/>
                <w:sz w:val="20"/>
                <w:szCs w:val="20"/>
              </w:rPr>
              <w:t>(4)</w:t>
            </w:r>
          </w:p>
        </w:tc>
        <w:tc>
          <w:tcPr>
            <w:tcW w:w="1855" w:type="pct"/>
            <w:shd w:val="clear" w:color="auto" w:fill="D9D9D9"/>
            <w:vAlign w:val="bottom"/>
          </w:tcPr>
          <w:p w14:paraId="32EBA1BD" w14:textId="69884FA5" w:rsidR="00DE14C9" w:rsidRPr="00CE28EA" w:rsidRDefault="00DE14C9" w:rsidP="00F65F5C">
            <w:pPr>
              <w:jc w:val="center"/>
              <w:rPr>
                <w:rFonts w:eastAsia="Calibri"/>
                <w:b/>
                <w:sz w:val="20"/>
                <w:szCs w:val="20"/>
              </w:rPr>
            </w:pPr>
            <w:r w:rsidRPr="00CE28EA">
              <w:rPr>
                <w:rFonts w:eastAsia="Calibri"/>
                <w:b/>
                <w:sz w:val="20"/>
                <w:szCs w:val="20"/>
              </w:rPr>
              <w:t>Total Annual Cost</w:t>
            </w:r>
            <w:r>
              <w:rPr>
                <w:rFonts w:eastAsia="Calibri"/>
                <w:b/>
                <w:sz w:val="20"/>
                <w:szCs w:val="20"/>
              </w:rPr>
              <w:t xml:space="preserve"> ($)</w:t>
            </w:r>
          </w:p>
          <w:p w14:paraId="14A8AAC7" w14:textId="77777777" w:rsidR="00DE14C9" w:rsidRPr="00CE28EA" w:rsidRDefault="00DE14C9" w:rsidP="00F65F5C">
            <w:pPr>
              <w:jc w:val="center"/>
              <w:rPr>
                <w:rFonts w:eastAsia="Calibri"/>
                <w:b/>
                <w:sz w:val="20"/>
                <w:szCs w:val="20"/>
              </w:rPr>
            </w:pPr>
            <w:r w:rsidRPr="00CE28EA">
              <w:rPr>
                <w:rFonts w:eastAsia="Calibri"/>
                <w:b/>
                <w:sz w:val="20"/>
                <w:szCs w:val="20"/>
              </w:rPr>
              <w:t>(3)*(4)=(5)</w:t>
            </w:r>
          </w:p>
        </w:tc>
      </w:tr>
      <w:tr w:rsidR="00DE14C9" w:rsidRPr="00CE28EA" w14:paraId="75E4585E" w14:textId="77777777" w:rsidTr="00F65F5C">
        <w:trPr>
          <w:cantSplit/>
        </w:trPr>
        <w:tc>
          <w:tcPr>
            <w:tcW w:w="885" w:type="pct"/>
          </w:tcPr>
          <w:p w14:paraId="5C922A84" w14:textId="77777777" w:rsidR="00DE14C9" w:rsidRPr="00CE28EA" w:rsidRDefault="00DE14C9" w:rsidP="00F65F5C">
            <w:pPr>
              <w:rPr>
                <w:rFonts w:eastAsia="Calibri"/>
                <w:sz w:val="20"/>
                <w:szCs w:val="20"/>
              </w:rPr>
            </w:pPr>
            <w:r>
              <w:rPr>
                <w:rFonts w:eastAsia="Calibri"/>
                <w:sz w:val="20"/>
                <w:szCs w:val="20"/>
              </w:rPr>
              <w:t>Paper Storage</w:t>
            </w:r>
          </w:p>
        </w:tc>
        <w:tc>
          <w:tcPr>
            <w:tcW w:w="1111" w:type="pct"/>
            <w:vAlign w:val="bottom"/>
          </w:tcPr>
          <w:p w14:paraId="6E75DE8B" w14:textId="77777777" w:rsidR="00DE14C9" w:rsidRPr="00CE28EA" w:rsidRDefault="00DE14C9" w:rsidP="00F65F5C">
            <w:pPr>
              <w:jc w:val="right"/>
              <w:rPr>
                <w:rFonts w:eastAsia="Calibri"/>
                <w:sz w:val="20"/>
                <w:szCs w:val="20"/>
              </w:rPr>
            </w:pPr>
            <w:r>
              <w:rPr>
                <w:rFonts w:eastAsia="Calibri"/>
                <w:sz w:val="20"/>
                <w:szCs w:val="20"/>
              </w:rPr>
              <w:t>319</w:t>
            </w:r>
          </w:p>
        </w:tc>
        <w:tc>
          <w:tcPr>
            <w:tcW w:w="1148" w:type="pct"/>
            <w:vAlign w:val="bottom"/>
          </w:tcPr>
          <w:p w14:paraId="3AE77D79" w14:textId="77777777" w:rsidR="00DE14C9" w:rsidRPr="00CE28EA" w:rsidRDefault="00DE14C9" w:rsidP="00F65F5C">
            <w:pPr>
              <w:jc w:val="right"/>
              <w:rPr>
                <w:rFonts w:eastAsia="Calibri"/>
                <w:sz w:val="20"/>
                <w:szCs w:val="20"/>
              </w:rPr>
            </w:pPr>
            <w:r>
              <w:rPr>
                <w:rFonts w:eastAsia="Calibri"/>
                <w:sz w:val="20"/>
                <w:szCs w:val="20"/>
              </w:rPr>
              <w:t>$80.75</w:t>
            </w:r>
          </w:p>
        </w:tc>
        <w:tc>
          <w:tcPr>
            <w:tcW w:w="1855" w:type="pct"/>
            <w:vAlign w:val="bottom"/>
          </w:tcPr>
          <w:p w14:paraId="5DC551EA" w14:textId="77777777" w:rsidR="00DE14C9" w:rsidRPr="00CE28EA" w:rsidRDefault="00DE14C9" w:rsidP="00F65F5C">
            <w:pPr>
              <w:jc w:val="right"/>
              <w:rPr>
                <w:rFonts w:eastAsia="Calibri"/>
                <w:sz w:val="20"/>
                <w:szCs w:val="20"/>
              </w:rPr>
            </w:pPr>
            <w:r>
              <w:rPr>
                <w:rFonts w:eastAsia="Calibri"/>
                <w:sz w:val="20"/>
                <w:szCs w:val="20"/>
              </w:rPr>
              <w:t>$25,759.25</w:t>
            </w:r>
          </w:p>
        </w:tc>
      </w:tr>
      <w:tr w:rsidR="00DE14C9" w:rsidRPr="00CE28EA" w14:paraId="7EDAC972" w14:textId="77777777" w:rsidTr="00F65F5C">
        <w:trPr>
          <w:cantSplit/>
        </w:trPr>
        <w:tc>
          <w:tcPr>
            <w:tcW w:w="885" w:type="pct"/>
          </w:tcPr>
          <w:p w14:paraId="541F1099" w14:textId="77777777" w:rsidR="00DE14C9" w:rsidRPr="00CE28EA" w:rsidRDefault="00DE14C9" w:rsidP="00F65F5C">
            <w:pPr>
              <w:rPr>
                <w:rFonts w:eastAsia="Calibri"/>
                <w:sz w:val="20"/>
                <w:szCs w:val="20"/>
              </w:rPr>
            </w:pPr>
            <w:r>
              <w:rPr>
                <w:rFonts w:eastAsia="Calibri"/>
                <w:sz w:val="20"/>
                <w:szCs w:val="20"/>
              </w:rPr>
              <w:t>Electronic Storage</w:t>
            </w:r>
          </w:p>
        </w:tc>
        <w:tc>
          <w:tcPr>
            <w:tcW w:w="1111" w:type="pct"/>
            <w:vAlign w:val="bottom"/>
          </w:tcPr>
          <w:p w14:paraId="46CCA090" w14:textId="77777777" w:rsidR="00DE14C9" w:rsidRPr="00CE28EA" w:rsidRDefault="00DE14C9" w:rsidP="00F65F5C">
            <w:pPr>
              <w:jc w:val="right"/>
              <w:rPr>
                <w:rFonts w:eastAsia="Calibri"/>
                <w:sz w:val="20"/>
                <w:szCs w:val="20"/>
              </w:rPr>
            </w:pPr>
            <w:r>
              <w:rPr>
                <w:rFonts w:eastAsia="Calibri"/>
                <w:sz w:val="20"/>
                <w:szCs w:val="20"/>
              </w:rPr>
              <w:t>319</w:t>
            </w:r>
          </w:p>
        </w:tc>
        <w:tc>
          <w:tcPr>
            <w:tcW w:w="1148" w:type="pct"/>
            <w:vAlign w:val="bottom"/>
          </w:tcPr>
          <w:p w14:paraId="33388C21" w14:textId="77777777" w:rsidR="00DE14C9" w:rsidRPr="00CE28EA" w:rsidRDefault="00DE14C9" w:rsidP="00F65F5C">
            <w:pPr>
              <w:jc w:val="right"/>
              <w:rPr>
                <w:rFonts w:eastAsia="Calibri"/>
                <w:sz w:val="20"/>
                <w:szCs w:val="20"/>
              </w:rPr>
            </w:pPr>
            <w:r>
              <w:rPr>
                <w:rFonts w:eastAsia="Calibri"/>
                <w:sz w:val="20"/>
                <w:szCs w:val="20"/>
              </w:rPr>
              <w:t>$3.18</w:t>
            </w:r>
          </w:p>
        </w:tc>
        <w:tc>
          <w:tcPr>
            <w:tcW w:w="1855" w:type="pct"/>
            <w:vAlign w:val="bottom"/>
          </w:tcPr>
          <w:p w14:paraId="1B64A356" w14:textId="77777777" w:rsidR="00DE14C9" w:rsidRPr="00CE28EA" w:rsidRDefault="00DE14C9" w:rsidP="00F65F5C">
            <w:pPr>
              <w:jc w:val="right"/>
              <w:rPr>
                <w:rFonts w:eastAsia="Calibri"/>
                <w:sz w:val="20"/>
                <w:szCs w:val="20"/>
              </w:rPr>
            </w:pPr>
            <w:r>
              <w:rPr>
                <w:rFonts w:eastAsia="Calibri"/>
                <w:sz w:val="20"/>
                <w:szCs w:val="20"/>
              </w:rPr>
              <w:t>$1,014.42</w:t>
            </w:r>
          </w:p>
        </w:tc>
      </w:tr>
      <w:tr w:rsidR="00DE14C9" w:rsidRPr="00CE28EA" w14:paraId="6C970145" w14:textId="77777777" w:rsidTr="00F65F5C">
        <w:trPr>
          <w:cantSplit/>
          <w:trHeight w:val="485"/>
        </w:trPr>
        <w:tc>
          <w:tcPr>
            <w:tcW w:w="885" w:type="pct"/>
            <w:tcBorders>
              <w:bottom w:val="single" w:sz="4" w:space="0" w:color="auto"/>
            </w:tcBorders>
          </w:tcPr>
          <w:p w14:paraId="2A6F04E4" w14:textId="2D645A0A" w:rsidR="00DE14C9" w:rsidRPr="00117D10" w:rsidRDefault="00206ABB" w:rsidP="00F65F5C">
            <w:pPr>
              <w:rPr>
                <w:rFonts w:eastAsia="Calibri"/>
                <w:sz w:val="20"/>
                <w:szCs w:val="20"/>
              </w:rPr>
            </w:pPr>
            <w:r>
              <w:rPr>
                <w:rFonts w:eastAsia="Calibri"/>
                <w:b/>
                <w:sz w:val="20"/>
                <w:szCs w:val="20"/>
              </w:rPr>
              <w:t>TOTAL STORAGE COST</w:t>
            </w:r>
          </w:p>
        </w:tc>
        <w:tc>
          <w:tcPr>
            <w:tcW w:w="1111" w:type="pct"/>
            <w:tcBorders>
              <w:bottom w:val="single" w:sz="4" w:space="0" w:color="auto"/>
            </w:tcBorders>
            <w:shd w:val="clear" w:color="auto" w:fill="auto"/>
            <w:vAlign w:val="bottom"/>
          </w:tcPr>
          <w:p w14:paraId="001B56A7" w14:textId="77777777" w:rsidR="00DE14C9" w:rsidRPr="00CE28EA" w:rsidRDefault="00DE14C9" w:rsidP="00F65F5C">
            <w:pPr>
              <w:jc w:val="right"/>
              <w:rPr>
                <w:rFonts w:eastAsia="Calibri"/>
                <w:b/>
                <w:sz w:val="20"/>
                <w:szCs w:val="20"/>
              </w:rPr>
            </w:pPr>
            <w:r>
              <w:rPr>
                <w:rFonts w:eastAsia="Calibri"/>
                <w:b/>
                <w:sz w:val="20"/>
                <w:szCs w:val="20"/>
              </w:rPr>
              <w:t>319</w:t>
            </w:r>
          </w:p>
        </w:tc>
        <w:tc>
          <w:tcPr>
            <w:tcW w:w="1148" w:type="pct"/>
            <w:tcBorders>
              <w:bottom w:val="single" w:sz="4" w:space="0" w:color="auto"/>
            </w:tcBorders>
            <w:shd w:val="clear" w:color="auto" w:fill="D9D9D9"/>
            <w:vAlign w:val="bottom"/>
          </w:tcPr>
          <w:p w14:paraId="33D80482" w14:textId="77777777" w:rsidR="00DE14C9" w:rsidRPr="00CE28EA" w:rsidRDefault="00DE14C9" w:rsidP="00F65F5C">
            <w:pPr>
              <w:jc w:val="right"/>
              <w:rPr>
                <w:rFonts w:eastAsia="Calibri"/>
                <w:sz w:val="20"/>
                <w:szCs w:val="20"/>
              </w:rPr>
            </w:pPr>
          </w:p>
        </w:tc>
        <w:tc>
          <w:tcPr>
            <w:tcW w:w="1855" w:type="pct"/>
            <w:tcBorders>
              <w:bottom w:val="single" w:sz="4" w:space="0" w:color="auto"/>
            </w:tcBorders>
            <w:vAlign w:val="bottom"/>
          </w:tcPr>
          <w:p w14:paraId="0131BFC8" w14:textId="77777777" w:rsidR="00DE14C9" w:rsidRPr="00CE28EA" w:rsidRDefault="00DE14C9" w:rsidP="00F65F5C">
            <w:pPr>
              <w:jc w:val="right"/>
              <w:rPr>
                <w:rFonts w:eastAsia="Calibri"/>
                <w:b/>
                <w:sz w:val="20"/>
                <w:szCs w:val="20"/>
              </w:rPr>
            </w:pPr>
            <w:r>
              <w:rPr>
                <w:rFonts w:eastAsia="Calibri"/>
                <w:b/>
                <w:sz w:val="20"/>
                <w:szCs w:val="20"/>
              </w:rPr>
              <w:t>$26,773.67</w:t>
            </w:r>
          </w:p>
        </w:tc>
      </w:tr>
    </w:tbl>
    <w:p w14:paraId="62170E69" w14:textId="77777777" w:rsidR="00DE14C9" w:rsidRDefault="00DE14C9" w:rsidP="00DE14C9">
      <w:pPr>
        <w:spacing w:line="480" w:lineRule="auto"/>
        <w:ind w:firstLine="720"/>
        <w:rPr>
          <w:b/>
          <w:u w:val="single"/>
        </w:rPr>
      </w:pPr>
    </w:p>
    <w:p w14:paraId="2990ADC9" w14:textId="77777777" w:rsidR="00DE14C9" w:rsidRDefault="00DE14C9" w:rsidP="00DE14C9">
      <w:pPr>
        <w:spacing w:line="480" w:lineRule="auto"/>
        <w:ind w:firstLine="720"/>
      </w:pPr>
      <w:r w:rsidRPr="00057E4E">
        <w:rPr>
          <w:b/>
          <w:u w:val="single"/>
        </w:rPr>
        <w:t>Storage Cost</w:t>
      </w:r>
      <w:r>
        <w:rPr>
          <w:rStyle w:val="FootnoteReference"/>
          <w:u w:val="single"/>
        </w:rPr>
        <w:footnoteReference w:id="7"/>
      </w:r>
      <w:r w:rsidRPr="00057E4E">
        <w:t>:</w:t>
      </w:r>
      <w:r w:rsidRPr="00057E4E">
        <w:rPr>
          <w:b/>
        </w:rPr>
        <w:t xml:space="preserve"> </w:t>
      </w:r>
      <w:r>
        <w:t>In addition to the burden and cost for labor, the table above reflects an additional cost for record retention and storage:</w:t>
      </w:r>
    </w:p>
    <w:p w14:paraId="02DBA16B" w14:textId="77777777" w:rsidR="0008031C" w:rsidRDefault="00DE14C9" w:rsidP="00DE14C9">
      <w:pPr>
        <w:numPr>
          <w:ilvl w:val="0"/>
          <w:numId w:val="3"/>
        </w:numPr>
        <w:spacing w:line="480" w:lineRule="auto"/>
      </w:pPr>
      <w:r>
        <w:t xml:space="preserve">Paper storage costs (using an estimate of 12.5 cubic feet x $6.46 per cubic foot):  $80.75 per respondent annually.   Total annual paper storage cost to industry ($80.75 x 319 respondents): $25,759.25.  This estimate assumes that a respondent stores 12.5 cubic feet of paper. We expect that this </w:t>
      </w:r>
    </w:p>
    <w:p w14:paraId="2E67B11E" w14:textId="5CCE7127" w:rsidR="00DE14C9" w:rsidRDefault="00DE14C9" w:rsidP="0008031C">
      <w:pPr>
        <w:spacing w:line="480" w:lineRule="auto"/>
        <w:ind w:left="1440"/>
      </w:pPr>
      <w:r>
        <w:t xml:space="preserve">estimate should trend downward over time as more companies move away from paper storage and rely more heavily on electronic storage. </w:t>
      </w:r>
    </w:p>
    <w:p w14:paraId="7583A70E" w14:textId="77777777" w:rsidR="0008031C" w:rsidRDefault="00DE14C9" w:rsidP="00DE14C9">
      <w:pPr>
        <w:numPr>
          <w:ilvl w:val="0"/>
          <w:numId w:val="3"/>
        </w:numPr>
        <w:spacing w:line="480" w:lineRule="auto"/>
      </w:pPr>
      <w:r>
        <w:t xml:space="preserve">Electronic storage costs: $3.18 per respondent annually.  Total annual electronic storage cost to industry ($3.18 x 319 respondents): $1,014.42.  This calculation estimates storage of approximately 200 MB per year </w:t>
      </w:r>
      <w:r w:rsidR="00CB05F7">
        <w:t xml:space="preserve">with a </w:t>
      </w:r>
      <w:r>
        <w:t xml:space="preserve">cost of $3.18.  We expect that this estimate should trend downward over time as the cost of electronic storage technology, including cloud storage, continues to decrease.  For example, external hard drives of approximately 500GB are available for approximately $50.  In addition, cloud storage </w:t>
      </w:r>
    </w:p>
    <w:p w14:paraId="0782515B" w14:textId="77777777" w:rsidR="0008031C" w:rsidRDefault="0008031C" w:rsidP="0008031C">
      <w:pPr>
        <w:spacing w:line="480" w:lineRule="auto"/>
        <w:ind w:left="1440"/>
      </w:pPr>
    </w:p>
    <w:p w14:paraId="4517EA61" w14:textId="77777777" w:rsidR="000C2FCD" w:rsidRDefault="0008031C" w:rsidP="0008031C">
      <w:pPr>
        <w:tabs>
          <w:tab w:val="left" w:pos="1080"/>
        </w:tabs>
        <w:spacing w:line="480" w:lineRule="auto"/>
      </w:pPr>
      <w:r>
        <w:t xml:space="preserve">                 </w:t>
      </w:r>
    </w:p>
    <w:p w14:paraId="5B028F1C" w14:textId="50764329" w:rsidR="00DE14C9" w:rsidRDefault="00DE14C9" w:rsidP="000C2FCD">
      <w:pPr>
        <w:tabs>
          <w:tab w:val="left" w:pos="1440"/>
          <w:tab w:val="left" w:pos="1800"/>
        </w:tabs>
        <w:spacing w:line="480" w:lineRule="auto"/>
        <w:ind w:left="1440"/>
      </w:pPr>
      <w:r>
        <w:t xml:space="preserve">plans from multiple providers for 1TB of storage (with a reasonable amount </w:t>
      </w:r>
      <w:r w:rsidR="000C2FCD">
        <w:t xml:space="preserve">  </w:t>
      </w:r>
      <w:r>
        <w:t xml:space="preserve">of </w:t>
      </w:r>
      <w:r w:rsidR="0008031C">
        <w:t xml:space="preserve"> </w:t>
      </w:r>
      <w:r w:rsidR="000C2FCD">
        <w:t>r</w:t>
      </w:r>
      <w:r>
        <w:t xml:space="preserve">equests and data transfers) are available for less than $35 per month.  </w:t>
      </w:r>
    </w:p>
    <w:p w14:paraId="6ED19215" w14:textId="67F7B6A6" w:rsidR="00AE1F12" w:rsidRDefault="00AE1F12" w:rsidP="00AE1F12">
      <w:pPr>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14:paraId="0652AB31" w14:textId="22B910EF" w:rsidR="00853ABC" w:rsidRDefault="00853ABC" w:rsidP="00F11631"/>
    <w:p w14:paraId="30CB5833" w14:textId="0631D1DE" w:rsidR="00F11631" w:rsidRDefault="00F11631" w:rsidP="00F11631"/>
    <w:p w14:paraId="404CF2E0" w14:textId="2140C280" w:rsidR="00F11631" w:rsidRDefault="00F11631" w:rsidP="00F11631"/>
    <w:p w14:paraId="4C726916" w14:textId="1A9A703B" w:rsidR="00F11631" w:rsidRDefault="00F11631" w:rsidP="00F11631"/>
    <w:p w14:paraId="31D03E6F" w14:textId="3773D723" w:rsidR="00F11631" w:rsidRPr="00F11631" w:rsidRDefault="00F11631" w:rsidP="00F11631">
      <w:pPr>
        <w:ind w:firstLine="2174"/>
        <w:jc w:val="center"/>
      </w:pPr>
      <w:r w:rsidRPr="00F11631">
        <w:t>Kimberly D. Bose,</w:t>
      </w:r>
    </w:p>
    <w:p w14:paraId="279D1D3C" w14:textId="72111C19" w:rsidR="00F11631" w:rsidRPr="00F11631" w:rsidRDefault="00F11631" w:rsidP="00F11631">
      <w:pPr>
        <w:ind w:firstLine="2174"/>
        <w:jc w:val="center"/>
      </w:pPr>
      <w:r w:rsidRPr="00F11631">
        <w:t>Secretary.</w:t>
      </w:r>
    </w:p>
    <w:p w14:paraId="647D348B" w14:textId="77777777" w:rsidR="00F11631" w:rsidRDefault="00F11631" w:rsidP="00F11631"/>
    <w:sectPr w:rsidR="00F11631" w:rsidSect="000D7504">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4137CE" w14:textId="77777777" w:rsidR="003069E4" w:rsidRDefault="003069E4" w:rsidP="00B01B16">
      <w:r>
        <w:separator/>
      </w:r>
    </w:p>
  </w:endnote>
  <w:endnote w:type="continuationSeparator" w:id="0">
    <w:p w14:paraId="06698B87" w14:textId="77777777" w:rsidR="003069E4" w:rsidRDefault="003069E4" w:rsidP="00B01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77A313" w14:textId="77777777" w:rsidR="000C2FCD" w:rsidRDefault="000C2F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A5EEAA" w14:textId="77777777" w:rsidR="000C2FCD" w:rsidRDefault="000C2FC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9CF928" w14:textId="77777777" w:rsidR="000C2FCD" w:rsidRDefault="000C2F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2EA961" w14:textId="77777777" w:rsidR="003069E4" w:rsidRDefault="003069E4" w:rsidP="00B01B16">
      <w:r>
        <w:separator/>
      </w:r>
    </w:p>
  </w:footnote>
  <w:footnote w:type="continuationSeparator" w:id="0">
    <w:p w14:paraId="3E8CEAEA" w14:textId="77777777" w:rsidR="003069E4" w:rsidRDefault="003069E4" w:rsidP="00B01B16">
      <w:r>
        <w:continuationSeparator/>
      </w:r>
    </w:p>
  </w:footnote>
  <w:footnote w:id="1">
    <w:p w14:paraId="7B67920A" w14:textId="6F43AC1C" w:rsidR="00C94015" w:rsidRDefault="00C94015" w:rsidP="007D32A5">
      <w:pPr>
        <w:pStyle w:val="FootnoteText"/>
      </w:pPr>
      <w:r>
        <w:rPr>
          <w:rStyle w:val="FootnoteReference"/>
        </w:rPr>
        <w:footnoteRef/>
      </w:r>
      <w:r>
        <w:t xml:space="preserve"> </w:t>
      </w:r>
      <w:r>
        <w:rPr>
          <w:sz w:val="26"/>
          <w:szCs w:val="26"/>
        </w:rPr>
        <w:t>Burden is defined as the total time, effort, or financial resources expended by persons to generate, maintain, retain, or disclose or provide information to or for a federal agency.  See 5 CFR 1320 for additional information on the definition of information collection burden.</w:t>
      </w:r>
    </w:p>
  </w:footnote>
  <w:footnote w:id="2">
    <w:p w14:paraId="0C38FC64" w14:textId="77777777" w:rsidR="00DE14C9" w:rsidRPr="00E32C2A" w:rsidRDefault="00DE14C9" w:rsidP="00DE14C9">
      <w:pPr>
        <w:pStyle w:val="FootnoteText"/>
        <w:rPr>
          <w:sz w:val="26"/>
          <w:szCs w:val="26"/>
        </w:rPr>
      </w:pPr>
      <w:r w:rsidRPr="00E32C2A">
        <w:rPr>
          <w:rStyle w:val="FootnoteReference"/>
        </w:rPr>
        <w:footnoteRef/>
      </w:r>
      <w:r w:rsidRPr="00E32C2A">
        <w:t xml:space="preserve"> </w:t>
      </w:r>
      <w:r w:rsidRPr="00E32C2A">
        <w:rPr>
          <w:sz w:val="26"/>
          <w:szCs w:val="26"/>
        </w:rPr>
        <w:t xml:space="preserve">The estimates for cost per response are derived using the following formula: </w:t>
      </w:r>
    </w:p>
    <w:p w14:paraId="01374C4B" w14:textId="3EBC63C5" w:rsidR="00DE14C9" w:rsidRDefault="00DE14C9" w:rsidP="00DE14C9">
      <w:pPr>
        <w:pStyle w:val="FootnoteText"/>
      </w:pPr>
      <w:r w:rsidRPr="00E32C2A">
        <w:rPr>
          <w:sz w:val="26"/>
          <w:szCs w:val="26"/>
        </w:rPr>
        <w:t>Average Burden Hours per Response * $106.62 per Hour = Average Cost per Response.  The hourly average of $</w:t>
      </w:r>
      <w:r w:rsidR="000B0150" w:rsidRPr="00E32C2A">
        <w:rPr>
          <w:sz w:val="26"/>
          <w:szCs w:val="26"/>
        </w:rPr>
        <w:t>106.62</w:t>
      </w:r>
      <w:r w:rsidRPr="00E32C2A">
        <w:rPr>
          <w:sz w:val="26"/>
          <w:szCs w:val="26"/>
        </w:rPr>
        <w:t xml:space="preserve"> (for wages and benefits) assumes equal time is spent by an economist and lawyer.  The average hourly cost (for wages plus benefits) is: $70.38 for economists (occupation code 19-3011) and $142.86 for lawyers (occupation code 23-0000).  (The figures are taken from the Bureau of Labor Statistics, May 2018 figures at http://www.bls.gov/oes/current/naics2_22.htm</w:t>
      </w:r>
      <w:r w:rsidR="00206ABB" w:rsidRPr="00E32C2A">
        <w:rPr>
          <w:sz w:val="26"/>
          <w:szCs w:val="26"/>
        </w:rPr>
        <w:t>.</w:t>
      </w:r>
      <w:r w:rsidRPr="00E32C2A">
        <w:rPr>
          <w:sz w:val="26"/>
          <w:szCs w:val="26"/>
        </w:rPr>
        <w:t>)</w:t>
      </w:r>
    </w:p>
  </w:footnote>
  <w:footnote w:id="3">
    <w:p w14:paraId="4176830E" w14:textId="77777777" w:rsidR="00DE14C9" w:rsidRPr="001A6122" w:rsidRDefault="00DE14C9" w:rsidP="00DE14C9">
      <w:pPr>
        <w:pStyle w:val="FootnoteText"/>
        <w:rPr>
          <w:sz w:val="26"/>
          <w:szCs w:val="26"/>
        </w:rPr>
      </w:pPr>
      <w:r w:rsidRPr="001A6122">
        <w:rPr>
          <w:rStyle w:val="FootnoteReference"/>
        </w:rPr>
        <w:footnoteRef/>
      </w:r>
      <w:r w:rsidRPr="001A6122">
        <w:rPr>
          <w:sz w:val="26"/>
          <w:szCs w:val="26"/>
        </w:rPr>
        <w:t xml:space="preserve"> </w:t>
      </w:r>
      <w:r>
        <w:rPr>
          <w:sz w:val="26"/>
          <w:szCs w:val="26"/>
        </w:rPr>
        <w:t xml:space="preserve">The entities affected by </w:t>
      </w:r>
      <w:r w:rsidRPr="001A6122">
        <w:rPr>
          <w:sz w:val="26"/>
          <w:szCs w:val="26"/>
        </w:rPr>
        <w:t>18 CFR 284.123(b)</w:t>
      </w:r>
      <w:r>
        <w:rPr>
          <w:sz w:val="26"/>
          <w:szCs w:val="26"/>
        </w:rPr>
        <w:t xml:space="preserve"> and </w:t>
      </w:r>
      <w:r w:rsidRPr="001A6122">
        <w:rPr>
          <w:sz w:val="26"/>
          <w:szCs w:val="26"/>
        </w:rPr>
        <w:t xml:space="preserve">(e) </w:t>
      </w:r>
      <w:r>
        <w:rPr>
          <w:sz w:val="26"/>
          <w:szCs w:val="26"/>
        </w:rPr>
        <w:t>are intrastate pipelines.</w:t>
      </w:r>
      <w:r w:rsidRPr="001A6122">
        <w:rPr>
          <w:sz w:val="26"/>
          <w:szCs w:val="26"/>
        </w:rPr>
        <w:t xml:space="preserve"> </w:t>
      </w:r>
      <w:r>
        <w:rPr>
          <w:sz w:val="26"/>
          <w:szCs w:val="26"/>
        </w:rPr>
        <w:t xml:space="preserve"> Interstate and intrastate pipelines are affected by </w:t>
      </w:r>
      <w:r w:rsidRPr="001A6122">
        <w:rPr>
          <w:sz w:val="26"/>
          <w:szCs w:val="26"/>
        </w:rPr>
        <w:t>18 CFR 284.102(e)</w:t>
      </w:r>
      <w:r>
        <w:rPr>
          <w:sz w:val="26"/>
          <w:szCs w:val="26"/>
        </w:rPr>
        <w:t>.  Since 2016, the Commission has not received any filings under 18 CFR 284.102(e).</w:t>
      </w:r>
    </w:p>
  </w:footnote>
  <w:footnote w:id="4">
    <w:p w14:paraId="7A8E978F" w14:textId="77777777" w:rsidR="00DE14C9" w:rsidRPr="001A6122" w:rsidRDefault="00DE14C9" w:rsidP="00DE14C9">
      <w:pPr>
        <w:pStyle w:val="FootnoteText"/>
        <w:rPr>
          <w:sz w:val="26"/>
          <w:szCs w:val="26"/>
        </w:rPr>
      </w:pPr>
      <w:r w:rsidRPr="001A6122">
        <w:rPr>
          <w:rStyle w:val="FootnoteReference"/>
        </w:rPr>
        <w:footnoteRef/>
      </w:r>
      <w:r w:rsidRPr="001A6122">
        <w:rPr>
          <w:sz w:val="26"/>
          <w:szCs w:val="26"/>
        </w:rPr>
        <w:t xml:space="preserve"> 18 CFR 284.501-505</w:t>
      </w:r>
    </w:p>
  </w:footnote>
  <w:footnote w:id="5">
    <w:p w14:paraId="4B594EB2" w14:textId="77777777" w:rsidR="00DE14C9" w:rsidRPr="001A6122" w:rsidRDefault="00DE14C9" w:rsidP="00DE14C9">
      <w:pPr>
        <w:pStyle w:val="FootnoteText"/>
        <w:rPr>
          <w:sz w:val="26"/>
          <w:szCs w:val="26"/>
        </w:rPr>
      </w:pPr>
      <w:r w:rsidRPr="001A6122">
        <w:rPr>
          <w:rStyle w:val="FootnoteReference"/>
        </w:rPr>
        <w:footnoteRef/>
      </w:r>
      <w:r w:rsidRPr="001A6122">
        <w:rPr>
          <w:sz w:val="26"/>
          <w:szCs w:val="26"/>
        </w:rPr>
        <w:t xml:space="preserve"> 18 CFR 284.288</w:t>
      </w:r>
      <w:r>
        <w:rPr>
          <w:sz w:val="26"/>
          <w:szCs w:val="26"/>
        </w:rPr>
        <w:t xml:space="preserve"> and</w:t>
      </w:r>
      <w:r w:rsidRPr="001A6122">
        <w:rPr>
          <w:sz w:val="26"/>
          <w:szCs w:val="26"/>
        </w:rPr>
        <w:t xml:space="preserve"> </w:t>
      </w:r>
      <w:r>
        <w:rPr>
          <w:sz w:val="26"/>
          <w:szCs w:val="26"/>
        </w:rPr>
        <w:t>28</w:t>
      </w:r>
      <w:r w:rsidRPr="00866CB8">
        <w:rPr>
          <w:sz w:val="26"/>
          <w:szCs w:val="26"/>
        </w:rPr>
        <w:t>4.</w:t>
      </w:r>
      <w:r w:rsidRPr="001A6122">
        <w:rPr>
          <w:sz w:val="26"/>
          <w:szCs w:val="26"/>
        </w:rPr>
        <w:t>403</w:t>
      </w:r>
    </w:p>
  </w:footnote>
  <w:footnote w:id="6">
    <w:p w14:paraId="3C2CE558" w14:textId="5D248DF2" w:rsidR="00DE14C9" w:rsidRDefault="00DE14C9" w:rsidP="00DE14C9">
      <w:pPr>
        <w:pStyle w:val="FootnoteText"/>
      </w:pPr>
      <w:r w:rsidRPr="00866CB8">
        <w:rPr>
          <w:rStyle w:val="FootnoteReference"/>
        </w:rPr>
        <w:footnoteRef/>
      </w:r>
      <w:r w:rsidRPr="001A6122">
        <w:rPr>
          <w:sz w:val="26"/>
          <w:szCs w:val="26"/>
        </w:rPr>
        <w:t xml:space="preserve"> For the Code of Conduct record-keeping, the $33.39 hourly cost figure comes from the average cost (wages plus benefits) of a file clerk (Occupation Code 43-4071) as posted on the BLS website (</w:t>
      </w:r>
      <w:hyperlink r:id="rId1" w:history="1">
        <w:r w:rsidRPr="001A6122">
          <w:rPr>
            <w:sz w:val="26"/>
            <w:szCs w:val="26"/>
          </w:rPr>
          <w:t>http://www.bls.gov/oes/current/naics2_22.htm</w:t>
        </w:r>
      </w:hyperlink>
      <w:r w:rsidRPr="001A6122">
        <w:rPr>
          <w:sz w:val="26"/>
          <w:szCs w:val="26"/>
        </w:rPr>
        <w:t>).</w:t>
      </w:r>
    </w:p>
  </w:footnote>
  <w:footnote w:id="7">
    <w:p w14:paraId="21674347" w14:textId="77777777" w:rsidR="00DE14C9" w:rsidRPr="001A6122" w:rsidRDefault="00DE14C9" w:rsidP="00DE14C9">
      <w:pPr>
        <w:pStyle w:val="FootnoteText"/>
        <w:rPr>
          <w:sz w:val="26"/>
          <w:szCs w:val="26"/>
        </w:rPr>
      </w:pPr>
      <w:r w:rsidRPr="00866CB8">
        <w:rPr>
          <w:rStyle w:val="FootnoteReference"/>
        </w:rPr>
        <w:footnoteRef/>
      </w:r>
      <w:r w:rsidRPr="001A6122">
        <w:rPr>
          <w:sz w:val="26"/>
          <w:szCs w:val="26"/>
        </w:rPr>
        <w:t xml:space="preserve">  Each of the 319 entities is assumed to have both paper and electronic record retention.  Internal analysis assumes 50% paper storage and 50% electronic storage.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67977" w14:textId="77777777" w:rsidR="000C2FCD" w:rsidRDefault="000C2F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0597F" w14:textId="49E336AA" w:rsidR="00810D18" w:rsidRDefault="00810D18" w:rsidP="00810D18">
    <w:pPr>
      <w:pStyle w:val="Header"/>
    </w:pPr>
    <w:r>
      <w:t xml:space="preserve">Docket No. </w:t>
    </w:r>
    <w:r w:rsidR="00F40209">
      <w:t>IC20-1</w:t>
    </w:r>
    <w:r w:rsidR="008711D7">
      <w:t>-000</w:t>
    </w:r>
    <w:r>
      <w:tab/>
    </w:r>
    <w:sdt>
      <w:sdtPr>
        <w:id w:val="151588624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E13D0F">
          <w:rPr>
            <w:noProof/>
          </w:rPr>
          <w:t>2</w:t>
        </w:r>
        <w:r>
          <w:rPr>
            <w:noProof/>
          </w:rPr>
          <w:fldChar w:fldCharType="end"/>
        </w:r>
      </w:sdtContent>
    </w:sdt>
  </w:p>
  <w:p w14:paraId="10170C13" w14:textId="76D2DB34" w:rsidR="00BF2D74" w:rsidRDefault="00BF2D7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DBDEF" w14:textId="77777777" w:rsidR="000C2FCD" w:rsidRDefault="000C2F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02A8"/>
    <w:multiLevelType w:val="hybridMultilevel"/>
    <w:tmpl w:val="1F3240CC"/>
    <w:lvl w:ilvl="0" w:tplc="DE32E332">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
    <w:nsid w:val="560413DC"/>
    <w:multiLevelType w:val="hybridMultilevel"/>
    <w:tmpl w:val="3C588E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B16"/>
    <w:rsid w:val="000122E1"/>
    <w:rsid w:val="00023EA9"/>
    <w:rsid w:val="000241AE"/>
    <w:rsid w:val="00040541"/>
    <w:rsid w:val="000459B6"/>
    <w:rsid w:val="00050AC1"/>
    <w:rsid w:val="00056C5D"/>
    <w:rsid w:val="00062427"/>
    <w:rsid w:val="00063783"/>
    <w:rsid w:val="0008031C"/>
    <w:rsid w:val="00087E59"/>
    <w:rsid w:val="0009411E"/>
    <w:rsid w:val="000A0250"/>
    <w:rsid w:val="000A7E68"/>
    <w:rsid w:val="000B0150"/>
    <w:rsid w:val="000B3ABE"/>
    <w:rsid w:val="000C1912"/>
    <w:rsid w:val="000C2FCD"/>
    <w:rsid w:val="000D68AC"/>
    <w:rsid w:val="000D7504"/>
    <w:rsid w:val="000E2568"/>
    <w:rsid w:val="001010B8"/>
    <w:rsid w:val="00105EF3"/>
    <w:rsid w:val="00130E98"/>
    <w:rsid w:val="0015578A"/>
    <w:rsid w:val="00156BBB"/>
    <w:rsid w:val="001600DF"/>
    <w:rsid w:val="00171725"/>
    <w:rsid w:val="00181BF7"/>
    <w:rsid w:val="001A6AD6"/>
    <w:rsid w:val="001B78B8"/>
    <w:rsid w:val="001D6CE8"/>
    <w:rsid w:val="001E6510"/>
    <w:rsid w:val="00206ABB"/>
    <w:rsid w:val="00224BF2"/>
    <w:rsid w:val="0027452E"/>
    <w:rsid w:val="00293D56"/>
    <w:rsid w:val="002B6EC4"/>
    <w:rsid w:val="002B7AA8"/>
    <w:rsid w:val="002D0A4B"/>
    <w:rsid w:val="002D5237"/>
    <w:rsid w:val="002E0351"/>
    <w:rsid w:val="002E500D"/>
    <w:rsid w:val="002F24E8"/>
    <w:rsid w:val="002F697A"/>
    <w:rsid w:val="003060F0"/>
    <w:rsid w:val="00306663"/>
    <w:rsid w:val="003069E4"/>
    <w:rsid w:val="00311D90"/>
    <w:rsid w:val="003149BC"/>
    <w:rsid w:val="003316DE"/>
    <w:rsid w:val="0034195C"/>
    <w:rsid w:val="00347056"/>
    <w:rsid w:val="00353D84"/>
    <w:rsid w:val="00354F64"/>
    <w:rsid w:val="00361371"/>
    <w:rsid w:val="00363638"/>
    <w:rsid w:val="003673EC"/>
    <w:rsid w:val="00376525"/>
    <w:rsid w:val="003960E0"/>
    <w:rsid w:val="003A1A72"/>
    <w:rsid w:val="003A3189"/>
    <w:rsid w:val="003A451F"/>
    <w:rsid w:val="003C3E7A"/>
    <w:rsid w:val="003C7BC3"/>
    <w:rsid w:val="003E100D"/>
    <w:rsid w:val="003E44AD"/>
    <w:rsid w:val="00402591"/>
    <w:rsid w:val="0040718A"/>
    <w:rsid w:val="0042358C"/>
    <w:rsid w:val="00443282"/>
    <w:rsid w:val="0045734B"/>
    <w:rsid w:val="00462178"/>
    <w:rsid w:val="004759C4"/>
    <w:rsid w:val="00485A51"/>
    <w:rsid w:val="0049480F"/>
    <w:rsid w:val="004C70C8"/>
    <w:rsid w:val="004C77EF"/>
    <w:rsid w:val="004D27A2"/>
    <w:rsid w:val="004F26DA"/>
    <w:rsid w:val="00513DA8"/>
    <w:rsid w:val="00514B50"/>
    <w:rsid w:val="00516493"/>
    <w:rsid w:val="005357D4"/>
    <w:rsid w:val="0054073B"/>
    <w:rsid w:val="0054746C"/>
    <w:rsid w:val="00583F9D"/>
    <w:rsid w:val="00585F73"/>
    <w:rsid w:val="0059075C"/>
    <w:rsid w:val="005A0148"/>
    <w:rsid w:val="005A2114"/>
    <w:rsid w:val="005A2F24"/>
    <w:rsid w:val="005A3F56"/>
    <w:rsid w:val="005B4DA4"/>
    <w:rsid w:val="005C6D4E"/>
    <w:rsid w:val="005C71B2"/>
    <w:rsid w:val="005D16A1"/>
    <w:rsid w:val="005E6D8A"/>
    <w:rsid w:val="005F3DAA"/>
    <w:rsid w:val="005F726F"/>
    <w:rsid w:val="0060435D"/>
    <w:rsid w:val="006128A5"/>
    <w:rsid w:val="006144F3"/>
    <w:rsid w:val="006168A6"/>
    <w:rsid w:val="00634374"/>
    <w:rsid w:val="00637F43"/>
    <w:rsid w:val="00642602"/>
    <w:rsid w:val="00644A1B"/>
    <w:rsid w:val="00650FA1"/>
    <w:rsid w:val="006536D8"/>
    <w:rsid w:val="00654BA4"/>
    <w:rsid w:val="00655FC4"/>
    <w:rsid w:val="00680D78"/>
    <w:rsid w:val="00695E65"/>
    <w:rsid w:val="006963BC"/>
    <w:rsid w:val="006A34AE"/>
    <w:rsid w:val="006A423E"/>
    <w:rsid w:val="006A73BD"/>
    <w:rsid w:val="006C6B0C"/>
    <w:rsid w:val="006E10F4"/>
    <w:rsid w:val="006E75AA"/>
    <w:rsid w:val="006E7CBB"/>
    <w:rsid w:val="00714F57"/>
    <w:rsid w:val="00727068"/>
    <w:rsid w:val="00727C5E"/>
    <w:rsid w:val="007407F4"/>
    <w:rsid w:val="00741C80"/>
    <w:rsid w:val="00744BCE"/>
    <w:rsid w:val="0075009F"/>
    <w:rsid w:val="00762C42"/>
    <w:rsid w:val="00782ACA"/>
    <w:rsid w:val="0078795F"/>
    <w:rsid w:val="007A3DBF"/>
    <w:rsid w:val="007B588C"/>
    <w:rsid w:val="007C1916"/>
    <w:rsid w:val="007C422D"/>
    <w:rsid w:val="007C4649"/>
    <w:rsid w:val="007C544E"/>
    <w:rsid w:val="007C6AC2"/>
    <w:rsid w:val="007C729C"/>
    <w:rsid w:val="007D32A5"/>
    <w:rsid w:val="007D377F"/>
    <w:rsid w:val="007F10F3"/>
    <w:rsid w:val="00802E9C"/>
    <w:rsid w:val="00803CA2"/>
    <w:rsid w:val="00806DF9"/>
    <w:rsid w:val="00807CAC"/>
    <w:rsid w:val="00810D18"/>
    <w:rsid w:val="008115BF"/>
    <w:rsid w:val="00812B30"/>
    <w:rsid w:val="0081740E"/>
    <w:rsid w:val="00824D81"/>
    <w:rsid w:val="00836DF9"/>
    <w:rsid w:val="00853ABC"/>
    <w:rsid w:val="00863225"/>
    <w:rsid w:val="008711D7"/>
    <w:rsid w:val="00877011"/>
    <w:rsid w:val="00881405"/>
    <w:rsid w:val="0089069F"/>
    <w:rsid w:val="00895DA2"/>
    <w:rsid w:val="00897359"/>
    <w:rsid w:val="008A020E"/>
    <w:rsid w:val="008B6E06"/>
    <w:rsid w:val="008C572B"/>
    <w:rsid w:val="008D25B7"/>
    <w:rsid w:val="008D300A"/>
    <w:rsid w:val="008D5479"/>
    <w:rsid w:val="008E0DF5"/>
    <w:rsid w:val="008E3273"/>
    <w:rsid w:val="00900CF7"/>
    <w:rsid w:val="009179E9"/>
    <w:rsid w:val="00937284"/>
    <w:rsid w:val="00940C0F"/>
    <w:rsid w:val="0095311D"/>
    <w:rsid w:val="0095433E"/>
    <w:rsid w:val="00954CCB"/>
    <w:rsid w:val="00956A45"/>
    <w:rsid w:val="00956B20"/>
    <w:rsid w:val="009744C8"/>
    <w:rsid w:val="00981886"/>
    <w:rsid w:val="00990FEC"/>
    <w:rsid w:val="009A1B08"/>
    <w:rsid w:val="009A6E91"/>
    <w:rsid w:val="009B4450"/>
    <w:rsid w:val="009C25C4"/>
    <w:rsid w:val="009C4A13"/>
    <w:rsid w:val="009E5557"/>
    <w:rsid w:val="009E66F8"/>
    <w:rsid w:val="009F7DE3"/>
    <w:rsid w:val="00A02DB7"/>
    <w:rsid w:val="00A038F9"/>
    <w:rsid w:val="00A11F38"/>
    <w:rsid w:val="00A2604E"/>
    <w:rsid w:val="00A43A4A"/>
    <w:rsid w:val="00A46582"/>
    <w:rsid w:val="00A5067D"/>
    <w:rsid w:val="00A507F0"/>
    <w:rsid w:val="00A664DF"/>
    <w:rsid w:val="00A713D0"/>
    <w:rsid w:val="00A72814"/>
    <w:rsid w:val="00A759B3"/>
    <w:rsid w:val="00A82A29"/>
    <w:rsid w:val="00A8690F"/>
    <w:rsid w:val="00A86D9E"/>
    <w:rsid w:val="00AA4050"/>
    <w:rsid w:val="00AA516A"/>
    <w:rsid w:val="00AA5B0E"/>
    <w:rsid w:val="00AC0CB8"/>
    <w:rsid w:val="00AC6C1C"/>
    <w:rsid w:val="00AC750B"/>
    <w:rsid w:val="00AC77B8"/>
    <w:rsid w:val="00AD4128"/>
    <w:rsid w:val="00AE1F12"/>
    <w:rsid w:val="00AE3A78"/>
    <w:rsid w:val="00AE4155"/>
    <w:rsid w:val="00AE4B7C"/>
    <w:rsid w:val="00AF349B"/>
    <w:rsid w:val="00AF5EFF"/>
    <w:rsid w:val="00B01B16"/>
    <w:rsid w:val="00B07507"/>
    <w:rsid w:val="00B10C2F"/>
    <w:rsid w:val="00B16261"/>
    <w:rsid w:val="00B22DCB"/>
    <w:rsid w:val="00B349EC"/>
    <w:rsid w:val="00B447D7"/>
    <w:rsid w:val="00B46F03"/>
    <w:rsid w:val="00B5066A"/>
    <w:rsid w:val="00B56882"/>
    <w:rsid w:val="00B56B54"/>
    <w:rsid w:val="00B65A09"/>
    <w:rsid w:val="00B72C7A"/>
    <w:rsid w:val="00B76A1F"/>
    <w:rsid w:val="00B82F8C"/>
    <w:rsid w:val="00BA0FBC"/>
    <w:rsid w:val="00BA5479"/>
    <w:rsid w:val="00BB7D82"/>
    <w:rsid w:val="00BC200B"/>
    <w:rsid w:val="00BD74AE"/>
    <w:rsid w:val="00BE3FE7"/>
    <w:rsid w:val="00BF17A0"/>
    <w:rsid w:val="00BF29D8"/>
    <w:rsid w:val="00BF2D74"/>
    <w:rsid w:val="00BF38BC"/>
    <w:rsid w:val="00BF4CC8"/>
    <w:rsid w:val="00C028E0"/>
    <w:rsid w:val="00C1124F"/>
    <w:rsid w:val="00C13456"/>
    <w:rsid w:val="00C37BFF"/>
    <w:rsid w:val="00C51458"/>
    <w:rsid w:val="00C53580"/>
    <w:rsid w:val="00C55838"/>
    <w:rsid w:val="00C700A1"/>
    <w:rsid w:val="00C728C5"/>
    <w:rsid w:val="00C7509D"/>
    <w:rsid w:val="00C77EF7"/>
    <w:rsid w:val="00C81A97"/>
    <w:rsid w:val="00C820F1"/>
    <w:rsid w:val="00C91512"/>
    <w:rsid w:val="00C94015"/>
    <w:rsid w:val="00CA58C7"/>
    <w:rsid w:val="00CA6636"/>
    <w:rsid w:val="00CA6D76"/>
    <w:rsid w:val="00CB05F7"/>
    <w:rsid w:val="00CC428E"/>
    <w:rsid w:val="00CD37C7"/>
    <w:rsid w:val="00CD57EB"/>
    <w:rsid w:val="00CD5C97"/>
    <w:rsid w:val="00CD786C"/>
    <w:rsid w:val="00CE3598"/>
    <w:rsid w:val="00CF4753"/>
    <w:rsid w:val="00CF71E0"/>
    <w:rsid w:val="00D0083B"/>
    <w:rsid w:val="00D42209"/>
    <w:rsid w:val="00D44183"/>
    <w:rsid w:val="00D70AB9"/>
    <w:rsid w:val="00D70B8D"/>
    <w:rsid w:val="00D76114"/>
    <w:rsid w:val="00D92AB9"/>
    <w:rsid w:val="00D96BCF"/>
    <w:rsid w:val="00D9761F"/>
    <w:rsid w:val="00DA529F"/>
    <w:rsid w:val="00DC5017"/>
    <w:rsid w:val="00DD2ED3"/>
    <w:rsid w:val="00DD7F1B"/>
    <w:rsid w:val="00DE14C9"/>
    <w:rsid w:val="00E024B6"/>
    <w:rsid w:val="00E03A42"/>
    <w:rsid w:val="00E13A02"/>
    <w:rsid w:val="00E13D0F"/>
    <w:rsid w:val="00E32C2A"/>
    <w:rsid w:val="00E33035"/>
    <w:rsid w:val="00E34382"/>
    <w:rsid w:val="00E41DB9"/>
    <w:rsid w:val="00E600D8"/>
    <w:rsid w:val="00E628F0"/>
    <w:rsid w:val="00E666F5"/>
    <w:rsid w:val="00E762BB"/>
    <w:rsid w:val="00E77B33"/>
    <w:rsid w:val="00E8661B"/>
    <w:rsid w:val="00EA689F"/>
    <w:rsid w:val="00EB4EB7"/>
    <w:rsid w:val="00EF2866"/>
    <w:rsid w:val="00EF33BE"/>
    <w:rsid w:val="00F0383C"/>
    <w:rsid w:val="00F10B2F"/>
    <w:rsid w:val="00F11631"/>
    <w:rsid w:val="00F15441"/>
    <w:rsid w:val="00F2099B"/>
    <w:rsid w:val="00F2160E"/>
    <w:rsid w:val="00F24AB0"/>
    <w:rsid w:val="00F309CB"/>
    <w:rsid w:val="00F40209"/>
    <w:rsid w:val="00F44A0E"/>
    <w:rsid w:val="00F61225"/>
    <w:rsid w:val="00F67C27"/>
    <w:rsid w:val="00F7642D"/>
    <w:rsid w:val="00F8646E"/>
    <w:rsid w:val="00F95ED7"/>
    <w:rsid w:val="00F9675E"/>
    <w:rsid w:val="00FB283A"/>
    <w:rsid w:val="00FC3F00"/>
    <w:rsid w:val="00FE27A4"/>
    <w:rsid w:val="00FE4B8E"/>
    <w:rsid w:val="00FF1D71"/>
    <w:rsid w:val="00FF6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45057"/>
    <o:shapelayout v:ext="edit">
      <o:idmap v:ext="edit" data="1"/>
    </o:shapelayout>
  </w:shapeDefaults>
  <w:decimalSymbol w:val="."/>
  <w:listSeparator w:val=","/>
  <w14:docId w14:val="7C239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B01B16"/>
    <w:rPr>
      <w:rFonts w:ascii="Times New Roman" w:hAnsi="Times New Roman"/>
      <w:b/>
      <w:sz w:val="26"/>
      <w:szCs w:val="26"/>
      <w:vertAlign w:val="superscript"/>
    </w:rPr>
  </w:style>
  <w:style w:type="paragraph" w:styleId="FootnoteText">
    <w:name w:val="footnote text"/>
    <w:aliases w:val="fn,Footnote Text Char Char,Footnote Text Char1 Char,Footnote Text Char Char Char,Footnote Text MRP,Footnote Text Char1 Char Char,Footnote Text Char1 Char1,Footnote Text Char3,Footnote Text Char2 Char,ft,fn1,fn3,fn4,Footnote Text Char1"/>
    <w:basedOn w:val="Normal"/>
    <w:link w:val="FootnoteTextChar"/>
    <w:qFormat/>
    <w:rsid w:val="00B01B16"/>
    <w:rPr>
      <w:sz w:val="22"/>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t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5D16A1"/>
    <w:rPr>
      <w:color w:val="954F72" w:themeColor="followedHyperlink"/>
      <w:u w:val="single"/>
    </w:rPr>
  </w:style>
  <w:style w:type="character" w:customStyle="1" w:styleId="UnresolvedMention">
    <w:name w:val="Unresolved Mention"/>
    <w:basedOn w:val="DefaultParagraphFont"/>
    <w:uiPriority w:val="99"/>
    <w:semiHidden/>
    <w:unhideWhenUsed/>
    <w:rsid w:val="0008031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B01B16"/>
    <w:rPr>
      <w:rFonts w:ascii="Times New Roman" w:hAnsi="Times New Roman"/>
      <w:b/>
      <w:sz w:val="26"/>
      <w:szCs w:val="26"/>
      <w:vertAlign w:val="superscript"/>
    </w:rPr>
  </w:style>
  <w:style w:type="paragraph" w:styleId="FootnoteText">
    <w:name w:val="footnote text"/>
    <w:aliases w:val="fn,Footnote Text Char Char,Footnote Text Char1 Char,Footnote Text Char Char Char,Footnote Text MRP,Footnote Text Char1 Char Char,Footnote Text Char1 Char1,Footnote Text Char3,Footnote Text Char2 Char,ft,fn1,fn3,fn4,Footnote Text Char1"/>
    <w:basedOn w:val="Normal"/>
    <w:link w:val="FootnoteTextChar"/>
    <w:qFormat/>
    <w:rsid w:val="00B01B16"/>
    <w:rPr>
      <w:sz w:val="22"/>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t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5D16A1"/>
    <w:rPr>
      <w:color w:val="954F72" w:themeColor="followedHyperlink"/>
      <w:u w:val="single"/>
    </w:rPr>
  </w:style>
  <w:style w:type="character" w:customStyle="1" w:styleId="UnresolvedMention">
    <w:name w:val="Unresolved Mention"/>
    <w:basedOn w:val="DefaultParagraphFont"/>
    <w:uiPriority w:val="99"/>
    <w:semiHidden/>
    <w:unhideWhenUsed/>
    <w:rsid w:val="000803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165813">
      <w:bodyDiv w:val="1"/>
      <w:marLeft w:val="0"/>
      <w:marRight w:val="0"/>
      <w:marTop w:val="0"/>
      <w:marBottom w:val="0"/>
      <w:divBdr>
        <w:top w:val="none" w:sz="0" w:space="0" w:color="auto"/>
        <w:left w:val="none" w:sz="0" w:space="0" w:color="auto"/>
        <w:bottom w:val="none" w:sz="0" w:space="0" w:color="auto"/>
        <w:right w:val="none" w:sz="0" w:space="0" w:color="auto"/>
      </w:divBdr>
    </w:div>
    <w:div w:id="703942100">
      <w:bodyDiv w:val="1"/>
      <w:marLeft w:val="0"/>
      <w:marRight w:val="0"/>
      <w:marTop w:val="0"/>
      <w:marBottom w:val="0"/>
      <w:divBdr>
        <w:top w:val="none" w:sz="0" w:space="0" w:color="auto"/>
        <w:left w:val="none" w:sz="0" w:space="0" w:color="auto"/>
        <w:bottom w:val="none" w:sz="0" w:space="0" w:color="auto"/>
        <w:right w:val="none" w:sz="0" w:space="0" w:color="auto"/>
      </w:divBdr>
    </w:div>
    <w:div w:id="854540906">
      <w:bodyDiv w:val="1"/>
      <w:marLeft w:val="0"/>
      <w:marRight w:val="0"/>
      <w:marTop w:val="0"/>
      <w:marBottom w:val="0"/>
      <w:divBdr>
        <w:top w:val="none" w:sz="0" w:space="0" w:color="auto"/>
        <w:left w:val="none" w:sz="0" w:space="0" w:color="auto"/>
        <w:bottom w:val="none" w:sz="0" w:space="0" w:color="auto"/>
        <w:right w:val="none" w:sz="0" w:space="0" w:color="auto"/>
      </w:divBdr>
      <w:divsChild>
        <w:div w:id="888078948">
          <w:marLeft w:val="0"/>
          <w:marRight w:val="0"/>
          <w:marTop w:val="0"/>
          <w:marBottom w:val="0"/>
          <w:divBdr>
            <w:top w:val="none" w:sz="0" w:space="0" w:color="auto"/>
            <w:left w:val="none" w:sz="0" w:space="0" w:color="auto"/>
            <w:bottom w:val="none" w:sz="0" w:space="0" w:color="auto"/>
            <w:right w:val="none" w:sz="0" w:space="0" w:color="auto"/>
          </w:divBdr>
          <w:divsChild>
            <w:div w:id="683243073">
              <w:marLeft w:val="0"/>
              <w:marRight w:val="0"/>
              <w:marTop w:val="0"/>
              <w:marBottom w:val="0"/>
              <w:divBdr>
                <w:top w:val="none" w:sz="0" w:space="0" w:color="auto"/>
                <w:left w:val="none" w:sz="0" w:space="0" w:color="auto"/>
                <w:bottom w:val="none" w:sz="0" w:space="0" w:color="auto"/>
                <w:right w:val="none" w:sz="0" w:space="0" w:color="auto"/>
              </w:divBdr>
              <w:divsChild>
                <w:div w:id="1901355940">
                  <w:marLeft w:val="0"/>
                  <w:marRight w:val="0"/>
                  <w:marTop w:val="0"/>
                  <w:marBottom w:val="0"/>
                  <w:divBdr>
                    <w:top w:val="none" w:sz="0" w:space="0" w:color="auto"/>
                    <w:left w:val="none" w:sz="0" w:space="0" w:color="auto"/>
                    <w:bottom w:val="none" w:sz="0" w:space="0" w:color="auto"/>
                    <w:right w:val="none" w:sz="0" w:space="0" w:color="auto"/>
                  </w:divBdr>
                  <w:divsChild>
                    <w:div w:id="2142768599">
                      <w:marLeft w:val="0"/>
                      <w:marRight w:val="0"/>
                      <w:marTop w:val="0"/>
                      <w:marBottom w:val="0"/>
                      <w:divBdr>
                        <w:top w:val="none" w:sz="0" w:space="0" w:color="auto"/>
                        <w:left w:val="none" w:sz="0" w:space="0" w:color="auto"/>
                        <w:bottom w:val="none" w:sz="0" w:space="0" w:color="auto"/>
                        <w:right w:val="none" w:sz="0" w:space="0" w:color="auto"/>
                      </w:divBdr>
                      <w:divsChild>
                        <w:div w:id="596445815">
                          <w:marLeft w:val="0"/>
                          <w:marRight w:val="0"/>
                          <w:marTop w:val="0"/>
                          <w:marBottom w:val="0"/>
                          <w:divBdr>
                            <w:top w:val="none" w:sz="0" w:space="0" w:color="auto"/>
                            <w:left w:val="none" w:sz="0" w:space="0" w:color="auto"/>
                            <w:bottom w:val="none" w:sz="0" w:space="0" w:color="auto"/>
                            <w:right w:val="none" w:sz="0" w:space="0" w:color="auto"/>
                          </w:divBdr>
                          <w:divsChild>
                            <w:div w:id="1904296979">
                              <w:marLeft w:val="15"/>
                              <w:marRight w:val="195"/>
                              <w:marTop w:val="0"/>
                              <w:marBottom w:val="0"/>
                              <w:divBdr>
                                <w:top w:val="none" w:sz="0" w:space="0" w:color="auto"/>
                                <w:left w:val="none" w:sz="0" w:space="0" w:color="auto"/>
                                <w:bottom w:val="none" w:sz="0" w:space="0" w:color="auto"/>
                                <w:right w:val="none" w:sz="0" w:space="0" w:color="auto"/>
                              </w:divBdr>
                              <w:divsChild>
                                <w:div w:id="1027826855">
                                  <w:marLeft w:val="0"/>
                                  <w:marRight w:val="0"/>
                                  <w:marTop w:val="0"/>
                                  <w:marBottom w:val="0"/>
                                  <w:divBdr>
                                    <w:top w:val="none" w:sz="0" w:space="0" w:color="auto"/>
                                    <w:left w:val="none" w:sz="0" w:space="0" w:color="auto"/>
                                    <w:bottom w:val="none" w:sz="0" w:space="0" w:color="auto"/>
                                    <w:right w:val="none" w:sz="0" w:space="0" w:color="auto"/>
                                  </w:divBdr>
                                  <w:divsChild>
                                    <w:div w:id="616179453">
                                      <w:marLeft w:val="0"/>
                                      <w:marRight w:val="0"/>
                                      <w:marTop w:val="0"/>
                                      <w:marBottom w:val="0"/>
                                      <w:divBdr>
                                        <w:top w:val="none" w:sz="0" w:space="0" w:color="auto"/>
                                        <w:left w:val="none" w:sz="0" w:space="0" w:color="auto"/>
                                        <w:bottom w:val="none" w:sz="0" w:space="0" w:color="auto"/>
                                        <w:right w:val="none" w:sz="0" w:space="0" w:color="auto"/>
                                      </w:divBdr>
                                      <w:divsChild>
                                        <w:div w:id="1514804026">
                                          <w:marLeft w:val="0"/>
                                          <w:marRight w:val="0"/>
                                          <w:marTop w:val="0"/>
                                          <w:marBottom w:val="0"/>
                                          <w:divBdr>
                                            <w:top w:val="none" w:sz="0" w:space="0" w:color="auto"/>
                                            <w:left w:val="none" w:sz="0" w:space="0" w:color="auto"/>
                                            <w:bottom w:val="none" w:sz="0" w:space="0" w:color="auto"/>
                                            <w:right w:val="none" w:sz="0" w:space="0" w:color="auto"/>
                                          </w:divBdr>
                                          <w:divsChild>
                                            <w:div w:id="173955708">
                                              <w:marLeft w:val="0"/>
                                              <w:marRight w:val="0"/>
                                              <w:marTop w:val="0"/>
                                              <w:marBottom w:val="0"/>
                                              <w:divBdr>
                                                <w:top w:val="none" w:sz="0" w:space="0" w:color="auto"/>
                                                <w:left w:val="none" w:sz="0" w:space="0" w:color="auto"/>
                                                <w:bottom w:val="none" w:sz="0" w:space="0" w:color="auto"/>
                                                <w:right w:val="none" w:sz="0" w:space="0" w:color="auto"/>
                                              </w:divBdr>
                                              <w:divsChild>
                                                <w:div w:id="1053695699">
                                                  <w:marLeft w:val="0"/>
                                                  <w:marRight w:val="0"/>
                                                  <w:marTop w:val="0"/>
                                                  <w:marBottom w:val="0"/>
                                                  <w:divBdr>
                                                    <w:top w:val="none" w:sz="0" w:space="0" w:color="auto"/>
                                                    <w:left w:val="none" w:sz="0" w:space="0" w:color="auto"/>
                                                    <w:bottom w:val="none" w:sz="0" w:space="0" w:color="auto"/>
                                                    <w:right w:val="none" w:sz="0" w:space="0" w:color="auto"/>
                                                  </w:divBdr>
                                                  <w:divsChild>
                                                    <w:div w:id="1400205535">
                                                      <w:marLeft w:val="0"/>
                                                      <w:marRight w:val="0"/>
                                                      <w:marTop w:val="0"/>
                                                      <w:marBottom w:val="0"/>
                                                      <w:divBdr>
                                                        <w:top w:val="none" w:sz="0" w:space="0" w:color="auto"/>
                                                        <w:left w:val="none" w:sz="0" w:space="0" w:color="auto"/>
                                                        <w:bottom w:val="none" w:sz="0" w:space="0" w:color="auto"/>
                                                        <w:right w:val="none" w:sz="0" w:space="0" w:color="auto"/>
                                                      </w:divBdr>
                                                      <w:divsChild>
                                                        <w:div w:id="1380084098">
                                                          <w:marLeft w:val="0"/>
                                                          <w:marRight w:val="0"/>
                                                          <w:marTop w:val="0"/>
                                                          <w:marBottom w:val="0"/>
                                                          <w:divBdr>
                                                            <w:top w:val="none" w:sz="0" w:space="0" w:color="auto"/>
                                                            <w:left w:val="none" w:sz="0" w:space="0" w:color="auto"/>
                                                            <w:bottom w:val="none" w:sz="0" w:space="0" w:color="auto"/>
                                                            <w:right w:val="none" w:sz="0" w:space="0" w:color="auto"/>
                                                          </w:divBdr>
                                                          <w:divsChild>
                                                            <w:div w:id="1177427115">
                                                              <w:marLeft w:val="0"/>
                                                              <w:marRight w:val="0"/>
                                                              <w:marTop w:val="0"/>
                                                              <w:marBottom w:val="0"/>
                                                              <w:divBdr>
                                                                <w:top w:val="none" w:sz="0" w:space="0" w:color="auto"/>
                                                                <w:left w:val="none" w:sz="0" w:space="0" w:color="auto"/>
                                                                <w:bottom w:val="none" w:sz="0" w:space="0" w:color="auto"/>
                                                                <w:right w:val="none" w:sz="0" w:space="0" w:color="auto"/>
                                                              </w:divBdr>
                                                              <w:divsChild>
                                                                <w:div w:id="1210843461">
                                                                  <w:marLeft w:val="0"/>
                                                                  <w:marRight w:val="0"/>
                                                                  <w:marTop w:val="735"/>
                                                                  <w:marBottom w:val="0"/>
                                                                  <w:divBdr>
                                                                    <w:top w:val="none" w:sz="0" w:space="0" w:color="auto"/>
                                                                    <w:left w:val="none" w:sz="0" w:space="0" w:color="auto"/>
                                                                    <w:bottom w:val="none" w:sz="0" w:space="0" w:color="auto"/>
                                                                    <w:right w:val="none" w:sz="0" w:space="0" w:color="auto"/>
                                                                  </w:divBdr>
                                                                  <w:divsChild>
                                                                    <w:div w:id="1192954355">
                                                                      <w:marLeft w:val="450"/>
                                                                      <w:marRight w:val="450"/>
                                                                      <w:marTop w:val="0"/>
                                                                      <w:marBottom w:val="0"/>
                                                                      <w:divBdr>
                                                                        <w:top w:val="none" w:sz="0" w:space="0" w:color="auto"/>
                                                                        <w:left w:val="none" w:sz="0" w:space="0" w:color="auto"/>
                                                                        <w:bottom w:val="none" w:sz="0" w:space="0" w:color="auto"/>
                                                                        <w:right w:val="none" w:sz="0" w:space="0" w:color="auto"/>
                                                                      </w:divBdr>
                                                                      <w:divsChild>
                                                                        <w:div w:id="498467825">
                                                                          <w:marLeft w:val="0"/>
                                                                          <w:marRight w:val="45"/>
                                                                          <w:marTop w:val="45"/>
                                                                          <w:marBottom w:val="0"/>
                                                                          <w:divBdr>
                                                                            <w:top w:val="none" w:sz="0" w:space="0" w:color="auto"/>
                                                                            <w:left w:val="none" w:sz="0" w:space="0" w:color="auto"/>
                                                                            <w:bottom w:val="none" w:sz="0" w:space="0" w:color="auto"/>
                                                                            <w:right w:val="none" w:sz="0" w:space="0" w:color="auto"/>
                                                                          </w:divBdr>
                                                                          <w:divsChild>
                                                                            <w:div w:id="141778748">
                                                                              <w:marLeft w:val="0"/>
                                                                              <w:marRight w:val="0"/>
                                                                              <w:marTop w:val="0"/>
                                                                              <w:marBottom w:val="0"/>
                                                                              <w:divBdr>
                                                                                <w:top w:val="none" w:sz="0" w:space="0" w:color="auto"/>
                                                                                <w:left w:val="none" w:sz="0" w:space="0" w:color="auto"/>
                                                                                <w:bottom w:val="none" w:sz="0" w:space="0" w:color="auto"/>
                                                                                <w:right w:val="none" w:sz="0" w:space="0" w:color="auto"/>
                                                                              </w:divBdr>
                                                                              <w:divsChild>
                                                                                <w:div w:id="1805806977">
                                                                                  <w:marLeft w:val="0"/>
                                                                                  <w:marRight w:val="0"/>
                                                                                  <w:marTop w:val="0"/>
                                                                                  <w:marBottom w:val="0"/>
                                                                                  <w:divBdr>
                                                                                    <w:top w:val="none" w:sz="0" w:space="0" w:color="auto"/>
                                                                                    <w:left w:val="none" w:sz="0" w:space="0" w:color="auto"/>
                                                                                    <w:bottom w:val="none" w:sz="0" w:space="0" w:color="auto"/>
                                                                                    <w:right w:val="none" w:sz="0" w:space="0" w:color="auto"/>
                                                                                  </w:divBdr>
                                                                                  <w:divsChild>
                                                                                    <w:div w:id="530922456">
                                                                                      <w:marLeft w:val="0"/>
                                                                                      <w:marRight w:val="0"/>
                                                                                      <w:marTop w:val="0"/>
                                                                                      <w:marBottom w:val="0"/>
                                                                                      <w:divBdr>
                                                                                        <w:top w:val="none" w:sz="0" w:space="0" w:color="auto"/>
                                                                                        <w:left w:val="single" w:sz="6" w:space="0" w:color="auto"/>
                                                                                        <w:bottom w:val="none" w:sz="0" w:space="0" w:color="auto"/>
                                                                                        <w:right w:val="single" w:sz="6" w:space="0" w:color="auto"/>
                                                                                      </w:divBdr>
                                                                                      <w:divsChild>
                                                                                        <w:div w:id="793523905">
                                                                                          <w:marLeft w:val="150"/>
                                                                                          <w:marRight w:val="150"/>
                                                                                          <w:marTop w:val="0"/>
                                                                                          <w:marBottom w:val="0"/>
                                                                                          <w:divBdr>
                                                                                            <w:top w:val="none" w:sz="0" w:space="0" w:color="auto"/>
                                                                                            <w:left w:val="none" w:sz="0" w:space="0" w:color="auto"/>
                                                                                            <w:bottom w:val="none" w:sz="0" w:space="0" w:color="auto"/>
                                                                                            <w:right w:val="none" w:sz="0" w:space="0" w:color="auto"/>
                                                                                          </w:divBdr>
                                                                                          <w:divsChild>
                                                                                            <w:div w:id="1980111174">
                                                                                              <w:marLeft w:val="0"/>
                                                                                              <w:marRight w:val="0"/>
                                                                                              <w:marTop w:val="0"/>
                                                                                              <w:marBottom w:val="0"/>
                                                                                              <w:divBdr>
                                                                                                <w:top w:val="none" w:sz="0" w:space="0" w:color="auto"/>
                                                                                                <w:left w:val="none" w:sz="0" w:space="0" w:color="auto"/>
                                                                                                <w:bottom w:val="none" w:sz="0" w:space="0" w:color="auto"/>
                                                                                                <w:right w:val="none" w:sz="0" w:space="0" w:color="auto"/>
                                                                                              </w:divBdr>
                                                                                              <w:divsChild>
                                                                                                <w:div w:id="326398230">
                                                                                                  <w:marLeft w:val="0"/>
                                                                                                  <w:marRight w:val="0"/>
                                                                                                  <w:marTop w:val="0"/>
                                                                                                  <w:marBottom w:val="0"/>
                                                                                                  <w:divBdr>
                                                                                                    <w:top w:val="none" w:sz="0" w:space="0" w:color="auto"/>
                                                                                                    <w:left w:val="none" w:sz="0" w:space="0" w:color="auto"/>
                                                                                                    <w:bottom w:val="none" w:sz="0" w:space="0" w:color="auto"/>
                                                                                                    <w:right w:val="none" w:sz="0" w:space="0" w:color="auto"/>
                                                                                                  </w:divBdr>
                                                                                                  <w:divsChild>
                                                                                                    <w:div w:id="164899196">
                                                                                                      <w:marLeft w:val="0"/>
                                                                                                      <w:marRight w:val="0"/>
                                                                                                      <w:marTop w:val="0"/>
                                                                                                      <w:marBottom w:val="0"/>
                                                                                                      <w:divBdr>
                                                                                                        <w:top w:val="none" w:sz="0" w:space="0" w:color="auto"/>
                                                                                                        <w:left w:val="none" w:sz="0" w:space="0" w:color="auto"/>
                                                                                                        <w:bottom w:val="none" w:sz="0" w:space="0" w:color="auto"/>
                                                                                                        <w:right w:val="none" w:sz="0" w:space="0" w:color="auto"/>
                                                                                                      </w:divBdr>
                                                                                                      <w:divsChild>
                                                                                                        <w:div w:id="1181892032">
                                                                                                          <w:marLeft w:val="0"/>
                                                                                                          <w:marRight w:val="0"/>
                                                                                                          <w:marTop w:val="0"/>
                                                                                                          <w:marBottom w:val="0"/>
                                                                                                          <w:divBdr>
                                                                                                            <w:top w:val="none" w:sz="0" w:space="0" w:color="auto"/>
                                                                                                            <w:left w:val="none" w:sz="0" w:space="0" w:color="auto"/>
                                                                                                            <w:bottom w:val="none" w:sz="0" w:space="0" w:color="auto"/>
                                                                                                            <w:right w:val="none" w:sz="0" w:space="0" w:color="auto"/>
                                                                                                          </w:divBdr>
                                                                                                          <w:divsChild>
                                                                                                            <w:div w:id="621378941">
                                                                                                              <w:marLeft w:val="0"/>
                                                                                                              <w:marRight w:val="0"/>
                                                                                                              <w:marTop w:val="0"/>
                                                                                                              <w:marBottom w:val="0"/>
                                                                                                              <w:divBdr>
                                                                                                                <w:top w:val="none" w:sz="0" w:space="0" w:color="auto"/>
                                                                                                                <w:left w:val="none" w:sz="0" w:space="0" w:color="auto"/>
                                                                                                                <w:bottom w:val="none" w:sz="0" w:space="0" w:color="auto"/>
                                                                                                                <w:right w:val="none" w:sz="0" w:space="0" w:color="auto"/>
                                                                                                              </w:divBdr>
                                                                                                              <w:divsChild>
                                                                                                                <w:div w:id="168625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6901589">
      <w:bodyDiv w:val="1"/>
      <w:marLeft w:val="0"/>
      <w:marRight w:val="0"/>
      <w:marTop w:val="0"/>
      <w:marBottom w:val="0"/>
      <w:divBdr>
        <w:top w:val="none" w:sz="0" w:space="0" w:color="auto"/>
        <w:left w:val="none" w:sz="0" w:space="0" w:color="auto"/>
        <w:bottom w:val="none" w:sz="0" w:space="0" w:color="auto"/>
        <w:right w:val="none" w:sz="0" w:space="0" w:color="auto"/>
      </w:divBdr>
    </w:div>
    <w:div w:id="1736390529">
      <w:bodyDiv w:val="1"/>
      <w:marLeft w:val="0"/>
      <w:marRight w:val="0"/>
      <w:marTop w:val="0"/>
      <w:marBottom w:val="0"/>
      <w:divBdr>
        <w:top w:val="none" w:sz="0" w:space="0" w:color="auto"/>
        <w:left w:val="none" w:sz="0" w:space="0" w:color="auto"/>
        <w:bottom w:val="none" w:sz="0" w:space="0" w:color="auto"/>
        <w:right w:val="none" w:sz="0" w:space="0" w:color="auto"/>
      </w:divBdr>
    </w:div>
    <w:div w:id="1737705732">
      <w:bodyDiv w:val="1"/>
      <w:marLeft w:val="0"/>
      <w:marRight w:val="0"/>
      <w:marTop w:val="0"/>
      <w:marBottom w:val="0"/>
      <w:divBdr>
        <w:top w:val="none" w:sz="0" w:space="0" w:color="auto"/>
        <w:left w:val="none" w:sz="0" w:space="0" w:color="auto"/>
        <w:bottom w:val="none" w:sz="0" w:space="0" w:color="auto"/>
        <w:right w:val="none" w:sz="0" w:space="0" w:color="auto"/>
      </w:divBdr>
      <w:divsChild>
        <w:div w:id="1364595459">
          <w:marLeft w:val="0"/>
          <w:marRight w:val="0"/>
          <w:marTop w:val="0"/>
          <w:marBottom w:val="0"/>
          <w:divBdr>
            <w:top w:val="none" w:sz="0" w:space="0" w:color="auto"/>
            <w:left w:val="none" w:sz="0" w:space="0" w:color="auto"/>
            <w:bottom w:val="none" w:sz="0" w:space="0" w:color="auto"/>
            <w:right w:val="none" w:sz="0" w:space="0" w:color="auto"/>
          </w:divBdr>
          <w:divsChild>
            <w:div w:id="641427155">
              <w:marLeft w:val="0"/>
              <w:marRight w:val="0"/>
              <w:marTop w:val="0"/>
              <w:marBottom w:val="0"/>
              <w:divBdr>
                <w:top w:val="none" w:sz="0" w:space="0" w:color="auto"/>
                <w:left w:val="none" w:sz="0" w:space="0" w:color="auto"/>
                <w:bottom w:val="none" w:sz="0" w:space="0" w:color="auto"/>
                <w:right w:val="none" w:sz="0" w:space="0" w:color="auto"/>
              </w:divBdr>
              <w:divsChild>
                <w:div w:id="1405451567">
                  <w:marLeft w:val="0"/>
                  <w:marRight w:val="0"/>
                  <w:marTop w:val="0"/>
                  <w:marBottom w:val="0"/>
                  <w:divBdr>
                    <w:top w:val="none" w:sz="0" w:space="0" w:color="auto"/>
                    <w:left w:val="none" w:sz="0" w:space="0" w:color="auto"/>
                    <w:bottom w:val="none" w:sz="0" w:space="0" w:color="auto"/>
                    <w:right w:val="none" w:sz="0" w:space="0" w:color="auto"/>
                  </w:divBdr>
                  <w:divsChild>
                    <w:div w:id="224075450">
                      <w:marLeft w:val="0"/>
                      <w:marRight w:val="0"/>
                      <w:marTop w:val="0"/>
                      <w:marBottom w:val="0"/>
                      <w:divBdr>
                        <w:top w:val="none" w:sz="0" w:space="0" w:color="auto"/>
                        <w:left w:val="none" w:sz="0" w:space="0" w:color="auto"/>
                        <w:bottom w:val="none" w:sz="0" w:space="0" w:color="auto"/>
                        <w:right w:val="none" w:sz="0" w:space="0" w:color="auto"/>
                      </w:divBdr>
                      <w:divsChild>
                        <w:div w:id="1220286853">
                          <w:marLeft w:val="0"/>
                          <w:marRight w:val="0"/>
                          <w:marTop w:val="0"/>
                          <w:marBottom w:val="0"/>
                          <w:divBdr>
                            <w:top w:val="none" w:sz="0" w:space="0" w:color="auto"/>
                            <w:left w:val="none" w:sz="0" w:space="0" w:color="auto"/>
                            <w:bottom w:val="none" w:sz="0" w:space="0" w:color="auto"/>
                            <w:right w:val="none" w:sz="0" w:space="0" w:color="auto"/>
                          </w:divBdr>
                          <w:divsChild>
                            <w:div w:id="115563642">
                              <w:marLeft w:val="15"/>
                              <w:marRight w:val="195"/>
                              <w:marTop w:val="0"/>
                              <w:marBottom w:val="0"/>
                              <w:divBdr>
                                <w:top w:val="none" w:sz="0" w:space="0" w:color="auto"/>
                                <w:left w:val="none" w:sz="0" w:space="0" w:color="auto"/>
                                <w:bottom w:val="none" w:sz="0" w:space="0" w:color="auto"/>
                                <w:right w:val="none" w:sz="0" w:space="0" w:color="auto"/>
                              </w:divBdr>
                              <w:divsChild>
                                <w:div w:id="1416635902">
                                  <w:marLeft w:val="0"/>
                                  <w:marRight w:val="0"/>
                                  <w:marTop w:val="0"/>
                                  <w:marBottom w:val="0"/>
                                  <w:divBdr>
                                    <w:top w:val="none" w:sz="0" w:space="0" w:color="auto"/>
                                    <w:left w:val="none" w:sz="0" w:space="0" w:color="auto"/>
                                    <w:bottom w:val="none" w:sz="0" w:space="0" w:color="auto"/>
                                    <w:right w:val="none" w:sz="0" w:space="0" w:color="auto"/>
                                  </w:divBdr>
                                  <w:divsChild>
                                    <w:div w:id="1190417563">
                                      <w:marLeft w:val="0"/>
                                      <w:marRight w:val="0"/>
                                      <w:marTop w:val="0"/>
                                      <w:marBottom w:val="0"/>
                                      <w:divBdr>
                                        <w:top w:val="none" w:sz="0" w:space="0" w:color="auto"/>
                                        <w:left w:val="none" w:sz="0" w:space="0" w:color="auto"/>
                                        <w:bottom w:val="none" w:sz="0" w:space="0" w:color="auto"/>
                                        <w:right w:val="none" w:sz="0" w:space="0" w:color="auto"/>
                                      </w:divBdr>
                                      <w:divsChild>
                                        <w:div w:id="1499690524">
                                          <w:marLeft w:val="0"/>
                                          <w:marRight w:val="0"/>
                                          <w:marTop w:val="0"/>
                                          <w:marBottom w:val="0"/>
                                          <w:divBdr>
                                            <w:top w:val="none" w:sz="0" w:space="0" w:color="auto"/>
                                            <w:left w:val="none" w:sz="0" w:space="0" w:color="auto"/>
                                            <w:bottom w:val="none" w:sz="0" w:space="0" w:color="auto"/>
                                            <w:right w:val="none" w:sz="0" w:space="0" w:color="auto"/>
                                          </w:divBdr>
                                          <w:divsChild>
                                            <w:div w:id="1460758261">
                                              <w:marLeft w:val="0"/>
                                              <w:marRight w:val="0"/>
                                              <w:marTop w:val="0"/>
                                              <w:marBottom w:val="0"/>
                                              <w:divBdr>
                                                <w:top w:val="none" w:sz="0" w:space="0" w:color="auto"/>
                                                <w:left w:val="none" w:sz="0" w:space="0" w:color="auto"/>
                                                <w:bottom w:val="none" w:sz="0" w:space="0" w:color="auto"/>
                                                <w:right w:val="none" w:sz="0" w:space="0" w:color="auto"/>
                                              </w:divBdr>
                                              <w:divsChild>
                                                <w:div w:id="2064404037">
                                                  <w:marLeft w:val="0"/>
                                                  <w:marRight w:val="0"/>
                                                  <w:marTop w:val="0"/>
                                                  <w:marBottom w:val="0"/>
                                                  <w:divBdr>
                                                    <w:top w:val="none" w:sz="0" w:space="0" w:color="auto"/>
                                                    <w:left w:val="none" w:sz="0" w:space="0" w:color="auto"/>
                                                    <w:bottom w:val="none" w:sz="0" w:space="0" w:color="auto"/>
                                                    <w:right w:val="none" w:sz="0" w:space="0" w:color="auto"/>
                                                  </w:divBdr>
                                                  <w:divsChild>
                                                    <w:div w:id="773406010">
                                                      <w:marLeft w:val="0"/>
                                                      <w:marRight w:val="0"/>
                                                      <w:marTop w:val="0"/>
                                                      <w:marBottom w:val="0"/>
                                                      <w:divBdr>
                                                        <w:top w:val="none" w:sz="0" w:space="0" w:color="auto"/>
                                                        <w:left w:val="none" w:sz="0" w:space="0" w:color="auto"/>
                                                        <w:bottom w:val="none" w:sz="0" w:space="0" w:color="auto"/>
                                                        <w:right w:val="none" w:sz="0" w:space="0" w:color="auto"/>
                                                      </w:divBdr>
                                                      <w:divsChild>
                                                        <w:div w:id="62459796">
                                                          <w:marLeft w:val="0"/>
                                                          <w:marRight w:val="0"/>
                                                          <w:marTop w:val="0"/>
                                                          <w:marBottom w:val="0"/>
                                                          <w:divBdr>
                                                            <w:top w:val="none" w:sz="0" w:space="0" w:color="auto"/>
                                                            <w:left w:val="none" w:sz="0" w:space="0" w:color="auto"/>
                                                            <w:bottom w:val="none" w:sz="0" w:space="0" w:color="auto"/>
                                                            <w:right w:val="none" w:sz="0" w:space="0" w:color="auto"/>
                                                          </w:divBdr>
                                                          <w:divsChild>
                                                            <w:div w:id="711349597">
                                                              <w:marLeft w:val="0"/>
                                                              <w:marRight w:val="0"/>
                                                              <w:marTop w:val="0"/>
                                                              <w:marBottom w:val="0"/>
                                                              <w:divBdr>
                                                                <w:top w:val="none" w:sz="0" w:space="0" w:color="auto"/>
                                                                <w:left w:val="none" w:sz="0" w:space="0" w:color="auto"/>
                                                                <w:bottom w:val="none" w:sz="0" w:space="0" w:color="auto"/>
                                                                <w:right w:val="none" w:sz="0" w:space="0" w:color="auto"/>
                                                              </w:divBdr>
                                                              <w:divsChild>
                                                                <w:div w:id="263343641">
                                                                  <w:marLeft w:val="0"/>
                                                                  <w:marRight w:val="0"/>
                                                                  <w:marTop w:val="735"/>
                                                                  <w:marBottom w:val="0"/>
                                                                  <w:divBdr>
                                                                    <w:top w:val="none" w:sz="0" w:space="0" w:color="auto"/>
                                                                    <w:left w:val="none" w:sz="0" w:space="0" w:color="auto"/>
                                                                    <w:bottom w:val="none" w:sz="0" w:space="0" w:color="auto"/>
                                                                    <w:right w:val="none" w:sz="0" w:space="0" w:color="auto"/>
                                                                  </w:divBdr>
                                                                  <w:divsChild>
                                                                    <w:div w:id="1142112734">
                                                                      <w:marLeft w:val="450"/>
                                                                      <w:marRight w:val="450"/>
                                                                      <w:marTop w:val="0"/>
                                                                      <w:marBottom w:val="0"/>
                                                                      <w:divBdr>
                                                                        <w:top w:val="none" w:sz="0" w:space="0" w:color="auto"/>
                                                                        <w:left w:val="none" w:sz="0" w:space="0" w:color="auto"/>
                                                                        <w:bottom w:val="none" w:sz="0" w:space="0" w:color="auto"/>
                                                                        <w:right w:val="none" w:sz="0" w:space="0" w:color="auto"/>
                                                                      </w:divBdr>
                                                                      <w:divsChild>
                                                                        <w:div w:id="92436834">
                                                                          <w:marLeft w:val="0"/>
                                                                          <w:marRight w:val="45"/>
                                                                          <w:marTop w:val="45"/>
                                                                          <w:marBottom w:val="0"/>
                                                                          <w:divBdr>
                                                                            <w:top w:val="none" w:sz="0" w:space="0" w:color="auto"/>
                                                                            <w:left w:val="none" w:sz="0" w:space="0" w:color="auto"/>
                                                                            <w:bottom w:val="none" w:sz="0" w:space="0" w:color="auto"/>
                                                                            <w:right w:val="none" w:sz="0" w:space="0" w:color="auto"/>
                                                                          </w:divBdr>
                                                                          <w:divsChild>
                                                                            <w:div w:id="307706794">
                                                                              <w:marLeft w:val="0"/>
                                                                              <w:marRight w:val="0"/>
                                                                              <w:marTop w:val="0"/>
                                                                              <w:marBottom w:val="0"/>
                                                                              <w:divBdr>
                                                                                <w:top w:val="none" w:sz="0" w:space="0" w:color="auto"/>
                                                                                <w:left w:val="none" w:sz="0" w:space="0" w:color="auto"/>
                                                                                <w:bottom w:val="none" w:sz="0" w:space="0" w:color="auto"/>
                                                                                <w:right w:val="none" w:sz="0" w:space="0" w:color="auto"/>
                                                                              </w:divBdr>
                                                                              <w:divsChild>
                                                                                <w:div w:id="251166209">
                                                                                  <w:marLeft w:val="0"/>
                                                                                  <w:marRight w:val="0"/>
                                                                                  <w:marTop w:val="0"/>
                                                                                  <w:marBottom w:val="0"/>
                                                                                  <w:divBdr>
                                                                                    <w:top w:val="none" w:sz="0" w:space="0" w:color="auto"/>
                                                                                    <w:left w:val="none" w:sz="0" w:space="0" w:color="auto"/>
                                                                                    <w:bottom w:val="none" w:sz="0" w:space="0" w:color="auto"/>
                                                                                    <w:right w:val="none" w:sz="0" w:space="0" w:color="auto"/>
                                                                                  </w:divBdr>
                                                                                  <w:divsChild>
                                                                                    <w:div w:id="98453119">
                                                                                      <w:marLeft w:val="0"/>
                                                                                      <w:marRight w:val="0"/>
                                                                                      <w:marTop w:val="0"/>
                                                                                      <w:marBottom w:val="0"/>
                                                                                      <w:divBdr>
                                                                                        <w:top w:val="none" w:sz="0" w:space="0" w:color="auto"/>
                                                                                        <w:left w:val="single" w:sz="6" w:space="0" w:color="auto"/>
                                                                                        <w:bottom w:val="none" w:sz="0" w:space="0" w:color="auto"/>
                                                                                        <w:right w:val="single" w:sz="6" w:space="0" w:color="auto"/>
                                                                                      </w:divBdr>
                                                                                      <w:divsChild>
                                                                                        <w:div w:id="447119339">
                                                                                          <w:marLeft w:val="150"/>
                                                                                          <w:marRight w:val="150"/>
                                                                                          <w:marTop w:val="0"/>
                                                                                          <w:marBottom w:val="0"/>
                                                                                          <w:divBdr>
                                                                                            <w:top w:val="none" w:sz="0" w:space="0" w:color="auto"/>
                                                                                            <w:left w:val="none" w:sz="0" w:space="0" w:color="auto"/>
                                                                                            <w:bottom w:val="none" w:sz="0" w:space="0" w:color="auto"/>
                                                                                            <w:right w:val="none" w:sz="0" w:space="0" w:color="auto"/>
                                                                                          </w:divBdr>
                                                                                          <w:divsChild>
                                                                                            <w:div w:id="1399665755">
                                                                                              <w:marLeft w:val="0"/>
                                                                                              <w:marRight w:val="0"/>
                                                                                              <w:marTop w:val="0"/>
                                                                                              <w:marBottom w:val="0"/>
                                                                                              <w:divBdr>
                                                                                                <w:top w:val="none" w:sz="0" w:space="0" w:color="auto"/>
                                                                                                <w:left w:val="none" w:sz="0" w:space="0" w:color="auto"/>
                                                                                                <w:bottom w:val="none" w:sz="0" w:space="0" w:color="auto"/>
                                                                                                <w:right w:val="none" w:sz="0" w:space="0" w:color="auto"/>
                                                                                              </w:divBdr>
                                                                                              <w:divsChild>
                                                                                                <w:div w:id="455023390">
                                                                                                  <w:marLeft w:val="0"/>
                                                                                                  <w:marRight w:val="0"/>
                                                                                                  <w:marTop w:val="0"/>
                                                                                                  <w:marBottom w:val="0"/>
                                                                                                  <w:divBdr>
                                                                                                    <w:top w:val="none" w:sz="0" w:space="0" w:color="auto"/>
                                                                                                    <w:left w:val="none" w:sz="0" w:space="0" w:color="auto"/>
                                                                                                    <w:bottom w:val="none" w:sz="0" w:space="0" w:color="auto"/>
                                                                                                    <w:right w:val="none" w:sz="0" w:space="0" w:color="auto"/>
                                                                                                  </w:divBdr>
                                                                                                  <w:divsChild>
                                                                                                    <w:div w:id="1702127297">
                                                                                                      <w:marLeft w:val="0"/>
                                                                                                      <w:marRight w:val="0"/>
                                                                                                      <w:marTop w:val="0"/>
                                                                                                      <w:marBottom w:val="0"/>
                                                                                                      <w:divBdr>
                                                                                                        <w:top w:val="none" w:sz="0" w:space="0" w:color="auto"/>
                                                                                                        <w:left w:val="none" w:sz="0" w:space="0" w:color="auto"/>
                                                                                                        <w:bottom w:val="none" w:sz="0" w:space="0" w:color="auto"/>
                                                                                                        <w:right w:val="none" w:sz="0" w:space="0" w:color="auto"/>
                                                                                                      </w:divBdr>
                                                                                                      <w:divsChild>
                                                                                                        <w:div w:id="1554074525">
                                                                                                          <w:marLeft w:val="0"/>
                                                                                                          <w:marRight w:val="0"/>
                                                                                                          <w:marTop w:val="0"/>
                                                                                                          <w:marBottom w:val="0"/>
                                                                                                          <w:divBdr>
                                                                                                            <w:top w:val="none" w:sz="0" w:space="0" w:color="auto"/>
                                                                                                            <w:left w:val="none" w:sz="0" w:space="0" w:color="auto"/>
                                                                                                            <w:bottom w:val="none" w:sz="0" w:space="0" w:color="auto"/>
                                                                                                            <w:right w:val="none" w:sz="0" w:space="0" w:color="auto"/>
                                                                                                          </w:divBdr>
                                                                                                          <w:divsChild>
                                                                                                            <w:div w:id="48195257">
                                                                                                              <w:marLeft w:val="0"/>
                                                                                                              <w:marRight w:val="0"/>
                                                                                                              <w:marTop w:val="0"/>
                                                                                                              <w:marBottom w:val="0"/>
                                                                                                              <w:divBdr>
                                                                                                                <w:top w:val="none" w:sz="0" w:space="0" w:color="auto"/>
                                                                                                                <w:left w:val="none" w:sz="0" w:space="0" w:color="auto"/>
                                                                                                                <w:bottom w:val="none" w:sz="0" w:space="0" w:color="auto"/>
                                                                                                                <w:right w:val="none" w:sz="0" w:space="0" w:color="auto"/>
                                                                                                              </w:divBdr>
                                                                                                              <w:divsChild>
                                                                                                                <w:div w:id="8360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DataClearance@FERC.go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ferc.gov/docs-filing/docs-filing.as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ferc.gov/help/submission-guide.asp"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ferc.gov/docs-filing/efiling.asp" TargetMode="External"/><Relationship Id="rId23"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oira_submission@omb.gov"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naics2_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30-Day Notice</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549</_x0031__x002e__x0020_Collection_x0020_Number>
    <Date xmlns="d6eefc7d-9817-4fa6-84d5-3bc009be21b8">2019-12-26T05:00:00.000Z</Date>
    <Status xmlns="d6eefc7d-9817-4fa6-84d5-3bc009be21b8">Issued</Status>
    <_x0032__x002e__x0020_Docket_x0020_Number xmlns="d6eefc7d-9817-4fa6-84d5-3bc009be21b8" xsi:nil="true"/>
    <_x0032__x002e__x0020_Collection_x0020_Number xmlns="d6eefc7d-9817-4fa6-84d5-3bc009be21b8" xsi:nil="true"/>
    <_x0031__x002e__x0020_Docket_x0020_Number xmlns="d6eefc7d-9817-4fa6-84d5-3bc009be21b8">IC20-1</_x0031__x002e__x0020_Docket_x0020_Number>
    <_x0033__x002e__x0020_Collection_x0020_Number xmlns="d6eefc7d-9817-4fa6-84d5-3bc009be21b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4a4cd09-5f17-433b-814a-38e7e9115d16" ContentTypeId="0x0101" PreviousValue="false"/>
</file>

<file path=customXml/item4.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5.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B1DD4-8130-4FE7-964C-24C804F058DC}">
  <ds:schemaRefs>
    <ds:schemaRef ds:uri="http://purl.org/dc/elements/1.1/"/>
    <ds:schemaRef ds:uri="http://schemas.microsoft.com/office/2006/metadata/properties"/>
    <ds:schemaRef ds:uri="http://www.w3.org/XML/1998/namespace"/>
    <ds:schemaRef ds:uri="d6eefc7d-9817-4fa6-84d5-3bc009be21b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3.xml><?xml version="1.0" encoding="utf-8"?>
<ds:datastoreItem xmlns:ds="http://schemas.openxmlformats.org/officeDocument/2006/customXml" ds:itemID="{B6368FA6-7061-4E38-96FD-1DCEE29BCF40}">
  <ds:schemaRefs>
    <ds:schemaRef ds:uri="Microsoft.SharePoint.Taxonomy.ContentTypeSync"/>
  </ds:schemaRefs>
</ds:datastoreItem>
</file>

<file path=customXml/itemProps4.xml><?xml version="1.0" encoding="utf-8"?>
<ds:datastoreItem xmlns:ds="http://schemas.openxmlformats.org/officeDocument/2006/customXml" ds:itemID="{7B889131-AA7D-48E8-B7E7-3BFCBD5F3CAE}">
  <ds:schemaRefs>
    <ds:schemaRef ds:uri="http://schemas.microsoft.com/office/2006/metadata/customXsn"/>
  </ds:schemaRefs>
</ds:datastoreItem>
</file>

<file path=customXml/itemProps5.xml><?xml version="1.0" encoding="utf-8"?>
<ds:datastoreItem xmlns:ds="http://schemas.openxmlformats.org/officeDocument/2006/customXml" ds:itemID="{D7F00C49-B8A8-4D79-84DD-4F5E36234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8D7B9C3-20FE-4D92-8117-B57C75956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1734</Words>
  <Characters>9884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11595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SYSTEM</cp:lastModifiedBy>
  <cp:revision>2</cp:revision>
  <cp:lastPrinted>2019-12-26T17:11:00Z</cp:lastPrinted>
  <dcterms:created xsi:type="dcterms:W3CDTF">2019-12-26T19:18:00Z</dcterms:created>
  <dcterms:modified xsi:type="dcterms:W3CDTF">2019-12-26T19:18:00Z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