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07F69" w14:textId="77777777" w:rsidR="00616039" w:rsidRPr="00263B41" w:rsidRDefault="00616039" w:rsidP="00FF2CC5">
      <w:pPr>
        <w:tabs>
          <w:tab w:val="center" w:pos="5040"/>
        </w:tabs>
        <w:autoSpaceDE w:val="0"/>
        <w:autoSpaceDN w:val="0"/>
        <w:adjustRightInd w:val="0"/>
        <w:spacing w:after="0" w:line="240" w:lineRule="auto"/>
        <w:jc w:val="center"/>
        <w:rPr>
          <w:rFonts w:ascii="Times New Roman" w:eastAsia="Times New Roman" w:hAnsi="Times New Roman" w:cs="Times New Roman"/>
          <w:sz w:val="26"/>
          <w:szCs w:val="26"/>
        </w:rPr>
      </w:pPr>
      <w:bookmarkStart w:id="0" w:name="_GoBack"/>
      <w:bookmarkEnd w:id="0"/>
      <w:r w:rsidRPr="00263B41">
        <w:rPr>
          <w:rFonts w:ascii="Times New Roman" w:eastAsia="Times New Roman" w:hAnsi="Times New Roman" w:cs="Times New Roman"/>
          <w:sz w:val="26"/>
          <w:szCs w:val="26"/>
        </w:rPr>
        <w:t>Supporting Statement for</w:t>
      </w:r>
    </w:p>
    <w:p w14:paraId="39E4E112" w14:textId="77777777" w:rsidR="00616039" w:rsidRPr="00263B41" w:rsidRDefault="00616039" w:rsidP="00FF2CC5">
      <w:pPr>
        <w:tabs>
          <w:tab w:val="center" w:pos="5040"/>
        </w:tabs>
        <w:autoSpaceDE w:val="0"/>
        <w:autoSpaceDN w:val="0"/>
        <w:adjustRightInd w:val="0"/>
        <w:spacing w:after="0" w:line="240" w:lineRule="auto"/>
        <w:jc w:val="center"/>
        <w:rPr>
          <w:rFonts w:ascii="Times New Roman" w:eastAsia="Times New Roman" w:hAnsi="Times New Roman" w:cs="Times New Roman"/>
          <w:b/>
          <w:sz w:val="26"/>
          <w:szCs w:val="26"/>
        </w:rPr>
      </w:pPr>
      <w:r w:rsidRPr="00263B41">
        <w:rPr>
          <w:rFonts w:ascii="Times New Roman" w:eastAsia="Times New Roman" w:hAnsi="Times New Roman" w:cs="Times New Roman"/>
          <w:b/>
          <w:bCs/>
          <w:sz w:val="26"/>
          <w:szCs w:val="26"/>
        </w:rPr>
        <w:t>FERC-539</w:t>
      </w:r>
      <w:r w:rsidRPr="00263B41">
        <w:rPr>
          <w:rStyle w:val="FootnoteReference"/>
          <w:rFonts w:ascii="Times New Roman" w:eastAsia="Times New Roman" w:hAnsi="Times New Roman" w:cs="Times New Roman"/>
          <w:b/>
          <w:bCs/>
          <w:sz w:val="26"/>
          <w:szCs w:val="26"/>
          <w:vertAlign w:val="superscript"/>
        </w:rPr>
        <w:footnoteReference w:id="1"/>
      </w:r>
      <w:r w:rsidRPr="00263B41">
        <w:rPr>
          <w:rFonts w:ascii="Times New Roman" w:eastAsia="Times New Roman" w:hAnsi="Times New Roman" w:cs="Times New Roman"/>
          <w:b/>
          <w:bCs/>
          <w:sz w:val="26"/>
          <w:szCs w:val="26"/>
          <w:vertAlign w:val="superscript"/>
        </w:rPr>
        <w:t>,</w:t>
      </w:r>
      <w:r w:rsidRPr="00263B41">
        <w:rPr>
          <w:rFonts w:ascii="Times New Roman" w:eastAsia="Times New Roman" w:hAnsi="Times New Roman" w:cs="Times New Roman"/>
          <w:b/>
          <w:bCs/>
          <w:sz w:val="26"/>
          <w:szCs w:val="26"/>
        </w:rPr>
        <w:t xml:space="preserve"> </w:t>
      </w:r>
      <w:r w:rsidRPr="00263B41">
        <w:rPr>
          <w:rFonts w:ascii="Times New Roman" w:eastAsia="Times New Roman" w:hAnsi="Times New Roman" w:cs="Times New Roman"/>
          <w:b/>
          <w:sz w:val="26"/>
          <w:szCs w:val="26"/>
        </w:rPr>
        <w:t>Gas Pipeline Certificates: Import &amp; Export Related Applications</w:t>
      </w:r>
    </w:p>
    <w:p w14:paraId="1C9B482F" w14:textId="77777777" w:rsidR="00616039" w:rsidRPr="00263B41" w:rsidRDefault="00616039" w:rsidP="00EE03B7">
      <w:pPr>
        <w:tabs>
          <w:tab w:val="center" w:pos="5040"/>
        </w:tabs>
        <w:autoSpaceDE w:val="0"/>
        <w:autoSpaceDN w:val="0"/>
        <w:adjustRightInd w:val="0"/>
        <w:spacing w:after="0" w:line="240" w:lineRule="auto"/>
        <w:jc w:val="center"/>
        <w:rPr>
          <w:rFonts w:ascii="Times New Roman" w:eastAsia="Times New Roman" w:hAnsi="Times New Roman" w:cs="Times New Roman"/>
          <w:sz w:val="26"/>
          <w:szCs w:val="26"/>
        </w:rPr>
      </w:pPr>
    </w:p>
    <w:p w14:paraId="0C2CE1FC" w14:textId="2500E5C4" w:rsidR="00616039" w:rsidRPr="00263B41" w:rsidRDefault="00616039">
      <w:pPr>
        <w:tabs>
          <w:tab w:val="center" w:pos="5040"/>
        </w:tabs>
        <w:autoSpaceDE w:val="0"/>
        <w:autoSpaceDN w:val="0"/>
        <w:adjustRightInd w:val="0"/>
        <w:spacing w:after="0" w:line="240" w:lineRule="auto"/>
        <w:rPr>
          <w:rFonts w:ascii="Times New Roman" w:eastAsia="Times New Roman" w:hAnsi="Times New Roman" w:cs="Times New Roman"/>
          <w:b/>
          <w:sz w:val="26"/>
          <w:szCs w:val="26"/>
        </w:rPr>
      </w:pPr>
      <w:r w:rsidRPr="00263B41">
        <w:rPr>
          <w:rFonts w:ascii="Times New Roman" w:eastAsia="Times New Roman" w:hAnsi="Times New Roman" w:cs="Times New Roman"/>
          <w:bCs/>
          <w:sz w:val="26"/>
          <w:szCs w:val="26"/>
        </w:rPr>
        <w:t xml:space="preserve">The Federal Energy Regulatory Commission (Commission or FERC) requests that the Office of Management and Budget (OMB) review and approve </w:t>
      </w:r>
      <w:r w:rsidRPr="00263B41">
        <w:rPr>
          <w:rFonts w:ascii="Times New Roman" w:eastAsia="Times New Roman" w:hAnsi="Times New Roman" w:cs="Times New Roman"/>
          <w:b/>
          <w:bCs/>
          <w:sz w:val="26"/>
          <w:szCs w:val="26"/>
        </w:rPr>
        <w:t xml:space="preserve">FERC-539, </w:t>
      </w:r>
      <w:r w:rsidRPr="00263B41">
        <w:rPr>
          <w:rFonts w:ascii="Times New Roman" w:eastAsia="Times New Roman" w:hAnsi="Times New Roman" w:cs="Times New Roman"/>
          <w:b/>
          <w:sz w:val="26"/>
          <w:szCs w:val="26"/>
        </w:rPr>
        <w:t>Gas Pipeline Certificates: Import &amp; Export Related Applications</w:t>
      </w:r>
      <w:r w:rsidRPr="00263B41">
        <w:rPr>
          <w:rFonts w:ascii="Times New Roman" w:eastAsia="Times New Roman" w:hAnsi="Times New Roman" w:cs="Times New Roman"/>
          <w:bCs/>
          <w:sz w:val="26"/>
          <w:szCs w:val="26"/>
        </w:rPr>
        <w:t xml:space="preserve"> (OMB Control No. 1902-0062), for a three-year period.  FERC-539</w:t>
      </w:r>
      <w:r w:rsidRPr="00263B41">
        <w:rPr>
          <w:rFonts w:ascii="Times New Roman" w:eastAsia="Times New Roman" w:hAnsi="Times New Roman" w:cs="Times New Roman"/>
          <w:sz w:val="26"/>
          <w:szCs w:val="26"/>
        </w:rPr>
        <w:t xml:space="preserve"> is an existing data collection with reporting requirement in 18 Code of Federal Regulations (CFR) Section 153.</w:t>
      </w:r>
    </w:p>
    <w:p w14:paraId="30E628C9" w14:textId="77777777" w:rsidR="00616039" w:rsidRPr="00263B41" w:rsidRDefault="00616039">
      <w:pPr>
        <w:autoSpaceDE w:val="0"/>
        <w:autoSpaceDN w:val="0"/>
        <w:adjustRightInd w:val="0"/>
        <w:spacing w:after="0" w:line="240" w:lineRule="auto"/>
        <w:rPr>
          <w:rFonts w:ascii="Times New Roman" w:eastAsia="Times New Roman" w:hAnsi="Times New Roman" w:cs="Times New Roman"/>
          <w:sz w:val="26"/>
          <w:szCs w:val="26"/>
        </w:rPr>
      </w:pPr>
    </w:p>
    <w:p w14:paraId="08B76F41" w14:textId="756CBAEE" w:rsidR="00616039" w:rsidRPr="00263B41" w:rsidRDefault="00616039" w:rsidP="00952DBC">
      <w:pPr>
        <w:autoSpaceDE w:val="0"/>
        <w:autoSpaceDN w:val="0"/>
        <w:adjustRightInd w:val="0"/>
        <w:spacing w:after="0" w:line="240" w:lineRule="auto"/>
        <w:ind w:left="720" w:hanging="720"/>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1.</w:t>
      </w:r>
      <w:r w:rsidR="00FF2CC5">
        <w:rPr>
          <w:rFonts w:ascii="Times New Roman" w:eastAsia="Times New Roman" w:hAnsi="Times New Roman" w:cs="Times New Roman"/>
          <w:b/>
          <w:sz w:val="26"/>
          <w:szCs w:val="26"/>
        </w:rPr>
        <w:t xml:space="preserve"> </w:t>
      </w:r>
      <w:r w:rsidR="00952DBC">
        <w:rPr>
          <w:rFonts w:ascii="Times New Roman" w:eastAsia="Times New Roman" w:hAnsi="Times New Roman" w:cs="Times New Roman"/>
          <w:b/>
          <w:sz w:val="26"/>
          <w:szCs w:val="26"/>
        </w:rPr>
        <w:tab/>
      </w:r>
      <w:r w:rsidRPr="00263B41">
        <w:rPr>
          <w:rFonts w:ascii="Times New Roman" w:eastAsia="Times New Roman" w:hAnsi="Times New Roman" w:cs="Times New Roman"/>
          <w:b/>
          <w:sz w:val="26"/>
          <w:szCs w:val="26"/>
        </w:rPr>
        <w:t>CIRCUMSTANCES THAT MAKE THE COLLECTION OF INFORMATION NECESSARY</w:t>
      </w:r>
    </w:p>
    <w:p w14:paraId="0033C7FD" w14:textId="77777777" w:rsidR="00616039" w:rsidRPr="00263B41" w:rsidRDefault="00616039">
      <w:pPr>
        <w:autoSpaceDE w:val="0"/>
        <w:autoSpaceDN w:val="0"/>
        <w:adjustRightInd w:val="0"/>
        <w:spacing w:after="0" w:line="240" w:lineRule="auto"/>
        <w:ind w:left="1440"/>
        <w:rPr>
          <w:rFonts w:ascii="Times New Roman" w:eastAsia="Times New Roman" w:hAnsi="Times New Roman" w:cs="Times New Roman"/>
          <w:b/>
          <w:sz w:val="26"/>
          <w:szCs w:val="26"/>
        </w:rPr>
      </w:pPr>
    </w:p>
    <w:p w14:paraId="5D8BF14D" w14:textId="1708EA1F"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bCs/>
          <w:sz w:val="26"/>
          <w:szCs w:val="26"/>
        </w:rPr>
      </w:pPr>
      <w:r w:rsidRPr="00263B41">
        <w:rPr>
          <w:rFonts w:ascii="Times New Roman" w:eastAsia="Times New Roman" w:hAnsi="Times New Roman" w:cs="Times New Roman"/>
          <w:bCs/>
          <w:sz w:val="26"/>
          <w:szCs w:val="26"/>
        </w:rPr>
        <w:t>Section 3 of the Natural Gas Act (NGA)</w:t>
      </w:r>
      <w:r w:rsidRPr="00263B41">
        <w:rPr>
          <w:rFonts w:ascii="Times New Roman" w:eastAsia="Times New Roman" w:hAnsi="Times New Roman" w:cs="Times New Roman"/>
          <w:b/>
          <w:bCs/>
          <w:sz w:val="26"/>
          <w:szCs w:val="26"/>
          <w:vertAlign w:val="superscript"/>
        </w:rPr>
        <w:footnoteReference w:id="2"/>
      </w:r>
      <w:r w:rsidRPr="00263B41">
        <w:rPr>
          <w:rFonts w:ascii="Times New Roman" w:eastAsia="Times New Roman" w:hAnsi="Times New Roman" w:cs="Times New Roman"/>
          <w:bCs/>
          <w:sz w:val="26"/>
          <w:szCs w:val="26"/>
        </w:rPr>
        <w:t xml:space="preserve"> provides, in part, that “.…no person shall export any natural gas from the United States to a foreign country or import any natural gas from a foreign country without first having secured an order from the Commission authorizing it to do so.”  </w:t>
      </w:r>
    </w:p>
    <w:p w14:paraId="5CB5003F"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bCs/>
          <w:sz w:val="26"/>
          <w:szCs w:val="26"/>
        </w:rPr>
      </w:pPr>
    </w:p>
    <w:p w14:paraId="26D760FB"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The 1992 amendments to Section 3 of the NGA concern importation or exportation from/to a nation which has a free trade agreement with the United States and requires that such importation or exportation:  </w:t>
      </w:r>
    </w:p>
    <w:p w14:paraId="2FB04CD5"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p>
    <w:p w14:paraId="19806471" w14:textId="77777777" w:rsidR="00616039" w:rsidRPr="00263B41" w:rsidRDefault="00616039" w:rsidP="00952DBC">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shall be deemed to be a “first sale” (i.e. not a sale for a resale) </w:t>
      </w:r>
    </w:p>
    <w:p w14:paraId="6D9A0D74" w14:textId="77777777" w:rsidR="00616039" w:rsidRPr="00263B41" w:rsidRDefault="00616039" w:rsidP="00952DBC">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shall be deemed to be consistent with the public interest, and applications for such importation or exportation shall be granted without modification or delay  </w:t>
      </w:r>
    </w:p>
    <w:p w14:paraId="4A030324" w14:textId="77777777" w:rsidR="00616039" w:rsidRPr="00263B41" w:rsidRDefault="00616039" w:rsidP="00FF2CC5">
      <w:pPr>
        <w:widowControl w:val="0"/>
        <w:autoSpaceDE w:val="0"/>
        <w:autoSpaceDN w:val="0"/>
        <w:adjustRightInd w:val="0"/>
        <w:spacing w:after="0" w:line="240" w:lineRule="auto"/>
        <w:rPr>
          <w:rFonts w:ascii="Times New Roman" w:eastAsia="Times New Roman" w:hAnsi="Times New Roman" w:cs="Times New Roman"/>
          <w:sz w:val="26"/>
          <w:szCs w:val="26"/>
        </w:rPr>
      </w:pPr>
    </w:p>
    <w:p w14:paraId="709C5A69" w14:textId="77777777" w:rsidR="00616039" w:rsidRPr="00263B41" w:rsidRDefault="00616039" w:rsidP="00FF2CC5">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 regulatory functions of Section 3 are shared by the Commission and the Secretary of Energy, Department of Energy (DOE). The Commission has the authority to approve or disapprove the construction and operation of particular facilities, the site at which such facilities will be located, and, with respect to natural gas that involves the construction of new domestic facilities, the place of entry for imports or exit for exports.  The DOE approves the importation or exportation of the natural gas commodity.</w:t>
      </w:r>
      <w:r w:rsidRPr="00263B41">
        <w:rPr>
          <w:rFonts w:ascii="Times New Roman" w:eastAsia="Times New Roman" w:hAnsi="Times New Roman" w:cs="Times New Roman"/>
          <w:b/>
          <w:sz w:val="26"/>
          <w:szCs w:val="26"/>
          <w:vertAlign w:val="superscript"/>
        </w:rPr>
        <w:footnoteReference w:id="3"/>
      </w:r>
      <w:r w:rsidRPr="00263B41">
        <w:rPr>
          <w:rFonts w:ascii="Times New Roman" w:eastAsia="Times New Roman" w:hAnsi="Times New Roman" w:cs="Times New Roman"/>
          <w:sz w:val="26"/>
          <w:szCs w:val="26"/>
        </w:rPr>
        <w:t xml:space="preserve">  </w:t>
      </w:r>
    </w:p>
    <w:p w14:paraId="39456249" w14:textId="77777777" w:rsidR="00616039" w:rsidRPr="00263B41" w:rsidRDefault="00616039" w:rsidP="00FF2CC5">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p>
    <w:p w14:paraId="35D852FA" w14:textId="4C0A7231" w:rsidR="00616039" w:rsidRPr="00263B41" w:rsidRDefault="00616039" w:rsidP="00EE03B7">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Additionally, pursuant to the DOE Delegation Order and Executive Order Nos. 10485 and 12038, the Commission has the authority to issue Presidential Permits for natural gas </w:t>
      </w:r>
      <w:r w:rsidRPr="00263B41">
        <w:rPr>
          <w:rFonts w:ascii="Times New Roman" w:eastAsia="Times New Roman" w:hAnsi="Times New Roman" w:cs="Times New Roman"/>
          <w:sz w:val="26"/>
          <w:szCs w:val="26"/>
        </w:rPr>
        <w:lastRenderedPageBreak/>
        <w:t xml:space="preserve">facilities which cross an international border of the United States.  Persons seeking Section 3 authorizations or Presidential Permits from the Commission file applications for such requests pursuant to Part 153 of the Commission’s Regulations </w:t>
      </w:r>
      <w:r w:rsidR="009C627B">
        <w:rPr>
          <w:rFonts w:ascii="Times New Roman" w:eastAsia="Times New Roman" w:hAnsi="Times New Roman" w:cs="Times New Roman"/>
          <w:sz w:val="26"/>
          <w:szCs w:val="26"/>
        </w:rPr>
        <w:t>(</w:t>
      </w:r>
      <w:r w:rsidRPr="00263B41">
        <w:rPr>
          <w:rFonts w:ascii="Times New Roman" w:eastAsia="Times New Roman" w:hAnsi="Times New Roman" w:cs="Times New Roman"/>
          <w:sz w:val="26"/>
          <w:szCs w:val="26"/>
        </w:rPr>
        <w:t>Part 153, Subpart B Application Under Section 3 and Part 153 Subpart C Application for a Presidential Permit</w:t>
      </w:r>
      <w:r w:rsidR="009C627B">
        <w:rPr>
          <w:rFonts w:ascii="Times New Roman" w:eastAsia="Times New Roman" w:hAnsi="Times New Roman" w:cs="Times New Roman"/>
          <w:sz w:val="26"/>
          <w:szCs w:val="26"/>
        </w:rPr>
        <w:t>)</w:t>
      </w:r>
      <w:r w:rsidRPr="00263B41">
        <w:rPr>
          <w:rFonts w:ascii="Times New Roman" w:eastAsia="Times New Roman" w:hAnsi="Times New Roman" w:cs="Times New Roman"/>
          <w:sz w:val="26"/>
          <w:szCs w:val="26"/>
        </w:rPr>
        <w:t>.</w:t>
      </w:r>
    </w:p>
    <w:p w14:paraId="46F40D19"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p>
    <w:p w14:paraId="1BA74E7A" w14:textId="77777777" w:rsidR="00616039" w:rsidRPr="00263B41" w:rsidRDefault="00616039">
      <w:pPr>
        <w:tabs>
          <w:tab w:val="left" w:pos="720"/>
          <w:tab w:val="left" w:pos="4860"/>
        </w:tabs>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FERC-539 addresses FERC’s implementing regulations in 18 CFR Part 153.</w:t>
      </w:r>
    </w:p>
    <w:p w14:paraId="7C7A625A" w14:textId="77777777" w:rsidR="00616039" w:rsidRPr="00263B41" w:rsidRDefault="00616039">
      <w:pPr>
        <w:tabs>
          <w:tab w:val="left" w:pos="720"/>
          <w:tab w:val="left" w:pos="4860"/>
        </w:tabs>
        <w:spacing w:after="0" w:line="240" w:lineRule="auto"/>
        <w:rPr>
          <w:rFonts w:ascii="Times New Roman" w:eastAsia="Times New Roman" w:hAnsi="Times New Roman" w:cs="Times New Roman"/>
          <w:sz w:val="26"/>
          <w:szCs w:val="26"/>
        </w:rPr>
      </w:pPr>
    </w:p>
    <w:p w14:paraId="7E1C1432" w14:textId="77777777" w:rsidR="00616039" w:rsidRPr="00263B41" w:rsidRDefault="00616039">
      <w:pPr>
        <w:widowControl w:val="0"/>
        <w:numPr>
          <w:ilvl w:val="0"/>
          <w:numId w:val="2"/>
        </w:numPr>
        <w:tabs>
          <w:tab w:val="left" w:pos="720"/>
          <w:tab w:val="left" w:pos="486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HOW, BY WHOM AND FOR WHAT PURPOSE IS THE INFORMATION USED AND THE CONSEQUENCES OF NOT COLLECTING THE INFORMATION</w:t>
      </w:r>
    </w:p>
    <w:p w14:paraId="163FCBF6" w14:textId="77777777" w:rsidR="00616039" w:rsidRPr="00263B41" w:rsidRDefault="00616039">
      <w:pPr>
        <w:tabs>
          <w:tab w:val="left" w:pos="720"/>
          <w:tab w:val="left" w:pos="4860"/>
        </w:tabs>
        <w:spacing w:after="0" w:line="240" w:lineRule="auto"/>
        <w:rPr>
          <w:rFonts w:ascii="Times New Roman" w:eastAsia="Times New Roman" w:hAnsi="Times New Roman" w:cs="Times New Roman"/>
          <w:b/>
          <w:sz w:val="26"/>
          <w:szCs w:val="26"/>
        </w:rPr>
      </w:pPr>
    </w:p>
    <w:p w14:paraId="28805158"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 natural gas companies file the necessary information required in FERC’s implementing regulations in 18 CFR Part 153.  This application must include:</w:t>
      </w:r>
    </w:p>
    <w:p w14:paraId="5DBD608D"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p>
    <w:p w14:paraId="452DFB48" w14:textId="77777777" w:rsidR="00616039" w:rsidRPr="00263B41" w:rsidRDefault="00616039" w:rsidP="00952DBC">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Applicant information;</w:t>
      </w:r>
    </w:p>
    <w:p w14:paraId="100DCEE1" w14:textId="77777777" w:rsidR="00616039" w:rsidRPr="00263B41" w:rsidRDefault="00616039" w:rsidP="00952DBC">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Proposal summary;</w:t>
      </w:r>
    </w:p>
    <w:p w14:paraId="7CC6396B" w14:textId="77777777" w:rsidR="00616039" w:rsidRPr="00263B41" w:rsidRDefault="00616039" w:rsidP="00952DBC">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Statements demonstrating that the proposal is in the public interest and that the services rendered will be in accordance with existing Commission regulations;</w:t>
      </w:r>
    </w:p>
    <w:p w14:paraId="5B95BA1A" w14:textId="77777777" w:rsidR="00616039" w:rsidRPr="00263B41" w:rsidRDefault="00616039" w:rsidP="00952DBC">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Nine required exhibits:</w:t>
      </w:r>
    </w:p>
    <w:p w14:paraId="1A115795" w14:textId="77777777"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Exhibit A – articles of incorporation;</w:t>
      </w:r>
    </w:p>
    <w:p w14:paraId="2659A454" w14:textId="77777777"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Exhibit B – statement of the relationship between the applicant and any other corporation or person;</w:t>
      </w:r>
    </w:p>
    <w:p w14:paraId="58020301" w14:textId="77777777"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Exhibit C – affidavit stating that the project will be constructed and operated in accordance with the laws of the state within which they are located;</w:t>
      </w:r>
    </w:p>
    <w:p w14:paraId="603A2B0F" w14:textId="77777777"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Exhibit D – copy of any construction or operation agreement between the applicant and the operator of the border facilities; </w:t>
      </w:r>
    </w:p>
    <w:p w14:paraId="3292B54B" w14:textId="1EF6C881"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Exhibit E – statement affirming that a qualified entity will receive or deliver liquefied natural gas (LNG) and engineering and design information (if a</w:t>
      </w:r>
      <w:r w:rsidR="009C627B">
        <w:rPr>
          <w:rFonts w:ascii="Times New Roman" w:eastAsia="Times New Roman" w:hAnsi="Times New Roman" w:cs="Times New Roman"/>
          <w:sz w:val="26"/>
          <w:szCs w:val="26"/>
        </w:rPr>
        <w:t>n</w:t>
      </w:r>
      <w:r w:rsidRPr="00263B41">
        <w:rPr>
          <w:rFonts w:ascii="Times New Roman" w:eastAsia="Times New Roman" w:hAnsi="Times New Roman" w:cs="Times New Roman"/>
          <w:sz w:val="26"/>
          <w:szCs w:val="26"/>
        </w:rPr>
        <w:t xml:space="preserve"> LNG import or export facility is proposed);</w:t>
      </w:r>
    </w:p>
    <w:p w14:paraId="4141C5BA" w14:textId="77777777"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Exhibit E-1- report on earthquake hazards and engineering, as appropriate;</w:t>
      </w:r>
    </w:p>
    <w:p w14:paraId="134B555A" w14:textId="77777777"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Exhibit F – environmental report;</w:t>
      </w:r>
    </w:p>
    <w:p w14:paraId="4C161CEF" w14:textId="77777777"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Exhibit G – map of appropriate scale and detail; and </w:t>
      </w:r>
    </w:p>
    <w:p w14:paraId="0760E25B" w14:textId="77777777" w:rsidR="00616039" w:rsidRPr="00263B41" w:rsidRDefault="00616039" w:rsidP="00952DBC">
      <w:pPr>
        <w:widowControl w:val="0"/>
        <w:numPr>
          <w:ilvl w:val="1"/>
          <w:numId w:val="3"/>
        </w:numPr>
        <w:autoSpaceDE w:val="0"/>
        <w:autoSpaceDN w:val="0"/>
        <w:adjustRightInd w:val="0"/>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Exhibit H – statement identifying each Federal authorization that the proposal will require.</w:t>
      </w:r>
    </w:p>
    <w:p w14:paraId="2AD87542" w14:textId="77777777" w:rsidR="00616039" w:rsidRPr="00263B41" w:rsidRDefault="00616039" w:rsidP="00FF2CC5">
      <w:pPr>
        <w:widowControl w:val="0"/>
        <w:autoSpaceDE w:val="0"/>
        <w:autoSpaceDN w:val="0"/>
        <w:adjustRightInd w:val="0"/>
        <w:spacing w:after="0" w:line="240" w:lineRule="auto"/>
        <w:ind w:left="1143"/>
        <w:rPr>
          <w:rFonts w:ascii="Times New Roman" w:eastAsia="Times New Roman" w:hAnsi="Times New Roman" w:cs="Times New Roman"/>
          <w:sz w:val="26"/>
          <w:szCs w:val="26"/>
        </w:rPr>
      </w:pPr>
    </w:p>
    <w:p w14:paraId="4D17214B" w14:textId="77777777" w:rsidR="00616039" w:rsidRPr="00263B41" w:rsidRDefault="00616039" w:rsidP="00FF2CC5">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For applicants proposing to construct, operate, maintain or connect facilities at the borders of the United States and Canada or Mexico for importing or exporting natural gas, a request for issuance of a Presidential Permit is also required.  Once issued by the Commission, an acceptance of the Presidential Permit must be filed.</w:t>
      </w:r>
    </w:p>
    <w:p w14:paraId="0B651C8E" w14:textId="77777777" w:rsidR="00616039" w:rsidRPr="00263B41" w:rsidRDefault="00616039" w:rsidP="00FF2CC5">
      <w:pPr>
        <w:widowControl w:val="0"/>
        <w:autoSpaceDE w:val="0"/>
        <w:autoSpaceDN w:val="0"/>
        <w:adjustRightInd w:val="0"/>
        <w:spacing w:after="0" w:line="240" w:lineRule="auto"/>
        <w:rPr>
          <w:rFonts w:ascii="Times New Roman" w:eastAsia="Times New Roman" w:hAnsi="Times New Roman" w:cs="Times New Roman"/>
          <w:sz w:val="26"/>
          <w:szCs w:val="26"/>
        </w:rPr>
      </w:pPr>
    </w:p>
    <w:p w14:paraId="4105330D" w14:textId="634B8A36" w:rsidR="00616039" w:rsidRPr="00263B41" w:rsidRDefault="00616039" w:rsidP="00EE03B7">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If the data from FERC-539 were not </w:t>
      </w:r>
      <w:r w:rsidR="005656E0" w:rsidRPr="00263B41">
        <w:rPr>
          <w:rFonts w:ascii="Times New Roman" w:eastAsia="Times New Roman" w:hAnsi="Times New Roman" w:cs="Times New Roman"/>
          <w:sz w:val="26"/>
          <w:szCs w:val="26"/>
        </w:rPr>
        <w:t>collected</w:t>
      </w:r>
      <w:r w:rsidR="009C627B">
        <w:rPr>
          <w:rFonts w:ascii="Times New Roman" w:eastAsia="Times New Roman" w:hAnsi="Times New Roman" w:cs="Times New Roman"/>
          <w:sz w:val="26"/>
          <w:szCs w:val="26"/>
        </w:rPr>
        <w:t>,</w:t>
      </w:r>
      <w:r w:rsidR="005656E0" w:rsidRPr="00263B41">
        <w:rPr>
          <w:rFonts w:ascii="Times New Roman" w:eastAsia="Times New Roman" w:hAnsi="Times New Roman" w:cs="Times New Roman"/>
          <w:sz w:val="26"/>
          <w:szCs w:val="26"/>
        </w:rPr>
        <w:t xml:space="preserve"> the Commission would not be able to </w:t>
      </w:r>
      <w:r w:rsidR="005656E0" w:rsidRPr="00263B41">
        <w:rPr>
          <w:rFonts w:ascii="Times New Roman" w:eastAsia="Times New Roman" w:hAnsi="Times New Roman" w:cs="Times New Roman"/>
          <w:sz w:val="26"/>
          <w:szCs w:val="26"/>
        </w:rPr>
        <w:lastRenderedPageBreak/>
        <w:t>meet its statutory responsibilities.</w:t>
      </w:r>
    </w:p>
    <w:p w14:paraId="7F844DCA" w14:textId="77777777" w:rsidR="00616039" w:rsidRPr="00263B41" w:rsidRDefault="00616039" w:rsidP="00EE03B7">
      <w:pPr>
        <w:tabs>
          <w:tab w:val="left" w:pos="720"/>
          <w:tab w:val="left" w:pos="4860"/>
        </w:tabs>
        <w:spacing w:after="0" w:line="240" w:lineRule="auto"/>
        <w:rPr>
          <w:rFonts w:ascii="Times New Roman" w:eastAsia="Times New Roman" w:hAnsi="Times New Roman" w:cs="Times New Roman"/>
          <w:sz w:val="26"/>
          <w:szCs w:val="26"/>
        </w:rPr>
      </w:pPr>
    </w:p>
    <w:p w14:paraId="11A936F2" w14:textId="77777777" w:rsidR="00616039" w:rsidRPr="00263B41" w:rsidRDefault="00616039">
      <w:pPr>
        <w:widowControl w:val="0"/>
        <w:numPr>
          <w:ilvl w:val="0"/>
          <w:numId w:val="2"/>
        </w:numPr>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DESCRIBE ANY CONSIDERATION OF THE USE OF IMPROVED INFORMATION TECHNOLOGY TO REDUCE BURDEN AND THE TECHNICAL OR LEGAL OBSTACLES TO REDUCING BURDEN</w:t>
      </w:r>
    </w:p>
    <w:p w14:paraId="23AD9F6F"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p>
    <w:p w14:paraId="56CA1DAB" w14:textId="670DCC0B"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FERC encourages companies to use its eFiling system.  Natural gas companies can submit the FERC-539 using FERC’s eFiling system</w:t>
      </w:r>
      <w:r w:rsidR="009C627B">
        <w:rPr>
          <w:rFonts w:ascii="Times New Roman" w:eastAsia="Times New Roman" w:hAnsi="Times New Roman" w:cs="Times New Roman"/>
          <w:sz w:val="26"/>
          <w:szCs w:val="26"/>
        </w:rPr>
        <w:t>.</w:t>
      </w:r>
      <w:r w:rsidRPr="00263B41">
        <w:rPr>
          <w:rFonts w:ascii="Times New Roman" w:eastAsia="Times New Roman" w:hAnsi="Times New Roman" w:cs="Times New Roman"/>
          <w:sz w:val="26"/>
          <w:szCs w:val="26"/>
        </w:rPr>
        <w:t xml:space="preserve"> (</w:t>
      </w:r>
      <w:r w:rsidR="009C627B">
        <w:rPr>
          <w:rFonts w:ascii="Times New Roman" w:eastAsia="Times New Roman" w:hAnsi="Times New Roman" w:cs="Times New Roman"/>
          <w:sz w:val="26"/>
          <w:szCs w:val="26"/>
        </w:rPr>
        <w:t>S</w:t>
      </w:r>
      <w:r w:rsidRPr="00263B41">
        <w:rPr>
          <w:rFonts w:ascii="Times New Roman" w:eastAsia="Times New Roman" w:hAnsi="Times New Roman" w:cs="Times New Roman"/>
          <w:sz w:val="26"/>
          <w:szCs w:val="26"/>
        </w:rPr>
        <w:t xml:space="preserve">ee </w:t>
      </w:r>
      <w:hyperlink r:id="rId14" w:history="1">
        <w:r w:rsidRPr="00263B41">
          <w:rPr>
            <w:rFonts w:ascii="Times New Roman" w:eastAsia="Times New Roman" w:hAnsi="Times New Roman" w:cs="Times New Roman"/>
            <w:color w:val="0000FF"/>
            <w:sz w:val="26"/>
            <w:szCs w:val="26"/>
            <w:u w:val="single"/>
          </w:rPr>
          <w:t>http://www.ferc.gov/docs-filing/efiling.asp</w:t>
        </w:r>
      </w:hyperlink>
      <w:r w:rsidR="009C627B">
        <w:rPr>
          <w:rFonts w:ascii="Times New Roman" w:eastAsia="Times New Roman" w:hAnsi="Times New Roman" w:cs="Times New Roman"/>
          <w:color w:val="0000FF"/>
          <w:sz w:val="26"/>
          <w:szCs w:val="26"/>
          <w:u w:val="single"/>
        </w:rPr>
        <w:t>.</w:t>
      </w:r>
      <w:r w:rsidRPr="00263B41">
        <w:rPr>
          <w:rFonts w:ascii="Times New Roman" w:eastAsia="Times New Roman" w:hAnsi="Times New Roman" w:cs="Times New Roman"/>
          <w:sz w:val="26"/>
          <w:szCs w:val="26"/>
        </w:rPr>
        <w:t>)</w:t>
      </w:r>
    </w:p>
    <w:p w14:paraId="22E119BE"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30A541BA"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DESCRIBE EFFORTS TO IDENTIFY DUPLICATON AND SHOW SPECIFICALLY WHY ANY SIMILAR INFORMATION ALREADY AVAILABLE CANNOT BE USED OR MODIFIED FOR USE FOR THE PURPOSE(S) DESCRIBED IN INSTRUCTION NO. 2.</w:t>
      </w:r>
    </w:p>
    <w:p w14:paraId="4ED73CC9" w14:textId="77777777" w:rsidR="00616039" w:rsidRPr="00263B41" w:rsidRDefault="00616039">
      <w:pPr>
        <w:tabs>
          <w:tab w:val="left" w:pos="720"/>
        </w:tabs>
        <w:spacing w:after="0" w:line="240" w:lineRule="auto"/>
        <w:rPr>
          <w:rFonts w:ascii="Times New Roman" w:eastAsia="Times New Roman" w:hAnsi="Times New Roman" w:cs="Times New Roman"/>
          <w:b/>
          <w:sz w:val="26"/>
          <w:szCs w:val="26"/>
        </w:rPr>
      </w:pPr>
    </w:p>
    <w:p w14:paraId="3243B80C"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FERC periodically reviews filing requirements as OMB review dates arise or as it may deem necessary in carrying out its regulatory responsibilities under the NGA.  All Commission information collections are subject to analysis by Commission staff and are examined for redundancy.  FERC has found no other source of this information.</w:t>
      </w:r>
    </w:p>
    <w:p w14:paraId="6AF873B5"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p>
    <w:p w14:paraId="587BCE4E"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DOE and FERC share the regulatory functions described in the NGA Section 3.  As stated in response to Question #1 above, the Commission has the authority to approve or disapprove the construction and operation of facilities related to the importation or exportation of natural gas.  DOE approves the importation or exportation of the natural gas commodity.  Any number of importers and exporters can use any of the facilities or points of import/export the Commission approves.  Also, the applicants to FERC and DOE tend to be completely different corporate segments of the industry.  FERC deals with pipeline and LNG terminal builders while DOE works with gas marketers and producers. </w:t>
      </w:r>
    </w:p>
    <w:p w14:paraId="20A66160"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p>
    <w:p w14:paraId="29F26DF4"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In summary, FERC collects information about a particular facility used for import/export in order to approve/disapprove construction and operation.  DOE collects information about the imported/exported natural gas.  The information collected by each agency is distinct and necessary to meet the purposes of the NGA.</w:t>
      </w:r>
      <w:r w:rsidRPr="00263B41">
        <w:rPr>
          <w:rFonts w:ascii="Times New Roman" w:eastAsia="Times New Roman" w:hAnsi="Times New Roman" w:cs="Times New Roman"/>
          <w:sz w:val="26"/>
          <w:szCs w:val="26"/>
        </w:rPr>
        <w:softHyphen/>
      </w:r>
    </w:p>
    <w:p w14:paraId="5470E775"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0A6C47BA"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METHODS USED TO MINIMIZE BURDEN IN COLLECTION OF INFORMATION INVOLVING SMALL ENTITIES</w:t>
      </w:r>
      <w:r w:rsidRPr="00263B41">
        <w:rPr>
          <w:rFonts w:ascii="Times New Roman" w:eastAsia="Times New Roman" w:hAnsi="Times New Roman" w:cs="Times New Roman"/>
          <w:sz w:val="26"/>
          <w:szCs w:val="26"/>
        </w:rPr>
        <w:t xml:space="preserve"> </w:t>
      </w:r>
    </w:p>
    <w:p w14:paraId="77086456" w14:textId="77777777" w:rsidR="00616039" w:rsidRPr="00263B41" w:rsidRDefault="00616039">
      <w:pPr>
        <w:autoSpaceDE w:val="0"/>
        <w:autoSpaceDN w:val="0"/>
        <w:adjustRightInd w:val="0"/>
        <w:spacing w:after="0" w:line="240" w:lineRule="auto"/>
        <w:ind w:left="1440"/>
        <w:rPr>
          <w:rFonts w:ascii="Times New Roman" w:eastAsia="Times New Roman" w:hAnsi="Times New Roman" w:cs="Times New Roman"/>
          <w:sz w:val="26"/>
          <w:szCs w:val="26"/>
        </w:rPr>
      </w:pPr>
    </w:p>
    <w:p w14:paraId="17FE392C" w14:textId="77777777" w:rsidR="00616039" w:rsidRPr="00263B41" w:rsidRDefault="00616039">
      <w:pPr>
        <w:tabs>
          <w:tab w:val="num" w:pos="0"/>
        </w:tabs>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 information requirements under FERC-539 apply to jurisdictional pipelines or companies.  Many of these pipelines do not fall within the Regulatory Flexibility Act’s (RFA) definition of a small entity.</w:t>
      </w:r>
    </w:p>
    <w:p w14:paraId="0EE3FF44" w14:textId="77777777" w:rsidR="00616039" w:rsidRPr="00263B41" w:rsidRDefault="00616039">
      <w:pPr>
        <w:tabs>
          <w:tab w:val="num" w:pos="0"/>
        </w:tabs>
        <w:spacing w:after="0" w:line="240" w:lineRule="auto"/>
        <w:rPr>
          <w:rFonts w:ascii="Times New Roman" w:eastAsia="Times New Roman" w:hAnsi="Times New Roman" w:cs="Times New Roman"/>
          <w:sz w:val="26"/>
          <w:szCs w:val="26"/>
        </w:rPr>
      </w:pPr>
    </w:p>
    <w:p w14:paraId="5BC4829B"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CONSEQUENCE TO FEDERAL PROGRAM IF COLLECTION WERE CONDUCTED LESS FREQUENTLY</w:t>
      </w:r>
    </w:p>
    <w:p w14:paraId="1CD36946" w14:textId="77777777" w:rsidR="00616039" w:rsidRPr="00263B41" w:rsidRDefault="00616039">
      <w:pPr>
        <w:tabs>
          <w:tab w:val="left" w:pos="720"/>
        </w:tabs>
        <w:spacing w:after="0" w:line="240" w:lineRule="auto"/>
        <w:rPr>
          <w:rFonts w:ascii="Times New Roman" w:eastAsia="Times New Roman" w:hAnsi="Times New Roman" w:cs="Times New Roman"/>
          <w:b/>
          <w:sz w:val="26"/>
          <w:szCs w:val="26"/>
        </w:rPr>
      </w:pPr>
    </w:p>
    <w:p w14:paraId="757A6AA8" w14:textId="1759B8C3" w:rsidR="00616039" w:rsidRPr="00263B41" w:rsidRDefault="00616039">
      <w:pPr>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 Commission requires the FERC-539 information for statutory purposes as described in Question #1 above and the collection cannot be discontinued or collected less frequently.  The information that must be submitted to the Commission is event driven.  Without such information, the Commission would be unable to fulfill its statutory responsibilities.</w:t>
      </w:r>
    </w:p>
    <w:p w14:paraId="745AB321"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5696DBD1"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EXPLAIN ANY SPECIAL CIRCUMSTANCES RELATING TO THE INFORMATION</w:t>
      </w:r>
    </w:p>
    <w:p w14:paraId="747BD13E" w14:textId="77777777" w:rsidR="00616039" w:rsidRPr="00263B41" w:rsidRDefault="00616039">
      <w:pPr>
        <w:tabs>
          <w:tab w:val="left" w:pos="720"/>
        </w:tabs>
        <w:spacing w:after="0" w:line="240" w:lineRule="auto"/>
        <w:rPr>
          <w:rFonts w:ascii="Times New Roman" w:eastAsia="Times New Roman" w:hAnsi="Times New Roman" w:cs="Times New Roman"/>
          <w:b/>
          <w:sz w:val="26"/>
          <w:szCs w:val="26"/>
        </w:rPr>
      </w:pPr>
    </w:p>
    <w:p w14:paraId="4D171C14"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FERC-539 meets all of OMB's Section 1320.5 requirements, except 1320.5(d) (2) (iii).  The application may be eFiled through FERC’s eFiling system.  For applications that are eFiled, two additional paper copies are required for use by the Office of Energy Projects.  The copies are distributed to FERC staff involved in the review process and are necessary to ensure a timely review of the submitted materials. </w:t>
      </w:r>
    </w:p>
    <w:p w14:paraId="0A9CFC1E"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4380BE00"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DESCRIBE EFFORTS TO CONSULT OUTSIDE THE AGENCY: SUMMARIZE PUBLIC COMMENTS AND THE AGENCY’S RESPONSE TO THESE COMMENTS</w:t>
      </w:r>
    </w:p>
    <w:p w14:paraId="3D05DB32" w14:textId="77777777" w:rsidR="00616039" w:rsidRPr="00263B41" w:rsidRDefault="00616039">
      <w:pPr>
        <w:tabs>
          <w:tab w:val="left" w:pos="720"/>
        </w:tabs>
        <w:spacing w:after="0" w:line="240" w:lineRule="auto"/>
        <w:rPr>
          <w:rFonts w:ascii="Times New Roman" w:eastAsia="Times New Roman" w:hAnsi="Times New Roman" w:cs="Times New Roman"/>
          <w:b/>
          <w:sz w:val="26"/>
          <w:szCs w:val="26"/>
        </w:rPr>
      </w:pPr>
    </w:p>
    <w:p w14:paraId="1D2DEAA1" w14:textId="019ECEB1" w:rsidR="00F72501" w:rsidRPr="006A43CF" w:rsidRDefault="00616039">
      <w:pPr>
        <w:widowControl w:val="0"/>
        <w:autoSpaceDE w:val="0"/>
        <w:autoSpaceDN w:val="0"/>
        <w:adjustRightInd w:val="0"/>
        <w:spacing w:after="0" w:line="240" w:lineRule="auto"/>
        <w:rPr>
          <w:rFonts w:ascii="Times New Roman" w:eastAsia="Times New Roman" w:hAnsi="Times New Roman" w:cs="Times New Roman"/>
          <w:sz w:val="26"/>
          <w:szCs w:val="26"/>
        </w:rPr>
      </w:pPr>
      <w:r w:rsidRPr="006A43CF">
        <w:rPr>
          <w:rFonts w:ascii="Times New Roman" w:eastAsia="Times New Roman" w:hAnsi="Times New Roman" w:cs="Times New Roman"/>
          <w:sz w:val="26"/>
          <w:szCs w:val="26"/>
        </w:rPr>
        <w:t>In accordance with OMB requirements, the Commission published a 60-day notice</w:t>
      </w:r>
      <w:bookmarkStart w:id="1" w:name="_Ref332712251"/>
      <w:r w:rsidRPr="006A43CF">
        <w:rPr>
          <w:rFonts w:ascii="Times New Roman" w:eastAsia="Times New Roman" w:hAnsi="Times New Roman" w:cs="Times New Roman"/>
          <w:b/>
          <w:sz w:val="26"/>
          <w:szCs w:val="26"/>
          <w:vertAlign w:val="superscript"/>
        </w:rPr>
        <w:footnoteReference w:id="4"/>
      </w:r>
      <w:bookmarkEnd w:id="1"/>
      <w:r w:rsidRPr="006A43CF">
        <w:rPr>
          <w:rFonts w:ascii="Times New Roman" w:eastAsia="Times New Roman" w:hAnsi="Times New Roman" w:cs="Times New Roman"/>
          <w:b/>
          <w:sz w:val="26"/>
          <w:szCs w:val="26"/>
        </w:rPr>
        <w:t xml:space="preserve"> </w:t>
      </w:r>
      <w:r w:rsidRPr="006A43CF">
        <w:rPr>
          <w:rFonts w:ascii="Times New Roman" w:eastAsia="Times New Roman" w:hAnsi="Times New Roman" w:cs="Times New Roman"/>
          <w:sz w:val="26"/>
          <w:szCs w:val="26"/>
        </w:rPr>
        <w:t>and a 30-day notice</w:t>
      </w:r>
      <w:r w:rsidRPr="006A43CF">
        <w:rPr>
          <w:rFonts w:ascii="Times New Roman" w:eastAsia="Times New Roman" w:hAnsi="Times New Roman" w:cs="Times New Roman"/>
          <w:b/>
          <w:sz w:val="26"/>
          <w:szCs w:val="26"/>
          <w:vertAlign w:val="superscript"/>
        </w:rPr>
        <w:footnoteReference w:id="5"/>
      </w:r>
      <w:r w:rsidRPr="006A43CF">
        <w:rPr>
          <w:rFonts w:ascii="Times New Roman" w:eastAsia="Times New Roman" w:hAnsi="Times New Roman" w:cs="Times New Roman"/>
          <w:b/>
          <w:sz w:val="26"/>
          <w:szCs w:val="26"/>
        </w:rPr>
        <w:t xml:space="preserve"> </w:t>
      </w:r>
      <w:r w:rsidRPr="006A43CF">
        <w:rPr>
          <w:rFonts w:ascii="Times New Roman" w:eastAsia="Times New Roman" w:hAnsi="Times New Roman" w:cs="Times New Roman"/>
          <w:sz w:val="26"/>
          <w:szCs w:val="26"/>
        </w:rPr>
        <w:t>to the public regarding this information collection on 9/03/2019 and 11/15/2019, respectively. Within the public notice, the Commission noted that it would be requesting a three-year extension of the public reporting burden with no change to the existing requirements</w:t>
      </w:r>
      <w:r w:rsidR="0052130E" w:rsidRPr="006A43CF">
        <w:rPr>
          <w:rFonts w:ascii="Times New Roman" w:eastAsia="Times New Roman" w:hAnsi="Times New Roman" w:cs="Times New Roman"/>
          <w:sz w:val="26"/>
          <w:szCs w:val="26"/>
        </w:rPr>
        <w:t xml:space="preserve">.  </w:t>
      </w:r>
      <w:r w:rsidRPr="006A43CF">
        <w:rPr>
          <w:rFonts w:ascii="Times New Roman" w:eastAsia="Times New Roman" w:hAnsi="Times New Roman" w:cs="Times New Roman"/>
          <w:sz w:val="26"/>
          <w:szCs w:val="26"/>
        </w:rPr>
        <w:t>The Commission received no comments</w:t>
      </w:r>
      <w:r w:rsidR="00F72501" w:rsidRPr="006A43CF">
        <w:rPr>
          <w:rFonts w:ascii="Times New Roman" w:eastAsia="Times New Roman" w:hAnsi="Times New Roman" w:cs="Times New Roman"/>
          <w:sz w:val="26"/>
          <w:szCs w:val="26"/>
        </w:rPr>
        <w:t xml:space="preserve"> on the 60-day Notice. </w:t>
      </w:r>
    </w:p>
    <w:p w14:paraId="55EF3CAA" w14:textId="77777777" w:rsidR="00F72501" w:rsidRPr="006A43CF" w:rsidRDefault="00F72501">
      <w:pPr>
        <w:widowControl w:val="0"/>
        <w:autoSpaceDE w:val="0"/>
        <w:autoSpaceDN w:val="0"/>
        <w:adjustRightInd w:val="0"/>
        <w:spacing w:after="0" w:line="240" w:lineRule="auto"/>
        <w:rPr>
          <w:rFonts w:ascii="Times New Roman" w:eastAsia="Times New Roman" w:hAnsi="Times New Roman" w:cs="Times New Roman"/>
          <w:sz w:val="26"/>
          <w:szCs w:val="26"/>
        </w:rPr>
      </w:pPr>
    </w:p>
    <w:p w14:paraId="24B6D4CC" w14:textId="5F72A6A3" w:rsidR="00616039" w:rsidRPr="00263B41" w:rsidRDefault="00F72501">
      <w:pPr>
        <w:widowControl w:val="0"/>
        <w:autoSpaceDE w:val="0"/>
        <w:autoSpaceDN w:val="0"/>
        <w:adjustRightInd w:val="0"/>
        <w:spacing w:after="0" w:line="240" w:lineRule="auto"/>
        <w:rPr>
          <w:rFonts w:ascii="Times New Roman" w:eastAsia="Times New Roman" w:hAnsi="Times New Roman" w:cs="Times New Roman"/>
          <w:sz w:val="26"/>
          <w:szCs w:val="26"/>
        </w:rPr>
      </w:pPr>
      <w:r w:rsidRPr="006A43CF">
        <w:rPr>
          <w:rFonts w:ascii="Times New Roman" w:eastAsia="Times New Roman" w:hAnsi="Times New Roman" w:cs="Times New Roman"/>
          <w:sz w:val="26"/>
          <w:szCs w:val="26"/>
        </w:rPr>
        <w:t>Comments on the 30-day Notice are due 12/16/2019</w:t>
      </w:r>
      <w:r w:rsidR="00616039" w:rsidRPr="006A43CF">
        <w:rPr>
          <w:rFonts w:ascii="Times New Roman" w:eastAsia="Times New Roman" w:hAnsi="Times New Roman" w:cs="Times New Roman"/>
          <w:sz w:val="26"/>
          <w:szCs w:val="26"/>
        </w:rPr>
        <w:t>.</w:t>
      </w:r>
      <w:r w:rsidR="00616039" w:rsidRPr="00263B41">
        <w:rPr>
          <w:rFonts w:ascii="Times New Roman" w:eastAsia="Times New Roman" w:hAnsi="Times New Roman" w:cs="Times New Roman"/>
          <w:sz w:val="26"/>
          <w:szCs w:val="26"/>
        </w:rPr>
        <w:t xml:space="preserve">  </w:t>
      </w:r>
    </w:p>
    <w:p w14:paraId="150E6277"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63E4263A"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EXPLAIN ANY PAYMENT OR GIFTS TO RESPONDENTS</w:t>
      </w:r>
    </w:p>
    <w:p w14:paraId="429B6559" w14:textId="77777777" w:rsidR="00616039" w:rsidRPr="00263B41" w:rsidRDefault="00616039">
      <w:pPr>
        <w:tabs>
          <w:tab w:val="left" w:pos="720"/>
        </w:tabs>
        <w:spacing w:after="0" w:line="240" w:lineRule="auto"/>
        <w:rPr>
          <w:rFonts w:ascii="Times New Roman" w:eastAsia="Times New Roman" w:hAnsi="Times New Roman" w:cs="Times New Roman"/>
          <w:b/>
          <w:sz w:val="26"/>
          <w:szCs w:val="26"/>
        </w:rPr>
      </w:pPr>
    </w:p>
    <w:p w14:paraId="5E8BDED9" w14:textId="77777777" w:rsidR="00616039" w:rsidRPr="00263B41" w:rsidRDefault="00616039">
      <w:pPr>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There are no payments or gifts to respondents of this collection.</w:t>
      </w:r>
    </w:p>
    <w:p w14:paraId="583301CF"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37D94B2D"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DESCRIBE ANY ASSURANCE OF CONFIDENTIALITY PROVIDED TO RESPONDENTS</w:t>
      </w:r>
    </w:p>
    <w:p w14:paraId="2625C32F" w14:textId="77777777" w:rsidR="00616039" w:rsidRPr="00263B41" w:rsidRDefault="00616039">
      <w:pPr>
        <w:tabs>
          <w:tab w:val="left" w:pos="720"/>
        </w:tabs>
        <w:spacing w:after="0" w:line="240" w:lineRule="auto"/>
        <w:rPr>
          <w:rFonts w:ascii="Times New Roman" w:eastAsia="Times New Roman" w:hAnsi="Times New Roman" w:cs="Times New Roman"/>
          <w:b/>
          <w:sz w:val="26"/>
          <w:szCs w:val="26"/>
        </w:rPr>
      </w:pPr>
    </w:p>
    <w:p w14:paraId="11BDA0A4" w14:textId="77777777" w:rsidR="00E2685C" w:rsidRPr="00263B41" w:rsidRDefault="00E2685C">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 information submitted to the Commission is public information and therefore is not considered confidential.  Specific requests for confidential treatment may be made pursuant to 18 C.F.R. Section 388.112.</w:t>
      </w:r>
    </w:p>
    <w:p w14:paraId="32C880C1"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51004966"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130CAD5E" w14:textId="77777777" w:rsidR="00616039" w:rsidRPr="00263B41" w:rsidRDefault="00616039">
      <w:pPr>
        <w:tabs>
          <w:tab w:val="left" w:pos="720"/>
        </w:tabs>
        <w:spacing w:after="0" w:line="240" w:lineRule="auto"/>
        <w:rPr>
          <w:rFonts w:ascii="Times New Roman" w:eastAsia="Times New Roman" w:hAnsi="Times New Roman" w:cs="Times New Roman"/>
          <w:b/>
          <w:sz w:val="26"/>
          <w:szCs w:val="26"/>
        </w:rPr>
      </w:pPr>
    </w:p>
    <w:p w14:paraId="6863A46C" w14:textId="77777777" w:rsidR="00616039" w:rsidRPr="00263B41" w:rsidRDefault="00616039">
      <w:pPr>
        <w:autoSpaceDE w:val="0"/>
        <w:autoSpaceDN w:val="0"/>
        <w:adjustRightInd w:val="0"/>
        <w:spacing w:after="0" w:line="240" w:lineRule="auto"/>
        <w:rPr>
          <w:rFonts w:ascii="Times New Roman" w:eastAsia="Times New Roman" w:hAnsi="Times New Roman" w:cs="Times New Roman"/>
          <w:b/>
          <w:sz w:val="26"/>
          <w:szCs w:val="26"/>
        </w:rPr>
      </w:pPr>
      <w:r w:rsidRPr="00263B41">
        <w:rPr>
          <w:rFonts w:ascii="Times New Roman" w:eastAsia="Times New Roman" w:hAnsi="Times New Roman" w:cs="Times New Roman"/>
          <w:sz w:val="26"/>
          <w:szCs w:val="26"/>
        </w:rPr>
        <w:t xml:space="preserve">There are no questions of a sensitive nature associated with </w:t>
      </w:r>
      <w:r w:rsidR="00E2685C" w:rsidRPr="00263B41">
        <w:rPr>
          <w:rFonts w:ascii="Times New Roman" w:eastAsia="Times New Roman" w:hAnsi="Times New Roman" w:cs="Times New Roman"/>
          <w:sz w:val="26"/>
          <w:szCs w:val="26"/>
        </w:rPr>
        <w:t>FERC-539</w:t>
      </w:r>
      <w:r w:rsidRPr="00263B41">
        <w:rPr>
          <w:rFonts w:ascii="Times New Roman" w:eastAsia="Times New Roman" w:hAnsi="Times New Roman" w:cs="Times New Roman"/>
          <w:sz w:val="26"/>
          <w:szCs w:val="26"/>
        </w:rPr>
        <w:t xml:space="preserve">.  </w:t>
      </w:r>
    </w:p>
    <w:p w14:paraId="51A7A2B1"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271949E0" w14:textId="77777777" w:rsidR="00616039" w:rsidRPr="00263B41" w:rsidRDefault="00616039">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ESTIMATED BURDEN COLLECTION OF INFORMATION</w:t>
      </w:r>
    </w:p>
    <w:p w14:paraId="1033ED98" w14:textId="77777777" w:rsidR="00616039" w:rsidRPr="00263B41" w:rsidRDefault="00616039">
      <w:pPr>
        <w:tabs>
          <w:tab w:val="left" w:pos="720"/>
        </w:tabs>
        <w:spacing w:after="0" w:line="240" w:lineRule="auto"/>
        <w:ind w:left="72"/>
        <w:rPr>
          <w:rFonts w:ascii="Times New Roman" w:eastAsia="Times New Roman" w:hAnsi="Times New Roman" w:cs="Times New Roman"/>
          <w:b/>
          <w:sz w:val="26"/>
          <w:szCs w:val="26"/>
        </w:rPr>
      </w:pPr>
    </w:p>
    <w:p w14:paraId="332EA42E" w14:textId="3889E0BB" w:rsidR="00616039" w:rsidRPr="00263B41" w:rsidRDefault="00616039" w:rsidP="00FF2CC5">
      <w:pPr>
        <w:tabs>
          <w:tab w:val="left" w:pos="720"/>
        </w:tabs>
        <w:spacing w:after="0" w:line="240" w:lineRule="auto"/>
        <w:ind w:left="72"/>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The Commission </w:t>
      </w:r>
      <w:r w:rsidRPr="00263B41">
        <w:rPr>
          <w:rFonts w:ascii="Times New Roman" w:hAnsi="Times New Roman" w:cs="Times New Roman"/>
          <w:sz w:val="26"/>
          <w:szCs w:val="26"/>
        </w:rPr>
        <w:t>estimates the annual public reporting burden and cost</w:t>
      </w:r>
      <w:r w:rsidR="00FF2CC5" w:rsidRPr="00263B41">
        <w:rPr>
          <w:rFonts w:ascii="Times New Roman" w:eastAsia="Calibri" w:hAnsi="Times New Roman" w:cs="Times New Roman"/>
          <w:b/>
          <w:sz w:val="26"/>
          <w:szCs w:val="26"/>
          <w:vertAlign w:val="superscript"/>
        </w:rPr>
        <w:footnoteReference w:id="6"/>
      </w:r>
      <w:r w:rsidRPr="00263B41">
        <w:rPr>
          <w:rFonts w:ascii="Times New Roman" w:hAnsi="Times New Roman" w:cs="Times New Roman"/>
          <w:sz w:val="26"/>
          <w:szCs w:val="26"/>
          <w:vertAlign w:val="superscript"/>
        </w:rPr>
        <w:t xml:space="preserve"> </w:t>
      </w:r>
      <w:r w:rsidRPr="00263B41">
        <w:rPr>
          <w:rFonts w:ascii="Times New Roman" w:hAnsi="Times New Roman" w:cs="Times New Roman"/>
          <w:sz w:val="26"/>
          <w:szCs w:val="26"/>
        </w:rPr>
        <w:t>for the information collection as:</w:t>
      </w:r>
    </w:p>
    <w:p w14:paraId="1F5D48E3" w14:textId="77777777" w:rsidR="00616039" w:rsidRPr="00263B41" w:rsidRDefault="00616039" w:rsidP="00FF2CC5">
      <w:pPr>
        <w:tabs>
          <w:tab w:val="left" w:pos="720"/>
        </w:tabs>
        <w:spacing w:after="0" w:line="240" w:lineRule="auto"/>
        <w:rPr>
          <w:rFonts w:ascii="Times New Roman" w:eastAsia="Times New Roman" w:hAnsi="Times New Roman" w:cs="Times New Roman"/>
          <w:b/>
          <w:sz w:val="26"/>
          <w:szCs w:val="26"/>
        </w:r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531"/>
        <w:gridCol w:w="1414"/>
        <w:gridCol w:w="2125"/>
        <w:gridCol w:w="1771"/>
        <w:gridCol w:w="1773"/>
      </w:tblGrid>
      <w:tr w:rsidR="00616039" w:rsidRPr="00263B41" w14:paraId="22C41AB0" w14:textId="77777777" w:rsidTr="003E6993">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14:paraId="58C1ED94"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 xml:space="preserve">FERC-539: </w:t>
            </w:r>
            <w:r w:rsidRPr="00263B41">
              <w:rPr>
                <w:rFonts w:ascii="Times New Roman" w:eastAsia="Calibri" w:hAnsi="Times New Roman" w:cs="Times New Roman"/>
                <w:b/>
                <w:bCs/>
                <w:sz w:val="26"/>
                <w:szCs w:val="26"/>
              </w:rPr>
              <w:t>Gas Pipeline Certificates: Import &amp; Export Related Applications</w:t>
            </w:r>
          </w:p>
        </w:tc>
      </w:tr>
      <w:tr w:rsidR="00616039" w:rsidRPr="00263B41" w14:paraId="43F180BD" w14:textId="77777777" w:rsidTr="003E6993">
        <w:trPr>
          <w:cantSplit/>
        </w:trPr>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8409632"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Number of Respondents</w:t>
            </w:r>
            <w:r w:rsidRPr="00263B41">
              <w:rPr>
                <w:rFonts w:ascii="Times New Roman" w:eastAsia="Calibri" w:hAnsi="Times New Roman" w:cs="Times New Roman"/>
                <w:b/>
                <w:sz w:val="26"/>
                <w:szCs w:val="26"/>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0CEE836"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Annual Number of Responses per Respondent</w:t>
            </w:r>
          </w:p>
          <w:p w14:paraId="5CAF369C"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8CED417"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Total Number of Responses (1)*(2)=(3)</w:t>
            </w:r>
          </w:p>
        </w:tc>
        <w:tc>
          <w:tcPr>
            <w:tcW w:w="105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733DFCD" w14:textId="77777777" w:rsidR="00FF2CC5" w:rsidRDefault="00616039" w:rsidP="00FF2CC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 xml:space="preserve">Average Burden &amp; Cost </w:t>
            </w:r>
          </w:p>
          <w:p w14:paraId="6C054CAF" w14:textId="77777777" w:rsidR="00FF2CC5" w:rsidRDefault="00FF2CC5" w:rsidP="00FF2CC5">
            <w:pPr>
              <w:widowControl w:val="0"/>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w:t>
            </w:r>
          </w:p>
          <w:p w14:paraId="41AB52E4" w14:textId="2B745E43"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Per Response</w:t>
            </w:r>
          </w:p>
          <w:p w14:paraId="6497DB2E"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(4)</w:t>
            </w:r>
          </w:p>
        </w:tc>
        <w:tc>
          <w:tcPr>
            <w:tcW w:w="87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0C05232" w14:textId="225BBF00" w:rsidR="00616039" w:rsidRDefault="00616039" w:rsidP="00FF2CC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Total Annual Burden Hours &amp; Total Annual Cost</w:t>
            </w:r>
          </w:p>
          <w:p w14:paraId="34BB2C5B" w14:textId="4E1FA8B3" w:rsidR="00FF2CC5" w:rsidRPr="00263B41" w:rsidRDefault="00FF2CC5"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w:t>
            </w:r>
          </w:p>
          <w:p w14:paraId="5D1E23E0"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(3)*(4)=(5)</w:t>
            </w:r>
          </w:p>
        </w:tc>
        <w:tc>
          <w:tcPr>
            <w:tcW w:w="87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8532ECD"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Cost per Respondent</w:t>
            </w:r>
          </w:p>
          <w:p w14:paraId="5A3753ED"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 xml:space="preserve"> ($)</w:t>
            </w:r>
          </w:p>
          <w:p w14:paraId="179B82B1" w14:textId="77777777" w:rsidR="00616039" w:rsidRPr="00263B41" w:rsidRDefault="00616039" w:rsidP="00952DBC">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3B41">
              <w:rPr>
                <w:rFonts w:ascii="Times New Roman" w:eastAsia="Calibri" w:hAnsi="Times New Roman" w:cs="Times New Roman"/>
                <w:b/>
                <w:sz w:val="26"/>
                <w:szCs w:val="26"/>
              </w:rPr>
              <w:t>(5)÷(1)</w:t>
            </w:r>
          </w:p>
        </w:tc>
      </w:tr>
      <w:tr w:rsidR="00616039" w:rsidRPr="00263B41" w14:paraId="686CD285" w14:textId="77777777" w:rsidTr="003E6993">
        <w:trPr>
          <w:cantSplit/>
        </w:trPr>
        <w:tc>
          <w:tcPr>
            <w:tcW w:w="746" w:type="pct"/>
            <w:tcBorders>
              <w:top w:val="single" w:sz="4" w:space="0" w:color="auto"/>
              <w:left w:val="single" w:sz="4" w:space="0" w:color="auto"/>
              <w:bottom w:val="single" w:sz="4" w:space="0" w:color="auto"/>
              <w:right w:val="single" w:sz="4" w:space="0" w:color="auto"/>
            </w:tcBorders>
          </w:tcPr>
          <w:p w14:paraId="22E4B498"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3B41">
              <w:rPr>
                <w:rFonts w:ascii="Times New Roman" w:eastAsia="Calibri" w:hAnsi="Times New Roman" w:cs="Times New Roman"/>
                <w:sz w:val="26"/>
                <w:szCs w:val="26"/>
              </w:rPr>
              <w:t>6</w:t>
            </w:r>
          </w:p>
        </w:tc>
        <w:tc>
          <w:tcPr>
            <w:tcW w:w="746" w:type="pct"/>
            <w:tcBorders>
              <w:top w:val="single" w:sz="4" w:space="0" w:color="auto"/>
              <w:left w:val="single" w:sz="4" w:space="0" w:color="auto"/>
              <w:bottom w:val="single" w:sz="4" w:space="0" w:color="auto"/>
              <w:right w:val="single" w:sz="4" w:space="0" w:color="auto"/>
            </w:tcBorders>
            <w:hideMark/>
          </w:tcPr>
          <w:p w14:paraId="3AF0EE35"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3B41">
              <w:rPr>
                <w:rFonts w:ascii="Times New Roman" w:eastAsia="Calibri" w:hAnsi="Times New Roman" w:cs="Times New Roman"/>
                <w:sz w:val="26"/>
                <w:szCs w:val="26"/>
              </w:rPr>
              <w:t>2</w:t>
            </w:r>
          </w:p>
        </w:tc>
        <w:tc>
          <w:tcPr>
            <w:tcW w:w="703" w:type="pct"/>
            <w:tcBorders>
              <w:top w:val="single" w:sz="4" w:space="0" w:color="auto"/>
              <w:left w:val="single" w:sz="4" w:space="0" w:color="auto"/>
              <w:bottom w:val="single" w:sz="4" w:space="0" w:color="auto"/>
              <w:right w:val="single" w:sz="4" w:space="0" w:color="auto"/>
            </w:tcBorders>
            <w:hideMark/>
          </w:tcPr>
          <w:p w14:paraId="47EF2991"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3B41">
              <w:rPr>
                <w:rFonts w:ascii="Times New Roman" w:eastAsia="Calibri" w:hAnsi="Times New Roman" w:cs="Times New Roman"/>
                <w:sz w:val="26"/>
                <w:szCs w:val="26"/>
              </w:rPr>
              <w:t>12</w:t>
            </w:r>
          </w:p>
        </w:tc>
        <w:tc>
          <w:tcPr>
            <w:tcW w:w="1050" w:type="pct"/>
            <w:tcBorders>
              <w:top w:val="single" w:sz="4" w:space="0" w:color="auto"/>
              <w:left w:val="single" w:sz="4" w:space="0" w:color="auto"/>
              <w:bottom w:val="single" w:sz="4" w:space="0" w:color="auto"/>
              <w:right w:val="single" w:sz="4" w:space="0" w:color="auto"/>
            </w:tcBorders>
            <w:hideMark/>
          </w:tcPr>
          <w:p w14:paraId="3D1A7000"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3B41">
              <w:rPr>
                <w:rFonts w:ascii="Times New Roman" w:eastAsia="Calibri" w:hAnsi="Times New Roman" w:cs="Times New Roman"/>
                <w:sz w:val="26"/>
                <w:szCs w:val="26"/>
              </w:rPr>
              <w:t>15 hrs.;</w:t>
            </w:r>
          </w:p>
          <w:p w14:paraId="3A477F0D"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3B41">
              <w:rPr>
                <w:rFonts w:ascii="Times New Roman" w:eastAsia="Calibri" w:hAnsi="Times New Roman" w:cs="Times New Roman"/>
                <w:sz w:val="26"/>
                <w:szCs w:val="26"/>
              </w:rPr>
              <w:t>$1,200</w:t>
            </w:r>
          </w:p>
        </w:tc>
        <w:tc>
          <w:tcPr>
            <w:tcW w:w="877" w:type="pct"/>
            <w:tcBorders>
              <w:top w:val="single" w:sz="4" w:space="0" w:color="auto"/>
              <w:left w:val="single" w:sz="4" w:space="0" w:color="auto"/>
              <w:bottom w:val="single" w:sz="4" w:space="0" w:color="auto"/>
              <w:right w:val="single" w:sz="4" w:space="0" w:color="auto"/>
            </w:tcBorders>
            <w:hideMark/>
          </w:tcPr>
          <w:p w14:paraId="63E1E166"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3B41">
              <w:rPr>
                <w:rFonts w:ascii="Times New Roman" w:eastAsia="Calibri" w:hAnsi="Times New Roman" w:cs="Times New Roman"/>
                <w:sz w:val="26"/>
                <w:szCs w:val="26"/>
              </w:rPr>
              <w:t xml:space="preserve"> 180 hrs.;</w:t>
            </w:r>
          </w:p>
          <w:p w14:paraId="6B90F16D"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3B41">
              <w:rPr>
                <w:rFonts w:ascii="Times New Roman" w:eastAsia="Calibri" w:hAnsi="Times New Roman" w:cs="Times New Roman"/>
                <w:sz w:val="26"/>
                <w:szCs w:val="26"/>
              </w:rPr>
              <w:t>$14,400</w:t>
            </w:r>
          </w:p>
        </w:tc>
        <w:tc>
          <w:tcPr>
            <w:tcW w:w="878" w:type="pct"/>
            <w:tcBorders>
              <w:top w:val="single" w:sz="4" w:space="0" w:color="auto"/>
              <w:left w:val="single" w:sz="4" w:space="0" w:color="auto"/>
              <w:bottom w:val="single" w:sz="4" w:space="0" w:color="auto"/>
              <w:right w:val="single" w:sz="4" w:space="0" w:color="auto"/>
            </w:tcBorders>
          </w:tcPr>
          <w:p w14:paraId="328AC79A"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3B41">
              <w:rPr>
                <w:rFonts w:ascii="Times New Roman" w:eastAsia="Calibri" w:hAnsi="Times New Roman" w:cs="Times New Roman"/>
                <w:sz w:val="26"/>
                <w:szCs w:val="26"/>
              </w:rPr>
              <w:t xml:space="preserve">$2,400 </w:t>
            </w:r>
          </w:p>
          <w:p w14:paraId="11183318" w14:textId="77777777" w:rsidR="00616039" w:rsidRPr="00263B41" w:rsidRDefault="00616039" w:rsidP="00952DBC">
            <w:pPr>
              <w:widowControl w:val="0"/>
              <w:autoSpaceDE w:val="0"/>
              <w:autoSpaceDN w:val="0"/>
              <w:adjustRightInd w:val="0"/>
              <w:spacing w:after="0" w:line="240" w:lineRule="auto"/>
              <w:jc w:val="right"/>
              <w:rPr>
                <w:rFonts w:ascii="Times New Roman" w:eastAsia="Calibri" w:hAnsi="Times New Roman" w:cs="Times New Roman"/>
                <w:sz w:val="26"/>
                <w:szCs w:val="26"/>
              </w:rPr>
            </w:pPr>
          </w:p>
        </w:tc>
      </w:tr>
    </w:tbl>
    <w:p w14:paraId="5706901D" w14:textId="77777777" w:rsidR="00616039" w:rsidRPr="00263B41" w:rsidRDefault="00616039" w:rsidP="00FF2CC5">
      <w:pPr>
        <w:tabs>
          <w:tab w:val="left" w:pos="720"/>
        </w:tabs>
        <w:spacing w:after="0" w:line="240" w:lineRule="auto"/>
        <w:rPr>
          <w:rFonts w:ascii="Times New Roman" w:eastAsia="Times New Roman" w:hAnsi="Times New Roman" w:cs="Times New Roman"/>
          <w:sz w:val="26"/>
          <w:szCs w:val="26"/>
        </w:rPr>
      </w:pPr>
    </w:p>
    <w:p w14:paraId="31D399C1" w14:textId="77777777" w:rsidR="00616039" w:rsidRPr="00263B41" w:rsidRDefault="00616039" w:rsidP="00FF2CC5">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b/>
          <w:sz w:val="26"/>
          <w:szCs w:val="26"/>
        </w:rPr>
        <w:t>ESTIMATE OF THE TOTAL ANNUAL COST BURDEN TO RESPONDENTS</w:t>
      </w:r>
    </w:p>
    <w:p w14:paraId="1DBE4633" w14:textId="77777777" w:rsidR="00616039" w:rsidRPr="00263B41" w:rsidRDefault="00616039" w:rsidP="00FF2CC5">
      <w:pPr>
        <w:tabs>
          <w:tab w:val="left" w:pos="720"/>
        </w:tabs>
        <w:spacing w:after="0" w:line="240" w:lineRule="auto"/>
        <w:rPr>
          <w:rFonts w:ascii="Times New Roman" w:eastAsia="Times New Roman" w:hAnsi="Times New Roman" w:cs="Times New Roman"/>
          <w:b/>
          <w:sz w:val="26"/>
          <w:szCs w:val="26"/>
        </w:rPr>
      </w:pPr>
    </w:p>
    <w:p w14:paraId="2797D823" w14:textId="77777777" w:rsidR="00616039" w:rsidRPr="00263B41" w:rsidRDefault="00616039" w:rsidP="00FF2CC5">
      <w:pPr>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There are no non-labor start-up costs. All costs are related to burden hours and are addressed in Questions #12 and #15.</w:t>
      </w:r>
    </w:p>
    <w:p w14:paraId="074B86BE" w14:textId="77777777" w:rsidR="00616039" w:rsidRPr="00263B41" w:rsidRDefault="00616039" w:rsidP="00FF2CC5">
      <w:pPr>
        <w:tabs>
          <w:tab w:val="left" w:pos="720"/>
        </w:tabs>
        <w:spacing w:after="0" w:line="240" w:lineRule="auto"/>
        <w:rPr>
          <w:rFonts w:ascii="Times New Roman" w:eastAsia="Times New Roman" w:hAnsi="Times New Roman" w:cs="Times New Roman"/>
          <w:sz w:val="26"/>
          <w:szCs w:val="26"/>
        </w:rPr>
      </w:pPr>
    </w:p>
    <w:p w14:paraId="777CDA32" w14:textId="77777777" w:rsidR="00616039" w:rsidRPr="00263B41" w:rsidRDefault="00616039" w:rsidP="00EE03B7">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ESTIMATED ANNUALIZED COST TO FEDERAL GOVERNMENT</w:t>
      </w:r>
    </w:p>
    <w:p w14:paraId="0BCBB2B1" w14:textId="77777777" w:rsidR="00616039" w:rsidRPr="00263B41" w:rsidRDefault="00616039">
      <w:pPr>
        <w:tabs>
          <w:tab w:val="left" w:pos="720"/>
        </w:tabs>
        <w:spacing w:after="0" w:line="240" w:lineRule="auto"/>
        <w:rPr>
          <w:rFonts w:ascii="Times New Roman" w:eastAsia="Times New Roman" w:hAnsi="Times New Roman" w:cs="Times New Roman"/>
          <w:b/>
          <w:sz w:val="26"/>
          <w:szCs w:val="26"/>
        </w:rPr>
      </w:pPr>
    </w:p>
    <w:p w14:paraId="2092F3F7"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14:paraId="40A5FF08" w14:textId="77777777" w:rsidR="00616039" w:rsidRPr="00263B41" w:rsidRDefault="00616039">
      <w:pPr>
        <w:tabs>
          <w:tab w:val="left" w:pos="720"/>
        </w:tabs>
        <w:spacing w:after="0" w:line="240" w:lineRule="auto"/>
        <w:rPr>
          <w:rFonts w:ascii="Times New Roman" w:eastAsia="Times New Roman" w:hAnsi="Times New Roman" w:cs="Times New Roman"/>
          <w:sz w:val="26"/>
          <w:szCs w:val="26"/>
        </w:rPr>
      </w:pPr>
    </w:p>
    <w:p w14:paraId="5214D9C8" w14:textId="77777777" w:rsidR="0052130E" w:rsidRPr="00E2685C" w:rsidRDefault="0052130E" w:rsidP="0052130E">
      <w:pPr>
        <w:pStyle w:val="FootnoteText"/>
        <w:rPr>
          <w:sz w:val="26"/>
          <w:szCs w:val="26"/>
        </w:rPr>
      </w:pPr>
      <w:r w:rsidRPr="00E2685C">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14:paraId="1467D24A" w14:textId="77777777" w:rsidR="00616039" w:rsidRPr="00263B41" w:rsidRDefault="00616039">
      <w:pPr>
        <w:widowControl w:val="0"/>
        <w:autoSpaceDE w:val="0"/>
        <w:autoSpaceDN w:val="0"/>
        <w:adjustRightInd w:val="0"/>
        <w:spacing w:after="0" w:line="240" w:lineRule="auto"/>
        <w:rPr>
          <w:rFonts w:ascii="Times New Roman" w:eastAsia="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616039" w:rsidRPr="00263B41" w14:paraId="7206ECDC" w14:textId="77777777" w:rsidTr="003E6993">
        <w:tc>
          <w:tcPr>
            <w:tcW w:w="1756" w:type="pct"/>
            <w:tcBorders>
              <w:top w:val="single" w:sz="4" w:space="0" w:color="auto"/>
              <w:left w:val="single" w:sz="4" w:space="0" w:color="auto"/>
              <w:bottom w:val="single" w:sz="4" w:space="0" w:color="auto"/>
              <w:right w:val="single" w:sz="4" w:space="0" w:color="auto"/>
            </w:tcBorders>
            <w:shd w:val="clear" w:color="auto" w:fill="D9D9D9"/>
            <w:vAlign w:val="center"/>
          </w:tcPr>
          <w:p w14:paraId="6DFB0CDD" w14:textId="77777777" w:rsidR="00616039" w:rsidRPr="00263B41" w:rsidRDefault="00616039">
            <w:pPr>
              <w:spacing w:after="0" w:line="240" w:lineRule="auto"/>
              <w:contextualSpacing/>
              <w:rPr>
                <w:rFonts w:ascii="Times New Roman" w:eastAsia="Times New Roman" w:hAnsi="Times New Roman" w:cs="Times New Roman"/>
                <w:b/>
                <w:sz w:val="26"/>
                <w:szCs w:val="26"/>
              </w:rPr>
            </w:pPr>
          </w:p>
        </w:tc>
        <w:tc>
          <w:tcPr>
            <w:tcW w:w="16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296C07" w14:textId="77777777" w:rsidR="00616039" w:rsidRPr="00263B41" w:rsidRDefault="00616039">
            <w:pPr>
              <w:spacing w:after="0" w:line="240" w:lineRule="auto"/>
              <w:contextualSpacing/>
              <w:jc w:val="center"/>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Number of Employees (FTE)</w:t>
            </w:r>
          </w:p>
        </w:tc>
        <w:tc>
          <w:tcPr>
            <w:tcW w:w="16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221830" w14:textId="77777777" w:rsidR="00616039" w:rsidRPr="00263B41" w:rsidRDefault="00616039">
            <w:pPr>
              <w:spacing w:after="0" w:line="240" w:lineRule="auto"/>
              <w:contextualSpacing/>
              <w:jc w:val="center"/>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Estimated Annual Federal Cost</w:t>
            </w:r>
          </w:p>
        </w:tc>
      </w:tr>
      <w:tr w:rsidR="00616039" w:rsidRPr="00263B41" w14:paraId="785D40C0" w14:textId="77777777" w:rsidTr="003E6993">
        <w:tc>
          <w:tcPr>
            <w:tcW w:w="1756" w:type="pct"/>
            <w:tcBorders>
              <w:top w:val="single" w:sz="4" w:space="0" w:color="auto"/>
              <w:left w:val="single" w:sz="4" w:space="0" w:color="auto"/>
              <w:bottom w:val="single" w:sz="4" w:space="0" w:color="auto"/>
              <w:right w:val="single" w:sz="4" w:space="0" w:color="auto"/>
            </w:tcBorders>
            <w:vAlign w:val="center"/>
            <w:hideMark/>
          </w:tcPr>
          <w:p w14:paraId="0EB9A4D8" w14:textId="77777777" w:rsidR="00616039" w:rsidRPr="00263B41" w:rsidRDefault="00616039" w:rsidP="00FF2CC5">
            <w:pPr>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Analysis and Processing of Filings</w:t>
            </w:r>
            <w:r w:rsidRPr="00263B41">
              <w:rPr>
                <w:rFonts w:ascii="Times New Roman" w:eastAsia="Times New Roman" w:hAnsi="Times New Roman" w:cs="Times New Roman"/>
                <w:b/>
                <w:sz w:val="26"/>
                <w:szCs w:val="26"/>
                <w:vertAlign w:val="superscript"/>
              </w:rPr>
              <w:footnoteReference w:id="7"/>
            </w:r>
          </w:p>
        </w:tc>
        <w:tc>
          <w:tcPr>
            <w:tcW w:w="1627" w:type="pct"/>
            <w:tcBorders>
              <w:top w:val="single" w:sz="4" w:space="0" w:color="auto"/>
              <w:left w:val="single" w:sz="4" w:space="0" w:color="auto"/>
              <w:bottom w:val="single" w:sz="4" w:space="0" w:color="auto"/>
              <w:right w:val="single" w:sz="4" w:space="0" w:color="auto"/>
            </w:tcBorders>
            <w:vAlign w:val="center"/>
            <w:hideMark/>
          </w:tcPr>
          <w:p w14:paraId="02F59BC2" w14:textId="77777777" w:rsidR="00616039" w:rsidRPr="00263B41" w:rsidRDefault="00616039" w:rsidP="00FF2CC5">
            <w:pPr>
              <w:spacing w:after="0" w:line="240" w:lineRule="auto"/>
              <w:contextualSpacing/>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3.5</w:t>
            </w:r>
          </w:p>
        </w:tc>
        <w:tc>
          <w:tcPr>
            <w:tcW w:w="1617" w:type="pct"/>
            <w:tcBorders>
              <w:top w:val="single" w:sz="4" w:space="0" w:color="auto"/>
              <w:left w:val="single" w:sz="4" w:space="0" w:color="auto"/>
              <w:bottom w:val="single" w:sz="4" w:space="0" w:color="auto"/>
              <w:right w:val="single" w:sz="4" w:space="0" w:color="auto"/>
            </w:tcBorders>
            <w:vAlign w:val="center"/>
            <w:hideMark/>
          </w:tcPr>
          <w:p w14:paraId="2365182D" w14:textId="77777777" w:rsidR="00616039" w:rsidRPr="00263B41" w:rsidRDefault="00616039" w:rsidP="00FF2CC5">
            <w:pPr>
              <w:spacing w:after="0" w:line="240" w:lineRule="auto"/>
              <w:contextualSpacing/>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w:t>
            </w:r>
            <w:r w:rsidR="00FF2E39" w:rsidRPr="00263B41">
              <w:rPr>
                <w:rFonts w:ascii="Times New Roman" w:eastAsia="Times New Roman" w:hAnsi="Times New Roman" w:cs="Times New Roman"/>
                <w:sz w:val="26"/>
                <w:szCs w:val="26"/>
              </w:rPr>
              <w:t>584,818.50</w:t>
            </w:r>
          </w:p>
        </w:tc>
      </w:tr>
      <w:tr w:rsidR="00616039" w:rsidRPr="00263B41" w14:paraId="1B236004" w14:textId="77777777" w:rsidTr="003E6993">
        <w:tc>
          <w:tcPr>
            <w:tcW w:w="1756" w:type="pct"/>
            <w:tcBorders>
              <w:top w:val="single" w:sz="4" w:space="0" w:color="auto"/>
              <w:left w:val="single" w:sz="4" w:space="0" w:color="auto"/>
              <w:bottom w:val="single" w:sz="4" w:space="0" w:color="auto"/>
              <w:right w:val="single" w:sz="4" w:space="0" w:color="auto"/>
            </w:tcBorders>
            <w:vAlign w:val="center"/>
            <w:hideMark/>
          </w:tcPr>
          <w:p w14:paraId="2C8A04C1" w14:textId="23557176" w:rsidR="00616039" w:rsidRPr="00263B41" w:rsidRDefault="00616039" w:rsidP="00FF2CC5">
            <w:pPr>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PRA</w:t>
            </w:r>
            <w:r w:rsidRPr="00263B41">
              <w:rPr>
                <w:rFonts w:ascii="Times New Roman" w:eastAsia="Times New Roman" w:hAnsi="Times New Roman" w:cs="Times New Roman"/>
                <w:b/>
                <w:sz w:val="26"/>
                <w:szCs w:val="26"/>
              </w:rPr>
              <w:t xml:space="preserve"> </w:t>
            </w:r>
            <w:r w:rsidRPr="00263B41">
              <w:rPr>
                <w:rFonts w:ascii="Times New Roman" w:eastAsia="Times New Roman" w:hAnsi="Times New Roman" w:cs="Times New Roman"/>
                <w:sz w:val="26"/>
                <w:szCs w:val="26"/>
              </w:rPr>
              <w:t>Administrative Cost</w:t>
            </w:r>
          </w:p>
        </w:tc>
        <w:tc>
          <w:tcPr>
            <w:tcW w:w="1627" w:type="pct"/>
            <w:tcBorders>
              <w:top w:val="single" w:sz="4" w:space="0" w:color="auto"/>
              <w:left w:val="single" w:sz="4" w:space="0" w:color="auto"/>
              <w:bottom w:val="single" w:sz="4" w:space="0" w:color="auto"/>
              <w:right w:val="single" w:sz="4" w:space="0" w:color="auto"/>
            </w:tcBorders>
            <w:shd w:val="clear" w:color="auto" w:fill="D9D9D9"/>
            <w:vAlign w:val="center"/>
          </w:tcPr>
          <w:p w14:paraId="45E53575" w14:textId="77777777" w:rsidR="00616039" w:rsidRPr="00263B41" w:rsidRDefault="00616039" w:rsidP="00FF2CC5">
            <w:pPr>
              <w:spacing w:after="0" w:line="240" w:lineRule="auto"/>
              <w:contextualSpacing/>
              <w:jc w:val="right"/>
              <w:rPr>
                <w:rFonts w:ascii="Times New Roman" w:eastAsia="Times New Roman" w:hAnsi="Times New Roman" w:cs="Times New Roman"/>
                <w:b/>
                <w:sz w:val="26"/>
                <w:szCs w:val="26"/>
              </w:rPr>
            </w:pPr>
          </w:p>
        </w:tc>
        <w:tc>
          <w:tcPr>
            <w:tcW w:w="1617" w:type="pct"/>
            <w:tcBorders>
              <w:top w:val="single" w:sz="4" w:space="0" w:color="auto"/>
              <w:left w:val="single" w:sz="4" w:space="0" w:color="auto"/>
              <w:bottom w:val="single" w:sz="4" w:space="0" w:color="auto"/>
              <w:right w:val="single" w:sz="4" w:space="0" w:color="auto"/>
            </w:tcBorders>
            <w:vAlign w:val="center"/>
            <w:hideMark/>
          </w:tcPr>
          <w:p w14:paraId="05409F13" w14:textId="77777777" w:rsidR="00616039" w:rsidRPr="00263B41" w:rsidRDefault="00616039" w:rsidP="00FF2CC5">
            <w:pPr>
              <w:spacing w:after="0" w:line="240" w:lineRule="auto"/>
              <w:contextualSpacing/>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$4,832</w:t>
            </w:r>
          </w:p>
        </w:tc>
      </w:tr>
      <w:tr w:rsidR="00616039" w:rsidRPr="00263B41" w14:paraId="7132E7F4" w14:textId="77777777" w:rsidTr="003E6993">
        <w:tc>
          <w:tcPr>
            <w:tcW w:w="1756" w:type="pct"/>
            <w:tcBorders>
              <w:top w:val="single" w:sz="4" w:space="0" w:color="auto"/>
              <w:left w:val="single" w:sz="4" w:space="0" w:color="auto"/>
              <w:bottom w:val="single" w:sz="4" w:space="0" w:color="auto"/>
              <w:right w:val="single" w:sz="4" w:space="0" w:color="auto"/>
            </w:tcBorders>
            <w:vAlign w:val="center"/>
            <w:hideMark/>
          </w:tcPr>
          <w:p w14:paraId="37273133" w14:textId="77777777" w:rsidR="00616039" w:rsidRPr="00263B41" w:rsidRDefault="00616039" w:rsidP="00FF2CC5">
            <w:pPr>
              <w:spacing w:after="0" w:line="240" w:lineRule="auto"/>
              <w:contextualSpacing/>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FERC Total</w:t>
            </w:r>
          </w:p>
        </w:tc>
        <w:tc>
          <w:tcPr>
            <w:tcW w:w="1627" w:type="pct"/>
            <w:tcBorders>
              <w:top w:val="single" w:sz="4" w:space="0" w:color="auto"/>
              <w:left w:val="single" w:sz="4" w:space="0" w:color="auto"/>
              <w:bottom w:val="single" w:sz="4" w:space="0" w:color="auto"/>
              <w:right w:val="single" w:sz="4" w:space="0" w:color="auto"/>
            </w:tcBorders>
            <w:shd w:val="clear" w:color="auto" w:fill="D9D9D9"/>
            <w:vAlign w:val="center"/>
          </w:tcPr>
          <w:p w14:paraId="759750C2" w14:textId="77777777" w:rsidR="00616039" w:rsidRPr="00263B41" w:rsidRDefault="00616039" w:rsidP="00FF2CC5">
            <w:pPr>
              <w:spacing w:after="0" w:line="240" w:lineRule="auto"/>
              <w:contextualSpacing/>
              <w:jc w:val="right"/>
              <w:rPr>
                <w:rFonts w:ascii="Times New Roman" w:eastAsia="Times New Roman" w:hAnsi="Times New Roman" w:cs="Times New Roman"/>
                <w:b/>
                <w:sz w:val="26"/>
                <w:szCs w:val="26"/>
              </w:rPr>
            </w:pPr>
          </w:p>
        </w:tc>
        <w:tc>
          <w:tcPr>
            <w:tcW w:w="1617" w:type="pct"/>
            <w:tcBorders>
              <w:top w:val="single" w:sz="4" w:space="0" w:color="auto"/>
              <w:left w:val="single" w:sz="4" w:space="0" w:color="auto"/>
              <w:bottom w:val="single" w:sz="4" w:space="0" w:color="auto"/>
              <w:right w:val="single" w:sz="4" w:space="0" w:color="auto"/>
            </w:tcBorders>
            <w:vAlign w:val="center"/>
            <w:hideMark/>
          </w:tcPr>
          <w:p w14:paraId="49021D82" w14:textId="77777777" w:rsidR="00616039" w:rsidRPr="00263B41" w:rsidRDefault="00616039" w:rsidP="00FF2CC5">
            <w:pPr>
              <w:spacing w:after="0" w:line="240" w:lineRule="auto"/>
              <w:contextualSpacing/>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w:t>
            </w:r>
            <w:r w:rsidR="00FF2E39" w:rsidRPr="00263B41">
              <w:rPr>
                <w:rFonts w:ascii="Times New Roman" w:eastAsia="Times New Roman" w:hAnsi="Times New Roman" w:cs="Times New Roman"/>
                <w:sz w:val="26"/>
                <w:szCs w:val="26"/>
              </w:rPr>
              <w:t>589,650.50</w:t>
            </w:r>
          </w:p>
        </w:tc>
      </w:tr>
    </w:tbl>
    <w:p w14:paraId="24B50EF1" w14:textId="77777777" w:rsidR="00616039" w:rsidRPr="00263B41" w:rsidRDefault="00616039" w:rsidP="00FF2CC5">
      <w:pPr>
        <w:tabs>
          <w:tab w:val="left" w:pos="720"/>
        </w:tabs>
        <w:spacing w:after="0" w:line="240" w:lineRule="auto"/>
        <w:rPr>
          <w:rFonts w:ascii="Times New Roman" w:eastAsia="Times New Roman" w:hAnsi="Times New Roman" w:cs="Times New Roman"/>
          <w:b/>
          <w:sz w:val="26"/>
          <w:szCs w:val="26"/>
        </w:rPr>
      </w:pPr>
    </w:p>
    <w:p w14:paraId="510AF470" w14:textId="77777777" w:rsidR="00616039" w:rsidRPr="00263B41" w:rsidRDefault="00616039" w:rsidP="00FF2CC5">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REASONS FOR CHANGES IN BURDEN INCLUDING THE NEED FOR ANY INCREASE</w:t>
      </w:r>
    </w:p>
    <w:p w14:paraId="2C505211" w14:textId="77777777" w:rsidR="00616039" w:rsidRPr="00263B41" w:rsidRDefault="00616039" w:rsidP="00FF2CC5">
      <w:pPr>
        <w:tabs>
          <w:tab w:val="left" w:pos="720"/>
        </w:tabs>
        <w:spacing w:after="0" w:line="240" w:lineRule="auto"/>
        <w:rPr>
          <w:rFonts w:ascii="Times New Roman" w:eastAsia="Times New Roman" w:hAnsi="Times New Roman" w:cs="Times New Roman"/>
          <w:b/>
          <w:sz w:val="26"/>
          <w:szCs w:val="26"/>
        </w:rPr>
      </w:pPr>
    </w:p>
    <w:p w14:paraId="206926CD" w14:textId="32C13712" w:rsidR="00616039" w:rsidRPr="00263B41" w:rsidRDefault="00616039" w:rsidP="00FF2CC5">
      <w:pPr>
        <w:pStyle w:val="CommentText"/>
        <w:rPr>
          <w:sz w:val="26"/>
          <w:szCs w:val="26"/>
        </w:rPr>
      </w:pPr>
      <w:r w:rsidRPr="00263B41">
        <w:rPr>
          <w:sz w:val="26"/>
          <w:szCs w:val="26"/>
        </w:rPr>
        <w:t xml:space="preserve">The </w:t>
      </w:r>
      <w:r w:rsidR="000451AF" w:rsidRPr="00263B41">
        <w:rPr>
          <w:sz w:val="26"/>
          <w:szCs w:val="26"/>
        </w:rPr>
        <w:t xml:space="preserve">annual </w:t>
      </w:r>
      <w:r w:rsidRPr="00263B41">
        <w:rPr>
          <w:sz w:val="26"/>
          <w:szCs w:val="26"/>
        </w:rPr>
        <w:t xml:space="preserve">burden </w:t>
      </w:r>
      <w:r w:rsidRPr="006A43CF">
        <w:rPr>
          <w:sz w:val="26"/>
          <w:szCs w:val="26"/>
        </w:rPr>
        <w:t xml:space="preserve">hours </w:t>
      </w:r>
      <w:r w:rsidR="000451AF" w:rsidRPr="006A43CF">
        <w:rPr>
          <w:sz w:val="26"/>
          <w:szCs w:val="26"/>
        </w:rPr>
        <w:t>and annual number of respondent</w:t>
      </w:r>
      <w:r w:rsidR="00CE1038" w:rsidRPr="006A43CF">
        <w:rPr>
          <w:sz w:val="26"/>
          <w:szCs w:val="26"/>
        </w:rPr>
        <w:t xml:space="preserve">s </w:t>
      </w:r>
      <w:r w:rsidR="000451AF" w:rsidRPr="006A43CF">
        <w:rPr>
          <w:sz w:val="26"/>
          <w:szCs w:val="26"/>
        </w:rPr>
        <w:t>has</w:t>
      </w:r>
      <w:r w:rsidR="00FF2E39" w:rsidRPr="006A43CF">
        <w:rPr>
          <w:sz w:val="26"/>
          <w:szCs w:val="26"/>
        </w:rPr>
        <w:t xml:space="preserve"> decreased. </w:t>
      </w:r>
      <w:r w:rsidR="00713786" w:rsidRPr="006A43CF">
        <w:rPr>
          <w:sz w:val="26"/>
          <w:szCs w:val="26"/>
        </w:rPr>
        <w:t xml:space="preserve"> Based on recent collection activity, Commission staff adjusted the number of respond</w:t>
      </w:r>
      <w:r w:rsidR="001A1AA2" w:rsidRPr="006A43CF">
        <w:rPr>
          <w:sz w:val="26"/>
          <w:szCs w:val="26"/>
        </w:rPr>
        <w:t xml:space="preserve">ents from 12 respondents to 6 respondents annually.  </w:t>
      </w:r>
      <w:r w:rsidR="00FF2E39" w:rsidRPr="006A43CF">
        <w:rPr>
          <w:sz w:val="26"/>
          <w:szCs w:val="26"/>
        </w:rPr>
        <w:t xml:space="preserve">The reason for the </w:t>
      </w:r>
      <w:r w:rsidR="001A1AA2" w:rsidRPr="006A43CF">
        <w:rPr>
          <w:sz w:val="26"/>
          <w:szCs w:val="26"/>
        </w:rPr>
        <w:t xml:space="preserve">change </w:t>
      </w:r>
      <w:r w:rsidR="009D3D66" w:rsidRPr="006A43CF">
        <w:rPr>
          <w:sz w:val="26"/>
          <w:szCs w:val="26"/>
        </w:rPr>
        <w:t xml:space="preserve">(adjustment in estimate) </w:t>
      </w:r>
      <w:r w:rsidR="001A1AA2" w:rsidRPr="006A43CF">
        <w:rPr>
          <w:sz w:val="26"/>
          <w:szCs w:val="26"/>
        </w:rPr>
        <w:t>is industry reacting to change in natural gas markets.  This results in an estimate that is representative of actual filings received over the last three years.  The decrease is due mostly to typical fluctuation in industry activity.</w:t>
      </w:r>
      <w:r w:rsidR="00FF2E39" w:rsidRPr="006A43CF">
        <w:rPr>
          <w:sz w:val="26"/>
          <w:szCs w:val="26"/>
        </w:rPr>
        <w:t xml:space="preserve">  </w:t>
      </w:r>
    </w:p>
    <w:p w14:paraId="7D024B07" w14:textId="77777777" w:rsidR="00616039" w:rsidRPr="00263B41" w:rsidRDefault="00616039" w:rsidP="00FF2CC5">
      <w:pPr>
        <w:autoSpaceDE w:val="0"/>
        <w:autoSpaceDN w:val="0"/>
        <w:adjustRightInd w:val="0"/>
        <w:spacing w:after="0" w:line="240" w:lineRule="auto"/>
        <w:rPr>
          <w:rFonts w:ascii="Times New Roman" w:eastAsia="Times New Roman" w:hAnsi="Times New Roman" w:cs="Times New Roman"/>
          <w:sz w:val="26"/>
          <w:szCs w:val="26"/>
        </w:rPr>
      </w:pPr>
    </w:p>
    <w:p w14:paraId="5C055376" w14:textId="5E0F3CE9" w:rsidR="00616039" w:rsidRPr="00263B41" w:rsidRDefault="00616039" w:rsidP="00FF2CC5">
      <w:pPr>
        <w:widowControl w:val="0"/>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 format, labels, and definitions of the table follow the ROCIS submission system’s “Information Collection Request Summary of Burden” for the metadata.</w:t>
      </w:r>
    </w:p>
    <w:p w14:paraId="535FC2E3" w14:textId="77777777" w:rsidR="00616039" w:rsidRPr="00263B41" w:rsidRDefault="00616039" w:rsidP="00FF2CC5">
      <w:pPr>
        <w:tabs>
          <w:tab w:val="left" w:pos="2394"/>
        </w:tabs>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616039" w:rsidRPr="00263B41" w14:paraId="28B76877" w14:textId="77777777" w:rsidTr="003E6993">
        <w:trPr>
          <w:trHeight w:val="870"/>
        </w:trPr>
        <w:tc>
          <w:tcPr>
            <w:tcW w:w="144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BC46352" w14:textId="77777777" w:rsidR="00616039" w:rsidRPr="00263B41" w:rsidRDefault="00616039" w:rsidP="00952DBC">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FERC-539</w:t>
            </w:r>
          </w:p>
        </w:tc>
        <w:tc>
          <w:tcPr>
            <w:tcW w:w="82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82306FF" w14:textId="77777777" w:rsidR="00616039" w:rsidRPr="00263B41" w:rsidRDefault="00616039" w:rsidP="00952DBC">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Total Request</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2D0460B" w14:textId="77777777" w:rsidR="00616039" w:rsidRPr="00263B41" w:rsidRDefault="00616039" w:rsidP="00952DBC">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Previously Approved</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B1BF2EF" w14:textId="77777777" w:rsidR="00616039" w:rsidRPr="00263B41" w:rsidRDefault="00616039" w:rsidP="00952DBC">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Change due to Adjustment in Estimate</w:t>
            </w:r>
          </w:p>
        </w:tc>
        <w:tc>
          <w:tcPr>
            <w:tcW w:w="86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A43739F" w14:textId="77777777" w:rsidR="00616039" w:rsidRPr="006A43CF" w:rsidRDefault="00616039" w:rsidP="00952DBC">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6A43CF">
              <w:rPr>
                <w:rFonts w:ascii="Times New Roman" w:eastAsia="Times New Roman" w:hAnsi="Times New Roman" w:cs="Times New Roman"/>
                <w:b/>
                <w:sz w:val="26"/>
                <w:szCs w:val="26"/>
              </w:rPr>
              <w:t>Change Due to Agency Discretion</w:t>
            </w:r>
          </w:p>
        </w:tc>
      </w:tr>
      <w:tr w:rsidR="00616039" w:rsidRPr="00263B41" w14:paraId="79E7C60A" w14:textId="77777777" w:rsidTr="003E6993">
        <w:trPr>
          <w:trHeight w:val="591"/>
        </w:trPr>
        <w:tc>
          <w:tcPr>
            <w:tcW w:w="1442" w:type="pct"/>
            <w:tcBorders>
              <w:top w:val="single" w:sz="4" w:space="0" w:color="auto"/>
              <w:left w:val="single" w:sz="4" w:space="0" w:color="auto"/>
              <w:bottom w:val="single" w:sz="4" w:space="0" w:color="auto"/>
              <w:right w:val="single" w:sz="4" w:space="0" w:color="auto"/>
            </w:tcBorders>
            <w:hideMark/>
          </w:tcPr>
          <w:p w14:paraId="1F2F5E92" w14:textId="77777777" w:rsidR="00616039" w:rsidRPr="00263B41" w:rsidRDefault="00616039" w:rsidP="00952D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Annual Number of Responses</w:t>
            </w:r>
          </w:p>
        </w:tc>
        <w:tc>
          <w:tcPr>
            <w:tcW w:w="829" w:type="pct"/>
            <w:tcBorders>
              <w:top w:val="single" w:sz="4" w:space="0" w:color="auto"/>
              <w:left w:val="single" w:sz="4" w:space="0" w:color="auto"/>
              <w:bottom w:val="single" w:sz="4" w:space="0" w:color="auto"/>
              <w:right w:val="single" w:sz="4" w:space="0" w:color="auto"/>
            </w:tcBorders>
            <w:vAlign w:val="center"/>
            <w:hideMark/>
          </w:tcPr>
          <w:p w14:paraId="774BC97F" w14:textId="77777777" w:rsidR="00616039" w:rsidRPr="00263B41" w:rsidRDefault="000451AF"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12</w:t>
            </w:r>
          </w:p>
        </w:tc>
        <w:tc>
          <w:tcPr>
            <w:tcW w:w="854" w:type="pct"/>
            <w:tcBorders>
              <w:top w:val="single" w:sz="4" w:space="0" w:color="auto"/>
              <w:left w:val="single" w:sz="4" w:space="0" w:color="auto"/>
              <w:bottom w:val="single" w:sz="4" w:space="0" w:color="auto"/>
              <w:right w:val="single" w:sz="4" w:space="0" w:color="auto"/>
            </w:tcBorders>
            <w:vAlign w:val="center"/>
            <w:hideMark/>
          </w:tcPr>
          <w:p w14:paraId="317E11C3" w14:textId="77777777" w:rsidR="00616039" w:rsidRPr="00263B41" w:rsidRDefault="00FF2E39"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24</w:t>
            </w:r>
          </w:p>
        </w:tc>
        <w:tc>
          <w:tcPr>
            <w:tcW w:w="1010" w:type="pct"/>
            <w:tcBorders>
              <w:top w:val="single" w:sz="4" w:space="0" w:color="auto"/>
              <w:left w:val="single" w:sz="4" w:space="0" w:color="auto"/>
              <w:bottom w:val="single" w:sz="4" w:space="0" w:color="auto"/>
              <w:right w:val="single" w:sz="4" w:space="0" w:color="auto"/>
            </w:tcBorders>
            <w:vAlign w:val="center"/>
            <w:hideMark/>
          </w:tcPr>
          <w:p w14:paraId="4C7C2CCC" w14:textId="06E63797" w:rsidR="00616039" w:rsidRPr="00263B41" w:rsidRDefault="0052130E"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865" w:type="pct"/>
            <w:tcBorders>
              <w:top w:val="single" w:sz="4" w:space="0" w:color="auto"/>
              <w:left w:val="single" w:sz="4" w:space="0" w:color="auto"/>
              <w:bottom w:val="single" w:sz="4" w:space="0" w:color="auto"/>
              <w:right w:val="single" w:sz="4" w:space="0" w:color="auto"/>
            </w:tcBorders>
            <w:vAlign w:val="center"/>
            <w:hideMark/>
          </w:tcPr>
          <w:p w14:paraId="52CF6879" w14:textId="4B03A4B4" w:rsidR="00616039" w:rsidRPr="006A43CF" w:rsidRDefault="0052130E"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6A43CF">
              <w:rPr>
                <w:rFonts w:ascii="Times New Roman" w:eastAsia="Times New Roman" w:hAnsi="Times New Roman" w:cs="Times New Roman"/>
                <w:sz w:val="26"/>
                <w:szCs w:val="26"/>
              </w:rPr>
              <w:t>0</w:t>
            </w:r>
          </w:p>
        </w:tc>
      </w:tr>
      <w:tr w:rsidR="00616039" w:rsidRPr="00263B41" w14:paraId="17F56BCE" w14:textId="77777777" w:rsidTr="003E6993">
        <w:trPr>
          <w:trHeight w:val="575"/>
        </w:trPr>
        <w:tc>
          <w:tcPr>
            <w:tcW w:w="1442" w:type="pct"/>
            <w:tcBorders>
              <w:top w:val="single" w:sz="4" w:space="0" w:color="auto"/>
              <w:left w:val="single" w:sz="4" w:space="0" w:color="auto"/>
              <w:bottom w:val="single" w:sz="4" w:space="0" w:color="auto"/>
              <w:right w:val="single" w:sz="4" w:space="0" w:color="auto"/>
            </w:tcBorders>
            <w:hideMark/>
          </w:tcPr>
          <w:p w14:paraId="4BA576E7" w14:textId="77777777" w:rsidR="00616039" w:rsidRPr="00263B41" w:rsidRDefault="00616039" w:rsidP="00952D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Annual Time Burden (Hours)</w:t>
            </w:r>
          </w:p>
        </w:tc>
        <w:tc>
          <w:tcPr>
            <w:tcW w:w="829" w:type="pct"/>
            <w:tcBorders>
              <w:top w:val="single" w:sz="4" w:space="0" w:color="auto"/>
              <w:left w:val="single" w:sz="4" w:space="0" w:color="auto"/>
              <w:bottom w:val="single" w:sz="4" w:space="0" w:color="auto"/>
              <w:right w:val="single" w:sz="4" w:space="0" w:color="auto"/>
            </w:tcBorders>
            <w:vAlign w:val="center"/>
            <w:hideMark/>
          </w:tcPr>
          <w:p w14:paraId="25CF4CC4" w14:textId="77777777" w:rsidR="00616039" w:rsidRPr="00263B41" w:rsidRDefault="000451AF"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180</w:t>
            </w:r>
          </w:p>
        </w:tc>
        <w:tc>
          <w:tcPr>
            <w:tcW w:w="854" w:type="pct"/>
            <w:tcBorders>
              <w:top w:val="single" w:sz="4" w:space="0" w:color="auto"/>
              <w:left w:val="single" w:sz="4" w:space="0" w:color="auto"/>
              <w:bottom w:val="single" w:sz="4" w:space="0" w:color="auto"/>
              <w:right w:val="single" w:sz="4" w:space="0" w:color="auto"/>
            </w:tcBorders>
            <w:vAlign w:val="center"/>
            <w:hideMark/>
          </w:tcPr>
          <w:p w14:paraId="1CC0D4AC" w14:textId="77777777" w:rsidR="00616039" w:rsidRPr="00263B41" w:rsidRDefault="00FF2E39"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288</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CAB7951" w14:textId="3A435891" w:rsidR="00616039" w:rsidRPr="00263B41" w:rsidRDefault="0052130E"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-108</w:t>
            </w:r>
          </w:p>
        </w:tc>
        <w:tc>
          <w:tcPr>
            <w:tcW w:w="865" w:type="pct"/>
            <w:tcBorders>
              <w:top w:val="single" w:sz="4" w:space="0" w:color="auto"/>
              <w:left w:val="single" w:sz="4" w:space="0" w:color="auto"/>
              <w:bottom w:val="single" w:sz="4" w:space="0" w:color="auto"/>
              <w:right w:val="single" w:sz="4" w:space="0" w:color="auto"/>
            </w:tcBorders>
            <w:vAlign w:val="center"/>
            <w:hideMark/>
          </w:tcPr>
          <w:p w14:paraId="4959E00F" w14:textId="498E334F" w:rsidR="00616039" w:rsidRPr="006A43CF" w:rsidRDefault="0052130E"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6A43CF">
              <w:rPr>
                <w:rFonts w:ascii="Times New Roman" w:eastAsia="Times New Roman" w:hAnsi="Times New Roman" w:cs="Times New Roman"/>
                <w:sz w:val="26"/>
                <w:szCs w:val="26"/>
              </w:rPr>
              <w:t>0</w:t>
            </w:r>
          </w:p>
        </w:tc>
      </w:tr>
      <w:tr w:rsidR="00616039" w:rsidRPr="00263B41" w14:paraId="6632E4AB" w14:textId="77777777" w:rsidTr="003E6993">
        <w:trPr>
          <w:trHeight w:val="295"/>
        </w:trPr>
        <w:tc>
          <w:tcPr>
            <w:tcW w:w="1442" w:type="pct"/>
            <w:tcBorders>
              <w:top w:val="single" w:sz="4" w:space="0" w:color="auto"/>
              <w:left w:val="single" w:sz="4" w:space="0" w:color="auto"/>
              <w:bottom w:val="single" w:sz="4" w:space="0" w:color="auto"/>
              <w:right w:val="single" w:sz="4" w:space="0" w:color="auto"/>
            </w:tcBorders>
            <w:hideMark/>
          </w:tcPr>
          <w:p w14:paraId="3D3574D5" w14:textId="77777777" w:rsidR="00616039" w:rsidRPr="00263B41" w:rsidRDefault="00616039" w:rsidP="00952DBC">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Annual Cost Burden ($)</w:t>
            </w:r>
          </w:p>
        </w:tc>
        <w:tc>
          <w:tcPr>
            <w:tcW w:w="829" w:type="pct"/>
            <w:tcBorders>
              <w:top w:val="single" w:sz="4" w:space="0" w:color="auto"/>
              <w:left w:val="single" w:sz="4" w:space="0" w:color="auto"/>
              <w:bottom w:val="single" w:sz="4" w:space="0" w:color="auto"/>
              <w:right w:val="single" w:sz="4" w:space="0" w:color="auto"/>
            </w:tcBorders>
            <w:vAlign w:val="center"/>
            <w:hideMark/>
          </w:tcPr>
          <w:p w14:paraId="46CFF5A8" w14:textId="77777777" w:rsidR="00616039" w:rsidRPr="00263B41" w:rsidRDefault="00616039"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$0</w:t>
            </w:r>
          </w:p>
        </w:tc>
        <w:tc>
          <w:tcPr>
            <w:tcW w:w="854" w:type="pct"/>
            <w:tcBorders>
              <w:top w:val="single" w:sz="4" w:space="0" w:color="auto"/>
              <w:left w:val="single" w:sz="4" w:space="0" w:color="auto"/>
              <w:bottom w:val="single" w:sz="4" w:space="0" w:color="auto"/>
              <w:right w:val="single" w:sz="4" w:space="0" w:color="auto"/>
            </w:tcBorders>
            <w:vAlign w:val="center"/>
            <w:hideMark/>
          </w:tcPr>
          <w:p w14:paraId="3310058C" w14:textId="77777777" w:rsidR="00616039" w:rsidRPr="00263B41" w:rsidRDefault="00616039"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$0</w:t>
            </w:r>
          </w:p>
        </w:tc>
        <w:tc>
          <w:tcPr>
            <w:tcW w:w="1010" w:type="pct"/>
            <w:tcBorders>
              <w:top w:val="single" w:sz="4" w:space="0" w:color="auto"/>
              <w:left w:val="single" w:sz="4" w:space="0" w:color="auto"/>
              <w:bottom w:val="single" w:sz="4" w:space="0" w:color="auto"/>
              <w:right w:val="single" w:sz="4" w:space="0" w:color="auto"/>
            </w:tcBorders>
            <w:vAlign w:val="center"/>
            <w:hideMark/>
          </w:tcPr>
          <w:p w14:paraId="08B1ABB2" w14:textId="77777777" w:rsidR="00616039" w:rsidRPr="00263B41" w:rsidRDefault="00616039"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$0</w:t>
            </w:r>
          </w:p>
        </w:tc>
        <w:tc>
          <w:tcPr>
            <w:tcW w:w="865" w:type="pct"/>
            <w:tcBorders>
              <w:top w:val="single" w:sz="4" w:space="0" w:color="auto"/>
              <w:left w:val="single" w:sz="4" w:space="0" w:color="auto"/>
              <w:bottom w:val="single" w:sz="4" w:space="0" w:color="auto"/>
              <w:right w:val="single" w:sz="4" w:space="0" w:color="auto"/>
            </w:tcBorders>
            <w:vAlign w:val="center"/>
            <w:hideMark/>
          </w:tcPr>
          <w:p w14:paraId="23148B5B" w14:textId="77777777" w:rsidR="00616039" w:rsidRPr="00263B41" w:rsidRDefault="00616039" w:rsidP="00952DBC">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$0</w:t>
            </w:r>
          </w:p>
        </w:tc>
      </w:tr>
    </w:tbl>
    <w:p w14:paraId="1D2AE85B" w14:textId="77777777" w:rsidR="00616039" w:rsidRPr="00263B41" w:rsidRDefault="00616039" w:rsidP="00FF2CC5">
      <w:pPr>
        <w:tabs>
          <w:tab w:val="left" w:pos="720"/>
        </w:tabs>
        <w:spacing w:after="0" w:line="240" w:lineRule="auto"/>
        <w:rPr>
          <w:rFonts w:ascii="Times New Roman" w:eastAsia="Times New Roman" w:hAnsi="Times New Roman" w:cs="Times New Roman"/>
          <w:b/>
          <w:sz w:val="26"/>
          <w:szCs w:val="26"/>
        </w:rPr>
      </w:pPr>
    </w:p>
    <w:p w14:paraId="1220B83D" w14:textId="77777777" w:rsidR="00616039" w:rsidRPr="00263B41" w:rsidRDefault="00616039" w:rsidP="00FF2CC5">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TIME SCHEDULE FOR PUBLICATION OF DATA</w:t>
      </w:r>
    </w:p>
    <w:p w14:paraId="0C48B316" w14:textId="77777777" w:rsidR="00616039" w:rsidRPr="00263B41" w:rsidRDefault="00616039" w:rsidP="00FF2CC5">
      <w:pPr>
        <w:tabs>
          <w:tab w:val="left" w:pos="720"/>
        </w:tabs>
        <w:spacing w:after="0" w:line="240" w:lineRule="auto"/>
        <w:rPr>
          <w:rFonts w:ascii="Times New Roman" w:eastAsia="Times New Roman" w:hAnsi="Times New Roman" w:cs="Times New Roman"/>
          <w:b/>
          <w:sz w:val="26"/>
          <w:szCs w:val="26"/>
        </w:rPr>
      </w:pPr>
    </w:p>
    <w:p w14:paraId="5C0B0BF0" w14:textId="1E0D127B" w:rsidR="00616039" w:rsidRPr="00263B41" w:rsidRDefault="00616039" w:rsidP="00FF2CC5">
      <w:pPr>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 xml:space="preserve">There </w:t>
      </w:r>
      <w:r w:rsidR="00263B41">
        <w:rPr>
          <w:rFonts w:ascii="Times New Roman" w:eastAsia="Times New Roman" w:hAnsi="Times New Roman" w:cs="Times New Roman"/>
          <w:sz w:val="26"/>
          <w:szCs w:val="26"/>
        </w:rPr>
        <w:t xml:space="preserve">is </w:t>
      </w:r>
      <w:r w:rsidRPr="00263B41">
        <w:rPr>
          <w:rFonts w:ascii="Times New Roman" w:eastAsia="Times New Roman" w:hAnsi="Times New Roman" w:cs="Times New Roman"/>
          <w:sz w:val="26"/>
          <w:szCs w:val="26"/>
        </w:rPr>
        <w:t xml:space="preserve">no publication </w:t>
      </w:r>
      <w:r w:rsidR="005656E0" w:rsidRPr="00263B41">
        <w:rPr>
          <w:rFonts w:ascii="Times New Roman" w:eastAsia="Times New Roman" w:hAnsi="Times New Roman" w:cs="Times New Roman"/>
          <w:sz w:val="26"/>
          <w:szCs w:val="26"/>
        </w:rPr>
        <w:t>of data associated with FERC-539 information</w:t>
      </w:r>
      <w:r w:rsidRPr="00263B41">
        <w:rPr>
          <w:rFonts w:ascii="Times New Roman" w:eastAsia="Times New Roman" w:hAnsi="Times New Roman" w:cs="Times New Roman"/>
          <w:sz w:val="26"/>
          <w:szCs w:val="26"/>
        </w:rPr>
        <w:t>.</w:t>
      </w:r>
    </w:p>
    <w:p w14:paraId="2ED5D1D4" w14:textId="77777777" w:rsidR="00616039" w:rsidRPr="00263B41" w:rsidRDefault="00616039" w:rsidP="00FF2CC5">
      <w:pPr>
        <w:tabs>
          <w:tab w:val="left" w:pos="720"/>
        </w:tabs>
        <w:spacing w:after="0" w:line="240" w:lineRule="auto"/>
        <w:rPr>
          <w:rFonts w:ascii="Times New Roman" w:eastAsia="Times New Roman" w:hAnsi="Times New Roman" w:cs="Times New Roman"/>
          <w:b/>
          <w:sz w:val="26"/>
          <w:szCs w:val="26"/>
        </w:rPr>
      </w:pPr>
    </w:p>
    <w:p w14:paraId="5BDF6B1C" w14:textId="77777777" w:rsidR="00616039" w:rsidRPr="00263B41" w:rsidRDefault="00616039" w:rsidP="00FF2CC5">
      <w:pPr>
        <w:widowControl w:val="0"/>
        <w:numPr>
          <w:ilvl w:val="0"/>
          <w:numId w:val="2"/>
        </w:numPr>
        <w:tabs>
          <w:tab w:val="left" w:pos="720"/>
        </w:tabs>
        <w:autoSpaceDE w:val="0"/>
        <w:autoSpaceDN w:val="0"/>
        <w:adjustRightInd w:val="0"/>
        <w:spacing w:after="0" w:line="240" w:lineRule="auto"/>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DISPLAY OF EXPIRATION DATE</w:t>
      </w:r>
    </w:p>
    <w:p w14:paraId="251CFABF" w14:textId="77777777" w:rsidR="00616039" w:rsidRPr="00263B41" w:rsidRDefault="00616039" w:rsidP="00FF2CC5">
      <w:pPr>
        <w:tabs>
          <w:tab w:val="left" w:pos="720"/>
        </w:tabs>
        <w:spacing w:after="0" w:line="240" w:lineRule="auto"/>
        <w:rPr>
          <w:rFonts w:ascii="Times New Roman" w:eastAsia="Times New Roman" w:hAnsi="Times New Roman" w:cs="Times New Roman"/>
          <w:b/>
          <w:sz w:val="26"/>
          <w:szCs w:val="26"/>
        </w:rPr>
      </w:pPr>
    </w:p>
    <w:p w14:paraId="2F0A2645" w14:textId="3DE0A24D" w:rsidR="00616039" w:rsidRPr="00263B41" w:rsidRDefault="00616039" w:rsidP="00863034">
      <w:pPr>
        <w:tabs>
          <w:tab w:val="left" w:pos="720"/>
        </w:tabs>
        <w:spacing w:after="0" w:line="240" w:lineRule="auto"/>
        <w:rPr>
          <w:rFonts w:ascii="Times New Roman" w:eastAsia="Times New Roman" w:hAnsi="Times New Roman" w:cs="Times New Roman"/>
          <w:b/>
          <w:sz w:val="26"/>
          <w:szCs w:val="26"/>
        </w:rPr>
      </w:pPr>
      <w:r w:rsidRPr="00263B41">
        <w:rPr>
          <w:rFonts w:ascii="Times New Roman" w:eastAsia="Times New Roman" w:hAnsi="Times New Roman" w:cs="Times New Roman"/>
          <w:sz w:val="26"/>
          <w:szCs w:val="26"/>
        </w:rPr>
        <w:t>The expiration date</w:t>
      </w:r>
      <w:r w:rsidR="005656E0" w:rsidRPr="00263B41">
        <w:rPr>
          <w:rFonts w:ascii="Times New Roman" w:eastAsia="Times New Roman" w:hAnsi="Times New Roman" w:cs="Times New Roman"/>
          <w:sz w:val="26"/>
          <w:szCs w:val="26"/>
        </w:rPr>
        <w:t>s</w:t>
      </w:r>
      <w:r w:rsidRPr="00263B41">
        <w:rPr>
          <w:rFonts w:ascii="Times New Roman" w:eastAsia="Times New Roman" w:hAnsi="Times New Roman" w:cs="Times New Roman"/>
          <w:sz w:val="26"/>
          <w:szCs w:val="26"/>
        </w:rPr>
        <w:t xml:space="preserve"> </w:t>
      </w:r>
      <w:r w:rsidR="005656E0" w:rsidRPr="00263B41">
        <w:rPr>
          <w:rFonts w:ascii="Times New Roman" w:eastAsia="Times New Roman" w:hAnsi="Times New Roman" w:cs="Times New Roman"/>
          <w:sz w:val="26"/>
          <w:szCs w:val="26"/>
        </w:rPr>
        <w:t xml:space="preserve">are available </w:t>
      </w:r>
      <w:r w:rsidRPr="00263B41">
        <w:rPr>
          <w:rFonts w:ascii="Times New Roman" w:eastAsia="Times New Roman" w:hAnsi="Times New Roman" w:cs="Times New Roman"/>
          <w:sz w:val="26"/>
          <w:szCs w:val="26"/>
        </w:rPr>
        <w:t xml:space="preserve">at </w:t>
      </w:r>
      <w:hyperlink r:id="rId15" w:history="1">
        <w:r w:rsidRPr="00263B41">
          <w:rPr>
            <w:rFonts w:ascii="Times New Roman" w:eastAsia="Times New Roman" w:hAnsi="Times New Roman" w:cs="Times New Roman"/>
            <w:color w:val="0000FF"/>
            <w:sz w:val="26"/>
            <w:szCs w:val="26"/>
            <w:u w:val="single"/>
          </w:rPr>
          <w:t>http://www.ferc.gov/docs-filing/info-collections.asp</w:t>
        </w:r>
      </w:hyperlink>
      <w:r w:rsidRPr="00263B41">
        <w:rPr>
          <w:rFonts w:ascii="Times New Roman" w:eastAsia="Times New Roman" w:hAnsi="Times New Roman" w:cs="Times New Roman"/>
          <w:sz w:val="26"/>
          <w:szCs w:val="26"/>
        </w:rPr>
        <w:t xml:space="preserve"> .</w:t>
      </w:r>
    </w:p>
    <w:p w14:paraId="336AF53E" w14:textId="77777777" w:rsidR="00616039" w:rsidRPr="00263B41" w:rsidRDefault="00616039" w:rsidP="00863034">
      <w:pPr>
        <w:widowControl w:val="0"/>
        <w:numPr>
          <w:ilvl w:val="0"/>
          <w:numId w:val="2"/>
        </w:numPr>
        <w:autoSpaceDE w:val="0"/>
        <w:autoSpaceDN w:val="0"/>
        <w:adjustRightInd w:val="0"/>
        <w:spacing w:after="0" w:line="240" w:lineRule="auto"/>
        <w:ind w:hanging="720"/>
        <w:rPr>
          <w:rFonts w:ascii="Times New Roman" w:eastAsia="Times New Roman" w:hAnsi="Times New Roman" w:cs="Times New Roman"/>
          <w:b/>
          <w:sz w:val="26"/>
          <w:szCs w:val="26"/>
        </w:rPr>
      </w:pPr>
      <w:r w:rsidRPr="00263B41">
        <w:rPr>
          <w:rFonts w:ascii="Times New Roman" w:eastAsia="Times New Roman" w:hAnsi="Times New Roman" w:cs="Times New Roman"/>
          <w:b/>
          <w:sz w:val="26"/>
          <w:szCs w:val="26"/>
        </w:rPr>
        <w:t>EXCEPTIONS TO THE CERTIFICATION STATEMENT</w:t>
      </w:r>
    </w:p>
    <w:p w14:paraId="294F0CA3" w14:textId="77777777" w:rsidR="00616039" w:rsidRPr="00263B41" w:rsidRDefault="00616039" w:rsidP="00863034">
      <w:pPr>
        <w:autoSpaceDE w:val="0"/>
        <w:autoSpaceDN w:val="0"/>
        <w:adjustRightInd w:val="0"/>
        <w:spacing w:after="0" w:line="240" w:lineRule="auto"/>
        <w:ind w:left="720"/>
        <w:rPr>
          <w:rFonts w:ascii="Times New Roman" w:eastAsia="Times New Roman" w:hAnsi="Times New Roman" w:cs="Times New Roman"/>
          <w:b/>
          <w:sz w:val="26"/>
          <w:szCs w:val="26"/>
        </w:rPr>
      </w:pPr>
    </w:p>
    <w:p w14:paraId="58A49D22" w14:textId="77777777" w:rsidR="00616039" w:rsidRPr="00263B41" w:rsidRDefault="00616039" w:rsidP="00863034">
      <w:pPr>
        <w:autoSpaceDE w:val="0"/>
        <w:autoSpaceDN w:val="0"/>
        <w:adjustRightInd w:val="0"/>
        <w:spacing w:after="0" w:line="240" w:lineRule="auto"/>
        <w:rPr>
          <w:rFonts w:ascii="Times New Roman" w:eastAsia="Times New Roman" w:hAnsi="Times New Roman" w:cs="Times New Roman"/>
          <w:sz w:val="26"/>
          <w:szCs w:val="26"/>
        </w:rPr>
      </w:pPr>
      <w:r w:rsidRPr="00263B41">
        <w:rPr>
          <w:rFonts w:ascii="Times New Roman" w:eastAsia="Times New Roman" w:hAnsi="Times New Roman" w:cs="Times New Roman"/>
          <w:sz w:val="26"/>
          <w:szCs w:val="26"/>
        </w:rPr>
        <w:t>There are no exceptions.</w:t>
      </w:r>
    </w:p>
    <w:p w14:paraId="3E2D0BFA" w14:textId="77777777" w:rsidR="00616039" w:rsidRPr="00263B41" w:rsidRDefault="00616039" w:rsidP="00CD1350">
      <w:pPr>
        <w:widowControl w:val="0"/>
        <w:autoSpaceDE w:val="0"/>
        <w:autoSpaceDN w:val="0"/>
        <w:adjustRightInd w:val="0"/>
        <w:spacing w:after="0" w:line="240" w:lineRule="auto"/>
        <w:rPr>
          <w:rFonts w:ascii="Times New Roman" w:eastAsia="Times New Roman" w:hAnsi="Times New Roman" w:cs="Times New Roman"/>
          <w:sz w:val="26"/>
          <w:szCs w:val="26"/>
        </w:rPr>
      </w:pPr>
    </w:p>
    <w:p w14:paraId="61313B80" w14:textId="77777777" w:rsidR="00E704E3" w:rsidRPr="00263B41" w:rsidRDefault="00E704E3">
      <w:pPr>
        <w:rPr>
          <w:rFonts w:ascii="Times New Roman" w:hAnsi="Times New Roman" w:cs="Times New Roman"/>
          <w:sz w:val="26"/>
          <w:szCs w:val="26"/>
        </w:rPr>
      </w:pPr>
    </w:p>
    <w:sectPr w:rsidR="00E704E3" w:rsidRPr="00263B41" w:rsidSect="0052130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698BA" w14:textId="77777777" w:rsidR="00ED0667" w:rsidRDefault="00ED0667" w:rsidP="00616039">
      <w:pPr>
        <w:spacing w:after="0" w:line="240" w:lineRule="auto"/>
      </w:pPr>
      <w:r>
        <w:separator/>
      </w:r>
    </w:p>
  </w:endnote>
  <w:endnote w:type="continuationSeparator" w:id="0">
    <w:p w14:paraId="4082A2C4" w14:textId="77777777" w:rsidR="00ED0667" w:rsidRDefault="00ED0667" w:rsidP="0061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BEAF7" w14:textId="77777777" w:rsidR="0052130E" w:rsidRDefault="00521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5352" w14:textId="77777777" w:rsidR="00FF2CC5" w:rsidRDefault="00FF2CC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0D43F1">
      <w:rPr>
        <w:caps/>
        <w:noProof/>
        <w:color w:val="4472C4" w:themeColor="accent1"/>
      </w:rPr>
      <w:t>1</w:t>
    </w:r>
    <w:r>
      <w:rPr>
        <w:caps/>
        <w:noProof/>
        <w:color w:val="4472C4" w:themeColor="accent1"/>
      </w:rPr>
      <w:fldChar w:fldCharType="end"/>
    </w:r>
  </w:p>
  <w:p w14:paraId="6C46E207" w14:textId="77777777" w:rsidR="00DE010E" w:rsidRDefault="000D4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6F7FF" w14:textId="77777777" w:rsidR="0052130E" w:rsidRDefault="00521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A6357" w14:textId="77777777" w:rsidR="00ED0667" w:rsidRDefault="00ED0667" w:rsidP="00616039">
      <w:pPr>
        <w:spacing w:after="0" w:line="240" w:lineRule="auto"/>
      </w:pPr>
      <w:r>
        <w:separator/>
      </w:r>
    </w:p>
  </w:footnote>
  <w:footnote w:type="continuationSeparator" w:id="0">
    <w:p w14:paraId="49417D9D" w14:textId="77777777" w:rsidR="00ED0667" w:rsidRDefault="00ED0667" w:rsidP="00616039">
      <w:pPr>
        <w:spacing w:after="0" w:line="240" w:lineRule="auto"/>
      </w:pPr>
      <w:r>
        <w:continuationSeparator/>
      </w:r>
    </w:p>
  </w:footnote>
  <w:footnote w:id="1">
    <w:p w14:paraId="3614CD71" w14:textId="77777777" w:rsidR="00616039" w:rsidRPr="00616039" w:rsidRDefault="00616039" w:rsidP="00616039">
      <w:pPr>
        <w:pStyle w:val="FootnoteText"/>
        <w:rPr>
          <w:sz w:val="26"/>
          <w:szCs w:val="26"/>
        </w:rPr>
      </w:pPr>
      <w:r w:rsidRPr="00616039">
        <w:rPr>
          <w:rStyle w:val="FootnoteReference"/>
          <w:sz w:val="26"/>
          <w:szCs w:val="26"/>
          <w:vertAlign w:val="superscript"/>
        </w:rPr>
        <w:footnoteRef/>
      </w:r>
      <w:r w:rsidRPr="00616039">
        <w:rPr>
          <w:sz w:val="26"/>
          <w:szCs w:val="26"/>
          <w:vertAlign w:val="superscript"/>
        </w:rPr>
        <w:t xml:space="preserve"> </w:t>
      </w:r>
      <w:r w:rsidRPr="00616039">
        <w:rPr>
          <w:sz w:val="26"/>
          <w:szCs w:val="26"/>
        </w:rPr>
        <w:t>On 10/29/2019, FERC submitted a request to OMB for an emergency extension. On 10/31/2019, OMB granted a 2-month extension for FERC-539.</w:t>
      </w:r>
    </w:p>
  </w:footnote>
  <w:footnote w:id="2">
    <w:p w14:paraId="571A30CE" w14:textId="77777777" w:rsidR="00616039" w:rsidRPr="00616039" w:rsidRDefault="00616039" w:rsidP="00616039">
      <w:pPr>
        <w:pStyle w:val="FootnoteText"/>
        <w:rPr>
          <w:sz w:val="26"/>
          <w:szCs w:val="26"/>
        </w:rPr>
      </w:pPr>
      <w:r w:rsidRPr="00616039">
        <w:rPr>
          <w:rStyle w:val="FootnoteReference"/>
          <w:b/>
          <w:sz w:val="26"/>
          <w:szCs w:val="26"/>
          <w:vertAlign w:val="superscript"/>
        </w:rPr>
        <w:footnoteRef/>
      </w:r>
      <w:r w:rsidRPr="00616039">
        <w:rPr>
          <w:sz w:val="26"/>
          <w:szCs w:val="26"/>
        </w:rPr>
        <w:t xml:space="preserve"> </w:t>
      </w:r>
      <w:r w:rsidRPr="00616039">
        <w:rPr>
          <w:bCs/>
          <w:sz w:val="26"/>
          <w:szCs w:val="26"/>
        </w:rPr>
        <w:t>15 U.S.C. 717-717w</w:t>
      </w:r>
    </w:p>
  </w:footnote>
  <w:footnote w:id="3">
    <w:p w14:paraId="22CF36FD" w14:textId="25143F5B" w:rsidR="00616039" w:rsidRPr="00616039" w:rsidRDefault="00616039" w:rsidP="00616039">
      <w:pPr>
        <w:tabs>
          <w:tab w:val="left" w:pos="1800"/>
        </w:tabs>
        <w:rPr>
          <w:rFonts w:ascii="Times New Roman" w:hAnsi="Times New Roman" w:cs="Times New Roman"/>
          <w:sz w:val="26"/>
          <w:szCs w:val="26"/>
        </w:rPr>
      </w:pPr>
      <w:r w:rsidRPr="00616039">
        <w:rPr>
          <w:rStyle w:val="FootnoteReference"/>
          <w:rFonts w:ascii="Times New Roman" w:hAnsi="Times New Roman" w:cs="Times New Roman"/>
          <w:b/>
          <w:sz w:val="26"/>
          <w:szCs w:val="26"/>
          <w:vertAlign w:val="superscript"/>
        </w:rPr>
        <w:footnoteRef/>
      </w:r>
      <w:r w:rsidRPr="00616039">
        <w:rPr>
          <w:rFonts w:ascii="Times New Roman" w:hAnsi="Times New Roman" w:cs="Times New Roman"/>
          <w:sz w:val="26"/>
          <w:szCs w:val="26"/>
          <w:vertAlign w:val="superscript"/>
        </w:rPr>
        <w:t xml:space="preserve"> </w:t>
      </w:r>
      <w:r w:rsidR="009C627B">
        <w:rPr>
          <w:rFonts w:ascii="Times New Roman" w:hAnsi="Times New Roman" w:cs="Times New Roman"/>
          <w:sz w:val="26"/>
          <w:szCs w:val="26"/>
        </w:rPr>
        <w:t xml:space="preserve">The </w:t>
      </w:r>
      <w:r w:rsidRPr="00616039">
        <w:rPr>
          <w:rFonts w:ascii="Times New Roman" w:hAnsi="Times New Roman" w:cs="Times New Roman"/>
          <w:sz w:val="26"/>
          <w:szCs w:val="26"/>
        </w:rPr>
        <w:t xml:space="preserve">Secretary of DOE’s current delegation of authority to the Commission relating to import and export facilities was renewed by the Secretary’s Delegation Order No. 00-004.00A, effective May 16, 2006.   </w:t>
      </w:r>
    </w:p>
    <w:p w14:paraId="027D4DD3" w14:textId="77777777" w:rsidR="00616039" w:rsidRDefault="00616039" w:rsidP="00616039">
      <w:pPr>
        <w:pStyle w:val="FootnoteText"/>
      </w:pPr>
    </w:p>
  </w:footnote>
  <w:footnote w:id="4">
    <w:p w14:paraId="1C1F36D3" w14:textId="77777777" w:rsidR="00616039" w:rsidRPr="00263B41" w:rsidRDefault="00616039" w:rsidP="00616039">
      <w:pPr>
        <w:pStyle w:val="FootnoteText"/>
        <w:rPr>
          <w:sz w:val="26"/>
          <w:szCs w:val="26"/>
        </w:rPr>
      </w:pPr>
      <w:r w:rsidRPr="003E6993">
        <w:rPr>
          <w:rStyle w:val="FootnoteReference"/>
          <w:b/>
          <w:vertAlign w:val="superscript"/>
        </w:rPr>
        <w:footnoteRef/>
      </w:r>
      <w:r w:rsidRPr="003E6993">
        <w:rPr>
          <w:b/>
          <w:sz w:val="24"/>
          <w:szCs w:val="24"/>
          <w:vertAlign w:val="superscript"/>
        </w:rPr>
        <w:t xml:space="preserve"> </w:t>
      </w:r>
      <w:r w:rsidRPr="00263B41">
        <w:rPr>
          <w:sz w:val="26"/>
          <w:szCs w:val="26"/>
        </w:rPr>
        <w:t>84 FR 46005</w:t>
      </w:r>
    </w:p>
  </w:footnote>
  <w:footnote w:id="5">
    <w:p w14:paraId="748705B5" w14:textId="77777777" w:rsidR="00616039" w:rsidRDefault="00616039" w:rsidP="00616039">
      <w:pPr>
        <w:pStyle w:val="FootnoteText"/>
      </w:pPr>
      <w:r w:rsidRPr="00263B41">
        <w:rPr>
          <w:rStyle w:val="FootnoteReference"/>
          <w:b/>
          <w:sz w:val="26"/>
          <w:szCs w:val="26"/>
          <w:vertAlign w:val="superscript"/>
        </w:rPr>
        <w:footnoteRef/>
      </w:r>
      <w:r w:rsidRPr="00263B41">
        <w:rPr>
          <w:sz w:val="26"/>
          <w:szCs w:val="26"/>
          <w:vertAlign w:val="superscript"/>
        </w:rPr>
        <w:t xml:space="preserve"> </w:t>
      </w:r>
      <w:r w:rsidRPr="00263B41">
        <w:rPr>
          <w:sz w:val="26"/>
          <w:szCs w:val="26"/>
        </w:rPr>
        <w:t>84 FR 62529</w:t>
      </w:r>
    </w:p>
  </w:footnote>
  <w:footnote w:id="6">
    <w:p w14:paraId="1C7F2DB8" w14:textId="77777777" w:rsidR="00FF2CC5" w:rsidRPr="00E2685C" w:rsidRDefault="00FF2CC5" w:rsidP="00FF2CC5">
      <w:pPr>
        <w:spacing w:after="0" w:line="240" w:lineRule="auto"/>
        <w:rPr>
          <w:sz w:val="26"/>
          <w:szCs w:val="26"/>
        </w:rPr>
      </w:pPr>
      <w:r w:rsidRPr="00F72501">
        <w:rPr>
          <w:rStyle w:val="FootnoteReference"/>
          <w:rFonts w:ascii="Times New Roman" w:hAnsi="Times New Roman" w:cs="Times New Roman"/>
          <w:b/>
          <w:sz w:val="26"/>
          <w:szCs w:val="26"/>
          <w:vertAlign w:val="superscript"/>
        </w:rPr>
        <w:footnoteRef/>
      </w:r>
      <w:r w:rsidRPr="00F72501">
        <w:rPr>
          <w:rFonts w:ascii="Times New Roman" w:hAnsi="Times New Roman" w:cs="Times New Roman"/>
          <w:sz w:val="26"/>
          <w:szCs w:val="26"/>
        </w:rPr>
        <w:t xml:space="preserve"> The Commission staff estimates that industry is similarly situated in terms of </w:t>
      </w:r>
      <w:r w:rsidRPr="002A0F0C">
        <w:rPr>
          <w:rFonts w:ascii="Times New Roman" w:hAnsi="Times New Roman" w:cs="Times New Roman"/>
          <w:sz w:val="26"/>
          <w:szCs w:val="26"/>
        </w:rPr>
        <w:t xml:space="preserve">hourly cost (for wages plus benefits). Based on the Commission’s FY (Fiscal Year) 2019 </w:t>
      </w:r>
      <w:r w:rsidRPr="00F72501">
        <w:rPr>
          <w:rFonts w:ascii="Times New Roman" w:hAnsi="Times New Roman" w:cs="Times New Roman"/>
          <w:sz w:val="26"/>
          <w:szCs w:val="26"/>
        </w:rPr>
        <w:t>average cost (for wages plus benefits), $80.00/hour is used.</w:t>
      </w:r>
    </w:p>
  </w:footnote>
  <w:footnote w:id="7">
    <w:p w14:paraId="117B62EC" w14:textId="77777777" w:rsidR="00616039" w:rsidRPr="00E2685C" w:rsidRDefault="00616039" w:rsidP="00E2685C">
      <w:pPr>
        <w:spacing w:after="0"/>
        <w:rPr>
          <w:rFonts w:ascii="Times New Roman" w:hAnsi="Times New Roman" w:cs="Times New Roman"/>
          <w:sz w:val="26"/>
          <w:szCs w:val="26"/>
        </w:rPr>
      </w:pPr>
      <w:r w:rsidRPr="00E2685C">
        <w:rPr>
          <w:rStyle w:val="FootnoteReference"/>
          <w:rFonts w:ascii="Times New Roman" w:hAnsi="Times New Roman" w:cs="Times New Roman"/>
          <w:b/>
          <w:sz w:val="26"/>
          <w:szCs w:val="26"/>
          <w:vertAlign w:val="superscript"/>
        </w:rPr>
        <w:footnoteRef/>
      </w:r>
      <w:r w:rsidRPr="00E2685C">
        <w:rPr>
          <w:rFonts w:ascii="Times New Roman" w:hAnsi="Times New Roman" w:cs="Times New Roman"/>
          <w:sz w:val="26"/>
          <w:szCs w:val="26"/>
        </w:rPr>
        <w:t xml:space="preserve"> Based upon 2019 FERC FTE average annual salary plus benefits ($167,091).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13551" w14:textId="77777777" w:rsidR="0052130E" w:rsidRDefault="00521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637EB" w14:textId="77777777" w:rsidR="007C4F8A" w:rsidRPr="0052130E" w:rsidRDefault="00C6746E">
    <w:pPr>
      <w:pStyle w:val="Header"/>
      <w:rPr>
        <w:sz w:val="26"/>
        <w:szCs w:val="26"/>
      </w:rPr>
    </w:pPr>
    <w:r w:rsidRPr="0052130E">
      <w:rPr>
        <w:sz w:val="26"/>
        <w:szCs w:val="26"/>
      </w:rPr>
      <w:t>FERC-539 (OMB Control No. 1902-0062)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06B0C" w14:textId="77777777" w:rsidR="0052130E" w:rsidRDefault="00521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E766A"/>
    <w:multiLevelType w:val="hybridMultilevel"/>
    <w:tmpl w:val="1616D212"/>
    <w:lvl w:ilvl="0" w:tplc="AECAF66C">
      <w:start w:val="2"/>
      <w:numFmt w:val="decimal"/>
      <w:lvlText w:val="%1."/>
      <w:lvlJc w:val="left"/>
      <w:pPr>
        <w:ind w:left="720" w:hanging="648"/>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0B3DDE"/>
    <w:multiLevelType w:val="hybridMultilevel"/>
    <w:tmpl w:val="3CD29E0A"/>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2">
    <w:nsid w:val="79A86C93"/>
    <w:multiLevelType w:val="hybridMultilevel"/>
    <w:tmpl w:val="1B0AC2AC"/>
    <w:lvl w:ilvl="0" w:tplc="1C22AF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39"/>
    <w:rsid w:val="000451AF"/>
    <w:rsid w:val="000D43F1"/>
    <w:rsid w:val="001007D7"/>
    <w:rsid w:val="001A1AA2"/>
    <w:rsid w:val="00263B41"/>
    <w:rsid w:val="0029174B"/>
    <w:rsid w:val="00297D8D"/>
    <w:rsid w:val="002A0F0C"/>
    <w:rsid w:val="003B61C1"/>
    <w:rsid w:val="004C56C7"/>
    <w:rsid w:val="004F327E"/>
    <w:rsid w:val="0052130E"/>
    <w:rsid w:val="00531E4F"/>
    <w:rsid w:val="005656E0"/>
    <w:rsid w:val="00616039"/>
    <w:rsid w:val="006203E2"/>
    <w:rsid w:val="00646165"/>
    <w:rsid w:val="006A43CF"/>
    <w:rsid w:val="00713786"/>
    <w:rsid w:val="00842E99"/>
    <w:rsid w:val="00863034"/>
    <w:rsid w:val="00952DBC"/>
    <w:rsid w:val="009C627B"/>
    <w:rsid w:val="009D3D66"/>
    <w:rsid w:val="00C6746E"/>
    <w:rsid w:val="00CB4054"/>
    <w:rsid w:val="00CD1350"/>
    <w:rsid w:val="00CE1038"/>
    <w:rsid w:val="00CE6965"/>
    <w:rsid w:val="00D42D77"/>
    <w:rsid w:val="00E2685C"/>
    <w:rsid w:val="00E704E3"/>
    <w:rsid w:val="00ED0667"/>
    <w:rsid w:val="00EE03B7"/>
    <w:rsid w:val="00EE227F"/>
    <w:rsid w:val="00F049F9"/>
    <w:rsid w:val="00F72501"/>
    <w:rsid w:val="00FD22D4"/>
    <w:rsid w:val="00FF2CC5"/>
    <w:rsid w:val="00FF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7E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2">
    <w:name w:val="Footnote Text Char2"/>
    <w:aliases w:val="fn Char,Footnote Text Char1 Char1,Footnote Text Char Char Char1,Footnote Text Char1 Char Char,Footnote Text Char Char Char Char,Char Char,Footnote Text Char Char1 Char,fn Char Char Char,Footnote Text Char1 Char1 Char Char,ft Char"/>
    <w:link w:val="FootnoteText"/>
    <w:uiPriority w:val="99"/>
    <w:semiHidden/>
    <w:locked/>
    <w:rsid w:val="00616039"/>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Char,Footnote Text Char Char1,fn Char Char,Footnote Text Char1 Char1 Char,Footnote Text Char Char Char1 Char,ft,Char Char1,fn1,fn3"/>
    <w:basedOn w:val="Normal"/>
    <w:link w:val="FootnoteTextChar2"/>
    <w:uiPriority w:val="99"/>
    <w:semiHidden/>
    <w:unhideWhenUsed/>
    <w:rsid w:val="006160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616039"/>
    <w:rPr>
      <w:sz w:val="20"/>
      <w:szCs w:val="20"/>
    </w:rPr>
  </w:style>
  <w:style w:type="character" w:styleId="FootnoteReference">
    <w:name w:val="footnote reference"/>
    <w:basedOn w:val="DefaultParagraphFont"/>
    <w:semiHidden/>
    <w:unhideWhenUsed/>
    <w:rsid w:val="00616039"/>
  </w:style>
  <w:style w:type="paragraph" w:styleId="Header">
    <w:name w:val="header"/>
    <w:basedOn w:val="Normal"/>
    <w:link w:val="HeaderChar"/>
    <w:uiPriority w:val="99"/>
    <w:unhideWhenUsed/>
    <w:rsid w:val="0061603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160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603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1603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6039"/>
    <w:rPr>
      <w:sz w:val="16"/>
      <w:szCs w:val="16"/>
    </w:rPr>
  </w:style>
  <w:style w:type="paragraph" w:styleId="CommentText">
    <w:name w:val="annotation text"/>
    <w:basedOn w:val="Normal"/>
    <w:link w:val="CommentTextChar"/>
    <w:uiPriority w:val="99"/>
    <w:unhideWhenUsed/>
    <w:rsid w:val="006160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60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6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0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627B"/>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627B"/>
    <w:rPr>
      <w:rFonts w:ascii="Times New Roman" w:eastAsia="Times New Roman" w:hAnsi="Times New Roman" w:cs="Times New Roman"/>
      <w:b/>
      <w:bCs/>
      <w:sz w:val="20"/>
      <w:szCs w:val="20"/>
    </w:rPr>
  </w:style>
  <w:style w:type="paragraph" w:styleId="ListParagraph">
    <w:name w:val="List Paragraph"/>
    <w:basedOn w:val="Normal"/>
    <w:uiPriority w:val="34"/>
    <w:qFormat/>
    <w:rsid w:val="00FF2C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2">
    <w:name w:val="Footnote Text Char2"/>
    <w:aliases w:val="fn Char,Footnote Text Char1 Char1,Footnote Text Char Char Char1,Footnote Text Char1 Char Char,Footnote Text Char Char Char Char,Char Char,Footnote Text Char Char1 Char,fn Char Char Char,Footnote Text Char1 Char1 Char Char,ft Char"/>
    <w:link w:val="FootnoteText"/>
    <w:uiPriority w:val="99"/>
    <w:semiHidden/>
    <w:locked/>
    <w:rsid w:val="00616039"/>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Char,Footnote Text Char Char1,fn Char Char,Footnote Text Char1 Char1 Char,Footnote Text Char Char Char1 Char,ft,Char Char1,fn1,fn3"/>
    <w:basedOn w:val="Normal"/>
    <w:link w:val="FootnoteTextChar2"/>
    <w:uiPriority w:val="99"/>
    <w:semiHidden/>
    <w:unhideWhenUsed/>
    <w:rsid w:val="006160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616039"/>
    <w:rPr>
      <w:sz w:val="20"/>
      <w:szCs w:val="20"/>
    </w:rPr>
  </w:style>
  <w:style w:type="character" w:styleId="FootnoteReference">
    <w:name w:val="footnote reference"/>
    <w:basedOn w:val="DefaultParagraphFont"/>
    <w:semiHidden/>
    <w:unhideWhenUsed/>
    <w:rsid w:val="00616039"/>
  </w:style>
  <w:style w:type="paragraph" w:styleId="Header">
    <w:name w:val="header"/>
    <w:basedOn w:val="Normal"/>
    <w:link w:val="HeaderChar"/>
    <w:uiPriority w:val="99"/>
    <w:unhideWhenUsed/>
    <w:rsid w:val="0061603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160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6039"/>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1603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6039"/>
    <w:rPr>
      <w:sz w:val="16"/>
      <w:szCs w:val="16"/>
    </w:rPr>
  </w:style>
  <w:style w:type="paragraph" w:styleId="CommentText">
    <w:name w:val="annotation text"/>
    <w:basedOn w:val="Normal"/>
    <w:link w:val="CommentTextChar"/>
    <w:uiPriority w:val="99"/>
    <w:unhideWhenUsed/>
    <w:rsid w:val="006160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60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6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0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627B"/>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627B"/>
    <w:rPr>
      <w:rFonts w:ascii="Times New Roman" w:eastAsia="Times New Roman" w:hAnsi="Times New Roman" w:cs="Times New Roman"/>
      <w:b/>
      <w:bCs/>
      <w:sz w:val="20"/>
      <w:szCs w:val="20"/>
    </w:rPr>
  </w:style>
  <w:style w:type="paragraph" w:styleId="ListParagraph">
    <w:name w:val="List Paragraph"/>
    <w:basedOn w:val="Normal"/>
    <w:uiPriority w:val="34"/>
    <w:qFormat/>
    <w:rsid w:val="00FF2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739607">
      <w:bodyDiv w:val="1"/>
      <w:marLeft w:val="0"/>
      <w:marRight w:val="0"/>
      <w:marTop w:val="0"/>
      <w:marBottom w:val="0"/>
      <w:divBdr>
        <w:top w:val="none" w:sz="0" w:space="0" w:color="auto"/>
        <w:left w:val="none" w:sz="0" w:space="0" w:color="auto"/>
        <w:bottom w:val="none" w:sz="0" w:space="0" w:color="auto"/>
        <w:right w:val="none" w:sz="0" w:space="0" w:color="auto"/>
      </w:divBdr>
    </w:div>
    <w:div w:id="1439062363">
      <w:bodyDiv w:val="1"/>
      <w:marLeft w:val="0"/>
      <w:marRight w:val="0"/>
      <w:marTop w:val="0"/>
      <w:marBottom w:val="0"/>
      <w:divBdr>
        <w:top w:val="none" w:sz="0" w:space="0" w:color="auto"/>
        <w:left w:val="none" w:sz="0" w:space="0" w:color="auto"/>
        <w:bottom w:val="none" w:sz="0" w:space="0" w:color="auto"/>
        <w:right w:val="none" w:sz="0" w:space="0" w:color="auto"/>
      </w:divBdr>
    </w:div>
    <w:div w:id="198924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539</_x0031__x002e__x0020_Collection_x0020_Number>
    <Date xmlns="d6eefc7d-9817-4fa6-84d5-3bc009be21b8">2019-12-11T05:00:00+00:00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IC19-33</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C58AE-BFCD-4C45-8873-1CFBB34C971F}">
  <ds:schemaRefs>
    <ds:schemaRef ds:uri="Microsoft.SharePoint.Taxonomy.ContentTypeSync"/>
  </ds:schemaRefs>
</ds:datastoreItem>
</file>

<file path=customXml/itemProps2.xml><?xml version="1.0" encoding="utf-8"?>
<ds:datastoreItem xmlns:ds="http://schemas.openxmlformats.org/officeDocument/2006/customXml" ds:itemID="{4DC97A13-4001-4DD6-BF28-38AD44824DF3}">
  <ds:schemaRefs>
    <ds:schemaRef ds:uri="http://schemas.microsoft.com/office/2006/metadata/customXsn"/>
  </ds:schemaRefs>
</ds:datastoreItem>
</file>

<file path=customXml/itemProps3.xml><?xml version="1.0" encoding="utf-8"?>
<ds:datastoreItem xmlns:ds="http://schemas.openxmlformats.org/officeDocument/2006/customXml" ds:itemID="{2F710302-D683-4E28-BD78-B69FA943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1F1D9-63BB-4568-8BDC-B152B3B82CA1}">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d6eefc7d-9817-4fa6-84d5-3bc009be21b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44A8EBC-6CCE-4BB4-85BD-D32677282BEB}">
  <ds:schemaRefs>
    <ds:schemaRef ds:uri="http://schemas.microsoft.com/sharepoint/v3/contenttype/forms"/>
  </ds:schemaRefs>
</ds:datastoreItem>
</file>

<file path=customXml/itemProps6.xml><?xml version="1.0" encoding="utf-8"?>
<ds:datastoreItem xmlns:ds="http://schemas.openxmlformats.org/officeDocument/2006/customXml" ds:itemID="{63EF9DD1-D4EB-4528-AD49-80A4378C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Gas Pipeline Certificates: Import &amp; Export Related Applications</vt:lpstr>
    </vt:vector>
  </TitlesOfParts>
  <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Pipeline Certificates: Import &amp; Export Related Applications</dc:title>
  <dc:subject/>
  <dc:creator>Michele Chambers</dc:creator>
  <cp:keywords/>
  <dc:description/>
  <cp:lastModifiedBy>SYSTEM</cp:lastModifiedBy>
  <cp:revision>2</cp:revision>
  <dcterms:created xsi:type="dcterms:W3CDTF">2019-12-12T14:51:00Z</dcterms:created>
  <dcterms:modified xsi:type="dcterms:W3CDTF">2019-12-12T14:51:00Z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