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35DB" w:rsidR="00196181" w:rsidRDefault="00196181" w14:paraId="1B39C693" w14:textId="77777777">
      <w:pPr>
        <w:widowControl/>
        <w:jc w:val="center"/>
        <w:rPr>
          <w:b/>
          <w:bCs/>
          <w:sz w:val="24"/>
        </w:rPr>
      </w:pPr>
      <w:r w:rsidRPr="00BD35DB">
        <w:rPr>
          <w:b/>
          <w:bCs/>
          <w:sz w:val="24"/>
        </w:rPr>
        <w:t>SUPPORTING STATEMENT FOR THE</w:t>
      </w:r>
      <w:r w:rsidRPr="00BD35DB" w:rsidR="00CE5C2E">
        <w:rPr>
          <w:b/>
          <w:bCs/>
          <w:sz w:val="24"/>
        </w:rPr>
        <w:t xml:space="preserve"> </w:t>
      </w:r>
    </w:p>
    <w:p w:rsidRPr="00BD35DB" w:rsidR="00196181" w:rsidRDefault="002B6F13" w14:paraId="1283C3B5" w14:textId="77777777">
      <w:pPr>
        <w:widowControl/>
        <w:jc w:val="center"/>
        <w:rPr>
          <w:b/>
          <w:bCs/>
          <w:sz w:val="24"/>
        </w:rPr>
      </w:pPr>
      <w:r w:rsidRPr="00BD35DB">
        <w:rPr>
          <w:b/>
          <w:bCs/>
          <w:sz w:val="24"/>
        </w:rPr>
        <w:t xml:space="preserve">COLLECTIONS OF INFORMATION </w:t>
      </w:r>
      <w:r w:rsidRPr="00BD35DB" w:rsidR="00196181">
        <w:rPr>
          <w:b/>
          <w:bCs/>
          <w:sz w:val="24"/>
        </w:rPr>
        <w:t>IN THE</w:t>
      </w:r>
    </w:p>
    <w:p w:rsidRPr="00BD35DB" w:rsidR="00196181" w:rsidRDefault="00196181" w14:paraId="63F7A31C" w14:textId="77777777">
      <w:pPr>
        <w:widowControl/>
        <w:jc w:val="center"/>
        <w:rPr>
          <w:b/>
          <w:bCs/>
          <w:sz w:val="24"/>
        </w:rPr>
      </w:pPr>
      <w:r w:rsidRPr="00BD35DB">
        <w:rPr>
          <w:b/>
          <w:bCs/>
          <w:sz w:val="24"/>
        </w:rPr>
        <w:t xml:space="preserve"> REGULATION TITLED ACCESS TO EMPLOYEE EXPOSURE</w:t>
      </w:r>
    </w:p>
    <w:p w:rsidRPr="00BD35DB" w:rsidR="00196181" w:rsidRDefault="00196181" w14:paraId="2E395765" w14:textId="77777777">
      <w:pPr>
        <w:widowControl/>
        <w:jc w:val="center"/>
        <w:rPr>
          <w:b/>
          <w:bCs/>
          <w:sz w:val="24"/>
        </w:rPr>
      </w:pPr>
      <w:r w:rsidRPr="00BD35DB">
        <w:rPr>
          <w:b/>
          <w:bCs/>
          <w:sz w:val="24"/>
        </w:rPr>
        <w:t>AND MEDICAL RECORDS</w:t>
      </w:r>
      <w:r w:rsidRPr="00BD35DB" w:rsidR="002B6F13">
        <w:rPr>
          <w:b/>
          <w:bCs/>
          <w:sz w:val="24"/>
        </w:rPr>
        <w:t xml:space="preserve"> </w:t>
      </w:r>
      <w:r w:rsidRPr="00BD35DB">
        <w:rPr>
          <w:b/>
          <w:bCs/>
          <w:sz w:val="24"/>
        </w:rPr>
        <w:t>(29 CFR 1910.1020)</w:t>
      </w:r>
      <w:r w:rsidRPr="00BD35DB">
        <w:rPr>
          <w:rStyle w:val="FootnoteReference"/>
          <w:b/>
          <w:bCs/>
          <w:sz w:val="24"/>
          <w:vertAlign w:val="superscript"/>
        </w:rPr>
        <w:footnoteReference w:id="1"/>
      </w:r>
      <w:r w:rsidRPr="00BD35DB">
        <w:rPr>
          <w:b/>
          <w:bCs/>
          <w:sz w:val="24"/>
          <w:vertAlign w:val="superscript"/>
        </w:rPr>
        <w:t>,</w:t>
      </w:r>
      <w:r w:rsidRPr="00BD35DB">
        <w:rPr>
          <w:b/>
          <w:bCs/>
          <w:sz w:val="24"/>
        </w:rPr>
        <w:t xml:space="preserve"> </w:t>
      </w:r>
      <w:r w:rsidRPr="00BD35DB">
        <w:rPr>
          <w:rStyle w:val="FootnoteReference"/>
          <w:b/>
          <w:bCs/>
          <w:sz w:val="24"/>
          <w:vertAlign w:val="superscript"/>
        </w:rPr>
        <w:footnoteReference w:id="2"/>
      </w:r>
    </w:p>
    <w:p w:rsidRPr="00BD35DB" w:rsidR="00480C0E" w:rsidRDefault="00196181" w14:paraId="68DA7895" w14:textId="77777777">
      <w:pPr>
        <w:widowControl/>
        <w:jc w:val="center"/>
        <w:rPr>
          <w:b/>
          <w:bCs/>
          <w:sz w:val="24"/>
        </w:rPr>
      </w:pPr>
      <w:r w:rsidRPr="00BD35DB">
        <w:rPr>
          <w:b/>
          <w:bCs/>
          <w:sz w:val="24"/>
        </w:rPr>
        <w:t>Office of Management and Budget (OMB)</w:t>
      </w:r>
    </w:p>
    <w:p w:rsidR="00196181" w:rsidRDefault="00196181" w14:paraId="2050E37E" w14:textId="1929D77D">
      <w:pPr>
        <w:widowControl/>
        <w:jc w:val="center"/>
        <w:rPr>
          <w:b/>
          <w:bCs/>
          <w:sz w:val="24"/>
        </w:rPr>
      </w:pPr>
      <w:r w:rsidRPr="00BD35DB">
        <w:rPr>
          <w:b/>
          <w:bCs/>
          <w:sz w:val="24"/>
        </w:rPr>
        <w:t>Control No. 1218-0065</w:t>
      </w:r>
      <w:r w:rsidRPr="00BD35DB" w:rsidR="00637985">
        <w:rPr>
          <w:b/>
          <w:bCs/>
          <w:sz w:val="24"/>
        </w:rPr>
        <w:t xml:space="preserve"> (</w:t>
      </w:r>
      <w:r w:rsidR="0045454D">
        <w:rPr>
          <w:b/>
          <w:bCs/>
          <w:sz w:val="24"/>
        </w:rPr>
        <w:t xml:space="preserve">April </w:t>
      </w:r>
      <w:r w:rsidR="00E5605A">
        <w:rPr>
          <w:b/>
          <w:bCs/>
          <w:sz w:val="24"/>
        </w:rPr>
        <w:t>2020</w:t>
      </w:r>
      <w:r w:rsidRPr="00BD35DB">
        <w:rPr>
          <w:b/>
          <w:bCs/>
          <w:sz w:val="24"/>
        </w:rPr>
        <w:t>)</w:t>
      </w:r>
    </w:p>
    <w:p w:rsidR="004E7CD3" w:rsidRDefault="004E7CD3" w14:paraId="753C9BB7" w14:textId="00942A04">
      <w:pPr>
        <w:widowControl/>
        <w:jc w:val="center"/>
        <w:rPr>
          <w:b/>
          <w:bCs/>
          <w:sz w:val="24"/>
        </w:rPr>
      </w:pPr>
    </w:p>
    <w:p w:rsidRPr="004E7CD3" w:rsidR="004E7CD3" w:rsidP="004E7CD3" w:rsidRDefault="004E7CD3" w14:paraId="4F1C7F1E" w14:textId="009E1FB6">
      <w:pPr>
        <w:widowControl/>
        <w:rPr>
          <w:bCs/>
          <w:sz w:val="24"/>
          <w:u w:val="single"/>
        </w:rPr>
      </w:pPr>
      <w:r w:rsidRPr="004E7CD3">
        <w:rPr>
          <w:bCs/>
          <w:sz w:val="24"/>
          <w:u w:val="single"/>
        </w:rPr>
        <w:t xml:space="preserve">OSHA is requesting an extension </w:t>
      </w:r>
      <w:r>
        <w:rPr>
          <w:bCs/>
          <w:sz w:val="24"/>
          <w:u w:val="single"/>
        </w:rPr>
        <w:t xml:space="preserve">of </w:t>
      </w:r>
      <w:r w:rsidRPr="004E7CD3">
        <w:rPr>
          <w:bCs/>
          <w:sz w:val="24"/>
          <w:u w:val="single"/>
        </w:rPr>
        <w:t>a currently approved data collection.</w:t>
      </w:r>
    </w:p>
    <w:p w:rsidRPr="00BD35DB" w:rsidR="004E7CD3" w:rsidP="004E7CD3" w:rsidRDefault="004E7CD3" w14:paraId="550E345D" w14:textId="77777777">
      <w:pPr>
        <w:widowControl/>
        <w:rPr>
          <w:b/>
          <w:bCs/>
          <w:sz w:val="24"/>
        </w:rPr>
      </w:pPr>
    </w:p>
    <w:p w:rsidRPr="00BD35DB" w:rsidR="00196181" w:rsidRDefault="00196181" w14:paraId="5A3419CF" w14:textId="77777777">
      <w:pPr>
        <w:widowControl/>
        <w:rPr>
          <w:b/>
          <w:bCs/>
          <w:sz w:val="24"/>
        </w:rPr>
      </w:pPr>
    </w:p>
    <w:p w:rsidRPr="00BD35DB" w:rsidR="00196181" w:rsidRDefault="00876B78" w14:paraId="1BCF0D84" w14:textId="77777777">
      <w:pPr>
        <w:widowControl/>
        <w:rPr>
          <w:sz w:val="24"/>
        </w:rPr>
      </w:pPr>
      <w:r w:rsidRPr="00BD35DB">
        <w:rPr>
          <w:b/>
          <w:bCs/>
          <w:sz w:val="24"/>
        </w:rPr>
        <w:t xml:space="preserve">A.  </w:t>
      </w:r>
      <w:r w:rsidRPr="00BD35DB" w:rsidR="00196181">
        <w:rPr>
          <w:b/>
          <w:bCs/>
          <w:sz w:val="24"/>
        </w:rPr>
        <w:t>J</w:t>
      </w:r>
      <w:r w:rsidRPr="00BD35DB" w:rsidR="0030365E">
        <w:rPr>
          <w:b/>
          <w:bCs/>
          <w:sz w:val="24"/>
        </w:rPr>
        <w:t>USTIFICATION</w:t>
      </w:r>
    </w:p>
    <w:p w:rsidRPr="00BD35DB" w:rsidR="00196181" w:rsidRDefault="00196181" w14:paraId="71464955" w14:textId="77777777">
      <w:pPr>
        <w:widowControl/>
        <w:rPr>
          <w:sz w:val="24"/>
        </w:rPr>
      </w:pPr>
    </w:p>
    <w:p w:rsidRPr="00BD35DB" w:rsidR="00196181" w:rsidRDefault="00196181" w14:paraId="30782D8D" w14:textId="77777777">
      <w:pPr>
        <w:widowControl/>
        <w:rPr>
          <w:sz w:val="24"/>
        </w:rPr>
      </w:pPr>
      <w:r w:rsidRPr="00BD35DB">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D35DB" w:rsidR="00196181" w:rsidRDefault="00196181" w14:paraId="0D7854D0" w14:textId="77777777">
      <w:pPr>
        <w:widowControl/>
        <w:rPr>
          <w:sz w:val="24"/>
        </w:rPr>
      </w:pPr>
    </w:p>
    <w:p w:rsidRPr="00BD35DB" w:rsidR="00196181" w:rsidRDefault="00196181" w14:paraId="5C5A7A31" w14:textId="77777777">
      <w:pPr>
        <w:widowControl/>
        <w:rPr>
          <w:sz w:val="24"/>
        </w:rPr>
      </w:pPr>
      <w:r w:rsidRPr="00BD35DB">
        <w:rPr>
          <w:sz w:val="24"/>
        </w:rPr>
        <w:t>The main objective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regulations” (29 U.S.C. 651).</w:t>
      </w:r>
    </w:p>
    <w:p w:rsidRPr="00BD35DB" w:rsidR="00196181" w:rsidRDefault="00196181" w14:paraId="160E8059" w14:textId="77777777">
      <w:pPr>
        <w:widowControl/>
        <w:rPr>
          <w:sz w:val="24"/>
        </w:rPr>
      </w:pPr>
    </w:p>
    <w:p w:rsidRPr="00BD35DB" w:rsidR="00196181" w:rsidRDefault="00196181" w14:paraId="455E81F1" w14:textId="77777777">
      <w:pPr>
        <w:widowControl/>
        <w:rPr>
          <w:sz w:val="24"/>
        </w:rPr>
      </w:pPr>
      <w:r w:rsidRPr="00BD35DB">
        <w:rPr>
          <w:sz w:val="24"/>
        </w:rPr>
        <w:t xml:space="preserve">To protect </w:t>
      </w:r>
      <w:r w:rsidRPr="00BD35DB" w:rsidR="0072553F">
        <w:rPr>
          <w:sz w:val="24"/>
        </w:rPr>
        <w:t>worker</w:t>
      </w:r>
      <w:r w:rsidRPr="00BD35DB">
        <w:rPr>
          <w:sz w:val="24"/>
        </w:rPr>
        <w:t xml:space="preserve"> health, the OSH Act authorizes the Occupational Safety and Health Administration (OSHA) to develop standards that provide for “monitoring or measuring employee exposure” to occupational hazards and “prescribe the type and frequency of medical examinations and other tests which shall be made available [by the employer] to employees exposed to such hazards in order to most effectively determine whether the health of such employees is adversely affected by such exposure” (29 U.S.C. 655).  In addition, the OSH Act mandates that “[e]ach employer shall make, keep and preserve, and make available to the Secretary [of Labor] . . .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  In addition, the OSH Act directs OSHA to “issue regulations requiring employers to maintain accurate records of employee exposure to potentially toxic materials or other harmful physical agents which are required to be monitored and measured," and further specifies </w:t>
      </w:r>
      <w:r w:rsidRPr="00BD35DB">
        <w:rPr>
          <w:sz w:val="24"/>
        </w:rPr>
        <w:lastRenderedPageBreak/>
        <w:t>that such regulations provide “for each employee or former employee to have access to such records as will indicate [their] own exposure to toxic materials or harmful physical agents” (29 U.S.C. 657).  The OSH Act states further that “[t]he Secretary . . . shall . . . prescribe such rules and regulations as [he/she] may deem necessary to carry out [his/her] responsibilities under this Act, including rules and regulations dealing with the inspection of an employer’s establishment” (29 U.S.C. 651).</w:t>
      </w:r>
    </w:p>
    <w:p w:rsidRPr="00BD35DB" w:rsidR="00227DB9" w:rsidRDefault="00227DB9" w14:paraId="55ABC973" w14:textId="77777777">
      <w:pPr>
        <w:widowControl/>
        <w:rPr>
          <w:sz w:val="24"/>
        </w:rPr>
      </w:pPr>
    </w:p>
    <w:p w:rsidRPr="00BD35DB" w:rsidR="00196181" w:rsidRDefault="00196181" w14:paraId="3A5C24E2" w14:textId="77777777">
      <w:pPr>
        <w:widowControl/>
        <w:rPr>
          <w:sz w:val="24"/>
        </w:rPr>
      </w:pPr>
      <w:r w:rsidRPr="00BD35DB">
        <w:rPr>
          <w:sz w:val="24"/>
        </w:rPr>
        <w:t>Under the authority granted by the OSH Act, OSHA published a health regulation governing access to employee exposure-monitoring</w:t>
      </w:r>
      <w:r w:rsidRPr="00BD35DB">
        <w:rPr>
          <w:rStyle w:val="FootnoteReference"/>
          <w:sz w:val="24"/>
          <w:vertAlign w:val="superscript"/>
        </w:rPr>
        <w:footnoteReference w:id="3"/>
      </w:r>
      <w:r w:rsidRPr="00BD35DB">
        <w:rPr>
          <w:sz w:val="24"/>
        </w:rPr>
        <w:t xml:space="preserve"> data and medical records</w:t>
      </w:r>
      <w:r w:rsidRPr="00BD35DB">
        <w:rPr>
          <w:rStyle w:val="FootnoteReference"/>
          <w:sz w:val="24"/>
          <w:vertAlign w:val="superscript"/>
        </w:rPr>
        <w:footnoteReference w:id="4"/>
      </w:r>
      <w:r w:rsidRPr="00BD35DB">
        <w:rPr>
          <w:sz w:val="28"/>
          <w:szCs w:val="28"/>
        </w:rPr>
        <w:t xml:space="preserve"> </w:t>
      </w:r>
      <w:r w:rsidRPr="00BD35DB">
        <w:rPr>
          <w:sz w:val="24"/>
        </w:rPr>
        <w:t>at 29 CFR 1910.1020 (the “Regulation”).  The Regulation does not require employers to collect any information or to establish any new systems of records.  Rather, the Regulation requires that employers provide employers and their designated representatives with access to exposure-monitoring and medical records.  In this regard, the Regulation specifies record-retention periods, record-access procedures, and employee-information requirements.  The Agency attributes the burden hours and costs associated with conducting exposure monitoring and providing medical surveillance to the toxic-chemical standards that specify these activities; therefore, OSHA did not include these burden hours and costs in this information collection request (ICR).</w:t>
      </w:r>
    </w:p>
    <w:p w:rsidRPr="00BD35DB" w:rsidR="00196181" w:rsidRDefault="00196181" w14:paraId="7BFFBF59" w14:textId="77777777">
      <w:pPr>
        <w:widowControl/>
        <w:rPr>
          <w:sz w:val="19"/>
          <w:szCs w:val="19"/>
        </w:rPr>
      </w:pPr>
    </w:p>
    <w:p w:rsidRPr="00BD35DB" w:rsidR="00196181" w:rsidRDefault="00196181" w14:paraId="1D5CC3F4" w14:textId="77777777">
      <w:pPr>
        <w:widowControl/>
        <w:rPr>
          <w:sz w:val="24"/>
        </w:rPr>
      </w:pPr>
      <w:r w:rsidRPr="00BD35DB">
        <w:rPr>
          <w:b/>
          <w:bCs/>
          <w:sz w:val="24"/>
        </w:rPr>
        <w:t>2.  Indicate how, by whom, and for what purpose the information is to be used.  Except for a new collection,</w:t>
      </w:r>
      <w:r w:rsidRPr="00BD35DB" w:rsidR="000A4638">
        <w:rPr>
          <w:b/>
          <w:bCs/>
          <w:sz w:val="24"/>
        </w:rPr>
        <w:t xml:space="preserve"> </w:t>
      </w:r>
      <w:r w:rsidRPr="00BD35DB">
        <w:rPr>
          <w:b/>
          <w:bCs/>
          <w:sz w:val="24"/>
        </w:rPr>
        <w:t>indicate the actual use the agency has made of the information received from the current collection.</w:t>
      </w:r>
    </w:p>
    <w:p w:rsidRPr="00BD35DB" w:rsidR="00196181" w:rsidRDefault="00196181" w14:paraId="0AD61C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53149C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The following are the collection</w:t>
      </w:r>
      <w:r w:rsidRPr="00BD35DB" w:rsidR="000A2A11">
        <w:rPr>
          <w:sz w:val="24"/>
        </w:rPr>
        <w:t>s</w:t>
      </w:r>
      <w:r w:rsidRPr="00BD35DB">
        <w:rPr>
          <w:sz w:val="24"/>
        </w:rPr>
        <w:t xml:space="preserve"> of information </w:t>
      </w:r>
      <w:r w:rsidRPr="00BD35DB" w:rsidR="000A2A11">
        <w:rPr>
          <w:sz w:val="24"/>
        </w:rPr>
        <w:t xml:space="preserve">contained </w:t>
      </w:r>
      <w:r w:rsidRPr="00BD35DB">
        <w:rPr>
          <w:sz w:val="24"/>
        </w:rPr>
        <w:t>in the Regulation, followed by discussions indicating how, by whom, and for what purpose the information is used</w:t>
      </w:r>
      <w:r w:rsidRPr="00BD35DB" w:rsidR="00F97569">
        <w:rPr>
          <w:sz w:val="24"/>
        </w:rPr>
        <w:t xml:space="preserve"> for each of these requirements</w:t>
      </w:r>
      <w:r w:rsidRPr="00BD35DB">
        <w:rPr>
          <w:sz w:val="24"/>
        </w:rPr>
        <w:t xml:space="preserve">.  </w:t>
      </w:r>
    </w:p>
    <w:p w:rsidRPr="00BD35DB" w:rsidR="00196181" w:rsidRDefault="00196181" w14:paraId="58D743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553B77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b/>
          <w:sz w:val="24"/>
        </w:rPr>
        <w:t>A.</w:t>
      </w:r>
      <w:r w:rsidRPr="00BD35DB">
        <w:rPr>
          <w:sz w:val="24"/>
        </w:rPr>
        <w:t xml:space="preserve">  </w:t>
      </w:r>
      <w:r w:rsidRPr="00BD35DB">
        <w:rPr>
          <w:b/>
          <w:bCs/>
          <w:i/>
          <w:sz w:val="24"/>
        </w:rPr>
        <w:t>Preservation of Employee Records (§1910.1020(d))</w:t>
      </w:r>
    </w:p>
    <w:p w:rsidRPr="00BD35DB" w:rsidR="00196181" w:rsidRDefault="00196181" w14:paraId="655A57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BD35DB" w:rsidR="00196181" w:rsidRDefault="00196181" w14:paraId="55DE51E8" w14:textId="77777777">
      <w:pPr>
        <w:rPr>
          <w:sz w:val="24"/>
        </w:rPr>
      </w:pPr>
      <w:bookmarkStart w:name="1910.1020(d)(1)" w:id="0"/>
      <w:bookmarkEnd w:id="0"/>
      <w:r w:rsidRPr="00BD35DB">
        <w:rPr>
          <w:bCs/>
          <w:i/>
          <w:sz w:val="24"/>
        </w:rPr>
        <w:t>§</w:t>
      </w:r>
      <w:hyperlink w:history="1" r:id="rId11">
        <w:r w:rsidRPr="00BD35DB">
          <w:rPr>
            <w:rStyle w:val="Hyperlink"/>
            <w:bCs/>
            <w:i/>
            <w:color w:val="auto"/>
            <w:sz w:val="24"/>
            <w:u w:val="none"/>
          </w:rPr>
          <w:t>1910.1020(d)(1)</w:t>
        </w:r>
      </w:hyperlink>
      <w:r w:rsidRPr="00BD35DB">
        <w:rPr>
          <w:rStyle w:val="blueten1"/>
          <w:rFonts w:ascii="Times New Roman" w:hAnsi="Times New Roman"/>
          <w:bCs/>
          <w:i/>
          <w:color w:val="auto"/>
          <w:sz w:val="24"/>
          <w:szCs w:val="24"/>
        </w:rPr>
        <w:t xml:space="preserve"> -</w:t>
      </w:r>
      <w:r w:rsidRPr="00BD35DB">
        <w:rPr>
          <w:rStyle w:val="blueten1"/>
          <w:rFonts w:ascii="Times New Roman" w:hAnsi="Times New Roman"/>
          <w:i/>
          <w:color w:val="auto"/>
          <w:sz w:val="24"/>
          <w:szCs w:val="24"/>
        </w:rPr>
        <w:t xml:space="preserve"> </w:t>
      </w:r>
      <w:r w:rsidRPr="00BD35DB">
        <w:rPr>
          <w:sz w:val="24"/>
        </w:rPr>
        <w:t xml:space="preserve">Unless a specific occupational safety and health standard provides a different period </w:t>
      </w:r>
      <w:r w:rsidRPr="00BD35DB">
        <w:rPr>
          <w:sz w:val="24"/>
        </w:rPr>
        <w:lastRenderedPageBreak/>
        <w:t>of time, each employer shall assure the preservation and retention of records as follows:</w:t>
      </w:r>
    </w:p>
    <w:p w:rsidRPr="00BD35DB" w:rsidR="00196181" w:rsidRDefault="00196181" w14:paraId="4CF91144" w14:textId="77777777">
      <w:pPr>
        <w:rPr>
          <w:rStyle w:val="blueten1"/>
          <w:rFonts w:ascii="Times New Roman" w:hAnsi="Times New Roman"/>
          <w:bCs/>
          <w:i/>
          <w:color w:val="auto"/>
          <w:sz w:val="24"/>
          <w:szCs w:val="24"/>
        </w:rPr>
      </w:pPr>
      <w:bookmarkStart w:name="1910.1020(d)(1)(i)" w:id="1"/>
      <w:bookmarkEnd w:id="1"/>
    </w:p>
    <w:p w:rsidRPr="00BD35DB" w:rsidR="00196181" w:rsidRDefault="00196181" w14:paraId="0A182B55" w14:textId="77777777">
      <w:pPr>
        <w:ind w:left="720"/>
        <w:rPr>
          <w:sz w:val="24"/>
        </w:rPr>
      </w:pPr>
      <w:r w:rsidRPr="00BD35DB">
        <w:rPr>
          <w:bCs/>
          <w:i/>
          <w:sz w:val="24"/>
        </w:rPr>
        <w:t>§</w:t>
      </w:r>
      <w:hyperlink w:history="1" r:id="rId12">
        <w:r w:rsidRPr="00BD35DB">
          <w:rPr>
            <w:rStyle w:val="Hyperlink"/>
            <w:bCs/>
            <w:i/>
            <w:color w:val="auto"/>
            <w:sz w:val="24"/>
            <w:u w:val="none"/>
          </w:rPr>
          <w:t>1910.1020(d)(1)(i)</w:t>
        </w:r>
      </w:hyperlink>
      <w:r w:rsidRPr="00BD35DB">
        <w:rPr>
          <w:rStyle w:val="blueten1"/>
          <w:rFonts w:ascii="Georgia" w:hAnsi="Georgia"/>
          <w:bCs/>
          <w:i/>
          <w:color w:val="auto"/>
          <w:sz w:val="24"/>
          <w:szCs w:val="24"/>
        </w:rPr>
        <w:t xml:space="preserve"> -</w:t>
      </w:r>
      <w:r w:rsidRPr="00BD35DB">
        <w:rPr>
          <w:rStyle w:val="blueten1"/>
          <w:rFonts w:ascii="Times New Roman" w:hAnsi="Times New Roman"/>
          <w:i/>
          <w:color w:val="auto"/>
          <w:sz w:val="24"/>
          <w:szCs w:val="24"/>
        </w:rPr>
        <w:t xml:space="preserve"> </w:t>
      </w:r>
      <w:r w:rsidRPr="00BD35DB">
        <w:rPr>
          <w:sz w:val="24"/>
        </w:rPr>
        <w:t>Employee medical records.  The medical record for each employee shall be preserved and maintained for at least the duration of employment plus thirty (30) years, except that the following types of records need not be retained for any specified period:</w:t>
      </w:r>
    </w:p>
    <w:p w:rsidRPr="00BD35DB" w:rsidR="00196181" w:rsidRDefault="00196181" w14:paraId="5C43163F" w14:textId="77777777">
      <w:pPr>
        <w:rPr>
          <w:sz w:val="24"/>
        </w:rPr>
      </w:pPr>
    </w:p>
    <w:p w:rsidRPr="00BD35DB" w:rsidR="00196181" w:rsidRDefault="00196181" w14:paraId="14B95BD6" w14:textId="77777777">
      <w:pPr>
        <w:ind w:left="1440"/>
        <w:rPr>
          <w:sz w:val="24"/>
        </w:rPr>
      </w:pPr>
      <w:bookmarkStart w:name="1910.1020(d)(1)(i)(A)" w:id="2"/>
      <w:bookmarkEnd w:id="2"/>
      <w:r w:rsidRPr="00BD35DB">
        <w:rPr>
          <w:bCs/>
          <w:sz w:val="24"/>
        </w:rPr>
        <w:t>§</w:t>
      </w:r>
      <w:r w:rsidRPr="00BD35DB">
        <w:rPr>
          <w:rStyle w:val="blueten1"/>
          <w:rFonts w:ascii="Times New Roman" w:hAnsi="Times New Roman"/>
          <w:bCs/>
          <w:color w:val="auto"/>
          <w:sz w:val="24"/>
          <w:szCs w:val="24"/>
        </w:rPr>
        <w:t>1910.1020(d)(1)(i)(A)</w:t>
      </w:r>
      <w:r w:rsidRPr="00BD35DB">
        <w:rPr>
          <w:rStyle w:val="blueten1"/>
          <w:rFonts w:ascii="Times New Roman" w:hAnsi="Times New Roman"/>
          <w:color w:val="auto"/>
          <w:sz w:val="24"/>
          <w:szCs w:val="24"/>
        </w:rPr>
        <w:t xml:space="preserve"> </w:t>
      </w:r>
      <w:r w:rsidRPr="00BD35DB">
        <w:rPr>
          <w:rStyle w:val="blueten1"/>
          <w:rFonts w:ascii="Georgia" w:hAnsi="Georgia"/>
          <w:bCs/>
          <w:i/>
          <w:color w:val="auto"/>
          <w:sz w:val="24"/>
          <w:szCs w:val="24"/>
        </w:rPr>
        <w:t>−</w:t>
      </w:r>
      <w:r w:rsidRPr="00BD35DB">
        <w:rPr>
          <w:rStyle w:val="blueten1"/>
          <w:rFonts w:ascii="Times New Roman" w:hAnsi="Times New Roman"/>
          <w:i/>
          <w:color w:val="auto"/>
          <w:sz w:val="24"/>
          <w:szCs w:val="24"/>
        </w:rPr>
        <w:t xml:space="preserve"> </w:t>
      </w:r>
      <w:r w:rsidRPr="00BD35DB">
        <w:rPr>
          <w:sz w:val="24"/>
        </w:rPr>
        <w:t>Health insurance claims records maintained separately from the employer's medical program and its records,</w:t>
      </w:r>
    </w:p>
    <w:p w:rsidRPr="00BD35DB" w:rsidR="00196181" w:rsidRDefault="00196181" w14:paraId="2604D844" w14:textId="77777777">
      <w:pPr>
        <w:rPr>
          <w:rStyle w:val="blueten1"/>
          <w:rFonts w:ascii="Times New Roman" w:hAnsi="Times New Roman"/>
          <w:bCs/>
          <w:color w:val="auto"/>
          <w:sz w:val="24"/>
          <w:szCs w:val="24"/>
        </w:rPr>
      </w:pPr>
      <w:bookmarkStart w:name="1910.1020(d)(1)(i)(B)" w:id="3"/>
      <w:bookmarkEnd w:id="3"/>
    </w:p>
    <w:p w:rsidRPr="00BD35DB" w:rsidR="00227DB9" w:rsidRDefault="00196181" w14:paraId="22E97309" w14:textId="77777777">
      <w:pPr>
        <w:ind w:left="1440"/>
        <w:rPr>
          <w:sz w:val="24"/>
        </w:rPr>
      </w:pPr>
      <w:r w:rsidRPr="00BD35DB">
        <w:rPr>
          <w:bCs/>
          <w:sz w:val="24"/>
        </w:rPr>
        <w:t>§</w:t>
      </w:r>
      <w:r w:rsidRPr="00BD35DB">
        <w:rPr>
          <w:rStyle w:val="blueten1"/>
          <w:rFonts w:ascii="Times New Roman" w:hAnsi="Times New Roman"/>
          <w:bCs/>
          <w:color w:val="auto"/>
          <w:sz w:val="24"/>
          <w:szCs w:val="24"/>
        </w:rPr>
        <w:t>1910.1020(d)(1)(i)(B)</w:t>
      </w:r>
      <w:r w:rsidRPr="00BD35DB">
        <w:rPr>
          <w:rStyle w:val="blueten1"/>
          <w:rFonts w:ascii="Times New Roman" w:hAnsi="Times New Roman"/>
          <w:color w:val="auto"/>
          <w:sz w:val="24"/>
          <w:szCs w:val="24"/>
        </w:rPr>
        <w:t xml:space="preserve"> </w:t>
      </w:r>
      <w:r w:rsidRPr="00BD35DB">
        <w:rPr>
          <w:rStyle w:val="blueten1"/>
          <w:rFonts w:ascii="Georgia" w:hAnsi="Georgia"/>
          <w:bCs/>
          <w:i/>
          <w:color w:val="auto"/>
          <w:sz w:val="24"/>
          <w:szCs w:val="24"/>
        </w:rPr>
        <w:t>−</w:t>
      </w:r>
      <w:r w:rsidRPr="00BD35DB">
        <w:rPr>
          <w:rStyle w:val="blueten1"/>
          <w:rFonts w:ascii="Times New Roman" w:hAnsi="Times New Roman"/>
          <w:i/>
          <w:color w:val="auto"/>
          <w:sz w:val="24"/>
          <w:szCs w:val="24"/>
        </w:rPr>
        <w:t xml:space="preserve"> </w:t>
      </w:r>
      <w:r w:rsidRPr="00BD35DB">
        <w:rPr>
          <w:sz w:val="24"/>
        </w:rPr>
        <w:t xml:space="preserve">First aid records (not including medical histories) of one-time treatment and subsequent observation of minor scratches, cuts, burns, splinters, and the like which do not involve medical treatment, loss of consciousness, restriction of work or motion, or transfer to another job, if made </w:t>
      </w:r>
    </w:p>
    <w:p w:rsidRPr="00BD35DB" w:rsidR="00196181" w:rsidP="00637985" w:rsidRDefault="00196181" w14:paraId="70EEDAF0" w14:textId="77777777">
      <w:pPr>
        <w:ind w:left="1440"/>
        <w:rPr>
          <w:sz w:val="24"/>
        </w:rPr>
      </w:pPr>
      <w:r w:rsidRPr="00BD35DB">
        <w:rPr>
          <w:sz w:val="24"/>
        </w:rPr>
        <w:t>on-site by a non-physician and if maintained separately from the employer's medical program and its records, and</w:t>
      </w:r>
    </w:p>
    <w:p w:rsidRPr="00BD35DB" w:rsidR="00196181" w:rsidRDefault="00196181" w14:paraId="16520BA5" w14:textId="77777777">
      <w:pPr>
        <w:ind w:left="720"/>
        <w:rPr>
          <w:sz w:val="24"/>
        </w:rPr>
      </w:pPr>
    </w:p>
    <w:p w:rsidRPr="00BD35DB" w:rsidR="00196181" w:rsidRDefault="00196181" w14:paraId="6495867E" w14:textId="77777777">
      <w:pPr>
        <w:ind w:left="1440"/>
        <w:rPr>
          <w:sz w:val="24"/>
        </w:rPr>
      </w:pPr>
      <w:bookmarkStart w:name="1910.1020(d)(1)(i)(C)" w:id="4"/>
      <w:bookmarkEnd w:id="4"/>
      <w:r w:rsidRPr="00BD35DB">
        <w:rPr>
          <w:bCs/>
          <w:sz w:val="24"/>
        </w:rPr>
        <w:t>§</w:t>
      </w:r>
      <w:r w:rsidRPr="00BD35DB">
        <w:rPr>
          <w:rStyle w:val="blueten1"/>
          <w:rFonts w:ascii="Times New Roman" w:hAnsi="Times New Roman"/>
          <w:bCs/>
          <w:color w:val="auto"/>
          <w:sz w:val="24"/>
          <w:szCs w:val="24"/>
        </w:rPr>
        <w:t>1910.1020(d)(1)(i)(C)</w:t>
      </w:r>
      <w:r w:rsidRPr="00BD35DB">
        <w:rPr>
          <w:rStyle w:val="blueten1"/>
          <w:rFonts w:ascii="Times New Roman" w:hAnsi="Times New Roman"/>
          <w:color w:val="auto"/>
          <w:sz w:val="24"/>
          <w:szCs w:val="24"/>
        </w:rPr>
        <w:t xml:space="preserve"> - </w:t>
      </w:r>
      <w:r w:rsidRPr="00BD35DB">
        <w:rPr>
          <w:sz w:val="24"/>
        </w:rPr>
        <w:t>The medical records of employees who have worked for less than (1) year for the employer need not be retained beyond the term of employment if they are provided to the employee upon the termination of employment.</w:t>
      </w:r>
    </w:p>
    <w:p w:rsidRPr="00BD35DB" w:rsidR="00196181" w:rsidRDefault="00196181" w14:paraId="57556989" w14:textId="77777777">
      <w:pPr>
        <w:ind w:left="720"/>
        <w:rPr>
          <w:sz w:val="24"/>
        </w:rPr>
      </w:pPr>
    </w:p>
    <w:p w:rsidRPr="00BD35DB" w:rsidR="00196181" w:rsidRDefault="00196181" w14:paraId="02BE9DD7" w14:textId="77777777">
      <w:pPr>
        <w:ind w:left="720"/>
        <w:rPr>
          <w:sz w:val="24"/>
        </w:rPr>
      </w:pPr>
      <w:bookmarkStart w:name="1910.1020(d)(1)(ii)" w:id="5"/>
      <w:bookmarkEnd w:id="5"/>
      <w:r w:rsidRPr="00BD35DB">
        <w:rPr>
          <w:bCs/>
          <w:i/>
          <w:sz w:val="24"/>
        </w:rPr>
        <w:t>§</w:t>
      </w:r>
      <w:hyperlink w:history="1" r:id="rId13">
        <w:r w:rsidRPr="00BD35DB">
          <w:rPr>
            <w:rStyle w:val="Hyperlink"/>
            <w:bCs/>
            <w:i/>
            <w:color w:val="auto"/>
            <w:sz w:val="24"/>
            <w:u w:val="none"/>
          </w:rPr>
          <w:t>1910.1020(d)(1)(ii)</w:t>
        </w:r>
      </w:hyperlink>
      <w:r w:rsidRPr="00BD35DB">
        <w:rPr>
          <w:rStyle w:val="blueten1"/>
          <w:rFonts w:ascii="Times New Roman" w:hAnsi="Times New Roman"/>
          <w:bCs/>
          <w:i/>
          <w:color w:val="auto"/>
          <w:sz w:val="24"/>
          <w:szCs w:val="24"/>
        </w:rPr>
        <w:t xml:space="preserve"> </w:t>
      </w:r>
      <w:r w:rsidRPr="00BD35DB">
        <w:rPr>
          <w:rStyle w:val="blueten1"/>
          <w:rFonts w:ascii="Times New Roman" w:hAnsi="Times New Roman"/>
          <w:i/>
          <w:color w:val="auto"/>
          <w:sz w:val="24"/>
          <w:szCs w:val="24"/>
        </w:rPr>
        <w:t xml:space="preserve">- </w:t>
      </w:r>
      <w:r w:rsidRPr="00BD35DB">
        <w:rPr>
          <w:sz w:val="24"/>
        </w:rPr>
        <w:t>Employee exposure records.  Each employee exposure record shall be preserved and maintained for at least thirty (30) years, except that:</w:t>
      </w:r>
    </w:p>
    <w:p w:rsidRPr="00BD35DB" w:rsidR="00196181" w:rsidRDefault="00196181" w14:paraId="65B9F840" w14:textId="77777777">
      <w:pPr>
        <w:rPr>
          <w:rStyle w:val="blueten1"/>
          <w:rFonts w:ascii="Times New Roman" w:hAnsi="Times New Roman"/>
          <w:bCs/>
          <w:color w:val="auto"/>
          <w:sz w:val="24"/>
          <w:szCs w:val="24"/>
        </w:rPr>
      </w:pPr>
      <w:bookmarkStart w:name="1910.1020(d)(1)(ii)(A)" w:id="6"/>
      <w:bookmarkEnd w:id="6"/>
    </w:p>
    <w:p w:rsidRPr="00BD35DB" w:rsidR="00196181" w:rsidRDefault="00196181" w14:paraId="2A75A378" w14:textId="77777777">
      <w:pPr>
        <w:ind w:left="1440"/>
        <w:rPr>
          <w:sz w:val="24"/>
        </w:rPr>
      </w:pPr>
      <w:r w:rsidRPr="00BD35DB">
        <w:rPr>
          <w:bCs/>
          <w:sz w:val="24"/>
        </w:rPr>
        <w:t>§</w:t>
      </w:r>
      <w:r w:rsidRPr="00BD35DB">
        <w:rPr>
          <w:rStyle w:val="blueten1"/>
          <w:rFonts w:ascii="Times New Roman" w:hAnsi="Times New Roman"/>
          <w:bCs/>
          <w:color w:val="auto"/>
          <w:sz w:val="24"/>
          <w:szCs w:val="24"/>
        </w:rPr>
        <w:t>1910.1020(d)(1)(ii)(A)</w:t>
      </w:r>
      <w:r w:rsidRPr="00BD35DB">
        <w:rPr>
          <w:rStyle w:val="blueten1"/>
          <w:rFonts w:ascii="Times New Roman" w:hAnsi="Times New Roman"/>
          <w:color w:val="auto"/>
          <w:sz w:val="24"/>
          <w:szCs w:val="24"/>
        </w:rPr>
        <w:t xml:space="preserve"> - </w:t>
      </w:r>
      <w:r w:rsidRPr="00BD35DB">
        <w:rPr>
          <w:sz w:val="24"/>
        </w:rPr>
        <w:t>Background data to environmental (workplace) monitoring or measuring, such as laboratory reports and worksheets, need only</w:t>
      </w:r>
      <w:r w:rsidRPr="00BD35DB" w:rsidR="001D2E63">
        <w:rPr>
          <w:sz w:val="24"/>
        </w:rPr>
        <w:t xml:space="preserve"> be retained for one (1) year as</w:t>
      </w:r>
      <w:r w:rsidRPr="00BD35DB">
        <w:rPr>
          <w:sz w:val="24"/>
        </w:rPr>
        <w:t xml:space="preserve"> long as the sampling results, the collection methodology (sampling plan), a description of the analytical and mathematical methods used, and a summary of other background data relevant to interpretation of the results obtained, are retained for at least thirty (30) years; and</w:t>
      </w:r>
    </w:p>
    <w:p w:rsidRPr="00BD35DB" w:rsidR="00196181" w:rsidRDefault="00196181" w14:paraId="7E0CF281" w14:textId="77777777">
      <w:pPr>
        <w:rPr>
          <w:rStyle w:val="blueten1"/>
          <w:rFonts w:ascii="Times New Roman" w:hAnsi="Times New Roman"/>
          <w:bCs/>
          <w:color w:val="auto"/>
          <w:sz w:val="24"/>
          <w:szCs w:val="24"/>
        </w:rPr>
      </w:pPr>
      <w:bookmarkStart w:name="1910.1020(d)(1)(ii)(B)" w:id="7"/>
      <w:bookmarkEnd w:id="7"/>
    </w:p>
    <w:p w:rsidRPr="00BD35DB" w:rsidR="00196181" w:rsidRDefault="00196181" w14:paraId="51C03CBE" w14:textId="77777777">
      <w:pPr>
        <w:ind w:left="1440"/>
        <w:rPr>
          <w:sz w:val="24"/>
        </w:rPr>
      </w:pPr>
      <w:r w:rsidRPr="00BD35DB">
        <w:rPr>
          <w:bCs/>
          <w:sz w:val="24"/>
        </w:rPr>
        <w:t>§</w:t>
      </w:r>
      <w:hyperlink w:history="1" r:id="rId14">
        <w:r w:rsidRPr="00BD35DB">
          <w:rPr>
            <w:rStyle w:val="Hyperlink"/>
            <w:bCs/>
            <w:color w:val="auto"/>
            <w:sz w:val="24"/>
            <w:u w:val="none"/>
          </w:rPr>
          <w:t>1910.1020(d)(1)(ii)(B)</w:t>
        </w:r>
      </w:hyperlink>
      <w:r w:rsidRPr="00BD35DB">
        <w:rPr>
          <w:rStyle w:val="blueten1"/>
          <w:rFonts w:ascii="Times New Roman" w:hAnsi="Times New Roman"/>
          <w:color w:val="auto"/>
          <w:sz w:val="24"/>
          <w:szCs w:val="24"/>
        </w:rPr>
        <w:t xml:space="preserve"> - </w:t>
      </w:r>
      <w:r w:rsidRPr="00BD35DB">
        <w:rPr>
          <w:sz w:val="24"/>
        </w:rPr>
        <w:t>Material safety data sheets and paragraph (c)(5)(iv) records concerning the identity of a substance or agent need not be retained for any specified period as long as some record of the identity (chemical name if known) of the substance or agent, where it was used, and when it was used is retained for at least thirty (30) years;</w:t>
      </w:r>
      <w:r w:rsidRPr="00BD35DB">
        <w:rPr>
          <w:rStyle w:val="FootnoteReference"/>
          <w:sz w:val="24"/>
          <w:vertAlign w:val="superscript"/>
        </w:rPr>
        <w:footnoteReference w:id="5"/>
      </w:r>
      <w:r w:rsidRPr="00BD35DB">
        <w:rPr>
          <w:sz w:val="24"/>
        </w:rPr>
        <w:t xml:space="preserve"> </w:t>
      </w:r>
      <w:r w:rsidRPr="00BD35DB">
        <w:rPr>
          <w:sz w:val="24"/>
        </w:rPr>
        <w:lastRenderedPageBreak/>
        <w:t xml:space="preserve">and </w:t>
      </w:r>
      <w:r w:rsidRPr="00BD35DB">
        <w:rPr>
          <w:sz w:val="24"/>
        </w:rPr>
        <w:br/>
      </w:r>
      <w:r w:rsidRPr="00BD35DB">
        <w:rPr>
          <w:sz w:val="24"/>
        </w:rPr>
        <w:br/>
      </w:r>
      <w:bookmarkStart w:name="1910.1020(d)(1)(ii)(C)" w:id="8"/>
      <w:bookmarkEnd w:id="8"/>
      <w:r w:rsidRPr="00BD35DB">
        <w:rPr>
          <w:bCs/>
          <w:sz w:val="24"/>
        </w:rPr>
        <w:t>§</w:t>
      </w:r>
      <w:r w:rsidRPr="00BD35DB">
        <w:rPr>
          <w:rStyle w:val="blueten1"/>
          <w:rFonts w:ascii="Times New Roman" w:hAnsi="Times New Roman"/>
          <w:bCs/>
          <w:color w:val="auto"/>
          <w:sz w:val="24"/>
          <w:szCs w:val="24"/>
        </w:rPr>
        <w:t>1910.1020(d)(1)(ii)(C)</w:t>
      </w:r>
      <w:r w:rsidRPr="00BD35DB">
        <w:rPr>
          <w:rStyle w:val="blueten1"/>
          <w:rFonts w:ascii="Times New Roman" w:hAnsi="Times New Roman"/>
          <w:color w:val="auto"/>
          <w:sz w:val="24"/>
          <w:szCs w:val="24"/>
        </w:rPr>
        <w:t xml:space="preserve"> - </w:t>
      </w:r>
      <w:r w:rsidRPr="00BD35DB">
        <w:rPr>
          <w:sz w:val="24"/>
        </w:rPr>
        <w:t>Biological monitoring results designated as exposure records by specific occupational safety and health standards shall be preserved and maintained as required by the specific standard.</w:t>
      </w:r>
    </w:p>
    <w:p w:rsidRPr="00BD35DB" w:rsidR="00196181" w:rsidRDefault="00196181" w14:paraId="56E724DB" w14:textId="77777777">
      <w:pPr>
        <w:ind w:left="720"/>
        <w:rPr>
          <w:i/>
          <w:sz w:val="24"/>
        </w:rPr>
      </w:pPr>
    </w:p>
    <w:p w:rsidRPr="00BD35DB" w:rsidR="00196181" w:rsidRDefault="00196181" w14:paraId="7C7DCB9C" w14:textId="77777777">
      <w:pPr>
        <w:ind w:left="720"/>
        <w:rPr>
          <w:sz w:val="24"/>
        </w:rPr>
      </w:pPr>
      <w:r w:rsidRPr="00BD35DB">
        <w:rPr>
          <w:bCs/>
          <w:i/>
          <w:sz w:val="24"/>
        </w:rPr>
        <w:t>§</w:t>
      </w:r>
      <w:r w:rsidRPr="00BD35DB">
        <w:rPr>
          <w:rStyle w:val="blueten1"/>
          <w:rFonts w:ascii="Times New Roman" w:hAnsi="Times New Roman"/>
          <w:bCs/>
          <w:i/>
          <w:color w:val="auto"/>
          <w:sz w:val="24"/>
          <w:szCs w:val="24"/>
        </w:rPr>
        <w:t xml:space="preserve">1910.1020(d)(1)(iii) - </w:t>
      </w:r>
      <w:r w:rsidRPr="00BD35DB">
        <w:rPr>
          <w:sz w:val="24"/>
        </w:rPr>
        <w:t>Analyses using exposure or medical records.</w:t>
      </w:r>
      <w:bookmarkStart w:name="1910.1020(d)(1)(iii)" w:id="9"/>
      <w:bookmarkEnd w:id="9"/>
      <w:r w:rsidRPr="00BD35DB">
        <w:rPr>
          <w:sz w:val="24"/>
        </w:rPr>
        <w:t xml:space="preserve"> Each analysis using exposure or medical records shall be preserved and maintained for at least thirty (30) years.</w:t>
      </w:r>
    </w:p>
    <w:p w:rsidRPr="00BD35DB" w:rsidR="00C17CF8" w:rsidRDefault="00C17CF8" w14:paraId="00F908A7" w14:textId="77777777">
      <w:pPr>
        <w:rPr>
          <w:rFonts w:ascii="Arial" w:hAnsi="Arial" w:cs="Arial"/>
          <w:szCs w:val="20"/>
        </w:rPr>
      </w:pPr>
    </w:p>
    <w:p w:rsidRPr="00BD35DB" w:rsidR="00196181" w:rsidRDefault="00C17CF8" w14:paraId="6CCD8E36" w14:textId="77777777">
      <w:pPr>
        <w:rPr>
          <w:sz w:val="24"/>
        </w:rPr>
      </w:pPr>
      <w:r w:rsidRPr="00BD35DB">
        <w:rPr>
          <w:bCs/>
          <w:i/>
          <w:sz w:val="24"/>
        </w:rPr>
        <w:t>§</w:t>
      </w:r>
      <w:r w:rsidRPr="00BD35DB">
        <w:rPr>
          <w:rStyle w:val="blueten1"/>
          <w:rFonts w:ascii="Times New Roman" w:hAnsi="Times New Roman"/>
          <w:bCs/>
          <w:i/>
          <w:color w:val="auto"/>
          <w:sz w:val="24"/>
          <w:szCs w:val="24"/>
        </w:rPr>
        <w:t>1910.1020(d)</w:t>
      </w:r>
      <w:r w:rsidRPr="00BD35DB">
        <w:rPr>
          <w:rFonts w:ascii="Arial" w:hAnsi="Arial" w:cs="Arial"/>
          <w:i/>
          <w:szCs w:val="20"/>
        </w:rPr>
        <w:t>(2)</w:t>
      </w:r>
      <w:r w:rsidRPr="00BD35DB">
        <w:rPr>
          <w:rFonts w:ascii="Arial" w:hAnsi="Arial" w:cs="Arial"/>
          <w:szCs w:val="20"/>
        </w:rPr>
        <w:t xml:space="preserve"> - </w:t>
      </w:r>
      <w:r w:rsidRPr="00BD35DB">
        <w:rPr>
          <w:sz w:val="24"/>
        </w:rPr>
        <w:t>Nothing in this section is intended to mandate the form, manner, or process by which an employer preserves a record as long as the information contained in the record is preserved and retrievable, except that chest X-ray films shall be preserved in their original state.</w:t>
      </w:r>
    </w:p>
    <w:p w:rsidRPr="00BD35DB" w:rsidR="00196181" w:rsidRDefault="00196181" w14:paraId="24D599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b/>
          <w:sz w:val="24"/>
          <w:u w:val="single"/>
        </w:rPr>
        <w:t>Purpose</w:t>
      </w:r>
      <w:r w:rsidRPr="00BD35DB">
        <w:rPr>
          <w:b/>
          <w:sz w:val="24"/>
        </w:rPr>
        <w:t xml:space="preserve">:  </w:t>
      </w:r>
      <w:r w:rsidRPr="00BD35DB">
        <w:rPr>
          <w:sz w:val="24"/>
        </w:rPr>
        <w:t xml:space="preserve">Exposure-monitoring and medical records are maintained principally to protect </w:t>
      </w:r>
      <w:r w:rsidRPr="00BD35DB" w:rsidR="0072553F">
        <w:rPr>
          <w:sz w:val="24"/>
        </w:rPr>
        <w:t>worker</w:t>
      </w:r>
      <w:r w:rsidRPr="00BD35DB">
        <w:rPr>
          <w:sz w:val="24"/>
        </w:rPr>
        <w:t xml:space="preserve"> health, to assist in the prevention or early diagnosis of adverse health </w:t>
      </w:r>
      <w:r w:rsidRPr="00BD35DB" w:rsidR="00D859DF">
        <w:rPr>
          <w:sz w:val="24"/>
        </w:rPr>
        <w:t>effects</w:t>
      </w:r>
      <w:r w:rsidRPr="00BD35DB">
        <w:rPr>
          <w:sz w:val="24"/>
        </w:rPr>
        <w:t xml:space="preserve">, and to provide valuable information to both </w:t>
      </w:r>
      <w:r w:rsidRPr="00BD35DB" w:rsidR="0072553F">
        <w:rPr>
          <w:sz w:val="24"/>
        </w:rPr>
        <w:t>worker</w:t>
      </w:r>
      <w:r w:rsidRPr="00BD35DB">
        <w:rPr>
          <w:sz w:val="24"/>
        </w:rPr>
        <w:t>s and employers.  The records also assist OSHA in enforcing the Regulation.</w:t>
      </w:r>
      <w:r w:rsidRPr="00BD35DB">
        <w:t xml:space="preserve">  </w:t>
      </w:r>
      <w:r w:rsidRPr="00BD35DB">
        <w:rPr>
          <w:sz w:val="24"/>
        </w:rPr>
        <w:t xml:space="preserve">Sound public policy mandates that employers afford </w:t>
      </w:r>
      <w:r w:rsidRPr="00BD35DB" w:rsidR="0072553F">
        <w:rPr>
          <w:sz w:val="24"/>
        </w:rPr>
        <w:t>worker</w:t>
      </w:r>
      <w:r w:rsidRPr="00BD35DB">
        <w:rPr>
          <w:sz w:val="24"/>
        </w:rPr>
        <w:t xml:space="preserve">s with a meaningful opportunity to detect and resolve their occupationally-related health problems.  This requirement provides employers, </w:t>
      </w:r>
      <w:r w:rsidRPr="00BD35DB" w:rsidR="0072553F">
        <w:rPr>
          <w:sz w:val="24"/>
        </w:rPr>
        <w:t>worker</w:t>
      </w:r>
      <w:r w:rsidRPr="00BD35DB">
        <w:rPr>
          <w:sz w:val="24"/>
        </w:rPr>
        <w:t>s and their designated representatives with the information they need to detect, treat, and prevent occupational disease</w:t>
      </w:r>
      <w:r w:rsidRPr="00BD35DB" w:rsidR="00480C0E">
        <w:rPr>
          <w:sz w:val="24"/>
        </w:rPr>
        <w:t>;</w:t>
      </w:r>
      <w:r w:rsidRPr="00BD35DB">
        <w:rPr>
          <w:sz w:val="24"/>
        </w:rPr>
        <w:t xml:space="preserve"> thereby</w:t>
      </w:r>
      <w:r w:rsidRPr="00BD35DB" w:rsidR="00480C0E">
        <w:rPr>
          <w:sz w:val="24"/>
        </w:rPr>
        <w:t>,</w:t>
      </w:r>
      <w:r w:rsidRPr="00BD35DB">
        <w:rPr>
          <w:sz w:val="24"/>
        </w:rPr>
        <w:t xml:space="preserve"> permitting </w:t>
      </w:r>
      <w:r w:rsidRPr="00BD35DB" w:rsidR="0072553F">
        <w:rPr>
          <w:sz w:val="24"/>
        </w:rPr>
        <w:t>worker</w:t>
      </w:r>
      <w:r w:rsidRPr="00BD35DB">
        <w:rPr>
          <w:sz w:val="24"/>
        </w:rPr>
        <w:t>s to become involved in their own health management.</w:t>
      </w:r>
    </w:p>
    <w:p w:rsidRPr="00BD35DB" w:rsidR="00196181" w:rsidRDefault="00196181" w14:paraId="316F31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11CCA4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4"/>
        </w:rPr>
      </w:pPr>
      <w:r w:rsidRPr="00BD35DB">
        <w:rPr>
          <w:b/>
          <w:bCs/>
          <w:i/>
          <w:sz w:val="24"/>
        </w:rPr>
        <w:t>B.  Access to Records (§1910.1020(e))</w:t>
      </w:r>
    </w:p>
    <w:p w:rsidRPr="00BD35DB" w:rsidR="00196181" w:rsidRDefault="00196181" w14:paraId="72CE7CE9" w14:textId="77777777">
      <w:pPr>
        <w:rPr>
          <w:rStyle w:val="blueten1"/>
          <w:b/>
          <w:bCs/>
          <w:color w:val="757575"/>
          <w:sz w:val="14"/>
          <w:szCs w:val="14"/>
        </w:rPr>
      </w:pPr>
    </w:p>
    <w:p w:rsidRPr="00BD35DB" w:rsidR="00196181" w:rsidRDefault="00196181" w14:paraId="769AF75E" w14:textId="77777777">
      <w:pPr>
        <w:rPr>
          <w:rStyle w:val="blueten1"/>
          <w:rFonts w:ascii="Times New Roman" w:hAnsi="Times New Roman"/>
          <w:b/>
          <w:bCs/>
          <w:i/>
          <w:color w:val="000000"/>
          <w:sz w:val="24"/>
          <w:szCs w:val="24"/>
        </w:rPr>
      </w:pPr>
      <w:r w:rsidRPr="00BD35DB">
        <w:rPr>
          <w:i/>
          <w:color w:val="000000"/>
          <w:sz w:val="24"/>
        </w:rPr>
        <w:t xml:space="preserve">General </w:t>
      </w:r>
      <w:bookmarkStart w:name="1910.1020(e)(1)(i)" w:id="10"/>
      <w:bookmarkEnd w:id="10"/>
      <w:r w:rsidRPr="00BD35DB">
        <w:rPr>
          <w:i/>
          <w:color w:val="000000"/>
          <w:sz w:val="24"/>
        </w:rPr>
        <w:t>(</w:t>
      </w:r>
      <w:r w:rsidRPr="00BD35DB">
        <w:rPr>
          <w:bCs/>
          <w:i/>
          <w:sz w:val="24"/>
        </w:rPr>
        <w:t>§</w:t>
      </w:r>
      <w:r w:rsidRPr="00BD35DB">
        <w:rPr>
          <w:rStyle w:val="blueten1"/>
          <w:rFonts w:ascii="Times New Roman" w:hAnsi="Times New Roman"/>
          <w:bCs/>
          <w:i/>
          <w:color w:val="000000"/>
          <w:sz w:val="24"/>
          <w:szCs w:val="24"/>
        </w:rPr>
        <w:t>1910.1020(e)(1))</w:t>
      </w:r>
    </w:p>
    <w:p w:rsidRPr="00BD35DB" w:rsidR="00196181" w:rsidRDefault="00196181" w14:paraId="3210D3C0" w14:textId="77777777">
      <w:pPr>
        <w:rPr>
          <w:rStyle w:val="blueten1"/>
          <w:rFonts w:ascii="Times New Roman" w:hAnsi="Times New Roman"/>
          <w:b/>
          <w:bCs/>
          <w:i/>
          <w:color w:val="000000"/>
          <w:sz w:val="24"/>
          <w:szCs w:val="24"/>
        </w:rPr>
      </w:pPr>
    </w:p>
    <w:p w:rsidRPr="00BD35DB" w:rsidR="00196181" w:rsidRDefault="00196181" w14:paraId="4A98374E" w14:textId="77777777">
      <w:pPr>
        <w:ind w:left="720"/>
        <w:rPr>
          <w:color w:val="000000"/>
          <w:sz w:val="24"/>
        </w:rPr>
      </w:pPr>
      <w:r w:rsidRPr="00BD35DB">
        <w:rPr>
          <w:bCs/>
          <w:i/>
          <w:sz w:val="24"/>
        </w:rPr>
        <w:t>§</w:t>
      </w:r>
      <w:r w:rsidRPr="00BD35DB">
        <w:rPr>
          <w:rStyle w:val="blueten1"/>
          <w:rFonts w:ascii="Times New Roman" w:hAnsi="Times New Roman"/>
          <w:bCs/>
          <w:i/>
          <w:color w:val="auto"/>
          <w:sz w:val="24"/>
          <w:szCs w:val="24"/>
        </w:rPr>
        <w:t xml:space="preserve">1910.1020(e)(1)(i) - </w:t>
      </w:r>
      <w:r w:rsidRPr="00BD35DB">
        <w:rPr>
          <w:color w:val="000000"/>
          <w:sz w:val="24"/>
        </w:rPr>
        <w:t>Whenever an employee or designated representative requests access to a record, the employer shall assure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Pr="00BD35DB" w:rsidR="00C17CF8" w:rsidRDefault="00C17CF8" w14:paraId="4C8E7AE9" w14:textId="77777777">
      <w:pPr>
        <w:ind w:left="720"/>
        <w:rPr>
          <w:i/>
          <w:sz w:val="24"/>
        </w:rPr>
      </w:pPr>
    </w:p>
    <w:p w:rsidRPr="00BD35DB" w:rsidR="00C17CF8" w:rsidP="00C17CF8" w:rsidRDefault="00C17CF8" w14:paraId="110E12BE" w14:textId="77777777">
      <w:pPr>
        <w:ind w:left="720"/>
        <w:rPr>
          <w:sz w:val="24"/>
        </w:rPr>
      </w:pPr>
      <w:r w:rsidRPr="00BD35DB">
        <w:rPr>
          <w:bCs/>
          <w:i/>
          <w:sz w:val="24"/>
        </w:rPr>
        <w:t>§</w:t>
      </w:r>
      <w:r w:rsidRPr="00BD35DB">
        <w:rPr>
          <w:rStyle w:val="blueten1"/>
          <w:rFonts w:ascii="Times New Roman" w:hAnsi="Times New Roman"/>
          <w:bCs/>
          <w:i/>
          <w:color w:val="auto"/>
          <w:sz w:val="24"/>
          <w:szCs w:val="24"/>
        </w:rPr>
        <w:t>1910.1020(e)(1)</w:t>
      </w:r>
      <w:r w:rsidRPr="00BD35DB">
        <w:rPr>
          <w:i/>
          <w:sz w:val="24"/>
        </w:rPr>
        <w:t>(iii)</w:t>
      </w:r>
      <w:r w:rsidRPr="00BD35DB">
        <w:rPr>
          <w:sz w:val="24"/>
        </w:rPr>
        <w:t xml:space="preserve"> - Whenever an employee or designated representative requests a copy of a record, the employer shall assure that either:</w:t>
      </w:r>
    </w:p>
    <w:p w:rsidRPr="00BD35DB" w:rsidR="00C17CF8" w:rsidP="00C17CF8" w:rsidRDefault="00C17CF8" w14:paraId="63F1AB2F" w14:textId="77777777">
      <w:pPr>
        <w:ind w:left="720"/>
        <w:rPr>
          <w:sz w:val="24"/>
        </w:rPr>
      </w:pPr>
    </w:p>
    <w:p w:rsidRPr="00BD35DB" w:rsidR="00C17CF8" w:rsidP="00212CC0" w:rsidRDefault="00C17CF8" w14:paraId="494111B3" w14:textId="77777777">
      <w:pPr>
        <w:ind w:left="1440"/>
        <w:rPr>
          <w:sz w:val="24"/>
        </w:rPr>
      </w:pPr>
      <w:r w:rsidRPr="00BD35DB">
        <w:rPr>
          <w:sz w:val="24"/>
        </w:rPr>
        <w:t>§1910.1020(e)(1)(iii)(A) - A copy of the record is provided without cost to the employee or  representative,</w:t>
      </w:r>
    </w:p>
    <w:p w:rsidRPr="00BD35DB" w:rsidR="00C17CF8" w:rsidP="00212CC0" w:rsidRDefault="00C17CF8" w14:paraId="6050E1E2" w14:textId="77777777">
      <w:pPr>
        <w:ind w:left="1440"/>
        <w:rPr>
          <w:sz w:val="24"/>
        </w:rPr>
      </w:pPr>
    </w:p>
    <w:p w:rsidRPr="00BD35DB" w:rsidR="00C17CF8" w:rsidP="00212CC0" w:rsidRDefault="00C17CF8" w14:paraId="19F67D7C" w14:textId="77777777">
      <w:pPr>
        <w:ind w:left="1440"/>
        <w:rPr>
          <w:sz w:val="24"/>
        </w:rPr>
      </w:pPr>
      <w:r w:rsidRPr="00BD35DB">
        <w:rPr>
          <w:sz w:val="24"/>
        </w:rPr>
        <w:lastRenderedPageBreak/>
        <w:t>§1910.1020(e)(1)(iii)(B) - The necessary mechanical copying facilities (e.g., photocopying) are made available without cost to the employee or representative for copying the record, or</w:t>
      </w:r>
    </w:p>
    <w:p w:rsidRPr="00BD35DB" w:rsidR="00C17CF8" w:rsidP="00212CC0" w:rsidRDefault="00C17CF8" w14:paraId="2038C47B" w14:textId="77777777">
      <w:pPr>
        <w:ind w:left="1440"/>
        <w:rPr>
          <w:sz w:val="24"/>
        </w:rPr>
      </w:pPr>
    </w:p>
    <w:p w:rsidRPr="00BD35DB" w:rsidR="00C17CF8" w:rsidP="00212CC0" w:rsidRDefault="00C17CF8" w14:paraId="3CD672A2" w14:textId="77777777">
      <w:pPr>
        <w:ind w:left="1440"/>
        <w:rPr>
          <w:sz w:val="24"/>
        </w:rPr>
      </w:pPr>
      <w:r w:rsidRPr="00BD35DB">
        <w:rPr>
          <w:sz w:val="24"/>
        </w:rPr>
        <w:t>§1910.1020(e)(1)(iii)(C) - The record is loaned to the employee or representative for a reasonable time to enable a copy to be made.</w:t>
      </w:r>
    </w:p>
    <w:p w:rsidRPr="00BD35DB" w:rsidR="00196181" w:rsidRDefault="00196181" w14:paraId="09F883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1DD6A685" w14:textId="77777777">
      <w:pPr>
        <w:rPr>
          <w:rStyle w:val="blueten1"/>
          <w:rFonts w:ascii="Times New Roman" w:hAnsi="Times New Roman"/>
          <w:i/>
          <w:color w:val="auto"/>
          <w:sz w:val="24"/>
          <w:szCs w:val="24"/>
        </w:rPr>
      </w:pPr>
      <w:r w:rsidRPr="00BD35DB">
        <w:rPr>
          <w:i/>
          <w:sz w:val="24"/>
        </w:rPr>
        <w:t>Employee and designated representative access (</w:t>
      </w:r>
      <w:r w:rsidRPr="00BD35DB">
        <w:rPr>
          <w:bCs/>
          <w:i/>
          <w:sz w:val="24"/>
        </w:rPr>
        <w:t>§</w:t>
      </w:r>
      <w:hyperlink w:history="1" r:id="rId15">
        <w:r w:rsidRPr="00BD35DB">
          <w:rPr>
            <w:rStyle w:val="Hyperlink"/>
            <w:bCs/>
            <w:i/>
            <w:color w:val="auto"/>
            <w:sz w:val="24"/>
            <w:u w:val="none"/>
          </w:rPr>
          <w:t>1910.1020(e)(2)</w:t>
        </w:r>
      </w:hyperlink>
      <w:r w:rsidRPr="00BD35DB">
        <w:rPr>
          <w:rStyle w:val="blueten1"/>
          <w:rFonts w:ascii="Times New Roman" w:hAnsi="Times New Roman"/>
          <w:i/>
          <w:color w:val="auto"/>
          <w:sz w:val="24"/>
          <w:szCs w:val="24"/>
        </w:rPr>
        <w:t>)</w:t>
      </w:r>
    </w:p>
    <w:p w:rsidRPr="00BD35DB" w:rsidR="00196181" w:rsidRDefault="00196181" w14:paraId="4EBEFF74" w14:textId="77777777">
      <w:pPr>
        <w:rPr>
          <w:rStyle w:val="blueten1"/>
          <w:b/>
          <w:bCs/>
          <w:color w:val="757575"/>
          <w:sz w:val="14"/>
          <w:szCs w:val="14"/>
        </w:rPr>
      </w:pPr>
      <w:bookmarkStart w:name="1910.1020(e)(2)(i)" w:id="11"/>
      <w:bookmarkEnd w:id="11"/>
    </w:p>
    <w:p w:rsidRPr="00BD35DB" w:rsidR="00196181" w:rsidRDefault="00196181" w14:paraId="105AD564" w14:textId="77777777">
      <w:pPr>
        <w:ind w:firstLine="720"/>
        <w:rPr>
          <w:sz w:val="24"/>
        </w:rPr>
      </w:pPr>
      <w:r w:rsidRPr="00BD35DB">
        <w:rPr>
          <w:bCs/>
          <w:i/>
          <w:sz w:val="24"/>
        </w:rPr>
        <w:t>§</w:t>
      </w:r>
      <w:r w:rsidRPr="00BD35DB">
        <w:rPr>
          <w:rStyle w:val="blueten1"/>
          <w:rFonts w:ascii="Times New Roman" w:hAnsi="Times New Roman"/>
          <w:bCs/>
          <w:i/>
          <w:color w:val="auto"/>
          <w:sz w:val="24"/>
          <w:szCs w:val="24"/>
        </w:rPr>
        <w:t>1910.1020(e)(2)(i)</w:t>
      </w:r>
      <w:r w:rsidRPr="00BD35DB">
        <w:rPr>
          <w:rStyle w:val="blueten1"/>
          <w:rFonts w:ascii="Times New Roman" w:hAnsi="Times New Roman"/>
          <w:i/>
          <w:color w:val="auto"/>
          <w:sz w:val="24"/>
          <w:szCs w:val="24"/>
        </w:rPr>
        <w:t xml:space="preserve"> </w:t>
      </w:r>
      <w:r w:rsidRPr="00BD35DB">
        <w:rPr>
          <w:sz w:val="24"/>
        </w:rPr>
        <w:t>Employee exposure records.</w:t>
      </w:r>
    </w:p>
    <w:p w:rsidRPr="00BD35DB" w:rsidR="00196181" w:rsidRDefault="00196181" w14:paraId="07B9256A" w14:textId="77777777">
      <w:pPr>
        <w:rPr>
          <w:rStyle w:val="blueten1"/>
          <w:rFonts w:ascii="Times New Roman" w:hAnsi="Times New Roman"/>
          <w:b/>
          <w:bCs/>
          <w:color w:val="auto"/>
          <w:sz w:val="24"/>
          <w:szCs w:val="24"/>
        </w:rPr>
      </w:pPr>
      <w:bookmarkStart w:name="1910.1020(e)(2)(i)(A)" w:id="12"/>
      <w:bookmarkEnd w:id="12"/>
    </w:p>
    <w:p w:rsidRPr="00BD35DB" w:rsidR="00196181" w:rsidRDefault="00196181" w14:paraId="64DCFCF1" w14:textId="77777777">
      <w:pPr>
        <w:ind w:left="1440"/>
        <w:rPr>
          <w:sz w:val="24"/>
        </w:rPr>
      </w:pPr>
      <w:r w:rsidRPr="00BD35DB">
        <w:rPr>
          <w:bCs/>
          <w:sz w:val="24"/>
        </w:rPr>
        <w:t>§</w:t>
      </w:r>
      <w:r w:rsidRPr="00BD35DB">
        <w:rPr>
          <w:rStyle w:val="blueten1"/>
          <w:rFonts w:ascii="Times New Roman" w:hAnsi="Times New Roman"/>
          <w:bCs/>
          <w:color w:val="auto"/>
          <w:sz w:val="24"/>
          <w:szCs w:val="24"/>
        </w:rPr>
        <w:t>1910.1020(e)(2)(i)(A)</w:t>
      </w:r>
      <w:r w:rsidRPr="00BD35DB">
        <w:rPr>
          <w:rStyle w:val="blueten1"/>
          <w:rFonts w:ascii="Times New Roman" w:hAnsi="Times New Roman"/>
          <w:color w:val="auto"/>
          <w:sz w:val="24"/>
          <w:szCs w:val="24"/>
        </w:rPr>
        <w:t xml:space="preserve"> - </w:t>
      </w:r>
      <w:r w:rsidRPr="00BD35DB">
        <w:rPr>
          <w:sz w:val="24"/>
        </w:rPr>
        <w:t>Except as limited by paragraph (f) of this section, each employer shall, upon request, assure the access to each employee and designated representative to employee exposure records relevant to the employee.  For the purpose of this section, an exposure record relevant to the employee consists of:</w:t>
      </w:r>
    </w:p>
    <w:p w:rsidRPr="00BD35DB" w:rsidR="00196181" w:rsidRDefault="00196181" w14:paraId="0CE0948D" w14:textId="77777777"/>
    <w:p w:rsidRPr="00BD35DB" w:rsidR="00196181" w:rsidRDefault="00196181" w14:paraId="1EAFA763" w14:textId="77777777">
      <w:pPr>
        <w:ind w:left="1440"/>
        <w:rPr>
          <w:sz w:val="24"/>
        </w:rPr>
      </w:pPr>
      <w:bookmarkStart w:name="1910.1020(e)(2)(i)(A)(1)" w:id="13"/>
      <w:bookmarkEnd w:id="13"/>
      <w:r w:rsidRPr="00BD35DB">
        <w:rPr>
          <w:bCs/>
          <w:i/>
          <w:sz w:val="24"/>
          <w:u w:val="single"/>
        </w:rPr>
        <w:t>§</w:t>
      </w:r>
      <w:r w:rsidRPr="00BD35DB">
        <w:rPr>
          <w:rStyle w:val="blueten1"/>
          <w:rFonts w:ascii="Times New Roman" w:hAnsi="Times New Roman"/>
          <w:bCs/>
          <w:i/>
          <w:color w:val="auto"/>
          <w:sz w:val="24"/>
          <w:szCs w:val="24"/>
          <w:u w:val="single"/>
        </w:rPr>
        <w:t>1910.1020(e)(2)(i)(A)(1)</w:t>
      </w:r>
      <w:r w:rsidRPr="00BD35DB">
        <w:rPr>
          <w:rStyle w:val="blueten1"/>
          <w:rFonts w:ascii="Times New Roman" w:hAnsi="Times New Roman"/>
          <w:color w:val="auto"/>
          <w:sz w:val="24"/>
          <w:szCs w:val="24"/>
        </w:rPr>
        <w:t xml:space="preserve"> - </w:t>
      </w:r>
      <w:r w:rsidRPr="00BD35DB">
        <w:rPr>
          <w:sz w:val="24"/>
        </w:rPr>
        <w:t>A record which measures or monitors the amount of a toxic substance or harmful physical agent to which the employee is or has been exposed;</w:t>
      </w:r>
    </w:p>
    <w:p w:rsidRPr="00BD35DB" w:rsidR="00196181" w:rsidRDefault="00196181" w14:paraId="53B5435A" w14:textId="77777777">
      <w:pPr>
        <w:rPr>
          <w:rStyle w:val="blueten1"/>
          <w:b/>
          <w:bCs/>
          <w:color w:val="757575"/>
          <w:sz w:val="14"/>
          <w:szCs w:val="14"/>
        </w:rPr>
      </w:pPr>
      <w:bookmarkStart w:name="1910.1020(e)(2)(i)(A)(2)" w:id="14"/>
      <w:bookmarkEnd w:id="14"/>
    </w:p>
    <w:p w:rsidRPr="00BD35DB" w:rsidR="00196181" w:rsidRDefault="00196181" w14:paraId="6BE5AAFC" w14:textId="77777777">
      <w:pPr>
        <w:ind w:left="1440"/>
        <w:rPr>
          <w:sz w:val="24"/>
        </w:rPr>
      </w:pPr>
      <w:r w:rsidRPr="00BD35DB">
        <w:rPr>
          <w:bCs/>
          <w:i/>
          <w:sz w:val="24"/>
          <w:u w:val="single"/>
        </w:rPr>
        <w:t>§</w:t>
      </w:r>
      <w:r w:rsidRPr="00BD35DB">
        <w:rPr>
          <w:rStyle w:val="blueten1"/>
          <w:rFonts w:ascii="Times New Roman" w:hAnsi="Times New Roman"/>
          <w:bCs/>
          <w:i/>
          <w:color w:val="auto"/>
          <w:sz w:val="24"/>
          <w:szCs w:val="24"/>
          <w:u w:val="single"/>
        </w:rPr>
        <w:t>1910.1020(e)(2)(i)(A)(2)</w:t>
      </w:r>
      <w:r w:rsidRPr="00BD35DB">
        <w:rPr>
          <w:rStyle w:val="blueten1"/>
          <w:rFonts w:ascii="Times New Roman" w:hAnsi="Times New Roman"/>
          <w:color w:val="auto"/>
          <w:sz w:val="24"/>
          <w:szCs w:val="24"/>
        </w:rPr>
        <w:t xml:space="preserve"> - </w:t>
      </w:r>
      <w:r w:rsidRPr="00BD35DB">
        <w:rPr>
          <w:sz w:val="24"/>
        </w:rPr>
        <w:t>In the absence of such directly relevant records, such records of other employees with past or present job duties or working conditions related to or similar to those of the employee to the extent necessary to reasonably indicate the amount and nature of the toxic substances or harmful physical agents to which the employee is or has been subjected, and</w:t>
      </w:r>
    </w:p>
    <w:p w:rsidRPr="00BD35DB" w:rsidR="00196181" w:rsidRDefault="00196181" w14:paraId="64DD76D6" w14:textId="77777777">
      <w:pPr>
        <w:ind w:left="1440"/>
        <w:rPr>
          <w:sz w:val="24"/>
        </w:rPr>
      </w:pPr>
    </w:p>
    <w:p w:rsidRPr="00BD35DB" w:rsidR="00196181" w:rsidRDefault="00196181" w14:paraId="1F24E229" w14:textId="77777777">
      <w:pPr>
        <w:ind w:left="1440"/>
        <w:rPr>
          <w:sz w:val="24"/>
        </w:rPr>
      </w:pPr>
      <w:bookmarkStart w:name="1910.1020(e)(2)(i)(A)(3)" w:id="15"/>
      <w:bookmarkEnd w:id="15"/>
      <w:r w:rsidRPr="00BD35DB">
        <w:rPr>
          <w:bCs/>
          <w:i/>
          <w:sz w:val="24"/>
          <w:u w:val="single"/>
        </w:rPr>
        <w:t>§</w:t>
      </w:r>
      <w:r w:rsidRPr="00BD35DB">
        <w:rPr>
          <w:rStyle w:val="blueten1"/>
          <w:rFonts w:ascii="Times New Roman" w:hAnsi="Times New Roman"/>
          <w:bCs/>
          <w:i/>
          <w:color w:val="auto"/>
          <w:sz w:val="24"/>
          <w:szCs w:val="24"/>
          <w:u w:val="single"/>
        </w:rPr>
        <w:t>1910.1020(e)(2)(i)(A)(3</w:t>
      </w:r>
      <w:r w:rsidRPr="00BD35DB">
        <w:rPr>
          <w:rStyle w:val="blueten1"/>
          <w:rFonts w:ascii="Times New Roman" w:hAnsi="Times New Roman"/>
          <w:bCs/>
          <w:i/>
          <w:color w:val="auto"/>
          <w:sz w:val="24"/>
          <w:szCs w:val="24"/>
        </w:rPr>
        <w:t>)</w:t>
      </w:r>
      <w:r w:rsidRPr="00BD35DB">
        <w:rPr>
          <w:rStyle w:val="blueten1"/>
          <w:rFonts w:ascii="Times New Roman" w:hAnsi="Times New Roman"/>
          <w:color w:val="auto"/>
          <w:sz w:val="24"/>
          <w:szCs w:val="24"/>
        </w:rPr>
        <w:t xml:space="preserve"> - </w:t>
      </w:r>
      <w:r w:rsidRPr="00BD35DB">
        <w:rPr>
          <w:sz w:val="24"/>
        </w:rPr>
        <w:t>Exposure records to the extent necessary to reasonably indicate the amount and nature of the toxic substances or harmful physical agents at workplaces or under working conditions to which the employee is being assigned or transferred.</w:t>
      </w:r>
    </w:p>
    <w:p w:rsidRPr="00BD35DB" w:rsidR="00196181" w:rsidRDefault="00196181" w14:paraId="65050061" w14:textId="77777777">
      <w:pPr>
        <w:ind w:left="720"/>
        <w:rPr>
          <w:bCs/>
          <w:sz w:val="24"/>
        </w:rPr>
      </w:pPr>
      <w:bookmarkStart w:name="1910.1020(e)(2)(i)(B)" w:id="16"/>
      <w:bookmarkEnd w:id="16"/>
    </w:p>
    <w:p w:rsidRPr="00BD35DB" w:rsidR="00993D41" w:rsidRDefault="00196181" w14:paraId="0BEC8001" w14:textId="77777777">
      <w:pPr>
        <w:ind w:left="1440"/>
        <w:rPr>
          <w:sz w:val="24"/>
        </w:rPr>
      </w:pPr>
      <w:r w:rsidRPr="00BD35DB">
        <w:rPr>
          <w:bCs/>
          <w:sz w:val="24"/>
        </w:rPr>
        <w:t>§</w:t>
      </w:r>
      <w:r w:rsidRPr="00BD35DB">
        <w:rPr>
          <w:rStyle w:val="blueten1"/>
          <w:rFonts w:ascii="Times New Roman" w:hAnsi="Times New Roman"/>
          <w:bCs/>
          <w:color w:val="auto"/>
          <w:sz w:val="24"/>
          <w:szCs w:val="24"/>
        </w:rPr>
        <w:t>1910.1020(e)(2)(i)(B)</w:t>
      </w:r>
      <w:r w:rsidRPr="00BD35DB">
        <w:rPr>
          <w:rStyle w:val="blueten1"/>
          <w:rFonts w:ascii="Times New Roman" w:hAnsi="Times New Roman"/>
          <w:color w:val="auto"/>
          <w:sz w:val="24"/>
          <w:szCs w:val="24"/>
        </w:rPr>
        <w:t xml:space="preserve"> - </w:t>
      </w:r>
      <w:r w:rsidRPr="00BD35DB">
        <w:rPr>
          <w:sz w:val="24"/>
        </w:rPr>
        <w:t>Requests by designated representatives for unconsented access to employee exposure records shall be in writing and shall specify with reasonable particularity:</w:t>
      </w:r>
    </w:p>
    <w:p w:rsidRPr="00BD35DB" w:rsidR="00F70519" w:rsidP="00594A9C" w:rsidRDefault="00F70519" w14:paraId="0AF75605" w14:textId="77777777">
      <w:pPr>
        <w:ind w:left="720" w:firstLine="720"/>
        <w:rPr>
          <w:bCs/>
          <w:i/>
          <w:sz w:val="24"/>
          <w:u w:val="single"/>
        </w:rPr>
      </w:pPr>
      <w:bookmarkStart w:name="1910.1020(e)(2)(i)(B)(1)" w:id="17"/>
      <w:bookmarkEnd w:id="17"/>
    </w:p>
    <w:p w:rsidRPr="00BD35DB" w:rsidR="00196181" w:rsidP="00212CC0" w:rsidRDefault="00196181" w14:paraId="4DABC55F" w14:textId="77777777">
      <w:pPr>
        <w:ind w:left="720" w:firstLine="720"/>
        <w:rPr>
          <w:bCs/>
          <w:i/>
          <w:sz w:val="24"/>
        </w:rPr>
      </w:pPr>
      <w:r w:rsidRPr="00BD35DB">
        <w:rPr>
          <w:bCs/>
          <w:i/>
          <w:sz w:val="24"/>
          <w:u w:val="single"/>
        </w:rPr>
        <w:t>§</w:t>
      </w:r>
      <w:r w:rsidRPr="00BD35DB">
        <w:rPr>
          <w:rStyle w:val="blueten1"/>
          <w:rFonts w:ascii="Times New Roman" w:hAnsi="Times New Roman"/>
          <w:bCs/>
          <w:i/>
          <w:color w:val="auto"/>
          <w:sz w:val="24"/>
          <w:szCs w:val="24"/>
          <w:u w:val="single"/>
        </w:rPr>
        <w:t>1910.1020(e)(2)(i)(B)(1)</w:t>
      </w:r>
      <w:r w:rsidRPr="00BD35DB">
        <w:rPr>
          <w:rStyle w:val="blueten1"/>
          <w:rFonts w:ascii="Times New Roman" w:hAnsi="Times New Roman"/>
          <w:color w:val="auto"/>
          <w:sz w:val="24"/>
          <w:szCs w:val="24"/>
        </w:rPr>
        <w:t xml:space="preserve"> - </w:t>
      </w:r>
      <w:r w:rsidRPr="00BD35DB">
        <w:rPr>
          <w:sz w:val="24"/>
        </w:rPr>
        <w:t>The record requested to be disclosed; and</w:t>
      </w:r>
      <w:bookmarkStart w:name="1910.1020(e)(2)(i)(B)(2)" w:id="18"/>
      <w:bookmarkEnd w:id="18"/>
    </w:p>
    <w:p w:rsidRPr="00BD35DB" w:rsidR="00974F0C" w:rsidRDefault="00974F0C" w14:paraId="51BFB942" w14:textId="77777777">
      <w:pPr>
        <w:ind w:left="1440"/>
        <w:rPr>
          <w:bCs/>
          <w:i/>
          <w:sz w:val="24"/>
          <w:u w:val="single"/>
        </w:rPr>
      </w:pPr>
    </w:p>
    <w:p w:rsidRPr="00BD35DB" w:rsidR="00196181" w:rsidRDefault="00196181" w14:paraId="4332FA75" w14:textId="77777777">
      <w:pPr>
        <w:ind w:left="1440"/>
        <w:rPr>
          <w:sz w:val="24"/>
        </w:rPr>
      </w:pPr>
      <w:r w:rsidRPr="00BD35DB">
        <w:rPr>
          <w:bCs/>
          <w:i/>
          <w:sz w:val="24"/>
          <w:u w:val="single"/>
        </w:rPr>
        <w:lastRenderedPageBreak/>
        <w:t>§</w:t>
      </w:r>
      <w:r w:rsidRPr="00BD35DB">
        <w:rPr>
          <w:rStyle w:val="blueten1"/>
          <w:rFonts w:ascii="Times New Roman" w:hAnsi="Times New Roman"/>
          <w:bCs/>
          <w:i/>
          <w:color w:val="auto"/>
          <w:sz w:val="24"/>
          <w:szCs w:val="24"/>
          <w:u w:val="single"/>
        </w:rPr>
        <w:t>1910.1020(e)(2)(i)(B)(2</w:t>
      </w:r>
      <w:r w:rsidRPr="00BD35DB">
        <w:rPr>
          <w:rStyle w:val="blueten1"/>
          <w:rFonts w:ascii="Times New Roman" w:hAnsi="Times New Roman"/>
          <w:bCs/>
          <w:i/>
          <w:color w:val="auto"/>
          <w:sz w:val="24"/>
          <w:szCs w:val="24"/>
        </w:rPr>
        <w:t>)</w:t>
      </w:r>
      <w:r w:rsidRPr="00BD35DB">
        <w:rPr>
          <w:rStyle w:val="blueten1"/>
          <w:rFonts w:ascii="Times New Roman" w:hAnsi="Times New Roman"/>
          <w:color w:val="auto"/>
          <w:sz w:val="24"/>
          <w:szCs w:val="24"/>
        </w:rPr>
        <w:t xml:space="preserve"> - </w:t>
      </w:r>
      <w:r w:rsidRPr="00BD35DB">
        <w:rPr>
          <w:sz w:val="24"/>
        </w:rPr>
        <w:t>The occupational health need for gaining access to these records.</w:t>
      </w:r>
      <w:r w:rsidRPr="00BD35DB">
        <w:rPr>
          <w:rStyle w:val="FootnoteReference"/>
          <w:sz w:val="24"/>
          <w:vertAlign w:val="superscript"/>
        </w:rPr>
        <w:footnoteReference w:id="6"/>
      </w:r>
    </w:p>
    <w:p w:rsidRPr="00BD35DB" w:rsidR="00196181" w:rsidRDefault="00196181" w14:paraId="15BF4069" w14:textId="77777777">
      <w:pPr>
        <w:ind w:left="1440"/>
      </w:pPr>
    </w:p>
    <w:p w:rsidRPr="00BD35DB" w:rsidR="00196181" w:rsidRDefault="00196181" w14:paraId="6516B0D1" w14:textId="77777777">
      <w:pPr>
        <w:ind w:firstLine="720"/>
        <w:rPr>
          <w:sz w:val="24"/>
        </w:rPr>
      </w:pPr>
      <w:bookmarkStart w:name="1910.1020(e)(2)(ii)" w:id="19"/>
      <w:bookmarkEnd w:id="19"/>
      <w:r w:rsidRPr="00BD35DB">
        <w:rPr>
          <w:bCs/>
          <w:i/>
          <w:sz w:val="24"/>
        </w:rPr>
        <w:t>§</w:t>
      </w:r>
      <w:r w:rsidRPr="00BD35DB">
        <w:rPr>
          <w:rStyle w:val="blueten1"/>
          <w:rFonts w:ascii="Times New Roman" w:hAnsi="Times New Roman"/>
          <w:bCs/>
          <w:i/>
          <w:color w:val="auto"/>
          <w:sz w:val="24"/>
          <w:szCs w:val="24"/>
        </w:rPr>
        <w:t>1910.1020(e)(2)(ii) -</w:t>
      </w:r>
      <w:r w:rsidRPr="00BD35DB">
        <w:rPr>
          <w:rStyle w:val="blueten1"/>
          <w:rFonts w:ascii="Times New Roman" w:hAnsi="Times New Roman"/>
          <w:i/>
          <w:color w:val="auto"/>
          <w:sz w:val="24"/>
          <w:szCs w:val="24"/>
        </w:rPr>
        <w:t xml:space="preserve"> </w:t>
      </w:r>
      <w:r w:rsidRPr="00BD35DB">
        <w:rPr>
          <w:sz w:val="24"/>
        </w:rPr>
        <w:t>Employee medical records</w:t>
      </w:r>
    </w:p>
    <w:p w:rsidRPr="00BD35DB" w:rsidR="00196181" w:rsidRDefault="00196181" w14:paraId="328A365E" w14:textId="77777777"/>
    <w:p w:rsidRPr="00BD35DB" w:rsidR="00196181" w:rsidRDefault="00196181" w14:paraId="7B5471F6" w14:textId="77777777">
      <w:pPr>
        <w:ind w:left="1440"/>
        <w:rPr>
          <w:sz w:val="24"/>
        </w:rPr>
      </w:pPr>
      <w:bookmarkStart w:name="1910.1020(e)(2)(ii)(A)" w:id="20"/>
      <w:bookmarkEnd w:id="20"/>
      <w:r w:rsidRPr="00BD35DB">
        <w:rPr>
          <w:bCs/>
          <w:sz w:val="24"/>
        </w:rPr>
        <w:t>§</w:t>
      </w:r>
      <w:r w:rsidRPr="00BD35DB">
        <w:rPr>
          <w:rStyle w:val="blueten1"/>
          <w:rFonts w:ascii="Times New Roman" w:hAnsi="Times New Roman"/>
          <w:bCs/>
          <w:color w:val="auto"/>
          <w:sz w:val="24"/>
          <w:szCs w:val="24"/>
        </w:rPr>
        <w:t>1910.1020(e)(2)(ii)(A)</w:t>
      </w:r>
      <w:r w:rsidRPr="00BD35DB">
        <w:rPr>
          <w:rStyle w:val="blueten1"/>
          <w:rFonts w:ascii="Times New Roman" w:hAnsi="Times New Roman"/>
          <w:color w:val="auto"/>
          <w:sz w:val="24"/>
          <w:szCs w:val="24"/>
        </w:rPr>
        <w:t xml:space="preserve"> - </w:t>
      </w:r>
      <w:r w:rsidRPr="00BD35DB">
        <w:rPr>
          <w:sz w:val="24"/>
        </w:rPr>
        <w:t>Each employer shall, upon request, assure the access of each employee to employee medical records of which the employee is the subject, except as provided in paragraph (e)(2)(ii)(D) of this section.</w:t>
      </w:r>
    </w:p>
    <w:p w:rsidRPr="00BD35DB" w:rsidR="00196181" w:rsidRDefault="00196181" w14:paraId="71A4E4F2" w14:textId="77777777">
      <w:pPr>
        <w:rPr>
          <w:rStyle w:val="blueten1"/>
          <w:b/>
          <w:bCs/>
          <w:color w:val="757575"/>
          <w:sz w:val="14"/>
          <w:szCs w:val="14"/>
        </w:rPr>
      </w:pPr>
      <w:bookmarkStart w:name="1910.1020(e)(2)(ii)(B)" w:id="21"/>
      <w:bookmarkEnd w:id="21"/>
    </w:p>
    <w:p w:rsidRPr="00BD35DB" w:rsidR="00196181" w:rsidRDefault="00196181" w14:paraId="5DF01E69" w14:textId="77777777">
      <w:pPr>
        <w:ind w:left="1440"/>
        <w:rPr>
          <w:sz w:val="24"/>
        </w:rPr>
      </w:pPr>
      <w:r w:rsidRPr="00BD35DB">
        <w:rPr>
          <w:bCs/>
          <w:sz w:val="24"/>
        </w:rPr>
        <w:t>§</w:t>
      </w:r>
      <w:r w:rsidRPr="00BD35DB">
        <w:rPr>
          <w:rStyle w:val="blueten1"/>
          <w:rFonts w:ascii="Times New Roman" w:hAnsi="Times New Roman"/>
          <w:bCs/>
          <w:color w:val="auto"/>
          <w:sz w:val="24"/>
          <w:szCs w:val="24"/>
        </w:rPr>
        <w:t>1910.1020(e)(2)(ii)(B)</w:t>
      </w:r>
      <w:r w:rsidRPr="00BD35DB">
        <w:rPr>
          <w:rStyle w:val="blueten1"/>
          <w:rFonts w:ascii="Times New Roman" w:hAnsi="Times New Roman"/>
          <w:color w:val="auto"/>
          <w:sz w:val="24"/>
          <w:szCs w:val="24"/>
        </w:rPr>
        <w:t xml:space="preserve"> - </w:t>
      </w:r>
      <w:r w:rsidRPr="00BD35DB">
        <w:rPr>
          <w:sz w:val="24"/>
        </w:rPr>
        <w:t>Each employer shall, upon request, assure the access of each designated representative to the employee medical records of any employee who has given the designated representative specific written consent.  Appendix A to this section contains a sample form which may be used to establish specific written consent for access to employee medical records.</w:t>
      </w:r>
    </w:p>
    <w:p w:rsidRPr="00BD35DB" w:rsidR="00196181" w:rsidRDefault="00196181" w14:paraId="5FCB7DC8" w14:textId="77777777">
      <w:pPr>
        <w:ind w:left="720"/>
        <w:rPr>
          <w:bCs/>
          <w:i/>
          <w:sz w:val="24"/>
        </w:rPr>
      </w:pPr>
      <w:bookmarkStart w:name="1910.1020(e)(2)(ii)(C)" w:id="22"/>
      <w:bookmarkEnd w:id="22"/>
    </w:p>
    <w:p w:rsidRPr="00BD35DB" w:rsidR="00196181" w:rsidRDefault="00196181" w14:paraId="1CA5411E" w14:textId="77777777">
      <w:pPr>
        <w:ind w:left="1440"/>
        <w:rPr>
          <w:sz w:val="24"/>
        </w:rPr>
      </w:pPr>
      <w:r w:rsidRPr="00BD35DB">
        <w:rPr>
          <w:bCs/>
          <w:sz w:val="24"/>
        </w:rPr>
        <w:t>§</w:t>
      </w:r>
      <w:r w:rsidRPr="00BD35DB">
        <w:rPr>
          <w:rStyle w:val="blueten1"/>
          <w:rFonts w:ascii="Times New Roman" w:hAnsi="Times New Roman"/>
          <w:bCs/>
          <w:color w:val="auto"/>
          <w:sz w:val="24"/>
          <w:szCs w:val="24"/>
        </w:rPr>
        <w:t>1910.1020(e)(2)(ii)(C)</w:t>
      </w:r>
      <w:r w:rsidRPr="00BD35DB">
        <w:rPr>
          <w:rStyle w:val="blueten1"/>
          <w:rFonts w:ascii="Times New Roman" w:hAnsi="Times New Roman"/>
          <w:color w:val="auto"/>
          <w:sz w:val="24"/>
          <w:szCs w:val="24"/>
        </w:rPr>
        <w:t xml:space="preserve"> - </w:t>
      </w:r>
      <w:r w:rsidRPr="00BD35DB">
        <w:rPr>
          <w:sz w:val="24"/>
        </w:rPr>
        <w:t>Whenever access to employee medical records is requested, a physician representing the employer may recommend that the employee or designated representative:</w:t>
      </w:r>
    </w:p>
    <w:p w:rsidRPr="00BD35DB" w:rsidR="00196181" w:rsidRDefault="00196181" w14:paraId="0ABFDF1D" w14:textId="77777777">
      <w:pPr>
        <w:ind w:firstLine="720"/>
        <w:rPr>
          <w:bCs/>
          <w:i/>
          <w:sz w:val="24"/>
        </w:rPr>
      </w:pPr>
      <w:bookmarkStart w:name="1910.1020(e)(2)(ii)(C)(1)" w:id="23"/>
      <w:bookmarkEnd w:id="23"/>
    </w:p>
    <w:p w:rsidRPr="00BD35DB" w:rsidR="00196181" w:rsidRDefault="00196181" w14:paraId="7DDF0C63" w14:textId="77777777">
      <w:pPr>
        <w:ind w:left="1440"/>
        <w:rPr>
          <w:sz w:val="24"/>
        </w:rPr>
      </w:pPr>
      <w:r w:rsidRPr="00BD35DB">
        <w:rPr>
          <w:bCs/>
          <w:i/>
          <w:sz w:val="24"/>
          <w:u w:val="single"/>
        </w:rPr>
        <w:t>§</w:t>
      </w:r>
      <w:r w:rsidRPr="00BD35DB">
        <w:rPr>
          <w:rStyle w:val="blueten1"/>
          <w:rFonts w:ascii="Times New Roman" w:hAnsi="Times New Roman"/>
          <w:bCs/>
          <w:i/>
          <w:color w:val="auto"/>
          <w:sz w:val="24"/>
          <w:szCs w:val="24"/>
          <w:u w:val="single"/>
        </w:rPr>
        <w:t>1910.1020(e)(2)(ii)(C)(1)</w:t>
      </w:r>
      <w:r w:rsidRPr="00BD35DB">
        <w:rPr>
          <w:rStyle w:val="blueten1"/>
          <w:rFonts w:ascii="Times New Roman" w:hAnsi="Times New Roman"/>
          <w:color w:val="auto"/>
          <w:sz w:val="24"/>
          <w:szCs w:val="24"/>
        </w:rPr>
        <w:t xml:space="preserve"> - </w:t>
      </w:r>
      <w:r w:rsidRPr="00BD35DB">
        <w:rPr>
          <w:sz w:val="24"/>
        </w:rPr>
        <w:t>Consult with the physician for the purposes of reviewing and discussing the records requested,</w:t>
      </w:r>
    </w:p>
    <w:p w:rsidRPr="00BD35DB" w:rsidR="00196181" w:rsidRDefault="00196181" w14:paraId="70EB1C49" w14:textId="77777777">
      <w:pPr>
        <w:ind w:left="1440"/>
        <w:rPr>
          <w:sz w:val="24"/>
        </w:rPr>
      </w:pPr>
    </w:p>
    <w:p w:rsidRPr="00BD35DB" w:rsidR="00196181" w:rsidRDefault="00196181" w14:paraId="06A91323" w14:textId="77777777">
      <w:pPr>
        <w:ind w:left="1440"/>
        <w:rPr>
          <w:sz w:val="24"/>
        </w:rPr>
      </w:pPr>
      <w:bookmarkStart w:name="1910.1020(e)(2)(ii)(C)(2)" w:id="24"/>
      <w:bookmarkEnd w:id="24"/>
      <w:r w:rsidRPr="00BD35DB">
        <w:rPr>
          <w:bCs/>
          <w:i/>
          <w:sz w:val="24"/>
          <w:u w:val="single"/>
        </w:rPr>
        <w:t>§</w:t>
      </w:r>
      <w:r w:rsidRPr="00BD35DB">
        <w:rPr>
          <w:rStyle w:val="blueten1"/>
          <w:rFonts w:ascii="Times New Roman" w:hAnsi="Times New Roman"/>
          <w:bCs/>
          <w:color w:val="auto"/>
          <w:sz w:val="24"/>
          <w:szCs w:val="24"/>
          <w:u w:val="single"/>
        </w:rPr>
        <w:t>1910.1020(e)(2)(ii)(C)(2)</w:t>
      </w:r>
      <w:r w:rsidRPr="00BD35DB">
        <w:rPr>
          <w:rStyle w:val="blueten1"/>
          <w:rFonts w:ascii="Times New Roman" w:hAnsi="Times New Roman"/>
          <w:color w:val="auto"/>
          <w:sz w:val="24"/>
          <w:szCs w:val="24"/>
        </w:rPr>
        <w:t xml:space="preserve"> - </w:t>
      </w:r>
      <w:r w:rsidRPr="00BD35DB">
        <w:rPr>
          <w:sz w:val="24"/>
        </w:rPr>
        <w:t>Accept a summary of material facts and opinions in lieu of the records requested, or</w:t>
      </w:r>
    </w:p>
    <w:p w:rsidRPr="00BD35DB" w:rsidR="00196181" w:rsidRDefault="00196181" w14:paraId="1F4FC783" w14:textId="77777777">
      <w:pPr>
        <w:rPr>
          <w:rStyle w:val="blueten1"/>
          <w:rFonts w:ascii="Times New Roman" w:hAnsi="Times New Roman"/>
          <w:b/>
          <w:bCs/>
          <w:color w:val="auto"/>
          <w:sz w:val="24"/>
          <w:szCs w:val="24"/>
        </w:rPr>
      </w:pPr>
      <w:bookmarkStart w:name="1910.1020(e)(2)(ii)(C)(3)" w:id="25"/>
      <w:bookmarkEnd w:id="25"/>
    </w:p>
    <w:p w:rsidRPr="00BD35DB" w:rsidR="00196181" w:rsidRDefault="00196181" w14:paraId="52A59CFE" w14:textId="77777777">
      <w:pPr>
        <w:ind w:left="1440"/>
        <w:rPr>
          <w:bCs/>
          <w:i/>
          <w:sz w:val="24"/>
        </w:rPr>
      </w:pPr>
      <w:r w:rsidRPr="00BD35DB">
        <w:rPr>
          <w:bCs/>
          <w:i/>
          <w:sz w:val="24"/>
          <w:u w:val="single"/>
        </w:rPr>
        <w:t>§</w:t>
      </w:r>
      <w:r w:rsidRPr="00BD35DB">
        <w:rPr>
          <w:rStyle w:val="blueten1"/>
          <w:rFonts w:ascii="Times New Roman" w:hAnsi="Times New Roman"/>
          <w:bCs/>
          <w:i/>
          <w:color w:val="auto"/>
          <w:sz w:val="24"/>
          <w:szCs w:val="24"/>
          <w:u w:val="single"/>
        </w:rPr>
        <w:t>1910.1020(e)(2)(ii)(C)(3)</w:t>
      </w:r>
      <w:r w:rsidRPr="00BD35DB">
        <w:rPr>
          <w:rStyle w:val="blueten1"/>
          <w:rFonts w:ascii="Times New Roman" w:hAnsi="Times New Roman"/>
          <w:i/>
          <w:color w:val="auto"/>
          <w:sz w:val="24"/>
          <w:szCs w:val="24"/>
        </w:rPr>
        <w:t xml:space="preserve"> - </w:t>
      </w:r>
      <w:r w:rsidRPr="00BD35DB">
        <w:rPr>
          <w:sz w:val="24"/>
        </w:rPr>
        <w:t>Accept release of the requested records only to a physician or other designated representative.</w:t>
      </w:r>
      <w:r w:rsidRPr="00BD35DB">
        <w:rPr>
          <w:rStyle w:val="FootnoteReference"/>
          <w:sz w:val="24"/>
          <w:vertAlign w:val="superscript"/>
        </w:rPr>
        <w:footnoteReference w:id="7"/>
      </w:r>
      <w:bookmarkStart w:name="1910.1020(e)(2)(ii)(D)" w:id="26"/>
      <w:bookmarkEnd w:id="26"/>
    </w:p>
    <w:p w:rsidRPr="00BD35DB" w:rsidR="00196181" w:rsidRDefault="00196181" w14:paraId="3684A327" w14:textId="77777777">
      <w:pPr>
        <w:ind w:left="1440"/>
        <w:rPr>
          <w:bCs/>
          <w:i/>
          <w:sz w:val="24"/>
        </w:rPr>
      </w:pPr>
    </w:p>
    <w:p w:rsidRPr="00BD35DB" w:rsidR="0087113F" w:rsidRDefault="00196181" w14:paraId="1973D1B5" w14:textId="77777777">
      <w:pPr>
        <w:ind w:left="1440"/>
        <w:rPr>
          <w:bCs/>
          <w:sz w:val="24"/>
        </w:rPr>
      </w:pPr>
      <w:r w:rsidRPr="00BD35DB">
        <w:rPr>
          <w:bCs/>
          <w:sz w:val="24"/>
        </w:rPr>
        <w:t>§</w:t>
      </w:r>
      <w:r w:rsidRPr="00BD35DB">
        <w:rPr>
          <w:rStyle w:val="blueten1"/>
          <w:rFonts w:ascii="Times New Roman" w:hAnsi="Times New Roman"/>
          <w:bCs/>
          <w:color w:val="auto"/>
          <w:sz w:val="24"/>
          <w:szCs w:val="24"/>
        </w:rPr>
        <w:t>1910.1020(e)(2)(ii)(D)</w:t>
      </w:r>
      <w:r w:rsidRPr="00BD35DB">
        <w:rPr>
          <w:rStyle w:val="blueten1"/>
          <w:rFonts w:ascii="Times New Roman" w:hAnsi="Times New Roman"/>
          <w:bCs/>
          <w:i/>
          <w:color w:val="auto"/>
          <w:sz w:val="24"/>
          <w:szCs w:val="24"/>
        </w:rPr>
        <w:t xml:space="preserve"> - </w:t>
      </w:r>
      <w:r w:rsidRPr="00BD35DB">
        <w:rPr>
          <w:bCs/>
          <w:sz w:val="24"/>
        </w:rPr>
        <w:t xml:space="preserve">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that access will only be provided to a designated </w:t>
      </w:r>
      <w:r w:rsidRPr="00BD35DB">
        <w:rPr>
          <w:bCs/>
          <w:sz w:val="24"/>
        </w:rPr>
        <w:lastRenderedPageBreak/>
        <w:t xml:space="preserve">representative of the employee having specific written consent, and deny the employee's request for direct access to this information only. Where a designated representative with specific written consent requests access to information so withheld, the employer shall assure the </w:t>
      </w:r>
    </w:p>
    <w:p w:rsidRPr="00BD35DB" w:rsidR="00196181" w:rsidRDefault="00196181" w14:paraId="0B40CB9F" w14:textId="77777777">
      <w:pPr>
        <w:ind w:left="1440"/>
        <w:rPr>
          <w:rStyle w:val="blueten1"/>
          <w:rFonts w:ascii="Times New Roman" w:hAnsi="Times New Roman"/>
          <w:b/>
          <w:bCs/>
          <w:color w:val="auto"/>
          <w:sz w:val="24"/>
          <w:szCs w:val="24"/>
        </w:rPr>
      </w:pPr>
      <w:r w:rsidRPr="00BD35DB">
        <w:rPr>
          <w:bCs/>
          <w:sz w:val="24"/>
        </w:rPr>
        <w:t>access of the designated representative to this information, even when it is known that the designated representative will give the information to the employee.</w:t>
      </w:r>
    </w:p>
    <w:p w:rsidRPr="00BD35DB" w:rsidR="00196181" w:rsidRDefault="00196181" w14:paraId="4FD05572" w14:textId="77777777">
      <w:pPr>
        <w:rPr>
          <w:bCs/>
          <w:i/>
          <w:sz w:val="24"/>
        </w:rPr>
      </w:pPr>
      <w:bookmarkStart w:name="1910.1020(e)(2)(ii)(E)" w:id="27"/>
      <w:bookmarkStart w:name="1910.1020(e)(2)(iii)" w:id="28"/>
      <w:bookmarkEnd w:id="27"/>
      <w:bookmarkEnd w:id="28"/>
    </w:p>
    <w:p w:rsidRPr="00BD35DB" w:rsidR="00196181" w:rsidRDefault="00196181" w14:paraId="066AE995" w14:textId="77777777">
      <w:pPr>
        <w:ind w:firstLine="720"/>
        <w:rPr>
          <w:sz w:val="24"/>
        </w:rPr>
      </w:pPr>
      <w:r w:rsidRPr="00BD35DB">
        <w:rPr>
          <w:bCs/>
          <w:i/>
          <w:sz w:val="24"/>
        </w:rPr>
        <w:t>§</w:t>
      </w:r>
      <w:r w:rsidRPr="00BD35DB">
        <w:rPr>
          <w:rStyle w:val="blueten1"/>
          <w:rFonts w:ascii="Times New Roman" w:hAnsi="Times New Roman"/>
          <w:bCs/>
          <w:i/>
          <w:color w:val="auto"/>
          <w:sz w:val="24"/>
          <w:szCs w:val="24"/>
        </w:rPr>
        <w:t>1910.1020(e)(2)(iii) -</w:t>
      </w:r>
      <w:r w:rsidRPr="00BD35DB">
        <w:rPr>
          <w:rStyle w:val="blueten1"/>
          <w:rFonts w:ascii="Times New Roman" w:hAnsi="Times New Roman"/>
          <w:i/>
          <w:color w:val="auto"/>
          <w:sz w:val="24"/>
          <w:szCs w:val="24"/>
        </w:rPr>
        <w:t xml:space="preserve"> </w:t>
      </w:r>
      <w:r w:rsidRPr="00BD35DB">
        <w:rPr>
          <w:sz w:val="24"/>
        </w:rPr>
        <w:t>Analyses using exposure or medical records.</w:t>
      </w:r>
    </w:p>
    <w:p w:rsidRPr="00BD35DB" w:rsidR="00196181" w:rsidRDefault="00196181" w14:paraId="4E8FB393" w14:textId="77777777">
      <w:pPr>
        <w:rPr>
          <w:sz w:val="24"/>
        </w:rPr>
      </w:pPr>
    </w:p>
    <w:p w:rsidRPr="00BD35DB" w:rsidR="00196181" w:rsidRDefault="00196181" w14:paraId="79E8DBF3" w14:textId="77777777">
      <w:pPr>
        <w:ind w:left="1440"/>
        <w:rPr>
          <w:sz w:val="24"/>
        </w:rPr>
      </w:pPr>
      <w:bookmarkStart w:name="1910.1020(e)(2)(iii)(A)" w:id="29"/>
      <w:bookmarkEnd w:id="29"/>
      <w:r w:rsidRPr="00BD35DB">
        <w:rPr>
          <w:bCs/>
          <w:sz w:val="24"/>
        </w:rPr>
        <w:t>§</w:t>
      </w:r>
      <w:r w:rsidRPr="00BD35DB">
        <w:rPr>
          <w:rStyle w:val="blueten1"/>
          <w:rFonts w:ascii="Times New Roman" w:hAnsi="Times New Roman"/>
          <w:bCs/>
          <w:color w:val="auto"/>
          <w:sz w:val="24"/>
          <w:szCs w:val="24"/>
        </w:rPr>
        <w:t>1910.1020(e)(2)(iii)(A)</w:t>
      </w:r>
      <w:r w:rsidRPr="00BD35DB">
        <w:rPr>
          <w:rStyle w:val="blueten1"/>
          <w:rFonts w:ascii="Times New Roman" w:hAnsi="Times New Roman"/>
          <w:color w:val="auto"/>
          <w:sz w:val="24"/>
          <w:szCs w:val="24"/>
        </w:rPr>
        <w:t xml:space="preserve"> - </w:t>
      </w:r>
      <w:r w:rsidRPr="00BD35DB">
        <w:rPr>
          <w:sz w:val="24"/>
        </w:rPr>
        <w:t>Each employer shall, upon request, assure the access of each employee and designated representative to each analysis using exposure or medical records concerning the employee's working conditions or workplace.</w:t>
      </w:r>
    </w:p>
    <w:p w:rsidRPr="00BD35DB" w:rsidR="00196181" w:rsidRDefault="00196181" w14:paraId="754AF967" w14:textId="77777777">
      <w:pPr>
        <w:rPr>
          <w:sz w:val="24"/>
        </w:rPr>
      </w:pPr>
    </w:p>
    <w:p w:rsidRPr="00BD35DB" w:rsidR="00196181" w:rsidRDefault="00196181" w14:paraId="584ED5A2" w14:textId="77777777">
      <w:pPr>
        <w:ind w:left="1440"/>
        <w:rPr>
          <w:sz w:val="24"/>
        </w:rPr>
      </w:pPr>
      <w:bookmarkStart w:name="1910.1020(e)(2)(iii)(B)" w:id="30"/>
      <w:bookmarkStart w:name="OLE_LINK1" w:id="31"/>
      <w:bookmarkStart w:name="OLE_LINK2" w:id="32"/>
      <w:bookmarkEnd w:id="30"/>
      <w:r w:rsidRPr="00BD35DB">
        <w:rPr>
          <w:bCs/>
          <w:sz w:val="24"/>
        </w:rPr>
        <w:t>§</w:t>
      </w:r>
      <w:r w:rsidRPr="00BD35DB">
        <w:rPr>
          <w:rStyle w:val="blueten1"/>
          <w:rFonts w:ascii="Times New Roman" w:hAnsi="Times New Roman"/>
          <w:bCs/>
          <w:color w:val="auto"/>
          <w:sz w:val="24"/>
          <w:szCs w:val="24"/>
        </w:rPr>
        <w:t>1910.1020(e)(2)(iii)(B)</w:t>
      </w:r>
      <w:r w:rsidRPr="00BD35DB">
        <w:rPr>
          <w:rStyle w:val="blueten1"/>
          <w:rFonts w:ascii="Times New Roman" w:hAnsi="Times New Roman"/>
          <w:color w:val="auto"/>
          <w:sz w:val="24"/>
          <w:szCs w:val="24"/>
        </w:rPr>
        <w:t xml:space="preserve"> - </w:t>
      </w:r>
      <w:r w:rsidRPr="00BD35DB">
        <w:rPr>
          <w:sz w:val="24"/>
        </w:rPr>
        <w:t>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w:t>
      </w:r>
      <w:bookmarkEnd w:id="31"/>
      <w:bookmarkEnd w:id="32"/>
      <w:r w:rsidRPr="00BD35DB">
        <w:rPr>
          <w:sz w:val="24"/>
        </w:rPr>
        <w:t xml:space="preserv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Pr="00BD35DB" w:rsidR="00196181" w:rsidRDefault="00196181" w14:paraId="636693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71309673" w14:textId="77777777">
      <w:pPr>
        <w:rPr>
          <w:rStyle w:val="blueten1"/>
          <w:rFonts w:ascii="Times New Roman" w:hAnsi="Times New Roman"/>
          <w:color w:val="auto"/>
          <w:sz w:val="24"/>
          <w:szCs w:val="24"/>
        </w:rPr>
      </w:pPr>
      <w:r w:rsidRPr="00BD35DB">
        <w:rPr>
          <w:sz w:val="24"/>
        </w:rPr>
        <w:t xml:space="preserve">OSHA </w:t>
      </w:r>
      <w:r w:rsidRPr="00BD35DB" w:rsidR="00382906">
        <w:rPr>
          <w:sz w:val="24"/>
        </w:rPr>
        <w:t>A</w:t>
      </w:r>
      <w:r w:rsidRPr="00BD35DB">
        <w:rPr>
          <w:sz w:val="24"/>
        </w:rPr>
        <w:t>ccess (</w:t>
      </w:r>
      <w:r w:rsidRPr="00BD35DB">
        <w:rPr>
          <w:bCs/>
          <w:sz w:val="24"/>
        </w:rPr>
        <w:t>§</w:t>
      </w:r>
      <w:r w:rsidRPr="00BD35DB">
        <w:rPr>
          <w:rStyle w:val="blueten1"/>
          <w:rFonts w:ascii="Times New Roman" w:hAnsi="Times New Roman"/>
          <w:bCs/>
          <w:color w:val="auto"/>
          <w:sz w:val="24"/>
          <w:szCs w:val="24"/>
        </w:rPr>
        <w:t>1910.1020(e)(3))</w:t>
      </w:r>
    </w:p>
    <w:p w:rsidRPr="00BD35DB" w:rsidR="00196181" w:rsidRDefault="00196181" w14:paraId="7008AC0A" w14:textId="77777777">
      <w:pPr>
        <w:rPr>
          <w:rStyle w:val="blueten1"/>
          <w:b/>
          <w:bCs/>
          <w:color w:val="757575"/>
          <w:sz w:val="14"/>
          <w:szCs w:val="14"/>
        </w:rPr>
      </w:pPr>
    </w:p>
    <w:p w:rsidRPr="00BD35DB" w:rsidR="00196181" w:rsidRDefault="00196181" w14:paraId="17BCFBFD" w14:textId="77777777">
      <w:pPr>
        <w:ind w:left="720"/>
        <w:rPr>
          <w:sz w:val="24"/>
        </w:rPr>
      </w:pPr>
      <w:bookmarkStart w:name="1910.1020(e)(3)(i)" w:id="33"/>
      <w:bookmarkEnd w:id="33"/>
      <w:r w:rsidRPr="00BD35DB">
        <w:rPr>
          <w:bCs/>
          <w:i/>
          <w:sz w:val="24"/>
        </w:rPr>
        <w:t>§</w:t>
      </w:r>
      <w:r w:rsidRPr="00BD35DB">
        <w:rPr>
          <w:rStyle w:val="blueten1"/>
          <w:rFonts w:ascii="Times New Roman" w:hAnsi="Times New Roman"/>
          <w:bCs/>
          <w:i/>
          <w:color w:val="auto"/>
          <w:sz w:val="24"/>
          <w:szCs w:val="24"/>
        </w:rPr>
        <w:t>1910.1020(e)(3)(i) -</w:t>
      </w:r>
      <w:r w:rsidRPr="00BD35DB">
        <w:rPr>
          <w:rStyle w:val="blueten1"/>
          <w:rFonts w:ascii="Times New Roman" w:hAnsi="Times New Roman"/>
          <w:i/>
          <w:color w:val="auto"/>
          <w:sz w:val="24"/>
          <w:szCs w:val="24"/>
        </w:rPr>
        <w:t xml:space="preserve"> </w:t>
      </w:r>
      <w:r w:rsidRPr="00BD35DB">
        <w:rPr>
          <w:sz w:val="24"/>
        </w:rPr>
        <w:t xml:space="preserve">Each employer shall, upon request, and without derogation of any rights under the Constitution or the Occupational Safety and Health Act of 1970, 29 U.S.C. 651 </w:t>
      </w:r>
      <w:r w:rsidRPr="00BD35DB">
        <w:rPr>
          <w:i/>
          <w:iCs/>
          <w:sz w:val="24"/>
        </w:rPr>
        <w:t>et seq.</w:t>
      </w:r>
      <w:r w:rsidRPr="00BD35DB">
        <w:rPr>
          <w:sz w:val="24"/>
        </w:rPr>
        <w:t>, 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29 CFR 1913.10.</w:t>
      </w:r>
    </w:p>
    <w:p w:rsidRPr="00BD35DB" w:rsidR="00196181" w:rsidRDefault="00196181" w14:paraId="481BD23B" w14:textId="77777777">
      <w:pPr>
        <w:rPr>
          <w:sz w:val="24"/>
        </w:rPr>
      </w:pPr>
    </w:p>
    <w:p w:rsidRPr="00BD35DB" w:rsidR="00196181" w:rsidRDefault="00196181" w14:paraId="6E5CF98C" w14:textId="77777777">
      <w:pPr>
        <w:ind w:left="720"/>
        <w:rPr>
          <w:sz w:val="24"/>
        </w:rPr>
      </w:pPr>
      <w:bookmarkStart w:name="1910.1020(e)(3)(ii)" w:id="34"/>
      <w:bookmarkEnd w:id="34"/>
      <w:r w:rsidRPr="00BD35DB">
        <w:rPr>
          <w:bCs/>
          <w:i/>
          <w:sz w:val="24"/>
        </w:rPr>
        <w:t>§</w:t>
      </w:r>
      <w:r w:rsidRPr="00BD35DB">
        <w:rPr>
          <w:rStyle w:val="blueten1"/>
          <w:rFonts w:ascii="Times New Roman" w:hAnsi="Times New Roman"/>
          <w:bCs/>
          <w:i/>
          <w:color w:val="auto"/>
          <w:sz w:val="24"/>
          <w:szCs w:val="24"/>
        </w:rPr>
        <w:t>1910.1020(e)(3)(ii) -</w:t>
      </w:r>
      <w:r w:rsidRPr="00BD35DB">
        <w:rPr>
          <w:rStyle w:val="blueten1"/>
          <w:rFonts w:ascii="Times New Roman" w:hAnsi="Times New Roman"/>
          <w:i/>
          <w:color w:val="auto"/>
          <w:sz w:val="24"/>
          <w:szCs w:val="24"/>
        </w:rPr>
        <w:t xml:space="preserve"> </w:t>
      </w:r>
      <w:r w:rsidRPr="00BD35DB">
        <w:rPr>
          <w:sz w:val="24"/>
        </w:rPr>
        <w:t xml:space="preserve">Whenever OSHA seeks access to personally identifiable employee medical information by presenting to the employer a written access order pursuant to 29 CFR </w:t>
      </w:r>
      <w:r w:rsidRPr="00BD35DB">
        <w:rPr>
          <w:sz w:val="24"/>
        </w:rPr>
        <w:lastRenderedPageBreak/>
        <w:t>1913.10(d), the employer shall prominently post a copy of the written access order and its accompanying cover letter for at least fifteen (15) working days.</w:t>
      </w:r>
      <w:r w:rsidRPr="00BD35DB">
        <w:rPr>
          <w:rStyle w:val="FootnoteReference"/>
          <w:sz w:val="24"/>
          <w:vertAlign w:val="superscript"/>
        </w:rPr>
        <w:footnoteReference w:id="8"/>
      </w:r>
    </w:p>
    <w:p w:rsidRPr="00BD35DB" w:rsidR="00196181" w:rsidRDefault="00196181" w14:paraId="7FDE61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FE0B51" w:rsidP="00FE0B51" w:rsidRDefault="00FE0B51" w14:paraId="113F016D" w14:textId="77777777">
      <w:pPr>
        <w:pStyle w:val="Default"/>
        <w:rPr>
          <w:color w:val="auto"/>
        </w:rPr>
      </w:pPr>
      <w:r w:rsidRPr="00BD35DB">
        <w:rPr>
          <w:color w:val="auto"/>
        </w:rPr>
        <w:t>Usually, OSHA requests access to records during an inspection.  Information collected by the Agency during the investigation is not subject to the PRA under 5 CFR 1320.4(a)(2).  Therefore, OSHA takes no burden or cost in Items 12 and 14 of this Supporting Statement for disclosing information during an inspection.</w:t>
      </w:r>
    </w:p>
    <w:p w:rsidRPr="00BD35DB" w:rsidR="00FE0B51" w:rsidRDefault="00FE0B51" w14:paraId="39267F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14EC8D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b/>
          <w:sz w:val="24"/>
          <w:u w:val="single"/>
        </w:rPr>
        <w:t>Purpose</w:t>
      </w:r>
      <w:r w:rsidRPr="00BD35DB">
        <w:rPr>
          <w:sz w:val="24"/>
        </w:rPr>
        <w:t xml:space="preserve">:  Access to exposure and medical information enables </w:t>
      </w:r>
      <w:r w:rsidRPr="00BD35DB" w:rsidR="0072553F">
        <w:rPr>
          <w:sz w:val="24"/>
        </w:rPr>
        <w:t>worker</w:t>
      </w:r>
      <w:r w:rsidRPr="00BD35DB">
        <w:rPr>
          <w:sz w:val="24"/>
        </w:rPr>
        <w:t xml:space="preserve">s and their designated representatives to become directly involved in identifying and controlling occupational health hazards, as well as managing and preventing occupationally-related health impairment and disease.  Accordingly, </w:t>
      </w:r>
      <w:r w:rsidRPr="00BD35DB" w:rsidR="0072553F">
        <w:rPr>
          <w:sz w:val="24"/>
        </w:rPr>
        <w:t>worker</w:t>
      </w:r>
      <w:r w:rsidRPr="00BD35DB">
        <w:rPr>
          <w:sz w:val="24"/>
        </w:rPr>
        <w:t xml:space="preserve">s and their designated representatives can use exposure-monitoring and medical-surveillance records to investigate the possible causes of </w:t>
      </w:r>
      <w:r w:rsidRPr="00BD35DB" w:rsidR="0072553F">
        <w:rPr>
          <w:sz w:val="24"/>
        </w:rPr>
        <w:t>worker</w:t>
      </w:r>
      <w:r w:rsidRPr="00BD35DB">
        <w:rPr>
          <w:sz w:val="24"/>
        </w:rPr>
        <w:t xml:space="preserve"> health impairment and disease.  These records allow them to determine the association between specific adverse health effects and occupational exposure to toxic chemicals.  If they find such an association, they can take action to control their exposure to toxic chemicals and harmful physical agents through the use of respirators, protective work clothing, hygiene measures (i.e., showers, hand and face washing before eating), and work practices that minimize dispersal of these hazards in the workplace (i.e., immediately storing dust-laden scrap material in closed containers).  Implementing these controls also depends in large measure on </w:t>
      </w:r>
      <w:r w:rsidRPr="00BD35DB" w:rsidR="0072553F">
        <w:rPr>
          <w:sz w:val="24"/>
        </w:rPr>
        <w:t>worker</w:t>
      </w:r>
      <w:r w:rsidRPr="00BD35DB">
        <w:rPr>
          <w:sz w:val="24"/>
        </w:rPr>
        <w:t xml:space="preserve"> cooperation.  Cooperation is most likely if </w:t>
      </w:r>
      <w:r w:rsidRPr="00BD35DB" w:rsidR="0072553F">
        <w:rPr>
          <w:sz w:val="24"/>
        </w:rPr>
        <w:t>worker</w:t>
      </w:r>
      <w:r w:rsidRPr="00BD35DB">
        <w:rPr>
          <w:sz w:val="24"/>
        </w:rPr>
        <w:t>s know the identity of toxic chemicals or harmful physical agents in the workplace, the magnitude of their exposure to these hazards, and the possible health effects of such exposure.</w:t>
      </w:r>
    </w:p>
    <w:p w:rsidRPr="00BD35DB" w:rsidR="00196181" w:rsidRDefault="00196181" w14:paraId="51EEB4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4D7E56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 xml:space="preserve">Exposure-monitoring and medical-surveillance records permit a </w:t>
      </w:r>
      <w:r w:rsidRPr="00BD35DB" w:rsidR="0072553F">
        <w:rPr>
          <w:sz w:val="24"/>
        </w:rPr>
        <w:t>worker</w:t>
      </w:r>
      <w:r w:rsidRPr="00BD35DB">
        <w:rPr>
          <w:sz w:val="24"/>
        </w:rPr>
        <w:t xml:space="preserve">’s physician to diagnose, treat, and possibly prevent permanent health impairment.  Accordingly, a physician can compare medical information collected at the start of employment with a </w:t>
      </w:r>
      <w:r w:rsidRPr="00BD35DB" w:rsidR="0072553F">
        <w:rPr>
          <w:sz w:val="24"/>
        </w:rPr>
        <w:t>worker</w:t>
      </w:r>
      <w:r w:rsidRPr="00BD35DB">
        <w:rPr>
          <w:sz w:val="24"/>
        </w:rPr>
        <w:t xml:space="preserve">’s current health status and, having the </w:t>
      </w:r>
      <w:r w:rsidRPr="00BD35DB" w:rsidR="0072553F">
        <w:rPr>
          <w:sz w:val="24"/>
        </w:rPr>
        <w:t>worker</w:t>
      </w:r>
      <w:r w:rsidRPr="00BD35DB">
        <w:rPr>
          <w:sz w:val="24"/>
        </w:rPr>
        <w:t xml:space="preserve">’s exposure history available, determine if any health impairment involves the </w:t>
      </w:r>
      <w:r w:rsidRPr="00BD35DB" w:rsidR="0072553F">
        <w:rPr>
          <w:sz w:val="24"/>
        </w:rPr>
        <w:t>worker</w:t>
      </w:r>
      <w:r w:rsidRPr="00BD35DB">
        <w:rPr>
          <w:sz w:val="24"/>
        </w:rPr>
        <w:t>’s occupational exposure to toxic chemicals.</w:t>
      </w:r>
    </w:p>
    <w:p w:rsidRPr="00BD35DB" w:rsidR="00196181" w:rsidRDefault="00196181" w14:paraId="02B9F5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330039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 xml:space="preserve">Access to, and long-term maintenance of, exposure and medical records facilitates occupational-health research.  </w:t>
      </w:r>
      <w:r w:rsidRPr="00BD35DB" w:rsidR="0072553F">
        <w:rPr>
          <w:sz w:val="24"/>
        </w:rPr>
        <w:t>Worker</w:t>
      </w:r>
      <w:r w:rsidRPr="00BD35DB">
        <w:rPr>
          <w:sz w:val="24"/>
        </w:rPr>
        <w:t xml:space="preserve">s and their designated representative can make the exposure and medical information </w:t>
      </w:r>
      <w:r w:rsidRPr="00BD35DB">
        <w:rPr>
          <w:sz w:val="24"/>
        </w:rPr>
        <w:lastRenderedPageBreak/>
        <w:t xml:space="preserve">in these records available to public and private organizations and to scientists for epidemiological research.  This research can determine if a significant relationship exists between </w:t>
      </w:r>
      <w:r w:rsidRPr="00BD35DB" w:rsidR="0072553F">
        <w:rPr>
          <w:sz w:val="24"/>
        </w:rPr>
        <w:t>worker</w:t>
      </w:r>
      <w:r w:rsidRPr="00BD35DB">
        <w:rPr>
          <w:sz w:val="24"/>
        </w:rPr>
        <w:t xml:space="preserve"> exposure to toxic chemicals and harmful physical agents and health impairments and disease.</w:t>
      </w:r>
    </w:p>
    <w:p w:rsidRPr="00BD35DB" w:rsidR="00196181" w:rsidRDefault="00196181" w14:paraId="2A9DA4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7CA977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BD35DB">
        <w:rPr>
          <w:b/>
          <w:bCs/>
          <w:i/>
          <w:sz w:val="24"/>
        </w:rPr>
        <w:t>C.  Trade Secrets</w:t>
      </w:r>
      <w:r w:rsidRPr="00BD35DB">
        <w:rPr>
          <w:i/>
          <w:sz w:val="24"/>
        </w:rPr>
        <w:t xml:space="preserve"> </w:t>
      </w:r>
      <w:r w:rsidRPr="00BD35DB">
        <w:rPr>
          <w:b/>
          <w:bCs/>
          <w:i/>
          <w:sz w:val="24"/>
        </w:rPr>
        <w:t>(§1910.1020(f))</w:t>
      </w:r>
    </w:p>
    <w:p w:rsidRPr="00BD35DB" w:rsidR="00196181" w:rsidRDefault="00196181" w14:paraId="0C4C12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5D77D046" w14:textId="77777777">
      <w:pPr>
        <w:rPr>
          <w:sz w:val="24"/>
        </w:rPr>
      </w:pPr>
      <w:bookmarkStart w:name="1910.1020(f)(1)" w:id="35"/>
      <w:bookmarkEnd w:id="35"/>
      <w:r w:rsidRPr="00BD35DB">
        <w:rPr>
          <w:bCs/>
          <w:i/>
          <w:sz w:val="24"/>
        </w:rPr>
        <w:t>§</w:t>
      </w:r>
      <w:r w:rsidRPr="00BD35DB">
        <w:rPr>
          <w:rStyle w:val="blueten1"/>
          <w:rFonts w:ascii="Times New Roman" w:hAnsi="Times New Roman"/>
          <w:bCs/>
          <w:i/>
          <w:color w:val="auto"/>
          <w:sz w:val="24"/>
          <w:szCs w:val="24"/>
        </w:rPr>
        <w:t>1910.1020(f)(1)</w:t>
      </w:r>
      <w:r w:rsidRPr="00BD35DB">
        <w:rPr>
          <w:rStyle w:val="blueten1"/>
          <w:rFonts w:ascii="Times New Roman" w:hAnsi="Times New Roman"/>
          <w:i/>
          <w:color w:val="auto"/>
          <w:sz w:val="24"/>
          <w:szCs w:val="24"/>
        </w:rPr>
        <w:t xml:space="preserve"> - </w:t>
      </w:r>
      <w:r w:rsidRPr="00BD35DB">
        <w:rPr>
          <w:sz w:val="24"/>
        </w:rPr>
        <w:t>Except as provided in paragraph (f)(2)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requesting party to identify where and when exposure occurred.</w:t>
      </w:r>
    </w:p>
    <w:p w:rsidRPr="00BD35DB" w:rsidR="00196181" w:rsidRDefault="00196181" w14:paraId="587DF1AF" w14:textId="77777777">
      <w:pPr>
        <w:rPr>
          <w:sz w:val="24"/>
        </w:rPr>
      </w:pPr>
    </w:p>
    <w:p w:rsidRPr="00BD35DB" w:rsidR="00196181" w:rsidRDefault="00196181" w14:paraId="72ADA1C2" w14:textId="77777777">
      <w:pPr>
        <w:rPr>
          <w:sz w:val="24"/>
        </w:rPr>
      </w:pPr>
      <w:r w:rsidRPr="00BD35DB">
        <w:rPr>
          <w:bCs/>
          <w:i/>
          <w:sz w:val="24"/>
        </w:rPr>
        <w:t>§</w:t>
      </w:r>
      <w:r w:rsidRPr="00BD35DB">
        <w:rPr>
          <w:rStyle w:val="blueten1"/>
          <w:rFonts w:ascii="Times New Roman" w:hAnsi="Times New Roman"/>
          <w:bCs/>
          <w:i/>
          <w:color w:val="auto"/>
          <w:sz w:val="24"/>
          <w:szCs w:val="24"/>
        </w:rPr>
        <w:t>1910.1020(f)(2)</w:t>
      </w:r>
      <w:r w:rsidRPr="00BD35DB">
        <w:rPr>
          <w:rStyle w:val="blueten1"/>
          <w:rFonts w:ascii="Times New Roman" w:hAnsi="Times New Roman"/>
          <w:i/>
          <w:color w:val="auto"/>
          <w:sz w:val="24"/>
          <w:szCs w:val="24"/>
        </w:rPr>
        <w:t xml:space="preserve"> - </w:t>
      </w:r>
      <w:r w:rsidRPr="00BD35DB">
        <w:rPr>
          <w:sz w:val="24"/>
        </w:rPr>
        <w:t>The employer may withhold the specific chemical identity, including the chemical name and other specific identification of a toxic substance from a disclosable record provided that:</w:t>
      </w:r>
    </w:p>
    <w:p w:rsidRPr="00BD35DB" w:rsidR="00196181" w:rsidRDefault="00196181" w14:paraId="0A2391DB" w14:textId="77777777">
      <w:pPr>
        <w:rPr>
          <w:sz w:val="24"/>
        </w:rPr>
      </w:pPr>
    </w:p>
    <w:p w:rsidRPr="00BD35DB" w:rsidR="00196181" w:rsidRDefault="00196181" w14:paraId="119F3423" w14:textId="77777777">
      <w:pPr>
        <w:ind w:left="720"/>
        <w:rPr>
          <w:sz w:val="24"/>
        </w:rPr>
      </w:pPr>
      <w:bookmarkStart w:name="1910.1020(f)(2)(i)" w:id="36"/>
      <w:bookmarkEnd w:id="36"/>
      <w:r w:rsidRPr="00BD35DB">
        <w:rPr>
          <w:bCs/>
          <w:i/>
          <w:sz w:val="24"/>
        </w:rPr>
        <w:t>§</w:t>
      </w:r>
      <w:r w:rsidRPr="00BD35DB">
        <w:rPr>
          <w:rStyle w:val="blueten1"/>
          <w:rFonts w:ascii="Times New Roman" w:hAnsi="Times New Roman"/>
          <w:bCs/>
          <w:i/>
          <w:color w:val="auto"/>
          <w:sz w:val="24"/>
          <w:szCs w:val="24"/>
        </w:rPr>
        <w:t>1910.1020(f)(2)(i)</w:t>
      </w:r>
      <w:r w:rsidRPr="00BD35DB">
        <w:rPr>
          <w:rStyle w:val="blueten1"/>
          <w:rFonts w:ascii="Times New Roman" w:hAnsi="Times New Roman"/>
          <w:i/>
          <w:color w:val="auto"/>
          <w:sz w:val="24"/>
          <w:szCs w:val="24"/>
        </w:rPr>
        <w:t xml:space="preserve"> - </w:t>
      </w:r>
      <w:r w:rsidRPr="00BD35DB">
        <w:rPr>
          <w:sz w:val="24"/>
        </w:rPr>
        <w:t>The claim that the information withheld is a trade secret can be supported;</w:t>
      </w:r>
    </w:p>
    <w:p w:rsidRPr="00BD35DB" w:rsidR="00196181" w:rsidRDefault="00196181" w14:paraId="239FD153" w14:textId="77777777">
      <w:pPr>
        <w:rPr>
          <w:bCs/>
          <w:i/>
          <w:sz w:val="24"/>
        </w:rPr>
      </w:pPr>
      <w:bookmarkStart w:name="1910.1020(f)(2)(ii)" w:id="37"/>
      <w:bookmarkEnd w:id="37"/>
    </w:p>
    <w:p w:rsidRPr="00BD35DB" w:rsidR="00196181" w:rsidRDefault="00196181" w14:paraId="452E0FE1" w14:textId="77777777">
      <w:pPr>
        <w:ind w:left="720"/>
        <w:rPr>
          <w:sz w:val="24"/>
        </w:rPr>
      </w:pPr>
      <w:r w:rsidRPr="00BD35DB">
        <w:rPr>
          <w:bCs/>
          <w:i/>
          <w:sz w:val="24"/>
        </w:rPr>
        <w:t>§</w:t>
      </w:r>
      <w:r w:rsidRPr="00BD35DB">
        <w:rPr>
          <w:rStyle w:val="blueten1"/>
          <w:rFonts w:ascii="Times New Roman" w:hAnsi="Times New Roman"/>
          <w:bCs/>
          <w:i/>
          <w:color w:val="auto"/>
          <w:sz w:val="24"/>
          <w:szCs w:val="24"/>
        </w:rPr>
        <w:t>1910.1020(f)(2)(ii)</w:t>
      </w:r>
      <w:r w:rsidRPr="00BD35DB">
        <w:rPr>
          <w:rStyle w:val="blueten1"/>
          <w:rFonts w:ascii="Times New Roman" w:hAnsi="Times New Roman"/>
          <w:i/>
          <w:color w:val="auto"/>
          <w:sz w:val="24"/>
          <w:szCs w:val="24"/>
        </w:rPr>
        <w:t xml:space="preserve"> - </w:t>
      </w:r>
      <w:r w:rsidRPr="00BD35DB">
        <w:rPr>
          <w:sz w:val="24"/>
        </w:rPr>
        <w:t>All other available information on the properties and effects of the toxic substance is disclosed;</w:t>
      </w:r>
    </w:p>
    <w:p w:rsidRPr="00BD35DB" w:rsidR="00C43A41" w:rsidRDefault="00C43A41" w14:paraId="13240375" w14:textId="77777777">
      <w:pPr>
        <w:ind w:left="720"/>
        <w:rPr>
          <w:sz w:val="24"/>
        </w:rPr>
      </w:pPr>
    </w:p>
    <w:p w:rsidRPr="00BD35DB" w:rsidR="00196181" w:rsidRDefault="00196181" w14:paraId="67A55560" w14:textId="77777777">
      <w:pPr>
        <w:ind w:left="720"/>
        <w:rPr>
          <w:sz w:val="24"/>
        </w:rPr>
      </w:pPr>
      <w:bookmarkStart w:name="1910.1020(f)(2)(iii)" w:id="38"/>
      <w:bookmarkEnd w:id="38"/>
      <w:r w:rsidRPr="00BD35DB">
        <w:rPr>
          <w:bCs/>
          <w:i/>
          <w:sz w:val="24"/>
        </w:rPr>
        <w:t>§</w:t>
      </w:r>
      <w:r w:rsidRPr="00BD35DB">
        <w:rPr>
          <w:rStyle w:val="blueten1"/>
          <w:rFonts w:ascii="Times New Roman" w:hAnsi="Times New Roman"/>
          <w:bCs/>
          <w:i/>
          <w:color w:val="auto"/>
          <w:sz w:val="24"/>
          <w:szCs w:val="24"/>
        </w:rPr>
        <w:t>1910.1020(f)(2)(iii)</w:t>
      </w:r>
      <w:r w:rsidRPr="00BD35DB">
        <w:rPr>
          <w:rStyle w:val="blueten1"/>
          <w:rFonts w:ascii="Times New Roman" w:hAnsi="Times New Roman"/>
          <w:i/>
          <w:color w:val="auto"/>
          <w:sz w:val="24"/>
          <w:szCs w:val="24"/>
        </w:rPr>
        <w:t xml:space="preserve"> - </w:t>
      </w:r>
      <w:r w:rsidRPr="00BD35DB">
        <w:rPr>
          <w:sz w:val="24"/>
        </w:rPr>
        <w:t>The employer informs the requesting party that the specific chemical identity is being withheld as a trade secret; and</w:t>
      </w:r>
    </w:p>
    <w:p w:rsidRPr="00BD35DB" w:rsidR="00196181" w:rsidRDefault="00196181" w14:paraId="4CC934B7" w14:textId="77777777">
      <w:pPr>
        <w:rPr>
          <w:sz w:val="24"/>
        </w:rPr>
      </w:pPr>
    </w:p>
    <w:p w:rsidRPr="00BD35DB" w:rsidR="00196181" w:rsidRDefault="00196181" w14:paraId="5DF83F73" w14:textId="77777777">
      <w:pPr>
        <w:ind w:left="720"/>
        <w:rPr>
          <w:sz w:val="24"/>
        </w:rPr>
      </w:pPr>
      <w:bookmarkStart w:name="1910.1020(f)(2)(iv)" w:id="39"/>
      <w:bookmarkEnd w:id="39"/>
      <w:r w:rsidRPr="00BD35DB">
        <w:rPr>
          <w:bCs/>
          <w:i/>
          <w:sz w:val="24"/>
        </w:rPr>
        <w:t>§</w:t>
      </w:r>
      <w:r w:rsidRPr="00BD35DB">
        <w:rPr>
          <w:rStyle w:val="blueten1"/>
          <w:rFonts w:ascii="Times New Roman" w:hAnsi="Times New Roman"/>
          <w:bCs/>
          <w:i/>
          <w:color w:val="auto"/>
          <w:sz w:val="24"/>
          <w:szCs w:val="24"/>
        </w:rPr>
        <w:t>1910.1020(f)(2)(iv)</w:t>
      </w:r>
      <w:r w:rsidRPr="00BD35DB">
        <w:rPr>
          <w:rStyle w:val="blueten1"/>
          <w:rFonts w:ascii="Times New Roman" w:hAnsi="Times New Roman"/>
          <w:i/>
          <w:color w:val="auto"/>
          <w:sz w:val="24"/>
          <w:szCs w:val="24"/>
        </w:rPr>
        <w:t xml:space="preserve"> - </w:t>
      </w:r>
      <w:r w:rsidRPr="00BD35DB">
        <w:rPr>
          <w:sz w:val="24"/>
        </w:rPr>
        <w:t>The specific chemical identity is made available to health professionals, employees and designated representatives in accordance with the specific applicable provisions of this paragraph.</w:t>
      </w:r>
    </w:p>
    <w:p w:rsidRPr="00BD35DB" w:rsidR="00196181" w:rsidRDefault="00196181" w14:paraId="17A6F8FE" w14:textId="77777777">
      <w:pPr>
        <w:rPr>
          <w:sz w:val="24"/>
        </w:rPr>
      </w:pPr>
    </w:p>
    <w:p w:rsidRPr="00BD35DB" w:rsidR="00196181" w:rsidRDefault="00196181" w14:paraId="7BAAF66C" w14:textId="77777777">
      <w:pPr>
        <w:rPr>
          <w:sz w:val="24"/>
        </w:rPr>
      </w:pPr>
      <w:r w:rsidRPr="00BD35DB">
        <w:rPr>
          <w:bCs/>
          <w:i/>
          <w:sz w:val="24"/>
        </w:rPr>
        <w:t>§</w:t>
      </w:r>
      <w:r w:rsidRPr="00BD35DB">
        <w:rPr>
          <w:rStyle w:val="blueten1"/>
          <w:rFonts w:ascii="Times New Roman" w:hAnsi="Times New Roman"/>
          <w:bCs/>
          <w:i/>
          <w:color w:val="auto"/>
          <w:sz w:val="24"/>
          <w:szCs w:val="24"/>
        </w:rPr>
        <w:t xml:space="preserve">1910.1020(f)(3) - </w:t>
      </w:r>
      <w:r w:rsidRPr="00BD35DB">
        <w:rPr>
          <w:sz w:val="24"/>
        </w:rPr>
        <w:t>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(f)(4) and (f)(5), as soon as circumstances permit.</w:t>
      </w:r>
    </w:p>
    <w:p w:rsidRPr="00BD35DB" w:rsidR="00196181" w:rsidRDefault="00196181" w14:paraId="68BC7861" w14:textId="77777777">
      <w:pPr>
        <w:rPr>
          <w:sz w:val="24"/>
        </w:rPr>
      </w:pPr>
    </w:p>
    <w:p w:rsidRPr="00BD35DB" w:rsidR="00196181" w:rsidRDefault="00196181" w14:paraId="216317DA" w14:textId="77777777">
      <w:pPr>
        <w:rPr>
          <w:sz w:val="24"/>
        </w:rPr>
      </w:pPr>
      <w:r w:rsidRPr="00BD35DB">
        <w:rPr>
          <w:bCs/>
          <w:i/>
          <w:sz w:val="24"/>
        </w:rPr>
        <w:t>§</w:t>
      </w:r>
      <w:r w:rsidRPr="00BD35DB">
        <w:rPr>
          <w:rStyle w:val="blueten1"/>
          <w:rFonts w:ascii="Times New Roman" w:hAnsi="Times New Roman"/>
          <w:bCs/>
          <w:i/>
          <w:color w:val="auto"/>
          <w:sz w:val="24"/>
          <w:szCs w:val="24"/>
        </w:rPr>
        <w:t>1910.1020(f)(4)</w:t>
      </w:r>
      <w:r w:rsidRPr="00BD35DB">
        <w:rPr>
          <w:rStyle w:val="blueten1"/>
          <w:rFonts w:ascii="Times New Roman" w:hAnsi="Times New Roman"/>
          <w:i/>
          <w:color w:val="auto"/>
          <w:sz w:val="24"/>
          <w:szCs w:val="24"/>
        </w:rPr>
        <w:t xml:space="preserve"> - </w:t>
      </w:r>
      <w:r w:rsidRPr="00BD35DB">
        <w:rPr>
          <w:sz w:val="24"/>
        </w:rPr>
        <w:t>In non-emergency situations, an employer shall, upon request, disclose a specific chemical identity, otherwise permitted to be withheld under paragraph (f)(2) of this section, to a health professional, employee, or designated representative if:</w:t>
      </w:r>
    </w:p>
    <w:p w:rsidRPr="00BD35DB" w:rsidR="00196181" w:rsidRDefault="00196181" w14:paraId="7196CE46" w14:textId="77777777">
      <w:pPr>
        <w:rPr>
          <w:sz w:val="24"/>
        </w:rPr>
      </w:pPr>
    </w:p>
    <w:p w:rsidRPr="00BD35DB" w:rsidR="00196181" w:rsidP="00071F43" w:rsidRDefault="00196181" w14:paraId="41744998" w14:textId="77777777">
      <w:pPr>
        <w:rPr>
          <w:sz w:val="24"/>
        </w:rPr>
      </w:pPr>
      <w:bookmarkStart w:name="1910.1020(f)(4)(i)" w:id="40"/>
      <w:bookmarkEnd w:id="40"/>
      <w:r w:rsidRPr="00BD35DB">
        <w:rPr>
          <w:bCs/>
          <w:i/>
          <w:sz w:val="24"/>
        </w:rPr>
        <w:t>§</w:t>
      </w:r>
      <w:r w:rsidRPr="00BD35DB">
        <w:rPr>
          <w:rStyle w:val="blueten1"/>
          <w:rFonts w:ascii="Times New Roman" w:hAnsi="Times New Roman"/>
          <w:bCs/>
          <w:i/>
          <w:color w:val="auto"/>
          <w:sz w:val="24"/>
          <w:szCs w:val="24"/>
        </w:rPr>
        <w:t>1910.1020(f)(4)(i)</w:t>
      </w:r>
      <w:r w:rsidRPr="00BD35DB">
        <w:rPr>
          <w:rStyle w:val="blueten1"/>
          <w:rFonts w:ascii="Times New Roman" w:hAnsi="Times New Roman"/>
          <w:i/>
          <w:color w:val="auto"/>
          <w:sz w:val="24"/>
          <w:szCs w:val="24"/>
        </w:rPr>
        <w:t xml:space="preserve"> - </w:t>
      </w:r>
      <w:r w:rsidRPr="00BD35DB">
        <w:rPr>
          <w:sz w:val="24"/>
        </w:rPr>
        <w:t>The request is in writing;</w:t>
      </w:r>
      <w:r w:rsidRPr="00BD35DB">
        <w:rPr>
          <w:rStyle w:val="FootnoteReference"/>
          <w:sz w:val="24"/>
          <w:vertAlign w:val="superscript"/>
        </w:rPr>
        <w:footnoteReference w:id="9"/>
      </w:r>
    </w:p>
    <w:p w:rsidRPr="00BD35DB" w:rsidR="00196181" w:rsidRDefault="00196181" w14:paraId="253810EE" w14:textId="77777777">
      <w:pPr>
        <w:rPr>
          <w:rStyle w:val="blueten1"/>
          <w:bCs/>
          <w:color w:val="auto"/>
          <w:sz w:val="14"/>
          <w:szCs w:val="14"/>
        </w:rPr>
      </w:pPr>
      <w:bookmarkStart w:name="1910.1020(f)(4)(ii)" w:id="41"/>
      <w:bookmarkEnd w:id="41"/>
    </w:p>
    <w:p w:rsidRPr="00BD35DB" w:rsidR="00196181" w:rsidP="00071F43" w:rsidRDefault="00196181" w14:paraId="72EE4397" w14:textId="77777777">
      <w:pPr>
        <w:rPr>
          <w:sz w:val="24"/>
        </w:rPr>
      </w:pPr>
      <w:r w:rsidRPr="00BD35DB">
        <w:rPr>
          <w:bCs/>
          <w:i/>
          <w:sz w:val="24"/>
        </w:rPr>
        <w:t>§</w:t>
      </w:r>
      <w:r w:rsidRPr="00BD35DB">
        <w:rPr>
          <w:rStyle w:val="blueten1"/>
          <w:rFonts w:ascii="Times New Roman" w:hAnsi="Times New Roman"/>
          <w:bCs/>
          <w:i/>
          <w:color w:val="auto"/>
          <w:sz w:val="24"/>
          <w:szCs w:val="24"/>
        </w:rPr>
        <w:t>1910.1020(f)(4)(ii)</w:t>
      </w:r>
      <w:r w:rsidRPr="00BD35DB">
        <w:rPr>
          <w:rStyle w:val="blueten1"/>
          <w:rFonts w:ascii="Times New Roman" w:hAnsi="Times New Roman"/>
          <w:i/>
          <w:color w:val="auto"/>
          <w:sz w:val="24"/>
          <w:szCs w:val="24"/>
        </w:rPr>
        <w:t xml:space="preserve"> - </w:t>
      </w:r>
      <w:r w:rsidRPr="00BD35DB">
        <w:rPr>
          <w:sz w:val="24"/>
        </w:rPr>
        <w:t>The request describes with reasonable detail one or more of the following occupational health needs for the information:</w:t>
      </w:r>
    </w:p>
    <w:p w:rsidRPr="00BD35DB" w:rsidR="00196181" w:rsidRDefault="00196181" w14:paraId="39A3DC7C" w14:textId="77777777">
      <w:pPr>
        <w:rPr>
          <w:rStyle w:val="blueten1"/>
          <w:rFonts w:ascii="Times New Roman" w:hAnsi="Times New Roman"/>
          <w:bCs/>
          <w:color w:val="auto"/>
          <w:sz w:val="24"/>
          <w:szCs w:val="24"/>
        </w:rPr>
      </w:pPr>
      <w:bookmarkStart w:name="1910.1020(f)(4)(ii)(A)" w:id="42"/>
      <w:bookmarkEnd w:id="42"/>
    </w:p>
    <w:p w:rsidRPr="00BD35DB" w:rsidR="00196181" w:rsidP="00071F43" w:rsidRDefault="00196181" w14:paraId="5E4E58C9" w14:textId="77777777">
      <w:pPr>
        <w:ind w:left="720"/>
        <w:rPr>
          <w:sz w:val="24"/>
        </w:rPr>
      </w:pPr>
      <w:r w:rsidRPr="00BD35DB">
        <w:rPr>
          <w:bCs/>
          <w:sz w:val="24"/>
        </w:rPr>
        <w:t>§</w:t>
      </w:r>
      <w:r w:rsidRPr="00BD35DB">
        <w:rPr>
          <w:rStyle w:val="blueten1"/>
          <w:rFonts w:ascii="Times New Roman" w:hAnsi="Times New Roman"/>
          <w:bCs/>
          <w:color w:val="auto"/>
          <w:sz w:val="24"/>
          <w:szCs w:val="24"/>
        </w:rPr>
        <w:t>1910.1020(f)(4)(ii)(A)</w:t>
      </w:r>
      <w:r w:rsidRPr="00BD35DB">
        <w:rPr>
          <w:rStyle w:val="blueten1"/>
          <w:rFonts w:ascii="Times New Roman" w:hAnsi="Times New Roman"/>
          <w:color w:val="auto"/>
          <w:sz w:val="24"/>
          <w:szCs w:val="24"/>
        </w:rPr>
        <w:t xml:space="preserve"> - </w:t>
      </w:r>
      <w:r w:rsidRPr="00BD35DB">
        <w:rPr>
          <w:sz w:val="24"/>
        </w:rPr>
        <w:t>To assess the hazards of the chemicals to which employees will be exposed;</w:t>
      </w:r>
    </w:p>
    <w:p w:rsidRPr="00BD35DB" w:rsidR="00196181" w:rsidRDefault="00196181" w14:paraId="7EB10BC1" w14:textId="77777777">
      <w:pPr>
        <w:rPr>
          <w:rStyle w:val="blueten1"/>
          <w:rFonts w:ascii="Times New Roman" w:hAnsi="Times New Roman"/>
          <w:bCs/>
          <w:color w:val="auto"/>
          <w:sz w:val="24"/>
          <w:szCs w:val="24"/>
        </w:rPr>
      </w:pPr>
      <w:bookmarkStart w:name="1910.1020(f)(4)(ii)(B)" w:id="43"/>
      <w:bookmarkEnd w:id="43"/>
    </w:p>
    <w:p w:rsidRPr="00BD35DB" w:rsidR="00196181" w:rsidP="00071F43" w:rsidRDefault="00196181" w14:paraId="691CEB2A" w14:textId="77777777">
      <w:pPr>
        <w:ind w:left="720"/>
        <w:rPr>
          <w:sz w:val="24"/>
        </w:rPr>
      </w:pPr>
      <w:r w:rsidRPr="00BD35DB">
        <w:rPr>
          <w:bCs/>
          <w:sz w:val="24"/>
        </w:rPr>
        <w:t>§</w:t>
      </w:r>
      <w:r w:rsidRPr="00BD35DB">
        <w:rPr>
          <w:rStyle w:val="blueten1"/>
          <w:rFonts w:ascii="Times New Roman" w:hAnsi="Times New Roman"/>
          <w:bCs/>
          <w:color w:val="auto"/>
          <w:sz w:val="24"/>
          <w:szCs w:val="24"/>
        </w:rPr>
        <w:t>1910.1020(f)(4)(ii)(B)</w:t>
      </w:r>
      <w:r w:rsidRPr="00BD35DB">
        <w:rPr>
          <w:rStyle w:val="blueten1"/>
          <w:rFonts w:ascii="Times New Roman" w:hAnsi="Times New Roman"/>
          <w:color w:val="auto"/>
          <w:sz w:val="24"/>
          <w:szCs w:val="24"/>
        </w:rPr>
        <w:t xml:space="preserve"> - </w:t>
      </w:r>
      <w:r w:rsidRPr="00BD35DB">
        <w:rPr>
          <w:sz w:val="24"/>
        </w:rPr>
        <w:t>To conduct or assess sampling of the workplace atmosphere to determine employee exposure levels;</w:t>
      </w:r>
    </w:p>
    <w:p w:rsidRPr="00BD35DB" w:rsidR="00196181" w:rsidRDefault="00196181" w14:paraId="1576946F" w14:textId="77777777">
      <w:pPr>
        <w:rPr>
          <w:rStyle w:val="blueten1"/>
          <w:bCs/>
          <w:color w:val="auto"/>
          <w:sz w:val="14"/>
          <w:szCs w:val="14"/>
        </w:rPr>
      </w:pPr>
      <w:bookmarkStart w:name="1910.1020(f)(4)(ii)(C)" w:id="44"/>
      <w:bookmarkEnd w:id="44"/>
    </w:p>
    <w:p w:rsidRPr="00BD35DB" w:rsidR="00196181" w:rsidP="00071F43" w:rsidRDefault="00196181" w14:paraId="01292891" w14:textId="77777777">
      <w:pPr>
        <w:ind w:left="720"/>
        <w:rPr>
          <w:sz w:val="24"/>
        </w:rPr>
      </w:pPr>
      <w:r w:rsidRPr="00BD35DB">
        <w:rPr>
          <w:bCs/>
          <w:sz w:val="24"/>
        </w:rPr>
        <w:t>§</w:t>
      </w:r>
      <w:r w:rsidRPr="00BD35DB">
        <w:rPr>
          <w:rStyle w:val="blueten1"/>
          <w:rFonts w:ascii="Times New Roman" w:hAnsi="Times New Roman"/>
          <w:bCs/>
          <w:color w:val="auto"/>
          <w:sz w:val="24"/>
          <w:szCs w:val="24"/>
        </w:rPr>
        <w:t>1910.1020(f)(4)(ii)(C)</w:t>
      </w:r>
      <w:r w:rsidRPr="00BD35DB">
        <w:rPr>
          <w:rStyle w:val="blueten1"/>
          <w:rFonts w:ascii="Times New Roman" w:hAnsi="Times New Roman"/>
          <w:color w:val="auto"/>
          <w:sz w:val="24"/>
          <w:szCs w:val="24"/>
        </w:rPr>
        <w:t xml:space="preserve"> - </w:t>
      </w:r>
      <w:r w:rsidRPr="00BD35DB">
        <w:rPr>
          <w:sz w:val="24"/>
        </w:rPr>
        <w:t>To conduct pre-assignment or periodic medical surveillance of exposed employees;</w:t>
      </w:r>
    </w:p>
    <w:p w:rsidRPr="00BD35DB" w:rsidR="00196181" w:rsidRDefault="00196181" w14:paraId="2305E5AB" w14:textId="77777777">
      <w:pPr>
        <w:rPr>
          <w:rStyle w:val="blueten1"/>
          <w:rFonts w:ascii="Times New Roman" w:hAnsi="Times New Roman"/>
          <w:bCs/>
          <w:color w:val="auto"/>
          <w:sz w:val="24"/>
          <w:szCs w:val="24"/>
        </w:rPr>
      </w:pPr>
      <w:bookmarkStart w:name="1910.1020(f)(4)(ii)(D)" w:id="45"/>
      <w:bookmarkEnd w:id="45"/>
    </w:p>
    <w:p w:rsidRPr="00BD35DB" w:rsidR="00196181" w:rsidP="00071F43" w:rsidRDefault="00196181" w14:paraId="3448A44B" w14:textId="77777777">
      <w:pPr>
        <w:ind w:firstLine="720"/>
        <w:rPr>
          <w:sz w:val="24"/>
        </w:rPr>
      </w:pPr>
      <w:r w:rsidRPr="00BD35DB">
        <w:rPr>
          <w:bCs/>
          <w:sz w:val="24"/>
        </w:rPr>
        <w:t>§</w:t>
      </w:r>
      <w:r w:rsidRPr="00BD35DB">
        <w:rPr>
          <w:rStyle w:val="blueten1"/>
          <w:rFonts w:ascii="Times New Roman" w:hAnsi="Times New Roman"/>
          <w:bCs/>
          <w:color w:val="auto"/>
          <w:sz w:val="24"/>
          <w:szCs w:val="24"/>
        </w:rPr>
        <w:t>1910.1020(f)(4)(ii)(D)</w:t>
      </w:r>
      <w:r w:rsidRPr="00BD35DB">
        <w:rPr>
          <w:rStyle w:val="blueten1"/>
          <w:rFonts w:ascii="Times New Roman" w:hAnsi="Times New Roman"/>
          <w:color w:val="auto"/>
          <w:sz w:val="24"/>
          <w:szCs w:val="24"/>
        </w:rPr>
        <w:t xml:space="preserve"> - </w:t>
      </w:r>
      <w:r w:rsidRPr="00BD35DB">
        <w:rPr>
          <w:sz w:val="24"/>
        </w:rPr>
        <w:t>To provide medical treatment to exposed employees;</w:t>
      </w:r>
    </w:p>
    <w:p w:rsidRPr="00BD35DB" w:rsidR="00196181" w:rsidRDefault="00196181" w14:paraId="61D3A80C" w14:textId="77777777">
      <w:pPr>
        <w:ind w:firstLine="720"/>
        <w:rPr>
          <w:rStyle w:val="blueten1"/>
          <w:rFonts w:ascii="Times New Roman" w:hAnsi="Times New Roman"/>
          <w:bCs/>
          <w:color w:val="auto"/>
          <w:sz w:val="24"/>
          <w:szCs w:val="24"/>
        </w:rPr>
      </w:pPr>
      <w:bookmarkStart w:name="1910.1020(f)(4)(ii)(E)" w:id="46"/>
      <w:bookmarkEnd w:id="46"/>
      <w:r w:rsidRPr="00BD35DB">
        <w:rPr>
          <w:rStyle w:val="blueten1"/>
          <w:rFonts w:ascii="Times New Roman" w:hAnsi="Times New Roman"/>
          <w:bCs/>
          <w:color w:val="auto"/>
          <w:sz w:val="24"/>
          <w:szCs w:val="24"/>
        </w:rPr>
        <w:tab/>
      </w:r>
    </w:p>
    <w:p w:rsidRPr="00BD35DB" w:rsidR="00196181" w:rsidP="00071F43" w:rsidRDefault="00196181" w14:paraId="0FE2D1E8" w14:textId="77777777">
      <w:pPr>
        <w:ind w:left="720"/>
        <w:rPr>
          <w:sz w:val="24"/>
        </w:rPr>
      </w:pPr>
      <w:r w:rsidRPr="00BD35DB">
        <w:rPr>
          <w:bCs/>
          <w:sz w:val="24"/>
        </w:rPr>
        <w:t>§</w:t>
      </w:r>
      <w:r w:rsidRPr="00BD35DB">
        <w:rPr>
          <w:rStyle w:val="blueten1"/>
          <w:rFonts w:ascii="Times New Roman" w:hAnsi="Times New Roman"/>
          <w:bCs/>
          <w:color w:val="auto"/>
          <w:sz w:val="24"/>
          <w:szCs w:val="24"/>
        </w:rPr>
        <w:t>1910.1020(f)(4)(ii)(E)</w:t>
      </w:r>
      <w:r w:rsidRPr="00BD35DB">
        <w:rPr>
          <w:rStyle w:val="blueten1"/>
          <w:rFonts w:ascii="Times New Roman" w:hAnsi="Times New Roman"/>
          <w:color w:val="auto"/>
          <w:sz w:val="24"/>
          <w:szCs w:val="24"/>
        </w:rPr>
        <w:t xml:space="preserve"> - </w:t>
      </w:r>
      <w:r w:rsidRPr="00BD35DB">
        <w:rPr>
          <w:sz w:val="24"/>
        </w:rPr>
        <w:t>To select or assess appropriate personal protective equipment  exposed employees;</w:t>
      </w:r>
    </w:p>
    <w:p w:rsidRPr="00BD35DB" w:rsidR="00196181" w:rsidRDefault="00196181" w14:paraId="0B9B5E8B" w14:textId="77777777">
      <w:pPr>
        <w:rPr>
          <w:rStyle w:val="blueten1"/>
          <w:rFonts w:ascii="Times New Roman" w:hAnsi="Times New Roman"/>
          <w:bCs/>
          <w:color w:val="auto"/>
          <w:sz w:val="24"/>
          <w:szCs w:val="24"/>
        </w:rPr>
      </w:pPr>
      <w:bookmarkStart w:name="1910.1020(f)(4)(ii)(F)" w:id="47"/>
      <w:bookmarkEnd w:id="47"/>
    </w:p>
    <w:p w:rsidRPr="00BD35DB" w:rsidR="00196181" w:rsidP="00071F43" w:rsidRDefault="00196181" w14:paraId="6286A2E1" w14:textId="77777777">
      <w:pPr>
        <w:ind w:left="720"/>
        <w:rPr>
          <w:sz w:val="24"/>
        </w:rPr>
      </w:pPr>
      <w:r w:rsidRPr="00BD35DB">
        <w:rPr>
          <w:bCs/>
          <w:sz w:val="24"/>
        </w:rPr>
        <w:t>§</w:t>
      </w:r>
      <w:r w:rsidRPr="00BD35DB">
        <w:rPr>
          <w:rStyle w:val="blueten1"/>
          <w:rFonts w:ascii="Times New Roman" w:hAnsi="Times New Roman"/>
          <w:bCs/>
          <w:color w:val="auto"/>
          <w:sz w:val="24"/>
          <w:szCs w:val="24"/>
        </w:rPr>
        <w:t>1910.1020(f)(4)(ii)(F)</w:t>
      </w:r>
      <w:r w:rsidRPr="00BD35DB">
        <w:rPr>
          <w:rStyle w:val="blueten1"/>
          <w:rFonts w:ascii="Times New Roman" w:hAnsi="Times New Roman"/>
          <w:color w:val="auto"/>
          <w:sz w:val="24"/>
          <w:szCs w:val="24"/>
        </w:rPr>
        <w:t xml:space="preserve"> - </w:t>
      </w:r>
      <w:r w:rsidRPr="00BD35DB">
        <w:rPr>
          <w:sz w:val="24"/>
        </w:rPr>
        <w:t>To design or assess engineering controls or other protective measures for exposed employees; and</w:t>
      </w:r>
    </w:p>
    <w:p w:rsidRPr="00BD35DB" w:rsidR="00196181" w:rsidRDefault="00196181" w14:paraId="62238E44" w14:textId="77777777">
      <w:pPr>
        <w:ind w:left="720"/>
        <w:rPr>
          <w:sz w:val="24"/>
        </w:rPr>
      </w:pPr>
    </w:p>
    <w:p w:rsidRPr="00BD35DB" w:rsidR="00196181" w:rsidP="00071F43" w:rsidRDefault="00196181" w14:paraId="0915C290" w14:textId="77777777">
      <w:pPr>
        <w:rPr>
          <w:rStyle w:val="blueten1"/>
          <w:bCs/>
          <w:color w:val="auto"/>
          <w:sz w:val="14"/>
          <w:szCs w:val="14"/>
        </w:rPr>
      </w:pPr>
      <w:bookmarkStart w:name="1910.1020(f)(4)(ii)(G)" w:id="48"/>
      <w:bookmarkEnd w:id="48"/>
      <w:r w:rsidRPr="00BD35DB">
        <w:rPr>
          <w:bCs/>
          <w:sz w:val="24"/>
        </w:rPr>
        <w:t>§</w:t>
      </w:r>
      <w:r w:rsidRPr="00BD35DB">
        <w:rPr>
          <w:rStyle w:val="blueten1"/>
          <w:rFonts w:ascii="Times New Roman" w:hAnsi="Times New Roman"/>
          <w:bCs/>
          <w:color w:val="auto"/>
          <w:sz w:val="24"/>
          <w:szCs w:val="24"/>
        </w:rPr>
        <w:t>1910.1020(f)(4)(ii)(G)</w:t>
      </w:r>
      <w:r w:rsidRPr="00BD35DB">
        <w:rPr>
          <w:rStyle w:val="blueten1"/>
          <w:rFonts w:ascii="Times New Roman" w:hAnsi="Times New Roman"/>
          <w:color w:val="auto"/>
          <w:sz w:val="24"/>
          <w:szCs w:val="24"/>
        </w:rPr>
        <w:t xml:space="preserve"> - </w:t>
      </w:r>
      <w:r w:rsidRPr="00BD35DB">
        <w:rPr>
          <w:sz w:val="24"/>
        </w:rPr>
        <w:t>To conduct studies to determine the health effects of exposure.</w:t>
      </w:r>
      <w:bookmarkStart w:name="1910.1020(f)(4)(iii)" w:id="49"/>
      <w:bookmarkEnd w:id="49"/>
    </w:p>
    <w:p w:rsidRPr="00BD35DB" w:rsidR="00196181" w:rsidRDefault="00196181" w14:paraId="22D5CB75" w14:textId="77777777">
      <w:pPr>
        <w:ind w:left="720"/>
        <w:rPr>
          <w:bCs/>
          <w:i/>
          <w:sz w:val="24"/>
        </w:rPr>
      </w:pPr>
    </w:p>
    <w:p w:rsidRPr="00BD35DB" w:rsidR="00196181" w:rsidP="001D2E63" w:rsidRDefault="00196181" w14:paraId="7EEB035E" w14:textId="77777777">
      <w:pPr>
        <w:spacing w:line="240" w:lineRule="atLeast"/>
        <w:ind w:left="720"/>
        <w:rPr>
          <w:sz w:val="24"/>
        </w:rPr>
      </w:pPr>
      <w:r w:rsidRPr="00BD35DB">
        <w:rPr>
          <w:bCs/>
          <w:i/>
          <w:sz w:val="24"/>
        </w:rPr>
        <w:t>§</w:t>
      </w:r>
      <w:r w:rsidRPr="00BD35DB">
        <w:rPr>
          <w:rStyle w:val="blueten1"/>
          <w:rFonts w:ascii="Times New Roman" w:hAnsi="Times New Roman"/>
          <w:bCs/>
          <w:i/>
          <w:color w:val="auto"/>
          <w:sz w:val="24"/>
          <w:szCs w:val="24"/>
        </w:rPr>
        <w:t>1910.1020(f)(4)(iii)</w:t>
      </w:r>
      <w:r w:rsidRPr="00BD35DB">
        <w:rPr>
          <w:rStyle w:val="blueten1"/>
          <w:rFonts w:ascii="Times New Roman" w:hAnsi="Times New Roman"/>
          <w:i/>
          <w:color w:val="auto"/>
          <w:sz w:val="24"/>
          <w:szCs w:val="24"/>
        </w:rPr>
        <w:t xml:space="preserve"> - </w:t>
      </w:r>
      <w:r w:rsidRPr="00BD35DB">
        <w:rPr>
          <w:sz w:val="24"/>
        </w:rPr>
        <w:t>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paragraph (f)(4)(ii) of this section;</w:t>
      </w:r>
    </w:p>
    <w:p w:rsidRPr="00BD35DB" w:rsidR="00196181" w:rsidP="001D2E63" w:rsidRDefault="00196181" w14:paraId="18ED3260" w14:textId="77777777">
      <w:pPr>
        <w:spacing w:line="240" w:lineRule="atLeast"/>
        <w:rPr>
          <w:rStyle w:val="blueten1"/>
          <w:bCs/>
          <w:color w:val="auto"/>
          <w:sz w:val="14"/>
          <w:szCs w:val="14"/>
        </w:rPr>
      </w:pPr>
      <w:bookmarkStart w:name="1910.1020(f)(4)(iii)(A)" w:id="50"/>
      <w:bookmarkEnd w:id="50"/>
    </w:p>
    <w:p w:rsidRPr="00BD35DB" w:rsidR="00196181" w:rsidP="001D2E63" w:rsidRDefault="00196181" w14:paraId="5EB23EDA" w14:textId="77777777">
      <w:pPr>
        <w:spacing w:line="240" w:lineRule="atLeast"/>
        <w:ind w:left="720" w:firstLine="720"/>
        <w:rPr>
          <w:sz w:val="24"/>
        </w:rPr>
      </w:pPr>
      <w:r w:rsidRPr="00BD35DB">
        <w:rPr>
          <w:bCs/>
          <w:sz w:val="24"/>
        </w:rPr>
        <w:t>§</w:t>
      </w:r>
      <w:r w:rsidRPr="00BD35DB">
        <w:rPr>
          <w:rStyle w:val="blueten1"/>
          <w:rFonts w:ascii="Times New Roman" w:hAnsi="Times New Roman"/>
          <w:bCs/>
          <w:color w:val="auto"/>
          <w:sz w:val="24"/>
          <w:szCs w:val="24"/>
        </w:rPr>
        <w:t>1910.1020(f)(4)(iii)(A)</w:t>
      </w:r>
      <w:r w:rsidRPr="00BD35DB">
        <w:rPr>
          <w:rStyle w:val="blueten1"/>
          <w:rFonts w:ascii="Times New Roman" w:hAnsi="Times New Roman"/>
          <w:color w:val="auto"/>
          <w:sz w:val="24"/>
          <w:szCs w:val="24"/>
        </w:rPr>
        <w:t xml:space="preserve"> - </w:t>
      </w:r>
      <w:r w:rsidRPr="00BD35DB">
        <w:rPr>
          <w:sz w:val="24"/>
        </w:rPr>
        <w:t>The properties and effects of the chemical;</w:t>
      </w:r>
    </w:p>
    <w:p w:rsidRPr="00BD35DB" w:rsidR="00196181" w:rsidRDefault="00196181" w14:paraId="772210F3" w14:textId="77777777">
      <w:pPr>
        <w:rPr>
          <w:rStyle w:val="blueten1"/>
          <w:rFonts w:ascii="Times New Roman" w:hAnsi="Times New Roman"/>
          <w:bCs/>
          <w:color w:val="auto"/>
          <w:sz w:val="24"/>
          <w:szCs w:val="24"/>
        </w:rPr>
      </w:pPr>
      <w:bookmarkStart w:name="1910.1020(f)(4)(iii)(B)" w:id="51"/>
      <w:bookmarkEnd w:id="51"/>
    </w:p>
    <w:p w:rsidRPr="00BD35DB" w:rsidR="00196181" w:rsidRDefault="00196181" w14:paraId="70F13FB9" w14:textId="77777777">
      <w:pPr>
        <w:ind w:left="1440"/>
        <w:rPr>
          <w:sz w:val="24"/>
        </w:rPr>
      </w:pPr>
      <w:r w:rsidRPr="00BD35DB">
        <w:rPr>
          <w:bCs/>
          <w:sz w:val="24"/>
        </w:rPr>
        <w:t>§</w:t>
      </w:r>
      <w:r w:rsidRPr="00BD35DB">
        <w:rPr>
          <w:rStyle w:val="blueten1"/>
          <w:rFonts w:ascii="Times New Roman" w:hAnsi="Times New Roman"/>
          <w:bCs/>
          <w:color w:val="auto"/>
          <w:sz w:val="24"/>
          <w:szCs w:val="24"/>
        </w:rPr>
        <w:t>1910.1020(f)(4)(iii)(B)</w:t>
      </w:r>
      <w:r w:rsidRPr="00BD35DB">
        <w:rPr>
          <w:rStyle w:val="blueten1"/>
          <w:rFonts w:ascii="Times New Roman" w:hAnsi="Times New Roman"/>
          <w:color w:val="auto"/>
          <w:sz w:val="24"/>
          <w:szCs w:val="24"/>
        </w:rPr>
        <w:t xml:space="preserve"> - </w:t>
      </w:r>
      <w:r w:rsidRPr="00BD35DB">
        <w:rPr>
          <w:sz w:val="24"/>
        </w:rPr>
        <w:t>Measures for controlling workers' exposure to the chemical;</w:t>
      </w:r>
    </w:p>
    <w:p w:rsidRPr="00BD35DB" w:rsidR="00196181" w:rsidRDefault="00196181" w14:paraId="72268960" w14:textId="77777777">
      <w:pPr>
        <w:rPr>
          <w:rStyle w:val="blueten1"/>
          <w:rFonts w:ascii="Times New Roman" w:hAnsi="Times New Roman"/>
          <w:bCs/>
          <w:color w:val="auto"/>
          <w:sz w:val="24"/>
          <w:szCs w:val="24"/>
        </w:rPr>
      </w:pPr>
      <w:bookmarkStart w:name="1910.1020(f)(4)(iii)(C)" w:id="52"/>
      <w:bookmarkEnd w:id="52"/>
    </w:p>
    <w:p w:rsidRPr="00BD35DB" w:rsidR="00196181" w:rsidRDefault="00196181" w14:paraId="4B711ABD" w14:textId="77777777">
      <w:pPr>
        <w:ind w:left="1440"/>
        <w:rPr>
          <w:sz w:val="24"/>
        </w:rPr>
      </w:pPr>
      <w:r w:rsidRPr="00BD35DB">
        <w:rPr>
          <w:bCs/>
          <w:sz w:val="24"/>
        </w:rPr>
        <w:t>§</w:t>
      </w:r>
      <w:r w:rsidRPr="00BD35DB">
        <w:rPr>
          <w:rStyle w:val="blueten1"/>
          <w:rFonts w:ascii="Times New Roman" w:hAnsi="Times New Roman"/>
          <w:bCs/>
          <w:color w:val="auto"/>
          <w:sz w:val="24"/>
          <w:szCs w:val="24"/>
        </w:rPr>
        <w:t>1910.1020(f)(4)(iii)(C)</w:t>
      </w:r>
      <w:r w:rsidRPr="00BD35DB">
        <w:rPr>
          <w:rStyle w:val="blueten1"/>
          <w:rFonts w:ascii="Times New Roman" w:hAnsi="Times New Roman"/>
          <w:color w:val="auto"/>
          <w:sz w:val="24"/>
          <w:szCs w:val="24"/>
        </w:rPr>
        <w:t xml:space="preserve"> - </w:t>
      </w:r>
      <w:r w:rsidRPr="00BD35DB">
        <w:rPr>
          <w:sz w:val="24"/>
        </w:rPr>
        <w:t>Methods of monitoring and analyzing worker exposure to the chemical; and</w:t>
      </w:r>
    </w:p>
    <w:p w:rsidRPr="00BD35DB" w:rsidR="00196181" w:rsidRDefault="00196181" w14:paraId="4D1BB008" w14:textId="77777777">
      <w:pPr>
        <w:rPr>
          <w:rStyle w:val="blueten1"/>
          <w:rFonts w:ascii="Times New Roman" w:hAnsi="Times New Roman"/>
          <w:bCs/>
          <w:color w:val="auto"/>
          <w:sz w:val="24"/>
          <w:szCs w:val="24"/>
        </w:rPr>
      </w:pPr>
      <w:bookmarkStart w:name="1910.1020(f)(4)(iii)(D)" w:id="53"/>
      <w:bookmarkEnd w:id="53"/>
    </w:p>
    <w:p w:rsidRPr="00BD35DB" w:rsidR="00196181" w:rsidRDefault="00196181" w14:paraId="3A3D07E9" w14:textId="77777777">
      <w:pPr>
        <w:ind w:left="1440"/>
        <w:rPr>
          <w:sz w:val="24"/>
        </w:rPr>
      </w:pPr>
      <w:r w:rsidRPr="00BD35DB">
        <w:rPr>
          <w:bCs/>
          <w:sz w:val="24"/>
        </w:rPr>
        <w:t>§</w:t>
      </w:r>
      <w:r w:rsidRPr="00BD35DB">
        <w:rPr>
          <w:rStyle w:val="blueten1"/>
          <w:rFonts w:ascii="Times New Roman" w:hAnsi="Times New Roman"/>
          <w:bCs/>
          <w:color w:val="auto"/>
          <w:sz w:val="24"/>
          <w:szCs w:val="24"/>
        </w:rPr>
        <w:t>1910.1020(f)(4)(iii)(D)</w:t>
      </w:r>
      <w:r w:rsidRPr="00BD35DB">
        <w:rPr>
          <w:rStyle w:val="blueten1"/>
          <w:rFonts w:ascii="Times New Roman" w:hAnsi="Times New Roman"/>
          <w:color w:val="auto"/>
          <w:sz w:val="24"/>
          <w:szCs w:val="24"/>
        </w:rPr>
        <w:t xml:space="preserve"> - </w:t>
      </w:r>
      <w:r w:rsidRPr="00BD35DB">
        <w:rPr>
          <w:sz w:val="24"/>
        </w:rPr>
        <w:t>Methods of diagnosing and treating harmful exposures to the chemical;</w:t>
      </w:r>
    </w:p>
    <w:p w:rsidRPr="00BD35DB" w:rsidR="00196181" w:rsidRDefault="00196181" w14:paraId="526549CA" w14:textId="77777777">
      <w:pPr>
        <w:rPr>
          <w:rStyle w:val="blueten1"/>
          <w:rFonts w:ascii="Times New Roman" w:hAnsi="Times New Roman"/>
          <w:bCs/>
          <w:color w:val="auto"/>
          <w:sz w:val="24"/>
          <w:szCs w:val="24"/>
        </w:rPr>
      </w:pPr>
      <w:bookmarkStart w:name="1910.1020(f)(4)(iv)" w:id="54"/>
      <w:bookmarkEnd w:id="54"/>
    </w:p>
    <w:p w:rsidRPr="00BD35DB" w:rsidR="00196181" w:rsidRDefault="00196181" w14:paraId="12CCA38D" w14:textId="77777777">
      <w:pPr>
        <w:ind w:left="720"/>
        <w:rPr>
          <w:sz w:val="24"/>
        </w:rPr>
      </w:pPr>
      <w:r w:rsidRPr="00BD35DB">
        <w:rPr>
          <w:bCs/>
          <w:i/>
          <w:sz w:val="24"/>
        </w:rPr>
        <w:t>§</w:t>
      </w:r>
      <w:r w:rsidRPr="00BD35DB">
        <w:rPr>
          <w:rStyle w:val="blueten1"/>
          <w:rFonts w:ascii="Times New Roman" w:hAnsi="Times New Roman"/>
          <w:bCs/>
          <w:i/>
          <w:color w:val="auto"/>
          <w:sz w:val="24"/>
          <w:szCs w:val="24"/>
        </w:rPr>
        <w:t>1910.1020(f)(4)(iv)</w:t>
      </w:r>
      <w:r w:rsidRPr="00BD35DB">
        <w:rPr>
          <w:rStyle w:val="blueten1"/>
          <w:rFonts w:ascii="Times New Roman" w:hAnsi="Times New Roman"/>
          <w:i/>
          <w:color w:val="auto"/>
          <w:sz w:val="24"/>
          <w:szCs w:val="24"/>
        </w:rPr>
        <w:t xml:space="preserve"> - </w:t>
      </w:r>
      <w:r w:rsidRPr="00BD35DB">
        <w:rPr>
          <w:sz w:val="24"/>
        </w:rPr>
        <w:t>The request includes a description of the procedures to be used to maintain the confidentiality of the disclosed information; and</w:t>
      </w:r>
    </w:p>
    <w:p w:rsidRPr="00BD35DB" w:rsidR="00196181" w:rsidRDefault="00196181" w14:paraId="4FAB118B" w14:textId="77777777">
      <w:pPr>
        <w:rPr>
          <w:bCs/>
          <w:i/>
          <w:sz w:val="24"/>
        </w:rPr>
      </w:pPr>
      <w:bookmarkStart w:name="1910.1020(f)(4)(v)" w:id="55"/>
      <w:bookmarkEnd w:id="55"/>
    </w:p>
    <w:p w:rsidRPr="00BD35DB" w:rsidR="00196181" w:rsidRDefault="00196181" w14:paraId="70CCD99C" w14:textId="77777777">
      <w:pPr>
        <w:ind w:left="720"/>
        <w:rPr>
          <w:sz w:val="24"/>
        </w:rPr>
      </w:pPr>
      <w:r w:rsidRPr="00BD35DB">
        <w:rPr>
          <w:bCs/>
          <w:i/>
          <w:sz w:val="24"/>
        </w:rPr>
        <w:t>§</w:t>
      </w:r>
      <w:r w:rsidRPr="00BD35DB">
        <w:rPr>
          <w:rStyle w:val="blueten1"/>
          <w:rFonts w:ascii="Times New Roman" w:hAnsi="Times New Roman"/>
          <w:bCs/>
          <w:i/>
          <w:color w:val="auto"/>
          <w:sz w:val="24"/>
          <w:szCs w:val="24"/>
        </w:rPr>
        <w:t>1910.1020(f)(4)(v)</w:t>
      </w:r>
      <w:r w:rsidRPr="00BD35DB">
        <w:rPr>
          <w:rStyle w:val="blueten1"/>
          <w:rFonts w:ascii="Times New Roman" w:hAnsi="Times New Roman"/>
          <w:i/>
          <w:color w:val="auto"/>
          <w:sz w:val="24"/>
          <w:szCs w:val="24"/>
        </w:rPr>
        <w:t xml:space="preserve"> - </w:t>
      </w:r>
      <w:r w:rsidRPr="00BD35DB">
        <w:rPr>
          <w:sz w:val="24"/>
        </w:rPr>
        <w:t>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paragraph (f)(7) of this section, except as authorized by the terms of the agreement or by the employer.</w:t>
      </w:r>
    </w:p>
    <w:p w:rsidRPr="00BD35DB" w:rsidR="00196181" w:rsidRDefault="00196181" w14:paraId="7DC526E3" w14:textId="77777777">
      <w:pPr>
        <w:rPr>
          <w:rStyle w:val="blueten1"/>
          <w:bCs/>
          <w:color w:val="auto"/>
          <w:sz w:val="14"/>
          <w:szCs w:val="14"/>
        </w:rPr>
      </w:pPr>
      <w:bookmarkStart w:name="1910.1020(f)(5)" w:id="56"/>
      <w:bookmarkEnd w:id="56"/>
    </w:p>
    <w:p w:rsidRPr="00BD35DB" w:rsidR="00196181" w:rsidRDefault="00196181" w14:paraId="0F71BDFE" w14:textId="77777777">
      <w:pPr>
        <w:rPr>
          <w:sz w:val="24"/>
        </w:rPr>
      </w:pPr>
      <w:r w:rsidRPr="00BD35DB">
        <w:rPr>
          <w:bCs/>
          <w:i/>
          <w:sz w:val="24"/>
        </w:rPr>
        <w:t>§</w:t>
      </w:r>
      <w:r w:rsidRPr="00BD35DB">
        <w:rPr>
          <w:rStyle w:val="blueten1"/>
          <w:rFonts w:ascii="Times New Roman" w:hAnsi="Times New Roman"/>
          <w:bCs/>
          <w:i/>
          <w:color w:val="auto"/>
          <w:sz w:val="24"/>
          <w:szCs w:val="24"/>
        </w:rPr>
        <w:t>1910.1020(f)(5)</w:t>
      </w:r>
      <w:r w:rsidRPr="00BD35DB">
        <w:rPr>
          <w:rStyle w:val="blueten1"/>
          <w:rFonts w:ascii="Times New Roman" w:hAnsi="Times New Roman"/>
          <w:i/>
          <w:color w:val="auto"/>
          <w:sz w:val="24"/>
          <w:szCs w:val="24"/>
        </w:rPr>
        <w:t xml:space="preserve"> - </w:t>
      </w:r>
      <w:r w:rsidRPr="00BD35DB">
        <w:rPr>
          <w:sz w:val="24"/>
        </w:rPr>
        <w:t>The confidentiality agreement authorized by paragraph (f)(4)(iv) of this section:</w:t>
      </w:r>
    </w:p>
    <w:p w:rsidRPr="00BD35DB" w:rsidR="00196181" w:rsidRDefault="00196181" w14:paraId="19925F91" w14:textId="77777777">
      <w:pPr>
        <w:rPr>
          <w:rStyle w:val="blueten1"/>
          <w:rFonts w:ascii="Times New Roman" w:hAnsi="Times New Roman"/>
          <w:bCs/>
          <w:color w:val="auto"/>
          <w:sz w:val="24"/>
          <w:szCs w:val="24"/>
        </w:rPr>
      </w:pPr>
      <w:bookmarkStart w:name="1910.1020(f)(5)(i)" w:id="57"/>
      <w:bookmarkEnd w:id="57"/>
    </w:p>
    <w:p w:rsidRPr="00BD35DB" w:rsidR="00196181" w:rsidRDefault="00196181" w14:paraId="1F68EA2F" w14:textId="77777777">
      <w:pPr>
        <w:ind w:left="720"/>
        <w:rPr>
          <w:sz w:val="24"/>
        </w:rPr>
      </w:pPr>
      <w:r w:rsidRPr="00BD35DB">
        <w:rPr>
          <w:bCs/>
          <w:i/>
          <w:sz w:val="24"/>
        </w:rPr>
        <w:t>§</w:t>
      </w:r>
      <w:r w:rsidRPr="00BD35DB">
        <w:rPr>
          <w:rStyle w:val="blueten1"/>
          <w:rFonts w:ascii="Times New Roman" w:hAnsi="Times New Roman"/>
          <w:bCs/>
          <w:i/>
          <w:color w:val="auto"/>
          <w:sz w:val="24"/>
          <w:szCs w:val="24"/>
        </w:rPr>
        <w:t>1910.1020(f)(5)(i)</w:t>
      </w:r>
      <w:r w:rsidRPr="00BD35DB">
        <w:rPr>
          <w:rStyle w:val="blueten1"/>
          <w:rFonts w:ascii="Times New Roman" w:hAnsi="Times New Roman"/>
          <w:color w:val="auto"/>
          <w:sz w:val="24"/>
          <w:szCs w:val="24"/>
        </w:rPr>
        <w:t xml:space="preserve"> - </w:t>
      </w:r>
      <w:r w:rsidRPr="00BD35DB">
        <w:rPr>
          <w:sz w:val="24"/>
        </w:rPr>
        <w:t>May restrict the use of the information to the health purposes indicated in the written statement of need;</w:t>
      </w:r>
    </w:p>
    <w:p w:rsidRPr="00BD35DB" w:rsidR="00196181" w:rsidRDefault="00196181" w14:paraId="16ECE2DF" w14:textId="77777777">
      <w:pPr>
        <w:rPr>
          <w:rStyle w:val="blueten1"/>
          <w:rFonts w:ascii="Times New Roman" w:hAnsi="Times New Roman"/>
          <w:bCs/>
          <w:color w:val="auto"/>
          <w:sz w:val="24"/>
          <w:szCs w:val="24"/>
        </w:rPr>
      </w:pPr>
      <w:bookmarkStart w:name="1910.1020(f)(5)(ii)" w:id="58"/>
      <w:bookmarkEnd w:id="58"/>
    </w:p>
    <w:p w:rsidRPr="00BD35DB" w:rsidR="00196181" w:rsidRDefault="00196181" w14:paraId="18C837AA" w14:textId="77777777">
      <w:pPr>
        <w:ind w:left="720"/>
        <w:rPr>
          <w:sz w:val="24"/>
        </w:rPr>
      </w:pPr>
      <w:r w:rsidRPr="00BD35DB">
        <w:rPr>
          <w:bCs/>
          <w:i/>
          <w:sz w:val="24"/>
        </w:rPr>
        <w:t>§</w:t>
      </w:r>
      <w:r w:rsidRPr="00BD35DB">
        <w:rPr>
          <w:rStyle w:val="blueten1"/>
          <w:rFonts w:ascii="Times New Roman" w:hAnsi="Times New Roman"/>
          <w:bCs/>
          <w:i/>
          <w:color w:val="auto"/>
          <w:sz w:val="24"/>
          <w:szCs w:val="24"/>
        </w:rPr>
        <w:t>1910.1020(f)(5)(ii)</w:t>
      </w:r>
      <w:r w:rsidRPr="00BD35DB">
        <w:rPr>
          <w:rStyle w:val="blueten1"/>
          <w:rFonts w:ascii="Times New Roman" w:hAnsi="Times New Roman"/>
          <w:i/>
          <w:color w:val="auto"/>
          <w:sz w:val="24"/>
          <w:szCs w:val="24"/>
        </w:rPr>
        <w:t xml:space="preserve"> - </w:t>
      </w:r>
      <w:r w:rsidRPr="00BD35DB">
        <w:rPr>
          <w:sz w:val="24"/>
        </w:rPr>
        <w:t>May provide for appropriate legal remedies in the event of a breach of the agreement, including stipulation of a reasonable pre-estimate of likely damages; and,</w:t>
      </w:r>
    </w:p>
    <w:p w:rsidRPr="00BD35DB" w:rsidR="00196181" w:rsidRDefault="00196181" w14:paraId="540C4681" w14:textId="77777777">
      <w:pPr>
        <w:rPr>
          <w:rStyle w:val="blueten1"/>
          <w:bCs/>
          <w:color w:val="auto"/>
          <w:sz w:val="14"/>
          <w:szCs w:val="14"/>
        </w:rPr>
      </w:pPr>
      <w:bookmarkStart w:name="1910.1020(f)(5)(iii)" w:id="59"/>
      <w:bookmarkEnd w:id="59"/>
    </w:p>
    <w:p w:rsidRPr="00BD35DB" w:rsidR="00196181" w:rsidRDefault="00196181" w14:paraId="75F9A338" w14:textId="77777777">
      <w:pPr>
        <w:ind w:firstLine="720"/>
        <w:rPr>
          <w:sz w:val="24"/>
        </w:rPr>
      </w:pPr>
      <w:r w:rsidRPr="00BD35DB">
        <w:rPr>
          <w:bCs/>
          <w:i/>
          <w:sz w:val="24"/>
        </w:rPr>
        <w:t>§</w:t>
      </w:r>
      <w:r w:rsidRPr="00BD35DB">
        <w:rPr>
          <w:rStyle w:val="blueten1"/>
          <w:rFonts w:ascii="Times New Roman" w:hAnsi="Times New Roman"/>
          <w:bCs/>
          <w:i/>
          <w:color w:val="auto"/>
          <w:sz w:val="24"/>
          <w:szCs w:val="24"/>
        </w:rPr>
        <w:t>1910.1020(f)(5)(iii)</w:t>
      </w:r>
      <w:r w:rsidRPr="00BD35DB">
        <w:rPr>
          <w:rStyle w:val="blueten1"/>
          <w:rFonts w:ascii="Times New Roman" w:hAnsi="Times New Roman"/>
          <w:i/>
          <w:color w:val="auto"/>
          <w:sz w:val="24"/>
          <w:szCs w:val="24"/>
        </w:rPr>
        <w:t xml:space="preserve"> - </w:t>
      </w:r>
      <w:r w:rsidRPr="00BD35DB">
        <w:rPr>
          <w:sz w:val="24"/>
        </w:rPr>
        <w:t>May not include requirements for the posting of a penalty bond.</w:t>
      </w:r>
    </w:p>
    <w:p w:rsidRPr="00BD35DB" w:rsidR="00196181" w:rsidRDefault="00196181" w14:paraId="04F78BD1" w14:textId="77777777">
      <w:pPr>
        <w:rPr>
          <w:sz w:val="24"/>
        </w:rPr>
      </w:pPr>
    </w:p>
    <w:p w:rsidRPr="00BD35DB" w:rsidR="009622AE" w:rsidRDefault="00196181" w14:paraId="27BB76C4" w14:textId="77777777">
      <w:pPr>
        <w:rPr>
          <w:color w:val="000000"/>
          <w:sz w:val="24"/>
        </w:rPr>
      </w:pPr>
      <w:r w:rsidRPr="00BD35DB">
        <w:rPr>
          <w:bCs/>
          <w:i/>
          <w:sz w:val="24"/>
        </w:rPr>
        <w:t>§</w:t>
      </w:r>
      <w:r w:rsidRPr="00BD35DB">
        <w:rPr>
          <w:rStyle w:val="blueten1"/>
          <w:rFonts w:ascii="Times New Roman" w:hAnsi="Times New Roman"/>
          <w:bCs/>
          <w:i/>
          <w:color w:val="000000"/>
          <w:sz w:val="24"/>
          <w:szCs w:val="24"/>
        </w:rPr>
        <w:t>1910.1020(f)(7)</w:t>
      </w:r>
      <w:r w:rsidRPr="00BD35DB">
        <w:rPr>
          <w:rStyle w:val="blueten1"/>
          <w:rFonts w:ascii="Times New Roman" w:hAnsi="Times New Roman"/>
          <w:i/>
          <w:color w:val="000000"/>
          <w:sz w:val="24"/>
          <w:szCs w:val="24"/>
        </w:rPr>
        <w:t xml:space="preserve"> - </w:t>
      </w:r>
      <w:r w:rsidRPr="00BD35DB">
        <w:rPr>
          <w:color w:val="000000"/>
          <w:sz w:val="24"/>
        </w:rPr>
        <w:t xml:space="preserve">If the health professional, employee or designated representative receiving the trade secret information decides that there is a need to disclose it to OSHA, the employer who </w:t>
      </w:r>
    </w:p>
    <w:p w:rsidRPr="00BD35DB" w:rsidR="00196181" w:rsidRDefault="00196181" w14:paraId="5DC80CA0" w14:textId="77777777">
      <w:pPr>
        <w:rPr>
          <w:sz w:val="24"/>
        </w:rPr>
      </w:pPr>
      <w:r w:rsidRPr="00BD35DB">
        <w:rPr>
          <w:color w:val="000000"/>
          <w:sz w:val="24"/>
        </w:rPr>
        <w:t>provided the information shall be informed by the health professional prior to, or at the same time as, such disclosure.</w:t>
      </w:r>
    </w:p>
    <w:p w:rsidRPr="00BD35DB" w:rsidR="00196181" w:rsidRDefault="00196181" w14:paraId="5E9944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38EB44B6" w14:textId="77777777">
      <w:pPr>
        <w:rPr>
          <w:sz w:val="24"/>
        </w:rPr>
      </w:pPr>
      <w:r w:rsidRPr="00BD35DB">
        <w:rPr>
          <w:bCs/>
          <w:i/>
          <w:sz w:val="24"/>
        </w:rPr>
        <w:t>§</w:t>
      </w:r>
      <w:r w:rsidRPr="00BD35DB">
        <w:rPr>
          <w:rStyle w:val="blueten1"/>
          <w:rFonts w:ascii="Times New Roman" w:hAnsi="Times New Roman"/>
          <w:bCs/>
          <w:i/>
          <w:color w:val="auto"/>
          <w:sz w:val="24"/>
          <w:szCs w:val="24"/>
        </w:rPr>
        <w:t>1910.1020(f)(8)</w:t>
      </w:r>
      <w:r w:rsidRPr="00BD35DB">
        <w:rPr>
          <w:rStyle w:val="blueten1"/>
          <w:rFonts w:ascii="Times New Roman" w:hAnsi="Times New Roman"/>
          <w:i/>
          <w:color w:val="auto"/>
          <w:sz w:val="24"/>
          <w:szCs w:val="24"/>
        </w:rPr>
        <w:t xml:space="preserve"> - </w:t>
      </w:r>
      <w:r w:rsidRPr="00BD35DB">
        <w:rPr>
          <w:sz w:val="24"/>
        </w:rPr>
        <w:t>If the employer denies a written request for disclosure of a specific chemical identity, the denial must:</w:t>
      </w:r>
    </w:p>
    <w:p w:rsidRPr="00BD35DB" w:rsidR="00196181" w:rsidRDefault="00196181" w14:paraId="34B7BAA2" w14:textId="77777777">
      <w:pPr>
        <w:rPr>
          <w:sz w:val="24"/>
        </w:rPr>
      </w:pPr>
    </w:p>
    <w:p w:rsidRPr="00BD35DB" w:rsidR="00196181" w:rsidRDefault="00196181" w14:paraId="077F9B64" w14:textId="77777777">
      <w:pPr>
        <w:ind w:left="720"/>
        <w:rPr>
          <w:sz w:val="24"/>
        </w:rPr>
      </w:pPr>
      <w:bookmarkStart w:name="1910.1020(f)(8)(i)" w:id="60"/>
      <w:bookmarkEnd w:id="60"/>
      <w:r w:rsidRPr="00BD35DB">
        <w:rPr>
          <w:bCs/>
          <w:i/>
          <w:sz w:val="24"/>
        </w:rPr>
        <w:t>§</w:t>
      </w:r>
      <w:r w:rsidRPr="00BD35DB">
        <w:rPr>
          <w:rStyle w:val="blueten1"/>
          <w:rFonts w:ascii="Times New Roman" w:hAnsi="Times New Roman"/>
          <w:bCs/>
          <w:i/>
          <w:color w:val="auto"/>
          <w:sz w:val="24"/>
          <w:szCs w:val="24"/>
        </w:rPr>
        <w:t>1910.1020(f)(8)(i)</w:t>
      </w:r>
      <w:r w:rsidRPr="00BD35DB">
        <w:rPr>
          <w:rStyle w:val="blueten1"/>
          <w:rFonts w:ascii="Times New Roman" w:hAnsi="Times New Roman"/>
          <w:i/>
          <w:color w:val="auto"/>
          <w:sz w:val="24"/>
          <w:szCs w:val="24"/>
        </w:rPr>
        <w:t xml:space="preserve"> - </w:t>
      </w:r>
      <w:r w:rsidRPr="00BD35DB">
        <w:rPr>
          <w:sz w:val="24"/>
        </w:rPr>
        <w:t>Be provided to the health professional, employee or designated representative within thirty days of the request;</w:t>
      </w:r>
    </w:p>
    <w:p w:rsidRPr="00BD35DB" w:rsidR="00196181" w:rsidRDefault="00196181" w14:paraId="45790A31" w14:textId="77777777">
      <w:pPr>
        <w:rPr>
          <w:sz w:val="24"/>
        </w:rPr>
      </w:pPr>
    </w:p>
    <w:p w:rsidRPr="00BD35DB" w:rsidR="00196181" w:rsidRDefault="00196181" w14:paraId="4F88E2DA" w14:textId="77777777">
      <w:pPr>
        <w:ind w:firstLine="720"/>
        <w:rPr>
          <w:sz w:val="24"/>
        </w:rPr>
      </w:pPr>
      <w:bookmarkStart w:name="1910.1020(f)(8)(ii)" w:id="61"/>
      <w:bookmarkEnd w:id="61"/>
      <w:r w:rsidRPr="00BD35DB">
        <w:rPr>
          <w:bCs/>
          <w:i/>
          <w:sz w:val="24"/>
        </w:rPr>
        <w:t>§</w:t>
      </w:r>
      <w:r w:rsidRPr="00BD35DB">
        <w:rPr>
          <w:rStyle w:val="blueten1"/>
          <w:rFonts w:ascii="Times New Roman" w:hAnsi="Times New Roman"/>
          <w:bCs/>
          <w:i/>
          <w:color w:val="auto"/>
          <w:sz w:val="24"/>
          <w:szCs w:val="24"/>
        </w:rPr>
        <w:t>1910.1020(f)(8)(ii)</w:t>
      </w:r>
      <w:r w:rsidRPr="00BD35DB">
        <w:rPr>
          <w:rStyle w:val="blueten1"/>
          <w:rFonts w:ascii="Times New Roman" w:hAnsi="Times New Roman"/>
          <w:i/>
          <w:color w:val="auto"/>
          <w:sz w:val="24"/>
          <w:szCs w:val="24"/>
        </w:rPr>
        <w:t xml:space="preserve"> - </w:t>
      </w:r>
      <w:r w:rsidRPr="00BD35DB">
        <w:rPr>
          <w:sz w:val="24"/>
        </w:rPr>
        <w:t>Be in writing;</w:t>
      </w:r>
    </w:p>
    <w:p w:rsidRPr="00BD35DB" w:rsidR="00196181" w:rsidRDefault="00196181" w14:paraId="517391FF" w14:textId="77777777">
      <w:pPr>
        <w:rPr>
          <w:sz w:val="24"/>
        </w:rPr>
      </w:pPr>
    </w:p>
    <w:p w:rsidRPr="00BD35DB" w:rsidR="00196181" w:rsidRDefault="00196181" w14:paraId="59B4C471" w14:textId="77777777">
      <w:pPr>
        <w:ind w:left="720"/>
        <w:rPr>
          <w:sz w:val="24"/>
        </w:rPr>
      </w:pPr>
      <w:bookmarkStart w:name="1910.1020(f)(8)(iii)" w:id="62"/>
      <w:bookmarkEnd w:id="62"/>
      <w:r w:rsidRPr="00BD35DB">
        <w:rPr>
          <w:bCs/>
          <w:i/>
          <w:sz w:val="24"/>
        </w:rPr>
        <w:t>§</w:t>
      </w:r>
      <w:r w:rsidRPr="00BD35DB">
        <w:rPr>
          <w:rStyle w:val="blueten1"/>
          <w:rFonts w:ascii="Times New Roman" w:hAnsi="Times New Roman"/>
          <w:bCs/>
          <w:i/>
          <w:color w:val="auto"/>
          <w:sz w:val="24"/>
          <w:szCs w:val="24"/>
        </w:rPr>
        <w:t>1910.1020(f)(8)(iii)</w:t>
      </w:r>
      <w:r w:rsidRPr="00BD35DB">
        <w:rPr>
          <w:rStyle w:val="blueten1"/>
          <w:rFonts w:ascii="Times New Roman" w:hAnsi="Times New Roman"/>
          <w:i/>
          <w:color w:val="auto"/>
          <w:sz w:val="24"/>
          <w:szCs w:val="24"/>
        </w:rPr>
        <w:t xml:space="preserve"> - </w:t>
      </w:r>
      <w:r w:rsidRPr="00BD35DB">
        <w:rPr>
          <w:sz w:val="24"/>
        </w:rPr>
        <w:t>Include evidence to support the claim that the specific chemical identity is a trade secret;</w:t>
      </w:r>
    </w:p>
    <w:p w:rsidRPr="00BD35DB" w:rsidR="00196181" w:rsidRDefault="00196181" w14:paraId="06E116F8" w14:textId="77777777">
      <w:pPr>
        <w:rPr>
          <w:bCs/>
          <w:i/>
          <w:sz w:val="24"/>
        </w:rPr>
      </w:pPr>
      <w:bookmarkStart w:name="1910.1020(f)(8)(iv)" w:id="63"/>
      <w:bookmarkEnd w:id="63"/>
    </w:p>
    <w:p w:rsidRPr="00BD35DB" w:rsidR="00196181" w:rsidRDefault="00196181" w14:paraId="043ADB80" w14:textId="77777777">
      <w:pPr>
        <w:ind w:firstLine="720"/>
        <w:rPr>
          <w:sz w:val="24"/>
        </w:rPr>
      </w:pPr>
      <w:r w:rsidRPr="00BD35DB">
        <w:rPr>
          <w:bCs/>
          <w:i/>
          <w:sz w:val="24"/>
        </w:rPr>
        <w:t>§</w:t>
      </w:r>
      <w:r w:rsidRPr="00BD35DB">
        <w:rPr>
          <w:rStyle w:val="blueten1"/>
          <w:rFonts w:ascii="Times New Roman" w:hAnsi="Times New Roman"/>
          <w:bCs/>
          <w:i/>
          <w:color w:val="auto"/>
          <w:sz w:val="24"/>
          <w:szCs w:val="24"/>
        </w:rPr>
        <w:t>1910.1020(f)(8)(iv)</w:t>
      </w:r>
      <w:r w:rsidRPr="00BD35DB">
        <w:rPr>
          <w:rStyle w:val="blueten1"/>
          <w:rFonts w:ascii="Times New Roman" w:hAnsi="Times New Roman"/>
          <w:i/>
          <w:color w:val="auto"/>
          <w:sz w:val="24"/>
          <w:szCs w:val="24"/>
        </w:rPr>
        <w:t xml:space="preserve"> - </w:t>
      </w:r>
      <w:r w:rsidRPr="00BD35DB">
        <w:rPr>
          <w:sz w:val="24"/>
        </w:rPr>
        <w:t>State the specific reasons why the request is being denied; and,</w:t>
      </w:r>
    </w:p>
    <w:p w:rsidRPr="00BD35DB" w:rsidR="00196181" w:rsidRDefault="00196181" w14:paraId="610361D7" w14:textId="77777777">
      <w:pPr>
        <w:rPr>
          <w:bCs/>
          <w:i/>
          <w:sz w:val="24"/>
        </w:rPr>
      </w:pPr>
      <w:bookmarkStart w:name="1910.1020(f)(8)(v)" w:id="64"/>
      <w:bookmarkEnd w:id="64"/>
    </w:p>
    <w:p w:rsidRPr="00BD35DB" w:rsidR="00196181" w:rsidRDefault="00196181" w14:paraId="59CD529D" w14:textId="77777777">
      <w:pPr>
        <w:ind w:left="720"/>
        <w:rPr>
          <w:sz w:val="24"/>
        </w:rPr>
      </w:pPr>
      <w:r w:rsidRPr="00BD35DB">
        <w:rPr>
          <w:bCs/>
          <w:i/>
          <w:sz w:val="24"/>
        </w:rPr>
        <w:t>§</w:t>
      </w:r>
      <w:r w:rsidRPr="00BD35DB">
        <w:rPr>
          <w:rStyle w:val="blueten1"/>
          <w:rFonts w:ascii="Times New Roman" w:hAnsi="Times New Roman"/>
          <w:bCs/>
          <w:i/>
          <w:color w:val="auto"/>
          <w:sz w:val="24"/>
          <w:szCs w:val="24"/>
        </w:rPr>
        <w:t>1910.1020(f)(8)(v)</w:t>
      </w:r>
      <w:r w:rsidRPr="00BD35DB">
        <w:rPr>
          <w:rStyle w:val="blueten1"/>
          <w:rFonts w:ascii="Times New Roman" w:hAnsi="Times New Roman"/>
          <w:i/>
          <w:color w:val="auto"/>
          <w:sz w:val="24"/>
          <w:szCs w:val="24"/>
        </w:rPr>
        <w:t xml:space="preserve"> - </w:t>
      </w:r>
      <w:r w:rsidRPr="00BD35DB">
        <w:rPr>
          <w:sz w:val="24"/>
        </w:rPr>
        <w:t>Explain in detail how alternative information may satisfy the specific medical or occupational health need without revealing the specific chemical identity.</w:t>
      </w:r>
    </w:p>
    <w:p w:rsidRPr="00BD35DB" w:rsidR="00196181" w:rsidRDefault="00196181" w14:paraId="34E745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27587787" w14:textId="77777777">
      <w:pPr>
        <w:rPr>
          <w:sz w:val="24"/>
        </w:rPr>
      </w:pPr>
      <w:bookmarkStart w:name="1910.1020(f)(11)(ii)" w:id="65"/>
      <w:bookmarkEnd w:id="65"/>
      <w:r w:rsidRPr="00BD35DB">
        <w:rPr>
          <w:bCs/>
          <w:i/>
          <w:sz w:val="24"/>
        </w:rPr>
        <w:t>§</w:t>
      </w:r>
      <w:r w:rsidRPr="00BD35DB">
        <w:rPr>
          <w:rStyle w:val="blueten1"/>
          <w:rFonts w:ascii="Times New Roman" w:hAnsi="Times New Roman"/>
          <w:bCs/>
          <w:i/>
          <w:color w:val="auto"/>
          <w:sz w:val="24"/>
          <w:szCs w:val="24"/>
        </w:rPr>
        <w:t>1910.1020(f)(11)(ii)</w:t>
      </w:r>
      <w:r w:rsidRPr="00BD35DB">
        <w:rPr>
          <w:rStyle w:val="blueten1"/>
          <w:rFonts w:ascii="Times New Roman" w:hAnsi="Times New Roman"/>
          <w:i/>
          <w:color w:val="auto"/>
          <w:sz w:val="24"/>
          <w:szCs w:val="24"/>
        </w:rPr>
        <w:t xml:space="preserve"> - </w:t>
      </w:r>
      <w:r w:rsidRPr="00BD35DB">
        <w:rPr>
          <w:sz w:val="24"/>
        </w:rPr>
        <w:t>If an employer demonstrates to OSHA that the execution of a confidentiality agreement would not 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w:t>
      </w:r>
    </w:p>
    <w:p w:rsidRPr="00BD35DB" w:rsidR="00196181" w:rsidRDefault="00196181" w14:paraId="07EE30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57BE5959" w14:textId="77777777">
      <w:pPr>
        <w:rPr>
          <w:sz w:val="24"/>
        </w:rPr>
      </w:pPr>
      <w:r w:rsidRPr="00BD35DB">
        <w:rPr>
          <w:bCs/>
          <w:i/>
          <w:sz w:val="24"/>
        </w:rPr>
        <w:t>§</w:t>
      </w:r>
      <w:r w:rsidRPr="00BD35DB">
        <w:rPr>
          <w:rStyle w:val="blueten1"/>
          <w:rFonts w:ascii="Times New Roman" w:hAnsi="Times New Roman"/>
          <w:bCs/>
          <w:i/>
          <w:color w:val="auto"/>
          <w:sz w:val="24"/>
          <w:szCs w:val="24"/>
        </w:rPr>
        <w:t>1910.1020(f)(12)</w:t>
      </w:r>
      <w:r w:rsidRPr="00BD35DB">
        <w:rPr>
          <w:rStyle w:val="blueten1"/>
          <w:rFonts w:ascii="Times New Roman" w:hAnsi="Times New Roman"/>
          <w:i/>
          <w:color w:val="auto"/>
          <w:sz w:val="24"/>
          <w:szCs w:val="24"/>
        </w:rPr>
        <w:t xml:space="preserve"> - </w:t>
      </w:r>
      <w:r w:rsidRPr="00BD35DB">
        <w:rPr>
          <w:sz w:val="24"/>
        </w:rPr>
        <w:t>Notwithstanding the existence of a trade secret claim, an employer shall, upon request, disclose to the Assistant Secretary any information which this section requires the employer to make available.  Where there is a trade secret claim, such claim shall be made no later than at the time the information is provided to the Assistant Secretary so that suitable determinations of trade secret status can be made and the necessary protections can be implemented.</w:t>
      </w:r>
    </w:p>
    <w:p w:rsidRPr="00BD35DB" w:rsidR="00196181" w:rsidRDefault="00196181" w14:paraId="3C7691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2BB72573" w14:textId="77777777">
      <w:pPr>
        <w:rPr>
          <w:sz w:val="24"/>
        </w:rPr>
      </w:pPr>
      <w:r w:rsidRPr="00BD35DB">
        <w:rPr>
          <w:b/>
          <w:sz w:val="24"/>
          <w:u w:val="single"/>
        </w:rPr>
        <w:t>Purpose</w:t>
      </w:r>
      <w:r w:rsidRPr="00BD35DB">
        <w:rPr>
          <w:sz w:val="24"/>
        </w:rPr>
        <w:t xml:space="preserve">:  The basic need for information on a chemical is to better assist a physician to diagnose a medical condition.  Trade secret claims have long been used in industry where information, if disclosed, could jeopardize the competitive edge the manufacturer may have.  </w:t>
      </w:r>
    </w:p>
    <w:p w:rsidRPr="00BD35DB" w:rsidR="00196181" w:rsidRDefault="00196181" w14:paraId="2C246E7E" w14:textId="77777777">
      <w:pPr>
        <w:rPr>
          <w:sz w:val="24"/>
        </w:rPr>
      </w:pPr>
    </w:p>
    <w:p w:rsidRPr="00BD35DB" w:rsidR="00480C0E" w:rsidRDefault="00196181" w14:paraId="0CAF96B7" w14:textId="77777777">
      <w:pPr>
        <w:rPr>
          <w:sz w:val="24"/>
        </w:rPr>
      </w:pPr>
      <w:r w:rsidRPr="00BD35DB">
        <w:rPr>
          <w:sz w:val="24"/>
        </w:rPr>
        <w:t xml:space="preserve">The provisions regarding trade secrets in 1910.1020 state that trade secrets must be revealed whenever it is requested by a health professional, a </w:t>
      </w:r>
      <w:r w:rsidRPr="00BD35DB" w:rsidR="0072553F">
        <w:rPr>
          <w:sz w:val="24"/>
        </w:rPr>
        <w:t>worker</w:t>
      </w:r>
      <w:r w:rsidRPr="00BD35DB">
        <w:rPr>
          <w:sz w:val="24"/>
        </w:rPr>
        <w:t xml:space="preserve">, and a designated representative. </w:t>
      </w:r>
    </w:p>
    <w:p w:rsidRPr="00BD35DB" w:rsidR="00196181" w:rsidRDefault="00196181" w14:paraId="4735B423" w14:textId="77777777">
      <w:pPr>
        <w:rPr>
          <w:b/>
          <w:bCs/>
          <w:i/>
          <w:sz w:val="24"/>
        </w:rPr>
      </w:pPr>
      <w:r w:rsidRPr="00BD35DB">
        <w:rPr>
          <w:sz w:val="24"/>
        </w:rPr>
        <w:t xml:space="preserve">Both in emergencies and non-emergencies it may be necessary to gain this information.  These provisions provide the means to request this information from the manufacturer or the employer. </w:t>
      </w:r>
    </w:p>
    <w:p w:rsidRPr="00BD35DB" w:rsidR="00196181" w:rsidRDefault="00196181" w14:paraId="724C6B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4"/>
        </w:rPr>
      </w:pPr>
    </w:p>
    <w:p w:rsidRPr="00BD35DB" w:rsidR="00196181" w:rsidRDefault="00196181" w14:paraId="78C0E2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BD35DB">
        <w:rPr>
          <w:b/>
          <w:bCs/>
          <w:i/>
          <w:sz w:val="24"/>
        </w:rPr>
        <w:lastRenderedPageBreak/>
        <w:t>D.  Employee Information (§1910.1020(g))</w:t>
      </w:r>
    </w:p>
    <w:p w:rsidRPr="00BD35DB" w:rsidR="00196181" w:rsidRDefault="00196181" w14:paraId="1ACC757B" w14:textId="77777777">
      <w:pPr>
        <w:rPr>
          <w:rStyle w:val="blueten1"/>
          <w:b/>
          <w:bCs/>
          <w:color w:val="757575"/>
          <w:sz w:val="14"/>
          <w:szCs w:val="14"/>
        </w:rPr>
      </w:pPr>
      <w:bookmarkStart w:name="1910.1020(g)(1)" w:id="66"/>
      <w:bookmarkEnd w:id="66"/>
    </w:p>
    <w:p w:rsidRPr="00BD35DB" w:rsidR="00196181" w:rsidRDefault="00196181" w14:paraId="30C3BBE3" w14:textId="77777777">
      <w:pPr>
        <w:rPr>
          <w:sz w:val="24"/>
        </w:rPr>
      </w:pPr>
      <w:r w:rsidRPr="00BD35DB">
        <w:rPr>
          <w:bCs/>
          <w:i/>
          <w:sz w:val="24"/>
        </w:rPr>
        <w:t>§</w:t>
      </w:r>
      <w:hyperlink w:history="1" r:id="rId16">
        <w:r w:rsidRPr="00BD35DB">
          <w:rPr>
            <w:rStyle w:val="Hyperlink"/>
            <w:bCs/>
            <w:i/>
            <w:color w:val="auto"/>
            <w:sz w:val="24"/>
            <w:u w:val="none"/>
          </w:rPr>
          <w:t>1910.1020(g)(1)</w:t>
        </w:r>
      </w:hyperlink>
      <w:r w:rsidRPr="00BD35DB">
        <w:rPr>
          <w:rStyle w:val="blueten1"/>
          <w:rFonts w:ascii="Times New Roman" w:hAnsi="Times New Roman"/>
          <w:i/>
          <w:color w:val="auto"/>
          <w:sz w:val="24"/>
          <w:szCs w:val="24"/>
        </w:rPr>
        <w:t xml:space="preserve"> - </w:t>
      </w:r>
      <w:r w:rsidRPr="00BD35DB">
        <w:rPr>
          <w:sz w:val="24"/>
        </w:rPr>
        <w:t>Upon an employee's first entering into employment, and at least annually thereafter, each employer shall inform current employees covered by this section of the following:</w:t>
      </w:r>
    </w:p>
    <w:p w:rsidRPr="00BD35DB" w:rsidR="00196181" w:rsidRDefault="00196181" w14:paraId="600BC2E3" w14:textId="77777777">
      <w:pPr>
        <w:rPr>
          <w:bCs/>
          <w:i/>
          <w:sz w:val="24"/>
        </w:rPr>
      </w:pPr>
      <w:bookmarkStart w:name="1910.1020(g)(1)(i)" w:id="67"/>
      <w:bookmarkEnd w:id="67"/>
    </w:p>
    <w:p w:rsidRPr="00BD35DB" w:rsidR="00196181" w:rsidRDefault="00196181" w14:paraId="3E406CFC" w14:textId="77777777">
      <w:pPr>
        <w:ind w:left="720"/>
        <w:rPr>
          <w:sz w:val="24"/>
        </w:rPr>
      </w:pPr>
      <w:r w:rsidRPr="00BD35DB">
        <w:rPr>
          <w:bCs/>
          <w:i/>
          <w:sz w:val="24"/>
        </w:rPr>
        <w:t>§</w:t>
      </w:r>
      <w:r w:rsidRPr="00BD35DB">
        <w:rPr>
          <w:rStyle w:val="blueten1"/>
          <w:rFonts w:ascii="Times New Roman" w:hAnsi="Times New Roman"/>
          <w:bCs/>
          <w:i/>
          <w:color w:val="auto"/>
          <w:sz w:val="24"/>
          <w:szCs w:val="24"/>
        </w:rPr>
        <w:t>1910.1020(g)(1)(i)</w:t>
      </w:r>
      <w:r w:rsidRPr="00BD35DB">
        <w:rPr>
          <w:rStyle w:val="blueten1"/>
          <w:rFonts w:ascii="Times New Roman" w:hAnsi="Times New Roman"/>
          <w:i/>
          <w:color w:val="auto"/>
          <w:sz w:val="24"/>
          <w:szCs w:val="24"/>
        </w:rPr>
        <w:t xml:space="preserve"> - </w:t>
      </w:r>
      <w:r w:rsidRPr="00BD35DB">
        <w:rPr>
          <w:sz w:val="24"/>
        </w:rPr>
        <w:t>The existence, location, and availability of any records covered by this section;</w:t>
      </w:r>
    </w:p>
    <w:p w:rsidRPr="00BD35DB" w:rsidR="00196181" w:rsidRDefault="00196181" w14:paraId="48A1D650" w14:textId="77777777">
      <w:pPr>
        <w:rPr>
          <w:bCs/>
          <w:i/>
          <w:sz w:val="24"/>
        </w:rPr>
      </w:pPr>
      <w:bookmarkStart w:name="1910.1020(g)(1)(ii)" w:id="68"/>
      <w:bookmarkEnd w:id="68"/>
    </w:p>
    <w:p w:rsidRPr="00BD35DB" w:rsidR="00196181" w:rsidRDefault="00196181" w14:paraId="03A7A1F1" w14:textId="77777777">
      <w:pPr>
        <w:ind w:left="720"/>
        <w:rPr>
          <w:sz w:val="24"/>
        </w:rPr>
      </w:pPr>
      <w:r w:rsidRPr="00BD35DB">
        <w:rPr>
          <w:bCs/>
          <w:i/>
          <w:sz w:val="24"/>
        </w:rPr>
        <w:t>§</w:t>
      </w:r>
      <w:r w:rsidRPr="00BD35DB">
        <w:rPr>
          <w:rStyle w:val="blueten1"/>
          <w:rFonts w:ascii="Times New Roman" w:hAnsi="Times New Roman"/>
          <w:bCs/>
          <w:i/>
          <w:color w:val="auto"/>
          <w:sz w:val="24"/>
          <w:szCs w:val="24"/>
        </w:rPr>
        <w:t>1910.1020(g)(1)(ii)</w:t>
      </w:r>
      <w:r w:rsidRPr="00BD35DB">
        <w:rPr>
          <w:rStyle w:val="blueten1"/>
          <w:rFonts w:ascii="Times New Roman" w:hAnsi="Times New Roman"/>
          <w:i/>
          <w:color w:val="auto"/>
          <w:sz w:val="24"/>
          <w:szCs w:val="24"/>
        </w:rPr>
        <w:t xml:space="preserve"> - </w:t>
      </w:r>
      <w:r w:rsidRPr="00BD35DB">
        <w:rPr>
          <w:sz w:val="24"/>
        </w:rPr>
        <w:t>The person responsible for maintaining and providing access to records; and</w:t>
      </w:r>
    </w:p>
    <w:p w:rsidRPr="00BD35DB" w:rsidR="00196181" w:rsidRDefault="00196181" w14:paraId="50FC5D16" w14:textId="77777777">
      <w:pPr>
        <w:rPr>
          <w:bCs/>
          <w:i/>
          <w:sz w:val="24"/>
        </w:rPr>
      </w:pPr>
      <w:bookmarkStart w:name="1910.1020(g)(1)(iii)" w:id="69"/>
      <w:bookmarkEnd w:id="69"/>
    </w:p>
    <w:p w:rsidRPr="00BD35DB" w:rsidR="00196181" w:rsidRDefault="00196181" w14:paraId="7C8BFA38" w14:textId="77777777">
      <w:pPr>
        <w:ind w:firstLine="720"/>
        <w:rPr>
          <w:sz w:val="24"/>
        </w:rPr>
      </w:pPr>
      <w:r w:rsidRPr="00BD35DB">
        <w:rPr>
          <w:bCs/>
          <w:i/>
          <w:sz w:val="24"/>
        </w:rPr>
        <w:t>§</w:t>
      </w:r>
      <w:r w:rsidRPr="00BD35DB">
        <w:rPr>
          <w:rStyle w:val="blueten1"/>
          <w:rFonts w:ascii="Times New Roman" w:hAnsi="Times New Roman"/>
          <w:bCs/>
          <w:i/>
          <w:color w:val="auto"/>
          <w:sz w:val="24"/>
          <w:szCs w:val="24"/>
        </w:rPr>
        <w:t>1910.1020(g)(1)(iii)</w:t>
      </w:r>
      <w:r w:rsidRPr="00BD35DB">
        <w:rPr>
          <w:rStyle w:val="blueten1"/>
          <w:rFonts w:ascii="Times New Roman" w:hAnsi="Times New Roman"/>
          <w:i/>
          <w:color w:val="auto"/>
          <w:sz w:val="24"/>
          <w:szCs w:val="24"/>
        </w:rPr>
        <w:t xml:space="preserve"> - </w:t>
      </w:r>
      <w:r w:rsidRPr="00BD35DB">
        <w:rPr>
          <w:sz w:val="24"/>
        </w:rPr>
        <w:t>Each employee's rights of access to these records.</w:t>
      </w:r>
    </w:p>
    <w:p w:rsidRPr="00BD35DB" w:rsidR="0078094E" w:rsidRDefault="0078094E" w14:paraId="210B1F65" w14:textId="77777777">
      <w:pPr>
        <w:ind w:firstLine="720"/>
        <w:rPr>
          <w:sz w:val="24"/>
        </w:rPr>
      </w:pPr>
    </w:p>
    <w:p w:rsidRPr="00BD35DB" w:rsidR="00196181" w:rsidRDefault="00196181" w14:paraId="42C032A5" w14:textId="77777777">
      <w:pPr>
        <w:rPr>
          <w:sz w:val="24"/>
          <w:vertAlign w:val="superscript"/>
        </w:rPr>
      </w:pPr>
      <w:bookmarkStart w:name="1910.1020(g)(2)" w:id="70"/>
      <w:bookmarkEnd w:id="70"/>
      <w:r w:rsidRPr="00BD35DB">
        <w:rPr>
          <w:bCs/>
          <w:i/>
          <w:sz w:val="24"/>
        </w:rPr>
        <w:t>§</w:t>
      </w:r>
      <w:r w:rsidRPr="00BD35DB">
        <w:rPr>
          <w:rStyle w:val="blueten1"/>
          <w:rFonts w:ascii="Times New Roman" w:hAnsi="Times New Roman"/>
          <w:bCs/>
          <w:i/>
          <w:color w:val="auto"/>
          <w:sz w:val="24"/>
          <w:szCs w:val="24"/>
        </w:rPr>
        <w:t>1910.1020(g)(2)</w:t>
      </w:r>
      <w:r w:rsidRPr="00BD35DB">
        <w:rPr>
          <w:rStyle w:val="blueten1"/>
          <w:rFonts w:ascii="Times New Roman" w:hAnsi="Times New Roman"/>
          <w:i/>
          <w:color w:val="auto"/>
          <w:sz w:val="24"/>
          <w:szCs w:val="24"/>
        </w:rPr>
        <w:t xml:space="preserve"> - </w:t>
      </w:r>
      <w:r w:rsidRPr="00BD35DB">
        <w:rPr>
          <w:sz w:val="24"/>
        </w:rPr>
        <w:t>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r w:rsidRPr="00BD35DB">
        <w:rPr>
          <w:rStyle w:val="FootnoteReference"/>
          <w:sz w:val="24"/>
          <w:vertAlign w:val="superscript"/>
        </w:rPr>
        <w:footnoteReference w:id="10"/>
      </w:r>
    </w:p>
    <w:p w:rsidRPr="00BD35DB" w:rsidR="00196181" w:rsidRDefault="00196181" w14:paraId="6263AC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24D6B1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b/>
          <w:sz w:val="24"/>
          <w:u w:val="single"/>
        </w:rPr>
        <w:t>Purpose</w:t>
      </w:r>
      <w:r w:rsidRPr="00BD35DB">
        <w:rPr>
          <w:sz w:val="24"/>
        </w:rPr>
        <w:t>:  The requirements of this provision reinforce the overall purpose of t</w:t>
      </w:r>
      <w:r w:rsidRPr="00BD35DB" w:rsidR="00265FCC">
        <w:rPr>
          <w:sz w:val="24"/>
        </w:rPr>
        <w:t>he Regulation to enable worker</w:t>
      </w:r>
      <w:r w:rsidRPr="00BD35DB">
        <w:rPr>
          <w:sz w:val="24"/>
        </w:rPr>
        <w:t>s to use exposure-monitoring and medical-surveillance records to investigate the possible causes of health impairment and disea</w:t>
      </w:r>
      <w:r w:rsidRPr="00BD35DB" w:rsidR="00265FCC">
        <w:rPr>
          <w:sz w:val="24"/>
        </w:rPr>
        <w:t>se.  These records allow work</w:t>
      </w:r>
      <w:r w:rsidRPr="00BD35DB">
        <w:rPr>
          <w:sz w:val="24"/>
        </w:rPr>
        <w:t>e</w:t>
      </w:r>
      <w:r w:rsidRPr="00BD35DB" w:rsidR="00265FCC">
        <w:rPr>
          <w:sz w:val="24"/>
        </w:rPr>
        <w:t>r</w:t>
      </w:r>
      <w:r w:rsidRPr="00BD35DB">
        <w:rPr>
          <w:sz w:val="24"/>
        </w:rPr>
        <w:t>s to determine the association between occupationally-related impairments and disease, and workplace exposure to toxic chemicals and harmful physical agents.  This d</w:t>
      </w:r>
      <w:r w:rsidRPr="00BD35DB" w:rsidR="00265FCC">
        <w:rPr>
          <w:sz w:val="24"/>
        </w:rPr>
        <w:t>etermination will enable work</w:t>
      </w:r>
      <w:r w:rsidRPr="00BD35DB">
        <w:rPr>
          <w:sz w:val="24"/>
        </w:rPr>
        <w:t>e</w:t>
      </w:r>
      <w:r w:rsidRPr="00BD35DB" w:rsidR="00265FCC">
        <w:rPr>
          <w:sz w:val="24"/>
        </w:rPr>
        <w:t>r</w:t>
      </w:r>
      <w:r w:rsidRPr="00BD35DB">
        <w:rPr>
          <w:sz w:val="24"/>
        </w:rPr>
        <w:t>s to effectively treat these effects and to prevent such effects by controlling their exposure to these hazards.</w:t>
      </w:r>
    </w:p>
    <w:p w:rsidRPr="00BD35DB" w:rsidR="004C5766" w:rsidP="004C5766" w:rsidRDefault="004C5766" w14:paraId="5B62D6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4"/>
        </w:rPr>
      </w:pPr>
    </w:p>
    <w:p w:rsidRPr="00BD35DB" w:rsidR="004C5766" w:rsidP="004C5766" w:rsidRDefault="004C5766" w14:paraId="79C731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BD35DB">
        <w:rPr>
          <w:b/>
          <w:bCs/>
          <w:i/>
          <w:sz w:val="24"/>
        </w:rPr>
        <w:t>E.  Transfer of Records (§1910.1020(h))</w:t>
      </w:r>
    </w:p>
    <w:p w:rsidRPr="00BD35DB" w:rsidR="00DA1681" w:rsidP="004C5766" w:rsidRDefault="00DA1681" w14:paraId="69B9B2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4"/>
        </w:rPr>
      </w:pPr>
      <w:bookmarkStart w:name="1910.1020(h)(1)" w:id="71"/>
      <w:bookmarkStart w:name="1910.1020(h)(2)" w:id="72"/>
      <w:bookmarkStart w:name="1910.1020(h)(3)" w:id="73"/>
      <w:bookmarkStart w:name="1910.1020(h)(3)(i)" w:id="74"/>
      <w:bookmarkStart w:name="1910.1020(h)(3)(ii)" w:id="75"/>
      <w:bookmarkStart w:name="1910.1020(h)(4)" w:id="76"/>
      <w:bookmarkStart w:name="1910.1020(i)" w:id="77"/>
      <w:bookmarkEnd w:id="71"/>
      <w:bookmarkEnd w:id="72"/>
      <w:bookmarkEnd w:id="73"/>
      <w:bookmarkEnd w:id="74"/>
      <w:bookmarkEnd w:id="75"/>
      <w:bookmarkEnd w:id="76"/>
      <w:bookmarkEnd w:id="77"/>
    </w:p>
    <w:p w:rsidRPr="00BD35DB" w:rsidR="00DA1681" w:rsidP="00DA1681" w:rsidRDefault="00DA1681" w14:paraId="13EEA21D" w14:textId="77777777">
      <w:pPr>
        <w:widowControl/>
        <w:autoSpaceDE/>
        <w:autoSpaceDN/>
        <w:adjustRightInd/>
        <w:rPr>
          <w:i/>
          <w:sz w:val="24"/>
        </w:rPr>
      </w:pPr>
      <w:bookmarkStart w:name="1910.1028(k)(4)(i)" w:id="78"/>
      <w:bookmarkEnd w:id="78"/>
      <w:r w:rsidRPr="00BD35DB">
        <w:rPr>
          <w:bCs/>
          <w:i/>
          <w:sz w:val="24"/>
        </w:rPr>
        <w:t>§1910.102</w:t>
      </w:r>
      <w:r w:rsidRPr="00BD35DB" w:rsidR="00350949">
        <w:rPr>
          <w:bCs/>
          <w:i/>
          <w:sz w:val="24"/>
        </w:rPr>
        <w:t>0</w:t>
      </w:r>
      <w:r w:rsidRPr="00BD35DB">
        <w:rPr>
          <w:bCs/>
          <w:i/>
          <w:sz w:val="24"/>
        </w:rPr>
        <w:t>(</w:t>
      </w:r>
      <w:r w:rsidRPr="00BD35DB" w:rsidR="00FE3420">
        <w:rPr>
          <w:bCs/>
          <w:i/>
          <w:sz w:val="24"/>
        </w:rPr>
        <w:t>h</w:t>
      </w:r>
      <w:r w:rsidRPr="00BD35DB">
        <w:rPr>
          <w:bCs/>
          <w:i/>
          <w:sz w:val="24"/>
        </w:rPr>
        <w:t>)</w:t>
      </w:r>
      <w:r w:rsidRPr="00BD35DB">
        <w:rPr>
          <w:i/>
          <w:sz w:val="24"/>
        </w:rPr>
        <w:t xml:space="preserve"> </w:t>
      </w:r>
    </w:p>
    <w:p w:rsidRPr="00BD35DB" w:rsidR="00DA1681" w:rsidP="00DA1681" w:rsidRDefault="00DA1681" w14:paraId="44CDEC88" w14:textId="77777777">
      <w:pPr>
        <w:widowControl/>
        <w:autoSpaceDE/>
        <w:autoSpaceDN/>
        <w:adjustRightInd/>
        <w:rPr>
          <w:i/>
          <w:sz w:val="24"/>
        </w:rPr>
      </w:pPr>
    </w:p>
    <w:p w:rsidRPr="00BD35DB" w:rsidR="00DA1681" w:rsidP="00DA1681" w:rsidRDefault="00DA1681" w14:paraId="2AF7E783" w14:textId="77777777">
      <w:pPr>
        <w:widowControl/>
        <w:autoSpaceDE/>
        <w:autoSpaceDN/>
        <w:adjustRightInd/>
        <w:rPr>
          <w:sz w:val="24"/>
        </w:rPr>
      </w:pPr>
      <w:r w:rsidRPr="00BD35DB">
        <w:rPr>
          <w:sz w:val="24"/>
        </w:rPr>
        <w:t>The employer shall comply with the requirements involving transfer of records set forth in 29 CFR 1910.1020(h).</w:t>
      </w:r>
    </w:p>
    <w:p w:rsidRPr="00BD35DB" w:rsidR="00DA1681" w:rsidP="00DA1681" w:rsidRDefault="00DA1681" w14:paraId="037958B9" w14:textId="77777777">
      <w:pPr>
        <w:widowControl/>
        <w:autoSpaceDE/>
        <w:autoSpaceDN/>
        <w:adjustRightInd/>
        <w:rPr>
          <w:b/>
          <w:bCs/>
          <w:sz w:val="24"/>
        </w:rPr>
      </w:pPr>
      <w:bookmarkStart w:name="1910.1028(k)(4)(ii)" w:id="79"/>
      <w:bookmarkEnd w:id="79"/>
    </w:p>
    <w:p w:rsidRPr="00BD35DB" w:rsidR="00DA1681" w:rsidP="003D4EB6" w:rsidRDefault="00DA1681" w14:paraId="614D534C" w14:textId="77777777">
      <w:pPr>
        <w:widowControl/>
        <w:autoSpaceDE/>
        <w:autoSpaceDN/>
        <w:adjustRightInd/>
        <w:spacing w:after="200"/>
        <w:rPr>
          <w:rFonts w:eastAsia="Calibri"/>
          <w:sz w:val="24"/>
        </w:rPr>
      </w:pPr>
      <w:r w:rsidRPr="00BD35DB">
        <w:rPr>
          <w:rFonts w:eastAsia="Calibri"/>
          <w:sz w:val="24"/>
        </w:rPr>
        <w:t>Paragraph (h) of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Pr="00BD35DB" w:rsidR="00DA1681" w:rsidP="003D4EB6" w:rsidRDefault="00DA1681" w14:paraId="6E817D3F" w14:textId="77777777">
      <w:pPr>
        <w:widowControl/>
        <w:autoSpaceDE/>
        <w:autoSpaceDN/>
        <w:adjustRightInd/>
        <w:spacing w:after="200"/>
        <w:rPr>
          <w:rFonts w:eastAsia="Calibri"/>
          <w:sz w:val="24"/>
        </w:rPr>
      </w:pPr>
      <w:r w:rsidRPr="00BD35DB">
        <w:rPr>
          <w:rFonts w:eastAsia="Calibri"/>
          <w:sz w:val="24"/>
        </w:rPr>
        <w:t>OSHA considers the employer’s transfer of records to a successor employer to be usual and customary communications during the transition from one employer to a successor employer.  In this regard, the employer would communicate the location of all records, including worker exposure-monitoring and medical records, at the facility to the successor employer during the transfer of business operations, as a matter of usual and customary business practice.  </w:t>
      </w:r>
    </w:p>
    <w:p w:rsidRPr="00BD35DB" w:rsidR="004C5766" w:rsidP="004C5766" w:rsidRDefault="004C5766" w14:paraId="78AED6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b/>
          <w:bCs/>
          <w:sz w:val="24"/>
        </w:rPr>
        <w:t>3.  Describe whether, and to what extent, the collection of information involves the use of automated,</w:t>
      </w:r>
      <w:r w:rsidRPr="00BD35DB" w:rsidR="000A4638">
        <w:rPr>
          <w:b/>
          <w:bCs/>
          <w:sz w:val="24"/>
        </w:rPr>
        <w:t xml:space="preserve"> </w:t>
      </w:r>
      <w:r w:rsidRPr="00BD35DB">
        <w:rPr>
          <w:b/>
          <w:bCs/>
          <w:sz w:val="24"/>
        </w:rPr>
        <w:t>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D35DB" w:rsidR="004C5766" w:rsidP="004C5766" w:rsidRDefault="004C5766" w14:paraId="666D3C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4C5766" w:rsidP="004C5766" w:rsidRDefault="004C5766" w14:paraId="07A59C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 xml:space="preserve">Employers may use improved information technology when establishing and maintaining exposure-monitoring and medical-surveillance records.  Given the length of time employers must maintain employee exposure-monitoring and medical records, and changing technology, employers must ensure that electronic records can always be accessed and copied.  OSHA wrote the paperwork requirements of the Regulation in performance-oriented language (i.e., in terms of </w:t>
      </w:r>
      <w:r w:rsidRPr="00BD35DB">
        <w:rPr>
          <w:sz w:val="24"/>
          <w:u w:val="single"/>
        </w:rPr>
        <w:t>what</w:t>
      </w:r>
      <w:r w:rsidRPr="00BD35DB">
        <w:rPr>
          <w:sz w:val="24"/>
        </w:rPr>
        <w:t xml:space="preserve"> data to maintain, not </w:t>
      </w:r>
      <w:r w:rsidRPr="00BD35DB">
        <w:rPr>
          <w:sz w:val="24"/>
          <w:u w:val="single"/>
        </w:rPr>
        <w:t>how</w:t>
      </w:r>
      <w:r w:rsidRPr="00BD35DB">
        <w:rPr>
          <w:sz w:val="24"/>
        </w:rPr>
        <w:t xml:space="preserve"> to maintain the data).  </w:t>
      </w:r>
    </w:p>
    <w:p w:rsidRPr="00BD35DB" w:rsidR="00196181" w:rsidRDefault="00196181" w14:paraId="778156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37DFA3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b/>
          <w:bCs/>
          <w:sz w:val="24"/>
        </w:rPr>
        <w:t xml:space="preserve">4.  Describe efforts to identify duplication.  Show specifically why any similar information already available cannot be used or modified for use for the purposes described in Item </w:t>
      </w:r>
      <w:r w:rsidRPr="00BD35DB" w:rsidR="00DE494F">
        <w:rPr>
          <w:b/>
          <w:bCs/>
          <w:sz w:val="24"/>
        </w:rPr>
        <w:t>A.</w:t>
      </w:r>
      <w:r w:rsidRPr="00BD35DB">
        <w:rPr>
          <w:b/>
          <w:bCs/>
          <w:sz w:val="24"/>
        </w:rPr>
        <w:t>2 above.</w:t>
      </w:r>
    </w:p>
    <w:p w:rsidRPr="00BD35DB" w:rsidR="00196181" w:rsidRDefault="00196181" w14:paraId="1993E2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595B77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 xml:space="preserve">The requirements to maintain information are specific to each employer and </w:t>
      </w:r>
      <w:r w:rsidRPr="00BD35DB" w:rsidR="0072553F">
        <w:rPr>
          <w:sz w:val="24"/>
        </w:rPr>
        <w:t>worker</w:t>
      </w:r>
      <w:r w:rsidRPr="00BD35DB">
        <w:rPr>
          <w:sz w:val="24"/>
        </w:rPr>
        <w:t xml:space="preserve"> involved, and no other source or agency duplicates these requirements or can make the required information available to OSHA (i.e., the required information is available only from employers).</w:t>
      </w:r>
    </w:p>
    <w:p w:rsidRPr="00BD35DB" w:rsidR="00196181" w:rsidRDefault="00196181" w14:paraId="250584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5FC3C7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b/>
          <w:bCs/>
          <w:szCs w:val="20"/>
        </w:rPr>
        <w:t>5.  If the collection of information impacts small businesses or other small entities, describe any methods used to minimize burden.</w:t>
      </w:r>
    </w:p>
    <w:p w:rsidRPr="00BD35DB" w:rsidR="00196181" w:rsidRDefault="00196181" w14:paraId="74C826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3D6B8A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 xml:space="preserve">The </w:t>
      </w:r>
      <w:r w:rsidRPr="00BD35DB" w:rsidR="000A2A11">
        <w:rPr>
          <w:sz w:val="24"/>
        </w:rPr>
        <w:t xml:space="preserve">collection of information requirements </w:t>
      </w:r>
      <w:r w:rsidRPr="00BD35DB">
        <w:rPr>
          <w:sz w:val="24"/>
        </w:rPr>
        <w:t>of the Regulation do not have a significant impact on a substantial number of small entities.</w:t>
      </w:r>
    </w:p>
    <w:p w:rsidRPr="00BD35DB" w:rsidR="00196181" w:rsidRDefault="00196181" w14:paraId="61A066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619724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b/>
          <w:bCs/>
          <w:sz w:val="24"/>
        </w:rPr>
        <w:t>6.  Describe the consequence to Federal program or policy activities if the collection is not conducted or is</w:t>
      </w:r>
      <w:r w:rsidRPr="00BD35DB" w:rsidR="000A4638">
        <w:rPr>
          <w:b/>
          <w:bCs/>
          <w:sz w:val="24"/>
        </w:rPr>
        <w:t xml:space="preserve"> </w:t>
      </w:r>
      <w:r w:rsidRPr="00BD35DB">
        <w:rPr>
          <w:b/>
          <w:bCs/>
          <w:sz w:val="24"/>
        </w:rPr>
        <w:t>conducted less frequently, as well as any technical or legal obstacles to reducing burden.</w:t>
      </w:r>
    </w:p>
    <w:p w:rsidRPr="00BD35DB" w:rsidR="00196181" w:rsidRDefault="00196181" w14:paraId="7E7036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A23B8C" w:rsidP="00A23B8C" w:rsidRDefault="00196181" w14:paraId="31D9FD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 xml:space="preserve">The </w:t>
      </w:r>
      <w:r w:rsidRPr="00BD35DB" w:rsidR="00124F36">
        <w:rPr>
          <w:sz w:val="24"/>
        </w:rPr>
        <w:t>r</w:t>
      </w:r>
      <w:r w:rsidRPr="00BD35DB">
        <w:rPr>
          <w:sz w:val="24"/>
        </w:rPr>
        <w:t xml:space="preserve">egulation only controls preservation of, and access to, exposure-monitoring and medical-surveillance records; it does not directly require the collection of the exposure and medical information.  Providing </w:t>
      </w:r>
      <w:r w:rsidRPr="00BD35DB" w:rsidR="0072553F">
        <w:rPr>
          <w:sz w:val="24"/>
        </w:rPr>
        <w:t>worker</w:t>
      </w:r>
      <w:r w:rsidRPr="00BD35DB">
        <w:rPr>
          <w:sz w:val="24"/>
        </w:rPr>
        <w:t xml:space="preserve">s, their designated representatives, healthcare providers, and occupational-health researchers with access to these historical records enables them to:  identify toxic chemicals and harmful physical agents used in the workplace; control </w:t>
      </w:r>
      <w:r w:rsidRPr="00BD35DB" w:rsidR="0072553F">
        <w:rPr>
          <w:sz w:val="24"/>
        </w:rPr>
        <w:t>worker</w:t>
      </w:r>
      <w:r w:rsidRPr="00BD35DB">
        <w:rPr>
          <w:sz w:val="24"/>
        </w:rPr>
        <w:t xml:space="preserve"> exposure to these health hazards; and treat and prevent the occupationally-related health impairment and disease that result from hazardous exposures.  Accordingly, the </w:t>
      </w:r>
      <w:r w:rsidRPr="00BD35DB" w:rsidR="00F855FC">
        <w:rPr>
          <w:sz w:val="24"/>
        </w:rPr>
        <w:t>r</w:t>
      </w:r>
      <w:r w:rsidRPr="00BD35DB">
        <w:rPr>
          <w:sz w:val="24"/>
        </w:rPr>
        <w:t xml:space="preserve">egulation helps to fulfill the principal objective of the OSH Act (i.e., “to assure so far as possible every working man and woman in the Nation safe and healthful working conditions”) by augmenting the requirements of its substance-specific standards.  Therefore, the Agency believes that any reduction in the requirements of the </w:t>
      </w:r>
      <w:r w:rsidRPr="00BD35DB" w:rsidR="00F855FC">
        <w:rPr>
          <w:sz w:val="24"/>
        </w:rPr>
        <w:t>r</w:t>
      </w:r>
      <w:r w:rsidRPr="00BD35DB">
        <w:rPr>
          <w:sz w:val="24"/>
        </w:rPr>
        <w:t>egulation would seriously interfere with the stated objective of the OSH Act.</w:t>
      </w:r>
    </w:p>
    <w:p w:rsidRPr="00BD35DB" w:rsidR="00A23B8C" w:rsidRDefault="00A23B8C" w14:paraId="12CE1D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0850F3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D35DB">
        <w:rPr>
          <w:b/>
          <w:bCs/>
          <w:sz w:val="24"/>
        </w:rPr>
        <w:t>7.  Explain any special circumstances that would cause an information collection to be conducted in a manner:</w:t>
      </w:r>
    </w:p>
    <w:p w:rsidRPr="00BD35DB" w:rsidR="00196181" w:rsidRDefault="00196181" w14:paraId="24998B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BD35DB" w:rsidR="00196181" w:rsidRDefault="00196181" w14:paraId="317D20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4"/>
        </w:rPr>
      </w:pPr>
      <w:r w:rsidRPr="00BD35DB">
        <w:rPr>
          <w:b/>
          <w:bCs/>
          <w:sz w:val="24"/>
        </w:rPr>
        <w:t>▪ requiring respondents to report information to the agency more often than quarterly;</w:t>
      </w:r>
    </w:p>
    <w:p w:rsidRPr="00BD35DB" w:rsidR="00196181" w:rsidRDefault="00196181" w14:paraId="28622D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BD35DB" w:rsidR="00196181" w:rsidRDefault="00196181" w14:paraId="59758D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4"/>
        </w:rPr>
      </w:pPr>
      <w:r w:rsidRPr="00BD35DB">
        <w:rPr>
          <w:b/>
          <w:bCs/>
          <w:sz w:val="24"/>
        </w:rPr>
        <w:t>▪  requiring respondents to prepare a written response to a collection of information in fewer than</w:t>
      </w:r>
      <w:r w:rsidRPr="00BD35DB" w:rsidR="00B757D0">
        <w:rPr>
          <w:b/>
          <w:bCs/>
          <w:sz w:val="24"/>
        </w:rPr>
        <w:t xml:space="preserve"> </w:t>
      </w:r>
      <w:r w:rsidRPr="00BD35DB">
        <w:rPr>
          <w:b/>
          <w:bCs/>
          <w:sz w:val="24"/>
        </w:rPr>
        <w:t>30 days after receipt of it;</w:t>
      </w:r>
    </w:p>
    <w:p w:rsidRPr="00BD35DB" w:rsidR="00196181" w:rsidRDefault="00196181" w14:paraId="0DC099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BD35DB" w:rsidR="00196181" w:rsidRDefault="00196181" w14:paraId="30D513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4"/>
        </w:rPr>
      </w:pPr>
      <w:r w:rsidRPr="00BD35DB">
        <w:rPr>
          <w:b/>
          <w:bCs/>
          <w:sz w:val="24"/>
        </w:rPr>
        <w:t>▪  requiring respondents to submit more than an original and two copies of any document;</w:t>
      </w:r>
    </w:p>
    <w:p w:rsidRPr="00BD35DB" w:rsidR="00196181" w:rsidRDefault="00196181" w14:paraId="795963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BD35DB" w:rsidR="00196181" w:rsidRDefault="00196181" w14:paraId="75461F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4"/>
        </w:rPr>
      </w:pPr>
      <w:r w:rsidRPr="00BD35DB">
        <w:rPr>
          <w:b/>
          <w:bCs/>
          <w:sz w:val="24"/>
        </w:rPr>
        <w:t>▪ requiring respondents to retain records, other than health, medical, government contract, grant-in-aid, or tax records for more than three years;</w:t>
      </w:r>
    </w:p>
    <w:p w:rsidRPr="00BD35DB" w:rsidR="00196181" w:rsidRDefault="00196181" w14:paraId="1E4107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BD35DB" w:rsidR="00196181" w:rsidRDefault="00196181" w14:paraId="3FCC65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4"/>
        </w:rPr>
      </w:pPr>
      <w:r w:rsidRPr="00BD35DB">
        <w:rPr>
          <w:b/>
          <w:bCs/>
          <w:sz w:val="24"/>
        </w:rPr>
        <w:t>▪  in connection with a statistical survey, that is not designed to produce valid and reliable results</w:t>
      </w:r>
      <w:r w:rsidRPr="00BD35DB" w:rsidR="00B757D0">
        <w:rPr>
          <w:b/>
          <w:bCs/>
          <w:sz w:val="24"/>
        </w:rPr>
        <w:t xml:space="preserve"> </w:t>
      </w:r>
      <w:r w:rsidRPr="00BD35DB">
        <w:rPr>
          <w:b/>
          <w:bCs/>
          <w:sz w:val="24"/>
        </w:rPr>
        <w:t>that can be generalized to the universe of study;</w:t>
      </w:r>
    </w:p>
    <w:p w:rsidRPr="00BD35DB" w:rsidR="00196181" w:rsidRDefault="00196181" w14:paraId="1F58E4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BD35DB" w:rsidR="00196181" w:rsidP="009E0648" w:rsidRDefault="00637985" w14:paraId="303341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D35DB">
        <w:rPr>
          <w:b/>
          <w:bCs/>
          <w:sz w:val="24"/>
        </w:rPr>
        <w:tab/>
      </w:r>
      <w:r w:rsidRPr="00BD35DB" w:rsidR="00196181">
        <w:rPr>
          <w:b/>
          <w:bCs/>
          <w:sz w:val="24"/>
        </w:rPr>
        <w:t>▪  requiring the use of a statistical data classification that has not been reviewed and approved by</w:t>
      </w:r>
      <w:r w:rsidRPr="00BD35DB" w:rsidR="00B757D0">
        <w:rPr>
          <w:b/>
          <w:bCs/>
          <w:sz w:val="24"/>
        </w:rPr>
        <w:t xml:space="preserve"> </w:t>
      </w:r>
      <w:r w:rsidRPr="00BD35DB" w:rsidR="00196181">
        <w:rPr>
          <w:b/>
          <w:bCs/>
          <w:sz w:val="24"/>
        </w:rPr>
        <w:t xml:space="preserve"> OMB;</w:t>
      </w:r>
    </w:p>
    <w:p w:rsidRPr="00BD35DB" w:rsidR="00196181" w:rsidRDefault="00196181" w14:paraId="3968F6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BD35DB" w:rsidR="00196181" w:rsidP="009E0648" w:rsidRDefault="00196181" w14:paraId="0AB839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4"/>
        </w:rPr>
      </w:pPr>
      <w:r w:rsidRPr="00BD35DB">
        <w:rPr>
          <w:b/>
          <w:bCs/>
          <w:sz w:val="24"/>
        </w:rPr>
        <w:lastRenderedPageBreak/>
        <w:t>▪  that includes a pledge of confidentiality that is not supported by authority established in statute</w:t>
      </w:r>
      <w:r w:rsidRPr="00BD35DB" w:rsidR="00E30F9A">
        <w:rPr>
          <w:b/>
          <w:bCs/>
          <w:sz w:val="24"/>
        </w:rPr>
        <w:tab/>
      </w:r>
      <w:r w:rsidRPr="00BD35DB" w:rsidR="004D3ED5">
        <w:rPr>
          <w:b/>
          <w:bCs/>
          <w:sz w:val="24"/>
        </w:rPr>
        <w:t xml:space="preserve"> </w:t>
      </w:r>
      <w:r w:rsidRPr="00BD35DB">
        <w:rPr>
          <w:b/>
          <w:bCs/>
          <w:sz w:val="24"/>
        </w:rPr>
        <w:t>or regulation, that is not supported by disclosure and data security policies that are consistent with</w:t>
      </w:r>
      <w:r w:rsidRPr="00BD35DB" w:rsidR="00B757D0">
        <w:rPr>
          <w:b/>
          <w:bCs/>
          <w:sz w:val="24"/>
        </w:rPr>
        <w:t xml:space="preserve"> </w:t>
      </w:r>
      <w:r w:rsidRPr="00BD35DB">
        <w:rPr>
          <w:b/>
          <w:bCs/>
          <w:sz w:val="24"/>
        </w:rPr>
        <w:t>the</w:t>
      </w:r>
      <w:r w:rsidRPr="00BD35DB" w:rsidR="00340F24">
        <w:rPr>
          <w:b/>
          <w:bCs/>
          <w:sz w:val="24"/>
        </w:rPr>
        <w:t xml:space="preserve"> </w:t>
      </w:r>
      <w:r w:rsidRPr="00BD35DB">
        <w:rPr>
          <w:b/>
          <w:bCs/>
          <w:sz w:val="24"/>
        </w:rPr>
        <w:t xml:space="preserve">pledge, or which unnecessarily impedes sharing of data with other agencies for compatible </w:t>
      </w:r>
      <w:r w:rsidRPr="00BD35DB" w:rsidR="00B757D0">
        <w:rPr>
          <w:b/>
          <w:bCs/>
          <w:sz w:val="24"/>
        </w:rPr>
        <w:t>c</w:t>
      </w:r>
      <w:r w:rsidRPr="00BD35DB">
        <w:rPr>
          <w:b/>
          <w:bCs/>
          <w:sz w:val="24"/>
        </w:rPr>
        <w:t>onfidential use; or</w:t>
      </w:r>
    </w:p>
    <w:p w:rsidRPr="00BD35DB" w:rsidR="00196181" w:rsidRDefault="00196181" w14:paraId="587DA7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BD35DB" w:rsidR="00196181" w:rsidP="009E0648" w:rsidRDefault="00196181" w14:paraId="677CEC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BD35DB">
        <w:rPr>
          <w:b/>
          <w:bCs/>
          <w:sz w:val="24"/>
        </w:rPr>
        <w:t>▪ requiring respondents to submit proprietary trade secret, or other confidential information unless the agency can demonstrate that it has instituted procedures to protect the information's  confidentiality to the extent permitted by law.</w:t>
      </w:r>
    </w:p>
    <w:p w:rsidRPr="00BD35DB" w:rsidR="00196181" w:rsidRDefault="00196181" w14:paraId="3E7A0B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rsidRPr="00BD35DB" w:rsidR="00196181" w:rsidRDefault="00196181" w14:paraId="6B1A9204" w14:textId="77777777">
      <w:pPr>
        <w:rPr>
          <w:rStyle w:val="blueten1"/>
          <w:rFonts w:ascii="Times New Roman" w:hAnsi="Times New Roman"/>
          <w:b/>
          <w:i/>
          <w:color w:val="000000"/>
          <w:sz w:val="24"/>
          <w:szCs w:val="24"/>
        </w:rPr>
      </w:pPr>
      <w:r w:rsidRPr="00BD35DB">
        <w:rPr>
          <w:sz w:val="24"/>
        </w:rPr>
        <w:t>No special circumstances exist that require employers to collect information in the manner, or using the procedures, described in this item.</w:t>
      </w:r>
      <w:r w:rsidRPr="00BD35DB">
        <w:rPr>
          <w:bCs/>
          <w:i/>
          <w:sz w:val="24"/>
        </w:rPr>
        <w:t xml:space="preserve"> </w:t>
      </w:r>
    </w:p>
    <w:p w:rsidRPr="00BD35DB" w:rsidR="00196181" w:rsidRDefault="00196181" w14:paraId="75608335" w14:textId="77777777">
      <w:pPr>
        <w:rPr>
          <w:rStyle w:val="blueten1"/>
          <w:rFonts w:ascii="Times New Roman" w:hAnsi="Times New Roman"/>
          <w:color w:val="000000"/>
          <w:sz w:val="24"/>
          <w:szCs w:val="24"/>
        </w:rPr>
      </w:pPr>
    </w:p>
    <w:p w:rsidRPr="00BD35DB" w:rsidR="00196181" w:rsidRDefault="00196181" w14:paraId="12968DDB" w14:textId="77777777">
      <w:pPr>
        <w:widowControl/>
        <w:rPr>
          <w:b/>
          <w:bCs/>
          <w:sz w:val="24"/>
        </w:rPr>
      </w:pPr>
      <w:r w:rsidRPr="00BD35DB">
        <w:rPr>
          <w:b/>
          <w:bCs/>
          <w:sz w:val="24"/>
        </w:rPr>
        <w:t>8.  If applicable, provide a copy and identify the data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D35DB" w:rsidR="00196181" w:rsidRDefault="00196181" w14:paraId="34CCB8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BD35DB" w:rsidR="00196181" w:rsidRDefault="00196181" w14:paraId="2CDFB9BD" w14:textId="77777777">
      <w:pPr>
        <w:widowControl/>
        <w:rPr>
          <w:b/>
          <w:bCs/>
          <w:sz w:val="24"/>
        </w:rPr>
      </w:pPr>
      <w:r w:rsidRPr="00BD35DB">
        <w:rPr>
          <w:b/>
          <w:b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D35DB" w:rsidR="00196181" w:rsidRDefault="00196181" w14:paraId="1DE54661" w14:textId="77777777">
      <w:pPr>
        <w:widowControl/>
        <w:rPr>
          <w:b/>
          <w:bCs/>
          <w:sz w:val="24"/>
        </w:rPr>
      </w:pPr>
    </w:p>
    <w:p w:rsidRPr="00BD35DB" w:rsidR="00F654DF" w:rsidP="00C755E7" w:rsidRDefault="00196181" w14:paraId="7FC9ABFC" w14:textId="77777777">
      <w:pPr>
        <w:widowControl/>
        <w:rPr>
          <w:b/>
          <w:bCs/>
          <w:sz w:val="24"/>
        </w:rPr>
      </w:pPr>
      <w:r w:rsidRPr="00BD35DB">
        <w:rPr>
          <w:b/>
          <w:bCs/>
          <w:sz w:val="24"/>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Pr="00BD35DB" w:rsidR="00F855FC" w:rsidP="00C755E7" w:rsidRDefault="00F855FC" w14:paraId="76D7DDF3" w14:textId="77777777">
      <w:pPr>
        <w:widowControl/>
        <w:rPr>
          <w:b/>
          <w:bCs/>
          <w:szCs w:val="20"/>
        </w:rPr>
      </w:pPr>
    </w:p>
    <w:p w:rsidRPr="00BD35DB" w:rsidR="007A5A0C" w:rsidP="007A5A0C" w:rsidRDefault="00F654DF" w14:paraId="526AB9C6" w14:textId="77777777">
      <w:pPr>
        <w:rPr>
          <w:color w:val="000000"/>
          <w:sz w:val="24"/>
        </w:rPr>
      </w:pPr>
      <w:r w:rsidRPr="00BD35DB">
        <w:rPr>
          <w:sz w:val="24"/>
        </w:rPr>
        <w:t xml:space="preserve">As required by the Paperwork Reduction Act (44 U.S.C. 3506(c)(2)(A)), OSHA published a </w:t>
      </w:r>
      <w:r w:rsidRPr="00BD35DB" w:rsidR="00F70519">
        <w:rPr>
          <w:sz w:val="24"/>
        </w:rPr>
        <w:t xml:space="preserve">notice in the </w:t>
      </w:r>
      <w:r w:rsidRPr="00BD35DB">
        <w:rPr>
          <w:sz w:val="24"/>
        </w:rPr>
        <w:t xml:space="preserve">Federal Register </w:t>
      </w:r>
      <w:r w:rsidR="00C14035">
        <w:rPr>
          <w:sz w:val="24"/>
        </w:rPr>
        <w:t>(</w:t>
      </w:r>
      <w:r w:rsidRPr="00C14035" w:rsidR="00C14035">
        <w:rPr>
          <w:sz w:val="24"/>
        </w:rPr>
        <w:t>85 FR 6580; February 5, 2020)</w:t>
      </w:r>
      <w:r w:rsidR="00C14035">
        <w:rPr>
          <w:rFonts w:ascii="Helvetica" w:hAnsi="Helvetica" w:cs="Helvetica"/>
          <w:color w:val="333333"/>
          <w:sz w:val="21"/>
          <w:szCs w:val="21"/>
          <w:shd w:val="clear" w:color="auto" w:fill="FFFFFF"/>
        </w:rPr>
        <w:t xml:space="preserve"> </w:t>
      </w:r>
      <w:r w:rsidRPr="00BD35DB">
        <w:rPr>
          <w:sz w:val="24"/>
        </w:rPr>
        <w:t xml:space="preserve">soliciting comments from the public and other interested parties on the </w:t>
      </w:r>
      <w:r w:rsidRPr="00BD35DB" w:rsidR="000A2A11">
        <w:rPr>
          <w:sz w:val="24"/>
        </w:rPr>
        <w:t xml:space="preserve">collections of information </w:t>
      </w:r>
      <w:r w:rsidRPr="00BD35DB">
        <w:rPr>
          <w:sz w:val="24"/>
        </w:rPr>
        <w:t xml:space="preserve">contained in the Access </w:t>
      </w:r>
      <w:r w:rsidRPr="00BD35DB" w:rsidR="00F70519">
        <w:rPr>
          <w:sz w:val="24"/>
        </w:rPr>
        <w:t>t</w:t>
      </w:r>
      <w:r w:rsidRPr="00BD35DB">
        <w:rPr>
          <w:sz w:val="24"/>
        </w:rPr>
        <w:t>o Employee Exposure and Medical Records Standard (29 CFR 1910.1020)</w:t>
      </w:r>
      <w:r w:rsidRPr="00BD35DB" w:rsidR="00F70519">
        <w:rPr>
          <w:sz w:val="24"/>
        </w:rPr>
        <w:t xml:space="preserve"> </w:t>
      </w:r>
      <w:r w:rsidRPr="00BD35DB" w:rsidR="0087508D">
        <w:rPr>
          <w:sz w:val="24"/>
        </w:rPr>
        <w:t>(Docket No.</w:t>
      </w:r>
      <w:r w:rsidRPr="00BD35DB" w:rsidR="00F70519">
        <w:rPr>
          <w:sz w:val="24"/>
        </w:rPr>
        <w:t xml:space="preserve"> </w:t>
      </w:r>
      <w:r w:rsidRPr="00BD35DB" w:rsidR="0087508D">
        <w:rPr>
          <w:sz w:val="24"/>
        </w:rPr>
        <w:t>OSHA-2009-0043</w:t>
      </w:r>
      <w:r w:rsidRPr="00BD35DB">
        <w:rPr>
          <w:sz w:val="24"/>
        </w:rPr>
        <w:t xml:space="preserve">). The notice </w:t>
      </w:r>
      <w:r w:rsidR="00A63753">
        <w:rPr>
          <w:sz w:val="24"/>
        </w:rPr>
        <w:t>was</w:t>
      </w:r>
      <w:r w:rsidRPr="00BD35DB">
        <w:rPr>
          <w:sz w:val="24"/>
        </w:rPr>
        <w:t xml:space="preserve"> part of a preclearance consultation program that provide</w:t>
      </w:r>
      <w:r w:rsidRPr="00BD35DB" w:rsidR="00F70519">
        <w:rPr>
          <w:sz w:val="24"/>
        </w:rPr>
        <w:t>d</w:t>
      </w:r>
      <w:r w:rsidRPr="00BD35DB">
        <w:rPr>
          <w:sz w:val="24"/>
        </w:rPr>
        <w:t xml:space="preserve"> interested parties with the opportunity to comment on OSHA’s request for an extension by the Office of Management and Budget (OMB) of a previous approval of the </w:t>
      </w:r>
      <w:r w:rsidRPr="00BD35DB" w:rsidR="000A2A11">
        <w:rPr>
          <w:sz w:val="24"/>
        </w:rPr>
        <w:t xml:space="preserve">collections of information </w:t>
      </w:r>
      <w:r w:rsidRPr="00BD35DB">
        <w:rPr>
          <w:sz w:val="24"/>
        </w:rPr>
        <w:t xml:space="preserve">found in the Standard.  </w:t>
      </w:r>
      <w:r w:rsidRPr="00BD35DB" w:rsidR="007A5A0C">
        <w:rPr>
          <w:sz w:val="24"/>
        </w:rPr>
        <w:t xml:space="preserve">The Agency </w:t>
      </w:r>
      <w:r w:rsidR="00A63753">
        <w:rPr>
          <w:sz w:val="24"/>
        </w:rPr>
        <w:t xml:space="preserve">received no public </w:t>
      </w:r>
      <w:r w:rsidRPr="00BD35DB" w:rsidR="007A5A0C">
        <w:rPr>
          <w:sz w:val="24"/>
        </w:rPr>
        <w:t>comments on the notice.</w:t>
      </w:r>
    </w:p>
    <w:p w:rsidRPr="00BD35DB" w:rsidR="00617A3D" w:rsidP="00212CC0" w:rsidRDefault="00617A3D" w14:paraId="6365BC91" w14:textId="77777777">
      <w:pPr>
        <w:rPr>
          <w:color w:val="000000"/>
          <w:sz w:val="24"/>
        </w:rPr>
      </w:pPr>
    </w:p>
    <w:p w:rsidRPr="00BD35DB" w:rsidR="00196181" w:rsidRDefault="00196181" w14:paraId="50FFE622" w14:textId="77777777">
      <w:pPr>
        <w:widowControl/>
        <w:rPr>
          <w:sz w:val="24"/>
        </w:rPr>
      </w:pPr>
      <w:r w:rsidRPr="00BD35DB">
        <w:rPr>
          <w:b/>
          <w:bCs/>
          <w:sz w:val="24"/>
        </w:rPr>
        <w:lastRenderedPageBreak/>
        <w:t>9.  Explain any decision to provide any payment or gift to respondents, other than rem</w:t>
      </w:r>
      <w:r w:rsidRPr="00BD35DB" w:rsidR="00FC498E">
        <w:rPr>
          <w:b/>
          <w:bCs/>
          <w:sz w:val="24"/>
        </w:rPr>
        <w:t>un</w:t>
      </w:r>
      <w:r w:rsidRPr="00BD35DB">
        <w:rPr>
          <w:b/>
          <w:bCs/>
          <w:sz w:val="24"/>
        </w:rPr>
        <w:t>eration of contractors or grantees.</w:t>
      </w:r>
    </w:p>
    <w:p w:rsidRPr="00BD35DB" w:rsidR="00196181" w:rsidRDefault="00196181" w14:paraId="042C8F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3C9A4E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 xml:space="preserve">The Agency will </w:t>
      </w:r>
      <w:r w:rsidRPr="00BD35DB">
        <w:rPr>
          <w:sz w:val="24"/>
          <w:u w:val="single"/>
        </w:rPr>
        <w:t>not</w:t>
      </w:r>
      <w:r w:rsidRPr="00BD35DB">
        <w:rPr>
          <w:sz w:val="24"/>
        </w:rPr>
        <w:t xml:space="preserve"> provide payments or gifts to the respondents.</w:t>
      </w:r>
    </w:p>
    <w:p w:rsidRPr="00BD35DB" w:rsidR="00196181" w:rsidRDefault="00196181" w14:paraId="06BB3D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582ECF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b/>
          <w:bCs/>
          <w:sz w:val="24"/>
        </w:rPr>
        <w:t>10.  Describe any assurance of confidentiality provided to respondents and the basis for the assurance in</w:t>
      </w:r>
      <w:r w:rsidRPr="00BD35DB" w:rsidR="000A4638">
        <w:rPr>
          <w:b/>
          <w:bCs/>
          <w:sz w:val="24"/>
        </w:rPr>
        <w:t xml:space="preserve"> </w:t>
      </w:r>
      <w:r w:rsidRPr="00BD35DB">
        <w:rPr>
          <w:b/>
          <w:bCs/>
          <w:sz w:val="24"/>
        </w:rPr>
        <w:t>statute, regulation, or agency policy.</w:t>
      </w:r>
    </w:p>
    <w:p w:rsidRPr="00BD35DB" w:rsidR="00575888" w:rsidP="00575888" w:rsidRDefault="00575888" w14:paraId="16CD5932" w14:textId="77777777">
      <w:pPr>
        <w:widowControl/>
        <w:rPr>
          <w:color w:val="000000"/>
          <w:sz w:val="24"/>
        </w:rPr>
      </w:pPr>
    </w:p>
    <w:p w:rsidRPr="00BD35DB" w:rsidR="00575888" w:rsidP="00575888" w:rsidRDefault="00575888" w14:paraId="5EE380B8" w14:textId="77777777">
      <w:pPr>
        <w:widowControl/>
        <w:rPr>
          <w:color w:val="000000"/>
          <w:sz w:val="24"/>
        </w:rPr>
      </w:pPr>
      <w:r w:rsidRPr="00BD35DB">
        <w:rPr>
          <w:color w:val="000000"/>
          <w:sz w:val="24"/>
        </w:rPr>
        <w:t xml:space="preserve">Since medical records contain information that may be considered private, OSHA has taken steps to ensure that the data are kept private to the extent allowed by law.  Rules of Agency practice and procedure governing OSHA access to worker medical records are contained in 29 CFR 1913.10.  The legal authority for these procedural regulations is found in sections 8(c)(1) and 8(g)(2) of the Occupational Safety and Health Act, 29 U.S.C. 657.  </w:t>
      </w:r>
    </w:p>
    <w:p w:rsidRPr="00BD35DB" w:rsidR="00196181" w:rsidRDefault="00196181" w14:paraId="58CDFD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7181AA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b/>
          <w:bCs/>
          <w:sz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D35DB" w:rsidR="00196181" w:rsidRDefault="00196181" w14:paraId="166E3C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1E1EC0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 xml:space="preserve">None of the provisions in the </w:t>
      </w:r>
      <w:r w:rsidRPr="00BD35DB" w:rsidR="00575888">
        <w:rPr>
          <w:sz w:val="24"/>
        </w:rPr>
        <w:t>r</w:t>
      </w:r>
      <w:r w:rsidRPr="00BD35DB">
        <w:rPr>
          <w:sz w:val="24"/>
        </w:rPr>
        <w:t>egulation require the collection of sensitive information.</w:t>
      </w:r>
    </w:p>
    <w:p w:rsidRPr="00BD35DB" w:rsidR="00196181" w:rsidRDefault="00196181" w14:paraId="1CCC45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662738" w:rsidP="00662738" w:rsidRDefault="00662738" w14:paraId="63838B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D35DB">
        <w:rPr>
          <w:b/>
          <w:bCs/>
          <w:sz w:val="24"/>
        </w:rPr>
        <w:t>12.  Provide estimates of the hour burden of the collection of information.  The statement should:</w:t>
      </w:r>
    </w:p>
    <w:p w:rsidRPr="00BD35DB" w:rsidR="00662738" w:rsidP="00662738" w:rsidRDefault="00662738" w14:paraId="489CC8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BD35DB" w:rsidR="00662738" w:rsidP="00662738" w:rsidRDefault="00662738" w14:paraId="41B6BEE8" w14:textId="7777777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D35DB">
        <w:rPr>
          <w:bCs/>
          <w:sz w:val="24"/>
        </w:rPr>
        <w:t>▪</w:t>
      </w:r>
      <w:r w:rsidRPr="00BD35DB">
        <w:rPr>
          <w:bCs/>
          <w:sz w:val="24"/>
        </w:rPr>
        <w:tab/>
      </w:r>
      <w:r w:rsidRPr="00BD35DB">
        <w:rPr>
          <w:b/>
          <w:bCs/>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p>
    <w:p w:rsidRPr="00BD35DB" w:rsidR="00662738" w:rsidP="00662738" w:rsidRDefault="00662738" w14:paraId="1AC69C1B" w14:textId="7777777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BD35DB" w:rsidR="00662738" w:rsidP="00662738" w:rsidRDefault="00662738" w14:paraId="505F78C5" w14:textId="7777777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D35DB">
        <w:rPr>
          <w:bCs/>
          <w:sz w:val="24"/>
        </w:rPr>
        <w:t xml:space="preserve">  ▪</w:t>
      </w:r>
      <w:r w:rsidRPr="00BD35DB">
        <w:rPr>
          <w:bCs/>
          <w:sz w:val="24"/>
        </w:rPr>
        <w:tab/>
      </w:r>
      <w:r w:rsidRPr="00BD35DB">
        <w:rPr>
          <w:b/>
          <w:bCs/>
          <w:sz w:val="24"/>
        </w:rPr>
        <w:t>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D35DB" w:rsidR="00662738" w:rsidP="00662738" w:rsidRDefault="00662738" w14:paraId="79A909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BD35DB" w:rsidR="00662738" w:rsidP="00662738" w:rsidRDefault="00662738" w14:paraId="64EE2282" w14:textId="7777777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D35DB">
        <w:rPr>
          <w:bCs/>
          <w:sz w:val="24"/>
        </w:rPr>
        <w:t xml:space="preserve">  ▪</w:t>
      </w:r>
      <w:r w:rsidRPr="00BD35DB">
        <w:rPr>
          <w:bCs/>
          <w:sz w:val="24"/>
        </w:rPr>
        <w:tab/>
      </w:r>
      <w:r w:rsidRPr="00BD35DB">
        <w:rPr>
          <w:b/>
          <w:bCs/>
          <w:sz w:val="24"/>
        </w:rPr>
        <w:t>If this request for approval covers more than one form, provide separate hour burden estimate for estimates for each form and aggregate the hour burdens</w:t>
      </w:r>
      <w:r w:rsidRPr="00BD35DB" w:rsidR="00D859DF">
        <w:rPr>
          <w:b/>
          <w:bCs/>
          <w:sz w:val="24"/>
        </w:rPr>
        <w:t>.</w:t>
      </w:r>
    </w:p>
    <w:p w:rsidRPr="00BD35DB" w:rsidR="00662738" w:rsidP="00662738" w:rsidRDefault="00662738" w14:paraId="1EAEC09A" w14:textId="7777777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firstLine="0"/>
        <w:rPr>
          <w:b/>
          <w:bCs/>
          <w:sz w:val="24"/>
        </w:rPr>
      </w:pPr>
    </w:p>
    <w:p w:rsidRPr="00BD35DB" w:rsidR="00662738" w:rsidP="00662738" w:rsidRDefault="00662738" w14:paraId="311F9296" w14:textId="7777777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630"/>
        <w:rPr>
          <w:sz w:val="24"/>
        </w:rPr>
      </w:pPr>
      <w:r w:rsidRPr="00BD35DB">
        <w:rPr>
          <w:sz w:val="24"/>
        </w:rPr>
        <w:t>▪</w:t>
      </w:r>
      <w:r w:rsidRPr="00BD35DB">
        <w:rPr>
          <w:sz w:val="24"/>
        </w:rPr>
        <w:tab/>
      </w:r>
      <w:r w:rsidRPr="00BD35DB">
        <w:rPr>
          <w:b/>
          <w:bCs/>
          <w:sz w:val="24"/>
        </w:rPr>
        <w:t>Provide estimates of annualized cost to respondents for the hour burdens for collection of information, identifying and using appropriate wage rate categories.  The cost of contracting out of paying outside parties for information</w:t>
      </w:r>
      <w:r w:rsidRPr="00BD35DB">
        <w:rPr>
          <w:sz w:val="24"/>
        </w:rPr>
        <w:t xml:space="preserve"> </w:t>
      </w:r>
      <w:r w:rsidRPr="00BD35DB">
        <w:rPr>
          <w:b/>
          <w:bCs/>
          <w:sz w:val="24"/>
        </w:rPr>
        <w:t>should not be included here.  Instead this cost should be included in Item 13.</w:t>
      </w:r>
    </w:p>
    <w:p w:rsidRPr="00BD35DB" w:rsidR="00CC2C76" w:rsidP="00662738" w:rsidRDefault="00CC2C76" w14:paraId="234758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CC2C76" w:rsidP="00CC2C76" w:rsidRDefault="00CC2C76" w14:paraId="03203E62" w14:textId="77777777">
      <w:pPr>
        <w:widowControl/>
        <w:rPr>
          <w:bCs/>
          <w:smallCaps/>
          <w:sz w:val="24"/>
        </w:rPr>
      </w:pPr>
      <w:r w:rsidRPr="00BD35DB">
        <w:rPr>
          <w:b/>
          <w:bCs/>
          <w:smallCaps/>
          <w:sz w:val="24"/>
        </w:rPr>
        <w:t>Burden Hour and Cost Determinations</w:t>
      </w:r>
    </w:p>
    <w:p w:rsidRPr="00BD35DB" w:rsidR="00CC2C76" w:rsidP="00CC2C76" w:rsidRDefault="00CC2C76" w14:paraId="0705EEED" w14:textId="77777777">
      <w:pPr>
        <w:tabs>
          <w:tab w:val="left" w:pos="-1440"/>
        </w:tabs>
        <w:rPr>
          <w:sz w:val="24"/>
        </w:rPr>
      </w:pPr>
    </w:p>
    <w:p w:rsidRPr="00BD35DB" w:rsidR="00CC2C76" w:rsidP="00CC2C76" w:rsidRDefault="00CC2C76" w14:paraId="09ABABDB" w14:textId="77777777">
      <w:pPr>
        <w:tabs>
          <w:tab w:val="left" w:pos="-1440"/>
        </w:tabs>
        <w:rPr>
          <w:sz w:val="24"/>
        </w:rPr>
      </w:pPr>
      <w:r w:rsidRPr="00BD35DB">
        <w:rPr>
          <w:sz w:val="24"/>
        </w:rPr>
        <w:t>The Agency determined the wage rate from mean hourly wage earnings to represent the cost of employee time.  For the relevant standard occupational classification category, OSHA used the wage rates reported in the Bureau of Labor Statistics, U.S. Department of Labor, Occupational Employment Statistics (OES), May 2018 [date accessed:</w:t>
      </w:r>
      <w:r w:rsidRPr="00BD35DB" w:rsidR="008D3E04">
        <w:rPr>
          <w:sz w:val="24"/>
        </w:rPr>
        <w:t xml:space="preserve"> August 27</w:t>
      </w:r>
      <w:r w:rsidRPr="00BD35DB">
        <w:rPr>
          <w:sz w:val="24"/>
        </w:rPr>
        <w:t xml:space="preserve">, 2019].  (OES data is available at </w:t>
      </w:r>
      <w:hyperlink w:history="1" r:id="rId17">
        <w:r w:rsidRPr="00BD35DB">
          <w:rPr>
            <w:i/>
            <w:color w:val="003399"/>
            <w:sz w:val="24"/>
            <w:u w:val="single"/>
          </w:rPr>
          <w:t>https://www.bls.gov/oes/tables.htm</w:t>
        </w:r>
      </w:hyperlink>
      <w:r w:rsidRPr="00BD35DB">
        <w:rPr>
          <w:sz w:val="24"/>
        </w:rPr>
        <w:t xml:space="preserve">.  To access a wage rate, select the year, “Occupation profiles,” and the Standard Occupational Classification (SOC) code.) </w:t>
      </w:r>
    </w:p>
    <w:p w:rsidRPr="00BD35DB" w:rsidR="00C708E4" w:rsidP="00C708E4" w:rsidRDefault="00C708E4" w14:paraId="19ECAC0C" w14:textId="77777777">
      <w:pPr>
        <w:pStyle w:val="Default"/>
      </w:pPr>
    </w:p>
    <w:p w:rsidR="00C708E4" w:rsidP="00C708E4" w:rsidRDefault="00C708E4" w14:paraId="2790F51F" w14:textId="37F58D0D">
      <w:pPr>
        <w:pStyle w:val="Default"/>
      </w:pPr>
      <w:r w:rsidRPr="00BD35DB">
        <w:t xml:space="preserve">To derive the loaded hourly wage rate presented in the table below, the Agency used data from the Bureau of Labor Statistics’ (BLS) </w:t>
      </w:r>
      <w:r w:rsidRPr="00BD35DB">
        <w:rPr>
          <w:i/>
          <w:iCs/>
        </w:rPr>
        <w:t>Occupational Employment Statistics (OES</w:t>
      </w:r>
      <w:r w:rsidRPr="00BD35DB">
        <w:rPr>
          <w:iCs/>
        </w:rPr>
        <w:t xml:space="preserve">), as described in the paragraph above.  Then, the Agency applied to the wage rates a </w:t>
      </w:r>
      <w:r w:rsidRPr="00BD35DB">
        <w:t xml:space="preserve">fringe benefit markup based on data found in Table 1 of the following BLS release: </w:t>
      </w:r>
      <w:r w:rsidRPr="00BD35DB">
        <w:rPr>
          <w:i/>
          <w:iCs/>
        </w:rPr>
        <w:t xml:space="preserve">Employer Costs for Employee Compensation </w:t>
      </w:r>
      <w:r w:rsidRPr="00BD35DB">
        <w:t>news release text, released 10:00 AM (EDT), June 18, 2019 (</w:t>
      </w:r>
      <w:hyperlink w:history="1" r:id="rId18">
        <w:r w:rsidRPr="00BD35DB">
          <w:rPr>
            <w:rStyle w:val="Hyperlink"/>
          </w:rPr>
          <w:t>https://www.bls.gov/news.release/archives/ecec_06182019.htm</w:t>
        </w:r>
      </w:hyperlink>
      <w:r w:rsidRPr="00BD35DB">
        <w:rPr>
          <w:iCs/>
        </w:rPr>
        <w:t>)</w:t>
      </w:r>
      <w:r w:rsidRPr="00BD35DB">
        <w:rPr>
          <w:i/>
          <w:iCs/>
        </w:rPr>
        <w:t xml:space="preserve">. </w:t>
      </w:r>
      <w:r w:rsidRPr="00BD35DB">
        <w:t xml:space="preserve">BLS reported that for civilian workers, fringe benefits accounted for 31.4 percent of total compensation and wages accounted for the remaining 68.6 percent.  To calculate the loaded hourly wage for each occupation, the Agency divided the mean hourly wage rate by 1 minus the fringe benefits. </w:t>
      </w:r>
    </w:p>
    <w:p w:rsidR="004E7CD3" w:rsidP="00C708E4" w:rsidRDefault="004E7CD3" w14:paraId="6230EC62" w14:textId="30612AC5">
      <w:pPr>
        <w:pStyle w:val="Default"/>
      </w:pPr>
    </w:p>
    <w:p w:rsidR="004E7CD3" w:rsidP="00C708E4" w:rsidRDefault="004E7CD3" w14:paraId="1AB28ADB" w14:textId="47B79243">
      <w:pPr>
        <w:pStyle w:val="Default"/>
      </w:pPr>
    </w:p>
    <w:p w:rsidR="004E7CD3" w:rsidP="00C708E4" w:rsidRDefault="004E7CD3" w14:paraId="6872FAC4" w14:textId="57278B1D">
      <w:pPr>
        <w:pStyle w:val="Default"/>
      </w:pPr>
    </w:p>
    <w:p w:rsidR="004E7CD3" w:rsidP="00C708E4" w:rsidRDefault="004E7CD3" w14:paraId="2310B413" w14:textId="719B3B9B">
      <w:pPr>
        <w:pStyle w:val="Default"/>
      </w:pPr>
    </w:p>
    <w:p w:rsidR="004E7CD3" w:rsidP="00C708E4" w:rsidRDefault="004E7CD3" w14:paraId="6B4A8BE9" w14:textId="272A4E21">
      <w:pPr>
        <w:pStyle w:val="Default"/>
      </w:pPr>
    </w:p>
    <w:p w:rsidR="004E7CD3" w:rsidP="00C708E4" w:rsidRDefault="004E7CD3" w14:paraId="1D040CDA" w14:textId="0A778F7C">
      <w:pPr>
        <w:pStyle w:val="Default"/>
      </w:pPr>
    </w:p>
    <w:p w:rsidR="004E7CD3" w:rsidP="00C708E4" w:rsidRDefault="004E7CD3" w14:paraId="27C8305C" w14:textId="2FE35C82">
      <w:pPr>
        <w:pStyle w:val="Default"/>
      </w:pPr>
    </w:p>
    <w:p w:rsidRPr="00BD35DB" w:rsidR="004E7CD3" w:rsidP="00C708E4" w:rsidRDefault="004E7CD3" w14:paraId="4060B647" w14:textId="77777777">
      <w:pPr>
        <w:pStyle w:val="Default"/>
      </w:pPr>
    </w:p>
    <w:p w:rsidRPr="00BD35DB" w:rsidR="00CC2C76" w:rsidP="00CC2C76" w:rsidRDefault="00CC2C76" w14:paraId="7F187203" w14:textId="77777777">
      <w:pPr>
        <w:widowControl/>
        <w:rPr>
          <w:sz w:val="24"/>
        </w:rPr>
      </w:pPr>
    </w:p>
    <w:tbl>
      <w:tblPr>
        <w:tblW w:w="9090" w:type="dxa"/>
        <w:tblInd w:w="378" w:type="dxa"/>
        <w:tblLook w:val="04A0" w:firstRow="1" w:lastRow="0" w:firstColumn="1" w:lastColumn="0" w:noHBand="0" w:noVBand="1"/>
      </w:tblPr>
      <w:tblGrid>
        <w:gridCol w:w="2970"/>
        <w:gridCol w:w="1440"/>
        <w:gridCol w:w="1440"/>
        <w:gridCol w:w="1530"/>
        <w:gridCol w:w="1710"/>
      </w:tblGrid>
      <w:tr w:rsidRPr="00BD35DB" w:rsidR="00C708E4" w:rsidTr="000A64C4" w14:paraId="50548FFE" w14:textId="77777777">
        <w:trPr>
          <w:trHeight w:val="300"/>
        </w:trPr>
        <w:tc>
          <w:tcPr>
            <w:tcW w:w="9090" w:type="dxa"/>
            <w:gridSpan w:val="5"/>
            <w:tcBorders>
              <w:top w:val="single" w:color="auto" w:sz="8" w:space="0"/>
              <w:left w:val="single" w:color="auto" w:sz="8" w:space="0"/>
              <w:bottom w:val="single" w:color="auto" w:sz="8" w:space="0"/>
              <w:right w:val="single" w:color="000000" w:sz="8" w:space="0"/>
            </w:tcBorders>
            <w:shd w:val="clear" w:color="auto" w:fill="auto"/>
            <w:vAlign w:val="center"/>
            <w:hideMark/>
          </w:tcPr>
          <w:p w:rsidRPr="00BD35DB" w:rsidR="00C708E4" w:rsidP="00C708E4" w:rsidRDefault="00C708E4" w14:paraId="67DACF6E" w14:textId="77777777">
            <w:pPr>
              <w:widowControl/>
              <w:autoSpaceDE/>
              <w:autoSpaceDN/>
              <w:adjustRightInd/>
              <w:jc w:val="center"/>
              <w:rPr>
                <w:b/>
                <w:bCs/>
                <w:color w:val="000000"/>
                <w:szCs w:val="20"/>
              </w:rPr>
            </w:pPr>
            <w:r w:rsidRPr="00BD35DB">
              <w:rPr>
                <w:b/>
                <w:bCs/>
                <w:color w:val="000000"/>
                <w:szCs w:val="20"/>
              </w:rPr>
              <w:t>WAGE HOUR ESTIMATES (2019)</w:t>
            </w:r>
          </w:p>
        </w:tc>
      </w:tr>
      <w:tr w:rsidRPr="00BD35DB" w:rsidR="00C708E4" w:rsidTr="000A64C4" w14:paraId="4984033E" w14:textId="77777777">
        <w:trPr>
          <w:trHeight w:val="300"/>
        </w:trPr>
        <w:tc>
          <w:tcPr>
            <w:tcW w:w="2970" w:type="dxa"/>
            <w:tcBorders>
              <w:top w:val="nil"/>
              <w:left w:val="single" w:color="auto" w:sz="8" w:space="0"/>
              <w:bottom w:val="nil"/>
              <w:right w:val="nil"/>
            </w:tcBorders>
            <w:shd w:val="clear" w:color="auto" w:fill="auto"/>
            <w:vAlign w:val="center"/>
            <w:hideMark/>
          </w:tcPr>
          <w:p w:rsidRPr="00BD35DB" w:rsidR="00C708E4" w:rsidP="00C708E4" w:rsidRDefault="00C708E4" w14:paraId="5724E5BA" w14:textId="77777777">
            <w:pPr>
              <w:widowControl/>
              <w:autoSpaceDE/>
              <w:autoSpaceDN/>
              <w:adjustRightInd/>
              <w:jc w:val="center"/>
              <w:rPr>
                <w:b/>
                <w:bCs/>
                <w:color w:val="000000"/>
                <w:szCs w:val="20"/>
              </w:rPr>
            </w:pPr>
            <w:r w:rsidRPr="00BD35DB">
              <w:rPr>
                <w:b/>
                <w:bCs/>
                <w:color w:val="000000"/>
                <w:szCs w:val="20"/>
              </w:rPr>
              <w:t> </w:t>
            </w:r>
          </w:p>
        </w:tc>
        <w:tc>
          <w:tcPr>
            <w:tcW w:w="1440" w:type="dxa"/>
            <w:tcBorders>
              <w:top w:val="single" w:color="auto" w:sz="8" w:space="0"/>
              <w:left w:val="nil"/>
              <w:bottom w:val="nil"/>
              <w:right w:val="nil"/>
            </w:tcBorders>
            <w:shd w:val="clear" w:color="auto" w:fill="auto"/>
            <w:vAlign w:val="center"/>
            <w:hideMark/>
          </w:tcPr>
          <w:p w:rsidRPr="00BD35DB" w:rsidR="00C708E4" w:rsidP="00C708E4" w:rsidRDefault="00C708E4" w14:paraId="3D8E0456" w14:textId="77777777">
            <w:pPr>
              <w:widowControl/>
              <w:autoSpaceDE/>
              <w:autoSpaceDN/>
              <w:adjustRightInd/>
              <w:jc w:val="center"/>
              <w:rPr>
                <w:b/>
                <w:bCs/>
                <w:color w:val="000000"/>
                <w:szCs w:val="20"/>
              </w:rPr>
            </w:pPr>
            <w:r w:rsidRPr="00BD35DB">
              <w:rPr>
                <w:b/>
                <w:bCs/>
                <w:color w:val="000000"/>
                <w:szCs w:val="20"/>
              </w:rPr>
              <w:t> </w:t>
            </w:r>
          </w:p>
        </w:tc>
        <w:tc>
          <w:tcPr>
            <w:tcW w:w="1440" w:type="dxa"/>
            <w:tcBorders>
              <w:top w:val="nil"/>
              <w:left w:val="nil"/>
              <w:bottom w:val="nil"/>
              <w:right w:val="nil"/>
            </w:tcBorders>
            <w:shd w:val="clear" w:color="auto" w:fill="auto"/>
            <w:vAlign w:val="center"/>
            <w:hideMark/>
          </w:tcPr>
          <w:p w:rsidRPr="00BD35DB" w:rsidR="00C708E4" w:rsidP="00C708E4" w:rsidRDefault="00C708E4" w14:paraId="0C492313" w14:textId="77777777">
            <w:pPr>
              <w:widowControl/>
              <w:autoSpaceDE/>
              <w:autoSpaceDN/>
              <w:adjustRightInd/>
              <w:jc w:val="center"/>
              <w:rPr>
                <w:b/>
                <w:bCs/>
                <w:color w:val="000000"/>
                <w:szCs w:val="20"/>
              </w:rPr>
            </w:pPr>
          </w:p>
        </w:tc>
        <w:tc>
          <w:tcPr>
            <w:tcW w:w="1530" w:type="dxa"/>
            <w:tcBorders>
              <w:top w:val="single" w:color="auto" w:sz="8" w:space="0"/>
              <w:left w:val="nil"/>
              <w:bottom w:val="nil"/>
              <w:right w:val="nil"/>
            </w:tcBorders>
            <w:shd w:val="clear" w:color="auto" w:fill="auto"/>
            <w:vAlign w:val="center"/>
            <w:hideMark/>
          </w:tcPr>
          <w:p w:rsidRPr="00BD35DB" w:rsidR="00C708E4" w:rsidP="00C708E4" w:rsidRDefault="00C708E4" w14:paraId="6CD33C7B" w14:textId="77777777">
            <w:pPr>
              <w:widowControl/>
              <w:autoSpaceDE/>
              <w:autoSpaceDN/>
              <w:adjustRightInd/>
              <w:jc w:val="center"/>
              <w:rPr>
                <w:b/>
                <w:bCs/>
                <w:color w:val="000000"/>
                <w:szCs w:val="20"/>
              </w:rPr>
            </w:pPr>
            <w:r w:rsidRPr="00BD35DB">
              <w:rPr>
                <w:b/>
                <w:bCs/>
                <w:color w:val="000000"/>
                <w:szCs w:val="20"/>
              </w:rPr>
              <w:t> </w:t>
            </w:r>
          </w:p>
        </w:tc>
        <w:tc>
          <w:tcPr>
            <w:tcW w:w="1710" w:type="dxa"/>
            <w:tcBorders>
              <w:top w:val="nil"/>
              <w:left w:val="nil"/>
              <w:bottom w:val="nil"/>
              <w:right w:val="single" w:color="auto" w:sz="8" w:space="0"/>
            </w:tcBorders>
            <w:shd w:val="clear" w:color="auto" w:fill="auto"/>
            <w:vAlign w:val="center"/>
            <w:hideMark/>
          </w:tcPr>
          <w:p w:rsidRPr="00BD35DB" w:rsidR="00C708E4" w:rsidP="00C708E4" w:rsidRDefault="00C708E4" w14:paraId="7EC43DCE" w14:textId="77777777">
            <w:pPr>
              <w:widowControl/>
              <w:autoSpaceDE/>
              <w:autoSpaceDN/>
              <w:adjustRightInd/>
              <w:jc w:val="center"/>
              <w:rPr>
                <w:b/>
                <w:bCs/>
                <w:color w:val="000000"/>
                <w:szCs w:val="20"/>
              </w:rPr>
            </w:pPr>
            <w:r w:rsidRPr="00BD35DB">
              <w:rPr>
                <w:b/>
                <w:bCs/>
                <w:color w:val="000000"/>
                <w:szCs w:val="20"/>
              </w:rPr>
              <w:t> </w:t>
            </w:r>
          </w:p>
        </w:tc>
      </w:tr>
      <w:tr w:rsidRPr="00BD35DB" w:rsidR="00C708E4" w:rsidTr="000A64C4" w14:paraId="48A82A3E" w14:textId="77777777">
        <w:trPr>
          <w:trHeight w:val="1320"/>
        </w:trPr>
        <w:tc>
          <w:tcPr>
            <w:tcW w:w="297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D35DB" w:rsidR="00C708E4" w:rsidP="00C708E4" w:rsidRDefault="00C708E4" w14:paraId="687D41A7" w14:textId="77777777">
            <w:pPr>
              <w:widowControl/>
              <w:autoSpaceDE/>
              <w:autoSpaceDN/>
              <w:adjustRightInd/>
              <w:jc w:val="center"/>
              <w:rPr>
                <w:b/>
                <w:bCs/>
                <w:color w:val="000000"/>
                <w:szCs w:val="20"/>
              </w:rPr>
            </w:pPr>
            <w:r w:rsidRPr="00BD35DB">
              <w:rPr>
                <w:b/>
                <w:bCs/>
                <w:color w:val="000000"/>
                <w:szCs w:val="20"/>
              </w:rPr>
              <w:t>Occupational Title</w:t>
            </w:r>
          </w:p>
        </w:tc>
        <w:tc>
          <w:tcPr>
            <w:tcW w:w="1440" w:type="dxa"/>
            <w:tcBorders>
              <w:top w:val="single" w:color="auto" w:sz="8" w:space="0"/>
              <w:left w:val="nil"/>
              <w:bottom w:val="single" w:color="auto" w:sz="8" w:space="0"/>
              <w:right w:val="single" w:color="auto" w:sz="8" w:space="0"/>
            </w:tcBorders>
            <w:shd w:val="clear" w:color="auto" w:fill="auto"/>
            <w:vAlign w:val="center"/>
            <w:hideMark/>
          </w:tcPr>
          <w:p w:rsidRPr="00BD35DB" w:rsidR="00C708E4" w:rsidP="00C708E4" w:rsidRDefault="00C708E4" w14:paraId="284CA598" w14:textId="77777777">
            <w:pPr>
              <w:widowControl/>
              <w:autoSpaceDE/>
              <w:autoSpaceDN/>
              <w:adjustRightInd/>
              <w:jc w:val="center"/>
              <w:rPr>
                <w:b/>
                <w:bCs/>
                <w:color w:val="000000"/>
                <w:szCs w:val="20"/>
              </w:rPr>
            </w:pPr>
            <w:r w:rsidRPr="00BD35DB">
              <w:rPr>
                <w:b/>
                <w:bCs/>
                <w:color w:val="000000"/>
                <w:szCs w:val="20"/>
              </w:rPr>
              <w:t>Standard Occupation Code</w:t>
            </w:r>
          </w:p>
        </w:tc>
        <w:tc>
          <w:tcPr>
            <w:tcW w:w="1440" w:type="dxa"/>
            <w:tcBorders>
              <w:top w:val="single" w:color="auto" w:sz="8" w:space="0"/>
              <w:left w:val="nil"/>
              <w:bottom w:val="single" w:color="auto" w:sz="8" w:space="0"/>
              <w:right w:val="single" w:color="auto" w:sz="8" w:space="0"/>
            </w:tcBorders>
            <w:shd w:val="clear" w:color="auto" w:fill="auto"/>
            <w:vAlign w:val="center"/>
            <w:hideMark/>
          </w:tcPr>
          <w:p w:rsidRPr="00BD35DB" w:rsidR="00C708E4" w:rsidP="00C708E4" w:rsidRDefault="00C708E4" w14:paraId="1F7990B6" w14:textId="77777777">
            <w:pPr>
              <w:widowControl/>
              <w:autoSpaceDE/>
              <w:autoSpaceDN/>
              <w:adjustRightInd/>
              <w:jc w:val="center"/>
              <w:rPr>
                <w:b/>
                <w:bCs/>
                <w:color w:val="000000"/>
                <w:szCs w:val="20"/>
              </w:rPr>
            </w:pPr>
            <w:r w:rsidRPr="00BD35DB">
              <w:rPr>
                <w:b/>
                <w:bCs/>
                <w:color w:val="000000"/>
                <w:szCs w:val="20"/>
              </w:rPr>
              <w:t>Mean Hour Wage Rate (A)</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BD35DB" w:rsidR="00C708E4" w:rsidP="00C708E4" w:rsidRDefault="00C708E4" w14:paraId="15B15D74" w14:textId="77777777">
            <w:pPr>
              <w:widowControl/>
              <w:autoSpaceDE/>
              <w:autoSpaceDN/>
              <w:adjustRightInd/>
              <w:jc w:val="center"/>
              <w:rPr>
                <w:b/>
                <w:bCs/>
                <w:color w:val="000000"/>
                <w:szCs w:val="20"/>
              </w:rPr>
            </w:pPr>
            <w:r w:rsidRPr="00BD35DB">
              <w:rPr>
                <w:b/>
                <w:bCs/>
                <w:color w:val="000000"/>
                <w:szCs w:val="20"/>
              </w:rPr>
              <w:t>Fringe Benefits (B)</w:t>
            </w:r>
          </w:p>
        </w:tc>
        <w:tc>
          <w:tcPr>
            <w:tcW w:w="1710" w:type="dxa"/>
            <w:tcBorders>
              <w:top w:val="single" w:color="auto" w:sz="8" w:space="0"/>
              <w:left w:val="nil"/>
              <w:bottom w:val="single" w:color="auto" w:sz="8" w:space="0"/>
              <w:right w:val="single" w:color="auto" w:sz="8" w:space="0"/>
            </w:tcBorders>
            <w:shd w:val="clear" w:color="auto" w:fill="auto"/>
            <w:vAlign w:val="center"/>
            <w:hideMark/>
          </w:tcPr>
          <w:p w:rsidRPr="00BD35DB" w:rsidR="00C708E4" w:rsidP="00C708E4" w:rsidRDefault="00C708E4" w14:paraId="505ADB9E" w14:textId="77777777">
            <w:pPr>
              <w:widowControl/>
              <w:autoSpaceDE/>
              <w:autoSpaceDN/>
              <w:adjustRightInd/>
              <w:jc w:val="center"/>
              <w:rPr>
                <w:b/>
                <w:bCs/>
                <w:color w:val="000000"/>
                <w:szCs w:val="20"/>
              </w:rPr>
            </w:pPr>
            <w:r w:rsidRPr="00BD35DB">
              <w:rPr>
                <w:b/>
                <w:bCs/>
                <w:color w:val="000000"/>
                <w:szCs w:val="20"/>
              </w:rPr>
              <w:t>Loaded Hourly Wage Rate         (C) = (A)/((1-(B))</w:t>
            </w:r>
          </w:p>
        </w:tc>
      </w:tr>
      <w:tr w:rsidRPr="00BD35DB" w:rsidR="00C708E4" w:rsidTr="009E0648" w14:paraId="5EA42D71" w14:textId="77777777">
        <w:trPr>
          <w:trHeight w:val="300"/>
        </w:trPr>
        <w:tc>
          <w:tcPr>
            <w:tcW w:w="2970" w:type="dxa"/>
            <w:tcBorders>
              <w:top w:val="nil"/>
              <w:left w:val="single" w:color="auto" w:sz="8" w:space="0"/>
              <w:bottom w:val="single" w:color="auto" w:sz="8" w:space="0"/>
              <w:right w:val="single" w:color="auto" w:sz="8" w:space="0"/>
            </w:tcBorders>
            <w:shd w:val="clear" w:color="auto" w:fill="auto"/>
          </w:tcPr>
          <w:p w:rsidRPr="00BD35DB" w:rsidR="00C708E4" w:rsidP="00C708E4" w:rsidRDefault="009F1E2B" w14:paraId="7669714D" w14:textId="77777777">
            <w:pPr>
              <w:widowControl/>
              <w:autoSpaceDE/>
              <w:autoSpaceDN/>
              <w:adjustRightInd/>
              <w:rPr>
                <w:color w:val="000000"/>
                <w:sz w:val="22"/>
                <w:szCs w:val="22"/>
              </w:rPr>
            </w:pPr>
            <w:r w:rsidRPr="00BD35DB">
              <w:t xml:space="preserve">General and Operations Managers </w:t>
            </w:r>
            <w:r w:rsidRPr="00BD35DB" w:rsidR="00C708E4">
              <w:t>(Professional/Manager)</w:t>
            </w:r>
          </w:p>
        </w:tc>
        <w:tc>
          <w:tcPr>
            <w:tcW w:w="1440" w:type="dxa"/>
            <w:tcBorders>
              <w:top w:val="nil"/>
              <w:left w:val="nil"/>
              <w:bottom w:val="single" w:color="auto" w:sz="8" w:space="0"/>
              <w:right w:val="single" w:color="auto" w:sz="8" w:space="0"/>
            </w:tcBorders>
            <w:shd w:val="clear" w:color="auto" w:fill="auto"/>
            <w:vAlign w:val="center"/>
          </w:tcPr>
          <w:p w:rsidRPr="00BD35DB" w:rsidR="00C708E4" w:rsidP="009F1E2B" w:rsidRDefault="00C708E4" w14:paraId="462C7C93" w14:textId="77777777">
            <w:pPr>
              <w:widowControl/>
              <w:autoSpaceDE/>
              <w:autoSpaceDN/>
              <w:adjustRightInd/>
              <w:jc w:val="center"/>
              <w:rPr>
                <w:color w:val="000000"/>
                <w:szCs w:val="20"/>
              </w:rPr>
            </w:pPr>
            <w:r w:rsidRPr="00BD35DB">
              <w:t>11-1021</w:t>
            </w:r>
          </w:p>
        </w:tc>
        <w:tc>
          <w:tcPr>
            <w:tcW w:w="1440" w:type="dxa"/>
            <w:tcBorders>
              <w:top w:val="nil"/>
              <w:left w:val="nil"/>
              <w:bottom w:val="single" w:color="auto" w:sz="8" w:space="0"/>
              <w:right w:val="single" w:color="auto" w:sz="8" w:space="0"/>
            </w:tcBorders>
            <w:shd w:val="clear" w:color="auto" w:fill="auto"/>
            <w:vAlign w:val="center"/>
          </w:tcPr>
          <w:p w:rsidRPr="00BD35DB" w:rsidR="00C708E4" w:rsidP="009F1E2B" w:rsidRDefault="00C708E4" w14:paraId="33B3F8EE" w14:textId="77777777">
            <w:pPr>
              <w:widowControl/>
              <w:autoSpaceDE/>
              <w:autoSpaceDN/>
              <w:adjustRightInd/>
              <w:jc w:val="center"/>
              <w:rPr>
                <w:color w:val="000000"/>
                <w:szCs w:val="20"/>
              </w:rPr>
            </w:pPr>
            <w:r w:rsidRPr="00BD35DB">
              <w:t>$</w:t>
            </w:r>
            <w:r w:rsidRPr="00BD35DB" w:rsidR="009F1E2B">
              <w:t>59.56</w:t>
            </w:r>
          </w:p>
        </w:tc>
        <w:tc>
          <w:tcPr>
            <w:tcW w:w="1530" w:type="dxa"/>
            <w:tcBorders>
              <w:top w:val="nil"/>
              <w:left w:val="nil"/>
              <w:bottom w:val="single" w:color="auto" w:sz="8" w:space="0"/>
              <w:right w:val="single" w:color="auto" w:sz="8" w:space="0"/>
            </w:tcBorders>
            <w:shd w:val="clear" w:color="auto" w:fill="auto"/>
            <w:vAlign w:val="center"/>
            <w:hideMark/>
          </w:tcPr>
          <w:p w:rsidRPr="00BD35DB" w:rsidR="00C708E4" w:rsidP="00C708E4" w:rsidRDefault="00F17C0A" w14:paraId="1A61A106" w14:textId="77777777">
            <w:pPr>
              <w:widowControl/>
              <w:autoSpaceDE/>
              <w:autoSpaceDN/>
              <w:adjustRightInd/>
              <w:jc w:val="center"/>
              <w:rPr>
                <w:color w:val="000000"/>
                <w:szCs w:val="20"/>
              </w:rPr>
            </w:pPr>
            <w:r>
              <w:rPr>
                <w:color w:val="000000"/>
                <w:szCs w:val="20"/>
              </w:rPr>
              <w:t>.</w:t>
            </w:r>
            <w:r w:rsidRPr="00BD35DB" w:rsidR="00C708E4">
              <w:rPr>
                <w:color w:val="000000"/>
                <w:szCs w:val="20"/>
              </w:rPr>
              <w:t>314</w:t>
            </w:r>
          </w:p>
        </w:tc>
        <w:tc>
          <w:tcPr>
            <w:tcW w:w="1710" w:type="dxa"/>
            <w:tcBorders>
              <w:top w:val="single" w:color="auto" w:sz="8" w:space="0"/>
              <w:left w:val="single" w:color="auto" w:sz="8" w:space="0"/>
              <w:bottom w:val="single" w:color="auto" w:sz="8" w:space="0"/>
              <w:right w:val="single" w:color="auto" w:sz="8" w:space="0"/>
            </w:tcBorders>
            <w:shd w:val="clear" w:color="auto" w:fill="auto"/>
            <w:vAlign w:val="center"/>
          </w:tcPr>
          <w:p w:rsidRPr="00BD35DB" w:rsidR="00C708E4" w:rsidP="00C924A2" w:rsidRDefault="00654675" w14:paraId="2E6B1F80" w14:textId="77777777">
            <w:pPr>
              <w:widowControl/>
              <w:autoSpaceDE/>
              <w:autoSpaceDN/>
              <w:adjustRightInd/>
              <w:jc w:val="center"/>
              <w:rPr>
                <w:color w:val="000000"/>
                <w:szCs w:val="20"/>
              </w:rPr>
            </w:pPr>
            <w:r w:rsidRPr="00BD35DB">
              <w:rPr>
                <w:color w:val="000000"/>
                <w:szCs w:val="20"/>
              </w:rPr>
              <w:t>$</w:t>
            </w:r>
            <w:r w:rsidR="00C924A2">
              <w:rPr>
                <w:color w:val="000000"/>
                <w:szCs w:val="20"/>
              </w:rPr>
              <w:t>86.82</w:t>
            </w:r>
          </w:p>
        </w:tc>
      </w:tr>
      <w:tr w:rsidRPr="00BD35DB" w:rsidR="00C708E4" w:rsidTr="009E0648" w14:paraId="78370000" w14:textId="77777777">
        <w:trPr>
          <w:trHeight w:val="520"/>
        </w:trPr>
        <w:tc>
          <w:tcPr>
            <w:tcW w:w="2970" w:type="dxa"/>
            <w:tcBorders>
              <w:top w:val="nil"/>
              <w:left w:val="single" w:color="auto" w:sz="8" w:space="0"/>
              <w:bottom w:val="single" w:color="auto" w:sz="8" w:space="0"/>
              <w:right w:val="single" w:color="auto" w:sz="8" w:space="0"/>
            </w:tcBorders>
            <w:shd w:val="clear" w:color="auto" w:fill="auto"/>
          </w:tcPr>
          <w:p w:rsidRPr="00BD35DB" w:rsidR="00C708E4" w:rsidP="00C708E4" w:rsidRDefault="00C708E4" w14:paraId="5B702DE1" w14:textId="77777777">
            <w:pPr>
              <w:widowControl/>
              <w:autoSpaceDE/>
              <w:autoSpaceDN/>
              <w:adjustRightInd/>
              <w:rPr>
                <w:color w:val="000000"/>
                <w:sz w:val="22"/>
                <w:szCs w:val="22"/>
              </w:rPr>
            </w:pPr>
            <w:r w:rsidRPr="00BD35DB">
              <w:t>Office and Administrative Support Occupations (Clerical)</w:t>
            </w:r>
          </w:p>
        </w:tc>
        <w:tc>
          <w:tcPr>
            <w:tcW w:w="1440" w:type="dxa"/>
            <w:tcBorders>
              <w:top w:val="nil"/>
              <w:left w:val="nil"/>
              <w:bottom w:val="single" w:color="auto" w:sz="8" w:space="0"/>
              <w:right w:val="single" w:color="auto" w:sz="8" w:space="0"/>
            </w:tcBorders>
            <w:shd w:val="clear" w:color="auto" w:fill="auto"/>
            <w:vAlign w:val="center"/>
          </w:tcPr>
          <w:p w:rsidRPr="00BD35DB" w:rsidR="00C708E4" w:rsidP="009F1E2B" w:rsidRDefault="00C708E4" w14:paraId="799CE4CE" w14:textId="77777777">
            <w:pPr>
              <w:widowControl/>
              <w:autoSpaceDE/>
              <w:autoSpaceDN/>
              <w:adjustRightInd/>
              <w:jc w:val="center"/>
              <w:rPr>
                <w:color w:val="000000"/>
                <w:szCs w:val="20"/>
              </w:rPr>
            </w:pPr>
            <w:r w:rsidRPr="00BD35DB">
              <w:t>43-0000</w:t>
            </w:r>
          </w:p>
        </w:tc>
        <w:tc>
          <w:tcPr>
            <w:tcW w:w="1440" w:type="dxa"/>
            <w:tcBorders>
              <w:top w:val="nil"/>
              <w:left w:val="nil"/>
              <w:bottom w:val="single" w:color="auto" w:sz="8" w:space="0"/>
              <w:right w:val="single" w:color="auto" w:sz="8" w:space="0"/>
            </w:tcBorders>
            <w:shd w:val="clear" w:color="auto" w:fill="auto"/>
            <w:vAlign w:val="center"/>
          </w:tcPr>
          <w:p w:rsidRPr="00BD35DB" w:rsidR="00C708E4" w:rsidP="009F1E2B" w:rsidRDefault="00C708E4" w14:paraId="1302AB66" w14:textId="77777777">
            <w:pPr>
              <w:widowControl/>
              <w:autoSpaceDE/>
              <w:autoSpaceDN/>
              <w:adjustRightInd/>
              <w:jc w:val="center"/>
              <w:rPr>
                <w:color w:val="000000"/>
                <w:szCs w:val="20"/>
              </w:rPr>
            </w:pPr>
            <w:r w:rsidRPr="00BD35DB">
              <w:t>$</w:t>
            </w:r>
            <w:r w:rsidRPr="00BD35DB" w:rsidR="009F1E2B">
              <w:t>18.75</w:t>
            </w:r>
          </w:p>
        </w:tc>
        <w:tc>
          <w:tcPr>
            <w:tcW w:w="1530" w:type="dxa"/>
            <w:tcBorders>
              <w:top w:val="nil"/>
              <w:left w:val="nil"/>
              <w:bottom w:val="single" w:color="auto" w:sz="8" w:space="0"/>
              <w:right w:val="single" w:color="auto" w:sz="8" w:space="0"/>
            </w:tcBorders>
            <w:shd w:val="clear" w:color="auto" w:fill="auto"/>
            <w:vAlign w:val="center"/>
            <w:hideMark/>
          </w:tcPr>
          <w:p w:rsidRPr="00BD35DB" w:rsidR="00C708E4" w:rsidP="00C708E4" w:rsidRDefault="00F17C0A" w14:paraId="68762592" w14:textId="77777777">
            <w:pPr>
              <w:widowControl/>
              <w:autoSpaceDE/>
              <w:autoSpaceDN/>
              <w:adjustRightInd/>
              <w:jc w:val="center"/>
              <w:rPr>
                <w:color w:val="000000"/>
                <w:szCs w:val="20"/>
              </w:rPr>
            </w:pPr>
            <w:r>
              <w:rPr>
                <w:color w:val="000000"/>
                <w:szCs w:val="20"/>
              </w:rPr>
              <w:t>.</w:t>
            </w:r>
            <w:r w:rsidRPr="00BD35DB" w:rsidR="00C708E4">
              <w:rPr>
                <w:color w:val="000000"/>
                <w:szCs w:val="20"/>
              </w:rPr>
              <w:t>314</w:t>
            </w:r>
          </w:p>
        </w:tc>
        <w:tc>
          <w:tcPr>
            <w:tcW w:w="1710" w:type="dxa"/>
            <w:tcBorders>
              <w:top w:val="nil"/>
              <w:left w:val="single" w:color="auto" w:sz="8" w:space="0"/>
              <w:bottom w:val="single" w:color="auto" w:sz="8" w:space="0"/>
              <w:right w:val="single" w:color="auto" w:sz="8" w:space="0"/>
            </w:tcBorders>
            <w:shd w:val="clear" w:color="auto" w:fill="auto"/>
            <w:vAlign w:val="center"/>
          </w:tcPr>
          <w:p w:rsidRPr="00BD35DB" w:rsidR="00C708E4" w:rsidP="00C708E4" w:rsidRDefault="00C924A2" w14:paraId="178C30C0" w14:textId="77777777">
            <w:pPr>
              <w:widowControl/>
              <w:autoSpaceDE/>
              <w:autoSpaceDN/>
              <w:adjustRightInd/>
              <w:jc w:val="center"/>
              <w:rPr>
                <w:color w:val="000000"/>
                <w:szCs w:val="20"/>
              </w:rPr>
            </w:pPr>
            <w:r>
              <w:rPr>
                <w:color w:val="000000"/>
                <w:szCs w:val="20"/>
              </w:rPr>
              <w:t>$27.33</w:t>
            </w:r>
          </w:p>
        </w:tc>
      </w:tr>
    </w:tbl>
    <w:p w:rsidRPr="00BD35DB" w:rsidR="00CC2C76" w:rsidP="00CC2C76" w:rsidRDefault="00CC2C76" w14:paraId="7108006D" w14:textId="77777777">
      <w:pPr>
        <w:jc w:val="center"/>
        <w:rPr>
          <w:b/>
          <w:bCs/>
          <w:sz w:val="24"/>
        </w:rPr>
      </w:pPr>
    </w:p>
    <w:p w:rsidRPr="00BD35DB" w:rsidR="00CC2C76" w:rsidP="00CC2C76" w:rsidRDefault="00CC2C76" w14:paraId="5B053C53" w14:textId="77777777">
      <w:pPr>
        <w:widowControl/>
        <w:rPr>
          <w:sz w:val="24"/>
        </w:rPr>
      </w:pPr>
    </w:p>
    <w:p w:rsidR="00CC2C76" w:rsidP="00CC2C76" w:rsidRDefault="00CC2C76" w14:paraId="72E81730" w14:textId="77777777">
      <w:pPr>
        <w:widowControl/>
        <w:rPr>
          <w:sz w:val="24"/>
        </w:rPr>
      </w:pPr>
      <w:r w:rsidRPr="00BD35DB">
        <w:rPr>
          <w:sz w:val="24"/>
        </w:rPr>
        <w:lastRenderedPageBreak/>
        <w:t>Estimates of the number of establishments and exposed workers covered by the Standard have been revised to reflect the most recent available data.  Table A contains updated figures from the U.S. Census Bureau, the Bureau of Labor Statistics, and other sources cited below.</w:t>
      </w:r>
    </w:p>
    <w:p w:rsidR="00365B76" w:rsidP="00CC2C76" w:rsidRDefault="00365B76" w14:paraId="4CCE80E0" w14:textId="77777777">
      <w:pPr>
        <w:widowControl/>
        <w:rPr>
          <w:sz w:val="24"/>
        </w:rPr>
      </w:pPr>
    </w:p>
    <w:p w:rsidRPr="00BD35DB" w:rsidR="00662738" w:rsidP="000232BA" w:rsidRDefault="00662738" w14:paraId="2932F5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b/>
          <w:bCs/>
          <w:sz w:val="24"/>
        </w:rPr>
        <w:t>Estimating the Number of Employers Affected by the Regulation</w:t>
      </w:r>
    </w:p>
    <w:p w:rsidRPr="00BD35DB" w:rsidR="00662738" w:rsidP="00662738" w:rsidRDefault="00662738" w14:paraId="2308DC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662738" w:rsidP="00472AAB" w:rsidRDefault="00662738" w14:paraId="2601BEC1" w14:textId="1C2E7C28">
      <w:pPr>
        <w:rPr>
          <w:sz w:val="24"/>
        </w:rPr>
      </w:pPr>
      <w:r w:rsidRPr="00BD35DB">
        <w:rPr>
          <w:sz w:val="24"/>
        </w:rPr>
        <w:t>Based on</w:t>
      </w:r>
      <w:r w:rsidRPr="00BD35DB" w:rsidR="007C5767">
        <w:rPr>
          <w:sz w:val="24"/>
        </w:rPr>
        <w:t xml:space="preserve"> </w:t>
      </w:r>
      <w:r w:rsidRPr="00BD35DB" w:rsidR="007C5767">
        <w:rPr>
          <w:iCs/>
          <w:sz w:val="24"/>
        </w:rPr>
        <w:t xml:space="preserve">the U.S. Census Bureau’s </w:t>
      </w:r>
      <w:r w:rsidRPr="00BD35DB" w:rsidR="00617A3D">
        <w:rPr>
          <w:iCs/>
          <w:sz w:val="24"/>
        </w:rPr>
        <w:t>201</w:t>
      </w:r>
      <w:r w:rsidRPr="00BD35DB" w:rsidR="00037B47">
        <w:rPr>
          <w:iCs/>
          <w:sz w:val="24"/>
        </w:rPr>
        <w:t>6</w:t>
      </w:r>
      <w:r w:rsidRPr="00BD35DB" w:rsidR="007C5767">
        <w:rPr>
          <w:iCs/>
          <w:sz w:val="24"/>
        </w:rPr>
        <w:t xml:space="preserve"> County Business Patterns</w:t>
      </w:r>
      <w:r w:rsidRPr="00BD35DB">
        <w:rPr>
          <w:i/>
          <w:iCs/>
          <w:sz w:val="24"/>
        </w:rPr>
        <w:t xml:space="preserve">, </w:t>
      </w:r>
      <w:r w:rsidRPr="00BD35DB">
        <w:rPr>
          <w:sz w:val="24"/>
        </w:rPr>
        <w:t xml:space="preserve">the Agency estimates that </w:t>
      </w:r>
      <w:r w:rsidRPr="00BD35DB" w:rsidR="002265C9">
        <w:rPr>
          <w:sz w:val="24"/>
        </w:rPr>
        <w:t>5,325,658</w:t>
      </w:r>
      <w:r w:rsidRPr="00BD35DB" w:rsidR="00472AAB">
        <w:rPr>
          <w:rFonts w:ascii="Arial" w:hAnsi="Arial" w:cs="Arial"/>
          <w:b/>
          <w:bCs/>
          <w:szCs w:val="20"/>
        </w:rPr>
        <w:t xml:space="preserve"> </w:t>
      </w:r>
      <w:r w:rsidRPr="00BD35DB">
        <w:rPr>
          <w:sz w:val="24"/>
        </w:rPr>
        <w:t xml:space="preserve">establishments are in </w:t>
      </w:r>
      <w:bookmarkStart w:name="_Hlk14689897" w:id="80"/>
      <w:r w:rsidRPr="00BD35DB">
        <w:rPr>
          <w:sz w:val="24"/>
        </w:rPr>
        <w:t>North American Industrial Classification System (NAICS) codes that are covered by the Regulation</w:t>
      </w:r>
      <w:bookmarkEnd w:id="80"/>
      <w:r w:rsidRPr="00BD35DB" w:rsidR="00056B40">
        <w:rPr>
          <w:sz w:val="24"/>
        </w:rPr>
        <w:t>.</w:t>
      </w:r>
      <w:r w:rsidRPr="00BD35DB" w:rsidR="00056B40">
        <w:rPr>
          <w:rStyle w:val="FootnoteReference"/>
          <w:bCs/>
          <w:sz w:val="24"/>
          <w:vertAlign w:val="superscript"/>
        </w:rPr>
        <w:footnoteReference w:id="11"/>
      </w:r>
      <w:r w:rsidRPr="00BD35DB" w:rsidR="00056B40">
        <w:rPr>
          <w:rStyle w:val="FootnoteReference"/>
          <w:bCs/>
          <w:vertAlign w:val="superscript"/>
        </w:rPr>
        <w:t xml:space="preserve"> </w:t>
      </w:r>
      <w:r w:rsidRPr="00BD35DB" w:rsidR="00056B40">
        <w:rPr>
          <w:sz w:val="24"/>
        </w:rPr>
        <w:t xml:space="preserve"> </w:t>
      </w:r>
      <w:r w:rsidRPr="00BD35DB">
        <w:rPr>
          <w:sz w:val="24"/>
        </w:rPr>
        <w:t>The Agency estimated that 18.6% (</w:t>
      </w:r>
      <w:r w:rsidRPr="00BD35DB" w:rsidR="002265C9">
        <w:rPr>
          <w:sz w:val="24"/>
        </w:rPr>
        <w:t>990,572</w:t>
      </w:r>
      <w:r w:rsidRPr="00BD35DB">
        <w:rPr>
          <w:sz w:val="24"/>
        </w:rPr>
        <w:t>) of the total number of establishments collect exposure-monitoring and/or medical information.  The Agency estimated that 24% (</w:t>
      </w:r>
      <w:r w:rsidR="00B457CB">
        <w:rPr>
          <w:sz w:val="24"/>
        </w:rPr>
        <w:t xml:space="preserve">990,572 x .24 = </w:t>
      </w:r>
      <w:r w:rsidRPr="00BD35DB" w:rsidR="002265C9">
        <w:rPr>
          <w:sz w:val="24"/>
        </w:rPr>
        <w:t>237,737</w:t>
      </w:r>
      <w:r w:rsidRPr="00BD35DB">
        <w:rPr>
          <w:sz w:val="24"/>
        </w:rPr>
        <w:t>)</w:t>
      </w:r>
      <w:r w:rsidRPr="00BD35DB">
        <w:rPr>
          <w:rStyle w:val="FootnoteReference"/>
          <w:bCs/>
          <w:sz w:val="24"/>
          <w:vertAlign w:val="superscript"/>
        </w:rPr>
        <w:footnoteReference w:id="12"/>
      </w:r>
      <w:r w:rsidRPr="00BD35DB">
        <w:rPr>
          <w:sz w:val="24"/>
        </w:rPr>
        <w:t xml:space="preserve"> of these employers developed their medical-surveillance programs and exposure monitoring records to comply with OSHA’s substance-specific standards. Burden hours and costs for medical surveillance and exposure monitoring contained in substance-specific standards are accounted for in their corresponding information collection requests.  Accordingly, the Agency removed these employers from further analysis, resulting in an estimated total number of </w:t>
      </w:r>
      <w:r w:rsidRPr="00BD35DB" w:rsidR="002265C9">
        <w:rPr>
          <w:sz w:val="24"/>
        </w:rPr>
        <w:t>752,835</w:t>
      </w:r>
      <w:r w:rsidRPr="00BD35DB" w:rsidR="00472AAB">
        <w:rPr>
          <w:sz w:val="24"/>
        </w:rPr>
        <w:t xml:space="preserve"> </w:t>
      </w:r>
      <w:r w:rsidRPr="00BD35DB">
        <w:rPr>
          <w:sz w:val="24"/>
        </w:rPr>
        <w:t>employers affected by the Regulation.</w:t>
      </w:r>
    </w:p>
    <w:p w:rsidRPr="00BD35DB" w:rsidR="00662738" w:rsidP="00662738" w:rsidRDefault="00662738" w14:paraId="2BFFA810" w14:textId="77777777">
      <w:pPr>
        <w:widowControl/>
        <w:rPr>
          <w:sz w:val="24"/>
        </w:rPr>
      </w:pPr>
    </w:p>
    <w:p w:rsidRPr="00BD35DB" w:rsidR="009F1E2B" w:rsidP="00662738" w:rsidRDefault="00662738" w14:paraId="09DF3F43" w14:textId="77777777">
      <w:pPr>
        <w:widowControl/>
        <w:rPr>
          <w:sz w:val="24"/>
        </w:rPr>
      </w:pPr>
      <w:r w:rsidRPr="00BD35DB">
        <w:rPr>
          <w:sz w:val="24"/>
        </w:rPr>
        <w:t xml:space="preserve">The Ionizing Radiation (IR) Standard (29 CFR 1910.1096) does not specify access requirements in the Standard; therefore, burden hours and costs were not included in the Information Collection Request (OMB Control Number 1218-0103).  The IR Standard covers an estimated </w:t>
      </w:r>
      <w:r w:rsidRPr="00BD35DB" w:rsidR="002265C9">
        <w:rPr>
          <w:sz w:val="24"/>
        </w:rPr>
        <w:t>13,849</w:t>
      </w:r>
      <w:r w:rsidRPr="00BD35DB" w:rsidR="00571771">
        <w:rPr>
          <w:sz w:val="24"/>
        </w:rPr>
        <w:t xml:space="preserve"> </w:t>
      </w:r>
      <w:r w:rsidRPr="00BD35DB">
        <w:rPr>
          <w:sz w:val="24"/>
        </w:rPr>
        <w:t xml:space="preserve">establishments.  These establishments </w:t>
      </w:r>
      <w:r w:rsidRPr="00BD35DB" w:rsidR="009F1E2B">
        <w:rPr>
          <w:sz w:val="24"/>
        </w:rPr>
        <w:t xml:space="preserve">are </w:t>
      </w:r>
      <w:r w:rsidRPr="00BD35DB" w:rsidR="0025043F">
        <w:rPr>
          <w:sz w:val="24"/>
        </w:rPr>
        <w:t xml:space="preserve">also </w:t>
      </w:r>
      <w:r w:rsidRPr="00BD35DB">
        <w:rPr>
          <w:sz w:val="24"/>
        </w:rPr>
        <w:t>included in this analysis</w:t>
      </w:r>
      <w:r w:rsidRPr="00BD35DB" w:rsidR="009F1E2B">
        <w:rPr>
          <w:sz w:val="24"/>
        </w:rPr>
        <w:t>.</w:t>
      </w:r>
      <w:r w:rsidRPr="00BD35DB" w:rsidR="00C708E4">
        <w:rPr>
          <w:sz w:val="24"/>
        </w:rPr>
        <w:t xml:space="preserve"> </w:t>
      </w:r>
    </w:p>
    <w:p w:rsidRPr="00BD35DB" w:rsidR="009F1E2B" w:rsidP="00662738" w:rsidRDefault="009F1E2B" w14:paraId="548AB1D3" w14:textId="77777777">
      <w:pPr>
        <w:widowControl/>
        <w:rPr>
          <w:sz w:val="24"/>
        </w:rPr>
      </w:pPr>
    </w:p>
    <w:tbl>
      <w:tblPr>
        <w:tblW w:w="0" w:type="auto"/>
        <w:tblInd w:w="2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0"/>
        <w:gridCol w:w="1710"/>
      </w:tblGrid>
      <w:tr w:rsidRPr="00BD35DB" w:rsidR="00C708E4" w:rsidTr="000A64C4" w14:paraId="0F73C5B7" w14:textId="77777777">
        <w:tc>
          <w:tcPr>
            <w:tcW w:w="2700" w:type="dxa"/>
            <w:shd w:val="clear" w:color="auto" w:fill="auto"/>
          </w:tcPr>
          <w:p w:rsidRPr="00BD35DB" w:rsidR="00C708E4" w:rsidP="000A64C4" w:rsidRDefault="009F1E2B" w14:paraId="67D4C63D" w14:textId="77777777">
            <w:pPr>
              <w:widowControl/>
              <w:rPr>
                <w:sz w:val="24"/>
              </w:rPr>
            </w:pPr>
            <w:r w:rsidRPr="00BD35DB">
              <w:rPr>
                <w:sz w:val="24"/>
              </w:rPr>
              <w:lastRenderedPageBreak/>
              <w:t>Standard</w:t>
            </w:r>
          </w:p>
        </w:tc>
        <w:tc>
          <w:tcPr>
            <w:tcW w:w="1710" w:type="dxa"/>
            <w:shd w:val="clear" w:color="auto" w:fill="auto"/>
          </w:tcPr>
          <w:p w:rsidRPr="00BD35DB" w:rsidR="00C708E4" w:rsidP="000A64C4" w:rsidRDefault="009F1E2B" w14:paraId="68C60326" w14:textId="77777777">
            <w:pPr>
              <w:widowControl/>
              <w:rPr>
                <w:sz w:val="24"/>
              </w:rPr>
            </w:pPr>
            <w:r w:rsidRPr="00BD35DB">
              <w:rPr>
                <w:sz w:val="24"/>
              </w:rPr>
              <w:t>Respondents</w:t>
            </w:r>
          </w:p>
        </w:tc>
      </w:tr>
      <w:tr w:rsidRPr="00BD35DB" w:rsidR="00C708E4" w:rsidTr="000A64C4" w14:paraId="4C01EFB8" w14:textId="77777777">
        <w:tc>
          <w:tcPr>
            <w:tcW w:w="2700" w:type="dxa"/>
            <w:shd w:val="clear" w:color="auto" w:fill="auto"/>
          </w:tcPr>
          <w:p w:rsidRPr="00BD35DB" w:rsidR="00C708E4" w:rsidP="000A64C4" w:rsidRDefault="009F1E2B" w14:paraId="6774A916" w14:textId="77777777">
            <w:pPr>
              <w:widowControl/>
              <w:rPr>
                <w:sz w:val="24"/>
              </w:rPr>
            </w:pPr>
            <w:r w:rsidRPr="00BD35DB">
              <w:rPr>
                <w:sz w:val="24"/>
              </w:rPr>
              <w:t>Access Regulation</w:t>
            </w:r>
          </w:p>
        </w:tc>
        <w:tc>
          <w:tcPr>
            <w:tcW w:w="1710" w:type="dxa"/>
            <w:shd w:val="clear" w:color="auto" w:fill="auto"/>
          </w:tcPr>
          <w:p w:rsidRPr="00BD35DB" w:rsidR="00C708E4" w:rsidP="000A64C4" w:rsidRDefault="009F1E2B" w14:paraId="0187A642" w14:textId="77777777">
            <w:pPr>
              <w:widowControl/>
              <w:rPr>
                <w:sz w:val="24"/>
              </w:rPr>
            </w:pPr>
            <w:r w:rsidRPr="00BD35DB">
              <w:rPr>
                <w:sz w:val="24"/>
              </w:rPr>
              <w:t>752,835</w:t>
            </w:r>
          </w:p>
        </w:tc>
      </w:tr>
      <w:tr w:rsidRPr="00BD35DB" w:rsidR="00C708E4" w:rsidTr="000A64C4" w14:paraId="21A40EDC" w14:textId="77777777">
        <w:tc>
          <w:tcPr>
            <w:tcW w:w="2700" w:type="dxa"/>
            <w:shd w:val="clear" w:color="auto" w:fill="auto"/>
          </w:tcPr>
          <w:p w:rsidRPr="00BD35DB" w:rsidR="00C708E4" w:rsidP="000A64C4" w:rsidRDefault="009F1E2B" w14:paraId="0156331A" w14:textId="77777777">
            <w:pPr>
              <w:widowControl/>
              <w:rPr>
                <w:sz w:val="24"/>
              </w:rPr>
            </w:pPr>
            <w:r w:rsidRPr="00BD35DB">
              <w:rPr>
                <w:sz w:val="24"/>
              </w:rPr>
              <w:t>Ionizing Radiation Standard (1218-0103)</w:t>
            </w:r>
          </w:p>
        </w:tc>
        <w:tc>
          <w:tcPr>
            <w:tcW w:w="1710" w:type="dxa"/>
            <w:shd w:val="clear" w:color="auto" w:fill="auto"/>
          </w:tcPr>
          <w:p w:rsidRPr="00BD35DB" w:rsidR="00C708E4" w:rsidP="00C844F4" w:rsidRDefault="009F1E2B" w14:paraId="62F30F6F" w14:textId="77777777">
            <w:pPr>
              <w:widowControl/>
              <w:rPr>
                <w:sz w:val="24"/>
              </w:rPr>
            </w:pPr>
            <w:r w:rsidRPr="00BD35DB">
              <w:rPr>
                <w:sz w:val="24"/>
              </w:rPr>
              <w:t>13,</w:t>
            </w:r>
            <w:r w:rsidR="00C844F4">
              <w:rPr>
                <w:sz w:val="24"/>
              </w:rPr>
              <w:t>849</w:t>
            </w:r>
          </w:p>
        </w:tc>
      </w:tr>
      <w:tr w:rsidRPr="00BD35DB" w:rsidR="00C708E4" w:rsidTr="000A64C4" w14:paraId="04058677" w14:textId="77777777">
        <w:tc>
          <w:tcPr>
            <w:tcW w:w="2700" w:type="dxa"/>
            <w:shd w:val="clear" w:color="auto" w:fill="auto"/>
          </w:tcPr>
          <w:p w:rsidRPr="00BD35DB" w:rsidR="00C708E4" w:rsidP="0025043F" w:rsidRDefault="0025043F" w14:paraId="2DDAE4B1" w14:textId="77777777">
            <w:pPr>
              <w:widowControl/>
              <w:rPr>
                <w:b/>
                <w:sz w:val="24"/>
              </w:rPr>
            </w:pPr>
            <w:r w:rsidRPr="00BD35DB">
              <w:rPr>
                <w:b/>
                <w:sz w:val="24"/>
              </w:rPr>
              <w:t xml:space="preserve">Total </w:t>
            </w:r>
          </w:p>
        </w:tc>
        <w:tc>
          <w:tcPr>
            <w:tcW w:w="1710" w:type="dxa"/>
            <w:shd w:val="clear" w:color="auto" w:fill="auto"/>
          </w:tcPr>
          <w:p w:rsidRPr="00BD35DB" w:rsidR="00C708E4" w:rsidP="00C844F4" w:rsidRDefault="0025043F" w14:paraId="41841AD0" w14:textId="77777777">
            <w:pPr>
              <w:widowControl/>
              <w:rPr>
                <w:sz w:val="24"/>
              </w:rPr>
            </w:pPr>
            <w:r w:rsidRPr="00BD35DB">
              <w:rPr>
                <w:b/>
                <w:sz w:val="24"/>
              </w:rPr>
              <w:t>766,</w:t>
            </w:r>
            <w:r w:rsidR="00C844F4">
              <w:rPr>
                <w:b/>
                <w:sz w:val="24"/>
              </w:rPr>
              <w:t>684</w:t>
            </w:r>
          </w:p>
        </w:tc>
      </w:tr>
    </w:tbl>
    <w:p w:rsidR="00161DB1" w:rsidP="00662738" w:rsidRDefault="00161DB1" w14:paraId="630442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662738" w:rsidP="00662738" w:rsidRDefault="00662738" w14:paraId="35687B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 xml:space="preserve">The following sections summarize the methodology used for estimating the number of burden hours and costs resulting from the </w:t>
      </w:r>
      <w:r w:rsidRPr="00BD35DB" w:rsidR="00156FCC">
        <w:rPr>
          <w:sz w:val="24"/>
        </w:rPr>
        <w:t xml:space="preserve">collections of information </w:t>
      </w:r>
      <w:r w:rsidRPr="00BD35DB">
        <w:rPr>
          <w:sz w:val="24"/>
        </w:rPr>
        <w:t>of the Regulation.  The Regulation applies to employers whether or not other OSHA standards mandate preservation of, and access to, exposure-monitoring and medical-surveillance records.  The Agency accounts for the burden hours and costs associated with the record-preservation and record-access requirements of these other standards in the ICRs for those standards; the exception is the burden hours and costs of the recordkeeping and record-access provisions of the IR Standard, which OSHA includes with this ICR.</w:t>
      </w:r>
    </w:p>
    <w:p w:rsidRPr="00BD35DB" w:rsidR="00662738" w:rsidP="00662738" w:rsidRDefault="00662738" w14:paraId="046101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662738" w:rsidP="00662738" w:rsidRDefault="00662738" w14:paraId="187E53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w:t>
      </w:r>
      <w:r w:rsidRPr="00BD35DB">
        <w:rPr>
          <w:b/>
          <w:bCs/>
          <w:sz w:val="24"/>
        </w:rPr>
        <w:t>A)  Preservation of records (§1910.1020(d))</w:t>
      </w:r>
    </w:p>
    <w:p w:rsidRPr="00BD35DB" w:rsidR="00662738" w:rsidP="00662738" w:rsidRDefault="00662738" w14:paraId="4167AB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662738" w:rsidP="00662738" w:rsidRDefault="00662738" w14:paraId="412D40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 xml:space="preserve">The Regulation requires employers to maintain </w:t>
      </w:r>
      <w:r w:rsidRPr="00BD35DB" w:rsidR="0072553F">
        <w:rPr>
          <w:sz w:val="24"/>
        </w:rPr>
        <w:t>worker</w:t>
      </w:r>
      <w:r w:rsidRPr="00BD35DB">
        <w:rPr>
          <w:sz w:val="24"/>
        </w:rPr>
        <w:t xml:space="preserve"> exposure-monitoring and medical-surveillance records and analyses for at least 30 years.  However, for those </w:t>
      </w:r>
      <w:r w:rsidRPr="00BD35DB" w:rsidR="0072553F">
        <w:rPr>
          <w:sz w:val="24"/>
        </w:rPr>
        <w:t>worker</w:t>
      </w:r>
      <w:r w:rsidRPr="00BD35DB">
        <w:rPr>
          <w:sz w:val="24"/>
        </w:rPr>
        <w:t xml:space="preserve">s who work less than one year for an employer, the employer is not required to retain the medical records if they are provided to the </w:t>
      </w:r>
      <w:r w:rsidRPr="00BD35DB" w:rsidR="0072553F">
        <w:rPr>
          <w:sz w:val="24"/>
        </w:rPr>
        <w:t>worker</w:t>
      </w:r>
      <w:r w:rsidRPr="00BD35DB">
        <w:rPr>
          <w:sz w:val="24"/>
        </w:rPr>
        <w:t xml:space="preserve"> upon termination of employment.  OSHA has no specific data concerning the hours required for these record-preservation activities.  Therefore, OSHA assumes that a </w:t>
      </w:r>
      <w:r w:rsidRPr="00BD35DB" w:rsidR="00CA510A">
        <w:rPr>
          <w:sz w:val="24"/>
        </w:rPr>
        <w:t>clerical employee</w:t>
      </w:r>
      <w:r w:rsidRPr="00BD35DB">
        <w:rPr>
          <w:sz w:val="24"/>
        </w:rPr>
        <w:t xml:space="preserve"> (at a wage rate of </w:t>
      </w:r>
      <w:r w:rsidRPr="00BD35DB" w:rsidR="002E01E2">
        <w:rPr>
          <w:sz w:val="24"/>
        </w:rPr>
        <w:t>$</w:t>
      </w:r>
      <w:r w:rsidRPr="00BD35DB" w:rsidR="00344CA7">
        <w:rPr>
          <w:sz w:val="24"/>
        </w:rPr>
        <w:t>27.33</w:t>
      </w:r>
      <w:r w:rsidRPr="00BD35DB" w:rsidR="005664E3">
        <w:rPr>
          <w:sz w:val="24"/>
        </w:rPr>
        <w:t xml:space="preserve"> </w:t>
      </w:r>
      <w:r w:rsidRPr="00BD35DB">
        <w:rPr>
          <w:sz w:val="24"/>
        </w:rPr>
        <w:t>per hour) spends 10 minutes each year maintaining these records for each employer.  The annual burden</w:t>
      </w:r>
      <w:r w:rsidRPr="00BD35DB" w:rsidR="00077A39">
        <w:rPr>
          <w:sz w:val="24"/>
        </w:rPr>
        <w:t xml:space="preserve"> </w:t>
      </w:r>
      <w:r w:rsidRPr="00BD35DB">
        <w:rPr>
          <w:sz w:val="24"/>
        </w:rPr>
        <w:t>hour and cost estimates for this provision are:</w:t>
      </w:r>
    </w:p>
    <w:p w:rsidRPr="00BD35DB" w:rsidR="00662738" w:rsidP="00662738" w:rsidRDefault="00662738" w14:paraId="000A87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662738" w:rsidP="00662738" w:rsidRDefault="00662738" w14:paraId="2EF931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BD35DB">
        <w:rPr>
          <w:b/>
          <w:bCs/>
          <w:sz w:val="24"/>
        </w:rPr>
        <w:t>Burden hours</w:t>
      </w:r>
      <w:r w:rsidRPr="00BD35DB">
        <w:rPr>
          <w:sz w:val="24"/>
        </w:rPr>
        <w:t xml:space="preserve">:  </w:t>
      </w:r>
      <w:r w:rsidRPr="00BD35DB" w:rsidR="00344CA7">
        <w:rPr>
          <w:sz w:val="24"/>
        </w:rPr>
        <w:t>766,</w:t>
      </w:r>
      <w:r w:rsidR="00A276CA">
        <w:rPr>
          <w:sz w:val="24"/>
        </w:rPr>
        <w:t>6</w:t>
      </w:r>
      <w:r w:rsidRPr="00BD35DB" w:rsidR="00344CA7">
        <w:rPr>
          <w:sz w:val="24"/>
        </w:rPr>
        <w:t>8</w:t>
      </w:r>
      <w:r w:rsidR="00C844F4">
        <w:rPr>
          <w:sz w:val="24"/>
        </w:rPr>
        <w:t>4</w:t>
      </w:r>
      <w:r w:rsidRPr="00BD35DB" w:rsidR="00344CA7">
        <w:rPr>
          <w:sz w:val="24"/>
        </w:rPr>
        <w:t xml:space="preserve"> </w:t>
      </w:r>
      <w:r w:rsidRPr="00BD35DB">
        <w:rPr>
          <w:sz w:val="24"/>
        </w:rPr>
        <w:t xml:space="preserve">employers x </w:t>
      </w:r>
      <w:r w:rsidRPr="00BD35DB" w:rsidR="00654675">
        <w:rPr>
          <w:sz w:val="24"/>
        </w:rPr>
        <w:t>10/60</w:t>
      </w:r>
      <w:r w:rsidRPr="00BD35DB">
        <w:rPr>
          <w:sz w:val="24"/>
        </w:rPr>
        <w:t xml:space="preserve"> hour = </w:t>
      </w:r>
      <w:r w:rsidRPr="00BD35DB" w:rsidR="00344CA7">
        <w:rPr>
          <w:sz w:val="24"/>
        </w:rPr>
        <w:t>127,7</w:t>
      </w:r>
      <w:r w:rsidR="00A276CA">
        <w:rPr>
          <w:sz w:val="24"/>
        </w:rPr>
        <w:t>81</w:t>
      </w:r>
      <w:r w:rsidRPr="00BD35DB" w:rsidR="00344CA7">
        <w:rPr>
          <w:sz w:val="24"/>
        </w:rPr>
        <w:t xml:space="preserve"> </w:t>
      </w:r>
      <w:r w:rsidRPr="00BD35DB">
        <w:rPr>
          <w:sz w:val="24"/>
        </w:rPr>
        <w:t>hours</w:t>
      </w:r>
    </w:p>
    <w:p w:rsidRPr="00BD35DB" w:rsidR="00662738" w:rsidP="00662738" w:rsidRDefault="00662738" w14:paraId="28EF55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4"/>
        </w:rPr>
      </w:pPr>
      <w:r w:rsidRPr="00BD35DB">
        <w:rPr>
          <w:sz w:val="24"/>
        </w:rPr>
        <w:t xml:space="preserve">    </w:t>
      </w:r>
      <w:r w:rsidRPr="00BD35DB">
        <w:rPr>
          <w:b/>
          <w:bCs/>
          <w:sz w:val="24"/>
        </w:rPr>
        <w:t>Cost</w:t>
      </w:r>
      <w:r w:rsidRPr="00BD35DB">
        <w:rPr>
          <w:sz w:val="24"/>
        </w:rPr>
        <w:t xml:space="preserve">:  </w:t>
      </w:r>
      <w:r w:rsidRPr="00BD35DB" w:rsidR="00344CA7">
        <w:rPr>
          <w:sz w:val="24"/>
        </w:rPr>
        <w:t>127,7</w:t>
      </w:r>
      <w:r w:rsidR="00A276CA">
        <w:rPr>
          <w:sz w:val="24"/>
        </w:rPr>
        <w:t>81</w:t>
      </w:r>
      <w:r w:rsidRPr="00BD35DB" w:rsidR="00344CA7">
        <w:rPr>
          <w:sz w:val="24"/>
        </w:rPr>
        <w:t xml:space="preserve"> </w:t>
      </w:r>
      <w:r w:rsidRPr="00BD35DB">
        <w:rPr>
          <w:sz w:val="24"/>
        </w:rPr>
        <w:t>hours x $</w:t>
      </w:r>
      <w:r w:rsidRPr="00BD35DB" w:rsidR="00344CA7">
        <w:rPr>
          <w:sz w:val="24"/>
        </w:rPr>
        <w:t>27.33</w:t>
      </w:r>
      <w:r w:rsidRPr="00BD35DB">
        <w:rPr>
          <w:sz w:val="24"/>
        </w:rPr>
        <w:t xml:space="preserve"> = $</w:t>
      </w:r>
      <w:r w:rsidRPr="00BD35DB" w:rsidR="00344CA7">
        <w:rPr>
          <w:sz w:val="24"/>
        </w:rPr>
        <w:t>3,492,</w:t>
      </w:r>
      <w:r w:rsidR="00AF12CB">
        <w:rPr>
          <w:sz w:val="24"/>
        </w:rPr>
        <w:t>255</w:t>
      </w:r>
    </w:p>
    <w:p w:rsidRPr="00BD35DB" w:rsidR="00662738" w:rsidP="00662738" w:rsidRDefault="00662738" w14:paraId="00B0F8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BD35DB" w:rsidR="00662738" w:rsidP="00662738" w:rsidRDefault="00662738" w14:paraId="204B8B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b/>
          <w:bCs/>
          <w:sz w:val="24"/>
        </w:rPr>
        <w:t>(B)  Access to records (§1910.1020(e))</w:t>
      </w:r>
    </w:p>
    <w:p w:rsidRPr="00BD35DB" w:rsidR="00662738" w:rsidP="00662738" w:rsidRDefault="00662738" w14:paraId="0D326A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662738" w:rsidP="00662738" w:rsidRDefault="00FA328C" w14:paraId="62397C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(B)(1)</w:t>
      </w:r>
      <w:r w:rsidRPr="00BD35DB">
        <w:rPr>
          <w:sz w:val="24"/>
          <w:u w:val="single"/>
        </w:rPr>
        <w:t xml:space="preserve"> </w:t>
      </w:r>
      <w:r w:rsidRPr="00BD35DB" w:rsidR="00662738">
        <w:rPr>
          <w:sz w:val="24"/>
          <w:u w:val="single"/>
        </w:rPr>
        <w:t>Access by employees and their designated representatives</w:t>
      </w:r>
    </w:p>
    <w:p w:rsidRPr="00BD35DB" w:rsidR="00662738" w:rsidP="00662738" w:rsidRDefault="00662738" w14:paraId="5276B4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662738" w:rsidP="00662738" w:rsidRDefault="00662738" w14:paraId="2EF6C4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 xml:space="preserve">Paragraph (e) requires that employers provide </w:t>
      </w:r>
      <w:r w:rsidRPr="00BD35DB" w:rsidR="0072553F">
        <w:rPr>
          <w:sz w:val="24"/>
        </w:rPr>
        <w:t>worker</w:t>
      </w:r>
      <w:r w:rsidRPr="00BD35DB">
        <w:rPr>
          <w:sz w:val="24"/>
        </w:rPr>
        <w:t xml:space="preserve">s and their designated representatives, on request, with access to </w:t>
      </w:r>
      <w:r w:rsidRPr="00BD35DB" w:rsidR="0072553F">
        <w:rPr>
          <w:sz w:val="24"/>
        </w:rPr>
        <w:t>worker</w:t>
      </w:r>
      <w:r w:rsidRPr="00BD35DB">
        <w:rPr>
          <w:sz w:val="24"/>
        </w:rPr>
        <w:t xml:space="preserve"> exposure-monitoring and medical-surveillance records, as well as any analyses of these records.  If an employer cannot provide </w:t>
      </w:r>
      <w:r w:rsidRPr="00BD35DB" w:rsidR="0072553F">
        <w:rPr>
          <w:sz w:val="24"/>
        </w:rPr>
        <w:t>worker</w:t>
      </w:r>
      <w:r w:rsidRPr="00BD35DB">
        <w:rPr>
          <w:sz w:val="24"/>
        </w:rPr>
        <w:t>s or their designated representatives</w:t>
      </w:r>
      <w:r w:rsidRPr="00BD35DB" w:rsidR="00077A39">
        <w:rPr>
          <w:sz w:val="24"/>
        </w:rPr>
        <w:t>’</w:t>
      </w:r>
      <w:r w:rsidRPr="00BD35DB">
        <w:rPr>
          <w:sz w:val="24"/>
        </w:rPr>
        <w:t xml:space="preserve"> access to records within 15 days, the employer must provide the reasons for the delay to </w:t>
      </w:r>
      <w:r w:rsidRPr="00BD35DB" w:rsidR="0072553F">
        <w:rPr>
          <w:sz w:val="24"/>
        </w:rPr>
        <w:t>worker</w:t>
      </w:r>
      <w:r w:rsidRPr="00BD35DB">
        <w:rPr>
          <w:sz w:val="24"/>
        </w:rPr>
        <w:t xml:space="preserve">s, or their designated </w:t>
      </w:r>
      <w:r w:rsidRPr="00BD35DB">
        <w:rPr>
          <w:sz w:val="24"/>
        </w:rPr>
        <w:lastRenderedPageBreak/>
        <w:t xml:space="preserve">representatives.  Also, employers may need to remove </w:t>
      </w:r>
      <w:r w:rsidRPr="00BD35DB" w:rsidR="0072553F">
        <w:rPr>
          <w:sz w:val="24"/>
        </w:rPr>
        <w:t>worker</w:t>
      </w:r>
      <w:r w:rsidRPr="00BD35DB">
        <w:rPr>
          <w:sz w:val="24"/>
        </w:rPr>
        <w:t xml:space="preserve"> identifiers from analytical medical records.  Finally, under certain circumstances, employers may inform </w:t>
      </w:r>
      <w:r w:rsidRPr="00BD35DB" w:rsidR="0072553F">
        <w:rPr>
          <w:sz w:val="24"/>
        </w:rPr>
        <w:t>worker</w:t>
      </w:r>
      <w:r w:rsidRPr="00BD35DB">
        <w:rPr>
          <w:sz w:val="24"/>
        </w:rPr>
        <w:t xml:space="preserve">s that access will only be provided to a designated representative of the </w:t>
      </w:r>
      <w:r w:rsidRPr="00BD35DB" w:rsidR="0072553F">
        <w:rPr>
          <w:sz w:val="24"/>
        </w:rPr>
        <w:t>worker</w:t>
      </w:r>
      <w:r w:rsidRPr="00BD35DB">
        <w:rPr>
          <w:sz w:val="24"/>
        </w:rPr>
        <w:t xml:space="preserve"> having specific written consent.  </w:t>
      </w:r>
    </w:p>
    <w:p w:rsidRPr="00BD35DB" w:rsidR="00662738" w:rsidP="00662738" w:rsidRDefault="00662738" w14:paraId="4BE018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662738" w:rsidP="00662738" w:rsidRDefault="00662738" w14:paraId="6F25B6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 xml:space="preserve">OSHA has no data on the number of access requests made by </w:t>
      </w:r>
      <w:r w:rsidRPr="00BD35DB" w:rsidR="0072553F">
        <w:rPr>
          <w:sz w:val="24"/>
        </w:rPr>
        <w:t>worker</w:t>
      </w:r>
      <w:r w:rsidRPr="00BD35DB">
        <w:rPr>
          <w:sz w:val="24"/>
        </w:rPr>
        <w:t>s and their designated representatives and, therefore, assumes that each employer will receive two such requests each year, and that a manager takes 5 minutes to appropriately respond to the request, including retrieving and, if necessary, cop</w:t>
      </w:r>
      <w:r w:rsidRPr="00BD35DB" w:rsidR="0034540F">
        <w:rPr>
          <w:sz w:val="24"/>
        </w:rPr>
        <w:t>y</w:t>
      </w:r>
      <w:r w:rsidRPr="00BD35DB">
        <w:rPr>
          <w:sz w:val="24"/>
        </w:rPr>
        <w:t>ing the records.  The annual burden</w:t>
      </w:r>
      <w:r w:rsidRPr="00BD35DB" w:rsidR="00077A39">
        <w:rPr>
          <w:sz w:val="24"/>
        </w:rPr>
        <w:t xml:space="preserve"> </w:t>
      </w:r>
      <w:r w:rsidRPr="00BD35DB">
        <w:rPr>
          <w:sz w:val="24"/>
        </w:rPr>
        <w:t>hour and cost estimates for this paragraph are:</w:t>
      </w:r>
    </w:p>
    <w:p w:rsidRPr="00BD35DB" w:rsidR="00662738" w:rsidP="00662738" w:rsidRDefault="00662738" w14:paraId="14E9DB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sz w:val="24"/>
        </w:rPr>
      </w:pPr>
    </w:p>
    <w:p w:rsidRPr="00BD35DB" w:rsidR="00662738" w:rsidP="00662738" w:rsidRDefault="00662738" w14:paraId="6A8F1F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BD35DB">
        <w:rPr>
          <w:b/>
          <w:bCs/>
          <w:sz w:val="24"/>
        </w:rPr>
        <w:t>Burden hours</w:t>
      </w:r>
      <w:r w:rsidRPr="00BD35DB">
        <w:rPr>
          <w:sz w:val="24"/>
        </w:rPr>
        <w:t xml:space="preserve">:  </w:t>
      </w:r>
      <w:r w:rsidRPr="00BD35DB" w:rsidR="00344CA7">
        <w:rPr>
          <w:sz w:val="24"/>
        </w:rPr>
        <w:t>766,</w:t>
      </w:r>
      <w:r w:rsidR="00A276CA">
        <w:rPr>
          <w:sz w:val="24"/>
        </w:rPr>
        <w:t>6</w:t>
      </w:r>
      <w:r w:rsidRPr="00BD35DB" w:rsidR="00344CA7">
        <w:rPr>
          <w:sz w:val="24"/>
        </w:rPr>
        <w:t>8</w:t>
      </w:r>
      <w:r w:rsidR="00C844F4">
        <w:rPr>
          <w:sz w:val="24"/>
        </w:rPr>
        <w:t>4</w:t>
      </w:r>
      <w:r w:rsidRPr="00BD35DB" w:rsidR="00344CA7">
        <w:rPr>
          <w:sz w:val="24"/>
        </w:rPr>
        <w:t xml:space="preserve"> </w:t>
      </w:r>
      <w:r w:rsidRPr="00BD35DB" w:rsidR="0034540F">
        <w:rPr>
          <w:sz w:val="24"/>
        </w:rPr>
        <w:t xml:space="preserve">employers x 2 requests x </w:t>
      </w:r>
      <w:r w:rsidRPr="00BD35DB" w:rsidR="00056B40">
        <w:rPr>
          <w:sz w:val="24"/>
        </w:rPr>
        <w:t>5/60</w:t>
      </w:r>
      <w:r w:rsidRPr="00BD35DB">
        <w:rPr>
          <w:sz w:val="24"/>
        </w:rPr>
        <w:t xml:space="preserve"> hour =</w:t>
      </w:r>
      <w:r w:rsidRPr="00BD35DB" w:rsidR="00472AAB">
        <w:rPr>
          <w:sz w:val="24"/>
        </w:rPr>
        <w:t xml:space="preserve"> </w:t>
      </w:r>
      <w:r w:rsidRPr="00BD35DB" w:rsidR="00344CA7">
        <w:rPr>
          <w:sz w:val="24"/>
        </w:rPr>
        <w:t>127,7</w:t>
      </w:r>
      <w:r w:rsidR="00AF12CB">
        <w:rPr>
          <w:sz w:val="24"/>
        </w:rPr>
        <w:t>81</w:t>
      </w:r>
      <w:r w:rsidRPr="00BD35DB" w:rsidR="00344CA7">
        <w:rPr>
          <w:sz w:val="24"/>
        </w:rPr>
        <w:t xml:space="preserve"> </w:t>
      </w:r>
      <w:r w:rsidRPr="00BD35DB">
        <w:rPr>
          <w:sz w:val="24"/>
        </w:rPr>
        <w:t>hours</w:t>
      </w:r>
    </w:p>
    <w:p w:rsidRPr="00BD35DB" w:rsidR="00662738" w:rsidP="00662738" w:rsidRDefault="00662738" w14:paraId="0FBCD9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4"/>
        </w:rPr>
      </w:pPr>
      <w:r w:rsidRPr="00BD35DB">
        <w:rPr>
          <w:sz w:val="24"/>
        </w:rPr>
        <w:t xml:space="preserve">    </w:t>
      </w:r>
      <w:r w:rsidRPr="00BD35DB">
        <w:rPr>
          <w:b/>
          <w:bCs/>
          <w:sz w:val="24"/>
        </w:rPr>
        <w:t>Cost</w:t>
      </w:r>
      <w:r w:rsidRPr="00BD35DB">
        <w:rPr>
          <w:sz w:val="24"/>
        </w:rPr>
        <w:t xml:space="preserve">:  </w:t>
      </w:r>
      <w:r w:rsidRPr="00BD35DB" w:rsidR="00344CA7">
        <w:rPr>
          <w:sz w:val="24"/>
        </w:rPr>
        <w:t>127,7</w:t>
      </w:r>
      <w:r w:rsidR="00AF12CB">
        <w:rPr>
          <w:sz w:val="24"/>
        </w:rPr>
        <w:t>81</w:t>
      </w:r>
      <w:r w:rsidRPr="00BD35DB" w:rsidR="00344CA7">
        <w:rPr>
          <w:sz w:val="24"/>
        </w:rPr>
        <w:t xml:space="preserve"> </w:t>
      </w:r>
      <w:r w:rsidRPr="00BD35DB">
        <w:rPr>
          <w:sz w:val="24"/>
        </w:rPr>
        <w:t>hours x $</w:t>
      </w:r>
      <w:r w:rsidRPr="00BD35DB" w:rsidR="00344CA7">
        <w:rPr>
          <w:sz w:val="24"/>
        </w:rPr>
        <w:t>86.82</w:t>
      </w:r>
      <w:r w:rsidRPr="00BD35DB">
        <w:rPr>
          <w:sz w:val="24"/>
        </w:rPr>
        <w:t xml:space="preserve"> = $</w:t>
      </w:r>
      <w:r w:rsidRPr="00BD35DB" w:rsidR="00344CA7">
        <w:rPr>
          <w:sz w:val="24"/>
        </w:rPr>
        <w:t>11,09</w:t>
      </w:r>
      <w:r w:rsidR="00AF12CB">
        <w:rPr>
          <w:sz w:val="24"/>
        </w:rPr>
        <w:t>3,946</w:t>
      </w:r>
      <w:r w:rsidRPr="00BD35DB" w:rsidR="00EB1116">
        <w:rPr>
          <w:sz w:val="24"/>
        </w:rPr>
        <w:t xml:space="preserve"> </w:t>
      </w:r>
    </w:p>
    <w:p w:rsidRPr="00BD35DB" w:rsidR="00E7337A" w:rsidP="00662738" w:rsidRDefault="00654675" w14:paraId="5B001C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D35DB">
        <w:rPr>
          <w:bCs/>
          <w:sz w:val="24"/>
          <w:u w:val="single"/>
        </w:rPr>
        <w:br/>
      </w:r>
      <w:r w:rsidRPr="00BD35DB" w:rsidR="00FA328C">
        <w:rPr>
          <w:b/>
          <w:bCs/>
          <w:sz w:val="24"/>
        </w:rPr>
        <w:t>(B</w:t>
      </w:r>
      <w:r w:rsidRPr="00BD35DB">
        <w:rPr>
          <w:b/>
          <w:bCs/>
          <w:sz w:val="24"/>
        </w:rPr>
        <w:t>)</w:t>
      </w:r>
      <w:r w:rsidRPr="00BD35DB" w:rsidR="00FA328C">
        <w:rPr>
          <w:b/>
          <w:bCs/>
          <w:sz w:val="24"/>
        </w:rPr>
        <w:t>(2)</w:t>
      </w:r>
      <w:r w:rsidRPr="00BD35DB">
        <w:rPr>
          <w:b/>
          <w:bCs/>
          <w:sz w:val="24"/>
        </w:rPr>
        <w:t xml:space="preserve"> </w:t>
      </w:r>
      <w:r w:rsidRPr="00BD35DB" w:rsidR="00E7337A">
        <w:rPr>
          <w:b/>
          <w:bCs/>
          <w:sz w:val="24"/>
        </w:rPr>
        <w:t xml:space="preserve">Written Authorization </w:t>
      </w:r>
    </w:p>
    <w:p w:rsidRPr="00BD35DB" w:rsidR="00E7337A" w:rsidP="00662738" w:rsidRDefault="00E7337A" w14:paraId="2E5DD2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Pr="00BD35DB" w:rsidR="00382906" w:rsidP="00662738" w:rsidRDefault="00F07BF3" w14:paraId="607151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BD35DB">
        <w:rPr>
          <w:bCs/>
          <w:sz w:val="24"/>
        </w:rPr>
        <w:t>Appendix A</w:t>
      </w:r>
      <w:r w:rsidRPr="00BD35DB" w:rsidR="00ED2615">
        <w:rPr>
          <w:bCs/>
          <w:sz w:val="24"/>
        </w:rPr>
        <w:t>, “Sample Authorization Letter for the Release of Employee Medical Record Information to a Designated Representative (Non-Mandatory)”</w:t>
      </w:r>
      <w:r w:rsidRPr="00BD35DB">
        <w:rPr>
          <w:bCs/>
          <w:sz w:val="24"/>
        </w:rPr>
        <w:t xml:space="preserve"> of the</w:t>
      </w:r>
      <w:r w:rsidRPr="00BD35DB" w:rsidR="00ED2615">
        <w:rPr>
          <w:bCs/>
          <w:sz w:val="24"/>
        </w:rPr>
        <w:t xml:space="preserve"> standard contains a sample letter</w:t>
      </w:r>
      <w:r w:rsidRPr="00BD35DB">
        <w:rPr>
          <w:bCs/>
          <w:sz w:val="24"/>
        </w:rPr>
        <w:t xml:space="preserve"> which may be used by workers to establish specific written consent for access to employee medical records.  </w:t>
      </w:r>
      <w:r w:rsidRPr="00BD35DB" w:rsidR="00382906">
        <w:rPr>
          <w:bCs/>
          <w:sz w:val="24"/>
        </w:rPr>
        <w:t>OSHA has no data on the number of workers</w:t>
      </w:r>
      <w:r w:rsidRPr="00BD35DB" w:rsidR="00483A6E">
        <w:rPr>
          <w:bCs/>
          <w:sz w:val="24"/>
        </w:rPr>
        <w:t xml:space="preserve"> who would provide written consent for this purpose</w:t>
      </w:r>
      <w:r w:rsidRPr="00BD35DB" w:rsidR="00382906">
        <w:rPr>
          <w:bCs/>
          <w:sz w:val="24"/>
        </w:rPr>
        <w:t xml:space="preserve">.  Therefore, the Agency assumes that 1% of access requests </w:t>
      </w:r>
      <w:r w:rsidRPr="00BD35DB" w:rsidR="00483A6E">
        <w:rPr>
          <w:bCs/>
          <w:sz w:val="24"/>
        </w:rPr>
        <w:t xml:space="preserve">(calculated in the equation above) </w:t>
      </w:r>
      <w:r w:rsidRPr="00BD35DB">
        <w:rPr>
          <w:bCs/>
          <w:sz w:val="24"/>
        </w:rPr>
        <w:t xml:space="preserve">would involve written </w:t>
      </w:r>
      <w:r w:rsidRPr="00BD35DB" w:rsidR="00483A6E">
        <w:rPr>
          <w:bCs/>
          <w:sz w:val="24"/>
        </w:rPr>
        <w:t>authorization consent documentation</w:t>
      </w:r>
      <w:r w:rsidRPr="00BD35DB">
        <w:rPr>
          <w:bCs/>
          <w:sz w:val="24"/>
        </w:rPr>
        <w:t xml:space="preserve">. </w:t>
      </w:r>
    </w:p>
    <w:p w:rsidRPr="00BD35DB" w:rsidR="00F07BF3" w:rsidP="00662738" w:rsidRDefault="00F07BF3" w14:paraId="7643C9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Pr="00BD35DB" w:rsidR="00F07BF3" w:rsidP="00F07BF3" w:rsidRDefault="00F07BF3" w14:paraId="219A9A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BD35DB">
        <w:rPr>
          <w:b/>
          <w:bCs/>
          <w:sz w:val="24"/>
        </w:rPr>
        <w:t>Burden hours</w:t>
      </w:r>
      <w:r w:rsidRPr="00BD35DB">
        <w:rPr>
          <w:sz w:val="24"/>
        </w:rPr>
        <w:t>:  (</w:t>
      </w:r>
      <w:r w:rsidRPr="00BD35DB" w:rsidR="00344CA7">
        <w:rPr>
          <w:sz w:val="24"/>
        </w:rPr>
        <w:t>766,78</w:t>
      </w:r>
      <w:r w:rsidR="00C844F4">
        <w:rPr>
          <w:sz w:val="24"/>
        </w:rPr>
        <w:t>4</w:t>
      </w:r>
      <w:r w:rsidRPr="00BD35DB">
        <w:rPr>
          <w:sz w:val="24"/>
        </w:rPr>
        <w:t xml:space="preserve"> employers x 1%</w:t>
      </w:r>
      <w:r w:rsidRPr="00BD35DB" w:rsidR="00A413BC">
        <w:rPr>
          <w:sz w:val="24"/>
        </w:rPr>
        <w:t>) x 2 requests</w:t>
      </w:r>
      <w:r w:rsidRPr="00BD35DB">
        <w:rPr>
          <w:sz w:val="24"/>
        </w:rPr>
        <w:t xml:space="preserve"> x </w:t>
      </w:r>
      <w:r w:rsidRPr="00BD35DB" w:rsidR="00056B40">
        <w:rPr>
          <w:sz w:val="24"/>
        </w:rPr>
        <w:t>5/60</w:t>
      </w:r>
      <w:r w:rsidRPr="00BD35DB">
        <w:rPr>
          <w:sz w:val="24"/>
        </w:rPr>
        <w:t xml:space="preserve"> hour = </w:t>
      </w:r>
      <w:r w:rsidRPr="00BD35DB" w:rsidR="00483A6E">
        <w:rPr>
          <w:sz w:val="24"/>
        </w:rPr>
        <w:t>1,</w:t>
      </w:r>
      <w:r w:rsidRPr="00BD35DB" w:rsidR="00A413BC">
        <w:rPr>
          <w:sz w:val="24"/>
        </w:rPr>
        <w:t>278</w:t>
      </w:r>
      <w:r w:rsidRPr="00BD35DB" w:rsidR="00483A6E">
        <w:rPr>
          <w:sz w:val="24"/>
        </w:rPr>
        <w:t xml:space="preserve"> </w:t>
      </w:r>
      <w:r w:rsidRPr="00BD35DB">
        <w:rPr>
          <w:sz w:val="24"/>
        </w:rPr>
        <w:t>hours</w:t>
      </w:r>
    </w:p>
    <w:p w:rsidRPr="00BD35DB" w:rsidR="00F07BF3" w:rsidP="00F07BF3" w:rsidRDefault="00F07BF3" w14:paraId="433638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4"/>
        </w:rPr>
      </w:pPr>
      <w:r w:rsidRPr="00BD35DB">
        <w:rPr>
          <w:sz w:val="24"/>
        </w:rPr>
        <w:t xml:space="preserve">    </w:t>
      </w:r>
      <w:r w:rsidRPr="00BD35DB">
        <w:rPr>
          <w:b/>
          <w:bCs/>
          <w:sz w:val="24"/>
        </w:rPr>
        <w:t>Cost</w:t>
      </w:r>
      <w:r w:rsidRPr="00BD35DB">
        <w:rPr>
          <w:sz w:val="24"/>
        </w:rPr>
        <w:t xml:space="preserve">:  </w:t>
      </w:r>
      <w:r w:rsidRPr="00BD35DB" w:rsidR="00483A6E">
        <w:rPr>
          <w:sz w:val="24"/>
        </w:rPr>
        <w:t>1,</w:t>
      </w:r>
      <w:r w:rsidRPr="00BD35DB" w:rsidR="00A413BC">
        <w:rPr>
          <w:sz w:val="24"/>
        </w:rPr>
        <w:t xml:space="preserve">278 </w:t>
      </w:r>
      <w:r w:rsidRPr="00BD35DB">
        <w:rPr>
          <w:sz w:val="24"/>
        </w:rPr>
        <w:t>hours x $</w:t>
      </w:r>
      <w:r w:rsidRPr="00BD35DB" w:rsidR="00344CA7">
        <w:rPr>
          <w:sz w:val="24"/>
        </w:rPr>
        <w:t>86.82</w:t>
      </w:r>
      <w:r w:rsidRPr="00BD35DB">
        <w:rPr>
          <w:sz w:val="24"/>
        </w:rPr>
        <w:t xml:space="preserve"> = $</w:t>
      </w:r>
      <w:r w:rsidRPr="00BD35DB" w:rsidR="00A413BC">
        <w:rPr>
          <w:sz w:val="24"/>
        </w:rPr>
        <w:t>110,956</w:t>
      </w:r>
    </w:p>
    <w:p w:rsidRPr="00BD35DB" w:rsidR="00F07BF3" w:rsidP="00662738" w:rsidRDefault="00F07BF3" w14:paraId="1224A4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Pr="00BD35DB" w:rsidR="00662738" w:rsidP="00662738" w:rsidRDefault="00662738" w14:paraId="22BC72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b/>
          <w:bCs/>
          <w:sz w:val="24"/>
        </w:rPr>
        <w:t>(C)  Trade secrets (§1910.1020(f)</w:t>
      </w:r>
      <w:r w:rsidRPr="00BD35DB">
        <w:rPr>
          <w:b/>
          <w:sz w:val="24"/>
        </w:rPr>
        <w:t>)</w:t>
      </w:r>
    </w:p>
    <w:p w:rsidRPr="00BD35DB" w:rsidR="00662738" w:rsidP="00662738" w:rsidRDefault="00662738" w14:paraId="327E8C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662738" w:rsidP="00662738" w:rsidRDefault="00662738" w14:paraId="3BCEA6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Paragraph (f) contains several collection</w:t>
      </w:r>
      <w:r w:rsidRPr="00BD35DB" w:rsidR="00156FCC">
        <w:rPr>
          <w:sz w:val="24"/>
        </w:rPr>
        <w:t>s</w:t>
      </w:r>
      <w:r w:rsidRPr="00BD35DB">
        <w:rPr>
          <w:sz w:val="24"/>
        </w:rPr>
        <w:t xml:space="preserve"> of information addressing when employers must modify, or withhold</w:t>
      </w:r>
      <w:r w:rsidRPr="00BD35DB" w:rsidR="00077A39">
        <w:rPr>
          <w:sz w:val="24"/>
        </w:rPr>
        <w:t>,</w:t>
      </w:r>
      <w:r w:rsidRPr="00BD35DB">
        <w:rPr>
          <w:sz w:val="24"/>
        </w:rPr>
        <w:t xml:space="preserve"> information regarding trade-secret information (including the specific chemical identity).  Such collection</w:t>
      </w:r>
      <w:r w:rsidRPr="00BD35DB" w:rsidR="00156FCC">
        <w:rPr>
          <w:sz w:val="24"/>
        </w:rPr>
        <w:t>s</w:t>
      </w:r>
      <w:r w:rsidRPr="00BD35DB">
        <w:rPr>
          <w:sz w:val="24"/>
        </w:rPr>
        <w:t xml:space="preserve"> of information include:  providing alternative information to </w:t>
      </w:r>
      <w:r w:rsidRPr="00BD35DB" w:rsidR="0072553F">
        <w:rPr>
          <w:sz w:val="24"/>
        </w:rPr>
        <w:t>worker</w:t>
      </w:r>
      <w:r w:rsidRPr="00BD35DB">
        <w:rPr>
          <w:sz w:val="24"/>
        </w:rPr>
        <w:t xml:space="preserve">s or the designated representative when trade-secret information is not provided; an explanation of why trade-secret information or specific information is being withheld; information denying a written request for disclosure; written confidentiality agreements between employers and/or health professionals, </w:t>
      </w:r>
      <w:r w:rsidRPr="00BD35DB" w:rsidR="0072553F">
        <w:rPr>
          <w:sz w:val="24"/>
        </w:rPr>
        <w:t>worker</w:t>
      </w:r>
      <w:r w:rsidRPr="00BD35DB">
        <w:rPr>
          <w:sz w:val="24"/>
        </w:rPr>
        <w:t>s, or designated representatives; and disclosing the information to OSHA.</w:t>
      </w:r>
    </w:p>
    <w:p w:rsidRPr="00BD35DB" w:rsidR="00662738" w:rsidP="00662738" w:rsidRDefault="00662738" w14:paraId="01D6AB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662738" w:rsidP="00662738" w:rsidRDefault="00662738" w14:paraId="2379A6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lastRenderedPageBreak/>
        <w:t xml:space="preserve">OSHA assumes that 10% of employers must respond to a trade-secret request, and estimates that a manager (at a wage rate of </w:t>
      </w:r>
      <w:r w:rsidRPr="00BD35DB" w:rsidR="007B0BBB">
        <w:rPr>
          <w:sz w:val="24"/>
        </w:rPr>
        <w:t>$</w:t>
      </w:r>
      <w:r w:rsidRPr="00BD35DB" w:rsidR="00344CA7">
        <w:rPr>
          <w:sz w:val="24"/>
        </w:rPr>
        <w:t>86.82</w:t>
      </w:r>
      <w:r w:rsidRPr="00BD35DB">
        <w:rPr>
          <w:sz w:val="24"/>
        </w:rPr>
        <w:t xml:space="preserve"> per hour) requires one hour to prepare the necessary documentation, depending upon the circumstances involved in developing or disclosing the trade-secret information.  The annual burden</w:t>
      </w:r>
      <w:r w:rsidRPr="00BD35DB" w:rsidR="00077A39">
        <w:rPr>
          <w:sz w:val="24"/>
        </w:rPr>
        <w:t xml:space="preserve"> </w:t>
      </w:r>
      <w:r w:rsidRPr="00BD35DB">
        <w:rPr>
          <w:sz w:val="24"/>
        </w:rPr>
        <w:t>hour and cost estimates for this provision are:</w:t>
      </w:r>
    </w:p>
    <w:p w:rsidRPr="00BD35DB" w:rsidR="00662738" w:rsidP="00662738" w:rsidRDefault="00662738" w14:paraId="0CF50C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662738" w:rsidP="00662738" w:rsidRDefault="00662738" w14:paraId="2FDD90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BD35DB">
        <w:rPr>
          <w:b/>
          <w:bCs/>
          <w:sz w:val="24"/>
        </w:rPr>
        <w:t>Burden hours</w:t>
      </w:r>
      <w:r w:rsidRPr="00BD35DB">
        <w:rPr>
          <w:sz w:val="24"/>
        </w:rPr>
        <w:t xml:space="preserve">:  </w:t>
      </w:r>
      <w:r w:rsidRPr="00BD35DB" w:rsidR="00A413BC">
        <w:rPr>
          <w:sz w:val="24"/>
        </w:rPr>
        <w:t>(</w:t>
      </w:r>
      <w:r w:rsidRPr="00BD35DB" w:rsidR="00344CA7">
        <w:rPr>
          <w:sz w:val="24"/>
        </w:rPr>
        <w:t>766,</w:t>
      </w:r>
      <w:r w:rsidR="00A276CA">
        <w:rPr>
          <w:sz w:val="24"/>
        </w:rPr>
        <w:t>6</w:t>
      </w:r>
      <w:r w:rsidRPr="00BD35DB" w:rsidR="00344CA7">
        <w:rPr>
          <w:sz w:val="24"/>
        </w:rPr>
        <w:t>8</w:t>
      </w:r>
      <w:r w:rsidR="00C844F4">
        <w:rPr>
          <w:sz w:val="24"/>
        </w:rPr>
        <w:t>4</w:t>
      </w:r>
      <w:r w:rsidRPr="00BD35DB" w:rsidR="00472AAB">
        <w:rPr>
          <w:sz w:val="24"/>
        </w:rPr>
        <w:t xml:space="preserve"> </w:t>
      </w:r>
      <w:r w:rsidRPr="00BD35DB">
        <w:rPr>
          <w:sz w:val="24"/>
        </w:rPr>
        <w:t>employers x 10%</w:t>
      </w:r>
      <w:r w:rsidRPr="00BD35DB" w:rsidR="00A413BC">
        <w:rPr>
          <w:sz w:val="24"/>
        </w:rPr>
        <w:t>)</w:t>
      </w:r>
      <w:r w:rsidRPr="00BD35DB">
        <w:rPr>
          <w:sz w:val="24"/>
        </w:rPr>
        <w:t xml:space="preserve"> x 1 hour = </w:t>
      </w:r>
      <w:r w:rsidRPr="00BD35DB" w:rsidR="00A413BC">
        <w:rPr>
          <w:sz w:val="24"/>
        </w:rPr>
        <w:t>76,6</w:t>
      </w:r>
      <w:r w:rsidR="00AF12CB">
        <w:rPr>
          <w:sz w:val="24"/>
        </w:rPr>
        <w:t>6</w:t>
      </w:r>
      <w:r w:rsidRPr="00BD35DB" w:rsidR="00A413BC">
        <w:rPr>
          <w:sz w:val="24"/>
        </w:rPr>
        <w:t xml:space="preserve">8 </w:t>
      </w:r>
      <w:r w:rsidRPr="00BD35DB">
        <w:rPr>
          <w:sz w:val="24"/>
        </w:rPr>
        <w:t>hours</w:t>
      </w:r>
    </w:p>
    <w:p w:rsidRPr="00BD35DB" w:rsidR="00662738" w:rsidP="00662738" w:rsidRDefault="00662738" w14:paraId="61FB20D5" w14:textId="77777777">
      <w:pPr>
        <w:widowControl/>
        <w:tabs>
          <w:tab w:val="left" w:pos="0"/>
          <w:tab w:val="left" w:pos="720"/>
          <w:tab w:val="left" w:pos="1440"/>
          <w:tab w:val="left" w:pos="2160"/>
          <w:tab w:val="left" w:pos="2880"/>
          <w:tab w:val="left" w:pos="3600"/>
          <w:tab w:val="left" w:pos="4320"/>
          <w:tab w:val="left" w:pos="5040"/>
          <w:tab w:val="left" w:pos="5760"/>
        </w:tabs>
        <w:ind w:firstLine="1440"/>
        <w:rPr>
          <w:sz w:val="24"/>
        </w:rPr>
      </w:pPr>
      <w:r w:rsidRPr="00BD35DB">
        <w:rPr>
          <w:sz w:val="24"/>
        </w:rPr>
        <w:t xml:space="preserve">    </w:t>
      </w:r>
      <w:r w:rsidRPr="00BD35DB">
        <w:rPr>
          <w:b/>
          <w:bCs/>
          <w:sz w:val="24"/>
        </w:rPr>
        <w:t>Cost</w:t>
      </w:r>
      <w:r w:rsidRPr="00BD35DB">
        <w:rPr>
          <w:sz w:val="24"/>
        </w:rPr>
        <w:t xml:space="preserve">:  </w:t>
      </w:r>
      <w:r w:rsidRPr="00BD35DB" w:rsidR="00A413BC">
        <w:rPr>
          <w:sz w:val="24"/>
        </w:rPr>
        <w:t>76,6</w:t>
      </w:r>
      <w:r w:rsidR="00AF12CB">
        <w:rPr>
          <w:sz w:val="24"/>
        </w:rPr>
        <w:t>6</w:t>
      </w:r>
      <w:r w:rsidRPr="00BD35DB" w:rsidR="00A413BC">
        <w:rPr>
          <w:sz w:val="24"/>
        </w:rPr>
        <w:t xml:space="preserve">8 </w:t>
      </w:r>
      <w:r w:rsidRPr="00BD35DB">
        <w:rPr>
          <w:sz w:val="24"/>
        </w:rPr>
        <w:t xml:space="preserve">hours x </w:t>
      </w:r>
      <w:r w:rsidRPr="00BD35DB" w:rsidR="007B0BBB">
        <w:rPr>
          <w:sz w:val="24"/>
        </w:rPr>
        <w:t>$</w:t>
      </w:r>
      <w:r w:rsidRPr="00BD35DB" w:rsidR="00344CA7">
        <w:rPr>
          <w:sz w:val="24"/>
        </w:rPr>
        <w:t>86.82</w:t>
      </w:r>
      <w:r w:rsidRPr="00BD35DB">
        <w:rPr>
          <w:sz w:val="24"/>
        </w:rPr>
        <w:t xml:space="preserve"> = </w:t>
      </w:r>
      <w:r w:rsidRPr="00BD35DB" w:rsidR="007B0BBB">
        <w:rPr>
          <w:sz w:val="24"/>
        </w:rPr>
        <w:t>$</w:t>
      </w:r>
      <w:r w:rsidRPr="00BD35DB" w:rsidR="00A413BC">
        <w:rPr>
          <w:sz w:val="24"/>
        </w:rPr>
        <w:t>6,65</w:t>
      </w:r>
      <w:r w:rsidR="00AF12CB">
        <w:rPr>
          <w:sz w:val="24"/>
        </w:rPr>
        <w:t>6,316</w:t>
      </w:r>
    </w:p>
    <w:p w:rsidRPr="00BD35DB" w:rsidR="00662738" w:rsidP="00662738" w:rsidRDefault="00662738" w14:paraId="7A2766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662738" w:rsidP="00662738" w:rsidRDefault="00662738" w14:paraId="549F44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b/>
          <w:bCs/>
          <w:sz w:val="24"/>
        </w:rPr>
        <w:t>(D)  Employee information (§1910.1020(g)</w:t>
      </w:r>
      <w:r w:rsidRPr="00BD35DB">
        <w:rPr>
          <w:sz w:val="24"/>
        </w:rPr>
        <w:t>)</w:t>
      </w:r>
    </w:p>
    <w:p w:rsidRPr="00BD35DB" w:rsidR="005E1B04" w:rsidP="00662738" w:rsidRDefault="005E1B04" w14:paraId="7D0C0D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530514" w:rsidP="00530514" w:rsidRDefault="00530514" w14:paraId="527369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 xml:space="preserve">When workers first enter employment, and at least annually thereafter, employers must notify them of:  the existence, location, and availability of any records covered by the </w:t>
      </w:r>
      <w:r w:rsidRPr="00BD35DB" w:rsidR="00961829">
        <w:rPr>
          <w:sz w:val="24"/>
        </w:rPr>
        <w:t>r</w:t>
      </w:r>
      <w:r w:rsidRPr="00BD35DB">
        <w:rPr>
          <w:sz w:val="24"/>
        </w:rPr>
        <w:t xml:space="preserve">egulation; who is responsible for maintaining and providing access to these records; and the workers’ right to access their personnel records. OSHA estimates that a professional takes the following times to provide the required information:  5 minutes (.08 hour) for each new worker; and 10 minutes (.17 hour) during a single session for all of an employer’s existing workers (for a total of </w:t>
      </w:r>
      <w:r w:rsidRPr="00BD35DB" w:rsidR="00344CA7">
        <w:rPr>
          <w:sz w:val="24"/>
        </w:rPr>
        <w:t>766,</w:t>
      </w:r>
      <w:r w:rsidR="00A276CA">
        <w:rPr>
          <w:sz w:val="24"/>
        </w:rPr>
        <w:t>6</w:t>
      </w:r>
      <w:r w:rsidRPr="00BD35DB" w:rsidR="00344CA7">
        <w:rPr>
          <w:sz w:val="24"/>
        </w:rPr>
        <w:t>8</w:t>
      </w:r>
      <w:r w:rsidR="00A276CA">
        <w:rPr>
          <w:sz w:val="24"/>
        </w:rPr>
        <w:t>4</w:t>
      </w:r>
      <w:r w:rsidRPr="00BD35DB" w:rsidR="00571771">
        <w:rPr>
          <w:sz w:val="24"/>
        </w:rPr>
        <w:t xml:space="preserve"> </w:t>
      </w:r>
      <w:r w:rsidRPr="00BD35DB">
        <w:rPr>
          <w:sz w:val="24"/>
        </w:rPr>
        <w:t xml:space="preserve">single sessions for </w:t>
      </w:r>
      <w:r w:rsidRPr="00BD35DB" w:rsidR="00344CA7">
        <w:rPr>
          <w:sz w:val="24"/>
        </w:rPr>
        <w:t>766,</w:t>
      </w:r>
      <w:r w:rsidR="00A276CA">
        <w:rPr>
          <w:sz w:val="24"/>
        </w:rPr>
        <w:t>6</w:t>
      </w:r>
      <w:r w:rsidRPr="00BD35DB" w:rsidR="00344CA7">
        <w:rPr>
          <w:sz w:val="24"/>
        </w:rPr>
        <w:t>8</w:t>
      </w:r>
      <w:r w:rsidR="00A276CA">
        <w:rPr>
          <w:sz w:val="24"/>
        </w:rPr>
        <w:t>4</w:t>
      </w:r>
      <w:r w:rsidRPr="00BD35DB" w:rsidR="00571771">
        <w:rPr>
          <w:sz w:val="24"/>
        </w:rPr>
        <w:t xml:space="preserve"> </w:t>
      </w:r>
      <w:r w:rsidRPr="00BD35DB">
        <w:rPr>
          <w:sz w:val="24"/>
        </w:rPr>
        <w:t xml:space="preserve">employers).  Based on available data regarding new workers, the Agency assumes that employers must notify </w:t>
      </w:r>
      <w:r w:rsidRPr="00BD35DB" w:rsidR="002265C9">
        <w:rPr>
          <w:sz w:val="24"/>
        </w:rPr>
        <w:t>3,491,891</w:t>
      </w:r>
      <w:r w:rsidRPr="00BD35DB" w:rsidR="0008087D">
        <w:rPr>
          <w:sz w:val="24"/>
        </w:rPr>
        <w:t xml:space="preserve"> </w:t>
      </w:r>
      <w:r w:rsidRPr="00BD35DB">
        <w:rPr>
          <w:sz w:val="24"/>
        </w:rPr>
        <w:t>new workers of this information each year</w:t>
      </w:r>
      <w:r w:rsidRPr="00BD35DB" w:rsidR="001500E1">
        <w:rPr>
          <w:sz w:val="24"/>
        </w:rPr>
        <w:t>, or to 4.554537 new employees per employer</w:t>
      </w:r>
      <w:r w:rsidRPr="00BD35DB">
        <w:rPr>
          <w:sz w:val="24"/>
        </w:rPr>
        <w:t>.</w:t>
      </w:r>
      <w:r w:rsidRPr="00BD35DB" w:rsidR="00027E48">
        <w:rPr>
          <w:sz w:val="24"/>
          <w:vertAlign w:val="superscript"/>
        </w:rPr>
        <w:t>14</w:t>
      </w:r>
      <w:r w:rsidRPr="00BD35DB">
        <w:rPr>
          <w:rStyle w:val="FootnoteReference"/>
          <w:vertAlign w:val="superscript"/>
        </w:rPr>
        <w:t xml:space="preserve"> </w:t>
      </w:r>
      <w:r w:rsidRPr="00BD35DB" w:rsidR="007F59AA">
        <w:rPr>
          <w:vertAlign w:val="superscript"/>
        </w:rPr>
        <w:t xml:space="preserve"> </w:t>
      </w:r>
      <w:r w:rsidRPr="00BD35DB" w:rsidR="00C25622">
        <w:rPr>
          <w:vertAlign w:val="superscript"/>
        </w:rPr>
        <w:t xml:space="preserve"> </w:t>
      </w:r>
      <w:r w:rsidRPr="00BD35DB" w:rsidR="00A26E38">
        <w:rPr>
          <w:sz w:val="24"/>
        </w:rPr>
        <w:t>T</w:t>
      </w:r>
      <w:r w:rsidRPr="00BD35DB">
        <w:rPr>
          <w:sz w:val="24"/>
        </w:rPr>
        <w:t>he annual burden hour and cost estimates for this provision are:</w:t>
      </w:r>
    </w:p>
    <w:p w:rsidRPr="00BD35DB" w:rsidR="00530514" w:rsidP="00530514" w:rsidRDefault="00530514" w14:paraId="30AF8E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A413BC" w:rsidP="0036737A" w:rsidRDefault="00530514" w14:paraId="59EF56D4" w14:textId="77777777">
      <w:pPr>
        <w:widowControl/>
        <w:ind w:left="1440"/>
        <w:rPr>
          <w:sz w:val="24"/>
        </w:rPr>
      </w:pPr>
      <w:r w:rsidRPr="00BD35DB">
        <w:rPr>
          <w:b/>
          <w:bCs/>
          <w:sz w:val="24"/>
        </w:rPr>
        <w:t>Burden hours</w:t>
      </w:r>
      <w:r w:rsidRPr="00BD35DB">
        <w:rPr>
          <w:sz w:val="24"/>
        </w:rPr>
        <w:t xml:space="preserve">:  </w:t>
      </w:r>
      <w:r w:rsidRPr="00BD35DB" w:rsidR="00344CA7">
        <w:rPr>
          <w:sz w:val="24"/>
        </w:rPr>
        <w:t>766,</w:t>
      </w:r>
      <w:r w:rsidR="00A276CA">
        <w:rPr>
          <w:sz w:val="24"/>
        </w:rPr>
        <w:t>6</w:t>
      </w:r>
      <w:r w:rsidRPr="00BD35DB" w:rsidR="00344CA7">
        <w:rPr>
          <w:sz w:val="24"/>
        </w:rPr>
        <w:t>8</w:t>
      </w:r>
      <w:r w:rsidR="00C844F4">
        <w:rPr>
          <w:sz w:val="24"/>
        </w:rPr>
        <w:t>4</w:t>
      </w:r>
      <w:r w:rsidRPr="00BD35DB" w:rsidR="00A26E38">
        <w:rPr>
          <w:sz w:val="24"/>
        </w:rPr>
        <w:t xml:space="preserve"> employers x 4.554</w:t>
      </w:r>
      <w:r w:rsidRPr="00BD35DB" w:rsidR="001500E1">
        <w:rPr>
          <w:sz w:val="24"/>
        </w:rPr>
        <w:t>5</w:t>
      </w:r>
      <w:r w:rsidRPr="00BD35DB" w:rsidR="00A26E38">
        <w:rPr>
          <w:sz w:val="24"/>
        </w:rPr>
        <w:t>37 new workers</w:t>
      </w:r>
      <w:r w:rsidRPr="00BD35DB" w:rsidR="001500E1">
        <w:rPr>
          <w:sz w:val="24"/>
        </w:rPr>
        <w:t>)</w:t>
      </w:r>
      <w:r w:rsidRPr="00BD35DB" w:rsidR="00A26E38">
        <w:rPr>
          <w:sz w:val="24"/>
        </w:rPr>
        <w:t xml:space="preserve"> </w:t>
      </w:r>
      <w:r w:rsidRPr="00BD35DB">
        <w:rPr>
          <w:sz w:val="24"/>
        </w:rPr>
        <w:t xml:space="preserve">x </w:t>
      </w:r>
      <w:r w:rsidRPr="00BD35DB" w:rsidR="00056B40">
        <w:rPr>
          <w:sz w:val="24"/>
        </w:rPr>
        <w:t>5/60</w:t>
      </w:r>
      <w:r w:rsidRPr="00BD35DB">
        <w:rPr>
          <w:sz w:val="24"/>
        </w:rPr>
        <w:t xml:space="preserve"> hour = </w:t>
      </w:r>
      <w:r w:rsidRPr="00BD35DB" w:rsidR="00A413BC">
        <w:rPr>
          <w:sz w:val="24"/>
        </w:rPr>
        <w:t>29</w:t>
      </w:r>
      <w:r w:rsidR="00AF12CB">
        <w:rPr>
          <w:sz w:val="24"/>
        </w:rPr>
        <w:t>0</w:t>
      </w:r>
      <w:r w:rsidRPr="00BD35DB" w:rsidR="00A413BC">
        <w:rPr>
          <w:sz w:val="24"/>
        </w:rPr>
        <w:t>,</w:t>
      </w:r>
      <w:r w:rsidR="00AF12CB">
        <w:rPr>
          <w:sz w:val="24"/>
        </w:rPr>
        <w:t>991</w:t>
      </w:r>
      <w:r w:rsidRPr="00BD35DB" w:rsidR="00A413BC">
        <w:rPr>
          <w:sz w:val="24"/>
        </w:rPr>
        <w:t xml:space="preserve"> </w:t>
      </w:r>
      <w:r w:rsidRPr="00BD35DB">
        <w:rPr>
          <w:sz w:val="24"/>
        </w:rPr>
        <w:t>hours</w:t>
      </w:r>
    </w:p>
    <w:p w:rsidRPr="00BD35DB" w:rsidR="00A413BC" w:rsidP="0036737A" w:rsidRDefault="00530514" w14:paraId="4DE2D91C" w14:textId="77777777">
      <w:pPr>
        <w:widowControl/>
        <w:ind w:left="1440"/>
        <w:rPr>
          <w:sz w:val="24"/>
        </w:rPr>
      </w:pPr>
      <w:r w:rsidRPr="00BD35DB">
        <w:rPr>
          <w:sz w:val="24"/>
        </w:rPr>
        <w:t xml:space="preserve"> </w:t>
      </w:r>
      <w:r w:rsidRPr="00BD35DB" w:rsidR="00A413BC">
        <w:rPr>
          <w:b/>
          <w:bCs/>
          <w:sz w:val="24"/>
        </w:rPr>
        <w:t xml:space="preserve">   </w:t>
      </w:r>
      <w:r w:rsidRPr="00BD35DB" w:rsidR="00A413BC">
        <w:rPr>
          <w:b/>
          <w:bCs/>
          <w:sz w:val="24"/>
        </w:rPr>
        <w:tab/>
        <w:t>Cost</w:t>
      </w:r>
      <w:r w:rsidRPr="00BD35DB" w:rsidR="00A413BC">
        <w:rPr>
          <w:sz w:val="24"/>
        </w:rPr>
        <w:t>:  29</w:t>
      </w:r>
      <w:r w:rsidR="00AF12CB">
        <w:rPr>
          <w:sz w:val="24"/>
        </w:rPr>
        <w:t>0,991</w:t>
      </w:r>
      <w:r w:rsidRPr="00BD35DB" w:rsidR="00A413BC">
        <w:rPr>
          <w:sz w:val="24"/>
        </w:rPr>
        <w:t xml:space="preserve"> hours x $86.82 = $25,</w:t>
      </w:r>
      <w:r w:rsidRPr="00BD35DB" w:rsidR="005F3B58">
        <w:rPr>
          <w:sz w:val="24"/>
        </w:rPr>
        <w:t>26</w:t>
      </w:r>
      <w:r w:rsidR="00AF12CB">
        <w:rPr>
          <w:sz w:val="24"/>
        </w:rPr>
        <w:t>3</w:t>
      </w:r>
      <w:r w:rsidRPr="00BD35DB" w:rsidR="005F3B58">
        <w:rPr>
          <w:sz w:val="24"/>
        </w:rPr>
        <w:t>,</w:t>
      </w:r>
      <w:r w:rsidR="00AF12CB">
        <w:rPr>
          <w:sz w:val="24"/>
        </w:rPr>
        <w:t>839</w:t>
      </w:r>
    </w:p>
    <w:p w:rsidRPr="00BD35DB" w:rsidR="00A413BC" w:rsidP="0036737A" w:rsidRDefault="00A413BC" w14:paraId="12AFD5B3" w14:textId="77777777">
      <w:pPr>
        <w:widowControl/>
        <w:ind w:left="1440"/>
        <w:rPr>
          <w:sz w:val="24"/>
        </w:rPr>
      </w:pPr>
    </w:p>
    <w:p w:rsidRPr="00BD35DB" w:rsidR="00530514" w:rsidP="0036737A" w:rsidRDefault="00A413BC" w14:paraId="7EA5F549" w14:textId="77777777">
      <w:pPr>
        <w:widowControl/>
        <w:ind w:left="1440"/>
        <w:rPr>
          <w:sz w:val="24"/>
        </w:rPr>
      </w:pPr>
      <w:r w:rsidRPr="00BD35DB">
        <w:rPr>
          <w:b/>
          <w:bCs/>
          <w:sz w:val="24"/>
        </w:rPr>
        <w:t>Burden hours:</w:t>
      </w:r>
      <w:r w:rsidRPr="00BD35DB">
        <w:rPr>
          <w:sz w:val="24"/>
        </w:rPr>
        <w:t xml:space="preserve"> </w:t>
      </w:r>
      <w:r w:rsidRPr="00BD35DB" w:rsidR="00530514">
        <w:rPr>
          <w:sz w:val="24"/>
        </w:rPr>
        <w:t xml:space="preserve"> </w:t>
      </w:r>
      <w:r w:rsidRPr="00BD35DB" w:rsidR="00344CA7">
        <w:rPr>
          <w:sz w:val="24"/>
        </w:rPr>
        <w:t>766,</w:t>
      </w:r>
      <w:r w:rsidR="00A276CA">
        <w:rPr>
          <w:sz w:val="24"/>
        </w:rPr>
        <w:t>6</w:t>
      </w:r>
      <w:r w:rsidRPr="00BD35DB" w:rsidR="00344CA7">
        <w:rPr>
          <w:sz w:val="24"/>
        </w:rPr>
        <w:t>8</w:t>
      </w:r>
      <w:r w:rsidR="00C844F4">
        <w:rPr>
          <w:sz w:val="24"/>
        </w:rPr>
        <w:t>4</w:t>
      </w:r>
      <w:r w:rsidRPr="00BD35DB" w:rsidR="0008087D">
        <w:rPr>
          <w:sz w:val="24"/>
        </w:rPr>
        <w:t xml:space="preserve"> </w:t>
      </w:r>
      <w:r w:rsidRPr="00BD35DB" w:rsidR="00530514">
        <w:rPr>
          <w:sz w:val="24"/>
        </w:rPr>
        <w:t xml:space="preserve">single sessions for existing workers x </w:t>
      </w:r>
      <w:r w:rsidRPr="00BD35DB" w:rsidR="00056B40">
        <w:rPr>
          <w:sz w:val="24"/>
        </w:rPr>
        <w:t>10/60</w:t>
      </w:r>
      <w:r w:rsidRPr="00BD35DB" w:rsidR="00530514">
        <w:rPr>
          <w:sz w:val="24"/>
        </w:rPr>
        <w:t xml:space="preserve"> hour = </w:t>
      </w:r>
      <w:r w:rsidRPr="00BD35DB">
        <w:rPr>
          <w:sz w:val="24"/>
        </w:rPr>
        <w:t>127,7</w:t>
      </w:r>
      <w:r w:rsidR="00AF12CB">
        <w:rPr>
          <w:sz w:val="24"/>
        </w:rPr>
        <w:t>81</w:t>
      </w:r>
      <w:r w:rsidRPr="00BD35DB">
        <w:rPr>
          <w:sz w:val="24"/>
        </w:rPr>
        <w:t xml:space="preserve"> </w:t>
      </w:r>
      <w:r w:rsidRPr="00BD35DB" w:rsidR="00530514">
        <w:rPr>
          <w:sz w:val="24"/>
        </w:rPr>
        <w:t>hours</w:t>
      </w:r>
    </w:p>
    <w:p w:rsidRPr="00BD35DB" w:rsidR="00DE494F" w:rsidP="00530514" w:rsidRDefault="004D3ED5" w14:paraId="3FBFF9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4"/>
        </w:rPr>
      </w:pPr>
      <w:r w:rsidRPr="00BD35DB">
        <w:rPr>
          <w:b/>
          <w:bCs/>
          <w:sz w:val="24"/>
        </w:rPr>
        <w:tab/>
        <w:t xml:space="preserve">   </w:t>
      </w:r>
      <w:r w:rsidRPr="00BD35DB" w:rsidR="00530514">
        <w:rPr>
          <w:b/>
          <w:bCs/>
          <w:sz w:val="24"/>
        </w:rPr>
        <w:t>Cost</w:t>
      </w:r>
      <w:r w:rsidRPr="00BD35DB" w:rsidR="00530514">
        <w:rPr>
          <w:sz w:val="24"/>
        </w:rPr>
        <w:t xml:space="preserve">:  </w:t>
      </w:r>
      <w:r w:rsidRPr="00BD35DB" w:rsidR="00A413BC">
        <w:rPr>
          <w:sz w:val="24"/>
        </w:rPr>
        <w:t>127,7</w:t>
      </w:r>
      <w:r w:rsidR="00AF12CB">
        <w:rPr>
          <w:sz w:val="24"/>
        </w:rPr>
        <w:t>81</w:t>
      </w:r>
      <w:r w:rsidRPr="00BD35DB" w:rsidR="00A413BC">
        <w:rPr>
          <w:sz w:val="24"/>
        </w:rPr>
        <w:t xml:space="preserve"> </w:t>
      </w:r>
      <w:r w:rsidRPr="00BD35DB" w:rsidR="00530514">
        <w:rPr>
          <w:sz w:val="24"/>
        </w:rPr>
        <w:t>hours x $</w:t>
      </w:r>
      <w:r w:rsidRPr="00BD35DB" w:rsidR="00344CA7">
        <w:rPr>
          <w:sz w:val="24"/>
        </w:rPr>
        <w:t>86.82</w:t>
      </w:r>
      <w:r w:rsidRPr="00BD35DB" w:rsidR="00530514">
        <w:rPr>
          <w:sz w:val="24"/>
        </w:rPr>
        <w:t xml:space="preserve"> = $</w:t>
      </w:r>
      <w:r w:rsidRPr="00BD35DB" w:rsidR="00A413BC">
        <w:rPr>
          <w:sz w:val="24"/>
        </w:rPr>
        <w:t>11,09</w:t>
      </w:r>
      <w:r w:rsidR="00AF12CB">
        <w:rPr>
          <w:sz w:val="24"/>
        </w:rPr>
        <w:t>3</w:t>
      </w:r>
      <w:r w:rsidRPr="00BD35DB" w:rsidR="00A413BC">
        <w:rPr>
          <w:sz w:val="24"/>
        </w:rPr>
        <w:t>,</w:t>
      </w:r>
      <w:r w:rsidR="00AF12CB">
        <w:rPr>
          <w:sz w:val="24"/>
        </w:rPr>
        <w:t>946</w:t>
      </w:r>
    </w:p>
    <w:p w:rsidRPr="00BD35DB" w:rsidR="00DE494F" w:rsidP="00662738" w:rsidRDefault="00DE494F" w14:paraId="42DCAA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750437" w:rsidP="00750437" w:rsidRDefault="00750437" w14:paraId="2679EE2C" w14:textId="77777777">
      <w:pPr>
        <w:pStyle w:val="Default"/>
      </w:pPr>
      <w:r w:rsidRPr="00BD35DB">
        <w:t>(</w:t>
      </w:r>
      <w:r w:rsidRPr="00BD35DB">
        <w:rPr>
          <w:b/>
          <w:bCs/>
        </w:rPr>
        <w:t>E) Transfer of records (§1910.1020(h)</w:t>
      </w:r>
      <w:r w:rsidRPr="00BD35DB">
        <w:t xml:space="preserve">) </w:t>
      </w:r>
    </w:p>
    <w:p w:rsidRPr="00BD35DB" w:rsidR="006A60C0" w:rsidP="00750437" w:rsidRDefault="006A60C0" w14:paraId="2EB2D5B1" w14:textId="77777777">
      <w:pPr>
        <w:pStyle w:val="Default"/>
      </w:pPr>
    </w:p>
    <w:p w:rsidRPr="00BD35DB" w:rsidR="00242D7D" w:rsidP="00E914C3" w:rsidRDefault="00750437" w14:paraId="1DBCBAA0" w14:textId="77777777">
      <w:pPr>
        <w:pStyle w:val="Default"/>
        <w:rPr>
          <w:strike/>
        </w:rPr>
      </w:pPr>
      <w:r w:rsidRPr="00BD35DB">
        <w:t>Whenever an employer ceases to do business, paragraph (h)(1) of the Regulation requires the employer to transfer all records covered by the Regulation to the successor employer. This paragraph requires employers who cease doing business and have no successor employer to: notify current workers who have records covered by the Regulation of their right to access these records, and to do so prior to cessation of business</w:t>
      </w:r>
      <w:r w:rsidRPr="00BD35DB" w:rsidR="00DE494F">
        <w:t>.</w:t>
      </w:r>
    </w:p>
    <w:p w:rsidRPr="00BD35DB" w:rsidR="00704AA8" w:rsidP="00242D7D" w:rsidRDefault="00704AA8" w14:paraId="6C503F00" w14:textId="77777777">
      <w:pPr>
        <w:pStyle w:val="Default"/>
        <w:tabs>
          <w:tab w:val="left" w:pos="3090"/>
        </w:tabs>
        <w:rPr>
          <w:strike/>
          <w:sz w:val="23"/>
          <w:szCs w:val="23"/>
        </w:rPr>
      </w:pPr>
    </w:p>
    <w:p w:rsidRPr="00BD35DB" w:rsidR="0030365E" w:rsidP="0030365E" w:rsidRDefault="00750437" w14:paraId="5D8DC9A6" w14:textId="77777777">
      <w:pPr>
        <w:pStyle w:val="BodyText"/>
        <w:rPr>
          <w:rFonts w:ascii="Times New Roman" w:hAnsi="Times New Roman"/>
        </w:rPr>
      </w:pPr>
      <w:r w:rsidRPr="00BD35DB">
        <w:rPr>
          <w:rFonts w:ascii="Times New Roman" w:hAnsi="Times New Roman"/>
        </w:rPr>
        <w:lastRenderedPageBreak/>
        <w:t xml:space="preserve">For purposes of informing workers of their right to access their records when the employer is ceasing business, OSHA assumes 5% of the </w:t>
      </w:r>
      <w:r w:rsidRPr="00BD35DB" w:rsidR="00344CA7">
        <w:rPr>
          <w:rFonts w:ascii="Times New Roman" w:hAnsi="Times New Roman"/>
        </w:rPr>
        <w:t>766,</w:t>
      </w:r>
      <w:r w:rsidR="00A276CA">
        <w:rPr>
          <w:rFonts w:ascii="Times New Roman" w:hAnsi="Times New Roman"/>
        </w:rPr>
        <w:t>6</w:t>
      </w:r>
      <w:r w:rsidRPr="00BD35DB" w:rsidR="00344CA7">
        <w:rPr>
          <w:rFonts w:ascii="Times New Roman" w:hAnsi="Times New Roman"/>
        </w:rPr>
        <w:t>8</w:t>
      </w:r>
      <w:r w:rsidR="00A276CA">
        <w:rPr>
          <w:rFonts w:ascii="Times New Roman" w:hAnsi="Times New Roman"/>
        </w:rPr>
        <w:t>4</w:t>
      </w:r>
      <w:r w:rsidRPr="00BD35DB" w:rsidR="00B46F42">
        <w:rPr>
          <w:rFonts w:ascii="Times New Roman" w:hAnsi="Times New Roman"/>
        </w:rPr>
        <w:t xml:space="preserve"> </w:t>
      </w:r>
      <w:r w:rsidRPr="00BD35DB" w:rsidR="00170E10">
        <w:rPr>
          <w:rFonts w:ascii="Times New Roman" w:hAnsi="Times New Roman"/>
        </w:rPr>
        <w:t>e</w:t>
      </w:r>
      <w:r w:rsidRPr="00BD35DB">
        <w:rPr>
          <w:rFonts w:ascii="Times New Roman" w:hAnsi="Times New Roman"/>
        </w:rPr>
        <w:t xml:space="preserve">stablishments will cease business each year, and a manager will take 5 minutes (.08 hour) to inform workers of their rights to access their medical and exposure-monitoring records. </w:t>
      </w:r>
    </w:p>
    <w:p w:rsidRPr="00BD35DB" w:rsidR="0030365E" w:rsidP="0030365E" w:rsidRDefault="0030365E" w14:paraId="237DDFD1" w14:textId="77777777">
      <w:pPr>
        <w:pStyle w:val="BodyText"/>
        <w:rPr>
          <w:sz w:val="23"/>
          <w:szCs w:val="23"/>
        </w:rPr>
      </w:pPr>
    </w:p>
    <w:p w:rsidRPr="00BD35DB" w:rsidR="00750437" w:rsidP="00242D7D" w:rsidRDefault="00750437" w14:paraId="2F0007BB" w14:textId="77777777">
      <w:pPr>
        <w:pStyle w:val="Default"/>
        <w:ind w:firstLine="720"/>
      </w:pPr>
      <w:r w:rsidRPr="00BD35DB">
        <w:rPr>
          <w:b/>
          <w:bCs/>
        </w:rPr>
        <w:t>Burden hours</w:t>
      </w:r>
      <w:r w:rsidRPr="00BD35DB">
        <w:t xml:space="preserve">: </w:t>
      </w:r>
      <w:r w:rsidRPr="00BD35DB" w:rsidR="00593172">
        <w:t>(</w:t>
      </w:r>
      <w:r w:rsidRPr="00BD35DB" w:rsidR="00344CA7">
        <w:t>766,</w:t>
      </w:r>
      <w:r w:rsidR="00A276CA">
        <w:t>6</w:t>
      </w:r>
      <w:r w:rsidRPr="00BD35DB" w:rsidR="00344CA7">
        <w:t>8</w:t>
      </w:r>
      <w:r w:rsidR="00C844F4">
        <w:t>4</w:t>
      </w:r>
      <w:r w:rsidRPr="00BD35DB" w:rsidR="00F5514B">
        <w:t xml:space="preserve"> </w:t>
      </w:r>
      <w:r w:rsidRPr="00BD35DB">
        <w:t>establishments x .05</w:t>
      </w:r>
      <w:r w:rsidRPr="00BD35DB" w:rsidR="00593172">
        <w:t>)</w:t>
      </w:r>
      <w:r w:rsidRPr="00BD35DB">
        <w:t xml:space="preserve"> x </w:t>
      </w:r>
      <w:r w:rsidRPr="00BD35DB" w:rsidR="00056B40">
        <w:t>5/60</w:t>
      </w:r>
      <w:r w:rsidRPr="00BD35DB">
        <w:t xml:space="preserve"> hour =</w:t>
      </w:r>
      <w:r w:rsidRPr="00BD35DB" w:rsidR="002259E5">
        <w:t xml:space="preserve"> </w:t>
      </w:r>
      <w:r w:rsidRPr="00BD35DB" w:rsidR="00593172">
        <w:t xml:space="preserve">3,195 </w:t>
      </w:r>
      <w:r w:rsidRPr="00BD35DB">
        <w:t xml:space="preserve">hours </w:t>
      </w:r>
    </w:p>
    <w:p w:rsidRPr="00BD35DB" w:rsidR="00750437" w:rsidP="00750437" w:rsidRDefault="00E0671F" w14:paraId="2F354A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4"/>
        </w:rPr>
      </w:pPr>
      <w:r w:rsidRPr="00BD35DB">
        <w:rPr>
          <w:b/>
          <w:bCs/>
          <w:color w:val="000000"/>
          <w:sz w:val="24"/>
        </w:rPr>
        <w:t xml:space="preserve">    </w:t>
      </w:r>
      <w:r w:rsidRPr="00BD35DB" w:rsidR="00750437">
        <w:rPr>
          <w:b/>
          <w:bCs/>
          <w:color w:val="000000"/>
          <w:sz w:val="24"/>
        </w:rPr>
        <w:t>Cost</w:t>
      </w:r>
      <w:r w:rsidRPr="00BD35DB" w:rsidR="00750437">
        <w:rPr>
          <w:color w:val="000000"/>
          <w:sz w:val="24"/>
        </w:rPr>
        <w:t xml:space="preserve">: </w:t>
      </w:r>
      <w:r w:rsidRPr="00BD35DB" w:rsidR="00593172">
        <w:rPr>
          <w:color w:val="000000"/>
          <w:sz w:val="24"/>
        </w:rPr>
        <w:t xml:space="preserve">3,195 </w:t>
      </w:r>
      <w:r w:rsidRPr="00BD35DB" w:rsidR="00750437">
        <w:rPr>
          <w:color w:val="000000"/>
          <w:sz w:val="24"/>
        </w:rPr>
        <w:t>hours x $</w:t>
      </w:r>
      <w:r w:rsidRPr="00BD35DB" w:rsidR="00344CA7">
        <w:rPr>
          <w:color w:val="000000"/>
          <w:sz w:val="24"/>
        </w:rPr>
        <w:t>86.82</w:t>
      </w:r>
      <w:r w:rsidRPr="00BD35DB" w:rsidR="00750437">
        <w:rPr>
          <w:color w:val="000000"/>
          <w:sz w:val="24"/>
        </w:rPr>
        <w:t xml:space="preserve"> = </w:t>
      </w:r>
      <w:r w:rsidRPr="00BD35DB" w:rsidR="00A37599">
        <w:rPr>
          <w:color w:val="000000"/>
          <w:sz w:val="24"/>
        </w:rPr>
        <w:t>$</w:t>
      </w:r>
      <w:r w:rsidRPr="00BD35DB" w:rsidR="00593172">
        <w:rPr>
          <w:color w:val="000000"/>
          <w:sz w:val="24"/>
        </w:rPr>
        <w:t>277,390</w:t>
      </w:r>
    </w:p>
    <w:p w:rsidRPr="00BD35DB" w:rsidR="00DE494F" w:rsidP="00DE494F" w:rsidRDefault="00DE494F" w14:paraId="2A6E77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DE494F" w:rsidP="00BD35DB" w:rsidRDefault="00DE494F" w14:paraId="6AF40B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D35DB">
        <w:rPr>
          <w:sz w:val="24"/>
        </w:rPr>
        <w:t>The following table provides a summary of the burden</w:t>
      </w:r>
      <w:r w:rsidRPr="00BD35DB" w:rsidR="0034540F">
        <w:rPr>
          <w:sz w:val="24"/>
        </w:rPr>
        <w:t xml:space="preserve"> </w:t>
      </w:r>
      <w:r w:rsidRPr="00BD35DB">
        <w:rPr>
          <w:sz w:val="24"/>
        </w:rPr>
        <w:t>hours and cost estimates for the collection</w:t>
      </w:r>
      <w:r w:rsidRPr="00BD35DB" w:rsidR="00156FCC">
        <w:rPr>
          <w:sz w:val="24"/>
        </w:rPr>
        <w:t>s</w:t>
      </w:r>
      <w:r w:rsidRPr="00BD35DB">
        <w:rPr>
          <w:sz w:val="24"/>
        </w:rPr>
        <w:t xml:space="preserve"> of information of the Regulation, and described above.</w:t>
      </w:r>
    </w:p>
    <w:p w:rsidRPr="00BD35DB" w:rsidR="00027E48" w:rsidP="00027E48" w:rsidRDefault="00027E48" w14:paraId="2F7509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D35DB">
        <w:rPr>
          <w:b/>
          <w:bCs/>
          <w:sz w:val="24"/>
        </w:rPr>
        <w:t>_______________________</w:t>
      </w:r>
    </w:p>
    <w:p w:rsidR="00D2392C" w:rsidP="00027E48" w:rsidRDefault="00027E48" w14:paraId="37F9065A" w14:textId="77777777">
      <w:pPr>
        <w:pStyle w:val="FootnoteText"/>
        <w:ind w:firstLine="720"/>
      </w:pPr>
      <w:r w:rsidRPr="00BD35DB">
        <w:rPr>
          <w:rStyle w:val="FootnoteReference"/>
          <w:sz w:val="24"/>
          <w:szCs w:val="24"/>
          <w:vertAlign w:val="superscript"/>
        </w:rPr>
        <w:t>14</w:t>
      </w:r>
      <w:r w:rsidRPr="00BD35DB">
        <w:t xml:space="preserve"> Based on ratios of employees to establishments in earlier ICRs, OSHA estimates there are 10.63 employees per establishment covered by the Regulation. Multiplying this figure by the total number of covered establishments (</w:t>
      </w:r>
      <w:r w:rsidRPr="00BD35DB" w:rsidR="003C4C65">
        <w:t>752,835</w:t>
      </w:r>
      <w:r w:rsidRPr="00BD35DB">
        <w:t xml:space="preserve">), yields a total of </w:t>
      </w:r>
      <w:r w:rsidRPr="00BD35DB" w:rsidR="002265C9">
        <w:t>8,002,636</w:t>
      </w:r>
      <w:r w:rsidRPr="00BD35DB">
        <w:t xml:space="preserve"> employees.  To this total, the Agency added </w:t>
      </w:r>
      <w:r w:rsidRPr="00BD35DB" w:rsidR="002265C9">
        <w:t>18,558</w:t>
      </w:r>
      <w:r w:rsidRPr="00BD35DB">
        <w:t xml:space="preserve"> employees for establishments covered by the Ionizing Radiation (IR) Standard, assuming 1.34 employees for each of the </w:t>
      </w:r>
      <w:r w:rsidRPr="00BD35DB" w:rsidR="002265C9">
        <w:t>13,849</w:t>
      </w:r>
      <w:r w:rsidRPr="00BD35DB">
        <w:t xml:space="preserve"> establishments covered by the IR Standard.  OSHA then multiplied the total number of employees covered by both the Regulation and the IR Standard (</w:t>
      </w:r>
      <w:r w:rsidRPr="00BD35DB" w:rsidR="002265C9">
        <w:t>8,021,194</w:t>
      </w:r>
      <w:r w:rsidRPr="00BD35DB">
        <w:t xml:space="preserve">) by an assumed turnover rate of </w:t>
      </w:r>
      <w:r w:rsidRPr="00BD35DB" w:rsidR="002265C9">
        <w:t>48.9</w:t>
      </w:r>
      <w:r w:rsidRPr="00BD35DB">
        <w:t>% (Hires Rate, total Nonfarm—JOLTS, Bureau of Labor Statistics, 201</w:t>
      </w:r>
      <w:r w:rsidRPr="00BD35DB" w:rsidR="002265C9">
        <w:t>8</w:t>
      </w:r>
      <w:r w:rsidRPr="00BD35DB">
        <w:t xml:space="preserve">), resulting in a total of </w:t>
      </w:r>
      <w:r w:rsidRPr="00BD35DB" w:rsidR="002265C9">
        <w:t>3,922,364</w:t>
      </w:r>
      <w:r w:rsidRPr="00BD35DB">
        <w:t xml:space="preserve"> new employees each year.</w:t>
      </w:r>
    </w:p>
    <w:p w:rsidR="00D2392C" w:rsidP="00027E48" w:rsidRDefault="00D2392C" w14:paraId="677588A7" w14:textId="77777777">
      <w:pPr>
        <w:pStyle w:val="FootnoteText"/>
        <w:ind w:firstLine="720"/>
      </w:pPr>
    </w:p>
    <w:p w:rsidR="00D2392C" w:rsidP="00027E48" w:rsidRDefault="00D2392C" w14:paraId="23086655" w14:textId="77777777">
      <w:pPr>
        <w:pStyle w:val="FootnoteText"/>
        <w:ind w:firstLine="720"/>
      </w:pPr>
    </w:p>
    <w:p w:rsidR="00D2392C" w:rsidP="00027E48" w:rsidRDefault="00D2392C" w14:paraId="144A816E" w14:textId="77777777">
      <w:pPr>
        <w:pStyle w:val="FootnoteText"/>
        <w:ind w:firstLine="720"/>
      </w:pPr>
    </w:p>
    <w:p w:rsidRPr="00BD35DB" w:rsidR="00D2392C" w:rsidP="00027E48" w:rsidRDefault="00D2392C" w14:paraId="0954156F" w14:textId="77777777">
      <w:pPr>
        <w:pStyle w:val="FootnoteText"/>
        <w:ind w:firstLine="720"/>
      </w:pPr>
    </w:p>
    <w:p w:rsidRPr="00BD35DB" w:rsidR="003A348B" w:rsidP="00D2392C" w:rsidRDefault="003A348B" w14:paraId="79C6E6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2C719B" w:rsidP="00BD35DB" w:rsidRDefault="00600ABA" w14:paraId="5E92A3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olor w:val="1F497D"/>
          <w:sz w:val="22"/>
          <w:szCs w:val="22"/>
        </w:rPr>
      </w:pPr>
      <w:r w:rsidRPr="00BD35DB">
        <w:rPr>
          <w:sz w:val="24"/>
        </w:rPr>
        <w:br w:type="page"/>
      </w:r>
      <w:r w:rsidRPr="00BD35DB" w:rsidDel="002C719B" w:rsidR="002C719B">
        <w:rPr>
          <w:sz w:val="24"/>
        </w:rPr>
        <w:lastRenderedPageBreak/>
        <w:t xml:space="preserve"> </w:t>
      </w:r>
    </w:p>
    <w:tbl>
      <w:tblPr>
        <w:tblpPr w:leftFromText="196" w:rightFromText="196" w:vertAnchor="text" w:tblpXSpec="center"/>
        <w:tblW w:w="10378" w:type="dxa"/>
        <w:tblLayout w:type="fixed"/>
        <w:tblCellMar>
          <w:left w:w="0" w:type="dxa"/>
          <w:right w:w="0" w:type="dxa"/>
        </w:tblCellMar>
        <w:tblLook w:val="04A0" w:firstRow="1" w:lastRow="0" w:firstColumn="1" w:lastColumn="0" w:noHBand="0" w:noVBand="1"/>
      </w:tblPr>
      <w:tblGrid>
        <w:gridCol w:w="2007"/>
        <w:gridCol w:w="1351"/>
        <w:gridCol w:w="1350"/>
        <w:gridCol w:w="1170"/>
        <w:gridCol w:w="1440"/>
        <w:gridCol w:w="990"/>
        <w:gridCol w:w="810"/>
        <w:gridCol w:w="1260"/>
      </w:tblGrid>
      <w:tr w:rsidRPr="00BD35DB" w:rsidR="002C719B" w:rsidTr="004E7CD3" w14:paraId="6BA888AE" w14:textId="77777777">
        <w:tc>
          <w:tcPr>
            <w:tcW w:w="10378"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2C719B" w:rsidP="002C719B" w:rsidRDefault="002C719B" w14:paraId="3A9E92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Pr="006B2AF4" w:rsidR="002C719B" w:rsidP="002C719B" w:rsidRDefault="002C719B" w14:paraId="705B5A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6B2AF4">
              <w:rPr>
                <w:b/>
                <w:sz w:val="24"/>
              </w:rPr>
              <w:t>Table A - Estimated Annualized Respondent Burden Hours and Costs</w:t>
            </w:r>
          </w:p>
          <w:p w:rsidR="002C719B" w:rsidP="002C719B" w:rsidRDefault="002C719B" w14:paraId="7BA37F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Pr="00BD35DB" w:rsidR="002C719B" w:rsidP="002C719B" w:rsidRDefault="002C719B" w14:paraId="4A59A1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
                <w:bCs/>
                <w:szCs w:val="20"/>
              </w:rPr>
            </w:pPr>
          </w:p>
        </w:tc>
      </w:tr>
      <w:tr w:rsidRPr="00BD35DB" w:rsidR="006B2AF4" w:rsidTr="004E7CD3" w14:paraId="76E6CD41" w14:textId="77777777">
        <w:trPr>
          <w:trHeight w:val="1126"/>
          <w:tblHeader/>
        </w:trPr>
        <w:tc>
          <w:tcPr>
            <w:tcW w:w="2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D35DB" w:rsidR="00C6491F" w:rsidP="006B2AF4" w:rsidRDefault="00C6491F" w14:paraId="3B905B45" w14:textId="77777777">
            <w:pPr>
              <w:widowControl/>
              <w:adjustRightInd/>
              <w:jc w:val="center"/>
              <w:rPr>
                <w:rFonts w:eastAsia="Calibri"/>
                <w:b/>
                <w:bCs/>
                <w:szCs w:val="20"/>
              </w:rPr>
            </w:pPr>
          </w:p>
          <w:p w:rsidRPr="00BD35DB" w:rsidR="00C6491F" w:rsidP="006B2AF4" w:rsidRDefault="00C6491F" w14:paraId="2C0A3AD0" w14:textId="77777777">
            <w:pPr>
              <w:widowControl/>
              <w:adjustRightInd/>
              <w:jc w:val="center"/>
              <w:rPr>
                <w:rFonts w:eastAsia="Calibri"/>
                <w:b/>
                <w:bCs/>
                <w:szCs w:val="20"/>
              </w:rPr>
            </w:pPr>
            <w:r w:rsidRPr="00BD35DB">
              <w:rPr>
                <w:rFonts w:eastAsia="Calibri"/>
                <w:b/>
                <w:bCs/>
                <w:szCs w:val="20"/>
              </w:rPr>
              <w:t>Collections of Information</w:t>
            </w:r>
          </w:p>
        </w:tc>
        <w:tc>
          <w:tcPr>
            <w:tcW w:w="135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BD35DB" w:rsidR="00C6491F" w:rsidP="006B2AF4" w:rsidRDefault="00C6491F" w14:paraId="1F7F01C0" w14:textId="77777777">
            <w:pPr>
              <w:widowControl/>
              <w:adjustRightInd/>
              <w:ind w:right="-161"/>
              <w:jc w:val="center"/>
              <w:rPr>
                <w:rFonts w:eastAsia="Calibri"/>
                <w:b/>
                <w:bCs/>
                <w:szCs w:val="20"/>
              </w:rPr>
            </w:pPr>
          </w:p>
          <w:p w:rsidR="00C6491F" w:rsidP="006B2AF4" w:rsidRDefault="00C6491F" w14:paraId="6672E177" w14:textId="77777777">
            <w:pPr>
              <w:widowControl/>
              <w:adjustRightInd/>
              <w:ind w:right="-161"/>
              <w:jc w:val="center"/>
              <w:rPr>
                <w:rFonts w:eastAsia="Calibri"/>
                <w:b/>
                <w:bCs/>
                <w:szCs w:val="20"/>
              </w:rPr>
            </w:pPr>
            <w:r w:rsidRPr="00BD35DB">
              <w:rPr>
                <w:rFonts w:eastAsia="Calibri"/>
                <w:b/>
                <w:bCs/>
                <w:szCs w:val="20"/>
              </w:rPr>
              <w:t>No. of Respondents</w:t>
            </w:r>
          </w:p>
          <w:p w:rsidRPr="00BD35DB" w:rsidR="006B2AF4" w:rsidP="006B2AF4" w:rsidRDefault="006B2AF4" w14:paraId="60406D57" w14:textId="77777777">
            <w:pPr>
              <w:widowControl/>
              <w:adjustRightInd/>
              <w:ind w:right="-161"/>
              <w:jc w:val="center"/>
              <w:rPr>
                <w:rFonts w:eastAsia="Calibri"/>
                <w:b/>
                <w:bCs/>
                <w:szCs w:val="20"/>
              </w:rPr>
            </w:pP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BD35DB" w:rsidR="00C6491F" w:rsidP="006B2AF4" w:rsidRDefault="00C6491F" w14:paraId="22AF9E04" w14:textId="77777777">
            <w:pPr>
              <w:widowControl/>
              <w:adjustRightInd/>
              <w:jc w:val="center"/>
              <w:rPr>
                <w:rFonts w:eastAsia="Calibri"/>
                <w:b/>
                <w:bCs/>
                <w:szCs w:val="20"/>
              </w:rPr>
            </w:pPr>
          </w:p>
          <w:p w:rsidRPr="00BD35DB" w:rsidR="00C6491F" w:rsidP="006B2AF4" w:rsidRDefault="00C6491F" w14:paraId="464DB926" w14:textId="77777777">
            <w:pPr>
              <w:widowControl/>
              <w:adjustRightInd/>
              <w:jc w:val="center"/>
              <w:rPr>
                <w:rFonts w:eastAsia="Calibri"/>
                <w:b/>
                <w:bCs/>
                <w:szCs w:val="20"/>
              </w:rPr>
            </w:pPr>
            <w:r w:rsidRPr="00BD35DB">
              <w:rPr>
                <w:rFonts w:eastAsia="Calibri"/>
                <w:b/>
                <w:bCs/>
                <w:szCs w:val="20"/>
              </w:rPr>
              <w:t>No. of Responses per Respondent</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BD35DB" w:rsidR="00C6491F" w:rsidP="006B2AF4" w:rsidRDefault="00C6491F" w14:paraId="2EC4BB66" w14:textId="77777777">
            <w:pPr>
              <w:widowControl/>
              <w:adjustRightInd/>
              <w:jc w:val="center"/>
              <w:rPr>
                <w:rFonts w:eastAsia="Calibri"/>
                <w:b/>
                <w:bCs/>
                <w:szCs w:val="20"/>
              </w:rPr>
            </w:pPr>
          </w:p>
          <w:p w:rsidRPr="00BD35DB" w:rsidR="00C6491F" w:rsidP="006B2AF4" w:rsidRDefault="00C6491F" w14:paraId="4C5614AA" w14:textId="77777777">
            <w:pPr>
              <w:widowControl/>
              <w:adjustRightInd/>
              <w:jc w:val="center"/>
              <w:rPr>
                <w:rFonts w:eastAsia="Calibri"/>
                <w:b/>
                <w:bCs/>
                <w:szCs w:val="20"/>
              </w:rPr>
            </w:pPr>
            <w:r w:rsidRPr="00BD35DB">
              <w:rPr>
                <w:rFonts w:eastAsia="Calibri"/>
                <w:b/>
                <w:bCs/>
                <w:szCs w:val="20"/>
              </w:rPr>
              <w:t>Total No. of Responses</w:t>
            </w:r>
          </w:p>
          <w:p w:rsidRPr="00BD35DB" w:rsidR="00C6491F" w:rsidP="006B2AF4" w:rsidRDefault="00C6491F" w14:paraId="1D63AB15" w14:textId="77777777">
            <w:pPr>
              <w:widowControl/>
              <w:adjustRightInd/>
              <w:jc w:val="center"/>
              <w:rPr>
                <w:rFonts w:eastAsia="Calibri"/>
                <w:b/>
                <w:bCs/>
                <w:szCs w:val="20"/>
              </w:rPr>
            </w:pP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BD35DB" w:rsidR="00C6491F" w:rsidP="006B2AF4" w:rsidRDefault="00C6491F" w14:paraId="13A6F8A2" w14:textId="77777777">
            <w:pPr>
              <w:widowControl/>
              <w:adjustRightInd/>
              <w:jc w:val="center"/>
              <w:rPr>
                <w:rFonts w:eastAsia="Calibri"/>
                <w:b/>
                <w:bCs/>
                <w:szCs w:val="20"/>
              </w:rPr>
            </w:pPr>
          </w:p>
          <w:p w:rsidRPr="00BD35DB" w:rsidR="00C6491F" w:rsidP="006B2AF4" w:rsidRDefault="00C6491F" w14:paraId="079D1494" w14:textId="77777777">
            <w:pPr>
              <w:widowControl/>
              <w:adjustRightInd/>
              <w:jc w:val="center"/>
              <w:rPr>
                <w:rFonts w:eastAsia="Calibri"/>
                <w:b/>
                <w:bCs/>
                <w:szCs w:val="20"/>
              </w:rPr>
            </w:pPr>
            <w:r w:rsidRPr="00BD35DB">
              <w:rPr>
                <w:rFonts w:eastAsia="Calibri"/>
                <w:b/>
                <w:bCs/>
                <w:szCs w:val="20"/>
              </w:rPr>
              <w:t>Avg, Burden per Response</w:t>
            </w:r>
          </w:p>
          <w:p w:rsidRPr="00BD35DB" w:rsidR="00C6491F" w:rsidP="006B2AF4" w:rsidRDefault="00C6491F" w14:paraId="302B2E4F" w14:textId="49BD3B10">
            <w:pPr>
              <w:widowControl/>
              <w:adjustRightInd/>
              <w:jc w:val="center"/>
              <w:rPr>
                <w:rFonts w:eastAsia="Calibri"/>
                <w:b/>
                <w:bCs/>
                <w:szCs w:val="20"/>
              </w:rPr>
            </w:pPr>
            <w:r w:rsidRPr="00BD35DB">
              <w:rPr>
                <w:rFonts w:eastAsia="Calibri"/>
                <w:b/>
                <w:bCs/>
                <w:szCs w:val="20"/>
              </w:rPr>
              <w:t>(</w:t>
            </w:r>
            <w:r w:rsidRPr="00BD35DB" w:rsidR="004E7CD3">
              <w:rPr>
                <w:rFonts w:eastAsia="Calibri"/>
                <w:b/>
                <w:bCs/>
                <w:szCs w:val="20"/>
              </w:rPr>
              <w:t>In</w:t>
            </w:r>
            <w:r w:rsidRPr="00BD35DB">
              <w:rPr>
                <w:rFonts w:eastAsia="Calibri"/>
                <w:b/>
                <w:bCs/>
                <w:szCs w:val="20"/>
              </w:rPr>
              <w:t xml:space="preserve"> </w:t>
            </w:r>
            <w:r w:rsidR="004E7CD3">
              <w:rPr>
                <w:rFonts w:eastAsia="Calibri"/>
                <w:b/>
                <w:bCs/>
                <w:szCs w:val="20"/>
              </w:rPr>
              <w:t>h</w:t>
            </w:r>
            <w:bookmarkStart w:name="_GoBack" w:id="81"/>
            <w:bookmarkEnd w:id="81"/>
            <w:r w:rsidRPr="00BD35DB">
              <w:rPr>
                <w:rFonts w:eastAsia="Calibri"/>
                <w:b/>
                <w:bCs/>
                <w:szCs w:val="20"/>
              </w:rPr>
              <w:t>rs.)</w:t>
            </w:r>
          </w:p>
          <w:p w:rsidRPr="00BD35DB" w:rsidR="00C6491F" w:rsidP="006B2AF4" w:rsidRDefault="00C6491F" w14:paraId="039C5D8D" w14:textId="77777777">
            <w:pPr>
              <w:widowControl/>
              <w:adjustRightInd/>
              <w:jc w:val="center"/>
              <w:rPr>
                <w:rFonts w:eastAsia="Calibri"/>
                <w:b/>
                <w:bCs/>
                <w:szCs w:val="20"/>
              </w:rPr>
            </w:pP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BD35DB" w:rsidR="00C6491F" w:rsidP="006B2AF4" w:rsidRDefault="00C6491F" w14:paraId="20BD9D53" w14:textId="77777777">
            <w:pPr>
              <w:widowControl/>
              <w:adjustRightInd/>
              <w:jc w:val="center"/>
              <w:rPr>
                <w:rFonts w:eastAsia="Calibri"/>
                <w:b/>
                <w:bCs/>
                <w:szCs w:val="20"/>
              </w:rPr>
            </w:pPr>
          </w:p>
          <w:p w:rsidRPr="00BD35DB" w:rsidR="00C6491F" w:rsidP="006B2AF4" w:rsidRDefault="00C6491F" w14:paraId="25494E59" w14:textId="77777777">
            <w:pPr>
              <w:widowControl/>
              <w:adjustRightInd/>
              <w:jc w:val="center"/>
              <w:rPr>
                <w:rFonts w:eastAsia="Calibri"/>
                <w:b/>
                <w:bCs/>
                <w:szCs w:val="20"/>
              </w:rPr>
            </w:pPr>
            <w:r w:rsidRPr="00BD35DB">
              <w:rPr>
                <w:rFonts w:eastAsia="Calibri"/>
                <w:b/>
                <w:bCs/>
                <w:szCs w:val="20"/>
              </w:rPr>
              <w:t>Total Burden Hours</w:t>
            </w:r>
          </w:p>
        </w:tc>
        <w:tc>
          <w:tcPr>
            <w:tcW w:w="81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BD35DB" w:rsidR="00C6491F" w:rsidP="006B2AF4" w:rsidRDefault="00C6491F" w14:paraId="084F73F8" w14:textId="77777777">
            <w:pPr>
              <w:widowControl/>
              <w:adjustRightInd/>
              <w:jc w:val="center"/>
              <w:rPr>
                <w:rFonts w:eastAsia="Calibri"/>
                <w:b/>
                <w:bCs/>
                <w:szCs w:val="20"/>
              </w:rPr>
            </w:pPr>
          </w:p>
          <w:p w:rsidRPr="00BD35DB" w:rsidR="00C6491F" w:rsidP="006B2AF4" w:rsidRDefault="00C6491F" w14:paraId="6B209715" w14:textId="77777777">
            <w:pPr>
              <w:widowControl/>
              <w:adjustRightInd/>
              <w:jc w:val="center"/>
              <w:rPr>
                <w:rFonts w:eastAsia="Calibri"/>
                <w:b/>
                <w:bCs/>
                <w:szCs w:val="20"/>
              </w:rPr>
            </w:pPr>
            <w:r w:rsidRPr="00BD35DB">
              <w:rPr>
                <w:rFonts w:eastAsia="Calibri"/>
                <w:b/>
                <w:bCs/>
                <w:szCs w:val="20"/>
              </w:rPr>
              <w:t>Mean</w:t>
            </w:r>
          </w:p>
          <w:p w:rsidRPr="00BD35DB" w:rsidR="00C6491F" w:rsidP="006B2AF4" w:rsidRDefault="00C6491F" w14:paraId="5C50DDFD" w14:textId="77777777">
            <w:pPr>
              <w:widowControl/>
              <w:adjustRightInd/>
              <w:jc w:val="center"/>
              <w:rPr>
                <w:rFonts w:eastAsia="Calibri"/>
                <w:b/>
                <w:bCs/>
                <w:szCs w:val="20"/>
              </w:rPr>
            </w:pPr>
            <w:r w:rsidRPr="00BD35DB">
              <w:rPr>
                <w:rFonts w:eastAsia="Calibri"/>
                <w:b/>
                <w:bCs/>
                <w:szCs w:val="20"/>
              </w:rPr>
              <w:t xml:space="preserve">Wage Rate </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BD35DB" w:rsidR="00C6491F" w:rsidP="006B2AF4" w:rsidRDefault="00C6491F" w14:paraId="25611957" w14:textId="77777777">
            <w:pPr>
              <w:widowControl/>
              <w:adjustRightInd/>
              <w:jc w:val="center"/>
              <w:rPr>
                <w:rFonts w:eastAsia="Calibri"/>
                <w:b/>
                <w:bCs/>
                <w:szCs w:val="20"/>
              </w:rPr>
            </w:pPr>
          </w:p>
          <w:p w:rsidRPr="00BD35DB" w:rsidR="00C6491F" w:rsidP="006B2AF4" w:rsidRDefault="00C6491F" w14:paraId="1915DDB3" w14:textId="77777777">
            <w:pPr>
              <w:widowControl/>
              <w:adjustRightInd/>
              <w:jc w:val="center"/>
              <w:rPr>
                <w:rFonts w:eastAsia="Calibri"/>
                <w:b/>
                <w:bCs/>
                <w:szCs w:val="20"/>
              </w:rPr>
            </w:pPr>
            <w:r w:rsidRPr="00BD35DB">
              <w:rPr>
                <w:rFonts w:eastAsia="Calibri"/>
                <w:b/>
                <w:bCs/>
                <w:szCs w:val="20"/>
              </w:rPr>
              <w:t>Total Burden Costs</w:t>
            </w:r>
          </w:p>
        </w:tc>
      </w:tr>
      <w:tr w:rsidRPr="00BD35DB" w:rsidR="006B2AF4" w:rsidTr="004E7CD3" w14:paraId="4B71A5B0" w14:textId="77777777">
        <w:tc>
          <w:tcPr>
            <w:tcW w:w="20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D35DB" w:rsidR="00C6491F" w:rsidRDefault="00C6491F" w14:paraId="0F5D1D6B" w14:textId="77777777">
            <w:pPr>
              <w:widowControl/>
              <w:adjustRightInd/>
              <w:rPr>
                <w:rFonts w:eastAsia="Calibri"/>
                <w:b/>
                <w:bCs/>
                <w:szCs w:val="20"/>
              </w:rPr>
            </w:pPr>
            <w:r w:rsidRPr="00BD35DB">
              <w:rPr>
                <w:rFonts w:eastAsia="Calibri"/>
                <w:b/>
                <w:bCs/>
                <w:szCs w:val="20"/>
              </w:rPr>
              <w:t>RECORDKEEPING</w:t>
            </w:r>
          </w:p>
        </w:tc>
        <w:tc>
          <w:tcPr>
            <w:tcW w:w="1351" w:type="dxa"/>
            <w:tcBorders>
              <w:top w:val="nil"/>
              <w:left w:val="nil"/>
              <w:bottom w:val="single" w:color="auto" w:sz="8" w:space="0"/>
              <w:right w:val="single" w:color="auto" w:sz="8" w:space="0"/>
            </w:tcBorders>
            <w:shd w:val="clear" w:color="auto" w:fill="CCCCCC"/>
            <w:tcMar>
              <w:top w:w="0" w:type="dxa"/>
              <w:left w:w="108" w:type="dxa"/>
              <w:bottom w:w="0" w:type="dxa"/>
              <w:right w:w="108" w:type="dxa"/>
            </w:tcMar>
          </w:tcPr>
          <w:p w:rsidRPr="00BD35DB" w:rsidR="00C6491F" w:rsidRDefault="00C6491F" w14:paraId="023E4D71" w14:textId="77777777">
            <w:pPr>
              <w:widowControl/>
              <w:adjustRightInd/>
              <w:jc w:val="center"/>
              <w:rPr>
                <w:rFonts w:eastAsia="Calibri"/>
                <w:szCs w:val="20"/>
              </w:rPr>
            </w:pPr>
          </w:p>
        </w:tc>
        <w:tc>
          <w:tcPr>
            <w:tcW w:w="1350" w:type="dxa"/>
            <w:tcBorders>
              <w:top w:val="nil"/>
              <w:left w:val="nil"/>
              <w:bottom w:val="single" w:color="auto" w:sz="8" w:space="0"/>
              <w:right w:val="single" w:color="auto" w:sz="8" w:space="0"/>
            </w:tcBorders>
            <w:shd w:val="clear" w:color="auto" w:fill="CCCCCC"/>
            <w:tcMar>
              <w:top w:w="0" w:type="dxa"/>
              <w:left w:w="108" w:type="dxa"/>
              <w:bottom w:w="0" w:type="dxa"/>
              <w:right w:w="108" w:type="dxa"/>
            </w:tcMar>
            <w:vAlign w:val="center"/>
          </w:tcPr>
          <w:p w:rsidRPr="00BD35DB" w:rsidR="00C6491F" w:rsidRDefault="00C6491F" w14:paraId="2B2DAB0A" w14:textId="77777777">
            <w:pPr>
              <w:widowControl/>
              <w:adjustRightInd/>
              <w:jc w:val="center"/>
              <w:rPr>
                <w:rFonts w:eastAsia="Calibri"/>
                <w:szCs w:val="20"/>
              </w:rPr>
            </w:pPr>
          </w:p>
        </w:tc>
        <w:tc>
          <w:tcPr>
            <w:tcW w:w="1170" w:type="dxa"/>
            <w:tcBorders>
              <w:top w:val="nil"/>
              <w:left w:val="nil"/>
              <w:bottom w:val="single" w:color="auto" w:sz="8" w:space="0"/>
              <w:right w:val="single" w:color="auto" w:sz="8" w:space="0"/>
            </w:tcBorders>
            <w:shd w:val="clear" w:color="auto" w:fill="CCCCCC"/>
            <w:tcMar>
              <w:top w:w="0" w:type="dxa"/>
              <w:left w:w="108" w:type="dxa"/>
              <w:bottom w:w="0" w:type="dxa"/>
              <w:right w:w="108" w:type="dxa"/>
            </w:tcMar>
            <w:vAlign w:val="center"/>
          </w:tcPr>
          <w:p w:rsidRPr="00BD35DB" w:rsidR="00C6491F" w:rsidRDefault="00C6491F" w14:paraId="120760F3" w14:textId="77777777">
            <w:pPr>
              <w:widowControl/>
              <w:adjustRightInd/>
              <w:jc w:val="center"/>
              <w:rPr>
                <w:rFonts w:eastAsia="Calibri"/>
                <w:szCs w:val="20"/>
              </w:rPr>
            </w:pPr>
          </w:p>
        </w:tc>
        <w:tc>
          <w:tcPr>
            <w:tcW w:w="1440" w:type="dxa"/>
            <w:tcBorders>
              <w:top w:val="nil"/>
              <w:left w:val="nil"/>
              <w:bottom w:val="single" w:color="auto" w:sz="8" w:space="0"/>
              <w:right w:val="single" w:color="auto" w:sz="8" w:space="0"/>
            </w:tcBorders>
            <w:shd w:val="clear" w:color="auto" w:fill="CCCCCC"/>
            <w:tcMar>
              <w:top w:w="0" w:type="dxa"/>
              <w:left w:w="108" w:type="dxa"/>
              <w:bottom w:w="0" w:type="dxa"/>
              <w:right w:w="108" w:type="dxa"/>
            </w:tcMar>
            <w:vAlign w:val="center"/>
          </w:tcPr>
          <w:p w:rsidRPr="00BD35DB" w:rsidR="00C6491F" w:rsidRDefault="00C6491F" w14:paraId="401F0B3E" w14:textId="77777777">
            <w:pPr>
              <w:widowControl/>
              <w:adjustRightInd/>
              <w:jc w:val="center"/>
              <w:rPr>
                <w:rFonts w:eastAsia="Calibri"/>
                <w:szCs w:val="20"/>
              </w:rPr>
            </w:pPr>
          </w:p>
        </w:tc>
        <w:tc>
          <w:tcPr>
            <w:tcW w:w="990" w:type="dxa"/>
            <w:tcBorders>
              <w:top w:val="nil"/>
              <w:left w:val="nil"/>
              <w:bottom w:val="single" w:color="auto" w:sz="8" w:space="0"/>
              <w:right w:val="single" w:color="auto" w:sz="8" w:space="0"/>
            </w:tcBorders>
            <w:shd w:val="clear" w:color="auto" w:fill="CCCCCC"/>
            <w:tcMar>
              <w:top w:w="0" w:type="dxa"/>
              <w:left w:w="108" w:type="dxa"/>
              <w:bottom w:w="0" w:type="dxa"/>
              <w:right w:w="108" w:type="dxa"/>
            </w:tcMar>
          </w:tcPr>
          <w:p w:rsidRPr="00BD35DB" w:rsidR="00C6491F" w:rsidRDefault="00C6491F" w14:paraId="01FF0F83" w14:textId="77777777">
            <w:pPr>
              <w:widowControl/>
              <w:adjustRightInd/>
              <w:jc w:val="center"/>
              <w:rPr>
                <w:rFonts w:eastAsia="Calibri"/>
                <w:szCs w:val="20"/>
              </w:rPr>
            </w:pPr>
          </w:p>
        </w:tc>
        <w:tc>
          <w:tcPr>
            <w:tcW w:w="810" w:type="dxa"/>
            <w:tcBorders>
              <w:top w:val="nil"/>
              <w:left w:val="nil"/>
              <w:bottom w:val="single" w:color="auto" w:sz="8" w:space="0"/>
              <w:right w:val="single" w:color="auto" w:sz="8" w:space="0"/>
            </w:tcBorders>
            <w:shd w:val="clear" w:color="auto" w:fill="CCCCCC"/>
            <w:tcMar>
              <w:top w:w="0" w:type="dxa"/>
              <w:left w:w="108" w:type="dxa"/>
              <w:bottom w:w="0" w:type="dxa"/>
              <w:right w:w="108" w:type="dxa"/>
            </w:tcMar>
            <w:vAlign w:val="center"/>
          </w:tcPr>
          <w:p w:rsidRPr="00BD35DB" w:rsidR="00C6491F" w:rsidRDefault="00C6491F" w14:paraId="3102BABB" w14:textId="77777777">
            <w:pPr>
              <w:widowControl/>
              <w:adjustRightInd/>
              <w:jc w:val="center"/>
              <w:rPr>
                <w:rFonts w:eastAsia="Calibri"/>
                <w:szCs w:val="20"/>
              </w:rPr>
            </w:pPr>
          </w:p>
        </w:tc>
        <w:tc>
          <w:tcPr>
            <w:tcW w:w="1260" w:type="dxa"/>
            <w:tcBorders>
              <w:top w:val="nil"/>
              <w:left w:val="nil"/>
              <w:bottom w:val="single" w:color="auto" w:sz="8" w:space="0"/>
              <w:right w:val="single" w:color="auto" w:sz="8" w:space="0"/>
            </w:tcBorders>
            <w:shd w:val="clear" w:color="auto" w:fill="CCCCCC"/>
            <w:tcMar>
              <w:top w:w="0" w:type="dxa"/>
              <w:left w:w="108" w:type="dxa"/>
              <w:bottom w:w="0" w:type="dxa"/>
              <w:right w:w="108" w:type="dxa"/>
            </w:tcMar>
          </w:tcPr>
          <w:p w:rsidRPr="00BD35DB" w:rsidR="00C6491F" w:rsidRDefault="00C6491F" w14:paraId="50C25CDF" w14:textId="77777777">
            <w:pPr>
              <w:widowControl/>
              <w:adjustRightInd/>
              <w:jc w:val="center"/>
              <w:rPr>
                <w:rFonts w:eastAsia="Calibri"/>
                <w:szCs w:val="20"/>
              </w:rPr>
            </w:pPr>
          </w:p>
        </w:tc>
      </w:tr>
      <w:tr w:rsidRPr="00BD35DB" w:rsidR="006B2AF4" w:rsidTr="004E7CD3" w14:paraId="6D931C48" w14:textId="77777777">
        <w:tc>
          <w:tcPr>
            <w:tcW w:w="200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D35DB" w:rsidR="00FA328C" w:rsidP="00FA328C" w:rsidRDefault="00FA328C" w14:paraId="61EE2023" w14:textId="77777777">
            <w:pPr>
              <w:widowControl/>
              <w:adjustRightInd/>
              <w:rPr>
                <w:rFonts w:eastAsia="Calibri"/>
                <w:szCs w:val="20"/>
              </w:rPr>
            </w:pPr>
            <w:r w:rsidRPr="00BD35DB">
              <w:rPr>
                <w:rFonts w:eastAsia="Calibri"/>
                <w:szCs w:val="20"/>
              </w:rPr>
              <w:t>A.  Preservation of Records</w:t>
            </w:r>
          </w:p>
        </w:tc>
        <w:tc>
          <w:tcPr>
            <w:tcW w:w="1351" w:type="dxa"/>
            <w:tcBorders>
              <w:top w:val="nil"/>
              <w:left w:val="nil"/>
              <w:bottom w:val="single" w:color="auto" w:sz="8" w:space="0"/>
              <w:right w:val="single" w:color="auto" w:sz="8" w:space="0"/>
            </w:tcBorders>
            <w:tcMar>
              <w:top w:w="0" w:type="dxa"/>
              <w:left w:w="108" w:type="dxa"/>
              <w:bottom w:w="0" w:type="dxa"/>
              <w:right w:w="108" w:type="dxa"/>
            </w:tcMar>
          </w:tcPr>
          <w:p w:rsidRPr="00BD35DB" w:rsidR="00FA328C" w:rsidP="006B2AF4" w:rsidRDefault="00FA328C" w14:paraId="0753B855" w14:textId="77777777">
            <w:pPr>
              <w:widowControl/>
              <w:adjustRightInd/>
              <w:jc w:val="center"/>
              <w:rPr>
                <w:rFonts w:eastAsia="Calibri"/>
                <w:szCs w:val="20"/>
              </w:rPr>
            </w:pPr>
            <w:r w:rsidRPr="00BD35DB">
              <w:t>766,</w:t>
            </w:r>
            <w:r w:rsidR="006B2AF4">
              <w:t>6</w:t>
            </w:r>
            <w:r w:rsidRPr="00BD35DB">
              <w:t>8</w:t>
            </w:r>
            <w:r w:rsidR="00C844F4">
              <w:t>4</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BD35DB" w:rsidR="00FA328C" w:rsidP="006B2AF4" w:rsidRDefault="00FA328C" w14:paraId="31D351A6" w14:textId="77777777">
            <w:pPr>
              <w:widowControl/>
              <w:adjustRightInd/>
              <w:jc w:val="center"/>
              <w:rPr>
                <w:rFonts w:eastAsia="Calibri"/>
                <w:szCs w:val="20"/>
              </w:rPr>
            </w:pPr>
            <w:r w:rsidRPr="00BD35DB">
              <w:t>1</w:t>
            </w: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BD35DB" w:rsidR="00FA328C" w:rsidP="006B2AF4" w:rsidRDefault="00FA328C" w14:paraId="12F00CB2" w14:textId="77777777">
            <w:pPr>
              <w:widowControl/>
              <w:adjustRightInd/>
              <w:jc w:val="center"/>
              <w:rPr>
                <w:rFonts w:eastAsia="Calibri"/>
                <w:szCs w:val="20"/>
              </w:rPr>
            </w:pPr>
            <w:r w:rsidRPr="00BD35DB">
              <w:t>766,</w:t>
            </w:r>
            <w:r w:rsidR="006B2AF4">
              <w:t>6</w:t>
            </w:r>
            <w:r w:rsidRPr="00BD35DB">
              <w:t>8</w:t>
            </w:r>
            <w:r w:rsidR="00C844F4">
              <w:t>4</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BD35DB" w:rsidR="00FA328C" w:rsidP="006B2AF4" w:rsidRDefault="00013599" w14:paraId="1E23D5C5" w14:textId="77777777">
            <w:pPr>
              <w:widowControl/>
              <w:adjustRightInd/>
              <w:jc w:val="center"/>
              <w:rPr>
                <w:rFonts w:eastAsia="Calibri"/>
                <w:szCs w:val="20"/>
              </w:rPr>
            </w:pPr>
            <w:r>
              <w:t>10/60</w:t>
            </w:r>
          </w:p>
        </w:tc>
        <w:tc>
          <w:tcPr>
            <w:tcW w:w="990" w:type="dxa"/>
            <w:tcBorders>
              <w:top w:val="nil"/>
              <w:left w:val="nil"/>
              <w:bottom w:val="single" w:color="auto" w:sz="8" w:space="0"/>
              <w:right w:val="single" w:color="auto" w:sz="8" w:space="0"/>
            </w:tcBorders>
            <w:tcMar>
              <w:top w:w="0" w:type="dxa"/>
              <w:left w:w="108" w:type="dxa"/>
              <w:bottom w:w="0" w:type="dxa"/>
              <w:right w:w="108" w:type="dxa"/>
            </w:tcMar>
          </w:tcPr>
          <w:p w:rsidRPr="00BD35DB" w:rsidR="00FA328C" w:rsidP="006B2AF4" w:rsidRDefault="00FA328C" w14:paraId="5FCC9685" w14:textId="77777777">
            <w:pPr>
              <w:widowControl/>
              <w:adjustRightInd/>
              <w:jc w:val="center"/>
              <w:rPr>
                <w:rFonts w:eastAsia="Calibri"/>
                <w:szCs w:val="20"/>
              </w:rPr>
            </w:pPr>
            <w:r w:rsidRPr="00BD35DB">
              <w:t>127,7</w:t>
            </w:r>
            <w:r w:rsidR="003E4B64">
              <w:t>81</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rsidRPr="00BD35DB" w:rsidR="00FA328C" w:rsidP="006B2AF4" w:rsidRDefault="00FA328C" w14:paraId="46B74FBF" w14:textId="77777777">
            <w:pPr>
              <w:widowControl/>
              <w:adjustRightInd/>
              <w:jc w:val="center"/>
              <w:rPr>
                <w:rFonts w:eastAsia="Calibri"/>
                <w:szCs w:val="20"/>
              </w:rPr>
            </w:pPr>
            <w:r w:rsidRPr="00BD35DB">
              <w:t>$27.33</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BD35DB" w:rsidR="00FA328C" w:rsidP="006B2AF4" w:rsidRDefault="00FA328C" w14:paraId="017B2DA7" w14:textId="77777777">
            <w:pPr>
              <w:widowControl/>
              <w:adjustRightInd/>
              <w:jc w:val="center"/>
              <w:rPr>
                <w:rFonts w:eastAsia="Calibri"/>
                <w:szCs w:val="20"/>
              </w:rPr>
            </w:pPr>
            <w:r w:rsidRPr="00BD35DB">
              <w:t>$3,492,</w:t>
            </w:r>
            <w:r w:rsidR="003E4B64">
              <w:t>255</w:t>
            </w:r>
          </w:p>
        </w:tc>
      </w:tr>
      <w:tr w:rsidRPr="00BD35DB" w:rsidR="006B2AF4" w:rsidTr="004E7CD3" w14:paraId="1EB6440E" w14:textId="77777777">
        <w:tc>
          <w:tcPr>
            <w:tcW w:w="200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D35DB" w:rsidR="00FA328C" w:rsidP="00FA328C" w:rsidRDefault="00FA328C" w14:paraId="3FB0F456" w14:textId="77777777">
            <w:pPr>
              <w:widowControl/>
              <w:adjustRightInd/>
              <w:rPr>
                <w:rFonts w:eastAsia="Calibri"/>
                <w:b/>
                <w:bCs/>
                <w:szCs w:val="20"/>
              </w:rPr>
            </w:pPr>
            <w:r w:rsidRPr="00BD35DB">
              <w:rPr>
                <w:rFonts w:eastAsia="Calibri"/>
                <w:b/>
                <w:bCs/>
                <w:szCs w:val="20"/>
              </w:rPr>
              <w:t>3</w:t>
            </w:r>
            <w:r w:rsidRPr="00BD35DB">
              <w:rPr>
                <w:rFonts w:eastAsia="Calibri"/>
                <w:b/>
                <w:bCs/>
                <w:szCs w:val="20"/>
                <w:vertAlign w:val="superscript"/>
              </w:rPr>
              <w:t>RD</w:t>
            </w:r>
            <w:r w:rsidRPr="00BD35DB">
              <w:rPr>
                <w:rFonts w:eastAsia="Calibri"/>
                <w:b/>
                <w:bCs/>
                <w:szCs w:val="20"/>
              </w:rPr>
              <w:t xml:space="preserve"> PARTY NOTIFICATION</w:t>
            </w:r>
          </w:p>
        </w:tc>
        <w:tc>
          <w:tcPr>
            <w:tcW w:w="1351" w:type="dxa"/>
            <w:tcBorders>
              <w:top w:val="nil"/>
              <w:left w:val="nil"/>
              <w:bottom w:val="single" w:color="auto" w:sz="8" w:space="0"/>
              <w:right w:val="single" w:color="auto" w:sz="8" w:space="0"/>
            </w:tcBorders>
            <w:shd w:val="clear" w:color="auto" w:fill="CCCCCC"/>
            <w:tcMar>
              <w:top w:w="0" w:type="dxa"/>
              <w:left w:w="108" w:type="dxa"/>
              <w:bottom w:w="0" w:type="dxa"/>
              <w:right w:w="108" w:type="dxa"/>
            </w:tcMar>
          </w:tcPr>
          <w:p w:rsidRPr="00BD35DB" w:rsidR="00FA328C" w:rsidP="006B2AF4" w:rsidRDefault="00FA328C" w14:paraId="029A6821" w14:textId="77777777">
            <w:pPr>
              <w:widowControl/>
              <w:adjustRightInd/>
              <w:jc w:val="center"/>
              <w:rPr>
                <w:rFonts w:eastAsia="Calibri"/>
                <w:szCs w:val="20"/>
              </w:rPr>
            </w:pPr>
          </w:p>
        </w:tc>
        <w:tc>
          <w:tcPr>
            <w:tcW w:w="1350" w:type="dxa"/>
            <w:tcBorders>
              <w:top w:val="nil"/>
              <w:left w:val="nil"/>
              <w:bottom w:val="single" w:color="auto" w:sz="8" w:space="0"/>
              <w:right w:val="single" w:color="auto" w:sz="8" w:space="0"/>
            </w:tcBorders>
            <w:shd w:val="clear" w:color="auto" w:fill="CCCCCC"/>
            <w:tcMar>
              <w:top w:w="0" w:type="dxa"/>
              <w:left w:w="108" w:type="dxa"/>
              <w:bottom w:w="0" w:type="dxa"/>
              <w:right w:w="108" w:type="dxa"/>
            </w:tcMar>
          </w:tcPr>
          <w:p w:rsidRPr="00BD35DB" w:rsidR="00FA328C" w:rsidP="006B2AF4" w:rsidRDefault="00FA328C" w14:paraId="78996824" w14:textId="77777777">
            <w:pPr>
              <w:widowControl/>
              <w:adjustRightInd/>
              <w:jc w:val="center"/>
              <w:rPr>
                <w:rFonts w:eastAsia="Calibri"/>
                <w:szCs w:val="20"/>
              </w:rPr>
            </w:pPr>
          </w:p>
        </w:tc>
        <w:tc>
          <w:tcPr>
            <w:tcW w:w="1170" w:type="dxa"/>
            <w:tcBorders>
              <w:top w:val="nil"/>
              <w:left w:val="nil"/>
              <w:bottom w:val="single" w:color="auto" w:sz="8" w:space="0"/>
              <w:right w:val="single" w:color="auto" w:sz="8" w:space="0"/>
            </w:tcBorders>
            <w:shd w:val="clear" w:color="auto" w:fill="CCCCCC"/>
            <w:tcMar>
              <w:top w:w="0" w:type="dxa"/>
              <w:left w:w="108" w:type="dxa"/>
              <w:bottom w:w="0" w:type="dxa"/>
              <w:right w:w="108" w:type="dxa"/>
            </w:tcMar>
          </w:tcPr>
          <w:p w:rsidRPr="00BD35DB" w:rsidR="00FA328C" w:rsidP="006B2AF4" w:rsidRDefault="00FA328C" w14:paraId="303D2917" w14:textId="77777777">
            <w:pPr>
              <w:widowControl/>
              <w:adjustRightInd/>
              <w:jc w:val="center"/>
              <w:rPr>
                <w:rFonts w:eastAsia="Calibri"/>
                <w:szCs w:val="20"/>
              </w:rPr>
            </w:pPr>
          </w:p>
        </w:tc>
        <w:tc>
          <w:tcPr>
            <w:tcW w:w="1440" w:type="dxa"/>
            <w:tcBorders>
              <w:top w:val="nil"/>
              <w:left w:val="nil"/>
              <w:bottom w:val="single" w:color="auto" w:sz="8" w:space="0"/>
              <w:right w:val="single" w:color="auto" w:sz="8" w:space="0"/>
            </w:tcBorders>
            <w:shd w:val="clear" w:color="auto" w:fill="CCCCCC"/>
            <w:tcMar>
              <w:top w:w="0" w:type="dxa"/>
              <w:left w:w="108" w:type="dxa"/>
              <w:bottom w:w="0" w:type="dxa"/>
              <w:right w:w="108" w:type="dxa"/>
            </w:tcMar>
          </w:tcPr>
          <w:p w:rsidRPr="00BD35DB" w:rsidR="00FA328C" w:rsidP="006B2AF4" w:rsidRDefault="00FA328C" w14:paraId="355E1313" w14:textId="77777777">
            <w:pPr>
              <w:widowControl/>
              <w:adjustRightInd/>
              <w:jc w:val="center"/>
              <w:rPr>
                <w:rFonts w:eastAsia="Calibri"/>
                <w:szCs w:val="20"/>
              </w:rPr>
            </w:pPr>
          </w:p>
        </w:tc>
        <w:tc>
          <w:tcPr>
            <w:tcW w:w="990" w:type="dxa"/>
            <w:tcBorders>
              <w:top w:val="nil"/>
              <w:left w:val="nil"/>
              <w:bottom w:val="single" w:color="auto" w:sz="8" w:space="0"/>
              <w:right w:val="single" w:color="auto" w:sz="8" w:space="0"/>
            </w:tcBorders>
            <w:shd w:val="clear" w:color="auto" w:fill="CCCCCC"/>
            <w:tcMar>
              <w:top w:w="0" w:type="dxa"/>
              <w:left w:w="108" w:type="dxa"/>
              <w:bottom w:w="0" w:type="dxa"/>
              <w:right w:w="108" w:type="dxa"/>
            </w:tcMar>
          </w:tcPr>
          <w:p w:rsidRPr="00BD35DB" w:rsidR="00FA328C" w:rsidP="006B2AF4" w:rsidRDefault="00FA328C" w14:paraId="750E90D2" w14:textId="77777777">
            <w:pPr>
              <w:widowControl/>
              <w:adjustRightInd/>
              <w:jc w:val="center"/>
              <w:rPr>
                <w:rFonts w:eastAsia="Calibri"/>
                <w:szCs w:val="20"/>
              </w:rPr>
            </w:pPr>
          </w:p>
        </w:tc>
        <w:tc>
          <w:tcPr>
            <w:tcW w:w="810" w:type="dxa"/>
            <w:tcBorders>
              <w:top w:val="nil"/>
              <w:left w:val="nil"/>
              <w:bottom w:val="single" w:color="auto" w:sz="8" w:space="0"/>
              <w:right w:val="single" w:color="auto" w:sz="8" w:space="0"/>
            </w:tcBorders>
            <w:shd w:val="clear" w:color="auto" w:fill="CCCCCC"/>
            <w:tcMar>
              <w:top w:w="0" w:type="dxa"/>
              <w:left w:w="108" w:type="dxa"/>
              <w:bottom w:w="0" w:type="dxa"/>
              <w:right w:w="108" w:type="dxa"/>
            </w:tcMar>
          </w:tcPr>
          <w:p w:rsidRPr="00BD35DB" w:rsidR="00FA328C" w:rsidP="006B2AF4" w:rsidRDefault="00FA328C" w14:paraId="4AD6CF16" w14:textId="77777777">
            <w:pPr>
              <w:widowControl/>
              <w:adjustRightInd/>
              <w:jc w:val="center"/>
              <w:rPr>
                <w:rFonts w:eastAsia="Calibri"/>
                <w:szCs w:val="20"/>
              </w:rPr>
            </w:pPr>
          </w:p>
        </w:tc>
        <w:tc>
          <w:tcPr>
            <w:tcW w:w="1260" w:type="dxa"/>
            <w:tcBorders>
              <w:top w:val="nil"/>
              <w:left w:val="nil"/>
              <w:bottom w:val="single" w:color="auto" w:sz="8" w:space="0"/>
              <w:right w:val="single" w:color="auto" w:sz="8" w:space="0"/>
            </w:tcBorders>
            <w:shd w:val="clear" w:color="auto" w:fill="CCCCCC"/>
            <w:tcMar>
              <w:top w:w="0" w:type="dxa"/>
              <w:left w:w="108" w:type="dxa"/>
              <w:bottom w:w="0" w:type="dxa"/>
              <w:right w:w="108" w:type="dxa"/>
            </w:tcMar>
          </w:tcPr>
          <w:p w:rsidRPr="00BD35DB" w:rsidR="00FA328C" w:rsidP="006B2AF4" w:rsidRDefault="00FA328C" w14:paraId="2DD35024" w14:textId="77777777">
            <w:pPr>
              <w:widowControl/>
              <w:adjustRightInd/>
              <w:jc w:val="center"/>
              <w:rPr>
                <w:rFonts w:eastAsia="Calibri"/>
                <w:szCs w:val="20"/>
              </w:rPr>
            </w:pPr>
          </w:p>
        </w:tc>
      </w:tr>
      <w:tr w:rsidRPr="00BD35DB" w:rsidR="006B2AF4" w:rsidTr="004E7CD3" w14:paraId="03D8947E" w14:textId="77777777">
        <w:tc>
          <w:tcPr>
            <w:tcW w:w="200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D35DB" w:rsidR="00FA328C" w:rsidP="00FA328C" w:rsidRDefault="00FA328C" w14:paraId="515D91CB" w14:textId="77777777">
            <w:pPr>
              <w:widowControl/>
              <w:adjustRightInd/>
              <w:rPr>
                <w:rFonts w:eastAsia="Calibri"/>
                <w:szCs w:val="20"/>
              </w:rPr>
            </w:pPr>
            <w:r w:rsidRPr="00BD35DB">
              <w:rPr>
                <w:rFonts w:eastAsia="Calibri"/>
                <w:szCs w:val="20"/>
              </w:rPr>
              <w:t>B. Access to Records</w:t>
            </w:r>
          </w:p>
        </w:tc>
        <w:tc>
          <w:tcPr>
            <w:tcW w:w="1351" w:type="dxa"/>
            <w:tcBorders>
              <w:top w:val="nil"/>
              <w:left w:val="nil"/>
              <w:bottom w:val="single" w:color="auto" w:sz="8" w:space="0"/>
              <w:right w:val="single" w:color="auto" w:sz="8" w:space="0"/>
            </w:tcBorders>
            <w:shd w:val="clear" w:color="auto" w:fill="BFBFBF"/>
            <w:tcMar>
              <w:top w:w="0" w:type="dxa"/>
              <w:left w:w="108" w:type="dxa"/>
              <w:bottom w:w="0" w:type="dxa"/>
              <w:right w:w="108" w:type="dxa"/>
            </w:tcMar>
          </w:tcPr>
          <w:p w:rsidRPr="00BD35DB" w:rsidR="00FA328C" w:rsidP="006B2AF4" w:rsidRDefault="00FA328C" w14:paraId="0DAF083E" w14:textId="77777777">
            <w:pPr>
              <w:widowControl/>
              <w:adjustRightInd/>
              <w:jc w:val="center"/>
              <w:rPr>
                <w:rFonts w:eastAsia="Calibri"/>
                <w:color w:val="BFBFBF"/>
                <w:szCs w:val="20"/>
              </w:rPr>
            </w:pPr>
          </w:p>
        </w:tc>
        <w:tc>
          <w:tcPr>
            <w:tcW w:w="1350" w:type="dxa"/>
            <w:tcBorders>
              <w:top w:val="nil"/>
              <w:left w:val="nil"/>
              <w:bottom w:val="single" w:color="auto" w:sz="8" w:space="0"/>
              <w:right w:val="single" w:color="auto" w:sz="8" w:space="0"/>
            </w:tcBorders>
            <w:shd w:val="clear" w:color="auto" w:fill="BFBFBF"/>
            <w:tcMar>
              <w:top w:w="0" w:type="dxa"/>
              <w:left w:w="108" w:type="dxa"/>
              <w:bottom w:w="0" w:type="dxa"/>
              <w:right w:w="108" w:type="dxa"/>
            </w:tcMar>
          </w:tcPr>
          <w:p w:rsidRPr="00BD35DB" w:rsidR="00FA328C" w:rsidP="006B2AF4" w:rsidRDefault="00FA328C" w14:paraId="0EDBF0CB" w14:textId="77777777">
            <w:pPr>
              <w:widowControl/>
              <w:adjustRightInd/>
              <w:jc w:val="center"/>
              <w:rPr>
                <w:rFonts w:eastAsia="Calibri"/>
                <w:color w:val="BFBFBF"/>
                <w:szCs w:val="20"/>
              </w:rPr>
            </w:pPr>
          </w:p>
        </w:tc>
        <w:tc>
          <w:tcPr>
            <w:tcW w:w="1170" w:type="dxa"/>
            <w:tcBorders>
              <w:top w:val="nil"/>
              <w:left w:val="nil"/>
              <w:bottom w:val="single" w:color="auto" w:sz="8" w:space="0"/>
              <w:right w:val="single" w:color="auto" w:sz="8" w:space="0"/>
            </w:tcBorders>
            <w:shd w:val="clear" w:color="auto" w:fill="BFBFBF"/>
            <w:tcMar>
              <w:top w:w="0" w:type="dxa"/>
              <w:left w:w="108" w:type="dxa"/>
              <w:bottom w:w="0" w:type="dxa"/>
              <w:right w:w="108" w:type="dxa"/>
            </w:tcMar>
          </w:tcPr>
          <w:p w:rsidRPr="00BD35DB" w:rsidR="00FA328C" w:rsidP="006B2AF4" w:rsidRDefault="00FA328C" w14:paraId="26B14D0D" w14:textId="77777777">
            <w:pPr>
              <w:widowControl/>
              <w:adjustRightInd/>
              <w:jc w:val="center"/>
              <w:rPr>
                <w:rFonts w:eastAsia="Calibri"/>
                <w:color w:val="BFBFBF"/>
                <w:szCs w:val="20"/>
              </w:rPr>
            </w:pPr>
          </w:p>
        </w:tc>
        <w:tc>
          <w:tcPr>
            <w:tcW w:w="1440" w:type="dxa"/>
            <w:tcBorders>
              <w:top w:val="nil"/>
              <w:left w:val="nil"/>
              <w:bottom w:val="single" w:color="auto" w:sz="8" w:space="0"/>
              <w:right w:val="single" w:color="auto" w:sz="8" w:space="0"/>
            </w:tcBorders>
            <w:shd w:val="clear" w:color="auto" w:fill="BFBFBF"/>
            <w:tcMar>
              <w:top w:w="0" w:type="dxa"/>
              <w:left w:w="108" w:type="dxa"/>
              <w:bottom w:w="0" w:type="dxa"/>
              <w:right w:w="108" w:type="dxa"/>
            </w:tcMar>
          </w:tcPr>
          <w:p w:rsidRPr="00BD35DB" w:rsidR="00FA328C" w:rsidP="006B2AF4" w:rsidRDefault="00FA328C" w14:paraId="7AE5B320" w14:textId="77777777">
            <w:pPr>
              <w:widowControl/>
              <w:adjustRightInd/>
              <w:jc w:val="center"/>
              <w:rPr>
                <w:rFonts w:eastAsia="Calibri"/>
                <w:color w:val="BFBFBF"/>
                <w:szCs w:val="20"/>
              </w:rPr>
            </w:pPr>
          </w:p>
        </w:tc>
        <w:tc>
          <w:tcPr>
            <w:tcW w:w="990" w:type="dxa"/>
            <w:tcBorders>
              <w:top w:val="nil"/>
              <w:left w:val="nil"/>
              <w:bottom w:val="single" w:color="auto" w:sz="8" w:space="0"/>
              <w:right w:val="single" w:color="auto" w:sz="8" w:space="0"/>
            </w:tcBorders>
            <w:shd w:val="clear" w:color="auto" w:fill="BFBFBF"/>
            <w:tcMar>
              <w:top w:w="0" w:type="dxa"/>
              <w:left w:w="108" w:type="dxa"/>
              <w:bottom w:w="0" w:type="dxa"/>
              <w:right w:w="108" w:type="dxa"/>
            </w:tcMar>
          </w:tcPr>
          <w:p w:rsidRPr="00BD35DB" w:rsidR="00FA328C" w:rsidP="006B2AF4" w:rsidRDefault="00FA328C" w14:paraId="5915D6CC" w14:textId="77777777">
            <w:pPr>
              <w:widowControl/>
              <w:adjustRightInd/>
              <w:jc w:val="center"/>
              <w:rPr>
                <w:rFonts w:eastAsia="Calibri"/>
                <w:color w:val="BFBFBF"/>
                <w:szCs w:val="20"/>
              </w:rPr>
            </w:pPr>
          </w:p>
        </w:tc>
        <w:tc>
          <w:tcPr>
            <w:tcW w:w="810" w:type="dxa"/>
            <w:tcBorders>
              <w:top w:val="nil"/>
              <w:left w:val="nil"/>
              <w:bottom w:val="single" w:color="auto" w:sz="8" w:space="0"/>
              <w:right w:val="single" w:color="auto" w:sz="8" w:space="0"/>
            </w:tcBorders>
            <w:shd w:val="clear" w:color="auto" w:fill="BFBFBF"/>
            <w:tcMar>
              <w:top w:w="0" w:type="dxa"/>
              <w:left w:w="108" w:type="dxa"/>
              <w:bottom w:w="0" w:type="dxa"/>
              <w:right w:w="108" w:type="dxa"/>
            </w:tcMar>
          </w:tcPr>
          <w:p w:rsidRPr="00BD35DB" w:rsidR="00FA328C" w:rsidP="006B2AF4" w:rsidRDefault="00FA328C" w14:paraId="35DE39D6" w14:textId="77777777">
            <w:pPr>
              <w:widowControl/>
              <w:adjustRightInd/>
              <w:jc w:val="center"/>
              <w:rPr>
                <w:rFonts w:eastAsia="Calibri"/>
                <w:color w:val="BFBFBF"/>
                <w:szCs w:val="20"/>
              </w:rPr>
            </w:pPr>
          </w:p>
        </w:tc>
        <w:tc>
          <w:tcPr>
            <w:tcW w:w="1260" w:type="dxa"/>
            <w:tcBorders>
              <w:top w:val="nil"/>
              <w:left w:val="nil"/>
              <w:bottom w:val="single" w:color="auto" w:sz="8" w:space="0"/>
              <w:right w:val="single" w:color="auto" w:sz="8" w:space="0"/>
            </w:tcBorders>
            <w:shd w:val="clear" w:color="auto" w:fill="BFBFBF"/>
            <w:tcMar>
              <w:top w:w="0" w:type="dxa"/>
              <w:left w:w="108" w:type="dxa"/>
              <w:bottom w:w="0" w:type="dxa"/>
              <w:right w:w="108" w:type="dxa"/>
            </w:tcMar>
          </w:tcPr>
          <w:p w:rsidRPr="00BD35DB" w:rsidR="00FA328C" w:rsidP="006B2AF4" w:rsidRDefault="00FA328C" w14:paraId="295D8589" w14:textId="77777777">
            <w:pPr>
              <w:widowControl/>
              <w:adjustRightInd/>
              <w:jc w:val="center"/>
              <w:rPr>
                <w:rFonts w:eastAsia="Calibri"/>
                <w:color w:val="BFBFBF"/>
                <w:szCs w:val="20"/>
              </w:rPr>
            </w:pPr>
          </w:p>
        </w:tc>
      </w:tr>
      <w:tr w:rsidRPr="00BD35DB" w:rsidR="006B2AF4" w:rsidTr="004E7CD3" w14:paraId="1A393C9C" w14:textId="77777777">
        <w:trPr>
          <w:trHeight w:val="1185"/>
        </w:trPr>
        <w:tc>
          <w:tcPr>
            <w:tcW w:w="200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BD35DB" w:rsidR="00A439D3" w:rsidP="00A439D3" w:rsidRDefault="00A439D3" w14:paraId="26C55056" w14:textId="77777777">
            <w:pPr>
              <w:widowControl/>
              <w:adjustRightInd/>
              <w:rPr>
                <w:rFonts w:eastAsia="Calibri"/>
                <w:szCs w:val="20"/>
              </w:rPr>
            </w:pPr>
            <w:r w:rsidRPr="00BD35DB">
              <w:rPr>
                <w:rFonts w:eastAsia="Calibri"/>
                <w:szCs w:val="20"/>
              </w:rPr>
              <w:t>B.1. Access by employees/ designated representatives</w:t>
            </w:r>
          </w:p>
          <w:p w:rsidRPr="00BD35DB" w:rsidR="00A439D3" w:rsidP="00A439D3" w:rsidRDefault="00A439D3" w14:paraId="7AA7AD4F" w14:textId="77777777">
            <w:pPr>
              <w:widowControl/>
              <w:adjustRightInd/>
              <w:rPr>
                <w:rFonts w:eastAsia="Calibri"/>
                <w:szCs w:val="20"/>
              </w:rPr>
            </w:pPr>
          </w:p>
        </w:tc>
        <w:tc>
          <w:tcPr>
            <w:tcW w:w="1351"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6B2AF4" w14:paraId="0DB0A723" w14:textId="77777777">
            <w:pPr>
              <w:widowControl/>
              <w:adjustRightInd/>
              <w:jc w:val="center"/>
              <w:rPr>
                <w:rFonts w:eastAsia="Calibri"/>
                <w:szCs w:val="20"/>
              </w:rPr>
            </w:pPr>
            <w:r>
              <w:t>766,6</w:t>
            </w:r>
            <w:r w:rsidRPr="00BD35DB" w:rsidR="00A439D3">
              <w:t>8</w:t>
            </w:r>
            <w:r w:rsidR="00A439D3">
              <w:t>4</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4D08B1DF" w14:textId="77777777">
            <w:pPr>
              <w:widowControl/>
              <w:adjustRightInd/>
              <w:jc w:val="center"/>
              <w:rPr>
                <w:rFonts w:eastAsia="Calibri"/>
                <w:szCs w:val="20"/>
              </w:rPr>
            </w:pPr>
            <w:r w:rsidRPr="00BD35DB">
              <w:t>2</w:t>
            </w: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619C8EC7" w14:textId="77777777">
            <w:pPr>
              <w:widowControl/>
              <w:adjustRightInd/>
              <w:jc w:val="center"/>
              <w:rPr>
                <w:rFonts w:eastAsia="Calibri"/>
                <w:szCs w:val="20"/>
              </w:rPr>
            </w:pPr>
            <w:r w:rsidRPr="00BD35DB">
              <w:t>1,533</w:t>
            </w:r>
            <w:r w:rsidR="003E4B64">
              <w:t>,368</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013599" w14:paraId="4E1E4F2B" w14:textId="77777777">
            <w:pPr>
              <w:widowControl/>
              <w:adjustRightInd/>
              <w:jc w:val="center"/>
              <w:rPr>
                <w:rFonts w:eastAsia="Calibri"/>
                <w:szCs w:val="20"/>
              </w:rPr>
            </w:pPr>
            <w:r>
              <w:t>5/60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6B2AF4" w:rsidR="00A439D3" w:rsidP="006B2AF4" w:rsidRDefault="00A439D3" w14:paraId="7BD00D84" w14:textId="77777777">
            <w:pPr>
              <w:widowControl/>
              <w:adjustRightInd/>
              <w:jc w:val="center"/>
            </w:pPr>
            <w:r w:rsidRPr="006B2AF4">
              <w:t>127,781</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3E4B64" w14:paraId="77A38C8B" w14:textId="77777777">
            <w:pPr>
              <w:widowControl/>
              <w:adjustRightInd/>
              <w:jc w:val="center"/>
              <w:rPr>
                <w:rFonts w:eastAsia="Calibri"/>
                <w:szCs w:val="20"/>
              </w:rPr>
            </w:pPr>
            <w:r>
              <w:t>$</w:t>
            </w:r>
            <w:r w:rsidRPr="00BD35DB" w:rsidR="00A439D3">
              <w:t>86.82</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BD35DB" w:rsidR="00A439D3" w:rsidP="006B2AF4" w:rsidRDefault="00A439D3" w14:paraId="5853999F" w14:textId="77777777">
            <w:pPr>
              <w:widowControl/>
              <w:adjustRightInd/>
              <w:jc w:val="center"/>
              <w:rPr>
                <w:rFonts w:eastAsia="Calibri"/>
                <w:szCs w:val="20"/>
              </w:rPr>
            </w:pPr>
            <w:r>
              <w:rPr>
                <w:color w:val="000000"/>
                <w:szCs w:val="20"/>
              </w:rPr>
              <w:t>$11,093,946</w:t>
            </w:r>
          </w:p>
        </w:tc>
      </w:tr>
      <w:tr w:rsidRPr="00BD35DB" w:rsidR="006B2AF4" w:rsidTr="004E7CD3" w14:paraId="4F53CDBA" w14:textId="77777777">
        <w:trPr>
          <w:trHeight w:val="633"/>
        </w:trPr>
        <w:tc>
          <w:tcPr>
            <w:tcW w:w="200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D35DB" w:rsidR="00A439D3" w:rsidP="00A439D3" w:rsidRDefault="00A439D3" w14:paraId="20D6E9F7" w14:textId="77777777">
            <w:pPr>
              <w:widowControl/>
              <w:adjustRightInd/>
              <w:rPr>
                <w:rFonts w:eastAsia="Calibri"/>
                <w:szCs w:val="20"/>
              </w:rPr>
            </w:pPr>
            <w:r w:rsidRPr="00BD35DB">
              <w:rPr>
                <w:rFonts w:eastAsia="Calibri"/>
                <w:szCs w:val="20"/>
              </w:rPr>
              <w:t>B.2. Written Authorization</w:t>
            </w:r>
          </w:p>
        </w:tc>
        <w:tc>
          <w:tcPr>
            <w:tcW w:w="1351"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6FDA7288" w14:textId="77777777">
            <w:pPr>
              <w:widowControl/>
              <w:adjustRightInd/>
              <w:jc w:val="center"/>
              <w:rPr>
                <w:rFonts w:eastAsia="Calibri"/>
                <w:szCs w:val="20"/>
              </w:rPr>
            </w:pPr>
            <w:r w:rsidRPr="00BD35DB">
              <w:t>7,66</w:t>
            </w:r>
            <w:r w:rsidR="003E4B64">
              <w:t>7</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2A68C863" w14:textId="77777777">
            <w:pPr>
              <w:widowControl/>
              <w:adjustRightInd/>
              <w:jc w:val="center"/>
              <w:rPr>
                <w:rFonts w:eastAsia="Calibri"/>
                <w:szCs w:val="20"/>
              </w:rPr>
            </w:pPr>
            <w:r w:rsidRPr="00BD35DB">
              <w:t>2</w:t>
            </w: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10DC56E8" w14:textId="77777777">
            <w:pPr>
              <w:widowControl/>
              <w:adjustRightInd/>
              <w:jc w:val="center"/>
              <w:rPr>
                <w:rFonts w:eastAsia="Calibri"/>
                <w:szCs w:val="20"/>
              </w:rPr>
            </w:pPr>
            <w:r w:rsidRPr="00BD35DB">
              <w:t>15,33</w:t>
            </w:r>
            <w:r w:rsidR="003E4B64">
              <w:t>4</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013599" w14:paraId="6FFECD0F" w14:textId="77777777">
            <w:pPr>
              <w:widowControl/>
              <w:adjustRightInd/>
              <w:jc w:val="center"/>
              <w:rPr>
                <w:rFonts w:eastAsia="Calibri"/>
                <w:szCs w:val="20"/>
              </w:rPr>
            </w:pPr>
            <w:r>
              <w:t>5/60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6B2AF4" w:rsidR="00A439D3" w:rsidP="006B2AF4" w:rsidRDefault="00A439D3" w14:paraId="1D0D9CEE" w14:textId="77777777">
            <w:pPr>
              <w:widowControl/>
              <w:adjustRightInd/>
              <w:jc w:val="center"/>
            </w:pPr>
            <w:r w:rsidRPr="006B2AF4">
              <w:t>1,278</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3E4B64" w14:paraId="2E4A2044" w14:textId="77777777">
            <w:pPr>
              <w:widowControl/>
              <w:adjustRightInd/>
              <w:jc w:val="center"/>
              <w:rPr>
                <w:rFonts w:eastAsia="Calibri"/>
                <w:szCs w:val="20"/>
              </w:rPr>
            </w:pPr>
            <w:r>
              <w:t>$</w:t>
            </w:r>
            <w:r w:rsidRPr="00BD35DB" w:rsidR="00A439D3">
              <w:t>86.82</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BD35DB" w:rsidR="00A439D3" w:rsidP="006B2AF4" w:rsidRDefault="00A439D3" w14:paraId="6CC4A751" w14:textId="77777777">
            <w:pPr>
              <w:widowControl/>
              <w:adjustRightInd/>
              <w:jc w:val="center"/>
              <w:rPr>
                <w:rFonts w:eastAsia="Calibri"/>
                <w:szCs w:val="20"/>
              </w:rPr>
            </w:pPr>
            <w:r>
              <w:rPr>
                <w:color w:val="000000"/>
                <w:szCs w:val="20"/>
              </w:rPr>
              <w:t>$110,956</w:t>
            </w:r>
          </w:p>
        </w:tc>
      </w:tr>
      <w:tr w:rsidRPr="00BD35DB" w:rsidR="006B2AF4" w:rsidTr="004E7CD3" w14:paraId="49742162" w14:textId="77777777">
        <w:trPr>
          <w:trHeight w:val="253"/>
        </w:trPr>
        <w:tc>
          <w:tcPr>
            <w:tcW w:w="200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D35DB" w:rsidR="00A439D3" w:rsidP="00A439D3" w:rsidRDefault="00A439D3" w14:paraId="5D0849C9" w14:textId="77777777">
            <w:pPr>
              <w:widowControl/>
              <w:adjustRightInd/>
              <w:rPr>
                <w:rFonts w:eastAsia="Calibri"/>
                <w:b/>
                <w:szCs w:val="20"/>
              </w:rPr>
            </w:pPr>
            <w:r w:rsidRPr="00BD35DB">
              <w:rPr>
                <w:rFonts w:eastAsia="Calibri"/>
                <w:b/>
                <w:szCs w:val="20"/>
              </w:rPr>
              <w:t>Total for B.</w:t>
            </w:r>
          </w:p>
        </w:tc>
        <w:tc>
          <w:tcPr>
            <w:tcW w:w="1351"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22038F78" w14:textId="77777777">
            <w:pPr>
              <w:widowControl/>
              <w:adjustRightInd/>
              <w:jc w:val="center"/>
              <w:rPr>
                <w:rFonts w:eastAsia="Calibri"/>
                <w:szCs w:val="20"/>
              </w:rPr>
            </w:pP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7DA3B433" w14:textId="77777777">
            <w:pPr>
              <w:widowControl/>
              <w:adjustRightInd/>
              <w:jc w:val="center"/>
              <w:rPr>
                <w:rFonts w:eastAsia="Calibri"/>
                <w:szCs w:val="20"/>
              </w:rPr>
            </w:pP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430C29" w:rsidR="00A439D3" w:rsidP="006B2AF4" w:rsidRDefault="00A439D3" w14:paraId="0C44FEEB" w14:textId="77777777">
            <w:pPr>
              <w:widowControl/>
              <w:adjustRightInd/>
              <w:jc w:val="center"/>
              <w:rPr>
                <w:rFonts w:eastAsia="Calibri"/>
                <w:b/>
                <w:bCs/>
                <w:szCs w:val="20"/>
              </w:rPr>
            </w:pPr>
            <w:r w:rsidRPr="004335B6">
              <w:t>1,548,</w:t>
            </w:r>
            <w:r w:rsidRPr="004335B6" w:rsidR="003A2DD8">
              <w:t>7</w:t>
            </w:r>
            <w:r w:rsidRPr="00430C29">
              <w:t>02</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4DF4308C" w14:textId="77777777">
            <w:pPr>
              <w:widowControl/>
              <w:adjustRightInd/>
              <w:jc w:val="center"/>
              <w:rPr>
                <w:rFonts w:eastAsia="Calibri"/>
                <w:szCs w:val="20"/>
              </w:rPr>
            </w:pP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BD35DB" w:rsidR="00A439D3" w:rsidP="006B2AF4" w:rsidRDefault="00A439D3" w14:paraId="2BF74706" w14:textId="77777777">
            <w:pPr>
              <w:widowControl/>
              <w:adjustRightInd/>
              <w:jc w:val="center"/>
              <w:rPr>
                <w:rFonts w:eastAsia="Calibri"/>
                <w:b/>
                <w:bCs/>
                <w:szCs w:val="20"/>
              </w:rPr>
            </w:pPr>
            <w:r>
              <w:rPr>
                <w:b/>
                <w:bCs/>
                <w:color w:val="000000"/>
                <w:szCs w:val="20"/>
              </w:rPr>
              <w:t>129,059</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486C74B1" w14:textId="77777777">
            <w:pPr>
              <w:widowControl/>
              <w:adjustRightInd/>
              <w:jc w:val="center"/>
              <w:rPr>
                <w:rFonts w:eastAsia="Calibri"/>
                <w:szCs w:val="20"/>
              </w:rPr>
            </w:pP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BD35DB" w:rsidR="00A439D3" w:rsidP="006B2AF4" w:rsidRDefault="00A439D3" w14:paraId="03C57708" w14:textId="77777777">
            <w:pPr>
              <w:widowControl/>
              <w:adjustRightInd/>
              <w:jc w:val="center"/>
              <w:rPr>
                <w:rFonts w:eastAsia="Calibri"/>
                <w:b/>
                <w:bCs/>
                <w:szCs w:val="20"/>
              </w:rPr>
            </w:pPr>
            <w:r>
              <w:rPr>
                <w:b/>
                <w:bCs/>
                <w:color w:val="000000"/>
                <w:szCs w:val="20"/>
              </w:rPr>
              <w:t>$11,204,902</w:t>
            </w:r>
          </w:p>
        </w:tc>
      </w:tr>
      <w:tr w:rsidRPr="00BD35DB" w:rsidR="006B2AF4" w:rsidTr="004E7CD3" w14:paraId="4A5AD187" w14:textId="77777777">
        <w:trPr>
          <w:trHeight w:val="812"/>
        </w:trPr>
        <w:tc>
          <w:tcPr>
            <w:tcW w:w="200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D35DB" w:rsidR="00A439D3" w:rsidP="00A439D3" w:rsidRDefault="00A439D3" w14:paraId="07317E47" w14:textId="77777777">
            <w:pPr>
              <w:widowControl/>
              <w:adjustRightInd/>
              <w:rPr>
                <w:rFonts w:eastAsia="Calibri"/>
                <w:szCs w:val="20"/>
              </w:rPr>
            </w:pPr>
            <w:r w:rsidRPr="00BD35DB">
              <w:rPr>
                <w:rFonts w:eastAsia="Calibri"/>
                <w:szCs w:val="20"/>
              </w:rPr>
              <w:t>C.  Trade Secrets</w:t>
            </w:r>
          </w:p>
        </w:tc>
        <w:tc>
          <w:tcPr>
            <w:tcW w:w="1351"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10C61CD3" w14:textId="77777777">
            <w:pPr>
              <w:widowControl/>
              <w:adjustRightInd/>
              <w:jc w:val="center"/>
              <w:rPr>
                <w:rFonts w:eastAsia="Calibri"/>
                <w:szCs w:val="20"/>
              </w:rPr>
            </w:pPr>
            <w:r w:rsidRPr="00BD35DB">
              <w:t>76,6</w:t>
            </w:r>
            <w:r w:rsidR="003E4B64">
              <w:t>6</w:t>
            </w:r>
            <w:r w:rsidRPr="00BD35DB">
              <w:t>8</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1B4C7284" w14:textId="77777777">
            <w:pPr>
              <w:widowControl/>
              <w:adjustRightInd/>
              <w:jc w:val="center"/>
              <w:rPr>
                <w:rFonts w:eastAsia="Calibri"/>
                <w:szCs w:val="20"/>
              </w:rPr>
            </w:pPr>
            <w:r w:rsidRPr="00BD35DB">
              <w:t>1</w:t>
            </w: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5ED1FDB4" w14:textId="77777777">
            <w:pPr>
              <w:widowControl/>
              <w:adjustRightInd/>
              <w:jc w:val="center"/>
              <w:rPr>
                <w:rFonts w:eastAsia="Calibri"/>
                <w:szCs w:val="20"/>
              </w:rPr>
            </w:pPr>
            <w:r w:rsidRPr="00BD35DB">
              <w:t>76,6</w:t>
            </w:r>
            <w:r w:rsidR="003E4B64">
              <w:t>6</w:t>
            </w:r>
            <w:r w:rsidRPr="00BD35DB">
              <w:t>8</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38FED4BB" w14:textId="77777777">
            <w:pPr>
              <w:widowControl/>
              <w:adjustRightInd/>
              <w:jc w:val="center"/>
              <w:rPr>
                <w:rFonts w:eastAsia="Calibri"/>
                <w:szCs w:val="20"/>
              </w:rPr>
            </w:pPr>
            <w:r w:rsidRPr="00BD35DB">
              <w:t>1</w:t>
            </w:r>
          </w:p>
        </w:tc>
        <w:tc>
          <w:tcPr>
            <w:tcW w:w="990" w:type="dxa"/>
            <w:tcBorders>
              <w:top w:val="nil"/>
              <w:left w:val="nil"/>
              <w:bottom w:val="single" w:color="auto" w:sz="4" w:space="0"/>
              <w:right w:val="single" w:color="auto" w:sz="8" w:space="0"/>
            </w:tcBorders>
            <w:shd w:val="clear" w:color="auto" w:fill="auto"/>
            <w:tcMar>
              <w:top w:w="0" w:type="dxa"/>
              <w:left w:w="108" w:type="dxa"/>
              <w:bottom w:w="0" w:type="dxa"/>
              <w:right w:w="108" w:type="dxa"/>
            </w:tcMar>
          </w:tcPr>
          <w:p w:rsidRPr="00BD35DB" w:rsidR="00A439D3" w:rsidP="006B2AF4" w:rsidRDefault="00A439D3" w14:paraId="2333EAD1" w14:textId="77777777">
            <w:pPr>
              <w:widowControl/>
              <w:adjustRightInd/>
              <w:jc w:val="center"/>
              <w:rPr>
                <w:rFonts w:eastAsia="Calibri"/>
                <w:szCs w:val="20"/>
              </w:rPr>
            </w:pPr>
            <w:r>
              <w:rPr>
                <w:b/>
                <w:bCs/>
                <w:color w:val="000000"/>
                <w:szCs w:val="20"/>
              </w:rPr>
              <w:t>76,668</w:t>
            </w:r>
          </w:p>
        </w:tc>
        <w:tc>
          <w:tcPr>
            <w:tcW w:w="810" w:type="dxa"/>
            <w:tcBorders>
              <w:top w:val="nil"/>
              <w:left w:val="nil"/>
              <w:bottom w:val="single" w:color="auto" w:sz="4" w:space="0"/>
              <w:right w:val="single" w:color="auto" w:sz="8" w:space="0"/>
            </w:tcBorders>
            <w:tcMar>
              <w:top w:w="0" w:type="dxa"/>
              <w:left w:w="108" w:type="dxa"/>
              <w:bottom w:w="0" w:type="dxa"/>
              <w:right w:w="108" w:type="dxa"/>
            </w:tcMar>
          </w:tcPr>
          <w:p w:rsidRPr="00BD35DB" w:rsidR="00A439D3" w:rsidP="006B2AF4" w:rsidRDefault="003E4B64" w14:paraId="19C42873" w14:textId="77777777">
            <w:pPr>
              <w:widowControl/>
              <w:adjustRightInd/>
              <w:jc w:val="center"/>
              <w:rPr>
                <w:rFonts w:eastAsia="Calibri"/>
                <w:szCs w:val="20"/>
              </w:rPr>
            </w:pPr>
            <w:r>
              <w:t>$</w:t>
            </w:r>
            <w:r w:rsidRPr="00BD35DB" w:rsidR="00A439D3">
              <w:t>86.82</w:t>
            </w:r>
          </w:p>
        </w:tc>
        <w:tc>
          <w:tcPr>
            <w:tcW w:w="1260" w:type="dxa"/>
            <w:tcBorders>
              <w:top w:val="nil"/>
              <w:left w:val="nil"/>
              <w:bottom w:val="single" w:color="auto" w:sz="4" w:space="0"/>
              <w:right w:val="single" w:color="auto" w:sz="8" w:space="0"/>
            </w:tcBorders>
            <w:shd w:val="clear" w:color="auto" w:fill="auto"/>
            <w:tcMar>
              <w:top w:w="0" w:type="dxa"/>
              <w:left w:w="108" w:type="dxa"/>
              <w:bottom w:w="0" w:type="dxa"/>
              <w:right w:w="108" w:type="dxa"/>
            </w:tcMar>
          </w:tcPr>
          <w:p w:rsidRPr="00BD35DB" w:rsidR="00A439D3" w:rsidP="006B2AF4" w:rsidRDefault="00A439D3" w14:paraId="1550730F" w14:textId="77777777">
            <w:pPr>
              <w:widowControl/>
              <w:adjustRightInd/>
              <w:jc w:val="center"/>
              <w:rPr>
                <w:rFonts w:eastAsia="Calibri"/>
                <w:szCs w:val="20"/>
              </w:rPr>
            </w:pPr>
            <w:r>
              <w:rPr>
                <w:b/>
                <w:bCs/>
                <w:color w:val="000000"/>
                <w:szCs w:val="20"/>
              </w:rPr>
              <w:t>$6,656,316</w:t>
            </w:r>
          </w:p>
        </w:tc>
      </w:tr>
      <w:tr w:rsidRPr="00BD35DB" w:rsidR="006B2AF4" w:rsidTr="004E7CD3" w14:paraId="2E336F27" w14:textId="77777777">
        <w:trPr>
          <w:trHeight w:val="599"/>
        </w:trPr>
        <w:tc>
          <w:tcPr>
            <w:tcW w:w="200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D35DB" w:rsidR="00FA328C" w:rsidP="00FA328C" w:rsidRDefault="00FA328C" w14:paraId="19250209" w14:textId="77777777">
            <w:pPr>
              <w:widowControl/>
              <w:adjustRightInd/>
              <w:rPr>
                <w:rFonts w:eastAsia="Calibri"/>
                <w:szCs w:val="20"/>
              </w:rPr>
            </w:pPr>
            <w:r w:rsidRPr="00BD35DB">
              <w:rPr>
                <w:rFonts w:eastAsia="Calibri"/>
                <w:szCs w:val="20"/>
              </w:rPr>
              <w:t>D.  Employee Information</w:t>
            </w:r>
          </w:p>
        </w:tc>
        <w:tc>
          <w:tcPr>
            <w:tcW w:w="1351" w:type="dxa"/>
            <w:tcBorders>
              <w:top w:val="nil"/>
              <w:left w:val="nil"/>
              <w:bottom w:val="single" w:color="auto" w:sz="8" w:space="0"/>
              <w:right w:val="single" w:color="auto" w:sz="8" w:space="0"/>
            </w:tcBorders>
            <w:shd w:val="clear" w:color="auto" w:fill="CCCCCC"/>
            <w:tcMar>
              <w:top w:w="0" w:type="dxa"/>
              <w:left w:w="108" w:type="dxa"/>
              <w:bottom w:w="0" w:type="dxa"/>
              <w:right w:w="108" w:type="dxa"/>
            </w:tcMar>
          </w:tcPr>
          <w:p w:rsidRPr="00BD35DB" w:rsidR="00FA328C" w:rsidP="006B2AF4" w:rsidRDefault="00FA328C" w14:paraId="3BCBCC84" w14:textId="77777777">
            <w:pPr>
              <w:widowControl/>
              <w:adjustRightInd/>
              <w:jc w:val="center"/>
              <w:rPr>
                <w:rFonts w:eastAsia="Calibri"/>
                <w:szCs w:val="20"/>
              </w:rPr>
            </w:pPr>
          </w:p>
        </w:tc>
        <w:tc>
          <w:tcPr>
            <w:tcW w:w="1350" w:type="dxa"/>
            <w:tcBorders>
              <w:top w:val="nil"/>
              <w:left w:val="nil"/>
              <w:bottom w:val="single" w:color="auto" w:sz="8" w:space="0"/>
              <w:right w:val="single" w:color="auto" w:sz="8" w:space="0"/>
            </w:tcBorders>
            <w:shd w:val="clear" w:color="auto" w:fill="CCCCCC"/>
            <w:tcMar>
              <w:top w:w="0" w:type="dxa"/>
              <w:left w:w="108" w:type="dxa"/>
              <w:bottom w:w="0" w:type="dxa"/>
              <w:right w:w="108" w:type="dxa"/>
            </w:tcMar>
          </w:tcPr>
          <w:p w:rsidRPr="00BD35DB" w:rsidR="00FA328C" w:rsidP="006B2AF4" w:rsidRDefault="00FA328C" w14:paraId="1471B51A" w14:textId="77777777">
            <w:pPr>
              <w:widowControl/>
              <w:adjustRightInd/>
              <w:jc w:val="center"/>
              <w:rPr>
                <w:rFonts w:eastAsia="Calibri"/>
                <w:szCs w:val="20"/>
              </w:rPr>
            </w:pPr>
          </w:p>
        </w:tc>
        <w:tc>
          <w:tcPr>
            <w:tcW w:w="1170" w:type="dxa"/>
            <w:tcBorders>
              <w:top w:val="nil"/>
              <w:left w:val="nil"/>
              <w:bottom w:val="single" w:color="auto" w:sz="8" w:space="0"/>
              <w:right w:val="single" w:color="auto" w:sz="8" w:space="0"/>
            </w:tcBorders>
            <w:shd w:val="clear" w:color="auto" w:fill="CCCCCC"/>
            <w:tcMar>
              <w:top w:w="0" w:type="dxa"/>
              <w:left w:w="108" w:type="dxa"/>
              <w:bottom w:w="0" w:type="dxa"/>
              <w:right w:w="108" w:type="dxa"/>
            </w:tcMar>
          </w:tcPr>
          <w:p w:rsidRPr="00BD35DB" w:rsidR="00FA328C" w:rsidP="006B2AF4" w:rsidRDefault="00FA328C" w14:paraId="693D756B" w14:textId="77777777">
            <w:pPr>
              <w:widowControl/>
              <w:adjustRightInd/>
              <w:jc w:val="center"/>
              <w:rPr>
                <w:rFonts w:eastAsia="Calibri"/>
                <w:szCs w:val="20"/>
              </w:rPr>
            </w:pPr>
          </w:p>
        </w:tc>
        <w:tc>
          <w:tcPr>
            <w:tcW w:w="1440" w:type="dxa"/>
            <w:tcBorders>
              <w:top w:val="nil"/>
              <w:left w:val="nil"/>
              <w:bottom w:val="single" w:color="auto" w:sz="8" w:space="0"/>
              <w:right w:val="single" w:color="auto" w:sz="8" w:space="0"/>
            </w:tcBorders>
            <w:shd w:val="clear" w:color="auto" w:fill="CCCCCC"/>
            <w:tcMar>
              <w:top w:w="0" w:type="dxa"/>
              <w:left w:w="108" w:type="dxa"/>
              <w:bottom w:w="0" w:type="dxa"/>
              <w:right w:w="108" w:type="dxa"/>
            </w:tcMar>
          </w:tcPr>
          <w:p w:rsidRPr="00BD35DB" w:rsidR="00FA328C" w:rsidP="006B2AF4" w:rsidRDefault="00FA328C" w14:paraId="75CE74F1" w14:textId="77777777">
            <w:pPr>
              <w:widowControl/>
              <w:adjustRightInd/>
              <w:jc w:val="center"/>
              <w:rPr>
                <w:rFonts w:eastAsia="Calibri"/>
                <w:szCs w:val="20"/>
              </w:rPr>
            </w:pPr>
          </w:p>
        </w:tc>
        <w:tc>
          <w:tcPr>
            <w:tcW w:w="990" w:type="dxa"/>
            <w:tcBorders>
              <w:top w:val="single" w:color="auto" w:sz="4" w:space="0"/>
              <w:left w:val="nil"/>
              <w:bottom w:val="single" w:color="auto" w:sz="8" w:space="0"/>
              <w:right w:val="single" w:color="auto" w:sz="8" w:space="0"/>
            </w:tcBorders>
            <w:shd w:val="clear" w:color="auto" w:fill="CCCCCC"/>
            <w:tcMar>
              <w:top w:w="0" w:type="dxa"/>
              <w:left w:w="108" w:type="dxa"/>
              <w:bottom w:w="0" w:type="dxa"/>
              <w:right w:w="108" w:type="dxa"/>
            </w:tcMar>
          </w:tcPr>
          <w:p w:rsidRPr="00BD35DB" w:rsidR="00FA328C" w:rsidP="006B2AF4" w:rsidRDefault="00FA328C" w14:paraId="0C69310C" w14:textId="77777777">
            <w:pPr>
              <w:widowControl/>
              <w:adjustRightInd/>
              <w:jc w:val="center"/>
              <w:rPr>
                <w:rFonts w:eastAsia="Calibri"/>
                <w:szCs w:val="20"/>
              </w:rPr>
            </w:pPr>
          </w:p>
        </w:tc>
        <w:tc>
          <w:tcPr>
            <w:tcW w:w="810" w:type="dxa"/>
            <w:tcBorders>
              <w:top w:val="nil"/>
              <w:left w:val="nil"/>
              <w:bottom w:val="single" w:color="auto" w:sz="8" w:space="0"/>
              <w:right w:val="single" w:color="auto" w:sz="8" w:space="0"/>
            </w:tcBorders>
            <w:shd w:val="clear" w:color="auto" w:fill="CCCCCC"/>
            <w:tcMar>
              <w:top w:w="0" w:type="dxa"/>
              <w:left w:w="108" w:type="dxa"/>
              <w:bottom w:w="0" w:type="dxa"/>
              <w:right w:w="108" w:type="dxa"/>
            </w:tcMar>
          </w:tcPr>
          <w:p w:rsidRPr="00BD35DB" w:rsidR="00FA328C" w:rsidP="006B2AF4" w:rsidRDefault="00FA328C" w14:paraId="3A8B57A0" w14:textId="77777777">
            <w:pPr>
              <w:widowControl/>
              <w:adjustRightInd/>
              <w:jc w:val="center"/>
              <w:rPr>
                <w:rFonts w:eastAsia="Calibri"/>
                <w:szCs w:val="20"/>
              </w:rPr>
            </w:pPr>
          </w:p>
        </w:tc>
        <w:tc>
          <w:tcPr>
            <w:tcW w:w="1260" w:type="dxa"/>
            <w:tcBorders>
              <w:top w:val="nil"/>
              <w:left w:val="nil"/>
              <w:bottom w:val="single" w:color="auto" w:sz="8" w:space="0"/>
              <w:right w:val="single" w:color="auto" w:sz="8" w:space="0"/>
            </w:tcBorders>
            <w:shd w:val="clear" w:color="auto" w:fill="CCCCCC"/>
            <w:tcMar>
              <w:top w:w="0" w:type="dxa"/>
              <w:left w:w="108" w:type="dxa"/>
              <w:bottom w:w="0" w:type="dxa"/>
              <w:right w:w="108" w:type="dxa"/>
            </w:tcMar>
          </w:tcPr>
          <w:p w:rsidRPr="00BD35DB" w:rsidR="00FA328C" w:rsidP="006B2AF4" w:rsidRDefault="00FA328C" w14:paraId="0EAD6CCB" w14:textId="77777777">
            <w:pPr>
              <w:widowControl/>
              <w:adjustRightInd/>
              <w:jc w:val="center"/>
              <w:rPr>
                <w:rFonts w:eastAsia="Calibri"/>
                <w:szCs w:val="20"/>
              </w:rPr>
            </w:pPr>
          </w:p>
        </w:tc>
      </w:tr>
      <w:tr w:rsidRPr="00BD35DB" w:rsidR="006B2AF4" w:rsidTr="004E7CD3" w14:paraId="04F12DF9" w14:textId="77777777">
        <w:trPr>
          <w:trHeight w:val="564"/>
        </w:trPr>
        <w:tc>
          <w:tcPr>
            <w:tcW w:w="200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D35DB" w:rsidR="00A439D3" w:rsidP="00A439D3" w:rsidRDefault="00A439D3" w14:paraId="063C08FB" w14:textId="77777777">
            <w:pPr>
              <w:widowControl/>
              <w:adjustRightInd/>
              <w:rPr>
                <w:rFonts w:eastAsia="Calibri"/>
                <w:szCs w:val="20"/>
              </w:rPr>
            </w:pPr>
            <w:r w:rsidRPr="00BD35DB">
              <w:rPr>
                <w:rFonts w:eastAsia="Calibri"/>
                <w:szCs w:val="20"/>
              </w:rPr>
              <w:t xml:space="preserve">D.1. New </w:t>
            </w:r>
          </w:p>
        </w:tc>
        <w:tc>
          <w:tcPr>
            <w:tcW w:w="1351"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4831488B" w14:textId="77777777">
            <w:pPr>
              <w:widowControl/>
              <w:adjustRightInd/>
              <w:jc w:val="center"/>
              <w:rPr>
                <w:rFonts w:eastAsia="Calibri"/>
                <w:szCs w:val="20"/>
              </w:rPr>
            </w:pPr>
            <w:r w:rsidRPr="00BD35DB">
              <w:t>766,</w:t>
            </w:r>
            <w:r>
              <w:t>6</w:t>
            </w:r>
            <w:r w:rsidRPr="00BD35DB">
              <w:t>8</w:t>
            </w:r>
            <w:r>
              <w:t>4</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25B8E1A7" w14:textId="77777777">
            <w:pPr>
              <w:widowControl/>
              <w:adjustRightInd/>
              <w:jc w:val="center"/>
              <w:rPr>
                <w:rFonts w:eastAsia="Calibri"/>
                <w:szCs w:val="20"/>
              </w:rPr>
            </w:pPr>
            <w:r w:rsidRPr="00BD35DB">
              <w:t>4.554537</w:t>
            </w: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40B57F63" w14:textId="77777777">
            <w:pPr>
              <w:widowControl/>
              <w:adjustRightInd/>
              <w:jc w:val="center"/>
              <w:rPr>
                <w:rFonts w:eastAsia="Calibri"/>
                <w:szCs w:val="20"/>
              </w:rPr>
            </w:pPr>
            <w:r>
              <w:rPr>
                <w:color w:val="000000"/>
                <w:szCs w:val="20"/>
              </w:rPr>
              <w:t>3,491,891</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013599" w14:paraId="0DE4C9E4" w14:textId="77777777">
            <w:pPr>
              <w:widowControl/>
              <w:adjustRightInd/>
              <w:jc w:val="center"/>
              <w:rPr>
                <w:rFonts w:eastAsia="Calibri"/>
                <w:szCs w:val="20"/>
              </w:rPr>
            </w:pPr>
            <w:r>
              <w:t>5/60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BD35DB" w:rsidR="00A439D3" w:rsidP="006B2AF4" w:rsidRDefault="00A439D3" w14:paraId="1D21E9E6" w14:textId="77777777">
            <w:pPr>
              <w:widowControl/>
              <w:adjustRightInd/>
              <w:jc w:val="center"/>
              <w:rPr>
                <w:rFonts w:eastAsia="Calibri"/>
                <w:szCs w:val="20"/>
              </w:rPr>
            </w:pPr>
            <w:r>
              <w:rPr>
                <w:color w:val="000000"/>
                <w:szCs w:val="20"/>
              </w:rPr>
              <w:t>290,991</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3E4B64" w14:paraId="3916EDA1" w14:textId="77777777">
            <w:pPr>
              <w:widowControl/>
              <w:adjustRightInd/>
              <w:jc w:val="center"/>
              <w:rPr>
                <w:rFonts w:eastAsia="Calibri"/>
                <w:szCs w:val="20"/>
              </w:rPr>
            </w:pPr>
            <w:r>
              <w:t>$</w:t>
            </w:r>
            <w:r w:rsidRPr="00BD35DB" w:rsidR="00A439D3">
              <w:t>86.82</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BD35DB" w:rsidR="00A439D3" w:rsidP="006B2AF4" w:rsidRDefault="00A439D3" w14:paraId="3FA7017F" w14:textId="77777777">
            <w:pPr>
              <w:widowControl/>
              <w:adjustRightInd/>
              <w:jc w:val="center"/>
              <w:rPr>
                <w:rFonts w:eastAsia="Calibri"/>
                <w:szCs w:val="20"/>
              </w:rPr>
            </w:pPr>
            <w:r>
              <w:rPr>
                <w:color w:val="000000"/>
                <w:szCs w:val="20"/>
              </w:rPr>
              <w:t>$25,263,839</w:t>
            </w:r>
          </w:p>
        </w:tc>
      </w:tr>
      <w:tr w:rsidRPr="00BD35DB" w:rsidR="006B2AF4" w:rsidTr="004E7CD3" w14:paraId="23A914B3" w14:textId="77777777">
        <w:trPr>
          <w:trHeight w:val="534"/>
        </w:trPr>
        <w:tc>
          <w:tcPr>
            <w:tcW w:w="200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D35DB" w:rsidR="00A439D3" w:rsidP="00A439D3" w:rsidRDefault="00A439D3" w14:paraId="337D4BDA" w14:textId="77777777">
            <w:pPr>
              <w:widowControl/>
              <w:adjustRightInd/>
              <w:rPr>
                <w:rFonts w:eastAsia="Calibri"/>
                <w:szCs w:val="20"/>
              </w:rPr>
            </w:pPr>
            <w:r w:rsidRPr="00BD35DB">
              <w:rPr>
                <w:rFonts w:eastAsia="Calibri"/>
                <w:szCs w:val="20"/>
              </w:rPr>
              <w:t>D.2. Existing</w:t>
            </w:r>
          </w:p>
        </w:tc>
        <w:tc>
          <w:tcPr>
            <w:tcW w:w="1351"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68D3ABFB" w14:textId="77777777">
            <w:pPr>
              <w:widowControl/>
              <w:adjustRightInd/>
              <w:jc w:val="center"/>
              <w:rPr>
                <w:rFonts w:eastAsia="Calibri"/>
                <w:szCs w:val="20"/>
              </w:rPr>
            </w:pPr>
            <w:r w:rsidRPr="00BD35DB">
              <w:t>766,</w:t>
            </w:r>
            <w:r w:rsidR="002C5015">
              <w:t>6</w:t>
            </w:r>
            <w:r w:rsidRPr="00BD35DB">
              <w:t>8</w:t>
            </w:r>
            <w:r>
              <w:t>4</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1B79A875" w14:textId="77777777">
            <w:pPr>
              <w:widowControl/>
              <w:adjustRightInd/>
              <w:jc w:val="center"/>
              <w:rPr>
                <w:rFonts w:eastAsia="Calibri"/>
                <w:szCs w:val="20"/>
              </w:rPr>
            </w:pPr>
            <w:r w:rsidRPr="00BD35DB">
              <w:t>1</w:t>
            </w: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2540560A" w14:textId="77777777">
            <w:pPr>
              <w:widowControl/>
              <w:adjustRightInd/>
              <w:jc w:val="center"/>
              <w:rPr>
                <w:rFonts w:eastAsia="Calibri"/>
                <w:szCs w:val="20"/>
              </w:rPr>
            </w:pPr>
            <w:r>
              <w:rPr>
                <w:color w:val="000000"/>
                <w:szCs w:val="20"/>
              </w:rPr>
              <w:t>766,684</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013599" w14:paraId="303186B0" w14:textId="77777777">
            <w:pPr>
              <w:widowControl/>
              <w:adjustRightInd/>
              <w:jc w:val="center"/>
              <w:rPr>
                <w:rFonts w:eastAsia="Calibri"/>
                <w:szCs w:val="20"/>
              </w:rPr>
            </w:pPr>
            <w:r>
              <w:t>10/60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BD35DB" w:rsidR="00A439D3" w:rsidP="006B2AF4" w:rsidRDefault="00A439D3" w14:paraId="7708EB98" w14:textId="77777777">
            <w:pPr>
              <w:widowControl/>
              <w:adjustRightInd/>
              <w:jc w:val="center"/>
              <w:rPr>
                <w:rFonts w:eastAsia="Calibri"/>
                <w:szCs w:val="20"/>
              </w:rPr>
            </w:pPr>
            <w:r>
              <w:rPr>
                <w:color w:val="000000"/>
                <w:szCs w:val="20"/>
              </w:rPr>
              <w:t>127,781</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3E4B64" w14:paraId="2C43285F" w14:textId="77777777">
            <w:pPr>
              <w:widowControl/>
              <w:adjustRightInd/>
              <w:jc w:val="center"/>
              <w:rPr>
                <w:rFonts w:eastAsia="Calibri"/>
                <w:szCs w:val="20"/>
              </w:rPr>
            </w:pPr>
            <w:r>
              <w:t>$</w:t>
            </w:r>
            <w:r w:rsidRPr="00BD35DB" w:rsidR="00A439D3">
              <w:t>86.82</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BD35DB" w:rsidR="00A439D3" w:rsidP="006B2AF4" w:rsidRDefault="00A439D3" w14:paraId="27708B9F" w14:textId="77777777">
            <w:pPr>
              <w:widowControl/>
              <w:adjustRightInd/>
              <w:jc w:val="center"/>
              <w:rPr>
                <w:rFonts w:eastAsia="Calibri"/>
                <w:szCs w:val="20"/>
              </w:rPr>
            </w:pPr>
            <w:r>
              <w:rPr>
                <w:color w:val="000000"/>
                <w:szCs w:val="20"/>
              </w:rPr>
              <w:t>$11,093,946</w:t>
            </w:r>
          </w:p>
        </w:tc>
      </w:tr>
      <w:tr w:rsidRPr="00BD35DB" w:rsidR="006B2AF4" w:rsidTr="004E7CD3" w14:paraId="036EC038" w14:textId="77777777">
        <w:trPr>
          <w:trHeight w:val="227"/>
        </w:trPr>
        <w:tc>
          <w:tcPr>
            <w:tcW w:w="200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D35DB" w:rsidR="00A439D3" w:rsidP="00A439D3" w:rsidRDefault="00A439D3" w14:paraId="288BEAE0" w14:textId="77777777">
            <w:pPr>
              <w:widowControl/>
              <w:adjustRightInd/>
              <w:rPr>
                <w:rFonts w:eastAsia="Calibri"/>
                <w:b/>
                <w:bCs/>
                <w:szCs w:val="20"/>
              </w:rPr>
            </w:pPr>
            <w:r w:rsidRPr="00BD35DB">
              <w:rPr>
                <w:rFonts w:eastAsia="Calibri"/>
                <w:b/>
                <w:bCs/>
                <w:szCs w:val="20"/>
              </w:rPr>
              <w:t>Total for D.</w:t>
            </w:r>
          </w:p>
        </w:tc>
        <w:tc>
          <w:tcPr>
            <w:tcW w:w="1351"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1ABE50AB" w14:textId="77777777">
            <w:pPr>
              <w:widowControl/>
              <w:adjustRightInd/>
              <w:jc w:val="center"/>
              <w:rPr>
                <w:rFonts w:eastAsia="Calibri"/>
                <w:b/>
                <w:bCs/>
                <w:szCs w:val="20"/>
              </w:rPr>
            </w:pP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122979EE" w14:textId="77777777">
            <w:pPr>
              <w:widowControl/>
              <w:adjustRightInd/>
              <w:jc w:val="center"/>
              <w:rPr>
                <w:rFonts w:eastAsia="Calibri"/>
                <w:b/>
                <w:bCs/>
                <w:szCs w:val="20"/>
              </w:rPr>
            </w:pP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5C374FB7" w14:textId="77777777">
            <w:pPr>
              <w:widowControl/>
              <w:adjustRightInd/>
              <w:jc w:val="center"/>
              <w:rPr>
                <w:rFonts w:eastAsia="Calibri"/>
                <w:b/>
                <w:bCs/>
                <w:szCs w:val="20"/>
              </w:rPr>
            </w:pPr>
            <w:r>
              <w:rPr>
                <w:b/>
                <w:bCs/>
                <w:color w:val="000000"/>
                <w:szCs w:val="20"/>
              </w:rPr>
              <w:t>4,258,575</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50F9F86B" w14:textId="77777777">
            <w:pPr>
              <w:widowControl/>
              <w:adjustRightInd/>
              <w:jc w:val="center"/>
              <w:rPr>
                <w:rFonts w:eastAsia="Calibri"/>
                <w:b/>
                <w:bCs/>
                <w:szCs w:val="20"/>
              </w:rPr>
            </w:pP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BD35DB" w:rsidR="00A439D3" w:rsidP="006B2AF4" w:rsidRDefault="00A439D3" w14:paraId="20BC1204" w14:textId="77777777">
            <w:pPr>
              <w:widowControl/>
              <w:adjustRightInd/>
              <w:jc w:val="center"/>
              <w:rPr>
                <w:rFonts w:eastAsia="Calibri"/>
                <w:b/>
                <w:bCs/>
                <w:szCs w:val="20"/>
              </w:rPr>
            </w:pPr>
            <w:r>
              <w:rPr>
                <w:b/>
                <w:bCs/>
                <w:color w:val="000000"/>
                <w:szCs w:val="20"/>
              </w:rPr>
              <w:t>418,772</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6A0BE191" w14:textId="77777777">
            <w:pPr>
              <w:widowControl/>
              <w:adjustRightInd/>
              <w:jc w:val="center"/>
              <w:rPr>
                <w:rFonts w:eastAsia="Calibri"/>
                <w:b/>
                <w:bCs/>
                <w:szCs w:val="20"/>
              </w:rPr>
            </w:pP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BD35DB" w:rsidR="00A439D3" w:rsidP="006B2AF4" w:rsidRDefault="00A439D3" w14:paraId="64D967C4" w14:textId="77777777">
            <w:pPr>
              <w:widowControl/>
              <w:adjustRightInd/>
              <w:jc w:val="center"/>
              <w:rPr>
                <w:rFonts w:eastAsia="Calibri"/>
                <w:b/>
                <w:bCs/>
                <w:szCs w:val="20"/>
              </w:rPr>
            </w:pPr>
            <w:r>
              <w:rPr>
                <w:b/>
                <w:bCs/>
                <w:color w:val="000000"/>
                <w:szCs w:val="20"/>
              </w:rPr>
              <w:t>$36,357,785</w:t>
            </w:r>
          </w:p>
        </w:tc>
      </w:tr>
      <w:tr w:rsidRPr="00BD35DB" w:rsidR="006B2AF4" w:rsidTr="004E7CD3" w14:paraId="2D5EB2B2" w14:textId="77777777">
        <w:trPr>
          <w:trHeight w:val="299"/>
        </w:trPr>
        <w:tc>
          <w:tcPr>
            <w:tcW w:w="200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D35DB" w:rsidR="00A439D3" w:rsidP="00A439D3" w:rsidRDefault="00A439D3" w14:paraId="4AD0DB0B" w14:textId="77777777">
            <w:pPr>
              <w:widowControl/>
              <w:adjustRightInd/>
              <w:rPr>
                <w:rFonts w:eastAsia="Calibri"/>
                <w:szCs w:val="20"/>
              </w:rPr>
            </w:pPr>
            <w:r w:rsidRPr="00BD35DB">
              <w:rPr>
                <w:rFonts w:eastAsia="Calibri"/>
                <w:szCs w:val="20"/>
              </w:rPr>
              <w:t>E. Transfer of Records</w:t>
            </w:r>
          </w:p>
        </w:tc>
        <w:tc>
          <w:tcPr>
            <w:tcW w:w="1351"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496FFF66" w14:textId="77777777">
            <w:pPr>
              <w:widowControl/>
              <w:adjustRightInd/>
              <w:jc w:val="center"/>
              <w:rPr>
                <w:rFonts w:eastAsia="Calibri"/>
                <w:szCs w:val="20"/>
              </w:rPr>
            </w:pPr>
            <w:r w:rsidRPr="00BD35DB">
              <w:t>38,33</w:t>
            </w:r>
            <w:r>
              <w:t>4</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68A5D40E" w14:textId="77777777">
            <w:pPr>
              <w:widowControl/>
              <w:adjustRightInd/>
              <w:jc w:val="center"/>
              <w:rPr>
                <w:rFonts w:eastAsia="Calibri"/>
                <w:szCs w:val="20"/>
              </w:rPr>
            </w:pPr>
            <w:r w:rsidRPr="00BD35DB">
              <w:t>1</w:t>
            </w: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3CC4FB6C" w14:textId="77777777">
            <w:pPr>
              <w:widowControl/>
              <w:adjustRightInd/>
              <w:jc w:val="center"/>
              <w:rPr>
                <w:rFonts w:eastAsia="Calibri"/>
                <w:szCs w:val="20"/>
              </w:rPr>
            </w:pPr>
            <w:r>
              <w:rPr>
                <w:color w:val="000000"/>
                <w:szCs w:val="20"/>
              </w:rPr>
              <w:t>38,334</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013599" w14:paraId="6BEE2C02" w14:textId="77777777">
            <w:pPr>
              <w:widowControl/>
              <w:adjustRightInd/>
              <w:jc w:val="center"/>
              <w:rPr>
                <w:rFonts w:eastAsia="Calibri"/>
                <w:szCs w:val="20"/>
              </w:rPr>
            </w:pPr>
            <w:r>
              <w:t>5/60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BD35DB" w:rsidR="00A439D3" w:rsidP="006B2AF4" w:rsidRDefault="00A439D3" w14:paraId="2B1B3766" w14:textId="77777777">
            <w:pPr>
              <w:widowControl/>
              <w:adjustRightInd/>
              <w:jc w:val="center"/>
              <w:rPr>
                <w:rFonts w:eastAsia="Calibri"/>
                <w:szCs w:val="20"/>
              </w:rPr>
            </w:pPr>
            <w:r>
              <w:rPr>
                <w:b/>
                <w:bCs/>
                <w:color w:val="000000"/>
                <w:szCs w:val="20"/>
              </w:rPr>
              <w:t>3,195</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3E4B64" w14:paraId="4E290278" w14:textId="77777777">
            <w:pPr>
              <w:widowControl/>
              <w:adjustRightInd/>
              <w:jc w:val="center"/>
              <w:rPr>
                <w:rFonts w:eastAsia="Calibri"/>
                <w:szCs w:val="20"/>
              </w:rPr>
            </w:pPr>
            <w:r>
              <w:t>$</w:t>
            </w:r>
            <w:r w:rsidRPr="00BD35DB" w:rsidR="00A439D3">
              <w:t>86.82</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BD35DB" w:rsidR="00A439D3" w:rsidP="006B2AF4" w:rsidRDefault="00A439D3" w14:paraId="16509B33" w14:textId="77777777">
            <w:pPr>
              <w:widowControl/>
              <w:adjustRightInd/>
              <w:jc w:val="center"/>
              <w:rPr>
                <w:rFonts w:eastAsia="Calibri"/>
                <w:szCs w:val="20"/>
              </w:rPr>
            </w:pPr>
            <w:r>
              <w:rPr>
                <w:b/>
                <w:bCs/>
                <w:color w:val="000000"/>
                <w:szCs w:val="20"/>
              </w:rPr>
              <w:t>$277,390</w:t>
            </w:r>
          </w:p>
        </w:tc>
      </w:tr>
      <w:tr w:rsidRPr="00BD35DB" w:rsidR="006B2AF4" w:rsidTr="004E7CD3" w14:paraId="093A1255" w14:textId="77777777">
        <w:trPr>
          <w:trHeight w:val="299"/>
        </w:trPr>
        <w:tc>
          <w:tcPr>
            <w:tcW w:w="200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D35DB" w:rsidR="00A439D3" w:rsidP="00A439D3" w:rsidRDefault="00A439D3" w14:paraId="24FA0EDD" w14:textId="77777777">
            <w:pPr>
              <w:widowControl/>
              <w:adjustRightInd/>
              <w:rPr>
                <w:rFonts w:eastAsia="Calibri"/>
                <w:b/>
                <w:bCs/>
                <w:szCs w:val="20"/>
              </w:rPr>
            </w:pPr>
            <w:r w:rsidRPr="00BD35DB">
              <w:rPr>
                <w:rFonts w:eastAsia="Calibri"/>
                <w:b/>
                <w:bCs/>
                <w:szCs w:val="20"/>
              </w:rPr>
              <w:t>Grand Totals</w:t>
            </w:r>
          </w:p>
        </w:tc>
        <w:tc>
          <w:tcPr>
            <w:tcW w:w="1351"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2C5015" w14:paraId="2818F09B" w14:textId="77777777">
            <w:pPr>
              <w:widowControl/>
              <w:adjustRightInd/>
              <w:jc w:val="center"/>
              <w:rPr>
                <w:rFonts w:eastAsia="Calibri"/>
                <w:b/>
                <w:bCs/>
                <w:szCs w:val="20"/>
              </w:rPr>
            </w:pPr>
            <w:r>
              <w:rPr>
                <w:b/>
              </w:rPr>
              <w:t>766,6</w:t>
            </w:r>
            <w:r w:rsidRPr="00BD35DB" w:rsidR="00A439D3">
              <w:rPr>
                <w:b/>
              </w:rPr>
              <w:t>8</w:t>
            </w:r>
            <w:r w:rsidR="00A439D3">
              <w:rPr>
                <w:b/>
              </w:rPr>
              <w:t>4</w:t>
            </w:r>
            <w:r w:rsidRPr="00BD35DB" w:rsidR="00A439D3">
              <w:t xml:space="preserve"> </w:t>
            </w:r>
            <w:r w:rsidRPr="00BD35DB" w:rsidR="00A439D3">
              <w:rPr>
                <w:rStyle w:val="FootnoteReference"/>
                <w:sz w:val="22"/>
                <w:vertAlign w:val="superscript"/>
              </w:rPr>
              <w:footnoteReference w:id="13"/>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5FD32640" w14:textId="77777777">
            <w:pPr>
              <w:widowControl/>
              <w:adjustRightInd/>
              <w:jc w:val="center"/>
              <w:rPr>
                <w:rFonts w:eastAsia="Calibri"/>
                <w:b/>
                <w:bCs/>
                <w:szCs w:val="20"/>
              </w:rPr>
            </w:pP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426F4B14" w14:textId="77777777">
            <w:pPr>
              <w:widowControl/>
              <w:adjustRightInd/>
              <w:jc w:val="center"/>
              <w:rPr>
                <w:rFonts w:eastAsia="Calibri"/>
                <w:b/>
                <w:bCs/>
                <w:szCs w:val="20"/>
              </w:rPr>
            </w:pPr>
            <w:r>
              <w:rPr>
                <w:b/>
                <w:bCs/>
                <w:color w:val="000000"/>
                <w:szCs w:val="20"/>
              </w:rPr>
              <w:t>6,688,963</w:t>
            </w: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42A01256" w14:textId="77777777">
            <w:pPr>
              <w:widowControl/>
              <w:adjustRightInd/>
              <w:jc w:val="center"/>
              <w:rPr>
                <w:rFonts w:eastAsia="Calibri"/>
                <w:b/>
                <w:bCs/>
                <w:szCs w:val="20"/>
              </w:rPr>
            </w:pPr>
            <w:r w:rsidRPr="00BD35DB">
              <w:rPr>
                <w:b/>
              </w:rPr>
              <w:t>--</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BD35DB" w:rsidR="00A439D3" w:rsidP="006B2AF4" w:rsidRDefault="00A439D3" w14:paraId="11EC3F71" w14:textId="77777777">
            <w:pPr>
              <w:widowControl/>
              <w:adjustRightInd/>
              <w:jc w:val="center"/>
              <w:rPr>
                <w:rFonts w:eastAsia="Calibri"/>
                <w:b/>
                <w:bCs/>
                <w:szCs w:val="20"/>
              </w:rPr>
            </w:pPr>
            <w:r>
              <w:rPr>
                <w:b/>
                <w:bCs/>
                <w:color w:val="000000"/>
                <w:szCs w:val="20"/>
              </w:rPr>
              <w:t>755,475</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rsidRPr="00BD35DB" w:rsidR="00A439D3" w:rsidP="006B2AF4" w:rsidRDefault="00A439D3" w14:paraId="2F4A8F7E" w14:textId="77777777">
            <w:pPr>
              <w:widowControl/>
              <w:adjustRightInd/>
              <w:jc w:val="center"/>
              <w:rPr>
                <w:rFonts w:eastAsia="Calibri"/>
                <w:b/>
                <w:bCs/>
                <w:szCs w:val="20"/>
              </w:rPr>
            </w:pPr>
            <w:r w:rsidRPr="00BD35DB">
              <w:rPr>
                <w:b/>
              </w:rPr>
              <w:t>--</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BD35DB" w:rsidR="00A439D3" w:rsidP="006B2AF4" w:rsidRDefault="00A439D3" w14:paraId="5A6FAC83" w14:textId="77777777">
            <w:pPr>
              <w:widowControl/>
              <w:adjustRightInd/>
              <w:jc w:val="center"/>
              <w:rPr>
                <w:rFonts w:eastAsia="Calibri"/>
                <w:b/>
                <w:bCs/>
                <w:szCs w:val="20"/>
              </w:rPr>
            </w:pPr>
            <w:r>
              <w:rPr>
                <w:b/>
                <w:bCs/>
                <w:color w:val="000000"/>
                <w:szCs w:val="20"/>
              </w:rPr>
              <w:t>$57,988,648</w:t>
            </w:r>
          </w:p>
        </w:tc>
      </w:tr>
    </w:tbl>
    <w:p w:rsidRPr="00BD35DB" w:rsidR="00600ABA" w:rsidP="00600ABA" w:rsidRDefault="00600ABA" w14:paraId="13DDFA35" w14:textId="77777777">
      <w:pPr>
        <w:widowControl/>
        <w:autoSpaceDE/>
        <w:autoSpaceDN/>
        <w:adjustRightInd/>
        <w:rPr>
          <w:rFonts w:ascii="Calibri" w:hAnsi="Calibri" w:eastAsia="Calibri"/>
          <w:color w:val="1F497D"/>
          <w:sz w:val="22"/>
          <w:szCs w:val="22"/>
        </w:rPr>
      </w:pPr>
    </w:p>
    <w:p w:rsidRPr="00BD35DB" w:rsidR="00662738" w:rsidP="00662738" w:rsidRDefault="00662738" w14:paraId="45D486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D35DB">
        <w:rPr>
          <w:b/>
          <w:bCs/>
          <w:sz w:val="24"/>
        </w:rPr>
        <w:t>13.  Provide an estimate of the total annual cost burden to respondents or recordkeepers resulting from the collection of information.  (Do not include the cost of any hour burden shown in Items 12 and 14.)</w:t>
      </w:r>
    </w:p>
    <w:p w:rsidRPr="00BD35DB" w:rsidR="00662738" w:rsidP="00662738" w:rsidRDefault="00662738" w14:paraId="054B79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BD35DB" w:rsidR="00662738" w:rsidP="003A2DD8" w:rsidRDefault="00662738" w14:paraId="3B8296F9" w14:textId="7777777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14" w:hanging="624"/>
        <w:rPr>
          <w:b/>
          <w:bCs/>
          <w:sz w:val="24"/>
        </w:rPr>
      </w:pPr>
      <w:r w:rsidRPr="00BD35DB">
        <w:rPr>
          <w:bCs/>
          <w:sz w:val="24"/>
        </w:rPr>
        <w:t>▪</w:t>
      </w:r>
      <w:r w:rsidRPr="00BD35DB">
        <w:rPr>
          <w:bCs/>
          <w:sz w:val="24"/>
        </w:rPr>
        <w:tab/>
      </w:r>
      <w:r w:rsidRPr="00BD35DB">
        <w:rPr>
          <w:b/>
          <w:bCs/>
          <w:sz w:val="24"/>
        </w:rPr>
        <w:t>The cost estimate should be split into two components:  (a) A total capital and start</w:t>
      </w:r>
      <w:r w:rsidRPr="00BD35DB">
        <w:rPr>
          <w:b/>
          <w:bCs/>
          <w:sz w:val="24"/>
        </w:rPr>
        <w:noBreakHyphen/>
        <w:t>up cost</w:t>
      </w:r>
    </w:p>
    <w:p w:rsidRPr="00BD35DB" w:rsidR="00662738" w:rsidP="00662738" w:rsidRDefault="00662738" w14:paraId="1BE6A1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rPr>
      </w:pPr>
      <w:r w:rsidRPr="00BD35DB">
        <w:rPr>
          <w:b/>
          <w:bCs/>
          <w:sz w:val="24"/>
        </w:rPr>
        <w:lastRenderedPageBreak/>
        <w:t>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w:t>
      </w:r>
      <w:r w:rsidRPr="00BD35DB">
        <w:rPr>
          <w:b/>
          <w:bCs/>
          <w:sz w:val="24"/>
        </w:rPr>
        <w:noBreakHyphen/>
        <w:t>up costs include, among other items, preparation for collecting information such as purchasing computers and software; monitoring, sampling, drilling and testing equipment; and record storage facilities.</w:t>
      </w:r>
    </w:p>
    <w:p w:rsidRPr="00BD35DB" w:rsidR="00662738" w:rsidP="00662738" w:rsidRDefault="00662738" w14:paraId="79C509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BD35DB" w:rsidR="00662738" w:rsidP="00662738" w:rsidRDefault="00662738" w14:paraId="1707EAD4" w14:textId="7777777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630"/>
        <w:rPr>
          <w:b/>
          <w:bCs/>
          <w:sz w:val="24"/>
        </w:rPr>
      </w:pPr>
      <w:r w:rsidRPr="00BD35DB">
        <w:rPr>
          <w:bCs/>
          <w:sz w:val="24"/>
        </w:rPr>
        <w:t>▪</w:t>
      </w:r>
      <w:r w:rsidRPr="00BD35DB">
        <w:rPr>
          <w:bCs/>
          <w:sz w:val="24"/>
        </w:rPr>
        <w:tab/>
      </w:r>
      <w:r w:rsidRPr="00BD35DB">
        <w:rPr>
          <w:b/>
          <w:bCs/>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BD35DB">
        <w:rPr>
          <w:b/>
          <w:bCs/>
          <w:sz w:val="24"/>
        </w:rPr>
        <w:noBreakHyphen/>
        <w:t>day pre</w:t>
      </w:r>
      <w:r w:rsidRPr="00BD35DB">
        <w:rPr>
          <w:b/>
          <w:bCs/>
          <w:sz w:val="24"/>
        </w:rPr>
        <w:noBreakHyphen/>
        <w:t>OMB submission public comment process, and use existing economic or regulatory impact analysis associated with the rulemaking containing the information collection, as appropriate.</w:t>
      </w:r>
    </w:p>
    <w:p w:rsidRPr="00BD35DB" w:rsidR="00662738" w:rsidP="00662738" w:rsidRDefault="00662738" w14:paraId="25C872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BD35DB" w:rsidR="00662738" w:rsidP="00662738" w:rsidRDefault="00662738" w14:paraId="15CE13EF" w14:textId="7777777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630"/>
        <w:rPr>
          <w:sz w:val="24"/>
        </w:rPr>
      </w:pPr>
      <w:r w:rsidRPr="00BD35DB">
        <w:rPr>
          <w:sz w:val="24"/>
        </w:rPr>
        <w:t>▪</w:t>
      </w:r>
      <w:r w:rsidRPr="00BD35DB">
        <w:rPr>
          <w:sz w:val="24"/>
        </w:rPr>
        <w:tab/>
      </w:r>
      <w:r w:rsidRPr="00BD35DB">
        <w:rPr>
          <w:b/>
          <w:bCs/>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D35DB" w:rsidR="00662738" w:rsidP="00662738" w:rsidRDefault="00662738" w14:paraId="1DDF6C0D" w14:textId="77777777">
      <w:pPr>
        <w:tabs>
          <w:tab w:val="left" w:pos="0"/>
        </w:tabs>
        <w:rPr>
          <w:b/>
          <w:bCs/>
          <w:sz w:val="24"/>
        </w:rPr>
      </w:pPr>
    </w:p>
    <w:p w:rsidRPr="00BD35DB" w:rsidR="00B43F90" w:rsidP="009E0648" w:rsidRDefault="007A5A0C" w14:paraId="1F40F95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 xml:space="preserve">There are no additional costs to the respondents other than their time.   </w:t>
      </w:r>
    </w:p>
    <w:p w:rsidRPr="00BD35DB" w:rsidR="00BD4A48" w:rsidP="009E0648" w:rsidRDefault="00BD4A48" w14:paraId="1AAAC83D"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24D09E22" w14:textId="77777777">
      <w:pPr>
        <w:rPr>
          <w:sz w:val="24"/>
        </w:rPr>
      </w:pPr>
      <w:r w:rsidRPr="00BD35DB">
        <w:rPr>
          <w:b/>
          <w:bCs/>
          <w:sz w:val="24"/>
        </w:rPr>
        <w:t>14.  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BD35DB" w:rsidR="00575888" w:rsidP="00C10E37" w:rsidRDefault="00575888" w14:paraId="724F4D40" w14:textId="77777777">
      <w:pPr>
        <w:pStyle w:val="Default"/>
        <w:rPr>
          <w:strike/>
          <w:color w:val="auto"/>
          <w:sz w:val="23"/>
          <w:szCs w:val="23"/>
        </w:rPr>
      </w:pPr>
    </w:p>
    <w:p w:rsidRPr="00BD35DB" w:rsidR="00CB1B78" w:rsidP="00CB1B78" w:rsidRDefault="00CB1B78" w14:paraId="6753745A" w14:textId="77777777">
      <w:pPr>
        <w:widowControl/>
        <w:autoSpaceDE/>
        <w:autoSpaceDN/>
        <w:adjustRightInd/>
        <w:rPr>
          <w:sz w:val="24"/>
        </w:rPr>
      </w:pPr>
      <w:r w:rsidRPr="00BD35DB">
        <w:rPr>
          <w:sz w:val="24"/>
        </w:rPr>
        <w:t>There is no cost to the Federal government associated with this information collection request. OSHA would only review records in the context of an investigation of a particular employer to determine compliance with the Standard. These activities are outside the scope of the PRA. See 5 CFR 1320.4(a)(2).</w:t>
      </w:r>
    </w:p>
    <w:p w:rsidRPr="00BD35DB" w:rsidR="00563EA6" w:rsidP="00575888" w:rsidRDefault="00563EA6" w14:paraId="07A39450" w14:textId="77777777">
      <w:pPr>
        <w:pStyle w:val="Default"/>
        <w:rPr>
          <w:color w:val="auto"/>
        </w:rPr>
      </w:pPr>
    </w:p>
    <w:p w:rsidRPr="00BD35DB" w:rsidR="00196181" w:rsidP="00213316" w:rsidRDefault="00213316" w14:paraId="297D7EF4"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D35DB">
        <w:rPr>
          <w:b/>
          <w:sz w:val="24"/>
        </w:rPr>
        <w:lastRenderedPageBreak/>
        <w:t xml:space="preserve">15.  </w:t>
      </w:r>
      <w:r w:rsidRPr="00BD35DB" w:rsidR="00196181">
        <w:rPr>
          <w:b/>
          <w:sz w:val="24"/>
        </w:rPr>
        <w:t>Exp</w:t>
      </w:r>
      <w:r w:rsidRPr="00BD35DB" w:rsidR="00196181">
        <w:rPr>
          <w:b/>
          <w:bCs/>
          <w:sz w:val="24"/>
        </w:rPr>
        <w:t>lain the reasons for any program changes or adjustments.</w:t>
      </w:r>
    </w:p>
    <w:p w:rsidRPr="00BD35DB" w:rsidR="00AE5020" w:rsidP="00213316" w:rsidRDefault="00AE5020" w14:paraId="4E7C31D4"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rsidRPr="00BD35DB" w:rsidR="0008621B" w:rsidP="0008621B" w:rsidRDefault="0008621B" w14:paraId="0D906E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BD35DB">
        <w:rPr>
          <w:sz w:val="24"/>
        </w:rPr>
        <w:t>The Agency is requesting a</w:t>
      </w:r>
      <w:r w:rsidRPr="00BD35DB" w:rsidR="00ED3BE1">
        <w:rPr>
          <w:sz w:val="24"/>
        </w:rPr>
        <w:t xml:space="preserve"> burden hour</w:t>
      </w:r>
      <w:r w:rsidRPr="00BD35DB">
        <w:rPr>
          <w:rFonts w:ascii="Arial" w:hAnsi="Arial" w:cs="Arial"/>
          <w:color w:val="0000FF"/>
          <w:szCs w:val="20"/>
        </w:rPr>
        <w:t> </w:t>
      </w:r>
      <w:r w:rsidRPr="00BD35DB">
        <w:rPr>
          <w:color w:val="000000"/>
          <w:sz w:val="24"/>
        </w:rPr>
        <w:t>adjustment</w:t>
      </w:r>
      <w:r w:rsidRPr="00BD35DB" w:rsidR="0081757E">
        <w:rPr>
          <w:sz w:val="24"/>
        </w:rPr>
        <w:t xml:space="preserve"> </w:t>
      </w:r>
      <w:r w:rsidRPr="00BD35DB" w:rsidR="009E0648">
        <w:rPr>
          <w:sz w:val="24"/>
        </w:rPr>
        <w:t xml:space="preserve">increase </w:t>
      </w:r>
      <w:r w:rsidRPr="00BD35DB" w:rsidR="00AB5218">
        <w:rPr>
          <w:sz w:val="24"/>
        </w:rPr>
        <w:t xml:space="preserve">of </w:t>
      </w:r>
      <w:r w:rsidRPr="00BD35DB" w:rsidR="009E0648">
        <w:rPr>
          <w:sz w:val="24"/>
        </w:rPr>
        <w:t>38,</w:t>
      </w:r>
      <w:r w:rsidR="00165F43">
        <w:rPr>
          <w:sz w:val="24"/>
        </w:rPr>
        <w:t>254</w:t>
      </w:r>
      <w:r w:rsidRPr="00BD35DB" w:rsidR="009E0648">
        <w:rPr>
          <w:b/>
        </w:rPr>
        <w:t xml:space="preserve"> </w:t>
      </w:r>
      <w:r w:rsidRPr="00BD35DB" w:rsidR="00E1022E">
        <w:rPr>
          <w:sz w:val="24"/>
        </w:rPr>
        <w:t xml:space="preserve">burden hours from </w:t>
      </w:r>
      <w:r w:rsidRPr="00BD35DB" w:rsidR="00A248CD">
        <w:rPr>
          <w:sz w:val="24"/>
        </w:rPr>
        <w:t xml:space="preserve">717,221 </w:t>
      </w:r>
      <w:r w:rsidRPr="00BD35DB" w:rsidR="00ED3BE1">
        <w:rPr>
          <w:sz w:val="24"/>
        </w:rPr>
        <w:t xml:space="preserve">to </w:t>
      </w:r>
      <w:r w:rsidRPr="00BD35DB" w:rsidR="00FA328C">
        <w:rPr>
          <w:sz w:val="24"/>
        </w:rPr>
        <w:t>755,</w:t>
      </w:r>
      <w:r w:rsidR="00165F43">
        <w:rPr>
          <w:sz w:val="24"/>
        </w:rPr>
        <w:t>475</w:t>
      </w:r>
      <w:r w:rsidRPr="00BD35DB" w:rsidR="00FA328C">
        <w:rPr>
          <w:sz w:val="24"/>
        </w:rPr>
        <w:t xml:space="preserve"> h</w:t>
      </w:r>
      <w:r w:rsidRPr="00BD35DB" w:rsidR="004127D7">
        <w:rPr>
          <w:sz w:val="24"/>
        </w:rPr>
        <w:t xml:space="preserve">ours.  This </w:t>
      </w:r>
      <w:r w:rsidRPr="00BD35DB">
        <w:rPr>
          <w:sz w:val="24"/>
        </w:rPr>
        <w:t xml:space="preserve">is the result of </w:t>
      </w:r>
      <w:r w:rsidRPr="00BD35DB" w:rsidR="0026366C">
        <w:rPr>
          <w:sz w:val="24"/>
        </w:rPr>
        <w:t xml:space="preserve">an </w:t>
      </w:r>
      <w:r w:rsidRPr="00BD35DB" w:rsidR="00E1022E">
        <w:rPr>
          <w:sz w:val="24"/>
        </w:rPr>
        <w:t>adjustment of the number of establishments used in this analysis</w:t>
      </w:r>
      <w:r w:rsidRPr="00BD35DB" w:rsidR="008B40AF">
        <w:rPr>
          <w:sz w:val="24"/>
        </w:rPr>
        <w:t xml:space="preserve"> based on updated data.  The total estimated number of establishments affected by the regulation </w:t>
      </w:r>
      <w:r w:rsidRPr="00BD35DB" w:rsidR="00ED3BE1">
        <w:rPr>
          <w:sz w:val="24"/>
        </w:rPr>
        <w:t xml:space="preserve">increased </w:t>
      </w:r>
      <w:r w:rsidRPr="00BD35DB" w:rsidR="00CA510A">
        <w:rPr>
          <w:sz w:val="24"/>
        </w:rPr>
        <w:t xml:space="preserve">from </w:t>
      </w:r>
      <w:r w:rsidRPr="00BD35DB" w:rsidR="00ED3BE1">
        <w:rPr>
          <w:sz w:val="24"/>
        </w:rPr>
        <w:t>739,432</w:t>
      </w:r>
      <w:r w:rsidRPr="00BD35DB" w:rsidR="00CA510A">
        <w:rPr>
          <w:sz w:val="24"/>
        </w:rPr>
        <w:t xml:space="preserve"> to </w:t>
      </w:r>
      <w:r w:rsidRPr="00BD35DB" w:rsidR="00344CA7">
        <w:rPr>
          <w:sz w:val="24"/>
        </w:rPr>
        <w:t>766,</w:t>
      </w:r>
      <w:r w:rsidR="00165F43">
        <w:rPr>
          <w:sz w:val="24"/>
        </w:rPr>
        <w:t>6</w:t>
      </w:r>
      <w:r w:rsidRPr="00BD35DB" w:rsidR="00344CA7">
        <w:rPr>
          <w:sz w:val="24"/>
        </w:rPr>
        <w:t>8</w:t>
      </w:r>
      <w:r w:rsidR="00C844F4">
        <w:rPr>
          <w:sz w:val="24"/>
        </w:rPr>
        <w:t>4</w:t>
      </w:r>
      <w:r w:rsidRPr="00BD35DB" w:rsidR="008632FA">
        <w:rPr>
          <w:sz w:val="24"/>
        </w:rPr>
        <w:t xml:space="preserve">, a total adjustment </w:t>
      </w:r>
      <w:r w:rsidRPr="00BD35DB" w:rsidR="00ED3BE1">
        <w:rPr>
          <w:sz w:val="24"/>
        </w:rPr>
        <w:t xml:space="preserve">increase </w:t>
      </w:r>
      <w:r w:rsidRPr="00BD35DB" w:rsidR="008632FA">
        <w:rPr>
          <w:sz w:val="24"/>
        </w:rPr>
        <w:t xml:space="preserve">of </w:t>
      </w:r>
      <w:r w:rsidR="00654B5B">
        <w:rPr>
          <w:sz w:val="24"/>
        </w:rPr>
        <w:t>27,2</w:t>
      </w:r>
      <w:r w:rsidRPr="00BD35DB" w:rsidR="00ED3BE1">
        <w:rPr>
          <w:sz w:val="24"/>
        </w:rPr>
        <w:t>5</w:t>
      </w:r>
      <w:r w:rsidR="006F58B9">
        <w:rPr>
          <w:sz w:val="24"/>
        </w:rPr>
        <w:t>2</w:t>
      </w:r>
      <w:r w:rsidRPr="00BD35DB" w:rsidR="00ED3BE1">
        <w:rPr>
          <w:sz w:val="24"/>
        </w:rPr>
        <w:t xml:space="preserve"> </w:t>
      </w:r>
      <w:r w:rsidRPr="00BD35DB" w:rsidR="00510420">
        <w:rPr>
          <w:sz w:val="24"/>
        </w:rPr>
        <w:t>establishments</w:t>
      </w:r>
      <w:r w:rsidRPr="00BD35DB" w:rsidR="00E1022E">
        <w:rPr>
          <w:sz w:val="24"/>
        </w:rPr>
        <w:t xml:space="preserve">. </w:t>
      </w:r>
    </w:p>
    <w:p w:rsidRPr="00BD35DB" w:rsidR="00662738" w:rsidRDefault="00662738" w14:paraId="78D9DE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Pr="00BD35DB" w:rsidR="00196181" w:rsidRDefault="00196181" w14:paraId="5938E9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b/>
          <w:bCs/>
          <w:sz w:val="24"/>
        </w:rPr>
        <w:t>16.  For collection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the report, publication dates, and other actions.</w:t>
      </w:r>
    </w:p>
    <w:p w:rsidRPr="00BD35DB" w:rsidR="00196181" w:rsidRDefault="00196181" w14:paraId="776884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7FBF9E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OSHA will not publish the information collected under the Regulation.</w:t>
      </w:r>
    </w:p>
    <w:p w:rsidRPr="00BD35DB" w:rsidR="00196181" w:rsidRDefault="00196181" w14:paraId="75410A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5B4EA5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b/>
          <w:bCs/>
          <w:sz w:val="24"/>
        </w:rPr>
        <w:t>17.  If seeking approval to not display the expiration date for OMB approval of the information collection, explain the reasons that display would be inappropriate.</w:t>
      </w:r>
    </w:p>
    <w:p w:rsidRPr="00BD35DB" w:rsidR="00196181" w:rsidRDefault="00196181" w14:paraId="732994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0E0C67" w:rsidP="000E0C67" w:rsidRDefault="000E0C67" w14:paraId="1D36D9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There is a sample letter displaying the OMB Control Number and burden statement.</w:t>
      </w:r>
    </w:p>
    <w:p w:rsidRPr="00BD35DB" w:rsidR="00C63DAD" w:rsidRDefault="00C63DAD" w14:paraId="5C3A19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p w:rsidRPr="00BD35DB" w:rsidR="00196181" w:rsidRDefault="00196181" w14:paraId="3BF844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b/>
          <w:bCs/>
          <w:sz w:val="24"/>
        </w:rPr>
        <w:t>18.  Explain each exception to the certification statement.</w:t>
      </w:r>
    </w:p>
    <w:p w:rsidRPr="00BD35DB" w:rsidR="00196181" w:rsidRDefault="00196181" w14:paraId="3E74AB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D35DB" w:rsidR="00196181" w:rsidRDefault="00196181" w14:paraId="1CD74E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OSHA is not seeking an exception to the certification statement.</w:t>
      </w:r>
    </w:p>
    <w:p w:rsidRPr="00BD35DB" w:rsidR="00DF61DB" w:rsidP="00876B78" w:rsidRDefault="00DF61DB" w14:paraId="0AF192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sz w:val="24"/>
        </w:rPr>
      </w:pPr>
    </w:p>
    <w:p w:rsidRPr="00BD35DB" w:rsidR="00876B78" w:rsidP="00876B78" w:rsidRDefault="00876B78" w14:paraId="708ECC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sz w:val="24"/>
        </w:rPr>
      </w:pPr>
      <w:r w:rsidRPr="00BD35DB">
        <w:rPr>
          <w:b/>
          <w:sz w:val="24"/>
        </w:rPr>
        <w:t>B. COLLECTIONS OF INFORMATON EMPLOYING STATISTICAL METHODS</w:t>
      </w:r>
    </w:p>
    <w:p w:rsidRPr="00BD35DB" w:rsidR="00876B78" w:rsidP="00876B78" w:rsidRDefault="00876B78" w14:paraId="313844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BD35DB" w:rsidR="00876B78" w:rsidP="00876B78" w:rsidRDefault="00876B78" w14:paraId="56AF95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BD35DB">
        <w:rPr>
          <w:sz w:val="24"/>
        </w:rPr>
        <w:t>This Supporting Statement does not contain any collection</w:t>
      </w:r>
      <w:r w:rsidRPr="00BD35DB" w:rsidR="00156FCC">
        <w:rPr>
          <w:sz w:val="24"/>
        </w:rPr>
        <w:t>s</w:t>
      </w:r>
      <w:r w:rsidRPr="00BD35DB">
        <w:rPr>
          <w:sz w:val="24"/>
        </w:rPr>
        <w:t xml:space="preserve"> of information that employ statistical methods.</w:t>
      </w:r>
    </w:p>
    <w:p w:rsidRPr="00BD35DB" w:rsidR="00FC498E" w:rsidP="00FC498E" w:rsidRDefault="00FC498E" w14:paraId="28FC15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p>
    <w:p w:rsidRPr="00BD35DB" w:rsidR="00FC498E" w:rsidP="00FC498E" w:rsidRDefault="00FC498E" w14:paraId="69DE3E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p>
    <w:p w:rsidRPr="00BD35DB" w:rsidR="00FC498E" w:rsidP="00FC498E" w:rsidRDefault="009E0648" w14:paraId="0E0B08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BD35DB">
        <w:rPr>
          <w:b/>
          <w:bCs/>
          <w:sz w:val="24"/>
        </w:rPr>
        <w:br w:type="page"/>
      </w:r>
      <w:r w:rsidRPr="00BD35DB" w:rsidR="00FC498E">
        <w:rPr>
          <w:b/>
          <w:bCs/>
          <w:sz w:val="24"/>
        </w:rPr>
        <w:lastRenderedPageBreak/>
        <w:t>Table 2</w:t>
      </w:r>
    </w:p>
    <w:p w:rsidRPr="00BD35DB" w:rsidR="00FC498E" w:rsidP="00FC498E" w:rsidRDefault="00FC498E" w14:paraId="585E19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BD35DB">
        <w:rPr>
          <w:b/>
          <w:bCs/>
          <w:sz w:val="24"/>
        </w:rPr>
        <w:t xml:space="preserve">Summary of Burden Hours and Costs Adjustments </w:t>
      </w:r>
    </w:p>
    <w:p w:rsidRPr="00BD35DB" w:rsidR="00FC498E" w:rsidP="00FC498E" w:rsidRDefault="00FC498E" w14:paraId="2CF24E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7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8"/>
        <w:gridCol w:w="1800"/>
        <w:gridCol w:w="1710"/>
        <w:gridCol w:w="2160"/>
      </w:tblGrid>
      <w:tr w:rsidRPr="00BD35DB" w:rsidR="00FC498E" w:rsidTr="000A64C4" w14:paraId="27DC7572" w14:textId="77777777">
        <w:trPr>
          <w:cantSplit/>
          <w:tblHeader/>
        </w:trPr>
        <w:tc>
          <w:tcPr>
            <w:tcW w:w="1998" w:type="dxa"/>
          </w:tcPr>
          <w:p w:rsidRPr="00BD35DB" w:rsidR="00FC498E" w:rsidP="000A64C4" w:rsidRDefault="00FC498E" w14:paraId="66C6BA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p>
          <w:p w:rsidRPr="00BD35DB" w:rsidR="00FC498E" w:rsidP="000A64C4" w:rsidRDefault="00FC498E" w14:paraId="70DEAC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BD35DB">
              <w:rPr>
                <w:b/>
                <w:szCs w:val="20"/>
              </w:rPr>
              <w:t>Information Collection</w:t>
            </w:r>
          </w:p>
          <w:p w:rsidRPr="00BD35DB" w:rsidR="00FC498E" w:rsidP="000A64C4" w:rsidRDefault="00FC498E" w14:paraId="299131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BD35DB">
              <w:rPr>
                <w:b/>
                <w:szCs w:val="20"/>
              </w:rPr>
              <w:t>Requirement</w:t>
            </w:r>
          </w:p>
        </w:tc>
        <w:tc>
          <w:tcPr>
            <w:tcW w:w="1800" w:type="dxa"/>
          </w:tcPr>
          <w:p w:rsidRPr="00BD35DB" w:rsidR="00FC498E" w:rsidP="000A64C4" w:rsidRDefault="00FC498E" w14:paraId="42267CFC" w14:textId="77777777">
            <w:pPr>
              <w:widowControl/>
              <w:ind w:right="-161"/>
              <w:jc w:val="center"/>
              <w:rPr>
                <w:b/>
                <w:szCs w:val="20"/>
              </w:rPr>
            </w:pPr>
          </w:p>
          <w:p w:rsidRPr="00BD35DB" w:rsidR="00FC498E" w:rsidP="000A64C4" w:rsidRDefault="00FC498E" w14:paraId="5995A111" w14:textId="77777777">
            <w:pPr>
              <w:widowControl/>
              <w:ind w:right="-161"/>
              <w:jc w:val="center"/>
              <w:rPr>
                <w:b/>
                <w:szCs w:val="20"/>
              </w:rPr>
            </w:pPr>
          </w:p>
          <w:p w:rsidRPr="00BD35DB" w:rsidR="00FC498E" w:rsidP="000A64C4" w:rsidRDefault="00FC498E" w14:paraId="5C50FAFE" w14:textId="77777777">
            <w:pPr>
              <w:widowControl/>
              <w:ind w:right="-161"/>
              <w:jc w:val="center"/>
              <w:rPr>
                <w:b/>
                <w:szCs w:val="20"/>
              </w:rPr>
            </w:pPr>
            <w:r w:rsidRPr="00BD35DB">
              <w:rPr>
                <w:b/>
                <w:szCs w:val="20"/>
              </w:rPr>
              <w:t>Current Burden</w:t>
            </w:r>
          </w:p>
          <w:p w:rsidRPr="00BD35DB" w:rsidR="00FC498E" w:rsidP="000A64C4" w:rsidRDefault="00FC498E" w14:paraId="29B9B8BE" w14:textId="77777777">
            <w:pPr>
              <w:widowControl/>
              <w:ind w:right="-161"/>
              <w:jc w:val="center"/>
              <w:rPr>
                <w:b/>
                <w:szCs w:val="20"/>
              </w:rPr>
            </w:pPr>
            <w:r w:rsidRPr="00BD35DB">
              <w:rPr>
                <w:b/>
                <w:szCs w:val="20"/>
              </w:rPr>
              <w:t>Hours</w:t>
            </w:r>
          </w:p>
        </w:tc>
        <w:tc>
          <w:tcPr>
            <w:tcW w:w="1710" w:type="dxa"/>
          </w:tcPr>
          <w:p w:rsidRPr="00BD35DB" w:rsidR="00FC498E" w:rsidP="000A64C4" w:rsidRDefault="00FC498E" w14:paraId="54F11C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p>
          <w:p w:rsidRPr="00BD35DB" w:rsidR="00FC498E" w:rsidP="000A64C4" w:rsidRDefault="00FC498E" w14:paraId="40CD0B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p>
          <w:p w:rsidRPr="00BD35DB" w:rsidR="00FC498E" w:rsidP="000A64C4" w:rsidRDefault="00FC498E" w14:paraId="154177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BD35DB">
              <w:rPr>
                <w:b/>
                <w:szCs w:val="20"/>
              </w:rPr>
              <w:t>Requested</w:t>
            </w:r>
          </w:p>
          <w:p w:rsidRPr="00BD35DB" w:rsidR="00FC498E" w:rsidP="000A64C4" w:rsidRDefault="00FC498E" w14:paraId="0B80B1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BD35DB">
              <w:rPr>
                <w:b/>
                <w:szCs w:val="20"/>
              </w:rPr>
              <w:t>Burden Hours</w:t>
            </w:r>
          </w:p>
        </w:tc>
        <w:tc>
          <w:tcPr>
            <w:tcW w:w="2160" w:type="dxa"/>
          </w:tcPr>
          <w:p w:rsidRPr="00BD35DB" w:rsidR="00FC498E" w:rsidP="000A64C4" w:rsidRDefault="00FC498E" w14:paraId="6330A5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p>
          <w:p w:rsidRPr="00BD35DB" w:rsidR="00FC498E" w:rsidP="000A64C4" w:rsidRDefault="00FC498E" w14:paraId="5C3930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p>
          <w:p w:rsidRPr="00BD35DB" w:rsidR="00FC498E" w:rsidP="000A64C4" w:rsidRDefault="00FC498E" w14:paraId="18F829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BD35DB">
              <w:rPr>
                <w:b/>
                <w:szCs w:val="20"/>
              </w:rPr>
              <w:t xml:space="preserve">Total Adjusted Burden Hours </w:t>
            </w:r>
          </w:p>
          <w:p w:rsidRPr="00BD35DB" w:rsidR="00FC498E" w:rsidP="000A64C4" w:rsidRDefault="00FC498E" w14:paraId="035325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p>
        </w:tc>
      </w:tr>
      <w:tr w:rsidRPr="00BD35DB" w:rsidR="00165F43" w:rsidTr="009E0648" w14:paraId="1C182B1E" w14:textId="77777777">
        <w:trPr>
          <w:trHeight w:val="638"/>
        </w:trPr>
        <w:tc>
          <w:tcPr>
            <w:tcW w:w="1998" w:type="dxa"/>
          </w:tcPr>
          <w:p w:rsidRPr="00BD35DB" w:rsidR="00165F43" w:rsidP="00165F43" w:rsidRDefault="00165F43" w14:paraId="4F9254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A.  Preservation of Records</w:t>
            </w:r>
          </w:p>
        </w:tc>
        <w:tc>
          <w:tcPr>
            <w:tcW w:w="1800" w:type="dxa"/>
          </w:tcPr>
          <w:p w:rsidRPr="00BD35DB" w:rsidR="00165F43" w:rsidP="00165F43" w:rsidRDefault="00165F43" w14:paraId="3BBEE645" w14:textId="77777777">
            <w:pPr>
              <w:jc w:val="center"/>
              <w:rPr>
                <w:sz w:val="24"/>
              </w:rPr>
            </w:pPr>
            <w:r w:rsidRPr="00BD35DB">
              <w:t>125,703</w:t>
            </w:r>
          </w:p>
        </w:tc>
        <w:tc>
          <w:tcPr>
            <w:tcW w:w="1710" w:type="dxa"/>
          </w:tcPr>
          <w:p w:rsidRPr="00BD35DB" w:rsidR="00165F43" w:rsidP="00165F43" w:rsidRDefault="00165F43" w14:paraId="2594AFC6" w14:textId="77777777">
            <w:pPr>
              <w:jc w:val="center"/>
              <w:rPr>
                <w:sz w:val="24"/>
              </w:rPr>
            </w:pPr>
            <w:r>
              <w:t>127,781</w:t>
            </w:r>
          </w:p>
        </w:tc>
        <w:tc>
          <w:tcPr>
            <w:tcW w:w="2160" w:type="dxa"/>
          </w:tcPr>
          <w:p w:rsidRPr="00BD35DB" w:rsidR="00165F43" w:rsidP="00165F43" w:rsidRDefault="00165F43" w14:paraId="5427F613" w14:textId="77777777">
            <w:pPr>
              <w:jc w:val="center"/>
              <w:rPr>
                <w:sz w:val="24"/>
              </w:rPr>
            </w:pPr>
            <w:r>
              <w:t>2,078</w:t>
            </w:r>
          </w:p>
        </w:tc>
      </w:tr>
      <w:tr w:rsidRPr="00BD35DB" w:rsidR="00165F43" w:rsidTr="009E0648" w14:paraId="37AEFC0C" w14:textId="77777777">
        <w:trPr>
          <w:trHeight w:val="692"/>
        </w:trPr>
        <w:tc>
          <w:tcPr>
            <w:tcW w:w="1998" w:type="dxa"/>
          </w:tcPr>
          <w:p w:rsidRPr="00BD35DB" w:rsidR="00165F43" w:rsidP="00165F43" w:rsidRDefault="00165F43" w14:paraId="663AED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B.  Access to Records</w:t>
            </w:r>
          </w:p>
        </w:tc>
        <w:tc>
          <w:tcPr>
            <w:tcW w:w="1800" w:type="dxa"/>
          </w:tcPr>
          <w:p w:rsidRPr="00BD35DB" w:rsidR="00165F43" w:rsidP="00165F43" w:rsidRDefault="00165F43" w14:paraId="7DA99190" w14:textId="77777777">
            <w:pPr>
              <w:jc w:val="center"/>
              <w:rPr>
                <w:sz w:val="24"/>
              </w:rPr>
            </w:pPr>
            <w:r w:rsidRPr="00BD35DB">
              <w:t>119,492</w:t>
            </w:r>
          </w:p>
        </w:tc>
        <w:tc>
          <w:tcPr>
            <w:tcW w:w="1710" w:type="dxa"/>
          </w:tcPr>
          <w:p w:rsidRPr="00BD35DB" w:rsidR="00165F43" w:rsidP="00165F43" w:rsidRDefault="00165F43" w14:paraId="6D4246AF" w14:textId="77777777">
            <w:pPr>
              <w:jc w:val="center"/>
              <w:rPr>
                <w:sz w:val="24"/>
              </w:rPr>
            </w:pPr>
            <w:r>
              <w:t>129,059</w:t>
            </w:r>
          </w:p>
        </w:tc>
        <w:tc>
          <w:tcPr>
            <w:tcW w:w="2160" w:type="dxa"/>
          </w:tcPr>
          <w:p w:rsidRPr="00BD35DB" w:rsidR="00165F43" w:rsidP="00165F43" w:rsidRDefault="00165F43" w14:paraId="229E8DB4" w14:textId="77777777">
            <w:pPr>
              <w:jc w:val="center"/>
              <w:rPr>
                <w:sz w:val="24"/>
              </w:rPr>
            </w:pPr>
            <w:r>
              <w:t>9,567</w:t>
            </w:r>
          </w:p>
        </w:tc>
      </w:tr>
      <w:tr w:rsidRPr="00BD35DB" w:rsidR="00165F43" w:rsidTr="009E0648" w14:paraId="2C3727D6" w14:textId="77777777">
        <w:tc>
          <w:tcPr>
            <w:tcW w:w="1998" w:type="dxa"/>
          </w:tcPr>
          <w:p w:rsidRPr="00BD35DB" w:rsidR="00165F43" w:rsidP="00165F43" w:rsidRDefault="00165F43" w14:paraId="4F0821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C.  Trade Secrets</w:t>
            </w:r>
          </w:p>
        </w:tc>
        <w:tc>
          <w:tcPr>
            <w:tcW w:w="1800" w:type="dxa"/>
          </w:tcPr>
          <w:p w:rsidRPr="00BD35DB" w:rsidR="00165F43" w:rsidP="00165F43" w:rsidRDefault="00165F43" w14:paraId="05E85DD2" w14:textId="77777777">
            <w:pPr>
              <w:jc w:val="center"/>
              <w:rPr>
                <w:sz w:val="24"/>
              </w:rPr>
            </w:pPr>
            <w:r w:rsidRPr="00BD35DB">
              <w:t>73,943</w:t>
            </w:r>
          </w:p>
        </w:tc>
        <w:tc>
          <w:tcPr>
            <w:tcW w:w="1710" w:type="dxa"/>
          </w:tcPr>
          <w:p w:rsidRPr="00BD35DB" w:rsidR="00165F43" w:rsidP="00165F43" w:rsidRDefault="00165F43" w14:paraId="3E63E4F5" w14:textId="77777777">
            <w:pPr>
              <w:jc w:val="center"/>
              <w:rPr>
                <w:sz w:val="24"/>
              </w:rPr>
            </w:pPr>
            <w:r>
              <w:t>76,668</w:t>
            </w:r>
          </w:p>
        </w:tc>
        <w:tc>
          <w:tcPr>
            <w:tcW w:w="2160" w:type="dxa"/>
          </w:tcPr>
          <w:p w:rsidRPr="00BD35DB" w:rsidR="00165F43" w:rsidP="00165F43" w:rsidRDefault="00165F43" w14:paraId="1953502A" w14:textId="77777777">
            <w:pPr>
              <w:jc w:val="center"/>
              <w:rPr>
                <w:sz w:val="24"/>
              </w:rPr>
            </w:pPr>
            <w:r w:rsidRPr="005E0A9A">
              <w:t>2</w:t>
            </w:r>
            <w:r w:rsidR="0009215D">
              <w:t>,</w:t>
            </w:r>
            <w:r w:rsidRPr="005E0A9A">
              <w:t>725</w:t>
            </w:r>
          </w:p>
        </w:tc>
      </w:tr>
      <w:tr w:rsidRPr="00BD35DB" w:rsidR="00165F43" w:rsidTr="009E0648" w14:paraId="38C036DC" w14:textId="77777777">
        <w:tc>
          <w:tcPr>
            <w:tcW w:w="1998" w:type="dxa"/>
          </w:tcPr>
          <w:p w:rsidRPr="00BD35DB" w:rsidR="00165F43" w:rsidP="00165F43" w:rsidRDefault="00165F43" w14:paraId="5B0008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D.  Employee Information</w:t>
            </w:r>
          </w:p>
        </w:tc>
        <w:tc>
          <w:tcPr>
            <w:tcW w:w="1800" w:type="dxa"/>
          </w:tcPr>
          <w:p w:rsidRPr="00BD35DB" w:rsidR="00165F43" w:rsidP="00165F43" w:rsidRDefault="00165F43" w14:paraId="2B587BDB" w14:textId="77777777">
            <w:pPr>
              <w:jc w:val="center"/>
              <w:rPr>
                <w:sz w:val="24"/>
              </w:rPr>
            </w:pPr>
            <w:r w:rsidRPr="00BD35DB">
              <w:t>395,125</w:t>
            </w:r>
          </w:p>
        </w:tc>
        <w:tc>
          <w:tcPr>
            <w:tcW w:w="1710" w:type="dxa"/>
          </w:tcPr>
          <w:p w:rsidRPr="00BD35DB" w:rsidR="00165F43" w:rsidP="00165F43" w:rsidRDefault="00165F43" w14:paraId="7C945932" w14:textId="77777777">
            <w:pPr>
              <w:jc w:val="center"/>
              <w:rPr>
                <w:sz w:val="24"/>
              </w:rPr>
            </w:pPr>
            <w:r>
              <w:t>418,772</w:t>
            </w:r>
          </w:p>
        </w:tc>
        <w:tc>
          <w:tcPr>
            <w:tcW w:w="2160" w:type="dxa"/>
          </w:tcPr>
          <w:p w:rsidRPr="00BD35DB" w:rsidR="00165F43" w:rsidP="00165F43" w:rsidRDefault="00165F43" w14:paraId="622ECECB" w14:textId="77777777">
            <w:pPr>
              <w:jc w:val="center"/>
              <w:rPr>
                <w:sz w:val="24"/>
              </w:rPr>
            </w:pPr>
            <w:r w:rsidRPr="005E0A9A">
              <w:t>23</w:t>
            </w:r>
            <w:r>
              <w:t>,</w:t>
            </w:r>
            <w:r w:rsidRPr="005E0A9A">
              <w:t>647</w:t>
            </w:r>
          </w:p>
        </w:tc>
      </w:tr>
      <w:tr w:rsidRPr="00BD35DB" w:rsidR="00165F43" w:rsidTr="009E0648" w14:paraId="42D2C8E4" w14:textId="77777777">
        <w:tc>
          <w:tcPr>
            <w:tcW w:w="1998" w:type="dxa"/>
          </w:tcPr>
          <w:p w:rsidRPr="00BD35DB" w:rsidR="00165F43" w:rsidP="00165F43" w:rsidRDefault="00165F43" w14:paraId="41056C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35DB">
              <w:rPr>
                <w:sz w:val="24"/>
              </w:rPr>
              <w:t>E. Transfer of Records</w:t>
            </w:r>
          </w:p>
        </w:tc>
        <w:tc>
          <w:tcPr>
            <w:tcW w:w="1800" w:type="dxa"/>
          </w:tcPr>
          <w:p w:rsidRPr="00BD35DB" w:rsidR="00165F43" w:rsidP="00165F43" w:rsidRDefault="00165F43" w14:paraId="081083DA" w14:textId="77777777">
            <w:pPr>
              <w:jc w:val="center"/>
              <w:rPr>
                <w:sz w:val="24"/>
              </w:rPr>
            </w:pPr>
            <w:r w:rsidRPr="00BD35DB">
              <w:t>2,958</w:t>
            </w:r>
          </w:p>
        </w:tc>
        <w:tc>
          <w:tcPr>
            <w:tcW w:w="1710" w:type="dxa"/>
          </w:tcPr>
          <w:p w:rsidRPr="00BD35DB" w:rsidR="00165F43" w:rsidP="00165F43" w:rsidRDefault="00165F43" w14:paraId="7C9EFF55" w14:textId="77777777">
            <w:pPr>
              <w:jc w:val="center"/>
              <w:rPr>
                <w:sz w:val="24"/>
              </w:rPr>
            </w:pPr>
            <w:r>
              <w:t>3,195</w:t>
            </w:r>
          </w:p>
        </w:tc>
        <w:tc>
          <w:tcPr>
            <w:tcW w:w="2160" w:type="dxa"/>
          </w:tcPr>
          <w:p w:rsidRPr="00BD35DB" w:rsidR="00165F43" w:rsidP="00165F43" w:rsidRDefault="00165F43" w14:paraId="7AB66878" w14:textId="77777777">
            <w:pPr>
              <w:jc w:val="center"/>
              <w:rPr>
                <w:sz w:val="24"/>
              </w:rPr>
            </w:pPr>
            <w:r w:rsidRPr="005E0A9A">
              <w:t>237</w:t>
            </w:r>
          </w:p>
        </w:tc>
      </w:tr>
      <w:tr w:rsidR="00165F43" w:rsidTr="009E0648" w14:paraId="24B7A5DF" w14:textId="77777777">
        <w:tc>
          <w:tcPr>
            <w:tcW w:w="1998" w:type="dxa"/>
          </w:tcPr>
          <w:p w:rsidRPr="00BD35DB" w:rsidR="00165F43" w:rsidP="00165F43" w:rsidRDefault="00165F43" w14:paraId="2B71B2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D35DB">
              <w:rPr>
                <w:b/>
                <w:sz w:val="24"/>
              </w:rPr>
              <w:t>Totals</w:t>
            </w:r>
          </w:p>
        </w:tc>
        <w:tc>
          <w:tcPr>
            <w:tcW w:w="1800" w:type="dxa"/>
          </w:tcPr>
          <w:p w:rsidRPr="00BD35DB" w:rsidR="00165F43" w:rsidP="00165F43" w:rsidRDefault="00165F43" w14:paraId="43C8E47B" w14:textId="77777777">
            <w:pPr>
              <w:jc w:val="center"/>
              <w:rPr>
                <w:b/>
                <w:bCs/>
                <w:sz w:val="24"/>
              </w:rPr>
            </w:pPr>
            <w:r w:rsidRPr="00BD35DB">
              <w:rPr>
                <w:b/>
              </w:rPr>
              <w:t>717,221</w:t>
            </w:r>
          </w:p>
        </w:tc>
        <w:tc>
          <w:tcPr>
            <w:tcW w:w="1710" w:type="dxa"/>
          </w:tcPr>
          <w:p w:rsidRPr="00165F43" w:rsidR="00165F43" w:rsidP="00165F43" w:rsidRDefault="00165F43" w14:paraId="0CF22644" w14:textId="77777777">
            <w:pPr>
              <w:jc w:val="center"/>
              <w:rPr>
                <w:b/>
              </w:rPr>
            </w:pPr>
            <w:r w:rsidRPr="007A7995">
              <w:rPr>
                <w:b/>
              </w:rPr>
              <w:t>755,475</w:t>
            </w:r>
          </w:p>
        </w:tc>
        <w:tc>
          <w:tcPr>
            <w:tcW w:w="2160" w:type="dxa"/>
          </w:tcPr>
          <w:p w:rsidRPr="00165F43" w:rsidR="00165F43" w:rsidP="00165F43" w:rsidRDefault="00165F43" w14:paraId="40B2C18A" w14:textId="77777777">
            <w:pPr>
              <w:jc w:val="center"/>
              <w:rPr>
                <w:b/>
              </w:rPr>
            </w:pPr>
            <w:r w:rsidRPr="007A7995">
              <w:rPr>
                <w:b/>
              </w:rPr>
              <w:t>38,254</w:t>
            </w:r>
          </w:p>
        </w:tc>
      </w:tr>
    </w:tbl>
    <w:p w:rsidR="00FC498E" w:rsidP="00FC498E" w:rsidRDefault="00FC498E" w14:paraId="34633494" w14:textId="77777777">
      <w:pPr>
        <w:tabs>
          <w:tab w:val="left" w:pos="-1440"/>
        </w:tabs>
        <w:ind w:right="-450"/>
        <w:rPr>
          <w:sz w:val="24"/>
        </w:rPr>
      </w:pPr>
      <w:r w:rsidRPr="00062A39">
        <w:rPr>
          <w:sz w:val="24"/>
        </w:rPr>
        <w:t xml:space="preserve">  </w:t>
      </w:r>
    </w:p>
    <w:p w:rsidR="00876B78" w:rsidP="009E0648" w:rsidRDefault="00876B78" w14:paraId="5CE4E0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sectPr w:rsidR="00876B78" w:rsidSect="007A5A0C">
      <w:headerReference w:type="default" r:id="rId19"/>
      <w:footerReference w:type="even" r:id="rId20"/>
      <w:footerReference w:type="default" r:id="rId21"/>
      <w:endnotePr>
        <w:numFmt w:val="decimal"/>
      </w:endnotePr>
      <w:pgSz w:w="12240" w:h="15840"/>
      <w:pgMar w:top="1440" w:right="1440" w:bottom="1440" w:left="1440" w:header="1440" w:footer="135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0246B" w14:textId="77777777" w:rsidR="002426C7" w:rsidRDefault="002426C7">
      <w:r>
        <w:separator/>
      </w:r>
    </w:p>
  </w:endnote>
  <w:endnote w:type="continuationSeparator" w:id="0">
    <w:p w14:paraId="166CBC34" w14:textId="77777777" w:rsidR="002426C7" w:rsidRDefault="0024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07CF5" w14:textId="77777777" w:rsidR="002426C7" w:rsidRDefault="002426C7" w:rsidP="00227D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669A99" w14:textId="77777777" w:rsidR="002426C7" w:rsidRDefault="00242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8C1BF" w14:textId="77777777" w:rsidR="002426C7" w:rsidRDefault="002426C7">
    <w:pPr>
      <w:spacing w:line="240" w:lineRule="exact"/>
    </w:pPr>
  </w:p>
  <w:p w14:paraId="3CCDA5D0" w14:textId="0F7C0E66" w:rsidR="002426C7" w:rsidRDefault="002426C7" w:rsidP="00227DB9">
    <w:pPr>
      <w:framePr w:wrap="around" w:vAnchor="text" w:hAnchor="margin" w:xAlign="center" w:y="1"/>
      <w:jc w:val="center"/>
      <w:rPr>
        <w:sz w:val="24"/>
      </w:rPr>
    </w:pPr>
    <w:r>
      <w:rPr>
        <w:sz w:val="24"/>
      </w:rPr>
      <w:t>-</w:t>
    </w:r>
    <w:r>
      <w:rPr>
        <w:sz w:val="24"/>
      </w:rPr>
      <w:fldChar w:fldCharType="begin"/>
    </w:r>
    <w:r>
      <w:rPr>
        <w:sz w:val="24"/>
      </w:rPr>
      <w:instrText xml:space="preserve">PAGE </w:instrText>
    </w:r>
    <w:r>
      <w:rPr>
        <w:sz w:val="24"/>
      </w:rPr>
      <w:fldChar w:fldCharType="separate"/>
    </w:r>
    <w:r w:rsidR="004E7CD3">
      <w:rPr>
        <w:noProof/>
        <w:sz w:val="24"/>
      </w:rPr>
      <w:t>16</w:t>
    </w:r>
    <w:r>
      <w:rPr>
        <w:sz w:val="24"/>
      </w:rPr>
      <w:fldChar w:fldCharType="end"/>
    </w:r>
    <w:r>
      <w:rPr>
        <w:sz w:val="24"/>
      </w:rPr>
      <w:t>-</w:t>
    </w:r>
  </w:p>
  <w:p w14:paraId="385EE5D8" w14:textId="77777777" w:rsidR="002426C7" w:rsidRDefault="002426C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C33C0" w14:textId="77777777" w:rsidR="002426C7" w:rsidRDefault="002426C7">
      <w:r>
        <w:separator/>
      </w:r>
    </w:p>
  </w:footnote>
  <w:footnote w:type="continuationSeparator" w:id="0">
    <w:p w14:paraId="70C06B3F" w14:textId="77777777" w:rsidR="002426C7" w:rsidRDefault="002426C7">
      <w:r>
        <w:continuationSeparator/>
      </w:r>
    </w:p>
  </w:footnote>
  <w:footnote w:id="1">
    <w:p w14:paraId="328C46CD" w14:textId="77777777" w:rsidR="002426C7" w:rsidRDefault="002426C7">
      <w:pPr>
        <w:tabs>
          <w:tab w:val="left" w:pos="0"/>
          <w:tab w:val="center" w:pos="4680"/>
          <w:tab w:val="left" w:pos="5040"/>
          <w:tab w:val="left" w:pos="5760"/>
          <w:tab w:val="left" w:pos="6480"/>
          <w:tab w:val="left" w:pos="7200"/>
          <w:tab w:val="left" w:pos="7920"/>
          <w:tab w:val="left" w:pos="8640"/>
          <w:tab w:val="left" w:pos="9360"/>
        </w:tabs>
        <w:spacing w:after="170"/>
        <w:ind w:firstLine="720"/>
        <w:rPr>
          <w:szCs w:val="20"/>
        </w:rPr>
      </w:pPr>
      <w:r>
        <w:rPr>
          <w:rStyle w:val="FootnoteReference"/>
          <w:szCs w:val="20"/>
          <w:vertAlign w:val="superscript"/>
        </w:rPr>
        <w:footnoteRef/>
      </w:r>
      <w:r>
        <w:rPr>
          <w:szCs w:val="20"/>
        </w:rPr>
        <w:t>The purpose of this supporting statement is to analyze and describe the burden hours and costs associated with provisions of the Regulation that contain collections of information; this supporting statement does not provide information or guidance on how to comply with, or how to enforce the Regulation.</w:t>
      </w:r>
    </w:p>
  </w:footnote>
  <w:footnote w:id="2">
    <w:p w14:paraId="4A84FD3D" w14:textId="77777777" w:rsidR="002426C7" w:rsidRDefault="002426C7">
      <w:pPr>
        <w:tabs>
          <w:tab w:val="left" w:pos="0"/>
          <w:tab w:val="center" w:pos="4680"/>
          <w:tab w:val="left" w:pos="5040"/>
          <w:tab w:val="left" w:pos="5760"/>
          <w:tab w:val="left" w:pos="6480"/>
          <w:tab w:val="left" w:pos="7200"/>
          <w:tab w:val="left" w:pos="7920"/>
          <w:tab w:val="left" w:pos="8640"/>
          <w:tab w:val="left" w:pos="9360"/>
        </w:tabs>
        <w:spacing w:after="170"/>
        <w:ind w:firstLine="720"/>
        <w:rPr>
          <w:rFonts w:ascii="Baskerville Old Face" w:hAnsi="Baskerville Old Face"/>
          <w:szCs w:val="20"/>
        </w:rPr>
      </w:pPr>
      <w:r>
        <w:rPr>
          <w:rStyle w:val="FootnoteReference"/>
          <w:szCs w:val="20"/>
          <w:vertAlign w:val="superscript"/>
        </w:rPr>
        <w:footnoteRef/>
      </w:r>
      <w:r>
        <w:rPr>
          <w:szCs w:val="20"/>
        </w:rPr>
        <w:t>The Construction, Shipyard Employment, Marine Terminals and Longshoring versions of this Regulation (29 CFR 1926.33, 29 CFR 1915.1020, 29 CFR 1917.1, 29 CFR 1918.1, respectively) incorporate 29 CFR 1910.1020 by reference.</w:t>
      </w:r>
    </w:p>
  </w:footnote>
  <w:footnote w:id="3">
    <w:p w14:paraId="6AF3F409" w14:textId="77777777" w:rsidR="002426C7" w:rsidRDefault="00242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0"/>
        <w:ind w:firstLine="720"/>
        <w:rPr>
          <w:szCs w:val="20"/>
        </w:rPr>
      </w:pPr>
      <w:r>
        <w:rPr>
          <w:rStyle w:val="FootnoteReference"/>
          <w:sz w:val="24"/>
          <w:vertAlign w:val="superscript"/>
        </w:rPr>
        <w:footnoteRef/>
      </w:r>
      <w:r>
        <w:rPr>
          <w:szCs w:val="20"/>
        </w:rPr>
        <w:t>Paragraph (c)(5) of the Regulation defines an employee exposure record as:  environmental (workplace) monitoring or measurement of a toxic substance or harmful physical agent; biological monitoring results; and material safety data sheets.  In the absence of these items, exposure records include a chemical inventory or any other record that provides the identity of the toxic chemical or harmful physical agent (i.e., its chemical, common, or trade name), as well as the location and time of its use.</w:t>
      </w:r>
    </w:p>
  </w:footnote>
  <w:footnote w:id="4">
    <w:p w14:paraId="2BE5E62C" w14:textId="77777777" w:rsidR="002426C7" w:rsidRDefault="00242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6"/>
        <w:ind w:firstLine="720"/>
        <w:rPr>
          <w:szCs w:val="20"/>
        </w:rPr>
      </w:pPr>
      <w:r>
        <w:rPr>
          <w:rStyle w:val="FootnoteReference"/>
          <w:sz w:val="24"/>
          <w:vertAlign w:val="superscript"/>
        </w:rPr>
        <w:footnoteRef/>
      </w:r>
      <w:r>
        <w:rPr>
          <w:szCs w:val="20"/>
        </w:rPr>
        <w:t>Paragraph (c)(6) of the Regulation specifies that an employee medical record documents an employee’s health status and includes the following items:  medical and employment questionnaires or histories; the results of medical examinations and laboratory tests; medical opinions, diagnoses, progress notes, and recommendations; first-aid records; descriptions of treatments and prescriptions; and employee medical complaints.  A physician, nurse, or other healthcare personnel or technician makes or maintains the record.</w:t>
      </w:r>
    </w:p>
  </w:footnote>
  <w:footnote w:id="5">
    <w:p w14:paraId="2DBBE4DA" w14:textId="77777777" w:rsidR="002426C7" w:rsidRDefault="002426C7">
      <w:pPr>
        <w:pStyle w:val="FootnoteText"/>
        <w:ind w:firstLine="720"/>
      </w:pPr>
      <w:r>
        <w:rPr>
          <w:rStyle w:val="FootnoteReference"/>
          <w:sz w:val="24"/>
          <w:szCs w:val="24"/>
          <w:vertAlign w:val="superscript"/>
        </w:rPr>
        <w:footnoteRef/>
      </w:r>
      <w:r>
        <w:t>Material safety data sheets must be kept for those chemicals currently in use that are effected by the Hazard Communication Standard in accordance with 29 CFR 1910.1200(g).</w:t>
      </w:r>
    </w:p>
  </w:footnote>
  <w:footnote w:id="6">
    <w:p w14:paraId="1C4741E2" w14:textId="77777777" w:rsidR="002426C7" w:rsidRDefault="002426C7">
      <w:pPr>
        <w:pStyle w:val="FootnoteText"/>
        <w:ind w:firstLine="720"/>
      </w:pPr>
      <w:r w:rsidRPr="00212CC0">
        <w:rPr>
          <w:rStyle w:val="FootnoteReference"/>
          <w:sz w:val="24"/>
          <w:szCs w:val="24"/>
          <w:vertAlign w:val="superscript"/>
        </w:rPr>
        <w:footnoteRef/>
      </w:r>
      <w:r w:rsidRPr="00212CC0">
        <w:t>This provision imposes no burden on employers since employers are not developing this information.</w:t>
      </w:r>
    </w:p>
    <w:p w14:paraId="74B747E6" w14:textId="77777777" w:rsidR="002426C7" w:rsidRDefault="002426C7">
      <w:pPr>
        <w:pStyle w:val="FootnoteText"/>
        <w:ind w:firstLine="720"/>
      </w:pPr>
    </w:p>
  </w:footnote>
  <w:footnote w:id="7">
    <w:p w14:paraId="364E49BA" w14:textId="77777777" w:rsidR="002426C7" w:rsidRDefault="002426C7">
      <w:pPr>
        <w:pStyle w:val="FootnoteText"/>
        <w:ind w:firstLine="720"/>
      </w:pPr>
      <w:r w:rsidRPr="00212CC0">
        <w:rPr>
          <w:rStyle w:val="FootnoteReference"/>
          <w:sz w:val="24"/>
          <w:vertAlign w:val="superscript"/>
        </w:rPr>
        <w:footnoteRef/>
      </w:r>
      <w:r w:rsidRPr="00212CC0">
        <w:t>It is usual and customary for physicians to discuss medical records with workers or their representatives when disclosing medical records.  The information in this paragraph would be part of the usual and customary discussions.</w:t>
      </w:r>
    </w:p>
  </w:footnote>
  <w:footnote w:id="8">
    <w:p w14:paraId="746F321E" w14:textId="77777777" w:rsidR="002426C7" w:rsidRDefault="002426C7">
      <w:pPr>
        <w:pStyle w:val="FootnoteText"/>
        <w:ind w:firstLine="720"/>
      </w:pPr>
      <w:r>
        <w:rPr>
          <w:rStyle w:val="FootnoteReference"/>
          <w:sz w:val="22"/>
          <w:vertAlign w:val="superscript"/>
        </w:rPr>
        <w:footnoteRef/>
      </w:r>
      <w:r>
        <w:t>Posting a copy of the written access order is not considered a collection of information requirement since “the public disclosure of information originally supplied by the Federal government to the recipient for the purpose of disclosure is not included in this definition” (5 CFR 1320.3(c)(1)).  The term “definition” used in this statement refers to a collection of information.</w:t>
      </w:r>
    </w:p>
  </w:footnote>
  <w:footnote w:id="9">
    <w:p w14:paraId="68E2A906" w14:textId="77777777" w:rsidR="002426C7" w:rsidRDefault="002426C7">
      <w:pPr>
        <w:pStyle w:val="FootnoteText"/>
        <w:ind w:firstLine="720"/>
      </w:pPr>
      <w:r>
        <w:rPr>
          <w:rStyle w:val="FootnoteReference"/>
          <w:sz w:val="24"/>
          <w:szCs w:val="24"/>
          <w:vertAlign w:val="superscript"/>
        </w:rPr>
        <w:footnoteRef/>
      </w:r>
      <w:r>
        <w:t xml:space="preserve">This request is being provided to the employer, not generated by the employer; therefore the collection of information is not applicable to the respondents in this ICR; the only burden is for the employer to maintain the request.  </w:t>
      </w:r>
    </w:p>
  </w:footnote>
  <w:footnote w:id="10">
    <w:p w14:paraId="5A7B3C65" w14:textId="77777777" w:rsidR="002426C7" w:rsidRDefault="002426C7">
      <w:pPr>
        <w:pStyle w:val="FootnoteText"/>
        <w:ind w:firstLine="720"/>
      </w:pPr>
      <w:r>
        <w:rPr>
          <w:rStyle w:val="FootnoteReference"/>
          <w:sz w:val="24"/>
          <w:szCs w:val="24"/>
          <w:vertAlign w:val="superscript"/>
        </w:rPr>
        <w:footnoteRef/>
      </w:r>
      <w:r>
        <w:t xml:space="preserve">Employers maintaining a copy of the Regulation, and making copies readily available, upon request, to employees, and distributing to current employees any informational materials concerning this Regulation which are made available to the employer by the Assistant Secretary of Labor for Occupational Safety and Health are exempt from the definition of a collection of information since “the public disclosure of information originally supplied by the Federal government to the recipient for the purpose of disclosure is not included in this definition” (5 CFR 1320.3(c)(1)). </w:t>
      </w:r>
    </w:p>
    <w:p w14:paraId="44C8DA23" w14:textId="77777777" w:rsidR="002426C7" w:rsidRDefault="002426C7">
      <w:pPr>
        <w:pStyle w:val="FootnoteText"/>
      </w:pPr>
    </w:p>
  </w:footnote>
  <w:footnote w:id="11">
    <w:p w14:paraId="68655CAF" w14:textId="77777777" w:rsidR="002426C7" w:rsidRDefault="002426C7" w:rsidP="009E0648">
      <w:pPr>
        <w:pStyle w:val="FootnoteText"/>
        <w:ind w:firstLine="720"/>
      </w:pPr>
      <w:r w:rsidRPr="009E0648">
        <w:rPr>
          <w:rStyle w:val="FootnoteReference"/>
          <w:sz w:val="24"/>
          <w:szCs w:val="24"/>
          <w:vertAlign w:val="superscript"/>
        </w:rPr>
        <w:footnoteRef/>
      </w:r>
      <w:r w:rsidRPr="009E0648">
        <w:rPr>
          <w:rStyle w:val="FootnoteReference"/>
          <w:sz w:val="24"/>
          <w:szCs w:val="24"/>
          <w:vertAlign w:val="superscript"/>
        </w:rPr>
        <w:t xml:space="preserve"> </w:t>
      </w:r>
      <w:r>
        <w:t>The agency uses the following NAICS codes to develop estimates for this ICR: 211 (Oil and Gas Extraction); 22 (Utilities); 23 (Construction); 311 (Food Manufacturing); 312 (Beverage and Tobacco Product Manufacturing); 313 (Textile Mills); 314 (Textile Product Mills); 315 (Apparel Manufacturing); 316 (Leather and Allied Product Manufacturing); 321 (Wood and Product Manufacturing); 322 (Paper Manufacturing): 324 (Petroleum and Coal Products Manufacturing); 325 (Chemical Manufacturing): 326 (Plastics and Rubber Products Manufacturing); 327 (Nonmetallic Mineral Product Manufacturing); 331 (Primary Metal Manufacturing); 332 (Fabricated Metal Product Manufacturing); 333 (Machinery Manufacturing); 334 (Computer and Electronic Product Manufacturing); 335 (Electrical Equipment, Appliance and Component Manufacturing); 336 (Transportation Equipment Manufacturing); 337 (Furniture and Related Product Manufacturing); 339 (Misc. Manufacturing); 42 (Wholesale Trade); 44-45 (Retail Trade); 48-49 (Transportation and Warehousing); 51 (Information); 52 (Finance and Insurance); 53 (Real Estate and Rental Leasing); 54 (Professional Scientific and Technical Services); 55 (Management of Companies and Enterprises); 56 (Administrative and Support and Waste Management and Remediation Services); 61 (Educational Services); 62 (Health Care and Social Assistance); 71 (Arts, Entertainment and Recreation); 72 (Accommodation and Food Services); 81 (Other Services except Public Administration).</w:t>
      </w:r>
    </w:p>
  </w:footnote>
  <w:footnote w:id="12">
    <w:p w14:paraId="13A19BF7" w14:textId="77777777" w:rsidR="002426C7" w:rsidRDefault="002426C7" w:rsidP="00662738">
      <w:pPr>
        <w:tabs>
          <w:tab w:val="left" w:pos="0"/>
          <w:tab w:val="center" w:pos="4680"/>
          <w:tab w:val="left" w:pos="5040"/>
          <w:tab w:val="left" w:pos="5760"/>
          <w:tab w:val="left" w:pos="6480"/>
          <w:tab w:val="left" w:pos="7200"/>
          <w:tab w:val="left" w:pos="7920"/>
          <w:tab w:val="left" w:pos="8640"/>
          <w:tab w:val="left" w:pos="9360"/>
        </w:tabs>
        <w:spacing w:after="170"/>
        <w:ind w:firstLine="720"/>
        <w:rPr>
          <w:szCs w:val="20"/>
        </w:rPr>
      </w:pPr>
      <w:r>
        <w:rPr>
          <w:rStyle w:val="FootnoteReference"/>
          <w:sz w:val="24"/>
          <w:vertAlign w:val="superscript"/>
        </w:rPr>
        <w:footnoteRef/>
      </w:r>
      <w:r>
        <w:rPr>
          <w:szCs w:val="20"/>
        </w:rPr>
        <w:t>Based on “The Description and Evaluation of Medical Surveillance Programs in General Industry and Construction Final Report,” prepared by OSHA’s Office of Regulatory Analysis, July 1993.</w:t>
      </w:r>
    </w:p>
  </w:footnote>
  <w:footnote w:id="13">
    <w:p w14:paraId="39E905E8" w14:textId="77777777" w:rsidR="002426C7" w:rsidRPr="00B34E9E" w:rsidRDefault="002426C7" w:rsidP="00B34E9E">
      <w:pPr>
        <w:pStyle w:val="FootnoteText"/>
        <w:rPr>
          <w:rFonts w:eastAsia="Calibri"/>
          <w:lang w:eastAsia="x-none"/>
        </w:rPr>
      </w:pPr>
      <w:r w:rsidRPr="009E0648">
        <w:rPr>
          <w:rStyle w:val="FootnoteReference"/>
          <w:sz w:val="22"/>
          <w:vertAlign w:val="superscript"/>
        </w:rPr>
        <w:footnoteRef/>
      </w:r>
      <w:r w:rsidRPr="009E0648">
        <w:rPr>
          <w:sz w:val="22"/>
          <w:vertAlign w:val="superscript"/>
        </w:rPr>
        <w:t xml:space="preserve"> </w:t>
      </w:r>
      <w:r w:rsidRPr="00B34E9E">
        <w:rPr>
          <w:rFonts w:eastAsia="Calibri"/>
          <w:lang w:val="x-none" w:eastAsia="x-none"/>
        </w:rPr>
        <w:t>The total unduplicated number of employers estimated to be affected by the standard.</w:t>
      </w:r>
    </w:p>
    <w:p w14:paraId="3B947172" w14:textId="77777777" w:rsidR="002426C7" w:rsidRDefault="002426C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6C660" w14:textId="77777777" w:rsidR="002426C7" w:rsidRDefault="002426C7" w:rsidP="00E5605A">
    <w:pPr>
      <w:pStyle w:val="Header"/>
      <w:rPr>
        <w:kern w:val="28"/>
        <w:szCs w:val="20"/>
      </w:rPr>
    </w:pPr>
    <w:r>
      <w:rPr>
        <w:kern w:val="28"/>
        <w:szCs w:val="20"/>
      </w:rPr>
      <w:t xml:space="preserve">Access to Employee Exposure and Medical Records </w:t>
    </w:r>
  </w:p>
  <w:p w14:paraId="4CE5070C" w14:textId="77777777" w:rsidR="002426C7" w:rsidRPr="00E22E9B" w:rsidRDefault="002426C7" w:rsidP="00E5605A">
    <w:pPr>
      <w:pStyle w:val="Header"/>
      <w:rPr>
        <w:kern w:val="28"/>
        <w:szCs w:val="20"/>
      </w:rPr>
    </w:pPr>
    <w:r w:rsidRPr="00F1591B">
      <w:rPr>
        <w:kern w:val="28"/>
        <w:szCs w:val="20"/>
      </w:rPr>
      <w:t xml:space="preserve">OMB Control No.: </w:t>
    </w:r>
    <w:r>
      <w:rPr>
        <w:kern w:val="28"/>
        <w:szCs w:val="20"/>
      </w:rPr>
      <w:t>1218-0065</w:t>
    </w:r>
  </w:p>
  <w:p w14:paraId="094C3DB7" w14:textId="77777777" w:rsidR="002426C7" w:rsidRPr="00E22E9B" w:rsidRDefault="002426C7" w:rsidP="00E5605A">
    <w:pPr>
      <w:pStyle w:val="Header"/>
      <w:rPr>
        <w:kern w:val="28"/>
        <w:szCs w:val="20"/>
      </w:rPr>
    </w:pPr>
    <w:r>
      <w:rPr>
        <w:kern w:val="28"/>
        <w:szCs w:val="20"/>
      </w:rPr>
      <w:t>Expiration Date: April 2020</w:t>
    </w:r>
  </w:p>
  <w:p w14:paraId="4CE84D9A" w14:textId="77777777" w:rsidR="002426C7" w:rsidRDefault="002426C7" w:rsidP="002B6F13">
    <w:pPr>
      <w:widowControl/>
      <w:autoSpaceDE/>
      <w:adjustRightInd/>
      <w:rPr>
        <w:rFonts w:eastAsia="Calibri"/>
        <w:szCs w:val="20"/>
        <w:lang w:eastAsia="x-none"/>
      </w:rPr>
    </w:pPr>
    <w:r>
      <w:rPr>
        <w:rFonts w:eastAsia="Calibri"/>
        <w:szCs w:val="20"/>
        <w:lang w:eastAsia="x-none"/>
      </w:rPr>
      <w:tab/>
    </w:r>
  </w:p>
  <w:p w14:paraId="06F5E8A9" w14:textId="77777777" w:rsidR="002426C7" w:rsidRDefault="00242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4CCF048"/>
    <w:lvl w:ilvl="0">
      <w:numFmt w:val="decimal"/>
      <w:lvlText w:val="*"/>
      <w:lvlJc w:val="left"/>
    </w:lvl>
  </w:abstractNum>
  <w:abstractNum w:abstractNumId="1" w15:restartNumberingAfterBreak="0">
    <w:nsid w:val="00C82DBB"/>
    <w:multiLevelType w:val="hybridMultilevel"/>
    <w:tmpl w:val="AE64B1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C00633"/>
    <w:multiLevelType w:val="hybridMultilevel"/>
    <w:tmpl w:val="D288292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8E3809"/>
    <w:multiLevelType w:val="hybridMultilevel"/>
    <w:tmpl w:val="C4AC9D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307BD2"/>
    <w:multiLevelType w:val="hybridMultilevel"/>
    <w:tmpl w:val="4EE4F6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D5383B"/>
    <w:multiLevelType w:val="hybridMultilevel"/>
    <w:tmpl w:val="C53410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B97B4A"/>
    <w:multiLevelType w:val="hybridMultilevel"/>
    <w:tmpl w:val="CE0072B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697AA5"/>
    <w:multiLevelType w:val="hybridMultilevel"/>
    <w:tmpl w:val="C25825B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632791"/>
    <w:multiLevelType w:val="hybridMultilevel"/>
    <w:tmpl w:val="8EBE980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9A0BF7"/>
    <w:multiLevelType w:val="hybridMultilevel"/>
    <w:tmpl w:val="190E77F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EC4538"/>
    <w:multiLevelType w:val="hybridMultilevel"/>
    <w:tmpl w:val="F8346F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09096A"/>
    <w:multiLevelType w:val="hybridMultilevel"/>
    <w:tmpl w:val="C17093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3D3E01"/>
    <w:multiLevelType w:val="hybridMultilevel"/>
    <w:tmpl w:val="041E70DE"/>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A556EA"/>
    <w:multiLevelType w:val="hybridMultilevel"/>
    <w:tmpl w:val="4414372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810" w:hanging="720"/>
        </w:pPr>
        <w:rPr>
          <w:rFonts w:ascii="WP TypographicSymbols" w:hAnsi="WP TypographicSymbols" w:hint="default"/>
        </w:rPr>
      </w:lvl>
    </w:lvlOverride>
  </w:num>
  <w:num w:numId="2">
    <w:abstractNumId w:val="11"/>
  </w:num>
  <w:num w:numId="3">
    <w:abstractNumId w:val="4"/>
  </w:num>
  <w:num w:numId="4">
    <w:abstractNumId w:val="7"/>
  </w:num>
  <w:num w:numId="5">
    <w:abstractNumId w:val="3"/>
  </w:num>
  <w:num w:numId="6">
    <w:abstractNumId w:val="5"/>
  </w:num>
  <w:num w:numId="7">
    <w:abstractNumId w:val="9"/>
  </w:num>
  <w:num w:numId="8">
    <w:abstractNumId w:val="8"/>
  </w:num>
  <w:num w:numId="9">
    <w:abstractNumId w:val="1"/>
  </w:num>
  <w:num w:numId="10">
    <w:abstractNumId w:val="12"/>
  </w:num>
  <w:num w:numId="11">
    <w:abstractNumId w:val="10"/>
  </w:num>
  <w:num w:numId="12">
    <w:abstractNumId w:val="13"/>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569"/>
    <w:rsid w:val="00005E20"/>
    <w:rsid w:val="000077A1"/>
    <w:rsid w:val="00013599"/>
    <w:rsid w:val="00013E69"/>
    <w:rsid w:val="0002097E"/>
    <w:rsid w:val="000232BA"/>
    <w:rsid w:val="00026A77"/>
    <w:rsid w:val="00027E48"/>
    <w:rsid w:val="00037B47"/>
    <w:rsid w:val="000404BD"/>
    <w:rsid w:val="00040CFA"/>
    <w:rsid w:val="00052957"/>
    <w:rsid w:val="00055A4F"/>
    <w:rsid w:val="00056B40"/>
    <w:rsid w:val="000571CA"/>
    <w:rsid w:val="00061ABF"/>
    <w:rsid w:val="00062359"/>
    <w:rsid w:val="00062A39"/>
    <w:rsid w:val="00064D92"/>
    <w:rsid w:val="00071F43"/>
    <w:rsid w:val="000729C7"/>
    <w:rsid w:val="00076443"/>
    <w:rsid w:val="00077A39"/>
    <w:rsid w:val="0008087D"/>
    <w:rsid w:val="000811E4"/>
    <w:rsid w:val="00083DCF"/>
    <w:rsid w:val="0008586A"/>
    <w:rsid w:val="0008621B"/>
    <w:rsid w:val="0009215D"/>
    <w:rsid w:val="0009644A"/>
    <w:rsid w:val="000A2A11"/>
    <w:rsid w:val="000A4638"/>
    <w:rsid w:val="000A64C4"/>
    <w:rsid w:val="000B484F"/>
    <w:rsid w:val="000C6CCE"/>
    <w:rsid w:val="000D1726"/>
    <w:rsid w:val="000D6AB8"/>
    <w:rsid w:val="000E0C67"/>
    <w:rsid w:val="000E135F"/>
    <w:rsid w:val="000E1E91"/>
    <w:rsid w:val="000E2F3C"/>
    <w:rsid w:val="000F0DCF"/>
    <w:rsid w:val="000F71A6"/>
    <w:rsid w:val="00116855"/>
    <w:rsid w:val="00123E91"/>
    <w:rsid w:val="00124F36"/>
    <w:rsid w:val="0014218E"/>
    <w:rsid w:val="00143B65"/>
    <w:rsid w:val="0014438C"/>
    <w:rsid w:val="00145D41"/>
    <w:rsid w:val="001500E1"/>
    <w:rsid w:val="0015014A"/>
    <w:rsid w:val="00151680"/>
    <w:rsid w:val="00154B00"/>
    <w:rsid w:val="00156FCC"/>
    <w:rsid w:val="00156FD2"/>
    <w:rsid w:val="00161DB1"/>
    <w:rsid w:val="00165F43"/>
    <w:rsid w:val="001667E4"/>
    <w:rsid w:val="001709CA"/>
    <w:rsid w:val="00170E10"/>
    <w:rsid w:val="0017635B"/>
    <w:rsid w:val="00177408"/>
    <w:rsid w:val="00177637"/>
    <w:rsid w:val="00180AFC"/>
    <w:rsid w:val="001845ED"/>
    <w:rsid w:val="00186845"/>
    <w:rsid w:val="00196181"/>
    <w:rsid w:val="001A60EF"/>
    <w:rsid w:val="001A7CD4"/>
    <w:rsid w:val="001B508C"/>
    <w:rsid w:val="001B5B1B"/>
    <w:rsid w:val="001C6739"/>
    <w:rsid w:val="001D2E63"/>
    <w:rsid w:val="001F4589"/>
    <w:rsid w:val="001F70D8"/>
    <w:rsid w:val="0021010F"/>
    <w:rsid w:val="00211807"/>
    <w:rsid w:val="00212CC0"/>
    <w:rsid w:val="00213316"/>
    <w:rsid w:val="002158C5"/>
    <w:rsid w:val="002259E5"/>
    <w:rsid w:val="00226367"/>
    <w:rsid w:val="002265C9"/>
    <w:rsid w:val="00226B6C"/>
    <w:rsid w:val="00227DB9"/>
    <w:rsid w:val="00230F8F"/>
    <w:rsid w:val="0023200A"/>
    <w:rsid w:val="002341B1"/>
    <w:rsid w:val="002426C7"/>
    <w:rsid w:val="00242D7D"/>
    <w:rsid w:val="0025043F"/>
    <w:rsid w:val="0026366C"/>
    <w:rsid w:val="00263A81"/>
    <w:rsid w:val="00264699"/>
    <w:rsid w:val="00265FCC"/>
    <w:rsid w:val="00266D41"/>
    <w:rsid w:val="00271B56"/>
    <w:rsid w:val="002738C9"/>
    <w:rsid w:val="00275808"/>
    <w:rsid w:val="00292B1E"/>
    <w:rsid w:val="00292F45"/>
    <w:rsid w:val="00297464"/>
    <w:rsid w:val="002A155E"/>
    <w:rsid w:val="002A1F50"/>
    <w:rsid w:val="002A7855"/>
    <w:rsid w:val="002B3AAF"/>
    <w:rsid w:val="002B4665"/>
    <w:rsid w:val="002B6F13"/>
    <w:rsid w:val="002B74FA"/>
    <w:rsid w:val="002C0C13"/>
    <w:rsid w:val="002C5015"/>
    <w:rsid w:val="002C719B"/>
    <w:rsid w:val="002D1128"/>
    <w:rsid w:val="002D222C"/>
    <w:rsid w:val="002D3A4D"/>
    <w:rsid w:val="002E01E2"/>
    <w:rsid w:val="003005A5"/>
    <w:rsid w:val="00300C88"/>
    <w:rsid w:val="00302F8B"/>
    <w:rsid w:val="0030365E"/>
    <w:rsid w:val="003135D1"/>
    <w:rsid w:val="00317D60"/>
    <w:rsid w:val="003228DB"/>
    <w:rsid w:val="0032608A"/>
    <w:rsid w:val="00326626"/>
    <w:rsid w:val="003271CF"/>
    <w:rsid w:val="00327ABC"/>
    <w:rsid w:val="00332032"/>
    <w:rsid w:val="00334DEA"/>
    <w:rsid w:val="00337EFA"/>
    <w:rsid w:val="00340F24"/>
    <w:rsid w:val="00344CA7"/>
    <w:rsid w:val="0034540F"/>
    <w:rsid w:val="00350949"/>
    <w:rsid w:val="00351B83"/>
    <w:rsid w:val="00353BCD"/>
    <w:rsid w:val="00365B76"/>
    <w:rsid w:val="0036737A"/>
    <w:rsid w:val="00371DCE"/>
    <w:rsid w:val="003828CD"/>
    <w:rsid w:val="00382906"/>
    <w:rsid w:val="00382976"/>
    <w:rsid w:val="003A22D1"/>
    <w:rsid w:val="003A2602"/>
    <w:rsid w:val="003A2DD8"/>
    <w:rsid w:val="003A348B"/>
    <w:rsid w:val="003A6E47"/>
    <w:rsid w:val="003A7102"/>
    <w:rsid w:val="003B4F8A"/>
    <w:rsid w:val="003B5A75"/>
    <w:rsid w:val="003C4C65"/>
    <w:rsid w:val="003C4EE9"/>
    <w:rsid w:val="003D269A"/>
    <w:rsid w:val="003D43F4"/>
    <w:rsid w:val="003D44C7"/>
    <w:rsid w:val="003D4EB6"/>
    <w:rsid w:val="003E3B56"/>
    <w:rsid w:val="003E4B64"/>
    <w:rsid w:val="003E60A1"/>
    <w:rsid w:val="00402D7B"/>
    <w:rsid w:val="00410648"/>
    <w:rsid w:val="00411098"/>
    <w:rsid w:val="004122CC"/>
    <w:rsid w:val="004127D7"/>
    <w:rsid w:val="00413350"/>
    <w:rsid w:val="004263BB"/>
    <w:rsid w:val="0042762F"/>
    <w:rsid w:val="00430C29"/>
    <w:rsid w:val="004335B6"/>
    <w:rsid w:val="0043429D"/>
    <w:rsid w:val="00443716"/>
    <w:rsid w:val="004455BB"/>
    <w:rsid w:val="00450C72"/>
    <w:rsid w:val="0045454D"/>
    <w:rsid w:val="004573C6"/>
    <w:rsid w:val="00462363"/>
    <w:rsid w:val="00463B69"/>
    <w:rsid w:val="00466D10"/>
    <w:rsid w:val="00472AAB"/>
    <w:rsid w:val="00474DD9"/>
    <w:rsid w:val="004777BC"/>
    <w:rsid w:val="00477F56"/>
    <w:rsid w:val="00480C0E"/>
    <w:rsid w:val="00482AAF"/>
    <w:rsid w:val="00483893"/>
    <w:rsid w:val="00483A6E"/>
    <w:rsid w:val="00483AD9"/>
    <w:rsid w:val="004957FA"/>
    <w:rsid w:val="00495A16"/>
    <w:rsid w:val="004A0729"/>
    <w:rsid w:val="004C5766"/>
    <w:rsid w:val="004D0976"/>
    <w:rsid w:val="004D3ED5"/>
    <w:rsid w:val="004D6F31"/>
    <w:rsid w:val="004E2254"/>
    <w:rsid w:val="004E7A2D"/>
    <w:rsid w:val="004E7CD3"/>
    <w:rsid w:val="005061BF"/>
    <w:rsid w:val="00510420"/>
    <w:rsid w:val="005138E5"/>
    <w:rsid w:val="00517746"/>
    <w:rsid w:val="0052067B"/>
    <w:rsid w:val="00527948"/>
    <w:rsid w:val="00530514"/>
    <w:rsid w:val="0053204F"/>
    <w:rsid w:val="0053483F"/>
    <w:rsid w:val="005350F6"/>
    <w:rsid w:val="0053650A"/>
    <w:rsid w:val="0056106C"/>
    <w:rsid w:val="00562860"/>
    <w:rsid w:val="00563EA6"/>
    <w:rsid w:val="005664E3"/>
    <w:rsid w:val="00571771"/>
    <w:rsid w:val="005755A7"/>
    <w:rsid w:val="00575888"/>
    <w:rsid w:val="0057785B"/>
    <w:rsid w:val="00583EB2"/>
    <w:rsid w:val="0058465B"/>
    <w:rsid w:val="00587A6F"/>
    <w:rsid w:val="005919A3"/>
    <w:rsid w:val="005923D0"/>
    <w:rsid w:val="00593172"/>
    <w:rsid w:val="00594A9C"/>
    <w:rsid w:val="00595A37"/>
    <w:rsid w:val="00595BF4"/>
    <w:rsid w:val="005B3124"/>
    <w:rsid w:val="005B348C"/>
    <w:rsid w:val="005B3C45"/>
    <w:rsid w:val="005B5651"/>
    <w:rsid w:val="005B5D11"/>
    <w:rsid w:val="005B7CDA"/>
    <w:rsid w:val="005C5F3D"/>
    <w:rsid w:val="005C6D72"/>
    <w:rsid w:val="005E1B04"/>
    <w:rsid w:val="005F1C3B"/>
    <w:rsid w:val="005F3B58"/>
    <w:rsid w:val="005F7E79"/>
    <w:rsid w:val="00600ABA"/>
    <w:rsid w:val="006028F3"/>
    <w:rsid w:val="00606921"/>
    <w:rsid w:val="00616270"/>
    <w:rsid w:val="00616BF4"/>
    <w:rsid w:val="006171B1"/>
    <w:rsid w:val="00617A3D"/>
    <w:rsid w:val="00637985"/>
    <w:rsid w:val="00654059"/>
    <w:rsid w:val="00654675"/>
    <w:rsid w:val="00654B5B"/>
    <w:rsid w:val="00662738"/>
    <w:rsid w:val="00663B1E"/>
    <w:rsid w:val="00682341"/>
    <w:rsid w:val="006840A1"/>
    <w:rsid w:val="00686158"/>
    <w:rsid w:val="00691462"/>
    <w:rsid w:val="00691762"/>
    <w:rsid w:val="00694383"/>
    <w:rsid w:val="006954F0"/>
    <w:rsid w:val="00697A34"/>
    <w:rsid w:val="006A0DC4"/>
    <w:rsid w:val="006A60C0"/>
    <w:rsid w:val="006B2AF4"/>
    <w:rsid w:val="006B7CCD"/>
    <w:rsid w:val="006C3539"/>
    <w:rsid w:val="006C6053"/>
    <w:rsid w:val="006D33FB"/>
    <w:rsid w:val="006D5EEC"/>
    <w:rsid w:val="006D7CF3"/>
    <w:rsid w:val="006E5965"/>
    <w:rsid w:val="006E5E59"/>
    <w:rsid w:val="006F0A2E"/>
    <w:rsid w:val="006F106F"/>
    <w:rsid w:val="006F2254"/>
    <w:rsid w:val="006F58B9"/>
    <w:rsid w:val="00700362"/>
    <w:rsid w:val="00704AA8"/>
    <w:rsid w:val="00706E21"/>
    <w:rsid w:val="007078EA"/>
    <w:rsid w:val="00711909"/>
    <w:rsid w:val="00712A58"/>
    <w:rsid w:val="00720A0B"/>
    <w:rsid w:val="00723EF2"/>
    <w:rsid w:val="0072553F"/>
    <w:rsid w:val="007302B4"/>
    <w:rsid w:val="007370AB"/>
    <w:rsid w:val="0074035F"/>
    <w:rsid w:val="007502BF"/>
    <w:rsid w:val="00750437"/>
    <w:rsid w:val="00756F84"/>
    <w:rsid w:val="00764788"/>
    <w:rsid w:val="0076495C"/>
    <w:rsid w:val="007669C6"/>
    <w:rsid w:val="0077055F"/>
    <w:rsid w:val="00771A09"/>
    <w:rsid w:val="00776C61"/>
    <w:rsid w:val="0078094E"/>
    <w:rsid w:val="007834D4"/>
    <w:rsid w:val="00785A6D"/>
    <w:rsid w:val="00790FBD"/>
    <w:rsid w:val="007949AE"/>
    <w:rsid w:val="00796418"/>
    <w:rsid w:val="007A5A0C"/>
    <w:rsid w:val="007A7995"/>
    <w:rsid w:val="007B0BBB"/>
    <w:rsid w:val="007B42A5"/>
    <w:rsid w:val="007B45E5"/>
    <w:rsid w:val="007B7ED2"/>
    <w:rsid w:val="007C35F3"/>
    <w:rsid w:val="007C4283"/>
    <w:rsid w:val="007C5767"/>
    <w:rsid w:val="007D34F2"/>
    <w:rsid w:val="007D4CCE"/>
    <w:rsid w:val="007D543A"/>
    <w:rsid w:val="007E03EC"/>
    <w:rsid w:val="007F49E8"/>
    <w:rsid w:val="007F59AA"/>
    <w:rsid w:val="00803DBC"/>
    <w:rsid w:val="0081757E"/>
    <w:rsid w:val="00826CFE"/>
    <w:rsid w:val="008367D1"/>
    <w:rsid w:val="008439F3"/>
    <w:rsid w:val="00844C36"/>
    <w:rsid w:val="008614D7"/>
    <w:rsid w:val="00862878"/>
    <w:rsid w:val="008632FA"/>
    <w:rsid w:val="00863ED3"/>
    <w:rsid w:val="0087113F"/>
    <w:rsid w:val="0087508D"/>
    <w:rsid w:val="00876B78"/>
    <w:rsid w:val="00880F71"/>
    <w:rsid w:val="008814D2"/>
    <w:rsid w:val="00881793"/>
    <w:rsid w:val="00886F61"/>
    <w:rsid w:val="0089149F"/>
    <w:rsid w:val="00891A55"/>
    <w:rsid w:val="00891FA6"/>
    <w:rsid w:val="00892A76"/>
    <w:rsid w:val="00894254"/>
    <w:rsid w:val="00897827"/>
    <w:rsid w:val="008A21D4"/>
    <w:rsid w:val="008B232B"/>
    <w:rsid w:val="008B3412"/>
    <w:rsid w:val="008B40AF"/>
    <w:rsid w:val="008B44F9"/>
    <w:rsid w:val="008B46EE"/>
    <w:rsid w:val="008B525A"/>
    <w:rsid w:val="008C3667"/>
    <w:rsid w:val="008D1FCC"/>
    <w:rsid w:val="008D3E04"/>
    <w:rsid w:val="008E4295"/>
    <w:rsid w:val="008E64B1"/>
    <w:rsid w:val="0090214C"/>
    <w:rsid w:val="00910DEE"/>
    <w:rsid w:val="009251DA"/>
    <w:rsid w:val="0093781E"/>
    <w:rsid w:val="0094050C"/>
    <w:rsid w:val="009407F4"/>
    <w:rsid w:val="00940B1A"/>
    <w:rsid w:val="0094426F"/>
    <w:rsid w:val="00945ECA"/>
    <w:rsid w:val="00950871"/>
    <w:rsid w:val="009536B6"/>
    <w:rsid w:val="00954C25"/>
    <w:rsid w:val="00956479"/>
    <w:rsid w:val="00961829"/>
    <w:rsid w:val="009622AE"/>
    <w:rsid w:val="00966904"/>
    <w:rsid w:val="00973E07"/>
    <w:rsid w:val="00974F0C"/>
    <w:rsid w:val="0097791B"/>
    <w:rsid w:val="009863E3"/>
    <w:rsid w:val="00993D41"/>
    <w:rsid w:val="009A6675"/>
    <w:rsid w:val="009A794D"/>
    <w:rsid w:val="009B3C50"/>
    <w:rsid w:val="009C32FA"/>
    <w:rsid w:val="009D6449"/>
    <w:rsid w:val="009E0648"/>
    <w:rsid w:val="009F1600"/>
    <w:rsid w:val="009F1E2B"/>
    <w:rsid w:val="009F4B77"/>
    <w:rsid w:val="009F4E21"/>
    <w:rsid w:val="00A00007"/>
    <w:rsid w:val="00A03424"/>
    <w:rsid w:val="00A23A04"/>
    <w:rsid w:val="00A23B8C"/>
    <w:rsid w:val="00A248CD"/>
    <w:rsid w:val="00A26E38"/>
    <w:rsid w:val="00A276CA"/>
    <w:rsid w:val="00A37599"/>
    <w:rsid w:val="00A4115B"/>
    <w:rsid w:val="00A413BC"/>
    <w:rsid w:val="00A41544"/>
    <w:rsid w:val="00A439D3"/>
    <w:rsid w:val="00A47970"/>
    <w:rsid w:val="00A54FA8"/>
    <w:rsid w:val="00A571AA"/>
    <w:rsid w:val="00A63753"/>
    <w:rsid w:val="00A66DB3"/>
    <w:rsid w:val="00A70FA2"/>
    <w:rsid w:val="00A74437"/>
    <w:rsid w:val="00A749C8"/>
    <w:rsid w:val="00A74B98"/>
    <w:rsid w:val="00A76D64"/>
    <w:rsid w:val="00A81A90"/>
    <w:rsid w:val="00A85661"/>
    <w:rsid w:val="00A85B8E"/>
    <w:rsid w:val="00A96ECF"/>
    <w:rsid w:val="00A97D0B"/>
    <w:rsid w:val="00AA22D5"/>
    <w:rsid w:val="00AB0423"/>
    <w:rsid w:val="00AB2C81"/>
    <w:rsid w:val="00AB5218"/>
    <w:rsid w:val="00AC147C"/>
    <w:rsid w:val="00AC29C7"/>
    <w:rsid w:val="00AC619A"/>
    <w:rsid w:val="00AD6063"/>
    <w:rsid w:val="00AE5020"/>
    <w:rsid w:val="00AE755E"/>
    <w:rsid w:val="00AF0715"/>
    <w:rsid w:val="00AF0DE7"/>
    <w:rsid w:val="00AF12CB"/>
    <w:rsid w:val="00AF3456"/>
    <w:rsid w:val="00AF52BD"/>
    <w:rsid w:val="00AF7621"/>
    <w:rsid w:val="00AF7AB2"/>
    <w:rsid w:val="00B04C49"/>
    <w:rsid w:val="00B0739F"/>
    <w:rsid w:val="00B15E02"/>
    <w:rsid w:val="00B1785A"/>
    <w:rsid w:val="00B34AB0"/>
    <w:rsid w:val="00B34E9E"/>
    <w:rsid w:val="00B36524"/>
    <w:rsid w:val="00B4151B"/>
    <w:rsid w:val="00B43F90"/>
    <w:rsid w:val="00B457CB"/>
    <w:rsid w:val="00B45B10"/>
    <w:rsid w:val="00B46F42"/>
    <w:rsid w:val="00B527BF"/>
    <w:rsid w:val="00B52841"/>
    <w:rsid w:val="00B540D2"/>
    <w:rsid w:val="00B5637D"/>
    <w:rsid w:val="00B62917"/>
    <w:rsid w:val="00B67B6D"/>
    <w:rsid w:val="00B717AD"/>
    <w:rsid w:val="00B73E11"/>
    <w:rsid w:val="00B754ED"/>
    <w:rsid w:val="00B757D0"/>
    <w:rsid w:val="00B821BC"/>
    <w:rsid w:val="00B83D4E"/>
    <w:rsid w:val="00BA0AA0"/>
    <w:rsid w:val="00BB3517"/>
    <w:rsid w:val="00BB6CC4"/>
    <w:rsid w:val="00BC6AA1"/>
    <w:rsid w:val="00BD1331"/>
    <w:rsid w:val="00BD1393"/>
    <w:rsid w:val="00BD35DB"/>
    <w:rsid w:val="00BD4A48"/>
    <w:rsid w:val="00BF4CA6"/>
    <w:rsid w:val="00BF4F02"/>
    <w:rsid w:val="00BF56BF"/>
    <w:rsid w:val="00C0542E"/>
    <w:rsid w:val="00C058DE"/>
    <w:rsid w:val="00C10E37"/>
    <w:rsid w:val="00C14035"/>
    <w:rsid w:val="00C17CF8"/>
    <w:rsid w:val="00C21D8D"/>
    <w:rsid w:val="00C23371"/>
    <w:rsid w:val="00C24AFB"/>
    <w:rsid w:val="00C24FEE"/>
    <w:rsid w:val="00C25622"/>
    <w:rsid w:val="00C407FE"/>
    <w:rsid w:val="00C43A41"/>
    <w:rsid w:val="00C47DEB"/>
    <w:rsid w:val="00C52C57"/>
    <w:rsid w:val="00C54DFA"/>
    <w:rsid w:val="00C55253"/>
    <w:rsid w:val="00C60F67"/>
    <w:rsid w:val="00C63DAD"/>
    <w:rsid w:val="00C6491F"/>
    <w:rsid w:val="00C677FE"/>
    <w:rsid w:val="00C708E4"/>
    <w:rsid w:val="00C755E7"/>
    <w:rsid w:val="00C837F1"/>
    <w:rsid w:val="00C844F4"/>
    <w:rsid w:val="00C850B0"/>
    <w:rsid w:val="00C87FC0"/>
    <w:rsid w:val="00C924A2"/>
    <w:rsid w:val="00C96EA1"/>
    <w:rsid w:val="00CA510A"/>
    <w:rsid w:val="00CB0F4C"/>
    <w:rsid w:val="00CB1B78"/>
    <w:rsid w:val="00CB1EFA"/>
    <w:rsid w:val="00CC2C76"/>
    <w:rsid w:val="00CC2EBB"/>
    <w:rsid w:val="00CC3834"/>
    <w:rsid w:val="00CC6E4D"/>
    <w:rsid w:val="00CD5989"/>
    <w:rsid w:val="00CE1858"/>
    <w:rsid w:val="00CE5C2E"/>
    <w:rsid w:val="00D148B7"/>
    <w:rsid w:val="00D14FA3"/>
    <w:rsid w:val="00D22360"/>
    <w:rsid w:val="00D22CE4"/>
    <w:rsid w:val="00D2392C"/>
    <w:rsid w:val="00D27B88"/>
    <w:rsid w:val="00D3325B"/>
    <w:rsid w:val="00D34BF0"/>
    <w:rsid w:val="00D40F92"/>
    <w:rsid w:val="00D410C3"/>
    <w:rsid w:val="00D42B66"/>
    <w:rsid w:val="00D54BDA"/>
    <w:rsid w:val="00D57A2D"/>
    <w:rsid w:val="00D619E3"/>
    <w:rsid w:val="00D61C00"/>
    <w:rsid w:val="00D62D01"/>
    <w:rsid w:val="00D64872"/>
    <w:rsid w:val="00D73E2C"/>
    <w:rsid w:val="00D80F4E"/>
    <w:rsid w:val="00D826FC"/>
    <w:rsid w:val="00D859DF"/>
    <w:rsid w:val="00D91E8B"/>
    <w:rsid w:val="00D97B52"/>
    <w:rsid w:val="00DA1681"/>
    <w:rsid w:val="00DB0332"/>
    <w:rsid w:val="00DB050F"/>
    <w:rsid w:val="00DB753E"/>
    <w:rsid w:val="00DC17DB"/>
    <w:rsid w:val="00DC1958"/>
    <w:rsid w:val="00DC300B"/>
    <w:rsid w:val="00DC327C"/>
    <w:rsid w:val="00DC5B64"/>
    <w:rsid w:val="00DD03B1"/>
    <w:rsid w:val="00DD4888"/>
    <w:rsid w:val="00DD6479"/>
    <w:rsid w:val="00DD74D7"/>
    <w:rsid w:val="00DE494F"/>
    <w:rsid w:val="00DF2414"/>
    <w:rsid w:val="00DF61DB"/>
    <w:rsid w:val="00DF6207"/>
    <w:rsid w:val="00DF703B"/>
    <w:rsid w:val="00E054E3"/>
    <w:rsid w:val="00E0616A"/>
    <w:rsid w:val="00E0671F"/>
    <w:rsid w:val="00E1022E"/>
    <w:rsid w:val="00E1076B"/>
    <w:rsid w:val="00E22C02"/>
    <w:rsid w:val="00E2443D"/>
    <w:rsid w:val="00E24D2A"/>
    <w:rsid w:val="00E30F9A"/>
    <w:rsid w:val="00E3244E"/>
    <w:rsid w:val="00E3613B"/>
    <w:rsid w:val="00E40AC2"/>
    <w:rsid w:val="00E5605A"/>
    <w:rsid w:val="00E65A8F"/>
    <w:rsid w:val="00E72728"/>
    <w:rsid w:val="00E7337A"/>
    <w:rsid w:val="00E81D33"/>
    <w:rsid w:val="00E84772"/>
    <w:rsid w:val="00E90B0C"/>
    <w:rsid w:val="00E914C3"/>
    <w:rsid w:val="00E97D33"/>
    <w:rsid w:val="00EA215B"/>
    <w:rsid w:val="00EB1116"/>
    <w:rsid w:val="00EC3741"/>
    <w:rsid w:val="00ED230F"/>
    <w:rsid w:val="00ED2615"/>
    <w:rsid w:val="00ED3BE1"/>
    <w:rsid w:val="00ED453D"/>
    <w:rsid w:val="00ED585F"/>
    <w:rsid w:val="00EE7EC4"/>
    <w:rsid w:val="00EF7A1F"/>
    <w:rsid w:val="00F015B3"/>
    <w:rsid w:val="00F06B75"/>
    <w:rsid w:val="00F07BF3"/>
    <w:rsid w:val="00F1375C"/>
    <w:rsid w:val="00F140D7"/>
    <w:rsid w:val="00F160DB"/>
    <w:rsid w:val="00F17907"/>
    <w:rsid w:val="00F17C0A"/>
    <w:rsid w:val="00F226D2"/>
    <w:rsid w:val="00F33AA6"/>
    <w:rsid w:val="00F51F02"/>
    <w:rsid w:val="00F5514B"/>
    <w:rsid w:val="00F577BB"/>
    <w:rsid w:val="00F654DF"/>
    <w:rsid w:val="00F6706F"/>
    <w:rsid w:val="00F70519"/>
    <w:rsid w:val="00F855FC"/>
    <w:rsid w:val="00F97569"/>
    <w:rsid w:val="00FA328C"/>
    <w:rsid w:val="00FA4479"/>
    <w:rsid w:val="00FA5A92"/>
    <w:rsid w:val="00FB4977"/>
    <w:rsid w:val="00FC1A6A"/>
    <w:rsid w:val="00FC498E"/>
    <w:rsid w:val="00FC6296"/>
    <w:rsid w:val="00FD14E3"/>
    <w:rsid w:val="00FE0B51"/>
    <w:rsid w:val="00FE3420"/>
    <w:rsid w:val="00FF22E8"/>
    <w:rsid w:val="00FF3201"/>
    <w:rsid w:val="00FF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AE557D"/>
  <w15:chartTrackingRefBased/>
  <w15:docId w15:val="{D59316A8-B644-40AC-8C95-0947A32B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020"/>
    <w:pPr>
      <w:widowControl w:val="0"/>
      <w:autoSpaceDE w:val="0"/>
      <w:autoSpaceDN w:val="0"/>
      <w:adjustRightInd w:val="0"/>
    </w:pPr>
    <w:rPr>
      <w:szCs w:val="24"/>
    </w:rPr>
  </w:style>
  <w:style w:type="paragraph" w:styleId="Heading2">
    <w:name w:val="heading 2"/>
    <w:basedOn w:val="Normal"/>
    <w:qFormat/>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FootnoteRef">
    <w:name w:val="Footnote Ref"/>
  </w:style>
  <w:style w:type="paragraph" w:customStyle="1" w:styleId="Level1">
    <w:name w:val="Level 1"/>
    <w:basedOn w:val="Normal"/>
    <w:pPr>
      <w:ind w:left="720" w:hanging="720"/>
    </w:pPr>
  </w:style>
  <w:style w:type="paragraph" w:styleId="BodyText">
    <w:name w:val="Body Tex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askerville Old Face" w:hAnsi="Baskerville Old Face"/>
      <w:sz w:val="24"/>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uiPriority w:val="99"/>
    <w:rPr>
      <w:szCs w:val="20"/>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sid w:val="00993D41"/>
    <w:rPr>
      <w:color w:val="0000FF"/>
      <w:u w:val="single"/>
    </w:rPr>
  </w:style>
  <w:style w:type="character" w:customStyle="1" w:styleId="blueten1">
    <w:name w:val="blueten1"/>
    <w:rPr>
      <w:rFonts w:ascii="Verdana" w:hAnsi="Verdana" w:hint="default"/>
      <w:color w:val="003399"/>
      <w:sz w:val="19"/>
      <w:szCs w:val="19"/>
    </w:rPr>
  </w:style>
  <w:style w:type="character" w:styleId="PageNumber">
    <w:name w:val="page number"/>
    <w:basedOn w:val="DefaultParagraphFont"/>
    <w:rsid w:val="00480C0E"/>
  </w:style>
  <w:style w:type="paragraph" w:styleId="E-mailSignature">
    <w:name w:val="E-mail Signature"/>
    <w:basedOn w:val="Normal"/>
    <w:rsid w:val="003005A5"/>
    <w:pPr>
      <w:widowControl/>
      <w:autoSpaceDE/>
      <w:autoSpaceDN/>
      <w:adjustRightInd/>
    </w:pPr>
    <w:rPr>
      <w:sz w:val="24"/>
    </w:rPr>
  </w:style>
  <w:style w:type="paragraph" w:customStyle="1" w:styleId="Default">
    <w:name w:val="Default"/>
    <w:rsid w:val="00750437"/>
    <w:pPr>
      <w:autoSpaceDE w:val="0"/>
      <w:autoSpaceDN w:val="0"/>
      <w:adjustRightInd w:val="0"/>
    </w:pPr>
    <w:rPr>
      <w:color w:val="000000"/>
      <w:sz w:val="24"/>
      <w:szCs w:val="24"/>
    </w:rPr>
  </w:style>
  <w:style w:type="character" w:customStyle="1" w:styleId="FootnoteTextChar">
    <w:name w:val="Footnote Text Char"/>
    <w:link w:val="FootnoteText"/>
    <w:uiPriority w:val="99"/>
    <w:rsid w:val="00DD03B1"/>
  </w:style>
  <w:style w:type="character" w:styleId="CommentReference">
    <w:name w:val="annotation reference"/>
    <w:rsid w:val="00213316"/>
    <w:rPr>
      <w:sz w:val="16"/>
      <w:szCs w:val="16"/>
    </w:rPr>
  </w:style>
  <w:style w:type="paragraph" w:styleId="CommentText">
    <w:name w:val="annotation text"/>
    <w:basedOn w:val="Normal"/>
    <w:link w:val="CommentTextChar"/>
    <w:rsid w:val="00213316"/>
    <w:rPr>
      <w:szCs w:val="20"/>
    </w:rPr>
  </w:style>
  <w:style w:type="character" w:customStyle="1" w:styleId="CommentTextChar">
    <w:name w:val="Comment Text Char"/>
    <w:basedOn w:val="DefaultParagraphFont"/>
    <w:link w:val="CommentText"/>
    <w:rsid w:val="00213316"/>
  </w:style>
  <w:style w:type="paragraph" w:styleId="CommentSubject">
    <w:name w:val="annotation subject"/>
    <w:basedOn w:val="CommentText"/>
    <w:next w:val="CommentText"/>
    <w:link w:val="CommentSubjectChar"/>
    <w:rsid w:val="00213316"/>
    <w:rPr>
      <w:b/>
      <w:bCs/>
    </w:rPr>
  </w:style>
  <w:style w:type="character" w:customStyle="1" w:styleId="CommentSubjectChar">
    <w:name w:val="Comment Subject Char"/>
    <w:link w:val="CommentSubject"/>
    <w:rsid w:val="00213316"/>
    <w:rPr>
      <w:b/>
      <w:bCs/>
    </w:rPr>
  </w:style>
  <w:style w:type="paragraph" w:styleId="NormalWeb">
    <w:name w:val="Normal (Web)"/>
    <w:basedOn w:val="Normal"/>
    <w:uiPriority w:val="99"/>
    <w:unhideWhenUsed/>
    <w:rsid w:val="00BD1393"/>
    <w:pPr>
      <w:widowControl/>
      <w:autoSpaceDE/>
      <w:autoSpaceDN/>
      <w:adjustRightInd/>
      <w:spacing w:beforeLines="1"/>
    </w:pPr>
    <w:rPr>
      <w:rFonts w:ascii="Times" w:hAnsi="Times"/>
      <w:szCs w:val="20"/>
    </w:rPr>
  </w:style>
  <w:style w:type="paragraph" w:styleId="Revision">
    <w:name w:val="Revision"/>
    <w:hidden/>
    <w:uiPriority w:val="99"/>
    <w:semiHidden/>
    <w:rsid w:val="007669C6"/>
    <w:rPr>
      <w:szCs w:val="24"/>
    </w:rPr>
  </w:style>
  <w:style w:type="table" w:styleId="TableGrid">
    <w:name w:val="Table Grid"/>
    <w:basedOn w:val="TableNormal"/>
    <w:rsid w:val="00C70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E5605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0422">
      <w:bodyDiv w:val="1"/>
      <w:marLeft w:val="0"/>
      <w:marRight w:val="0"/>
      <w:marTop w:val="0"/>
      <w:marBottom w:val="0"/>
      <w:divBdr>
        <w:top w:val="none" w:sz="0" w:space="0" w:color="auto"/>
        <w:left w:val="none" w:sz="0" w:space="0" w:color="auto"/>
        <w:bottom w:val="none" w:sz="0" w:space="0" w:color="auto"/>
        <w:right w:val="none" w:sz="0" w:space="0" w:color="auto"/>
      </w:divBdr>
    </w:div>
    <w:div w:id="662708751">
      <w:bodyDiv w:val="1"/>
      <w:marLeft w:val="0"/>
      <w:marRight w:val="0"/>
      <w:marTop w:val="0"/>
      <w:marBottom w:val="0"/>
      <w:divBdr>
        <w:top w:val="none" w:sz="0" w:space="0" w:color="auto"/>
        <w:left w:val="none" w:sz="0" w:space="0" w:color="auto"/>
        <w:bottom w:val="none" w:sz="0" w:space="0" w:color="auto"/>
        <w:right w:val="none" w:sz="0" w:space="0" w:color="auto"/>
      </w:divBdr>
    </w:div>
    <w:div w:id="786778643">
      <w:bodyDiv w:val="1"/>
      <w:marLeft w:val="0"/>
      <w:marRight w:val="0"/>
      <w:marTop w:val="0"/>
      <w:marBottom w:val="0"/>
      <w:divBdr>
        <w:top w:val="none" w:sz="0" w:space="0" w:color="auto"/>
        <w:left w:val="none" w:sz="0" w:space="0" w:color="auto"/>
        <w:bottom w:val="none" w:sz="0" w:space="0" w:color="auto"/>
        <w:right w:val="none" w:sz="0" w:space="0" w:color="auto"/>
      </w:divBdr>
    </w:div>
    <w:div w:id="917324449">
      <w:bodyDiv w:val="1"/>
      <w:marLeft w:val="0"/>
      <w:marRight w:val="0"/>
      <w:marTop w:val="0"/>
      <w:marBottom w:val="0"/>
      <w:divBdr>
        <w:top w:val="none" w:sz="0" w:space="0" w:color="auto"/>
        <w:left w:val="none" w:sz="0" w:space="0" w:color="auto"/>
        <w:bottom w:val="none" w:sz="0" w:space="0" w:color="auto"/>
        <w:right w:val="none" w:sz="0" w:space="0" w:color="auto"/>
      </w:divBdr>
    </w:div>
    <w:div w:id="1016494489">
      <w:bodyDiv w:val="1"/>
      <w:marLeft w:val="0"/>
      <w:marRight w:val="0"/>
      <w:marTop w:val="0"/>
      <w:marBottom w:val="0"/>
      <w:divBdr>
        <w:top w:val="none" w:sz="0" w:space="0" w:color="auto"/>
        <w:left w:val="none" w:sz="0" w:space="0" w:color="auto"/>
        <w:bottom w:val="none" w:sz="0" w:space="0" w:color="auto"/>
        <w:right w:val="none" w:sz="0" w:space="0" w:color="auto"/>
      </w:divBdr>
    </w:div>
    <w:div w:id="1050570792">
      <w:bodyDiv w:val="1"/>
      <w:marLeft w:val="0"/>
      <w:marRight w:val="0"/>
      <w:marTop w:val="0"/>
      <w:marBottom w:val="0"/>
      <w:divBdr>
        <w:top w:val="none" w:sz="0" w:space="0" w:color="auto"/>
        <w:left w:val="none" w:sz="0" w:space="0" w:color="auto"/>
        <w:bottom w:val="none" w:sz="0" w:space="0" w:color="auto"/>
        <w:right w:val="none" w:sz="0" w:space="0" w:color="auto"/>
      </w:divBdr>
    </w:div>
    <w:div w:id="1098872950">
      <w:bodyDiv w:val="1"/>
      <w:marLeft w:val="0"/>
      <w:marRight w:val="0"/>
      <w:marTop w:val="0"/>
      <w:marBottom w:val="0"/>
      <w:divBdr>
        <w:top w:val="none" w:sz="0" w:space="0" w:color="auto"/>
        <w:left w:val="none" w:sz="0" w:space="0" w:color="auto"/>
        <w:bottom w:val="none" w:sz="0" w:space="0" w:color="auto"/>
        <w:right w:val="none" w:sz="0" w:space="0" w:color="auto"/>
      </w:divBdr>
    </w:div>
    <w:div w:id="1483615915">
      <w:bodyDiv w:val="1"/>
      <w:marLeft w:val="0"/>
      <w:marRight w:val="0"/>
      <w:marTop w:val="0"/>
      <w:marBottom w:val="0"/>
      <w:divBdr>
        <w:top w:val="none" w:sz="0" w:space="0" w:color="auto"/>
        <w:left w:val="none" w:sz="0" w:space="0" w:color="auto"/>
        <w:bottom w:val="none" w:sz="0" w:space="0" w:color="auto"/>
        <w:right w:val="none" w:sz="0" w:space="0" w:color="auto"/>
      </w:divBdr>
    </w:div>
    <w:div w:id="1503231856">
      <w:bodyDiv w:val="1"/>
      <w:marLeft w:val="0"/>
      <w:marRight w:val="0"/>
      <w:marTop w:val="0"/>
      <w:marBottom w:val="0"/>
      <w:divBdr>
        <w:top w:val="none" w:sz="0" w:space="0" w:color="auto"/>
        <w:left w:val="none" w:sz="0" w:space="0" w:color="auto"/>
        <w:bottom w:val="none" w:sz="0" w:space="0" w:color="auto"/>
        <w:right w:val="none" w:sz="0" w:space="0" w:color="auto"/>
      </w:divBdr>
    </w:div>
    <w:div w:id="1708873041">
      <w:bodyDiv w:val="1"/>
      <w:marLeft w:val="0"/>
      <w:marRight w:val="0"/>
      <w:marTop w:val="0"/>
      <w:marBottom w:val="0"/>
      <w:divBdr>
        <w:top w:val="none" w:sz="0" w:space="0" w:color="auto"/>
        <w:left w:val="none" w:sz="0" w:space="0" w:color="auto"/>
        <w:bottom w:val="none" w:sz="0" w:space="0" w:color="auto"/>
        <w:right w:val="none" w:sz="0" w:space="0" w:color="auto"/>
      </w:divBdr>
    </w:div>
    <w:div w:id="210537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sha.gov/pls/oshaweb/owalink.query_links?src_doc_type=STANDARDS&amp;src_unique_file=1910_1020&amp;src_anchor_name=1910.1020(d)(1)(ii)" TargetMode="External"/><Relationship Id="rId18" Type="http://schemas.openxmlformats.org/officeDocument/2006/relationships/hyperlink" Target="https://www.bls.gov/news.release/archives/ecec_06182019.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osha.gov/pls/oshaweb/owalink.query_links?src_doc_type=STANDARDS&amp;src_unique_file=1910_1020&amp;src_anchor_name=1910.1020(d)(1)(i)" TargetMode="External"/><Relationship Id="rId17" Type="http://schemas.openxmlformats.org/officeDocument/2006/relationships/hyperlink" Target="https://www.bls.gov/oes/tables.htm" TargetMode="External"/><Relationship Id="rId2" Type="http://schemas.openxmlformats.org/officeDocument/2006/relationships/customXml" Target="../customXml/item2.xml"/><Relationship Id="rId16" Type="http://schemas.openxmlformats.org/officeDocument/2006/relationships/hyperlink" Target="http://www.osha.gov/pls/oshaweb/owalink.query_links?src_doc_type=STANDARDS&amp;src_unique_file=1910_1020&amp;src_anchor_name=1910.1020(g)(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sha.gov/pls/oshaweb/owalink.query_links?src_doc_type=STANDARDS&amp;src_unique_file=1910_1020&amp;src_anchor_name=1910.1020(d)(1)" TargetMode="External"/><Relationship Id="rId5" Type="http://schemas.openxmlformats.org/officeDocument/2006/relationships/numbering" Target="numbering.xml"/><Relationship Id="rId15" Type="http://schemas.openxmlformats.org/officeDocument/2006/relationships/hyperlink" Target="http://www.osha.gov/pls/oshaweb/owalink.query_links?src_doc_type=STANDARDS&amp;src_unique_file=1910_1020&amp;src_anchor_name=1910.1020(e)(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ha.gov/pls/oshaweb/owalink.query_links?src_doc_type=STANDARDS&amp;src_unique_file=1910_1020&amp;src_anchor_name=1910.1020(d)(1)(ii)(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7" ma:contentTypeDescription="Create a new document." ma:contentTypeScope="" ma:versionID="961b047357014cd4e69f8de3ddaec2e8">
  <xsd:schema xmlns:xsd="http://www.w3.org/2001/XMLSchema" xmlns:xs="http://www.w3.org/2001/XMLSchema" xmlns:p="http://schemas.microsoft.com/office/2006/metadata/properties" xmlns:ns3="bff4c704-432d-4070-8c1d-cb7493b0e4fc" targetNamespace="http://schemas.microsoft.com/office/2006/metadata/properties" ma:root="true" ma:fieldsID="61e6424bcfd4117e086cb3ed19008fb6"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030C7-D360-4EAD-BD1E-5078F60943BA}">
  <ds:schemaRefs>
    <ds:schemaRef ds:uri="http://schemas.microsoft.com/sharepoint/v3/contenttype/forms"/>
  </ds:schemaRefs>
</ds:datastoreItem>
</file>

<file path=customXml/itemProps2.xml><?xml version="1.0" encoding="utf-8"?>
<ds:datastoreItem xmlns:ds="http://schemas.openxmlformats.org/officeDocument/2006/customXml" ds:itemID="{A11C111D-2870-4BAF-8331-2E4CBC87A88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ff4c704-432d-4070-8c1d-cb7493b0e4fc"/>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F1F5E67-AE47-47E0-B28C-7C5751F0A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911517-E835-48E8-AE19-DE294390C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8135</Words>
  <Characters>46376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 Department of Labor</Company>
  <LinksUpToDate>false</LinksUpToDate>
  <CharactersWithSpaces>54403</CharactersWithSpaces>
  <SharedDoc>false</SharedDoc>
  <HLinks>
    <vt:vector size="48" baseType="variant">
      <vt:variant>
        <vt:i4>4128772</vt:i4>
      </vt:variant>
      <vt:variant>
        <vt:i4>21</vt:i4>
      </vt:variant>
      <vt:variant>
        <vt:i4>0</vt:i4>
      </vt:variant>
      <vt:variant>
        <vt:i4>5</vt:i4>
      </vt:variant>
      <vt:variant>
        <vt:lpwstr>https://www.bls.gov/news.release/archives/ecec_06182019.htm</vt:lpwstr>
      </vt:variant>
      <vt:variant>
        <vt:lpwstr/>
      </vt:variant>
      <vt:variant>
        <vt:i4>8061045</vt:i4>
      </vt:variant>
      <vt:variant>
        <vt:i4>18</vt:i4>
      </vt:variant>
      <vt:variant>
        <vt:i4>0</vt:i4>
      </vt:variant>
      <vt:variant>
        <vt:i4>5</vt:i4>
      </vt:variant>
      <vt:variant>
        <vt:lpwstr>https://www.bls.gov/oes/tables.htm</vt:lpwstr>
      </vt:variant>
      <vt:variant>
        <vt:lpwstr/>
      </vt:variant>
      <vt:variant>
        <vt:i4>655444</vt:i4>
      </vt:variant>
      <vt:variant>
        <vt:i4>15</vt:i4>
      </vt:variant>
      <vt:variant>
        <vt:i4>0</vt:i4>
      </vt:variant>
      <vt:variant>
        <vt:i4>5</vt:i4>
      </vt:variant>
      <vt:variant>
        <vt:lpwstr>http://www.osha.gov/pls/oshaweb/owalink.query_links?src_doc_type=STANDARDS&amp;src_unique_file=1910_1020&amp;src_anchor_name=1910.1020(g)(1)</vt:lpwstr>
      </vt:variant>
      <vt:variant>
        <vt:lpwstr/>
      </vt:variant>
      <vt:variant>
        <vt:i4>524375</vt:i4>
      </vt:variant>
      <vt:variant>
        <vt:i4>12</vt:i4>
      </vt:variant>
      <vt:variant>
        <vt:i4>0</vt:i4>
      </vt:variant>
      <vt:variant>
        <vt:i4>5</vt:i4>
      </vt:variant>
      <vt:variant>
        <vt:lpwstr>http://www.osha.gov/pls/oshaweb/owalink.query_links?src_doc_type=STANDARDS&amp;src_unique_file=1910_1020&amp;src_anchor_name=1910.1020(e)(2)</vt:lpwstr>
      </vt:variant>
      <vt:variant>
        <vt:lpwstr/>
      </vt:variant>
      <vt:variant>
        <vt:i4>2818109</vt:i4>
      </vt:variant>
      <vt:variant>
        <vt:i4>9</vt:i4>
      </vt:variant>
      <vt:variant>
        <vt:i4>0</vt:i4>
      </vt:variant>
      <vt:variant>
        <vt:i4>5</vt:i4>
      </vt:variant>
      <vt:variant>
        <vt:lpwstr>http://www.osha.gov/pls/oshaweb/owalink.query_links?src_doc_type=STANDARDS&amp;src_unique_file=1910_1020&amp;src_anchor_name=1910.1020(d)(1)(ii)(B)</vt:lpwstr>
      </vt:variant>
      <vt:variant>
        <vt:lpwstr/>
      </vt:variant>
      <vt:variant>
        <vt:i4>4784149</vt:i4>
      </vt:variant>
      <vt:variant>
        <vt:i4>6</vt:i4>
      </vt:variant>
      <vt:variant>
        <vt:i4>0</vt:i4>
      </vt:variant>
      <vt:variant>
        <vt:i4>5</vt:i4>
      </vt:variant>
      <vt:variant>
        <vt:lpwstr>http://www.osha.gov/pls/oshaweb/owalink.query_links?src_doc_type=STANDARDS&amp;src_unique_file=1910_1020&amp;src_anchor_name=1910.1020(d)(1)(ii)</vt:lpwstr>
      </vt:variant>
      <vt:variant>
        <vt:lpwstr/>
      </vt:variant>
      <vt:variant>
        <vt:i4>6291580</vt:i4>
      </vt:variant>
      <vt:variant>
        <vt:i4>3</vt:i4>
      </vt:variant>
      <vt:variant>
        <vt:i4>0</vt:i4>
      </vt:variant>
      <vt:variant>
        <vt:i4>5</vt:i4>
      </vt:variant>
      <vt:variant>
        <vt:lpwstr>http://www.osha.gov/pls/oshaweb/owalink.query_links?src_doc_type=STANDARDS&amp;src_unique_file=1910_1020&amp;src_anchor_name=1910.1020(d)(1)(i)</vt:lpwstr>
      </vt:variant>
      <vt:variant>
        <vt:lpwstr/>
      </vt:variant>
      <vt:variant>
        <vt:i4>589908</vt:i4>
      </vt:variant>
      <vt:variant>
        <vt:i4>0</vt:i4>
      </vt:variant>
      <vt:variant>
        <vt:i4>0</vt:i4>
      </vt:variant>
      <vt:variant>
        <vt:i4>5</vt:i4>
      </vt:variant>
      <vt:variant>
        <vt:lpwstr>http://www.osha.gov/pls/oshaweb/owalink.query_links?src_doc_type=STANDARDS&amp;src_unique_file=1910_1020&amp;src_anchor_name=1910.1020(d)(1)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OSHA-USER</dc:creator>
  <cp:keywords/>
  <dc:description/>
  <cp:lastModifiedBy>Perryman, Seleda M - OSHA</cp:lastModifiedBy>
  <cp:revision>2</cp:revision>
  <cp:lastPrinted>2020-01-06T18:11:00Z</cp:lastPrinted>
  <dcterms:created xsi:type="dcterms:W3CDTF">2020-04-07T00:40:00Z</dcterms:created>
  <dcterms:modified xsi:type="dcterms:W3CDTF">2020-04-07T00:40:00Z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