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40F7F2" w14:textId="77777777" w:rsidR="0054255A" w:rsidRDefault="0054255A">
      <w:pPr>
        <w:rPr>
          <w:b/>
        </w:rPr>
      </w:pPr>
      <w:bookmarkStart w:id="0" w:name="_GoBack"/>
      <w:bookmarkEnd w:id="0"/>
    </w:p>
    <w:p w14:paraId="2A74DFA6" w14:textId="1795FC12" w:rsidR="0054255A" w:rsidRPr="00B13297" w:rsidRDefault="00970AB0" w:rsidP="00B13297">
      <w:pPr>
        <w:pStyle w:val="ReportCover-Title"/>
        <w:jc w:val="center"/>
        <w:rPr>
          <w:rFonts w:ascii="Arial" w:hAnsi="Arial" w:cs="Arial"/>
          <w:color w:val="auto"/>
        </w:rPr>
      </w:pPr>
      <w:r w:rsidRPr="00970AB0">
        <w:rPr>
          <w:rFonts w:ascii="Arial" w:eastAsia="Arial Unicode MS" w:hAnsi="Arial" w:cs="Arial"/>
          <w:noProof/>
          <w:color w:val="auto"/>
        </w:rPr>
        <w:t>The National Human Trafficking Hotline Program: Assessment of Utility and User Satisfaction</w:t>
      </w:r>
    </w:p>
    <w:p w14:paraId="60B4A9F6" w14:textId="77777777" w:rsidR="0054255A" w:rsidRPr="00B13297" w:rsidRDefault="0054255A" w:rsidP="00B13297">
      <w:pPr>
        <w:pStyle w:val="ReportCover-Title"/>
        <w:rPr>
          <w:rFonts w:ascii="Arial" w:hAnsi="Arial" w:cs="Arial"/>
          <w:color w:val="auto"/>
        </w:rPr>
      </w:pPr>
    </w:p>
    <w:p w14:paraId="0DE92739" w14:textId="77777777" w:rsidR="0054255A" w:rsidRPr="00B13297" w:rsidRDefault="0054255A" w:rsidP="00B13297">
      <w:pPr>
        <w:pStyle w:val="ReportCover-Title"/>
        <w:rPr>
          <w:rFonts w:ascii="Arial" w:hAnsi="Arial" w:cs="Arial"/>
          <w:color w:val="auto"/>
        </w:rPr>
      </w:pPr>
    </w:p>
    <w:p w14:paraId="44927BEA" w14:textId="77777777" w:rsidR="0054255A" w:rsidRPr="00B13297" w:rsidRDefault="0054255A" w:rsidP="00B13297">
      <w:pPr>
        <w:pStyle w:val="ReportCover-Title"/>
        <w:jc w:val="center"/>
        <w:rPr>
          <w:rFonts w:ascii="Arial" w:hAnsi="Arial" w:cs="Arial"/>
          <w:color w:val="auto"/>
          <w:sz w:val="32"/>
          <w:szCs w:val="32"/>
        </w:rPr>
      </w:pPr>
      <w:r w:rsidRPr="00B13297">
        <w:rPr>
          <w:rFonts w:ascii="Arial" w:hAnsi="Arial" w:cs="Arial"/>
          <w:color w:val="auto"/>
          <w:sz w:val="32"/>
          <w:szCs w:val="32"/>
        </w:rPr>
        <w:t>OMB Information Collection Request</w:t>
      </w:r>
    </w:p>
    <w:p w14:paraId="42A8A16A" w14:textId="77777777" w:rsidR="0054255A" w:rsidRPr="00B13297" w:rsidRDefault="0032478D" w:rsidP="00B13297">
      <w:pPr>
        <w:pStyle w:val="ReportCover-Title"/>
        <w:jc w:val="center"/>
        <w:rPr>
          <w:rFonts w:ascii="Arial" w:hAnsi="Arial" w:cs="Arial"/>
          <w:color w:val="auto"/>
          <w:sz w:val="32"/>
          <w:szCs w:val="32"/>
        </w:rPr>
      </w:pPr>
      <w:r>
        <w:rPr>
          <w:rFonts w:ascii="Arial" w:hAnsi="Arial" w:cs="Arial"/>
          <w:color w:val="auto"/>
          <w:sz w:val="32"/>
          <w:szCs w:val="32"/>
        </w:rPr>
        <w:t>New Collection</w:t>
      </w:r>
    </w:p>
    <w:p w14:paraId="5A453E71" w14:textId="77777777" w:rsidR="0054255A" w:rsidRPr="00B13297" w:rsidRDefault="0054255A" w:rsidP="00B13297">
      <w:pPr>
        <w:rPr>
          <w:rFonts w:ascii="Arial" w:hAnsi="Arial" w:cs="Arial"/>
        </w:rPr>
      </w:pPr>
    </w:p>
    <w:p w14:paraId="2D795436" w14:textId="77777777" w:rsidR="0054255A" w:rsidRPr="00B13297" w:rsidRDefault="0054255A" w:rsidP="00B13297">
      <w:pPr>
        <w:pStyle w:val="ReportCover-Date"/>
        <w:jc w:val="center"/>
        <w:rPr>
          <w:rFonts w:ascii="Arial" w:hAnsi="Arial" w:cs="Arial"/>
          <w:color w:val="auto"/>
        </w:rPr>
      </w:pPr>
    </w:p>
    <w:p w14:paraId="22A06952" w14:textId="77777777" w:rsidR="0054255A" w:rsidRPr="00B13297" w:rsidRDefault="0054255A" w:rsidP="00B13297">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Supporting Statement</w:t>
      </w:r>
    </w:p>
    <w:p w14:paraId="7EF5301F" w14:textId="77777777" w:rsidR="0054255A" w:rsidRPr="00B13297" w:rsidRDefault="0054255A" w:rsidP="00B13297">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Part A</w:t>
      </w:r>
    </w:p>
    <w:p w14:paraId="1F442474" w14:textId="77777777" w:rsidR="0054255A" w:rsidRPr="00B13297" w:rsidRDefault="00D360E0" w:rsidP="00B13297">
      <w:pPr>
        <w:pStyle w:val="ReportCover-Date"/>
        <w:jc w:val="center"/>
        <w:rPr>
          <w:rFonts w:ascii="Arial" w:hAnsi="Arial" w:cs="Arial"/>
          <w:color w:val="auto"/>
        </w:rPr>
      </w:pPr>
      <w:r w:rsidRPr="00791F57">
        <w:rPr>
          <w:rFonts w:ascii="Arial" w:hAnsi="Arial" w:cs="Arial"/>
          <w:color w:val="auto"/>
        </w:rPr>
        <w:t>NOVEMBER</w:t>
      </w:r>
      <w:r w:rsidRPr="001629CD">
        <w:rPr>
          <w:rFonts w:ascii="Arial" w:hAnsi="Arial" w:cs="Arial"/>
          <w:color w:val="auto"/>
        </w:rPr>
        <w:t xml:space="preserve"> </w:t>
      </w:r>
      <w:r w:rsidR="0032478D" w:rsidRPr="001629CD">
        <w:rPr>
          <w:rFonts w:ascii="Arial" w:hAnsi="Arial" w:cs="Arial"/>
          <w:color w:val="auto"/>
        </w:rPr>
        <w:t>2019</w:t>
      </w:r>
    </w:p>
    <w:p w14:paraId="14372E1D" w14:textId="77777777" w:rsidR="0054255A" w:rsidRPr="00B13297" w:rsidRDefault="0054255A" w:rsidP="00B13297">
      <w:pPr>
        <w:spacing w:after="0" w:line="240" w:lineRule="auto"/>
        <w:jc w:val="center"/>
        <w:rPr>
          <w:rFonts w:ascii="Arial" w:hAnsi="Arial" w:cs="Arial"/>
        </w:rPr>
      </w:pPr>
    </w:p>
    <w:p w14:paraId="23F0DC50" w14:textId="77777777" w:rsidR="0054255A" w:rsidRPr="00B13297" w:rsidRDefault="0054255A" w:rsidP="00B13297">
      <w:pPr>
        <w:spacing w:after="0" w:line="240" w:lineRule="auto"/>
        <w:jc w:val="center"/>
        <w:rPr>
          <w:rFonts w:ascii="Arial" w:hAnsi="Arial" w:cs="Arial"/>
        </w:rPr>
      </w:pPr>
      <w:r w:rsidRPr="00B13297">
        <w:rPr>
          <w:rFonts w:ascii="Arial" w:hAnsi="Arial" w:cs="Arial"/>
        </w:rPr>
        <w:t>Submitted By:</w:t>
      </w:r>
    </w:p>
    <w:p w14:paraId="6A40B15E" w14:textId="77777777" w:rsidR="0054255A" w:rsidRPr="00B13297" w:rsidRDefault="0054255A" w:rsidP="00B13297">
      <w:pPr>
        <w:spacing w:after="0" w:line="240" w:lineRule="auto"/>
        <w:jc w:val="center"/>
        <w:rPr>
          <w:rFonts w:ascii="Arial" w:hAnsi="Arial" w:cs="Arial"/>
        </w:rPr>
      </w:pPr>
      <w:r w:rsidRPr="00B13297">
        <w:rPr>
          <w:rFonts w:ascii="Arial" w:hAnsi="Arial" w:cs="Arial"/>
        </w:rPr>
        <w:t>Office of Planning, Research</w:t>
      </w:r>
      <w:r w:rsidR="00B13297">
        <w:rPr>
          <w:rFonts w:ascii="Arial" w:hAnsi="Arial" w:cs="Arial"/>
        </w:rPr>
        <w:t>,</w:t>
      </w:r>
      <w:r w:rsidRPr="00B13297">
        <w:rPr>
          <w:rFonts w:ascii="Arial" w:hAnsi="Arial" w:cs="Arial"/>
        </w:rPr>
        <w:t xml:space="preserve"> and Evaluation</w:t>
      </w:r>
    </w:p>
    <w:p w14:paraId="4EE147DA" w14:textId="77777777" w:rsidR="0054255A" w:rsidRPr="00B13297" w:rsidRDefault="0054255A" w:rsidP="00B13297">
      <w:pPr>
        <w:spacing w:after="0" w:line="240" w:lineRule="auto"/>
        <w:jc w:val="center"/>
        <w:rPr>
          <w:rFonts w:ascii="Arial" w:hAnsi="Arial" w:cs="Arial"/>
        </w:rPr>
      </w:pPr>
      <w:r w:rsidRPr="00B13297">
        <w:rPr>
          <w:rFonts w:ascii="Arial" w:hAnsi="Arial" w:cs="Arial"/>
        </w:rPr>
        <w:t xml:space="preserve">Administration for Children and Families </w:t>
      </w:r>
    </w:p>
    <w:p w14:paraId="338E54D5" w14:textId="77777777" w:rsidR="0054255A" w:rsidRPr="00B13297" w:rsidRDefault="0054255A" w:rsidP="00B13297">
      <w:pPr>
        <w:spacing w:after="0" w:line="240" w:lineRule="auto"/>
        <w:jc w:val="center"/>
        <w:rPr>
          <w:rFonts w:ascii="Arial" w:hAnsi="Arial" w:cs="Arial"/>
        </w:rPr>
      </w:pPr>
      <w:r w:rsidRPr="00B13297">
        <w:rPr>
          <w:rFonts w:ascii="Arial" w:hAnsi="Arial" w:cs="Arial"/>
        </w:rPr>
        <w:t>U.S. Department of Health and Human Services</w:t>
      </w:r>
    </w:p>
    <w:p w14:paraId="765932A9" w14:textId="77777777" w:rsidR="0054255A" w:rsidRPr="00B13297" w:rsidRDefault="0054255A" w:rsidP="00B13297">
      <w:pPr>
        <w:spacing w:after="0" w:line="240" w:lineRule="auto"/>
        <w:jc w:val="center"/>
        <w:rPr>
          <w:rFonts w:ascii="Arial" w:hAnsi="Arial" w:cs="Arial"/>
        </w:rPr>
      </w:pPr>
    </w:p>
    <w:p w14:paraId="56F981F1" w14:textId="77777777" w:rsidR="0054255A" w:rsidRPr="00B13297" w:rsidRDefault="0054255A" w:rsidP="00B13297">
      <w:pPr>
        <w:spacing w:after="0" w:line="240" w:lineRule="auto"/>
        <w:jc w:val="center"/>
        <w:rPr>
          <w:rFonts w:ascii="Arial" w:hAnsi="Arial" w:cs="Arial"/>
        </w:rPr>
      </w:pPr>
      <w:r w:rsidRPr="00B13297">
        <w:rPr>
          <w:rFonts w:ascii="Arial" w:hAnsi="Arial" w:cs="Arial"/>
        </w:rPr>
        <w:t>4</w:t>
      </w:r>
      <w:r w:rsidRPr="00B13297">
        <w:rPr>
          <w:rFonts w:ascii="Arial" w:hAnsi="Arial" w:cs="Arial"/>
          <w:vertAlign w:val="superscript"/>
        </w:rPr>
        <w:t>th</w:t>
      </w:r>
      <w:r w:rsidRPr="00B13297">
        <w:rPr>
          <w:rFonts w:ascii="Arial" w:hAnsi="Arial" w:cs="Arial"/>
        </w:rPr>
        <w:t xml:space="preserve"> Floor, Mary E. Switzer Building</w:t>
      </w:r>
    </w:p>
    <w:p w14:paraId="3CFAE0D4" w14:textId="77777777" w:rsidR="0054255A" w:rsidRPr="00B13297" w:rsidRDefault="0054255A" w:rsidP="00B13297">
      <w:pPr>
        <w:spacing w:after="0" w:line="240" w:lineRule="auto"/>
        <w:jc w:val="center"/>
        <w:rPr>
          <w:rFonts w:ascii="Arial" w:hAnsi="Arial" w:cs="Arial"/>
        </w:rPr>
      </w:pPr>
      <w:r w:rsidRPr="00B13297">
        <w:rPr>
          <w:rFonts w:ascii="Arial" w:hAnsi="Arial" w:cs="Arial"/>
        </w:rPr>
        <w:t>330 C Street, SW</w:t>
      </w:r>
    </w:p>
    <w:p w14:paraId="7F8FFC87" w14:textId="77777777" w:rsidR="0054255A" w:rsidRPr="00B13297" w:rsidRDefault="0054255A" w:rsidP="00B13297">
      <w:pPr>
        <w:spacing w:after="0" w:line="240" w:lineRule="auto"/>
        <w:jc w:val="center"/>
        <w:rPr>
          <w:rFonts w:ascii="Arial" w:hAnsi="Arial" w:cs="Arial"/>
        </w:rPr>
      </w:pPr>
      <w:r w:rsidRPr="00B13297">
        <w:rPr>
          <w:rFonts w:ascii="Arial" w:hAnsi="Arial" w:cs="Arial"/>
        </w:rPr>
        <w:t>Washington, D.C. 20201</w:t>
      </w:r>
    </w:p>
    <w:p w14:paraId="51D7CD3D" w14:textId="77777777" w:rsidR="0054255A" w:rsidRPr="00B13297" w:rsidRDefault="0054255A" w:rsidP="00B13297">
      <w:pPr>
        <w:spacing w:after="0" w:line="240" w:lineRule="auto"/>
        <w:jc w:val="center"/>
        <w:rPr>
          <w:rFonts w:ascii="Arial" w:hAnsi="Arial" w:cs="Arial"/>
        </w:rPr>
      </w:pPr>
    </w:p>
    <w:p w14:paraId="5EE98349" w14:textId="77777777" w:rsidR="0054255A" w:rsidRDefault="0054255A" w:rsidP="00B13297">
      <w:pPr>
        <w:spacing w:after="0" w:line="240" w:lineRule="auto"/>
        <w:jc w:val="center"/>
        <w:rPr>
          <w:rFonts w:ascii="Arial" w:hAnsi="Arial" w:cs="Arial"/>
        </w:rPr>
      </w:pPr>
      <w:r w:rsidRPr="00B13297">
        <w:rPr>
          <w:rFonts w:ascii="Arial" w:hAnsi="Arial" w:cs="Arial"/>
        </w:rPr>
        <w:t>Project Officer:</w:t>
      </w:r>
    </w:p>
    <w:p w14:paraId="3F5E7776" w14:textId="77777777" w:rsidR="0054255A" w:rsidRPr="0024004D" w:rsidRDefault="0032478D" w:rsidP="00B13297">
      <w:pPr>
        <w:spacing w:after="0" w:line="240" w:lineRule="auto"/>
        <w:jc w:val="center"/>
        <w:rPr>
          <w:rFonts w:ascii="Arial" w:hAnsi="Arial" w:cs="Arial"/>
          <w:bCs/>
        </w:rPr>
      </w:pPr>
      <w:r w:rsidRPr="0024004D">
        <w:rPr>
          <w:rFonts w:ascii="Arial" w:hAnsi="Arial" w:cs="Arial"/>
          <w:bCs/>
        </w:rPr>
        <w:t xml:space="preserve">Mary </w:t>
      </w:r>
      <w:r w:rsidR="0024004D">
        <w:rPr>
          <w:rFonts w:ascii="Arial" w:hAnsi="Arial" w:cs="Arial"/>
          <w:bCs/>
        </w:rPr>
        <w:t xml:space="preserve">G. </w:t>
      </w:r>
      <w:r w:rsidRPr="0024004D">
        <w:rPr>
          <w:rFonts w:ascii="Arial" w:hAnsi="Arial" w:cs="Arial"/>
          <w:bCs/>
        </w:rPr>
        <w:t>Mueggenborg</w:t>
      </w:r>
    </w:p>
    <w:p w14:paraId="2619D1F2" w14:textId="77777777" w:rsidR="0054255A" w:rsidRDefault="0054255A" w:rsidP="00B13297">
      <w:pPr>
        <w:spacing w:after="0" w:line="240" w:lineRule="auto"/>
        <w:jc w:val="center"/>
        <w:rPr>
          <w:b/>
        </w:rPr>
      </w:pPr>
    </w:p>
    <w:p w14:paraId="4797EFDB" w14:textId="77777777" w:rsidR="0054255A" w:rsidRDefault="0054255A" w:rsidP="00B13297">
      <w:pPr>
        <w:jc w:val="center"/>
        <w:rPr>
          <w:b/>
        </w:rPr>
      </w:pPr>
    </w:p>
    <w:p w14:paraId="2AD96E37" w14:textId="77777777" w:rsidR="0054255A" w:rsidRDefault="0054255A" w:rsidP="00B13297">
      <w:pPr>
        <w:rPr>
          <w:b/>
        </w:rPr>
      </w:pPr>
    </w:p>
    <w:p w14:paraId="7265FCA8" w14:textId="77777777" w:rsidR="0068303E" w:rsidRDefault="0068303E">
      <w:pPr>
        <w:rPr>
          <w:b/>
        </w:rPr>
      </w:pPr>
    </w:p>
    <w:p w14:paraId="4D9AC093" w14:textId="77777777" w:rsidR="00B04785" w:rsidRDefault="00B04785" w:rsidP="00624DDC">
      <w:pPr>
        <w:spacing w:after="0" w:line="240" w:lineRule="auto"/>
        <w:jc w:val="center"/>
        <w:rPr>
          <w:b/>
          <w:sz w:val="32"/>
          <w:szCs w:val="32"/>
        </w:rPr>
      </w:pPr>
    </w:p>
    <w:p w14:paraId="44DAB7DF" w14:textId="77777777" w:rsidR="00B04785" w:rsidRDefault="00B04785" w:rsidP="00624DDC">
      <w:pPr>
        <w:spacing w:after="0" w:line="240" w:lineRule="auto"/>
        <w:jc w:val="center"/>
        <w:rPr>
          <w:b/>
          <w:sz w:val="32"/>
          <w:szCs w:val="32"/>
        </w:rPr>
      </w:pPr>
    </w:p>
    <w:p w14:paraId="15CCB224" w14:textId="77777777" w:rsidR="00B04785" w:rsidRDefault="00B04785" w:rsidP="00624DDC">
      <w:pPr>
        <w:spacing w:after="0" w:line="240" w:lineRule="auto"/>
        <w:jc w:val="center"/>
        <w:rPr>
          <w:b/>
          <w:sz w:val="32"/>
          <w:szCs w:val="32"/>
        </w:rPr>
      </w:pPr>
    </w:p>
    <w:p w14:paraId="68DAD788" w14:textId="77777777" w:rsidR="00624DDC" w:rsidRDefault="0068303E" w:rsidP="00624DDC">
      <w:pPr>
        <w:spacing w:after="0" w:line="240" w:lineRule="auto"/>
        <w:jc w:val="center"/>
        <w:rPr>
          <w:b/>
          <w:sz w:val="32"/>
          <w:szCs w:val="32"/>
        </w:rPr>
      </w:pPr>
      <w:r w:rsidRPr="00624DDC">
        <w:rPr>
          <w:b/>
          <w:sz w:val="32"/>
          <w:szCs w:val="32"/>
        </w:rPr>
        <w:t>Part A</w:t>
      </w:r>
    </w:p>
    <w:p w14:paraId="2E8B6F0C" w14:textId="77777777" w:rsidR="00624DDC" w:rsidRDefault="00624DDC" w:rsidP="00624DDC">
      <w:pPr>
        <w:spacing w:after="0" w:line="240" w:lineRule="auto"/>
        <w:jc w:val="center"/>
        <w:rPr>
          <w:b/>
        </w:rPr>
      </w:pPr>
    </w:p>
    <w:p w14:paraId="362FF5C1" w14:textId="77777777" w:rsidR="00026192" w:rsidRDefault="00026192" w:rsidP="000F1E4A">
      <w:pPr>
        <w:spacing w:after="0" w:line="240" w:lineRule="auto"/>
        <w:rPr>
          <w:b/>
          <w:u w:val="single"/>
        </w:rPr>
      </w:pPr>
    </w:p>
    <w:p w14:paraId="68F3B125" w14:textId="77777777" w:rsidR="00026192" w:rsidRDefault="00026192" w:rsidP="000F1E4A">
      <w:pPr>
        <w:spacing w:after="0" w:line="240" w:lineRule="auto"/>
        <w:rPr>
          <w:b/>
          <w:u w:val="single"/>
        </w:rPr>
      </w:pPr>
    </w:p>
    <w:p w14:paraId="67DFD5F2" w14:textId="77777777" w:rsidR="00840D32" w:rsidRPr="00026192" w:rsidRDefault="00840D32" w:rsidP="000F1E4A">
      <w:pPr>
        <w:spacing w:after="0" w:line="240" w:lineRule="auto"/>
        <w:rPr>
          <w:b/>
          <w:sz w:val="28"/>
        </w:rPr>
      </w:pPr>
      <w:r w:rsidRPr="00026192">
        <w:rPr>
          <w:b/>
          <w:sz w:val="28"/>
          <w:u w:val="single"/>
        </w:rPr>
        <w:t>Executive Summary</w:t>
      </w:r>
    </w:p>
    <w:p w14:paraId="111F8846" w14:textId="77777777" w:rsidR="00B04785" w:rsidRDefault="00B04785" w:rsidP="000F1E4A">
      <w:pPr>
        <w:spacing w:after="0" w:line="240" w:lineRule="auto"/>
        <w:rPr>
          <w:b/>
        </w:rPr>
      </w:pPr>
    </w:p>
    <w:p w14:paraId="01BB935D" w14:textId="77777777" w:rsidR="00B04785" w:rsidRPr="00B04785" w:rsidRDefault="00B04785" w:rsidP="00D825A2">
      <w:pPr>
        <w:pStyle w:val="ListParagraph"/>
        <w:numPr>
          <w:ilvl w:val="0"/>
          <w:numId w:val="4"/>
        </w:numPr>
        <w:spacing w:after="0" w:line="240" w:lineRule="auto"/>
      </w:pPr>
      <w:r w:rsidRPr="00906F6A">
        <w:rPr>
          <w:b/>
        </w:rPr>
        <w:t xml:space="preserve">Type of Request: </w:t>
      </w:r>
      <w:r w:rsidRPr="00906F6A">
        <w:t xml:space="preserve">This Information Collection Request is for a </w:t>
      </w:r>
      <w:r w:rsidR="0032478D">
        <w:t>new</w:t>
      </w:r>
      <w:r w:rsidR="00524B07">
        <w:t xml:space="preserve"> data collection</w:t>
      </w:r>
      <w:r w:rsidRPr="00906F6A">
        <w:t xml:space="preserve">. We are requesting </w:t>
      </w:r>
      <w:r w:rsidR="00447AED">
        <w:t>1</w:t>
      </w:r>
      <w:r w:rsidRPr="00906F6A">
        <w:t xml:space="preserve"> year of approval. </w:t>
      </w:r>
    </w:p>
    <w:p w14:paraId="14111787" w14:textId="77777777" w:rsidR="00EA405B" w:rsidRDefault="00EA405B" w:rsidP="00906F6A">
      <w:pPr>
        <w:spacing w:after="0" w:line="240" w:lineRule="auto"/>
      </w:pPr>
    </w:p>
    <w:p w14:paraId="6EC0471F" w14:textId="77777777" w:rsidR="00BD7963" w:rsidRPr="00BD7963" w:rsidRDefault="00C53AEC" w:rsidP="00D825A2">
      <w:pPr>
        <w:pStyle w:val="ListParagraph"/>
        <w:numPr>
          <w:ilvl w:val="0"/>
          <w:numId w:val="4"/>
        </w:numPr>
        <w:spacing w:after="0" w:line="240" w:lineRule="auto"/>
      </w:pPr>
      <w:r w:rsidRPr="00906F6A">
        <w:rPr>
          <w:b/>
        </w:rPr>
        <w:t xml:space="preserve">Description of Request: </w:t>
      </w:r>
    </w:p>
    <w:p w14:paraId="61756021" w14:textId="1A8FFC52" w:rsidR="00BD7963" w:rsidRPr="0001066D" w:rsidRDefault="004633A9" w:rsidP="0001066D">
      <w:pPr>
        <w:pStyle w:val="ListParagraph"/>
        <w:rPr>
          <w:rFonts w:cs="Calibri"/>
        </w:rPr>
      </w:pPr>
      <w:r w:rsidRPr="007B1569">
        <w:rPr>
          <w:rFonts w:cs="Calibri"/>
        </w:rPr>
        <w:t>The Office of Planning, Research, and Evaluation (OPRE)</w:t>
      </w:r>
      <w:bookmarkStart w:id="1" w:name="_Hlk20923407"/>
      <w:r w:rsidR="00E45781" w:rsidRPr="007B1569">
        <w:rPr>
          <w:rFonts w:cs="Calibri"/>
        </w:rPr>
        <w:t xml:space="preserve">, in collaboration with </w:t>
      </w:r>
      <w:r w:rsidR="00FE429D" w:rsidRPr="007B1569">
        <w:rPr>
          <w:rFonts w:cs="Calibri"/>
        </w:rPr>
        <w:t>the Office on Trafficking in Persons (OTIP)</w:t>
      </w:r>
      <w:r w:rsidR="00E45781" w:rsidRPr="007B1569">
        <w:rPr>
          <w:rFonts w:cs="Calibri"/>
        </w:rPr>
        <w:t>,</w:t>
      </w:r>
      <w:r w:rsidR="00FE429D" w:rsidRPr="007B1569">
        <w:rPr>
          <w:rFonts w:cs="Calibri"/>
        </w:rPr>
        <w:t xml:space="preserve"> </w:t>
      </w:r>
      <w:bookmarkEnd w:id="1"/>
      <w:r w:rsidR="00B66984">
        <w:rPr>
          <w:iCs/>
        </w:rPr>
        <w:t>within the Administration of Children and Families (ACF) at the U.S. Department of Health and Human Services</w:t>
      </w:r>
      <w:r w:rsidR="00B66984" w:rsidRPr="007B1569" w:rsidDel="00A735F5">
        <w:rPr>
          <w:rFonts w:cs="Calibri"/>
        </w:rPr>
        <w:t xml:space="preserve"> </w:t>
      </w:r>
      <w:r w:rsidR="00A735F5">
        <w:rPr>
          <w:rFonts w:cs="Calibri"/>
        </w:rPr>
        <w:t xml:space="preserve">seeks </w:t>
      </w:r>
      <w:r w:rsidR="00355178" w:rsidRPr="007B1569">
        <w:rPr>
          <w:rFonts w:cs="Calibri"/>
        </w:rPr>
        <w:t xml:space="preserve">approval to </w:t>
      </w:r>
      <w:r w:rsidR="0024004D">
        <w:rPr>
          <w:iCs/>
        </w:rPr>
        <w:t xml:space="preserve">conduct two multi-mode surveys, gathering </w:t>
      </w:r>
      <w:r w:rsidR="00C656F8">
        <w:rPr>
          <w:rFonts w:cs="Calibri"/>
        </w:rPr>
        <w:t>information from</w:t>
      </w:r>
      <w:r w:rsidR="0024004D">
        <w:rPr>
          <w:rFonts w:cs="Calibri"/>
        </w:rPr>
        <w:t xml:space="preserve"> individuals</w:t>
      </w:r>
      <w:r w:rsidR="00355178" w:rsidRPr="007B1569">
        <w:rPr>
          <w:rFonts w:cs="Calibri"/>
        </w:rPr>
        <w:t xml:space="preserve"> who seek assistance from the National Human Trafficking Hotline (NHTH</w:t>
      </w:r>
      <w:r w:rsidR="00C656F8">
        <w:rPr>
          <w:rFonts w:cs="Calibri"/>
        </w:rPr>
        <w:t xml:space="preserve">) </w:t>
      </w:r>
      <w:r w:rsidR="0001066D" w:rsidRPr="007B1569">
        <w:rPr>
          <w:rFonts w:cs="Calibri"/>
        </w:rPr>
        <w:t xml:space="preserve">as part of </w:t>
      </w:r>
      <w:r w:rsidR="001C51C4">
        <w:rPr>
          <w:rFonts w:cs="Calibri"/>
        </w:rPr>
        <w:t>OPRE’s</w:t>
      </w:r>
      <w:r w:rsidR="00474AC8">
        <w:rPr>
          <w:rFonts w:cs="Calibri"/>
        </w:rPr>
        <w:t xml:space="preserve"> E</w:t>
      </w:r>
      <w:r w:rsidR="0001066D" w:rsidRPr="007B1569">
        <w:rPr>
          <w:rFonts w:cs="Calibri"/>
        </w:rPr>
        <w:t xml:space="preserve">valuation of the NHTH </w:t>
      </w:r>
      <w:r w:rsidR="00474AC8">
        <w:rPr>
          <w:rFonts w:cs="Calibri"/>
        </w:rPr>
        <w:t>P</w:t>
      </w:r>
      <w:r w:rsidR="0001066D" w:rsidRPr="007B1569">
        <w:rPr>
          <w:rFonts w:cs="Calibri"/>
        </w:rPr>
        <w:t>rogram</w:t>
      </w:r>
      <w:r w:rsidR="001C51C4">
        <w:rPr>
          <w:rFonts w:cs="Calibri"/>
        </w:rPr>
        <w:t xml:space="preserve">. The purpose of this study is to </w:t>
      </w:r>
      <w:r w:rsidR="001C51C4" w:rsidRPr="007B1569">
        <w:rPr>
          <w:rFonts w:cs="Calibri"/>
        </w:rPr>
        <w:t>describ</w:t>
      </w:r>
      <w:r w:rsidR="001C51C4">
        <w:rPr>
          <w:rFonts w:cs="Calibri"/>
        </w:rPr>
        <w:t>e</w:t>
      </w:r>
      <w:r w:rsidR="001C51C4" w:rsidRPr="007B1569">
        <w:rPr>
          <w:rFonts w:cs="Calibri"/>
        </w:rPr>
        <w:t xml:space="preserve"> the NHTH’s </w:t>
      </w:r>
      <w:r w:rsidR="004A069E">
        <w:rPr>
          <w:rFonts w:cs="Calibri"/>
        </w:rPr>
        <w:t>service</w:t>
      </w:r>
      <w:r w:rsidR="002156AD">
        <w:rPr>
          <w:rFonts w:cs="Calibri"/>
        </w:rPr>
        <w:t>s</w:t>
      </w:r>
      <w:r w:rsidR="001912FB">
        <w:rPr>
          <w:rFonts w:cs="Calibri"/>
        </w:rPr>
        <w:t>,</w:t>
      </w:r>
      <w:r w:rsidR="001C51C4">
        <w:rPr>
          <w:rFonts w:cs="Calibri"/>
        </w:rPr>
        <w:t xml:space="preserve"> </w:t>
      </w:r>
      <w:r w:rsidR="003A6EC6">
        <w:rPr>
          <w:rFonts w:cs="Calibri"/>
        </w:rPr>
        <w:t xml:space="preserve">user satisfaction with </w:t>
      </w:r>
      <w:r w:rsidR="001912FB">
        <w:rPr>
          <w:rFonts w:cs="Calibri"/>
        </w:rPr>
        <w:t xml:space="preserve">the </w:t>
      </w:r>
      <w:r w:rsidR="001C51C4">
        <w:rPr>
          <w:rFonts w:cs="Calibri"/>
        </w:rPr>
        <w:t>NHTH</w:t>
      </w:r>
      <w:r w:rsidR="003A6EC6">
        <w:rPr>
          <w:rFonts w:cs="Calibri"/>
        </w:rPr>
        <w:t xml:space="preserve"> contact</w:t>
      </w:r>
      <w:r w:rsidR="001912FB">
        <w:rPr>
          <w:rFonts w:cs="Calibri"/>
        </w:rPr>
        <w:t>, and the utility of information provided</w:t>
      </w:r>
      <w:r w:rsidR="00355178" w:rsidRPr="007B1569">
        <w:rPr>
          <w:rFonts w:cs="Calibri"/>
        </w:rPr>
        <w:t xml:space="preserve">. </w:t>
      </w:r>
      <w:r w:rsidR="001C51C4">
        <w:rPr>
          <w:rFonts w:cs="Calibri"/>
        </w:rPr>
        <w:t>Data collected in this st</w:t>
      </w:r>
      <w:r w:rsidR="00307452" w:rsidRPr="007B1569">
        <w:rPr>
          <w:rFonts w:cs="Calibri"/>
        </w:rPr>
        <w:t>udy will be used to inform future efforts to monitor and improve human trafficking hotline services</w:t>
      </w:r>
      <w:r w:rsidR="001C51C4">
        <w:rPr>
          <w:rFonts w:cs="Calibri"/>
        </w:rPr>
        <w:t xml:space="preserve">; </w:t>
      </w:r>
      <w:r w:rsidR="004A069E">
        <w:rPr>
          <w:rFonts w:cs="Calibri"/>
        </w:rPr>
        <w:t xml:space="preserve">the data </w:t>
      </w:r>
      <w:r w:rsidR="001C51C4" w:rsidRPr="001C51C4">
        <w:rPr>
          <w:rFonts w:cs="Calibri"/>
        </w:rPr>
        <w:t xml:space="preserve">are </w:t>
      </w:r>
      <w:r w:rsidR="001C51C4">
        <w:rPr>
          <w:rFonts w:cs="Calibri"/>
        </w:rPr>
        <w:t xml:space="preserve">not </w:t>
      </w:r>
      <w:r w:rsidR="001C51C4" w:rsidRPr="001C51C4">
        <w:rPr>
          <w:rFonts w:cs="Calibri"/>
        </w:rPr>
        <w:t>intended to be generalized to a broader population</w:t>
      </w:r>
      <w:r w:rsidR="004A069E">
        <w:rPr>
          <w:rFonts w:cs="Calibri"/>
        </w:rPr>
        <w:t>.</w:t>
      </w:r>
      <w:r w:rsidR="001C51C4">
        <w:rPr>
          <w:rFonts w:cs="Calibri"/>
        </w:rPr>
        <w:t xml:space="preserve"> We</w:t>
      </w:r>
      <w:r w:rsidR="006E65E7" w:rsidRPr="007B1569">
        <w:rPr>
          <w:rFonts w:cs="Calibri"/>
        </w:rPr>
        <w:t xml:space="preserve"> do not intend for this information to be used as the principal basis for public policy decisions.</w:t>
      </w:r>
      <w:r w:rsidR="004A5E1A">
        <w:rPr>
          <w:rFonts w:cs="Calibri"/>
        </w:rPr>
        <w:t xml:space="preserve"> </w:t>
      </w:r>
    </w:p>
    <w:p w14:paraId="6EF5B32B" w14:textId="77777777" w:rsidR="00355178" w:rsidRDefault="00355178" w:rsidP="006E65E7">
      <w:pPr>
        <w:pStyle w:val="ListParagraph"/>
      </w:pPr>
    </w:p>
    <w:p w14:paraId="62E76903" w14:textId="77777777" w:rsidR="00906F6A" w:rsidRPr="0032478D" w:rsidRDefault="00906F6A" w:rsidP="00D825A2">
      <w:pPr>
        <w:pStyle w:val="ListParagraph"/>
        <w:numPr>
          <w:ilvl w:val="0"/>
          <w:numId w:val="4"/>
        </w:numPr>
        <w:spacing w:after="0" w:line="240" w:lineRule="auto"/>
        <w:rPr>
          <w:bCs/>
        </w:rPr>
      </w:pPr>
      <w:r w:rsidRPr="00906F6A">
        <w:rPr>
          <w:b/>
        </w:rPr>
        <w:t xml:space="preserve">Time Sensitivity: </w:t>
      </w:r>
      <w:r w:rsidR="0032478D" w:rsidRPr="0032478D">
        <w:t xml:space="preserve"> </w:t>
      </w:r>
      <w:r w:rsidR="0032478D">
        <w:t xml:space="preserve">Data collection </w:t>
      </w:r>
      <w:r w:rsidR="00447AED">
        <w:t xml:space="preserve">will </w:t>
      </w:r>
      <w:r w:rsidR="00447AED">
        <w:rPr>
          <w:bCs/>
        </w:rPr>
        <w:t>need</w:t>
      </w:r>
      <w:r w:rsidR="0032478D" w:rsidRPr="0032478D">
        <w:rPr>
          <w:bCs/>
        </w:rPr>
        <w:t xml:space="preserve"> to start </w:t>
      </w:r>
      <w:r w:rsidR="007B1569">
        <w:rPr>
          <w:bCs/>
        </w:rPr>
        <w:t xml:space="preserve">no later than </w:t>
      </w:r>
      <w:r w:rsidR="0032478D" w:rsidRPr="007B1569">
        <w:rPr>
          <w:bCs/>
        </w:rPr>
        <w:t>March 2020</w:t>
      </w:r>
      <w:r w:rsidR="007B1569" w:rsidRPr="007B1569">
        <w:rPr>
          <w:bCs/>
        </w:rPr>
        <w:t xml:space="preserve"> </w:t>
      </w:r>
      <w:r w:rsidR="0032478D" w:rsidRPr="007B1569">
        <w:rPr>
          <w:bCs/>
        </w:rPr>
        <w:t>so</w:t>
      </w:r>
      <w:r w:rsidR="0032478D" w:rsidRPr="0032478D">
        <w:rPr>
          <w:bCs/>
        </w:rPr>
        <w:t xml:space="preserve"> that data collection can be completed before </w:t>
      </w:r>
      <w:r w:rsidR="00D5083E">
        <w:rPr>
          <w:bCs/>
        </w:rPr>
        <w:t>ACF’s</w:t>
      </w:r>
      <w:r w:rsidR="0032478D" w:rsidRPr="0032478D">
        <w:rPr>
          <w:bCs/>
        </w:rPr>
        <w:t xml:space="preserve"> current </w:t>
      </w:r>
      <w:r w:rsidR="00D5083E">
        <w:rPr>
          <w:bCs/>
        </w:rPr>
        <w:t>funding</w:t>
      </w:r>
      <w:r w:rsidR="0032478D" w:rsidRPr="0032478D">
        <w:rPr>
          <w:bCs/>
        </w:rPr>
        <w:t xml:space="preserve"> </w:t>
      </w:r>
      <w:r w:rsidR="0032478D">
        <w:rPr>
          <w:bCs/>
        </w:rPr>
        <w:t xml:space="preserve">for the </w:t>
      </w:r>
      <w:r w:rsidR="00A34D4E">
        <w:rPr>
          <w:bCs/>
        </w:rPr>
        <w:t>NHTH</w:t>
      </w:r>
      <w:r w:rsidR="0032478D">
        <w:rPr>
          <w:bCs/>
        </w:rPr>
        <w:t xml:space="preserve"> Program </w:t>
      </w:r>
      <w:r w:rsidR="0032478D" w:rsidRPr="0032478D">
        <w:rPr>
          <w:bCs/>
        </w:rPr>
        <w:t xml:space="preserve">ends </w:t>
      </w:r>
      <w:r w:rsidR="0032478D">
        <w:rPr>
          <w:bCs/>
        </w:rPr>
        <w:t xml:space="preserve">in </w:t>
      </w:r>
      <w:r w:rsidR="0032478D" w:rsidRPr="0032478D">
        <w:rPr>
          <w:bCs/>
        </w:rPr>
        <w:t>September 2020</w:t>
      </w:r>
      <w:r w:rsidR="0032478D">
        <w:rPr>
          <w:bCs/>
        </w:rPr>
        <w:t>.</w:t>
      </w:r>
    </w:p>
    <w:p w14:paraId="62B4839C" w14:textId="77777777" w:rsidR="001A38FD" w:rsidRDefault="001A38FD">
      <w:r>
        <w:br w:type="page"/>
      </w:r>
    </w:p>
    <w:p w14:paraId="4229EA9D" w14:textId="77777777" w:rsidR="00D5346A" w:rsidRDefault="00D5346A" w:rsidP="001A38FD">
      <w:pPr>
        <w:spacing w:after="0" w:line="240" w:lineRule="auto"/>
      </w:pPr>
    </w:p>
    <w:p w14:paraId="5D1A54F0" w14:textId="77777777" w:rsidR="004328A4" w:rsidRDefault="00BD702B" w:rsidP="001629CD">
      <w:r w:rsidRPr="00624DDC">
        <w:rPr>
          <w:b/>
        </w:rPr>
        <w:t>A1</w:t>
      </w:r>
      <w:r>
        <w:t>.</w:t>
      </w:r>
      <w:r>
        <w:tab/>
      </w:r>
      <w:r w:rsidR="004E5778" w:rsidRPr="004328A4">
        <w:rPr>
          <w:b/>
        </w:rPr>
        <w:t>Necessity for Collection</w:t>
      </w:r>
      <w:r w:rsidR="004E5778">
        <w:t xml:space="preserve"> </w:t>
      </w:r>
    </w:p>
    <w:p w14:paraId="5639551A" w14:textId="77777777" w:rsidR="00FD66DD" w:rsidRPr="00A85897" w:rsidRDefault="00FD66DD" w:rsidP="00A85897">
      <w:pPr>
        <w:rPr>
          <w:rFonts w:cs="Calibri"/>
        </w:rPr>
      </w:pPr>
      <w:r w:rsidRPr="00A85897">
        <w:rPr>
          <w:rFonts w:cs="Calibri"/>
        </w:rPr>
        <w:t>There</w:t>
      </w:r>
      <w:r w:rsidRPr="00DB5D79">
        <w:rPr>
          <w:rFonts w:cstheme="minorHAnsi"/>
        </w:rPr>
        <w:t xml:space="preserve"> are no legal or administrative requirements that necessitate this collection. </w:t>
      </w:r>
      <w:r w:rsidR="001C5194">
        <w:rPr>
          <w:rFonts w:cstheme="minorHAnsi"/>
        </w:rPr>
        <w:t>The Administration for Children and Families (</w:t>
      </w:r>
      <w:r w:rsidRPr="00DB5D79">
        <w:rPr>
          <w:rFonts w:cstheme="minorHAnsi"/>
        </w:rPr>
        <w:t>ACF</w:t>
      </w:r>
      <w:r w:rsidR="001C5194">
        <w:rPr>
          <w:rFonts w:cstheme="minorHAnsi"/>
        </w:rPr>
        <w:t>)</w:t>
      </w:r>
      <w:r w:rsidRPr="00DB5D79">
        <w:rPr>
          <w:rFonts w:cstheme="minorHAnsi"/>
        </w:rPr>
        <w:t xml:space="preserve"> is undertaking the </w:t>
      </w:r>
      <w:r w:rsidRPr="00A85897">
        <w:rPr>
          <w:rFonts w:cs="Calibri"/>
        </w:rPr>
        <w:t>collection at the discretion of the agency.</w:t>
      </w:r>
    </w:p>
    <w:p w14:paraId="70829F15" w14:textId="77777777" w:rsidR="004328A4" w:rsidRDefault="00BD702B" w:rsidP="001629CD">
      <w:pPr>
        <w:rPr>
          <w:b/>
        </w:rPr>
      </w:pPr>
      <w:r w:rsidRPr="00624DDC">
        <w:rPr>
          <w:b/>
        </w:rPr>
        <w:t>A2</w:t>
      </w:r>
      <w:r>
        <w:t>.</w:t>
      </w:r>
      <w:r>
        <w:tab/>
      </w:r>
      <w:r w:rsidR="00107D87" w:rsidRPr="004328A4">
        <w:rPr>
          <w:b/>
        </w:rPr>
        <w:t>Purpose</w:t>
      </w:r>
    </w:p>
    <w:p w14:paraId="5E1DE442" w14:textId="77777777" w:rsidR="004328A4" w:rsidRPr="004328A4" w:rsidRDefault="004328A4" w:rsidP="00A85897">
      <w:pPr>
        <w:spacing w:after="120" w:line="240" w:lineRule="auto"/>
        <w:rPr>
          <w:i/>
        </w:rPr>
      </w:pPr>
      <w:r w:rsidRPr="004328A4">
        <w:rPr>
          <w:i/>
        </w:rPr>
        <w:t xml:space="preserve">Purpose and Use </w:t>
      </w:r>
    </w:p>
    <w:p w14:paraId="3BCAAD17" w14:textId="77777777" w:rsidR="00AE6566" w:rsidRPr="00FE3C57" w:rsidRDefault="00DB5691" w:rsidP="00FA446C">
      <w:pPr>
        <w:spacing w:after="0"/>
        <w:rPr>
          <w:rFonts w:cs="Calibri"/>
        </w:rPr>
      </w:pPr>
      <w:r w:rsidRPr="007B1569">
        <w:rPr>
          <w:rFonts w:cs="Calibri"/>
        </w:rPr>
        <w:t>Th</w:t>
      </w:r>
      <w:r>
        <w:rPr>
          <w:rFonts w:cs="Calibri"/>
        </w:rPr>
        <w:t>is proposed information collection</w:t>
      </w:r>
      <w:r w:rsidR="006F635C">
        <w:rPr>
          <w:rFonts w:cs="Calibri"/>
        </w:rPr>
        <w:t xml:space="preserve"> (IC)</w:t>
      </w:r>
      <w:r>
        <w:rPr>
          <w:rFonts w:cs="Calibri"/>
        </w:rPr>
        <w:t xml:space="preserve"> is part of the </w:t>
      </w:r>
      <w:r w:rsidR="001C5194">
        <w:rPr>
          <w:rFonts w:cs="Calibri"/>
        </w:rPr>
        <w:t xml:space="preserve">ACF </w:t>
      </w:r>
      <w:r w:rsidRPr="007B1569">
        <w:rPr>
          <w:rFonts w:cs="Calibri"/>
        </w:rPr>
        <w:t>Office of Planning, Research, and Evaluation</w:t>
      </w:r>
      <w:r w:rsidR="001C5194">
        <w:rPr>
          <w:rFonts w:cs="Calibri"/>
        </w:rPr>
        <w:t>’s</w:t>
      </w:r>
      <w:r w:rsidRPr="007B1569">
        <w:rPr>
          <w:rFonts w:cs="Calibri"/>
        </w:rPr>
        <w:t xml:space="preserve"> (OPRE</w:t>
      </w:r>
      <w:r w:rsidR="001C5194">
        <w:rPr>
          <w:rFonts w:cs="Calibri"/>
        </w:rPr>
        <w:t>’s</w:t>
      </w:r>
      <w:r w:rsidRPr="007B1569">
        <w:rPr>
          <w:rFonts w:cs="Calibri"/>
        </w:rPr>
        <w:t xml:space="preserve">), </w:t>
      </w:r>
      <w:r w:rsidR="001C5194">
        <w:rPr>
          <w:rFonts w:cs="Calibri"/>
        </w:rPr>
        <w:t>E</w:t>
      </w:r>
      <w:r w:rsidR="001C5194" w:rsidRPr="007B1569">
        <w:rPr>
          <w:rFonts w:cs="Calibri"/>
        </w:rPr>
        <w:t>valuation of the National Human Trafficking Hotline (NHTH</w:t>
      </w:r>
      <w:r w:rsidR="001C5194">
        <w:rPr>
          <w:rFonts w:cs="Calibri"/>
        </w:rPr>
        <w:t>) P</w:t>
      </w:r>
      <w:r w:rsidR="001C5194" w:rsidRPr="007B1569">
        <w:rPr>
          <w:rFonts w:cs="Calibri"/>
        </w:rPr>
        <w:t>rogram</w:t>
      </w:r>
      <w:r w:rsidR="001C5194">
        <w:rPr>
          <w:rFonts w:cs="Calibri"/>
        </w:rPr>
        <w:t>.</w:t>
      </w:r>
      <w:r w:rsidR="001C5194" w:rsidRPr="007B1569">
        <w:rPr>
          <w:rFonts w:cs="Calibri"/>
        </w:rPr>
        <w:t xml:space="preserve"> </w:t>
      </w:r>
      <w:r w:rsidR="006F635C">
        <w:rPr>
          <w:rFonts w:cs="Calibri"/>
        </w:rPr>
        <w:t xml:space="preserve">OPRE, in collaboration with the </w:t>
      </w:r>
      <w:r w:rsidR="006F635C">
        <w:rPr>
          <w:rFonts w:cstheme="minorHAnsi"/>
        </w:rPr>
        <w:t>Office on Trafficking in Persons (OTIP),</w:t>
      </w:r>
      <w:r w:rsidR="006F635C">
        <w:rPr>
          <w:rFonts w:cs="Calibri"/>
        </w:rPr>
        <w:t xml:space="preserve"> </w:t>
      </w:r>
      <w:r>
        <w:rPr>
          <w:rFonts w:cs="Calibri"/>
        </w:rPr>
        <w:t xml:space="preserve">seeks </w:t>
      </w:r>
      <w:r w:rsidRPr="007B1569">
        <w:rPr>
          <w:rFonts w:cs="Calibri"/>
        </w:rPr>
        <w:t xml:space="preserve">approval to </w:t>
      </w:r>
      <w:r>
        <w:rPr>
          <w:iCs/>
        </w:rPr>
        <w:t xml:space="preserve">conduct two multi-mode surveys, gathering </w:t>
      </w:r>
      <w:r>
        <w:rPr>
          <w:rFonts w:cs="Calibri"/>
        </w:rPr>
        <w:t>information from individuals</w:t>
      </w:r>
      <w:r w:rsidRPr="007B1569">
        <w:rPr>
          <w:rFonts w:cs="Calibri"/>
        </w:rPr>
        <w:t xml:space="preserve"> who seek assistance from the NHTH</w:t>
      </w:r>
      <w:r w:rsidR="006F635C">
        <w:rPr>
          <w:rFonts w:cs="Calibri"/>
        </w:rPr>
        <w:t xml:space="preserve">. </w:t>
      </w:r>
    </w:p>
    <w:p w14:paraId="695F2185" w14:textId="77777777" w:rsidR="00FA446C" w:rsidRPr="00FA446C" w:rsidRDefault="00FA446C" w:rsidP="00FA446C">
      <w:pPr>
        <w:spacing w:after="0"/>
        <w:rPr>
          <w:rFonts w:ascii="Calibri" w:hAnsi="Calibri" w:cs="Calibri"/>
          <w:bCs/>
        </w:rPr>
      </w:pPr>
    </w:p>
    <w:p w14:paraId="0195E72D" w14:textId="77777777" w:rsidR="00416A5C" w:rsidRDefault="009B2CE2" w:rsidP="00066346">
      <w:pPr>
        <w:rPr>
          <w:rFonts w:cstheme="minorHAnsi"/>
        </w:rPr>
      </w:pPr>
      <w:r>
        <w:rPr>
          <w:rFonts w:cstheme="minorHAnsi"/>
        </w:rPr>
        <w:t>With funding from</w:t>
      </w:r>
      <w:r w:rsidR="000D440D">
        <w:rPr>
          <w:rFonts w:cstheme="minorHAnsi"/>
        </w:rPr>
        <w:t xml:space="preserve"> </w:t>
      </w:r>
      <w:r>
        <w:rPr>
          <w:rFonts w:cstheme="minorHAnsi"/>
        </w:rPr>
        <w:t>O</w:t>
      </w:r>
      <w:r w:rsidR="001217E4">
        <w:rPr>
          <w:rFonts w:cstheme="minorHAnsi"/>
        </w:rPr>
        <w:t xml:space="preserve">TIP, Polaris operates the </w:t>
      </w:r>
      <w:r w:rsidR="004A2C4A">
        <w:rPr>
          <w:rFonts w:cstheme="minorHAnsi"/>
        </w:rPr>
        <w:t xml:space="preserve">NHTH </w:t>
      </w:r>
      <w:r w:rsidR="001217E4" w:rsidRPr="00066346">
        <w:rPr>
          <w:rFonts w:cstheme="minorHAnsi"/>
        </w:rPr>
        <w:t>24</w:t>
      </w:r>
      <w:r w:rsidR="001217E4">
        <w:rPr>
          <w:rFonts w:cstheme="minorHAnsi"/>
        </w:rPr>
        <w:t xml:space="preserve">-hours a day, 365 days a year. </w:t>
      </w:r>
      <w:bookmarkStart w:id="2" w:name="_Hlk20923900"/>
      <w:r w:rsidR="003C641C">
        <w:rPr>
          <w:rFonts w:cstheme="minorHAnsi"/>
        </w:rPr>
        <w:t xml:space="preserve">The NHTH </w:t>
      </w:r>
      <w:r w:rsidR="00416A5C" w:rsidRPr="007E6210">
        <w:rPr>
          <w:rFonts w:cstheme="minorHAnsi"/>
        </w:rPr>
        <w:t>connects victims</w:t>
      </w:r>
      <w:r w:rsidR="00416A5C">
        <w:rPr>
          <w:rFonts w:cstheme="minorHAnsi"/>
        </w:rPr>
        <w:t xml:space="preserve"> and s</w:t>
      </w:r>
      <w:r w:rsidR="00416A5C" w:rsidRPr="007E6210">
        <w:rPr>
          <w:rFonts w:cstheme="minorHAnsi"/>
        </w:rPr>
        <w:t xml:space="preserve">urvivors </w:t>
      </w:r>
      <w:r w:rsidR="00416A5C">
        <w:rPr>
          <w:rFonts w:cstheme="minorHAnsi"/>
        </w:rPr>
        <w:t xml:space="preserve">of sex and labor trafficking, and others who seek </w:t>
      </w:r>
      <w:r w:rsidR="00066346">
        <w:rPr>
          <w:rFonts w:cstheme="minorHAnsi"/>
        </w:rPr>
        <w:t>assistance</w:t>
      </w:r>
      <w:r w:rsidR="00416A5C">
        <w:rPr>
          <w:rFonts w:cstheme="minorHAnsi"/>
        </w:rPr>
        <w:t xml:space="preserve"> on behalf of a victim or survivor of human trafficking, </w:t>
      </w:r>
      <w:r w:rsidR="00416A5C" w:rsidRPr="007E6210">
        <w:rPr>
          <w:rFonts w:cstheme="minorHAnsi"/>
        </w:rPr>
        <w:t>with resources and services</w:t>
      </w:r>
      <w:r w:rsidR="00416A5C">
        <w:rPr>
          <w:rFonts w:cstheme="minorHAnsi"/>
        </w:rPr>
        <w:t xml:space="preserve"> to get help</w:t>
      </w:r>
      <w:r w:rsidR="0024004D">
        <w:rPr>
          <w:rFonts w:cstheme="minorHAnsi"/>
        </w:rPr>
        <w:t>.</w:t>
      </w:r>
      <w:r w:rsidR="001217E4">
        <w:rPr>
          <w:rFonts w:cstheme="minorHAnsi"/>
        </w:rPr>
        <w:t xml:space="preserve"> </w:t>
      </w:r>
      <w:r w:rsidR="00416A5C">
        <w:rPr>
          <w:rFonts w:cstheme="minorHAnsi"/>
        </w:rPr>
        <w:t xml:space="preserve">The NHTH also receives </w:t>
      </w:r>
      <w:r w:rsidR="00416A5C" w:rsidRPr="007E6210">
        <w:rPr>
          <w:rFonts w:cstheme="minorHAnsi"/>
        </w:rPr>
        <w:t xml:space="preserve">tips </w:t>
      </w:r>
      <w:r w:rsidR="00416A5C">
        <w:rPr>
          <w:rFonts w:cstheme="minorHAnsi"/>
        </w:rPr>
        <w:t>about potential cases of human trafficking and facilitates the reporting of that information to</w:t>
      </w:r>
      <w:r w:rsidR="00416A5C" w:rsidRPr="007E6210">
        <w:rPr>
          <w:rFonts w:cstheme="minorHAnsi"/>
        </w:rPr>
        <w:t xml:space="preserve"> local, state, and federal law enforcement authorities.</w:t>
      </w:r>
      <w:r w:rsidR="00416A5C">
        <w:rPr>
          <w:rFonts w:cstheme="minorHAnsi"/>
        </w:rPr>
        <w:t xml:space="preserve"> </w:t>
      </w:r>
      <w:bookmarkEnd w:id="2"/>
      <w:r w:rsidR="00416A5C">
        <w:rPr>
          <w:rFonts w:cstheme="minorHAnsi"/>
        </w:rPr>
        <w:t>Individuals</w:t>
      </w:r>
      <w:r w:rsidR="00416A5C" w:rsidRPr="00253D18">
        <w:rPr>
          <w:rFonts w:cstheme="minorHAnsi"/>
        </w:rPr>
        <w:t xml:space="preserve"> who contact </w:t>
      </w:r>
      <w:r w:rsidR="00416A5C">
        <w:rPr>
          <w:rFonts w:cstheme="minorHAnsi"/>
        </w:rPr>
        <w:t xml:space="preserve">the toll-free hotline </w:t>
      </w:r>
      <w:r w:rsidR="00416A5C" w:rsidRPr="00253D18">
        <w:rPr>
          <w:rFonts w:cstheme="minorHAnsi"/>
        </w:rPr>
        <w:t xml:space="preserve">via </w:t>
      </w:r>
      <w:r w:rsidR="00416A5C">
        <w:rPr>
          <w:rFonts w:cstheme="minorHAnsi"/>
        </w:rPr>
        <w:t>tele</w:t>
      </w:r>
      <w:r w:rsidR="00416A5C" w:rsidRPr="00253D18">
        <w:rPr>
          <w:rFonts w:cstheme="minorHAnsi"/>
        </w:rPr>
        <w:t>phone,</w:t>
      </w:r>
      <w:r w:rsidR="00416A5C">
        <w:rPr>
          <w:rFonts w:cstheme="minorHAnsi"/>
        </w:rPr>
        <w:t xml:space="preserve"> SMS </w:t>
      </w:r>
      <w:r w:rsidR="00402E80">
        <w:rPr>
          <w:rFonts w:cstheme="minorHAnsi"/>
        </w:rPr>
        <w:t xml:space="preserve">(short message service) </w:t>
      </w:r>
      <w:r w:rsidR="00416A5C" w:rsidRPr="00253D18">
        <w:rPr>
          <w:rFonts w:cstheme="minorHAnsi"/>
        </w:rPr>
        <w:t>text</w:t>
      </w:r>
      <w:r w:rsidR="00416A5C">
        <w:rPr>
          <w:rFonts w:cstheme="minorHAnsi"/>
        </w:rPr>
        <w:t>, or live online</w:t>
      </w:r>
      <w:r w:rsidR="00416A5C" w:rsidRPr="00253D18">
        <w:rPr>
          <w:rFonts w:cstheme="minorHAnsi"/>
        </w:rPr>
        <w:t xml:space="preserve"> chat (i.e., “contactors”) can speak, exchange text messages</w:t>
      </w:r>
      <w:r w:rsidR="00416A5C">
        <w:rPr>
          <w:rFonts w:cstheme="minorHAnsi"/>
        </w:rPr>
        <w:t>, or</w:t>
      </w:r>
      <w:r w:rsidR="00416A5C" w:rsidRPr="00253D18">
        <w:rPr>
          <w:rFonts w:cstheme="minorHAnsi"/>
        </w:rPr>
        <w:t xml:space="preserve"> chat or with an </w:t>
      </w:r>
      <w:r w:rsidR="00416A5C">
        <w:rPr>
          <w:rFonts w:cstheme="minorHAnsi"/>
        </w:rPr>
        <w:t xml:space="preserve">NHTH </w:t>
      </w:r>
      <w:r w:rsidR="00416A5C" w:rsidRPr="00253D18">
        <w:rPr>
          <w:rFonts w:cstheme="minorHAnsi"/>
        </w:rPr>
        <w:t>advocate</w:t>
      </w:r>
      <w:r w:rsidR="00416A5C">
        <w:rPr>
          <w:rFonts w:cstheme="minorHAnsi"/>
        </w:rPr>
        <w:t xml:space="preserve"> in English and Spanish (or </w:t>
      </w:r>
      <w:r w:rsidR="004A2C4A">
        <w:rPr>
          <w:rFonts w:cstheme="minorHAnsi"/>
        </w:rPr>
        <w:t xml:space="preserve">in </w:t>
      </w:r>
      <w:r w:rsidR="00416A5C">
        <w:rPr>
          <w:rFonts w:cstheme="minorHAnsi"/>
        </w:rPr>
        <w:t>more than 200 additional languages through an on-call interpretation service).</w:t>
      </w:r>
      <w:r w:rsidR="00066346">
        <w:rPr>
          <w:rFonts w:cstheme="minorHAnsi"/>
        </w:rPr>
        <w:t xml:space="preserve">  </w:t>
      </w:r>
    </w:p>
    <w:p w14:paraId="6ED2667D" w14:textId="6BC09707" w:rsidR="006F635C" w:rsidRDefault="006F635C" w:rsidP="004A2C4A">
      <w:pPr>
        <w:rPr>
          <w:rFonts w:ascii="Calibri" w:hAnsi="Calibri" w:cs="Calibri"/>
          <w:bCs/>
        </w:rPr>
      </w:pPr>
      <w:r>
        <w:rPr>
          <w:rFonts w:cs="Calibri"/>
        </w:rPr>
        <w:t>T</w:t>
      </w:r>
      <w:r>
        <w:rPr>
          <w:rFonts w:ascii="Calibri" w:hAnsi="Calibri" w:cs="Calibri"/>
          <w:bCs/>
        </w:rPr>
        <w:t xml:space="preserve">he purpose of this IC is to examine the experiences of individuals who seek assistance from the NHTH after their interactions with the NHTH.  </w:t>
      </w:r>
      <w:r>
        <w:t>G</w:t>
      </w:r>
      <w:r w:rsidRPr="0001066D">
        <w:t xml:space="preserve">athering and analyzing information </w:t>
      </w:r>
      <w:r>
        <w:t>from this data collection will allow us</w:t>
      </w:r>
      <w:r w:rsidRPr="0001066D">
        <w:t xml:space="preserve"> to describe </w:t>
      </w:r>
      <w:r>
        <w:t xml:space="preserve">contactors’ perceptions of </w:t>
      </w:r>
      <w:r w:rsidRPr="0001066D">
        <w:t xml:space="preserve">NHTH’s </w:t>
      </w:r>
      <w:r>
        <w:t>services</w:t>
      </w:r>
      <w:r w:rsidRPr="0001066D">
        <w:t xml:space="preserve"> and </w:t>
      </w:r>
      <w:r w:rsidR="001912FB">
        <w:t>the utility of information provided, in terms of</w:t>
      </w:r>
      <w:r w:rsidR="00EE29F5">
        <w:t xml:space="preserve"> knowledge gained, actions taken, and assistance received</w:t>
      </w:r>
      <w:r w:rsidRPr="0001066D">
        <w:t xml:space="preserve">. </w:t>
      </w:r>
      <w:r>
        <w:rPr>
          <w:rFonts w:ascii="Calibri" w:hAnsi="Calibri" w:cs="Calibri"/>
          <w:bCs/>
        </w:rPr>
        <w:t>Obtaining information directly from individuals who seek assistance from the NHTH is essential for understanding hotline users’ perceptions of and experiences with the service.</w:t>
      </w:r>
    </w:p>
    <w:p w14:paraId="18B2ABA5" w14:textId="566ECFC4" w:rsidR="00EE29F5" w:rsidRDefault="00066346" w:rsidP="00FE3C57">
      <w:pPr>
        <w:spacing w:after="0"/>
      </w:pPr>
      <w:bookmarkStart w:id="3" w:name="_Hlk20935003"/>
      <w:r>
        <w:t>Results from the study will be use</w:t>
      </w:r>
      <w:r w:rsidR="003C641C">
        <w:t>d</w:t>
      </w:r>
      <w:r>
        <w:t xml:space="preserve"> to inform future efforts to monitor and improve hotline services for victims of human </w:t>
      </w:r>
      <w:r w:rsidRPr="00BE36B8">
        <w:t>trafficking</w:t>
      </w:r>
      <w:r w:rsidR="009B2CE2">
        <w:t xml:space="preserve">, including </w:t>
      </w:r>
      <w:r w:rsidR="006F635C">
        <w:t xml:space="preserve">the development of </w:t>
      </w:r>
      <w:r w:rsidR="009B2CE2">
        <w:rPr>
          <w:iCs/>
        </w:rPr>
        <w:t>performance measures for objectively assessing NHTH activities and accomplishments</w:t>
      </w:r>
      <w:r>
        <w:t xml:space="preserve">. </w:t>
      </w:r>
      <w:bookmarkEnd w:id="3"/>
      <w:r w:rsidR="00EE29F5">
        <w:t>This information will also allow</w:t>
      </w:r>
      <w:r w:rsidR="00FD714E" w:rsidRPr="0001066D">
        <w:t xml:space="preserve"> ACF to describe the</w:t>
      </w:r>
      <w:r w:rsidR="00EE29F5">
        <w:t xml:space="preserve"> </w:t>
      </w:r>
      <w:r w:rsidR="00B8072A">
        <w:t>utility</w:t>
      </w:r>
      <w:r w:rsidR="00FD714E" w:rsidRPr="0001066D">
        <w:t xml:space="preserve"> of </w:t>
      </w:r>
      <w:r w:rsidR="00B8072A">
        <w:t xml:space="preserve">the </w:t>
      </w:r>
      <w:r w:rsidR="00FD714E" w:rsidRPr="0001066D">
        <w:t xml:space="preserve">public investment in </w:t>
      </w:r>
      <w:r w:rsidR="0001066D" w:rsidRPr="0001066D">
        <w:t>the NHTH</w:t>
      </w:r>
      <w:r w:rsidR="00FD714E" w:rsidRPr="0001066D">
        <w:t xml:space="preserve">. </w:t>
      </w:r>
      <w:r w:rsidR="003C641C">
        <w:t xml:space="preserve">Key stakeholders, including those who contact the NHTH seeking help and those who receive referrals </w:t>
      </w:r>
      <w:r w:rsidR="005F17BD">
        <w:t xml:space="preserve">or tip information </w:t>
      </w:r>
      <w:r w:rsidR="003C641C">
        <w:t>from the NHTH—victims/survivors and their friends and families, law enforcement agencies, victim advocates, and</w:t>
      </w:r>
      <w:r w:rsidR="005F17BD">
        <w:t xml:space="preserve"> </w:t>
      </w:r>
      <w:r w:rsidR="003C641C">
        <w:t>organizations serving survivors of human trafficking</w:t>
      </w:r>
      <w:r w:rsidR="004A069E">
        <w:t xml:space="preserve">—as well as federal agencies, businesses, and organizations that advertise the NHTH’s services (e.g., through the posting of the toll-free hotline number) </w:t>
      </w:r>
      <w:r w:rsidR="00EB47A5">
        <w:t>will benefit from any improvements made in the delivery of NHTH’s services based on findings from the surveys</w:t>
      </w:r>
      <w:r w:rsidR="0001066D" w:rsidRPr="0001066D">
        <w:t>.</w:t>
      </w:r>
      <w:r w:rsidR="00FD714E" w:rsidRPr="0001066D">
        <w:t xml:space="preserve"> Additionally,</w:t>
      </w:r>
      <w:r w:rsidR="0001066D" w:rsidRPr="0001066D">
        <w:t xml:space="preserve"> </w:t>
      </w:r>
      <w:r w:rsidR="005F17BD">
        <w:t xml:space="preserve">the </w:t>
      </w:r>
      <w:r w:rsidR="0001066D" w:rsidRPr="0001066D">
        <w:t xml:space="preserve">NHTH </w:t>
      </w:r>
      <w:r w:rsidR="003C641C">
        <w:t>P</w:t>
      </w:r>
      <w:r w:rsidR="00051F2E">
        <w:t>rogram</w:t>
      </w:r>
      <w:r w:rsidR="005F17BD">
        <w:t>, and other victim service hotlines</w:t>
      </w:r>
      <w:r w:rsidR="00051F2E">
        <w:t xml:space="preserve"> </w:t>
      </w:r>
      <w:r w:rsidR="00FD714E" w:rsidRPr="0001066D">
        <w:t>can use the information to develop performance measurement approaches</w:t>
      </w:r>
      <w:r w:rsidR="00940850">
        <w:t xml:space="preserve"> </w:t>
      </w:r>
      <w:r w:rsidR="00FD714E" w:rsidRPr="0001066D">
        <w:t>and improve hotline services.</w:t>
      </w:r>
    </w:p>
    <w:p w14:paraId="196F9D0E" w14:textId="77777777" w:rsidR="00EE29F5" w:rsidRDefault="00EE29F5" w:rsidP="00FE3C57">
      <w:pPr>
        <w:spacing w:after="0"/>
      </w:pPr>
    </w:p>
    <w:p w14:paraId="69E8D9D5" w14:textId="77777777" w:rsidR="007D0F6E" w:rsidRDefault="002D1500" w:rsidP="003C641C">
      <w:pPr>
        <w:rPr>
          <w:rFonts w:cs="Calibri"/>
        </w:rPr>
      </w:pPr>
      <w:r>
        <w:rPr>
          <w:rFonts w:cs="Calibri"/>
        </w:rPr>
        <w:t>The information collected is meant to contribute to the body of knowledge on ACF programs. It is not intended to be used as the principal basis for a decision by a federal decision</w:t>
      </w:r>
      <w:r w:rsidR="00EE29F5">
        <w:rPr>
          <w:rFonts w:cs="Calibri"/>
        </w:rPr>
        <w:t xml:space="preserve"> </w:t>
      </w:r>
      <w:r>
        <w:rPr>
          <w:rFonts w:cs="Calibri"/>
        </w:rPr>
        <w:t>maker</w:t>
      </w:r>
      <w:r w:rsidR="0007502B">
        <w:rPr>
          <w:rFonts w:cs="Calibri"/>
        </w:rPr>
        <w:t xml:space="preserve"> </w:t>
      </w:r>
      <w:r>
        <w:rPr>
          <w:rFonts w:cs="Calibri"/>
        </w:rPr>
        <w:t xml:space="preserve">and is not expected to meet the threshold of influential or highly influential scientific information.  </w:t>
      </w:r>
    </w:p>
    <w:p w14:paraId="24F99F9D" w14:textId="77777777" w:rsidR="004328A4" w:rsidRDefault="004328A4" w:rsidP="00A85897">
      <w:pPr>
        <w:spacing w:after="120" w:line="240" w:lineRule="auto"/>
        <w:rPr>
          <w:i/>
        </w:rPr>
      </w:pPr>
      <w:r w:rsidRPr="004328A4">
        <w:rPr>
          <w:i/>
        </w:rPr>
        <w:t>Research Questions or Tests</w:t>
      </w:r>
    </w:p>
    <w:p w14:paraId="176D1EB5" w14:textId="77777777" w:rsidR="004328A4" w:rsidRPr="00CB34F6" w:rsidRDefault="005B0DD0" w:rsidP="00A85897">
      <w:pPr>
        <w:rPr>
          <w:rFonts w:ascii="Calibri" w:hAnsi="Calibri" w:cs="Calibri"/>
          <w:bCs/>
        </w:rPr>
      </w:pPr>
      <w:r>
        <w:rPr>
          <w:rFonts w:ascii="Calibri" w:hAnsi="Calibri" w:cs="Calibri"/>
          <w:bCs/>
        </w:rPr>
        <w:t xml:space="preserve">The following are evaluation questions that will be addressed through this information collection. </w:t>
      </w:r>
    </w:p>
    <w:p w14:paraId="503FC2F8" w14:textId="77777777" w:rsidR="005B0DD0" w:rsidRPr="00CB34F6" w:rsidRDefault="004400B1" w:rsidP="005B0DD0">
      <w:pPr>
        <w:pStyle w:val="ListParagraph"/>
        <w:numPr>
          <w:ilvl w:val="0"/>
          <w:numId w:val="17"/>
        </w:numPr>
        <w:spacing w:after="0" w:line="240" w:lineRule="auto"/>
        <w:contextualSpacing w:val="0"/>
        <w:rPr>
          <w:rFonts w:ascii="Calibri" w:hAnsi="Calibri" w:cs="Calibri"/>
          <w:bCs/>
        </w:rPr>
      </w:pPr>
      <w:r w:rsidRPr="00CB34F6">
        <w:rPr>
          <w:rFonts w:ascii="Calibri" w:hAnsi="Calibri" w:cs="Calibri"/>
          <w:bCs/>
        </w:rPr>
        <w:t>To what extent do</w:t>
      </w:r>
      <w:r w:rsidR="005B0DD0" w:rsidRPr="00CB34F6">
        <w:rPr>
          <w:rFonts w:ascii="Calibri" w:hAnsi="Calibri" w:cs="Calibri"/>
          <w:bCs/>
        </w:rPr>
        <w:t xml:space="preserve"> contactors </w:t>
      </w:r>
      <w:r w:rsidRPr="00CB34F6">
        <w:rPr>
          <w:rFonts w:ascii="Calibri" w:hAnsi="Calibri" w:cs="Calibri"/>
          <w:bCs/>
        </w:rPr>
        <w:t>feel</w:t>
      </w:r>
      <w:r w:rsidR="005B0DD0" w:rsidRPr="00CB34F6">
        <w:rPr>
          <w:rFonts w:ascii="Calibri" w:hAnsi="Calibri" w:cs="Calibri"/>
          <w:bCs/>
        </w:rPr>
        <w:t xml:space="preserve"> that their call/</w:t>
      </w:r>
      <w:r w:rsidR="00CB34F6" w:rsidRPr="00CB34F6">
        <w:rPr>
          <w:rFonts w:ascii="Calibri" w:hAnsi="Calibri" w:cs="Calibri"/>
          <w:bCs/>
        </w:rPr>
        <w:t xml:space="preserve">SMS </w:t>
      </w:r>
      <w:r w:rsidR="005B0DD0" w:rsidRPr="00CB34F6">
        <w:rPr>
          <w:rFonts w:ascii="Calibri" w:hAnsi="Calibri" w:cs="Calibri"/>
          <w:bCs/>
        </w:rPr>
        <w:t>text/</w:t>
      </w:r>
      <w:r w:rsidR="00CB34F6" w:rsidRPr="00CB34F6">
        <w:rPr>
          <w:rFonts w:ascii="Calibri" w:hAnsi="Calibri" w:cs="Calibri"/>
          <w:bCs/>
        </w:rPr>
        <w:t xml:space="preserve">live online </w:t>
      </w:r>
      <w:r w:rsidR="005B0DD0" w:rsidRPr="00CB34F6">
        <w:rPr>
          <w:rFonts w:ascii="Calibri" w:hAnsi="Calibri" w:cs="Calibri"/>
          <w:bCs/>
        </w:rPr>
        <w:t xml:space="preserve">chat session with the NHTH was helpful? </w:t>
      </w:r>
    </w:p>
    <w:p w14:paraId="39278D4B" w14:textId="77777777" w:rsidR="005B0DD0" w:rsidRPr="00CB34F6" w:rsidRDefault="004400B1" w:rsidP="005B0DD0">
      <w:pPr>
        <w:pStyle w:val="ListParagraph"/>
        <w:numPr>
          <w:ilvl w:val="0"/>
          <w:numId w:val="17"/>
        </w:numPr>
        <w:spacing w:after="0" w:line="240" w:lineRule="auto"/>
        <w:contextualSpacing w:val="0"/>
        <w:rPr>
          <w:rFonts w:ascii="Calibri" w:hAnsi="Calibri" w:cs="Calibri"/>
          <w:bCs/>
        </w:rPr>
      </w:pPr>
      <w:r w:rsidRPr="00CB34F6">
        <w:rPr>
          <w:rFonts w:ascii="Calibri" w:hAnsi="Calibri" w:cs="Calibri"/>
          <w:bCs/>
        </w:rPr>
        <w:t>To what extent d</w:t>
      </w:r>
      <w:r w:rsidR="005B0DD0" w:rsidRPr="00CB34F6">
        <w:rPr>
          <w:rFonts w:ascii="Calibri" w:hAnsi="Calibri" w:cs="Calibri"/>
          <w:bCs/>
        </w:rPr>
        <w:t xml:space="preserve">o contactors feel supported during their call/text/chat session? </w:t>
      </w:r>
    </w:p>
    <w:p w14:paraId="3D6450FC" w14:textId="77777777" w:rsidR="004400B1" w:rsidRPr="00CB34F6" w:rsidRDefault="004400B1" w:rsidP="004400B1">
      <w:pPr>
        <w:pStyle w:val="ListParagraph"/>
        <w:numPr>
          <w:ilvl w:val="0"/>
          <w:numId w:val="17"/>
        </w:numPr>
        <w:spacing w:after="0" w:line="240" w:lineRule="auto"/>
        <w:contextualSpacing w:val="0"/>
        <w:rPr>
          <w:rFonts w:ascii="Calibri" w:hAnsi="Calibri" w:cs="Calibri"/>
          <w:bCs/>
        </w:rPr>
      </w:pPr>
      <w:r w:rsidRPr="00CB34F6">
        <w:rPr>
          <w:rFonts w:ascii="Calibri" w:hAnsi="Calibri" w:cs="Calibri"/>
          <w:bCs/>
        </w:rPr>
        <w:t>What are contactors’ perceptions of NHTH advocates’ knowledge and skills (i.e., how confident are users in those offering hotline services)?</w:t>
      </w:r>
    </w:p>
    <w:p w14:paraId="4C83AC1D" w14:textId="77777777" w:rsidR="004400B1" w:rsidRPr="00CB34F6" w:rsidRDefault="004400B1" w:rsidP="004400B1">
      <w:pPr>
        <w:pStyle w:val="ListParagraph"/>
        <w:numPr>
          <w:ilvl w:val="0"/>
          <w:numId w:val="17"/>
        </w:numPr>
        <w:spacing w:after="0" w:line="240" w:lineRule="auto"/>
        <w:contextualSpacing w:val="0"/>
        <w:rPr>
          <w:rFonts w:ascii="Calibri" w:hAnsi="Calibri" w:cs="Calibri"/>
          <w:bCs/>
        </w:rPr>
      </w:pPr>
      <w:r w:rsidRPr="00CB34F6">
        <w:rPr>
          <w:rFonts w:ascii="Calibri" w:hAnsi="Calibri" w:cs="Calibri"/>
          <w:bCs/>
        </w:rPr>
        <w:t xml:space="preserve">Overall, how satisfied are contactors with their call/text/chat session with the </w:t>
      </w:r>
      <w:r w:rsidR="009B06B6" w:rsidRPr="00CB34F6">
        <w:rPr>
          <w:rFonts w:ascii="Calibri" w:hAnsi="Calibri" w:cs="Calibri"/>
          <w:bCs/>
        </w:rPr>
        <w:t>NHTH</w:t>
      </w:r>
      <w:r w:rsidRPr="00CB34F6">
        <w:rPr>
          <w:rFonts w:ascii="Calibri" w:hAnsi="Calibri" w:cs="Calibri"/>
          <w:bCs/>
        </w:rPr>
        <w:t>?</w:t>
      </w:r>
    </w:p>
    <w:p w14:paraId="726EA2D5" w14:textId="77777777" w:rsidR="005B0DD0" w:rsidRPr="00CB34F6" w:rsidRDefault="009B06B6" w:rsidP="005B0DD0">
      <w:pPr>
        <w:pStyle w:val="ListParagraph"/>
        <w:numPr>
          <w:ilvl w:val="0"/>
          <w:numId w:val="17"/>
        </w:numPr>
        <w:spacing w:after="0" w:line="240" w:lineRule="auto"/>
        <w:contextualSpacing w:val="0"/>
        <w:rPr>
          <w:rFonts w:ascii="Calibri" w:hAnsi="Calibri" w:cs="Calibri"/>
          <w:bCs/>
        </w:rPr>
      </w:pPr>
      <w:r w:rsidRPr="00CB34F6">
        <w:rPr>
          <w:rFonts w:ascii="Calibri" w:hAnsi="Calibri" w:cs="Calibri"/>
          <w:bCs/>
        </w:rPr>
        <w:t>To what extent are</w:t>
      </w:r>
      <w:r w:rsidR="005B0DD0" w:rsidRPr="00CB34F6">
        <w:rPr>
          <w:rFonts w:ascii="Calibri" w:hAnsi="Calibri" w:cs="Calibri"/>
          <w:bCs/>
        </w:rPr>
        <w:t xml:space="preserve"> NHTH contactors’ needs met during the</w:t>
      </w:r>
      <w:r w:rsidRPr="00CB34F6">
        <w:rPr>
          <w:rFonts w:ascii="Calibri" w:hAnsi="Calibri" w:cs="Calibri"/>
          <w:bCs/>
        </w:rPr>
        <w:t>ir</w:t>
      </w:r>
      <w:r w:rsidR="005B0DD0" w:rsidRPr="00CB34F6">
        <w:rPr>
          <w:rFonts w:ascii="Calibri" w:hAnsi="Calibri" w:cs="Calibri"/>
          <w:bCs/>
        </w:rPr>
        <w:t xml:space="preserve"> call/text/chat session?</w:t>
      </w:r>
    </w:p>
    <w:p w14:paraId="1969BE77" w14:textId="77777777" w:rsidR="009B06B6" w:rsidRPr="00CB34F6" w:rsidRDefault="009B06B6" w:rsidP="009B06B6">
      <w:pPr>
        <w:pStyle w:val="ListParagraph"/>
        <w:numPr>
          <w:ilvl w:val="0"/>
          <w:numId w:val="17"/>
        </w:numPr>
        <w:spacing w:after="0" w:line="240" w:lineRule="auto"/>
        <w:contextualSpacing w:val="0"/>
        <w:rPr>
          <w:rFonts w:ascii="Calibri" w:hAnsi="Calibri" w:cs="Calibri"/>
          <w:bCs/>
        </w:rPr>
      </w:pPr>
      <w:r w:rsidRPr="00CB34F6">
        <w:rPr>
          <w:rFonts w:ascii="Calibri" w:hAnsi="Calibri" w:cs="Calibri"/>
          <w:bCs/>
        </w:rPr>
        <w:t xml:space="preserve">To what extent do contactors feel that the assistance or information they received from the NHTH was useful? </w:t>
      </w:r>
    </w:p>
    <w:p w14:paraId="08BCA317" w14:textId="77777777" w:rsidR="00CB34F6" w:rsidRPr="00492D4F" w:rsidRDefault="00CB34F6" w:rsidP="00CB34F6">
      <w:pPr>
        <w:pStyle w:val="ListParagraph"/>
        <w:numPr>
          <w:ilvl w:val="0"/>
          <w:numId w:val="17"/>
        </w:numPr>
        <w:spacing w:after="0" w:line="240" w:lineRule="auto"/>
        <w:contextualSpacing w:val="0"/>
        <w:rPr>
          <w:rFonts w:ascii="Calibri" w:hAnsi="Calibri" w:cs="Calibri"/>
          <w:bCs/>
        </w:rPr>
      </w:pPr>
      <w:r w:rsidRPr="00CB34F6">
        <w:rPr>
          <w:rFonts w:ascii="Calibri" w:hAnsi="Calibri" w:cs="Calibri"/>
          <w:bCs/>
        </w:rPr>
        <w:t xml:space="preserve">Do contactors’ knowledge (e.g., of human trafficking, how the hotline can help, safety planning, available resources) increase as a result </w:t>
      </w:r>
      <w:r>
        <w:rPr>
          <w:rFonts w:ascii="Calibri" w:hAnsi="Calibri" w:cs="Calibri"/>
          <w:bCs/>
        </w:rPr>
        <w:t xml:space="preserve">of their </w:t>
      </w:r>
      <w:r w:rsidRPr="005B0DD0">
        <w:rPr>
          <w:rFonts w:ascii="Calibri" w:hAnsi="Calibri" w:cs="Calibri"/>
          <w:bCs/>
        </w:rPr>
        <w:t>call/text/chat session</w:t>
      </w:r>
      <w:r w:rsidRPr="00492D4F">
        <w:rPr>
          <w:rFonts w:ascii="Calibri" w:hAnsi="Calibri" w:cs="Calibri"/>
          <w:bCs/>
        </w:rPr>
        <w:t xml:space="preserve">? </w:t>
      </w:r>
    </w:p>
    <w:p w14:paraId="47C96440" w14:textId="77777777" w:rsidR="005B0DD0" w:rsidRPr="005B0DD0" w:rsidRDefault="005B0DD0" w:rsidP="005B0DD0">
      <w:pPr>
        <w:pStyle w:val="ListParagraph"/>
        <w:numPr>
          <w:ilvl w:val="0"/>
          <w:numId w:val="17"/>
        </w:numPr>
        <w:spacing w:after="0" w:line="240" w:lineRule="auto"/>
        <w:contextualSpacing w:val="0"/>
        <w:rPr>
          <w:rFonts w:ascii="Calibri" w:hAnsi="Calibri" w:cs="Calibri"/>
          <w:bCs/>
        </w:rPr>
      </w:pPr>
      <w:r w:rsidRPr="005B0DD0">
        <w:rPr>
          <w:rFonts w:ascii="Calibri" w:hAnsi="Calibri" w:cs="Calibri"/>
          <w:bCs/>
        </w:rPr>
        <w:t xml:space="preserve">Do </w:t>
      </w:r>
      <w:r>
        <w:rPr>
          <w:rFonts w:ascii="Calibri" w:hAnsi="Calibri" w:cs="Calibri"/>
          <w:bCs/>
        </w:rPr>
        <w:t xml:space="preserve">contactors </w:t>
      </w:r>
      <w:r w:rsidRPr="005B0DD0">
        <w:rPr>
          <w:rFonts w:ascii="Calibri" w:hAnsi="Calibri" w:cs="Calibri"/>
          <w:bCs/>
        </w:rPr>
        <w:t xml:space="preserve">use </w:t>
      </w:r>
      <w:r>
        <w:rPr>
          <w:rFonts w:ascii="Calibri" w:hAnsi="Calibri" w:cs="Calibri"/>
          <w:bCs/>
        </w:rPr>
        <w:t xml:space="preserve">the </w:t>
      </w:r>
      <w:r w:rsidRPr="005B0DD0">
        <w:rPr>
          <w:rFonts w:ascii="Calibri" w:hAnsi="Calibri" w:cs="Calibri"/>
          <w:bCs/>
        </w:rPr>
        <w:t>resources</w:t>
      </w:r>
      <w:r>
        <w:rPr>
          <w:rFonts w:ascii="Calibri" w:hAnsi="Calibri" w:cs="Calibri"/>
          <w:bCs/>
        </w:rPr>
        <w:t xml:space="preserve"> and </w:t>
      </w:r>
      <w:r w:rsidRPr="005B0DD0">
        <w:rPr>
          <w:rFonts w:ascii="Calibri" w:hAnsi="Calibri" w:cs="Calibri"/>
          <w:bCs/>
        </w:rPr>
        <w:t>referrals they are provided during their call/text/chat session?</w:t>
      </w:r>
    </w:p>
    <w:p w14:paraId="1417BC40" w14:textId="77777777" w:rsidR="007D0F6E" w:rsidRDefault="007D0F6E" w:rsidP="00DF1291">
      <w:pPr>
        <w:spacing w:after="0" w:line="240" w:lineRule="auto"/>
        <w:rPr>
          <w:i/>
        </w:rPr>
      </w:pPr>
    </w:p>
    <w:p w14:paraId="6D9DA449" w14:textId="77777777" w:rsidR="004328A4" w:rsidRDefault="004328A4" w:rsidP="007D0F6E">
      <w:pPr>
        <w:spacing w:after="120" w:line="240" w:lineRule="auto"/>
        <w:rPr>
          <w:i/>
        </w:rPr>
      </w:pPr>
      <w:r>
        <w:rPr>
          <w:i/>
        </w:rPr>
        <w:t>Study Design</w:t>
      </w:r>
    </w:p>
    <w:p w14:paraId="53B477D5" w14:textId="77777777" w:rsidR="006F61AA" w:rsidRDefault="005109E0" w:rsidP="00A85897">
      <w:pPr>
        <w:rPr>
          <w:iCs/>
        </w:rPr>
      </w:pPr>
      <w:r w:rsidRPr="002E5E82">
        <w:t xml:space="preserve">To answer </w:t>
      </w:r>
      <w:r w:rsidR="00940850" w:rsidRPr="002E5E82">
        <w:t xml:space="preserve">the </w:t>
      </w:r>
      <w:r w:rsidR="00CB34F6" w:rsidRPr="002E5E82">
        <w:t>evaluation</w:t>
      </w:r>
      <w:r w:rsidR="00940850" w:rsidRPr="002E5E82">
        <w:t xml:space="preserve"> questions</w:t>
      </w:r>
      <w:r w:rsidR="00884498" w:rsidRPr="002E5E82">
        <w:t xml:space="preserve">, </w:t>
      </w:r>
      <w:r w:rsidR="007B48D2" w:rsidRPr="002E5E82">
        <w:t xml:space="preserve">the proposed study involves </w:t>
      </w:r>
      <w:r w:rsidR="006F61AA" w:rsidRPr="002E5E82">
        <w:rPr>
          <w:iCs/>
        </w:rPr>
        <w:t>conduct</w:t>
      </w:r>
      <w:r w:rsidR="007B48D2" w:rsidRPr="002E5E82">
        <w:rPr>
          <w:iCs/>
        </w:rPr>
        <w:t>ing</w:t>
      </w:r>
      <w:r w:rsidR="006F61AA" w:rsidRPr="002E5E82">
        <w:rPr>
          <w:iCs/>
        </w:rPr>
        <w:t xml:space="preserve"> two multi-mode surveys, gathering data from individuals who contact the NHTH during a</w:t>
      </w:r>
      <w:r w:rsidR="002E5E82" w:rsidRPr="002E5E82">
        <w:rPr>
          <w:iCs/>
        </w:rPr>
        <w:t>n estimated</w:t>
      </w:r>
      <w:r w:rsidR="006F61AA" w:rsidRPr="002E5E82">
        <w:rPr>
          <w:iCs/>
        </w:rPr>
        <w:t xml:space="preserve"> four-month period. The first survey (see </w:t>
      </w:r>
      <w:r w:rsidR="006F61AA" w:rsidRPr="002E5E82">
        <w:rPr>
          <w:b/>
          <w:bCs/>
          <w:iCs/>
        </w:rPr>
        <w:t>Instrument 1: NHTH Immediate Survey</w:t>
      </w:r>
      <w:r w:rsidR="006F61AA" w:rsidRPr="002E5E82">
        <w:rPr>
          <w:iCs/>
        </w:rPr>
        <w:t xml:space="preserve">) will be administered to all NHTH contactors who are at least 18 years old immediately following the completion of their contact to the NHTH. The second survey (see </w:t>
      </w:r>
      <w:r w:rsidR="006F61AA" w:rsidRPr="002E5E82">
        <w:rPr>
          <w:b/>
          <w:bCs/>
          <w:iCs/>
        </w:rPr>
        <w:t>Instrument 2: NHTH Two-</w:t>
      </w:r>
      <w:r w:rsidR="006F61AA" w:rsidRPr="00FD6DCA">
        <w:rPr>
          <w:b/>
          <w:bCs/>
          <w:iCs/>
        </w:rPr>
        <w:t>Week Follow-Up Survey</w:t>
      </w:r>
      <w:r w:rsidR="006F61AA" w:rsidRPr="00FD6DCA">
        <w:rPr>
          <w:iCs/>
        </w:rPr>
        <w:t>)</w:t>
      </w:r>
      <w:r w:rsidR="00795332" w:rsidRPr="00FD6DCA">
        <w:rPr>
          <w:iCs/>
        </w:rPr>
        <w:t xml:space="preserve"> will be administered two weeks later to </w:t>
      </w:r>
      <w:r w:rsidR="00795332" w:rsidRPr="00FD6DCA">
        <w:rPr>
          <w:i/>
        </w:rPr>
        <w:t>Immediate Survey</w:t>
      </w:r>
      <w:r w:rsidR="00795332" w:rsidRPr="00FD6DCA">
        <w:rPr>
          <w:iCs/>
        </w:rPr>
        <w:t xml:space="preserve"> </w:t>
      </w:r>
      <w:r w:rsidR="00EE29F5">
        <w:rPr>
          <w:iCs/>
        </w:rPr>
        <w:t>respondents</w:t>
      </w:r>
      <w:r w:rsidR="00795332" w:rsidRPr="00FD6DCA">
        <w:rPr>
          <w:iCs/>
        </w:rPr>
        <w:t>.</w:t>
      </w:r>
      <w:r w:rsidR="00795332">
        <w:rPr>
          <w:iCs/>
        </w:rPr>
        <w:t xml:space="preserve"> </w:t>
      </w:r>
      <w:r w:rsidR="00402E80" w:rsidRPr="00402E80">
        <w:rPr>
          <w:iCs/>
        </w:rPr>
        <w:t>Researchers from RTI will collect and analyze the data.</w:t>
      </w:r>
    </w:p>
    <w:p w14:paraId="4D661533" w14:textId="77777777" w:rsidR="00161D9A" w:rsidRDefault="00684FF4" w:rsidP="00A85897">
      <w:pPr>
        <w:rPr>
          <w:rFonts w:cstheme="minorHAnsi"/>
        </w:rPr>
      </w:pPr>
      <w:r>
        <w:t xml:space="preserve">NHTH advocates will inform adult hotline contactors of the </w:t>
      </w:r>
      <w:r w:rsidR="00795332">
        <w:rPr>
          <w:i/>
          <w:iCs/>
        </w:rPr>
        <w:t>Immediate Survey</w:t>
      </w:r>
      <w:r>
        <w:t xml:space="preserve"> at the completion of their call, SMS text session, or live online chat session</w:t>
      </w:r>
      <w:r w:rsidR="00FF6061">
        <w:t xml:space="preserve"> </w:t>
      </w:r>
      <w:r w:rsidR="00FF6061" w:rsidRPr="00A17D1D">
        <w:rPr>
          <w:rFonts w:cstheme="minorHAnsi"/>
        </w:rPr>
        <w:t>(s</w:t>
      </w:r>
      <w:r w:rsidR="00FF6061" w:rsidRPr="00846FB8">
        <w:t xml:space="preserve">ee </w:t>
      </w:r>
      <w:r w:rsidR="00AF51EB">
        <w:rPr>
          <w:b/>
        </w:rPr>
        <w:t>Appendix</w:t>
      </w:r>
      <w:r w:rsidR="00FF6061" w:rsidRPr="00A17D1D">
        <w:rPr>
          <w:b/>
        </w:rPr>
        <w:t xml:space="preserve"> </w:t>
      </w:r>
      <w:r w:rsidR="00201531">
        <w:rPr>
          <w:b/>
        </w:rPr>
        <w:t>A</w:t>
      </w:r>
      <w:r w:rsidR="00FF6061" w:rsidRPr="00A17D1D">
        <w:rPr>
          <w:b/>
        </w:rPr>
        <w:t>: Recruitment Script</w:t>
      </w:r>
      <w:r w:rsidR="00297F0C">
        <w:rPr>
          <w:b/>
        </w:rPr>
        <w:t xml:space="preserve"> for NHTH Advocates</w:t>
      </w:r>
      <w:r w:rsidR="00FF6061" w:rsidRPr="00201531">
        <w:rPr>
          <w:bCs/>
        </w:rPr>
        <w:t>)</w:t>
      </w:r>
      <w:r>
        <w:t xml:space="preserve">. </w:t>
      </w:r>
      <w:r w:rsidR="008A38C6">
        <w:t xml:space="preserve">Advocates will then transfer callers </w:t>
      </w:r>
      <w:r w:rsidR="00A17D1D" w:rsidRPr="00A17D1D">
        <w:rPr>
          <w:rFonts w:cstheme="minorHAnsi"/>
        </w:rPr>
        <w:t>to an interactive voice response (IVR) telephone survey</w:t>
      </w:r>
      <w:r w:rsidR="008A38C6">
        <w:rPr>
          <w:rFonts w:cstheme="minorHAnsi"/>
        </w:rPr>
        <w:t xml:space="preserve"> </w:t>
      </w:r>
      <w:r w:rsidR="00795332">
        <w:rPr>
          <w:rFonts w:cstheme="minorHAnsi"/>
        </w:rPr>
        <w:t>or</w:t>
      </w:r>
      <w:r w:rsidR="008A38C6">
        <w:rPr>
          <w:rFonts w:cstheme="minorHAnsi"/>
        </w:rPr>
        <w:t xml:space="preserve"> provide </w:t>
      </w:r>
      <w:r w:rsidR="008A38C6" w:rsidRPr="00A17D1D">
        <w:rPr>
          <w:rFonts w:cstheme="minorHAnsi"/>
        </w:rPr>
        <w:t xml:space="preserve">a unique URL to the Web-based survey </w:t>
      </w:r>
      <w:r w:rsidR="008A38C6">
        <w:rPr>
          <w:rFonts w:cstheme="minorHAnsi"/>
        </w:rPr>
        <w:t>to i</w:t>
      </w:r>
      <w:r w:rsidR="00A17D1D" w:rsidRPr="00A17D1D">
        <w:rPr>
          <w:rFonts w:cstheme="minorHAnsi"/>
        </w:rPr>
        <w:t xml:space="preserve">ndividuals who </w:t>
      </w:r>
      <w:r w:rsidR="008A38C6">
        <w:rPr>
          <w:rFonts w:cstheme="minorHAnsi"/>
        </w:rPr>
        <w:t>contact the NHTH</w:t>
      </w:r>
      <w:r w:rsidR="00A17D1D" w:rsidRPr="00A17D1D">
        <w:rPr>
          <w:rFonts w:cstheme="minorHAnsi"/>
        </w:rPr>
        <w:t xml:space="preserve"> through the hotline’s SMS text line or live online chat. </w:t>
      </w:r>
      <w:r w:rsidR="00957C9D">
        <w:rPr>
          <w:rFonts w:cstheme="minorHAnsi"/>
        </w:rPr>
        <w:t>C</w:t>
      </w:r>
      <w:r w:rsidR="00957C9D" w:rsidRPr="004A069E">
        <w:rPr>
          <w:rFonts w:cstheme="minorHAnsi"/>
        </w:rPr>
        <w:t xml:space="preserve">ontactors will voluntarily complete </w:t>
      </w:r>
      <w:r w:rsidR="00957C9D">
        <w:rPr>
          <w:rFonts w:cstheme="minorHAnsi"/>
        </w:rPr>
        <w:t xml:space="preserve">the </w:t>
      </w:r>
      <w:r w:rsidR="00957C9D" w:rsidRPr="000D6896">
        <w:rPr>
          <w:rFonts w:cstheme="minorHAnsi"/>
          <w:i/>
          <w:iCs/>
        </w:rPr>
        <w:t>Immediate Survey</w:t>
      </w:r>
      <w:r w:rsidR="00957C9D">
        <w:rPr>
          <w:rFonts w:cstheme="minorHAnsi"/>
        </w:rPr>
        <w:t xml:space="preserve"> </w:t>
      </w:r>
      <w:r w:rsidR="00957C9D" w:rsidRPr="004A069E">
        <w:rPr>
          <w:rFonts w:cstheme="minorHAnsi"/>
        </w:rPr>
        <w:t xml:space="preserve">through </w:t>
      </w:r>
      <w:r w:rsidR="00957C9D">
        <w:rPr>
          <w:rFonts w:cstheme="minorHAnsi"/>
        </w:rPr>
        <w:t xml:space="preserve">the </w:t>
      </w:r>
      <w:r w:rsidR="00957C9D" w:rsidRPr="004A069E">
        <w:rPr>
          <w:rFonts w:cstheme="minorHAnsi"/>
        </w:rPr>
        <w:t xml:space="preserve">IVR system or via the Web. </w:t>
      </w:r>
      <w:r w:rsidR="00161D9A">
        <w:rPr>
          <w:rFonts w:cstheme="minorHAnsi"/>
        </w:rPr>
        <w:t>Some individuals who contact the N</w:t>
      </w:r>
      <w:r w:rsidR="00A17D1D" w:rsidRPr="00A17D1D">
        <w:rPr>
          <w:rFonts w:cstheme="minorHAnsi"/>
        </w:rPr>
        <w:t xml:space="preserve">HTH </w:t>
      </w:r>
      <w:r w:rsidR="00161D9A">
        <w:rPr>
          <w:rFonts w:cstheme="minorHAnsi"/>
        </w:rPr>
        <w:t xml:space="preserve">by phone </w:t>
      </w:r>
      <w:r w:rsidR="00A17D1D" w:rsidRPr="00A17D1D">
        <w:rPr>
          <w:rFonts w:cstheme="minorHAnsi"/>
        </w:rPr>
        <w:t xml:space="preserve">are transferred </w:t>
      </w:r>
      <w:r w:rsidR="002703F9" w:rsidRPr="00A17D1D">
        <w:rPr>
          <w:rFonts w:cstheme="minorHAnsi"/>
        </w:rPr>
        <w:t xml:space="preserve">directly </w:t>
      </w:r>
      <w:r w:rsidR="00A17D1D" w:rsidRPr="00A17D1D">
        <w:rPr>
          <w:rFonts w:cstheme="minorHAnsi"/>
        </w:rPr>
        <w:t xml:space="preserve">to a </w:t>
      </w:r>
      <w:r w:rsidR="00161D9A">
        <w:rPr>
          <w:rFonts w:cstheme="minorHAnsi"/>
        </w:rPr>
        <w:t xml:space="preserve">third-party </w:t>
      </w:r>
      <w:r w:rsidR="00A17D1D" w:rsidRPr="00A17D1D">
        <w:rPr>
          <w:rFonts w:cstheme="minorHAnsi"/>
        </w:rPr>
        <w:t>service provider</w:t>
      </w:r>
      <w:r w:rsidR="002703F9">
        <w:rPr>
          <w:rFonts w:cstheme="minorHAnsi"/>
        </w:rPr>
        <w:t xml:space="preserve"> and therefore would not be able to complete a survey </w:t>
      </w:r>
      <w:r w:rsidR="00455D20">
        <w:rPr>
          <w:rFonts w:cstheme="minorHAnsi"/>
        </w:rPr>
        <w:t>immediately following their interaction with the NHTH advocate</w:t>
      </w:r>
      <w:r w:rsidR="00161D9A">
        <w:rPr>
          <w:rFonts w:cstheme="minorHAnsi"/>
        </w:rPr>
        <w:t xml:space="preserve">. </w:t>
      </w:r>
      <w:r w:rsidR="00E00B9F">
        <w:rPr>
          <w:rFonts w:cstheme="minorHAnsi"/>
        </w:rPr>
        <w:t xml:space="preserve">For callers who are directly connected to a service provider, </w:t>
      </w:r>
      <w:r w:rsidR="002703F9">
        <w:rPr>
          <w:rFonts w:cstheme="minorHAnsi"/>
        </w:rPr>
        <w:t>b</w:t>
      </w:r>
      <w:r w:rsidR="00161D9A" w:rsidRPr="00A17D1D">
        <w:rPr>
          <w:rFonts w:cstheme="minorHAnsi"/>
        </w:rPr>
        <w:t>efore disconnect</w:t>
      </w:r>
      <w:r w:rsidR="00E00B9F">
        <w:rPr>
          <w:rFonts w:cstheme="minorHAnsi"/>
        </w:rPr>
        <w:t xml:space="preserve">ing </w:t>
      </w:r>
      <w:r w:rsidR="00161D9A" w:rsidRPr="00A17D1D">
        <w:rPr>
          <w:rFonts w:cstheme="minorHAnsi"/>
        </w:rPr>
        <w:t xml:space="preserve">from the call, the advocate will tell the caller about the survey and give the caller </w:t>
      </w:r>
      <w:r w:rsidR="00161D9A">
        <w:rPr>
          <w:rFonts w:cstheme="minorHAnsi"/>
        </w:rPr>
        <w:t>a</w:t>
      </w:r>
      <w:r w:rsidR="00161D9A" w:rsidRPr="00A17D1D">
        <w:rPr>
          <w:rFonts w:cstheme="minorHAnsi"/>
        </w:rPr>
        <w:t xml:space="preserve"> toll-free telephone number and a 4-digit unique </w:t>
      </w:r>
      <w:r w:rsidR="0036702E">
        <w:rPr>
          <w:rFonts w:cstheme="minorHAnsi"/>
        </w:rPr>
        <w:t>personal identification number (</w:t>
      </w:r>
      <w:r w:rsidR="00161D9A" w:rsidRPr="00A17D1D">
        <w:rPr>
          <w:rFonts w:cstheme="minorHAnsi"/>
        </w:rPr>
        <w:t>PIN</w:t>
      </w:r>
      <w:r w:rsidR="0036702E">
        <w:rPr>
          <w:rFonts w:cstheme="minorHAnsi"/>
        </w:rPr>
        <w:t>)</w:t>
      </w:r>
      <w:r w:rsidR="00161D9A" w:rsidRPr="00A17D1D">
        <w:rPr>
          <w:rFonts w:cstheme="minorHAnsi"/>
        </w:rPr>
        <w:t xml:space="preserve"> for the caller to use to access the survey </w:t>
      </w:r>
      <w:r w:rsidR="00A17D1D" w:rsidRPr="00A17D1D">
        <w:rPr>
          <w:rFonts w:cstheme="minorHAnsi"/>
        </w:rPr>
        <w:t xml:space="preserve">at a later time. </w:t>
      </w:r>
    </w:p>
    <w:p w14:paraId="604811CD" w14:textId="77777777" w:rsidR="00402349" w:rsidRDefault="008834BA" w:rsidP="00A85897">
      <w:pPr>
        <w:rPr>
          <w:rFonts w:cstheme="minorHAnsi"/>
        </w:rPr>
      </w:pPr>
      <w:r>
        <w:rPr>
          <w:rFonts w:cstheme="minorHAnsi"/>
        </w:rPr>
        <w:t>Individuals</w:t>
      </w:r>
      <w:r w:rsidRPr="004A069E">
        <w:rPr>
          <w:rFonts w:cstheme="minorHAnsi"/>
        </w:rPr>
        <w:t xml:space="preserve"> who participate in the </w:t>
      </w:r>
      <w:r w:rsidRPr="00201531">
        <w:rPr>
          <w:rFonts w:cstheme="minorHAnsi"/>
          <w:i/>
          <w:iCs/>
        </w:rPr>
        <w:t>Immediate Survey</w:t>
      </w:r>
      <w:r w:rsidRPr="004A069E">
        <w:rPr>
          <w:rFonts w:cstheme="minorHAnsi"/>
        </w:rPr>
        <w:t xml:space="preserve"> will </w:t>
      </w:r>
      <w:r w:rsidR="007B48D2">
        <w:rPr>
          <w:rFonts w:cstheme="minorHAnsi"/>
        </w:rPr>
        <w:t xml:space="preserve">be asked at the end of the survey if they are interested in </w:t>
      </w:r>
      <w:r w:rsidRPr="004A069E">
        <w:rPr>
          <w:rFonts w:cstheme="minorHAnsi"/>
        </w:rPr>
        <w:t xml:space="preserve">voluntarily </w:t>
      </w:r>
      <w:r w:rsidR="007B48D2">
        <w:rPr>
          <w:rFonts w:cstheme="minorHAnsi"/>
        </w:rPr>
        <w:t>participating</w:t>
      </w:r>
      <w:r w:rsidR="007B48D2" w:rsidRPr="004A069E">
        <w:rPr>
          <w:rFonts w:cstheme="minorHAnsi"/>
        </w:rPr>
        <w:t xml:space="preserve"> </w:t>
      </w:r>
      <w:r w:rsidRPr="004A069E">
        <w:rPr>
          <w:rFonts w:cstheme="minorHAnsi"/>
        </w:rPr>
        <w:t>a second survey two weeks later</w:t>
      </w:r>
      <w:r w:rsidR="007B48D2">
        <w:rPr>
          <w:rFonts w:cstheme="minorHAnsi"/>
        </w:rPr>
        <w:t>, which will be conducted</w:t>
      </w:r>
      <w:r w:rsidRPr="004A069E">
        <w:rPr>
          <w:rFonts w:cstheme="minorHAnsi"/>
        </w:rPr>
        <w:t xml:space="preserve"> </w:t>
      </w:r>
      <w:r>
        <w:rPr>
          <w:rFonts w:cstheme="minorHAnsi"/>
        </w:rPr>
        <w:t xml:space="preserve">over the </w:t>
      </w:r>
      <w:r w:rsidRPr="004A069E">
        <w:rPr>
          <w:rFonts w:cstheme="minorHAnsi"/>
        </w:rPr>
        <w:t xml:space="preserve">telephone </w:t>
      </w:r>
      <w:r>
        <w:rPr>
          <w:rFonts w:cstheme="minorHAnsi"/>
        </w:rPr>
        <w:t xml:space="preserve">with a trained interviewer </w:t>
      </w:r>
      <w:r w:rsidRPr="004A069E">
        <w:rPr>
          <w:rFonts w:cstheme="minorHAnsi"/>
        </w:rPr>
        <w:t>or via the Web.</w:t>
      </w:r>
      <w:r>
        <w:rPr>
          <w:rFonts w:cstheme="minorHAnsi"/>
        </w:rPr>
        <w:t xml:space="preserve"> Respondents who indicate </w:t>
      </w:r>
      <w:r w:rsidR="00D553A5">
        <w:rPr>
          <w:rFonts w:cstheme="minorHAnsi"/>
        </w:rPr>
        <w:t>interest in</w:t>
      </w:r>
      <w:r>
        <w:rPr>
          <w:rFonts w:cstheme="minorHAnsi"/>
        </w:rPr>
        <w:t xml:space="preserve"> participat</w:t>
      </w:r>
      <w:r w:rsidR="00D553A5">
        <w:rPr>
          <w:rFonts w:cstheme="minorHAnsi"/>
        </w:rPr>
        <w:t xml:space="preserve">ing </w:t>
      </w:r>
      <w:r>
        <w:rPr>
          <w:rFonts w:cstheme="minorHAnsi"/>
        </w:rPr>
        <w:t xml:space="preserve">will </w:t>
      </w:r>
      <w:r w:rsidR="00D553A5">
        <w:rPr>
          <w:rFonts w:cstheme="minorHAnsi"/>
        </w:rPr>
        <w:t xml:space="preserve">be asked to </w:t>
      </w:r>
      <w:r>
        <w:rPr>
          <w:rFonts w:cstheme="minorHAnsi"/>
        </w:rPr>
        <w:t xml:space="preserve">specify their preference for how to be contacted (telephone, SMS text, or </w:t>
      </w:r>
      <w:r w:rsidR="00FD6DCA">
        <w:rPr>
          <w:rFonts w:cstheme="minorHAnsi"/>
        </w:rPr>
        <w:t>e</w:t>
      </w:r>
      <w:r>
        <w:rPr>
          <w:rFonts w:cstheme="minorHAnsi"/>
        </w:rPr>
        <w:t>-mail)</w:t>
      </w:r>
      <w:r w:rsidR="00402349">
        <w:rPr>
          <w:rFonts w:cstheme="minorHAnsi"/>
        </w:rPr>
        <w:t xml:space="preserve">, </w:t>
      </w:r>
      <w:r w:rsidR="00D553A5">
        <w:rPr>
          <w:rFonts w:cstheme="minorHAnsi"/>
        </w:rPr>
        <w:t>t</w:t>
      </w:r>
      <w:r>
        <w:rPr>
          <w:rFonts w:cstheme="minorHAnsi"/>
        </w:rPr>
        <w:t xml:space="preserve">heir telephone number or </w:t>
      </w:r>
      <w:r w:rsidR="00402349">
        <w:rPr>
          <w:rFonts w:cstheme="minorHAnsi"/>
        </w:rPr>
        <w:t>e-</w:t>
      </w:r>
      <w:r>
        <w:rPr>
          <w:rFonts w:cstheme="minorHAnsi"/>
        </w:rPr>
        <w:t xml:space="preserve">mail address </w:t>
      </w:r>
      <w:r w:rsidR="00D553A5">
        <w:rPr>
          <w:rFonts w:cstheme="minorHAnsi"/>
        </w:rPr>
        <w:t>by which to receive the survey</w:t>
      </w:r>
      <w:r w:rsidR="00402349">
        <w:rPr>
          <w:rFonts w:cstheme="minorHAnsi"/>
        </w:rPr>
        <w:t xml:space="preserve">, and a 4-digit PIN that they will use to access the </w:t>
      </w:r>
      <w:r w:rsidR="00402349" w:rsidRPr="00A92ADA">
        <w:rPr>
          <w:rFonts w:cstheme="minorHAnsi"/>
          <w:i/>
          <w:iCs/>
        </w:rPr>
        <w:t>Two-Week Follow-Up Survey</w:t>
      </w:r>
      <w:r w:rsidR="00402349">
        <w:rPr>
          <w:rFonts w:cstheme="minorHAnsi"/>
        </w:rPr>
        <w:t xml:space="preserve">. Respondents who indicate they would like to be contacted via a phone call or SMS text will specify their </w:t>
      </w:r>
      <w:r w:rsidR="00D553A5">
        <w:rPr>
          <w:rFonts w:cstheme="minorHAnsi"/>
        </w:rPr>
        <w:t>time zone</w:t>
      </w:r>
      <w:r w:rsidR="00402349">
        <w:rPr>
          <w:rFonts w:cstheme="minorHAnsi"/>
        </w:rPr>
        <w:t>, t</w:t>
      </w:r>
      <w:r w:rsidR="00D553A5">
        <w:rPr>
          <w:rFonts w:cstheme="minorHAnsi"/>
        </w:rPr>
        <w:t>he best time of day to be safely contacted</w:t>
      </w:r>
      <w:r w:rsidR="00402349">
        <w:rPr>
          <w:rFonts w:cstheme="minorHAnsi"/>
        </w:rPr>
        <w:t>, and if the survey representative can leave a voicemail (phone call only).</w:t>
      </w:r>
      <w:r w:rsidR="00D553A5">
        <w:rPr>
          <w:rFonts w:cstheme="minorHAnsi"/>
        </w:rPr>
        <w:t xml:space="preserve"> </w:t>
      </w:r>
      <w:r w:rsidR="00234245" w:rsidRPr="00234245">
        <w:rPr>
          <w:rFonts w:cstheme="minorHAnsi"/>
        </w:rPr>
        <w:t xml:space="preserve">Individuals who elect to participate in the </w:t>
      </w:r>
      <w:r w:rsidR="00234245" w:rsidRPr="00234245">
        <w:rPr>
          <w:rFonts w:cstheme="minorHAnsi"/>
          <w:i/>
          <w:iCs/>
        </w:rPr>
        <w:t>Two-Week Follow</w:t>
      </w:r>
      <w:r w:rsidR="00B41281">
        <w:rPr>
          <w:rFonts w:cstheme="minorHAnsi"/>
          <w:i/>
          <w:iCs/>
        </w:rPr>
        <w:t>-</w:t>
      </w:r>
      <w:r w:rsidR="00234245" w:rsidRPr="00234245">
        <w:rPr>
          <w:rFonts w:cstheme="minorHAnsi"/>
          <w:i/>
          <w:iCs/>
        </w:rPr>
        <w:t xml:space="preserve">Up Survey </w:t>
      </w:r>
      <w:r w:rsidR="00234245" w:rsidRPr="00234245">
        <w:rPr>
          <w:rFonts w:cstheme="minorHAnsi"/>
        </w:rPr>
        <w:t>will be contacted by RTI through their preferred mode</w:t>
      </w:r>
      <w:r w:rsidR="00914516" w:rsidRPr="00914516">
        <w:rPr>
          <w:rFonts w:cstheme="minorHAnsi"/>
        </w:rPr>
        <w:t xml:space="preserve"> </w:t>
      </w:r>
      <w:r w:rsidR="00914516" w:rsidRPr="00234245">
        <w:rPr>
          <w:rFonts w:cstheme="minorHAnsi"/>
        </w:rPr>
        <w:t xml:space="preserve">approximately two weeks from the date on which they completed the </w:t>
      </w:r>
      <w:r w:rsidR="00914516" w:rsidRPr="00914516">
        <w:rPr>
          <w:rFonts w:cstheme="minorHAnsi"/>
          <w:i/>
          <w:iCs/>
        </w:rPr>
        <w:t>Immediate Survey</w:t>
      </w:r>
      <w:r w:rsidR="00914516">
        <w:rPr>
          <w:rFonts w:cstheme="minorHAnsi"/>
          <w:i/>
          <w:iCs/>
        </w:rPr>
        <w:t xml:space="preserve"> </w:t>
      </w:r>
      <w:r w:rsidR="00914516">
        <w:rPr>
          <w:rFonts w:cstheme="minorHAnsi"/>
        </w:rPr>
        <w:t xml:space="preserve">(see </w:t>
      </w:r>
      <w:r w:rsidR="00AF51EB">
        <w:rPr>
          <w:rFonts w:cstheme="minorHAnsi"/>
          <w:b/>
          <w:bCs/>
        </w:rPr>
        <w:t>Appendix</w:t>
      </w:r>
      <w:r w:rsidR="00914516">
        <w:rPr>
          <w:rFonts w:cstheme="minorHAnsi"/>
          <w:b/>
          <w:bCs/>
        </w:rPr>
        <w:t xml:space="preserve"> B: </w:t>
      </w:r>
      <w:r w:rsidR="0081450E">
        <w:rPr>
          <w:rFonts w:cstheme="minorHAnsi"/>
          <w:b/>
          <w:bCs/>
        </w:rPr>
        <w:t>Recruitment Script</w:t>
      </w:r>
      <w:r w:rsidR="0081450E">
        <w:rPr>
          <w:b/>
          <w:bCs/>
        </w:rPr>
        <w:t xml:space="preserve"> for Two-Week </w:t>
      </w:r>
      <w:r w:rsidR="0081450E">
        <w:rPr>
          <w:rFonts w:cstheme="minorHAnsi"/>
          <w:b/>
          <w:bCs/>
        </w:rPr>
        <w:t>Follow-Up</w:t>
      </w:r>
      <w:r w:rsidR="00914516">
        <w:rPr>
          <w:rFonts w:cstheme="minorHAnsi"/>
        </w:rPr>
        <w:t>)</w:t>
      </w:r>
      <w:r w:rsidR="00957C9D">
        <w:rPr>
          <w:rFonts w:cstheme="minorHAnsi"/>
        </w:rPr>
        <w:t xml:space="preserve"> and voluntarily complete the </w:t>
      </w:r>
      <w:r w:rsidR="0011250A">
        <w:rPr>
          <w:rFonts w:cstheme="minorHAnsi"/>
        </w:rPr>
        <w:t>survey</w:t>
      </w:r>
      <w:r w:rsidR="00914516">
        <w:rPr>
          <w:rFonts w:cstheme="minorHAnsi"/>
        </w:rPr>
        <w:t xml:space="preserve">. </w:t>
      </w:r>
    </w:p>
    <w:p w14:paraId="47DFE23A" w14:textId="77777777" w:rsidR="00314C96" w:rsidRPr="00314C96" w:rsidRDefault="00314C96" w:rsidP="00314C96">
      <w:pPr>
        <w:spacing w:after="120" w:line="240" w:lineRule="auto"/>
        <w:rPr>
          <w:rFonts w:cstheme="minorHAnsi"/>
          <w:b/>
          <w:bCs/>
        </w:rPr>
      </w:pPr>
      <w:r w:rsidRPr="00314C96">
        <w:rPr>
          <w:rFonts w:cstheme="minorHAnsi"/>
          <w:b/>
          <w:bCs/>
        </w:rPr>
        <w:t>Table A.2.1</w:t>
      </w:r>
      <w:r>
        <w:rPr>
          <w:rFonts w:cstheme="minorHAnsi"/>
          <w:b/>
          <w:bCs/>
        </w:rPr>
        <w:tab/>
        <w:t>Data Collection Instruments</w:t>
      </w:r>
    </w:p>
    <w:tbl>
      <w:tblPr>
        <w:tblStyle w:val="TableGrid"/>
        <w:tblpPr w:leftFromText="180" w:rightFromText="180" w:vertAnchor="text" w:horzAnchor="margin" w:tblpY="28"/>
        <w:tblW w:w="0" w:type="auto"/>
        <w:tblInd w:w="0" w:type="dxa"/>
        <w:tblLook w:val="04A0" w:firstRow="1" w:lastRow="0" w:firstColumn="1" w:lastColumn="0" w:noHBand="0" w:noVBand="1"/>
      </w:tblPr>
      <w:tblGrid>
        <w:gridCol w:w="1975"/>
        <w:gridCol w:w="4410"/>
        <w:gridCol w:w="2880"/>
      </w:tblGrid>
      <w:tr w:rsidR="00803015" w14:paraId="76C398E8" w14:textId="77777777" w:rsidTr="00803015">
        <w:tc>
          <w:tcPr>
            <w:tcW w:w="1975" w:type="dxa"/>
            <w:shd w:val="clear" w:color="auto" w:fill="D9D9D9" w:themeFill="background1" w:themeFillShade="D9"/>
          </w:tcPr>
          <w:p w14:paraId="72F6B577" w14:textId="77777777" w:rsidR="00803015" w:rsidRPr="00BC3401" w:rsidRDefault="00803015" w:rsidP="00803015">
            <w:pPr>
              <w:rPr>
                <w:rFonts w:cstheme="minorHAnsi"/>
                <w:i/>
              </w:rPr>
            </w:pPr>
            <w:r w:rsidRPr="00BC3401">
              <w:rPr>
                <w:rFonts w:cstheme="minorHAnsi"/>
                <w:i/>
              </w:rPr>
              <w:t>Instrument(s)</w:t>
            </w:r>
          </w:p>
        </w:tc>
        <w:tc>
          <w:tcPr>
            <w:tcW w:w="4410" w:type="dxa"/>
            <w:shd w:val="clear" w:color="auto" w:fill="D9D9D9" w:themeFill="background1" w:themeFillShade="D9"/>
          </w:tcPr>
          <w:p w14:paraId="7D9C93BB" w14:textId="77777777" w:rsidR="00803015" w:rsidRPr="00BC3401" w:rsidRDefault="00803015" w:rsidP="00803015">
            <w:pPr>
              <w:rPr>
                <w:rFonts w:cstheme="minorHAnsi"/>
                <w:i/>
              </w:rPr>
            </w:pPr>
            <w:r w:rsidRPr="00BC3401">
              <w:rPr>
                <w:rFonts w:cstheme="minorHAnsi"/>
                <w:i/>
              </w:rPr>
              <w:t>Respondent</w:t>
            </w:r>
            <w:r>
              <w:rPr>
                <w:rFonts w:cstheme="minorHAnsi"/>
                <w:i/>
              </w:rPr>
              <w:t>s</w:t>
            </w:r>
            <w:r w:rsidRPr="00BC3401">
              <w:rPr>
                <w:rFonts w:cstheme="minorHAnsi"/>
                <w:i/>
              </w:rPr>
              <w:t>, Content</w:t>
            </w:r>
          </w:p>
        </w:tc>
        <w:tc>
          <w:tcPr>
            <w:tcW w:w="2880" w:type="dxa"/>
            <w:shd w:val="clear" w:color="auto" w:fill="D9D9D9" w:themeFill="background1" w:themeFillShade="D9"/>
          </w:tcPr>
          <w:p w14:paraId="7ADC76B9" w14:textId="77777777" w:rsidR="00803015" w:rsidRPr="00BC3401" w:rsidRDefault="00803015" w:rsidP="00803015">
            <w:pPr>
              <w:rPr>
                <w:rFonts w:cstheme="minorHAnsi"/>
                <w:i/>
              </w:rPr>
            </w:pPr>
            <w:r w:rsidRPr="00BC3401">
              <w:rPr>
                <w:rFonts w:cstheme="minorHAnsi"/>
                <w:i/>
              </w:rPr>
              <w:t>Mode and Duration</w:t>
            </w:r>
          </w:p>
        </w:tc>
      </w:tr>
      <w:tr w:rsidR="00803015" w14:paraId="6F66E6EA" w14:textId="77777777" w:rsidTr="00803015">
        <w:tc>
          <w:tcPr>
            <w:tcW w:w="1975" w:type="dxa"/>
          </w:tcPr>
          <w:p w14:paraId="48CDE64E" w14:textId="77777777" w:rsidR="00803015" w:rsidRPr="00BC3401" w:rsidRDefault="00803015" w:rsidP="00803015">
            <w:pPr>
              <w:rPr>
                <w:rFonts w:cstheme="minorHAnsi"/>
              </w:rPr>
            </w:pPr>
            <w:r>
              <w:rPr>
                <w:rFonts w:cstheme="minorHAnsi"/>
              </w:rPr>
              <w:t>Immediate Survey</w:t>
            </w:r>
          </w:p>
        </w:tc>
        <w:tc>
          <w:tcPr>
            <w:tcW w:w="4410" w:type="dxa"/>
          </w:tcPr>
          <w:p w14:paraId="1E091914" w14:textId="77777777" w:rsidR="00803015" w:rsidRPr="00BC3401" w:rsidRDefault="00803015" w:rsidP="00803015">
            <w:pPr>
              <w:rPr>
                <w:rFonts w:cstheme="minorHAnsi"/>
              </w:rPr>
            </w:pPr>
            <w:r w:rsidRPr="00BC3401">
              <w:rPr>
                <w:rFonts w:cstheme="minorHAnsi"/>
                <w:b/>
              </w:rPr>
              <w:t>Respondents</w:t>
            </w:r>
            <w:r w:rsidRPr="00BC3401">
              <w:rPr>
                <w:rFonts w:cstheme="minorHAnsi"/>
              </w:rPr>
              <w:t xml:space="preserve">: </w:t>
            </w:r>
            <w:r>
              <w:rPr>
                <w:rFonts w:cstheme="minorHAnsi"/>
              </w:rPr>
              <w:t>All people who are age 18 or older who contact the NHTH and complete a call with an NHTH advocate</w:t>
            </w:r>
          </w:p>
          <w:p w14:paraId="5E13C677" w14:textId="77777777" w:rsidR="00803015" w:rsidRPr="00BC3401" w:rsidRDefault="00803015" w:rsidP="00803015">
            <w:pPr>
              <w:rPr>
                <w:rFonts w:cstheme="minorHAnsi"/>
              </w:rPr>
            </w:pPr>
          </w:p>
          <w:p w14:paraId="37B1B7E5" w14:textId="77777777" w:rsidR="00803015" w:rsidRPr="00BC3401" w:rsidRDefault="00803015" w:rsidP="00803015">
            <w:pPr>
              <w:rPr>
                <w:rFonts w:cstheme="minorHAnsi"/>
              </w:rPr>
            </w:pPr>
            <w:r w:rsidRPr="00BC3401">
              <w:rPr>
                <w:rFonts w:cstheme="minorHAnsi"/>
                <w:b/>
              </w:rPr>
              <w:t>Content</w:t>
            </w:r>
            <w:r w:rsidRPr="00BC3401">
              <w:rPr>
                <w:rFonts w:cstheme="minorHAnsi"/>
              </w:rPr>
              <w:t xml:space="preserve">: </w:t>
            </w:r>
            <w:r>
              <w:rPr>
                <w:rFonts w:cstheme="minorHAnsi"/>
              </w:rPr>
              <w:t xml:space="preserve">Questions about contactors’ perceptions of their interaction with the NHTH advocate; and </w:t>
            </w:r>
            <w:r w:rsidRPr="00CC3C41">
              <w:rPr>
                <w:rFonts w:cstheme="minorHAnsi"/>
              </w:rPr>
              <w:t xml:space="preserve">their likelihood of accessing any resources provided </w:t>
            </w:r>
          </w:p>
          <w:p w14:paraId="37E89EEA" w14:textId="77777777" w:rsidR="00803015" w:rsidRPr="00BC3401" w:rsidRDefault="00803015" w:rsidP="00803015">
            <w:pPr>
              <w:rPr>
                <w:rFonts w:cstheme="minorHAnsi"/>
              </w:rPr>
            </w:pPr>
          </w:p>
        </w:tc>
        <w:tc>
          <w:tcPr>
            <w:tcW w:w="2880" w:type="dxa"/>
          </w:tcPr>
          <w:p w14:paraId="72253EDC" w14:textId="77777777" w:rsidR="00803015" w:rsidRPr="00BC3401" w:rsidRDefault="00803015" w:rsidP="00803015">
            <w:pPr>
              <w:rPr>
                <w:rFonts w:cstheme="minorHAnsi"/>
              </w:rPr>
            </w:pPr>
            <w:r w:rsidRPr="00BC3401">
              <w:rPr>
                <w:rFonts w:cstheme="minorHAnsi"/>
                <w:b/>
              </w:rPr>
              <w:t>Mode</w:t>
            </w:r>
            <w:r w:rsidRPr="00BC3401">
              <w:rPr>
                <w:rFonts w:cstheme="minorHAnsi"/>
              </w:rPr>
              <w:t xml:space="preserve">: </w:t>
            </w:r>
            <w:r w:rsidR="00883739">
              <w:rPr>
                <w:rFonts w:cstheme="minorHAnsi"/>
              </w:rPr>
              <w:t>IVR</w:t>
            </w:r>
            <w:r>
              <w:rPr>
                <w:rFonts w:cstheme="minorHAnsi"/>
              </w:rPr>
              <w:t xml:space="preserve"> or Web</w:t>
            </w:r>
          </w:p>
          <w:p w14:paraId="19E9858B" w14:textId="77777777" w:rsidR="00803015" w:rsidRPr="00BC3401" w:rsidRDefault="00803015" w:rsidP="00803015">
            <w:pPr>
              <w:rPr>
                <w:rFonts w:cstheme="minorHAnsi"/>
              </w:rPr>
            </w:pPr>
          </w:p>
          <w:p w14:paraId="2EB4F6A5" w14:textId="77777777" w:rsidR="00803015" w:rsidRPr="00BC3401" w:rsidRDefault="00803015" w:rsidP="00803015">
            <w:pPr>
              <w:rPr>
                <w:rFonts w:cstheme="minorHAnsi"/>
              </w:rPr>
            </w:pPr>
            <w:r w:rsidRPr="00BC3401">
              <w:rPr>
                <w:rFonts w:cstheme="minorHAnsi"/>
                <w:b/>
              </w:rPr>
              <w:t>Duration</w:t>
            </w:r>
            <w:r w:rsidRPr="00BC3401">
              <w:rPr>
                <w:rFonts w:cstheme="minorHAnsi"/>
              </w:rPr>
              <w:t>:</w:t>
            </w:r>
            <w:r>
              <w:rPr>
                <w:rFonts w:cstheme="minorHAnsi"/>
              </w:rPr>
              <w:t xml:space="preserve"> </w:t>
            </w:r>
            <w:r w:rsidR="00602637">
              <w:rPr>
                <w:rFonts w:cstheme="minorHAnsi"/>
              </w:rPr>
              <w:t xml:space="preserve">about </w:t>
            </w:r>
            <w:r>
              <w:rPr>
                <w:rFonts w:cstheme="minorHAnsi"/>
              </w:rPr>
              <w:t>3 minutes</w:t>
            </w:r>
          </w:p>
        </w:tc>
      </w:tr>
      <w:tr w:rsidR="00803015" w14:paraId="7019FF65" w14:textId="77777777" w:rsidTr="00803015">
        <w:tc>
          <w:tcPr>
            <w:tcW w:w="1975" w:type="dxa"/>
          </w:tcPr>
          <w:p w14:paraId="59B58A14" w14:textId="77777777" w:rsidR="00803015" w:rsidRPr="00BC3401" w:rsidRDefault="00803015" w:rsidP="00803015">
            <w:pPr>
              <w:rPr>
                <w:rFonts w:cstheme="minorHAnsi"/>
              </w:rPr>
            </w:pPr>
            <w:r>
              <w:rPr>
                <w:rFonts w:cstheme="minorHAnsi"/>
              </w:rPr>
              <w:t>Two-Week Follow-up Survey</w:t>
            </w:r>
          </w:p>
        </w:tc>
        <w:tc>
          <w:tcPr>
            <w:tcW w:w="4410" w:type="dxa"/>
          </w:tcPr>
          <w:p w14:paraId="247F10D6" w14:textId="77777777" w:rsidR="00803015" w:rsidRDefault="00803015" w:rsidP="00803015">
            <w:pPr>
              <w:rPr>
                <w:rFonts w:cstheme="minorHAnsi"/>
              </w:rPr>
            </w:pPr>
            <w:r w:rsidRPr="00BC3401">
              <w:rPr>
                <w:rFonts w:cstheme="minorHAnsi"/>
                <w:b/>
              </w:rPr>
              <w:t>Respondents</w:t>
            </w:r>
            <w:r w:rsidRPr="00BC3401">
              <w:rPr>
                <w:rFonts w:cstheme="minorHAnsi"/>
              </w:rPr>
              <w:t xml:space="preserve">: </w:t>
            </w:r>
            <w:r>
              <w:rPr>
                <w:rFonts w:cstheme="minorHAnsi"/>
              </w:rPr>
              <w:t xml:space="preserve">All people who complete the </w:t>
            </w:r>
            <w:r w:rsidRPr="00B41281">
              <w:rPr>
                <w:rFonts w:cstheme="minorHAnsi"/>
                <w:i/>
                <w:iCs/>
              </w:rPr>
              <w:t>Immediate Survey</w:t>
            </w:r>
          </w:p>
          <w:p w14:paraId="39B5A6FA" w14:textId="77777777" w:rsidR="00803015" w:rsidRDefault="00803015" w:rsidP="00803015">
            <w:pPr>
              <w:rPr>
                <w:rFonts w:cstheme="minorHAnsi"/>
                <w:b/>
              </w:rPr>
            </w:pPr>
          </w:p>
          <w:p w14:paraId="08D3985E" w14:textId="22A55480" w:rsidR="00803015" w:rsidRDefault="00803015" w:rsidP="00803015">
            <w:pPr>
              <w:rPr>
                <w:rFonts w:cstheme="minorHAnsi"/>
              </w:rPr>
            </w:pPr>
            <w:r w:rsidRPr="00BC3401">
              <w:rPr>
                <w:rFonts w:cstheme="minorHAnsi"/>
                <w:b/>
              </w:rPr>
              <w:t>Content</w:t>
            </w:r>
            <w:r w:rsidRPr="00BC3401">
              <w:rPr>
                <w:rFonts w:cstheme="minorHAnsi"/>
              </w:rPr>
              <w:t xml:space="preserve">: </w:t>
            </w:r>
            <w:r>
              <w:rPr>
                <w:rFonts w:cstheme="minorHAnsi"/>
              </w:rPr>
              <w:t>Q</w:t>
            </w:r>
            <w:r w:rsidRPr="00CC3C41">
              <w:rPr>
                <w:rFonts w:cstheme="minorHAnsi"/>
              </w:rPr>
              <w:t xml:space="preserve">uestions that assess respondents’ </w:t>
            </w:r>
            <w:r w:rsidR="003A6EC6">
              <w:rPr>
                <w:rFonts w:cstheme="minorHAnsi"/>
              </w:rPr>
              <w:t>satisfaction with</w:t>
            </w:r>
            <w:r w:rsidRPr="00CC3C41">
              <w:rPr>
                <w:rFonts w:cstheme="minorHAnsi"/>
              </w:rPr>
              <w:t xml:space="preserve"> the services and information received during their interaction with the NHTH; and the </w:t>
            </w:r>
            <w:r w:rsidR="003A6EC6">
              <w:rPr>
                <w:rFonts w:cstheme="minorHAnsi"/>
              </w:rPr>
              <w:t>utility of that information in terms of</w:t>
            </w:r>
            <w:r w:rsidRPr="00CC3C41">
              <w:rPr>
                <w:rFonts w:cstheme="minorHAnsi"/>
              </w:rPr>
              <w:t xml:space="preserve"> knowledge gained, actions taken, and assistance received </w:t>
            </w:r>
            <w:r>
              <w:rPr>
                <w:rFonts w:cstheme="minorHAnsi"/>
              </w:rPr>
              <w:t>as a result</w:t>
            </w:r>
            <w:r w:rsidRPr="00CC3C41">
              <w:rPr>
                <w:rFonts w:cstheme="minorHAnsi"/>
              </w:rPr>
              <w:t xml:space="preserve"> the contact with the NHTH</w:t>
            </w:r>
          </w:p>
          <w:p w14:paraId="388915EE" w14:textId="77777777" w:rsidR="00803015" w:rsidRPr="00BC3401" w:rsidRDefault="00803015" w:rsidP="00803015">
            <w:pPr>
              <w:rPr>
                <w:rFonts w:cstheme="minorHAnsi"/>
              </w:rPr>
            </w:pPr>
          </w:p>
        </w:tc>
        <w:tc>
          <w:tcPr>
            <w:tcW w:w="2880" w:type="dxa"/>
          </w:tcPr>
          <w:p w14:paraId="7E1B25BF" w14:textId="77777777" w:rsidR="00803015" w:rsidRPr="00BC3401" w:rsidRDefault="00803015" w:rsidP="00803015">
            <w:pPr>
              <w:rPr>
                <w:rFonts w:cstheme="minorHAnsi"/>
              </w:rPr>
            </w:pPr>
            <w:r w:rsidRPr="00BC3401">
              <w:rPr>
                <w:rFonts w:cstheme="minorHAnsi"/>
                <w:b/>
              </w:rPr>
              <w:t>Mode</w:t>
            </w:r>
            <w:r w:rsidRPr="00BC3401">
              <w:rPr>
                <w:rFonts w:cstheme="minorHAnsi"/>
              </w:rPr>
              <w:t xml:space="preserve">: </w:t>
            </w:r>
            <w:r>
              <w:rPr>
                <w:rFonts w:cstheme="minorHAnsi"/>
              </w:rPr>
              <w:t>Telephone or Web</w:t>
            </w:r>
          </w:p>
          <w:p w14:paraId="72840BDE" w14:textId="77777777" w:rsidR="00803015" w:rsidRPr="00BC3401" w:rsidRDefault="00803015" w:rsidP="00803015">
            <w:pPr>
              <w:rPr>
                <w:rFonts w:cstheme="minorHAnsi"/>
              </w:rPr>
            </w:pPr>
          </w:p>
          <w:p w14:paraId="4EC82AAD" w14:textId="77777777" w:rsidR="00803015" w:rsidRPr="00BC3401" w:rsidRDefault="00803015" w:rsidP="00803015">
            <w:pPr>
              <w:rPr>
                <w:rFonts w:cstheme="minorHAnsi"/>
              </w:rPr>
            </w:pPr>
            <w:r w:rsidRPr="00BC3401">
              <w:rPr>
                <w:rFonts w:cstheme="minorHAnsi"/>
                <w:b/>
              </w:rPr>
              <w:t>Duration</w:t>
            </w:r>
            <w:r w:rsidRPr="00BC3401">
              <w:rPr>
                <w:rFonts w:cstheme="minorHAnsi"/>
              </w:rPr>
              <w:t>:</w:t>
            </w:r>
            <w:r>
              <w:rPr>
                <w:rFonts w:cstheme="minorHAnsi"/>
              </w:rPr>
              <w:t xml:space="preserve"> </w:t>
            </w:r>
            <w:r w:rsidR="00602637">
              <w:rPr>
                <w:rFonts w:cstheme="minorHAnsi"/>
              </w:rPr>
              <w:t>about 6</w:t>
            </w:r>
            <w:r>
              <w:rPr>
                <w:rFonts w:cstheme="minorHAnsi"/>
              </w:rPr>
              <w:t xml:space="preserve"> minutes</w:t>
            </w:r>
          </w:p>
        </w:tc>
      </w:tr>
    </w:tbl>
    <w:p w14:paraId="3067A9A6" w14:textId="77777777" w:rsidR="008370E7" w:rsidRDefault="008370E7" w:rsidP="00EF3AE2">
      <w:pPr>
        <w:spacing w:after="0" w:line="240" w:lineRule="auto"/>
      </w:pPr>
    </w:p>
    <w:p w14:paraId="13E404C6" w14:textId="77777777" w:rsidR="00A85897" w:rsidRDefault="00402349" w:rsidP="00A85897">
      <w:r>
        <w:t xml:space="preserve">We will implement several precautions and protocols to protect the safety of all contactors who choose to participate in the study (see </w:t>
      </w:r>
      <w:r w:rsidRPr="00FD6DCA">
        <w:rPr>
          <w:bCs/>
        </w:rPr>
        <w:t xml:space="preserve">Section A10 and Supporting Statement </w:t>
      </w:r>
      <w:r w:rsidR="00932787" w:rsidRPr="00FD6DCA">
        <w:rPr>
          <w:bCs/>
        </w:rPr>
        <w:t xml:space="preserve">Part </w:t>
      </w:r>
      <w:r w:rsidRPr="00FD6DCA">
        <w:rPr>
          <w:bCs/>
        </w:rPr>
        <w:t>B, Section B2</w:t>
      </w:r>
      <w:r>
        <w:t>).</w:t>
      </w:r>
      <w:r w:rsidR="00803015">
        <w:t xml:space="preserve"> </w:t>
      </w:r>
      <w:bookmarkStart w:id="4" w:name="_Hlk21370299"/>
      <w:r w:rsidR="00803015">
        <w:t xml:space="preserve">On the back end, we will collect </w:t>
      </w:r>
      <w:r w:rsidR="004F3CC3">
        <w:t xml:space="preserve">end of contact </w:t>
      </w:r>
      <w:r w:rsidR="00803015">
        <w:t xml:space="preserve">timestamp data and assign each respondent to the </w:t>
      </w:r>
      <w:r w:rsidR="00803015" w:rsidRPr="00803015">
        <w:rPr>
          <w:i/>
          <w:iCs/>
        </w:rPr>
        <w:t>Immediate Survey</w:t>
      </w:r>
      <w:r w:rsidR="00803015">
        <w:t xml:space="preserve"> with a unique ID number. The timestamp data and ID number will be used to link respondent data from the </w:t>
      </w:r>
      <w:r w:rsidR="00803015" w:rsidRPr="00803015">
        <w:rPr>
          <w:i/>
          <w:iCs/>
        </w:rPr>
        <w:t>Immediate</w:t>
      </w:r>
      <w:r w:rsidR="00803015">
        <w:t xml:space="preserve"> and </w:t>
      </w:r>
      <w:r w:rsidR="00803015" w:rsidRPr="00803015">
        <w:rPr>
          <w:i/>
          <w:iCs/>
        </w:rPr>
        <w:t>Two-Week Follow</w:t>
      </w:r>
      <w:r w:rsidR="00B41281">
        <w:rPr>
          <w:i/>
          <w:iCs/>
        </w:rPr>
        <w:t>-</w:t>
      </w:r>
      <w:r w:rsidR="00803015" w:rsidRPr="00803015">
        <w:rPr>
          <w:i/>
          <w:iCs/>
        </w:rPr>
        <w:t>Up Surveys</w:t>
      </w:r>
      <w:r w:rsidR="00803015">
        <w:t xml:space="preserve"> and to link data from both surveys to a limited set of </w:t>
      </w:r>
      <w:r w:rsidR="00467B82">
        <w:t xml:space="preserve">administrative data </w:t>
      </w:r>
      <w:r w:rsidR="00803015">
        <w:t xml:space="preserve">variables from the initial </w:t>
      </w:r>
      <w:r w:rsidR="007754B8">
        <w:t>NHTH contact routinely collected by NHTH advocates</w:t>
      </w:r>
      <w:r w:rsidR="00915A1D">
        <w:t xml:space="preserve"> </w:t>
      </w:r>
      <w:r w:rsidR="00915A1D" w:rsidRPr="00CE62AE">
        <w:rPr>
          <w:rFonts w:cs="Times New Roman"/>
        </w:rPr>
        <w:t xml:space="preserve">(described </w:t>
      </w:r>
      <w:r w:rsidR="00915A1D">
        <w:rPr>
          <w:rFonts w:cs="Times New Roman"/>
        </w:rPr>
        <w:t>below, under</w:t>
      </w:r>
      <w:r w:rsidR="00915A1D" w:rsidRPr="00CE62AE">
        <w:rPr>
          <w:rFonts w:cs="Times New Roman"/>
          <w:i/>
          <w:iCs/>
        </w:rPr>
        <w:t xml:space="preserve"> Other Data Sources and Uses of Information</w:t>
      </w:r>
      <w:r w:rsidR="00915A1D" w:rsidRPr="00CE62AE">
        <w:rPr>
          <w:rFonts w:cs="Times New Roman"/>
        </w:rPr>
        <w:t>)</w:t>
      </w:r>
      <w:r w:rsidR="00803015">
        <w:t xml:space="preserve">. </w:t>
      </w:r>
      <w:bookmarkEnd w:id="4"/>
    </w:p>
    <w:p w14:paraId="2D97CDA3" w14:textId="43D13473" w:rsidR="000A48F7" w:rsidRDefault="00777AA9" w:rsidP="00A85897">
      <w:pPr>
        <w:rPr>
          <w:i/>
        </w:rPr>
      </w:pPr>
      <w:r>
        <w:rPr>
          <w:rFonts w:ascii="Calibri" w:hAnsi="Calibri"/>
        </w:rPr>
        <w:t xml:space="preserve">This a first </w:t>
      </w:r>
      <w:r w:rsidR="00883739">
        <w:rPr>
          <w:rFonts w:ascii="Calibri" w:hAnsi="Calibri"/>
        </w:rPr>
        <w:t xml:space="preserve">systematic </w:t>
      </w:r>
      <w:r>
        <w:rPr>
          <w:rFonts w:ascii="Calibri" w:hAnsi="Calibri"/>
        </w:rPr>
        <w:t xml:space="preserve">effort to collect data from persons who contacted the NHTH about their experiences with and perceptions of the services provided. </w:t>
      </w:r>
      <w:r w:rsidR="009201D5">
        <w:t xml:space="preserve">Collectively, the surveys will assess contactors’ perceptions of their interaction with the NHTH and the services, information, and support received; reason for the contact; and </w:t>
      </w:r>
      <w:r w:rsidR="001912FB">
        <w:t>utility of the contact in terms of</w:t>
      </w:r>
      <w:r w:rsidR="009201D5">
        <w:t xml:space="preserve"> knowledge gained, actions taken, and assistance received.</w:t>
      </w:r>
      <w:r w:rsidR="009201D5" w:rsidRPr="00BE36B8">
        <w:t xml:space="preserve"> </w:t>
      </w:r>
      <w:r>
        <w:rPr>
          <w:rFonts w:eastAsia="Times New Roman" w:cstheme="minorHAnsi"/>
          <w:color w:val="000000"/>
        </w:rPr>
        <w:t xml:space="preserve">Data will be used to produce estimates at desired precision levels of contactors’ satisfaction with the services they received during their contact with the NHTH and </w:t>
      </w:r>
      <w:r w:rsidR="00876EA2">
        <w:rPr>
          <w:rFonts w:eastAsia="Times New Roman" w:cstheme="minorHAnsi"/>
          <w:color w:val="000000"/>
        </w:rPr>
        <w:t xml:space="preserve">the </w:t>
      </w:r>
      <w:r w:rsidR="00B8072A">
        <w:rPr>
          <w:rFonts w:eastAsia="Times New Roman" w:cstheme="minorHAnsi"/>
          <w:color w:val="000000"/>
        </w:rPr>
        <w:t>utility of</w:t>
      </w:r>
      <w:r w:rsidR="00876EA2">
        <w:rPr>
          <w:rFonts w:eastAsia="Times New Roman" w:cstheme="minorHAnsi"/>
          <w:color w:val="000000"/>
        </w:rPr>
        <w:t xml:space="preserve"> the </w:t>
      </w:r>
      <w:r>
        <w:rPr>
          <w:rFonts w:eastAsia="Times New Roman" w:cstheme="minorHAnsi"/>
          <w:color w:val="000000"/>
        </w:rPr>
        <w:t>information and resources provided by NHTH advocates.</w:t>
      </w:r>
    </w:p>
    <w:p w14:paraId="33B8B86A" w14:textId="77777777" w:rsidR="004328A4" w:rsidRPr="004328A4" w:rsidRDefault="007D0F6E" w:rsidP="00A85897">
      <w:pPr>
        <w:spacing w:after="120" w:line="240" w:lineRule="auto"/>
        <w:rPr>
          <w:i/>
        </w:rPr>
      </w:pPr>
      <w:r>
        <w:rPr>
          <w:i/>
        </w:rPr>
        <w:t>Other Data Sources and Uses of Information</w:t>
      </w:r>
    </w:p>
    <w:p w14:paraId="508777F3" w14:textId="77777777" w:rsidR="00CE62AE" w:rsidRDefault="00CE62AE" w:rsidP="0011250A">
      <w:r>
        <w:t xml:space="preserve">Using time stamp data, we will link data from the surveys to a limited set of </w:t>
      </w:r>
      <w:r w:rsidR="001023F1">
        <w:t xml:space="preserve">the grantee’s </w:t>
      </w:r>
      <w:r>
        <w:t xml:space="preserve">administrative data routinely collected by NHTH advocates about NHTH contacts. </w:t>
      </w:r>
      <w:r w:rsidR="0011250A">
        <w:rPr>
          <w:rFonts w:ascii="Calibri" w:hAnsi="Calibri" w:cs="Calibri"/>
        </w:rPr>
        <w:t xml:space="preserve">The </w:t>
      </w:r>
      <w:r w:rsidR="00467B82">
        <w:rPr>
          <w:rFonts w:ascii="Calibri" w:hAnsi="Calibri" w:cs="Calibri"/>
        </w:rPr>
        <w:t xml:space="preserve">data </w:t>
      </w:r>
      <w:r w:rsidR="0011250A">
        <w:rPr>
          <w:rFonts w:ascii="Calibri" w:hAnsi="Calibri" w:cs="Calibri"/>
        </w:rPr>
        <w:t>will include date and time (start and stop) of the NHTH contact; contactor location (state); whether the contactor was anonymous; whether the contactor was a first time contactor; contactor type (e.g., potential victim, friend of a potential victim, service provider), whether the contact was trafficking related; reason for the contact; whether the contactor was a minor; and whether (for callers only) the contactor was transferred to a victim service provider.</w:t>
      </w:r>
      <w:r w:rsidR="0011250A" w:rsidDel="0011250A">
        <w:rPr>
          <w:rStyle w:val="CommentReference"/>
        </w:rPr>
        <w:t xml:space="preserve"> </w:t>
      </w:r>
      <w:r w:rsidR="0011250A">
        <w:t>These d</w:t>
      </w:r>
      <w:r>
        <w:t xml:space="preserve">ata on the nature and length of contact from the hotline calls will be used to provide context to survey findings as well as to assess bias in the types of contactors who completed the survey. </w:t>
      </w:r>
    </w:p>
    <w:p w14:paraId="78117D04" w14:textId="77777777" w:rsidR="00BF7A6E" w:rsidRDefault="00BF7A6E" w:rsidP="0011250A">
      <w:r>
        <w:t xml:space="preserve">The survey data will be </w:t>
      </w:r>
      <w:r w:rsidR="00CE62AE">
        <w:t xml:space="preserve">analyzed and used </w:t>
      </w:r>
      <w:r>
        <w:t>with several other sources of information from the broader NHTH evaluation</w:t>
      </w:r>
      <w:r w:rsidR="00426B7F">
        <w:t xml:space="preserve"> project</w:t>
      </w:r>
      <w:r>
        <w:t xml:space="preserve">. These data include </w:t>
      </w:r>
      <w:r w:rsidRPr="00BF7A6E">
        <w:t xml:space="preserve">5 years of </w:t>
      </w:r>
      <w:r w:rsidR="0011250A">
        <w:t xml:space="preserve">administrative </w:t>
      </w:r>
      <w:r w:rsidRPr="00BF7A6E">
        <w:t xml:space="preserve">data from Polaris’ NHTH database (which includes information about NHTH contacts), </w:t>
      </w:r>
      <w:r>
        <w:t xml:space="preserve">observations of </w:t>
      </w:r>
      <w:r w:rsidR="0061265E">
        <w:t xml:space="preserve">live calls handled by </w:t>
      </w:r>
      <w:r>
        <w:t>NHTH hotline advocates</w:t>
      </w:r>
      <w:r w:rsidRPr="00BF7A6E">
        <w:t xml:space="preserve">, and qualitative data collected through </w:t>
      </w:r>
      <w:r w:rsidR="004E1D5F">
        <w:t>discussions</w:t>
      </w:r>
      <w:r w:rsidRPr="00BF7A6E">
        <w:t xml:space="preserve"> with </w:t>
      </w:r>
      <w:r w:rsidR="009201D5">
        <w:t>three different types of</w:t>
      </w:r>
      <w:r w:rsidRPr="00BF7A6E">
        <w:t xml:space="preserve"> NHTH contactors</w:t>
      </w:r>
      <w:r w:rsidR="003D51F6">
        <w:t xml:space="preserve"> and stakeholders</w:t>
      </w:r>
      <w:r w:rsidRPr="00BF7A6E">
        <w:t>, including survivors, law enforcement, and service providers</w:t>
      </w:r>
      <w:r w:rsidR="004E1D5F">
        <w:t xml:space="preserve"> (the same question was not asked of more than 9 people through these discussions)</w:t>
      </w:r>
      <w:r>
        <w:t xml:space="preserve">. </w:t>
      </w:r>
      <w:r w:rsidR="00CE62AE" w:rsidRPr="00455D20">
        <w:rPr>
          <w:rFonts w:cs="Times New Roman"/>
        </w:rPr>
        <w:t xml:space="preserve">We will use </w:t>
      </w:r>
      <w:r w:rsidR="00CE62AE">
        <w:rPr>
          <w:rFonts w:cs="Times New Roman"/>
        </w:rPr>
        <w:t xml:space="preserve">findings from </w:t>
      </w:r>
      <w:r w:rsidR="00CE62AE" w:rsidRPr="00455D20">
        <w:rPr>
          <w:rFonts w:cs="Times New Roman"/>
        </w:rPr>
        <w:t>analys</w:t>
      </w:r>
      <w:r w:rsidR="00CE62AE">
        <w:rPr>
          <w:rFonts w:cs="Times New Roman"/>
        </w:rPr>
        <w:t>e</w:t>
      </w:r>
      <w:r w:rsidR="00CE62AE" w:rsidRPr="00455D20">
        <w:rPr>
          <w:rFonts w:cs="Times New Roman"/>
        </w:rPr>
        <w:t xml:space="preserve">s </w:t>
      </w:r>
      <w:r w:rsidR="00CE62AE">
        <w:rPr>
          <w:rFonts w:cs="Times New Roman"/>
        </w:rPr>
        <w:t>of</w:t>
      </w:r>
      <w:r w:rsidR="00CE62AE" w:rsidRPr="00455D20">
        <w:rPr>
          <w:rFonts w:cs="Times New Roman"/>
        </w:rPr>
        <w:t xml:space="preserve"> these </w:t>
      </w:r>
      <w:r w:rsidR="00CE62AE">
        <w:rPr>
          <w:rFonts w:cs="Times New Roman"/>
        </w:rPr>
        <w:t xml:space="preserve">other </w:t>
      </w:r>
      <w:r w:rsidR="00CE62AE" w:rsidRPr="00455D20">
        <w:rPr>
          <w:rFonts w:cs="Times New Roman"/>
        </w:rPr>
        <w:t xml:space="preserve">data to elucidate and further examine </w:t>
      </w:r>
      <w:r w:rsidR="00CE62AE">
        <w:rPr>
          <w:rFonts w:cs="Times New Roman"/>
        </w:rPr>
        <w:t xml:space="preserve">the information obtained through </w:t>
      </w:r>
      <w:r w:rsidR="00CE62AE" w:rsidRPr="00455D20">
        <w:rPr>
          <w:rFonts w:cs="Times New Roman"/>
        </w:rPr>
        <w:t>the proposed data collection.</w:t>
      </w:r>
    </w:p>
    <w:p w14:paraId="51F5F731" w14:textId="77777777" w:rsidR="007D0F6E" w:rsidRDefault="00BD702B" w:rsidP="009B3F7F">
      <w:pPr>
        <w:rPr>
          <w:b/>
        </w:rPr>
      </w:pPr>
      <w:r w:rsidRPr="00624DDC">
        <w:rPr>
          <w:b/>
        </w:rPr>
        <w:t>A3</w:t>
      </w:r>
      <w:r w:rsidR="007D0F6E">
        <w:t>.</w:t>
      </w:r>
      <w:r w:rsidR="007D0F6E">
        <w:tab/>
      </w:r>
      <w:r w:rsidR="004E5778" w:rsidRPr="007D0F6E">
        <w:rPr>
          <w:b/>
        </w:rPr>
        <w:t>Use of Information Technology to Reduce Burden</w:t>
      </w:r>
    </w:p>
    <w:p w14:paraId="6418ECA3" w14:textId="26B0F234" w:rsidR="003D629A" w:rsidRPr="00455D20" w:rsidRDefault="00C60010" w:rsidP="00A85897">
      <w:pPr>
        <w:rPr>
          <w:rFonts w:cs="Times New Roman"/>
        </w:rPr>
      </w:pPr>
      <w:r>
        <w:rPr>
          <w:rFonts w:cs="Times New Roman"/>
        </w:rPr>
        <w:t>The surveys will be conducted in a fully automated interviewing environment. The</w:t>
      </w:r>
      <w:r w:rsidR="003D629A" w:rsidRPr="00455D20">
        <w:rPr>
          <w:rFonts w:cs="Times New Roman"/>
        </w:rPr>
        <w:t xml:space="preserve"> </w:t>
      </w:r>
      <w:r w:rsidR="00F8423C">
        <w:rPr>
          <w:rFonts w:cs="Times New Roman"/>
          <w:i/>
          <w:iCs/>
        </w:rPr>
        <w:t>Immediate</w:t>
      </w:r>
      <w:r w:rsidR="003D629A" w:rsidRPr="00455D20">
        <w:rPr>
          <w:rFonts w:cs="Times New Roman"/>
        </w:rPr>
        <w:t xml:space="preserve"> </w:t>
      </w:r>
      <w:r w:rsidR="00F8423C">
        <w:rPr>
          <w:rFonts w:cs="Times New Roman"/>
          <w:i/>
          <w:iCs/>
        </w:rPr>
        <w:t xml:space="preserve">Survey </w:t>
      </w:r>
      <w:r>
        <w:rPr>
          <w:rFonts w:cs="Times New Roman"/>
        </w:rPr>
        <w:t>will be available i</w:t>
      </w:r>
      <w:r w:rsidR="003D629A" w:rsidRPr="00455D20">
        <w:rPr>
          <w:rFonts w:cs="Times New Roman"/>
        </w:rPr>
        <w:t>n</w:t>
      </w:r>
      <w:r w:rsidR="00F8423C">
        <w:rPr>
          <w:rFonts w:cs="Times New Roman"/>
        </w:rPr>
        <w:t xml:space="preserve"> an</w:t>
      </w:r>
      <w:r w:rsidR="003D629A" w:rsidRPr="00455D20">
        <w:rPr>
          <w:rFonts w:cs="Times New Roman"/>
        </w:rPr>
        <w:t xml:space="preserve"> IVR</w:t>
      </w:r>
      <w:r w:rsidR="00425447">
        <w:rPr>
          <w:rFonts w:cs="Times New Roman"/>
        </w:rPr>
        <w:t>-programmed</w:t>
      </w:r>
      <w:r w:rsidR="00F8423C">
        <w:rPr>
          <w:rFonts w:cs="Times New Roman"/>
        </w:rPr>
        <w:t xml:space="preserve"> telephone </w:t>
      </w:r>
      <w:r w:rsidR="00425447">
        <w:rPr>
          <w:rFonts w:cs="Times New Roman"/>
        </w:rPr>
        <w:t>survey</w:t>
      </w:r>
      <w:r>
        <w:rPr>
          <w:rFonts w:cs="Times New Roman"/>
        </w:rPr>
        <w:t xml:space="preserve"> or a </w:t>
      </w:r>
      <w:r w:rsidR="00425447">
        <w:rPr>
          <w:rFonts w:cs="Times New Roman"/>
        </w:rPr>
        <w:t>Web</w:t>
      </w:r>
      <w:r>
        <w:rPr>
          <w:rFonts w:cs="Times New Roman"/>
        </w:rPr>
        <w:t>-based survey programmed using Voxco software. T</w:t>
      </w:r>
      <w:r w:rsidR="00F8423C">
        <w:rPr>
          <w:rFonts w:cs="Times New Roman"/>
        </w:rPr>
        <w:t>he</w:t>
      </w:r>
      <w:r w:rsidR="00F8423C">
        <w:rPr>
          <w:rFonts w:cs="Times New Roman"/>
          <w:i/>
          <w:iCs/>
        </w:rPr>
        <w:t xml:space="preserve"> </w:t>
      </w:r>
      <w:r w:rsidR="00F8423C" w:rsidRPr="00F8423C">
        <w:rPr>
          <w:rFonts w:cs="Times New Roman"/>
          <w:i/>
          <w:iCs/>
        </w:rPr>
        <w:t>Two-Week Follow-Up Survey</w:t>
      </w:r>
      <w:r w:rsidR="00F8423C">
        <w:rPr>
          <w:rFonts w:cs="Times New Roman"/>
        </w:rPr>
        <w:t xml:space="preserve"> will </w:t>
      </w:r>
      <w:r w:rsidR="00425447">
        <w:rPr>
          <w:rFonts w:cs="Times New Roman"/>
        </w:rPr>
        <w:t xml:space="preserve">be </w:t>
      </w:r>
      <w:r>
        <w:rPr>
          <w:rFonts w:cs="Times New Roman"/>
        </w:rPr>
        <w:t xml:space="preserve">offered as a </w:t>
      </w:r>
      <w:r w:rsidR="00425447">
        <w:rPr>
          <w:rFonts w:cs="Times New Roman"/>
        </w:rPr>
        <w:t>W</w:t>
      </w:r>
      <w:r>
        <w:rPr>
          <w:rFonts w:cs="Times New Roman"/>
        </w:rPr>
        <w:t xml:space="preserve">eb survey </w:t>
      </w:r>
      <w:r w:rsidR="00425447">
        <w:rPr>
          <w:rFonts w:cs="Times New Roman"/>
        </w:rPr>
        <w:t xml:space="preserve">(Voxco) </w:t>
      </w:r>
      <w:r>
        <w:rPr>
          <w:rFonts w:cs="Times New Roman"/>
        </w:rPr>
        <w:t>or a telephone survey, programmed using Computer Assisted Telephone Interviewing (CATI) software</w:t>
      </w:r>
      <w:r w:rsidR="003D629A" w:rsidRPr="00455D20">
        <w:rPr>
          <w:rFonts w:cs="Times New Roman"/>
        </w:rPr>
        <w:t>.</w:t>
      </w:r>
      <w:r w:rsidR="00F8423C">
        <w:rPr>
          <w:rFonts w:cs="Times New Roman"/>
        </w:rPr>
        <w:t xml:space="preserve"> </w:t>
      </w:r>
      <w:r w:rsidR="00425447" w:rsidRPr="00425447">
        <w:rPr>
          <w:rFonts w:cs="Times New Roman"/>
        </w:rPr>
        <w:t xml:space="preserve">We will use ARTEMIS, an RTI built and operated SMS relay service, to send </w:t>
      </w:r>
      <w:r w:rsidR="00C84D48">
        <w:rPr>
          <w:rFonts w:cs="Times New Roman"/>
        </w:rPr>
        <w:t xml:space="preserve">the survey </w:t>
      </w:r>
      <w:r w:rsidR="00C84D48" w:rsidRPr="00425447">
        <w:rPr>
          <w:rFonts w:cs="Times New Roman"/>
        </w:rPr>
        <w:t>Web link</w:t>
      </w:r>
      <w:r w:rsidR="00C84D48">
        <w:rPr>
          <w:rFonts w:cs="Times New Roman"/>
        </w:rPr>
        <w:t xml:space="preserve"> and reminder messages</w:t>
      </w:r>
      <w:r w:rsidR="00C84D48" w:rsidRPr="00F8423C">
        <w:rPr>
          <w:rFonts w:cs="Times New Roman"/>
          <w:i/>
          <w:iCs/>
        </w:rPr>
        <w:t xml:space="preserve"> </w:t>
      </w:r>
      <w:r w:rsidR="00C84D48" w:rsidRPr="00C84D48">
        <w:rPr>
          <w:rFonts w:cs="Times New Roman"/>
        </w:rPr>
        <w:t xml:space="preserve">to </w:t>
      </w:r>
      <w:r w:rsidR="00C84D48" w:rsidRPr="00F8423C">
        <w:rPr>
          <w:rFonts w:cs="Times New Roman"/>
          <w:i/>
          <w:iCs/>
        </w:rPr>
        <w:t>Two-Week Follow-Up Survey</w:t>
      </w:r>
      <w:r w:rsidR="00C84D48" w:rsidRPr="00425447">
        <w:rPr>
          <w:rFonts w:cs="Times New Roman"/>
        </w:rPr>
        <w:t xml:space="preserve"> </w:t>
      </w:r>
      <w:r w:rsidR="00C84D48">
        <w:rPr>
          <w:rFonts w:cs="Times New Roman"/>
        </w:rPr>
        <w:t>participants</w:t>
      </w:r>
      <w:r w:rsidR="00425447" w:rsidRPr="00425447">
        <w:rPr>
          <w:rFonts w:cs="Times New Roman"/>
        </w:rPr>
        <w:t xml:space="preserve"> </w:t>
      </w:r>
      <w:r w:rsidR="00C84D48">
        <w:rPr>
          <w:rFonts w:cs="Times New Roman"/>
        </w:rPr>
        <w:t>who chose to be contacted via SMS text</w:t>
      </w:r>
      <w:r w:rsidR="00425447" w:rsidRPr="00425447">
        <w:rPr>
          <w:rFonts w:cs="Times New Roman"/>
        </w:rPr>
        <w:t xml:space="preserve">. </w:t>
      </w:r>
      <w:r w:rsidR="00F8423C">
        <w:rPr>
          <w:rFonts w:cs="Times New Roman"/>
        </w:rPr>
        <w:t>The</w:t>
      </w:r>
      <w:r w:rsidR="003D629A" w:rsidRPr="00455D20">
        <w:rPr>
          <w:rFonts w:cs="Times New Roman"/>
        </w:rPr>
        <w:t xml:space="preserve"> IVR</w:t>
      </w:r>
      <w:r w:rsidR="00157067">
        <w:rPr>
          <w:rFonts w:cs="Times New Roman"/>
        </w:rPr>
        <w:t>, Voxco</w:t>
      </w:r>
      <w:r w:rsidR="00451027">
        <w:rPr>
          <w:rFonts w:cs="Times New Roman"/>
        </w:rPr>
        <w:t xml:space="preserve">, </w:t>
      </w:r>
      <w:r w:rsidR="000117C5">
        <w:rPr>
          <w:rFonts w:cs="Times New Roman"/>
        </w:rPr>
        <w:t xml:space="preserve">and </w:t>
      </w:r>
      <w:r w:rsidR="00157067">
        <w:rPr>
          <w:rFonts w:cs="Times New Roman"/>
        </w:rPr>
        <w:t>CATI</w:t>
      </w:r>
      <w:r w:rsidR="00C84D48">
        <w:rPr>
          <w:rFonts w:cs="Times New Roman"/>
        </w:rPr>
        <w:t xml:space="preserve"> </w:t>
      </w:r>
      <w:r w:rsidR="00157067">
        <w:rPr>
          <w:rFonts w:cs="Times New Roman"/>
        </w:rPr>
        <w:t xml:space="preserve">technology reduce respondent and interviewer burden and </w:t>
      </w:r>
      <w:r w:rsidR="003D629A" w:rsidRPr="00455D20">
        <w:rPr>
          <w:rFonts w:cs="Times New Roman"/>
        </w:rPr>
        <w:t>permit electronic submission of responses.</w:t>
      </w:r>
      <w:r w:rsidR="004D3D67">
        <w:rPr>
          <w:rFonts w:cs="Times New Roman"/>
        </w:rPr>
        <w:t xml:space="preserve"> </w:t>
      </w:r>
      <w:r w:rsidR="004D3D67" w:rsidRPr="00455D20">
        <w:rPr>
          <w:rFonts w:cs="Times New Roman"/>
        </w:rPr>
        <w:t xml:space="preserve">NHTH </w:t>
      </w:r>
      <w:r w:rsidR="00E5388C">
        <w:rPr>
          <w:rFonts w:cs="Times New Roman"/>
        </w:rPr>
        <w:t>contactors</w:t>
      </w:r>
      <w:r w:rsidR="004D3D67" w:rsidRPr="00455D20">
        <w:rPr>
          <w:rFonts w:cs="Times New Roman"/>
        </w:rPr>
        <w:t xml:space="preserve"> are from locations across the United States</w:t>
      </w:r>
      <w:r w:rsidR="00157067">
        <w:rPr>
          <w:rFonts w:cs="Times New Roman"/>
        </w:rPr>
        <w:t xml:space="preserve"> and these technologies</w:t>
      </w:r>
      <w:r w:rsidR="004D3D67">
        <w:rPr>
          <w:rFonts w:cs="Times New Roman"/>
        </w:rPr>
        <w:t xml:space="preserve"> permit participation of respondents irrespective of</w:t>
      </w:r>
      <w:r w:rsidR="003D629A" w:rsidRPr="00455D20">
        <w:rPr>
          <w:rFonts w:cs="Times New Roman"/>
        </w:rPr>
        <w:t xml:space="preserve"> their specific location</w:t>
      </w:r>
      <w:r w:rsidR="00750D36">
        <w:rPr>
          <w:rFonts w:cs="Times New Roman"/>
        </w:rPr>
        <w:t xml:space="preserve">, </w:t>
      </w:r>
      <w:r w:rsidR="00B8072A">
        <w:rPr>
          <w:rFonts w:cs="Times New Roman"/>
        </w:rPr>
        <w:t xml:space="preserve">and </w:t>
      </w:r>
      <w:r w:rsidR="00750D36">
        <w:rPr>
          <w:rFonts w:cs="Times New Roman"/>
        </w:rPr>
        <w:t>thus do not introduce bias into</w:t>
      </w:r>
      <w:r w:rsidR="003D629A" w:rsidRPr="00455D20">
        <w:rPr>
          <w:rFonts w:cs="Times New Roman"/>
        </w:rPr>
        <w:t xml:space="preserve"> the study sample</w:t>
      </w:r>
      <w:r w:rsidR="00750D36">
        <w:rPr>
          <w:rFonts w:cs="Times New Roman"/>
        </w:rPr>
        <w:t xml:space="preserve"> (though there may be non-response bias for reasons other than sampling)</w:t>
      </w:r>
      <w:r w:rsidR="003D629A" w:rsidRPr="00455D20">
        <w:rPr>
          <w:rFonts w:cs="Times New Roman"/>
        </w:rPr>
        <w:t xml:space="preserve">. Furthermore, </w:t>
      </w:r>
      <w:r w:rsidR="00157067">
        <w:rPr>
          <w:rFonts w:cs="Times New Roman"/>
        </w:rPr>
        <w:t>the use of these technologies (IVR, Voxco, and CATI)</w:t>
      </w:r>
      <w:r w:rsidR="003D629A" w:rsidRPr="00455D20">
        <w:rPr>
          <w:rFonts w:cs="Times New Roman"/>
        </w:rPr>
        <w:t xml:space="preserve"> will also make data processing and reporting more accurate, efficient, and timely</w:t>
      </w:r>
      <w:r w:rsidR="00157067">
        <w:rPr>
          <w:rFonts w:cs="Times New Roman"/>
        </w:rPr>
        <w:t xml:space="preserve"> and reduce the need for extensive post-data collection editing</w:t>
      </w:r>
      <w:r w:rsidR="003D629A" w:rsidRPr="00455D20">
        <w:rPr>
          <w:rFonts w:cs="Times New Roman"/>
        </w:rPr>
        <w:t xml:space="preserve">. </w:t>
      </w:r>
    </w:p>
    <w:p w14:paraId="2B3B2140" w14:textId="77777777" w:rsidR="003D629A" w:rsidRPr="00455D20" w:rsidRDefault="003D629A" w:rsidP="00A85897">
      <w:pPr>
        <w:rPr>
          <w:rFonts w:cs="Times New Roman"/>
        </w:rPr>
      </w:pPr>
      <w:r w:rsidRPr="00455D20">
        <w:rPr>
          <w:rFonts w:cs="Times New Roman"/>
        </w:rPr>
        <w:t>IVR</w:t>
      </w:r>
      <w:r w:rsidR="002C644E">
        <w:rPr>
          <w:rFonts w:cs="Times New Roman"/>
        </w:rPr>
        <w:t>, CATI,</w:t>
      </w:r>
      <w:r w:rsidRPr="00455D20">
        <w:rPr>
          <w:rFonts w:cs="Times New Roman"/>
        </w:rPr>
        <w:t xml:space="preserve"> and </w:t>
      </w:r>
      <w:r w:rsidR="002C644E">
        <w:rPr>
          <w:rFonts w:cs="Times New Roman"/>
        </w:rPr>
        <w:t xml:space="preserve">Voxco </w:t>
      </w:r>
      <w:r w:rsidR="00425447">
        <w:rPr>
          <w:rFonts w:cs="Times New Roman"/>
        </w:rPr>
        <w:t>Web</w:t>
      </w:r>
      <w:r w:rsidRPr="00455D20">
        <w:rPr>
          <w:rFonts w:cs="Times New Roman"/>
        </w:rPr>
        <w:t xml:space="preserve"> survey technology offer several benefits that reduce respondent burden. Both approaches will allow survey respondents to </w:t>
      </w:r>
      <w:r w:rsidR="00FE3C57">
        <w:rPr>
          <w:rFonts w:cs="Times New Roman"/>
        </w:rPr>
        <w:t>privately</w:t>
      </w:r>
      <w:r w:rsidRPr="00455D20">
        <w:rPr>
          <w:rFonts w:cs="Times New Roman"/>
        </w:rPr>
        <w:t xml:space="preserve"> access the survey from the </w:t>
      </w:r>
      <w:r w:rsidR="004D3D67">
        <w:rPr>
          <w:rFonts w:cs="Times New Roman"/>
        </w:rPr>
        <w:t xml:space="preserve">privacy and </w:t>
      </w:r>
      <w:r w:rsidRPr="00455D20">
        <w:rPr>
          <w:rFonts w:cs="Times New Roman"/>
        </w:rPr>
        <w:t xml:space="preserve">convenience of their own phone, tablet, or computer, rather than scheduling a time to complete the survey and traveling to a specific location. Respondents will </w:t>
      </w:r>
      <w:r w:rsidR="004D3D67">
        <w:rPr>
          <w:rFonts w:cs="Times New Roman"/>
        </w:rPr>
        <w:t xml:space="preserve">not be required to </w:t>
      </w:r>
      <w:r w:rsidRPr="00455D20">
        <w:rPr>
          <w:rFonts w:cs="Times New Roman"/>
        </w:rPr>
        <w:t>wait for an available staff member to administer the surveys. IVR</w:t>
      </w:r>
      <w:r w:rsidR="00157067">
        <w:rPr>
          <w:rFonts w:cs="Times New Roman"/>
        </w:rPr>
        <w:t>, CATI</w:t>
      </w:r>
      <w:r w:rsidRPr="00455D20">
        <w:rPr>
          <w:rFonts w:cs="Times New Roman"/>
        </w:rPr>
        <w:t xml:space="preserve"> and </w:t>
      </w:r>
      <w:r w:rsidR="00425447">
        <w:rPr>
          <w:rFonts w:cs="Times New Roman"/>
        </w:rPr>
        <w:t>Web</w:t>
      </w:r>
      <w:r w:rsidRPr="00455D20">
        <w:rPr>
          <w:rFonts w:cs="Times New Roman"/>
        </w:rPr>
        <w:t xml:space="preserve">-based surveys are reliable, easy to use, standardized, and minimize potential biases </w:t>
      </w:r>
      <w:r w:rsidR="004D3D67">
        <w:rPr>
          <w:rFonts w:cs="Times New Roman"/>
        </w:rPr>
        <w:t>and</w:t>
      </w:r>
      <w:r w:rsidRPr="00455D20">
        <w:rPr>
          <w:rFonts w:cs="Times New Roman"/>
        </w:rPr>
        <w:t xml:space="preserve"> interviewer errors. The automated skip patterns in IVR</w:t>
      </w:r>
      <w:r w:rsidR="00157067">
        <w:rPr>
          <w:rFonts w:cs="Times New Roman"/>
        </w:rPr>
        <w:t>, CATI</w:t>
      </w:r>
      <w:r w:rsidRPr="00455D20">
        <w:rPr>
          <w:rFonts w:cs="Times New Roman"/>
        </w:rPr>
        <w:t xml:space="preserve"> and </w:t>
      </w:r>
      <w:r w:rsidR="00425447">
        <w:rPr>
          <w:rFonts w:cs="Times New Roman"/>
        </w:rPr>
        <w:t>Web</w:t>
      </w:r>
      <w:r w:rsidRPr="00455D20">
        <w:rPr>
          <w:rFonts w:cs="Times New Roman"/>
        </w:rPr>
        <w:t xml:space="preserve">-based surveys will maximize efficient survey administration. </w:t>
      </w:r>
      <w:r w:rsidR="004D3D67">
        <w:rPr>
          <w:rFonts w:cs="Times New Roman"/>
        </w:rPr>
        <w:t>Web</w:t>
      </w:r>
      <w:r w:rsidRPr="00455D20">
        <w:rPr>
          <w:rFonts w:cs="Times New Roman"/>
        </w:rPr>
        <w:t>-based survey</w:t>
      </w:r>
      <w:r w:rsidR="004D3D67">
        <w:rPr>
          <w:rFonts w:cs="Times New Roman"/>
        </w:rPr>
        <w:t xml:space="preserve"> respondents </w:t>
      </w:r>
      <w:r w:rsidR="00157067">
        <w:rPr>
          <w:rFonts w:cs="Times New Roman"/>
        </w:rPr>
        <w:t xml:space="preserve">have the added benefit of being able to </w:t>
      </w:r>
      <w:r w:rsidRPr="00455D20">
        <w:rPr>
          <w:rFonts w:cs="Times New Roman"/>
        </w:rPr>
        <w:t xml:space="preserve">stop at any point, exit, and return to the survey </w:t>
      </w:r>
      <w:r w:rsidR="004D3D67">
        <w:rPr>
          <w:rFonts w:cs="Times New Roman"/>
        </w:rPr>
        <w:t>at</w:t>
      </w:r>
      <w:r w:rsidRPr="00455D20">
        <w:rPr>
          <w:rFonts w:cs="Times New Roman"/>
        </w:rPr>
        <w:t xml:space="preserve"> their convenience. </w:t>
      </w:r>
    </w:p>
    <w:p w14:paraId="16776DA4" w14:textId="77777777" w:rsidR="003D629A" w:rsidRPr="00455D20" w:rsidRDefault="004D3D67" w:rsidP="00A85897">
      <w:r>
        <w:rPr>
          <w:rFonts w:cs="Times New Roman"/>
        </w:rPr>
        <w:t xml:space="preserve">NHTH advocates </w:t>
      </w:r>
      <w:r w:rsidR="003D629A" w:rsidRPr="00455D20">
        <w:rPr>
          <w:rFonts w:cs="Times New Roman"/>
        </w:rPr>
        <w:t xml:space="preserve">will use Five9 call center software to transfer </w:t>
      </w:r>
      <w:r>
        <w:rPr>
          <w:rFonts w:cs="Times New Roman"/>
        </w:rPr>
        <w:t>individuals</w:t>
      </w:r>
      <w:r w:rsidR="003D629A" w:rsidRPr="00455D20">
        <w:rPr>
          <w:rFonts w:cs="Times New Roman"/>
        </w:rPr>
        <w:t xml:space="preserve"> who contact the NHTH by </w:t>
      </w:r>
      <w:r>
        <w:rPr>
          <w:rFonts w:cs="Times New Roman"/>
        </w:rPr>
        <w:t>tele</w:t>
      </w:r>
      <w:r w:rsidR="003D629A" w:rsidRPr="00455D20">
        <w:rPr>
          <w:rFonts w:cs="Times New Roman"/>
        </w:rPr>
        <w:t xml:space="preserve">phone to the </w:t>
      </w:r>
      <w:r w:rsidRPr="004D3D67">
        <w:rPr>
          <w:rFonts w:cs="Times New Roman"/>
          <w:i/>
          <w:iCs/>
        </w:rPr>
        <w:t>I</w:t>
      </w:r>
      <w:r w:rsidR="003D629A" w:rsidRPr="004D3D67">
        <w:rPr>
          <w:rFonts w:cs="Times New Roman"/>
          <w:i/>
          <w:iCs/>
        </w:rPr>
        <w:t xml:space="preserve">mmediate </w:t>
      </w:r>
      <w:r>
        <w:rPr>
          <w:rFonts w:cs="Times New Roman"/>
          <w:i/>
          <w:iCs/>
        </w:rPr>
        <w:t>S</w:t>
      </w:r>
      <w:r w:rsidR="003D629A" w:rsidRPr="004D3D67">
        <w:rPr>
          <w:rFonts w:cs="Times New Roman"/>
          <w:i/>
          <w:iCs/>
        </w:rPr>
        <w:t>urvey</w:t>
      </w:r>
      <w:r w:rsidRPr="004D3D67">
        <w:rPr>
          <w:rFonts w:cs="Times New Roman"/>
        </w:rPr>
        <w:t xml:space="preserve"> </w:t>
      </w:r>
      <w:r w:rsidRPr="00455D20">
        <w:rPr>
          <w:rFonts w:cs="Times New Roman"/>
        </w:rPr>
        <w:t>from their NHTH call</w:t>
      </w:r>
      <w:r w:rsidR="003D629A" w:rsidRPr="00455D20">
        <w:rPr>
          <w:rFonts w:cs="Times New Roman"/>
        </w:rPr>
        <w:t xml:space="preserve">. This approach will ensure a smooth and seamless transition from the NHTH call to the immediate survey. This will save time for NHTH callers, and we anticipate that it will strengthen our response rates. </w:t>
      </w:r>
    </w:p>
    <w:p w14:paraId="7EB5FACD" w14:textId="77777777" w:rsidR="003D629A" w:rsidRPr="00455D20" w:rsidRDefault="003D629A" w:rsidP="001629CD">
      <w:pPr>
        <w:ind w:left="720" w:hanging="720"/>
        <w:rPr>
          <w:b/>
        </w:rPr>
      </w:pPr>
      <w:r w:rsidRPr="00624DDC">
        <w:rPr>
          <w:b/>
        </w:rPr>
        <w:t>A4</w:t>
      </w:r>
      <w:r>
        <w:t>.</w:t>
      </w:r>
      <w:r>
        <w:tab/>
      </w:r>
      <w:r w:rsidRPr="007D0F6E">
        <w:rPr>
          <w:b/>
        </w:rPr>
        <w:t xml:space="preserve">Use of Existing Data: Efforts to reduce duplication, minimize burden, and increase utility and </w:t>
      </w:r>
      <w:r w:rsidRPr="00455D20">
        <w:rPr>
          <w:b/>
        </w:rPr>
        <w:t>government efficiency</w:t>
      </w:r>
    </w:p>
    <w:p w14:paraId="26637C97" w14:textId="77777777" w:rsidR="001629CD" w:rsidRDefault="003D629A" w:rsidP="00A85897">
      <w:pPr>
        <w:rPr>
          <w:rFonts w:cs="Times New Roman"/>
        </w:rPr>
      </w:pPr>
      <w:r w:rsidRPr="00455D20">
        <w:rPr>
          <w:rFonts w:cs="Times New Roman"/>
        </w:rPr>
        <w:t xml:space="preserve">This is the first evaluation of the NHTH; no prior </w:t>
      </w:r>
      <w:r w:rsidR="00AB5424">
        <w:rPr>
          <w:rFonts w:cs="Times New Roman"/>
        </w:rPr>
        <w:t>studies</w:t>
      </w:r>
      <w:r w:rsidRPr="00455D20">
        <w:rPr>
          <w:rFonts w:cs="Times New Roman"/>
        </w:rPr>
        <w:t xml:space="preserve"> have systematically collected feedback and information directly from NHTH </w:t>
      </w:r>
      <w:r w:rsidR="00AB5424">
        <w:rPr>
          <w:rFonts w:cs="Times New Roman"/>
        </w:rPr>
        <w:t>contactors following their interactions with the NHTH</w:t>
      </w:r>
      <w:r w:rsidRPr="00455D20">
        <w:rPr>
          <w:rFonts w:cs="Times New Roman"/>
        </w:rPr>
        <w:t xml:space="preserve">. This proposed information collection therefore does not duplicate previous efforts. </w:t>
      </w:r>
    </w:p>
    <w:p w14:paraId="51AF78E8" w14:textId="77777777" w:rsidR="003D629A" w:rsidRPr="00455D20" w:rsidRDefault="003D629A" w:rsidP="00A85897">
      <w:pPr>
        <w:rPr>
          <w:rFonts w:cs="Times New Roman"/>
        </w:rPr>
      </w:pPr>
      <w:r w:rsidRPr="00455D20">
        <w:rPr>
          <w:rFonts w:cs="Times New Roman"/>
        </w:rPr>
        <w:t xml:space="preserve">In designing the proposed data collection activities, we carefully reviewed existing NHTH datasets to determine whether any of them are sufficiently similar or could be modified to address ACF’s need for information on NHTH contactors’ experiences with the NHTH. We investigated the possibility of using existing data to examine our research questions, such as </w:t>
      </w:r>
      <w:r w:rsidR="00AB5424">
        <w:rPr>
          <w:rFonts w:cs="Times New Roman"/>
        </w:rPr>
        <w:t>data</w:t>
      </w:r>
      <w:r w:rsidRPr="00455D20">
        <w:rPr>
          <w:rFonts w:cs="Times New Roman"/>
        </w:rPr>
        <w:t xml:space="preserve"> collected by NHTH </w:t>
      </w:r>
      <w:r w:rsidR="00AB5424">
        <w:rPr>
          <w:rFonts w:cs="Times New Roman"/>
        </w:rPr>
        <w:t xml:space="preserve">staff </w:t>
      </w:r>
      <w:r w:rsidRPr="00455D20">
        <w:rPr>
          <w:rFonts w:cs="Times New Roman"/>
        </w:rPr>
        <w:t>and our previous evaluation data collection efforts (i.e., observational listening data, qualitative data from very small samples (</w:t>
      </w:r>
      <w:r w:rsidR="00FA588C">
        <w:rPr>
          <w:rFonts w:cs="Times New Roman"/>
        </w:rPr>
        <w:t>fewer</w:t>
      </w:r>
      <w:r w:rsidR="00FA588C" w:rsidRPr="00455D20">
        <w:rPr>
          <w:rFonts w:cs="Times New Roman"/>
        </w:rPr>
        <w:t xml:space="preserve"> </w:t>
      </w:r>
      <w:r w:rsidRPr="00455D20">
        <w:rPr>
          <w:rFonts w:cs="Times New Roman"/>
        </w:rPr>
        <w:t xml:space="preserve">than </w:t>
      </w:r>
      <w:r w:rsidR="00463B62">
        <w:rPr>
          <w:rFonts w:cs="Times New Roman"/>
        </w:rPr>
        <w:t>10</w:t>
      </w:r>
      <w:r w:rsidRPr="00455D20">
        <w:rPr>
          <w:rFonts w:cs="Times New Roman"/>
        </w:rPr>
        <w:t xml:space="preserve">) of NHTH contactors, and interviews with NHTH staff. None of these existing data sources meet the data collection needs of the </w:t>
      </w:r>
      <w:r w:rsidR="00AB5424">
        <w:rPr>
          <w:rFonts w:cs="Times New Roman"/>
        </w:rPr>
        <w:t>evaluation</w:t>
      </w:r>
      <w:r w:rsidRPr="00455D20">
        <w:rPr>
          <w:rFonts w:cs="Times New Roman"/>
        </w:rPr>
        <w:t>.</w:t>
      </w:r>
    </w:p>
    <w:p w14:paraId="53BE4422" w14:textId="77777777" w:rsidR="003D629A" w:rsidRPr="00455D20" w:rsidRDefault="003D629A" w:rsidP="00A85897">
      <w:pPr>
        <w:rPr>
          <w:rFonts w:cs="Times New Roman"/>
        </w:rPr>
      </w:pPr>
      <w:r w:rsidRPr="00455D20">
        <w:rPr>
          <w:rFonts w:cs="Times New Roman"/>
        </w:rPr>
        <w:t>To increase the utility of these data,</w:t>
      </w:r>
      <w:r w:rsidR="00CE62AE">
        <w:rPr>
          <w:rFonts w:cs="Times New Roman"/>
        </w:rPr>
        <w:t xml:space="preserve"> we will use existing data </w:t>
      </w:r>
      <w:r w:rsidR="00CE62AE" w:rsidRPr="00CE62AE">
        <w:rPr>
          <w:rFonts w:cs="Times New Roman"/>
        </w:rPr>
        <w:t xml:space="preserve">(as described in section </w:t>
      </w:r>
      <w:r w:rsidR="00CE62AE" w:rsidRPr="00CE62AE">
        <w:rPr>
          <w:rFonts w:cs="Times New Roman"/>
          <w:i/>
          <w:iCs/>
        </w:rPr>
        <w:t>A2, Other Data Sources and Uses of Information</w:t>
      </w:r>
      <w:r w:rsidR="00CE62AE" w:rsidRPr="00CE62AE">
        <w:rPr>
          <w:rFonts w:cs="Times New Roman"/>
        </w:rPr>
        <w:t>)</w:t>
      </w:r>
      <w:r w:rsidR="00CE62AE">
        <w:rPr>
          <w:rFonts w:cs="Times New Roman"/>
        </w:rPr>
        <w:t xml:space="preserve"> to help further analyze the findings from this data collection. </w:t>
      </w:r>
    </w:p>
    <w:p w14:paraId="45489CC0" w14:textId="77777777" w:rsidR="003D629A" w:rsidRDefault="003D629A" w:rsidP="001629CD">
      <w:r w:rsidRPr="00624DDC">
        <w:rPr>
          <w:b/>
        </w:rPr>
        <w:t>A5</w:t>
      </w:r>
      <w:r>
        <w:t>.</w:t>
      </w:r>
      <w:r>
        <w:tab/>
      </w:r>
      <w:r w:rsidRPr="00721395">
        <w:rPr>
          <w:b/>
        </w:rPr>
        <w:t>Impact on Small Businesses</w:t>
      </w:r>
      <w:r>
        <w:t xml:space="preserve"> </w:t>
      </w:r>
    </w:p>
    <w:p w14:paraId="0DB247C5" w14:textId="77777777" w:rsidR="003D629A" w:rsidRPr="00455D20" w:rsidRDefault="003D629A" w:rsidP="00A85897">
      <w:r w:rsidRPr="0047025D">
        <w:rPr>
          <w:rFonts w:cs="Times New Roman"/>
        </w:rPr>
        <w:t>It is possible that some survey respondents will work for small not-for-profit organizations (e.g. victim service organizations). Both the immediate and two-week follow-up surveys were designed to be brief and not time intensive (</w:t>
      </w:r>
      <w:r w:rsidR="00602637">
        <w:rPr>
          <w:rFonts w:cs="Times New Roman"/>
        </w:rPr>
        <w:t>estimated to take approximately</w:t>
      </w:r>
      <w:r w:rsidR="009110F4">
        <w:rPr>
          <w:rFonts w:cs="Times New Roman"/>
        </w:rPr>
        <w:t xml:space="preserve"> </w:t>
      </w:r>
      <w:r w:rsidRPr="0047025D">
        <w:rPr>
          <w:rFonts w:cs="Times New Roman"/>
        </w:rPr>
        <w:t xml:space="preserve">3 </w:t>
      </w:r>
      <w:r w:rsidR="009110F4">
        <w:rPr>
          <w:rFonts w:cs="Times New Roman"/>
        </w:rPr>
        <w:t>and</w:t>
      </w:r>
      <w:r w:rsidRPr="0047025D">
        <w:rPr>
          <w:rFonts w:cs="Times New Roman"/>
        </w:rPr>
        <w:t xml:space="preserve"> </w:t>
      </w:r>
      <w:r w:rsidR="009110F4">
        <w:rPr>
          <w:rFonts w:cs="Times New Roman"/>
        </w:rPr>
        <w:t>6</w:t>
      </w:r>
      <w:r w:rsidRPr="0047025D">
        <w:rPr>
          <w:rFonts w:cs="Times New Roman"/>
        </w:rPr>
        <w:t xml:space="preserve"> minutes</w:t>
      </w:r>
      <w:r w:rsidR="00602637">
        <w:rPr>
          <w:rFonts w:cs="Times New Roman"/>
        </w:rPr>
        <w:t>, respectively</w:t>
      </w:r>
      <w:r w:rsidRPr="0047025D">
        <w:rPr>
          <w:rFonts w:cs="Times New Roman"/>
        </w:rPr>
        <w:t xml:space="preserve">). Respondents will complete the </w:t>
      </w:r>
      <w:r w:rsidR="00335E79" w:rsidRPr="0047025D">
        <w:rPr>
          <w:rFonts w:cs="Times New Roman"/>
          <w:i/>
          <w:iCs/>
        </w:rPr>
        <w:t>Immediate</w:t>
      </w:r>
      <w:r w:rsidRPr="0047025D">
        <w:rPr>
          <w:rFonts w:cs="Times New Roman"/>
          <w:i/>
          <w:iCs/>
        </w:rPr>
        <w:t xml:space="preserve"> </w:t>
      </w:r>
      <w:r w:rsidR="00335E79" w:rsidRPr="0047025D">
        <w:rPr>
          <w:rFonts w:cs="Times New Roman"/>
          <w:i/>
          <w:iCs/>
        </w:rPr>
        <w:t>S</w:t>
      </w:r>
      <w:r w:rsidRPr="0047025D">
        <w:rPr>
          <w:rFonts w:cs="Times New Roman"/>
          <w:i/>
          <w:iCs/>
        </w:rPr>
        <w:t>urvey</w:t>
      </w:r>
      <w:r w:rsidRPr="0047025D">
        <w:rPr>
          <w:rFonts w:cs="Times New Roman"/>
        </w:rPr>
        <w:t xml:space="preserve"> </w:t>
      </w:r>
      <w:r w:rsidR="00335E79" w:rsidRPr="0047025D">
        <w:rPr>
          <w:rFonts w:cs="Times New Roman"/>
        </w:rPr>
        <w:t>directly</w:t>
      </w:r>
      <w:r w:rsidRPr="0047025D">
        <w:rPr>
          <w:rFonts w:cs="Times New Roman"/>
        </w:rPr>
        <w:t xml:space="preserve"> after their self-initiated contact to the NHTH, which would extend their engagement with the NHTH by approximately </w:t>
      </w:r>
      <w:r w:rsidR="00FE3C57">
        <w:rPr>
          <w:rFonts w:cs="Times New Roman"/>
        </w:rPr>
        <w:t>3</w:t>
      </w:r>
      <w:r w:rsidR="00FE3C57" w:rsidRPr="0047025D">
        <w:rPr>
          <w:rFonts w:cs="Times New Roman"/>
        </w:rPr>
        <w:t xml:space="preserve"> </w:t>
      </w:r>
      <w:r w:rsidRPr="0047025D">
        <w:rPr>
          <w:rFonts w:cs="Times New Roman"/>
        </w:rPr>
        <w:t xml:space="preserve">minutes. The </w:t>
      </w:r>
      <w:r w:rsidR="00335E79" w:rsidRPr="0047025D">
        <w:rPr>
          <w:rFonts w:cs="Times New Roman"/>
          <w:i/>
          <w:iCs/>
        </w:rPr>
        <w:t>Tw</w:t>
      </w:r>
      <w:r w:rsidRPr="0047025D">
        <w:rPr>
          <w:rFonts w:cs="Times New Roman"/>
          <w:i/>
          <w:iCs/>
        </w:rPr>
        <w:t>o-</w:t>
      </w:r>
      <w:r w:rsidR="00335E79" w:rsidRPr="0047025D">
        <w:rPr>
          <w:rFonts w:cs="Times New Roman"/>
          <w:i/>
          <w:iCs/>
        </w:rPr>
        <w:t>W</w:t>
      </w:r>
      <w:r w:rsidRPr="0047025D">
        <w:rPr>
          <w:rFonts w:cs="Times New Roman"/>
          <w:i/>
          <w:iCs/>
        </w:rPr>
        <w:t xml:space="preserve">eek </w:t>
      </w:r>
      <w:r w:rsidR="00335E79" w:rsidRPr="0047025D">
        <w:rPr>
          <w:rFonts w:cs="Times New Roman"/>
          <w:i/>
          <w:iCs/>
        </w:rPr>
        <w:t>F</w:t>
      </w:r>
      <w:r w:rsidRPr="0047025D">
        <w:rPr>
          <w:rFonts w:cs="Times New Roman"/>
          <w:i/>
          <w:iCs/>
        </w:rPr>
        <w:t>ollow-</w:t>
      </w:r>
      <w:r w:rsidR="00335E79" w:rsidRPr="0047025D">
        <w:rPr>
          <w:rFonts w:cs="Times New Roman"/>
          <w:i/>
          <w:iCs/>
        </w:rPr>
        <w:t>U</w:t>
      </w:r>
      <w:r w:rsidRPr="0047025D">
        <w:rPr>
          <w:rFonts w:cs="Times New Roman"/>
          <w:i/>
          <w:iCs/>
        </w:rPr>
        <w:t xml:space="preserve">p </w:t>
      </w:r>
      <w:r w:rsidR="00335E79" w:rsidRPr="0047025D">
        <w:rPr>
          <w:rFonts w:cs="Times New Roman"/>
          <w:i/>
          <w:iCs/>
        </w:rPr>
        <w:t>S</w:t>
      </w:r>
      <w:r w:rsidRPr="0047025D">
        <w:rPr>
          <w:rFonts w:cs="Times New Roman"/>
          <w:i/>
          <w:iCs/>
        </w:rPr>
        <w:t>urvey</w:t>
      </w:r>
      <w:r w:rsidRPr="0047025D">
        <w:rPr>
          <w:rFonts w:cs="Times New Roman"/>
        </w:rPr>
        <w:t xml:space="preserve"> will be completed by phone or online and at a time convenient to respondents, allowing for completion during times that do not impact their small organization. </w:t>
      </w:r>
    </w:p>
    <w:p w14:paraId="0B781820" w14:textId="77777777" w:rsidR="003D629A" w:rsidRDefault="003D629A" w:rsidP="001629CD">
      <w:r w:rsidRPr="00624DDC">
        <w:rPr>
          <w:b/>
        </w:rPr>
        <w:t>A6</w:t>
      </w:r>
      <w:r>
        <w:t>.</w:t>
      </w:r>
      <w:r>
        <w:tab/>
      </w:r>
      <w:r w:rsidRPr="005E3F36">
        <w:rPr>
          <w:b/>
        </w:rPr>
        <w:t>Consequences of Less Frequent Collection</w:t>
      </w:r>
      <w:r>
        <w:t xml:space="preserve">  </w:t>
      </w:r>
    </w:p>
    <w:p w14:paraId="19424903" w14:textId="6D4887D5" w:rsidR="00E13C45" w:rsidRPr="00455D20" w:rsidRDefault="00F52BE8" w:rsidP="00A85897">
      <w:r>
        <w:rPr>
          <w:rFonts w:cs="Times New Roman"/>
        </w:rPr>
        <w:t xml:space="preserve">This is the first time a survey will be administered to this population and efforts have been made to reduce the burden as much as possible. </w:t>
      </w:r>
      <w:r w:rsidR="003D629A" w:rsidRPr="00455D20">
        <w:rPr>
          <w:rFonts w:cs="Times New Roman"/>
        </w:rPr>
        <w:t xml:space="preserve">This study includes a survey offered immediately after an interaction with the NHTH and a survey two weeks after an interaction with the NHTH. The purpose of this research design is to obtain immediate feedback </w:t>
      </w:r>
      <w:r w:rsidR="00335E79" w:rsidRPr="00455D20">
        <w:rPr>
          <w:rFonts w:cs="Times New Roman"/>
        </w:rPr>
        <w:t xml:space="preserve">from </w:t>
      </w:r>
      <w:r w:rsidR="00335E79">
        <w:rPr>
          <w:rFonts w:cs="Times New Roman"/>
        </w:rPr>
        <w:t xml:space="preserve">NHTH </w:t>
      </w:r>
      <w:r w:rsidR="00335E79" w:rsidRPr="00455D20">
        <w:rPr>
          <w:rFonts w:cs="Times New Roman"/>
        </w:rPr>
        <w:t xml:space="preserve">contactors </w:t>
      </w:r>
      <w:r w:rsidR="003D629A" w:rsidRPr="00455D20">
        <w:rPr>
          <w:rFonts w:cs="Times New Roman"/>
        </w:rPr>
        <w:t>about the</w:t>
      </w:r>
      <w:r w:rsidR="00335E79">
        <w:rPr>
          <w:rFonts w:cs="Times New Roman"/>
        </w:rPr>
        <w:t xml:space="preserve">ir interaction with the hotline </w:t>
      </w:r>
      <w:r w:rsidR="003D629A" w:rsidRPr="00455D20">
        <w:rPr>
          <w:rFonts w:cs="Times New Roman"/>
        </w:rPr>
        <w:t xml:space="preserve">and </w:t>
      </w:r>
      <w:r w:rsidR="00335E79">
        <w:rPr>
          <w:rFonts w:cs="Times New Roman"/>
        </w:rPr>
        <w:t>assess</w:t>
      </w:r>
      <w:r w:rsidR="003D629A" w:rsidRPr="00455D20">
        <w:rPr>
          <w:rFonts w:cs="Times New Roman"/>
        </w:rPr>
        <w:t xml:space="preserve"> </w:t>
      </w:r>
      <w:r w:rsidR="00B8072A">
        <w:rPr>
          <w:rFonts w:cs="Times New Roman"/>
        </w:rPr>
        <w:t>user satisfaction and the utility of information provided</w:t>
      </w:r>
      <w:r w:rsidR="003D629A" w:rsidRPr="00455D20">
        <w:rPr>
          <w:rFonts w:cs="Times New Roman"/>
        </w:rPr>
        <w:t xml:space="preserve"> two weeks </w:t>
      </w:r>
      <w:r w:rsidR="00335E79">
        <w:rPr>
          <w:rFonts w:cs="Times New Roman"/>
        </w:rPr>
        <w:t>later</w:t>
      </w:r>
      <w:r w:rsidR="003D629A" w:rsidRPr="00455D20">
        <w:rPr>
          <w:rFonts w:cs="Times New Roman"/>
        </w:rPr>
        <w:t xml:space="preserve">. </w:t>
      </w:r>
      <w:r w:rsidR="00335E79">
        <w:rPr>
          <w:rFonts w:cs="Times New Roman"/>
        </w:rPr>
        <w:t>T</w:t>
      </w:r>
      <w:r w:rsidR="003D629A" w:rsidRPr="00455D20">
        <w:rPr>
          <w:rFonts w:cs="Times New Roman"/>
        </w:rPr>
        <w:t>o</w:t>
      </w:r>
      <w:r w:rsidR="00335E79">
        <w:rPr>
          <w:rFonts w:cs="Times New Roman"/>
        </w:rPr>
        <w:t xml:space="preserve"> adequately</w:t>
      </w:r>
      <w:r w:rsidR="003D629A" w:rsidRPr="00455D20">
        <w:rPr>
          <w:rFonts w:cs="Times New Roman"/>
        </w:rPr>
        <w:t xml:space="preserve"> address the research questions, it is necessary that we obtain data from participants at both time points. Specifically, </w:t>
      </w:r>
      <w:r w:rsidR="00335E79">
        <w:rPr>
          <w:rFonts w:cs="Times New Roman"/>
        </w:rPr>
        <w:t>by</w:t>
      </w:r>
      <w:r w:rsidR="003D629A" w:rsidRPr="00455D20">
        <w:rPr>
          <w:rFonts w:cs="Times New Roman"/>
        </w:rPr>
        <w:t xml:space="preserve"> not collect</w:t>
      </w:r>
      <w:r w:rsidR="00335E79">
        <w:rPr>
          <w:rFonts w:cs="Times New Roman"/>
        </w:rPr>
        <w:t>ing</w:t>
      </w:r>
      <w:r w:rsidR="003D629A" w:rsidRPr="00455D20">
        <w:rPr>
          <w:rFonts w:cs="Times New Roman"/>
        </w:rPr>
        <w:t xml:space="preserve"> </w:t>
      </w:r>
      <w:r w:rsidR="00B52AC8">
        <w:rPr>
          <w:rFonts w:cs="Times New Roman"/>
        </w:rPr>
        <w:t xml:space="preserve">the </w:t>
      </w:r>
      <w:r w:rsidR="00335E79">
        <w:rPr>
          <w:rFonts w:cs="Times New Roman"/>
        </w:rPr>
        <w:t xml:space="preserve">information </w:t>
      </w:r>
      <w:r w:rsidR="00B52AC8">
        <w:rPr>
          <w:rFonts w:cs="Times New Roman"/>
        </w:rPr>
        <w:t>sought in the</w:t>
      </w:r>
      <w:r w:rsidR="00B52AC8" w:rsidRPr="00B52AC8">
        <w:rPr>
          <w:rFonts w:cs="Times New Roman"/>
          <w:i/>
          <w:iCs/>
        </w:rPr>
        <w:t xml:space="preserve"> Two-Week Follow-Up Survey</w:t>
      </w:r>
      <w:r w:rsidR="003D629A" w:rsidRPr="00455D20">
        <w:rPr>
          <w:rFonts w:cs="Times New Roman"/>
        </w:rPr>
        <w:t xml:space="preserve">, we will not be able to answer the research questions related to </w:t>
      </w:r>
      <w:r w:rsidR="00B52AC8">
        <w:rPr>
          <w:rFonts w:cs="Times New Roman"/>
        </w:rPr>
        <w:t>outcomes of contacting the NHTH, including if</w:t>
      </w:r>
      <w:r w:rsidR="003D629A" w:rsidRPr="00455D20">
        <w:rPr>
          <w:rFonts w:cs="Times New Roman"/>
        </w:rPr>
        <w:t xml:space="preserve"> NHTH contactor</w:t>
      </w:r>
      <w:r w:rsidR="00E13C45">
        <w:rPr>
          <w:rFonts w:cs="Times New Roman"/>
        </w:rPr>
        <w:t xml:space="preserve">s’ </w:t>
      </w:r>
      <w:r w:rsidR="00B52AC8">
        <w:rPr>
          <w:rFonts w:cs="Times New Roman"/>
        </w:rPr>
        <w:t xml:space="preserve">knowledge </w:t>
      </w:r>
      <w:r w:rsidR="00E13C45">
        <w:rPr>
          <w:rFonts w:cs="Times New Roman"/>
        </w:rPr>
        <w:t xml:space="preserve">increases as a result of their contact and if contactors </w:t>
      </w:r>
      <w:r w:rsidR="003D629A" w:rsidRPr="00455D20">
        <w:rPr>
          <w:rFonts w:cs="Times New Roman"/>
        </w:rPr>
        <w:t xml:space="preserve">use the resources, referrals, </w:t>
      </w:r>
      <w:r w:rsidR="00B52AC8">
        <w:rPr>
          <w:rFonts w:cs="Times New Roman"/>
        </w:rPr>
        <w:t>and</w:t>
      </w:r>
      <w:r w:rsidR="003D629A" w:rsidRPr="00455D20">
        <w:rPr>
          <w:rFonts w:cs="Times New Roman"/>
        </w:rPr>
        <w:t xml:space="preserve"> information that the NHTH provided. </w:t>
      </w:r>
    </w:p>
    <w:p w14:paraId="1EF7B336" w14:textId="77777777" w:rsidR="003D629A" w:rsidRDefault="003D629A" w:rsidP="001629CD">
      <w:pPr>
        <w:rPr>
          <w:b/>
        </w:rPr>
      </w:pPr>
      <w:r w:rsidRPr="00624DDC">
        <w:rPr>
          <w:b/>
        </w:rPr>
        <w:t>A7</w:t>
      </w:r>
      <w:r>
        <w:t>.</w:t>
      </w:r>
      <w:r>
        <w:tab/>
      </w:r>
      <w:r w:rsidRPr="00834C54">
        <w:rPr>
          <w:b/>
        </w:rPr>
        <w:t>Now subsumed under 2(b) above and 10 (below)</w:t>
      </w:r>
    </w:p>
    <w:p w14:paraId="1FA2DE29" w14:textId="77777777" w:rsidR="003D629A" w:rsidRDefault="003D629A" w:rsidP="001629CD">
      <w:pPr>
        <w:rPr>
          <w:b/>
        </w:rPr>
      </w:pPr>
      <w:r w:rsidRPr="00624DDC">
        <w:rPr>
          <w:b/>
        </w:rPr>
        <w:t>A8</w:t>
      </w:r>
      <w:r>
        <w:t>.</w:t>
      </w:r>
      <w:r>
        <w:tab/>
      </w:r>
      <w:r w:rsidRPr="00834C54">
        <w:rPr>
          <w:b/>
        </w:rPr>
        <w:t>Consultation</w:t>
      </w:r>
    </w:p>
    <w:p w14:paraId="46317F92" w14:textId="77777777" w:rsidR="003D629A" w:rsidRPr="00060B30" w:rsidRDefault="003D629A" w:rsidP="00A85897">
      <w:pPr>
        <w:spacing w:after="120" w:line="240" w:lineRule="auto"/>
        <w:rPr>
          <w:i/>
        </w:rPr>
      </w:pPr>
      <w:r w:rsidRPr="00060B30">
        <w:rPr>
          <w:i/>
        </w:rPr>
        <w:t>Federal Register Notice and Comments</w:t>
      </w:r>
    </w:p>
    <w:p w14:paraId="73F7D21D" w14:textId="77777777" w:rsidR="00EF6F0F" w:rsidRDefault="003D629A" w:rsidP="00A85897">
      <w:r w:rsidRPr="00F4788E">
        <w:t>In accordance with the Paperwork Reduction Act of 1995 (Pub. L. 104-13</w:t>
      </w:r>
      <w:r>
        <w:t>)</w:t>
      </w:r>
      <w:r w:rsidRPr="00F4788E">
        <w:t xml:space="preserve"> and Office of Management and Budget (OMB) regulations at 5 CFR Part 1320 (60 FR 44978, August 29, 1995), ACF published a notice in the Federal Register announcing the agency’s intention to </w:t>
      </w:r>
      <w:r w:rsidRPr="001E1086">
        <w:t xml:space="preserve">request an OMB review of this information collection activity.  This notice was </w:t>
      </w:r>
      <w:r w:rsidRPr="00060B30">
        <w:t xml:space="preserve">published on </w:t>
      </w:r>
      <w:r w:rsidR="000117C5">
        <w:t>August 28, 2019</w:t>
      </w:r>
      <w:r w:rsidRPr="00060B30">
        <w:t xml:space="preserve">, Volume </w:t>
      </w:r>
      <w:r w:rsidR="000117C5">
        <w:t>84</w:t>
      </w:r>
      <w:r w:rsidRPr="00060B30">
        <w:t xml:space="preserve">, Number </w:t>
      </w:r>
      <w:r w:rsidR="000117C5">
        <w:t>167,</w:t>
      </w:r>
      <w:r w:rsidRPr="00060B30">
        <w:t xml:space="preserve"> page </w:t>
      </w:r>
      <w:r w:rsidR="000117C5" w:rsidRPr="002E5E82">
        <w:t>45155</w:t>
      </w:r>
      <w:r w:rsidRPr="002E5E82">
        <w:t>, and</w:t>
      </w:r>
      <w:r w:rsidRPr="00060B30">
        <w:t xml:space="preserve"> provided a sixty-day period for public comment.  </w:t>
      </w:r>
      <w:r w:rsidRPr="000311B9">
        <w:t xml:space="preserve">A copy of this notice is attached as </w:t>
      </w:r>
      <w:r w:rsidR="00AF51EB">
        <w:rPr>
          <w:b/>
          <w:bCs/>
        </w:rPr>
        <w:t>Appendix</w:t>
      </w:r>
      <w:r w:rsidRPr="000311B9">
        <w:rPr>
          <w:b/>
          <w:bCs/>
        </w:rPr>
        <w:t xml:space="preserve"> </w:t>
      </w:r>
      <w:r w:rsidR="001E3C3C">
        <w:rPr>
          <w:b/>
          <w:bCs/>
        </w:rPr>
        <w:t>C</w:t>
      </w:r>
      <w:r w:rsidRPr="00EF6F0F">
        <w:t xml:space="preserve">.  During the notice and comment period, </w:t>
      </w:r>
      <w:r w:rsidR="0056603F" w:rsidRPr="00EF6F0F">
        <w:t xml:space="preserve">two </w:t>
      </w:r>
      <w:r w:rsidR="004858AD" w:rsidRPr="00EF6F0F">
        <w:t>request</w:t>
      </w:r>
      <w:r w:rsidR="0056603F" w:rsidRPr="00EF6F0F">
        <w:t>s</w:t>
      </w:r>
      <w:r w:rsidR="004858AD" w:rsidRPr="00EF6F0F">
        <w:t xml:space="preserve"> for the information collection </w:t>
      </w:r>
      <w:r w:rsidR="0056603F" w:rsidRPr="00EF6F0F">
        <w:t xml:space="preserve">were </w:t>
      </w:r>
      <w:r w:rsidR="004858AD" w:rsidRPr="00EF6F0F">
        <w:t xml:space="preserve">received and fulfilled. </w:t>
      </w:r>
      <w:r w:rsidR="0056603F" w:rsidRPr="00EF6F0F">
        <w:t>S</w:t>
      </w:r>
      <w:r w:rsidR="004858AD" w:rsidRPr="00EF6F0F">
        <w:t>ubstantive comments were received</w:t>
      </w:r>
      <w:r w:rsidR="0056603F" w:rsidRPr="00EF6F0F">
        <w:t xml:space="preserve"> by one requestor, </w:t>
      </w:r>
      <w:r w:rsidR="00EF6F0F" w:rsidRPr="00EF6F0F">
        <w:t xml:space="preserve">the </w:t>
      </w:r>
      <w:r w:rsidR="0056603F" w:rsidRPr="00EF6F0F">
        <w:t xml:space="preserve">Executive Director of Freedom Network USA (FNUSA), </w:t>
      </w:r>
      <w:r w:rsidR="00EF6F0F" w:rsidRPr="00EF6F0F">
        <w:t xml:space="preserve">Jean Bruggeman, </w:t>
      </w:r>
      <w:r w:rsidR="0056603F" w:rsidRPr="00EF6F0F">
        <w:t>on behalf of FNUSA</w:t>
      </w:r>
      <w:r w:rsidR="00EF6F0F" w:rsidRPr="00EF6F0F">
        <w:rPr>
          <w:rStyle w:val="FootnoteReference"/>
        </w:rPr>
        <w:footnoteReference w:id="1"/>
      </w:r>
      <w:r w:rsidR="001629CD">
        <w:t xml:space="preserve"> (see </w:t>
      </w:r>
      <w:r w:rsidR="001629CD" w:rsidRPr="001629CD">
        <w:rPr>
          <w:b/>
          <w:bCs/>
        </w:rPr>
        <w:t>Appendix D</w:t>
      </w:r>
      <w:r w:rsidR="001629CD">
        <w:t>).</w:t>
      </w:r>
      <w:r w:rsidR="00EF6F0F" w:rsidRPr="00EF6F0F">
        <w:t xml:space="preserve"> </w:t>
      </w:r>
    </w:p>
    <w:p w14:paraId="054486B8" w14:textId="77777777" w:rsidR="00455D20" w:rsidRDefault="0056603F" w:rsidP="00C417BB">
      <w:r w:rsidRPr="00EF6F0F">
        <w:t>FNUSA’s</w:t>
      </w:r>
      <w:r>
        <w:t xml:space="preserve"> comments expressed support for a robust evaluation of the NHTH</w:t>
      </w:r>
      <w:r w:rsidR="00107067">
        <w:t xml:space="preserve"> and offered t</w:t>
      </w:r>
      <w:r>
        <w:t>wo suggestions</w:t>
      </w:r>
      <w:r w:rsidR="00107067">
        <w:t xml:space="preserve">, both which followed the critique </w:t>
      </w:r>
      <w:r>
        <w:t xml:space="preserve">that </w:t>
      </w:r>
      <w:r w:rsidR="00107067">
        <w:t>“</w:t>
      </w:r>
      <w:r>
        <w:t xml:space="preserve">the NHTH </w:t>
      </w:r>
      <w:r w:rsidR="00107067" w:rsidRPr="00107067">
        <w:t>is currently operated with a dual purpose</w:t>
      </w:r>
      <w:r w:rsidR="00107067">
        <w:t>” ([1] c</w:t>
      </w:r>
      <w:r w:rsidR="00107067" w:rsidRPr="00107067">
        <w:t>onnect</w:t>
      </w:r>
      <w:r w:rsidR="00107067">
        <w:t>ing</w:t>
      </w:r>
      <w:r w:rsidR="00107067" w:rsidRPr="00107067">
        <w:t xml:space="preserve"> survivors with services and support</w:t>
      </w:r>
      <w:r w:rsidR="00107067">
        <w:t xml:space="preserve"> and [2] </w:t>
      </w:r>
      <w:r w:rsidR="00107067" w:rsidRPr="00107067">
        <w:t>serv</w:t>
      </w:r>
      <w:r w:rsidR="00107067">
        <w:t>ing</w:t>
      </w:r>
      <w:r w:rsidR="00107067" w:rsidRPr="00107067">
        <w:t xml:space="preserve"> as a law enforcement tip line</w:t>
      </w:r>
      <w:r w:rsidR="00107067">
        <w:t>)</w:t>
      </w:r>
      <w:r w:rsidR="00EF6F0F">
        <w:t>. The first suggestion</w:t>
      </w:r>
      <w:r w:rsidR="007F7C6E">
        <w:t>, that “</w:t>
      </w:r>
      <w:r w:rsidRPr="0056603F">
        <w:t xml:space="preserve">an analysis of the NHTH address </w:t>
      </w:r>
      <w:r>
        <w:t>this</w:t>
      </w:r>
      <w:r w:rsidRPr="0056603F">
        <w:t xml:space="preserve"> unique incorporation of a law enforcement tip line into a victim hotline, and the impact on the quantity and quality of services and support provided to survivors who are calling the hotline in search of services and support</w:t>
      </w:r>
      <w:r w:rsidR="007F7C6E">
        <w:t>,</w:t>
      </w:r>
      <w:r>
        <w:t>”</w:t>
      </w:r>
      <w:r w:rsidR="00F11528">
        <w:t xml:space="preserve"> </w:t>
      </w:r>
      <w:r w:rsidR="007F7C6E">
        <w:t xml:space="preserve">is pertinent to the broader NHTH evaluation project. </w:t>
      </w:r>
      <w:r w:rsidR="000A13DB">
        <w:t>Data</w:t>
      </w:r>
      <w:r w:rsidR="000706D0">
        <w:t xml:space="preserve"> </w:t>
      </w:r>
      <w:r w:rsidR="000A13DB">
        <w:t>obtained through o</w:t>
      </w:r>
      <w:r w:rsidR="00C417BB">
        <w:t xml:space="preserve">ther </w:t>
      </w:r>
      <w:r w:rsidR="000A13DB">
        <w:t>evaluation activities</w:t>
      </w:r>
      <w:r w:rsidR="000706D0">
        <w:t xml:space="preserve"> (described in section A2</w:t>
      </w:r>
      <w:r w:rsidR="000706D0" w:rsidRPr="00F11528">
        <w:t xml:space="preserve">, </w:t>
      </w:r>
      <w:r w:rsidR="000706D0" w:rsidRPr="00F11528">
        <w:rPr>
          <w:i/>
          <w:iCs/>
        </w:rPr>
        <w:t>Other Data Sources and Uses of Information</w:t>
      </w:r>
      <w:r w:rsidR="000706D0">
        <w:t>)</w:t>
      </w:r>
      <w:r w:rsidR="0061265E">
        <w:t>, including administrative and observational data,</w:t>
      </w:r>
      <w:r w:rsidR="000A13DB">
        <w:t xml:space="preserve"> will be used to </w:t>
      </w:r>
      <w:r w:rsidR="0061265E">
        <w:t>assess</w:t>
      </w:r>
      <w:r w:rsidR="000A13DB">
        <w:t xml:space="preserve"> </w:t>
      </w:r>
      <w:r w:rsidR="0061265E">
        <w:t>the quality and quantity of services and support offered to survivor contactors</w:t>
      </w:r>
      <w:r w:rsidR="00C417BB">
        <w:t>. The second suggestion</w:t>
      </w:r>
      <w:r w:rsidR="0061265E">
        <w:t xml:space="preserve">, </w:t>
      </w:r>
      <w:r w:rsidR="00C417BB">
        <w:t xml:space="preserve">that </w:t>
      </w:r>
      <w:r w:rsidR="0061265E">
        <w:t>this data collection</w:t>
      </w:r>
      <w:r w:rsidR="00C417BB">
        <w:t xml:space="preserve"> “</w:t>
      </w:r>
      <w:r w:rsidRPr="0056603F">
        <w:t>identify what type of caller (e.g. potential survivor, potential witness reporting a possible trafficking crime, caller asking for general information, or other caller) is responding to the survey, and whether the level of satisfaction with the NHTH differs among these groups</w:t>
      </w:r>
      <w:r w:rsidR="00C417BB">
        <w:t>,</w:t>
      </w:r>
      <w:r>
        <w:t>”</w:t>
      </w:r>
      <w:r w:rsidR="00C417BB">
        <w:t xml:space="preserve"> will be </w:t>
      </w:r>
      <w:r w:rsidR="0061265E">
        <w:t xml:space="preserve">addressed through </w:t>
      </w:r>
      <w:r w:rsidR="005705C6">
        <w:t>the linking of survey data and NHTH administrative data (as described in section A2</w:t>
      </w:r>
      <w:r w:rsidR="005705C6" w:rsidRPr="00F11528">
        <w:t xml:space="preserve">, </w:t>
      </w:r>
      <w:r w:rsidR="005705C6" w:rsidRPr="00F11528">
        <w:rPr>
          <w:i/>
          <w:iCs/>
        </w:rPr>
        <w:t>Other Data Sources and Uses of Information</w:t>
      </w:r>
      <w:r w:rsidR="005705C6">
        <w:t xml:space="preserve">, and in more detail in </w:t>
      </w:r>
      <w:r w:rsidR="005705C6" w:rsidRPr="00FD6DCA">
        <w:rPr>
          <w:bCs/>
        </w:rPr>
        <w:t>Supporting Statement Part B, Section B</w:t>
      </w:r>
      <w:r w:rsidR="005705C6">
        <w:rPr>
          <w:bCs/>
        </w:rPr>
        <w:t xml:space="preserve">5, </w:t>
      </w:r>
      <w:r w:rsidR="005705C6">
        <w:rPr>
          <w:bCs/>
          <w:i/>
          <w:iCs/>
        </w:rPr>
        <w:t>Nonresponse</w:t>
      </w:r>
      <w:r w:rsidR="005705C6">
        <w:t>).</w:t>
      </w:r>
    </w:p>
    <w:p w14:paraId="30F0EEC7" w14:textId="77777777" w:rsidR="003D629A" w:rsidRPr="001629CD" w:rsidRDefault="003D629A" w:rsidP="00A85897">
      <w:pPr>
        <w:pStyle w:val="Heading4"/>
        <w:spacing w:before="0" w:after="120"/>
        <w:rPr>
          <w:rFonts w:asciiTheme="minorHAnsi" w:hAnsiTheme="minorHAnsi" w:cstheme="minorHAnsi"/>
          <w:b w:val="0"/>
          <w:i/>
          <w:sz w:val="22"/>
          <w:szCs w:val="22"/>
        </w:rPr>
      </w:pPr>
      <w:bookmarkStart w:id="5" w:name="_Hlk22714617"/>
      <w:r w:rsidRPr="001629CD">
        <w:rPr>
          <w:rFonts w:asciiTheme="minorHAnsi" w:hAnsiTheme="minorHAnsi" w:cstheme="minorHAnsi"/>
          <w:b w:val="0"/>
          <w:i/>
          <w:sz w:val="22"/>
          <w:szCs w:val="22"/>
        </w:rPr>
        <w:t>Consultation with Experts Outside of the Study</w:t>
      </w:r>
    </w:p>
    <w:p w14:paraId="26050908" w14:textId="77777777" w:rsidR="003D629A" w:rsidRPr="00455D20" w:rsidRDefault="003D629A" w:rsidP="00A85897">
      <w:pPr>
        <w:rPr>
          <w:rFonts w:cs="Times New Roman"/>
        </w:rPr>
      </w:pPr>
      <w:r w:rsidRPr="00455D20">
        <w:rPr>
          <w:rFonts w:cs="Times New Roman"/>
        </w:rPr>
        <w:t xml:space="preserve">We consulted with </w:t>
      </w:r>
      <w:bookmarkStart w:id="6" w:name="_Hlk22720438"/>
      <w:r w:rsidRPr="00455D20">
        <w:rPr>
          <w:rFonts w:cs="Times New Roman"/>
        </w:rPr>
        <w:t>six non-federal experts in the fields of human trafficking and victim services, research, and hotline services and evaluation</w:t>
      </w:r>
      <w:bookmarkEnd w:id="6"/>
      <w:r w:rsidRPr="00455D20">
        <w:rPr>
          <w:rFonts w:cs="Times New Roman"/>
        </w:rPr>
        <w:t>, as well as with representatives from Polaris. We solicited input from four researchers (Amy Farrell, PhD, Northeastern University; Madelyn Gould, PhD, MPH Columbia University; Cris Sullivan, PhD, Michigan State University, and Emily Rothman, PhD, Boston University), one service provider (Kate Keisel-Caballero, MSW</w:t>
      </w:r>
      <w:r w:rsidR="00CE2905">
        <w:rPr>
          <w:rFonts w:cs="Times New Roman"/>
        </w:rPr>
        <w:t xml:space="preserve">, </w:t>
      </w:r>
      <w:r w:rsidRPr="00455D20">
        <w:rPr>
          <w:rFonts w:cs="Times New Roman"/>
        </w:rPr>
        <w:t xml:space="preserve">Sanar Wellness Institute), and one survivor </w:t>
      </w:r>
      <w:r w:rsidR="006A3821">
        <w:rPr>
          <w:rFonts w:cs="Times New Roman"/>
        </w:rPr>
        <w:t xml:space="preserve">expert </w:t>
      </w:r>
      <w:r w:rsidRPr="00455D20">
        <w:rPr>
          <w:rFonts w:cs="Times New Roman"/>
        </w:rPr>
        <w:t xml:space="preserve">(Jennifer Hammer). Researchers were asked about their experience with evaluation of hotlines or interventions with sensitive populations and for guidance on related topics including evaluation design, informed consent, data collection, response rates, feasibility and safety. The service provider and survivor </w:t>
      </w:r>
      <w:r w:rsidR="006A3821">
        <w:rPr>
          <w:rFonts w:cs="Times New Roman"/>
        </w:rPr>
        <w:t xml:space="preserve">expert </w:t>
      </w:r>
      <w:r w:rsidRPr="00455D20">
        <w:rPr>
          <w:rFonts w:cs="Times New Roman"/>
        </w:rPr>
        <w:t xml:space="preserve">were asked to advise on the feasibility of different follow-up tactics, the content of follow-up questions, and trauma-informed data collection considerations. </w:t>
      </w:r>
    </w:p>
    <w:bookmarkEnd w:id="5"/>
    <w:p w14:paraId="2A384F59" w14:textId="77777777" w:rsidR="003D629A" w:rsidRPr="00455D20" w:rsidRDefault="003D629A" w:rsidP="00A85897">
      <w:pPr>
        <w:rPr>
          <w:rFonts w:cs="Times New Roman"/>
        </w:rPr>
      </w:pPr>
      <w:r w:rsidRPr="00455D20">
        <w:rPr>
          <w:rFonts w:cs="Times New Roman"/>
        </w:rPr>
        <w:t xml:space="preserve">Polaris provided information on existing data availability and using NHTH technology to facilitate low-burden data collection, and input on the overall research design and survey questions. In addition to consulting with external experts, we obtained input from four RTI research scientists who have relevant expertise in sexual assault and intimate partner violence measurement and data collection, program evaluation, and/or survey methodology. The experts’ recommendations contributed to the development of the final research questions, study design, and survey instrument questions. </w:t>
      </w:r>
    </w:p>
    <w:p w14:paraId="4D48E232" w14:textId="77777777" w:rsidR="00E476CD" w:rsidRDefault="003D629A" w:rsidP="001629CD">
      <w:pPr>
        <w:rPr>
          <w:b/>
        </w:rPr>
      </w:pPr>
      <w:r w:rsidRPr="00624DDC">
        <w:rPr>
          <w:b/>
        </w:rPr>
        <w:t>A9</w:t>
      </w:r>
      <w:r>
        <w:t>.</w:t>
      </w:r>
      <w:r>
        <w:tab/>
      </w:r>
      <w:r w:rsidRPr="005B5FCC">
        <w:rPr>
          <w:b/>
        </w:rPr>
        <w:t>Tokens of Appreciation</w:t>
      </w:r>
    </w:p>
    <w:p w14:paraId="001A8257" w14:textId="77777777" w:rsidR="003D629A" w:rsidRDefault="00E478C9" w:rsidP="00E478C9">
      <w:pPr>
        <w:pStyle w:val="BodyText2"/>
        <w:spacing w:after="200" w:line="276" w:lineRule="auto"/>
        <w:ind w:firstLine="0"/>
        <w:rPr>
          <w:rFonts w:asciiTheme="minorHAnsi" w:hAnsiTheme="minorHAnsi"/>
          <w:szCs w:val="22"/>
        </w:rPr>
      </w:pPr>
      <w:r>
        <w:rPr>
          <w:rFonts w:asciiTheme="minorHAnsi" w:hAnsiTheme="minorHAnsi"/>
          <w:szCs w:val="22"/>
        </w:rPr>
        <w:t>T</w:t>
      </w:r>
      <w:r w:rsidR="00826D15">
        <w:rPr>
          <w:rFonts w:asciiTheme="minorHAnsi" w:hAnsiTheme="minorHAnsi"/>
          <w:szCs w:val="22"/>
        </w:rPr>
        <w:t>o retain respondents over the course of the data collection</w:t>
      </w:r>
      <w:r>
        <w:rPr>
          <w:rFonts w:asciiTheme="minorHAnsi" w:hAnsiTheme="minorHAnsi"/>
          <w:szCs w:val="22"/>
        </w:rPr>
        <w:t>, w</w:t>
      </w:r>
      <w:r w:rsidR="003D629A" w:rsidRPr="00696DE0">
        <w:rPr>
          <w:rFonts w:asciiTheme="minorHAnsi" w:hAnsiTheme="minorHAnsi"/>
          <w:szCs w:val="22"/>
        </w:rPr>
        <w:t xml:space="preserve">e </w:t>
      </w:r>
      <w:r w:rsidR="00E476CD">
        <w:rPr>
          <w:rFonts w:asciiTheme="minorHAnsi" w:hAnsiTheme="minorHAnsi"/>
          <w:szCs w:val="22"/>
        </w:rPr>
        <w:t>propose to</w:t>
      </w:r>
      <w:r w:rsidR="00E476CD" w:rsidRPr="00696DE0">
        <w:rPr>
          <w:rFonts w:asciiTheme="minorHAnsi" w:hAnsiTheme="minorHAnsi"/>
          <w:szCs w:val="22"/>
        </w:rPr>
        <w:t xml:space="preserve"> </w:t>
      </w:r>
      <w:r w:rsidR="003D629A" w:rsidRPr="00696DE0">
        <w:rPr>
          <w:rFonts w:asciiTheme="minorHAnsi" w:hAnsiTheme="minorHAnsi"/>
          <w:szCs w:val="22"/>
        </w:rPr>
        <w:t xml:space="preserve">offer a $10 gift card to NHTH </w:t>
      </w:r>
      <w:r w:rsidR="00E5388C">
        <w:rPr>
          <w:rFonts w:asciiTheme="minorHAnsi" w:hAnsiTheme="minorHAnsi"/>
          <w:szCs w:val="22"/>
        </w:rPr>
        <w:t>contactors</w:t>
      </w:r>
      <w:r w:rsidR="003D629A" w:rsidRPr="00696DE0">
        <w:rPr>
          <w:rFonts w:asciiTheme="minorHAnsi" w:hAnsiTheme="minorHAnsi"/>
          <w:szCs w:val="22"/>
        </w:rPr>
        <w:t xml:space="preserve"> who (1)</w:t>
      </w:r>
      <w:r w:rsidR="00BB5ACC">
        <w:rPr>
          <w:rFonts w:asciiTheme="minorHAnsi" w:hAnsiTheme="minorHAnsi"/>
          <w:szCs w:val="22"/>
        </w:rPr>
        <w:t xml:space="preserve"> </w:t>
      </w:r>
      <w:r w:rsidR="00DE2336">
        <w:rPr>
          <w:rFonts w:asciiTheme="minorHAnsi" w:hAnsiTheme="minorHAnsi"/>
          <w:szCs w:val="22"/>
        </w:rPr>
        <w:t xml:space="preserve">are transferred </w:t>
      </w:r>
      <w:r w:rsidR="00DE2336" w:rsidRPr="00DE2336">
        <w:rPr>
          <w:rFonts w:asciiTheme="minorHAnsi" w:hAnsiTheme="minorHAnsi"/>
          <w:szCs w:val="22"/>
        </w:rPr>
        <w:t xml:space="preserve">directly to a service provider </w:t>
      </w:r>
      <w:r w:rsidR="00DE2336">
        <w:rPr>
          <w:rFonts w:asciiTheme="minorHAnsi" w:hAnsiTheme="minorHAnsi"/>
          <w:szCs w:val="22"/>
        </w:rPr>
        <w:t xml:space="preserve">by a NHTH advocate and therefore </w:t>
      </w:r>
      <w:r w:rsidR="00BB5ACC">
        <w:rPr>
          <w:rFonts w:asciiTheme="minorHAnsi" w:hAnsiTheme="minorHAnsi"/>
          <w:szCs w:val="22"/>
        </w:rPr>
        <w:t xml:space="preserve">complete the </w:t>
      </w:r>
      <w:r w:rsidR="00BB5ACC" w:rsidRPr="00F52BE8">
        <w:rPr>
          <w:rFonts w:asciiTheme="minorHAnsi" w:hAnsiTheme="minorHAnsi"/>
          <w:i/>
          <w:iCs/>
          <w:szCs w:val="22"/>
        </w:rPr>
        <w:t>Immediate Survey</w:t>
      </w:r>
      <w:r w:rsidR="00BB5ACC" w:rsidRPr="00696DE0">
        <w:rPr>
          <w:rFonts w:asciiTheme="minorHAnsi" w:hAnsiTheme="minorHAnsi"/>
          <w:szCs w:val="22"/>
        </w:rPr>
        <w:t xml:space="preserve"> </w:t>
      </w:r>
      <w:r w:rsidR="00DE2336">
        <w:rPr>
          <w:rFonts w:asciiTheme="minorHAnsi" w:hAnsiTheme="minorHAnsi"/>
          <w:szCs w:val="22"/>
        </w:rPr>
        <w:t xml:space="preserve">later </w:t>
      </w:r>
      <w:r w:rsidR="00BB5ACC">
        <w:rPr>
          <w:rFonts w:asciiTheme="minorHAnsi" w:hAnsiTheme="minorHAnsi"/>
          <w:szCs w:val="22"/>
        </w:rPr>
        <w:t>by calling in</w:t>
      </w:r>
      <w:r w:rsidR="00DE2336">
        <w:rPr>
          <w:rFonts w:asciiTheme="minorHAnsi" w:hAnsiTheme="minorHAnsi"/>
          <w:szCs w:val="22"/>
        </w:rPr>
        <w:t xml:space="preserve"> </w:t>
      </w:r>
      <w:r w:rsidR="00BB5ACC">
        <w:rPr>
          <w:rFonts w:asciiTheme="minorHAnsi" w:hAnsiTheme="minorHAnsi"/>
          <w:szCs w:val="22"/>
        </w:rPr>
        <w:t>to the IVR</w:t>
      </w:r>
      <w:r w:rsidR="003D629A" w:rsidRPr="00696DE0">
        <w:rPr>
          <w:rFonts w:asciiTheme="minorHAnsi" w:hAnsiTheme="minorHAnsi"/>
          <w:szCs w:val="22"/>
        </w:rPr>
        <w:t xml:space="preserve"> </w:t>
      </w:r>
      <w:r w:rsidR="00BB5ACC">
        <w:rPr>
          <w:rFonts w:asciiTheme="minorHAnsi" w:hAnsiTheme="minorHAnsi"/>
          <w:szCs w:val="22"/>
        </w:rPr>
        <w:t>survey,</w:t>
      </w:r>
      <w:r w:rsidR="003D629A" w:rsidRPr="00696DE0">
        <w:rPr>
          <w:rFonts w:asciiTheme="minorHAnsi" w:hAnsiTheme="minorHAnsi"/>
          <w:szCs w:val="22"/>
        </w:rPr>
        <w:t xml:space="preserve"> and (2) complete the </w:t>
      </w:r>
      <w:r w:rsidR="00F52BE8" w:rsidRPr="00F52BE8">
        <w:rPr>
          <w:rFonts w:asciiTheme="minorHAnsi" w:hAnsiTheme="minorHAnsi"/>
          <w:i/>
          <w:iCs/>
          <w:szCs w:val="22"/>
        </w:rPr>
        <w:t>T</w:t>
      </w:r>
      <w:r w:rsidR="003D629A" w:rsidRPr="00F52BE8">
        <w:rPr>
          <w:rFonts w:asciiTheme="minorHAnsi" w:hAnsiTheme="minorHAnsi"/>
          <w:i/>
          <w:iCs/>
          <w:szCs w:val="22"/>
        </w:rPr>
        <w:t>wo-</w:t>
      </w:r>
      <w:r w:rsidR="00AA58EE">
        <w:rPr>
          <w:rFonts w:asciiTheme="minorHAnsi" w:hAnsiTheme="minorHAnsi"/>
          <w:i/>
          <w:iCs/>
          <w:szCs w:val="22"/>
        </w:rPr>
        <w:t>W</w:t>
      </w:r>
      <w:r w:rsidR="003D629A" w:rsidRPr="00F52BE8">
        <w:rPr>
          <w:rFonts w:asciiTheme="minorHAnsi" w:hAnsiTheme="minorHAnsi"/>
          <w:i/>
          <w:iCs/>
          <w:szCs w:val="22"/>
        </w:rPr>
        <w:t xml:space="preserve">eek </w:t>
      </w:r>
      <w:r w:rsidR="00F52BE8" w:rsidRPr="00F52BE8">
        <w:rPr>
          <w:rFonts w:asciiTheme="minorHAnsi" w:hAnsiTheme="minorHAnsi"/>
          <w:i/>
          <w:iCs/>
          <w:szCs w:val="22"/>
        </w:rPr>
        <w:t>F</w:t>
      </w:r>
      <w:r w:rsidR="003D629A" w:rsidRPr="00F52BE8">
        <w:rPr>
          <w:rFonts w:asciiTheme="minorHAnsi" w:hAnsiTheme="minorHAnsi"/>
          <w:i/>
          <w:iCs/>
          <w:szCs w:val="22"/>
        </w:rPr>
        <w:t>ollow-</w:t>
      </w:r>
      <w:r w:rsidR="00AA58EE">
        <w:rPr>
          <w:rFonts w:asciiTheme="minorHAnsi" w:hAnsiTheme="minorHAnsi"/>
          <w:i/>
          <w:iCs/>
          <w:szCs w:val="22"/>
        </w:rPr>
        <w:t>U</w:t>
      </w:r>
      <w:r w:rsidR="003D629A" w:rsidRPr="00F52BE8">
        <w:rPr>
          <w:rFonts w:asciiTheme="minorHAnsi" w:hAnsiTheme="minorHAnsi"/>
          <w:i/>
          <w:iCs/>
          <w:szCs w:val="22"/>
        </w:rPr>
        <w:t xml:space="preserve">p </w:t>
      </w:r>
      <w:r w:rsidR="00F52BE8" w:rsidRPr="00F52BE8">
        <w:rPr>
          <w:rFonts w:asciiTheme="minorHAnsi" w:hAnsiTheme="minorHAnsi"/>
          <w:i/>
          <w:iCs/>
          <w:szCs w:val="22"/>
        </w:rPr>
        <w:t>S</w:t>
      </w:r>
      <w:r w:rsidR="003D629A" w:rsidRPr="00F52BE8">
        <w:rPr>
          <w:rFonts w:asciiTheme="minorHAnsi" w:hAnsiTheme="minorHAnsi"/>
          <w:i/>
          <w:iCs/>
          <w:szCs w:val="22"/>
        </w:rPr>
        <w:t>urvey</w:t>
      </w:r>
      <w:r w:rsidR="003D629A" w:rsidRPr="00696DE0">
        <w:rPr>
          <w:rFonts w:asciiTheme="minorHAnsi" w:hAnsiTheme="minorHAnsi"/>
          <w:szCs w:val="22"/>
        </w:rPr>
        <w:t xml:space="preserve">. We will not offer tokens of appreciation to NHTH contactors who receive the </w:t>
      </w:r>
      <w:r w:rsidR="00DE2336" w:rsidRPr="00F52BE8">
        <w:rPr>
          <w:rFonts w:asciiTheme="minorHAnsi" w:hAnsiTheme="minorHAnsi"/>
          <w:i/>
          <w:iCs/>
          <w:szCs w:val="22"/>
        </w:rPr>
        <w:t>Immediate Survey</w:t>
      </w:r>
      <w:r w:rsidR="00DE2336" w:rsidRPr="00696DE0">
        <w:rPr>
          <w:rFonts w:asciiTheme="minorHAnsi" w:hAnsiTheme="minorHAnsi"/>
          <w:szCs w:val="22"/>
        </w:rPr>
        <w:t xml:space="preserve"> </w:t>
      </w:r>
      <w:r w:rsidR="003D629A" w:rsidRPr="00696DE0">
        <w:rPr>
          <w:rFonts w:asciiTheme="minorHAnsi" w:hAnsiTheme="minorHAnsi"/>
          <w:szCs w:val="22"/>
        </w:rPr>
        <w:t xml:space="preserve">immediately after their call, text, or </w:t>
      </w:r>
      <w:r w:rsidR="00BB5ACC">
        <w:rPr>
          <w:rFonts w:asciiTheme="minorHAnsi" w:hAnsiTheme="minorHAnsi"/>
          <w:szCs w:val="22"/>
        </w:rPr>
        <w:t>live online</w:t>
      </w:r>
      <w:r w:rsidR="003D629A" w:rsidRPr="00696DE0">
        <w:rPr>
          <w:rFonts w:asciiTheme="minorHAnsi" w:hAnsiTheme="minorHAnsi"/>
          <w:szCs w:val="22"/>
        </w:rPr>
        <w:t xml:space="preserve"> chat with the NHTH. The rationale behind this decision is to (1) increase response rates of NHTH contactors who </w:t>
      </w:r>
      <w:r w:rsidR="00F52BE8">
        <w:rPr>
          <w:rFonts w:asciiTheme="minorHAnsi" w:hAnsiTheme="minorHAnsi"/>
          <w:szCs w:val="22"/>
        </w:rPr>
        <w:t xml:space="preserve">will be asked to proactively call into </w:t>
      </w:r>
      <w:r w:rsidR="003D629A" w:rsidRPr="00696DE0">
        <w:rPr>
          <w:rFonts w:asciiTheme="minorHAnsi" w:hAnsiTheme="minorHAnsi"/>
          <w:szCs w:val="22"/>
        </w:rPr>
        <w:t xml:space="preserve">the </w:t>
      </w:r>
      <w:r w:rsidR="00F52BE8" w:rsidRPr="00F52BE8">
        <w:rPr>
          <w:rFonts w:asciiTheme="minorHAnsi" w:hAnsiTheme="minorHAnsi"/>
          <w:i/>
          <w:iCs/>
          <w:szCs w:val="22"/>
        </w:rPr>
        <w:t>I</w:t>
      </w:r>
      <w:r w:rsidR="003D629A" w:rsidRPr="00F52BE8">
        <w:rPr>
          <w:rFonts w:asciiTheme="minorHAnsi" w:hAnsiTheme="minorHAnsi"/>
          <w:i/>
          <w:iCs/>
          <w:szCs w:val="22"/>
        </w:rPr>
        <w:t xml:space="preserve">mmediate </w:t>
      </w:r>
      <w:r w:rsidR="00F52BE8" w:rsidRPr="00F52BE8">
        <w:rPr>
          <w:rFonts w:asciiTheme="minorHAnsi" w:hAnsiTheme="minorHAnsi"/>
          <w:i/>
          <w:iCs/>
          <w:szCs w:val="22"/>
        </w:rPr>
        <w:t>S</w:t>
      </w:r>
      <w:r w:rsidR="003D629A" w:rsidRPr="00F52BE8">
        <w:rPr>
          <w:rFonts w:asciiTheme="minorHAnsi" w:hAnsiTheme="minorHAnsi"/>
          <w:i/>
          <w:iCs/>
          <w:szCs w:val="22"/>
        </w:rPr>
        <w:t>urvey</w:t>
      </w:r>
      <w:r w:rsidR="00F52BE8">
        <w:rPr>
          <w:rFonts w:asciiTheme="minorHAnsi" w:hAnsiTheme="minorHAnsi"/>
          <w:szCs w:val="22"/>
        </w:rPr>
        <w:t>, rather than simply staying on the line and being transferred to the survey</w:t>
      </w:r>
      <w:r w:rsidR="0090554D">
        <w:rPr>
          <w:rFonts w:asciiTheme="minorHAnsi" w:hAnsiTheme="minorHAnsi"/>
          <w:szCs w:val="22"/>
        </w:rPr>
        <w:t>,</w:t>
      </w:r>
      <w:r w:rsidR="003D629A" w:rsidRPr="00696DE0">
        <w:rPr>
          <w:rFonts w:asciiTheme="minorHAnsi" w:hAnsiTheme="minorHAnsi"/>
          <w:szCs w:val="22"/>
        </w:rPr>
        <w:t xml:space="preserve"> </w:t>
      </w:r>
      <w:r w:rsidR="001375EC">
        <w:rPr>
          <w:rFonts w:asciiTheme="minorHAnsi" w:hAnsiTheme="minorHAnsi"/>
          <w:szCs w:val="22"/>
        </w:rPr>
        <w:t xml:space="preserve">and </w:t>
      </w:r>
      <w:r w:rsidR="003D629A" w:rsidRPr="00696DE0">
        <w:rPr>
          <w:rFonts w:asciiTheme="minorHAnsi" w:hAnsiTheme="minorHAnsi"/>
          <w:szCs w:val="22"/>
        </w:rPr>
        <w:t xml:space="preserve">(2) maintain </w:t>
      </w:r>
      <w:r w:rsidR="00E476CD">
        <w:rPr>
          <w:rFonts w:asciiTheme="minorHAnsi" w:hAnsiTheme="minorHAnsi"/>
          <w:szCs w:val="22"/>
        </w:rPr>
        <w:t>longitudinal</w:t>
      </w:r>
      <w:r w:rsidR="00E476CD" w:rsidRPr="00696DE0">
        <w:rPr>
          <w:rFonts w:asciiTheme="minorHAnsi" w:hAnsiTheme="minorHAnsi"/>
          <w:szCs w:val="22"/>
        </w:rPr>
        <w:t xml:space="preserve"> </w:t>
      </w:r>
      <w:r w:rsidR="003D629A" w:rsidRPr="00696DE0">
        <w:rPr>
          <w:rFonts w:asciiTheme="minorHAnsi" w:hAnsiTheme="minorHAnsi"/>
          <w:szCs w:val="22"/>
        </w:rPr>
        <w:t xml:space="preserve">participation </w:t>
      </w:r>
      <w:r w:rsidR="00F52BE8">
        <w:rPr>
          <w:rFonts w:asciiTheme="minorHAnsi" w:hAnsiTheme="minorHAnsi"/>
          <w:szCs w:val="22"/>
        </w:rPr>
        <w:t xml:space="preserve">and minimize nonresponse bias </w:t>
      </w:r>
      <w:r w:rsidR="003D629A" w:rsidRPr="00696DE0">
        <w:rPr>
          <w:rFonts w:asciiTheme="minorHAnsi" w:hAnsiTheme="minorHAnsi"/>
          <w:szCs w:val="22"/>
        </w:rPr>
        <w:t xml:space="preserve">in the </w:t>
      </w:r>
      <w:r w:rsidR="00F52BE8" w:rsidRPr="00F52BE8">
        <w:rPr>
          <w:rFonts w:asciiTheme="minorHAnsi" w:hAnsiTheme="minorHAnsi"/>
          <w:i/>
          <w:iCs/>
          <w:szCs w:val="22"/>
        </w:rPr>
        <w:t>T</w:t>
      </w:r>
      <w:r w:rsidR="003D629A" w:rsidRPr="00F52BE8">
        <w:rPr>
          <w:rFonts w:asciiTheme="minorHAnsi" w:hAnsiTheme="minorHAnsi"/>
          <w:i/>
          <w:iCs/>
          <w:szCs w:val="22"/>
        </w:rPr>
        <w:t>wo-</w:t>
      </w:r>
      <w:r w:rsidR="00F52BE8" w:rsidRPr="00F52BE8">
        <w:rPr>
          <w:rFonts w:asciiTheme="minorHAnsi" w:hAnsiTheme="minorHAnsi"/>
          <w:i/>
          <w:iCs/>
          <w:szCs w:val="22"/>
        </w:rPr>
        <w:t>W</w:t>
      </w:r>
      <w:r w:rsidR="003D629A" w:rsidRPr="00F52BE8">
        <w:rPr>
          <w:rFonts w:asciiTheme="minorHAnsi" w:hAnsiTheme="minorHAnsi"/>
          <w:i/>
          <w:iCs/>
          <w:szCs w:val="22"/>
        </w:rPr>
        <w:t xml:space="preserve">eek </w:t>
      </w:r>
      <w:r w:rsidR="00F52BE8" w:rsidRPr="00F52BE8">
        <w:rPr>
          <w:rFonts w:asciiTheme="minorHAnsi" w:hAnsiTheme="minorHAnsi"/>
          <w:i/>
          <w:iCs/>
          <w:szCs w:val="22"/>
        </w:rPr>
        <w:t>F</w:t>
      </w:r>
      <w:r w:rsidR="003D629A" w:rsidRPr="00F52BE8">
        <w:rPr>
          <w:rFonts w:asciiTheme="minorHAnsi" w:hAnsiTheme="minorHAnsi"/>
          <w:i/>
          <w:iCs/>
          <w:szCs w:val="22"/>
        </w:rPr>
        <w:t xml:space="preserve">ollow </w:t>
      </w:r>
      <w:r w:rsidR="00F52BE8" w:rsidRPr="00F52BE8">
        <w:rPr>
          <w:rFonts w:asciiTheme="minorHAnsi" w:hAnsiTheme="minorHAnsi"/>
          <w:i/>
          <w:iCs/>
          <w:szCs w:val="22"/>
        </w:rPr>
        <w:t>U</w:t>
      </w:r>
      <w:r w:rsidR="003D629A" w:rsidRPr="00F52BE8">
        <w:rPr>
          <w:rFonts w:asciiTheme="minorHAnsi" w:hAnsiTheme="minorHAnsi"/>
          <w:i/>
          <w:iCs/>
          <w:szCs w:val="22"/>
        </w:rPr>
        <w:t xml:space="preserve">p </w:t>
      </w:r>
      <w:r w:rsidR="00F52BE8" w:rsidRPr="00F52BE8">
        <w:rPr>
          <w:rFonts w:asciiTheme="minorHAnsi" w:hAnsiTheme="minorHAnsi"/>
          <w:i/>
          <w:iCs/>
          <w:szCs w:val="22"/>
        </w:rPr>
        <w:t>S</w:t>
      </w:r>
      <w:r w:rsidR="003D629A" w:rsidRPr="00F52BE8">
        <w:rPr>
          <w:rFonts w:asciiTheme="minorHAnsi" w:hAnsiTheme="minorHAnsi"/>
          <w:i/>
          <w:iCs/>
          <w:szCs w:val="22"/>
        </w:rPr>
        <w:t>urvey</w:t>
      </w:r>
      <w:r w:rsidR="00F52BE8">
        <w:rPr>
          <w:rFonts w:asciiTheme="minorHAnsi" w:hAnsiTheme="minorHAnsi"/>
          <w:i/>
          <w:iCs/>
          <w:szCs w:val="22"/>
        </w:rPr>
        <w:t>.</w:t>
      </w:r>
      <w:r w:rsidR="003D629A" w:rsidRPr="00696DE0">
        <w:rPr>
          <w:rFonts w:asciiTheme="minorHAnsi" w:hAnsiTheme="minorHAnsi"/>
          <w:szCs w:val="22"/>
        </w:rPr>
        <w:t xml:space="preserve"> </w:t>
      </w:r>
    </w:p>
    <w:p w14:paraId="140705D8" w14:textId="3A78B731" w:rsidR="003C58F1" w:rsidRPr="00696DE0" w:rsidRDefault="0090554D" w:rsidP="00E476CD">
      <w:pPr>
        <w:pStyle w:val="BodyText2"/>
        <w:spacing w:after="200" w:line="276" w:lineRule="auto"/>
        <w:ind w:firstLine="0"/>
        <w:rPr>
          <w:rFonts w:asciiTheme="minorHAnsi" w:hAnsiTheme="minorHAnsi"/>
          <w:szCs w:val="22"/>
        </w:rPr>
      </w:pPr>
      <w:r>
        <w:rPr>
          <w:rFonts w:asciiTheme="minorHAnsi" w:hAnsiTheme="minorHAnsi"/>
          <w:szCs w:val="22"/>
        </w:rPr>
        <w:t xml:space="preserve">We expect that the group of </w:t>
      </w:r>
      <w:r w:rsidRPr="00696DE0">
        <w:rPr>
          <w:rFonts w:asciiTheme="minorHAnsi" w:hAnsiTheme="minorHAnsi"/>
          <w:szCs w:val="22"/>
        </w:rPr>
        <w:t xml:space="preserve">NHTH contactors who </w:t>
      </w:r>
      <w:r>
        <w:rPr>
          <w:rFonts w:asciiTheme="minorHAnsi" w:hAnsiTheme="minorHAnsi"/>
          <w:szCs w:val="22"/>
        </w:rPr>
        <w:t xml:space="preserve">will be asked to proactively call into </w:t>
      </w:r>
      <w:r w:rsidRPr="00696DE0">
        <w:rPr>
          <w:rFonts w:asciiTheme="minorHAnsi" w:hAnsiTheme="minorHAnsi"/>
          <w:szCs w:val="22"/>
        </w:rPr>
        <w:t xml:space="preserve">the </w:t>
      </w:r>
      <w:r w:rsidRPr="00F52BE8">
        <w:rPr>
          <w:rFonts w:asciiTheme="minorHAnsi" w:hAnsiTheme="minorHAnsi"/>
          <w:i/>
          <w:iCs/>
          <w:szCs w:val="22"/>
        </w:rPr>
        <w:t>Immediate Survey</w:t>
      </w:r>
      <w:r w:rsidRPr="0090554D">
        <w:rPr>
          <w:rFonts w:asciiTheme="minorHAnsi" w:hAnsiTheme="minorHAnsi"/>
          <w:szCs w:val="22"/>
        </w:rPr>
        <w:t xml:space="preserve"> </w:t>
      </w:r>
      <w:r>
        <w:rPr>
          <w:rFonts w:asciiTheme="minorHAnsi" w:hAnsiTheme="minorHAnsi"/>
          <w:szCs w:val="22"/>
        </w:rPr>
        <w:t>because they are transferred directly to a third-party service provider will be</w:t>
      </w:r>
      <w:r w:rsidRPr="0090554D">
        <w:rPr>
          <w:rFonts w:asciiTheme="minorHAnsi" w:hAnsiTheme="minorHAnsi"/>
          <w:szCs w:val="22"/>
        </w:rPr>
        <w:t xml:space="preserve"> composed largely of trafficking </w:t>
      </w:r>
      <w:r>
        <w:rPr>
          <w:rFonts w:asciiTheme="minorHAnsi" w:hAnsiTheme="minorHAnsi"/>
          <w:szCs w:val="22"/>
        </w:rPr>
        <w:t xml:space="preserve">victims, </w:t>
      </w:r>
      <w:r w:rsidRPr="0090554D">
        <w:rPr>
          <w:rFonts w:asciiTheme="minorHAnsi" w:hAnsiTheme="minorHAnsi"/>
          <w:szCs w:val="22"/>
        </w:rPr>
        <w:t xml:space="preserve">a critical </w:t>
      </w:r>
      <w:r>
        <w:rPr>
          <w:rFonts w:asciiTheme="minorHAnsi" w:hAnsiTheme="minorHAnsi"/>
          <w:szCs w:val="22"/>
        </w:rPr>
        <w:t>sub-</w:t>
      </w:r>
      <w:r w:rsidRPr="0090554D">
        <w:rPr>
          <w:rFonts w:asciiTheme="minorHAnsi" w:hAnsiTheme="minorHAnsi"/>
          <w:szCs w:val="22"/>
        </w:rPr>
        <w:t>population of interest</w:t>
      </w:r>
      <w:r>
        <w:rPr>
          <w:rFonts w:asciiTheme="minorHAnsi" w:hAnsiTheme="minorHAnsi"/>
          <w:szCs w:val="22"/>
        </w:rPr>
        <w:t xml:space="preserve"> for this study.</w:t>
      </w:r>
      <w:r w:rsidRPr="0090554D">
        <w:rPr>
          <w:rFonts w:asciiTheme="minorHAnsi" w:hAnsiTheme="minorHAnsi"/>
          <w:szCs w:val="22"/>
        </w:rPr>
        <w:t xml:space="preserve"> </w:t>
      </w:r>
      <w:r w:rsidR="003C58F1" w:rsidRPr="00696DE0">
        <w:rPr>
          <w:rFonts w:asciiTheme="minorHAnsi" w:hAnsiTheme="minorHAnsi"/>
          <w:szCs w:val="22"/>
        </w:rPr>
        <w:t xml:space="preserve">Human trafficking victims are </w:t>
      </w:r>
      <w:r w:rsidR="003C58F1">
        <w:rPr>
          <w:rFonts w:asciiTheme="minorHAnsi" w:hAnsiTheme="minorHAnsi"/>
          <w:szCs w:val="22"/>
        </w:rPr>
        <w:t xml:space="preserve">a </w:t>
      </w:r>
      <w:r w:rsidR="003C58F1" w:rsidRPr="00696DE0">
        <w:rPr>
          <w:rFonts w:asciiTheme="minorHAnsi" w:hAnsiTheme="minorHAnsi"/>
          <w:szCs w:val="22"/>
        </w:rPr>
        <w:t>challenging population to engage in research because they are often burdened by multiple hardships (e.g., homelessness, trauma, safety-related issues) that impact their time and willingness to participate</w:t>
      </w:r>
      <w:r w:rsidR="00E476CD">
        <w:rPr>
          <w:rFonts w:asciiTheme="minorHAnsi" w:hAnsiTheme="minorHAnsi"/>
          <w:szCs w:val="22"/>
        </w:rPr>
        <w:t xml:space="preserve"> in research studies</w:t>
      </w:r>
      <w:r w:rsidR="003C58F1" w:rsidRPr="00696DE0">
        <w:rPr>
          <w:rFonts w:asciiTheme="minorHAnsi" w:hAnsiTheme="minorHAnsi"/>
          <w:szCs w:val="22"/>
        </w:rPr>
        <w:t xml:space="preserve"> (Brunovskis &amp; Surtees</w:t>
      </w:r>
      <w:r w:rsidR="003C58F1">
        <w:rPr>
          <w:rFonts w:asciiTheme="minorHAnsi" w:hAnsiTheme="minorHAnsi"/>
          <w:szCs w:val="22"/>
        </w:rPr>
        <w:t>,</w:t>
      </w:r>
      <w:r w:rsidR="003C58F1" w:rsidRPr="00696DE0">
        <w:rPr>
          <w:rFonts w:asciiTheme="minorHAnsi" w:hAnsiTheme="minorHAnsi"/>
          <w:szCs w:val="22"/>
        </w:rPr>
        <w:t xml:space="preserve"> 2010). </w:t>
      </w:r>
      <w:r w:rsidR="00E476CD">
        <w:rPr>
          <w:rFonts w:asciiTheme="minorHAnsi" w:hAnsiTheme="minorHAnsi"/>
          <w:szCs w:val="22"/>
        </w:rPr>
        <w:t>Further, p</w:t>
      </w:r>
      <w:r w:rsidR="003C58F1" w:rsidRPr="00696DE0">
        <w:rPr>
          <w:rFonts w:asciiTheme="minorHAnsi" w:hAnsiTheme="minorHAnsi"/>
          <w:szCs w:val="22"/>
        </w:rPr>
        <w:t>roviding tokens of appreciation to human trafficking victims for their input and feedback is widely accepted as a best practice in the field of human trafficking service provision</w:t>
      </w:r>
      <w:r w:rsidR="00E476CD">
        <w:rPr>
          <w:rFonts w:asciiTheme="minorHAnsi" w:hAnsiTheme="minorHAnsi"/>
          <w:szCs w:val="22"/>
        </w:rPr>
        <w:t xml:space="preserve"> </w:t>
      </w:r>
      <w:r w:rsidR="003C58F1">
        <w:rPr>
          <w:rFonts w:asciiTheme="minorHAnsi" w:hAnsiTheme="minorHAnsi"/>
          <w:szCs w:val="22"/>
        </w:rPr>
        <w:t xml:space="preserve">(U.S. Department of State, 2017). </w:t>
      </w:r>
    </w:p>
    <w:p w14:paraId="51919831" w14:textId="77777777" w:rsidR="003D629A" w:rsidRDefault="003D629A" w:rsidP="001629CD">
      <w:r w:rsidRPr="00624DDC">
        <w:rPr>
          <w:b/>
        </w:rPr>
        <w:t>A10</w:t>
      </w:r>
      <w:r>
        <w:t>.</w:t>
      </w:r>
      <w:r>
        <w:tab/>
      </w:r>
      <w:r w:rsidRPr="005B5FCC">
        <w:rPr>
          <w:b/>
        </w:rPr>
        <w:t>Privacy:  Procedures to protect privacy of information, while maximizing data sharing</w:t>
      </w:r>
    </w:p>
    <w:p w14:paraId="59885E40" w14:textId="77777777" w:rsidR="003D629A" w:rsidRPr="00696DE0" w:rsidRDefault="003D629A" w:rsidP="00851D30">
      <w:pPr>
        <w:widowControl w:val="0"/>
        <w:autoSpaceDE w:val="0"/>
        <w:autoSpaceDN w:val="0"/>
        <w:adjustRightInd w:val="0"/>
        <w:spacing w:after="120"/>
        <w:rPr>
          <w:i/>
        </w:rPr>
      </w:pPr>
      <w:r w:rsidRPr="00696DE0">
        <w:rPr>
          <w:i/>
        </w:rPr>
        <w:t>Personally Identifiable Information</w:t>
      </w:r>
    </w:p>
    <w:p w14:paraId="5F949DE8" w14:textId="77777777" w:rsidR="00696DE0" w:rsidRPr="00696DE0" w:rsidRDefault="003D629A" w:rsidP="00A85897">
      <w:pPr>
        <w:widowControl w:val="0"/>
        <w:autoSpaceDE w:val="0"/>
        <w:autoSpaceDN w:val="0"/>
        <w:adjustRightInd w:val="0"/>
        <w:rPr>
          <w:i/>
        </w:rPr>
      </w:pPr>
      <w:r w:rsidRPr="00696DE0">
        <w:rPr>
          <w:rFonts w:eastAsia="Times New Roman" w:cs="Times New Roman"/>
        </w:rPr>
        <w:t xml:space="preserve">Survey respondents who elect to participate in the </w:t>
      </w:r>
      <w:r w:rsidR="00664DB2" w:rsidRPr="00664DB2">
        <w:rPr>
          <w:rFonts w:eastAsia="Times New Roman" w:cs="Times New Roman"/>
          <w:i/>
          <w:iCs/>
        </w:rPr>
        <w:t>T</w:t>
      </w:r>
      <w:r w:rsidRPr="00664DB2">
        <w:rPr>
          <w:rFonts w:eastAsia="Times New Roman" w:cs="Times New Roman"/>
          <w:i/>
          <w:iCs/>
        </w:rPr>
        <w:t>wo-</w:t>
      </w:r>
      <w:r w:rsidR="00664DB2" w:rsidRPr="00664DB2">
        <w:rPr>
          <w:rFonts w:eastAsia="Times New Roman" w:cs="Times New Roman"/>
          <w:i/>
          <w:iCs/>
        </w:rPr>
        <w:t>W</w:t>
      </w:r>
      <w:r w:rsidRPr="00664DB2">
        <w:rPr>
          <w:rFonts w:eastAsia="Times New Roman" w:cs="Times New Roman"/>
          <w:i/>
          <w:iCs/>
        </w:rPr>
        <w:t xml:space="preserve">eek </w:t>
      </w:r>
      <w:r w:rsidR="00664DB2" w:rsidRPr="00664DB2">
        <w:rPr>
          <w:rFonts w:eastAsia="Times New Roman" w:cs="Times New Roman"/>
          <w:i/>
          <w:iCs/>
        </w:rPr>
        <w:t>F</w:t>
      </w:r>
      <w:r w:rsidRPr="00664DB2">
        <w:rPr>
          <w:rFonts w:eastAsia="Times New Roman" w:cs="Times New Roman"/>
          <w:i/>
          <w:iCs/>
        </w:rPr>
        <w:t>ollow</w:t>
      </w:r>
      <w:r w:rsidR="00664DB2" w:rsidRPr="00664DB2">
        <w:rPr>
          <w:rFonts w:eastAsia="Times New Roman" w:cs="Times New Roman"/>
          <w:i/>
          <w:iCs/>
        </w:rPr>
        <w:t>-U</w:t>
      </w:r>
      <w:r w:rsidRPr="00664DB2">
        <w:rPr>
          <w:rFonts w:eastAsia="Times New Roman" w:cs="Times New Roman"/>
          <w:i/>
          <w:iCs/>
        </w:rPr>
        <w:t xml:space="preserve">p </w:t>
      </w:r>
      <w:r w:rsidR="00664DB2" w:rsidRPr="00664DB2">
        <w:rPr>
          <w:rFonts w:eastAsia="Times New Roman" w:cs="Times New Roman"/>
          <w:i/>
          <w:iCs/>
        </w:rPr>
        <w:t>S</w:t>
      </w:r>
      <w:r w:rsidRPr="00664DB2">
        <w:rPr>
          <w:rFonts w:eastAsia="Times New Roman" w:cs="Times New Roman"/>
          <w:i/>
          <w:iCs/>
        </w:rPr>
        <w:t>urvey</w:t>
      </w:r>
      <w:r w:rsidRPr="00696DE0">
        <w:rPr>
          <w:rFonts w:eastAsia="Times New Roman" w:cs="Times New Roman"/>
        </w:rPr>
        <w:t xml:space="preserve"> may provide the following personally identifiable information (PII): names or pseudonyms, phone numbers, and e</w:t>
      </w:r>
      <w:r w:rsidR="00960770">
        <w:rPr>
          <w:rFonts w:eastAsia="Times New Roman" w:cs="Times New Roman"/>
        </w:rPr>
        <w:t>-</w:t>
      </w:r>
      <w:r w:rsidRPr="00696DE0">
        <w:rPr>
          <w:rFonts w:eastAsia="Times New Roman" w:cs="Times New Roman"/>
        </w:rPr>
        <w:t xml:space="preserve">mail addresses. We will collect these PII through questions at the end of the </w:t>
      </w:r>
      <w:r w:rsidR="00425447">
        <w:rPr>
          <w:rFonts w:eastAsia="Times New Roman" w:cs="Times New Roman"/>
        </w:rPr>
        <w:t>Web</w:t>
      </w:r>
      <w:r w:rsidRPr="00696DE0">
        <w:rPr>
          <w:rFonts w:eastAsia="Times New Roman" w:cs="Times New Roman"/>
        </w:rPr>
        <w:t>-based</w:t>
      </w:r>
      <w:r w:rsidR="00664DB2">
        <w:rPr>
          <w:rFonts w:eastAsia="Times New Roman" w:cs="Times New Roman"/>
        </w:rPr>
        <w:t xml:space="preserve"> and</w:t>
      </w:r>
      <w:r w:rsidRPr="00696DE0">
        <w:rPr>
          <w:rFonts w:eastAsia="Times New Roman" w:cs="Times New Roman"/>
        </w:rPr>
        <w:t xml:space="preserve"> IVR</w:t>
      </w:r>
      <w:r w:rsidR="00664DB2">
        <w:rPr>
          <w:rFonts w:eastAsia="Times New Roman" w:cs="Times New Roman"/>
        </w:rPr>
        <w:t xml:space="preserve"> for the purpose of contacting the potential respondents two weeks later</w:t>
      </w:r>
      <w:r w:rsidRPr="00696DE0">
        <w:rPr>
          <w:rFonts w:eastAsia="Times New Roman" w:cs="Times New Roman"/>
        </w:rPr>
        <w:t xml:space="preserve">. Individuals who </w:t>
      </w:r>
      <w:r w:rsidR="00AA58EE">
        <w:rPr>
          <w:rFonts w:eastAsia="Times New Roman" w:cs="Times New Roman"/>
        </w:rPr>
        <w:t xml:space="preserve">are directly transferred from the NHTH to </w:t>
      </w:r>
      <w:r w:rsidRPr="00696DE0">
        <w:rPr>
          <w:rFonts w:eastAsia="Times New Roman" w:cs="Times New Roman"/>
        </w:rPr>
        <w:t xml:space="preserve">a </w:t>
      </w:r>
      <w:r w:rsidR="00AA58EE">
        <w:rPr>
          <w:rFonts w:eastAsia="Times New Roman" w:cs="Times New Roman"/>
        </w:rPr>
        <w:t>service provider</w:t>
      </w:r>
      <w:r w:rsidRPr="00696DE0">
        <w:rPr>
          <w:rFonts w:eastAsia="Times New Roman" w:cs="Times New Roman"/>
        </w:rPr>
        <w:t xml:space="preserve"> and </w:t>
      </w:r>
      <w:r w:rsidR="00AA58EE">
        <w:rPr>
          <w:rFonts w:eastAsia="Times New Roman" w:cs="Times New Roman"/>
        </w:rPr>
        <w:t>later call in to t</w:t>
      </w:r>
      <w:r w:rsidRPr="00696DE0">
        <w:rPr>
          <w:rFonts w:eastAsia="Times New Roman" w:cs="Times New Roman"/>
        </w:rPr>
        <w:t xml:space="preserve">he </w:t>
      </w:r>
      <w:r w:rsidR="00664DB2" w:rsidRPr="001F1FA6">
        <w:rPr>
          <w:rFonts w:eastAsia="Times New Roman" w:cs="Times New Roman"/>
          <w:i/>
          <w:iCs/>
        </w:rPr>
        <w:t>I</w:t>
      </w:r>
      <w:r w:rsidRPr="001F1FA6">
        <w:rPr>
          <w:rFonts w:eastAsia="Times New Roman" w:cs="Times New Roman"/>
          <w:i/>
          <w:iCs/>
        </w:rPr>
        <w:t xml:space="preserve">mmediate </w:t>
      </w:r>
      <w:r w:rsidR="00664DB2" w:rsidRPr="001F1FA6">
        <w:rPr>
          <w:rFonts w:eastAsia="Times New Roman" w:cs="Times New Roman"/>
          <w:i/>
          <w:iCs/>
        </w:rPr>
        <w:t>S</w:t>
      </w:r>
      <w:r w:rsidRPr="001F1FA6">
        <w:rPr>
          <w:rFonts w:eastAsia="Times New Roman" w:cs="Times New Roman"/>
          <w:i/>
          <w:iCs/>
        </w:rPr>
        <w:t>urvey</w:t>
      </w:r>
      <w:r w:rsidRPr="00696DE0">
        <w:rPr>
          <w:rFonts w:eastAsia="Times New Roman" w:cs="Times New Roman"/>
        </w:rPr>
        <w:t xml:space="preserve"> </w:t>
      </w:r>
      <w:r w:rsidR="00664DB2">
        <w:rPr>
          <w:rFonts w:eastAsia="Times New Roman" w:cs="Times New Roman"/>
        </w:rPr>
        <w:t xml:space="preserve">and those who complete the </w:t>
      </w:r>
      <w:r w:rsidR="001F1FA6" w:rsidRPr="001F1FA6">
        <w:rPr>
          <w:rFonts w:eastAsia="Times New Roman" w:cs="Times New Roman"/>
          <w:i/>
          <w:iCs/>
        </w:rPr>
        <w:t>Two-Week Follow-Up Survey</w:t>
      </w:r>
      <w:r w:rsidR="001F1FA6">
        <w:rPr>
          <w:rFonts w:eastAsia="Times New Roman" w:cs="Times New Roman"/>
        </w:rPr>
        <w:t xml:space="preserve"> </w:t>
      </w:r>
      <w:r w:rsidRPr="00696DE0">
        <w:rPr>
          <w:rFonts w:eastAsia="Times New Roman" w:cs="Times New Roman"/>
        </w:rPr>
        <w:t>may also provide personally identifiable information (phone number, e</w:t>
      </w:r>
      <w:r w:rsidR="00960770">
        <w:rPr>
          <w:rFonts w:eastAsia="Times New Roman" w:cs="Times New Roman"/>
        </w:rPr>
        <w:t>-</w:t>
      </w:r>
      <w:r w:rsidRPr="00696DE0">
        <w:rPr>
          <w:rFonts w:eastAsia="Times New Roman" w:cs="Times New Roman"/>
        </w:rPr>
        <w:t>mail address)</w:t>
      </w:r>
      <w:r w:rsidR="001F1FA6">
        <w:rPr>
          <w:rFonts w:eastAsia="Times New Roman" w:cs="Times New Roman"/>
        </w:rPr>
        <w:t xml:space="preserve"> through which to receive the $10 token of appreciation gift card</w:t>
      </w:r>
      <w:r w:rsidRPr="00696DE0">
        <w:rPr>
          <w:rFonts w:eastAsia="Times New Roman" w:cs="Times New Roman"/>
        </w:rPr>
        <w:t>. PII will be stored securely. PII will only be used to recontact individuals for a survey or to send tokens of appreciation. Information will not be maintained in a paper or electronic system from which data are actually or directly retrieved by an individuals’ personal identifiers.</w:t>
      </w:r>
    </w:p>
    <w:p w14:paraId="637AB342" w14:textId="77777777" w:rsidR="003D629A" w:rsidRPr="00696DE0" w:rsidRDefault="003D629A" w:rsidP="00A85897">
      <w:pPr>
        <w:spacing w:after="120" w:line="240" w:lineRule="auto"/>
        <w:rPr>
          <w:i/>
        </w:rPr>
      </w:pPr>
      <w:r w:rsidRPr="00696DE0">
        <w:rPr>
          <w:i/>
        </w:rPr>
        <w:t>Assurances of Privacy</w:t>
      </w:r>
    </w:p>
    <w:p w14:paraId="753BCCFB" w14:textId="77777777" w:rsidR="00696DE0" w:rsidRPr="00696DE0" w:rsidRDefault="003D629A" w:rsidP="00A85897">
      <w:pPr>
        <w:widowControl w:val="0"/>
        <w:autoSpaceDE w:val="0"/>
        <w:autoSpaceDN w:val="0"/>
        <w:adjustRightInd w:val="0"/>
      </w:pPr>
      <w:r w:rsidRPr="00696DE0">
        <w:rPr>
          <w:rFonts w:eastAsia="Times New Roman" w:cs="Times New Roman"/>
        </w:rPr>
        <w:t xml:space="preserve">Information collected will be kept private to the extent permitted by law. Respondents will be informed of all planned uses of data, that their participation is voluntary, and that their information will be kept private to the extent permitted by law. RTI will comply with all Federal and Departmental regulations for private information. </w:t>
      </w:r>
    </w:p>
    <w:p w14:paraId="1233A981" w14:textId="77777777" w:rsidR="003D629A" w:rsidRPr="00696DE0" w:rsidRDefault="003D629A" w:rsidP="00A85897">
      <w:pPr>
        <w:spacing w:after="120" w:line="240" w:lineRule="auto"/>
        <w:rPr>
          <w:i/>
        </w:rPr>
      </w:pPr>
      <w:r w:rsidRPr="00696DE0">
        <w:rPr>
          <w:i/>
        </w:rPr>
        <w:t>Data Security and Monitoring</w:t>
      </w:r>
    </w:p>
    <w:p w14:paraId="62FA7820" w14:textId="77777777" w:rsidR="00696DE0" w:rsidRPr="00696DE0" w:rsidRDefault="003D629A" w:rsidP="00A85897">
      <w:pPr>
        <w:widowControl w:val="0"/>
        <w:autoSpaceDE w:val="0"/>
        <w:autoSpaceDN w:val="0"/>
        <w:adjustRightInd w:val="0"/>
        <w:rPr>
          <w:rFonts w:eastAsia="Times New Roman" w:cs="Times New Roman"/>
        </w:rPr>
      </w:pPr>
      <w:r w:rsidRPr="00696DE0">
        <w:rPr>
          <w:rFonts w:eastAsia="Times New Roman" w:cs="Times New Roman"/>
        </w:rPr>
        <w:t xml:space="preserve">Only </w:t>
      </w:r>
      <w:r w:rsidR="00CE2905">
        <w:rPr>
          <w:rFonts w:eastAsia="Times New Roman" w:cs="Times New Roman"/>
        </w:rPr>
        <w:t>RTI</w:t>
      </w:r>
      <w:r w:rsidRPr="00696DE0">
        <w:rPr>
          <w:rFonts w:eastAsia="Times New Roman" w:cs="Times New Roman"/>
        </w:rPr>
        <w:t xml:space="preserve"> </w:t>
      </w:r>
      <w:r w:rsidR="00783657">
        <w:rPr>
          <w:rFonts w:eastAsia="Times New Roman" w:cs="Times New Roman"/>
        </w:rPr>
        <w:t xml:space="preserve">research </w:t>
      </w:r>
      <w:r w:rsidR="00CE2905">
        <w:rPr>
          <w:rFonts w:eastAsia="Times New Roman" w:cs="Times New Roman"/>
        </w:rPr>
        <w:t xml:space="preserve">staff who are </w:t>
      </w:r>
      <w:r w:rsidR="00783657">
        <w:rPr>
          <w:rFonts w:eastAsia="Times New Roman" w:cs="Times New Roman"/>
        </w:rPr>
        <w:t>study</w:t>
      </w:r>
      <w:r w:rsidR="00CE2905">
        <w:rPr>
          <w:rFonts w:eastAsia="Times New Roman" w:cs="Times New Roman"/>
        </w:rPr>
        <w:t xml:space="preserve"> team members</w:t>
      </w:r>
      <w:r w:rsidRPr="00696DE0">
        <w:rPr>
          <w:rFonts w:eastAsia="Times New Roman" w:cs="Times New Roman"/>
        </w:rPr>
        <w:t xml:space="preserve"> will be involved in data collection </w:t>
      </w:r>
      <w:r w:rsidR="00CE2905">
        <w:rPr>
          <w:rFonts w:eastAsia="Times New Roman" w:cs="Times New Roman"/>
        </w:rPr>
        <w:t>and</w:t>
      </w:r>
      <w:r w:rsidRPr="00696DE0">
        <w:rPr>
          <w:rFonts w:eastAsia="Times New Roman" w:cs="Times New Roman"/>
        </w:rPr>
        <w:t xml:space="preserve"> analysis </w:t>
      </w:r>
      <w:r w:rsidR="00CE2905">
        <w:rPr>
          <w:rFonts w:eastAsia="Times New Roman" w:cs="Times New Roman"/>
        </w:rPr>
        <w:t xml:space="preserve">and </w:t>
      </w:r>
      <w:r w:rsidRPr="00696DE0">
        <w:rPr>
          <w:rFonts w:eastAsia="Times New Roman" w:cs="Times New Roman"/>
        </w:rPr>
        <w:t xml:space="preserve">have access to participant data. Polaris staff will not have access to </w:t>
      </w:r>
      <w:r w:rsidR="00783657">
        <w:rPr>
          <w:rFonts w:eastAsia="Times New Roman" w:cs="Times New Roman"/>
        </w:rPr>
        <w:t xml:space="preserve">the </w:t>
      </w:r>
      <w:r w:rsidRPr="00696DE0">
        <w:rPr>
          <w:rFonts w:eastAsia="Times New Roman" w:cs="Times New Roman"/>
        </w:rPr>
        <w:t xml:space="preserve">survey data. </w:t>
      </w:r>
      <w:r w:rsidR="00783657">
        <w:rPr>
          <w:rFonts w:eastAsia="Times New Roman" w:cs="Times New Roman"/>
        </w:rPr>
        <w:t>RTI study team members</w:t>
      </w:r>
      <w:r w:rsidRPr="00696DE0">
        <w:rPr>
          <w:rFonts w:eastAsia="Times New Roman" w:cs="Times New Roman"/>
        </w:rPr>
        <w:t xml:space="preserve"> and Polaris </w:t>
      </w:r>
      <w:r w:rsidR="00783657">
        <w:rPr>
          <w:rFonts w:eastAsia="Times New Roman" w:cs="Times New Roman"/>
        </w:rPr>
        <w:t xml:space="preserve">NHTH </w:t>
      </w:r>
      <w:r w:rsidRPr="00696DE0">
        <w:rPr>
          <w:rFonts w:eastAsia="Times New Roman" w:cs="Times New Roman"/>
        </w:rPr>
        <w:t xml:space="preserve">staff will receive a training on privacy requirements and procedures, as well as sign data </w:t>
      </w:r>
      <w:r w:rsidR="00BD4581">
        <w:rPr>
          <w:rFonts w:eastAsia="Times New Roman" w:cs="Times New Roman"/>
        </w:rPr>
        <w:t>privacy</w:t>
      </w:r>
      <w:r w:rsidR="00BD4581" w:rsidRPr="00696DE0">
        <w:rPr>
          <w:rFonts w:eastAsia="Times New Roman" w:cs="Times New Roman"/>
        </w:rPr>
        <w:t xml:space="preserve"> </w:t>
      </w:r>
      <w:r w:rsidRPr="00696DE0">
        <w:rPr>
          <w:rFonts w:eastAsia="Times New Roman" w:cs="Times New Roman"/>
        </w:rPr>
        <w:t>agreements</w:t>
      </w:r>
      <w:r w:rsidR="00783657">
        <w:rPr>
          <w:rFonts w:eastAsia="Times New Roman" w:cs="Times New Roman"/>
        </w:rPr>
        <w:t>. RTI research staff</w:t>
      </w:r>
      <w:r w:rsidRPr="00696DE0">
        <w:rPr>
          <w:rFonts w:eastAsia="Times New Roman" w:cs="Times New Roman"/>
        </w:rPr>
        <w:t xml:space="preserve"> </w:t>
      </w:r>
      <w:r w:rsidR="00783657">
        <w:rPr>
          <w:rFonts w:eastAsia="Times New Roman" w:cs="Times New Roman"/>
        </w:rPr>
        <w:t>participate annually in mandatory</w:t>
      </w:r>
      <w:r w:rsidR="00783657" w:rsidRPr="00696DE0">
        <w:rPr>
          <w:rFonts w:eastAsia="Times New Roman" w:cs="Times New Roman"/>
        </w:rPr>
        <w:t xml:space="preserve"> </w:t>
      </w:r>
      <w:r w:rsidR="00783657">
        <w:rPr>
          <w:rFonts w:eastAsia="Times New Roman" w:cs="Times New Roman"/>
        </w:rPr>
        <w:t xml:space="preserve">privacy and IT security </w:t>
      </w:r>
      <w:r w:rsidR="00783657" w:rsidRPr="00696DE0">
        <w:rPr>
          <w:rFonts w:eastAsia="Times New Roman" w:cs="Times New Roman"/>
        </w:rPr>
        <w:t>data training</w:t>
      </w:r>
      <w:r w:rsidR="00783657">
        <w:rPr>
          <w:rFonts w:eastAsia="Times New Roman" w:cs="Times New Roman"/>
        </w:rPr>
        <w:t>.</w:t>
      </w:r>
    </w:p>
    <w:p w14:paraId="3DDF61A8" w14:textId="77777777" w:rsidR="003D629A" w:rsidRDefault="00BF078F" w:rsidP="00BD4581">
      <w:pPr>
        <w:widowControl w:val="0"/>
        <w:autoSpaceDE w:val="0"/>
        <w:autoSpaceDN w:val="0"/>
        <w:adjustRightInd w:val="0"/>
        <w:spacing w:after="0"/>
        <w:rPr>
          <w:rFonts w:eastAsia="Times New Roman" w:cs="Times New Roman"/>
        </w:rPr>
      </w:pPr>
      <w:r w:rsidRPr="00ED3A6C">
        <w:rPr>
          <w:rFonts w:cstheme="minorHAnsi"/>
        </w:rPr>
        <w:t>The</w:t>
      </w:r>
      <w:r>
        <w:rPr>
          <w:rFonts w:cstheme="minorHAnsi"/>
        </w:rPr>
        <w:t xml:space="preserve"> </w:t>
      </w:r>
      <w:r w:rsidRPr="00ED3A6C">
        <w:rPr>
          <w:rFonts w:cstheme="minorHAnsi"/>
        </w:rPr>
        <w:t xml:space="preserve">surveys will be hosted in RTI's </w:t>
      </w:r>
      <w:r w:rsidRPr="00696DE0">
        <w:rPr>
          <w:rFonts w:eastAsia="Times New Roman" w:cs="Times New Roman"/>
        </w:rPr>
        <w:t>National Institute of Standards and Technology (NIST)</w:t>
      </w:r>
      <w:r>
        <w:rPr>
          <w:rFonts w:eastAsia="Times New Roman" w:cs="Times New Roman"/>
        </w:rPr>
        <w:t xml:space="preserve"> </w:t>
      </w:r>
      <w:r w:rsidRPr="00ED3A6C">
        <w:rPr>
          <w:rFonts w:cstheme="minorHAnsi"/>
        </w:rPr>
        <w:t>Moderate network</w:t>
      </w:r>
      <w:r>
        <w:rPr>
          <w:rFonts w:cstheme="minorHAnsi"/>
        </w:rPr>
        <w:t xml:space="preserve"> and a</w:t>
      </w:r>
      <w:r w:rsidRPr="00372F04">
        <w:rPr>
          <w:rFonts w:cstheme="minorHAnsi"/>
        </w:rPr>
        <w:t xml:space="preserve">s data are collected, they will be stored in SQL server databases within RTI’s </w:t>
      </w:r>
      <w:r>
        <w:rPr>
          <w:rFonts w:cstheme="minorHAnsi"/>
        </w:rPr>
        <w:t>NIST</w:t>
      </w:r>
      <w:r w:rsidRPr="00372F04">
        <w:rPr>
          <w:rFonts w:cstheme="minorHAnsi"/>
        </w:rPr>
        <w:t xml:space="preserve"> Moderate network. All personally identifying information (telephone numbers, e-mail addresses) and PINs will always (during and after data collection) be stored in separate SQL tables from the survey data</w:t>
      </w:r>
      <w:r w:rsidRPr="00372F04">
        <w:rPr>
          <w:rFonts w:eastAsia="Calibri" w:cstheme="minorHAnsi"/>
        </w:rPr>
        <w:t>.</w:t>
      </w:r>
      <w:r w:rsidRPr="001B48DD">
        <w:rPr>
          <w:rFonts w:eastAsia="Calibri" w:cstheme="minorHAnsi"/>
        </w:rPr>
        <w:t xml:space="preserve">  </w:t>
      </w:r>
      <w:r w:rsidR="003D629A" w:rsidRPr="00696DE0">
        <w:rPr>
          <w:rFonts w:eastAsia="Times New Roman" w:cs="Times New Roman"/>
        </w:rPr>
        <w:t xml:space="preserve">Access to the system is granted using role-based access with the minimum set of access privilege levels necessary to allow individuals to do their jobs. Access privileges are controlled using network login credentials, server-specific login credentials, and security groups. The survey data will not be shared with others outside of the </w:t>
      </w:r>
      <w:r w:rsidR="004D2FCD">
        <w:rPr>
          <w:rFonts w:eastAsia="Times New Roman" w:cs="Times New Roman"/>
        </w:rPr>
        <w:t>RTI</w:t>
      </w:r>
      <w:r w:rsidR="003D629A" w:rsidRPr="00696DE0">
        <w:rPr>
          <w:rFonts w:eastAsia="Times New Roman" w:cs="Times New Roman"/>
        </w:rPr>
        <w:t xml:space="preserve"> evaluation team. </w:t>
      </w:r>
    </w:p>
    <w:p w14:paraId="3DB23170" w14:textId="77777777" w:rsidR="00BD4581" w:rsidRDefault="00BD4581" w:rsidP="00BD4581">
      <w:pPr>
        <w:widowControl w:val="0"/>
        <w:autoSpaceDE w:val="0"/>
        <w:autoSpaceDN w:val="0"/>
        <w:adjustRightInd w:val="0"/>
        <w:spacing w:after="0"/>
      </w:pPr>
    </w:p>
    <w:p w14:paraId="781F737F" w14:textId="77777777" w:rsidR="003D629A" w:rsidRDefault="003D629A" w:rsidP="001629CD">
      <w:r w:rsidRPr="00624DDC">
        <w:rPr>
          <w:b/>
        </w:rPr>
        <w:t>A11</w:t>
      </w:r>
      <w:r>
        <w:t>.</w:t>
      </w:r>
      <w:r>
        <w:tab/>
      </w:r>
      <w:r w:rsidRPr="002560D7">
        <w:rPr>
          <w:b/>
        </w:rPr>
        <w:t>Sensitive Information</w:t>
      </w:r>
      <w:r w:rsidRPr="002560D7">
        <w:rPr>
          <w:rStyle w:val="FootnoteReference"/>
        </w:rPr>
        <w:t xml:space="preserve"> </w:t>
      </w:r>
      <w:r w:rsidR="00A46B7A">
        <w:rPr>
          <w:rStyle w:val="FootnoteReference"/>
        </w:rPr>
        <w:footnoteReference w:id="2"/>
      </w:r>
    </w:p>
    <w:p w14:paraId="699EB8DC" w14:textId="77777777" w:rsidR="00696DE0" w:rsidRPr="00696DE0" w:rsidRDefault="003D629A" w:rsidP="00A85897">
      <w:pPr>
        <w:widowControl w:val="0"/>
        <w:autoSpaceDE w:val="0"/>
        <w:autoSpaceDN w:val="0"/>
        <w:adjustRightInd w:val="0"/>
        <w:rPr>
          <w:rFonts w:eastAsia="Times New Roman" w:cs="Times New Roman"/>
        </w:rPr>
      </w:pPr>
      <w:r w:rsidRPr="00696DE0">
        <w:rPr>
          <w:rFonts w:eastAsia="Times New Roman" w:cs="Times New Roman"/>
        </w:rPr>
        <w:t xml:space="preserve">Survey questions are focused on NHTH contactors’ opinions about their interactions with the NHTH. The surveys do not ask personal questions about respondents’ personal lives or backgrounds. However, survey respondents risk discomfort in providing answers to some of the questions. The </w:t>
      </w:r>
      <w:r w:rsidR="00B3127D" w:rsidRPr="00B41281">
        <w:rPr>
          <w:rFonts w:eastAsia="Times New Roman" w:cs="Times New Roman"/>
          <w:i/>
          <w:iCs/>
        </w:rPr>
        <w:t>Two-Week Follow-Up S</w:t>
      </w:r>
      <w:r w:rsidRPr="00B41281">
        <w:rPr>
          <w:rFonts w:eastAsia="Times New Roman" w:cs="Times New Roman"/>
          <w:i/>
          <w:iCs/>
        </w:rPr>
        <w:t>urvey</w:t>
      </w:r>
      <w:r w:rsidRPr="00696DE0">
        <w:rPr>
          <w:rFonts w:eastAsia="Times New Roman" w:cs="Times New Roman"/>
        </w:rPr>
        <w:t xml:space="preserve"> ask</w:t>
      </w:r>
      <w:r w:rsidR="00B41281">
        <w:rPr>
          <w:rFonts w:eastAsia="Times New Roman" w:cs="Times New Roman"/>
        </w:rPr>
        <w:t>s</w:t>
      </w:r>
      <w:r w:rsidRPr="00696DE0">
        <w:rPr>
          <w:rFonts w:eastAsia="Times New Roman" w:cs="Times New Roman"/>
        </w:rPr>
        <w:t xml:space="preserve"> respondents for the reason they called the hotline, which could potentially be sensitive if the respondent called the NHTH for a sensitive reason, such as needing crisis services or to get referrals specific to personal e</w:t>
      </w:r>
      <w:r w:rsidR="00B3127D">
        <w:rPr>
          <w:rFonts w:eastAsia="Times New Roman" w:cs="Times New Roman"/>
        </w:rPr>
        <w:t>x</w:t>
      </w:r>
      <w:r w:rsidRPr="00696DE0">
        <w:rPr>
          <w:rFonts w:eastAsia="Times New Roman" w:cs="Times New Roman"/>
        </w:rPr>
        <w:t xml:space="preserve">periences with human trafficking. It is necessary to ask </w:t>
      </w:r>
      <w:r w:rsidR="00B3127D">
        <w:rPr>
          <w:rFonts w:eastAsia="Times New Roman" w:cs="Times New Roman"/>
        </w:rPr>
        <w:t xml:space="preserve">these </w:t>
      </w:r>
      <w:r w:rsidRPr="00696DE0">
        <w:rPr>
          <w:rFonts w:eastAsia="Times New Roman" w:cs="Times New Roman"/>
        </w:rPr>
        <w:t xml:space="preserve">respondents about the reasons they contact the NHTH to </w:t>
      </w:r>
      <w:r w:rsidR="00B3127D">
        <w:rPr>
          <w:rFonts w:eastAsia="Times New Roman" w:cs="Times New Roman"/>
        </w:rPr>
        <w:t xml:space="preserve">gauge the extent to which their recollection of the NHTH call after two weeks differs from how the call was initially characterized by advocates. These data will </w:t>
      </w:r>
      <w:r w:rsidR="00EE205D">
        <w:rPr>
          <w:rFonts w:eastAsia="Times New Roman" w:cs="Times New Roman"/>
        </w:rPr>
        <w:t xml:space="preserve">also be useful for </w:t>
      </w:r>
      <w:r w:rsidRPr="00696DE0">
        <w:rPr>
          <w:rFonts w:eastAsia="Times New Roman" w:cs="Times New Roman"/>
        </w:rPr>
        <w:t>understand</w:t>
      </w:r>
      <w:r w:rsidR="00EE205D">
        <w:rPr>
          <w:rFonts w:eastAsia="Times New Roman" w:cs="Times New Roman"/>
        </w:rPr>
        <w:t>ing</w:t>
      </w:r>
      <w:r w:rsidRPr="00696DE0">
        <w:rPr>
          <w:rFonts w:eastAsia="Times New Roman" w:cs="Times New Roman"/>
        </w:rPr>
        <w:t xml:space="preserve"> the context of their answers to other questions about NHTH interactions. Survey respondents may also feel uncomfortable providing negative feedback about the NHTH, such as explaining how an NHTH referral did not work for them or if they had a poor interaction with an NHTH hotline advocate. It is essential to understand NHTH contactors’ experiences to inform and improve future NHTH services. To reduce these risks, most survey questions are close-ended and do not include probing questions. Telephone interviewers will be trained to respond to distressed respondents. </w:t>
      </w:r>
    </w:p>
    <w:p w14:paraId="0926B527" w14:textId="77777777" w:rsidR="003D629A" w:rsidRDefault="003D629A" w:rsidP="00A85897">
      <w:pPr>
        <w:widowControl w:val="0"/>
        <w:autoSpaceDE w:val="0"/>
        <w:autoSpaceDN w:val="0"/>
        <w:adjustRightInd w:val="0"/>
        <w:rPr>
          <w:rFonts w:eastAsia="Times New Roman" w:cs="Times New Roman"/>
        </w:rPr>
      </w:pPr>
      <w:r w:rsidRPr="00696DE0">
        <w:rPr>
          <w:rFonts w:eastAsia="Times New Roman" w:cs="Times New Roman"/>
        </w:rPr>
        <w:t>Survey respondents risk discomfort in providing an e</w:t>
      </w:r>
      <w:r w:rsidR="00960770">
        <w:rPr>
          <w:rFonts w:eastAsia="Times New Roman" w:cs="Times New Roman"/>
        </w:rPr>
        <w:t>-</w:t>
      </w:r>
      <w:r w:rsidRPr="00696DE0">
        <w:rPr>
          <w:rFonts w:eastAsia="Times New Roman" w:cs="Times New Roman"/>
        </w:rPr>
        <w:t xml:space="preserve">mail address or phone number for being contacted for the delayed surveys and to receive their token of appreciation. Respondents can choose not to provide a phone number and complete the delayed surveys by accessing a </w:t>
      </w:r>
      <w:r w:rsidR="00425447">
        <w:rPr>
          <w:rFonts w:eastAsia="Times New Roman" w:cs="Times New Roman"/>
        </w:rPr>
        <w:t>Web</w:t>
      </w:r>
      <w:r w:rsidRPr="00696DE0">
        <w:rPr>
          <w:rFonts w:eastAsia="Times New Roman" w:cs="Times New Roman"/>
        </w:rPr>
        <w:t xml:space="preserve">-based survey instead. No other PII will be collected. In order to mitigate this risk and minimize the PII collected, the respondent can choose a pseudonym to be used by </w:t>
      </w:r>
      <w:r w:rsidR="004D2FCD">
        <w:rPr>
          <w:rFonts w:eastAsia="Times New Roman" w:cs="Times New Roman"/>
        </w:rPr>
        <w:t>RTI research</w:t>
      </w:r>
      <w:r w:rsidRPr="00696DE0">
        <w:rPr>
          <w:rFonts w:eastAsia="Times New Roman" w:cs="Times New Roman"/>
        </w:rPr>
        <w:t xml:space="preserve"> staff to conduct the surveys and to send the token of appreciation.   </w:t>
      </w:r>
    </w:p>
    <w:p w14:paraId="2D005BDB" w14:textId="77777777" w:rsidR="00786C23" w:rsidRDefault="00786C23" w:rsidP="00786C23">
      <w:pPr>
        <w:widowControl w:val="0"/>
        <w:autoSpaceDE w:val="0"/>
        <w:autoSpaceDN w:val="0"/>
        <w:adjustRightInd w:val="0"/>
        <w:rPr>
          <w:rFonts w:eastAsia="Times New Roman" w:cs="Times New Roman"/>
        </w:rPr>
      </w:pPr>
      <w:r w:rsidRPr="005B32C3">
        <w:rPr>
          <w:rFonts w:ascii="Calibri" w:hAnsi="Calibri" w:cs="Calibri"/>
        </w:rPr>
        <w:t>Respondents are advised of the voluntary nature of participation and their right to refuse to answer any question during the informed consent process.</w:t>
      </w:r>
    </w:p>
    <w:p w14:paraId="01D0AD5D" w14:textId="77777777" w:rsidR="00BD4581" w:rsidRDefault="00620193" w:rsidP="00851D30">
      <w:pPr>
        <w:widowControl w:val="0"/>
        <w:autoSpaceDE w:val="0"/>
        <w:autoSpaceDN w:val="0"/>
        <w:adjustRightInd w:val="0"/>
        <w:spacing w:after="0"/>
        <w:rPr>
          <w:rFonts w:eastAsia="Times New Roman" w:cs="Times New Roman"/>
          <w:b/>
          <w:bCs/>
        </w:rPr>
      </w:pPr>
      <w:r w:rsidRPr="005021AF">
        <w:rPr>
          <w:rFonts w:eastAsia="Times New Roman" w:cs="Times New Roman"/>
        </w:rPr>
        <w:t xml:space="preserve">The RTI Institutional Review Board (IRB) reviewed this data collection plan and determined that it is </w:t>
      </w:r>
      <w:r w:rsidR="003D629A" w:rsidRPr="005021AF">
        <w:rPr>
          <w:rFonts w:eastAsia="Times New Roman" w:cs="Times New Roman"/>
        </w:rPr>
        <w:t xml:space="preserve">not </w:t>
      </w:r>
      <w:r w:rsidRPr="005021AF">
        <w:rPr>
          <w:rFonts w:eastAsia="Times New Roman" w:cs="Times New Roman"/>
        </w:rPr>
        <w:t>research with</w:t>
      </w:r>
      <w:r w:rsidR="003D629A" w:rsidRPr="005021AF">
        <w:rPr>
          <w:rFonts w:eastAsia="Times New Roman" w:cs="Times New Roman"/>
        </w:rPr>
        <w:t xml:space="preserve"> human </w:t>
      </w:r>
      <w:r w:rsidRPr="005021AF">
        <w:rPr>
          <w:rFonts w:eastAsia="Times New Roman" w:cs="Times New Roman"/>
        </w:rPr>
        <w:t>subjects</w:t>
      </w:r>
      <w:r w:rsidR="003D629A" w:rsidRPr="005021AF">
        <w:rPr>
          <w:rFonts w:eastAsia="Times New Roman" w:cs="Times New Roman"/>
        </w:rPr>
        <w:t xml:space="preserve"> as defined by </w:t>
      </w:r>
      <w:r w:rsidRPr="005021AF">
        <w:rPr>
          <w:rFonts w:eastAsia="Times New Roman" w:cs="Times New Roman"/>
        </w:rPr>
        <w:t>the U.S. Code of Federal Regulations (45 CFR 46.102)</w:t>
      </w:r>
      <w:r w:rsidR="005021AF" w:rsidRPr="005021AF">
        <w:rPr>
          <w:rFonts w:eastAsia="Times New Roman" w:cs="Times New Roman"/>
        </w:rPr>
        <w:t>.</w:t>
      </w:r>
    </w:p>
    <w:p w14:paraId="3D97833B" w14:textId="77777777" w:rsidR="00BD4581" w:rsidRPr="00696DE0" w:rsidRDefault="00BD4581" w:rsidP="00851D30">
      <w:pPr>
        <w:widowControl w:val="0"/>
        <w:autoSpaceDE w:val="0"/>
        <w:autoSpaceDN w:val="0"/>
        <w:adjustRightInd w:val="0"/>
        <w:spacing w:after="0"/>
        <w:rPr>
          <w:rFonts w:cstheme="minorHAnsi"/>
        </w:rPr>
      </w:pPr>
    </w:p>
    <w:p w14:paraId="78923BFC" w14:textId="77777777" w:rsidR="00230CAA" w:rsidRPr="00696DE0" w:rsidRDefault="00B23277" w:rsidP="001629CD">
      <w:pPr>
        <w:rPr>
          <w:b/>
        </w:rPr>
      </w:pPr>
      <w:r w:rsidRPr="00696DE0">
        <w:rPr>
          <w:b/>
        </w:rPr>
        <w:t>A12</w:t>
      </w:r>
      <w:r w:rsidRPr="00696DE0">
        <w:t>.</w:t>
      </w:r>
      <w:r w:rsidRPr="00696DE0">
        <w:tab/>
      </w:r>
      <w:r w:rsidR="005D4A40" w:rsidRPr="001629CD">
        <w:rPr>
          <w:rFonts w:cstheme="minorHAnsi"/>
          <w:b/>
        </w:rPr>
        <w:t>Burden</w:t>
      </w:r>
    </w:p>
    <w:p w14:paraId="1D142351" w14:textId="77777777" w:rsidR="00A570E2" w:rsidRDefault="00A570E2" w:rsidP="00A85897">
      <w:pPr>
        <w:widowControl w:val="0"/>
        <w:autoSpaceDE w:val="0"/>
        <w:autoSpaceDN w:val="0"/>
        <w:adjustRightInd w:val="0"/>
        <w:rPr>
          <w:rFonts w:eastAsia="Times New Roman" w:cs="Times New Roman"/>
        </w:rPr>
      </w:pPr>
      <w:r w:rsidRPr="00A570E2">
        <w:rPr>
          <w:rFonts w:eastAsia="Times New Roman" w:cs="Times New Roman"/>
        </w:rPr>
        <w:t xml:space="preserve">We estimate the total time reporting burden for this collection to be </w:t>
      </w:r>
      <w:r w:rsidR="004E1D5F" w:rsidRPr="00A570E2">
        <w:rPr>
          <w:rFonts w:eastAsia="Times New Roman" w:cs="Times New Roman"/>
        </w:rPr>
        <w:t>2</w:t>
      </w:r>
      <w:r w:rsidR="004E1D5F">
        <w:rPr>
          <w:rFonts w:eastAsia="Times New Roman" w:cs="Times New Roman"/>
        </w:rPr>
        <w:t>4</w:t>
      </w:r>
      <w:r w:rsidR="004E1D5F" w:rsidRPr="004E1D5F">
        <w:rPr>
          <w:rFonts w:eastAsia="Times New Roman" w:cs="Times New Roman"/>
        </w:rPr>
        <w:t xml:space="preserve">7 </w:t>
      </w:r>
      <w:r w:rsidRPr="004E1D5F">
        <w:rPr>
          <w:rFonts w:eastAsia="Times New Roman" w:cs="Times New Roman"/>
        </w:rPr>
        <w:t>h</w:t>
      </w:r>
      <w:r w:rsidRPr="00A570E2">
        <w:rPr>
          <w:rFonts w:eastAsia="Times New Roman" w:cs="Times New Roman"/>
        </w:rPr>
        <w:t xml:space="preserve">ours during a </w:t>
      </w:r>
      <w:r w:rsidR="004501A4">
        <w:rPr>
          <w:rFonts w:eastAsia="Times New Roman" w:cs="Times New Roman"/>
        </w:rPr>
        <w:t>1</w:t>
      </w:r>
      <w:r w:rsidRPr="00A570E2">
        <w:rPr>
          <w:rFonts w:eastAsia="Times New Roman" w:cs="Times New Roman"/>
        </w:rPr>
        <w:t xml:space="preserve">-year period. </w:t>
      </w:r>
      <w:r w:rsidR="00BF3918">
        <w:rPr>
          <w:rFonts w:eastAsia="Times New Roman" w:cs="Times New Roman"/>
        </w:rPr>
        <w:t>Up to</w:t>
      </w:r>
      <w:r w:rsidRPr="00A570E2">
        <w:rPr>
          <w:rFonts w:eastAsia="Times New Roman" w:cs="Times New Roman"/>
        </w:rPr>
        <w:t xml:space="preserve"> 2000 respondents will complete the immediate survey. </w:t>
      </w:r>
      <w:bookmarkStart w:id="7" w:name="_Hlk22719448"/>
      <w:r w:rsidRPr="00A570E2">
        <w:rPr>
          <w:rFonts w:eastAsia="Times New Roman" w:cs="Times New Roman"/>
        </w:rPr>
        <w:t>The immediate survey, including consent language and time to provide follow-up information, is estimated to take</w:t>
      </w:r>
      <w:r w:rsidR="00F0429C">
        <w:rPr>
          <w:rFonts w:eastAsia="Times New Roman" w:cs="Times New Roman"/>
        </w:rPr>
        <w:t xml:space="preserve"> a total of</w:t>
      </w:r>
      <w:r w:rsidRPr="00A570E2">
        <w:rPr>
          <w:rFonts w:eastAsia="Times New Roman" w:cs="Times New Roman"/>
        </w:rPr>
        <w:t xml:space="preserve"> 5 minutes on average</w:t>
      </w:r>
      <w:r w:rsidR="00F0429C">
        <w:rPr>
          <w:rFonts w:eastAsia="Times New Roman" w:cs="Times New Roman"/>
        </w:rPr>
        <w:t>, with the actual survey taking about 3 minutes on average</w:t>
      </w:r>
      <w:r w:rsidRPr="00A570E2">
        <w:rPr>
          <w:rFonts w:eastAsia="Times New Roman" w:cs="Times New Roman"/>
        </w:rPr>
        <w:t xml:space="preserve">. </w:t>
      </w:r>
      <w:bookmarkEnd w:id="7"/>
      <w:r w:rsidRPr="00A570E2">
        <w:rPr>
          <w:rFonts w:eastAsia="Times New Roman" w:cs="Times New Roman"/>
        </w:rPr>
        <w:t xml:space="preserve">Thus, the estimated total burden for the immediate survey data collection to be 240 hours. An estimated total of 310 respondents will complete the two-week follow-up survey. The two-week follow-up survey, including </w:t>
      </w:r>
      <w:r w:rsidR="0062754F">
        <w:rPr>
          <w:rFonts w:eastAsia="Times New Roman" w:cs="Times New Roman"/>
        </w:rPr>
        <w:t xml:space="preserve">time to obtain the PIN, </w:t>
      </w:r>
      <w:r w:rsidRPr="00A570E2">
        <w:rPr>
          <w:rFonts w:eastAsia="Times New Roman" w:cs="Times New Roman"/>
        </w:rPr>
        <w:t xml:space="preserve">consent language and time to provide information for the token of appreciation, is estimated to take </w:t>
      </w:r>
      <w:r w:rsidR="004501A4">
        <w:rPr>
          <w:rFonts w:eastAsia="Times New Roman" w:cs="Times New Roman"/>
        </w:rPr>
        <w:t>a total of</w:t>
      </w:r>
      <w:r w:rsidR="004501A4" w:rsidRPr="00A570E2">
        <w:rPr>
          <w:rFonts w:eastAsia="Times New Roman" w:cs="Times New Roman"/>
        </w:rPr>
        <w:t xml:space="preserve"> </w:t>
      </w:r>
      <w:r w:rsidRPr="00A570E2">
        <w:rPr>
          <w:rFonts w:eastAsia="Times New Roman" w:cs="Times New Roman"/>
        </w:rPr>
        <w:t>9 minutes on average</w:t>
      </w:r>
      <w:r w:rsidR="004501A4">
        <w:rPr>
          <w:rFonts w:eastAsia="Times New Roman" w:cs="Times New Roman"/>
        </w:rPr>
        <w:t>, with the actual survey taking about 6 minutes on average</w:t>
      </w:r>
      <w:r w:rsidRPr="00A570E2">
        <w:rPr>
          <w:rFonts w:eastAsia="Times New Roman" w:cs="Times New Roman"/>
        </w:rPr>
        <w:t xml:space="preserve">. Thus, the estimated total burden for the two-week follow-up survey data collection to be </w:t>
      </w:r>
      <w:r w:rsidR="004501A4" w:rsidRPr="00A570E2">
        <w:rPr>
          <w:rFonts w:eastAsia="Times New Roman" w:cs="Times New Roman"/>
        </w:rPr>
        <w:t>4</w:t>
      </w:r>
      <w:r w:rsidR="004501A4">
        <w:rPr>
          <w:rFonts w:eastAsia="Times New Roman" w:cs="Times New Roman"/>
        </w:rPr>
        <w:t>7</w:t>
      </w:r>
      <w:r w:rsidR="004501A4" w:rsidRPr="00A570E2">
        <w:rPr>
          <w:rFonts w:eastAsia="Times New Roman" w:cs="Times New Roman"/>
        </w:rPr>
        <w:t xml:space="preserve"> </w:t>
      </w:r>
      <w:r w:rsidRPr="00A570E2">
        <w:rPr>
          <w:rFonts w:eastAsia="Times New Roman" w:cs="Times New Roman"/>
        </w:rPr>
        <w:t>hours. Using a standard estimated time for question completion, the burden for both surveys was calculated by averaging the time to complete the minimum and maximum number of survey items a respondent could be asked based on varying skip patterns.</w:t>
      </w:r>
    </w:p>
    <w:p w14:paraId="289B9C24" w14:textId="77777777" w:rsidR="003D629A" w:rsidRDefault="003D629A" w:rsidP="003D629A">
      <w:pPr>
        <w:spacing w:after="120" w:line="240" w:lineRule="auto"/>
        <w:rPr>
          <w:i/>
        </w:rPr>
      </w:pPr>
      <w:r>
        <w:rPr>
          <w:i/>
        </w:rPr>
        <w:t>Estimated Annualized Cost to Respondents</w:t>
      </w:r>
    </w:p>
    <w:p w14:paraId="74C1D004" w14:textId="77777777" w:rsidR="00A570E2" w:rsidRDefault="00A570E2" w:rsidP="00A85897">
      <w:r w:rsidRPr="00A570E2">
        <w:rPr>
          <w:iCs/>
        </w:rPr>
        <w:t xml:space="preserve">To compute the total estimated annual cost, the total burden hours were multiplied by the average hourly wage for each respondent, according to </w:t>
      </w:r>
      <w:r w:rsidR="00F769B8">
        <w:rPr>
          <w:iCs/>
        </w:rPr>
        <w:t>third</w:t>
      </w:r>
      <w:r w:rsidRPr="00A570E2">
        <w:rPr>
          <w:iCs/>
        </w:rPr>
        <w:t>-quarter 2019 data available from the Bureau of Labor Statistics (BLS). The median salary for all full-time employees ($</w:t>
      </w:r>
      <w:r w:rsidR="00F769B8" w:rsidRPr="00A570E2">
        <w:rPr>
          <w:iCs/>
        </w:rPr>
        <w:t>9</w:t>
      </w:r>
      <w:r w:rsidR="00F769B8">
        <w:rPr>
          <w:iCs/>
        </w:rPr>
        <w:t>19</w:t>
      </w:r>
      <w:r w:rsidR="00F769B8" w:rsidRPr="00A570E2">
        <w:rPr>
          <w:iCs/>
        </w:rPr>
        <w:t xml:space="preserve"> </w:t>
      </w:r>
      <w:r w:rsidRPr="00A570E2">
        <w:rPr>
          <w:iCs/>
        </w:rPr>
        <w:t>per week, or $22.</w:t>
      </w:r>
      <w:r w:rsidR="00F769B8">
        <w:rPr>
          <w:iCs/>
        </w:rPr>
        <w:t>98</w:t>
      </w:r>
      <w:r w:rsidR="00F769B8" w:rsidRPr="00A570E2">
        <w:rPr>
          <w:iCs/>
        </w:rPr>
        <w:t xml:space="preserve"> </w:t>
      </w:r>
      <w:r w:rsidRPr="00A570E2">
        <w:rPr>
          <w:iCs/>
        </w:rPr>
        <w:t xml:space="preserve">per hour) </w:t>
      </w:r>
      <w:r w:rsidR="00F769B8" w:rsidRPr="00A570E2">
        <w:rPr>
          <w:iCs/>
        </w:rPr>
        <w:t xml:space="preserve">was used </w:t>
      </w:r>
      <w:r w:rsidRPr="00A570E2">
        <w:rPr>
          <w:iCs/>
        </w:rPr>
        <w:t>because the NHTH serves the entire United States population versus a specific demographic or sub-population</w:t>
      </w:r>
      <w:r w:rsidR="001629CD">
        <w:rPr>
          <w:rStyle w:val="FootnoteReference"/>
          <w:iCs/>
        </w:rPr>
        <w:footnoteReference w:id="3"/>
      </w:r>
      <w:r w:rsidRPr="00A570E2">
        <w:rPr>
          <w:iCs/>
        </w:rPr>
        <w:t xml:space="preserve">. </w:t>
      </w:r>
      <w:r w:rsidRPr="0062754F">
        <w:rPr>
          <w:b/>
          <w:bCs/>
          <w:iCs/>
        </w:rPr>
        <w:t xml:space="preserve">Table </w:t>
      </w:r>
      <w:r w:rsidR="00851D30">
        <w:rPr>
          <w:b/>
          <w:bCs/>
          <w:iCs/>
        </w:rPr>
        <w:t>A.12.1</w:t>
      </w:r>
      <w:r w:rsidR="00851D30" w:rsidRPr="00A570E2">
        <w:rPr>
          <w:iCs/>
        </w:rPr>
        <w:t xml:space="preserve"> </w:t>
      </w:r>
      <w:r w:rsidR="00BD4581" w:rsidRPr="00A570E2">
        <w:rPr>
          <w:iCs/>
        </w:rPr>
        <w:t>provide</w:t>
      </w:r>
      <w:r w:rsidR="00BD4581">
        <w:rPr>
          <w:iCs/>
        </w:rPr>
        <w:t>s</w:t>
      </w:r>
      <w:r w:rsidR="00BD4581" w:rsidRPr="00A570E2">
        <w:rPr>
          <w:iCs/>
        </w:rPr>
        <w:t xml:space="preserve"> </w:t>
      </w:r>
      <w:r w:rsidRPr="00A570E2">
        <w:rPr>
          <w:iCs/>
        </w:rPr>
        <w:t>annual costs to respondents.</w:t>
      </w:r>
    </w:p>
    <w:p w14:paraId="4A561978" w14:textId="77777777" w:rsidR="00A570E2" w:rsidRPr="00314C96" w:rsidRDefault="00A570E2" w:rsidP="00314C96">
      <w:pPr>
        <w:spacing w:after="120" w:line="240" w:lineRule="auto"/>
        <w:ind w:left="86"/>
        <w:rPr>
          <w:b/>
          <w:bCs/>
        </w:rPr>
      </w:pPr>
      <w:r w:rsidRPr="00314C96">
        <w:rPr>
          <w:b/>
          <w:bCs/>
        </w:rPr>
        <w:t xml:space="preserve">Table </w:t>
      </w:r>
      <w:r w:rsidR="00314C96">
        <w:rPr>
          <w:b/>
          <w:bCs/>
        </w:rPr>
        <w:t>A.12.1</w:t>
      </w:r>
      <w:r w:rsidRPr="00314C96">
        <w:rPr>
          <w:b/>
          <w:bCs/>
        </w:rPr>
        <w:t>. Annual and Total Data Collection Burden</w:t>
      </w:r>
    </w:p>
    <w:tbl>
      <w:tblPr>
        <w:tblStyle w:val="TableGrid"/>
        <w:tblW w:w="9247" w:type="dxa"/>
        <w:tblInd w:w="108" w:type="dxa"/>
        <w:tblLayout w:type="fixed"/>
        <w:tblLook w:val="01E0" w:firstRow="1" w:lastRow="1" w:firstColumn="1" w:lastColumn="1" w:noHBand="0" w:noVBand="0"/>
      </w:tblPr>
      <w:tblGrid>
        <w:gridCol w:w="1507"/>
        <w:gridCol w:w="1350"/>
        <w:gridCol w:w="1530"/>
        <w:gridCol w:w="1350"/>
        <w:gridCol w:w="1080"/>
        <w:gridCol w:w="1170"/>
        <w:gridCol w:w="1260"/>
      </w:tblGrid>
      <w:tr w:rsidR="004E1D5F" w:rsidRPr="00B41281" w14:paraId="71767FAC" w14:textId="77777777" w:rsidTr="00C75869">
        <w:tc>
          <w:tcPr>
            <w:tcW w:w="1507" w:type="dxa"/>
            <w:tcBorders>
              <w:top w:val="single" w:sz="4" w:space="0" w:color="auto"/>
              <w:left w:val="single" w:sz="4" w:space="0" w:color="auto"/>
              <w:bottom w:val="single" w:sz="4" w:space="0" w:color="auto"/>
              <w:right w:val="single" w:sz="4" w:space="0" w:color="auto"/>
            </w:tcBorders>
            <w:hideMark/>
          </w:tcPr>
          <w:p w14:paraId="641BFFB6" w14:textId="77777777" w:rsidR="004E1D5F" w:rsidRPr="00B41281" w:rsidRDefault="004E1D5F" w:rsidP="003A00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rPr>
            </w:pPr>
            <w:r w:rsidRPr="00B41281">
              <w:rPr>
                <w:rFonts w:cstheme="minorHAnsi"/>
                <w:bCs/>
              </w:rPr>
              <w:t xml:space="preserve">Instrument </w:t>
            </w:r>
          </w:p>
        </w:tc>
        <w:tc>
          <w:tcPr>
            <w:tcW w:w="1350" w:type="dxa"/>
            <w:tcBorders>
              <w:top w:val="single" w:sz="4" w:space="0" w:color="auto"/>
              <w:left w:val="single" w:sz="4" w:space="0" w:color="auto"/>
              <w:bottom w:val="single" w:sz="4" w:space="0" w:color="auto"/>
              <w:right w:val="single" w:sz="4" w:space="0" w:color="auto"/>
            </w:tcBorders>
            <w:hideMark/>
          </w:tcPr>
          <w:p w14:paraId="212DD145" w14:textId="77777777" w:rsidR="004E1D5F" w:rsidRPr="00B41281" w:rsidRDefault="004E1D5F" w:rsidP="003A00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rPr>
            </w:pPr>
            <w:r w:rsidRPr="00B41281">
              <w:rPr>
                <w:rFonts w:cstheme="minorHAnsi"/>
                <w:bCs/>
              </w:rPr>
              <w:t>No. of Respondents (total over request period)</w:t>
            </w:r>
          </w:p>
        </w:tc>
        <w:tc>
          <w:tcPr>
            <w:tcW w:w="1530" w:type="dxa"/>
            <w:tcBorders>
              <w:top w:val="single" w:sz="4" w:space="0" w:color="auto"/>
              <w:left w:val="single" w:sz="4" w:space="0" w:color="auto"/>
              <w:bottom w:val="single" w:sz="4" w:space="0" w:color="auto"/>
              <w:right w:val="single" w:sz="4" w:space="0" w:color="auto"/>
            </w:tcBorders>
            <w:hideMark/>
          </w:tcPr>
          <w:p w14:paraId="75C209F9" w14:textId="77777777" w:rsidR="004E1D5F" w:rsidRPr="00B41281" w:rsidRDefault="004E1D5F" w:rsidP="003A00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rPr>
            </w:pPr>
            <w:r w:rsidRPr="00B41281">
              <w:rPr>
                <w:rFonts w:cstheme="minorHAnsi"/>
                <w:bCs/>
              </w:rPr>
              <w:t>No. of Responses per Respondent (total over request period)</w:t>
            </w:r>
          </w:p>
        </w:tc>
        <w:tc>
          <w:tcPr>
            <w:tcW w:w="1350" w:type="dxa"/>
            <w:tcBorders>
              <w:top w:val="single" w:sz="4" w:space="0" w:color="auto"/>
              <w:left w:val="single" w:sz="4" w:space="0" w:color="auto"/>
              <w:bottom w:val="single" w:sz="4" w:space="0" w:color="auto"/>
              <w:right w:val="single" w:sz="4" w:space="0" w:color="auto"/>
            </w:tcBorders>
            <w:hideMark/>
          </w:tcPr>
          <w:p w14:paraId="3005815B" w14:textId="77777777" w:rsidR="004E1D5F" w:rsidRPr="00B41281" w:rsidRDefault="004E1D5F" w:rsidP="003A00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rPr>
            </w:pPr>
            <w:r w:rsidRPr="00B41281">
              <w:rPr>
                <w:rFonts w:cstheme="minorHAnsi"/>
                <w:bCs/>
              </w:rPr>
              <w:t>Avg. Burden per Response (in hours)</w:t>
            </w:r>
          </w:p>
        </w:tc>
        <w:tc>
          <w:tcPr>
            <w:tcW w:w="1080" w:type="dxa"/>
            <w:tcBorders>
              <w:top w:val="single" w:sz="4" w:space="0" w:color="auto"/>
              <w:left w:val="single" w:sz="4" w:space="0" w:color="auto"/>
              <w:bottom w:val="single" w:sz="4" w:space="0" w:color="auto"/>
              <w:right w:val="single" w:sz="4" w:space="0" w:color="auto"/>
            </w:tcBorders>
            <w:hideMark/>
          </w:tcPr>
          <w:p w14:paraId="5E40491D" w14:textId="77777777" w:rsidR="004E1D5F" w:rsidRPr="00B41281" w:rsidRDefault="004E1D5F" w:rsidP="003A00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rPr>
            </w:pPr>
            <w:r w:rsidRPr="00B41281">
              <w:rPr>
                <w:rFonts w:cstheme="minorHAnsi"/>
                <w:bCs/>
              </w:rPr>
              <w:t>Annual Burden (in hours)</w:t>
            </w:r>
          </w:p>
        </w:tc>
        <w:tc>
          <w:tcPr>
            <w:tcW w:w="1170" w:type="dxa"/>
            <w:tcBorders>
              <w:top w:val="single" w:sz="4" w:space="0" w:color="auto"/>
              <w:left w:val="single" w:sz="4" w:space="0" w:color="auto"/>
              <w:bottom w:val="single" w:sz="4" w:space="0" w:color="auto"/>
              <w:right w:val="single" w:sz="4" w:space="0" w:color="auto"/>
            </w:tcBorders>
            <w:hideMark/>
          </w:tcPr>
          <w:p w14:paraId="6341BB32" w14:textId="77777777" w:rsidR="004E1D5F" w:rsidRPr="00B41281" w:rsidRDefault="004E1D5F" w:rsidP="003A00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rPr>
            </w:pPr>
            <w:r w:rsidRPr="00B41281">
              <w:rPr>
                <w:rFonts w:cstheme="minorHAnsi"/>
                <w:bCs/>
              </w:rPr>
              <w:t>Average Hourly Wage Rate</w:t>
            </w:r>
          </w:p>
        </w:tc>
        <w:tc>
          <w:tcPr>
            <w:tcW w:w="1260" w:type="dxa"/>
            <w:tcBorders>
              <w:top w:val="single" w:sz="4" w:space="0" w:color="auto"/>
              <w:left w:val="single" w:sz="4" w:space="0" w:color="auto"/>
              <w:bottom w:val="single" w:sz="4" w:space="0" w:color="auto"/>
              <w:right w:val="single" w:sz="4" w:space="0" w:color="auto"/>
            </w:tcBorders>
            <w:hideMark/>
          </w:tcPr>
          <w:p w14:paraId="6BB748F3" w14:textId="77777777" w:rsidR="004E1D5F" w:rsidRPr="00B41281" w:rsidRDefault="004E1D5F" w:rsidP="003A00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rPr>
            </w:pPr>
            <w:r w:rsidRPr="00B41281">
              <w:rPr>
                <w:rFonts w:cstheme="minorHAnsi"/>
                <w:bCs/>
              </w:rPr>
              <w:t>Total Annual Respondent Cost</w:t>
            </w:r>
          </w:p>
        </w:tc>
      </w:tr>
      <w:tr w:rsidR="004E1D5F" w:rsidRPr="001629CD" w14:paraId="3089D6C6" w14:textId="77777777" w:rsidTr="00C75869">
        <w:tc>
          <w:tcPr>
            <w:tcW w:w="1507" w:type="dxa"/>
            <w:tcBorders>
              <w:top w:val="single" w:sz="4" w:space="0" w:color="auto"/>
              <w:left w:val="single" w:sz="4" w:space="0" w:color="auto"/>
              <w:bottom w:val="single" w:sz="4" w:space="0" w:color="auto"/>
              <w:right w:val="single" w:sz="4" w:space="0" w:color="auto"/>
            </w:tcBorders>
          </w:tcPr>
          <w:p w14:paraId="6A0CCAD0" w14:textId="77777777" w:rsidR="004E1D5F" w:rsidRPr="001629CD" w:rsidRDefault="004E1D5F" w:rsidP="003A00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rPr>
            </w:pPr>
            <w:r w:rsidRPr="001629CD">
              <w:rPr>
                <w:rFonts w:cstheme="minorHAnsi"/>
                <w:bCs/>
              </w:rPr>
              <w:t>Immediate Survey</w:t>
            </w:r>
          </w:p>
        </w:tc>
        <w:tc>
          <w:tcPr>
            <w:tcW w:w="1350" w:type="dxa"/>
            <w:tcBorders>
              <w:top w:val="single" w:sz="4" w:space="0" w:color="auto"/>
              <w:left w:val="single" w:sz="4" w:space="0" w:color="auto"/>
              <w:bottom w:val="single" w:sz="4" w:space="0" w:color="auto"/>
              <w:right w:val="single" w:sz="4" w:space="0" w:color="auto"/>
            </w:tcBorders>
            <w:vAlign w:val="center"/>
          </w:tcPr>
          <w:p w14:paraId="07CD8BF8" w14:textId="77777777" w:rsidR="004E1D5F" w:rsidRPr="001629CD" w:rsidRDefault="004E1D5F" w:rsidP="003A00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sidRPr="001629CD">
              <w:rPr>
                <w:rFonts w:cstheme="minorHAnsi"/>
                <w:bCs/>
              </w:rPr>
              <w:t>2000</w:t>
            </w:r>
          </w:p>
        </w:tc>
        <w:tc>
          <w:tcPr>
            <w:tcW w:w="1530" w:type="dxa"/>
            <w:tcBorders>
              <w:top w:val="single" w:sz="4" w:space="0" w:color="auto"/>
              <w:left w:val="single" w:sz="4" w:space="0" w:color="auto"/>
              <w:bottom w:val="single" w:sz="4" w:space="0" w:color="auto"/>
              <w:right w:val="single" w:sz="4" w:space="0" w:color="auto"/>
            </w:tcBorders>
            <w:vAlign w:val="center"/>
          </w:tcPr>
          <w:p w14:paraId="737F6CFA" w14:textId="77777777" w:rsidR="004E1D5F" w:rsidRPr="001629CD" w:rsidRDefault="004E1D5F" w:rsidP="003A00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sidRPr="001629CD">
              <w:rPr>
                <w:rFonts w:cstheme="minorHAnsi"/>
                <w:bCs/>
              </w:rPr>
              <w:t>1</w:t>
            </w:r>
          </w:p>
        </w:tc>
        <w:tc>
          <w:tcPr>
            <w:tcW w:w="1350" w:type="dxa"/>
            <w:tcBorders>
              <w:top w:val="single" w:sz="4" w:space="0" w:color="auto"/>
              <w:left w:val="single" w:sz="4" w:space="0" w:color="auto"/>
              <w:bottom w:val="single" w:sz="4" w:space="0" w:color="auto"/>
              <w:right w:val="single" w:sz="4" w:space="0" w:color="auto"/>
            </w:tcBorders>
            <w:vAlign w:val="center"/>
          </w:tcPr>
          <w:p w14:paraId="7A84A263" w14:textId="77777777" w:rsidR="004E1D5F" w:rsidRPr="001629CD" w:rsidRDefault="004E1D5F" w:rsidP="003A00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sidRPr="001629CD">
              <w:rPr>
                <w:rFonts w:cstheme="minorHAnsi"/>
                <w:bCs/>
              </w:rPr>
              <w:t>.12</w:t>
            </w:r>
          </w:p>
        </w:tc>
        <w:tc>
          <w:tcPr>
            <w:tcW w:w="1080" w:type="dxa"/>
            <w:tcBorders>
              <w:top w:val="single" w:sz="4" w:space="0" w:color="auto"/>
              <w:left w:val="single" w:sz="4" w:space="0" w:color="auto"/>
              <w:bottom w:val="single" w:sz="4" w:space="0" w:color="auto"/>
              <w:right w:val="single" w:sz="4" w:space="0" w:color="auto"/>
            </w:tcBorders>
            <w:vAlign w:val="center"/>
          </w:tcPr>
          <w:p w14:paraId="4D569BA3" w14:textId="77777777" w:rsidR="004E1D5F" w:rsidRPr="001629CD" w:rsidRDefault="004E1D5F" w:rsidP="003A00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sidRPr="001629CD">
              <w:rPr>
                <w:rFonts w:cstheme="minorHAnsi"/>
                <w:bCs/>
              </w:rPr>
              <w:t>240</w:t>
            </w:r>
          </w:p>
        </w:tc>
        <w:tc>
          <w:tcPr>
            <w:tcW w:w="1170" w:type="dxa"/>
            <w:tcBorders>
              <w:top w:val="single" w:sz="4" w:space="0" w:color="auto"/>
              <w:left w:val="single" w:sz="4" w:space="0" w:color="auto"/>
              <w:bottom w:val="single" w:sz="4" w:space="0" w:color="auto"/>
              <w:right w:val="single" w:sz="4" w:space="0" w:color="auto"/>
            </w:tcBorders>
            <w:vAlign w:val="center"/>
            <w:hideMark/>
          </w:tcPr>
          <w:p w14:paraId="0E9D96CE" w14:textId="77777777" w:rsidR="004E1D5F" w:rsidRPr="001629CD" w:rsidRDefault="004E1D5F" w:rsidP="003A00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sidRPr="001629CD">
              <w:rPr>
                <w:rFonts w:cstheme="minorHAnsi"/>
                <w:bCs/>
              </w:rPr>
              <w:t>$22.98</w:t>
            </w:r>
          </w:p>
        </w:tc>
        <w:tc>
          <w:tcPr>
            <w:tcW w:w="1260" w:type="dxa"/>
            <w:tcBorders>
              <w:top w:val="single" w:sz="4" w:space="0" w:color="auto"/>
              <w:left w:val="single" w:sz="4" w:space="0" w:color="auto"/>
              <w:bottom w:val="single" w:sz="4" w:space="0" w:color="auto"/>
              <w:right w:val="single" w:sz="4" w:space="0" w:color="auto"/>
            </w:tcBorders>
            <w:vAlign w:val="center"/>
            <w:hideMark/>
          </w:tcPr>
          <w:p w14:paraId="4EAF2777" w14:textId="77777777" w:rsidR="004E1D5F" w:rsidRPr="001629CD" w:rsidRDefault="004E1D5F" w:rsidP="003A00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sidRPr="001629CD">
              <w:rPr>
                <w:rFonts w:cstheme="minorHAnsi"/>
                <w:bCs/>
              </w:rPr>
              <w:t>$5,515</w:t>
            </w:r>
          </w:p>
        </w:tc>
      </w:tr>
      <w:tr w:rsidR="004E1D5F" w:rsidRPr="001629CD" w14:paraId="1652EAD9" w14:textId="77777777" w:rsidTr="00C75869">
        <w:tc>
          <w:tcPr>
            <w:tcW w:w="1507" w:type="dxa"/>
            <w:tcBorders>
              <w:top w:val="single" w:sz="4" w:space="0" w:color="auto"/>
              <w:left w:val="single" w:sz="4" w:space="0" w:color="auto"/>
              <w:bottom w:val="single" w:sz="4" w:space="0" w:color="auto"/>
              <w:right w:val="single" w:sz="4" w:space="0" w:color="auto"/>
            </w:tcBorders>
          </w:tcPr>
          <w:p w14:paraId="33013BE7" w14:textId="77777777" w:rsidR="004E1D5F" w:rsidRPr="001629CD" w:rsidRDefault="004E1D5F" w:rsidP="003A00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rPr>
            </w:pPr>
            <w:r w:rsidRPr="001629CD">
              <w:rPr>
                <w:rFonts w:cstheme="minorHAnsi"/>
                <w:bCs/>
              </w:rPr>
              <w:t>Two-Week Follow-Up Survey</w:t>
            </w:r>
          </w:p>
        </w:tc>
        <w:tc>
          <w:tcPr>
            <w:tcW w:w="1350" w:type="dxa"/>
            <w:tcBorders>
              <w:top w:val="single" w:sz="4" w:space="0" w:color="auto"/>
              <w:left w:val="single" w:sz="4" w:space="0" w:color="auto"/>
              <w:bottom w:val="single" w:sz="4" w:space="0" w:color="auto"/>
              <w:right w:val="single" w:sz="4" w:space="0" w:color="auto"/>
            </w:tcBorders>
            <w:vAlign w:val="center"/>
          </w:tcPr>
          <w:p w14:paraId="5163DBD1" w14:textId="77777777" w:rsidR="004E1D5F" w:rsidRPr="001629CD" w:rsidRDefault="004E1D5F" w:rsidP="003A00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sidRPr="001629CD">
              <w:rPr>
                <w:rFonts w:cstheme="minorHAnsi"/>
                <w:bCs/>
              </w:rPr>
              <w:t>310</w:t>
            </w:r>
          </w:p>
        </w:tc>
        <w:tc>
          <w:tcPr>
            <w:tcW w:w="1530" w:type="dxa"/>
            <w:tcBorders>
              <w:top w:val="single" w:sz="4" w:space="0" w:color="auto"/>
              <w:left w:val="single" w:sz="4" w:space="0" w:color="auto"/>
              <w:bottom w:val="single" w:sz="4" w:space="0" w:color="auto"/>
              <w:right w:val="single" w:sz="4" w:space="0" w:color="auto"/>
            </w:tcBorders>
            <w:vAlign w:val="center"/>
          </w:tcPr>
          <w:p w14:paraId="7EF4C507" w14:textId="77777777" w:rsidR="004E1D5F" w:rsidRPr="001629CD" w:rsidRDefault="004E1D5F" w:rsidP="003A00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sidRPr="001629CD">
              <w:rPr>
                <w:rFonts w:cstheme="minorHAnsi"/>
                <w:bCs/>
              </w:rPr>
              <w:t>1</w:t>
            </w:r>
          </w:p>
        </w:tc>
        <w:tc>
          <w:tcPr>
            <w:tcW w:w="1350" w:type="dxa"/>
            <w:tcBorders>
              <w:top w:val="single" w:sz="4" w:space="0" w:color="auto"/>
              <w:left w:val="single" w:sz="4" w:space="0" w:color="auto"/>
              <w:bottom w:val="single" w:sz="4" w:space="0" w:color="auto"/>
              <w:right w:val="single" w:sz="4" w:space="0" w:color="auto"/>
            </w:tcBorders>
            <w:vAlign w:val="center"/>
          </w:tcPr>
          <w:p w14:paraId="0F379129" w14:textId="77777777" w:rsidR="004E1D5F" w:rsidRPr="001629CD" w:rsidRDefault="004E1D5F" w:rsidP="003A00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sidRPr="001629CD">
              <w:rPr>
                <w:rFonts w:cstheme="minorHAnsi"/>
                <w:bCs/>
              </w:rPr>
              <w:t>.15</w:t>
            </w:r>
          </w:p>
        </w:tc>
        <w:tc>
          <w:tcPr>
            <w:tcW w:w="1080" w:type="dxa"/>
            <w:tcBorders>
              <w:top w:val="single" w:sz="4" w:space="0" w:color="auto"/>
              <w:left w:val="single" w:sz="4" w:space="0" w:color="auto"/>
              <w:bottom w:val="single" w:sz="4" w:space="0" w:color="auto"/>
              <w:right w:val="single" w:sz="4" w:space="0" w:color="auto"/>
            </w:tcBorders>
            <w:vAlign w:val="center"/>
          </w:tcPr>
          <w:p w14:paraId="61C88FDC" w14:textId="77777777" w:rsidR="004E1D5F" w:rsidRPr="001629CD" w:rsidRDefault="004E1D5F" w:rsidP="003A00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sidRPr="001629CD">
              <w:rPr>
                <w:rFonts w:cstheme="minorHAnsi"/>
                <w:bCs/>
              </w:rPr>
              <w:t>47</w:t>
            </w:r>
          </w:p>
        </w:tc>
        <w:tc>
          <w:tcPr>
            <w:tcW w:w="1170" w:type="dxa"/>
            <w:tcBorders>
              <w:top w:val="single" w:sz="4" w:space="0" w:color="auto"/>
              <w:left w:val="single" w:sz="4" w:space="0" w:color="auto"/>
              <w:bottom w:val="single" w:sz="4" w:space="0" w:color="auto"/>
              <w:right w:val="single" w:sz="4" w:space="0" w:color="auto"/>
            </w:tcBorders>
            <w:vAlign w:val="center"/>
          </w:tcPr>
          <w:p w14:paraId="6643CD13" w14:textId="77777777" w:rsidR="004E1D5F" w:rsidRPr="001629CD" w:rsidRDefault="004E1D5F" w:rsidP="003A00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sidRPr="001629CD">
              <w:rPr>
                <w:rFonts w:cstheme="minorHAnsi"/>
                <w:bCs/>
              </w:rPr>
              <w:t>$22.98</w:t>
            </w:r>
          </w:p>
        </w:tc>
        <w:tc>
          <w:tcPr>
            <w:tcW w:w="1260" w:type="dxa"/>
            <w:tcBorders>
              <w:top w:val="single" w:sz="4" w:space="0" w:color="auto"/>
              <w:left w:val="single" w:sz="4" w:space="0" w:color="auto"/>
              <w:bottom w:val="single" w:sz="4" w:space="0" w:color="auto"/>
              <w:right w:val="single" w:sz="4" w:space="0" w:color="auto"/>
            </w:tcBorders>
            <w:vAlign w:val="center"/>
          </w:tcPr>
          <w:p w14:paraId="521F5028" w14:textId="77777777" w:rsidR="004E1D5F" w:rsidRPr="001629CD" w:rsidRDefault="004E1D5F" w:rsidP="003A00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sidRPr="001629CD">
              <w:rPr>
                <w:rFonts w:cstheme="minorHAnsi"/>
                <w:bCs/>
              </w:rPr>
              <w:t>$1,080</w:t>
            </w:r>
          </w:p>
        </w:tc>
      </w:tr>
      <w:tr w:rsidR="004E1D5F" w:rsidRPr="001629CD" w14:paraId="4F8378DE" w14:textId="77777777" w:rsidTr="00C75869">
        <w:tc>
          <w:tcPr>
            <w:tcW w:w="5737" w:type="dxa"/>
            <w:gridSpan w:val="4"/>
            <w:tcBorders>
              <w:top w:val="single" w:sz="4" w:space="0" w:color="auto"/>
              <w:left w:val="single" w:sz="4" w:space="0" w:color="auto"/>
              <w:bottom w:val="single" w:sz="4" w:space="0" w:color="auto"/>
              <w:right w:val="single" w:sz="4" w:space="0" w:color="auto"/>
            </w:tcBorders>
            <w:vAlign w:val="center"/>
            <w:hideMark/>
          </w:tcPr>
          <w:p w14:paraId="060831EB" w14:textId="77777777" w:rsidR="004E1D5F" w:rsidRPr="001629CD" w:rsidRDefault="004E1D5F" w:rsidP="004E1D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cstheme="minorHAnsi"/>
                <w:bCs/>
              </w:rPr>
            </w:pPr>
            <w:r w:rsidRPr="001629CD">
              <w:rPr>
                <w:rFonts w:cstheme="minorHAnsi"/>
                <w:bCs/>
              </w:rPr>
              <w:t>Total</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36FC8DC" w14:textId="77777777" w:rsidR="004E1D5F" w:rsidRPr="001629CD" w:rsidRDefault="004E1D5F" w:rsidP="003A00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sidRPr="001629CD">
              <w:rPr>
                <w:rFonts w:cstheme="minorHAnsi"/>
                <w:bCs/>
              </w:rPr>
              <w:t>247</w:t>
            </w:r>
          </w:p>
        </w:tc>
        <w:tc>
          <w:tcPr>
            <w:tcW w:w="1170" w:type="dxa"/>
            <w:tcBorders>
              <w:top w:val="single" w:sz="4" w:space="0" w:color="auto"/>
              <w:left w:val="single" w:sz="4" w:space="0" w:color="auto"/>
              <w:bottom w:val="single" w:sz="4" w:space="0" w:color="auto"/>
              <w:right w:val="single" w:sz="4" w:space="0" w:color="auto"/>
            </w:tcBorders>
            <w:vAlign w:val="center"/>
            <w:hideMark/>
          </w:tcPr>
          <w:p w14:paraId="72795425" w14:textId="77777777" w:rsidR="004E1D5F" w:rsidRPr="001629CD" w:rsidRDefault="004E1D5F" w:rsidP="003A00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p>
        </w:tc>
        <w:tc>
          <w:tcPr>
            <w:tcW w:w="1260" w:type="dxa"/>
            <w:tcBorders>
              <w:top w:val="single" w:sz="4" w:space="0" w:color="auto"/>
              <w:left w:val="single" w:sz="4" w:space="0" w:color="auto"/>
              <w:bottom w:val="single" w:sz="4" w:space="0" w:color="auto"/>
              <w:right w:val="single" w:sz="4" w:space="0" w:color="auto"/>
            </w:tcBorders>
            <w:vAlign w:val="center"/>
            <w:hideMark/>
          </w:tcPr>
          <w:p w14:paraId="339E006F" w14:textId="77777777" w:rsidR="004E1D5F" w:rsidRPr="001629CD" w:rsidRDefault="004E1D5F" w:rsidP="003A00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sidRPr="001629CD">
              <w:rPr>
                <w:rFonts w:cstheme="minorHAnsi"/>
                <w:bCs/>
              </w:rPr>
              <w:t>$6,595</w:t>
            </w:r>
          </w:p>
        </w:tc>
      </w:tr>
    </w:tbl>
    <w:p w14:paraId="01C0AEA0" w14:textId="77777777" w:rsidR="00A570E2" w:rsidRPr="001629CD" w:rsidRDefault="00A570E2" w:rsidP="00A570E2">
      <w:pPr>
        <w:spacing w:after="0" w:line="240" w:lineRule="auto"/>
        <w:rPr>
          <w:rFonts w:cstheme="minorHAnsi"/>
        </w:rPr>
      </w:pPr>
    </w:p>
    <w:p w14:paraId="57F7D8A9" w14:textId="77777777" w:rsidR="00373D2F" w:rsidRDefault="00B23277" w:rsidP="001629CD">
      <w:pPr>
        <w:rPr>
          <w:rFonts w:cstheme="minorHAnsi"/>
        </w:rPr>
      </w:pPr>
      <w:r w:rsidRPr="00624DDC">
        <w:rPr>
          <w:rFonts w:cstheme="minorHAnsi"/>
          <w:b/>
        </w:rPr>
        <w:t>A13</w:t>
      </w:r>
      <w:r>
        <w:rPr>
          <w:rFonts w:cstheme="minorHAnsi"/>
        </w:rPr>
        <w:t>.</w:t>
      </w:r>
      <w:r>
        <w:rPr>
          <w:rFonts w:cstheme="minorHAnsi"/>
        </w:rPr>
        <w:tab/>
      </w:r>
      <w:r w:rsidR="00083227" w:rsidRPr="001F0446">
        <w:rPr>
          <w:rFonts w:cstheme="minorHAnsi"/>
          <w:b/>
        </w:rPr>
        <w:t>Costs</w:t>
      </w:r>
    </w:p>
    <w:p w14:paraId="5A3FAF80" w14:textId="77777777" w:rsidR="00577243" w:rsidRPr="000D4E9A" w:rsidRDefault="00A570E2" w:rsidP="00A85897">
      <w:pPr>
        <w:autoSpaceDE w:val="0"/>
        <w:autoSpaceDN w:val="0"/>
        <w:adjustRightInd w:val="0"/>
        <w:rPr>
          <w:rFonts w:cstheme="minorHAnsi"/>
        </w:rPr>
      </w:pPr>
      <w:r>
        <w:rPr>
          <w:rFonts w:cstheme="minorHAnsi"/>
        </w:rPr>
        <w:t xml:space="preserve">There are no additional costs to respondents. </w:t>
      </w:r>
    </w:p>
    <w:p w14:paraId="583CA5C1" w14:textId="77777777" w:rsidR="00373D2F" w:rsidRPr="00DF1291" w:rsidRDefault="00B23277" w:rsidP="001629CD">
      <w:pPr>
        <w:rPr>
          <w:rFonts w:cstheme="minorHAnsi"/>
        </w:rPr>
      </w:pPr>
      <w:r w:rsidRPr="00624DDC">
        <w:rPr>
          <w:rFonts w:cstheme="minorHAnsi"/>
          <w:b/>
        </w:rPr>
        <w:t>A14</w:t>
      </w:r>
      <w:r>
        <w:rPr>
          <w:rFonts w:cstheme="minorHAnsi"/>
        </w:rPr>
        <w:t>.</w:t>
      </w:r>
      <w:r>
        <w:rPr>
          <w:rFonts w:cstheme="minorHAnsi"/>
        </w:rPr>
        <w:tab/>
      </w:r>
      <w:r w:rsidR="00577243" w:rsidRPr="00577243">
        <w:rPr>
          <w:rFonts w:cstheme="minorHAnsi"/>
          <w:b/>
        </w:rPr>
        <w:t>Estimated Annualized Costs to the Federal Government</w:t>
      </w:r>
      <w:r w:rsidR="00577243">
        <w:rPr>
          <w:rFonts w:cstheme="minorHAnsi"/>
        </w:rPr>
        <w:t xml:space="preserve"> </w:t>
      </w:r>
    </w:p>
    <w:p w14:paraId="29AFB84D" w14:textId="77777777" w:rsidR="00B13DC4" w:rsidRDefault="00C244DC" w:rsidP="00A85897">
      <w:r w:rsidRPr="00C244DC">
        <w:t xml:space="preserve">The </w:t>
      </w:r>
      <w:r w:rsidR="004501A4">
        <w:t xml:space="preserve">estimated annual (and </w:t>
      </w:r>
      <w:r w:rsidRPr="00C244DC">
        <w:t>total</w:t>
      </w:r>
      <w:r w:rsidR="004501A4">
        <w:t>)</w:t>
      </w:r>
      <w:r w:rsidRPr="00C244DC">
        <w:t xml:space="preserve"> cost </w:t>
      </w:r>
      <w:r w:rsidR="004501A4" w:rsidRPr="006C1B87">
        <w:t xml:space="preserve">to the Federal government </w:t>
      </w:r>
      <w:r w:rsidRPr="00C244DC">
        <w:t>for the</w:t>
      </w:r>
      <w:r w:rsidR="004501A4">
        <w:t xml:space="preserve"> proposed</w:t>
      </w:r>
      <w:r w:rsidRPr="00C244DC">
        <w:t xml:space="preserve"> data collection under this current request will </w:t>
      </w:r>
      <w:r w:rsidRPr="006C1B87">
        <w:t>be $</w:t>
      </w:r>
      <w:r w:rsidR="006C1B87">
        <w:t>224,996</w:t>
      </w:r>
      <w:r w:rsidRPr="006C1B87">
        <w:t>.</w:t>
      </w:r>
    </w:p>
    <w:p w14:paraId="553E3DFC" w14:textId="77777777" w:rsidR="00314C96" w:rsidRPr="00314C96" w:rsidRDefault="00314C96" w:rsidP="00314C96">
      <w:pPr>
        <w:spacing w:after="120" w:line="240" w:lineRule="auto"/>
        <w:rPr>
          <w:b/>
          <w:bCs/>
        </w:rPr>
      </w:pPr>
      <w:r w:rsidRPr="00314C96">
        <w:rPr>
          <w:b/>
          <w:bCs/>
        </w:rPr>
        <w:t xml:space="preserve">Table </w:t>
      </w:r>
      <w:r>
        <w:rPr>
          <w:b/>
          <w:bCs/>
        </w:rPr>
        <w:t>A.14.1</w:t>
      </w:r>
      <w:r w:rsidRPr="00314C96">
        <w:rPr>
          <w:b/>
          <w:bCs/>
        </w:rPr>
        <w:t>. Annual and Total Data Collection Burden</w:t>
      </w:r>
    </w:p>
    <w:tbl>
      <w:tblPr>
        <w:tblW w:w="0" w:type="auto"/>
        <w:tblCellMar>
          <w:left w:w="0" w:type="dxa"/>
          <w:right w:w="0" w:type="dxa"/>
        </w:tblCellMar>
        <w:tblLook w:val="04A0" w:firstRow="1" w:lastRow="0" w:firstColumn="1" w:lastColumn="0" w:noHBand="0" w:noVBand="1"/>
      </w:tblPr>
      <w:tblGrid>
        <w:gridCol w:w="4878"/>
        <w:gridCol w:w="2250"/>
      </w:tblGrid>
      <w:tr w:rsidR="00B13DC4" w:rsidRPr="00B13297" w14:paraId="0B33FC8C" w14:textId="77777777" w:rsidTr="004A5E1A">
        <w:tc>
          <w:tcPr>
            <w:tcW w:w="4878"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hideMark/>
          </w:tcPr>
          <w:p w14:paraId="4FDCC87C" w14:textId="77777777" w:rsidR="00B13DC4" w:rsidRPr="00B13297" w:rsidRDefault="00B13DC4" w:rsidP="004A5E1A">
            <w:pPr>
              <w:rPr>
                <w:b/>
                <w:bCs/>
                <w:sz w:val="20"/>
              </w:rPr>
            </w:pPr>
            <w:r w:rsidRPr="00B13297">
              <w:rPr>
                <w:b/>
                <w:bCs/>
                <w:sz w:val="20"/>
              </w:rPr>
              <w:t>Cost Category</w:t>
            </w:r>
          </w:p>
        </w:tc>
        <w:tc>
          <w:tcPr>
            <w:tcW w:w="2250"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64041204" w14:textId="77777777" w:rsidR="00B13DC4" w:rsidRPr="00B13297" w:rsidRDefault="00B13DC4" w:rsidP="004A5E1A">
            <w:pPr>
              <w:jc w:val="center"/>
              <w:rPr>
                <w:b/>
                <w:bCs/>
                <w:sz w:val="20"/>
              </w:rPr>
            </w:pPr>
            <w:r w:rsidRPr="00B13297">
              <w:rPr>
                <w:b/>
                <w:bCs/>
                <w:sz w:val="20"/>
              </w:rPr>
              <w:t>Estimated Costs</w:t>
            </w:r>
          </w:p>
        </w:tc>
      </w:tr>
      <w:tr w:rsidR="006A4106" w:rsidRPr="00B13297" w14:paraId="53E9A409" w14:textId="77777777" w:rsidTr="006C1B87">
        <w:tc>
          <w:tcPr>
            <w:tcW w:w="48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46C3936" w14:textId="77777777" w:rsidR="006A4106" w:rsidRPr="00B13297" w:rsidRDefault="006A4106" w:rsidP="00CB4358">
            <w:pPr>
              <w:spacing w:after="0"/>
              <w:rPr>
                <w:sz w:val="20"/>
              </w:rPr>
            </w:pPr>
            <w:r>
              <w:rPr>
                <w:sz w:val="20"/>
              </w:rPr>
              <w:t>Project Management</w:t>
            </w:r>
          </w:p>
        </w:tc>
        <w:tc>
          <w:tcPr>
            <w:tcW w:w="22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6DBA8DB" w14:textId="77777777" w:rsidR="006A4106" w:rsidRPr="006C1B87" w:rsidRDefault="006A4106" w:rsidP="00CB4358">
            <w:pPr>
              <w:spacing w:after="0"/>
              <w:jc w:val="center"/>
              <w:rPr>
                <w:sz w:val="20"/>
              </w:rPr>
            </w:pPr>
            <w:r w:rsidRPr="006C1B87">
              <w:rPr>
                <w:sz w:val="20"/>
              </w:rPr>
              <w:t>$1</w:t>
            </w:r>
            <w:r w:rsidR="006C1B87" w:rsidRPr="006C1B87">
              <w:rPr>
                <w:sz w:val="20"/>
              </w:rPr>
              <w:t>4</w:t>
            </w:r>
            <w:r w:rsidRPr="006C1B87">
              <w:rPr>
                <w:sz w:val="20"/>
              </w:rPr>
              <w:t>,</w:t>
            </w:r>
            <w:r w:rsidR="006C1B87" w:rsidRPr="006C1B87">
              <w:rPr>
                <w:sz w:val="20"/>
              </w:rPr>
              <w:t>377</w:t>
            </w:r>
          </w:p>
        </w:tc>
      </w:tr>
      <w:tr w:rsidR="00CB4358" w:rsidRPr="00B13297" w14:paraId="0EDB3307" w14:textId="77777777" w:rsidTr="006C1B87">
        <w:tc>
          <w:tcPr>
            <w:tcW w:w="48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546DC3D" w14:textId="77777777" w:rsidR="00CB4358" w:rsidRPr="00B13297" w:rsidRDefault="00CB4358" w:rsidP="00CB4358">
            <w:pPr>
              <w:spacing w:after="0"/>
              <w:rPr>
                <w:sz w:val="20"/>
              </w:rPr>
            </w:pPr>
            <w:r w:rsidRPr="00B13297">
              <w:rPr>
                <w:sz w:val="20"/>
              </w:rPr>
              <w:t>Instrument Development and OMB Clearance</w:t>
            </w:r>
          </w:p>
        </w:tc>
        <w:tc>
          <w:tcPr>
            <w:tcW w:w="22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A7BEA60" w14:textId="77777777" w:rsidR="00CB4358" w:rsidRPr="006C1B87" w:rsidRDefault="00CB4358" w:rsidP="00CB4358">
            <w:pPr>
              <w:spacing w:after="0"/>
              <w:jc w:val="center"/>
              <w:rPr>
                <w:sz w:val="20"/>
              </w:rPr>
            </w:pPr>
            <w:r w:rsidRPr="006C1B87">
              <w:rPr>
                <w:sz w:val="20"/>
              </w:rPr>
              <w:t>$</w:t>
            </w:r>
            <w:r w:rsidR="006C1B87" w:rsidRPr="006C1B87">
              <w:rPr>
                <w:sz w:val="20"/>
              </w:rPr>
              <w:t>45</w:t>
            </w:r>
            <w:r w:rsidR="006A4106" w:rsidRPr="006C1B87">
              <w:rPr>
                <w:sz w:val="20"/>
              </w:rPr>
              <w:t>,</w:t>
            </w:r>
            <w:r w:rsidR="006C1B87" w:rsidRPr="006C1B87">
              <w:rPr>
                <w:sz w:val="20"/>
              </w:rPr>
              <w:t>545</w:t>
            </w:r>
          </w:p>
        </w:tc>
      </w:tr>
      <w:tr w:rsidR="00CB4358" w:rsidRPr="00B13297" w14:paraId="2BC88D8B" w14:textId="77777777" w:rsidTr="006C1B87">
        <w:tc>
          <w:tcPr>
            <w:tcW w:w="48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A415855" w14:textId="77777777" w:rsidR="00CB4358" w:rsidRPr="00B13297" w:rsidRDefault="006C1B87" w:rsidP="00CB4358">
            <w:pPr>
              <w:spacing w:after="0"/>
              <w:rPr>
                <w:rFonts w:ascii="Calibri" w:eastAsia="Calibri" w:hAnsi="Calibri" w:cs="Calibri"/>
                <w:sz w:val="20"/>
              </w:rPr>
            </w:pPr>
            <w:r>
              <w:rPr>
                <w:sz w:val="20"/>
              </w:rPr>
              <w:t>Data Collection and Analysis</w:t>
            </w:r>
          </w:p>
        </w:tc>
        <w:tc>
          <w:tcPr>
            <w:tcW w:w="22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7E65E9E" w14:textId="77777777" w:rsidR="00CB4358" w:rsidRPr="006C1B87" w:rsidRDefault="006C1B87" w:rsidP="00CB4358">
            <w:pPr>
              <w:spacing w:after="0"/>
              <w:jc w:val="center"/>
              <w:rPr>
                <w:sz w:val="20"/>
              </w:rPr>
            </w:pPr>
            <w:r w:rsidRPr="006C1B87">
              <w:rPr>
                <w:sz w:val="20"/>
              </w:rPr>
              <w:t>$119,862</w:t>
            </w:r>
          </w:p>
        </w:tc>
      </w:tr>
      <w:tr w:rsidR="00CB4358" w:rsidRPr="00B13297" w14:paraId="2A9EC006" w14:textId="77777777" w:rsidTr="006C1B87">
        <w:tc>
          <w:tcPr>
            <w:tcW w:w="4878"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14:paraId="47EAE589" w14:textId="77777777" w:rsidR="00CB4358" w:rsidRPr="00B13297" w:rsidRDefault="00CB4358" w:rsidP="00CB4358">
            <w:pPr>
              <w:spacing w:after="0"/>
              <w:rPr>
                <w:rFonts w:ascii="Calibri" w:eastAsia="Calibri" w:hAnsi="Calibri" w:cs="Calibri"/>
                <w:sz w:val="20"/>
              </w:rPr>
            </w:pPr>
            <w:r w:rsidRPr="00B13297">
              <w:rPr>
                <w:sz w:val="20"/>
              </w:rPr>
              <w:t>Publications/Dissemination</w:t>
            </w:r>
          </w:p>
        </w:tc>
        <w:tc>
          <w:tcPr>
            <w:tcW w:w="2250" w:type="dxa"/>
            <w:tcBorders>
              <w:top w:val="nil"/>
              <w:left w:val="nil"/>
              <w:bottom w:val="single" w:sz="4" w:space="0" w:color="auto"/>
              <w:right w:val="single" w:sz="8" w:space="0" w:color="auto"/>
            </w:tcBorders>
            <w:shd w:val="clear" w:color="auto" w:fill="auto"/>
            <w:tcMar>
              <w:top w:w="0" w:type="dxa"/>
              <w:left w:w="108" w:type="dxa"/>
              <w:bottom w:w="0" w:type="dxa"/>
              <w:right w:w="108" w:type="dxa"/>
            </w:tcMar>
            <w:vAlign w:val="center"/>
            <w:hideMark/>
          </w:tcPr>
          <w:p w14:paraId="1974A305" w14:textId="77777777" w:rsidR="00CB4358" w:rsidRPr="006C1B87" w:rsidRDefault="00CB4358" w:rsidP="00CB4358">
            <w:pPr>
              <w:spacing w:after="0"/>
              <w:jc w:val="center"/>
              <w:rPr>
                <w:sz w:val="20"/>
              </w:rPr>
            </w:pPr>
            <w:r w:rsidRPr="006C1B87">
              <w:rPr>
                <w:sz w:val="20"/>
              </w:rPr>
              <w:t>$</w:t>
            </w:r>
            <w:r w:rsidR="006C1B87" w:rsidRPr="006C1B87">
              <w:rPr>
                <w:sz w:val="20"/>
              </w:rPr>
              <w:t>44,991</w:t>
            </w:r>
          </w:p>
        </w:tc>
      </w:tr>
      <w:tr w:rsidR="00CB4358" w:rsidRPr="00B13297" w14:paraId="3C9501DE" w14:textId="77777777" w:rsidTr="006C1B87">
        <w:tc>
          <w:tcPr>
            <w:tcW w:w="48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7396B6A" w14:textId="77777777" w:rsidR="00CB4358" w:rsidRPr="00B13297" w:rsidRDefault="00CB4358" w:rsidP="00CB4358">
            <w:pPr>
              <w:spacing w:after="0"/>
              <w:jc w:val="right"/>
              <w:rPr>
                <w:rFonts w:ascii="Calibri" w:eastAsia="Calibri" w:hAnsi="Calibri" w:cs="Calibri"/>
                <w:b/>
                <w:bCs/>
                <w:sz w:val="20"/>
              </w:rPr>
            </w:pPr>
            <w:r w:rsidRPr="00B13297">
              <w:rPr>
                <w:b/>
                <w:color w:val="000000"/>
                <w:sz w:val="20"/>
              </w:rPr>
              <w:t>Total costs over the request period</w:t>
            </w:r>
          </w:p>
        </w:tc>
        <w:tc>
          <w:tcPr>
            <w:tcW w:w="225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60DA950D" w14:textId="77777777" w:rsidR="00CB4358" w:rsidRPr="006C1B87" w:rsidRDefault="00CB4358" w:rsidP="00CB4358">
            <w:pPr>
              <w:spacing w:after="0"/>
              <w:jc w:val="center"/>
              <w:rPr>
                <w:b/>
                <w:bCs/>
                <w:sz w:val="20"/>
              </w:rPr>
            </w:pPr>
            <w:r w:rsidRPr="006C1B87">
              <w:rPr>
                <w:sz w:val="20"/>
              </w:rPr>
              <w:t>$</w:t>
            </w:r>
            <w:r w:rsidR="00133BEA" w:rsidRPr="006C1B87">
              <w:rPr>
                <w:sz w:val="20"/>
              </w:rPr>
              <w:t>2</w:t>
            </w:r>
            <w:r w:rsidR="006C1B87" w:rsidRPr="006C1B87">
              <w:rPr>
                <w:sz w:val="20"/>
              </w:rPr>
              <w:t>24</w:t>
            </w:r>
            <w:r w:rsidR="00133BEA" w:rsidRPr="006C1B87">
              <w:rPr>
                <w:sz w:val="20"/>
              </w:rPr>
              <w:t>,</w:t>
            </w:r>
            <w:r w:rsidR="006C1B87" w:rsidRPr="006C1B87">
              <w:rPr>
                <w:sz w:val="20"/>
              </w:rPr>
              <w:t>996</w:t>
            </w:r>
          </w:p>
        </w:tc>
      </w:tr>
    </w:tbl>
    <w:p w14:paraId="3B757BF0" w14:textId="77777777" w:rsidR="00B13DC4" w:rsidRDefault="00B13DC4" w:rsidP="0079777A">
      <w:pPr>
        <w:spacing w:after="0" w:line="240" w:lineRule="auto"/>
        <w:rPr>
          <w:rFonts w:ascii="Calibri" w:eastAsia="Calibri" w:hAnsi="Calibri" w:cs="Calibri"/>
          <w:color w:val="1F497D"/>
        </w:rPr>
      </w:pPr>
    </w:p>
    <w:p w14:paraId="25207B4F" w14:textId="77777777" w:rsidR="0068383E" w:rsidRDefault="00B23277" w:rsidP="00FA5F79">
      <w:pPr>
        <w:rPr>
          <w:rFonts w:cstheme="minorHAnsi"/>
        </w:rPr>
      </w:pPr>
      <w:r w:rsidRPr="00624DDC">
        <w:rPr>
          <w:rFonts w:cstheme="minorHAnsi"/>
          <w:b/>
        </w:rPr>
        <w:t>A15</w:t>
      </w:r>
      <w:r>
        <w:rPr>
          <w:rFonts w:cstheme="minorHAnsi"/>
        </w:rPr>
        <w:t>.</w:t>
      </w:r>
      <w:r>
        <w:rPr>
          <w:rFonts w:cstheme="minorHAnsi"/>
        </w:rPr>
        <w:tab/>
      </w:r>
      <w:r w:rsidR="007C7B4B" w:rsidRPr="00CB4358">
        <w:rPr>
          <w:rFonts w:cstheme="minorHAnsi"/>
          <w:b/>
        </w:rPr>
        <w:t>Reasons for changes in burden</w:t>
      </w:r>
      <w:r w:rsidR="007C7B4B" w:rsidRPr="00B23277">
        <w:rPr>
          <w:rFonts w:cstheme="minorHAnsi"/>
        </w:rPr>
        <w:t xml:space="preserve"> </w:t>
      </w:r>
    </w:p>
    <w:p w14:paraId="6A27465C" w14:textId="77777777" w:rsidR="00CB4358" w:rsidRPr="00CB4358" w:rsidRDefault="00EA4F75" w:rsidP="004E1D5F">
      <w:pPr>
        <w:spacing w:after="0"/>
        <w:rPr>
          <w:rFonts w:cstheme="minorHAnsi"/>
        </w:rPr>
      </w:pPr>
      <w:r>
        <w:rPr>
          <w:rFonts w:cstheme="minorHAnsi"/>
        </w:rPr>
        <w:t>This is a new information collection request.</w:t>
      </w:r>
    </w:p>
    <w:p w14:paraId="7FC32E41" w14:textId="77777777" w:rsidR="00BA4660" w:rsidRDefault="00BA4660" w:rsidP="004E1D5F">
      <w:pPr>
        <w:spacing w:after="0" w:line="240" w:lineRule="auto"/>
        <w:rPr>
          <w:rFonts w:cstheme="minorHAnsi"/>
          <w:b/>
        </w:rPr>
      </w:pPr>
    </w:p>
    <w:p w14:paraId="7DD276F6" w14:textId="77777777" w:rsidR="000D4E9A" w:rsidRPr="00B23277" w:rsidRDefault="00B23277" w:rsidP="00FA5F79">
      <w:pPr>
        <w:rPr>
          <w:rFonts w:cstheme="minorHAnsi"/>
        </w:rPr>
      </w:pPr>
      <w:r w:rsidRPr="00624DDC">
        <w:rPr>
          <w:rFonts w:cstheme="minorHAnsi"/>
          <w:b/>
        </w:rPr>
        <w:t>A16</w:t>
      </w:r>
      <w:r>
        <w:rPr>
          <w:rFonts w:cstheme="minorHAnsi"/>
        </w:rPr>
        <w:t>.</w:t>
      </w:r>
      <w:r>
        <w:rPr>
          <w:rFonts w:cstheme="minorHAnsi"/>
        </w:rPr>
        <w:tab/>
      </w:r>
      <w:r w:rsidR="00083227" w:rsidRPr="00CB4358">
        <w:rPr>
          <w:rFonts w:cstheme="minorHAnsi"/>
          <w:b/>
        </w:rPr>
        <w:t>Timeline</w:t>
      </w:r>
    </w:p>
    <w:p w14:paraId="0E2AA53F" w14:textId="77777777" w:rsidR="0079777A" w:rsidRDefault="00314C96" w:rsidP="00A85897">
      <w:r>
        <w:t xml:space="preserve">The table below provides a timeline </w:t>
      </w:r>
      <w:r w:rsidR="000767BC">
        <w:t xml:space="preserve">for </w:t>
      </w:r>
      <w:r>
        <w:t xml:space="preserve">data collection </w:t>
      </w:r>
      <w:r w:rsidR="000767BC">
        <w:t>following</w:t>
      </w:r>
      <w:r>
        <w:t xml:space="preserve"> OMB approval.</w:t>
      </w:r>
    </w:p>
    <w:p w14:paraId="15120854" w14:textId="5DD37FB2" w:rsidR="00791F57" w:rsidRDefault="00791F57" w:rsidP="00A85897"/>
    <w:p w14:paraId="15D6C7ED" w14:textId="77777777" w:rsidR="00D76924" w:rsidRDefault="00D76924" w:rsidP="00A85897"/>
    <w:p w14:paraId="6FD638F5" w14:textId="77777777" w:rsidR="00314C96" w:rsidRPr="00314C96" w:rsidRDefault="00314C96" w:rsidP="00314C96">
      <w:pPr>
        <w:spacing w:after="120" w:line="240" w:lineRule="auto"/>
        <w:rPr>
          <w:b/>
          <w:bCs/>
        </w:rPr>
      </w:pPr>
      <w:r w:rsidRPr="00314C96">
        <w:rPr>
          <w:b/>
          <w:bCs/>
        </w:rPr>
        <w:t xml:space="preserve">Table </w:t>
      </w:r>
      <w:r>
        <w:rPr>
          <w:b/>
          <w:bCs/>
        </w:rPr>
        <w:t>A.14.1</w:t>
      </w:r>
      <w:r w:rsidRPr="00314C96">
        <w:rPr>
          <w:b/>
          <w:bCs/>
        </w:rPr>
        <w:t>. Annual and Total Data Collection Burden</w:t>
      </w:r>
    </w:p>
    <w:tbl>
      <w:tblPr>
        <w:tblW w:w="3990" w:type="pct"/>
        <w:tblInd w:w="810" w:type="dxa"/>
        <w:tblBorders>
          <w:top w:val="single" w:sz="12" w:space="0" w:color="auto"/>
          <w:bottom w:val="single" w:sz="12" w:space="0" w:color="auto"/>
        </w:tblBorders>
        <w:tblLayout w:type="fixed"/>
        <w:tblCellMar>
          <w:left w:w="115" w:type="dxa"/>
          <w:right w:w="115" w:type="dxa"/>
        </w:tblCellMar>
        <w:tblLook w:val="04A0" w:firstRow="1" w:lastRow="0" w:firstColumn="1" w:lastColumn="0" w:noHBand="0" w:noVBand="1"/>
      </w:tblPr>
      <w:tblGrid>
        <w:gridCol w:w="5254"/>
        <w:gridCol w:w="2399"/>
      </w:tblGrid>
      <w:tr w:rsidR="00314C96" w:rsidRPr="00314C96" w14:paraId="2B80A84A" w14:textId="77777777" w:rsidTr="00314C96">
        <w:trPr>
          <w:cantSplit/>
          <w:trHeight w:val="20"/>
          <w:tblHeader/>
        </w:trPr>
        <w:tc>
          <w:tcPr>
            <w:tcW w:w="5128" w:type="dxa"/>
            <w:tcBorders>
              <w:top w:val="single" w:sz="12" w:space="0" w:color="auto"/>
              <w:bottom w:val="single" w:sz="6" w:space="0" w:color="auto"/>
            </w:tcBorders>
            <w:vAlign w:val="bottom"/>
          </w:tcPr>
          <w:p w14:paraId="085402EC" w14:textId="77777777" w:rsidR="00314C96" w:rsidRPr="00314C96" w:rsidRDefault="00314C96" w:rsidP="00AA58EE">
            <w:pPr>
              <w:pStyle w:val="TableHeaders"/>
              <w:rPr>
                <w:rFonts w:ascii="Calibri" w:eastAsia="MS Mincho" w:hAnsi="Calibri"/>
              </w:rPr>
            </w:pPr>
            <w:r>
              <w:rPr>
                <w:rFonts w:ascii="Calibri" w:eastAsia="MS Mincho" w:hAnsi="Calibri"/>
              </w:rPr>
              <w:t xml:space="preserve">Project </w:t>
            </w:r>
            <w:r w:rsidRPr="00314C96">
              <w:rPr>
                <w:rFonts w:ascii="Calibri" w:eastAsia="MS Mincho" w:hAnsi="Calibri"/>
              </w:rPr>
              <w:t>Activit</w:t>
            </w:r>
            <w:r>
              <w:rPr>
                <w:rFonts w:ascii="Calibri" w:eastAsia="MS Mincho" w:hAnsi="Calibri"/>
              </w:rPr>
              <w:t>y</w:t>
            </w:r>
          </w:p>
        </w:tc>
        <w:tc>
          <w:tcPr>
            <w:tcW w:w="2341" w:type="dxa"/>
            <w:tcBorders>
              <w:top w:val="single" w:sz="12" w:space="0" w:color="auto"/>
              <w:bottom w:val="single" w:sz="6" w:space="0" w:color="auto"/>
            </w:tcBorders>
            <w:vAlign w:val="bottom"/>
          </w:tcPr>
          <w:p w14:paraId="1A00CB36" w14:textId="77777777" w:rsidR="00314C96" w:rsidRPr="00314C96" w:rsidRDefault="000767BC" w:rsidP="00AA58EE">
            <w:pPr>
              <w:pStyle w:val="TableHeaders"/>
              <w:rPr>
                <w:rFonts w:ascii="Calibri" w:eastAsia="MS Mincho" w:hAnsi="Calibri"/>
              </w:rPr>
            </w:pPr>
            <w:r>
              <w:rPr>
                <w:rFonts w:ascii="Calibri" w:eastAsia="MS Mincho" w:hAnsi="Calibri"/>
              </w:rPr>
              <w:t>Time period</w:t>
            </w:r>
          </w:p>
        </w:tc>
      </w:tr>
      <w:tr w:rsidR="00314C96" w:rsidRPr="00314C96" w14:paraId="3E7CEFC9" w14:textId="77777777" w:rsidTr="00314C96">
        <w:trPr>
          <w:cantSplit/>
          <w:trHeight w:val="20"/>
        </w:trPr>
        <w:tc>
          <w:tcPr>
            <w:tcW w:w="5128" w:type="dxa"/>
          </w:tcPr>
          <w:p w14:paraId="01C4F847" w14:textId="77777777" w:rsidR="00314C96" w:rsidRPr="00314C96" w:rsidRDefault="00314C96" w:rsidP="00AA58EE">
            <w:pPr>
              <w:pStyle w:val="TableText"/>
              <w:rPr>
                <w:rFonts w:ascii="Calibri" w:hAnsi="Calibri"/>
              </w:rPr>
            </w:pPr>
            <w:r w:rsidRPr="00314C96">
              <w:rPr>
                <w:rFonts w:ascii="Calibri" w:hAnsi="Calibri"/>
              </w:rPr>
              <w:t>D</w:t>
            </w:r>
            <w:r>
              <w:rPr>
                <w:rFonts w:ascii="Calibri" w:hAnsi="Calibri"/>
              </w:rPr>
              <w:t>ata collection</w:t>
            </w:r>
          </w:p>
        </w:tc>
        <w:tc>
          <w:tcPr>
            <w:tcW w:w="2341" w:type="dxa"/>
          </w:tcPr>
          <w:p w14:paraId="7C7563A7" w14:textId="77777777" w:rsidR="00314C96" w:rsidRPr="00314C96" w:rsidRDefault="000767BC" w:rsidP="00AA58EE">
            <w:pPr>
              <w:pStyle w:val="TableText"/>
              <w:rPr>
                <w:rFonts w:ascii="Calibri" w:hAnsi="Calibri"/>
              </w:rPr>
            </w:pPr>
            <w:r>
              <w:rPr>
                <w:rFonts w:ascii="Calibri" w:hAnsi="Calibri"/>
              </w:rPr>
              <w:t>5 months</w:t>
            </w:r>
          </w:p>
        </w:tc>
      </w:tr>
      <w:tr w:rsidR="00314C96" w:rsidRPr="00314C96" w14:paraId="3A277F45" w14:textId="77777777" w:rsidTr="00314C96">
        <w:trPr>
          <w:cantSplit/>
          <w:trHeight w:val="20"/>
        </w:trPr>
        <w:tc>
          <w:tcPr>
            <w:tcW w:w="5128" w:type="dxa"/>
          </w:tcPr>
          <w:p w14:paraId="5A07D500" w14:textId="77777777" w:rsidR="00314C96" w:rsidRPr="00314C96" w:rsidRDefault="0079777A" w:rsidP="00AA58EE">
            <w:pPr>
              <w:pStyle w:val="TableText"/>
              <w:rPr>
                <w:rFonts w:ascii="Calibri" w:hAnsi="Calibri"/>
              </w:rPr>
            </w:pPr>
            <w:r>
              <w:rPr>
                <w:rFonts w:ascii="Calibri" w:hAnsi="Calibri"/>
              </w:rPr>
              <w:t>D</w:t>
            </w:r>
            <w:r w:rsidR="00314C96" w:rsidRPr="00314C96">
              <w:rPr>
                <w:rFonts w:ascii="Calibri" w:hAnsi="Calibri"/>
              </w:rPr>
              <w:t>ata analysis</w:t>
            </w:r>
          </w:p>
        </w:tc>
        <w:tc>
          <w:tcPr>
            <w:tcW w:w="2341" w:type="dxa"/>
          </w:tcPr>
          <w:p w14:paraId="798338D0" w14:textId="77777777" w:rsidR="00314C96" w:rsidRPr="00314C96" w:rsidRDefault="008D20F8" w:rsidP="00AA58EE">
            <w:pPr>
              <w:pStyle w:val="TableText"/>
              <w:rPr>
                <w:rFonts w:ascii="Calibri" w:hAnsi="Calibri"/>
              </w:rPr>
            </w:pPr>
            <w:r>
              <w:rPr>
                <w:rFonts w:ascii="Calibri" w:hAnsi="Calibri"/>
              </w:rPr>
              <w:t>4</w:t>
            </w:r>
            <w:r w:rsidR="00851D30">
              <w:rPr>
                <w:rFonts w:ascii="Calibri" w:hAnsi="Calibri"/>
              </w:rPr>
              <w:t xml:space="preserve"> months</w:t>
            </w:r>
          </w:p>
        </w:tc>
      </w:tr>
      <w:tr w:rsidR="00314C96" w:rsidRPr="00314C96" w14:paraId="4AD38C27" w14:textId="77777777" w:rsidTr="00314C96">
        <w:trPr>
          <w:cantSplit/>
          <w:trHeight w:val="20"/>
        </w:trPr>
        <w:tc>
          <w:tcPr>
            <w:tcW w:w="5128" w:type="dxa"/>
          </w:tcPr>
          <w:p w14:paraId="184A4FB6" w14:textId="77777777" w:rsidR="00314C96" w:rsidRPr="00314C96" w:rsidRDefault="00314C96" w:rsidP="00AA58EE">
            <w:pPr>
              <w:pStyle w:val="TableText"/>
              <w:rPr>
                <w:rFonts w:ascii="Calibri" w:hAnsi="Calibri"/>
              </w:rPr>
            </w:pPr>
            <w:r w:rsidRPr="00314C96">
              <w:rPr>
                <w:rFonts w:ascii="Calibri" w:hAnsi="Calibri"/>
              </w:rPr>
              <w:t>Draft final report</w:t>
            </w:r>
          </w:p>
        </w:tc>
        <w:tc>
          <w:tcPr>
            <w:tcW w:w="2341" w:type="dxa"/>
          </w:tcPr>
          <w:p w14:paraId="75E0C431" w14:textId="77777777" w:rsidR="00314C96" w:rsidRPr="00314C96" w:rsidRDefault="00851D30" w:rsidP="00AA58EE">
            <w:pPr>
              <w:pStyle w:val="TableText"/>
              <w:rPr>
                <w:rFonts w:ascii="Calibri" w:hAnsi="Calibri"/>
              </w:rPr>
            </w:pPr>
            <w:r>
              <w:rPr>
                <w:rFonts w:ascii="Calibri" w:hAnsi="Calibri"/>
              </w:rPr>
              <w:t>4 months</w:t>
            </w:r>
            <w:r w:rsidR="00314C96" w:rsidRPr="00314C96">
              <w:rPr>
                <w:rFonts w:ascii="Calibri" w:hAnsi="Calibri"/>
              </w:rPr>
              <w:t xml:space="preserve"> </w:t>
            </w:r>
          </w:p>
        </w:tc>
      </w:tr>
      <w:tr w:rsidR="00314C96" w:rsidRPr="00314C96" w14:paraId="7761C9EA" w14:textId="77777777" w:rsidTr="00314C96">
        <w:trPr>
          <w:cantSplit/>
          <w:trHeight w:val="20"/>
        </w:trPr>
        <w:tc>
          <w:tcPr>
            <w:tcW w:w="5128" w:type="dxa"/>
          </w:tcPr>
          <w:p w14:paraId="30B493DA" w14:textId="77777777" w:rsidR="00314C96" w:rsidRPr="00314C96" w:rsidRDefault="00314C96" w:rsidP="00AA58EE">
            <w:pPr>
              <w:pStyle w:val="TableText"/>
              <w:rPr>
                <w:rFonts w:ascii="Calibri" w:hAnsi="Calibri"/>
              </w:rPr>
            </w:pPr>
            <w:r w:rsidRPr="00314C96">
              <w:rPr>
                <w:rFonts w:ascii="Calibri" w:hAnsi="Calibri"/>
              </w:rPr>
              <w:t>Revised final report</w:t>
            </w:r>
          </w:p>
        </w:tc>
        <w:tc>
          <w:tcPr>
            <w:tcW w:w="2341" w:type="dxa"/>
          </w:tcPr>
          <w:p w14:paraId="1A98EA50" w14:textId="77777777" w:rsidR="00314C96" w:rsidRPr="00314C96" w:rsidRDefault="008D20F8" w:rsidP="00AA58EE">
            <w:pPr>
              <w:pStyle w:val="TableText"/>
              <w:rPr>
                <w:rFonts w:ascii="Calibri" w:hAnsi="Calibri"/>
              </w:rPr>
            </w:pPr>
            <w:r>
              <w:rPr>
                <w:rFonts w:ascii="Calibri" w:hAnsi="Calibri"/>
              </w:rPr>
              <w:t>2 months</w:t>
            </w:r>
          </w:p>
        </w:tc>
      </w:tr>
    </w:tbl>
    <w:p w14:paraId="7D8C0174" w14:textId="77777777" w:rsidR="0079777A" w:rsidRDefault="0079777A" w:rsidP="004E1D5F">
      <w:pPr>
        <w:spacing w:after="0" w:line="240" w:lineRule="auto"/>
        <w:rPr>
          <w:rFonts w:cstheme="minorHAnsi"/>
          <w:b/>
        </w:rPr>
      </w:pPr>
    </w:p>
    <w:p w14:paraId="7F20AB42" w14:textId="77777777" w:rsidR="00BA4660" w:rsidRDefault="00BA4660" w:rsidP="004E1D5F">
      <w:pPr>
        <w:spacing w:after="0" w:line="240" w:lineRule="auto"/>
        <w:rPr>
          <w:rFonts w:cstheme="minorHAnsi"/>
          <w:b/>
        </w:rPr>
      </w:pPr>
    </w:p>
    <w:p w14:paraId="23570760" w14:textId="77777777" w:rsidR="00C73360" w:rsidRDefault="00B23277" w:rsidP="00FA5F79">
      <w:pPr>
        <w:rPr>
          <w:rFonts w:cstheme="minorHAnsi"/>
          <w:b/>
        </w:rPr>
      </w:pPr>
      <w:r w:rsidRPr="00624DDC">
        <w:rPr>
          <w:rFonts w:cstheme="minorHAnsi"/>
          <w:b/>
        </w:rPr>
        <w:t>A17</w:t>
      </w:r>
      <w:r>
        <w:rPr>
          <w:rFonts w:cstheme="minorHAnsi"/>
        </w:rPr>
        <w:t>.</w:t>
      </w:r>
      <w:r>
        <w:rPr>
          <w:rFonts w:cstheme="minorHAnsi"/>
        </w:rPr>
        <w:tab/>
      </w:r>
      <w:r w:rsidR="00C73360" w:rsidRPr="00CB4358">
        <w:rPr>
          <w:rFonts w:cstheme="minorHAnsi"/>
          <w:b/>
        </w:rPr>
        <w:t>Exceptions</w:t>
      </w:r>
    </w:p>
    <w:p w14:paraId="5CC2C637" w14:textId="77777777" w:rsidR="00BA4660" w:rsidRDefault="00CB1F9B" w:rsidP="004E1D5F">
      <w:pPr>
        <w:spacing w:after="0"/>
      </w:pPr>
      <w:r w:rsidRPr="00CB1F9B">
        <w:t>No exceptions are necessary for this information collection.</w:t>
      </w:r>
    </w:p>
    <w:p w14:paraId="373B0BBD" w14:textId="77777777" w:rsidR="00BA4660" w:rsidRDefault="00BA4660" w:rsidP="004E1D5F">
      <w:pPr>
        <w:spacing w:after="0"/>
      </w:pPr>
    </w:p>
    <w:p w14:paraId="6F3E30BE" w14:textId="77777777" w:rsidR="00083227" w:rsidRDefault="00CB1F9B" w:rsidP="004E1D5F">
      <w:pPr>
        <w:spacing w:after="0"/>
      </w:pPr>
      <w:r w:rsidRPr="00CB1F9B">
        <w:tab/>
      </w:r>
    </w:p>
    <w:p w14:paraId="3FE0D61F" w14:textId="77777777" w:rsidR="00306028" w:rsidRDefault="002B2502" w:rsidP="00FA5F79">
      <w:pPr>
        <w:rPr>
          <w:b/>
        </w:rPr>
      </w:pPr>
      <w:r>
        <w:rPr>
          <w:rFonts w:cstheme="minorHAnsi"/>
          <w:b/>
        </w:rPr>
        <w:t>Attachments</w:t>
      </w:r>
    </w:p>
    <w:p w14:paraId="2F8328B9" w14:textId="77777777" w:rsidR="00D209CE" w:rsidRPr="009F0C6D" w:rsidRDefault="00D209CE" w:rsidP="00D209CE">
      <w:pPr>
        <w:spacing w:after="120" w:line="240" w:lineRule="auto"/>
        <w:rPr>
          <w:b/>
          <w:i/>
          <w:iCs/>
        </w:rPr>
      </w:pPr>
      <w:r>
        <w:rPr>
          <w:b/>
        </w:rPr>
        <w:t xml:space="preserve">Instrument 1: NHTH </w:t>
      </w:r>
      <w:r w:rsidRPr="009F0C6D">
        <w:rPr>
          <w:b/>
        </w:rPr>
        <w:t>Immediate Survey</w:t>
      </w:r>
    </w:p>
    <w:p w14:paraId="55BE034B" w14:textId="77777777" w:rsidR="00D209CE" w:rsidRDefault="00D209CE" w:rsidP="00D209CE">
      <w:pPr>
        <w:spacing w:after="120" w:line="240" w:lineRule="auto"/>
        <w:rPr>
          <w:b/>
        </w:rPr>
      </w:pPr>
      <w:r>
        <w:rPr>
          <w:b/>
        </w:rPr>
        <w:t>Instrument 2: NHTH Two-Week Follow-Up Survey</w:t>
      </w:r>
    </w:p>
    <w:p w14:paraId="75913606" w14:textId="77777777" w:rsidR="00D209CE" w:rsidRDefault="00AF51EB" w:rsidP="00D209CE">
      <w:pPr>
        <w:spacing w:after="120" w:line="240" w:lineRule="auto"/>
        <w:rPr>
          <w:b/>
        </w:rPr>
      </w:pPr>
      <w:r>
        <w:rPr>
          <w:b/>
        </w:rPr>
        <w:t>Appendix</w:t>
      </w:r>
      <w:r w:rsidR="00D209CE">
        <w:rPr>
          <w:b/>
        </w:rPr>
        <w:t xml:space="preserve"> A: Recruitment Script for NHTH Advocates</w:t>
      </w:r>
    </w:p>
    <w:p w14:paraId="5ED285F4" w14:textId="77777777" w:rsidR="005021AF" w:rsidRDefault="00AF51EB" w:rsidP="00D209CE">
      <w:pPr>
        <w:spacing w:after="120" w:line="240" w:lineRule="auto"/>
        <w:rPr>
          <w:rFonts w:eastAsia="Times New Roman" w:cs="Times New Roman"/>
          <w:b/>
          <w:bCs/>
        </w:rPr>
      </w:pPr>
      <w:r>
        <w:rPr>
          <w:rFonts w:eastAsia="Times New Roman" w:cs="Times New Roman"/>
          <w:b/>
          <w:bCs/>
        </w:rPr>
        <w:t>Appendix</w:t>
      </w:r>
      <w:r w:rsidR="005021AF">
        <w:rPr>
          <w:rFonts w:eastAsia="Times New Roman" w:cs="Times New Roman"/>
          <w:b/>
          <w:bCs/>
        </w:rPr>
        <w:t xml:space="preserve"> B: </w:t>
      </w:r>
      <w:r w:rsidR="0081450E">
        <w:rPr>
          <w:rFonts w:cstheme="minorHAnsi"/>
          <w:b/>
          <w:bCs/>
        </w:rPr>
        <w:t>Recruitment Script</w:t>
      </w:r>
      <w:r w:rsidR="0081450E">
        <w:rPr>
          <w:b/>
          <w:bCs/>
        </w:rPr>
        <w:t xml:space="preserve"> for Two-Week </w:t>
      </w:r>
      <w:r w:rsidR="0081450E">
        <w:rPr>
          <w:rFonts w:cstheme="minorHAnsi"/>
          <w:b/>
          <w:bCs/>
        </w:rPr>
        <w:t>Follow-Up</w:t>
      </w:r>
    </w:p>
    <w:p w14:paraId="4D69D28F" w14:textId="77777777" w:rsidR="001E3C3C" w:rsidRDefault="00AF51EB" w:rsidP="001E3C3C">
      <w:pPr>
        <w:spacing w:after="120" w:line="240" w:lineRule="auto"/>
        <w:rPr>
          <w:rFonts w:eastAsia="Times New Roman" w:cs="Times New Roman"/>
          <w:b/>
          <w:bCs/>
        </w:rPr>
      </w:pPr>
      <w:r>
        <w:rPr>
          <w:rFonts w:eastAsia="Times New Roman" w:cs="Times New Roman"/>
          <w:b/>
          <w:bCs/>
        </w:rPr>
        <w:t>Appendix</w:t>
      </w:r>
      <w:r w:rsidR="001E3C3C">
        <w:rPr>
          <w:rFonts w:eastAsia="Times New Roman" w:cs="Times New Roman"/>
          <w:b/>
          <w:bCs/>
        </w:rPr>
        <w:t xml:space="preserve"> C: 60-Day Federal Register Notice</w:t>
      </w:r>
    </w:p>
    <w:p w14:paraId="6FBF8785" w14:textId="77777777" w:rsidR="001629CD" w:rsidRDefault="001629CD" w:rsidP="001E3C3C">
      <w:pPr>
        <w:spacing w:after="120" w:line="240" w:lineRule="auto"/>
        <w:rPr>
          <w:rFonts w:eastAsia="Times New Roman" w:cs="Times New Roman"/>
          <w:b/>
          <w:bCs/>
        </w:rPr>
      </w:pPr>
      <w:r>
        <w:rPr>
          <w:rFonts w:eastAsia="Times New Roman" w:cs="Times New Roman"/>
          <w:b/>
          <w:bCs/>
        </w:rPr>
        <w:t>Appendix D: Public Comments</w:t>
      </w:r>
    </w:p>
    <w:p w14:paraId="21BEF5C6" w14:textId="77777777" w:rsidR="00E57CCC" w:rsidRDefault="00E57CCC" w:rsidP="00B13297"/>
    <w:p w14:paraId="35E77B88" w14:textId="77777777" w:rsidR="00A85897" w:rsidRDefault="00A85897" w:rsidP="00B13297"/>
    <w:p w14:paraId="0C7AD8A4" w14:textId="77777777" w:rsidR="00306028" w:rsidRPr="00E57CCC" w:rsidRDefault="004E742D" w:rsidP="00B13297">
      <w:r w:rsidRPr="00E57CCC">
        <w:rPr>
          <w:b/>
          <w:bCs/>
        </w:rPr>
        <w:t>References</w:t>
      </w:r>
    </w:p>
    <w:p w14:paraId="5FD5C2F3" w14:textId="77777777" w:rsidR="0082163E" w:rsidRPr="0082163E" w:rsidRDefault="0082163E" w:rsidP="0082163E">
      <w:pPr>
        <w:pStyle w:val="CommentText"/>
        <w:ind w:left="720" w:hanging="720"/>
        <w:rPr>
          <w:sz w:val="22"/>
          <w:szCs w:val="22"/>
        </w:rPr>
      </w:pPr>
      <w:r w:rsidRPr="0082163E">
        <w:rPr>
          <w:sz w:val="22"/>
          <w:szCs w:val="22"/>
        </w:rPr>
        <w:t xml:space="preserve">Brunovskis, A., &amp; Surtees, R. (2010). Untold stories: biases and selection effects in research with victims of trafficking for sexual exploitation. </w:t>
      </w:r>
      <w:r w:rsidRPr="0082163E">
        <w:rPr>
          <w:i/>
          <w:iCs/>
          <w:sz w:val="22"/>
          <w:szCs w:val="22"/>
        </w:rPr>
        <w:t>International Migration</w:t>
      </w:r>
      <w:r w:rsidRPr="0082163E">
        <w:rPr>
          <w:sz w:val="22"/>
          <w:szCs w:val="22"/>
        </w:rPr>
        <w:t xml:space="preserve">, </w:t>
      </w:r>
      <w:r w:rsidRPr="0082163E">
        <w:rPr>
          <w:i/>
          <w:iCs/>
          <w:sz w:val="22"/>
          <w:szCs w:val="22"/>
        </w:rPr>
        <w:t>48</w:t>
      </w:r>
      <w:r w:rsidRPr="0082163E">
        <w:rPr>
          <w:sz w:val="22"/>
          <w:szCs w:val="22"/>
        </w:rPr>
        <w:t>(4), 1-37.</w:t>
      </w:r>
    </w:p>
    <w:p w14:paraId="26A4C709" w14:textId="6C988034" w:rsidR="00450578" w:rsidRPr="006B38CB" w:rsidRDefault="00450578" w:rsidP="00450578">
      <w:pPr>
        <w:pStyle w:val="EndnoteText"/>
        <w:ind w:left="720" w:hanging="720"/>
        <w:rPr>
          <w:rFonts w:asciiTheme="minorHAnsi" w:hAnsiTheme="minorHAnsi" w:cstheme="minorHAnsi"/>
          <w:sz w:val="22"/>
          <w:szCs w:val="22"/>
        </w:rPr>
      </w:pPr>
      <w:r w:rsidRPr="00450578">
        <w:rPr>
          <w:rFonts w:asciiTheme="minorHAnsi" w:hAnsiTheme="minorHAnsi" w:cstheme="minorHAnsi"/>
          <w:sz w:val="22"/>
          <w:szCs w:val="22"/>
        </w:rPr>
        <w:t xml:space="preserve">U.S. Department of State. (2017). </w:t>
      </w:r>
      <w:r w:rsidR="00DC3AF4">
        <w:rPr>
          <w:rFonts w:asciiTheme="minorHAnsi" w:hAnsiTheme="minorHAnsi" w:cstheme="minorHAnsi"/>
          <w:i/>
          <w:iCs/>
          <w:sz w:val="22"/>
          <w:szCs w:val="22"/>
        </w:rPr>
        <w:t>Trafficking in Persons Report</w:t>
      </w:r>
      <w:r w:rsidRPr="00450578">
        <w:rPr>
          <w:rFonts w:asciiTheme="minorHAnsi" w:hAnsiTheme="minorHAnsi" w:cstheme="minorHAnsi"/>
          <w:sz w:val="22"/>
          <w:szCs w:val="22"/>
        </w:rPr>
        <w:t xml:space="preserve">. Available at: </w:t>
      </w:r>
      <w:hyperlink w:history="1"/>
      <w:hyperlink r:id="rId12" w:history="1">
        <w:r w:rsidR="00525CB8" w:rsidRPr="006B38CB">
          <w:rPr>
            <w:rStyle w:val="Hyperlink"/>
            <w:rFonts w:asciiTheme="minorHAnsi" w:hAnsiTheme="minorHAnsi" w:cstheme="minorHAnsi"/>
            <w:sz w:val="22"/>
            <w:szCs w:val="22"/>
          </w:rPr>
          <w:t>https://www.justice.gov/sites/default/files/pages/attachments/2017/07/05/dos_trafficking_full_2017.pdf</w:t>
        </w:r>
      </w:hyperlink>
    </w:p>
    <w:p w14:paraId="1A74672F" w14:textId="77777777" w:rsidR="00450578" w:rsidRDefault="00450578" w:rsidP="00450578">
      <w:pPr>
        <w:pStyle w:val="EndnoteText"/>
        <w:ind w:left="360" w:hanging="360"/>
      </w:pPr>
    </w:p>
    <w:p w14:paraId="7EA7316A" w14:textId="77777777" w:rsidR="00450578" w:rsidRPr="004E742D" w:rsidRDefault="00450578" w:rsidP="00DD3223">
      <w:pPr>
        <w:spacing w:after="0" w:line="240" w:lineRule="auto"/>
        <w:ind w:left="720" w:hanging="720"/>
        <w:rPr>
          <w:rFonts w:cstheme="minorHAnsi"/>
        </w:rPr>
      </w:pPr>
    </w:p>
    <w:p w14:paraId="6F1FAA50" w14:textId="77777777" w:rsidR="00995016" w:rsidRDefault="00995016"/>
    <w:sectPr w:rsidR="00995016" w:rsidSect="00C91C71">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D9E6D6" w14:textId="77777777" w:rsidR="00982038" w:rsidRDefault="00982038">
      <w:pPr>
        <w:spacing w:after="0" w:line="240" w:lineRule="auto"/>
      </w:pPr>
      <w:r>
        <w:separator/>
      </w:r>
    </w:p>
  </w:endnote>
  <w:endnote w:type="continuationSeparator" w:id="0">
    <w:p w14:paraId="0D1D879C" w14:textId="77777777" w:rsidR="00982038" w:rsidRDefault="009820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C211AE" w14:textId="77777777" w:rsidR="0094380A" w:rsidRDefault="0094380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3741737"/>
      <w:docPartObj>
        <w:docPartGallery w:val="Page Numbers (Bottom of Page)"/>
        <w:docPartUnique/>
      </w:docPartObj>
    </w:sdtPr>
    <w:sdtEndPr>
      <w:rPr>
        <w:noProof/>
      </w:rPr>
    </w:sdtEndPr>
    <w:sdtContent>
      <w:p w14:paraId="66F36C5D" w14:textId="77777777" w:rsidR="0094380A" w:rsidRDefault="0094380A">
        <w:pPr>
          <w:pStyle w:val="Footer"/>
          <w:jc w:val="right"/>
        </w:pPr>
        <w:r>
          <w:fldChar w:fldCharType="begin"/>
        </w:r>
        <w:r>
          <w:instrText xml:space="preserve"> PAGE   \* MERGEFORMAT </w:instrText>
        </w:r>
        <w:r>
          <w:fldChar w:fldCharType="separate"/>
        </w:r>
        <w:r w:rsidR="00E7490E">
          <w:rPr>
            <w:noProof/>
          </w:rPr>
          <w:t>1</w:t>
        </w:r>
        <w:r>
          <w:rPr>
            <w:noProof/>
          </w:rPr>
          <w:fldChar w:fldCharType="end"/>
        </w:r>
      </w:p>
    </w:sdtContent>
  </w:sdt>
  <w:p w14:paraId="2391088C" w14:textId="77777777" w:rsidR="0094380A" w:rsidRDefault="0094380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7E15CB" w14:textId="77777777" w:rsidR="0094380A" w:rsidRDefault="0094380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49C056" w14:textId="77777777" w:rsidR="00982038" w:rsidRDefault="00982038">
      <w:pPr>
        <w:spacing w:after="0" w:line="240" w:lineRule="auto"/>
      </w:pPr>
      <w:r>
        <w:separator/>
      </w:r>
    </w:p>
  </w:footnote>
  <w:footnote w:type="continuationSeparator" w:id="0">
    <w:p w14:paraId="2C393F23" w14:textId="77777777" w:rsidR="00982038" w:rsidRDefault="00982038">
      <w:pPr>
        <w:spacing w:after="0" w:line="240" w:lineRule="auto"/>
      </w:pPr>
      <w:r>
        <w:continuationSeparator/>
      </w:r>
    </w:p>
  </w:footnote>
  <w:footnote w:id="1">
    <w:p w14:paraId="568815A0" w14:textId="77777777" w:rsidR="0094380A" w:rsidRDefault="0094380A" w:rsidP="00EF6F0F">
      <w:pPr>
        <w:pStyle w:val="FootnoteText"/>
      </w:pPr>
      <w:r>
        <w:rPr>
          <w:rStyle w:val="FootnoteReference"/>
        </w:rPr>
        <w:footnoteRef/>
      </w:r>
      <w:r>
        <w:t xml:space="preserve"> Freedom Network USA (</w:t>
      </w:r>
      <w:hyperlink r:id="rId1" w:history="1">
        <w:r>
          <w:rPr>
            <w:rStyle w:val="Hyperlink"/>
          </w:rPr>
          <w:t>https://freedomnetworkusa.org/</w:t>
        </w:r>
      </w:hyperlink>
      <w:r>
        <w:t xml:space="preserve">) is </w:t>
      </w:r>
      <w:r w:rsidRPr="00EF6F0F">
        <w:t>a coalition of</w:t>
      </w:r>
      <w:r>
        <w:t xml:space="preserve"> </w:t>
      </w:r>
      <w:r w:rsidRPr="0056603F">
        <w:t>68 non-governmental organizations and individuals that provide services to, and advocate for the rights of, trafficking survivors in the United States</w:t>
      </w:r>
      <w:r>
        <w:t>.</w:t>
      </w:r>
    </w:p>
  </w:footnote>
  <w:footnote w:id="2">
    <w:p w14:paraId="3DB277BD" w14:textId="77777777" w:rsidR="00A46B7A" w:rsidRDefault="00A46B7A">
      <w:pPr>
        <w:pStyle w:val="FootnoteText"/>
      </w:pPr>
      <w:r>
        <w:rPr>
          <w:rStyle w:val="FootnoteReference"/>
        </w:rPr>
        <w:footnoteRef/>
      </w:r>
      <w:r>
        <w:t xml:space="preserve"> </w:t>
      </w:r>
      <w:r w:rsidRPr="00D30B6F">
        <w:rPr>
          <w:rFonts w:cstheme="minorHAnsi"/>
        </w:rPr>
        <w:t>Examples of sensitive topics include (but not limited to): social security number; sex behavior and attitudes; illegal, anti-social, self-incriminating and demeaning behavior; critical appraisals of other individuals with whom respondents have close relationships, e.g., family, pupil-teacher, employee-supervisor; mental and psychological problems potentially embarrassing to respondents; religion and indicators of religion; community activities which indicate political affiliation and attitudes; legally recognized privileged and analogous relationships, such as those of lawyers, physicians and ministers; records describing how an individual exercises rights guaranteed by the First Amendment; receipt of economic assistance from the government (e.g., unemployment or WIC or SNAP); immigration/citizenship status.</w:t>
      </w:r>
    </w:p>
  </w:footnote>
  <w:footnote w:id="3">
    <w:p w14:paraId="02A8549F" w14:textId="77777777" w:rsidR="001629CD" w:rsidRDefault="001629CD">
      <w:pPr>
        <w:pStyle w:val="FootnoteText"/>
      </w:pPr>
      <w:r>
        <w:rPr>
          <w:rStyle w:val="FootnoteReference"/>
        </w:rPr>
        <w:footnoteRef/>
      </w:r>
      <w:r>
        <w:t xml:space="preserve"> </w:t>
      </w:r>
      <w:r w:rsidRPr="001629CD">
        <w:t xml:space="preserve">BLS Usual Weekly Earnings of Wage and Salary Workers Second Quarter 2019, available at: </w:t>
      </w:r>
      <w:hyperlink r:id="rId2" w:history="1">
        <w:r w:rsidRPr="00A77323">
          <w:rPr>
            <w:rStyle w:val="Hyperlink"/>
          </w:rPr>
          <w:t>https://www.bls.gov/news.release/pdf/wkyeng.pdf</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7500A9" w14:textId="77777777" w:rsidR="0094380A" w:rsidRDefault="0094380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5AA3B4" w14:textId="77777777" w:rsidR="0094380A" w:rsidRPr="000D7D44" w:rsidRDefault="0094380A" w:rsidP="0054255A">
    <w:pPr>
      <w:spacing w:after="0" w:line="240" w:lineRule="auto"/>
      <w:jc w:val="center"/>
      <w:rPr>
        <w:b/>
      </w:rPr>
    </w:pPr>
    <w:r>
      <w:rPr>
        <w:b/>
      </w:rPr>
      <w:t xml:space="preserve">Alternative </w:t>
    </w:r>
    <w:r w:rsidRPr="000D7D44">
      <w:rPr>
        <w:b/>
      </w:rPr>
      <w:t xml:space="preserve">Supporting Statement for Information Collections Designed for </w:t>
    </w:r>
  </w:p>
  <w:p w14:paraId="5046EB0F" w14:textId="77777777" w:rsidR="0094380A" w:rsidRDefault="0094380A" w:rsidP="0054255A">
    <w:pPr>
      <w:pStyle w:val="Header"/>
      <w:jc w:val="center"/>
    </w:pPr>
    <w:r w:rsidRPr="000D7D44">
      <w:rPr>
        <w:b/>
      </w:rPr>
      <w:t xml:space="preserve">Research, </w:t>
    </w:r>
    <w:r>
      <w:rPr>
        <w:b/>
      </w:rPr>
      <w:t xml:space="preserve">Public Health </w:t>
    </w:r>
    <w:r w:rsidRPr="000D7D44">
      <w:rPr>
        <w:b/>
      </w:rPr>
      <w:t>Surveillance, and Program Evaluation Purposes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F3393B" w14:textId="77777777" w:rsidR="0094380A" w:rsidRDefault="0094380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15EBE"/>
    <w:multiLevelType w:val="hybridMultilevel"/>
    <w:tmpl w:val="24F6722C"/>
    <w:lvl w:ilvl="0" w:tplc="469A0B06">
      <w:start w:val="2"/>
      <w:numFmt w:val="bullet"/>
      <w:lvlText w:val="-"/>
      <w:lvlJc w:val="left"/>
      <w:pPr>
        <w:ind w:left="410" w:hanging="360"/>
      </w:pPr>
      <w:rPr>
        <w:rFonts w:ascii="Calibri" w:eastAsiaTheme="minorHAnsi" w:hAnsi="Calibri" w:cs="Calibri" w:hint="default"/>
      </w:rPr>
    </w:lvl>
    <w:lvl w:ilvl="1" w:tplc="04090003">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1">
    <w:nsid w:val="09A9448F"/>
    <w:multiLevelType w:val="hybridMultilevel"/>
    <w:tmpl w:val="EA16D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0DF64521"/>
    <w:multiLevelType w:val="hybridMultilevel"/>
    <w:tmpl w:val="E550CA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5A1066C"/>
    <w:multiLevelType w:val="hybridMultilevel"/>
    <w:tmpl w:val="CBDA15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1821710E"/>
    <w:multiLevelType w:val="hybridMultilevel"/>
    <w:tmpl w:val="07882A2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A7C4C01"/>
    <w:multiLevelType w:val="hybridMultilevel"/>
    <w:tmpl w:val="25D6D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FE672EA"/>
    <w:multiLevelType w:val="hybridMultilevel"/>
    <w:tmpl w:val="B57020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7192C83"/>
    <w:multiLevelType w:val="hybridMultilevel"/>
    <w:tmpl w:val="CE08A0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98645ED"/>
    <w:multiLevelType w:val="hybridMultilevel"/>
    <w:tmpl w:val="BEFC6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A0A799E"/>
    <w:multiLevelType w:val="hybridMultilevel"/>
    <w:tmpl w:val="E3C23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CD77C2C"/>
    <w:multiLevelType w:val="hybridMultilevel"/>
    <w:tmpl w:val="9DC4E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83C02F3"/>
    <w:multiLevelType w:val="hybridMultilevel"/>
    <w:tmpl w:val="B71E960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ACF45EC"/>
    <w:multiLevelType w:val="hybridMultilevel"/>
    <w:tmpl w:val="66147E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B6730B9"/>
    <w:multiLevelType w:val="multilevel"/>
    <w:tmpl w:val="96D6FB6A"/>
    <w:styleLink w:val="Format4508"/>
    <w:lvl w:ilvl="0">
      <w:start w:val="1"/>
      <w:numFmt w:val="decimal"/>
      <w:lvlText w:val="%1."/>
      <w:lvlJc w:val="left"/>
      <w:pPr>
        <w:ind w:left="432" w:hanging="432"/>
      </w:pPr>
      <w:rPr>
        <w:rFonts w:ascii="Verdana" w:hAnsi="Verdana" w:hint="default"/>
        <w:b/>
        <w:i w:val="0"/>
        <w:sz w:val="26"/>
      </w:rPr>
    </w:lvl>
    <w:lvl w:ilvl="1">
      <w:start w:val="1"/>
      <w:numFmt w:val="decimal"/>
      <w:lvlText w:val="%1.%2"/>
      <w:lvlJc w:val="left"/>
      <w:pPr>
        <w:ind w:left="720" w:hanging="720"/>
      </w:pPr>
      <w:rPr>
        <w:rFonts w:ascii="Verdana" w:hAnsi="Verdana" w:hint="default"/>
        <w:b/>
        <w:i w:val="0"/>
        <w:sz w:val="24"/>
      </w:rPr>
    </w:lvl>
    <w:lvl w:ilvl="2">
      <w:start w:val="1"/>
      <w:numFmt w:val="decimal"/>
      <w:lvlText w:val="%1.%2.%3"/>
      <w:lvlJc w:val="left"/>
      <w:pPr>
        <w:ind w:left="864" w:hanging="864"/>
      </w:pPr>
      <w:rPr>
        <w:rFonts w:ascii="Verdana" w:hAnsi="Verdana" w:hint="default"/>
        <w:b/>
        <w:i/>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3EE87FD8"/>
    <w:multiLevelType w:val="hybridMultilevel"/>
    <w:tmpl w:val="B7105F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3FB48C8"/>
    <w:multiLevelType w:val="hybridMultilevel"/>
    <w:tmpl w:val="B65C7A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54F2A05"/>
    <w:multiLevelType w:val="hybridMultilevel"/>
    <w:tmpl w:val="8C225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7D4585B"/>
    <w:multiLevelType w:val="hybridMultilevel"/>
    <w:tmpl w:val="827C6B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0DA4717"/>
    <w:multiLevelType w:val="hybridMultilevel"/>
    <w:tmpl w:val="DD385B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4537DE7"/>
    <w:multiLevelType w:val="hybridMultilevel"/>
    <w:tmpl w:val="5A560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5497C90"/>
    <w:multiLevelType w:val="hybridMultilevel"/>
    <w:tmpl w:val="E94A41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nsid w:val="68013513"/>
    <w:multiLevelType w:val="hybridMultilevel"/>
    <w:tmpl w:val="1AF6C634"/>
    <w:lvl w:ilvl="0" w:tplc="E9A4F78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F9D21E2"/>
    <w:multiLevelType w:val="hybridMultilevel"/>
    <w:tmpl w:val="71262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45D6082"/>
    <w:multiLevelType w:val="hybridMultilevel"/>
    <w:tmpl w:val="50624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92D7B9B"/>
    <w:multiLevelType w:val="hybridMultilevel"/>
    <w:tmpl w:val="8E886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
  </w:num>
  <w:num w:numId="3">
    <w:abstractNumId w:val="23"/>
  </w:num>
  <w:num w:numId="4">
    <w:abstractNumId w:val="9"/>
  </w:num>
  <w:num w:numId="5">
    <w:abstractNumId w:val="8"/>
  </w:num>
  <w:num w:numId="6">
    <w:abstractNumId w:val="2"/>
  </w:num>
  <w:num w:numId="7">
    <w:abstractNumId w:val="16"/>
  </w:num>
  <w:num w:numId="8">
    <w:abstractNumId w:val="18"/>
  </w:num>
  <w:num w:numId="9">
    <w:abstractNumId w:val="7"/>
  </w:num>
  <w:num w:numId="10">
    <w:abstractNumId w:val="12"/>
  </w:num>
  <w:num w:numId="11">
    <w:abstractNumId w:val="10"/>
  </w:num>
  <w:num w:numId="12">
    <w:abstractNumId w:val="19"/>
  </w:num>
  <w:num w:numId="13">
    <w:abstractNumId w:val="17"/>
  </w:num>
  <w:num w:numId="14">
    <w:abstractNumId w:val="5"/>
  </w:num>
  <w:num w:numId="15">
    <w:abstractNumId w:val="24"/>
  </w:num>
  <w:num w:numId="16">
    <w:abstractNumId w:val="21"/>
  </w:num>
  <w:num w:numId="17">
    <w:abstractNumId w:val="6"/>
  </w:num>
  <w:num w:numId="18">
    <w:abstractNumId w:val="14"/>
  </w:num>
  <w:num w:numId="19">
    <w:abstractNumId w:val="0"/>
  </w:num>
  <w:num w:numId="20">
    <w:abstractNumId w:val="20"/>
  </w:num>
  <w:num w:numId="21">
    <w:abstractNumId w:val="3"/>
  </w:num>
  <w:num w:numId="22">
    <w:abstractNumId w:val="13"/>
    <w:lvlOverride w:ilvl="0">
      <w:lvl w:ilvl="0">
        <w:start w:val="1"/>
        <w:numFmt w:val="decimal"/>
        <w:lvlText w:val="%1."/>
        <w:lvlJc w:val="left"/>
        <w:pPr>
          <w:ind w:left="432" w:hanging="432"/>
        </w:pPr>
        <w:rPr>
          <w:rFonts w:ascii="Times New Roman" w:hAnsi="Times New Roman" w:cs="Times New Roman" w:hint="default"/>
          <w:b/>
          <w:i w:val="0"/>
          <w:sz w:val="22"/>
          <w:szCs w:val="22"/>
        </w:rPr>
      </w:lvl>
    </w:lvlOverride>
  </w:num>
  <w:num w:numId="23">
    <w:abstractNumId w:val="13"/>
  </w:num>
  <w:num w:numId="24">
    <w:abstractNumId w:val="15"/>
  </w:num>
  <w:num w:numId="25">
    <w:abstractNumId w:val="4"/>
  </w:num>
  <w:num w:numId="26">
    <w:abstractNumId w:val="2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defaultTabStop w:val="720"/>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6589"/>
    <w:rsid w:val="0000027C"/>
    <w:rsid w:val="00002D20"/>
    <w:rsid w:val="00005308"/>
    <w:rsid w:val="00005645"/>
    <w:rsid w:val="0001066D"/>
    <w:rsid w:val="000117C5"/>
    <w:rsid w:val="0001255D"/>
    <w:rsid w:val="00021878"/>
    <w:rsid w:val="00025D80"/>
    <w:rsid w:val="00026192"/>
    <w:rsid w:val="00027E79"/>
    <w:rsid w:val="000311B9"/>
    <w:rsid w:val="00032500"/>
    <w:rsid w:val="00034B39"/>
    <w:rsid w:val="0004063C"/>
    <w:rsid w:val="00040A86"/>
    <w:rsid w:val="00041E8C"/>
    <w:rsid w:val="0004247F"/>
    <w:rsid w:val="00051F2E"/>
    <w:rsid w:val="00055570"/>
    <w:rsid w:val="00057CF0"/>
    <w:rsid w:val="00060B30"/>
    <w:rsid w:val="00060C59"/>
    <w:rsid w:val="00062AFB"/>
    <w:rsid w:val="000655DD"/>
    <w:rsid w:val="00066346"/>
    <w:rsid w:val="000706D0"/>
    <w:rsid w:val="00071F79"/>
    <w:rsid w:val="0007251B"/>
    <w:rsid w:val="000733A5"/>
    <w:rsid w:val="0007502B"/>
    <w:rsid w:val="000767BC"/>
    <w:rsid w:val="000824F1"/>
    <w:rsid w:val="00082BFF"/>
    <w:rsid w:val="00082C5B"/>
    <w:rsid w:val="00083227"/>
    <w:rsid w:val="00084BE5"/>
    <w:rsid w:val="00086CBE"/>
    <w:rsid w:val="00090812"/>
    <w:rsid w:val="000921F0"/>
    <w:rsid w:val="000A012A"/>
    <w:rsid w:val="000A13DB"/>
    <w:rsid w:val="000A48F7"/>
    <w:rsid w:val="000B2C0C"/>
    <w:rsid w:val="000C14B7"/>
    <w:rsid w:val="000C1EE9"/>
    <w:rsid w:val="000C6385"/>
    <w:rsid w:val="000D440D"/>
    <w:rsid w:val="000D4E9A"/>
    <w:rsid w:val="000D6896"/>
    <w:rsid w:val="000D7D44"/>
    <w:rsid w:val="000E149D"/>
    <w:rsid w:val="000F1E4A"/>
    <w:rsid w:val="000F2745"/>
    <w:rsid w:val="000F44B4"/>
    <w:rsid w:val="00100D34"/>
    <w:rsid w:val="001023F1"/>
    <w:rsid w:val="00103958"/>
    <w:rsid w:val="00103EFD"/>
    <w:rsid w:val="00106B47"/>
    <w:rsid w:val="00107067"/>
    <w:rsid w:val="00107D87"/>
    <w:rsid w:val="0011250A"/>
    <w:rsid w:val="00117FE3"/>
    <w:rsid w:val="001217E4"/>
    <w:rsid w:val="001253F4"/>
    <w:rsid w:val="00130F91"/>
    <w:rsid w:val="00133BEA"/>
    <w:rsid w:val="001375EC"/>
    <w:rsid w:val="00144317"/>
    <w:rsid w:val="00154FA3"/>
    <w:rsid w:val="00157067"/>
    <w:rsid w:val="00157482"/>
    <w:rsid w:val="00161D9A"/>
    <w:rsid w:val="001629CD"/>
    <w:rsid w:val="00167DFC"/>
    <w:rsid w:val="001707D8"/>
    <w:rsid w:val="001800DA"/>
    <w:rsid w:val="00182562"/>
    <w:rsid w:val="0018566F"/>
    <w:rsid w:val="001912FB"/>
    <w:rsid w:val="00191422"/>
    <w:rsid w:val="001A38FD"/>
    <w:rsid w:val="001A69F2"/>
    <w:rsid w:val="001A6BE7"/>
    <w:rsid w:val="001B007A"/>
    <w:rsid w:val="001B0A76"/>
    <w:rsid w:val="001B6E1A"/>
    <w:rsid w:val="001C2D34"/>
    <w:rsid w:val="001C3E79"/>
    <w:rsid w:val="001C5194"/>
    <w:rsid w:val="001C51C4"/>
    <w:rsid w:val="001D5016"/>
    <w:rsid w:val="001D7761"/>
    <w:rsid w:val="001E3C3C"/>
    <w:rsid w:val="001F0446"/>
    <w:rsid w:val="001F1FA6"/>
    <w:rsid w:val="001F35BD"/>
    <w:rsid w:val="001F4D5E"/>
    <w:rsid w:val="001F57F5"/>
    <w:rsid w:val="00201531"/>
    <w:rsid w:val="0020401C"/>
    <w:rsid w:val="002046AB"/>
    <w:rsid w:val="0020629A"/>
    <w:rsid w:val="002066D5"/>
    <w:rsid w:val="00206E11"/>
    <w:rsid w:val="00206F6A"/>
    <w:rsid w:val="00206FE3"/>
    <w:rsid w:val="00207554"/>
    <w:rsid w:val="002077F1"/>
    <w:rsid w:val="00210B46"/>
    <w:rsid w:val="00211261"/>
    <w:rsid w:val="00213392"/>
    <w:rsid w:val="002156AD"/>
    <w:rsid w:val="00215C5C"/>
    <w:rsid w:val="00220C19"/>
    <w:rsid w:val="00230CAA"/>
    <w:rsid w:val="00232970"/>
    <w:rsid w:val="00234245"/>
    <w:rsid w:val="00235DF0"/>
    <w:rsid w:val="0024004D"/>
    <w:rsid w:val="00244395"/>
    <w:rsid w:val="002517BB"/>
    <w:rsid w:val="00253D18"/>
    <w:rsid w:val="002560D7"/>
    <w:rsid w:val="00256B71"/>
    <w:rsid w:val="00256E24"/>
    <w:rsid w:val="002600FE"/>
    <w:rsid w:val="00260281"/>
    <w:rsid w:val="00265491"/>
    <w:rsid w:val="002703F9"/>
    <w:rsid w:val="00276CE2"/>
    <w:rsid w:val="00286E3D"/>
    <w:rsid w:val="00287AF1"/>
    <w:rsid w:val="0029147B"/>
    <w:rsid w:val="00297F0C"/>
    <w:rsid w:val="002A2453"/>
    <w:rsid w:val="002A41C6"/>
    <w:rsid w:val="002B2502"/>
    <w:rsid w:val="002B5DBE"/>
    <w:rsid w:val="002B785B"/>
    <w:rsid w:val="002C644E"/>
    <w:rsid w:val="002D1500"/>
    <w:rsid w:val="002E5E82"/>
    <w:rsid w:val="002E6CCF"/>
    <w:rsid w:val="002F33D0"/>
    <w:rsid w:val="00300722"/>
    <w:rsid w:val="0030316D"/>
    <w:rsid w:val="00306028"/>
    <w:rsid w:val="00307452"/>
    <w:rsid w:val="00314C96"/>
    <w:rsid w:val="0032478D"/>
    <w:rsid w:val="0032680C"/>
    <w:rsid w:val="00335E79"/>
    <w:rsid w:val="003508E4"/>
    <w:rsid w:val="00355178"/>
    <w:rsid w:val="003664F6"/>
    <w:rsid w:val="0036702E"/>
    <w:rsid w:val="003731B8"/>
    <w:rsid w:val="00373D2F"/>
    <w:rsid w:val="003804DA"/>
    <w:rsid w:val="00387207"/>
    <w:rsid w:val="00390CE0"/>
    <w:rsid w:val="00392518"/>
    <w:rsid w:val="00394131"/>
    <w:rsid w:val="0039794B"/>
    <w:rsid w:val="003A00D9"/>
    <w:rsid w:val="003A6EC6"/>
    <w:rsid w:val="003A7774"/>
    <w:rsid w:val="003A77BC"/>
    <w:rsid w:val="003B4C53"/>
    <w:rsid w:val="003B4E29"/>
    <w:rsid w:val="003C2504"/>
    <w:rsid w:val="003C58F1"/>
    <w:rsid w:val="003C641C"/>
    <w:rsid w:val="003C7358"/>
    <w:rsid w:val="003C7DDF"/>
    <w:rsid w:val="003D3234"/>
    <w:rsid w:val="003D39C1"/>
    <w:rsid w:val="003D51F6"/>
    <w:rsid w:val="003D629A"/>
    <w:rsid w:val="003E1D76"/>
    <w:rsid w:val="003E4C08"/>
    <w:rsid w:val="003E61F6"/>
    <w:rsid w:val="00401D0C"/>
    <w:rsid w:val="00402349"/>
    <w:rsid w:val="00402E80"/>
    <w:rsid w:val="00407537"/>
    <w:rsid w:val="004112A8"/>
    <w:rsid w:val="004165BD"/>
    <w:rsid w:val="00416A5C"/>
    <w:rsid w:val="00416D4F"/>
    <w:rsid w:val="00420EDE"/>
    <w:rsid w:val="004214B2"/>
    <w:rsid w:val="0042220D"/>
    <w:rsid w:val="00425447"/>
    <w:rsid w:val="00426B7F"/>
    <w:rsid w:val="00430B14"/>
    <w:rsid w:val="004328A4"/>
    <w:rsid w:val="0043377A"/>
    <w:rsid w:val="00436231"/>
    <w:rsid w:val="004379B6"/>
    <w:rsid w:val="004400B1"/>
    <w:rsid w:val="0044343C"/>
    <w:rsid w:val="00443A81"/>
    <w:rsid w:val="0044428E"/>
    <w:rsid w:val="00444703"/>
    <w:rsid w:val="00446465"/>
    <w:rsid w:val="00447AED"/>
    <w:rsid w:val="004501A4"/>
    <w:rsid w:val="00450578"/>
    <w:rsid w:val="00451027"/>
    <w:rsid w:val="00455D20"/>
    <w:rsid w:val="00455E7A"/>
    <w:rsid w:val="00460D54"/>
    <w:rsid w:val="00461D3E"/>
    <w:rsid w:val="004633A9"/>
    <w:rsid w:val="00463B62"/>
    <w:rsid w:val="00463C4B"/>
    <w:rsid w:val="00465FFF"/>
    <w:rsid w:val="00467B82"/>
    <w:rsid w:val="0047025D"/>
    <w:rsid w:val="004706CC"/>
    <w:rsid w:val="004706DF"/>
    <w:rsid w:val="00474AC8"/>
    <w:rsid w:val="004858AD"/>
    <w:rsid w:val="00485B1B"/>
    <w:rsid w:val="004A069E"/>
    <w:rsid w:val="004A2C4A"/>
    <w:rsid w:val="004A5E1A"/>
    <w:rsid w:val="004B3708"/>
    <w:rsid w:val="004B4839"/>
    <w:rsid w:val="004B75AC"/>
    <w:rsid w:val="004C0421"/>
    <w:rsid w:val="004C3644"/>
    <w:rsid w:val="004C4F8C"/>
    <w:rsid w:val="004C6D9D"/>
    <w:rsid w:val="004D1275"/>
    <w:rsid w:val="004D12DD"/>
    <w:rsid w:val="004D139E"/>
    <w:rsid w:val="004D2D23"/>
    <w:rsid w:val="004D2EBF"/>
    <w:rsid w:val="004D2FCD"/>
    <w:rsid w:val="004D3D67"/>
    <w:rsid w:val="004D596E"/>
    <w:rsid w:val="004E1D5F"/>
    <w:rsid w:val="004E5683"/>
    <w:rsid w:val="004E5778"/>
    <w:rsid w:val="004E742D"/>
    <w:rsid w:val="004E7ED8"/>
    <w:rsid w:val="004F3CC3"/>
    <w:rsid w:val="0050021B"/>
    <w:rsid w:val="005021AF"/>
    <w:rsid w:val="0050376D"/>
    <w:rsid w:val="005109E0"/>
    <w:rsid w:val="00512C25"/>
    <w:rsid w:val="0051725C"/>
    <w:rsid w:val="005175C7"/>
    <w:rsid w:val="00524173"/>
    <w:rsid w:val="00524B07"/>
    <w:rsid w:val="00525CB8"/>
    <w:rsid w:val="005302CB"/>
    <w:rsid w:val="00530EF9"/>
    <w:rsid w:val="00536AB9"/>
    <w:rsid w:val="005411B7"/>
    <w:rsid w:val="0054255A"/>
    <w:rsid w:val="00544925"/>
    <w:rsid w:val="005457C7"/>
    <w:rsid w:val="0055434C"/>
    <w:rsid w:val="00563705"/>
    <w:rsid w:val="00563F6D"/>
    <w:rsid w:val="0056603F"/>
    <w:rsid w:val="005705C6"/>
    <w:rsid w:val="00572FD4"/>
    <w:rsid w:val="00577243"/>
    <w:rsid w:val="00583A2B"/>
    <w:rsid w:val="00591283"/>
    <w:rsid w:val="005954CF"/>
    <w:rsid w:val="005A0E21"/>
    <w:rsid w:val="005A224D"/>
    <w:rsid w:val="005A61CE"/>
    <w:rsid w:val="005A7E5A"/>
    <w:rsid w:val="005B0DD0"/>
    <w:rsid w:val="005B1285"/>
    <w:rsid w:val="005B1410"/>
    <w:rsid w:val="005B28A2"/>
    <w:rsid w:val="005B2F40"/>
    <w:rsid w:val="005B5FCC"/>
    <w:rsid w:val="005C5DAF"/>
    <w:rsid w:val="005C7302"/>
    <w:rsid w:val="005D4A40"/>
    <w:rsid w:val="005D653A"/>
    <w:rsid w:val="005D772B"/>
    <w:rsid w:val="005E3F36"/>
    <w:rsid w:val="005E4348"/>
    <w:rsid w:val="005E493B"/>
    <w:rsid w:val="005F0C85"/>
    <w:rsid w:val="005F17BD"/>
    <w:rsid w:val="005F2951"/>
    <w:rsid w:val="00602637"/>
    <w:rsid w:val="00607E29"/>
    <w:rsid w:val="00607F49"/>
    <w:rsid w:val="0061265E"/>
    <w:rsid w:val="00620193"/>
    <w:rsid w:val="00624DDC"/>
    <w:rsid w:val="006253B6"/>
    <w:rsid w:val="006257ED"/>
    <w:rsid w:val="0062686E"/>
    <w:rsid w:val="0062754F"/>
    <w:rsid w:val="00630B30"/>
    <w:rsid w:val="00644E3B"/>
    <w:rsid w:val="00651FF6"/>
    <w:rsid w:val="00652AF0"/>
    <w:rsid w:val="00664DB2"/>
    <w:rsid w:val="00665416"/>
    <w:rsid w:val="006719D9"/>
    <w:rsid w:val="00675E56"/>
    <w:rsid w:val="006774F2"/>
    <w:rsid w:val="0068303E"/>
    <w:rsid w:val="0068383E"/>
    <w:rsid w:val="00684FF4"/>
    <w:rsid w:val="006874DB"/>
    <w:rsid w:val="00696DE0"/>
    <w:rsid w:val="0069788B"/>
    <w:rsid w:val="006A0FE2"/>
    <w:rsid w:val="006A2B00"/>
    <w:rsid w:val="006A3821"/>
    <w:rsid w:val="006A4106"/>
    <w:rsid w:val="006A4D02"/>
    <w:rsid w:val="006B1BF9"/>
    <w:rsid w:val="006B31DA"/>
    <w:rsid w:val="006B38CB"/>
    <w:rsid w:val="006B53F1"/>
    <w:rsid w:val="006B6037"/>
    <w:rsid w:val="006C0E56"/>
    <w:rsid w:val="006C1B87"/>
    <w:rsid w:val="006C3BB9"/>
    <w:rsid w:val="006C4136"/>
    <w:rsid w:val="006E3CAF"/>
    <w:rsid w:val="006E4F82"/>
    <w:rsid w:val="006E65E7"/>
    <w:rsid w:val="006E7012"/>
    <w:rsid w:val="006F1499"/>
    <w:rsid w:val="006F61AA"/>
    <w:rsid w:val="006F635C"/>
    <w:rsid w:val="007045F5"/>
    <w:rsid w:val="00711B34"/>
    <w:rsid w:val="00712CA3"/>
    <w:rsid w:val="00714ECA"/>
    <w:rsid w:val="00717BDC"/>
    <w:rsid w:val="00721395"/>
    <w:rsid w:val="00723216"/>
    <w:rsid w:val="00723A28"/>
    <w:rsid w:val="00733EAE"/>
    <w:rsid w:val="00736B62"/>
    <w:rsid w:val="00746C70"/>
    <w:rsid w:val="00750D36"/>
    <w:rsid w:val="00764C85"/>
    <w:rsid w:val="007754B8"/>
    <w:rsid w:val="00777AA9"/>
    <w:rsid w:val="00783657"/>
    <w:rsid w:val="00786C23"/>
    <w:rsid w:val="00791F57"/>
    <w:rsid w:val="007936AB"/>
    <w:rsid w:val="00793E3E"/>
    <w:rsid w:val="00793E9F"/>
    <w:rsid w:val="00795332"/>
    <w:rsid w:val="00796E01"/>
    <w:rsid w:val="0079777A"/>
    <w:rsid w:val="007A29C5"/>
    <w:rsid w:val="007A75CC"/>
    <w:rsid w:val="007B1569"/>
    <w:rsid w:val="007B48D2"/>
    <w:rsid w:val="007C1D2B"/>
    <w:rsid w:val="007C5943"/>
    <w:rsid w:val="007C7B4B"/>
    <w:rsid w:val="007D0F6E"/>
    <w:rsid w:val="007D11C4"/>
    <w:rsid w:val="007D3880"/>
    <w:rsid w:val="007D7D7D"/>
    <w:rsid w:val="007E6210"/>
    <w:rsid w:val="007F19C7"/>
    <w:rsid w:val="007F1EE5"/>
    <w:rsid w:val="007F7C6E"/>
    <w:rsid w:val="00803015"/>
    <w:rsid w:val="0081450E"/>
    <w:rsid w:val="00814EEA"/>
    <w:rsid w:val="0082163E"/>
    <w:rsid w:val="00823428"/>
    <w:rsid w:val="00826D15"/>
    <w:rsid w:val="00830D6A"/>
    <w:rsid w:val="00832C88"/>
    <w:rsid w:val="00834C54"/>
    <w:rsid w:val="008369BA"/>
    <w:rsid w:val="008370E7"/>
    <w:rsid w:val="00840D16"/>
    <w:rsid w:val="00840D32"/>
    <w:rsid w:val="00843933"/>
    <w:rsid w:val="00843A3A"/>
    <w:rsid w:val="00846FB8"/>
    <w:rsid w:val="008502D9"/>
    <w:rsid w:val="00850F4C"/>
    <w:rsid w:val="00851D30"/>
    <w:rsid w:val="00864C1F"/>
    <w:rsid w:val="00870FA1"/>
    <w:rsid w:val="00871535"/>
    <w:rsid w:val="00875220"/>
    <w:rsid w:val="00876EA2"/>
    <w:rsid w:val="008834BA"/>
    <w:rsid w:val="00883739"/>
    <w:rsid w:val="00884498"/>
    <w:rsid w:val="00886A20"/>
    <w:rsid w:val="0089019C"/>
    <w:rsid w:val="00891CD9"/>
    <w:rsid w:val="008A24FF"/>
    <w:rsid w:val="008A38C6"/>
    <w:rsid w:val="008A7955"/>
    <w:rsid w:val="008B0C09"/>
    <w:rsid w:val="008B7BD5"/>
    <w:rsid w:val="008C6128"/>
    <w:rsid w:val="008C7CA9"/>
    <w:rsid w:val="008D20F8"/>
    <w:rsid w:val="008E0239"/>
    <w:rsid w:val="008E2F18"/>
    <w:rsid w:val="008E4718"/>
    <w:rsid w:val="008F2446"/>
    <w:rsid w:val="00901040"/>
    <w:rsid w:val="0090554D"/>
    <w:rsid w:val="00906F6A"/>
    <w:rsid w:val="009110F4"/>
    <w:rsid w:val="00914425"/>
    <w:rsid w:val="00914516"/>
    <w:rsid w:val="00915A1D"/>
    <w:rsid w:val="00916BC1"/>
    <w:rsid w:val="009201D5"/>
    <w:rsid w:val="00923F25"/>
    <w:rsid w:val="00932787"/>
    <w:rsid w:val="00935738"/>
    <w:rsid w:val="009376ED"/>
    <w:rsid w:val="00940850"/>
    <w:rsid w:val="0094380A"/>
    <w:rsid w:val="00957C9D"/>
    <w:rsid w:val="00960770"/>
    <w:rsid w:val="00963503"/>
    <w:rsid w:val="009651E0"/>
    <w:rsid w:val="00965DBD"/>
    <w:rsid w:val="00970AB0"/>
    <w:rsid w:val="00971944"/>
    <w:rsid w:val="009731F4"/>
    <w:rsid w:val="009815C6"/>
    <w:rsid w:val="00981C3B"/>
    <w:rsid w:val="00982038"/>
    <w:rsid w:val="00992DD9"/>
    <w:rsid w:val="00995016"/>
    <w:rsid w:val="00996201"/>
    <w:rsid w:val="009A0D54"/>
    <w:rsid w:val="009A119D"/>
    <w:rsid w:val="009A39E1"/>
    <w:rsid w:val="009A3AD8"/>
    <w:rsid w:val="009A4308"/>
    <w:rsid w:val="009A6EE8"/>
    <w:rsid w:val="009B06B6"/>
    <w:rsid w:val="009B0F58"/>
    <w:rsid w:val="009B2CE2"/>
    <w:rsid w:val="009B3F7F"/>
    <w:rsid w:val="009C0C7A"/>
    <w:rsid w:val="009C3380"/>
    <w:rsid w:val="009C476C"/>
    <w:rsid w:val="009D0B97"/>
    <w:rsid w:val="009E7E38"/>
    <w:rsid w:val="009F265B"/>
    <w:rsid w:val="009F4231"/>
    <w:rsid w:val="009F482C"/>
    <w:rsid w:val="009F68DB"/>
    <w:rsid w:val="00A03E3F"/>
    <w:rsid w:val="00A1108E"/>
    <w:rsid w:val="00A156F8"/>
    <w:rsid w:val="00A17D1D"/>
    <w:rsid w:val="00A2269F"/>
    <w:rsid w:val="00A24A8F"/>
    <w:rsid w:val="00A27CD0"/>
    <w:rsid w:val="00A34D4E"/>
    <w:rsid w:val="00A35F9E"/>
    <w:rsid w:val="00A361C2"/>
    <w:rsid w:val="00A362B6"/>
    <w:rsid w:val="00A46B7A"/>
    <w:rsid w:val="00A511C1"/>
    <w:rsid w:val="00A521BD"/>
    <w:rsid w:val="00A570E2"/>
    <w:rsid w:val="00A65B1D"/>
    <w:rsid w:val="00A67DFF"/>
    <w:rsid w:val="00A71475"/>
    <w:rsid w:val="00A714DC"/>
    <w:rsid w:val="00A7179C"/>
    <w:rsid w:val="00A71D77"/>
    <w:rsid w:val="00A735F5"/>
    <w:rsid w:val="00A761CB"/>
    <w:rsid w:val="00A8120A"/>
    <w:rsid w:val="00A81EF4"/>
    <w:rsid w:val="00A8258F"/>
    <w:rsid w:val="00A84EF6"/>
    <w:rsid w:val="00A85701"/>
    <w:rsid w:val="00A85897"/>
    <w:rsid w:val="00A9140E"/>
    <w:rsid w:val="00A92ADA"/>
    <w:rsid w:val="00A977E1"/>
    <w:rsid w:val="00AA58EE"/>
    <w:rsid w:val="00AB5424"/>
    <w:rsid w:val="00AB5654"/>
    <w:rsid w:val="00AD0344"/>
    <w:rsid w:val="00AD3261"/>
    <w:rsid w:val="00AD4355"/>
    <w:rsid w:val="00AD5FE3"/>
    <w:rsid w:val="00AE0A37"/>
    <w:rsid w:val="00AE3F5F"/>
    <w:rsid w:val="00AE6566"/>
    <w:rsid w:val="00AF0574"/>
    <w:rsid w:val="00AF51EB"/>
    <w:rsid w:val="00B026D1"/>
    <w:rsid w:val="00B04785"/>
    <w:rsid w:val="00B06C82"/>
    <w:rsid w:val="00B13297"/>
    <w:rsid w:val="00B13DC4"/>
    <w:rsid w:val="00B17B7C"/>
    <w:rsid w:val="00B2043B"/>
    <w:rsid w:val="00B224E9"/>
    <w:rsid w:val="00B23277"/>
    <w:rsid w:val="00B245AD"/>
    <w:rsid w:val="00B3127D"/>
    <w:rsid w:val="00B323D8"/>
    <w:rsid w:val="00B41281"/>
    <w:rsid w:val="00B4182B"/>
    <w:rsid w:val="00B447E7"/>
    <w:rsid w:val="00B46768"/>
    <w:rsid w:val="00B52AC8"/>
    <w:rsid w:val="00B52ED3"/>
    <w:rsid w:val="00B55E54"/>
    <w:rsid w:val="00B56589"/>
    <w:rsid w:val="00B64D05"/>
    <w:rsid w:val="00B66984"/>
    <w:rsid w:val="00B70460"/>
    <w:rsid w:val="00B70C1C"/>
    <w:rsid w:val="00B75026"/>
    <w:rsid w:val="00B75AB9"/>
    <w:rsid w:val="00B8072A"/>
    <w:rsid w:val="00B928F1"/>
    <w:rsid w:val="00B941C1"/>
    <w:rsid w:val="00B9441B"/>
    <w:rsid w:val="00BA4660"/>
    <w:rsid w:val="00BB4BF8"/>
    <w:rsid w:val="00BB5ACC"/>
    <w:rsid w:val="00BC3401"/>
    <w:rsid w:val="00BC677D"/>
    <w:rsid w:val="00BD4581"/>
    <w:rsid w:val="00BD702B"/>
    <w:rsid w:val="00BD7963"/>
    <w:rsid w:val="00BD7B78"/>
    <w:rsid w:val="00BE024F"/>
    <w:rsid w:val="00BE1CBD"/>
    <w:rsid w:val="00BE36B8"/>
    <w:rsid w:val="00BE371B"/>
    <w:rsid w:val="00BE773B"/>
    <w:rsid w:val="00BF078F"/>
    <w:rsid w:val="00BF3918"/>
    <w:rsid w:val="00BF7A6E"/>
    <w:rsid w:val="00C05352"/>
    <w:rsid w:val="00C10161"/>
    <w:rsid w:val="00C22054"/>
    <w:rsid w:val="00C244DC"/>
    <w:rsid w:val="00C253D6"/>
    <w:rsid w:val="00C32404"/>
    <w:rsid w:val="00C417BB"/>
    <w:rsid w:val="00C47CB2"/>
    <w:rsid w:val="00C5224C"/>
    <w:rsid w:val="00C53AEC"/>
    <w:rsid w:val="00C60010"/>
    <w:rsid w:val="00C61C07"/>
    <w:rsid w:val="00C656F8"/>
    <w:rsid w:val="00C67EE7"/>
    <w:rsid w:val="00C7152E"/>
    <w:rsid w:val="00C73360"/>
    <w:rsid w:val="00C75869"/>
    <w:rsid w:val="00C84D48"/>
    <w:rsid w:val="00C86CB2"/>
    <w:rsid w:val="00C87777"/>
    <w:rsid w:val="00C91C71"/>
    <w:rsid w:val="00C9201A"/>
    <w:rsid w:val="00C95126"/>
    <w:rsid w:val="00CA5867"/>
    <w:rsid w:val="00CA72A5"/>
    <w:rsid w:val="00CB1F9B"/>
    <w:rsid w:val="00CB34F6"/>
    <w:rsid w:val="00CB4358"/>
    <w:rsid w:val="00CB57CE"/>
    <w:rsid w:val="00CC07BF"/>
    <w:rsid w:val="00CC3A0A"/>
    <w:rsid w:val="00CC3C41"/>
    <w:rsid w:val="00CC4651"/>
    <w:rsid w:val="00CE018E"/>
    <w:rsid w:val="00CE023C"/>
    <w:rsid w:val="00CE2905"/>
    <w:rsid w:val="00CE62AE"/>
    <w:rsid w:val="00CE633D"/>
    <w:rsid w:val="00CE7A4A"/>
    <w:rsid w:val="00CF0BB7"/>
    <w:rsid w:val="00CF1261"/>
    <w:rsid w:val="00CF2F21"/>
    <w:rsid w:val="00CF315D"/>
    <w:rsid w:val="00CF6126"/>
    <w:rsid w:val="00D0398E"/>
    <w:rsid w:val="00D1343F"/>
    <w:rsid w:val="00D13AA8"/>
    <w:rsid w:val="00D14927"/>
    <w:rsid w:val="00D209CE"/>
    <w:rsid w:val="00D23275"/>
    <w:rsid w:val="00D239B5"/>
    <w:rsid w:val="00D23A06"/>
    <w:rsid w:val="00D30B6F"/>
    <w:rsid w:val="00D31D77"/>
    <w:rsid w:val="00D32B72"/>
    <w:rsid w:val="00D32E6D"/>
    <w:rsid w:val="00D360E0"/>
    <w:rsid w:val="00D4033C"/>
    <w:rsid w:val="00D42CA7"/>
    <w:rsid w:val="00D45504"/>
    <w:rsid w:val="00D4709B"/>
    <w:rsid w:val="00D5083E"/>
    <w:rsid w:val="00D5346A"/>
    <w:rsid w:val="00D553A5"/>
    <w:rsid w:val="00D55767"/>
    <w:rsid w:val="00D63131"/>
    <w:rsid w:val="00D67BDC"/>
    <w:rsid w:val="00D70483"/>
    <w:rsid w:val="00D71BA0"/>
    <w:rsid w:val="00D749DF"/>
    <w:rsid w:val="00D75FAF"/>
    <w:rsid w:val="00D76924"/>
    <w:rsid w:val="00D817A1"/>
    <w:rsid w:val="00D825A2"/>
    <w:rsid w:val="00D82755"/>
    <w:rsid w:val="00D82E67"/>
    <w:rsid w:val="00D831AC"/>
    <w:rsid w:val="00D85803"/>
    <w:rsid w:val="00D87B09"/>
    <w:rsid w:val="00D97926"/>
    <w:rsid w:val="00DA2E37"/>
    <w:rsid w:val="00DA3557"/>
    <w:rsid w:val="00DA4701"/>
    <w:rsid w:val="00DA4A87"/>
    <w:rsid w:val="00DA6633"/>
    <w:rsid w:val="00DB0DE5"/>
    <w:rsid w:val="00DB5691"/>
    <w:rsid w:val="00DB5D79"/>
    <w:rsid w:val="00DC3AF4"/>
    <w:rsid w:val="00DC3EC1"/>
    <w:rsid w:val="00DC449A"/>
    <w:rsid w:val="00DC65F2"/>
    <w:rsid w:val="00DC7876"/>
    <w:rsid w:val="00DC7DD5"/>
    <w:rsid w:val="00DD3223"/>
    <w:rsid w:val="00DE13AF"/>
    <w:rsid w:val="00DE2336"/>
    <w:rsid w:val="00DE3ED7"/>
    <w:rsid w:val="00DF1291"/>
    <w:rsid w:val="00E00B9F"/>
    <w:rsid w:val="00E00F16"/>
    <w:rsid w:val="00E127BA"/>
    <w:rsid w:val="00E1392C"/>
    <w:rsid w:val="00E13C45"/>
    <w:rsid w:val="00E22AC6"/>
    <w:rsid w:val="00E24830"/>
    <w:rsid w:val="00E318A6"/>
    <w:rsid w:val="00E41C62"/>
    <w:rsid w:val="00E41EE9"/>
    <w:rsid w:val="00E44AB6"/>
    <w:rsid w:val="00E45781"/>
    <w:rsid w:val="00E461D4"/>
    <w:rsid w:val="00E476CD"/>
    <w:rsid w:val="00E478C9"/>
    <w:rsid w:val="00E51A59"/>
    <w:rsid w:val="00E5388C"/>
    <w:rsid w:val="00E54730"/>
    <w:rsid w:val="00E57CCC"/>
    <w:rsid w:val="00E62285"/>
    <w:rsid w:val="00E62819"/>
    <w:rsid w:val="00E63EC6"/>
    <w:rsid w:val="00E65661"/>
    <w:rsid w:val="00E71E25"/>
    <w:rsid w:val="00E724E9"/>
    <w:rsid w:val="00E7490E"/>
    <w:rsid w:val="00E8534A"/>
    <w:rsid w:val="00E9045F"/>
    <w:rsid w:val="00E92912"/>
    <w:rsid w:val="00E966A9"/>
    <w:rsid w:val="00EA0D4F"/>
    <w:rsid w:val="00EA405B"/>
    <w:rsid w:val="00EA4F75"/>
    <w:rsid w:val="00EB47A5"/>
    <w:rsid w:val="00EB4C26"/>
    <w:rsid w:val="00EB4C71"/>
    <w:rsid w:val="00EB6134"/>
    <w:rsid w:val="00EC1A6C"/>
    <w:rsid w:val="00EC282C"/>
    <w:rsid w:val="00EC46E1"/>
    <w:rsid w:val="00ED257E"/>
    <w:rsid w:val="00ED6B95"/>
    <w:rsid w:val="00ED6F29"/>
    <w:rsid w:val="00ED7509"/>
    <w:rsid w:val="00EE205D"/>
    <w:rsid w:val="00EE29F5"/>
    <w:rsid w:val="00EE38AF"/>
    <w:rsid w:val="00EF254B"/>
    <w:rsid w:val="00EF3AE2"/>
    <w:rsid w:val="00EF4FF2"/>
    <w:rsid w:val="00EF5715"/>
    <w:rsid w:val="00EF6F0F"/>
    <w:rsid w:val="00F0429C"/>
    <w:rsid w:val="00F071DE"/>
    <w:rsid w:val="00F11528"/>
    <w:rsid w:val="00F25DE4"/>
    <w:rsid w:val="00F329BA"/>
    <w:rsid w:val="00F42246"/>
    <w:rsid w:val="00F521AB"/>
    <w:rsid w:val="00F52BE8"/>
    <w:rsid w:val="00F53276"/>
    <w:rsid w:val="00F61859"/>
    <w:rsid w:val="00F708FC"/>
    <w:rsid w:val="00F74630"/>
    <w:rsid w:val="00F76892"/>
    <w:rsid w:val="00F769B8"/>
    <w:rsid w:val="00F8423C"/>
    <w:rsid w:val="00F87CA1"/>
    <w:rsid w:val="00F9122A"/>
    <w:rsid w:val="00F912BE"/>
    <w:rsid w:val="00F915BE"/>
    <w:rsid w:val="00F94EFC"/>
    <w:rsid w:val="00FA0954"/>
    <w:rsid w:val="00FA446C"/>
    <w:rsid w:val="00FA588C"/>
    <w:rsid w:val="00FA5F79"/>
    <w:rsid w:val="00FA6D2C"/>
    <w:rsid w:val="00FB5BF6"/>
    <w:rsid w:val="00FB6266"/>
    <w:rsid w:val="00FC779A"/>
    <w:rsid w:val="00FD0798"/>
    <w:rsid w:val="00FD66DD"/>
    <w:rsid w:val="00FD6DCA"/>
    <w:rsid w:val="00FD714E"/>
    <w:rsid w:val="00FE3C57"/>
    <w:rsid w:val="00FE429D"/>
    <w:rsid w:val="00FF0475"/>
    <w:rsid w:val="00FF4D83"/>
    <w:rsid w:val="00FF54E1"/>
    <w:rsid w:val="00FF5C51"/>
    <w:rsid w:val="00FF60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09"/>
    <o:shapelayout v:ext="edit">
      <o:idmap v:ext="edit" data="1"/>
    </o:shapelayout>
  </w:shapeDefaults>
  <w:decimalSymbol w:val="."/>
  <w:listSeparator w:val=","/>
  <w14:docId w14:val="03B46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1C71"/>
  </w:style>
  <w:style w:type="paragraph" w:styleId="Heading3">
    <w:name w:val="heading 3"/>
    <w:basedOn w:val="Normal"/>
    <w:next w:val="Normal"/>
    <w:link w:val="Heading3Char"/>
    <w:uiPriority w:val="9"/>
    <w:semiHidden/>
    <w:unhideWhenUsed/>
    <w:qFormat/>
    <w:rsid w:val="00314C9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nhideWhenUsed/>
    <w:qFormat/>
    <w:rsid w:val="00060B30"/>
    <w:pPr>
      <w:keepNext/>
      <w:spacing w:before="240" w:after="60" w:line="240" w:lineRule="auto"/>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iPriority w:val="99"/>
    <w:unhideWhenUsed/>
    <w:rsid w:val="00AE3F5F"/>
    <w:rPr>
      <w:sz w:val="16"/>
      <w:szCs w:val="16"/>
    </w:rPr>
  </w:style>
  <w:style w:type="paragraph" w:styleId="CommentText">
    <w:name w:val="annotation text"/>
    <w:basedOn w:val="Normal"/>
    <w:link w:val="CommentTextChar"/>
    <w:uiPriority w:val="99"/>
    <w:unhideWhenUsed/>
    <w:rsid w:val="00AE3F5F"/>
    <w:pPr>
      <w:spacing w:line="240" w:lineRule="auto"/>
    </w:pPr>
    <w:rPr>
      <w:sz w:val="20"/>
      <w:szCs w:val="20"/>
    </w:rPr>
  </w:style>
  <w:style w:type="character" w:customStyle="1" w:styleId="CommentTextChar">
    <w:name w:val="Comment Text Char"/>
    <w:basedOn w:val="DefaultParagraphFont"/>
    <w:link w:val="CommentText"/>
    <w:uiPriority w:val="99"/>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B55E54"/>
    <w:pPr>
      <w:spacing w:after="0" w:line="240" w:lineRule="auto"/>
    </w:pPr>
    <w:rPr>
      <w:sz w:val="20"/>
      <w:szCs w:val="20"/>
    </w:rPr>
  </w:style>
  <w:style w:type="character" w:customStyle="1" w:styleId="FootnoteTextChar">
    <w:name w:val="Footnote Text Char"/>
    <w:basedOn w:val="DefaultParagraphFont"/>
    <w:link w:val="FootnoteText"/>
    <w:uiPriority w:val="99"/>
    <w:rsid w:val="00B55E54"/>
    <w:rPr>
      <w:sz w:val="20"/>
      <w:szCs w:val="20"/>
    </w:rPr>
  </w:style>
  <w:style w:type="character" w:styleId="FootnoteReference">
    <w:name w:val="footnote reference"/>
    <w:basedOn w:val="DefaultParagraphFont"/>
    <w:uiPriority w:val="99"/>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54255A"/>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54255A"/>
    <w:pPr>
      <w:spacing w:after="840" w:line="260" w:lineRule="exact"/>
    </w:pPr>
    <w:rPr>
      <w:rFonts w:ascii="Franklin Gothic Medium" w:eastAsia="Times New Roman" w:hAnsi="Franklin Gothic Medium" w:cs="Times New Roman"/>
      <w:b/>
      <w:color w:val="003C79"/>
      <w:sz w:val="24"/>
      <w:szCs w:val="20"/>
    </w:rPr>
  </w:style>
  <w:style w:type="character" w:customStyle="1" w:styleId="Heading4Char">
    <w:name w:val="Heading 4 Char"/>
    <w:basedOn w:val="DefaultParagraphFont"/>
    <w:link w:val="Heading4"/>
    <w:rsid w:val="00060B30"/>
    <w:rPr>
      <w:rFonts w:ascii="Calibri" w:eastAsia="Times New Roman" w:hAnsi="Calibri" w:cs="Times New Roman"/>
      <w:b/>
      <w:bCs/>
      <w:sz w:val="28"/>
      <w:szCs w:val="28"/>
    </w:rPr>
  </w:style>
  <w:style w:type="character" w:customStyle="1" w:styleId="UnresolvedMention1">
    <w:name w:val="Unresolved Mention1"/>
    <w:basedOn w:val="DefaultParagraphFont"/>
    <w:uiPriority w:val="99"/>
    <w:semiHidden/>
    <w:unhideWhenUsed/>
    <w:rsid w:val="00D4709B"/>
    <w:rPr>
      <w:color w:val="605E5C"/>
      <w:shd w:val="clear" w:color="auto" w:fill="E1DFDD"/>
    </w:rPr>
  </w:style>
  <w:style w:type="paragraph" w:styleId="EndnoteText">
    <w:name w:val="endnote text"/>
    <w:basedOn w:val="Normal"/>
    <w:link w:val="EndnoteTextChar"/>
    <w:semiHidden/>
    <w:rsid w:val="006E7012"/>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semiHidden/>
    <w:rsid w:val="006E7012"/>
    <w:rPr>
      <w:rFonts w:ascii="Times New Roman" w:eastAsia="Times New Roman" w:hAnsi="Times New Roman" w:cs="Times New Roman"/>
      <w:sz w:val="20"/>
      <w:szCs w:val="20"/>
    </w:rPr>
  </w:style>
  <w:style w:type="paragraph" w:customStyle="1" w:styleId="BodyText2">
    <w:name w:val="Body Text2"/>
    <w:basedOn w:val="Normal"/>
    <w:rsid w:val="006E7012"/>
    <w:pPr>
      <w:spacing w:after="0" w:line="360" w:lineRule="auto"/>
      <w:ind w:firstLine="720"/>
    </w:pPr>
    <w:rPr>
      <w:rFonts w:ascii="Times New Roman" w:eastAsia="Times New Roman" w:hAnsi="Times New Roman" w:cs="Times New Roman"/>
      <w:szCs w:val="20"/>
    </w:rPr>
  </w:style>
  <w:style w:type="character" w:styleId="EndnoteReference">
    <w:name w:val="endnote reference"/>
    <w:rsid w:val="006E7012"/>
    <w:rPr>
      <w:vertAlign w:val="superscript"/>
    </w:rPr>
  </w:style>
  <w:style w:type="numbering" w:customStyle="1" w:styleId="Format4508">
    <w:name w:val="Format4_508"/>
    <w:uiPriority w:val="99"/>
    <w:rsid w:val="006E7012"/>
    <w:pPr>
      <w:numPr>
        <w:numId w:val="23"/>
      </w:numPr>
    </w:pPr>
  </w:style>
  <w:style w:type="character" w:styleId="FollowedHyperlink">
    <w:name w:val="FollowedHyperlink"/>
    <w:basedOn w:val="DefaultParagraphFont"/>
    <w:uiPriority w:val="99"/>
    <w:semiHidden/>
    <w:unhideWhenUsed/>
    <w:rsid w:val="001F1FA6"/>
    <w:rPr>
      <w:color w:val="800080" w:themeColor="followedHyperlink"/>
      <w:u w:val="single"/>
    </w:rPr>
  </w:style>
  <w:style w:type="character" w:customStyle="1" w:styleId="Heading3Char">
    <w:name w:val="Heading 3 Char"/>
    <w:basedOn w:val="DefaultParagraphFont"/>
    <w:link w:val="Heading3"/>
    <w:uiPriority w:val="9"/>
    <w:semiHidden/>
    <w:rsid w:val="00314C96"/>
    <w:rPr>
      <w:rFonts w:asciiTheme="majorHAnsi" w:eastAsiaTheme="majorEastAsia" w:hAnsiTheme="majorHAnsi" w:cstheme="majorBidi"/>
      <w:color w:val="243F60" w:themeColor="accent1" w:themeShade="7F"/>
      <w:sz w:val="24"/>
      <w:szCs w:val="24"/>
    </w:rPr>
  </w:style>
  <w:style w:type="paragraph" w:customStyle="1" w:styleId="TableText">
    <w:name w:val="Table Text"/>
    <w:basedOn w:val="Normal"/>
    <w:qFormat/>
    <w:rsid w:val="00314C96"/>
    <w:pPr>
      <w:spacing w:before="60" w:after="60" w:line="240" w:lineRule="auto"/>
    </w:pPr>
    <w:rPr>
      <w:rFonts w:ascii="Times New Roman" w:eastAsia="MS Mincho" w:hAnsi="Times New Roman" w:cs="Times New Roman"/>
    </w:rPr>
  </w:style>
  <w:style w:type="paragraph" w:customStyle="1" w:styleId="Source">
    <w:name w:val="Source"/>
    <w:basedOn w:val="Normal"/>
    <w:rsid w:val="00314C96"/>
    <w:pPr>
      <w:keepLines/>
      <w:spacing w:before="120" w:after="240" w:line="240" w:lineRule="auto"/>
      <w:ind w:left="187" w:hanging="187"/>
    </w:pPr>
    <w:rPr>
      <w:rFonts w:ascii="Times New Roman" w:eastAsia="Times New Roman" w:hAnsi="Times New Roman" w:cs="Times New Roman"/>
      <w:sz w:val="20"/>
      <w:szCs w:val="20"/>
    </w:rPr>
  </w:style>
  <w:style w:type="paragraph" w:customStyle="1" w:styleId="TableHeaders">
    <w:name w:val="Table Headers"/>
    <w:basedOn w:val="Normal"/>
    <w:qFormat/>
    <w:rsid w:val="00314C96"/>
    <w:pPr>
      <w:autoSpaceDE w:val="0"/>
      <w:autoSpaceDN w:val="0"/>
      <w:adjustRightInd w:val="0"/>
      <w:spacing w:before="80" w:after="80" w:line="240" w:lineRule="auto"/>
      <w:jc w:val="center"/>
    </w:pPr>
    <w:rPr>
      <w:rFonts w:ascii="Times New Roman" w:eastAsia="Times New Roman" w:hAnsi="Times New Roman" w:cs="Times New Roman"/>
      <w:b/>
      <w:szCs w:val="20"/>
    </w:rPr>
  </w:style>
  <w:style w:type="character" w:customStyle="1" w:styleId="UnresolvedMention2">
    <w:name w:val="Unresolved Mention2"/>
    <w:basedOn w:val="DefaultParagraphFont"/>
    <w:uiPriority w:val="99"/>
    <w:semiHidden/>
    <w:unhideWhenUsed/>
    <w:rsid w:val="001629CD"/>
    <w:rPr>
      <w:color w:val="605E5C"/>
      <w:shd w:val="clear" w:color="auto" w:fill="E1DFDD"/>
    </w:rPr>
  </w:style>
  <w:style w:type="character" w:customStyle="1" w:styleId="UnresolvedMention">
    <w:name w:val="Unresolved Mention"/>
    <w:basedOn w:val="DefaultParagraphFont"/>
    <w:uiPriority w:val="99"/>
    <w:semiHidden/>
    <w:unhideWhenUsed/>
    <w:rsid w:val="00213392"/>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1C71"/>
  </w:style>
  <w:style w:type="paragraph" w:styleId="Heading3">
    <w:name w:val="heading 3"/>
    <w:basedOn w:val="Normal"/>
    <w:next w:val="Normal"/>
    <w:link w:val="Heading3Char"/>
    <w:uiPriority w:val="9"/>
    <w:semiHidden/>
    <w:unhideWhenUsed/>
    <w:qFormat/>
    <w:rsid w:val="00314C9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nhideWhenUsed/>
    <w:qFormat/>
    <w:rsid w:val="00060B30"/>
    <w:pPr>
      <w:keepNext/>
      <w:spacing w:before="240" w:after="60" w:line="240" w:lineRule="auto"/>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iPriority w:val="99"/>
    <w:unhideWhenUsed/>
    <w:rsid w:val="00AE3F5F"/>
    <w:rPr>
      <w:sz w:val="16"/>
      <w:szCs w:val="16"/>
    </w:rPr>
  </w:style>
  <w:style w:type="paragraph" w:styleId="CommentText">
    <w:name w:val="annotation text"/>
    <w:basedOn w:val="Normal"/>
    <w:link w:val="CommentTextChar"/>
    <w:uiPriority w:val="99"/>
    <w:unhideWhenUsed/>
    <w:rsid w:val="00AE3F5F"/>
    <w:pPr>
      <w:spacing w:line="240" w:lineRule="auto"/>
    </w:pPr>
    <w:rPr>
      <w:sz w:val="20"/>
      <w:szCs w:val="20"/>
    </w:rPr>
  </w:style>
  <w:style w:type="character" w:customStyle="1" w:styleId="CommentTextChar">
    <w:name w:val="Comment Text Char"/>
    <w:basedOn w:val="DefaultParagraphFont"/>
    <w:link w:val="CommentText"/>
    <w:uiPriority w:val="99"/>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B55E54"/>
    <w:pPr>
      <w:spacing w:after="0" w:line="240" w:lineRule="auto"/>
    </w:pPr>
    <w:rPr>
      <w:sz w:val="20"/>
      <w:szCs w:val="20"/>
    </w:rPr>
  </w:style>
  <w:style w:type="character" w:customStyle="1" w:styleId="FootnoteTextChar">
    <w:name w:val="Footnote Text Char"/>
    <w:basedOn w:val="DefaultParagraphFont"/>
    <w:link w:val="FootnoteText"/>
    <w:uiPriority w:val="99"/>
    <w:rsid w:val="00B55E54"/>
    <w:rPr>
      <w:sz w:val="20"/>
      <w:szCs w:val="20"/>
    </w:rPr>
  </w:style>
  <w:style w:type="character" w:styleId="FootnoteReference">
    <w:name w:val="footnote reference"/>
    <w:basedOn w:val="DefaultParagraphFont"/>
    <w:uiPriority w:val="99"/>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54255A"/>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54255A"/>
    <w:pPr>
      <w:spacing w:after="840" w:line="260" w:lineRule="exact"/>
    </w:pPr>
    <w:rPr>
      <w:rFonts w:ascii="Franklin Gothic Medium" w:eastAsia="Times New Roman" w:hAnsi="Franklin Gothic Medium" w:cs="Times New Roman"/>
      <w:b/>
      <w:color w:val="003C79"/>
      <w:sz w:val="24"/>
      <w:szCs w:val="20"/>
    </w:rPr>
  </w:style>
  <w:style w:type="character" w:customStyle="1" w:styleId="Heading4Char">
    <w:name w:val="Heading 4 Char"/>
    <w:basedOn w:val="DefaultParagraphFont"/>
    <w:link w:val="Heading4"/>
    <w:rsid w:val="00060B30"/>
    <w:rPr>
      <w:rFonts w:ascii="Calibri" w:eastAsia="Times New Roman" w:hAnsi="Calibri" w:cs="Times New Roman"/>
      <w:b/>
      <w:bCs/>
      <w:sz w:val="28"/>
      <w:szCs w:val="28"/>
    </w:rPr>
  </w:style>
  <w:style w:type="character" w:customStyle="1" w:styleId="UnresolvedMention1">
    <w:name w:val="Unresolved Mention1"/>
    <w:basedOn w:val="DefaultParagraphFont"/>
    <w:uiPriority w:val="99"/>
    <w:semiHidden/>
    <w:unhideWhenUsed/>
    <w:rsid w:val="00D4709B"/>
    <w:rPr>
      <w:color w:val="605E5C"/>
      <w:shd w:val="clear" w:color="auto" w:fill="E1DFDD"/>
    </w:rPr>
  </w:style>
  <w:style w:type="paragraph" w:styleId="EndnoteText">
    <w:name w:val="endnote text"/>
    <w:basedOn w:val="Normal"/>
    <w:link w:val="EndnoteTextChar"/>
    <w:semiHidden/>
    <w:rsid w:val="006E7012"/>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semiHidden/>
    <w:rsid w:val="006E7012"/>
    <w:rPr>
      <w:rFonts w:ascii="Times New Roman" w:eastAsia="Times New Roman" w:hAnsi="Times New Roman" w:cs="Times New Roman"/>
      <w:sz w:val="20"/>
      <w:szCs w:val="20"/>
    </w:rPr>
  </w:style>
  <w:style w:type="paragraph" w:customStyle="1" w:styleId="BodyText2">
    <w:name w:val="Body Text2"/>
    <w:basedOn w:val="Normal"/>
    <w:rsid w:val="006E7012"/>
    <w:pPr>
      <w:spacing w:after="0" w:line="360" w:lineRule="auto"/>
      <w:ind w:firstLine="720"/>
    </w:pPr>
    <w:rPr>
      <w:rFonts w:ascii="Times New Roman" w:eastAsia="Times New Roman" w:hAnsi="Times New Roman" w:cs="Times New Roman"/>
      <w:szCs w:val="20"/>
    </w:rPr>
  </w:style>
  <w:style w:type="character" w:styleId="EndnoteReference">
    <w:name w:val="endnote reference"/>
    <w:rsid w:val="006E7012"/>
    <w:rPr>
      <w:vertAlign w:val="superscript"/>
    </w:rPr>
  </w:style>
  <w:style w:type="numbering" w:customStyle="1" w:styleId="Format4508">
    <w:name w:val="Format4_508"/>
    <w:uiPriority w:val="99"/>
    <w:rsid w:val="006E7012"/>
    <w:pPr>
      <w:numPr>
        <w:numId w:val="23"/>
      </w:numPr>
    </w:pPr>
  </w:style>
  <w:style w:type="character" w:styleId="FollowedHyperlink">
    <w:name w:val="FollowedHyperlink"/>
    <w:basedOn w:val="DefaultParagraphFont"/>
    <w:uiPriority w:val="99"/>
    <w:semiHidden/>
    <w:unhideWhenUsed/>
    <w:rsid w:val="001F1FA6"/>
    <w:rPr>
      <w:color w:val="800080" w:themeColor="followedHyperlink"/>
      <w:u w:val="single"/>
    </w:rPr>
  </w:style>
  <w:style w:type="character" w:customStyle="1" w:styleId="Heading3Char">
    <w:name w:val="Heading 3 Char"/>
    <w:basedOn w:val="DefaultParagraphFont"/>
    <w:link w:val="Heading3"/>
    <w:uiPriority w:val="9"/>
    <w:semiHidden/>
    <w:rsid w:val="00314C96"/>
    <w:rPr>
      <w:rFonts w:asciiTheme="majorHAnsi" w:eastAsiaTheme="majorEastAsia" w:hAnsiTheme="majorHAnsi" w:cstheme="majorBidi"/>
      <w:color w:val="243F60" w:themeColor="accent1" w:themeShade="7F"/>
      <w:sz w:val="24"/>
      <w:szCs w:val="24"/>
    </w:rPr>
  </w:style>
  <w:style w:type="paragraph" w:customStyle="1" w:styleId="TableText">
    <w:name w:val="Table Text"/>
    <w:basedOn w:val="Normal"/>
    <w:qFormat/>
    <w:rsid w:val="00314C96"/>
    <w:pPr>
      <w:spacing w:before="60" w:after="60" w:line="240" w:lineRule="auto"/>
    </w:pPr>
    <w:rPr>
      <w:rFonts w:ascii="Times New Roman" w:eastAsia="MS Mincho" w:hAnsi="Times New Roman" w:cs="Times New Roman"/>
    </w:rPr>
  </w:style>
  <w:style w:type="paragraph" w:customStyle="1" w:styleId="Source">
    <w:name w:val="Source"/>
    <w:basedOn w:val="Normal"/>
    <w:rsid w:val="00314C96"/>
    <w:pPr>
      <w:keepLines/>
      <w:spacing w:before="120" w:after="240" w:line="240" w:lineRule="auto"/>
      <w:ind w:left="187" w:hanging="187"/>
    </w:pPr>
    <w:rPr>
      <w:rFonts w:ascii="Times New Roman" w:eastAsia="Times New Roman" w:hAnsi="Times New Roman" w:cs="Times New Roman"/>
      <w:sz w:val="20"/>
      <w:szCs w:val="20"/>
    </w:rPr>
  </w:style>
  <w:style w:type="paragraph" w:customStyle="1" w:styleId="TableHeaders">
    <w:name w:val="Table Headers"/>
    <w:basedOn w:val="Normal"/>
    <w:qFormat/>
    <w:rsid w:val="00314C96"/>
    <w:pPr>
      <w:autoSpaceDE w:val="0"/>
      <w:autoSpaceDN w:val="0"/>
      <w:adjustRightInd w:val="0"/>
      <w:spacing w:before="80" w:after="80" w:line="240" w:lineRule="auto"/>
      <w:jc w:val="center"/>
    </w:pPr>
    <w:rPr>
      <w:rFonts w:ascii="Times New Roman" w:eastAsia="Times New Roman" w:hAnsi="Times New Roman" w:cs="Times New Roman"/>
      <w:b/>
      <w:szCs w:val="20"/>
    </w:rPr>
  </w:style>
  <w:style w:type="character" w:customStyle="1" w:styleId="UnresolvedMention2">
    <w:name w:val="Unresolved Mention2"/>
    <w:basedOn w:val="DefaultParagraphFont"/>
    <w:uiPriority w:val="99"/>
    <w:semiHidden/>
    <w:unhideWhenUsed/>
    <w:rsid w:val="001629CD"/>
    <w:rPr>
      <w:color w:val="605E5C"/>
      <w:shd w:val="clear" w:color="auto" w:fill="E1DFDD"/>
    </w:rPr>
  </w:style>
  <w:style w:type="character" w:customStyle="1" w:styleId="UnresolvedMention">
    <w:name w:val="Unresolved Mention"/>
    <w:basedOn w:val="DefaultParagraphFont"/>
    <w:uiPriority w:val="99"/>
    <w:semiHidden/>
    <w:unhideWhenUsed/>
    <w:rsid w:val="002133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256834">
      <w:bodyDiv w:val="1"/>
      <w:marLeft w:val="0"/>
      <w:marRight w:val="0"/>
      <w:marTop w:val="0"/>
      <w:marBottom w:val="0"/>
      <w:divBdr>
        <w:top w:val="none" w:sz="0" w:space="0" w:color="auto"/>
        <w:left w:val="none" w:sz="0" w:space="0" w:color="auto"/>
        <w:bottom w:val="none" w:sz="0" w:space="0" w:color="auto"/>
        <w:right w:val="none" w:sz="0" w:space="0" w:color="auto"/>
      </w:divBdr>
    </w:div>
    <w:div w:id="65803657">
      <w:bodyDiv w:val="1"/>
      <w:marLeft w:val="0"/>
      <w:marRight w:val="0"/>
      <w:marTop w:val="0"/>
      <w:marBottom w:val="0"/>
      <w:divBdr>
        <w:top w:val="none" w:sz="0" w:space="0" w:color="auto"/>
        <w:left w:val="none" w:sz="0" w:space="0" w:color="auto"/>
        <w:bottom w:val="none" w:sz="0" w:space="0" w:color="auto"/>
        <w:right w:val="none" w:sz="0" w:space="0" w:color="auto"/>
      </w:divBdr>
    </w:div>
    <w:div w:id="212085324">
      <w:bodyDiv w:val="1"/>
      <w:marLeft w:val="0"/>
      <w:marRight w:val="0"/>
      <w:marTop w:val="0"/>
      <w:marBottom w:val="0"/>
      <w:divBdr>
        <w:top w:val="none" w:sz="0" w:space="0" w:color="auto"/>
        <w:left w:val="none" w:sz="0" w:space="0" w:color="auto"/>
        <w:bottom w:val="none" w:sz="0" w:space="0" w:color="auto"/>
        <w:right w:val="none" w:sz="0" w:space="0" w:color="auto"/>
      </w:divBdr>
    </w:div>
    <w:div w:id="241178777">
      <w:bodyDiv w:val="1"/>
      <w:marLeft w:val="0"/>
      <w:marRight w:val="0"/>
      <w:marTop w:val="0"/>
      <w:marBottom w:val="0"/>
      <w:divBdr>
        <w:top w:val="none" w:sz="0" w:space="0" w:color="auto"/>
        <w:left w:val="none" w:sz="0" w:space="0" w:color="auto"/>
        <w:bottom w:val="none" w:sz="0" w:space="0" w:color="auto"/>
        <w:right w:val="none" w:sz="0" w:space="0" w:color="auto"/>
      </w:divBdr>
    </w:div>
    <w:div w:id="348871727">
      <w:bodyDiv w:val="1"/>
      <w:marLeft w:val="0"/>
      <w:marRight w:val="0"/>
      <w:marTop w:val="0"/>
      <w:marBottom w:val="0"/>
      <w:divBdr>
        <w:top w:val="none" w:sz="0" w:space="0" w:color="auto"/>
        <w:left w:val="none" w:sz="0" w:space="0" w:color="auto"/>
        <w:bottom w:val="none" w:sz="0" w:space="0" w:color="auto"/>
        <w:right w:val="none" w:sz="0" w:space="0" w:color="auto"/>
      </w:divBdr>
    </w:div>
    <w:div w:id="371031020">
      <w:bodyDiv w:val="1"/>
      <w:marLeft w:val="0"/>
      <w:marRight w:val="0"/>
      <w:marTop w:val="0"/>
      <w:marBottom w:val="0"/>
      <w:divBdr>
        <w:top w:val="none" w:sz="0" w:space="0" w:color="auto"/>
        <w:left w:val="none" w:sz="0" w:space="0" w:color="auto"/>
        <w:bottom w:val="none" w:sz="0" w:space="0" w:color="auto"/>
        <w:right w:val="none" w:sz="0" w:space="0" w:color="auto"/>
      </w:divBdr>
    </w:div>
    <w:div w:id="390079155">
      <w:bodyDiv w:val="1"/>
      <w:marLeft w:val="0"/>
      <w:marRight w:val="0"/>
      <w:marTop w:val="0"/>
      <w:marBottom w:val="0"/>
      <w:divBdr>
        <w:top w:val="none" w:sz="0" w:space="0" w:color="auto"/>
        <w:left w:val="none" w:sz="0" w:space="0" w:color="auto"/>
        <w:bottom w:val="none" w:sz="0" w:space="0" w:color="auto"/>
        <w:right w:val="none" w:sz="0" w:space="0" w:color="auto"/>
      </w:divBdr>
    </w:div>
    <w:div w:id="512569539">
      <w:bodyDiv w:val="1"/>
      <w:marLeft w:val="0"/>
      <w:marRight w:val="0"/>
      <w:marTop w:val="0"/>
      <w:marBottom w:val="0"/>
      <w:divBdr>
        <w:top w:val="none" w:sz="0" w:space="0" w:color="auto"/>
        <w:left w:val="none" w:sz="0" w:space="0" w:color="auto"/>
        <w:bottom w:val="none" w:sz="0" w:space="0" w:color="auto"/>
        <w:right w:val="none" w:sz="0" w:space="0" w:color="auto"/>
      </w:divBdr>
    </w:div>
    <w:div w:id="539361640">
      <w:bodyDiv w:val="1"/>
      <w:marLeft w:val="0"/>
      <w:marRight w:val="0"/>
      <w:marTop w:val="0"/>
      <w:marBottom w:val="0"/>
      <w:divBdr>
        <w:top w:val="none" w:sz="0" w:space="0" w:color="auto"/>
        <w:left w:val="none" w:sz="0" w:space="0" w:color="auto"/>
        <w:bottom w:val="none" w:sz="0" w:space="0" w:color="auto"/>
        <w:right w:val="none" w:sz="0" w:space="0" w:color="auto"/>
      </w:divBdr>
    </w:div>
    <w:div w:id="898981546">
      <w:bodyDiv w:val="1"/>
      <w:marLeft w:val="0"/>
      <w:marRight w:val="0"/>
      <w:marTop w:val="0"/>
      <w:marBottom w:val="0"/>
      <w:divBdr>
        <w:top w:val="none" w:sz="0" w:space="0" w:color="auto"/>
        <w:left w:val="none" w:sz="0" w:space="0" w:color="auto"/>
        <w:bottom w:val="none" w:sz="0" w:space="0" w:color="auto"/>
        <w:right w:val="none" w:sz="0" w:space="0" w:color="auto"/>
      </w:divBdr>
    </w:div>
    <w:div w:id="932859348">
      <w:bodyDiv w:val="1"/>
      <w:marLeft w:val="0"/>
      <w:marRight w:val="0"/>
      <w:marTop w:val="0"/>
      <w:marBottom w:val="0"/>
      <w:divBdr>
        <w:top w:val="none" w:sz="0" w:space="0" w:color="auto"/>
        <w:left w:val="none" w:sz="0" w:space="0" w:color="auto"/>
        <w:bottom w:val="none" w:sz="0" w:space="0" w:color="auto"/>
        <w:right w:val="none" w:sz="0" w:space="0" w:color="auto"/>
      </w:divBdr>
    </w:div>
    <w:div w:id="1029449964">
      <w:bodyDiv w:val="1"/>
      <w:marLeft w:val="0"/>
      <w:marRight w:val="0"/>
      <w:marTop w:val="0"/>
      <w:marBottom w:val="0"/>
      <w:divBdr>
        <w:top w:val="none" w:sz="0" w:space="0" w:color="auto"/>
        <w:left w:val="none" w:sz="0" w:space="0" w:color="auto"/>
        <w:bottom w:val="none" w:sz="0" w:space="0" w:color="auto"/>
        <w:right w:val="none" w:sz="0" w:space="0" w:color="auto"/>
      </w:divBdr>
    </w:div>
    <w:div w:id="1036929154">
      <w:bodyDiv w:val="1"/>
      <w:marLeft w:val="0"/>
      <w:marRight w:val="0"/>
      <w:marTop w:val="0"/>
      <w:marBottom w:val="0"/>
      <w:divBdr>
        <w:top w:val="none" w:sz="0" w:space="0" w:color="auto"/>
        <w:left w:val="none" w:sz="0" w:space="0" w:color="auto"/>
        <w:bottom w:val="none" w:sz="0" w:space="0" w:color="auto"/>
        <w:right w:val="none" w:sz="0" w:space="0" w:color="auto"/>
      </w:divBdr>
    </w:div>
    <w:div w:id="1105924555">
      <w:bodyDiv w:val="1"/>
      <w:marLeft w:val="0"/>
      <w:marRight w:val="0"/>
      <w:marTop w:val="0"/>
      <w:marBottom w:val="0"/>
      <w:divBdr>
        <w:top w:val="none" w:sz="0" w:space="0" w:color="auto"/>
        <w:left w:val="none" w:sz="0" w:space="0" w:color="auto"/>
        <w:bottom w:val="none" w:sz="0" w:space="0" w:color="auto"/>
        <w:right w:val="none" w:sz="0" w:space="0" w:color="auto"/>
      </w:divBdr>
    </w:div>
    <w:div w:id="1143736996">
      <w:bodyDiv w:val="1"/>
      <w:marLeft w:val="0"/>
      <w:marRight w:val="0"/>
      <w:marTop w:val="0"/>
      <w:marBottom w:val="0"/>
      <w:divBdr>
        <w:top w:val="none" w:sz="0" w:space="0" w:color="auto"/>
        <w:left w:val="none" w:sz="0" w:space="0" w:color="auto"/>
        <w:bottom w:val="none" w:sz="0" w:space="0" w:color="auto"/>
        <w:right w:val="none" w:sz="0" w:space="0" w:color="auto"/>
      </w:divBdr>
    </w:div>
    <w:div w:id="1280184759">
      <w:bodyDiv w:val="1"/>
      <w:marLeft w:val="0"/>
      <w:marRight w:val="0"/>
      <w:marTop w:val="0"/>
      <w:marBottom w:val="0"/>
      <w:divBdr>
        <w:top w:val="none" w:sz="0" w:space="0" w:color="auto"/>
        <w:left w:val="none" w:sz="0" w:space="0" w:color="auto"/>
        <w:bottom w:val="none" w:sz="0" w:space="0" w:color="auto"/>
        <w:right w:val="none" w:sz="0" w:space="0" w:color="auto"/>
      </w:divBdr>
    </w:div>
    <w:div w:id="1348141883">
      <w:bodyDiv w:val="1"/>
      <w:marLeft w:val="0"/>
      <w:marRight w:val="0"/>
      <w:marTop w:val="0"/>
      <w:marBottom w:val="0"/>
      <w:divBdr>
        <w:top w:val="none" w:sz="0" w:space="0" w:color="auto"/>
        <w:left w:val="none" w:sz="0" w:space="0" w:color="auto"/>
        <w:bottom w:val="none" w:sz="0" w:space="0" w:color="auto"/>
        <w:right w:val="none" w:sz="0" w:space="0" w:color="auto"/>
      </w:divBdr>
    </w:div>
    <w:div w:id="1492869695">
      <w:bodyDiv w:val="1"/>
      <w:marLeft w:val="0"/>
      <w:marRight w:val="0"/>
      <w:marTop w:val="0"/>
      <w:marBottom w:val="0"/>
      <w:divBdr>
        <w:top w:val="none" w:sz="0" w:space="0" w:color="auto"/>
        <w:left w:val="none" w:sz="0" w:space="0" w:color="auto"/>
        <w:bottom w:val="none" w:sz="0" w:space="0" w:color="auto"/>
        <w:right w:val="none" w:sz="0" w:space="0" w:color="auto"/>
      </w:divBdr>
    </w:div>
    <w:div w:id="1675374444">
      <w:bodyDiv w:val="1"/>
      <w:marLeft w:val="0"/>
      <w:marRight w:val="0"/>
      <w:marTop w:val="0"/>
      <w:marBottom w:val="0"/>
      <w:divBdr>
        <w:top w:val="none" w:sz="0" w:space="0" w:color="auto"/>
        <w:left w:val="none" w:sz="0" w:space="0" w:color="auto"/>
        <w:bottom w:val="none" w:sz="0" w:space="0" w:color="auto"/>
        <w:right w:val="none" w:sz="0" w:space="0" w:color="auto"/>
      </w:divBdr>
    </w:div>
    <w:div w:id="214087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www.justice.gov/sites/default/files/pages/attachments/2017/07/05/dos_trafficking_full_2017.pdf"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https://www.bls.gov/news.release/pdf/wkyeng.pdf" TargetMode="External"/><Relationship Id="rId1" Type="http://schemas.openxmlformats.org/officeDocument/2006/relationships/hyperlink" Target="https://freedomnetworkus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escription0 xmlns="eaa45b17-fd56-44b4-85b7-73d344da685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5B02C72F154DB4BA66D8E527638FDEE" ma:contentTypeVersion="1" ma:contentTypeDescription="Create a new document." ma:contentTypeScope="" ma:versionID="ec9e7d6f0c995c2dde41cc2777eff191">
  <xsd:schema xmlns:xsd="http://www.w3.org/2001/XMLSchema" xmlns:xs="http://www.w3.org/2001/XMLSchema" xmlns:p="http://schemas.microsoft.com/office/2006/metadata/properties" xmlns:ns2="eaa45b17-fd56-44b4-85b7-73d344da6853" targetNamespace="http://schemas.microsoft.com/office/2006/metadata/properties" ma:root="true" ma:fieldsID="ea58d3ab72b0083b1336aa6227d52825" ns2:_="">
    <xsd:import namespace="eaa45b17-fd56-44b4-85b7-73d344da6853"/>
    <xsd:element name="properties">
      <xsd:complexType>
        <xsd:sequence>
          <xsd:element name="documentManagement">
            <xsd:complexType>
              <xsd:all>
                <xsd:element ref="ns2: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a45b17-fd56-44b4-85b7-73d344da6853" elementFormDefault="qualified">
    <xsd:import namespace="http://schemas.microsoft.com/office/2006/documentManagement/types"/>
    <xsd:import namespace="http://schemas.microsoft.com/office/infopath/2007/PartnerControls"/>
    <xsd:element name="Description0" ma:index="8" nillable="true" ma:displayName="Description" ma:internalName="Description0">
      <xsd:simpleType>
        <xsd:restriction base="dms:Text">
          <xsd:maxLength value="100"/>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28C1F9-C0F8-4FFA-A471-9CA5C4A98259}">
  <ds:schemaRefs>
    <ds:schemaRef ds:uri="http://schemas.microsoft.com/sharepoint/v3/contenttype/forms"/>
  </ds:schemaRefs>
</ds:datastoreItem>
</file>

<file path=customXml/itemProps2.xml><?xml version="1.0" encoding="utf-8"?>
<ds:datastoreItem xmlns:ds="http://schemas.openxmlformats.org/officeDocument/2006/customXml" ds:itemID="{41A42FA7-5658-4E4B-A69E-D8FC92DD93E5}">
  <ds:schemaRefs>
    <ds:schemaRef ds:uri="http://schemas.microsoft.com/office/2006/metadata/properties"/>
    <ds:schemaRef ds:uri="http://schemas.microsoft.com/office/infopath/2007/PartnerControls"/>
    <ds:schemaRef ds:uri="eaa45b17-fd56-44b4-85b7-73d344da6853"/>
  </ds:schemaRefs>
</ds:datastoreItem>
</file>

<file path=customXml/itemProps3.xml><?xml version="1.0" encoding="utf-8"?>
<ds:datastoreItem xmlns:ds="http://schemas.openxmlformats.org/officeDocument/2006/customXml" ds:itemID="{78D7D28F-335A-43AF-85BF-267E08FDFF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a45b17-fd56-44b4-85b7-73d344da68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FF73860-38C4-49F9-9C9A-339540EBAB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4860</Words>
  <Characters>27707</Characters>
  <Application>Microsoft Office Word</Application>
  <DocSecurity>0</DocSecurity>
  <Lines>230</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Krieger</dc:creator>
  <cp:keywords/>
  <dc:description/>
  <cp:lastModifiedBy>SYSTEM</cp:lastModifiedBy>
  <cp:revision>2</cp:revision>
  <dcterms:created xsi:type="dcterms:W3CDTF">2020-01-15T20:10:00Z</dcterms:created>
  <dcterms:modified xsi:type="dcterms:W3CDTF">2020-01-15T20:10:00Z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0x010100E5B02C72F154DB4BA66D8E527638FDEE</vt:lpwstr>
  </property>
</Properties>
</file>