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4A0FB" w14:textId="171793E9" w:rsidR="007E7224" w:rsidRPr="00BC7F42" w:rsidRDefault="00F107B7" w:rsidP="007E722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BA7410" w:rsidRPr="00BA7410">
        <w:rPr>
          <w:rFonts w:ascii="Times New Roman" w:hAnsi="Times New Roman" w:cs="Times New Roman"/>
        </w:rPr>
        <w:t>The Strengthening Protections for Social Security Beneficiar</w:t>
      </w:r>
      <w:r w:rsidR="00732390">
        <w:rPr>
          <w:rFonts w:ascii="Times New Roman" w:hAnsi="Times New Roman" w:cs="Times New Roman"/>
        </w:rPr>
        <w:t>ies Act of 2018, Section 103(b)</w:t>
      </w:r>
      <w:r w:rsidR="00BA7410" w:rsidRPr="00BA7410">
        <w:rPr>
          <w:rFonts w:ascii="Times New Roman" w:hAnsi="Times New Roman" w:cs="Times New Roman"/>
        </w:rPr>
        <w:t xml:space="preserve"> Questionnaire</w:t>
      </w:r>
    </w:p>
    <w:p w14:paraId="19509BBF" w14:textId="43DD038A" w:rsidR="00A45D8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47514A">
        <w:rPr>
          <w:rFonts w:ascii="Times New Roman" w:hAnsi="Times New Roman" w:cs="Times New Roman"/>
        </w:rPr>
        <w:t xml:space="preserve">NEW </w:t>
      </w:r>
    </w:p>
    <w:p w14:paraId="10DDA412" w14:textId="21EBFF56" w:rsidR="00604289" w:rsidRDefault="00604289" w:rsidP="00604289"/>
    <w:p w14:paraId="75AF53F1" w14:textId="668CA3C3" w:rsidR="00604289" w:rsidRPr="00604289" w:rsidRDefault="00604289" w:rsidP="00604289">
      <w:pPr>
        <w:pStyle w:val="ListParagraph"/>
        <w:numPr>
          <w:ilvl w:val="0"/>
          <w:numId w:val="16"/>
        </w:numPr>
        <w:rPr>
          <w:rFonts w:ascii="Times New Roman" w:hAnsi="Times New Roman"/>
          <w:b/>
        </w:rPr>
      </w:pPr>
      <w:r>
        <w:rPr>
          <w:rFonts w:ascii="Times New Roman" w:hAnsi="Times New Roman"/>
          <w:b/>
        </w:rPr>
        <w:t xml:space="preserve"> </w:t>
      </w:r>
      <w:r>
        <w:rPr>
          <w:rFonts w:ascii="Times New Roman" w:hAnsi="Times New Roman"/>
          <w:b/>
          <w:u w:val="single"/>
        </w:rPr>
        <w:t>Justification</w:t>
      </w:r>
    </w:p>
    <w:p w14:paraId="3C7359DD" w14:textId="40CB47CC" w:rsidR="00604289" w:rsidRDefault="00604289" w:rsidP="00604289">
      <w:pPr>
        <w:pStyle w:val="ListParagraph"/>
        <w:rPr>
          <w:rFonts w:ascii="Times New Roman" w:hAnsi="Times New Roman"/>
          <w:b/>
          <w:u w:val="single"/>
        </w:rPr>
      </w:pPr>
    </w:p>
    <w:p w14:paraId="46A8C738" w14:textId="77777777" w:rsidR="00604289" w:rsidRDefault="00604289" w:rsidP="00604289">
      <w:pPr>
        <w:pStyle w:val="ListParagraph"/>
        <w:numPr>
          <w:ilvl w:val="0"/>
          <w:numId w:val="17"/>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14:paraId="432562F3" w14:textId="05594B61" w:rsidR="00604289" w:rsidRDefault="00604289" w:rsidP="00604289">
      <w:pPr>
        <w:pStyle w:val="ListParagraph"/>
        <w:ind w:left="1080"/>
        <w:rPr>
          <w:rFonts w:ascii="Times New Roman" w:hAnsi="Times New Roman"/>
        </w:rPr>
      </w:pPr>
      <w:r w:rsidRPr="00604289">
        <w:rPr>
          <w:rFonts w:ascii="Times New Roman" w:hAnsi="Times New Roman"/>
        </w:rPr>
        <w:t xml:space="preserve">The Social Security Administration (SSA) pays monthly </w:t>
      </w:r>
      <w:r>
        <w:rPr>
          <w:rFonts w:ascii="Times New Roman" w:hAnsi="Times New Roman"/>
        </w:rPr>
        <w:t>disability payments</w:t>
      </w:r>
      <w:r w:rsidRPr="00604289">
        <w:rPr>
          <w:rFonts w:ascii="Times New Roman" w:hAnsi="Times New Roman"/>
        </w:rPr>
        <w:t xml:space="preserve"> to people who qualify under the Old Age, Survivors, and Disab</w:t>
      </w:r>
      <w:r>
        <w:rPr>
          <w:rFonts w:ascii="Times New Roman" w:hAnsi="Times New Roman"/>
        </w:rPr>
        <w:t>ility Insurance (OASDI) program, or who meet eligibility requirements</w:t>
      </w:r>
      <w:r w:rsidRPr="00604289">
        <w:rPr>
          <w:rFonts w:ascii="Times New Roman" w:hAnsi="Times New Roman"/>
        </w:rPr>
        <w:t xml:space="preserve"> for the Supplemental Security Income (SSI) program.  Some people who qualify for monthly payments under these programs are unable to manage their benefit payments.  When SSA deems a program participant incapable of managing, or directing the management of, his or her own monthly benefit, SSA sends the paym</w:t>
      </w:r>
      <w:r w:rsidR="00EC0715">
        <w:rPr>
          <w:rFonts w:ascii="Times New Roman" w:hAnsi="Times New Roman"/>
        </w:rPr>
        <w:t xml:space="preserve">ent to a representative payee – </w:t>
      </w:r>
      <w:r w:rsidRPr="00604289">
        <w:rPr>
          <w:rFonts w:ascii="Times New Roman" w:hAnsi="Times New Roman"/>
        </w:rPr>
        <w:t>a person or organization designated by SSA.  A representative payee is a third party who manages</w:t>
      </w:r>
      <w:r w:rsidR="00EC0715">
        <w:rPr>
          <w:rFonts w:ascii="Times New Roman" w:hAnsi="Times New Roman"/>
        </w:rPr>
        <w:t xml:space="preserve"> the</w:t>
      </w:r>
      <w:r w:rsidRPr="00604289">
        <w:rPr>
          <w:rFonts w:ascii="Times New Roman" w:hAnsi="Times New Roman"/>
        </w:rPr>
        <w:t xml:space="preserve"> OASDI or SSI payments of an individual to meet the individual’s basic needs, such as food, clothing, and shelter.  A </w:t>
      </w:r>
      <w:r w:rsidR="00EC0715">
        <w:rPr>
          <w:rFonts w:ascii="Times New Roman" w:hAnsi="Times New Roman"/>
        </w:rPr>
        <w:t xml:space="preserve">representative </w:t>
      </w:r>
      <w:r w:rsidRPr="00604289">
        <w:rPr>
          <w:rFonts w:ascii="Times New Roman" w:hAnsi="Times New Roman"/>
        </w:rPr>
        <w:t xml:space="preserve">payee can be an individual or organization.  </w:t>
      </w:r>
    </w:p>
    <w:p w14:paraId="3B27BD8E" w14:textId="77777777" w:rsidR="00604289" w:rsidRDefault="00604289" w:rsidP="00604289">
      <w:pPr>
        <w:pStyle w:val="ListParagraph"/>
        <w:ind w:left="1080"/>
        <w:rPr>
          <w:rFonts w:ascii="Times New Roman" w:hAnsi="Times New Roman"/>
        </w:rPr>
      </w:pPr>
    </w:p>
    <w:p w14:paraId="0507FAF3" w14:textId="05582DD6" w:rsidR="00604289" w:rsidRDefault="00604289" w:rsidP="00604289">
      <w:pPr>
        <w:pStyle w:val="ListParagraph"/>
        <w:ind w:left="1080"/>
        <w:rPr>
          <w:rFonts w:ascii="Times New Roman" w:hAnsi="Times New Roman"/>
        </w:rPr>
      </w:pPr>
      <w:r>
        <w:rPr>
          <w:rFonts w:ascii="Times New Roman" w:hAnsi="Times New Roman"/>
        </w:rPr>
        <w:t>O</w:t>
      </w:r>
      <w:r w:rsidRPr="00B35DBE">
        <w:rPr>
          <w:rFonts w:ascii="Times New Roman" w:hAnsi="Times New Roman"/>
        </w:rPr>
        <w:t xml:space="preserve">n April </w:t>
      </w:r>
      <w:r>
        <w:rPr>
          <w:rFonts w:ascii="Times New Roman" w:hAnsi="Times New Roman"/>
        </w:rPr>
        <w:t xml:space="preserve">13, </w:t>
      </w:r>
      <w:r w:rsidRPr="00B35DBE">
        <w:rPr>
          <w:rFonts w:ascii="Times New Roman" w:hAnsi="Times New Roman"/>
        </w:rPr>
        <w:t>2018, the President signed</w:t>
      </w:r>
      <w:r>
        <w:rPr>
          <w:rFonts w:ascii="Times New Roman" w:hAnsi="Times New Roman"/>
        </w:rPr>
        <w:t xml:space="preserve"> </w:t>
      </w:r>
      <w:r w:rsidRPr="00052FC6">
        <w:rPr>
          <w:rFonts w:ascii="Times New Roman" w:hAnsi="Times New Roman"/>
          <w:i/>
        </w:rPr>
        <w:t>P</w:t>
      </w:r>
      <w:r w:rsidR="00052FC6" w:rsidRPr="00052FC6">
        <w:rPr>
          <w:rFonts w:ascii="Times New Roman" w:hAnsi="Times New Roman"/>
          <w:i/>
        </w:rPr>
        <w:t>ub</w:t>
      </w:r>
      <w:r w:rsidRPr="00052FC6">
        <w:rPr>
          <w:rFonts w:ascii="Times New Roman" w:hAnsi="Times New Roman"/>
          <w:i/>
        </w:rPr>
        <w:t>.</w:t>
      </w:r>
      <w:r w:rsidR="00052FC6" w:rsidRPr="00052FC6">
        <w:rPr>
          <w:rFonts w:ascii="Times New Roman" w:hAnsi="Times New Roman"/>
          <w:i/>
        </w:rPr>
        <w:t xml:space="preserve">L. </w:t>
      </w:r>
      <w:r w:rsidRPr="00052FC6">
        <w:rPr>
          <w:rFonts w:ascii="Times New Roman" w:hAnsi="Times New Roman"/>
          <w:i/>
        </w:rPr>
        <w:t>115-165</w:t>
      </w:r>
      <w:r>
        <w:rPr>
          <w:rFonts w:ascii="Times New Roman" w:hAnsi="Times New Roman"/>
        </w:rPr>
        <w:t>,</w:t>
      </w:r>
      <w:r w:rsidRPr="00B35DBE">
        <w:rPr>
          <w:rFonts w:ascii="Times New Roman" w:hAnsi="Times New Roman"/>
        </w:rPr>
        <w:t xml:space="preserve"> </w:t>
      </w:r>
      <w:r>
        <w:rPr>
          <w:rFonts w:ascii="Times New Roman" w:hAnsi="Times New Roman"/>
        </w:rPr>
        <w:t xml:space="preserve">the </w:t>
      </w:r>
      <w:r w:rsidRPr="000C12E1">
        <w:rPr>
          <w:rFonts w:ascii="Times New Roman" w:hAnsi="Times New Roman"/>
          <w:i/>
        </w:rPr>
        <w:t>Strengthening Protections for Social Security Beneficiaries Act</w:t>
      </w:r>
      <w:r w:rsidR="00EC0715">
        <w:rPr>
          <w:rFonts w:ascii="Times New Roman" w:hAnsi="Times New Roman"/>
          <w:i/>
        </w:rPr>
        <w:t xml:space="preserve"> </w:t>
      </w:r>
      <w:r w:rsidRPr="00052FC6">
        <w:rPr>
          <w:rFonts w:ascii="Times New Roman" w:hAnsi="Times New Roman"/>
          <w:i/>
        </w:rPr>
        <w:t>(SPSSBA)</w:t>
      </w:r>
      <w:r>
        <w:rPr>
          <w:rFonts w:ascii="Times New Roman" w:hAnsi="Times New Roman"/>
        </w:rPr>
        <w:t xml:space="preserve">.  </w:t>
      </w:r>
      <w:r w:rsidRPr="00F34A2A">
        <w:rPr>
          <w:rFonts w:ascii="Times New Roman" w:hAnsi="Times New Roman"/>
        </w:rPr>
        <w:t>This law made a number of cha</w:t>
      </w:r>
      <w:r>
        <w:rPr>
          <w:rFonts w:ascii="Times New Roman" w:hAnsi="Times New Roman"/>
        </w:rPr>
        <w:t xml:space="preserve">nges to the </w:t>
      </w:r>
      <w:r w:rsidRPr="00EC0715">
        <w:rPr>
          <w:rFonts w:ascii="Times New Roman" w:hAnsi="Times New Roman"/>
          <w:i/>
        </w:rPr>
        <w:t>Social Security Act</w:t>
      </w:r>
      <w:r>
        <w:rPr>
          <w:rFonts w:ascii="Times New Roman" w:hAnsi="Times New Roman"/>
        </w:rPr>
        <w:t xml:space="preserve"> </w:t>
      </w:r>
      <w:r w:rsidRPr="00F34A2A">
        <w:rPr>
          <w:rFonts w:ascii="Times New Roman" w:hAnsi="Times New Roman"/>
        </w:rPr>
        <w:t>to improve and strengthen t</w:t>
      </w:r>
      <w:r>
        <w:rPr>
          <w:rFonts w:ascii="Times New Roman" w:hAnsi="Times New Roman"/>
        </w:rPr>
        <w:t xml:space="preserve">he representative payee </w:t>
      </w:r>
      <w:r w:rsidRPr="00F34A2A">
        <w:rPr>
          <w:rFonts w:ascii="Times New Roman" w:hAnsi="Times New Roman"/>
        </w:rPr>
        <w:t xml:space="preserve">program for </w:t>
      </w:r>
      <w:r w:rsidR="00EC0715">
        <w:rPr>
          <w:rFonts w:ascii="Times New Roman" w:hAnsi="Times New Roman"/>
        </w:rPr>
        <w:t>OASDI;</w:t>
      </w:r>
      <w:r w:rsidRPr="00F34A2A">
        <w:rPr>
          <w:rFonts w:ascii="Times New Roman" w:hAnsi="Times New Roman"/>
        </w:rPr>
        <w:t xml:space="preserve"> </w:t>
      </w:r>
      <w:r w:rsidR="00EC0715">
        <w:rPr>
          <w:rFonts w:ascii="Times New Roman" w:hAnsi="Times New Roman"/>
        </w:rPr>
        <w:t>SSI;</w:t>
      </w:r>
      <w:r w:rsidRPr="00F34A2A">
        <w:rPr>
          <w:rFonts w:ascii="Times New Roman" w:hAnsi="Times New Roman"/>
        </w:rPr>
        <w:t xml:space="preserve"> and Special Benefits for Certain World War II </w:t>
      </w:r>
      <w:r w:rsidRPr="00EC0715">
        <w:rPr>
          <w:rFonts w:ascii="Times New Roman" w:hAnsi="Times New Roman"/>
        </w:rPr>
        <w:t>Veterans beneficiaries</w:t>
      </w:r>
      <w:r w:rsidR="00EC0715" w:rsidRPr="00EC0715">
        <w:rPr>
          <w:rFonts w:ascii="Times New Roman" w:hAnsi="Times New Roman"/>
        </w:rPr>
        <w:t xml:space="preserve"> </w:t>
      </w:r>
      <w:r w:rsidRPr="00EC0715">
        <w:rPr>
          <w:rFonts w:ascii="Times New Roman" w:hAnsi="Times New Roman"/>
        </w:rPr>
        <w:t>(</w:t>
      </w:r>
      <w:r w:rsidR="00EC0715" w:rsidRPr="00EC0715">
        <w:rPr>
          <w:rFonts w:ascii="Times New Roman" w:hAnsi="Times New Roman"/>
        </w:rPr>
        <w:t xml:space="preserve">per </w:t>
      </w:r>
      <w:r w:rsidR="00052FC6" w:rsidRPr="00EC0715">
        <w:rPr>
          <w:rFonts w:ascii="Times New Roman" w:hAnsi="Times New Roman"/>
          <w:i/>
        </w:rPr>
        <w:t xml:space="preserve">Pub.L. </w:t>
      </w:r>
      <w:r w:rsidRPr="00EC0715">
        <w:rPr>
          <w:rFonts w:ascii="Times New Roman" w:hAnsi="Times New Roman"/>
          <w:i/>
        </w:rPr>
        <w:t>115-165</w:t>
      </w:r>
      <w:r w:rsidRPr="00EC0715">
        <w:rPr>
          <w:rFonts w:ascii="Times New Roman" w:hAnsi="Times New Roman"/>
        </w:rPr>
        <w:t xml:space="preserve">).   </w:t>
      </w:r>
      <w:r w:rsidR="00EC0715" w:rsidRPr="00EC0715">
        <w:rPr>
          <w:rFonts w:ascii="Times New Roman" w:hAnsi="Times New Roman"/>
        </w:rPr>
        <w:t xml:space="preserve">To help ensure that appointed representatives are acting in the best interests of the claimants whom they represent, Section 103(b) of the </w:t>
      </w:r>
      <w:r w:rsidR="00EC0715" w:rsidRPr="00EC0715">
        <w:rPr>
          <w:rFonts w:ascii="Times New Roman" w:hAnsi="Times New Roman"/>
          <w:i/>
        </w:rPr>
        <w:t>Strengthening Protections for Social Security Beneficiaries Act (SPSSBA), Pub. L. 115-165</w:t>
      </w:r>
      <w:r w:rsidR="00EC0715" w:rsidRPr="00EC0715">
        <w:rPr>
          <w:rFonts w:ascii="Times New Roman" w:hAnsi="Times New Roman"/>
        </w:rPr>
        <w:t>, requires SSA to assess</w:t>
      </w:r>
      <w:r w:rsidRPr="00EC0715">
        <w:rPr>
          <w:rFonts w:ascii="Times New Roman" w:hAnsi="Times New Roman"/>
        </w:rPr>
        <w:t xml:space="preserve"> the administrative feasibility of improving information sharing</w:t>
      </w:r>
      <w:r w:rsidR="00EC0715" w:rsidRPr="00EC0715">
        <w:rPr>
          <w:rFonts w:ascii="Times New Roman" w:hAnsi="Times New Roman"/>
        </w:rPr>
        <w:t xml:space="preserve"> about claimants with representative payees</w:t>
      </w:r>
      <w:r w:rsidRPr="00EC0715">
        <w:rPr>
          <w:rFonts w:ascii="Times New Roman" w:hAnsi="Times New Roman"/>
        </w:rPr>
        <w:t xml:space="preserve">, </w:t>
      </w:r>
      <w:r w:rsidR="00EC0715" w:rsidRPr="00EC0715">
        <w:rPr>
          <w:rFonts w:ascii="Times New Roman" w:hAnsi="Times New Roman"/>
        </w:rPr>
        <w:t>with State agencies that provide Adult Protective Services.  Specifically, Section 103(b) of the SPSSBA asks us to evaluate the following:</w:t>
      </w:r>
    </w:p>
    <w:p w14:paraId="45B092D9" w14:textId="77777777" w:rsidR="00604289" w:rsidRDefault="00604289" w:rsidP="00604289">
      <w:pPr>
        <w:pStyle w:val="ListParagraph"/>
        <w:ind w:left="1080"/>
        <w:rPr>
          <w:rFonts w:ascii="Times New Roman" w:hAnsi="Times New Roman"/>
        </w:rPr>
      </w:pPr>
    </w:p>
    <w:p w14:paraId="25F6637F" w14:textId="77777777" w:rsidR="00604289" w:rsidRPr="00604289" w:rsidRDefault="00604289" w:rsidP="00604289">
      <w:pPr>
        <w:pStyle w:val="ListParagraph"/>
        <w:numPr>
          <w:ilvl w:val="0"/>
          <w:numId w:val="18"/>
        </w:numPr>
        <w:rPr>
          <w:rFonts w:ascii="Times New Roman" w:hAnsi="Times New Roman"/>
          <w:b/>
        </w:rPr>
      </w:pPr>
      <w:r>
        <w:rPr>
          <w:rFonts w:ascii="Times New Roman" w:hAnsi="Times New Roman"/>
        </w:rPr>
        <w:t>T</w:t>
      </w:r>
      <w:r w:rsidRPr="00DF7EE9">
        <w:rPr>
          <w:rFonts w:ascii="Times New Roman" w:hAnsi="Times New Roman"/>
        </w:rPr>
        <w:t>he assessment of an individual’s need for a representative payee in connection with benefits to which the individual is entitled under title II or title XVI of the Social Security Act; and</w:t>
      </w:r>
    </w:p>
    <w:p w14:paraId="29178DEC" w14:textId="41459874" w:rsidR="00604289" w:rsidRPr="00604289" w:rsidRDefault="00604289" w:rsidP="00604289">
      <w:pPr>
        <w:pStyle w:val="ListParagraph"/>
        <w:numPr>
          <w:ilvl w:val="0"/>
          <w:numId w:val="18"/>
        </w:numPr>
        <w:rPr>
          <w:rFonts w:ascii="Times New Roman" w:hAnsi="Times New Roman"/>
          <w:b/>
        </w:rPr>
      </w:pPr>
      <w:r w:rsidRPr="00604289">
        <w:rPr>
          <w:rFonts w:ascii="Times New Roman" w:hAnsi="Times New Roman"/>
        </w:rPr>
        <w:t>Oversight of individuals and organizations serving as representative payees.</w:t>
      </w:r>
    </w:p>
    <w:p w14:paraId="24E5AAF9" w14:textId="77777777" w:rsidR="00604289" w:rsidRDefault="00604289" w:rsidP="00604289">
      <w:pPr>
        <w:pStyle w:val="ListParagraph"/>
        <w:ind w:left="1080"/>
        <w:rPr>
          <w:rFonts w:ascii="Times New Roman" w:hAnsi="Times New Roman"/>
        </w:rPr>
      </w:pPr>
    </w:p>
    <w:p w14:paraId="36D2208F" w14:textId="640BC4B2" w:rsidR="00604289" w:rsidRDefault="00604289" w:rsidP="00604289">
      <w:pPr>
        <w:pStyle w:val="ListParagraph"/>
        <w:ind w:left="1080"/>
        <w:rPr>
          <w:rFonts w:ascii="Times New Roman" w:hAnsi="Times New Roman"/>
          <w:b/>
        </w:rPr>
      </w:pPr>
      <w:r>
        <w:rPr>
          <w:rFonts w:ascii="Times New Roman" w:hAnsi="Times New Roman"/>
        </w:rPr>
        <w:t>No</w:t>
      </w:r>
      <w:r w:rsidRPr="000C12E1">
        <w:rPr>
          <w:rFonts w:ascii="Times New Roman" w:hAnsi="Times New Roman"/>
        </w:rPr>
        <w:t xml:space="preserve"> later than June 30, 2022, </w:t>
      </w:r>
      <w:r>
        <w:rPr>
          <w:rFonts w:ascii="Times New Roman" w:hAnsi="Times New Roman"/>
        </w:rPr>
        <w:t>SSA</w:t>
      </w:r>
      <w:r w:rsidRPr="000C12E1">
        <w:rPr>
          <w:rFonts w:ascii="Times New Roman" w:hAnsi="Times New Roman"/>
        </w:rPr>
        <w:t xml:space="preserve"> shall conclude the study</w:t>
      </w:r>
      <w:r w:rsidR="00EC0715">
        <w:rPr>
          <w:rFonts w:ascii="Times New Roman" w:hAnsi="Times New Roman"/>
        </w:rPr>
        <w:t>,</w:t>
      </w:r>
      <w:r w:rsidRPr="000C12E1">
        <w:rPr>
          <w:rFonts w:ascii="Times New Roman" w:hAnsi="Times New Roman"/>
        </w:rPr>
        <w:t xml:space="preserve"> and submit</w:t>
      </w:r>
      <w:r>
        <w:rPr>
          <w:rFonts w:ascii="Times New Roman" w:hAnsi="Times New Roman"/>
        </w:rPr>
        <w:t xml:space="preserve"> a report</w:t>
      </w:r>
      <w:r w:rsidRPr="000C12E1">
        <w:rPr>
          <w:rFonts w:ascii="Times New Roman" w:hAnsi="Times New Roman"/>
        </w:rPr>
        <w:t xml:space="preserve"> to the Committee on Ways and Means of the House of Representatives and the Committe</w:t>
      </w:r>
      <w:r>
        <w:rPr>
          <w:rFonts w:ascii="Times New Roman" w:hAnsi="Times New Roman"/>
        </w:rPr>
        <w:t>e on Finance of the Senate.</w:t>
      </w:r>
    </w:p>
    <w:p w14:paraId="728BDB16" w14:textId="77777777" w:rsidR="00604289" w:rsidRDefault="00604289" w:rsidP="00604289">
      <w:pPr>
        <w:pStyle w:val="ListParagraph"/>
        <w:ind w:left="1080"/>
        <w:rPr>
          <w:rFonts w:ascii="Times New Roman" w:hAnsi="Times New Roman"/>
          <w:b/>
        </w:rPr>
      </w:pPr>
    </w:p>
    <w:p w14:paraId="1FCE1D5B" w14:textId="1F63DB3F" w:rsidR="00604289" w:rsidRDefault="00604289" w:rsidP="00604289">
      <w:pPr>
        <w:pStyle w:val="ListParagraph"/>
        <w:numPr>
          <w:ilvl w:val="0"/>
          <w:numId w:val="17"/>
        </w:numPr>
        <w:rPr>
          <w:rFonts w:ascii="Times New Roman" w:hAnsi="Times New Roman"/>
          <w:b/>
        </w:rPr>
      </w:pPr>
      <w:r>
        <w:rPr>
          <w:rFonts w:ascii="Times New Roman" w:hAnsi="Times New Roman"/>
          <w:b/>
        </w:rPr>
        <w:t>Description of Collection</w:t>
      </w:r>
    </w:p>
    <w:p w14:paraId="54DEC3D9" w14:textId="74AEF1DD" w:rsidR="00604289" w:rsidRPr="00EC0715" w:rsidRDefault="00EC0715" w:rsidP="00604289">
      <w:pPr>
        <w:pStyle w:val="ListParagraph"/>
        <w:ind w:left="1080"/>
        <w:rPr>
          <w:rFonts w:ascii="Times New Roman" w:hAnsi="Times New Roman"/>
        </w:rPr>
      </w:pPr>
      <w:r w:rsidRPr="00EC0715">
        <w:rPr>
          <w:rFonts w:ascii="Times New Roman" w:hAnsi="Times New Roman"/>
        </w:rPr>
        <w:t xml:space="preserve">To conduct this evaluation, SSA created the </w:t>
      </w:r>
      <w:r w:rsidRPr="00EC0715">
        <w:rPr>
          <w:rFonts w:ascii="Times New Roman" w:hAnsi="Times New Roman"/>
          <w:i/>
        </w:rPr>
        <w:t>Strengthening Protections for Social Security Beneficiaries Act of 2018</w:t>
      </w:r>
      <w:r w:rsidRPr="00EC0715">
        <w:rPr>
          <w:rFonts w:ascii="Times New Roman" w:hAnsi="Times New Roman"/>
        </w:rPr>
        <w:t>, Section 103(b)</w:t>
      </w:r>
      <w:r w:rsidRPr="00EC0715">
        <w:rPr>
          <w:rFonts w:ascii="Times New Roman" w:hAnsi="Times New Roman"/>
          <w:bCs/>
        </w:rPr>
        <w:t xml:space="preserve"> Questionnaire</w:t>
      </w:r>
      <w:r w:rsidRPr="00EC0715">
        <w:rPr>
          <w:rFonts w:ascii="Times New Roman" w:hAnsi="Times New Roman"/>
        </w:rPr>
        <w:t xml:space="preserve">.  The Questionnaire will assess the representative payee data available from each State and determine if the State is willing to share the data it collects.  We will email this one-time questionnaire to State agencies or non-governmental entities that provide Adult </w:t>
      </w:r>
      <w:r w:rsidRPr="00EC0715">
        <w:rPr>
          <w:rFonts w:ascii="Times New Roman" w:hAnsi="Times New Roman"/>
        </w:rPr>
        <w:lastRenderedPageBreak/>
        <w:t>Protective Services, and let them know that participation in the questionnaire is voluntary.  We estimate we will receive one response per respondent, and one respondent per agency.  We expect to complete this study by June 30, 2022, so we can submit the required report to the Committee on Ways and Means of the House of Representatives and the Committee on Finance of the Senate in accordance with the SPSSBA.  The Respondents are State agencies and non-governmental entities that provide Adult Protective Services to disability claimants under our OASDI and SSI programs.</w:t>
      </w:r>
    </w:p>
    <w:p w14:paraId="3B0F99BC" w14:textId="4C2EDF92" w:rsidR="00604289" w:rsidRPr="00EC0715" w:rsidRDefault="00604289" w:rsidP="00EC0715">
      <w:pPr>
        <w:rPr>
          <w:rFonts w:ascii="Times New Roman" w:hAnsi="Times New Roman"/>
          <w:b/>
        </w:rPr>
      </w:pPr>
    </w:p>
    <w:p w14:paraId="58949E9C" w14:textId="7DE10910" w:rsidR="00604289" w:rsidRDefault="00604289" w:rsidP="00604289">
      <w:pPr>
        <w:pStyle w:val="ListParagraph"/>
        <w:numPr>
          <w:ilvl w:val="0"/>
          <w:numId w:val="17"/>
        </w:numPr>
        <w:rPr>
          <w:rFonts w:ascii="Times New Roman" w:hAnsi="Times New Roman"/>
          <w:b/>
        </w:rPr>
      </w:pPr>
      <w:r w:rsidRPr="00BC7F42">
        <w:rPr>
          <w:rFonts w:ascii="Times New Roman" w:hAnsi="Times New Roman"/>
          <w:b/>
        </w:rPr>
        <w:t>Use of Information Technology to Collect the Information</w:t>
      </w:r>
    </w:p>
    <w:p w14:paraId="3D25AA91" w14:textId="089AD6FC" w:rsidR="00604289" w:rsidRDefault="00EC0715" w:rsidP="00604289">
      <w:pPr>
        <w:pStyle w:val="ListParagraph"/>
        <w:ind w:left="1080"/>
        <w:rPr>
          <w:rFonts w:ascii="Times New Roman" w:hAnsi="Times New Roman"/>
          <w:b/>
        </w:rPr>
      </w:pPr>
      <w:r w:rsidRPr="00562CAD">
        <w:rPr>
          <w:rFonts w:ascii="Times New Roman" w:hAnsi="Times New Roman"/>
        </w:rPr>
        <w:t>SSA will use a designated email box to distribute</w:t>
      </w:r>
      <w:r>
        <w:rPr>
          <w:rFonts w:ascii="Times New Roman" w:hAnsi="Times New Roman"/>
        </w:rPr>
        <w:t xml:space="preserve"> the questionnaire</w:t>
      </w:r>
      <w:r w:rsidRPr="00562CAD">
        <w:rPr>
          <w:rFonts w:ascii="Times New Roman" w:hAnsi="Times New Roman"/>
        </w:rPr>
        <w:t xml:space="preserve"> and receive responses</w:t>
      </w:r>
      <w:r>
        <w:rPr>
          <w:rFonts w:ascii="Times New Roman" w:hAnsi="Times New Roman"/>
        </w:rPr>
        <w:t xml:space="preserve"> from the respondents</w:t>
      </w:r>
      <w:r w:rsidRPr="00562CAD">
        <w:rPr>
          <w:rFonts w:ascii="Times New Roman" w:hAnsi="Times New Roman"/>
        </w:rPr>
        <w:t xml:space="preserve">.  SSA will distribute the questionnaire to </w:t>
      </w:r>
      <w:r>
        <w:rPr>
          <w:rFonts w:ascii="Times New Roman" w:hAnsi="Times New Roman"/>
        </w:rPr>
        <w:t>s</w:t>
      </w:r>
      <w:r w:rsidRPr="00562CAD">
        <w:rPr>
          <w:rFonts w:ascii="Times New Roman" w:hAnsi="Times New Roman"/>
        </w:rPr>
        <w:t>tate agencies</w:t>
      </w:r>
      <w:r>
        <w:rPr>
          <w:rFonts w:ascii="Times New Roman" w:hAnsi="Times New Roman"/>
        </w:rPr>
        <w:t>, or non-governmental entities, that provide Adult Protective Services</w:t>
      </w:r>
      <w:r w:rsidRPr="00562CAD">
        <w:rPr>
          <w:rFonts w:ascii="Times New Roman" w:hAnsi="Times New Roman"/>
        </w:rPr>
        <w:t xml:space="preserve">.  SSA did not create an </w:t>
      </w:r>
      <w:r>
        <w:rPr>
          <w:rFonts w:ascii="Times New Roman" w:hAnsi="Times New Roman"/>
        </w:rPr>
        <w:t xml:space="preserve">automated, </w:t>
      </w:r>
      <w:r w:rsidRPr="00562CAD">
        <w:rPr>
          <w:rFonts w:ascii="Times New Roman" w:hAnsi="Times New Roman"/>
        </w:rPr>
        <w:t>electronic version the questionnaire</w:t>
      </w:r>
      <w:r w:rsidRPr="00AA0420">
        <w:rPr>
          <w:rFonts w:ascii="Times New Roman" w:hAnsi="Times New Roman"/>
        </w:rPr>
        <w:t xml:space="preserve"> </w:t>
      </w:r>
      <w:r>
        <w:rPr>
          <w:rFonts w:ascii="Times New Roman" w:hAnsi="Times New Roman"/>
        </w:rPr>
        <w:t xml:space="preserve">in accordance with </w:t>
      </w:r>
      <w:r w:rsidRPr="00AA0420">
        <w:rPr>
          <w:rFonts w:ascii="Times New Roman" w:hAnsi="Times New Roman"/>
        </w:rPr>
        <w:t>the agency’s Government Paperwork Elimination Act (GPEA) plan</w:t>
      </w:r>
      <w:r>
        <w:rPr>
          <w:rFonts w:ascii="Times New Roman" w:hAnsi="Times New Roman"/>
        </w:rPr>
        <w:t>, as we will only collect this information one per respondent.  In addition, due the low number of respondents, it is not cost effective for the agency to create an electronic version of this questionnaire.   However, because we will conduct the questionnaire via email only, we will not require the respondents to fill out any paper forms.</w:t>
      </w:r>
    </w:p>
    <w:p w14:paraId="744D3B59" w14:textId="77777777" w:rsidR="00604289" w:rsidRDefault="00604289" w:rsidP="00604289">
      <w:pPr>
        <w:pStyle w:val="ListParagraph"/>
        <w:ind w:left="1080"/>
        <w:rPr>
          <w:rFonts w:ascii="Times New Roman" w:hAnsi="Times New Roman"/>
          <w:b/>
        </w:rPr>
      </w:pPr>
    </w:p>
    <w:p w14:paraId="1AD0DDED" w14:textId="37E10857" w:rsidR="00604289" w:rsidRDefault="00604289" w:rsidP="00604289">
      <w:pPr>
        <w:pStyle w:val="ListParagraph"/>
        <w:numPr>
          <w:ilvl w:val="0"/>
          <w:numId w:val="17"/>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14:paraId="4F09CF6A" w14:textId="761B3678" w:rsidR="00604289" w:rsidRPr="00604289" w:rsidRDefault="00604289" w:rsidP="00604289">
      <w:pPr>
        <w:pStyle w:val="ListParagraph"/>
        <w:ind w:left="1080"/>
        <w:rPr>
          <w:rFonts w:ascii="Times New Roman" w:hAnsi="Times New Roman"/>
          <w:b/>
        </w:rPr>
      </w:pPr>
      <w:r w:rsidRPr="00604289">
        <w:rPr>
          <w:rFonts w:ascii="Times New Roman" w:hAnsi="Times New Roman"/>
        </w:rPr>
        <w:t>The nature of the information we collect and the manner in which we collect it precludes duplication.  SSA does not use another collection instrument to obtain similar data.</w:t>
      </w:r>
    </w:p>
    <w:p w14:paraId="3E11DF93" w14:textId="77777777" w:rsidR="00604289" w:rsidRDefault="00604289" w:rsidP="00604289">
      <w:pPr>
        <w:pStyle w:val="ListParagraph"/>
        <w:ind w:left="1080"/>
        <w:rPr>
          <w:rFonts w:ascii="Times New Roman" w:hAnsi="Times New Roman"/>
          <w:b/>
        </w:rPr>
      </w:pPr>
    </w:p>
    <w:p w14:paraId="3C08266A" w14:textId="214FC992" w:rsidR="00604289" w:rsidRDefault="00604289" w:rsidP="00604289">
      <w:pPr>
        <w:pStyle w:val="ListParagraph"/>
        <w:numPr>
          <w:ilvl w:val="0"/>
          <w:numId w:val="17"/>
        </w:numPr>
        <w:rPr>
          <w:rFonts w:ascii="Times New Roman" w:hAnsi="Times New Roman"/>
          <w:b/>
        </w:rPr>
      </w:pPr>
      <w:r>
        <w:rPr>
          <w:rFonts w:ascii="Times New Roman" w:hAnsi="Times New Roman"/>
          <w:b/>
        </w:rPr>
        <w:t>Minimizing Burden on Small Respondents</w:t>
      </w:r>
    </w:p>
    <w:p w14:paraId="0CF4A1AF" w14:textId="3EDA2C39" w:rsidR="00604289" w:rsidRDefault="00186A92" w:rsidP="00604289">
      <w:pPr>
        <w:pStyle w:val="ListParagraph"/>
        <w:ind w:left="1080"/>
        <w:rPr>
          <w:rFonts w:ascii="Times New Roman" w:hAnsi="Times New Roman"/>
          <w:b/>
        </w:rPr>
      </w:pPr>
      <w:r w:rsidRPr="00562CAD">
        <w:rPr>
          <w:rFonts w:ascii="Times New Roman" w:hAnsi="Times New Roman"/>
        </w:rPr>
        <w:t>This collection does not affect small businesses or</w:t>
      </w:r>
      <w:r w:rsidRPr="00AA0420">
        <w:rPr>
          <w:rFonts w:ascii="Times New Roman" w:hAnsi="Times New Roman"/>
        </w:rPr>
        <w:t xml:space="preserve"> other small entities</w:t>
      </w:r>
      <w:r>
        <w:rPr>
          <w:rFonts w:ascii="Times New Roman" w:hAnsi="Times New Roman"/>
        </w:rPr>
        <w:t>.</w:t>
      </w:r>
    </w:p>
    <w:p w14:paraId="4E2D8147" w14:textId="77777777" w:rsidR="00604289" w:rsidRDefault="00604289" w:rsidP="00604289">
      <w:pPr>
        <w:pStyle w:val="ListParagraph"/>
        <w:ind w:left="1080"/>
        <w:rPr>
          <w:rFonts w:ascii="Times New Roman" w:hAnsi="Times New Roman"/>
          <w:b/>
        </w:rPr>
      </w:pPr>
    </w:p>
    <w:p w14:paraId="2772764F" w14:textId="6A4029B1" w:rsidR="00604289" w:rsidRDefault="00186A92" w:rsidP="00604289">
      <w:pPr>
        <w:pStyle w:val="ListParagraph"/>
        <w:numPr>
          <w:ilvl w:val="0"/>
          <w:numId w:val="17"/>
        </w:numPr>
        <w:rPr>
          <w:rFonts w:ascii="Times New Roman" w:hAnsi="Times New Roman"/>
          <w:b/>
        </w:rPr>
      </w:pPr>
      <w:r w:rsidRPr="00562CAD">
        <w:rPr>
          <w:rFonts w:ascii="Times New Roman" w:hAnsi="Times New Roman"/>
          <w:b/>
        </w:rPr>
        <w:t xml:space="preserve">Consequence of Not Collecting Information or </w:t>
      </w:r>
      <w:r>
        <w:rPr>
          <w:rFonts w:ascii="Times New Roman" w:hAnsi="Times New Roman"/>
          <w:b/>
        </w:rPr>
        <w:t>collecting</w:t>
      </w:r>
      <w:r w:rsidRPr="00562CAD">
        <w:rPr>
          <w:rFonts w:ascii="Times New Roman" w:hAnsi="Times New Roman"/>
          <w:b/>
        </w:rPr>
        <w:t xml:space="preserve"> it Less Frequently</w:t>
      </w:r>
    </w:p>
    <w:p w14:paraId="3A8C6BF4" w14:textId="6EDC5462" w:rsidR="00186A92" w:rsidRDefault="00186A92" w:rsidP="00186A92">
      <w:pPr>
        <w:pStyle w:val="ListParagraph"/>
        <w:ind w:left="1080"/>
        <w:rPr>
          <w:rFonts w:ascii="Times New Roman" w:hAnsi="Times New Roman"/>
          <w:b/>
        </w:rPr>
      </w:pPr>
      <w:r>
        <w:rPr>
          <w:rFonts w:ascii="Times New Roman" w:hAnsi="Times New Roman"/>
        </w:rPr>
        <w:t>If we did not collect this data, S</w:t>
      </w:r>
      <w:r w:rsidRPr="00562CAD">
        <w:rPr>
          <w:rFonts w:ascii="Times New Roman" w:hAnsi="Times New Roman"/>
        </w:rPr>
        <w:t xml:space="preserve">SA would be in violation of the mandates set forth by </w:t>
      </w:r>
      <w:r w:rsidRPr="00186A92">
        <w:rPr>
          <w:rFonts w:ascii="Times New Roman" w:hAnsi="Times New Roman"/>
          <w:i/>
        </w:rPr>
        <w:t xml:space="preserve">Section 103(b) </w:t>
      </w:r>
      <w:r>
        <w:rPr>
          <w:rFonts w:ascii="Times New Roman" w:hAnsi="Times New Roman"/>
        </w:rPr>
        <w:t xml:space="preserve">of </w:t>
      </w:r>
      <w:r w:rsidRPr="00186A92">
        <w:rPr>
          <w:rFonts w:ascii="Times New Roman" w:hAnsi="Times New Roman"/>
          <w:i/>
        </w:rPr>
        <w:t>Pub. L. 115-165</w:t>
      </w:r>
      <w:r>
        <w:rPr>
          <w:rFonts w:ascii="Times New Roman" w:hAnsi="Times New Roman"/>
        </w:rPr>
        <w:t>.  SSA intends to collect the</w:t>
      </w:r>
      <w:r w:rsidRPr="008A1417">
        <w:rPr>
          <w:rFonts w:ascii="Times New Roman" w:hAnsi="Times New Roman"/>
        </w:rPr>
        <w:t xml:space="preserve"> information once</w:t>
      </w:r>
      <w:r>
        <w:rPr>
          <w:rFonts w:ascii="Times New Roman" w:hAnsi="Times New Roman"/>
        </w:rPr>
        <w:t xml:space="preserve"> per respondent</w:t>
      </w:r>
      <w:r w:rsidRPr="008A1417">
        <w:rPr>
          <w:rFonts w:ascii="Times New Roman" w:hAnsi="Times New Roman"/>
        </w:rPr>
        <w:t xml:space="preserve">; </w:t>
      </w:r>
      <w:r>
        <w:rPr>
          <w:rFonts w:ascii="Times New Roman" w:hAnsi="Times New Roman"/>
        </w:rPr>
        <w:t>therefore</w:t>
      </w:r>
      <w:r w:rsidRPr="008A1417">
        <w:rPr>
          <w:rFonts w:ascii="Times New Roman" w:hAnsi="Times New Roman"/>
        </w:rPr>
        <w:t xml:space="preserve">, we cannot collect it less frequently. </w:t>
      </w:r>
      <w:r>
        <w:rPr>
          <w:rFonts w:ascii="Times New Roman" w:hAnsi="Times New Roman"/>
        </w:rPr>
        <w:t xml:space="preserve"> </w:t>
      </w:r>
      <w:r w:rsidRPr="008A1417">
        <w:rPr>
          <w:rFonts w:ascii="Times New Roman" w:hAnsi="Times New Roman"/>
        </w:rPr>
        <w:t>There are no technical or legal obstacles to burden reduction</w:t>
      </w:r>
      <w:r>
        <w:rPr>
          <w:rFonts w:ascii="Times New Roman" w:hAnsi="Times New Roman"/>
        </w:rPr>
        <w:t>.</w:t>
      </w:r>
    </w:p>
    <w:p w14:paraId="6A04FE56" w14:textId="77777777" w:rsidR="00186A92" w:rsidRDefault="00186A92" w:rsidP="00186A92">
      <w:pPr>
        <w:pStyle w:val="ListParagraph"/>
        <w:ind w:left="1080"/>
        <w:rPr>
          <w:rFonts w:ascii="Times New Roman" w:hAnsi="Times New Roman"/>
          <w:b/>
        </w:rPr>
      </w:pPr>
    </w:p>
    <w:p w14:paraId="5822E105" w14:textId="7BED2743" w:rsidR="00604289" w:rsidRDefault="00186A92" w:rsidP="00604289">
      <w:pPr>
        <w:pStyle w:val="ListParagraph"/>
        <w:numPr>
          <w:ilvl w:val="0"/>
          <w:numId w:val="17"/>
        </w:numPr>
        <w:rPr>
          <w:rFonts w:ascii="Times New Roman" w:hAnsi="Times New Roman"/>
          <w:b/>
        </w:rPr>
      </w:pPr>
      <w:r w:rsidRPr="00562CAD">
        <w:rPr>
          <w:rFonts w:ascii="Times New Roman" w:hAnsi="Times New Roman"/>
          <w:b/>
        </w:rPr>
        <w:t>Special Circumstances</w:t>
      </w:r>
    </w:p>
    <w:p w14:paraId="54083504" w14:textId="65EBFB65" w:rsidR="00186A92" w:rsidRDefault="00186A92" w:rsidP="00186A92">
      <w:pPr>
        <w:pStyle w:val="ListParagraph"/>
        <w:ind w:left="1080"/>
        <w:rPr>
          <w:rFonts w:ascii="Times New Roman" w:hAnsi="Times New Roman"/>
          <w:b/>
        </w:rPr>
      </w:pPr>
      <w:r w:rsidRPr="00562CAD">
        <w:rPr>
          <w:rFonts w:ascii="Times New Roman" w:hAnsi="Times New Roman"/>
        </w:rPr>
        <w:t>There are no special circumstances</w:t>
      </w:r>
      <w:r w:rsidRPr="008A1417">
        <w:rPr>
          <w:rFonts w:ascii="Times New Roman" w:hAnsi="Times New Roman"/>
        </w:rPr>
        <w:t xml:space="preserve"> that would cause SSA to conduct this information collection in a manner inconsistent with </w:t>
      </w:r>
      <w:r w:rsidRPr="00186A92">
        <w:rPr>
          <w:rFonts w:ascii="Times New Roman" w:hAnsi="Times New Roman"/>
          <w:i/>
        </w:rPr>
        <w:t>5 CFR 1320.5</w:t>
      </w:r>
      <w:r>
        <w:rPr>
          <w:rFonts w:ascii="Times New Roman" w:hAnsi="Times New Roman"/>
        </w:rPr>
        <w:t>.</w:t>
      </w:r>
    </w:p>
    <w:p w14:paraId="4234BC59" w14:textId="77777777" w:rsidR="00186A92" w:rsidRDefault="00186A92" w:rsidP="00186A92">
      <w:pPr>
        <w:pStyle w:val="ListParagraph"/>
        <w:ind w:left="1080"/>
        <w:rPr>
          <w:rFonts w:ascii="Times New Roman" w:hAnsi="Times New Roman"/>
          <w:b/>
        </w:rPr>
      </w:pPr>
    </w:p>
    <w:p w14:paraId="4B7FEBB8" w14:textId="4A87CC84" w:rsidR="00604289" w:rsidRDefault="00186A92" w:rsidP="00604289">
      <w:pPr>
        <w:pStyle w:val="ListParagraph"/>
        <w:numPr>
          <w:ilvl w:val="0"/>
          <w:numId w:val="17"/>
        </w:numPr>
        <w:rPr>
          <w:rFonts w:ascii="Times New Roman" w:hAnsi="Times New Roman"/>
          <w:b/>
        </w:rPr>
      </w:pPr>
      <w:r w:rsidRPr="004510CC">
        <w:rPr>
          <w:rFonts w:ascii="Times New Roman" w:hAnsi="Times New Roman"/>
          <w:b/>
        </w:rPr>
        <w:t>Solicitation of Public Comment and Other Consultations with the Public</w:t>
      </w:r>
    </w:p>
    <w:p w14:paraId="56BDC4AF" w14:textId="2D450E6E" w:rsidR="00186A92" w:rsidRPr="00186A92" w:rsidRDefault="00186A92" w:rsidP="00186A92">
      <w:pPr>
        <w:pStyle w:val="ListParagraph"/>
        <w:ind w:left="1080"/>
        <w:rPr>
          <w:rFonts w:ascii="Times New Roman" w:hAnsi="Times New Roman"/>
          <w:b/>
        </w:rPr>
      </w:pPr>
      <w:r w:rsidRPr="00186A92">
        <w:rPr>
          <w:rFonts w:ascii="Times New Roman" w:hAnsi="Times New Roman"/>
        </w:rPr>
        <w:t xml:space="preserve">The 60-day advance Federal Register Notice published on </w:t>
      </w:r>
      <w:r>
        <w:rPr>
          <w:rFonts w:ascii="Times New Roman" w:hAnsi="Times New Roman"/>
        </w:rPr>
        <w:t>September</w:t>
      </w:r>
      <w:r w:rsidRPr="00186A92">
        <w:rPr>
          <w:rFonts w:ascii="Times New Roman" w:hAnsi="Times New Roman"/>
        </w:rPr>
        <w:t xml:space="preserve"> </w:t>
      </w:r>
      <w:r>
        <w:rPr>
          <w:rFonts w:ascii="Times New Roman" w:hAnsi="Times New Roman"/>
        </w:rPr>
        <w:t>12</w:t>
      </w:r>
      <w:r w:rsidRPr="00186A92">
        <w:rPr>
          <w:rFonts w:ascii="Times New Roman" w:hAnsi="Times New Roman"/>
        </w:rPr>
        <w:t xml:space="preserve">, 2019 at 84 FR </w:t>
      </w:r>
      <w:r>
        <w:rPr>
          <w:rFonts w:ascii="Times New Roman" w:hAnsi="Times New Roman"/>
        </w:rPr>
        <w:t>48203</w:t>
      </w:r>
      <w:r w:rsidRPr="00186A92">
        <w:rPr>
          <w:rFonts w:ascii="Times New Roman" w:hAnsi="Times New Roman"/>
        </w:rPr>
        <w:t xml:space="preserve">, and we received no public comments.  SSA published the second Notice on </w:t>
      </w:r>
      <w:r w:rsidR="00DB0919">
        <w:rPr>
          <w:rFonts w:ascii="Times New Roman" w:hAnsi="Times New Roman"/>
        </w:rPr>
        <w:t>November 20, 2019</w:t>
      </w:r>
      <w:r w:rsidRPr="00186A92">
        <w:rPr>
          <w:rFonts w:ascii="Times New Roman" w:hAnsi="Times New Roman"/>
        </w:rPr>
        <w:t xml:space="preserve">, at 84 FR </w:t>
      </w:r>
      <w:r w:rsidR="00DB0919">
        <w:rPr>
          <w:rFonts w:ascii="Times New Roman" w:hAnsi="Times New Roman"/>
        </w:rPr>
        <w:t>64177</w:t>
      </w:r>
      <w:r w:rsidRPr="00186A92">
        <w:rPr>
          <w:rFonts w:ascii="Times New Roman" w:hAnsi="Times New Roman"/>
        </w:rPr>
        <w:t>.  If we receive comments in response to the 30</w:t>
      </w:r>
      <w:r w:rsidRPr="00186A92">
        <w:rPr>
          <w:rFonts w:ascii="Times New Roman" w:hAnsi="Times New Roman"/>
        </w:rPr>
        <w:noBreakHyphen/>
        <w:t xml:space="preserve">day Notice, we will forward them to OMB.  We did not consult with the public </w:t>
      </w:r>
      <w:r>
        <w:rPr>
          <w:rFonts w:ascii="Times New Roman" w:hAnsi="Times New Roman"/>
        </w:rPr>
        <w:t>on the creation of this questionnaire</w:t>
      </w:r>
      <w:r w:rsidRPr="00186A92">
        <w:rPr>
          <w:rFonts w:ascii="Times New Roman" w:hAnsi="Times New Roman"/>
        </w:rPr>
        <w:t>.</w:t>
      </w:r>
    </w:p>
    <w:p w14:paraId="65E65B38" w14:textId="243D1938" w:rsidR="00186A92" w:rsidRDefault="00186A92" w:rsidP="00186A92">
      <w:pPr>
        <w:pStyle w:val="ListParagraph"/>
        <w:ind w:left="1080"/>
        <w:rPr>
          <w:rFonts w:ascii="Times New Roman" w:hAnsi="Times New Roman"/>
          <w:b/>
        </w:rPr>
      </w:pPr>
    </w:p>
    <w:p w14:paraId="56FD2E18" w14:textId="77777777" w:rsidR="00186A92" w:rsidRDefault="00186A92" w:rsidP="00186A92">
      <w:pPr>
        <w:pStyle w:val="ListParagraph"/>
        <w:ind w:left="1080"/>
        <w:rPr>
          <w:rFonts w:ascii="Times New Roman" w:hAnsi="Times New Roman"/>
          <w:b/>
        </w:rPr>
      </w:pPr>
    </w:p>
    <w:p w14:paraId="3A861108" w14:textId="1E6E5148" w:rsidR="00604289" w:rsidRDefault="00186A92" w:rsidP="00604289">
      <w:pPr>
        <w:pStyle w:val="ListParagraph"/>
        <w:numPr>
          <w:ilvl w:val="0"/>
          <w:numId w:val="17"/>
        </w:numPr>
        <w:rPr>
          <w:rFonts w:ascii="Times New Roman" w:hAnsi="Times New Roman"/>
          <w:b/>
        </w:rPr>
      </w:pPr>
      <w:r w:rsidRPr="00562CAD">
        <w:rPr>
          <w:rFonts w:ascii="Times New Roman" w:hAnsi="Times New Roman"/>
          <w:b/>
        </w:rPr>
        <w:lastRenderedPageBreak/>
        <w:t>Payment or Gifts to Respondents</w:t>
      </w:r>
    </w:p>
    <w:p w14:paraId="0930F13B" w14:textId="13E71C80" w:rsidR="00186A92" w:rsidRDefault="00186A92" w:rsidP="00186A92">
      <w:pPr>
        <w:pStyle w:val="ListParagraph"/>
        <w:ind w:left="1080"/>
        <w:rPr>
          <w:rFonts w:ascii="Times New Roman" w:hAnsi="Times New Roman"/>
          <w:b/>
        </w:rPr>
      </w:pPr>
      <w:r w:rsidRPr="00562CAD">
        <w:rPr>
          <w:rFonts w:ascii="Times New Roman" w:hAnsi="Times New Roman"/>
        </w:rPr>
        <w:t>SSA does not provide payments or gifts to</w:t>
      </w:r>
      <w:r w:rsidRPr="008A1417">
        <w:rPr>
          <w:rFonts w:ascii="Times New Roman" w:hAnsi="Times New Roman"/>
        </w:rPr>
        <w:t xml:space="preserve"> the respondents</w:t>
      </w:r>
      <w:r>
        <w:rPr>
          <w:rFonts w:ascii="Times New Roman" w:hAnsi="Times New Roman"/>
        </w:rPr>
        <w:t>.</w:t>
      </w:r>
    </w:p>
    <w:p w14:paraId="5931F29B" w14:textId="77777777" w:rsidR="00186A92" w:rsidRDefault="00186A92" w:rsidP="00186A92">
      <w:pPr>
        <w:pStyle w:val="ListParagraph"/>
        <w:ind w:left="1080"/>
        <w:rPr>
          <w:rFonts w:ascii="Times New Roman" w:hAnsi="Times New Roman"/>
          <w:b/>
        </w:rPr>
      </w:pPr>
    </w:p>
    <w:p w14:paraId="37415918" w14:textId="2C71CB61" w:rsidR="00604289" w:rsidRDefault="00186A92" w:rsidP="00604289">
      <w:pPr>
        <w:pStyle w:val="ListParagraph"/>
        <w:numPr>
          <w:ilvl w:val="0"/>
          <w:numId w:val="17"/>
        </w:numPr>
        <w:rPr>
          <w:rFonts w:ascii="Times New Roman" w:hAnsi="Times New Roman"/>
          <w:b/>
        </w:rPr>
      </w:pPr>
      <w:r w:rsidRPr="00562CAD">
        <w:rPr>
          <w:rFonts w:ascii="Times New Roman" w:hAnsi="Times New Roman"/>
          <w:b/>
        </w:rPr>
        <w:t>Assurances of Confidentiality</w:t>
      </w:r>
    </w:p>
    <w:p w14:paraId="24942454" w14:textId="2BE74E18" w:rsidR="00186A92" w:rsidRDefault="00186A92" w:rsidP="00186A92">
      <w:pPr>
        <w:pStyle w:val="ListParagraph"/>
        <w:ind w:left="1080"/>
        <w:rPr>
          <w:rFonts w:ascii="Times New Roman" w:hAnsi="Times New Roman"/>
          <w:b/>
        </w:rPr>
      </w:pPr>
      <w:r w:rsidRPr="00562CAD">
        <w:rPr>
          <w:rFonts w:ascii="Times New Roman" w:hAnsi="Times New Roman"/>
        </w:rPr>
        <w:t xml:space="preserve">SSA protects and holds confidential the information it collects in accordance with </w:t>
      </w:r>
      <w:r>
        <w:rPr>
          <w:rFonts w:ascii="Times New Roman" w:hAnsi="Times New Roman"/>
          <w:i/>
        </w:rPr>
        <w:t>42 </w:t>
      </w:r>
      <w:r w:rsidRPr="00186A92">
        <w:rPr>
          <w:rFonts w:ascii="Times New Roman" w:hAnsi="Times New Roman"/>
          <w:i/>
        </w:rPr>
        <w:t>U.S.C. 1306, 20 CFR 401</w:t>
      </w:r>
      <w:r w:rsidRPr="00562CAD">
        <w:rPr>
          <w:rFonts w:ascii="Times New Roman" w:hAnsi="Times New Roman"/>
        </w:rPr>
        <w:t xml:space="preserve"> and </w:t>
      </w:r>
      <w:r w:rsidRPr="00186A92">
        <w:rPr>
          <w:rFonts w:ascii="Times New Roman" w:hAnsi="Times New Roman"/>
          <w:i/>
        </w:rPr>
        <w:t>402, 5 U.S.C. 552</w:t>
      </w:r>
      <w:r w:rsidRPr="008A1417">
        <w:rPr>
          <w:rFonts w:ascii="Times New Roman" w:hAnsi="Times New Roman"/>
        </w:rPr>
        <w:t xml:space="preserve"> </w:t>
      </w:r>
      <w:r>
        <w:rPr>
          <w:rFonts w:ascii="Times New Roman" w:hAnsi="Times New Roman"/>
        </w:rPr>
        <w:t xml:space="preserve">(Freedom of Information Act), </w:t>
      </w:r>
      <w:r w:rsidRPr="00186A92">
        <w:rPr>
          <w:rFonts w:ascii="Times New Roman" w:hAnsi="Times New Roman"/>
          <w:i/>
        </w:rPr>
        <w:t>5 U.S.C. 552a</w:t>
      </w:r>
      <w:r w:rsidRPr="008A1417">
        <w:rPr>
          <w:rFonts w:ascii="Times New Roman" w:hAnsi="Times New Roman"/>
        </w:rPr>
        <w:t xml:space="preserve"> (Privacy Act of 1974), and OMB Circular No. A-130</w:t>
      </w:r>
      <w:r>
        <w:rPr>
          <w:rFonts w:ascii="Times New Roman" w:hAnsi="Times New Roman"/>
        </w:rPr>
        <w:t>.</w:t>
      </w:r>
    </w:p>
    <w:p w14:paraId="311EEC13" w14:textId="77777777" w:rsidR="00186A92" w:rsidRDefault="00186A92" w:rsidP="00186A92">
      <w:pPr>
        <w:pStyle w:val="ListParagraph"/>
        <w:ind w:left="1080"/>
        <w:rPr>
          <w:rFonts w:ascii="Times New Roman" w:hAnsi="Times New Roman"/>
          <w:b/>
        </w:rPr>
      </w:pPr>
    </w:p>
    <w:p w14:paraId="635F0BBD" w14:textId="3475EB26" w:rsidR="00604289" w:rsidRDefault="00186A92" w:rsidP="00604289">
      <w:pPr>
        <w:pStyle w:val="ListParagraph"/>
        <w:numPr>
          <w:ilvl w:val="0"/>
          <w:numId w:val="17"/>
        </w:numPr>
        <w:rPr>
          <w:rFonts w:ascii="Times New Roman" w:hAnsi="Times New Roman"/>
          <w:b/>
        </w:rPr>
      </w:pPr>
      <w:r w:rsidRPr="00562CAD">
        <w:rPr>
          <w:rFonts w:ascii="Times New Roman" w:hAnsi="Times New Roman"/>
          <w:b/>
        </w:rPr>
        <w:t>Justification for Sensitive Questions</w:t>
      </w:r>
    </w:p>
    <w:p w14:paraId="2ACAD212" w14:textId="78667C22" w:rsidR="00186A92" w:rsidRDefault="00186A92" w:rsidP="00186A92">
      <w:pPr>
        <w:pStyle w:val="ListParagraph"/>
        <w:ind w:left="1080"/>
        <w:rPr>
          <w:rFonts w:ascii="Times New Roman" w:hAnsi="Times New Roman"/>
          <w:b/>
        </w:rPr>
      </w:pPr>
      <w:r w:rsidRPr="00562CAD">
        <w:rPr>
          <w:rFonts w:ascii="Times New Roman" w:hAnsi="Times New Roman"/>
        </w:rPr>
        <w:t>The information collection does not contain any questions of a sensitive nature</w:t>
      </w:r>
      <w:r>
        <w:rPr>
          <w:rFonts w:ascii="Times New Roman" w:hAnsi="Times New Roman"/>
        </w:rPr>
        <w:t>.</w:t>
      </w:r>
    </w:p>
    <w:p w14:paraId="1BACF651" w14:textId="77777777" w:rsidR="00186A92" w:rsidRDefault="00186A92" w:rsidP="00186A92">
      <w:pPr>
        <w:pStyle w:val="ListParagraph"/>
        <w:ind w:left="1080"/>
        <w:rPr>
          <w:rFonts w:ascii="Times New Roman" w:hAnsi="Times New Roman"/>
          <w:b/>
        </w:rPr>
      </w:pPr>
    </w:p>
    <w:p w14:paraId="1F6426D0" w14:textId="10D15567" w:rsidR="00604289" w:rsidRDefault="00186A92" w:rsidP="00604289">
      <w:pPr>
        <w:pStyle w:val="ListParagraph"/>
        <w:numPr>
          <w:ilvl w:val="0"/>
          <w:numId w:val="17"/>
        </w:numPr>
        <w:rPr>
          <w:rFonts w:ascii="Times New Roman" w:hAnsi="Times New Roman"/>
          <w:b/>
        </w:rPr>
      </w:pPr>
      <w:r w:rsidRPr="00562CAD">
        <w:rPr>
          <w:rFonts w:ascii="Times New Roman" w:hAnsi="Times New Roman"/>
          <w:b/>
        </w:rPr>
        <w:t>Estimates of Public Reporting Burden</w:t>
      </w:r>
    </w:p>
    <w:p w14:paraId="49C60C36" w14:textId="602662BE" w:rsidR="00186A92" w:rsidRDefault="00186A92" w:rsidP="00186A92">
      <w:pPr>
        <w:pStyle w:val="ListParagraph"/>
        <w:ind w:left="1080"/>
        <w:rPr>
          <w:rFonts w:ascii="Times New Roman" w:hAnsi="Times New Roman"/>
          <w:bCs/>
          <w:iCs/>
        </w:rPr>
      </w:pPr>
      <w:r>
        <w:rPr>
          <w:rFonts w:ascii="Times New Roman" w:hAnsi="Times New Roman"/>
          <w:bCs/>
          <w:iCs/>
        </w:rPr>
        <w:t>Approximately, 57</w:t>
      </w:r>
      <w:r w:rsidRPr="00562CAD">
        <w:rPr>
          <w:rFonts w:ascii="Times New Roman" w:hAnsi="Times New Roman"/>
          <w:bCs/>
          <w:iCs/>
        </w:rPr>
        <w:t xml:space="preserve"> respondents take 12 minutes each t</w:t>
      </w:r>
      <w:r>
        <w:rPr>
          <w:rFonts w:ascii="Times New Roman" w:hAnsi="Times New Roman"/>
          <w:bCs/>
          <w:iCs/>
        </w:rPr>
        <w:t>o complete the questionnaire one time only:</w:t>
      </w:r>
    </w:p>
    <w:p w14:paraId="3980881C" w14:textId="12F27630" w:rsidR="00186A92" w:rsidRDefault="00186A92" w:rsidP="00186A92">
      <w:pPr>
        <w:pStyle w:val="ListParagraph"/>
        <w:ind w:left="1080"/>
        <w:rPr>
          <w:rFonts w:ascii="Times New Roman" w:hAnsi="Times New Roman"/>
          <w:bCs/>
          <w:iCs/>
        </w:rPr>
      </w:pPr>
    </w:p>
    <w:tbl>
      <w:tblPr>
        <w:tblStyle w:val="TableGrid"/>
        <w:tblW w:w="9720" w:type="dxa"/>
        <w:tblInd w:w="715" w:type="dxa"/>
        <w:tblLook w:val="04A0" w:firstRow="1" w:lastRow="0" w:firstColumn="1" w:lastColumn="0" w:noHBand="0" w:noVBand="1"/>
      </w:tblPr>
      <w:tblGrid>
        <w:gridCol w:w="1563"/>
        <w:gridCol w:w="1523"/>
        <w:gridCol w:w="1333"/>
        <w:gridCol w:w="1282"/>
        <w:gridCol w:w="1261"/>
        <w:gridCol w:w="1236"/>
        <w:gridCol w:w="1522"/>
      </w:tblGrid>
      <w:tr w:rsidR="00186A92" w14:paraId="09A79DA1" w14:textId="77777777" w:rsidTr="00186A92">
        <w:tc>
          <w:tcPr>
            <w:tcW w:w="1481" w:type="dxa"/>
          </w:tcPr>
          <w:p w14:paraId="2D76EB3E" w14:textId="7C3D553A" w:rsidR="00186A92" w:rsidRPr="00186A92" w:rsidRDefault="00186A92" w:rsidP="00186A92">
            <w:pPr>
              <w:pStyle w:val="ListParagraph"/>
              <w:ind w:left="0"/>
              <w:rPr>
                <w:rFonts w:ascii="Times New Roman" w:hAnsi="Times New Roman"/>
                <w:bCs/>
                <w:iCs/>
              </w:rPr>
            </w:pPr>
            <w:r w:rsidRPr="00186A92">
              <w:rPr>
                <w:rFonts w:ascii="Times New Roman" w:hAnsi="Times New Roman"/>
                <w:b/>
              </w:rPr>
              <w:t>Modality of Completion</w:t>
            </w:r>
          </w:p>
        </w:tc>
        <w:tc>
          <w:tcPr>
            <w:tcW w:w="1523" w:type="dxa"/>
          </w:tcPr>
          <w:p w14:paraId="462B6CBC" w14:textId="57FB95DE" w:rsidR="00186A92" w:rsidRPr="00186A92" w:rsidRDefault="00186A92" w:rsidP="00186A92">
            <w:pPr>
              <w:pStyle w:val="ListParagraph"/>
              <w:ind w:left="0"/>
              <w:rPr>
                <w:rFonts w:ascii="Times New Roman" w:hAnsi="Times New Roman"/>
                <w:bCs/>
                <w:iCs/>
              </w:rPr>
            </w:pPr>
            <w:r w:rsidRPr="00186A92">
              <w:rPr>
                <w:rFonts w:ascii="Times New Roman" w:hAnsi="Times New Roman"/>
                <w:b/>
              </w:rPr>
              <w:t>Number of Respondents</w:t>
            </w:r>
          </w:p>
        </w:tc>
        <w:tc>
          <w:tcPr>
            <w:tcW w:w="1345" w:type="dxa"/>
          </w:tcPr>
          <w:p w14:paraId="0AF73F84" w14:textId="69B152F7" w:rsidR="00186A92" w:rsidRPr="00186A92" w:rsidRDefault="00186A92" w:rsidP="00186A92">
            <w:pPr>
              <w:pStyle w:val="ListParagraph"/>
              <w:ind w:left="0"/>
              <w:rPr>
                <w:rFonts w:ascii="Times New Roman" w:hAnsi="Times New Roman"/>
                <w:bCs/>
                <w:iCs/>
              </w:rPr>
            </w:pPr>
            <w:r w:rsidRPr="00186A92">
              <w:rPr>
                <w:rFonts w:ascii="Times New Roman" w:hAnsi="Times New Roman"/>
                <w:b/>
              </w:rPr>
              <w:t>Frequency of Response</w:t>
            </w:r>
          </w:p>
        </w:tc>
        <w:tc>
          <w:tcPr>
            <w:tcW w:w="1327" w:type="dxa"/>
          </w:tcPr>
          <w:p w14:paraId="4A4C6EEA" w14:textId="52C8CE75" w:rsidR="00186A92" w:rsidRPr="00186A92" w:rsidRDefault="00186A92" w:rsidP="00186A92">
            <w:pPr>
              <w:pStyle w:val="ListParagraph"/>
              <w:ind w:left="0"/>
              <w:rPr>
                <w:rFonts w:ascii="Times New Roman" w:hAnsi="Times New Roman"/>
                <w:bCs/>
                <w:iCs/>
              </w:rPr>
            </w:pPr>
            <w:r w:rsidRPr="00186A92">
              <w:rPr>
                <w:rFonts w:ascii="Times New Roman" w:hAnsi="Times New Roman"/>
                <w:b/>
              </w:rPr>
              <w:t>Average Burden Per Response (minutes)</w:t>
            </w:r>
          </w:p>
        </w:tc>
        <w:tc>
          <w:tcPr>
            <w:tcW w:w="1263" w:type="dxa"/>
          </w:tcPr>
          <w:p w14:paraId="7147D72E" w14:textId="7CA53A96" w:rsidR="00186A92" w:rsidRPr="00186A92" w:rsidRDefault="00186A92" w:rsidP="00186A92">
            <w:pPr>
              <w:pStyle w:val="ListParagraph"/>
              <w:ind w:left="0"/>
              <w:rPr>
                <w:rFonts w:ascii="Times New Roman" w:hAnsi="Times New Roman"/>
                <w:bCs/>
                <w:iCs/>
              </w:rPr>
            </w:pPr>
            <w:r w:rsidRPr="00186A92">
              <w:rPr>
                <w:rFonts w:ascii="Times New Roman" w:hAnsi="Times New Roman"/>
                <w:b/>
              </w:rPr>
              <w:t>Estimated Total Annual Burden (hours)</w:t>
            </w:r>
          </w:p>
        </w:tc>
        <w:tc>
          <w:tcPr>
            <w:tcW w:w="1253" w:type="dxa"/>
          </w:tcPr>
          <w:p w14:paraId="6C16E72F" w14:textId="69C595C2" w:rsidR="00186A92" w:rsidRPr="00186A92" w:rsidRDefault="00186A92" w:rsidP="00186A92">
            <w:pPr>
              <w:pStyle w:val="ListParagraph"/>
              <w:ind w:left="0"/>
              <w:rPr>
                <w:rFonts w:ascii="Times New Roman" w:hAnsi="Times New Roman"/>
                <w:bCs/>
                <w:iCs/>
              </w:rPr>
            </w:pPr>
            <w:r w:rsidRPr="00186A92">
              <w:rPr>
                <w:rFonts w:ascii="Times New Roman" w:hAnsi="Times New Roman"/>
                <w:b/>
              </w:rPr>
              <w:t>Average Hourly Wage (dollars)*</w:t>
            </w:r>
          </w:p>
        </w:tc>
        <w:tc>
          <w:tcPr>
            <w:tcW w:w="1528" w:type="dxa"/>
          </w:tcPr>
          <w:p w14:paraId="45AFF06F" w14:textId="5C0F2AB0" w:rsidR="00186A92" w:rsidRPr="00186A92" w:rsidRDefault="00186A92" w:rsidP="00186A92">
            <w:pPr>
              <w:pStyle w:val="ListParagraph"/>
              <w:ind w:left="0"/>
              <w:rPr>
                <w:rFonts w:ascii="Times New Roman" w:hAnsi="Times New Roman"/>
                <w:bCs/>
                <w:iCs/>
              </w:rPr>
            </w:pPr>
            <w:r w:rsidRPr="00186A92">
              <w:rPr>
                <w:rFonts w:ascii="Times New Roman" w:hAnsi="Times New Roman"/>
                <w:b/>
              </w:rPr>
              <w:t>Total Annual Opportunity Cost (dollars)**</w:t>
            </w:r>
          </w:p>
        </w:tc>
      </w:tr>
      <w:tr w:rsidR="00186A92" w14:paraId="2AA202DC" w14:textId="77777777" w:rsidTr="00186A92">
        <w:tc>
          <w:tcPr>
            <w:tcW w:w="1481" w:type="dxa"/>
          </w:tcPr>
          <w:p w14:paraId="7E56F204" w14:textId="0BB558A9" w:rsidR="00186A92" w:rsidRPr="00186A92" w:rsidRDefault="00186A92" w:rsidP="00186A92">
            <w:pPr>
              <w:pStyle w:val="ListParagraph"/>
              <w:ind w:left="0"/>
              <w:rPr>
                <w:rFonts w:ascii="Times New Roman" w:hAnsi="Times New Roman"/>
                <w:bCs/>
                <w:iCs/>
              </w:rPr>
            </w:pPr>
            <w:r w:rsidRPr="00186A92">
              <w:rPr>
                <w:rFonts w:ascii="Times New Roman" w:hAnsi="Times New Roman"/>
              </w:rPr>
              <w:t>Emailed Questionnaire</w:t>
            </w:r>
          </w:p>
        </w:tc>
        <w:tc>
          <w:tcPr>
            <w:tcW w:w="1523" w:type="dxa"/>
          </w:tcPr>
          <w:p w14:paraId="688F7D0F" w14:textId="4717035E" w:rsidR="00186A92" w:rsidRPr="00186A92" w:rsidRDefault="00186A92" w:rsidP="00186A92">
            <w:pPr>
              <w:pStyle w:val="ListParagraph"/>
              <w:ind w:left="0"/>
              <w:rPr>
                <w:rFonts w:ascii="Times New Roman" w:hAnsi="Times New Roman"/>
                <w:bCs/>
                <w:iCs/>
              </w:rPr>
            </w:pPr>
            <w:r w:rsidRPr="00186A92">
              <w:rPr>
                <w:rFonts w:ascii="Times New Roman" w:hAnsi="Times New Roman"/>
              </w:rPr>
              <w:t>57</w:t>
            </w:r>
          </w:p>
        </w:tc>
        <w:tc>
          <w:tcPr>
            <w:tcW w:w="1345" w:type="dxa"/>
          </w:tcPr>
          <w:p w14:paraId="63BDA128" w14:textId="58E8FAEC" w:rsidR="00186A92" w:rsidRPr="00186A92" w:rsidRDefault="00186A92" w:rsidP="00186A92">
            <w:pPr>
              <w:pStyle w:val="ListParagraph"/>
              <w:ind w:left="0"/>
              <w:rPr>
                <w:rFonts w:ascii="Times New Roman" w:hAnsi="Times New Roman"/>
                <w:bCs/>
                <w:iCs/>
              </w:rPr>
            </w:pPr>
            <w:r w:rsidRPr="00186A92">
              <w:rPr>
                <w:rFonts w:ascii="Times New Roman" w:hAnsi="Times New Roman"/>
              </w:rPr>
              <w:t>1</w:t>
            </w:r>
          </w:p>
        </w:tc>
        <w:tc>
          <w:tcPr>
            <w:tcW w:w="1327" w:type="dxa"/>
          </w:tcPr>
          <w:p w14:paraId="7CDC6D45" w14:textId="7CEF1E66" w:rsidR="00186A92" w:rsidRPr="00186A92" w:rsidRDefault="00186A92" w:rsidP="00186A92">
            <w:pPr>
              <w:pStyle w:val="ListParagraph"/>
              <w:ind w:left="0"/>
              <w:rPr>
                <w:rFonts w:ascii="Times New Roman" w:hAnsi="Times New Roman"/>
                <w:bCs/>
                <w:iCs/>
              </w:rPr>
            </w:pPr>
            <w:r w:rsidRPr="00186A92">
              <w:rPr>
                <w:rFonts w:ascii="Times New Roman" w:hAnsi="Times New Roman"/>
              </w:rPr>
              <w:t>12</w:t>
            </w:r>
          </w:p>
        </w:tc>
        <w:tc>
          <w:tcPr>
            <w:tcW w:w="1263" w:type="dxa"/>
          </w:tcPr>
          <w:p w14:paraId="2F58E5EE" w14:textId="7C6E3A1E" w:rsidR="00186A92" w:rsidRPr="00186A92" w:rsidRDefault="00186A92" w:rsidP="00186A92">
            <w:pPr>
              <w:pStyle w:val="ListParagraph"/>
              <w:ind w:left="0"/>
              <w:rPr>
                <w:rFonts w:ascii="Times New Roman" w:hAnsi="Times New Roman"/>
                <w:bCs/>
                <w:iCs/>
              </w:rPr>
            </w:pPr>
            <w:r w:rsidRPr="00186A92">
              <w:rPr>
                <w:rFonts w:ascii="Times New Roman" w:hAnsi="Times New Roman"/>
              </w:rPr>
              <w:t>11</w:t>
            </w:r>
          </w:p>
        </w:tc>
        <w:tc>
          <w:tcPr>
            <w:tcW w:w="1253" w:type="dxa"/>
          </w:tcPr>
          <w:p w14:paraId="0079AAAA" w14:textId="2BB895E6" w:rsidR="00186A92" w:rsidRPr="00186A92" w:rsidRDefault="00186A92" w:rsidP="00186A92">
            <w:pPr>
              <w:pStyle w:val="ListParagraph"/>
              <w:ind w:left="0"/>
              <w:rPr>
                <w:rFonts w:ascii="Times New Roman" w:hAnsi="Times New Roman"/>
                <w:bCs/>
                <w:iCs/>
              </w:rPr>
            </w:pPr>
            <w:r w:rsidRPr="00186A92">
              <w:rPr>
                <w:rFonts w:ascii="Times New Roman" w:hAnsi="Times New Roman"/>
              </w:rPr>
              <w:t>$12.15*</w:t>
            </w:r>
          </w:p>
        </w:tc>
        <w:tc>
          <w:tcPr>
            <w:tcW w:w="1528" w:type="dxa"/>
          </w:tcPr>
          <w:p w14:paraId="5694EF02" w14:textId="635B5BEA" w:rsidR="00186A92" w:rsidRPr="00186A92" w:rsidRDefault="00186A92" w:rsidP="00186A92">
            <w:pPr>
              <w:pStyle w:val="ListParagraph"/>
              <w:ind w:left="0"/>
              <w:rPr>
                <w:rFonts w:ascii="Times New Roman" w:hAnsi="Times New Roman"/>
                <w:bCs/>
                <w:iCs/>
              </w:rPr>
            </w:pPr>
            <w:r w:rsidRPr="00186A92">
              <w:rPr>
                <w:rFonts w:ascii="Times New Roman" w:hAnsi="Times New Roman"/>
              </w:rPr>
              <w:t>$134**</w:t>
            </w:r>
          </w:p>
        </w:tc>
      </w:tr>
    </w:tbl>
    <w:p w14:paraId="0D363F14" w14:textId="316E9625" w:rsidR="00186A92" w:rsidRDefault="00186A92" w:rsidP="00186A92">
      <w:pPr>
        <w:pStyle w:val="ListParagraph"/>
        <w:ind w:left="1080"/>
        <w:rPr>
          <w:rFonts w:ascii="Times New Roman" w:hAnsi="Times New Roman"/>
        </w:rPr>
      </w:pPr>
      <w:r w:rsidRPr="00186A92">
        <w:rPr>
          <w:rFonts w:ascii="Times New Roman" w:hAnsi="Times New Roman"/>
        </w:rPr>
        <w:t>* We based this figure on average State Governmental Information Clerks hourly salary.</w:t>
      </w:r>
    </w:p>
    <w:p w14:paraId="7A82CBAD" w14:textId="77777777" w:rsidR="00186A92" w:rsidRPr="00186A92" w:rsidRDefault="00186A92" w:rsidP="00186A92">
      <w:pPr>
        <w:pStyle w:val="ListParagraph"/>
        <w:ind w:left="1080"/>
        <w:rPr>
          <w:rFonts w:ascii="Times New Roman" w:hAnsi="Times New Roman"/>
          <w:bCs/>
          <w:iCs/>
        </w:rPr>
      </w:pPr>
    </w:p>
    <w:p w14:paraId="3423AC03" w14:textId="7417DEF5" w:rsidR="00186A92" w:rsidRDefault="00186A92" w:rsidP="00186A92">
      <w:pPr>
        <w:pStyle w:val="ListParagraph"/>
        <w:ind w:left="1080"/>
        <w:rPr>
          <w:rFonts w:ascii="Times New Roman" w:hAnsi="Times New Roman"/>
        </w:rPr>
      </w:pPr>
      <w:r w:rsidRPr="00186A92">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86A92">
        <w:rPr>
          <w:rFonts w:ascii="Times New Roman" w:hAnsi="Times New Roman"/>
          <w:b/>
          <w:u w:val="single"/>
        </w:rPr>
        <w:t>There is no actual charge to respondents to complete the application</w:t>
      </w:r>
      <w:r w:rsidRPr="00186A92">
        <w:rPr>
          <w:rFonts w:ascii="Times New Roman" w:hAnsi="Times New Roman"/>
        </w:rPr>
        <w:t>.</w:t>
      </w:r>
    </w:p>
    <w:p w14:paraId="52D14694" w14:textId="418D730F" w:rsidR="00186A92" w:rsidRDefault="00186A92" w:rsidP="00186A92">
      <w:pPr>
        <w:pStyle w:val="ListParagraph"/>
        <w:ind w:left="1080"/>
        <w:rPr>
          <w:rFonts w:ascii="Times New Roman" w:hAnsi="Times New Roman"/>
        </w:rPr>
      </w:pPr>
    </w:p>
    <w:p w14:paraId="6A83D160" w14:textId="48AED529" w:rsidR="00186A92" w:rsidRPr="00186A92" w:rsidRDefault="00186A92" w:rsidP="00186A92">
      <w:pPr>
        <w:pStyle w:val="ListParagraph"/>
        <w:ind w:left="1080"/>
        <w:rPr>
          <w:rFonts w:ascii="Times New Roman" w:hAnsi="Times New Roman"/>
          <w:b/>
        </w:rPr>
      </w:pPr>
      <w:r w:rsidRPr="00277C85">
        <w:rPr>
          <w:rFonts w:ascii="Times New Roman" w:hAnsi="Times New Roman"/>
        </w:rPr>
        <w:t xml:space="preserve">The total burden for this ICR is </w:t>
      </w:r>
      <w:r>
        <w:rPr>
          <w:rFonts w:ascii="Times New Roman" w:hAnsi="Times New Roman"/>
          <w:b/>
        </w:rPr>
        <w:t>11</w:t>
      </w:r>
      <w:r w:rsidRPr="00277C85">
        <w:rPr>
          <w:rFonts w:ascii="Times New Roman" w:hAnsi="Times New Roman"/>
          <w:b/>
        </w:rPr>
        <w:t xml:space="preserve"> </w:t>
      </w:r>
      <w:r w:rsidRPr="00277C85">
        <w:rPr>
          <w:rFonts w:ascii="Times New Roman" w:hAnsi="Times New Roman"/>
        </w:rPr>
        <w:t>burden hours (</w:t>
      </w:r>
      <w:r>
        <w:rPr>
          <w:rFonts w:ascii="Times New Roman" w:hAnsi="Times New Roman"/>
        </w:rPr>
        <w:t>based on usability testing and our current estimates for the respondents</w:t>
      </w:r>
      <w:r w:rsidRPr="00277C85">
        <w:rPr>
          <w:rFonts w:ascii="Times New Roman" w:hAnsi="Times New Roman"/>
        </w:rPr>
        <w:t>), which results in an associated theoretical (not actual) opportunity cost financial burden of $</w:t>
      </w:r>
      <w:r w:rsidR="00A22FCA">
        <w:rPr>
          <w:rFonts w:ascii="Times New Roman" w:hAnsi="Times New Roman"/>
          <w:b/>
        </w:rPr>
        <w:t>134</w:t>
      </w:r>
      <w:r w:rsidRPr="00277C85">
        <w:rPr>
          <w:rFonts w:ascii="Times New Roman" w:hAnsi="Times New Roman"/>
        </w:rPr>
        <w:t>.  SSA does not charge respondents to complete our applications</w:t>
      </w:r>
      <w:r>
        <w:rPr>
          <w:rFonts w:ascii="Times New Roman" w:hAnsi="Times New Roman"/>
        </w:rPr>
        <w:t>.</w:t>
      </w:r>
    </w:p>
    <w:p w14:paraId="7925EBBB" w14:textId="77777777" w:rsidR="00186A92" w:rsidRPr="00186A92" w:rsidRDefault="00186A92" w:rsidP="00186A92">
      <w:pPr>
        <w:pStyle w:val="ListParagraph"/>
        <w:ind w:left="1080"/>
        <w:rPr>
          <w:rFonts w:ascii="Times New Roman" w:hAnsi="Times New Roman"/>
          <w:b/>
        </w:rPr>
      </w:pPr>
    </w:p>
    <w:p w14:paraId="1B350550" w14:textId="2DFBB31E" w:rsidR="00604289" w:rsidRDefault="00A22FCA" w:rsidP="00604289">
      <w:pPr>
        <w:pStyle w:val="ListParagraph"/>
        <w:numPr>
          <w:ilvl w:val="0"/>
          <w:numId w:val="17"/>
        </w:numPr>
        <w:rPr>
          <w:rFonts w:ascii="Times New Roman" w:hAnsi="Times New Roman"/>
          <w:b/>
        </w:rPr>
      </w:pPr>
      <w:r w:rsidRPr="00562CAD">
        <w:rPr>
          <w:rFonts w:ascii="Times New Roman" w:hAnsi="Times New Roman"/>
          <w:b/>
        </w:rPr>
        <w:t>Annual Cost to the Respondents (Other)</w:t>
      </w:r>
    </w:p>
    <w:p w14:paraId="2C13466A" w14:textId="755BB570" w:rsidR="00A22FCA" w:rsidRDefault="00A22FCA" w:rsidP="00A22FCA">
      <w:pPr>
        <w:pStyle w:val="ListParagraph"/>
        <w:ind w:left="1080"/>
        <w:rPr>
          <w:rFonts w:ascii="Times New Roman" w:hAnsi="Times New Roman"/>
          <w:b/>
        </w:rPr>
      </w:pPr>
      <w:r w:rsidRPr="00562CAD">
        <w:rPr>
          <w:rFonts w:ascii="Times New Roman" w:hAnsi="Times New Roman"/>
        </w:rPr>
        <w:t>This collection does not impose a known cost burden on the respondents</w:t>
      </w:r>
      <w:r>
        <w:rPr>
          <w:rFonts w:ascii="Times New Roman" w:hAnsi="Times New Roman"/>
        </w:rPr>
        <w:t>.</w:t>
      </w:r>
    </w:p>
    <w:p w14:paraId="3F5EDDD5" w14:textId="77777777" w:rsidR="00A22FCA" w:rsidRDefault="00A22FCA" w:rsidP="00A22FCA">
      <w:pPr>
        <w:pStyle w:val="ListParagraph"/>
        <w:ind w:left="1080"/>
        <w:rPr>
          <w:rFonts w:ascii="Times New Roman" w:hAnsi="Times New Roman"/>
          <w:b/>
        </w:rPr>
      </w:pPr>
    </w:p>
    <w:p w14:paraId="45EFA6D0" w14:textId="0BE1CD34" w:rsidR="00604289" w:rsidRDefault="00A22FCA" w:rsidP="00604289">
      <w:pPr>
        <w:pStyle w:val="ListParagraph"/>
        <w:numPr>
          <w:ilvl w:val="0"/>
          <w:numId w:val="17"/>
        </w:numPr>
        <w:rPr>
          <w:rFonts w:ascii="Times New Roman" w:hAnsi="Times New Roman"/>
          <w:b/>
        </w:rPr>
      </w:pPr>
      <w:r w:rsidRPr="004510CC">
        <w:rPr>
          <w:rFonts w:ascii="Times New Roman" w:hAnsi="Times New Roman"/>
          <w:b/>
        </w:rPr>
        <w:t>Annual Cost To Federal Government</w:t>
      </w:r>
    </w:p>
    <w:p w14:paraId="708A012E" w14:textId="07E38C6B" w:rsidR="00A22FCA" w:rsidRDefault="00A22FCA" w:rsidP="00A22FCA">
      <w:pPr>
        <w:pStyle w:val="ListParagraph"/>
        <w:ind w:left="1080"/>
        <w:rPr>
          <w:rFonts w:ascii="Times New Roman" w:hAnsi="Times New Roman"/>
          <w:b/>
        </w:rPr>
      </w:pPr>
      <w:r w:rsidRPr="0039453A">
        <w:rPr>
          <w:rFonts w:ascii="Times New Roman" w:hAnsi="Times New Roman"/>
        </w:rPr>
        <w:t xml:space="preserve">The annual cost to the Federal Government is approximately </w:t>
      </w:r>
      <w:r w:rsidRPr="00072C90">
        <w:rPr>
          <w:rFonts w:ascii="Times New Roman" w:hAnsi="Times New Roman"/>
        </w:rPr>
        <w:t>$</w:t>
      </w:r>
      <w:r>
        <w:rPr>
          <w:rFonts w:ascii="Times New Roman" w:hAnsi="Times New Roman"/>
        </w:rPr>
        <w:t xml:space="preserve">4,267.  </w:t>
      </w:r>
      <w:r w:rsidRPr="00277C85">
        <w:rPr>
          <w:rFonts w:ascii="Times New Roman" w:hAnsi="Times New Roman"/>
          <w:color w:val="000000"/>
        </w:rPr>
        <w:t>This estimate accounts for costs from the following a</w:t>
      </w:r>
      <w:r>
        <w:rPr>
          <w:rFonts w:ascii="Times New Roman" w:hAnsi="Times New Roman"/>
          <w:color w:val="000000"/>
        </w:rPr>
        <w:t xml:space="preserve">reas:  (1) designing </w:t>
      </w:r>
      <w:r w:rsidRPr="00277C85">
        <w:rPr>
          <w:rFonts w:ascii="Times New Roman" w:hAnsi="Times New Roman"/>
          <w:color w:val="000000"/>
        </w:rPr>
        <w:t>and distributing the form</w:t>
      </w:r>
      <w:r>
        <w:rPr>
          <w:rFonts w:ascii="Times New Roman" w:hAnsi="Times New Roman"/>
          <w:color w:val="000000"/>
        </w:rPr>
        <w:t xml:space="preserve"> via email</w:t>
      </w:r>
      <w:r w:rsidRPr="00277C85">
        <w:rPr>
          <w:rFonts w:ascii="Times New Roman" w:hAnsi="Times New Roman"/>
          <w:color w:val="000000"/>
        </w:rPr>
        <w:t>; (2) SSA employee information collection and processing time</w:t>
      </w:r>
      <w:r>
        <w:rPr>
          <w:rFonts w:ascii="Times New Roman" w:hAnsi="Times New Roman"/>
          <w:color w:val="000000"/>
        </w:rPr>
        <w:t xml:space="preserve"> (including the consolidation and analysis of questionnaire results, and the drafting of the final report)</w:t>
      </w:r>
      <w:r w:rsidRPr="00277C85">
        <w:rPr>
          <w:rFonts w:ascii="Times New Roman" w:hAnsi="Times New Roman"/>
          <w:color w:val="000000"/>
        </w:rPr>
        <w:t xml:space="preserve">; and (3) </w:t>
      </w:r>
      <w:r>
        <w:rPr>
          <w:rFonts w:ascii="Times New Roman" w:hAnsi="Times New Roman"/>
          <w:color w:val="000000"/>
        </w:rPr>
        <w:t>email upkeep</w:t>
      </w:r>
      <w:r w:rsidRPr="00277C85">
        <w:rPr>
          <w:rFonts w:ascii="Times New Roman" w:hAnsi="Times New Roman"/>
          <w:color w:val="000000"/>
        </w:rPr>
        <w:t xml:space="preserve"> and maintenance costs</w:t>
      </w:r>
      <w:r>
        <w:rPr>
          <w:rFonts w:ascii="Times New Roman" w:hAnsi="Times New Roman"/>
          <w:color w:val="000000"/>
        </w:rPr>
        <w:t>.</w:t>
      </w:r>
    </w:p>
    <w:p w14:paraId="6BE45918" w14:textId="02467390" w:rsidR="00A22FCA" w:rsidRDefault="00A22FCA" w:rsidP="00A22FCA">
      <w:pPr>
        <w:pStyle w:val="ListParagraph"/>
        <w:ind w:left="1080"/>
        <w:rPr>
          <w:rFonts w:ascii="Times New Roman" w:hAnsi="Times New Roman"/>
          <w:b/>
        </w:rPr>
      </w:pPr>
    </w:p>
    <w:p w14:paraId="63CC0B7D" w14:textId="77777777" w:rsidR="00A22FCA" w:rsidRDefault="00A22FCA" w:rsidP="00A22FCA">
      <w:pPr>
        <w:pStyle w:val="ListParagraph"/>
        <w:ind w:left="1080"/>
        <w:rPr>
          <w:rFonts w:ascii="Times New Roman" w:hAnsi="Times New Roman"/>
          <w:b/>
        </w:rPr>
      </w:pPr>
    </w:p>
    <w:p w14:paraId="45794C33" w14:textId="7641BBF3" w:rsidR="00604289" w:rsidRDefault="00A22FCA" w:rsidP="00604289">
      <w:pPr>
        <w:pStyle w:val="ListParagraph"/>
        <w:numPr>
          <w:ilvl w:val="0"/>
          <w:numId w:val="17"/>
        </w:numPr>
        <w:rPr>
          <w:rFonts w:ascii="Times New Roman" w:hAnsi="Times New Roman"/>
          <w:b/>
        </w:rPr>
      </w:pPr>
      <w:r w:rsidRPr="00562CAD">
        <w:rPr>
          <w:rFonts w:ascii="Times New Roman" w:hAnsi="Times New Roman"/>
          <w:b/>
        </w:rPr>
        <w:t>Program Changes or Adjustments to the Information Collection Request</w:t>
      </w:r>
    </w:p>
    <w:p w14:paraId="52D458A8" w14:textId="70638B88" w:rsidR="00A22FCA" w:rsidRDefault="00A22FCA" w:rsidP="00A22FCA">
      <w:pPr>
        <w:pStyle w:val="ListParagraph"/>
        <w:ind w:left="1080"/>
        <w:rPr>
          <w:rFonts w:ascii="Times New Roman" w:hAnsi="Times New Roman"/>
          <w:b/>
        </w:rPr>
      </w:pPr>
      <w:r w:rsidRPr="00B15F5A">
        <w:rPr>
          <w:rFonts w:ascii="Times New Roman" w:hAnsi="Times New Roman"/>
        </w:rPr>
        <w:t>This new information collection increases the public reporting burden.  See</w:t>
      </w:r>
      <w:r w:rsidRPr="00D6121D">
        <w:rPr>
          <w:rFonts w:ascii="Times New Roman" w:hAnsi="Times New Roman"/>
        </w:rPr>
        <w:t xml:space="preserve"> #12 for </w:t>
      </w:r>
      <w:r w:rsidRPr="00F27E8B">
        <w:rPr>
          <w:rFonts w:ascii="Times New Roman" w:hAnsi="Times New Roman"/>
        </w:rPr>
        <w:t xml:space="preserve">the </w:t>
      </w:r>
      <w:r w:rsidRPr="00F61867">
        <w:rPr>
          <w:rFonts w:ascii="Times New Roman" w:hAnsi="Times New Roman"/>
        </w:rPr>
        <w:t>burden figures</w:t>
      </w:r>
      <w:r>
        <w:rPr>
          <w:rFonts w:ascii="Times New Roman" w:hAnsi="Times New Roman"/>
        </w:rPr>
        <w:t>.</w:t>
      </w:r>
    </w:p>
    <w:p w14:paraId="3A54A0C6" w14:textId="77777777" w:rsidR="00A22FCA" w:rsidRDefault="00A22FCA" w:rsidP="00A22FCA">
      <w:pPr>
        <w:pStyle w:val="ListParagraph"/>
        <w:ind w:left="1080"/>
        <w:rPr>
          <w:rFonts w:ascii="Times New Roman" w:hAnsi="Times New Roman"/>
          <w:b/>
        </w:rPr>
      </w:pPr>
    </w:p>
    <w:p w14:paraId="1EEA59AE" w14:textId="6F528D16" w:rsidR="00604289" w:rsidRDefault="00A22FCA" w:rsidP="00604289">
      <w:pPr>
        <w:pStyle w:val="ListParagraph"/>
        <w:numPr>
          <w:ilvl w:val="0"/>
          <w:numId w:val="17"/>
        </w:numPr>
        <w:rPr>
          <w:rFonts w:ascii="Times New Roman" w:hAnsi="Times New Roman"/>
          <w:b/>
        </w:rPr>
      </w:pPr>
      <w:r w:rsidRPr="00562CAD">
        <w:rPr>
          <w:rFonts w:ascii="Times New Roman" w:hAnsi="Times New Roman"/>
          <w:b/>
        </w:rPr>
        <w:t>Plans for Publication Information Collection Results</w:t>
      </w:r>
    </w:p>
    <w:p w14:paraId="4CFB6965" w14:textId="20E98160" w:rsidR="00A22FCA" w:rsidRPr="00A22FCA" w:rsidRDefault="00A22FCA" w:rsidP="00A22FCA">
      <w:pPr>
        <w:pStyle w:val="ListParagraph"/>
        <w:ind w:left="1080"/>
        <w:rPr>
          <w:rFonts w:ascii="Times New Roman" w:hAnsi="Times New Roman"/>
          <w:b/>
        </w:rPr>
      </w:pPr>
      <w:r w:rsidRPr="00A22FCA">
        <w:rPr>
          <w:rFonts w:ascii="Times New Roman" w:hAnsi="Times New Roman"/>
          <w:bCs/>
          <w:iCs/>
        </w:rPr>
        <w:t>SSA will not publish the results of the information collection</w:t>
      </w:r>
      <w:r w:rsidRPr="00A22FCA">
        <w:rPr>
          <w:rFonts w:ascii="Times New Roman" w:hAnsi="Times New Roman"/>
          <w:bCs/>
          <w:i/>
          <w:iCs/>
        </w:rPr>
        <w:t xml:space="preserve">.  </w:t>
      </w:r>
      <w:r w:rsidRPr="00A22FCA">
        <w:rPr>
          <w:rFonts w:ascii="Times New Roman" w:hAnsi="Times New Roman"/>
          <w:bCs/>
          <w:iCs/>
        </w:rPr>
        <w:t xml:space="preserve">However, SSA </w:t>
      </w:r>
      <w:r>
        <w:rPr>
          <w:rFonts w:ascii="Times New Roman" w:hAnsi="Times New Roman"/>
          <w:bCs/>
          <w:iCs/>
        </w:rPr>
        <w:t xml:space="preserve">will draft and submit a report </w:t>
      </w:r>
      <w:r w:rsidRPr="00A22FCA">
        <w:rPr>
          <w:rFonts w:ascii="Times New Roman" w:hAnsi="Times New Roman"/>
          <w:bCs/>
          <w:iCs/>
        </w:rPr>
        <w:t xml:space="preserve">the results of the study </w:t>
      </w:r>
      <w:r>
        <w:rPr>
          <w:rFonts w:ascii="Times New Roman" w:hAnsi="Times New Roman"/>
          <w:bCs/>
          <w:iCs/>
        </w:rPr>
        <w:t>regarding</w:t>
      </w:r>
      <w:r w:rsidRPr="00A22FCA">
        <w:rPr>
          <w:rFonts w:ascii="Times New Roman" w:hAnsi="Times New Roman"/>
          <w:bCs/>
          <w:iCs/>
        </w:rPr>
        <w:t xml:space="preserve"> improving data sharing with State Adult Protective Services agencies to Congress</w:t>
      </w:r>
      <w:r>
        <w:rPr>
          <w:rFonts w:ascii="Times New Roman" w:hAnsi="Times New Roman"/>
          <w:bCs/>
          <w:iCs/>
        </w:rPr>
        <w:t xml:space="preserve"> </w:t>
      </w:r>
      <w:r w:rsidRPr="00A22FCA">
        <w:rPr>
          <w:rFonts w:ascii="Times New Roman" w:hAnsi="Times New Roman"/>
          <w:bCs/>
          <w:iCs/>
        </w:rPr>
        <w:t>by June 30, 2022.</w:t>
      </w:r>
    </w:p>
    <w:p w14:paraId="2FC3AA5A" w14:textId="77777777" w:rsidR="00A22FCA" w:rsidRDefault="00A22FCA" w:rsidP="00A22FCA">
      <w:pPr>
        <w:pStyle w:val="ListParagraph"/>
        <w:ind w:left="1080"/>
        <w:rPr>
          <w:rFonts w:ascii="Times New Roman" w:hAnsi="Times New Roman"/>
          <w:b/>
        </w:rPr>
      </w:pPr>
    </w:p>
    <w:p w14:paraId="61B112DF" w14:textId="57CE0681" w:rsidR="00604289" w:rsidRDefault="00A22FCA" w:rsidP="00604289">
      <w:pPr>
        <w:pStyle w:val="ListParagraph"/>
        <w:numPr>
          <w:ilvl w:val="0"/>
          <w:numId w:val="17"/>
        </w:numPr>
        <w:rPr>
          <w:rFonts w:ascii="Times New Roman" w:hAnsi="Times New Roman"/>
          <w:b/>
        </w:rPr>
      </w:pPr>
      <w:r w:rsidRPr="00562CAD">
        <w:rPr>
          <w:rFonts w:ascii="Times New Roman" w:hAnsi="Times New Roman"/>
          <w:b/>
        </w:rPr>
        <w:t>Displaying the OMB Approval Expiration Date</w:t>
      </w:r>
    </w:p>
    <w:p w14:paraId="15DC5B22" w14:textId="74437393" w:rsidR="00A22FCA" w:rsidRDefault="00A22FCA" w:rsidP="00A22FCA">
      <w:pPr>
        <w:pStyle w:val="ListParagraph"/>
        <w:ind w:left="1080"/>
        <w:rPr>
          <w:rFonts w:ascii="Times New Roman" w:hAnsi="Times New Roman"/>
          <w:b/>
        </w:rPr>
      </w:pPr>
      <w:r w:rsidRPr="0079145C">
        <w:rPr>
          <w:rFonts w:ascii="Times New Roman" w:hAnsi="Times New Roman"/>
          <w:bCs/>
          <w:iCs/>
        </w:rPr>
        <w:t>SSA is not requesting an exception to the requirement to display the OMB approval expiration date</w:t>
      </w:r>
      <w:r>
        <w:rPr>
          <w:rFonts w:ascii="Times New Roman" w:hAnsi="Times New Roman"/>
          <w:bCs/>
          <w:iCs/>
        </w:rPr>
        <w:t>.</w:t>
      </w:r>
    </w:p>
    <w:p w14:paraId="7F0116DB" w14:textId="77777777" w:rsidR="00A22FCA" w:rsidRDefault="00A22FCA" w:rsidP="00A22FCA">
      <w:pPr>
        <w:pStyle w:val="ListParagraph"/>
        <w:ind w:left="1080"/>
        <w:rPr>
          <w:rFonts w:ascii="Times New Roman" w:hAnsi="Times New Roman"/>
          <w:b/>
        </w:rPr>
      </w:pPr>
    </w:p>
    <w:p w14:paraId="367018CE" w14:textId="77777777" w:rsidR="00A22FCA" w:rsidRPr="00562CAD" w:rsidRDefault="00A22FCA" w:rsidP="00A22FCA">
      <w:pPr>
        <w:numPr>
          <w:ilvl w:val="0"/>
          <w:numId w:val="17"/>
        </w:numPr>
        <w:rPr>
          <w:rFonts w:ascii="Times New Roman" w:hAnsi="Times New Roman"/>
          <w:b/>
        </w:rPr>
      </w:pPr>
      <w:r w:rsidRPr="00562CAD">
        <w:rPr>
          <w:rFonts w:ascii="Times New Roman" w:hAnsi="Times New Roman"/>
          <w:b/>
        </w:rPr>
        <w:t>Exceptions to Certification Statement</w:t>
      </w:r>
    </w:p>
    <w:p w14:paraId="63D25746" w14:textId="40B7232A" w:rsidR="00A22FCA" w:rsidRPr="00A22FCA" w:rsidRDefault="00A22FCA" w:rsidP="00A22FCA">
      <w:pPr>
        <w:pStyle w:val="ListParagraph"/>
        <w:ind w:left="1080"/>
        <w:rPr>
          <w:rFonts w:ascii="Times New Roman" w:hAnsi="Times New Roman"/>
          <w:b/>
        </w:rPr>
      </w:pPr>
      <w:r w:rsidRPr="00562CAD">
        <w:rPr>
          <w:rFonts w:ascii="Times New Roman" w:hAnsi="Times New Roman"/>
        </w:rPr>
        <w:t xml:space="preserve">SSA is not requesting an exception to the certification requirements at </w:t>
      </w:r>
      <w:r w:rsidRPr="00A22FCA">
        <w:rPr>
          <w:rFonts w:ascii="Times New Roman" w:hAnsi="Times New Roman"/>
          <w:i/>
        </w:rPr>
        <w:t>5 CFR 1320.9</w:t>
      </w:r>
      <w:r w:rsidRPr="00562CAD">
        <w:rPr>
          <w:rFonts w:ascii="Times New Roman" w:hAnsi="Times New Roman"/>
        </w:rPr>
        <w:t xml:space="preserve"> and related provisions at </w:t>
      </w:r>
      <w:r w:rsidRPr="00A22FCA">
        <w:rPr>
          <w:rFonts w:ascii="Times New Roman" w:hAnsi="Times New Roman"/>
          <w:i/>
        </w:rPr>
        <w:t>5 CFR 1320.8(b)(3)</w:t>
      </w:r>
      <w:r w:rsidRPr="00562CAD">
        <w:rPr>
          <w:rFonts w:ascii="Times New Roman" w:hAnsi="Times New Roman"/>
        </w:rPr>
        <w:t>.</w:t>
      </w:r>
    </w:p>
    <w:p w14:paraId="53FA34E0" w14:textId="77777777" w:rsidR="00604289" w:rsidRPr="00604289" w:rsidRDefault="00604289" w:rsidP="00604289">
      <w:pPr>
        <w:pStyle w:val="ListParagraph"/>
        <w:rPr>
          <w:rFonts w:ascii="Times New Roman" w:hAnsi="Times New Roman"/>
          <w:b/>
        </w:rPr>
      </w:pPr>
    </w:p>
    <w:p w14:paraId="69CC1EDC" w14:textId="5D80F0E5" w:rsidR="00604289" w:rsidRPr="00A22FCA" w:rsidRDefault="00604289" w:rsidP="00604289">
      <w:pPr>
        <w:pStyle w:val="ListParagraph"/>
        <w:numPr>
          <w:ilvl w:val="0"/>
          <w:numId w:val="16"/>
        </w:numPr>
        <w:rPr>
          <w:rFonts w:ascii="Times New Roman" w:hAnsi="Times New Roman"/>
          <w:b/>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14:paraId="36A673E8" w14:textId="2AB968A5" w:rsidR="00A22FCA" w:rsidRDefault="00A22FCA" w:rsidP="00A22FCA">
      <w:pPr>
        <w:pStyle w:val="ListParagraph"/>
        <w:rPr>
          <w:rFonts w:ascii="Times New Roman" w:hAnsi="Times New Roman"/>
          <w:b/>
          <w:u w:val="single"/>
        </w:rPr>
      </w:pPr>
    </w:p>
    <w:p w14:paraId="25F041DB" w14:textId="6B0CDA82" w:rsidR="00A22FCA" w:rsidRPr="00604289" w:rsidRDefault="00A22FCA" w:rsidP="00A22FCA">
      <w:pPr>
        <w:pStyle w:val="ListParagraph"/>
        <w:ind w:left="1080"/>
        <w:rPr>
          <w:rFonts w:ascii="Times New Roman" w:hAnsi="Times New Roman"/>
          <w:b/>
        </w:rPr>
      </w:pPr>
      <w:r w:rsidRPr="004510CC">
        <w:rPr>
          <w:rFonts w:ascii="Times New Roman" w:hAnsi="Times New Roman"/>
        </w:rPr>
        <w:t xml:space="preserve">SSA </w:t>
      </w:r>
      <w:r>
        <w:rPr>
          <w:rFonts w:ascii="Times New Roman" w:hAnsi="Times New Roman"/>
        </w:rPr>
        <w:t>is</w:t>
      </w:r>
      <w:r w:rsidRPr="004510CC">
        <w:rPr>
          <w:rFonts w:ascii="Times New Roman" w:hAnsi="Times New Roman"/>
        </w:rPr>
        <w:t xml:space="preserve"> not us</w:t>
      </w:r>
      <w:r>
        <w:rPr>
          <w:rFonts w:ascii="Times New Roman" w:hAnsi="Times New Roman"/>
        </w:rPr>
        <w:t>ing</w:t>
      </w:r>
      <w:r w:rsidRPr="004510CC">
        <w:rPr>
          <w:rFonts w:ascii="Times New Roman" w:hAnsi="Times New Roman"/>
        </w:rPr>
        <w:t xml:space="preserve"> statistical methods f</w:t>
      </w:r>
      <w:r>
        <w:rPr>
          <w:rFonts w:ascii="Times New Roman" w:hAnsi="Times New Roman"/>
        </w:rPr>
        <w:t>or this information collection.</w:t>
      </w:r>
    </w:p>
    <w:p w14:paraId="4473AAB4" w14:textId="77777777" w:rsidR="00A45D82" w:rsidRPr="00BC7F42" w:rsidRDefault="00A45D82" w:rsidP="00A45D82">
      <w:pPr>
        <w:pStyle w:val="Header"/>
        <w:tabs>
          <w:tab w:val="clear" w:pos="4320"/>
          <w:tab w:val="clear" w:pos="8640"/>
        </w:tabs>
        <w:rPr>
          <w:rFonts w:ascii="Times New Roman" w:hAnsi="Times New Roman"/>
        </w:rPr>
      </w:pPr>
    </w:p>
    <w:sectPr w:rsidR="00A45D82" w:rsidRPr="00BC7F42" w:rsidSect="00AA6C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D5D1" w14:textId="77777777" w:rsidR="00974505" w:rsidRDefault="00974505">
      <w:r>
        <w:separator/>
      </w:r>
    </w:p>
  </w:endnote>
  <w:endnote w:type="continuationSeparator" w:id="0">
    <w:p w14:paraId="44CBDF4C" w14:textId="77777777" w:rsidR="00974505" w:rsidRDefault="00974505">
      <w:r>
        <w:continuationSeparator/>
      </w:r>
    </w:p>
  </w:endnote>
  <w:endnote w:type="continuationNotice" w:id="1">
    <w:p w14:paraId="730300B7" w14:textId="77777777" w:rsidR="00974505" w:rsidRDefault="00974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5490" w14:textId="77777777" w:rsidR="00974505" w:rsidRDefault="00974505">
      <w:r>
        <w:separator/>
      </w:r>
    </w:p>
  </w:footnote>
  <w:footnote w:type="continuationSeparator" w:id="0">
    <w:p w14:paraId="72813BBA" w14:textId="77777777" w:rsidR="00974505" w:rsidRDefault="00974505">
      <w:r>
        <w:continuationSeparator/>
      </w:r>
    </w:p>
  </w:footnote>
  <w:footnote w:type="continuationNotice" w:id="1">
    <w:p w14:paraId="5C8051FE" w14:textId="77777777" w:rsidR="00974505" w:rsidRDefault="009745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2F9"/>
    <w:multiLevelType w:val="hybridMultilevel"/>
    <w:tmpl w:val="5694C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322532"/>
    <w:multiLevelType w:val="hybridMultilevel"/>
    <w:tmpl w:val="425078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472D3F"/>
    <w:multiLevelType w:val="hybridMultilevel"/>
    <w:tmpl w:val="019AE482"/>
    <w:lvl w:ilvl="0" w:tplc="04090011">
      <w:start w:val="1"/>
      <w:numFmt w:val="decimal"/>
      <w:lvlText w:val="%1)"/>
      <w:lvlJc w:val="left"/>
      <w:pPr>
        <w:ind w:left="1108" w:hanging="3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5D7351C"/>
    <w:multiLevelType w:val="hybridMultilevel"/>
    <w:tmpl w:val="26A275C8"/>
    <w:lvl w:ilvl="0" w:tplc="20941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3"/>
  </w:num>
  <w:num w:numId="2">
    <w:abstractNumId w:val="3"/>
  </w:num>
  <w:num w:numId="3">
    <w:abstractNumId w:val="2"/>
  </w:num>
  <w:num w:numId="4">
    <w:abstractNumId w:val="6"/>
  </w:num>
  <w:num w:numId="5">
    <w:abstractNumId w:val="7"/>
  </w:num>
  <w:num w:numId="6">
    <w:abstractNumId w:val="17"/>
  </w:num>
  <w:num w:numId="7">
    <w:abstractNumId w:val="16"/>
  </w:num>
  <w:num w:numId="8">
    <w:abstractNumId w:val="14"/>
  </w:num>
  <w:num w:numId="9">
    <w:abstractNumId w:val="10"/>
  </w:num>
  <w:num w:numId="10">
    <w:abstractNumId w:val="11"/>
  </w:num>
  <w:num w:numId="11">
    <w:abstractNumId w:val="1"/>
  </w:num>
  <w:num w:numId="12">
    <w:abstractNumId w:val="5"/>
  </w:num>
  <w:num w:numId="13">
    <w:abstractNumId w:val="15"/>
  </w:num>
  <w:num w:numId="14">
    <w:abstractNumId w:val="8"/>
  </w:num>
  <w:num w:numId="15">
    <w:abstractNumId w:val="9"/>
  </w:num>
  <w:num w:numId="16">
    <w:abstractNumId w:val="0"/>
  </w:num>
  <w:num w:numId="17">
    <w:abstractNumId w:val="12"/>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5C7B"/>
    <w:rsid w:val="00006C4F"/>
    <w:rsid w:val="00015F0A"/>
    <w:rsid w:val="000222A7"/>
    <w:rsid w:val="00025216"/>
    <w:rsid w:val="00025D75"/>
    <w:rsid w:val="0002677F"/>
    <w:rsid w:val="00034976"/>
    <w:rsid w:val="00052FC6"/>
    <w:rsid w:val="00063555"/>
    <w:rsid w:val="00063A05"/>
    <w:rsid w:val="0006715D"/>
    <w:rsid w:val="0007189E"/>
    <w:rsid w:val="00077720"/>
    <w:rsid w:val="00077E0E"/>
    <w:rsid w:val="00086E84"/>
    <w:rsid w:val="000938CB"/>
    <w:rsid w:val="000958AA"/>
    <w:rsid w:val="000978EB"/>
    <w:rsid w:val="000A4DAA"/>
    <w:rsid w:val="000A6AE3"/>
    <w:rsid w:val="000A7C6E"/>
    <w:rsid w:val="000B2B68"/>
    <w:rsid w:val="000B3B12"/>
    <w:rsid w:val="000B7005"/>
    <w:rsid w:val="000C08B8"/>
    <w:rsid w:val="000C12E1"/>
    <w:rsid w:val="000C151C"/>
    <w:rsid w:val="000C1D18"/>
    <w:rsid w:val="000C7394"/>
    <w:rsid w:val="000D0C49"/>
    <w:rsid w:val="000D5F5C"/>
    <w:rsid w:val="000E26A8"/>
    <w:rsid w:val="00114488"/>
    <w:rsid w:val="0012100F"/>
    <w:rsid w:val="00121032"/>
    <w:rsid w:val="00122EE2"/>
    <w:rsid w:val="00126F0E"/>
    <w:rsid w:val="00127980"/>
    <w:rsid w:val="0014124A"/>
    <w:rsid w:val="00146275"/>
    <w:rsid w:val="0015576E"/>
    <w:rsid w:val="00161D14"/>
    <w:rsid w:val="00165946"/>
    <w:rsid w:val="00186A92"/>
    <w:rsid w:val="00192897"/>
    <w:rsid w:val="001A3317"/>
    <w:rsid w:val="001A65F9"/>
    <w:rsid w:val="001A789A"/>
    <w:rsid w:val="001B7CF4"/>
    <w:rsid w:val="001C6D3A"/>
    <w:rsid w:val="001D0B21"/>
    <w:rsid w:val="001D6D3A"/>
    <w:rsid w:val="001E1076"/>
    <w:rsid w:val="001E6FA8"/>
    <w:rsid w:val="00202C06"/>
    <w:rsid w:val="002321B0"/>
    <w:rsid w:val="00232860"/>
    <w:rsid w:val="00246836"/>
    <w:rsid w:val="0026052B"/>
    <w:rsid w:val="00276AAF"/>
    <w:rsid w:val="002801F8"/>
    <w:rsid w:val="00292C66"/>
    <w:rsid w:val="002A4C30"/>
    <w:rsid w:val="002B0820"/>
    <w:rsid w:val="002B5578"/>
    <w:rsid w:val="002C4C87"/>
    <w:rsid w:val="002C6652"/>
    <w:rsid w:val="002E18CF"/>
    <w:rsid w:val="002E335E"/>
    <w:rsid w:val="002F1C11"/>
    <w:rsid w:val="002F391B"/>
    <w:rsid w:val="002F42C8"/>
    <w:rsid w:val="00302545"/>
    <w:rsid w:val="00316A91"/>
    <w:rsid w:val="003176E1"/>
    <w:rsid w:val="00331821"/>
    <w:rsid w:val="00331DE6"/>
    <w:rsid w:val="00333D3D"/>
    <w:rsid w:val="003465DC"/>
    <w:rsid w:val="003469CA"/>
    <w:rsid w:val="0036696D"/>
    <w:rsid w:val="0038050B"/>
    <w:rsid w:val="003810B2"/>
    <w:rsid w:val="003A1A3C"/>
    <w:rsid w:val="003A33BA"/>
    <w:rsid w:val="003A5F17"/>
    <w:rsid w:val="003B15EC"/>
    <w:rsid w:val="003B1E8A"/>
    <w:rsid w:val="003B30B4"/>
    <w:rsid w:val="003B37F2"/>
    <w:rsid w:val="003C10BD"/>
    <w:rsid w:val="003E145C"/>
    <w:rsid w:val="004041B2"/>
    <w:rsid w:val="00405548"/>
    <w:rsid w:val="00407710"/>
    <w:rsid w:val="0041131C"/>
    <w:rsid w:val="004317CB"/>
    <w:rsid w:val="00447EE9"/>
    <w:rsid w:val="0045045D"/>
    <w:rsid w:val="0045065A"/>
    <w:rsid w:val="004509AD"/>
    <w:rsid w:val="004510CC"/>
    <w:rsid w:val="00451E6A"/>
    <w:rsid w:val="00452181"/>
    <w:rsid w:val="0047514A"/>
    <w:rsid w:val="00475350"/>
    <w:rsid w:val="004766E4"/>
    <w:rsid w:val="00481B44"/>
    <w:rsid w:val="00484662"/>
    <w:rsid w:val="00485974"/>
    <w:rsid w:val="004915B5"/>
    <w:rsid w:val="00494A83"/>
    <w:rsid w:val="00494D55"/>
    <w:rsid w:val="004A48F1"/>
    <w:rsid w:val="004B6D10"/>
    <w:rsid w:val="004E146D"/>
    <w:rsid w:val="004E18BE"/>
    <w:rsid w:val="004F4990"/>
    <w:rsid w:val="0050197F"/>
    <w:rsid w:val="005040EC"/>
    <w:rsid w:val="00506486"/>
    <w:rsid w:val="00525041"/>
    <w:rsid w:val="005325F6"/>
    <w:rsid w:val="0056163C"/>
    <w:rsid w:val="00562CAD"/>
    <w:rsid w:val="005721D4"/>
    <w:rsid w:val="00575EA6"/>
    <w:rsid w:val="00593A36"/>
    <w:rsid w:val="00594CB3"/>
    <w:rsid w:val="005A1198"/>
    <w:rsid w:val="005A3391"/>
    <w:rsid w:val="005B15E5"/>
    <w:rsid w:val="005B52F0"/>
    <w:rsid w:val="005C2C39"/>
    <w:rsid w:val="005C6DBB"/>
    <w:rsid w:val="005D4107"/>
    <w:rsid w:val="005E4C50"/>
    <w:rsid w:val="005F208A"/>
    <w:rsid w:val="006002DD"/>
    <w:rsid w:val="00600397"/>
    <w:rsid w:val="006013A3"/>
    <w:rsid w:val="00602412"/>
    <w:rsid w:val="00604289"/>
    <w:rsid w:val="006160ED"/>
    <w:rsid w:val="00626A2F"/>
    <w:rsid w:val="00626C22"/>
    <w:rsid w:val="00631F1B"/>
    <w:rsid w:val="0063304D"/>
    <w:rsid w:val="00637AF5"/>
    <w:rsid w:val="00640A26"/>
    <w:rsid w:val="006461A1"/>
    <w:rsid w:val="00663881"/>
    <w:rsid w:val="00664553"/>
    <w:rsid w:val="00670220"/>
    <w:rsid w:val="006806E1"/>
    <w:rsid w:val="00683EF5"/>
    <w:rsid w:val="0069667B"/>
    <w:rsid w:val="006B173F"/>
    <w:rsid w:val="006B17EF"/>
    <w:rsid w:val="006B297F"/>
    <w:rsid w:val="006B6FAB"/>
    <w:rsid w:val="006F2B8B"/>
    <w:rsid w:val="006F3428"/>
    <w:rsid w:val="006F4D0F"/>
    <w:rsid w:val="0070479A"/>
    <w:rsid w:val="00712F1B"/>
    <w:rsid w:val="007139F2"/>
    <w:rsid w:val="0071437B"/>
    <w:rsid w:val="00715309"/>
    <w:rsid w:val="007245C9"/>
    <w:rsid w:val="007256B3"/>
    <w:rsid w:val="00732390"/>
    <w:rsid w:val="00742B56"/>
    <w:rsid w:val="00745462"/>
    <w:rsid w:val="00760751"/>
    <w:rsid w:val="007762EC"/>
    <w:rsid w:val="00780A64"/>
    <w:rsid w:val="00795BAB"/>
    <w:rsid w:val="007A08D1"/>
    <w:rsid w:val="007A2DEE"/>
    <w:rsid w:val="007B007C"/>
    <w:rsid w:val="007B34A6"/>
    <w:rsid w:val="007D061D"/>
    <w:rsid w:val="007D22EB"/>
    <w:rsid w:val="007D6C2D"/>
    <w:rsid w:val="007E0CF6"/>
    <w:rsid w:val="007E17BD"/>
    <w:rsid w:val="007E7224"/>
    <w:rsid w:val="007F122B"/>
    <w:rsid w:val="00806984"/>
    <w:rsid w:val="00810485"/>
    <w:rsid w:val="00814772"/>
    <w:rsid w:val="00824D72"/>
    <w:rsid w:val="00825B97"/>
    <w:rsid w:val="00830161"/>
    <w:rsid w:val="0084775D"/>
    <w:rsid w:val="0085023D"/>
    <w:rsid w:val="008533DA"/>
    <w:rsid w:val="00857592"/>
    <w:rsid w:val="0086463A"/>
    <w:rsid w:val="008754ED"/>
    <w:rsid w:val="00891CA8"/>
    <w:rsid w:val="008925A0"/>
    <w:rsid w:val="00892E12"/>
    <w:rsid w:val="008A1417"/>
    <w:rsid w:val="008A2556"/>
    <w:rsid w:val="008A7652"/>
    <w:rsid w:val="008B6774"/>
    <w:rsid w:val="008D0076"/>
    <w:rsid w:val="008D158E"/>
    <w:rsid w:val="008D53B6"/>
    <w:rsid w:val="008E3A3A"/>
    <w:rsid w:val="008E4EBD"/>
    <w:rsid w:val="00906892"/>
    <w:rsid w:val="009252AB"/>
    <w:rsid w:val="00951258"/>
    <w:rsid w:val="009513C5"/>
    <w:rsid w:val="00952C5B"/>
    <w:rsid w:val="00954F9E"/>
    <w:rsid w:val="00955EC4"/>
    <w:rsid w:val="00965693"/>
    <w:rsid w:val="009716E3"/>
    <w:rsid w:val="00974505"/>
    <w:rsid w:val="009748B6"/>
    <w:rsid w:val="00975DD8"/>
    <w:rsid w:val="0098361A"/>
    <w:rsid w:val="00984F14"/>
    <w:rsid w:val="00986A0C"/>
    <w:rsid w:val="0099260A"/>
    <w:rsid w:val="009A0B16"/>
    <w:rsid w:val="009A347F"/>
    <w:rsid w:val="009E3C50"/>
    <w:rsid w:val="009F23D6"/>
    <w:rsid w:val="009F7BB3"/>
    <w:rsid w:val="00A02427"/>
    <w:rsid w:val="00A13DD7"/>
    <w:rsid w:val="00A22FCA"/>
    <w:rsid w:val="00A337E4"/>
    <w:rsid w:val="00A33C65"/>
    <w:rsid w:val="00A34222"/>
    <w:rsid w:val="00A45D82"/>
    <w:rsid w:val="00A4749E"/>
    <w:rsid w:val="00A61EE7"/>
    <w:rsid w:val="00A651A7"/>
    <w:rsid w:val="00A67D76"/>
    <w:rsid w:val="00A706B8"/>
    <w:rsid w:val="00AA0420"/>
    <w:rsid w:val="00AA06A4"/>
    <w:rsid w:val="00AA0858"/>
    <w:rsid w:val="00AA0C27"/>
    <w:rsid w:val="00AA6C31"/>
    <w:rsid w:val="00AB0CA7"/>
    <w:rsid w:val="00AB3C98"/>
    <w:rsid w:val="00AB4769"/>
    <w:rsid w:val="00AC39FD"/>
    <w:rsid w:val="00AD0977"/>
    <w:rsid w:val="00AD7CA9"/>
    <w:rsid w:val="00AE0527"/>
    <w:rsid w:val="00AE2753"/>
    <w:rsid w:val="00AE7FBC"/>
    <w:rsid w:val="00AF3BEA"/>
    <w:rsid w:val="00B007C5"/>
    <w:rsid w:val="00B01D57"/>
    <w:rsid w:val="00B029DA"/>
    <w:rsid w:val="00B144DB"/>
    <w:rsid w:val="00B21164"/>
    <w:rsid w:val="00B35DBE"/>
    <w:rsid w:val="00B41AD3"/>
    <w:rsid w:val="00B421A1"/>
    <w:rsid w:val="00B43B40"/>
    <w:rsid w:val="00B57C5C"/>
    <w:rsid w:val="00B6067D"/>
    <w:rsid w:val="00B741F6"/>
    <w:rsid w:val="00B753ED"/>
    <w:rsid w:val="00B76D9D"/>
    <w:rsid w:val="00B8436F"/>
    <w:rsid w:val="00B92550"/>
    <w:rsid w:val="00BA1653"/>
    <w:rsid w:val="00BA401A"/>
    <w:rsid w:val="00BA7410"/>
    <w:rsid w:val="00BC5531"/>
    <w:rsid w:val="00BC7F42"/>
    <w:rsid w:val="00BD25B0"/>
    <w:rsid w:val="00BE2558"/>
    <w:rsid w:val="00BF026F"/>
    <w:rsid w:val="00BF2C6A"/>
    <w:rsid w:val="00BF7876"/>
    <w:rsid w:val="00C01AF8"/>
    <w:rsid w:val="00C0290B"/>
    <w:rsid w:val="00C20E9F"/>
    <w:rsid w:val="00C22097"/>
    <w:rsid w:val="00C25FDC"/>
    <w:rsid w:val="00C34A91"/>
    <w:rsid w:val="00C377BC"/>
    <w:rsid w:val="00C40031"/>
    <w:rsid w:val="00C5104E"/>
    <w:rsid w:val="00C60E61"/>
    <w:rsid w:val="00C67C8A"/>
    <w:rsid w:val="00C67F83"/>
    <w:rsid w:val="00C81338"/>
    <w:rsid w:val="00C85C5D"/>
    <w:rsid w:val="00C920CD"/>
    <w:rsid w:val="00C941E2"/>
    <w:rsid w:val="00CA0B15"/>
    <w:rsid w:val="00CA16DE"/>
    <w:rsid w:val="00CA3F75"/>
    <w:rsid w:val="00CA5F75"/>
    <w:rsid w:val="00CA6CAE"/>
    <w:rsid w:val="00CB3BD3"/>
    <w:rsid w:val="00CB7253"/>
    <w:rsid w:val="00CB7557"/>
    <w:rsid w:val="00CC537D"/>
    <w:rsid w:val="00CD07B4"/>
    <w:rsid w:val="00CD667A"/>
    <w:rsid w:val="00CE23C1"/>
    <w:rsid w:val="00CE36C9"/>
    <w:rsid w:val="00D0011E"/>
    <w:rsid w:val="00D03E8A"/>
    <w:rsid w:val="00D177F2"/>
    <w:rsid w:val="00D24FB7"/>
    <w:rsid w:val="00D25AE7"/>
    <w:rsid w:val="00D36975"/>
    <w:rsid w:val="00D42EFE"/>
    <w:rsid w:val="00D44900"/>
    <w:rsid w:val="00D5531A"/>
    <w:rsid w:val="00D678F8"/>
    <w:rsid w:val="00D85860"/>
    <w:rsid w:val="00DA5E87"/>
    <w:rsid w:val="00DB0919"/>
    <w:rsid w:val="00DB1DB4"/>
    <w:rsid w:val="00DC14F7"/>
    <w:rsid w:val="00DD1A0D"/>
    <w:rsid w:val="00DD494D"/>
    <w:rsid w:val="00DE6186"/>
    <w:rsid w:val="00DF7EE9"/>
    <w:rsid w:val="00E0137B"/>
    <w:rsid w:val="00E065DA"/>
    <w:rsid w:val="00E16581"/>
    <w:rsid w:val="00E17561"/>
    <w:rsid w:val="00E202C6"/>
    <w:rsid w:val="00E3164F"/>
    <w:rsid w:val="00E40589"/>
    <w:rsid w:val="00E437C5"/>
    <w:rsid w:val="00E652E3"/>
    <w:rsid w:val="00E75DB0"/>
    <w:rsid w:val="00E80456"/>
    <w:rsid w:val="00E80E59"/>
    <w:rsid w:val="00E82BFD"/>
    <w:rsid w:val="00E956F3"/>
    <w:rsid w:val="00EA6D87"/>
    <w:rsid w:val="00EB0E66"/>
    <w:rsid w:val="00EB65DF"/>
    <w:rsid w:val="00EC0715"/>
    <w:rsid w:val="00EC7EFD"/>
    <w:rsid w:val="00ED36D8"/>
    <w:rsid w:val="00EE6086"/>
    <w:rsid w:val="00EF2911"/>
    <w:rsid w:val="00EF4071"/>
    <w:rsid w:val="00EF765F"/>
    <w:rsid w:val="00F028DE"/>
    <w:rsid w:val="00F0585C"/>
    <w:rsid w:val="00F107B7"/>
    <w:rsid w:val="00F11F57"/>
    <w:rsid w:val="00F14BA8"/>
    <w:rsid w:val="00F15EF8"/>
    <w:rsid w:val="00F34A2A"/>
    <w:rsid w:val="00F36E53"/>
    <w:rsid w:val="00F4189F"/>
    <w:rsid w:val="00F4316C"/>
    <w:rsid w:val="00F46176"/>
    <w:rsid w:val="00F5149E"/>
    <w:rsid w:val="00F56A74"/>
    <w:rsid w:val="00F57AD9"/>
    <w:rsid w:val="00F61473"/>
    <w:rsid w:val="00F66CFD"/>
    <w:rsid w:val="00F832E5"/>
    <w:rsid w:val="00F870A3"/>
    <w:rsid w:val="00F91762"/>
    <w:rsid w:val="00F922A6"/>
    <w:rsid w:val="00F9405B"/>
    <w:rsid w:val="00FA0FE2"/>
    <w:rsid w:val="00FA34E8"/>
    <w:rsid w:val="00FA5787"/>
    <w:rsid w:val="00FA7D4E"/>
    <w:rsid w:val="00FC5993"/>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0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E652E3"/>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E652E3"/>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45306701">
      <w:bodyDiv w:val="1"/>
      <w:marLeft w:val="0"/>
      <w:marRight w:val="0"/>
      <w:marTop w:val="0"/>
      <w:marBottom w:val="0"/>
      <w:divBdr>
        <w:top w:val="none" w:sz="0" w:space="0" w:color="auto"/>
        <w:left w:val="none" w:sz="0" w:space="0" w:color="auto"/>
        <w:bottom w:val="none" w:sz="0" w:space="0" w:color="auto"/>
        <w:right w:val="none" w:sz="0" w:space="0" w:color="auto"/>
      </w:divBdr>
      <w:divsChild>
        <w:div w:id="1520926627">
          <w:marLeft w:val="360"/>
          <w:marRight w:val="0"/>
          <w:marTop w:val="140"/>
          <w:marBottom w:val="0"/>
          <w:divBdr>
            <w:top w:val="none" w:sz="0" w:space="0" w:color="auto"/>
            <w:left w:val="none" w:sz="0" w:space="0" w:color="auto"/>
            <w:bottom w:val="none" w:sz="0" w:space="0" w:color="auto"/>
            <w:right w:val="none" w:sz="0" w:space="0" w:color="auto"/>
          </w:divBdr>
        </w:div>
        <w:div w:id="1672877627">
          <w:marLeft w:val="360"/>
          <w:marRight w:val="0"/>
          <w:marTop w:val="140"/>
          <w:marBottom w:val="0"/>
          <w:divBdr>
            <w:top w:val="none" w:sz="0" w:space="0" w:color="auto"/>
            <w:left w:val="none" w:sz="0" w:space="0" w:color="auto"/>
            <w:bottom w:val="none" w:sz="0" w:space="0" w:color="auto"/>
            <w:right w:val="none" w:sz="0" w:space="0" w:color="auto"/>
          </w:divBdr>
        </w:div>
      </w:divsChild>
    </w:div>
    <w:div w:id="1109934813">
      <w:bodyDiv w:val="1"/>
      <w:marLeft w:val="0"/>
      <w:marRight w:val="0"/>
      <w:marTop w:val="0"/>
      <w:marBottom w:val="0"/>
      <w:divBdr>
        <w:top w:val="none" w:sz="0" w:space="0" w:color="auto"/>
        <w:left w:val="none" w:sz="0" w:space="0" w:color="auto"/>
        <w:bottom w:val="none" w:sz="0" w:space="0" w:color="auto"/>
        <w:right w:val="none" w:sz="0" w:space="0" w:color="auto"/>
      </w:divBdr>
      <w:divsChild>
        <w:div w:id="1764689152">
          <w:marLeft w:val="360"/>
          <w:marRight w:val="0"/>
          <w:marTop w:val="140"/>
          <w:marBottom w:val="0"/>
          <w:divBdr>
            <w:top w:val="none" w:sz="0" w:space="0" w:color="auto"/>
            <w:left w:val="none" w:sz="0" w:space="0" w:color="auto"/>
            <w:bottom w:val="none" w:sz="0" w:space="0" w:color="auto"/>
            <w:right w:val="none" w:sz="0" w:space="0" w:color="auto"/>
          </w:divBdr>
        </w:div>
        <w:div w:id="2073232793">
          <w:marLeft w:val="360"/>
          <w:marRight w:val="0"/>
          <w:marTop w:val="140"/>
          <w:marBottom w:val="0"/>
          <w:divBdr>
            <w:top w:val="none" w:sz="0" w:space="0" w:color="auto"/>
            <w:left w:val="none" w:sz="0" w:space="0" w:color="auto"/>
            <w:bottom w:val="none" w:sz="0" w:space="0" w:color="auto"/>
            <w:right w:val="none" w:sz="0" w:space="0" w:color="auto"/>
          </w:divBdr>
        </w:div>
      </w:divsChild>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75812478">
      <w:bodyDiv w:val="1"/>
      <w:marLeft w:val="0"/>
      <w:marRight w:val="0"/>
      <w:marTop w:val="0"/>
      <w:marBottom w:val="0"/>
      <w:divBdr>
        <w:top w:val="none" w:sz="0" w:space="0" w:color="auto"/>
        <w:left w:val="none" w:sz="0" w:space="0" w:color="auto"/>
        <w:bottom w:val="none" w:sz="0" w:space="0" w:color="auto"/>
        <w:right w:val="none" w:sz="0" w:space="0" w:color="auto"/>
      </w:divBdr>
      <w:divsChild>
        <w:div w:id="815605965">
          <w:marLeft w:val="360"/>
          <w:marRight w:val="0"/>
          <w:marTop w:val="140"/>
          <w:marBottom w:val="0"/>
          <w:divBdr>
            <w:top w:val="none" w:sz="0" w:space="0" w:color="auto"/>
            <w:left w:val="none" w:sz="0" w:space="0" w:color="auto"/>
            <w:bottom w:val="none" w:sz="0" w:space="0" w:color="auto"/>
            <w:right w:val="none" w:sz="0" w:space="0" w:color="auto"/>
          </w:divBdr>
        </w:div>
        <w:div w:id="936670982">
          <w:marLeft w:val="360"/>
          <w:marRight w:val="0"/>
          <w:marTop w:val="140"/>
          <w:marBottom w:val="0"/>
          <w:divBdr>
            <w:top w:val="none" w:sz="0" w:space="0" w:color="auto"/>
            <w:left w:val="none" w:sz="0" w:space="0" w:color="auto"/>
            <w:bottom w:val="none" w:sz="0" w:space="0" w:color="auto"/>
            <w:right w:val="none" w:sz="0" w:space="0" w:color="auto"/>
          </w:divBdr>
        </w:div>
      </w:divsChild>
    </w:div>
    <w:div w:id="1402216765">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93349930">
      <w:bodyDiv w:val="1"/>
      <w:marLeft w:val="0"/>
      <w:marRight w:val="0"/>
      <w:marTop w:val="0"/>
      <w:marBottom w:val="0"/>
      <w:divBdr>
        <w:top w:val="none" w:sz="0" w:space="0" w:color="auto"/>
        <w:left w:val="none" w:sz="0" w:space="0" w:color="auto"/>
        <w:bottom w:val="none" w:sz="0" w:space="0" w:color="auto"/>
        <w:right w:val="none" w:sz="0" w:space="0" w:color="auto"/>
      </w:divBdr>
      <w:divsChild>
        <w:div w:id="619996692">
          <w:marLeft w:val="360"/>
          <w:marRight w:val="0"/>
          <w:marTop w:val="140"/>
          <w:marBottom w:val="0"/>
          <w:divBdr>
            <w:top w:val="none" w:sz="0" w:space="0" w:color="auto"/>
            <w:left w:val="none" w:sz="0" w:space="0" w:color="auto"/>
            <w:bottom w:val="none" w:sz="0" w:space="0" w:color="auto"/>
            <w:right w:val="none" w:sz="0" w:space="0" w:color="auto"/>
          </w:divBdr>
        </w:div>
        <w:div w:id="1774397759">
          <w:marLeft w:val="360"/>
          <w:marRight w:val="0"/>
          <w:marTop w:val="140"/>
          <w:marBottom w:val="0"/>
          <w:divBdr>
            <w:top w:val="none" w:sz="0" w:space="0" w:color="auto"/>
            <w:left w:val="none" w:sz="0" w:space="0" w:color="auto"/>
            <w:bottom w:val="none" w:sz="0" w:space="0" w:color="auto"/>
            <w:right w:val="none" w:sz="0" w:space="0" w:color="auto"/>
          </w:divBdr>
        </w:div>
      </w:divsChild>
    </w:div>
    <w:div w:id="2033989997">
      <w:bodyDiv w:val="1"/>
      <w:marLeft w:val="0"/>
      <w:marRight w:val="0"/>
      <w:marTop w:val="0"/>
      <w:marBottom w:val="0"/>
      <w:divBdr>
        <w:top w:val="none" w:sz="0" w:space="0" w:color="auto"/>
        <w:left w:val="none" w:sz="0" w:space="0" w:color="auto"/>
        <w:bottom w:val="none" w:sz="0" w:space="0" w:color="auto"/>
        <w:right w:val="none" w:sz="0" w:space="0" w:color="auto"/>
      </w:divBdr>
    </w:div>
    <w:div w:id="2055737572">
      <w:bodyDiv w:val="1"/>
      <w:marLeft w:val="0"/>
      <w:marRight w:val="0"/>
      <w:marTop w:val="0"/>
      <w:marBottom w:val="0"/>
      <w:divBdr>
        <w:top w:val="none" w:sz="0" w:space="0" w:color="auto"/>
        <w:left w:val="none" w:sz="0" w:space="0" w:color="auto"/>
        <w:bottom w:val="none" w:sz="0" w:space="0" w:color="auto"/>
        <w:right w:val="none" w:sz="0" w:space="0" w:color="auto"/>
      </w:divBdr>
      <w:divsChild>
        <w:div w:id="467666958">
          <w:marLeft w:val="360"/>
          <w:marRight w:val="0"/>
          <w:marTop w:val="140"/>
          <w:marBottom w:val="0"/>
          <w:divBdr>
            <w:top w:val="none" w:sz="0" w:space="0" w:color="auto"/>
            <w:left w:val="none" w:sz="0" w:space="0" w:color="auto"/>
            <w:bottom w:val="none" w:sz="0" w:space="0" w:color="auto"/>
            <w:right w:val="none" w:sz="0" w:space="0" w:color="auto"/>
          </w:divBdr>
        </w:div>
        <w:div w:id="2050252653">
          <w:marLeft w:val="360"/>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54AD-06EA-4C70-8559-B9CEC648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dcterms:created xsi:type="dcterms:W3CDTF">2019-11-22T18:24:00Z</dcterms:created>
  <dcterms:modified xsi:type="dcterms:W3CDTF">2019-11-22T18:24:00Z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1263426499</vt:i4>
  </property>
  <property fmtid="{D5CDD505-2E9C-101B-9397-08002B2CF9AE}" pid="4" name="_EmailSubject">
    <vt:lpwstr>Rep Payee Legislation Section 103(b) Questionnaire -- FOR YOUR REVIEW </vt:lpwstr>
  </property>
  <property fmtid="{D5CDD505-2E9C-101B-9397-08002B2CF9AE}" pid="5" name="_AuthorEmail">
    <vt:lpwstr>Richarde.A.Graham@ssa.gov</vt:lpwstr>
  </property>
  <property fmtid="{D5CDD505-2E9C-101B-9397-08002B2CF9AE}" pid="6" name="_AuthorEmailDisplayName">
    <vt:lpwstr>Graham, Richarde A.</vt:lpwstr>
  </property>
  <property fmtid="{D5CDD505-2E9C-101B-9397-08002B2CF9AE}" pid="7" name="_PreviousAdHocReviewCycleID">
    <vt:i4>-215511515</vt:i4>
  </property>
  <property fmtid="{D5CDD505-2E9C-101B-9397-08002B2CF9AE}" pid="8" name="_ReviewingToolsShownOnce">
    <vt:lpwstr/>
  </property>
</Properties>
</file>