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82305" w14:textId="77777777" w:rsidR="00C87AF5" w:rsidRDefault="00662F4F" w:rsidP="0003334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5C66DF4" wp14:editId="1874EDE7">
            <wp:simplePos x="0" y="0"/>
            <wp:positionH relativeFrom="column">
              <wp:posOffset>-866775</wp:posOffset>
            </wp:positionH>
            <wp:positionV relativeFrom="paragraph">
              <wp:posOffset>118110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4553A" w14:textId="77777777" w:rsidR="00C87AF5" w:rsidRPr="00DB7EA6" w:rsidRDefault="00C87AF5" w:rsidP="00033348">
      <w:pPr>
        <w:rPr>
          <w:sz w:val="24"/>
          <w:szCs w:val="24"/>
        </w:rPr>
      </w:pPr>
    </w:p>
    <w:p w14:paraId="2AE666D1" w14:textId="5DC2CC59" w:rsidR="003337DA" w:rsidRPr="00DB7EA6" w:rsidRDefault="003337DA" w:rsidP="00033348">
      <w:pPr>
        <w:rPr>
          <w:sz w:val="24"/>
          <w:szCs w:val="24"/>
        </w:rPr>
      </w:pPr>
      <w:r w:rsidRPr="00DB7EA6">
        <w:rPr>
          <w:sz w:val="24"/>
          <w:szCs w:val="24"/>
        </w:rPr>
        <w:t>Date:</w:t>
      </w:r>
      <w:r w:rsidRPr="00DB7EA6">
        <w:rPr>
          <w:sz w:val="24"/>
          <w:szCs w:val="24"/>
        </w:rPr>
        <w:tab/>
      </w:r>
      <w:r w:rsidRPr="00DB7EA6">
        <w:rPr>
          <w:sz w:val="24"/>
          <w:szCs w:val="24"/>
        </w:rPr>
        <w:tab/>
      </w:r>
      <w:r w:rsidR="008E04C8">
        <w:rPr>
          <w:sz w:val="24"/>
          <w:szCs w:val="24"/>
        </w:rPr>
        <w:t xml:space="preserve">October </w:t>
      </w:r>
      <w:r w:rsidR="00C20787">
        <w:rPr>
          <w:sz w:val="24"/>
          <w:szCs w:val="24"/>
        </w:rPr>
        <w:t>28</w:t>
      </w:r>
      <w:r w:rsidR="008E04C8">
        <w:rPr>
          <w:sz w:val="24"/>
          <w:szCs w:val="24"/>
        </w:rPr>
        <w:t>, 2019</w:t>
      </w:r>
    </w:p>
    <w:p w14:paraId="6403241C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678D2B40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DB7EA6">
        <w:rPr>
          <w:sz w:val="24"/>
          <w:szCs w:val="24"/>
        </w:rPr>
        <w:t xml:space="preserve">To: </w:t>
      </w:r>
      <w:r w:rsidRPr="00DB7EA6">
        <w:rPr>
          <w:sz w:val="24"/>
          <w:szCs w:val="24"/>
        </w:rPr>
        <w:tab/>
      </w:r>
      <w:r w:rsidRPr="00DB7EA6">
        <w:rPr>
          <w:sz w:val="24"/>
          <w:szCs w:val="24"/>
        </w:rPr>
        <w:tab/>
        <w:t>Office of Management and Budget (OMB)</w:t>
      </w:r>
    </w:p>
    <w:p w14:paraId="2DC1115D" w14:textId="77777777" w:rsidR="003337DA" w:rsidRPr="00DB7EA6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14:paraId="61313722" w14:textId="185C6A6E" w:rsidR="008E04C8" w:rsidRDefault="003337DA" w:rsidP="008E04C8">
      <w:pPr>
        <w:rPr>
          <w:sz w:val="24"/>
        </w:rPr>
      </w:pPr>
      <w:r w:rsidRPr="00DB7EA6">
        <w:rPr>
          <w:sz w:val="24"/>
          <w:szCs w:val="24"/>
        </w:rPr>
        <w:t>Through:</w:t>
      </w:r>
      <w:r w:rsidR="000532F0">
        <w:rPr>
          <w:sz w:val="24"/>
          <w:szCs w:val="24"/>
        </w:rPr>
        <w:tab/>
      </w:r>
      <w:r w:rsidR="008E04C8">
        <w:rPr>
          <w:sz w:val="24"/>
        </w:rPr>
        <w:t>Reports Clearance Officer, DHHS</w:t>
      </w:r>
    </w:p>
    <w:p w14:paraId="381D07DE" w14:textId="11D96812" w:rsidR="008E04C8" w:rsidRDefault="008E04C8" w:rsidP="008E04C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Mikia Currie, Project Clearance Chief, NIH </w:t>
      </w:r>
      <w:r>
        <w:rPr>
          <w:sz w:val="24"/>
          <w:u w:val="single"/>
        </w:rPr>
        <w:t xml:space="preserve">      </w:t>
      </w:r>
    </w:p>
    <w:p w14:paraId="4CC3946F" w14:textId="5303DADD" w:rsidR="008E04C8" w:rsidRDefault="008E04C8" w:rsidP="008E04C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Diane Kreinbrink, Project Clearance Liaison, NCI</w:t>
      </w:r>
    </w:p>
    <w:p w14:paraId="55F03E47" w14:textId="7C921C81" w:rsidR="008E04C8" w:rsidRDefault="008E04C8" w:rsidP="008E04C8">
      <w:pPr>
        <w:rPr>
          <w:sz w:val="24"/>
        </w:rPr>
      </w:pPr>
    </w:p>
    <w:p w14:paraId="545754EB" w14:textId="77777777" w:rsidR="008E04C8" w:rsidRDefault="008E04C8" w:rsidP="008E04C8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  <w:t xml:space="preserve">Alison Lin, PhD, iCURE </w:t>
      </w:r>
    </w:p>
    <w:p w14:paraId="4D2A400D" w14:textId="68E8225D" w:rsidR="008E04C8" w:rsidRDefault="008E04C8" w:rsidP="008E04C8">
      <w:pPr>
        <w:ind w:left="1440"/>
        <w:rPr>
          <w:sz w:val="24"/>
        </w:rPr>
      </w:pPr>
      <w:r>
        <w:rPr>
          <w:sz w:val="24"/>
        </w:rPr>
        <w:t>National Cancer Institute Center to Reduce Cancer Health Disparities (CRCHD)</w:t>
      </w:r>
    </w:p>
    <w:p w14:paraId="654813FC" w14:textId="77777777" w:rsidR="003337DA" w:rsidRPr="00DB7EA6" w:rsidRDefault="003337DA" w:rsidP="00033348">
      <w:pPr>
        <w:rPr>
          <w:sz w:val="24"/>
          <w:szCs w:val="24"/>
        </w:rPr>
      </w:pPr>
      <w:r w:rsidRPr="00DB7EA6">
        <w:rPr>
          <w:i/>
          <w:sz w:val="24"/>
          <w:szCs w:val="24"/>
        </w:rPr>
        <w:tab/>
      </w:r>
      <w:r w:rsidRPr="00DB7EA6">
        <w:rPr>
          <w:i/>
          <w:sz w:val="24"/>
          <w:szCs w:val="24"/>
        </w:rPr>
        <w:tab/>
      </w:r>
      <w:r w:rsidR="00EE4461" w:rsidRPr="00DB7EA6" w:rsidDel="00F75399">
        <w:rPr>
          <w:sz w:val="24"/>
          <w:szCs w:val="24"/>
        </w:rPr>
        <w:t xml:space="preserve"> </w:t>
      </w:r>
    </w:p>
    <w:p w14:paraId="7C29A25F" w14:textId="3F604A5C" w:rsidR="003337DA" w:rsidRPr="00DB7EA6" w:rsidRDefault="003337DA" w:rsidP="00736078">
      <w:pPr>
        <w:ind w:left="1440" w:hanging="1440"/>
        <w:rPr>
          <w:sz w:val="24"/>
          <w:szCs w:val="24"/>
        </w:rPr>
      </w:pPr>
      <w:r w:rsidRPr="00DB7EA6">
        <w:rPr>
          <w:sz w:val="24"/>
          <w:szCs w:val="24"/>
        </w:rPr>
        <w:t>Subject:</w:t>
      </w:r>
      <w:r w:rsidRPr="00DB7EA6">
        <w:rPr>
          <w:sz w:val="24"/>
          <w:szCs w:val="24"/>
        </w:rPr>
        <w:tab/>
      </w:r>
      <w:r w:rsidR="006B0CEA" w:rsidRPr="00DB7EA6">
        <w:rPr>
          <w:sz w:val="24"/>
          <w:szCs w:val="24"/>
        </w:rPr>
        <w:t>Nonmaterial/Non-substantive change request for:</w:t>
      </w:r>
      <w:r w:rsidR="00736078">
        <w:rPr>
          <w:sz w:val="24"/>
          <w:szCs w:val="24"/>
        </w:rPr>
        <w:t xml:space="preserve"> </w:t>
      </w:r>
      <w:r w:rsidR="00736078">
        <w:rPr>
          <w:sz w:val="24"/>
        </w:rPr>
        <w:t>Intramural Continuing Umbrella of Research Experiences (iCURE) Application</w:t>
      </w:r>
      <w:r w:rsidR="00736078" w:rsidRPr="00DD1C9B">
        <w:rPr>
          <w:sz w:val="24"/>
        </w:rPr>
        <w:t xml:space="preserve"> (National Cancer Institute)</w:t>
      </w:r>
      <w:r w:rsidR="000B528C" w:rsidRPr="000B528C">
        <w:rPr>
          <w:sz w:val="24"/>
        </w:rPr>
        <w:t xml:space="preserve"> </w:t>
      </w:r>
      <w:r w:rsidR="000B528C">
        <w:rPr>
          <w:sz w:val="24"/>
        </w:rPr>
        <w:t xml:space="preserve">OMB#0925-0758, </w:t>
      </w:r>
      <w:r w:rsidR="00C0657E">
        <w:rPr>
          <w:sz w:val="24"/>
        </w:rPr>
        <w:t>E</w:t>
      </w:r>
      <w:r w:rsidR="000B528C">
        <w:rPr>
          <w:sz w:val="24"/>
        </w:rPr>
        <w:t>xpiration Date</w:t>
      </w:r>
      <w:r w:rsidR="00C0657E">
        <w:rPr>
          <w:sz w:val="24"/>
        </w:rPr>
        <w:t xml:space="preserve"> </w:t>
      </w:r>
      <w:r w:rsidR="0050468D">
        <w:rPr>
          <w:sz w:val="24"/>
        </w:rPr>
        <w:t>11/30/2021.</w:t>
      </w:r>
    </w:p>
    <w:p w14:paraId="22E579DF" w14:textId="77777777" w:rsidR="008E04C8" w:rsidRPr="00E57C7E" w:rsidRDefault="008E04C8" w:rsidP="008E04C8">
      <w:pPr>
        <w:rPr>
          <w:sz w:val="24"/>
          <w:szCs w:val="24"/>
        </w:rPr>
      </w:pPr>
    </w:p>
    <w:p w14:paraId="08028EC9" w14:textId="761E8200" w:rsidR="00737E47" w:rsidRDefault="008E04C8" w:rsidP="008E04C8">
      <w:pPr>
        <w:rPr>
          <w:color w:val="000000"/>
          <w:sz w:val="24"/>
          <w:szCs w:val="24"/>
        </w:rPr>
      </w:pPr>
      <w:r w:rsidRPr="00692FBB">
        <w:rPr>
          <w:sz w:val="24"/>
          <w:szCs w:val="24"/>
        </w:rPr>
        <w:t xml:space="preserve">This non-substantive change request does not change the purpose or objectives of the website. Current application </w:t>
      </w:r>
      <w:r w:rsidRPr="00692FBB">
        <w:rPr>
          <w:color w:val="000000"/>
          <w:sz w:val="24"/>
          <w:szCs w:val="24"/>
        </w:rPr>
        <w:t>information that comes directly to CRCHD (postbaccalaureate supplement application, graduate student and postdoctoral applications) are collected by email submission.</w:t>
      </w:r>
    </w:p>
    <w:p w14:paraId="74277C81" w14:textId="77777777" w:rsidR="00737E47" w:rsidRDefault="00737E47" w:rsidP="008E04C8">
      <w:pPr>
        <w:rPr>
          <w:color w:val="000000"/>
          <w:sz w:val="24"/>
          <w:szCs w:val="24"/>
        </w:rPr>
      </w:pPr>
    </w:p>
    <w:p w14:paraId="58812B8A" w14:textId="27D4A034" w:rsidR="008E04C8" w:rsidRDefault="008E04C8" w:rsidP="008E04C8">
      <w:pPr>
        <w:rPr>
          <w:color w:val="000000"/>
          <w:sz w:val="24"/>
          <w:szCs w:val="24"/>
        </w:rPr>
      </w:pPr>
      <w:r w:rsidRPr="00692FBB">
        <w:rPr>
          <w:color w:val="000000"/>
          <w:sz w:val="24"/>
          <w:szCs w:val="24"/>
        </w:rPr>
        <w:t xml:space="preserve">As indicated </w:t>
      </w:r>
      <w:r w:rsidR="00737E47">
        <w:rPr>
          <w:color w:val="000000"/>
          <w:sz w:val="24"/>
          <w:szCs w:val="24"/>
        </w:rPr>
        <w:t xml:space="preserve">in A.3 of the approved Supporting Statement A, </w:t>
      </w:r>
      <w:r w:rsidRPr="00692FBB">
        <w:rPr>
          <w:color w:val="000000"/>
          <w:sz w:val="24"/>
          <w:szCs w:val="24"/>
        </w:rPr>
        <w:t>an electronic application system</w:t>
      </w:r>
      <w:r w:rsidR="00737E47">
        <w:rPr>
          <w:color w:val="000000"/>
          <w:sz w:val="24"/>
          <w:szCs w:val="24"/>
        </w:rPr>
        <w:t xml:space="preserve"> was being designed.  This system, </w:t>
      </w:r>
      <w:r>
        <w:rPr>
          <w:color w:val="000000"/>
          <w:sz w:val="24"/>
          <w:szCs w:val="24"/>
        </w:rPr>
        <w:t xml:space="preserve">the iCURE Management System (IMS), </w:t>
      </w:r>
      <w:r w:rsidRPr="00692FBB">
        <w:rPr>
          <w:color w:val="000000"/>
          <w:sz w:val="24"/>
          <w:szCs w:val="24"/>
        </w:rPr>
        <w:t>has been developed and is ready to launch</w:t>
      </w:r>
      <w:r w:rsidR="00F92AD7">
        <w:rPr>
          <w:color w:val="000000"/>
          <w:sz w:val="24"/>
          <w:szCs w:val="24"/>
        </w:rPr>
        <w:t xml:space="preserve">.  </w:t>
      </w:r>
      <w:r w:rsidR="00737E47">
        <w:rPr>
          <w:color w:val="000000"/>
          <w:sz w:val="24"/>
          <w:szCs w:val="24"/>
        </w:rPr>
        <w:t xml:space="preserve"> </w:t>
      </w:r>
      <w:r w:rsidR="00C44A9E">
        <w:rPr>
          <w:color w:val="000000"/>
          <w:sz w:val="24"/>
          <w:szCs w:val="24"/>
        </w:rPr>
        <w:t>With this new use of Information Technology there is a reduction in both the Burden Hours and Respondent Cost</w:t>
      </w:r>
      <w:r w:rsidRPr="00692FBB">
        <w:rPr>
          <w:color w:val="000000"/>
          <w:sz w:val="24"/>
          <w:szCs w:val="24"/>
        </w:rPr>
        <w:t xml:space="preserve">. </w:t>
      </w:r>
    </w:p>
    <w:p w14:paraId="0FD238B5" w14:textId="0ED6264A" w:rsidR="00736078" w:rsidRDefault="00736078" w:rsidP="008E04C8">
      <w:pPr>
        <w:rPr>
          <w:color w:val="000000"/>
          <w:sz w:val="24"/>
          <w:szCs w:val="24"/>
        </w:rPr>
      </w:pPr>
    </w:p>
    <w:p w14:paraId="488790A4" w14:textId="58ED0570" w:rsidR="00736078" w:rsidRPr="00736078" w:rsidRDefault="00736078" w:rsidP="008E04C8">
      <w:pPr>
        <w:rPr>
          <w:b/>
          <w:color w:val="000000"/>
          <w:sz w:val="24"/>
          <w:szCs w:val="24"/>
        </w:rPr>
      </w:pPr>
      <w:r w:rsidRPr="00736078">
        <w:rPr>
          <w:b/>
          <w:color w:val="000000"/>
          <w:sz w:val="24"/>
          <w:szCs w:val="24"/>
        </w:rPr>
        <w:t>Summary of Changes:</w:t>
      </w:r>
    </w:p>
    <w:p w14:paraId="6E703834" w14:textId="77777777" w:rsidR="008E04C8" w:rsidRDefault="008E04C8" w:rsidP="008E04C8">
      <w:pPr>
        <w:rPr>
          <w:color w:val="000000"/>
          <w:sz w:val="24"/>
          <w:szCs w:val="24"/>
        </w:rPr>
      </w:pPr>
    </w:p>
    <w:p w14:paraId="62291262" w14:textId="77777777" w:rsidR="008E04C8" w:rsidRPr="00C600DB" w:rsidRDefault="008E04C8" w:rsidP="00C600DB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C600DB">
        <w:rPr>
          <w:color w:val="000000"/>
          <w:sz w:val="24"/>
          <w:szCs w:val="24"/>
        </w:rPr>
        <w:t>There are no changes to the reference letter request. The changes to the website mainly include instructions on directing the applicants to the IMS. Specifically:</w:t>
      </w:r>
    </w:p>
    <w:p w14:paraId="5CB31E3B" w14:textId="77777777" w:rsidR="008E04C8" w:rsidRDefault="008E04C8" w:rsidP="00C600DB">
      <w:pPr>
        <w:numPr>
          <w:ilvl w:val="1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Applicants are directed to the link to IMS instead of email.</w:t>
      </w:r>
    </w:p>
    <w:p w14:paraId="5E9B9519" w14:textId="51815274" w:rsidR="0050468D" w:rsidRDefault="008E04C8" w:rsidP="00C600DB">
      <w:pPr>
        <w:numPr>
          <w:ilvl w:val="1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Applicants are requested to establish an eRA Commons ID, if not already. This is required to securely access the IMS. </w:t>
      </w:r>
    </w:p>
    <w:p w14:paraId="47CE24D0" w14:textId="0503C8C3" w:rsidR="00C20787" w:rsidRPr="00C600DB" w:rsidRDefault="00C20787" w:rsidP="00C600DB">
      <w:pPr>
        <w:pStyle w:val="ListParagraph"/>
        <w:numPr>
          <w:ilvl w:val="0"/>
          <w:numId w:val="10"/>
        </w:numPr>
        <w:rPr>
          <w:color w:val="000000"/>
          <w:sz w:val="24"/>
          <w:szCs w:val="24"/>
        </w:rPr>
      </w:pPr>
      <w:r w:rsidRPr="00C600DB">
        <w:rPr>
          <w:color w:val="000000"/>
          <w:sz w:val="24"/>
          <w:szCs w:val="24"/>
        </w:rPr>
        <w:t>There is a reduction of 67 burden hours</w:t>
      </w:r>
      <w:r w:rsidR="00420F49">
        <w:rPr>
          <w:color w:val="000000"/>
          <w:sz w:val="24"/>
          <w:szCs w:val="24"/>
        </w:rPr>
        <w:t xml:space="preserve"> (305 to 238)</w:t>
      </w:r>
      <w:r w:rsidRPr="00C600DB">
        <w:rPr>
          <w:color w:val="000000"/>
          <w:sz w:val="24"/>
          <w:szCs w:val="24"/>
        </w:rPr>
        <w:t xml:space="preserve"> from the Estimated Annualized Total Burden Hours (Table A.12.1) which has reduced the Annualized Respondent Cost by $1,698.93</w:t>
      </w:r>
      <w:r w:rsidR="00420F49">
        <w:rPr>
          <w:color w:val="000000"/>
          <w:sz w:val="24"/>
          <w:szCs w:val="24"/>
        </w:rPr>
        <w:t xml:space="preserve"> ($10,209.10 to $8,510.17) </w:t>
      </w:r>
      <w:r w:rsidRPr="00C600DB">
        <w:rPr>
          <w:color w:val="000000"/>
          <w:sz w:val="24"/>
          <w:szCs w:val="24"/>
        </w:rPr>
        <w:t xml:space="preserve"> (Table A12.2).</w:t>
      </w:r>
    </w:p>
    <w:p w14:paraId="494B09C1" w14:textId="7BDFC11C" w:rsidR="008E04C8" w:rsidRPr="00C600DB" w:rsidRDefault="0050468D" w:rsidP="00C600DB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C600DB">
        <w:rPr>
          <w:color w:val="000000"/>
          <w:sz w:val="24"/>
          <w:szCs w:val="24"/>
        </w:rPr>
        <w:br w:type="page"/>
      </w:r>
    </w:p>
    <w:p w14:paraId="50995216" w14:textId="77777777" w:rsidR="00737E47" w:rsidRPr="00737E47" w:rsidRDefault="00737E47" w:rsidP="00737E47">
      <w:pPr>
        <w:widowControl/>
        <w:spacing w:after="20" w:line="276" w:lineRule="auto"/>
        <w:jc w:val="center"/>
        <w:rPr>
          <w:rFonts w:ascii="Calibri" w:eastAsia="Calibri" w:hAnsi="Calibri"/>
          <w:sz w:val="22"/>
          <w:szCs w:val="22"/>
        </w:rPr>
      </w:pPr>
      <w:r w:rsidRPr="00737E47">
        <w:rPr>
          <w:rFonts w:ascii="Calibri" w:eastAsia="Calibri" w:hAnsi="Calibri"/>
          <w:sz w:val="22"/>
          <w:szCs w:val="22"/>
        </w:rPr>
        <w:lastRenderedPageBreak/>
        <w:t>A.12-1 Estimated Annualized Burden Hours</w:t>
      </w:r>
    </w:p>
    <w:p w14:paraId="47B28348" w14:textId="77777777" w:rsidR="0050468D" w:rsidRDefault="0050468D" w:rsidP="0050468D">
      <w:pPr>
        <w:ind w:left="720"/>
        <w:rPr>
          <w:color w:val="000000"/>
          <w:sz w:val="24"/>
          <w:szCs w:val="24"/>
        </w:rPr>
      </w:pPr>
    </w:p>
    <w:tbl>
      <w:tblPr>
        <w:tblW w:w="990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02"/>
        <w:gridCol w:w="1980"/>
        <w:gridCol w:w="1440"/>
        <w:gridCol w:w="1530"/>
        <w:gridCol w:w="1710"/>
        <w:gridCol w:w="1538"/>
      </w:tblGrid>
      <w:tr w:rsidR="0050468D" w:rsidRPr="0050468D" w14:paraId="7036FAC8" w14:textId="77777777" w:rsidTr="00270ED5">
        <w:trPr>
          <w:cantSplit/>
          <w:trHeight w:val="372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EBCDF5B" w14:textId="77777777" w:rsidR="0050468D" w:rsidRPr="0050468D" w:rsidRDefault="0050468D" w:rsidP="0050468D">
            <w:pPr>
              <w:widowControl/>
              <w:ind w:left="-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Form Name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ED1A7C2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Type of Respondent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C1DA780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Number of Respondents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AFB42B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Number of Responses per Respondent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79F80DB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Average Time Per Response</w:t>
            </w:r>
          </w:p>
          <w:p w14:paraId="1D1F23FB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(in hours)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B42687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Total Annual Burden Hour</w:t>
            </w:r>
          </w:p>
        </w:tc>
      </w:tr>
      <w:tr w:rsidR="0050468D" w:rsidRPr="0050468D" w14:paraId="726353B4" w14:textId="77777777" w:rsidTr="00270ED5">
        <w:trPr>
          <w:cantSplit/>
          <w:trHeight w:val="372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3FC086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Postbac Supplemental Application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C97D85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bCs/>
                <w:sz w:val="22"/>
                <w:szCs w:val="22"/>
              </w:rPr>
              <w:t xml:space="preserve">Post-Baccalaureate </w:t>
            </w:r>
            <w:r w:rsidRPr="0050468D">
              <w:rPr>
                <w:rFonts w:ascii="Calibri" w:eastAsia="Calibri" w:hAnsi="Calibri"/>
                <w:bCs/>
              </w:rPr>
              <w:t>(Including Post-Master’s)</w:t>
            </w:r>
            <w:r w:rsidRPr="0050468D"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E10A92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05F3FCF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11FA796" w14:textId="7002C82F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/>
                <w:sz w:val="22"/>
                <w:szCs w:val="22"/>
                <w:highlight w:val="yellow"/>
              </w:rPr>
              <w:t>20</w:t>
            </w:r>
            <w:r w:rsidR="0050468D" w:rsidRPr="0050468D">
              <w:rPr>
                <w:rFonts w:ascii="Calibri" w:eastAsia="Calibri" w:hAnsi="Calibri"/>
                <w:sz w:val="22"/>
                <w:szCs w:val="22"/>
                <w:highlight w:val="yellow"/>
              </w:rPr>
              <w:t>/60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6D18F6" w14:textId="64B8BADB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17</w:t>
            </w:r>
          </w:p>
        </w:tc>
      </w:tr>
      <w:tr w:rsidR="0050468D" w:rsidRPr="0050468D" w14:paraId="36756407" w14:textId="77777777" w:rsidTr="00270ED5">
        <w:trPr>
          <w:cantSplit/>
          <w:trHeight w:val="894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78F2563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Graduate Student Application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9A30AF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Graduate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B4AB518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C121596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CD2FA5B" w14:textId="6541B1E1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/>
                <w:sz w:val="22"/>
                <w:szCs w:val="22"/>
                <w:highlight w:val="yellow"/>
              </w:rPr>
              <w:t>75/60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DB270A" w14:textId="4B8A8D83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38</w:t>
            </w:r>
          </w:p>
        </w:tc>
      </w:tr>
      <w:tr w:rsidR="0050468D" w:rsidRPr="0050468D" w14:paraId="19FEBA69" w14:textId="77777777" w:rsidTr="00270ED5">
        <w:trPr>
          <w:cantSplit/>
          <w:trHeight w:val="831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8B3FA0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Postdoctoral Fellowship Application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CA39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 xml:space="preserve">Postdoctoral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9EB22A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5DDB5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B74AAF" w14:textId="4A74CD60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/>
                <w:sz w:val="22"/>
                <w:szCs w:val="22"/>
                <w:highlight w:val="yellow"/>
              </w:rPr>
              <w:t>75/60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904ED" w14:textId="7E721275" w:rsidR="0050468D" w:rsidRPr="0050468D" w:rsidRDefault="00C14871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63</w:t>
            </w:r>
          </w:p>
        </w:tc>
      </w:tr>
      <w:tr w:rsidR="0050468D" w:rsidRPr="0050468D" w14:paraId="7C04BC62" w14:textId="77777777" w:rsidTr="00270ED5">
        <w:trPr>
          <w:cantSplit/>
          <w:trHeight w:val="615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421E77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Reference Letter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97B0A4" w14:textId="77777777" w:rsidR="0050468D" w:rsidRPr="0050468D" w:rsidRDefault="0050468D" w:rsidP="0050468D">
            <w:pPr>
              <w:widowControl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Theme="minorHAnsi" w:eastAsia="Calibri" w:hAnsiTheme="minorHAnsi" w:cs="Arial"/>
                <w:sz w:val="22"/>
                <w:szCs w:val="22"/>
              </w:rPr>
              <w:t>PIs, Professors, and Supervisors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60759F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240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D19EB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283F4F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30/60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1AC1D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120</w:t>
            </w:r>
          </w:p>
        </w:tc>
      </w:tr>
      <w:tr w:rsidR="0050468D" w:rsidRPr="0050468D" w14:paraId="1B252F32" w14:textId="77777777" w:rsidTr="00270ED5">
        <w:trPr>
          <w:cantSplit/>
          <w:trHeight w:val="525"/>
          <w:jc w:val="center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BBF283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536F9F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8EDED0B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370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AABA760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0468D">
              <w:rPr>
                <w:rFonts w:ascii="Calibri" w:eastAsia="Calibri" w:hAnsi="Calibri"/>
                <w:sz w:val="22"/>
                <w:szCs w:val="22"/>
              </w:rPr>
              <w:t>370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40C252" w14:textId="77777777" w:rsidR="0050468D" w:rsidRPr="0050468D" w:rsidRDefault="0050468D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BC9B0" w14:textId="4BB1E910" w:rsidR="0050468D" w:rsidRPr="0050468D" w:rsidRDefault="00C20787" w:rsidP="0050468D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20787">
              <w:rPr>
                <w:rFonts w:ascii="Calibri" w:eastAsia="Calibri" w:hAnsi="Calibri"/>
                <w:sz w:val="22"/>
                <w:szCs w:val="22"/>
                <w:highlight w:val="yellow"/>
              </w:rPr>
              <w:t>238</w:t>
            </w:r>
          </w:p>
        </w:tc>
      </w:tr>
    </w:tbl>
    <w:p w14:paraId="6A57244E" w14:textId="5757E962" w:rsidR="0050468D" w:rsidRDefault="0050468D" w:rsidP="0050468D">
      <w:pPr>
        <w:ind w:left="720"/>
        <w:rPr>
          <w:color w:val="000000"/>
          <w:sz w:val="24"/>
          <w:szCs w:val="24"/>
        </w:rPr>
      </w:pPr>
    </w:p>
    <w:p w14:paraId="1326607E" w14:textId="77777777" w:rsidR="00737E47" w:rsidRPr="00737E47" w:rsidRDefault="00737E47" w:rsidP="00737E47">
      <w:pPr>
        <w:widowControl/>
        <w:jc w:val="center"/>
        <w:rPr>
          <w:rFonts w:ascii="Calibri" w:eastAsia="Calibri" w:hAnsi="Calibri"/>
          <w:sz w:val="22"/>
          <w:szCs w:val="22"/>
        </w:rPr>
      </w:pPr>
      <w:r w:rsidRPr="00737E47">
        <w:rPr>
          <w:rFonts w:ascii="Calibri" w:eastAsia="Calibri" w:hAnsi="Calibri"/>
          <w:sz w:val="22"/>
          <w:szCs w:val="22"/>
        </w:rPr>
        <w:t>A.12-2 Annualized Cost to the Respondents</w:t>
      </w:r>
    </w:p>
    <w:p w14:paraId="62A13615" w14:textId="77777777" w:rsidR="00737E47" w:rsidRDefault="00737E47" w:rsidP="0050468D">
      <w:pPr>
        <w:ind w:left="720"/>
        <w:rPr>
          <w:color w:val="000000"/>
          <w:sz w:val="24"/>
          <w:szCs w:val="24"/>
        </w:rPr>
      </w:pPr>
    </w:p>
    <w:tbl>
      <w:tblPr>
        <w:tblW w:w="981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70"/>
        <w:gridCol w:w="2700"/>
        <w:gridCol w:w="3060"/>
        <w:gridCol w:w="1980"/>
      </w:tblGrid>
      <w:tr w:rsidR="00737E47" w:rsidRPr="00737E47" w14:paraId="50C82BE9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26CD4219" w14:textId="77777777" w:rsidR="00737E47" w:rsidRPr="00737E47" w:rsidRDefault="00737E47" w:rsidP="00737E47">
            <w:pPr>
              <w:widowControl/>
              <w:jc w:val="center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Theme="minorHAnsi" w:eastAsia="Calibri" w:hAnsiTheme="minorHAnsi" w:cs="Arial"/>
                <w:sz w:val="22"/>
                <w:szCs w:val="22"/>
              </w:rPr>
              <w:t>Type of Respondent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14:paraId="2B6D7972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Total Annual Burden Hours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1D8E561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 xml:space="preserve">Hourly Respondent </w:t>
            </w:r>
          </w:p>
          <w:p w14:paraId="18E48159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Wage Rate*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F546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Respondent Cost</w:t>
            </w:r>
          </w:p>
        </w:tc>
      </w:tr>
      <w:tr w:rsidR="00737E47" w:rsidRPr="00737E47" w14:paraId="5F13A045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2A496D4D" w14:textId="77777777" w:rsidR="00737E47" w:rsidRPr="00737E47" w:rsidRDefault="00737E47" w:rsidP="00737E47">
            <w:pPr>
              <w:widowControl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Theme="minorHAnsi" w:eastAsia="Calibri" w:hAnsiTheme="minorHAnsi" w:cs="Arial"/>
                <w:sz w:val="22"/>
                <w:szCs w:val="22"/>
              </w:rPr>
              <w:t>Post-Baccalaureate Candidates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F2ECC7" w14:textId="7B8E1DE6" w:rsidR="00737E47" w:rsidRPr="00C14871" w:rsidRDefault="00C14871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17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7264E9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$19.18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1795" w14:textId="650170CA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$</w:t>
            </w:r>
            <w:r w:rsidR="00C14871"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326.06</w:t>
            </w:r>
          </w:p>
        </w:tc>
      </w:tr>
      <w:tr w:rsidR="00737E47" w:rsidRPr="00737E47" w14:paraId="4D14D93D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0EF85BB3" w14:textId="77777777" w:rsidR="00737E47" w:rsidRPr="00737E47" w:rsidRDefault="00737E47" w:rsidP="00737E47">
            <w:pPr>
              <w:widowControl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Theme="minorHAnsi" w:eastAsia="Calibri" w:hAnsiTheme="minorHAnsi" w:cs="Arial"/>
                <w:sz w:val="22"/>
                <w:szCs w:val="22"/>
              </w:rPr>
              <w:t>Graduate Students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E29354" w14:textId="780A0996" w:rsidR="00737E47" w:rsidRPr="00C14871" w:rsidRDefault="00C14871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38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73AEB49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$18.13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2D55" w14:textId="4E43D64A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$</w:t>
            </w:r>
            <w:r w:rsidR="00C14871"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688.94</w:t>
            </w:r>
          </w:p>
        </w:tc>
      </w:tr>
      <w:tr w:rsidR="00737E47" w:rsidRPr="00737E47" w14:paraId="69029A6A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EDE50" w14:textId="77777777" w:rsidR="00737E47" w:rsidRPr="00737E47" w:rsidRDefault="00737E47" w:rsidP="00737E47">
            <w:pPr>
              <w:widowControl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Theme="minorHAnsi" w:eastAsia="Calibri" w:hAnsiTheme="minorHAnsi" w:cs="Arial"/>
                <w:sz w:val="22"/>
                <w:szCs w:val="22"/>
              </w:rPr>
              <w:t>Postdoctoral Candidates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038526" w14:textId="69E7011E" w:rsidR="00737E47" w:rsidRPr="00C14871" w:rsidRDefault="00C14871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63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7AD5E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$30.99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938" w14:textId="7AAD2EEA" w:rsidR="00C20787" w:rsidRPr="00737E47" w:rsidRDefault="00737E47" w:rsidP="00C2078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20787">
              <w:rPr>
                <w:rFonts w:ascii="Calibri" w:eastAsia="Calibri" w:hAnsi="Calibri"/>
                <w:sz w:val="22"/>
                <w:szCs w:val="22"/>
                <w:highlight w:val="yellow"/>
              </w:rPr>
              <w:t>$</w:t>
            </w:r>
            <w:r w:rsidR="00C14871" w:rsidRPr="00C20787">
              <w:rPr>
                <w:rFonts w:ascii="Calibri" w:eastAsia="Calibri" w:hAnsi="Calibri"/>
                <w:sz w:val="22"/>
                <w:szCs w:val="22"/>
                <w:highlight w:val="yellow"/>
              </w:rPr>
              <w:t>1,952.37</w:t>
            </w:r>
          </w:p>
        </w:tc>
      </w:tr>
      <w:tr w:rsidR="00737E47" w:rsidRPr="00737E47" w14:paraId="46D905D9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AC2E1" w14:textId="77777777" w:rsidR="00737E47" w:rsidRPr="00737E47" w:rsidRDefault="00737E47" w:rsidP="00737E47">
            <w:pPr>
              <w:widowControl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Theme="minorHAnsi" w:eastAsia="Calibri" w:hAnsiTheme="minorHAnsi" w:cs="Arial"/>
                <w:sz w:val="22"/>
                <w:szCs w:val="22"/>
              </w:rPr>
              <w:t>PIs, Professors, and Supervisors**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42FA93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120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37BCC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$46.19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02E6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$5,542.80</w:t>
            </w:r>
          </w:p>
        </w:tc>
      </w:tr>
      <w:tr w:rsidR="00737E47" w:rsidRPr="00737E47" w14:paraId="4EC05682" w14:textId="77777777" w:rsidTr="00737E47">
        <w:trPr>
          <w:cantSplit/>
          <w:trHeight w:val="372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C23CF0" w14:textId="77777777" w:rsidR="00737E47" w:rsidRPr="00737E47" w:rsidRDefault="00737E47" w:rsidP="00737E47">
            <w:pPr>
              <w:widowControl/>
              <w:jc w:val="center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737E47">
              <w:rPr>
                <w:rFonts w:ascii="Calibri" w:eastAsia="Calibri" w:hAnsi="Calibri"/>
                <w:sz w:val="22"/>
                <w:szCs w:val="22"/>
              </w:rPr>
              <w:t>Total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A87444" w14:textId="1CF28240" w:rsidR="00737E47" w:rsidRPr="00737E47" w:rsidRDefault="00C14871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14871">
              <w:rPr>
                <w:rFonts w:ascii="Calibri" w:eastAsia="Calibri" w:hAnsi="Calibri"/>
                <w:sz w:val="22"/>
                <w:szCs w:val="22"/>
                <w:highlight w:val="yellow"/>
              </w:rPr>
              <w:t>238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91" w14:textId="77777777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FDD9" w14:textId="2CEE2802" w:rsidR="00737E47" w:rsidRPr="00737E47" w:rsidRDefault="00737E47" w:rsidP="00737E47">
            <w:pPr>
              <w:widowControl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20787">
              <w:rPr>
                <w:rFonts w:ascii="Calibri" w:eastAsia="Calibri" w:hAnsi="Calibri"/>
                <w:sz w:val="22"/>
                <w:szCs w:val="22"/>
                <w:highlight w:val="yellow"/>
              </w:rPr>
              <w:t>$</w:t>
            </w:r>
            <w:r w:rsidR="00C20787" w:rsidRPr="00C20787">
              <w:rPr>
                <w:rFonts w:ascii="Calibri" w:eastAsia="Calibri" w:hAnsi="Calibri"/>
                <w:sz w:val="22"/>
                <w:szCs w:val="22"/>
                <w:highlight w:val="yellow"/>
              </w:rPr>
              <w:t>8,510.17</w:t>
            </w:r>
          </w:p>
        </w:tc>
      </w:tr>
    </w:tbl>
    <w:p w14:paraId="30F1C787" w14:textId="77777777" w:rsidR="00EF4D66" w:rsidRDefault="00EF4D6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39ED0202" w14:textId="468045BB" w:rsidR="008E04C8" w:rsidRDefault="008E04C8" w:rsidP="008E04C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Six files are provided:</w:t>
      </w:r>
    </w:p>
    <w:p w14:paraId="41FFFFE9" w14:textId="77777777" w:rsidR="00EF4D66" w:rsidRDefault="00EF4D66" w:rsidP="008E04C8">
      <w:pPr>
        <w:rPr>
          <w:color w:val="000000"/>
          <w:sz w:val="24"/>
          <w:szCs w:val="24"/>
        </w:rPr>
      </w:pPr>
    </w:p>
    <w:p w14:paraId="5BEDAD8D" w14:textId="0201FFB3" w:rsidR="006C0B3D" w:rsidRDefault="006C0B3D" w:rsidP="008E04C8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iCURE Postbac-Application</w:t>
      </w:r>
    </w:p>
    <w:p w14:paraId="08CB94A6" w14:textId="6205B753" w:rsidR="006C0B3D" w:rsidRDefault="006C0B3D" w:rsidP="008E04C8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iCURE </w:t>
      </w:r>
      <w:r w:rsidR="00D73291">
        <w:rPr>
          <w:color w:val="000000"/>
          <w:sz w:val="24"/>
          <w:szCs w:val="24"/>
        </w:rPr>
        <w:t>Grad Student</w:t>
      </w:r>
      <w:r>
        <w:rPr>
          <w:color w:val="000000"/>
          <w:sz w:val="24"/>
          <w:szCs w:val="24"/>
        </w:rPr>
        <w:t>- Application</w:t>
      </w:r>
    </w:p>
    <w:p w14:paraId="32F720BA" w14:textId="212BEE75" w:rsidR="006C0B3D" w:rsidRDefault="006C0B3D" w:rsidP="008E04C8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iCURE-Postdoc- Application </w:t>
      </w:r>
    </w:p>
    <w:p w14:paraId="1354DEB4" w14:textId="72071EB1" w:rsidR="00D73291" w:rsidRDefault="00D73291" w:rsidP="00D73291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Website Instructions for postbac </w:t>
      </w:r>
    </w:p>
    <w:p w14:paraId="39F05125" w14:textId="1A313323" w:rsidR="00D73291" w:rsidRDefault="00D73291" w:rsidP="00D73291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Website Instructions for grad student </w:t>
      </w:r>
    </w:p>
    <w:p w14:paraId="540D2E1E" w14:textId="77777777" w:rsidR="00C20787" w:rsidRDefault="00D73291" w:rsidP="00D73291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Website Instructions for postdoc</w:t>
      </w:r>
    </w:p>
    <w:p w14:paraId="5365C34B" w14:textId="26DBD42F" w:rsidR="00D73291" w:rsidRDefault="00C20787" w:rsidP="00D73291">
      <w:pPr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OMB Burden Statement</w:t>
      </w:r>
      <w:r w:rsidR="00D73291">
        <w:rPr>
          <w:color w:val="000000"/>
          <w:sz w:val="24"/>
          <w:szCs w:val="24"/>
        </w:rPr>
        <w:t xml:space="preserve"> </w:t>
      </w:r>
    </w:p>
    <w:p w14:paraId="4EC688D5" w14:textId="77777777" w:rsidR="00737E47" w:rsidRDefault="00737E47" w:rsidP="00D73291">
      <w:pPr>
        <w:ind w:left="720"/>
        <w:rPr>
          <w:color w:val="000000"/>
          <w:sz w:val="24"/>
          <w:szCs w:val="24"/>
        </w:rPr>
      </w:pPr>
    </w:p>
    <w:p w14:paraId="46A151A8" w14:textId="5EFEE0AA" w:rsidR="008B4873" w:rsidRPr="00920261" w:rsidRDefault="008B4873" w:rsidP="00D101C1">
      <w:pPr>
        <w:rPr>
          <w:sz w:val="24"/>
          <w:szCs w:val="24"/>
        </w:rPr>
      </w:pPr>
    </w:p>
    <w:sectPr w:rsidR="008B4873" w:rsidRPr="00920261" w:rsidSect="00CD6D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ACEEA" w14:textId="77777777" w:rsidR="0070522C" w:rsidRDefault="0070522C" w:rsidP="004347E1">
      <w:r>
        <w:separator/>
      </w:r>
    </w:p>
  </w:endnote>
  <w:endnote w:type="continuationSeparator" w:id="0">
    <w:p w14:paraId="1C5C8FAB" w14:textId="77777777" w:rsidR="0070522C" w:rsidRDefault="0070522C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F7F6" w14:textId="09F6F156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53EF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53EF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4A69C17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2C746" w14:textId="77777777" w:rsidR="0070522C" w:rsidRDefault="0070522C" w:rsidP="004347E1">
      <w:r>
        <w:separator/>
      </w:r>
    </w:p>
  </w:footnote>
  <w:footnote w:type="continuationSeparator" w:id="0">
    <w:p w14:paraId="355ED72C" w14:textId="77777777" w:rsidR="0070522C" w:rsidRDefault="0070522C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53F30"/>
    <w:multiLevelType w:val="hybridMultilevel"/>
    <w:tmpl w:val="C8A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B6F69"/>
    <w:multiLevelType w:val="hybridMultilevel"/>
    <w:tmpl w:val="A692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C7760AA"/>
    <w:multiLevelType w:val="hybridMultilevel"/>
    <w:tmpl w:val="5D2C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229E"/>
    <w:rsid w:val="000532F0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4B74"/>
    <w:rsid w:val="000872F1"/>
    <w:rsid w:val="0009512D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28C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D4C8B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6AFA"/>
    <w:rsid w:val="001476E3"/>
    <w:rsid w:val="0015085E"/>
    <w:rsid w:val="00151979"/>
    <w:rsid w:val="00151D20"/>
    <w:rsid w:val="00155F4D"/>
    <w:rsid w:val="001566CB"/>
    <w:rsid w:val="00162C05"/>
    <w:rsid w:val="0016464B"/>
    <w:rsid w:val="0016549E"/>
    <w:rsid w:val="0016566A"/>
    <w:rsid w:val="00165C6F"/>
    <w:rsid w:val="0016788C"/>
    <w:rsid w:val="00173E58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E7A72"/>
    <w:rsid w:val="001F4053"/>
    <w:rsid w:val="002023C6"/>
    <w:rsid w:val="002030D9"/>
    <w:rsid w:val="00203FA2"/>
    <w:rsid w:val="00205257"/>
    <w:rsid w:val="00205FC7"/>
    <w:rsid w:val="00216261"/>
    <w:rsid w:val="00217A36"/>
    <w:rsid w:val="002208ED"/>
    <w:rsid w:val="00220991"/>
    <w:rsid w:val="0022166E"/>
    <w:rsid w:val="00222B05"/>
    <w:rsid w:val="0022303B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1DB4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E454D"/>
    <w:rsid w:val="003F249F"/>
    <w:rsid w:val="003F533D"/>
    <w:rsid w:val="003F72C6"/>
    <w:rsid w:val="003F74DE"/>
    <w:rsid w:val="00401F4B"/>
    <w:rsid w:val="00402000"/>
    <w:rsid w:val="0040609C"/>
    <w:rsid w:val="004104C1"/>
    <w:rsid w:val="00411544"/>
    <w:rsid w:val="00412D21"/>
    <w:rsid w:val="0041707B"/>
    <w:rsid w:val="00417E1C"/>
    <w:rsid w:val="00420F49"/>
    <w:rsid w:val="004239FD"/>
    <w:rsid w:val="00425225"/>
    <w:rsid w:val="00433DF6"/>
    <w:rsid w:val="004347E1"/>
    <w:rsid w:val="00435130"/>
    <w:rsid w:val="00435409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0B59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63B7"/>
    <w:rsid w:val="004E7962"/>
    <w:rsid w:val="004F23B1"/>
    <w:rsid w:val="004F2451"/>
    <w:rsid w:val="004F659A"/>
    <w:rsid w:val="00501AA2"/>
    <w:rsid w:val="0050468D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41928"/>
    <w:rsid w:val="00543FA2"/>
    <w:rsid w:val="00544AA0"/>
    <w:rsid w:val="00545320"/>
    <w:rsid w:val="00551B43"/>
    <w:rsid w:val="00556A12"/>
    <w:rsid w:val="00564A1E"/>
    <w:rsid w:val="00565D9D"/>
    <w:rsid w:val="00572297"/>
    <w:rsid w:val="00573DB9"/>
    <w:rsid w:val="00574A1D"/>
    <w:rsid w:val="0057594E"/>
    <w:rsid w:val="00577186"/>
    <w:rsid w:val="0057736B"/>
    <w:rsid w:val="00581B65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4B0"/>
    <w:rsid w:val="005A652A"/>
    <w:rsid w:val="005B03EC"/>
    <w:rsid w:val="005B09FF"/>
    <w:rsid w:val="005B16A3"/>
    <w:rsid w:val="005B309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0B3D"/>
    <w:rsid w:val="006C10E0"/>
    <w:rsid w:val="006C50AF"/>
    <w:rsid w:val="006C5D86"/>
    <w:rsid w:val="006C6748"/>
    <w:rsid w:val="006C6AD7"/>
    <w:rsid w:val="006D101F"/>
    <w:rsid w:val="006D2957"/>
    <w:rsid w:val="006D2A80"/>
    <w:rsid w:val="006D414E"/>
    <w:rsid w:val="006D5561"/>
    <w:rsid w:val="006D631E"/>
    <w:rsid w:val="006E0034"/>
    <w:rsid w:val="006E0B0E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522C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357DA"/>
    <w:rsid w:val="00736078"/>
    <w:rsid w:val="00737E47"/>
    <w:rsid w:val="00743122"/>
    <w:rsid w:val="0074711C"/>
    <w:rsid w:val="0075082E"/>
    <w:rsid w:val="00755995"/>
    <w:rsid w:val="00762B89"/>
    <w:rsid w:val="00762C31"/>
    <w:rsid w:val="00762FF9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167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4276"/>
    <w:rsid w:val="00846F64"/>
    <w:rsid w:val="0085411E"/>
    <w:rsid w:val="008644BD"/>
    <w:rsid w:val="008663BA"/>
    <w:rsid w:val="008675F2"/>
    <w:rsid w:val="00873228"/>
    <w:rsid w:val="00875D95"/>
    <w:rsid w:val="008766BC"/>
    <w:rsid w:val="00877F3F"/>
    <w:rsid w:val="008806E8"/>
    <w:rsid w:val="00882387"/>
    <w:rsid w:val="00885DD1"/>
    <w:rsid w:val="008909A7"/>
    <w:rsid w:val="00892002"/>
    <w:rsid w:val="00892F37"/>
    <w:rsid w:val="00896E5C"/>
    <w:rsid w:val="00897EB2"/>
    <w:rsid w:val="008A2C4E"/>
    <w:rsid w:val="008A5551"/>
    <w:rsid w:val="008A7FB0"/>
    <w:rsid w:val="008B25D6"/>
    <w:rsid w:val="008B2CBA"/>
    <w:rsid w:val="008B4873"/>
    <w:rsid w:val="008B4C55"/>
    <w:rsid w:val="008B5013"/>
    <w:rsid w:val="008B6102"/>
    <w:rsid w:val="008C11AC"/>
    <w:rsid w:val="008C310C"/>
    <w:rsid w:val="008D21F0"/>
    <w:rsid w:val="008D49A8"/>
    <w:rsid w:val="008D6D24"/>
    <w:rsid w:val="008D73D4"/>
    <w:rsid w:val="008E04C8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53EF2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05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34A1C"/>
    <w:rsid w:val="00A40D98"/>
    <w:rsid w:val="00A43474"/>
    <w:rsid w:val="00A47F28"/>
    <w:rsid w:val="00A52342"/>
    <w:rsid w:val="00A55BBB"/>
    <w:rsid w:val="00A56973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1866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745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F08"/>
    <w:rsid w:val="00B435A1"/>
    <w:rsid w:val="00B440BD"/>
    <w:rsid w:val="00B45FAC"/>
    <w:rsid w:val="00B4793E"/>
    <w:rsid w:val="00B53631"/>
    <w:rsid w:val="00B60E31"/>
    <w:rsid w:val="00B65F43"/>
    <w:rsid w:val="00B71500"/>
    <w:rsid w:val="00B7510A"/>
    <w:rsid w:val="00B825ED"/>
    <w:rsid w:val="00B90EF0"/>
    <w:rsid w:val="00B93878"/>
    <w:rsid w:val="00B95461"/>
    <w:rsid w:val="00B95849"/>
    <w:rsid w:val="00B97A5D"/>
    <w:rsid w:val="00BA0CC5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1ACF"/>
    <w:rsid w:val="00BD765D"/>
    <w:rsid w:val="00BE26B1"/>
    <w:rsid w:val="00BE6D1D"/>
    <w:rsid w:val="00BF04FE"/>
    <w:rsid w:val="00BF123E"/>
    <w:rsid w:val="00BF59A5"/>
    <w:rsid w:val="00BF7AA4"/>
    <w:rsid w:val="00C02DE3"/>
    <w:rsid w:val="00C0657E"/>
    <w:rsid w:val="00C10D88"/>
    <w:rsid w:val="00C13B64"/>
    <w:rsid w:val="00C14871"/>
    <w:rsid w:val="00C20787"/>
    <w:rsid w:val="00C2098A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A9E"/>
    <w:rsid w:val="00C44DF8"/>
    <w:rsid w:val="00C45C88"/>
    <w:rsid w:val="00C51767"/>
    <w:rsid w:val="00C545EB"/>
    <w:rsid w:val="00C557F4"/>
    <w:rsid w:val="00C57768"/>
    <w:rsid w:val="00C6004D"/>
    <w:rsid w:val="00C600DB"/>
    <w:rsid w:val="00C6113B"/>
    <w:rsid w:val="00C614AA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07B1B"/>
    <w:rsid w:val="00D101C1"/>
    <w:rsid w:val="00D123B5"/>
    <w:rsid w:val="00D16EBC"/>
    <w:rsid w:val="00D20FEB"/>
    <w:rsid w:val="00D23E62"/>
    <w:rsid w:val="00D25531"/>
    <w:rsid w:val="00D25B5D"/>
    <w:rsid w:val="00D26E14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3291"/>
    <w:rsid w:val="00D7511D"/>
    <w:rsid w:val="00D75D34"/>
    <w:rsid w:val="00D80254"/>
    <w:rsid w:val="00D83733"/>
    <w:rsid w:val="00D85F65"/>
    <w:rsid w:val="00D93875"/>
    <w:rsid w:val="00D94E34"/>
    <w:rsid w:val="00D9544D"/>
    <w:rsid w:val="00DA0C2B"/>
    <w:rsid w:val="00DA199F"/>
    <w:rsid w:val="00DA1B6C"/>
    <w:rsid w:val="00DA3C1C"/>
    <w:rsid w:val="00DA4275"/>
    <w:rsid w:val="00DA5A1B"/>
    <w:rsid w:val="00DA675B"/>
    <w:rsid w:val="00DA6E2B"/>
    <w:rsid w:val="00DA70E2"/>
    <w:rsid w:val="00DB1DDC"/>
    <w:rsid w:val="00DB441D"/>
    <w:rsid w:val="00DB6703"/>
    <w:rsid w:val="00DB7EA6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4A4D"/>
    <w:rsid w:val="00E45D73"/>
    <w:rsid w:val="00E514E5"/>
    <w:rsid w:val="00E525EA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24B1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1DAD"/>
    <w:rsid w:val="00ED21EF"/>
    <w:rsid w:val="00ED2E60"/>
    <w:rsid w:val="00ED6A15"/>
    <w:rsid w:val="00EE1129"/>
    <w:rsid w:val="00EE29F1"/>
    <w:rsid w:val="00EE4461"/>
    <w:rsid w:val="00EE4537"/>
    <w:rsid w:val="00EF2FC2"/>
    <w:rsid w:val="00EF4D66"/>
    <w:rsid w:val="00EF65EB"/>
    <w:rsid w:val="00F03742"/>
    <w:rsid w:val="00F043FA"/>
    <w:rsid w:val="00F06AD3"/>
    <w:rsid w:val="00F133DD"/>
    <w:rsid w:val="00F14037"/>
    <w:rsid w:val="00F15312"/>
    <w:rsid w:val="00F173B4"/>
    <w:rsid w:val="00F31425"/>
    <w:rsid w:val="00F31635"/>
    <w:rsid w:val="00F33AEE"/>
    <w:rsid w:val="00F33CB1"/>
    <w:rsid w:val="00F37918"/>
    <w:rsid w:val="00F37FBC"/>
    <w:rsid w:val="00F42EAB"/>
    <w:rsid w:val="00F4413A"/>
    <w:rsid w:val="00F45339"/>
    <w:rsid w:val="00F504D0"/>
    <w:rsid w:val="00F52C49"/>
    <w:rsid w:val="00F53A62"/>
    <w:rsid w:val="00F56FF1"/>
    <w:rsid w:val="00F64652"/>
    <w:rsid w:val="00F740AC"/>
    <w:rsid w:val="00F75399"/>
    <w:rsid w:val="00F76E82"/>
    <w:rsid w:val="00F809DE"/>
    <w:rsid w:val="00F8417B"/>
    <w:rsid w:val="00F84A57"/>
    <w:rsid w:val="00F851AC"/>
    <w:rsid w:val="00F85916"/>
    <w:rsid w:val="00F86A17"/>
    <w:rsid w:val="00F91B23"/>
    <w:rsid w:val="00F92AD7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859"/>
    <w:rsid w:val="00FC4D57"/>
    <w:rsid w:val="00FC5F4D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9C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8B4873"/>
    <w:rPr>
      <w:color w:val="0000FF" w:themeColor="hyperlink"/>
      <w:u w:val="single"/>
    </w:rPr>
  </w:style>
  <w:style w:type="character" w:styleId="FootnoteReference">
    <w:name w:val="footnote reference"/>
    <w:semiHidden/>
    <w:rsid w:val="008E04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8B4873"/>
    <w:rPr>
      <w:color w:val="0000FF" w:themeColor="hyperlink"/>
      <w:u w:val="single"/>
    </w:rPr>
  </w:style>
  <w:style w:type="character" w:styleId="FootnoteReference">
    <w:name w:val="footnote reference"/>
    <w:semiHidden/>
    <w:rsid w:val="008E0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4EFA-B569-4AA6-BC34-0C27DACF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SYSTEM</cp:lastModifiedBy>
  <cp:revision>2</cp:revision>
  <dcterms:created xsi:type="dcterms:W3CDTF">2019-11-01T18:12:00Z</dcterms:created>
  <dcterms:modified xsi:type="dcterms:W3CDTF">2019-11-01T18:12:00Z</dcterms:modified>
</cp:coreProperties>
</file>