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747731" w14:textId="77777777" w:rsidR="008E2A19" w:rsidRDefault="008E2A19" w:rsidP="009A79E1">
      <w:pPr>
        <w:rPr>
          <w:sz w:val="36"/>
          <w:szCs w:val="36"/>
        </w:rPr>
      </w:pPr>
      <w:bookmarkStart w:id="0" w:name="_Toc473880015"/>
      <w:bookmarkStart w:id="1" w:name="_GoBack"/>
      <w:bookmarkEnd w:id="1"/>
    </w:p>
    <w:p w14:paraId="788DB28D" w14:textId="77777777" w:rsidR="008E2A19" w:rsidRDefault="008E2A19" w:rsidP="009A79E1">
      <w:pPr>
        <w:rPr>
          <w:sz w:val="36"/>
          <w:szCs w:val="36"/>
        </w:rPr>
      </w:pPr>
    </w:p>
    <w:p w14:paraId="3D3D3362" w14:textId="77777777" w:rsidR="008E2A19" w:rsidRDefault="008E2A19" w:rsidP="009A79E1">
      <w:pPr>
        <w:rPr>
          <w:sz w:val="36"/>
          <w:szCs w:val="36"/>
        </w:rPr>
      </w:pPr>
    </w:p>
    <w:p w14:paraId="76CF384A" w14:textId="3D6C5BEF" w:rsidR="00527B48" w:rsidRPr="00527B48" w:rsidRDefault="00527B48" w:rsidP="00527B48">
      <w:pPr>
        <w:pStyle w:val="Heading4"/>
        <w:rPr>
          <w:sz w:val="28"/>
          <w:szCs w:val="28"/>
        </w:rPr>
      </w:pPr>
      <w:r w:rsidRPr="00527B48">
        <w:rPr>
          <w:sz w:val="28"/>
          <w:szCs w:val="28"/>
        </w:rPr>
        <w:t xml:space="preserve">Supporting </w:t>
      </w:r>
      <w:r w:rsidR="006B5A3B" w:rsidRPr="00527B48">
        <w:rPr>
          <w:sz w:val="28"/>
          <w:szCs w:val="28"/>
        </w:rPr>
        <w:t>Statement</w:t>
      </w:r>
      <w:r w:rsidRPr="00527B48">
        <w:rPr>
          <w:sz w:val="28"/>
          <w:szCs w:val="28"/>
        </w:rPr>
        <w:t xml:space="preserve"> A</w:t>
      </w:r>
    </w:p>
    <w:p w14:paraId="06894206" w14:textId="010FB4DF" w:rsidR="008E2A19" w:rsidRDefault="008E2A19" w:rsidP="009A79E1">
      <w:pPr>
        <w:rPr>
          <w:sz w:val="36"/>
          <w:szCs w:val="36"/>
        </w:rPr>
      </w:pPr>
    </w:p>
    <w:p w14:paraId="529A88B5" w14:textId="25A03D16" w:rsidR="006B5A3B" w:rsidRDefault="006B5A3B" w:rsidP="009A79E1">
      <w:pPr>
        <w:rPr>
          <w:sz w:val="36"/>
          <w:szCs w:val="36"/>
        </w:rPr>
      </w:pPr>
    </w:p>
    <w:p w14:paraId="0F543EA6" w14:textId="77777777" w:rsidR="006B5A3B" w:rsidRDefault="006B5A3B" w:rsidP="009A79E1">
      <w:pPr>
        <w:rPr>
          <w:sz w:val="36"/>
          <w:szCs w:val="36"/>
        </w:rPr>
      </w:pPr>
    </w:p>
    <w:bookmarkEnd w:id="0"/>
    <w:p w14:paraId="22951C3B" w14:textId="77777777" w:rsidR="00527B48" w:rsidRPr="00527B48" w:rsidRDefault="00527B48" w:rsidP="000F1120">
      <w:pPr>
        <w:spacing w:after="0" w:line="240" w:lineRule="auto"/>
        <w:jc w:val="center"/>
        <w:rPr>
          <w:b/>
          <w:sz w:val="28"/>
          <w:szCs w:val="28"/>
        </w:rPr>
      </w:pPr>
      <w:r w:rsidRPr="00527B48">
        <w:rPr>
          <w:b/>
          <w:sz w:val="28"/>
          <w:szCs w:val="28"/>
        </w:rPr>
        <w:t>2019 LUNG INJURY RESPONSE</w:t>
      </w:r>
    </w:p>
    <w:p w14:paraId="4D68CA51" w14:textId="77777777" w:rsidR="00527B48" w:rsidRPr="00527B48" w:rsidRDefault="00527B48" w:rsidP="000F1120">
      <w:pPr>
        <w:spacing w:after="0" w:line="240" w:lineRule="auto"/>
        <w:jc w:val="center"/>
        <w:rPr>
          <w:b/>
          <w:sz w:val="28"/>
          <w:szCs w:val="28"/>
        </w:rPr>
      </w:pPr>
      <w:r w:rsidRPr="00527B48">
        <w:rPr>
          <w:b/>
          <w:sz w:val="28"/>
          <w:szCs w:val="28"/>
        </w:rPr>
        <w:t xml:space="preserve">UNDERSTANDING VAPING PRACTICES </w:t>
      </w:r>
    </w:p>
    <w:p w14:paraId="482658D2" w14:textId="7DC27A4B" w:rsidR="00527B48" w:rsidRDefault="00527B48" w:rsidP="000F1120">
      <w:pPr>
        <w:spacing w:after="0" w:line="240" w:lineRule="auto"/>
        <w:jc w:val="center"/>
        <w:rPr>
          <w:b/>
          <w:sz w:val="28"/>
          <w:szCs w:val="28"/>
        </w:rPr>
      </w:pPr>
      <w:r w:rsidRPr="00527B48">
        <w:rPr>
          <w:b/>
          <w:sz w:val="28"/>
          <w:szCs w:val="28"/>
        </w:rPr>
        <w:t>IN THE UNITED STATES</w:t>
      </w:r>
    </w:p>
    <w:p w14:paraId="28DA9AD7" w14:textId="2D9481F7" w:rsidR="00527B48" w:rsidRDefault="00527B48" w:rsidP="00527B48">
      <w:pPr>
        <w:jc w:val="center"/>
        <w:rPr>
          <w:b/>
          <w:sz w:val="28"/>
          <w:szCs w:val="28"/>
        </w:rPr>
      </w:pPr>
    </w:p>
    <w:p w14:paraId="354AA5E4" w14:textId="77777777" w:rsidR="006B5A3B" w:rsidRPr="00527B48" w:rsidRDefault="006B5A3B" w:rsidP="00527B48">
      <w:pPr>
        <w:jc w:val="center"/>
        <w:rPr>
          <w:b/>
          <w:sz w:val="28"/>
          <w:szCs w:val="28"/>
        </w:rPr>
      </w:pPr>
    </w:p>
    <w:p w14:paraId="55FE1773" w14:textId="77777777" w:rsidR="004A13E8" w:rsidRDefault="004A13E8" w:rsidP="004A13E8">
      <w:pPr>
        <w:spacing w:after="0" w:line="240" w:lineRule="auto"/>
        <w:jc w:val="center"/>
        <w:rPr>
          <w:b/>
        </w:rPr>
      </w:pPr>
    </w:p>
    <w:p w14:paraId="55FE1774" w14:textId="6572ECDD" w:rsidR="004A13E8" w:rsidRDefault="004A13E8" w:rsidP="009A6F06">
      <w:pPr>
        <w:jc w:val="center"/>
        <w:rPr>
          <w:sz w:val="28"/>
          <w:szCs w:val="28"/>
        </w:rPr>
      </w:pPr>
      <w:bookmarkStart w:id="2" w:name="_Toc473880016"/>
      <w:r w:rsidRPr="009A6F06">
        <w:rPr>
          <w:sz w:val="28"/>
          <w:szCs w:val="28"/>
        </w:rPr>
        <w:t>Request for OMB approval of a</w:t>
      </w:r>
      <w:r w:rsidR="00C17428" w:rsidRPr="009A6F06">
        <w:rPr>
          <w:sz w:val="28"/>
          <w:szCs w:val="28"/>
        </w:rPr>
        <w:t xml:space="preserve"> New</w:t>
      </w:r>
      <w:r w:rsidR="00527B48">
        <w:rPr>
          <w:sz w:val="28"/>
          <w:szCs w:val="28"/>
        </w:rPr>
        <w:t xml:space="preserve"> Emergency </w:t>
      </w:r>
      <w:r w:rsidR="00527B48" w:rsidRPr="009A6F06">
        <w:rPr>
          <w:sz w:val="28"/>
          <w:szCs w:val="28"/>
        </w:rPr>
        <w:t>Information</w:t>
      </w:r>
      <w:r w:rsidR="00DC74EE" w:rsidRPr="009A6F06">
        <w:rPr>
          <w:sz w:val="28"/>
          <w:szCs w:val="28"/>
        </w:rPr>
        <w:t xml:space="preserve"> Collection</w:t>
      </w:r>
      <w:bookmarkEnd w:id="2"/>
    </w:p>
    <w:p w14:paraId="04F5D46C" w14:textId="65E2E98E" w:rsidR="00527B48" w:rsidRDefault="00527B48" w:rsidP="009A6F06">
      <w:pPr>
        <w:jc w:val="center"/>
        <w:rPr>
          <w:sz w:val="28"/>
          <w:szCs w:val="28"/>
        </w:rPr>
      </w:pPr>
    </w:p>
    <w:p w14:paraId="4D26E0E0" w14:textId="77777777" w:rsidR="00527B48" w:rsidRPr="009A6F06" w:rsidRDefault="00527B48" w:rsidP="009A6F06">
      <w:pPr>
        <w:jc w:val="center"/>
        <w:rPr>
          <w:sz w:val="28"/>
          <w:szCs w:val="28"/>
        </w:rPr>
      </w:pPr>
    </w:p>
    <w:p w14:paraId="55FE1775" w14:textId="77777777" w:rsidR="004A13E8" w:rsidRPr="009A6F06" w:rsidRDefault="004A13E8" w:rsidP="004A13E8">
      <w:pPr>
        <w:spacing w:after="0" w:line="240" w:lineRule="auto"/>
        <w:jc w:val="center"/>
        <w:rPr>
          <w:b/>
          <w:sz w:val="28"/>
          <w:szCs w:val="28"/>
        </w:rPr>
      </w:pPr>
    </w:p>
    <w:p w14:paraId="55FE1777" w14:textId="0BF53D79" w:rsidR="004A13E8" w:rsidRPr="009A6F06" w:rsidRDefault="00527B48" w:rsidP="004A13E8">
      <w:pPr>
        <w:spacing w:after="0" w:line="240" w:lineRule="auto"/>
        <w:jc w:val="center"/>
        <w:rPr>
          <w:b/>
          <w:sz w:val="28"/>
          <w:szCs w:val="28"/>
        </w:rPr>
      </w:pPr>
      <w:r>
        <w:rPr>
          <w:b/>
          <w:sz w:val="28"/>
          <w:szCs w:val="28"/>
        </w:rPr>
        <w:t xml:space="preserve">November 6, </w:t>
      </w:r>
      <w:r w:rsidR="007B3E8B" w:rsidRPr="009A6F06">
        <w:rPr>
          <w:b/>
          <w:sz w:val="28"/>
          <w:szCs w:val="28"/>
        </w:rPr>
        <w:t>2019</w:t>
      </w:r>
    </w:p>
    <w:p w14:paraId="55FE1778" w14:textId="77777777" w:rsidR="004A13E8" w:rsidRDefault="004A13E8" w:rsidP="009A79E1"/>
    <w:p w14:paraId="55FE1787" w14:textId="77777777" w:rsidR="004A13E8" w:rsidRDefault="004A13E8" w:rsidP="004A13E8">
      <w:pPr>
        <w:spacing w:after="0" w:line="240" w:lineRule="auto"/>
        <w:rPr>
          <w:b/>
        </w:rPr>
      </w:pPr>
    </w:p>
    <w:p w14:paraId="55FE1788" w14:textId="77777777" w:rsidR="004A13E8" w:rsidRDefault="004A13E8" w:rsidP="004A13E8">
      <w:pPr>
        <w:spacing w:after="0" w:line="240" w:lineRule="auto"/>
        <w:rPr>
          <w:b/>
        </w:rPr>
      </w:pPr>
    </w:p>
    <w:p w14:paraId="55FE178A" w14:textId="27352D7F" w:rsidR="00304BBB" w:rsidRDefault="00304BBB" w:rsidP="004A13E8">
      <w:pPr>
        <w:spacing w:after="0" w:line="240" w:lineRule="auto"/>
        <w:rPr>
          <w:b/>
        </w:rPr>
      </w:pPr>
    </w:p>
    <w:p w14:paraId="55FE1793" w14:textId="10F7BE22" w:rsidR="004A13E8" w:rsidRDefault="004A13E8" w:rsidP="00527B48">
      <w:pPr>
        <w:pStyle w:val="NoSpacing"/>
        <w:jc w:val="both"/>
        <w:rPr>
          <w:b/>
        </w:rPr>
      </w:pPr>
      <w:r w:rsidRPr="009A79E1">
        <w:rPr>
          <w:b/>
        </w:rPr>
        <w:t xml:space="preserve">Contact: </w:t>
      </w:r>
    </w:p>
    <w:p w14:paraId="0B45EB75" w14:textId="3F84810D" w:rsidR="00527B48" w:rsidRPr="00FF05C4" w:rsidRDefault="00FF05C4" w:rsidP="00527B48">
      <w:pPr>
        <w:pStyle w:val="NoSpacing"/>
        <w:jc w:val="both"/>
        <w:rPr>
          <w:b/>
        </w:rPr>
      </w:pPr>
      <w:r>
        <w:rPr>
          <w:b/>
        </w:rPr>
        <w:t>Christopher Jones</w:t>
      </w:r>
      <w:r w:rsidR="009504DD">
        <w:rPr>
          <w:b/>
        </w:rPr>
        <w:t>, PharmD</w:t>
      </w:r>
      <w:r w:rsidR="007535A5">
        <w:rPr>
          <w:b/>
        </w:rPr>
        <w:t xml:space="preserve">, </w:t>
      </w:r>
      <w:r w:rsidR="00AA6595">
        <w:rPr>
          <w:b/>
        </w:rPr>
        <w:t xml:space="preserve">DrPH, </w:t>
      </w:r>
      <w:r w:rsidR="007535A5">
        <w:rPr>
          <w:b/>
        </w:rPr>
        <w:t>MPH</w:t>
      </w:r>
    </w:p>
    <w:p w14:paraId="6E5A7BFC" w14:textId="77777777" w:rsidR="00527B48" w:rsidRPr="00FF05C4" w:rsidRDefault="00527B48" w:rsidP="00527B48">
      <w:pPr>
        <w:pStyle w:val="E-mailSignature"/>
        <w:rPr>
          <w:noProof/>
        </w:rPr>
      </w:pPr>
      <w:bookmarkStart w:id="3" w:name="_MailAutoSig"/>
      <w:r w:rsidRPr="00FF05C4">
        <w:rPr>
          <w:noProof/>
        </w:rPr>
        <w:t>Centers for Disease Control and Prevention</w:t>
      </w:r>
    </w:p>
    <w:p w14:paraId="20535441" w14:textId="77777777" w:rsidR="00527B48" w:rsidRPr="00FF05C4" w:rsidRDefault="00527B48" w:rsidP="00527B48">
      <w:pPr>
        <w:pStyle w:val="E-mailSignature"/>
        <w:rPr>
          <w:noProof/>
        </w:rPr>
      </w:pPr>
      <w:r w:rsidRPr="00FF05C4">
        <w:rPr>
          <w:noProof/>
        </w:rPr>
        <w:t>National Center for Injury Prevention and Control</w:t>
      </w:r>
    </w:p>
    <w:p w14:paraId="37D4160F" w14:textId="59823DE7" w:rsidR="00527B48" w:rsidRPr="00FF05C4" w:rsidRDefault="00527B48" w:rsidP="00527B48">
      <w:pPr>
        <w:pStyle w:val="E-mailSignature"/>
        <w:rPr>
          <w:noProof/>
        </w:rPr>
      </w:pPr>
      <w:r w:rsidRPr="00FF05C4">
        <w:rPr>
          <w:noProof/>
        </w:rPr>
        <w:t xml:space="preserve">4770 Buford Highway NE  </w:t>
      </w:r>
    </w:p>
    <w:p w14:paraId="5E5F0C1F" w14:textId="77777777" w:rsidR="00527B48" w:rsidRPr="00FF05C4" w:rsidRDefault="00527B48" w:rsidP="00527B48">
      <w:pPr>
        <w:pStyle w:val="E-mailSignature"/>
        <w:rPr>
          <w:noProof/>
        </w:rPr>
      </w:pPr>
      <w:r w:rsidRPr="00FF05C4">
        <w:rPr>
          <w:noProof/>
        </w:rPr>
        <w:t>Atlanta, GA 30341-3724</w:t>
      </w:r>
    </w:p>
    <w:p w14:paraId="45E9D644" w14:textId="7733BCA5" w:rsidR="00527B48" w:rsidRPr="00FF05C4" w:rsidRDefault="00527B48" w:rsidP="00527B48">
      <w:pPr>
        <w:pStyle w:val="E-mailSignature"/>
        <w:rPr>
          <w:noProof/>
        </w:rPr>
      </w:pPr>
      <w:r w:rsidRPr="00FF05C4">
        <w:rPr>
          <w:noProof/>
        </w:rPr>
        <w:t xml:space="preserve">phone: </w:t>
      </w:r>
      <w:r w:rsidR="00FF05C4" w:rsidRPr="00FF05C4">
        <w:rPr>
          <w:noProof/>
        </w:rPr>
        <w:t>404.498.0756</w:t>
      </w:r>
    </w:p>
    <w:p w14:paraId="36CDD1D6" w14:textId="68E20061" w:rsidR="00527B48" w:rsidRPr="005511A5" w:rsidRDefault="00527B48" w:rsidP="00527B48">
      <w:pPr>
        <w:pStyle w:val="E-mailSignature"/>
        <w:rPr>
          <w:noProof/>
        </w:rPr>
      </w:pPr>
      <w:r w:rsidRPr="00FF05C4">
        <w:rPr>
          <w:noProof/>
        </w:rPr>
        <w:t xml:space="preserve">email: </w:t>
      </w:r>
      <w:r w:rsidR="00FF05C4">
        <w:rPr>
          <w:noProof/>
        </w:rPr>
        <w:t>fjr0</w:t>
      </w:r>
      <w:r w:rsidRPr="00FF05C4">
        <w:rPr>
          <w:noProof/>
        </w:rPr>
        <w:t>@cdc.gov</w:t>
      </w:r>
    </w:p>
    <w:bookmarkEnd w:id="3"/>
    <w:p w14:paraId="55FE179A" w14:textId="24DA862F" w:rsidR="004A13E8" w:rsidRDefault="004A13E8" w:rsidP="009A79E1">
      <w:pPr>
        <w:pStyle w:val="NoSpacing"/>
      </w:pPr>
      <w:r>
        <w:br w:type="page"/>
      </w:r>
    </w:p>
    <w:sdt>
      <w:sdtPr>
        <w:rPr>
          <w:b w:val="0"/>
          <w:sz w:val="28"/>
          <w:szCs w:val="28"/>
        </w:rPr>
        <w:id w:val="1564836290"/>
        <w:docPartObj>
          <w:docPartGallery w:val="Table of Contents"/>
          <w:docPartUnique/>
        </w:docPartObj>
      </w:sdtPr>
      <w:sdtEndPr>
        <w:rPr>
          <w:bCs/>
          <w:noProof/>
          <w:sz w:val="24"/>
          <w:szCs w:val="22"/>
        </w:rPr>
      </w:sdtEndPr>
      <w:sdtContent>
        <w:p w14:paraId="55FE179B" w14:textId="4FC445EE" w:rsidR="004A13E8" w:rsidRDefault="00C90B13" w:rsidP="004A13E8">
          <w:pPr>
            <w:pStyle w:val="Heading4"/>
            <w:rPr>
              <w:sz w:val="28"/>
              <w:szCs w:val="28"/>
            </w:rPr>
          </w:pPr>
          <w:r w:rsidRPr="00D13EA1">
            <w:rPr>
              <w:sz w:val="28"/>
              <w:szCs w:val="28"/>
            </w:rPr>
            <w:t xml:space="preserve">Table of </w:t>
          </w:r>
          <w:r w:rsidR="004A13E8" w:rsidRPr="00D13EA1">
            <w:rPr>
              <w:sz w:val="28"/>
              <w:szCs w:val="28"/>
            </w:rPr>
            <w:t>Contents</w:t>
          </w:r>
        </w:p>
        <w:p w14:paraId="37BB9B38" w14:textId="77777777" w:rsidR="005213DE" w:rsidRPr="005213DE" w:rsidRDefault="005213DE" w:rsidP="005213DE"/>
        <w:p w14:paraId="69FFF003" w14:textId="1AA02688" w:rsidR="009A6F06" w:rsidRDefault="004A13E8">
          <w:pPr>
            <w:pStyle w:val="TOC1"/>
            <w:tabs>
              <w:tab w:val="left" w:pos="480"/>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hyperlink w:anchor="_Toc3365131" w:history="1">
            <w:r w:rsidR="009A6F06" w:rsidRPr="00DF61F3">
              <w:rPr>
                <w:rStyle w:val="Hyperlink"/>
                <w:noProof/>
              </w:rPr>
              <w:t>1.</w:t>
            </w:r>
            <w:r w:rsidR="009A6F06">
              <w:rPr>
                <w:rFonts w:asciiTheme="minorHAnsi" w:eastAsiaTheme="minorEastAsia" w:hAnsiTheme="minorHAnsi"/>
                <w:noProof/>
                <w:sz w:val="22"/>
              </w:rPr>
              <w:tab/>
            </w:r>
            <w:r w:rsidR="009A6F06" w:rsidRPr="00DF61F3">
              <w:rPr>
                <w:rStyle w:val="Hyperlink"/>
                <w:noProof/>
              </w:rPr>
              <w:t>Circumstances Making the Collection of Information Necessary</w:t>
            </w:r>
            <w:r w:rsidR="009A6F06">
              <w:rPr>
                <w:noProof/>
                <w:webHidden/>
              </w:rPr>
              <w:tab/>
            </w:r>
            <w:r w:rsidR="009A6F06">
              <w:rPr>
                <w:noProof/>
                <w:webHidden/>
              </w:rPr>
              <w:fldChar w:fldCharType="begin"/>
            </w:r>
            <w:r w:rsidR="009A6F06">
              <w:rPr>
                <w:noProof/>
                <w:webHidden/>
              </w:rPr>
              <w:instrText xml:space="preserve"> PAGEREF _Toc3365131 \h </w:instrText>
            </w:r>
            <w:r w:rsidR="009A6F06">
              <w:rPr>
                <w:noProof/>
                <w:webHidden/>
              </w:rPr>
            </w:r>
            <w:r w:rsidR="009A6F06">
              <w:rPr>
                <w:noProof/>
                <w:webHidden/>
              </w:rPr>
              <w:fldChar w:fldCharType="separate"/>
            </w:r>
            <w:r w:rsidR="007535A5">
              <w:rPr>
                <w:noProof/>
                <w:webHidden/>
              </w:rPr>
              <w:t>4</w:t>
            </w:r>
            <w:r w:rsidR="009A6F06">
              <w:rPr>
                <w:noProof/>
                <w:webHidden/>
              </w:rPr>
              <w:fldChar w:fldCharType="end"/>
            </w:r>
          </w:hyperlink>
        </w:p>
        <w:p w14:paraId="1AA780D4" w14:textId="7683834B" w:rsidR="009A6F06" w:rsidRDefault="005F74AA">
          <w:pPr>
            <w:pStyle w:val="TOC1"/>
            <w:tabs>
              <w:tab w:val="left" w:pos="480"/>
              <w:tab w:val="right" w:leader="dot" w:pos="10070"/>
            </w:tabs>
            <w:rPr>
              <w:rFonts w:asciiTheme="minorHAnsi" w:eastAsiaTheme="minorEastAsia" w:hAnsiTheme="minorHAnsi"/>
              <w:noProof/>
              <w:sz w:val="22"/>
            </w:rPr>
          </w:pPr>
          <w:hyperlink w:anchor="_Toc3365132" w:history="1">
            <w:r w:rsidR="009A6F06" w:rsidRPr="00DF61F3">
              <w:rPr>
                <w:rStyle w:val="Hyperlink"/>
                <w:noProof/>
              </w:rPr>
              <w:t>2.</w:t>
            </w:r>
            <w:r w:rsidR="009A6F06">
              <w:rPr>
                <w:rFonts w:asciiTheme="minorHAnsi" w:eastAsiaTheme="minorEastAsia" w:hAnsiTheme="minorHAnsi"/>
                <w:noProof/>
                <w:sz w:val="22"/>
              </w:rPr>
              <w:tab/>
            </w:r>
            <w:r w:rsidR="009A6F06" w:rsidRPr="00DF61F3">
              <w:rPr>
                <w:rStyle w:val="Hyperlink"/>
                <w:noProof/>
              </w:rPr>
              <w:t>Purpose and Use of Information Collection</w:t>
            </w:r>
            <w:r w:rsidR="009A6F06">
              <w:rPr>
                <w:noProof/>
                <w:webHidden/>
              </w:rPr>
              <w:tab/>
            </w:r>
            <w:r w:rsidR="009A6F06">
              <w:rPr>
                <w:noProof/>
                <w:webHidden/>
              </w:rPr>
              <w:fldChar w:fldCharType="begin"/>
            </w:r>
            <w:r w:rsidR="009A6F06">
              <w:rPr>
                <w:noProof/>
                <w:webHidden/>
              </w:rPr>
              <w:instrText xml:space="preserve"> PAGEREF _Toc3365132 \h </w:instrText>
            </w:r>
            <w:r w:rsidR="009A6F06">
              <w:rPr>
                <w:noProof/>
                <w:webHidden/>
              </w:rPr>
            </w:r>
            <w:r w:rsidR="009A6F06">
              <w:rPr>
                <w:noProof/>
                <w:webHidden/>
              </w:rPr>
              <w:fldChar w:fldCharType="separate"/>
            </w:r>
            <w:r w:rsidR="007535A5">
              <w:rPr>
                <w:noProof/>
                <w:webHidden/>
              </w:rPr>
              <w:t>5</w:t>
            </w:r>
            <w:r w:rsidR="009A6F06">
              <w:rPr>
                <w:noProof/>
                <w:webHidden/>
              </w:rPr>
              <w:fldChar w:fldCharType="end"/>
            </w:r>
          </w:hyperlink>
        </w:p>
        <w:p w14:paraId="27060169" w14:textId="05F931B2" w:rsidR="009A6F06" w:rsidRDefault="005F74AA">
          <w:pPr>
            <w:pStyle w:val="TOC1"/>
            <w:tabs>
              <w:tab w:val="left" w:pos="480"/>
              <w:tab w:val="right" w:leader="dot" w:pos="10070"/>
            </w:tabs>
            <w:rPr>
              <w:rFonts w:asciiTheme="minorHAnsi" w:eastAsiaTheme="minorEastAsia" w:hAnsiTheme="minorHAnsi"/>
              <w:noProof/>
              <w:sz w:val="22"/>
            </w:rPr>
          </w:pPr>
          <w:hyperlink w:anchor="_Toc3365133" w:history="1">
            <w:r w:rsidR="009A6F06" w:rsidRPr="00DF61F3">
              <w:rPr>
                <w:rStyle w:val="Hyperlink"/>
                <w:noProof/>
              </w:rPr>
              <w:t>3.</w:t>
            </w:r>
            <w:r w:rsidR="009A6F06">
              <w:rPr>
                <w:rFonts w:asciiTheme="minorHAnsi" w:eastAsiaTheme="minorEastAsia" w:hAnsiTheme="minorHAnsi"/>
                <w:noProof/>
                <w:sz w:val="22"/>
              </w:rPr>
              <w:tab/>
            </w:r>
            <w:r w:rsidR="009A6F06" w:rsidRPr="00DF61F3">
              <w:rPr>
                <w:rStyle w:val="Hyperlink"/>
                <w:noProof/>
              </w:rPr>
              <w:t>Use of Improved Information Technology and Burden Reduction</w:t>
            </w:r>
            <w:r w:rsidR="009A6F06">
              <w:rPr>
                <w:noProof/>
                <w:webHidden/>
              </w:rPr>
              <w:tab/>
            </w:r>
            <w:r w:rsidR="009A6F06">
              <w:rPr>
                <w:noProof/>
                <w:webHidden/>
              </w:rPr>
              <w:fldChar w:fldCharType="begin"/>
            </w:r>
            <w:r w:rsidR="009A6F06">
              <w:rPr>
                <w:noProof/>
                <w:webHidden/>
              </w:rPr>
              <w:instrText xml:space="preserve"> PAGEREF _Toc3365133 \h </w:instrText>
            </w:r>
            <w:r w:rsidR="009A6F06">
              <w:rPr>
                <w:noProof/>
                <w:webHidden/>
              </w:rPr>
            </w:r>
            <w:r w:rsidR="009A6F06">
              <w:rPr>
                <w:noProof/>
                <w:webHidden/>
              </w:rPr>
              <w:fldChar w:fldCharType="separate"/>
            </w:r>
            <w:r w:rsidR="007535A5">
              <w:rPr>
                <w:noProof/>
                <w:webHidden/>
              </w:rPr>
              <w:t>6</w:t>
            </w:r>
            <w:r w:rsidR="009A6F06">
              <w:rPr>
                <w:noProof/>
                <w:webHidden/>
              </w:rPr>
              <w:fldChar w:fldCharType="end"/>
            </w:r>
          </w:hyperlink>
        </w:p>
        <w:p w14:paraId="2C70DC0F" w14:textId="5D32041E" w:rsidR="009A6F06" w:rsidRDefault="005F74AA">
          <w:pPr>
            <w:pStyle w:val="TOC1"/>
            <w:tabs>
              <w:tab w:val="right" w:leader="dot" w:pos="10070"/>
            </w:tabs>
            <w:rPr>
              <w:rFonts w:asciiTheme="minorHAnsi" w:eastAsiaTheme="minorEastAsia" w:hAnsiTheme="minorHAnsi"/>
              <w:noProof/>
              <w:sz w:val="22"/>
            </w:rPr>
          </w:pPr>
          <w:hyperlink w:anchor="_Toc3365134" w:history="1">
            <w:r w:rsidR="009A6F06" w:rsidRPr="00DF61F3">
              <w:rPr>
                <w:rStyle w:val="Hyperlink"/>
                <w:noProof/>
              </w:rPr>
              <w:t xml:space="preserve">4.    </w:t>
            </w:r>
            <w:r w:rsidR="00107EEA">
              <w:rPr>
                <w:rStyle w:val="Hyperlink"/>
                <w:noProof/>
              </w:rPr>
              <w:t xml:space="preserve"> </w:t>
            </w:r>
            <w:r w:rsidR="009A6F06" w:rsidRPr="00DF61F3">
              <w:rPr>
                <w:rStyle w:val="Hyperlink"/>
                <w:noProof/>
              </w:rPr>
              <w:t>Efforts to Identify Duplication and Use of Similar Information</w:t>
            </w:r>
            <w:r w:rsidR="009A6F06">
              <w:rPr>
                <w:noProof/>
                <w:webHidden/>
              </w:rPr>
              <w:tab/>
            </w:r>
            <w:r w:rsidR="009A6F06">
              <w:rPr>
                <w:noProof/>
                <w:webHidden/>
              </w:rPr>
              <w:fldChar w:fldCharType="begin"/>
            </w:r>
            <w:r w:rsidR="009A6F06">
              <w:rPr>
                <w:noProof/>
                <w:webHidden/>
              </w:rPr>
              <w:instrText xml:space="preserve"> PAGEREF _Toc3365134 \h </w:instrText>
            </w:r>
            <w:r w:rsidR="009A6F06">
              <w:rPr>
                <w:noProof/>
                <w:webHidden/>
              </w:rPr>
            </w:r>
            <w:r w:rsidR="009A6F06">
              <w:rPr>
                <w:noProof/>
                <w:webHidden/>
              </w:rPr>
              <w:fldChar w:fldCharType="separate"/>
            </w:r>
            <w:r w:rsidR="007535A5">
              <w:rPr>
                <w:noProof/>
                <w:webHidden/>
              </w:rPr>
              <w:t>7</w:t>
            </w:r>
            <w:r w:rsidR="009A6F06">
              <w:rPr>
                <w:noProof/>
                <w:webHidden/>
              </w:rPr>
              <w:fldChar w:fldCharType="end"/>
            </w:r>
          </w:hyperlink>
        </w:p>
        <w:p w14:paraId="00B6E6CC" w14:textId="391A6311" w:rsidR="009A6F06" w:rsidRDefault="005F74AA">
          <w:pPr>
            <w:pStyle w:val="TOC1"/>
            <w:tabs>
              <w:tab w:val="right" w:leader="dot" w:pos="10070"/>
            </w:tabs>
            <w:rPr>
              <w:rFonts w:asciiTheme="minorHAnsi" w:eastAsiaTheme="minorEastAsia" w:hAnsiTheme="minorHAnsi"/>
              <w:noProof/>
              <w:sz w:val="22"/>
            </w:rPr>
          </w:pPr>
          <w:hyperlink w:anchor="_Toc3365135" w:history="1">
            <w:r w:rsidR="009A6F06" w:rsidRPr="00DF61F3">
              <w:rPr>
                <w:rStyle w:val="Hyperlink"/>
                <w:noProof/>
              </w:rPr>
              <w:t xml:space="preserve">5.   </w:t>
            </w:r>
            <w:r w:rsidR="00107EEA">
              <w:rPr>
                <w:rStyle w:val="Hyperlink"/>
                <w:noProof/>
              </w:rPr>
              <w:t xml:space="preserve">  </w:t>
            </w:r>
            <w:r w:rsidR="009A6F06" w:rsidRPr="00DF61F3">
              <w:rPr>
                <w:rStyle w:val="Hyperlink"/>
                <w:noProof/>
              </w:rPr>
              <w:t>Impact on Small Businesses or Other Small Entities</w:t>
            </w:r>
            <w:r w:rsidR="009A6F06">
              <w:rPr>
                <w:noProof/>
                <w:webHidden/>
              </w:rPr>
              <w:tab/>
            </w:r>
            <w:r w:rsidR="009A6F06">
              <w:rPr>
                <w:noProof/>
                <w:webHidden/>
              </w:rPr>
              <w:fldChar w:fldCharType="begin"/>
            </w:r>
            <w:r w:rsidR="009A6F06">
              <w:rPr>
                <w:noProof/>
                <w:webHidden/>
              </w:rPr>
              <w:instrText xml:space="preserve"> PAGEREF _Toc3365135 \h </w:instrText>
            </w:r>
            <w:r w:rsidR="009A6F06">
              <w:rPr>
                <w:noProof/>
                <w:webHidden/>
              </w:rPr>
            </w:r>
            <w:r w:rsidR="009A6F06">
              <w:rPr>
                <w:noProof/>
                <w:webHidden/>
              </w:rPr>
              <w:fldChar w:fldCharType="separate"/>
            </w:r>
            <w:r w:rsidR="007535A5">
              <w:rPr>
                <w:noProof/>
                <w:webHidden/>
              </w:rPr>
              <w:t>8</w:t>
            </w:r>
            <w:r w:rsidR="009A6F06">
              <w:rPr>
                <w:noProof/>
                <w:webHidden/>
              </w:rPr>
              <w:fldChar w:fldCharType="end"/>
            </w:r>
          </w:hyperlink>
        </w:p>
        <w:p w14:paraId="03C0CE32" w14:textId="64932BF2" w:rsidR="009A6F06" w:rsidRDefault="005F74AA">
          <w:pPr>
            <w:pStyle w:val="TOC1"/>
            <w:tabs>
              <w:tab w:val="right" w:leader="dot" w:pos="10070"/>
            </w:tabs>
            <w:rPr>
              <w:rFonts w:asciiTheme="minorHAnsi" w:eastAsiaTheme="minorEastAsia" w:hAnsiTheme="minorHAnsi"/>
              <w:noProof/>
              <w:sz w:val="22"/>
            </w:rPr>
          </w:pPr>
          <w:hyperlink w:anchor="_Toc3365136" w:history="1">
            <w:r w:rsidR="009A6F06" w:rsidRPr="00DF61F3">
              <w:rPr>
                <w:rStyle w:val="Hyperlink"/>
                <w:noProof/>
              </w:rPr>
              <w:t xml:space="preserve">6.  </w:t>
            </w:r>
            <w:r w:rsidR="00107EEA">
              <w:rPr>
                <w:rStyle w:val="Hyperlink"/>
                <w:noProof/>
              </w:rPr>
              <w:t xml:space="preserve">   </w:t>
            </w:r>
            <w:r w:rsidR="009A6F06" w:rsidRPr="00DF61F3">
              <w:rPr>
                <w:rStyle w:val="Hyperlink"/>
                <w:noProof/>
              </w:rPr>
              <w:t>Consequences of Collecting the Information Less Frequently</w:t>
            </w:r>
            <w:r w:rsidR="009A6F06">
              <w:rPr>
                <w:noProof/>
                <w:webHidden/>
              </w:rPr>
              <w:tab/>
            </w:r>
            <w:r w:rsidR="009A6F06">
              <w:rPr>
                <w:noProof/>
                <w:webHidden/>
              </w:rPr>
              <w:fldChar w:fldCharType="begin"/>
            </w:r>
            <w:r w:rsidR="009A6F06">
              <w:rPr>
                <w:noProof/>
                <w:webHidden/>
              </w:rPr>
              <w:instrText xml:space="preserve"> PAGEREF _Toc3365136 \h </w:instrText>
            </w:r>
            <w:r w:rsidR="009A6F06">
              <w:rPr>
                <w:noProof/>
                <w:webHidden/>
              </w:rPr>
            </w:r>
            <w:r w:rsidR="009A6F06">
              <w:rPr>
                <w:noProof/>
                <w:webHidden/>
              </w:rPr>
              <w:fldChar w:fldCharType="separate"/>
            </w:r>
            <w:r w:rsidR="007535A5">
              <w:rPr>
                <w:noProof/>
                <w:webHidden/>
              </w:rPr>
              <w:t>8</w:t>
            </w:r>
            <w:r w:rsidR="009A6F06">
              <w:rPr>
                <w:noProof/>
                <w:webHidden/>
              </w:rPr>
              <w:fldChar w:fldCharType="end"/>
            </w:r>
          </w:hyperlink>
        </w:p>
        <w:p w14:paraId="16B2FC7B" w14:textId="3F51DF24" w:rsidR="009A6F06" w:rsidRDefault="005F74AA">
          <w:pPr>
            <w:pStyle w:val="TOC1"/>
            <w:tabs>
              <w:tab w:val="right" w:leader="dot" w:pos="10070"/>
            </w:tabs>
            <w:rPr>
              <w:rFonts w:asciiTheme="minorHAnsi" w:eastAsiaTheme="minorEastAsia" w:hAnsiTheme="minorHAnsi"/>
              <w:noProof/>
              <w:sz w:val="22"/>
            </w:rPr>
          </w:pPr>
          <w:hyperlink w:anchor="_Toc3365137" w:history="1">
            <w:r w:rsidR="009A6F06" w:rsidRPr="00DF61F3">
              <w:rPr>
                <w:rStyle w:val="Hyperlink"/>
                <w:noProof/>
              </w:rPr>
              <w:t xml:space="preserve">7.   </w:t>
            </w:r>
            <w:r w:rsidR="00107EEA">
              <w:rPr>
                <w:rStyle w:val="Hyperlink"/>
                <w:noProof/>
              </w:rPr>
              <w:t xml:space="preserve">  </w:t>
            </w:r>
            <w:r w:rsidR="009A6F06" w:rsidRPr="00DF61F3">
              <w:rPr>
                <w:rStyle w:val="Hyperlink"/>
                <w:noProof/>
              </w:rPr>
              <w:t>Special Circumstances Relating to the Guidelines of 5 CFR 1320.5</w:t>
            </w:r>
            <w:r w:rsidR="009A6F06">
              <w:rPr>
                <w:noProof/>
                <w:webHidden/>
              </w:rPr>
              <w:tab/>
            </w:r>
            <w:r w:rsidR="009A6F06">
              <w:rPr>
                <w:noProof/>
                <w:webHidden/>
              </w:rPr>
              <w:fldChar w:fldCharType="begin"/>
            </w:r>
            <w:r w:rsidR="009A6F06">
              <w:rPr>
                <w:noProof/>
                <w:webHidden/>
              </w:rPr>
              <w:instrText xml:space="preserve"> PAGEREF _Toc3365137 \h </w:instrText>
            </w:r>
            <w:r w:rsidR="009A6F06">
              <w:rPr>
                <w:noProof/>
                <w:webHidden/>
              </w:rPr>
            </w:r>
            <w:r w:rsidR="009A6F06">
              <w:rPr>
                <w:noProof/>
                <w:webHidden/>
              </w:rPr>
              <w:fldChar w:fldCharType="separate"/>
            </w:r>
            <w:r w:rsidR="007535A5">
              <w:rPr>
                <w:noProof/>
                <w:webHidden/>
              </w:rPr>
              <w:t>8</w:t>
            </w:r>
            <w:r w:rsidR="009A6F06">
              <w:rPr>
                <w:noProof/>
                <w:webHidden/>
              </w:rPr>
              <w:fldChar w:fldCharType="end"/>
            </w:r>
          </w:hyperlink>
        </w:p>
        <w:p w14:paraId="6B8CAF04" w14:textId="5F249A40" w:rsidR="009A6F06" w:rsidRDefault="005F74AA">
          <w:pPr>
            <w:pStyle w:val="TOC1"/>
            <w:tabs>
              <w:tab w:val="right" w:leader="dot" w:pos="10070"/>
            </w:tabs>
            <w:rPr>
              <w:rFonts w:asciiTheme="minorHAnsi" w:eastAsiaTheme="minorEastAsia" w:hAnsiTheme="minorHAnsi"/>
              <w:noProof/>
              <w:sz w:val="22"/>
            </w:rPr>
          </w:pPr>
          <w:hyperlink w:anchor="_Toc3365138" w:history="1">
            <w:r w:rsidR="009A6F06" w:rsidRPr="00DF61F3">
              <w:rPr>
                <w:rStyle w:val="Hyperlink"/>
                <w:noProof/>
              </w:rPr>
              <w:t xml:space="preserve">8.   </w:t>
            </w:r>
            <w:r w:rsidR="00107EEA">
              <w:rPr>
                <w:rStyle w:val="Hyperlink"/>
                <w:noProof/>
              </w:rPr>
              <w:t xml:space="preserve">  </w:t>
            </w:r>
            <w:r w:rsidR="009A6F06" w:rsidRPr="00DF61F3">
              <w:rPr>
                <w:rStyle w:val="Hyperlink"/>
                <w:noProof/>
              </w:rPr>
              <w:t>Comments in Response to the Federal Register Notice and Efforts to Consult Outside the Agency</w:t>
            </w:r>
            <w:r w:rsidR="009A6F06">
              <w:rPr>
                <w:noProof/>
                <w:webHidden/>
              </w:rPr>
              <w:tab/>
            </w:r>
            <w:r w:rsidR="009A6F06">
              <w:rPr>
                <w:noProof/>
                <w:webHidden/>
              </w:rPr>
              <w:fldChar w:fldCharType="begin"/>
            </w:r>
            <w:r w:rsidR="009A6F06">
              <w:rPr>
                <w:noProof/>
                <w:webHidden/>
              </w:rPr>
              <w:instrText xml:space="preserve"> PAGEREF _Toc3365138 \h </w:instrText>
            </w:r>
            <w:r w:rsidR="009A6F06">
              <w:rPr>
                <w:noProof/>
                <w:webHidden/>
              </w:rPr>
            </w:r>
            <w:r w:rsidR="009A6F06">
              <w:rPr>
                <w:noProof/>
                <w:webHidden/>
              </w:rPr>
              <w:fldChar w:fldCharType="separate"/>
            </w:r>
            <w:r w:rsidR="007535A5">
              <w:rPr>
                <w:noProof/>
                <w:webHidden/>
              </w:rPr>
              <w:t>8</w:t>
            </w:r>
            <w:r w:rsidR="009A6F06">
              <w:rPr>
                <w:noProof/>
                <w:webHidden/>
              </w:rPr>
              <w:fldChar w:fldCharType="end"/>
            </w:r>
          </w:hyperlink>
        </w:p>
        <w:p w14:paraId="0F230D18" w14:textId="27E89044" w:rsidR="009A6F06" w:rsidRDefault="005F74AA">
          <w:pPr>
            <w:pStyle w:val="TOC1"/>
            <w:tabs>
              <w:tab w:val="right" w:leader="dot" w:pos="10070"/>
            </w:tabs>
            <w:rPr>
              <w:rFonts w:asciiTheme="minorHAnsi" w:eastAsiaTheme="minorEastAsia" w:hAnsiTheme="minorHAnsi"/>
              <w:noProof/>
              <w:sz w:val="22"/>
            </w:rPr>
          </w:pPr>
          <w:hyperlink w:anchor="_Toc3365139" w:history="1">
            <w:r w:rsidR="009A6F06" w:rsidRPr="00DF61F3">
              <w:rPr>
                <w:rStyle w:val="Hyperlink"/>
                <w:noProof/>
              </w:rPr>
              <w:t xml:space="preserve">9.  </w:t>
            </w:r>
            <w:r w:rsidR="00107EEA">
              <w:rPr>
                <w:rStyle w:val="Hyperlink"/>
                <w:noProof/>
              </w:rPr>
              <w:t xml:space="preserve">  </w:t>
            </w:r>
            <w:r w:rsidR="009A6F06" w:rsidRPr="00DF61F3">
              <w:rPr>
                <w:rStyle w:val="Hyperlink"/>
                <w:noProof/>
              </w:rPr>
              <w:t xml:space="preserve"> Explanation of Any Payment or Gift to Respondents</w:t>
            </w:r>
            <w:r w:rsidR="009A6F06">
              <w:rPr>
                <w:noProof/>
                <w:webHidden/>
              </w:rPr>
              <w:tab/>
            </w:r>
            <w:r w:rsidR="009A6F06">
              <w:rPr>
                <w:noProof/>
                <w:webHidden/>
              </w:rPr>
              <w:fldChar w:fldCharType="begin"/>
            </w:r>
            <w:r w:rsidR="009A6F06">
              <w:rPr>
                <w:noProof/>
                <w:webHidden/>
              </w:rPr>
              <w:instrText xml:space="preserve"> PAGEREF _Toc3365139 \h </w:instrText>
            </w:r>
            <w:r w:rsidR="009A6F06">
              <w:rPr>
                <w:noProof/>
                <w:webHidden/>
              </w:rPr>
            </w:r>
            <w:r w:rsidR="009A6F06">
              <w:rPr>
                <w:noProof/>
                <w:webHidden/>
              </w:rPr>
              <w:fldChar w:fldCharType="separate"/>
            </w:r>
            <w:r w:rsidR="007535A5">
              <w:rPr>
                <w:noProof/>
                <w:webHidden/>
              </w:rPr>
              <w:t>8</w:t>
            </w:r>
            <w:r w:rsidR="009A6F06">
              <w:rPr>
                <w:noProof/>
                <w:webHidden/>
              </w:rPr>
              <w:fldChar w:fldCharType="end"/>
            </w:r>
          </w:hyperlink>
        </w:p>
        <w:p w14:paraId="4EBA1946" w14:textId="6AE28697" w:rsidR="009A6F06" w:rsidRDefault="005F74AA">
          <w:pPr>
            <w:pStyle w:val="TOC1"/>
            <w:tabs>
              <w:tab w:val="right" w:leader="dot" w:pos="10070"/>
            </w:tabs>
            <w:rPr>
              <w:rFonts w:asciiTheme="minorHAnsi" w:eastAsiaTheme="minorEastAsia" w:hAnsiTheme="minorHAnsi"/>
              <w:noProof/>
              <w:sz w:val="22"/>
            </w:rPr>
          </w:pPr>
          <w:hyperlink w:anchor="_Toc3365140" w:history="1">
            <w:r w:rsidR="009A6F06" w:rsidRPr="00DF61F3">
              <w:rPr>
                <w:rStyle w:val="Hyperlink"/>
                <w:noProof/>
              </w:rPr>
              <w:t xml:space="preserve">10.  </w:t>
            </w:r>
            <w:r w:rsidR="00107EEA">
              <w:rPr>
                <w:rStyle w:val="Hyperlink"/>
                <w:noProof/>
              </w:rPr>
              <w:t xml:space="preserve"> </w:t>
            </w:r>
            <w:r w:rsidR="009A6F06" w:rsidRPr="00DF61F3">
              <w:rPr>
                <w:rStyle w:val="Hyperlink"/>
                <w:noProof/>
              </w:rPr>
              <w:t>Protection of the Privacy and Confidentiality of Information Provided by Respondents</w:t>
            </w:r>
            <w:r w:rsidR="009A6F06">
              <w:rPr>
                <w:noProof/>
                <w:webHidden/>
              </w:rPr>
              <w:tab/>
            </w:r>
            <w:r w:rsidR="009A6F06">
              <w:rPr>
                <w:noProof/>
                <w:webHidden/>
              </w:rPr>
              <w:fldChar w:fldCharType="begin"/>
            </w:r>
            <w:r w:rsidR="009A6F06">
              <w:rPr>
                <w:noProof/>
                <w:webHidden/>
              </w:rPr>
              <w:instrText xml:space="preserve"> PAGEREF _Toc3365140 \h </w:instrText>
            </w:r>
            <w:r w:rsidR="009A6F06">
              <w:rPr>
                <w:noProof/>
                <w:webHidden/>
              </w:rPr>
            </w:r>
            <w:r w:rsidR="009A6F06">
              <w:rPr>
                <w:noProof/>
                <w:webHidden/>
              </w:rPr>
              <w:fldChar w:fldCharType="separate"/>
            </w:r>
            <w:r w:rsidR="007535A5">
              <w:rPr>
                <w:noProof/>
                <w:webHidden/>
              </w:rPr>
              <w:t>9</w:t>
            </w:r>
            <w:r w:rsidR="009A6F06">
              <w:rPr>
                <w:noProof/>
                <w:webHidden/>
              </w:rPr>
              <w:fldChar w:fldCharType="end"/>
            </w:r>
          </w:hyperlink>
        </w:p>
        <w:p w14:paraId="54687E2D" w14:textId="1D09FF4D" w:rsidR="009A6F06" w:rsidRDefault="005F74AA">
          <w:pPr>
            <w:pStyle w:val="TOC1"/>
            <w:tabs>
              <w:tab w:val="right" w:leader="dot" w:pos="10070"/>
            </w:tabs>
            <w:rPr>
              <w:rFonts w:asciiTheme="minorHAnsi" w:eastAsiaTheme="minorEastAsia" w:hAnsiTheme="minorHAnsi"/>
              <w:noProof/>
              <w:sz w:val="22"/>
            </w:rPr>
          </w:pPr>
          <w:hyperlink w:anchor="_Toc3365141" w:history="1">
            <w:r w:rsidR="009A6F06" w:rsidRPr="00DF61F3">
              <w:rPr>
                <w:rStyle w:val="Hyperlink"/>
                <w:noProof/>
              </w:rPr>
              <w:t xml:space="preserve">11.  </w:t>
            </w:r>
            <w:r w:rsidR="00107EEA">
              <w:rPr>
                <w:rStyle w:val="Hyperlink"/>
                <w:noProof/>
              </w:rPr>
              <w:t xml:space="preserve"> </w:t>
            </w:r>
            <w:r w:rsidR="009A6F06" w:rsidRPr="00DF61F3">
              <w:rPr>
                <w:rStyle w:val="Hyperlink"/>
                <w:noProof/>
              </w:rPr>
              <w:t>Institutional Review Board (IRB) and Justification for Sensitive Questions</w:t>
            </w:r>
            <w:r w:rsidR="009A6F06">
              <w:rPr>
                <w:noProof/>
                <w:webHidden/>
              </w:rPr>
              <w:tab/>
            </w:r>
            <w:r w:rsidR="009A6F06">
              <w:rPr>
                <w:noProof/>
                <w:webHidden/>
              </w:rPr>
              <w:fldChar w:fldCharType="begin"/>
            </w:r>
            <w:r w:rsidR="009A6F06">
              <w:rPr>
                <w:noProof/>
                <w:webHidden/>
              </w:rPr>
              <w:instrText xml:space="preserve"> PAGEREF _Toc3365141 \h </w:instrText>
            </w:r>
            <w:r w:rsidR="009A6F06">
              <w:rPr>
                <w:noProof/>
                <w:webHidden/>
              </w:rPr>
            </w:r>
            <w:r w:rsidR="009A6F06">
              <w:rPr>
                <w:noProof/>
                <w:webHidden/>
              </w:rPr>
              <w:fldChar w:fldCharType="separate"/>
            </w:r>
            <w:r w:rsidR="007535A5">
              <w:rPr>
                <w:noProof/>
                <w:webHidden/>
              </w:rPr>
              <w:t>9</w:t>
            </w:r>
            <w:r w:rsidR="009A6F06">
              <w:rPr>
                <w:noProof/>
                <w:webHidden/>
              </w:rPr>
              <w:fldChar w:fldCharType="end"/>
            </w:r>
          </w:hyperlink>
        </w:p>
        <w:p w14:paraId="47BD65D4" w14:textId="43B3B9C4" w:rsidR="009A6F06" w:rsidRDefault="005F74AA">
          <w:pPr>
            <w:pStyle w:val="TOC1"/>
            <w:tabs>
              <w:tab w:val="right" w:leader="dot" w:pos="10070"/>
            </w:tabs>
            <w:rPr>
              <w:rFonts w:asciiTheme="minorHAnsi" w:eastAsiaTheme="minorEastAsia" w:hAnsiTheme="minorHAnsi"/>
              <w:noProof/>
              <w:sz w:val="22"/>
            </w:rPr>
          </w:pPr>
          <w:hyperlink w:anchor="_Toc3365142" w:history="1">
            <w:r w:rsidR="009A6F06" w:rsidRPr="00DF61F3">
              <w:rPr>
                <w:rStyle w:val="Hyperlink"/>
                <w:noProof/>
              </w:rPr>
              <w:t xml:space="preserve">12.  </w:t>
            </w:r>
            <w:r w:rsidR="00107EEA">
              <w:rPr>
                <w:rStyle w:val="Hyperlink"/>
                <w:noProof/>
              </w:rPr>
              <w:t xml:space="preserve"> </w:t>
            </w:r>
            <w:r w:rsidR="009A6F06" w:rsidRPr="00DF61F3">
              <w:rPr>
                <w:rStyle w:val="Hyperlink"/>
                <w:noProof/>
              </w:rPr>
              <w:t>Estimates of Annualized Burden Hours and Costs</w:t>
            </w:r>
            <w:r w:rsidR="009A6F06">
              <w:rPr>
                <w:noProof/>
                <w:webHidden/>
              </w:rPr>
              <w:tab/>
            </w:r>
            <w:r w:rsidR="009A6F06">
              <w:rPr>
                <w:noProof/>
                <w:webHidden/>
              </w:rPr>
              <w:fldChar w:fldCharType="begin"/>
            </w:r>
            <w:r w:rsidR="009A6F06">
              <w:rPr>
                <w:noProof/>
                <w:webHidden/>
              </w:rPr>
              <w:instrText xml:space="preserve"> PAGEREF _Toc3365142 \h </w:instrText>
            </w:r>
            <w:r w:rsidR="009A6F06">
              <w:rPr>
                <w:noProof/>
                <w:webHidden/>
              </w:rPr>
            </w:r>
            <w:r w:rsidR="009A6F06">
              <w:rPr>
                <w:noProof/>
                <w:webHidden/>
              </w:rPr>
              <w:fldChar w:fldCharType="separate"/>
            </w:r>
            <w:r w:rsidR="007535A5">
              <w:rPr>
                <w:noProof/>
                <w:webHidden/>
              </w:rPr>
              <w:t>10</w:t>
            </w:r>
            <w:r w:rsidR="009A6F06">
              <w:rPr>
                <w:noProof/>
                <w:webHidden/>
              </w:rPr>
              <w:fldChar w:fldCharType="end"/>
            </w:r>
          </w:hyperlink>
        </w:p>
        <w:p w14:paraId="47F85BEB" w14:textId="0172D155" w:rsidR="009A6F06" w:rsidRDefault="005F74AA">
          <w:pPr>
            <w:pStyle w:val="TOC1"/>
            <w:tabs>
              <w:tab w:val="right" w:leader="dot" w:pos="10070"/>
            </w:tabs>
            <w:rPr>
              <w:rFonts w:asciiTheme="minorHAnsi" w:eastAsiaTheme="minorEastAsia" w:hAnsiTheme="minorHAnsi"/>
              <w:noProof/>
              <w:sz w:val="22"/>
            </w:rPr>
          </w:pPr>
          <w:hyperlink w:anchor="_Toc3365143" w:history="1">
            <w:r w:rsidR="009A6F06" w:rsidRPr="00DF61F3">
              <w:rPr>
                <w:rStyle w:val="Hyperlink"/>
                <w:noProof/>
              </w:rPr>
              <w:t xml:space="preserve">13.  </w:t>
            </w:r>
            <w:r w:rsidR="00107EEA">
              <w:rPr>
                <w:rStyle w:val="Hyperlink"/>
                <w:noProof/>
              </w:rPr>
              <w:t xml:space="preserve"> </w:t>
            </w:r>
            <w:r w:rsidR="009A6F06" w:rsidRPr="00DF61F3">
              <w:rPr>
                <w:rStyle w:val="Hyperlink"/>
                <w:noProof/>
              </w:rPr>
              <w:t>Estimates of Other Total Annual Cost Burden to Respondents or Record Keepers</w:t>
            </w:r>
            <w:r w:rsidR="009A6F06">
              <w:rPr>
                <w:noProof/>
                <w:webHidden/>
              </w:rPr>
              <w:tab/>
            </w:r>
            <w:r w:rsidR="009A6F06">
              <w:rPr>
                <w:noProof/>
                <w:webHidden/>
              </w:rPr>
              <w:fldChar w:fldCharType="begin"/>
            </w:r>
            <w:r w:rsidR="009A6F06">
              <w:rPr>
                <w:noProof/>
                <w:webHidden/>
              </w:rPr>
              <w:instrText xml:space="preserve"> PAGEREF _Toc3365143 \h </w:instrText>
            </w:r>
            <w:r w:rsidR="009A6F06">
              <w:rPr>
                <w:noProof/>
                <w:webHidden/>
              </w:rPr>
            </w:r>
            <w:r w:rsidR="009A6F06">
              <w:rPr>
                <w:noProof/>
                <w:webHidden/>
              </w:rPr>
              <w:fldChar w:fldCharType="separate"/>
            </w:r>
            <w:r w:rsidR="007535A5">
              <w:rPr>
                <w:noProof/>
                <w:webHidden/>
              </w:rPr>
              <w:t>11</w:t>
            </w:r>
            <w:r w:rsidR="009A6F06">
              <w:rPr>
                <w:noProof/>
                <w:webHidden/>
              </w:rPr>
              <w:fldChar w:fldCharType="end"/>
            </w:r>
          </w:hyperlink>
        </w:p>
        <w:p w14:paraId="1DEB2169" w14:textId="173BE8D5" w:rsidR="009A6F06" w:rsidRDefault="005F74AA">
          <w:pPr>
            <w:pStyle w:val="TOC1"/>
            <w:tabs>
              <w:tab w:val="right" w:leader="dot" w:pos="10070"/>
            </w:tabs>
            <w:rPr>
              <w:rFonts w:asciiTheme="minorHAnsi" w:eastAsiaTheme="minorEastAsia" w:hAnsiTheme="minorHAnsi"/>
              <w:noProof/>
              <w:sz w:val="22"/>
            </w:rPr>
          </w:pPr>
          <w:hyperlink w:anchor="_Toc3365144" w:history="1">
            <w:r w:rsidR="009A6F06" w:rsidRPr="00DF61F3">
              <w:rPr>
                <w:rStyle w:val="Hyperlink"/>
                <w:noProof/>
              </w:rPr>
              <w:t xml:space="preserve">14.  </w:t>
            </w:r>
            <w:r w:rsidR="00107EEA">
              <w:rPr>
                <w:rStyle w:val="Hyperlink"/>
                <w:noProof/>
              </w:rPr>
              <w:t xml:space="preserve"> </w:t>
            </w:r>
            <w:r w:rsidR="009A6F06" w:rsidRPr="00DF61F3">
              <w:rPr>
                <w:rStyle w:val="Hyperlink"/>
                <w:noProof/>
              </w:rPr>
              <w:t>Annualized Cost to the Government</w:t>
            </w:r>
            <w:r w:rsidR="009A6F06">
              <w:rPr>
                <w:noProof/>
                <w:webHidden/>
              </w:rPr>
              <w:tab/>
            </w:r>
            <w:r w:rsidR="009A6F06">
              <w:rPr>
                <w:noProof/>
                <w:webHidden/>
              </w:rPr>
              <w:fldChar w:fldCharType="begin"/>
            </w:r>
            <w:r w:rsidR="009A6F06">
              <w:rPr>
                <w:noProof/>
                <w:webHidden/>
              </w:rPr>
              <w:instrText xml:space="preserve"> PAGEREF _Toc3365144 \h </w:instrText>
            </w:r>
            <w:r w:rsidR="009A6F06">
              <w:rPr>
                <w:noProof/>
                <w:webHidden/>
              </w:rPr>
            </w:r>
            <w:r w:rsidR="009A6F06">
              <w:rPr>
                <w:noProof/>
                <w:webHidden/>
              </w:rPr>
              <w:fldChar w:fldCharType="separate"/>
            </w:r>
            <w:r w:rsidR="007535A5">
              <w:rPr>
                <w:noProof/>
                <w:webHidden/>
              </w:rPr>
              <w:t>11</w:t>
            </w:r>
            <w:r w:rsidR="009A6F06">
              <w:rPr>
                <w:noProof/>
                <w:webHidden/>
              </w:rPr>
              <w:fldChar w:fldCharType="end"/>
            </w:r>
          </w:hyperlink>
        </w:p>
        <w:p w14:paraId="606D8738" w14:textId="7DE3BF85" w:rsidR="009A6F06" w:rsidRDefault="005F74AA">
          <w:pPr>
            <w:pStyle w:val="TOC1"/>
            <w:tabs>
              <w:tab w:val="right" w:leader="dot" w:pos="10070"/>
            </w:tabs>
            <w:rPr>
              <w:rFonts w:asciiTheme="minorHAnsi" w:eastAsiaTheme="minorEastAsia" w:hAnsiTheme="minorHAnsi"/>
              <w:noProof/>
              <w:sz w:val="22"/>
            </w:rPr>
          </w:pPr>
          <w:hyperlink w:anchor="_Toc3365145" w:history="1">
            <w:r w:rsidR="009A6F06" w:rsidRPr="00DF61F3">
              <w:rPr>
                <w:rStyle w:val="Hyperlink"/>
                <w:noProof/>
              </w:rPr>
              <w:t xml:space="preserve">15.  </w:t>
            </w:r>
            <w:r w:rsidR="00107EEA">
              <w:rPr>
                <w:rStyle w:val="Hyperlink"/>
                <w:noProof/>
              </w:rPr>
              <w:t xml:space="preserve"> </w:t>
            </w:r>
            <w:r w:rsidR="009A6F06" w:rsidRPr="00DF61F3">
              <w:rPr>
                <w:rStyle w:val="Hyperlink"/>
                <w:noProof/>
              </w:rPr>
              <w:t>Explanation for Program Changes or Adjustments</w:t>
            </w:r>
            <w:r w:rsidR="009A6F06">
              <w:rPr>
                <w:noProof/>
                <w:webHidden/>
              </w:rPr>
              <w:tab/>
            </w:r>
            <w:r w:rsidR="009A6F06">
              <w:rPr>
                <w:noProof/>
                <w:webHidden/>
              </w:rPr>
              <w:fldChar w:fldCharType="begin"/>
            </w:r>
            <w:r w:rsidR="009A6F06">
              <w:rPr>
                <w:noProof/>
                <w:webHidden/>
              </w:rPr>
              <w:instrText xml:space="preserve"> PAGEREF _Toc3365145 \h </w:instrText>
            </w:r>
            <w:r w:rsidR="009A6F06">
              <w:rPr>
                <w:noProof/>
                <w:webHidden/>
              </w:rPr>
            </w:r>
            <w:r w:rsidR="009A6F06">
              <w:rPr>
                <w:noProof/>
                <w:webHidden/>
              </w:rPr>
              <w:fldChar w:fldCharType="separate"/>
            </w:r>
            <w:r w:rsidR="007535A5">
              <w:rPr>
                <w:noProof/>
                <w:webHidden/>
              </w:rPr>
              <w:t>12</w:t>
            </w:r>
            <w:r w:rsidR="009A6F06">
              <w:rPr>
                <w:noProof/>
                <w:webHidden/>
              </w:rPr>
              <w:fldChar w:fldCharType="end"/>
            </w:r>
          </w:hyperlink>
        </w:p>
        <w:p w14:paraId="64E95385" w14:textId="2D9DAA25" w:rsidR="009A6F06" w:rsidRDefault="005F74AA">
          <w:pPr>
            <w:pStyle w:val="TOC1"/>
            <w:tabs>
              <w:tab w:val="right" w:leader="dot" w:pos="10070"/>
            </w:tabs>
            <w:rPr>
              <w:rFonts w:asciiTheme="minorHAnsi" w:eastAsiaTheme="minorEastAsia" w:hAnsiTheme="minorHAnsi"/>
              <w:noProof/>
              <w:sz w:val="22"/>
            </w:rPr>
          </w:pPr>
          <w:hyperlink w:anchor="_Toc3365146" w:history="1">
            <w:r w:rsidR="009A6F06" w:rsidRPr="00DF61F3">
              <w:rPr>
                <w:rStyle w:val="Hyperlink"/>
                <w:noProof/>
              </w:rPr>
              <w:t xml:space="preserve">16.  </w:t>
            </w:r>
            <w:r w:rsidR="00107EEA">
              <w:rPr>
                <w:rStyle w:val="Hyperlink"/>
                <w:noProof/>
              </w:rPr>
              <w:t xml:space="preserve"> </w:t>
            </w:r>
            <w:r w:rsidR="009A6F06" w:rsidRPr="00DF61F3">
              <w:rPr>
                <w:rStyle w:val="Hyperlink"/>
                <w:noProof/>
              </w:rPr>
              <w:t>Plans for Tabulation and Publication and Project Time Schedule</w:t>
            </w:r>
            <w:r w:rsidR="009A6F06">
              <w:rPr>
                <w:noProof/>
                <w:webHidden/>
              </w:rPr>
              <w:tab/>
            </w:r>
            <w:r w:rsidR="009A6F06">
              <w:rPr>
                <w:noProof/>
                <w:webHidden/>
              </w:rPr>
              <w:fldChar w:fldCharType="begin"/>
            </w:r>
            <w:r w:rsidR="009A6F06">
              <w:rPr>
                <w:noProof/>
                <w:webHidden/>
              </w:rPr>
              <w:instrText xml:space="preserve"> PAGEREF _Toc3365146 \h </w:instrText>
            </w:r>
            <w:r w:rsidR="009A6F06">
              <w:rPr>
                <w:noProof/>
                <w:webHidden/>
              </w:rPr>
            </w:r>
            <w:r w:rsidR="009A6F06">
              <w:rPr>
                <w:noProof/>
                <w:webHidden/>
              </w:rPr>
              <w:fldChar w:fldCharType="separate"/>
            </w:r>
            <w:r w:rsidR="007535A5">
              <w:rPr>
                <w:noProof/>
                <w:webHidden/>
              </w:rPr>
              <w:t>12</w:t>
            </w:r>
            <w:r w:rsidR="009A6F06">
              <w:rPr>
                <w:noProof/>
                <w:webHidden/>
              </w:rPr>
              <w:fldChar w:fldCharType="end"/>
            </w:r>
          </w:hyperlink>
        </w:p>
        <w:p w14:paraId="66360FE6" w14:textId="16FF56EE" w:rsidR="009A6F06" w:rsidRDefault="005F74AA">
          <w:pPr>
            <w:pStyle w:val="TOC1"/>
            <w:tabs>
              <w:tab w:val="right" w:leader="dot" w:pos="10070"/>
            </w:tabs>
            <w:rPr>
              <w:rFonts w:asciiTheme="minorHAnsi" w:eastAsiaTheme="minorEastAsia" w:hAnsiTheme="minorHAnsi"/>
              <w:noProof/>
              <w:sz w:val="22"/>
            </w:rPr>
          </w:pPr>
          <w:hyperlink w:anchor="_Toc3365147" w:history="1">
            <w:r w:rsidR="009A6F06" w:rsidRPr="00DF61F3">
              <w:rPr>
                <w:rStyle w:val="Hyperlink"/>
                <w:noProof/>
              </w:rPr>
              <w:t xml:space="preserve">17.  </w:t>
            </w:r>
            <w:r w:rsidR="00107EEA">
              <w:rPr>
                <w:rStyle w:val="Hyperlink"/>
                <w:noProof/>
              </w:rPr>
              <w:t xml:space="preserve"> </w:t>
            </w:r>
            <w:r w:rsidR="009A6F06" w:rsidRPr="00DF61F3">
              <w:rPr>
                <w:rStyle w:val="Hyperlink"/>
                <w:noProof/>
              </w:rPr>
              <w:t>Reason(s) Display of OMB Expiration Date is Inappropriate</w:t>
            </w:r>
            <w:r w:rsidR="009A6F06">
              <w:rPr>
                <w:noProof/>
                <w:webHidden/>
              </w:rPr>
              <w:tab/>
            </w:r>
            <w:r w:rsidR="009A6F06">
              <w:rPr>
                <w:noProof/>
                <w:webHidden/>
              </w:rPr>
              <w:fldChar w:fldCharType="begin"/>
            </w:r>
            <w:r w:rsidR="009A6F06">
              <w:rPr>
                <w:noProof/>
                <w:webHidden/>
              </w:rPr>
              <w:instrText xml:space="preserve"> PAGEREF _Toc3365147 \h </w:instrText>
            </w:r>
            <w:r w:rsidR="009A6F06">
              <w:rPr>
                <w:noProof/>
                <w:webHidden/>
              </w:rPr>
            </w:r>
            <w:r w:rsidR="009A6F06">
              <w:rPr>
                <w:noProof/>
                <w:webHidden/>
              </w:rPr>
              <w:fldChar w:fldCharType="separate"/>
            </w:r>
            <w:r w:rsidR="007535A5">
              <w:rPr>
                <w:noProof/>
                <w:webHidden/>
              </w:rPr>
              <w:t>12</w:t>
            </w:r>
            <w:r w:rsidR="009A6F06">
              <w:rPr>
                <w:noProof/>
                <w:webHidden/>
              </w:rPr>
              <w:fldChar w:fldCharType="end"/>
            </w:r>
          </w:hyperlink>
        </w:p>
        <w:p w14:paraId="430CCAB0" w14:textId="2CF05BF0" w:rsidR="009A6F06" w:rsidRDefault="005F74AA">
          <w:pPr>
            <w:pStyle w:val="TOC1"/>
            <w:tabs>
              <w:tab w:val="right" w:leader="dot" w:pos="10070"/>
            </w:tabs>
            <w:rPr>
              <w:rFonts w:asciiTheme="minorHAnsi" w:eastAsiaTheme="minorEastAsia" w:hAnsiTheme="minorHAnsi"/>
              <w:noProof/>
              <w:sz w:val="22"/>
            </w:rPr>
          </w:pPr>
          <w:hyperlink w:anchor="_Toc3365148" w:history="1">
            <w:r w:rsidR="009A6F06" w:rsidRPr="00DF61F3">
              <w:rPr>
                <w:rStyle w:val="Hyperlink"/>
                <w:noProof/>
              </w:rPr>
              <w:t xml:space="preserve">18.  </w:t>
            </w:r>
            <w:r w:rsidR="00107EEA">
              <w:rPr>
                <w:rStyle w:val="Hyperlink"/>
                <w:noProof/>
              </w:rPr>
              <w:t xml:space="preserve"> </w:t>
            </w:r>
            <w:r w:rsidR="009A6F06" w:rsidRPr="00DF61F3">
              <w:rPr>
                <w:rStyle w:val="Hyperlink"/>
                <w:noProof/>
              </w:rPr>
              <w:t>Exceptions to Certification for Paperwork Reduction Act Submissions</w:t>
            </w:r>
            <w:r w:rsidR="009A6F06">
              <w:rPr>
                <w:noProof/>
                <w:webHidden/>
              </w:rPr>
              <w:tab/>
            </w:r>
            <w:r w:rsidR="009A6F06">
              <w:rPr>
                <w:noProof/>
                <w:webHidden/>
              </w:rPr>
              <w:fldChar w:fldCharType="begin"/>
            </w:r>
            <w:r w:rsidR="009A6F06">
              <w:rPr>
                <w:noProof/>
                <w:webHidden/>
              </w:rPr>
              <w:instrText xml:space="preserve"> PAGEREF _Toc3365148 \h </w:instrText>
            </w:r>
            <w:r w:rsidR="009A6F06">
              <w:rPr>
                <w:noProof/>
                <w:webHidden/>
              </w:rPr>
            </w:r>
            <w:r w:rsidR="009A6F06">
              <w:rPr>
                <w:noProof/>
                <w:webHidden/>
              </w:rPr>
              <w:fldChar w:fldCharType="separate"/>
            </w:r>
            <w:r w:rsidR="007535A5">
              <w:rPr>
                <w:noProof/>
                <w:webHidden/>
              </w:rPr>
              <w:t>13</w:t>
            </w:r>
            <w:r w:rsidR="009A6F06">
              <w:rPr>
                <w:noProof/>
                <w:webHidden/>
              </w:rPr>
              <w:fldChar w:fldCharType="end"/>
            </w:r>
          </w:hyperlink>
        </w:p>
        <w:p w14:paraId="5CC89D80" w14:textId="7E444E59" w:rsidR="009A6F06" w:rsidRDefault="005F74AA">
          <w:pPr>
            <w:pStyle w:val="TOC1"/>
            <w:tabs>
              <w:tab w:val="right" w:leader="dot" w:pos="10070"/>
            </w:tabs>
            <w:rPr>
              <w:rFonts w:asciiTheme="minorHAnsi" w:eastAsiaTheme="minorEastAsia" w:hAnsiTheme="minorHAnsi"/>
              <w:noProof/>
              <w:sz w:val="22"/>
            </w:rPr>
          </w:pPr>
          <w:hyperlink w:anchor="_Toc3365149" w:history="1">
            <w:r w:rsidR="009A6F06" w:rsidRPr="00DF61F3">
              <w:rPr>
                <w:rStyle w:val="Hyperlink"/>
                <w:noProof/>
              </w:rPr>
              <w:t>Attachments</w:t>
            </w:r>
            <w:r w:rsidR="009A6F06">
              <w:rPr>
                <w:noProof/>
                <w:webHidden/>
              </w:rPr>
              <w:tab/>
            </w:r>
            <w:r w:rsidR="009A6F06">
              <w:rPr>
                <w:noProof/>
                <w:webHidden/>
              </w:rPr>
              <w:fldChar w:fldCharType="begin"/>
            </w:r>
            <w:r w:rsidR="009A6F06">
              <w:rPr>
                <w:noProof/>
                <w:webHidden/>
              </w:rPr>
              <w:instrText xml:space="preserve"> PAGEREF _Toc3365149 \h </w:instrText>
            </w:r>
            <w:r w:rsidR="009A6F06">
              <w:rPr>
                <w:noProof/>
                <w:webHidden/>
              </w:rPr>
            </w:r>
            <w:r w:rsidR="009A6F06">
              <w:rPr>
                <w:noProof/>
                <w:webHidden/>
              </w:rPr>
              <w:fldChar w:fldCharType="separate"/>
            </w:r>
            <w:r w:rsidR="007535A5">
              <w:rPr>
                <w:noProof/>
                <w:webHidden/>
              </w:rPr>
              <w:t>13</w:t>
            </w:r>
            <w:r w:rsidR="009A6F06">
              <w:rPr>
                <w:noProof/>
                <w:webHidden/>
              </w:rPr>
              <w:fldChar w:fldCharType="end"/>
            </w:r>
          </w:hyperlink>
        </w:p>
        <w:p w14:paraId="55FE17B0" w14:textId="0BE32346" w:rsidR="004A13E8" w:rsidRDefault="004A13E8">
          <w:r>
            <w:rPr>
              <w:b/>
              <w:bCs/>
              <w:noProof/>
            </w:rPr>
            <w:fldChar w:fldCharType="end"/>
          </w:r>
        </w:p>
      </w:sdtContent>
    </w:sdt>
    <w:p w14:paraId="36610217" w14:textId="77777777" w:rsidR="0051413C" w:rsidRDefault="0051413C"/>
    <w:p w14:paraId="263DA842" w14:textId="77777777" w:rsidR="0051413C" w:rsidRDefault="0051413C"/>
    <w:p w14:paraId="55FE17B1" w14:textId="3C7032A0" w:rsidR="004A13E8" w:rsidRDefault="004A13E8">
      <w:r>
        <w:br w:type="page"/>
      </w:r>
    </w:p>
    <w:p w14:paraId="37530828" w14:textId="5E9729D8" w:rsidR="0051413C" w:rsidRDefault="005213DE">
      <w:r w:rsidRPr="006E7652">
        <w:rPr>
          <w:b/>
          <w:noProof/>
        </w:rPr>
        <mc:AlternateContent>
          <mc:Choice Requires="wps">
            <w:drawing>
              <wp:anchor distT="0" distB="0" distL="114300" distR="114300" simplePos="0" relativeHeight="251658240" behindDoc="1" locked="0" layoutInCell="1" allowOverlap="1" wp14:anchorId="55FE182F" wp14:editId="5CB9A3FC">
                <wp:simplePos x="0" y="0"/>
                <wp:positionH relativeFrom="margin">
                  <wp:align>left</wp:align>
                </wp:positionH>
                <wp:positionV relativeFrom="margin">
                  <wp:posOffset>259080</wp:posOffset>
                </wp:positionV>
                <wp:extent cx="6477000" cy="4351020"/>
                <wp:effectExtent l="0" t="0" r="19050" b="11430"/>
                <wp:wrapTight wrapText="bothSides">
                  <wp:wrapPolygon edited="0">
                    <wp:start x="0" y="0"/>
                    <wp:lineTo x="0" y="21562"/>
                    <wp:lineTo x="21600" y="21562"/>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351020"/>
                        </a:xfrm>
                        <a:prstGeom prst="rect">
                          <a:avLst/>
                        </a:prstGeom>
                        <a:solidFill>
                          <a:srgbClr val="FFFFFF"/>
                        </a:solidFill>
                        <a:ln w="9525">
                          <a:solidFill>
                            <a:srgbClr val="000000"/>
                          </a:solidFill>
                          <a:miter lim="800000"/>
                          <a:headEnd/>
                          <a:tailEnd/>
                        </a:ln>
                      </wps:spPr>
                      <wps:txbx>
                        <w:txbxContent>
                          <w:p w14:paraId="0358B967" w14:textId="1B825A40" w:rsidR="00DF3E93" w:rsidRPr="00105A2C" w:rsidRDefault="00DF3E93" w:rsidP="00105A2C">
                            <w:pPr>
                              <w:pStyle w:val="Bullets"/>
                              <w:rPr>
                                <w:b/>
                              </w:rPr>
                            </w:pPr>
                            <w:r w:rsidRPr="002D05D0">
                              <w:rPr>
                                <w:b/>
                              </w:rPr>
                              <w:t>Goal of the study:</w:t>
                            </w:r>
                            <w:r>
                              <w:rPr>
                                <w:b/>
                              </w:rPr>
                              <w:t xml:space="preserve"> </w:t>
                            </w:r>
                            <w:r>
                              <w:t>We propose conducting</w:t>
                            </w:r>
                            <w:r w:rsidRPr="002D05D0">
                              <w:t xml:space="preserve"> </w:t>
                            </w:r>
                            <w:r>
                              <w:t xml:space="preserve">a </w:t>
                            </w:r>
                            <w:r w:rsidRPr="002D05D0">
                              <w:t xml:space="preserve">formative </w:t>
                            </w:r>
                            <w:r>
                              <w:t>study</w:t>
                            </w:r>
                            <w:r w:rsidRPr="002D05D0">
                              <w:t xml:space="preserve"> to </w:t>
                            </w:r>
                            <w:r>
                              <w:t xml:space="preserve">collect data from individuals who vape/dab </w:t>
                            </w:r>
                            <w:r>
                              <w:rPr>
                                <w:rFonts w:cs="Times New Roman"/>
                                <w:szCs w:val="24"/>
                                <w:shd w:val="clear" w:color="auto" w:fill="FFFFFF"/>
                              </w:rPr>
                              <w:t>t</w:t>
                            </w:r>
                            <w:r w:rsidRPr="002D05D0">
                              <w:rPr>
                                <w:rFonts w:cs="Times New Roman"/>
                                <w:szCs w:val="24"/>
                                <w:shd w:val="clear" w:color="auto" w:fill="FFFFFF"/>
                              </w:rPr>
                              <w:t>etrahydrocannabinol</w:t>
                            </w:r>
                            <w:r>
                              <w:t xml:space="preserve"> (THC) but who have not developed lung injury in order to compare characteristics with those who have developed the injury to help further the ongoing public health investigation. The goals of this study are to:</w:t>
                            </w:r>
                          </w:p>
                          <w:p w14:paraId="07C75F6B" w14:textId="61BABACE" w:rsidR="00DF3E93" w:rsidRDefault="00DF3E93" w:rsidP="00105A2C">
                            <w:pPr>
                              <w:pStyle w:val="Bullets"/>
                              <w:numPr>
                                <w:ilvl w:val="0"/>
                                <w:numId w:val="0"/>
                              </w:numPr>
                              <w:ind w:left="360" w:firstLine="360"/>
                              <w:rPr>
                                <w:rFonts w:cs="Times New Roman"/>
                                <w:szCs w:val="24"/>
                              </w:rPr>
                            </w:pPr>
                            <w:r>
                              <w:t>(1) C</w:t>
                            </w:r>
                            <w:r w:rsidRPr="002D05D0">
                              <w:t xml:space="preserve">ollect data about product types, brands, devices, and frequency of use from a </w:t>
                            </w:r>
                            <w:r>
                              <w:t xml:space="preserve">convenience </w:t>
                            </w:r>
                            <w:r w:rsidRPr="002D05D0">
                              <w:t xml:space="preserve">sample of individuals who report </w:t>
                            </w:r>
                            <w:r w:rsidRPr="002D05D0">
                              <w:rPr>
                                <w:rFonts w:cs="Times New Roman"/>
                                <w:szCs w:val="24"/>
                              </w:rPr>
                              <w:t>vaping THC</w:t>
                            </w:r>
                            <w:r w:rsidRPr="002D05D0">
                              <w:t xml:space="preserve">-containing products but who have not developed </w:t>
                            </w:r>
                            <w:r w:rsidRPr="002D05D0">
                              <w:rPr>
                                <w:rFonts w:cs="Times New Roman"/>
                                <w:szCs w:val="24"/>
                              </w:rPr>
                              <w:t>e-cigarette, or vaping, product use associated lung injury (EVALI)</w:t>
                            </w:r>
                          </w:p>
                          <w:p w14:paraId="0BB49CA3" w14:textId="3ACFDE4F" w:rsidR="00DF3E93" w:rsidRPr="002D05D0" w:rsidRDefault="00DF3E93" w:rsidP="00105A2C">
                            <w:pPr>
                              <w:pStyle w:val="Bullets"/>
                              <w:numPr>
                                <w:ilvl w:val="0"/>
                                <w:numId w:val="0"/>
                              </w:numPr>
                              <w:ind w:left="360" w:firstLine="360"/>
                              <w:rPr>
                                <w:b/>
                              </w:rPr>
                            </w:pPr>
                            <w:r>
                              <w:rPr>
                                <w:rFonts w:cs="Times New Roman"/>
                                <w:szCs w:val="24"/>
                              </w:rPr>
                              <w:t>(2) Assess the vaping characteristics/behaviors of non-cases (those who vape but have not developed EVALI) to those of EVALI cases</w:t>
                            </w:r>
                          </w:p>
                          <w:p w14:paraId="3225A390" w14:textId="57D9862A" w:rsidR="00DF3E93" w:rsidRPr="002D05D0" w:rsidRDefault="00DF3E93" w:rsidP="000F7F80">
                            <w:pPr>
                              <w:pStyle w:val="Bullets"/>
                              <w:rPr>
                                <w:b/>
                              </w:rPr>
                            </w:pPr>
                            <w:r w:rsidRPr="002D05D0">
                              <w:rPr>
                                <w:b/>
                              </w:rPr>
                              <w:t xml:space="preserve">Intended use of the resulting data: </w:t>
                            </w:r>
                            <w:r>
                              <w:t xml:space="preserve">The results of this information collection will inform CDC’s ongoing public health response to the multi-state lung injury outbreak by helping to </w:t>
                            </w:r>
                            <w:r>
                              <w:rPr>
                                <w:rFonts w:cs="Times New Roman"/>
                                <w:szCs w:val="24"/>
                              </w:rPr>
                              <w:t>n</w:t>
                            </w:r>
                            <w:r w:rsidRPr="002D05D0">
                              <w:rPr>
                                <w:rFonts w:cs="Times New Roman"/>
                                <w:szCs w:val="24"/>
                              </w:rPr>
                              <w:t xml:space="preserve">arrow the list of products, substances, and risk factors requiring further public health action, epidemiological </w:t>
                            </w:r>
                            <w:r>
                              <w:rPr>
                                <w:rFonts w:cs="Times New Roman"/>
                                <w:szCs w:val="24"/>
                              </w:rPr>
                              <w:t xml:space="preserve">and clinical </w:t>
                            </w:r>
                            <w:r w:rsidRPr="002D05D0">
                              <w:rPr>
                                <w:rFonts w:cs="Times New Roman"/>
                                <w:szCs w:val="24"/>
                              </w:rPr>
                              <w:t>analyses,</w:t>
                            </w:r>
                            <w:r>
                              <w:rPr>
                                <w:rFonts w:cs="Times New Roman"/>
                                <w:szCs w:val="24"/>
                              </w:rPr>
                              <w:t xml:space="preserve"> </w:t>
                            </w:r>
                            <w:r w:rsidRPr="002D05D0">
                              <w:rPr>
                                <w:rFonts w:cs="Times New Roman"/>
                                <w:szCs w:val="24"/>
                              </w:rPr>
                              <w:t>and laboratory testing</w:t>
                            </w:r>
                            <w:r w:rsidRPr="002D05D0">
                              <w:t xml:space="preserve">. </w:t>
                            </w:r>
                          </w:p>
                          <w:p w14:paraId="69009C62" w14:textId="75F40509" w:rsidR="00DF3E93" w:rsidRPr="002D05D0" w:rsidRDefault="00DF3E93" w:rsidP="009A6F06">
                            <w:pPr>
                              <w:pStyle w:val="Bullets"/>
                              <w:rPr>
                                <w:b/>
                              </w:rPr>
                            </w:pPr>
                            <w:r w:rsidRPr="002D05D0">
                              <w:rPr>
                                <w:b/>
                              </w:rPr>
                              <w:t>Methods to be used to collect</w:t>
                            </w:r>
                            <w:r>
                              <w:rPr>
                                <w:b/>
                              </w:rPr>
                              <w:t xml:space="preserve"> data</w:t>
                            </w:r>
                            <w:r w:rsidRPr="002D05D0">
                              <w:rPr>
                                <w:b/>
                              </w:rPr>
                              <w:t xml:space="preserve">: </w:t>
                            </w:r>
                            <w:r w:rsidRPr="002D05D0">
                              <w:t xml:space="preserve">An opt-in internet panel survey </w:t>
                            </w:r>
                            <w:r>
                              <w:t>of approximately 5,250 individuals who report vaping THC-containing products within the last 3 months who have not developed EVALI. This method</w:t>
                            </w:r>
                            <w:r w:rsidRPr="002D05D0">
                              <w:t xml:space="preserve"> allows </w:t>
                            </w:r>
                            <w:r>
                              <w:t xml:space="preserve">for </w:t>
                            </w:r>
                            <w:r w:rsidRPr="002D05D0">
                              <w:t xml:space="preserve">the rapid collection of information </w:t>
                            </w:r>
                            <w:r>
                              <w:t>on a timely issue</w:t>
                            </w:r>
                            <w:r w:rsidRPr="002D05D0">
                              <w:rPr>
                                <w:rFonts w:cs="Times New Roman"/>
                                <w:szCs w:val="24"/>
                              </w:rPr>
                              <w:t>.</w:t>
                            </w:r>
                          </w:p>
                          <w:p w14:paraId="49F8916F" w14:textId="47DA86A3" w:rsidR="00DF3E93" w:rsidRPr="002D05D0" w:rsidRDefault="00DF3E93" w:rsidP="00691613">
                            <w:pPr>
                              <w:pStyle w:val="Bullets"/>
                              <w:rPr>
                                <w:b/>
                              </w:rPr>
                            </w:pPr>
                            <w:r w:rsidRPr="002D05D0">
                              <w:rPr>
                                <w:b/>
                              </w:rPr>
                              <w:t xml:space="preserve">The subpopulation to be studied: </w:t>
                            </w:r>
                            <w:r w:rsidRPr="002D05D0">
                              <w:t xml:space="preserve">A </w:t>
                            </w:r>
                            <w:r>
                              <w:t>geographically</w:t>
                            </w:r>
                            <w:r w:rsidRPr="002D05D0">
                              <w:t xml:space="preserve"> diverse convenience sample of individuals who are vaping the same </w:t>
                            </w:r>
                            <w:r>
                              <w:t xml:space="preserve">or similar </w:t>
                            </w:r>
                            <w:r w:rsidRPr="002D05D0">
                              <w:t xml:space="preserve">products at the same </w:t>
                            </w:r>
                            <w:r>
                              <w:t xml:space="preserve">or similar </w:t>
                            </w:r>
                            <w:r w:rsidRPr="002D05D0">
                              <w:t>frequency but have not developed EVALI.</w:t>
                            </w:r>
                          </w:p>
                          <w:p w14:paraId="55FE183D" w14:textId="6D344FD0" w:rsidR="00DF3E93" w:rsidRPr="002D05D0" w:rsidRDefault="00DF3E93" w:rsidP="00691613">
                            <w:pPr>
                              <w:pStyle w:val="Bullets"/>
                              <w:rPr>
                                <w:b/>
                              </w:rPr>
                            </w:pPr>
                            <w:r w:rsidRPr="002D05D0">
                              <w:rPr>
                                <w:b/>
                              </w:rPr>
                              <w:t xml:space="preserve">How data will be analyzed: </w:t>
                            </w:r>
                            <w:r w:rsidRPr="002D05D0">
                              <w:t>We will compare the frequency of usage characteristics between the survey sample (controls who have not developed EVALI) and EVALI cases.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0.4pt;width:510pt;height:342.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">
                <v:textbox>
                  <w:txbxContent>
                    <w:p w14:paraId="0358B967" w14:textId="1B825A40" w:rsidR="00DF3E93" w:rsidRPr="00105A2C" w:rsidRDefault="00DF3E93" w:rsidP="00105A2C">
                      <w:pPr>
                        <w:pStyle w:val="Bullets"/>
                        <w:rPr>
                          <w:b/>
                        </w:rPr>
                      </w:pPr>
                      <w:r w:rsidRPr="002D05D0">
                        <w:rPr>
                          <w:b/>
                        </w:rPr>
                        <w:t>Goal of the study:</w:t>
                      </w:r>
                      <w:r>
                        <w:rPr>
                          <w:b/>
                        </w:rPr>
                        <w:t xml:space="preserve"> </w:t>
                      </w:r>
                      <w:r>
                        <w:t>We propose conducting</w:t>
                      </w:r>
                      <w:r w:rsidRPr="002D05D0">
                        <w:t xml:space="preserve"> </w:t>
                      </w:r>
                      <w:r>
                        <w:t xml:space="preserve">a </w:t>
                      </w:r>
                      <w:r w:rsidRPr="002D05D0">
                        <w:t xml:space="preserve">formative </w:t>
                      </w:r>
                      <w:r>
                        <w:t>study</w:t>
                      </w:r>
                      <w:r w:rsidRPr="002D05D0">
                        <w:t xml:space="preserve"> to </w:t>
                      </w:r>
                      <w:r>
                        <w:t xml:space="preserve">collect data from individuals who vape/dab </w:t>
                      </w:r>
                      <w:r>
                        <w:rPr>
                          <w:rFonts w:cs="Times New Roman"/>
                          <w:szCs w:val="24"/>
                          <w:shd w:val="clear" w:color="auto" w:fill="FFFFFF"/>
                        </w:rPr>
                        <w:t>t</w:t>
                      </w:r>
                      <w:r w:rsidRPr="002D05D0">
                        <w:rPr>
                          <w:rFonts w:cs="Times New Roman"/>
                          <w:szCs w:val="24"/>
                          <w:shd w:val="clear" w:color="auto" w:fill="FFFFFF"/>
                        </w:rPr>
                        <w:t>etrahydrocannabinol</w:t>
                      </w:r>
                      <w:r>
                        <w:t xml:space="preserve"> (THC) but who have not developed lung injury in order to compare characteristics with those who have developed the injury to help further the ongoing public health investigation. The goals of this study are to:</w:t>
                      </w:r>
                    </w:p>
                    <w:p w14:paraId="07C75F6B" w14:textId="61BABACE" w:rsidR="00DF3E93" w:rsidRDefault="00DF3E93" w:rsidP="00105A2C">
                      <w:pPr>
                        <w:pStyle w:val="Bullets"/>
                        <w:numPr>
                          <w:ilvl w:val="0"/>
                          <w:numId w:val="0"/>
                        </w:numPr>
                        <w:ind w:left="360" w:firstLine="360"/>
                        <w:rPr>
                          <w:rFonts w:cs="Times New Roman"/>
                          <w:szCs w:val="24"/>
                        </w:rPr>
                      </w:pPr>
                      <w:r>
                        <w:t>(1) C</w:t>
                      </w:r>
                      <w:r w:rsidRPr="002D05D0">
                        <w:t xml:space="preserve">ollect data about product types, brands, devices, and frequency of use from a </w:t>
                      </w:r>
                      <w:r>
                        <w:t xml:space="preserve">convenience </w:t>
                      </w:r>
                      <w:r w:rsidRPr="002D05D0">
                        <w:t xml:space="preserve">sample of individuals who report </w:t>
                      </w:r>
                      <w:r w:rsidRPr="002D05D0">
                        <w:rPr>
                          <w:rFonts w:cs="Times New Roman"/>
                          <w:szCs w:val="24"/>
                        </w:rPr>
                        <w:t>vaping THC</w:t>
                      </w:r>
                      <w:r w:rsidRPr="002D05D0">
                        <w:t xml:space="preserve">-containing products but who have not developed </w:t>
                      </w:r>
                      <w:r w:rsidRPr="002D05D0">
                        <w:rPr>
                          <w:rFonts w:cs="Times New Roman"/>
                          <w:szCs w:val="24"/>
                        </w:rPr>
                        <w:t>e-cigarette, or vaping, product use associated lung injury (EVALI)</w:t>
                      </w:r>
                    </w:p>
                    <w:p w14:paraId="0BB49CA3" w14:textId="3ACFDE4F" w:rsidR="00DF3E93" w:rsidRPr="002D05D0" w:rsidRDefault="00DF3E93" w:rsidP="00105A2C">
                      <w:pPr>
                        <w:pStyle w:val="Bullets"/>
                        <w:numPr>
                          <w:ilvl w:val="0"/>
                          <w:numId w:val="0"/>
                        </w:numPr>
                        <w:ind w:left="360" w:firstLine="360"/>
                        <w:rPr>
                          <w:b/>
                        </w:rPr>
                      </w:pPr>
                      <w:r>
                        <w:rPr>
                          <w:rFonts w:cs="Times New Roman"/>
                          <w:szCs w:val="24"/>
                        </w:rPr>
                        <w:t>(2) Assess the vaping characteristics/behaviors of non-cases (those who vape but have not developed EVALI) to those of EVALI cases</w:t>
                      </w:r>
                    </w:p>
                    <w:p w14:paraId="3225A390" w14:textId="57D9862A" w:rsidR="00DF3E93" w:rsidRPr="002D05D0" w:rsidRDefault="00DF3E93" w:rsidP="000F7F80">
                      <w:pPr>
                        <w:pStyle w:val="Bullets"/>
                        <w:rPr>
                          <w:b/>
                        </w:rPr>
                      </w:pPr>
                      <w:r w:rsidRPr="002D05D0">
                        <w:rPr>
                          <w:b/>
                        </w:rPr>
                        <w:t xml:space="preserve">Intended use of the resulting data: </w:t>
                      </w:r>
                      <w:r>
                        <w:t xml:space="preserve">The results of this information collection will inform CDC’s ongoing public health response to the multi-state lung injury outbreak by helping to </w:t>
                      </w:r>
                      <w:r>
                        <w:rPr>
                          <w:rFonts w:cs="Times New Roman"/>
                          <w:szCs w:val="24"/>
                        </w:rPr>
                        <w:t>n</w:t>
                      </w:r>
                      <w:r w:rsidRPr="002D05D0">
                        <w:rPr>
                          <w:rFonts w:cs="Times New Roman"/>
                          <w:szCs w:val="24"/>
                        </w:rPr>
                        <w:t xml:space="preserve">arrow the list of products, substances, and risk factors requiring further public health action, epidemiological </w:t>
                      </w:r>
                      <w:r>
                        <w:rPr>
                          <w:rFonts w:cs="Times New Roman"/>
                          <w:szCs w:val="24"/>
                        </w:rPr>
                        <w:t xml:space="preserve">and clinical </w:t>
                      </w:r>
                      <w:r w:rsidRPr="002D05D0">
                        <w:rPr>
                          <w:rFonts w:cs="Times New Roman"/>
                          <w:szCs w:val="24"/>
                        </w:rPr>
                        <w:t>analyses,</w:t>
                      </w:r>
                      <w:r>
                        <w:rPr>
                          <w:rFonts w:cs="Times New Roman"/>
                          <w:szCs w:val="24"/>
                        </w:rPr>
                        <w:t xml:space="preserve"> </w:t>
                      </w:r>
                      <w:r w:rsidRPr="002D05D0">
                        <w:rPr>
                          <w:rFonts w:cs="Times New Roman"/>
                          <w:szCs w:val="24"/>
                        </w:rPr>
                        <w:t>and laboratory testing</w:t>
                      </w:r>
                      <w:r w:rsidRPr="002D05D0">
                        <w:t xml:space="preserve">. </w:t>
                      </w:r>
                    </w:p>
                    <w:p w14:paraId="69009C62" w14:textId="75F40509" w:rsidR="00DF3E93" w:rsidRPr="002D05D0" w:rsidRDefault="00DF3E93" w:rsidP="009A6F06">
                      <w:pPr>
                        <w:pStyle w:val="Bullets"/>
                        <w:rPr>
                          <w:b/>
                        </w:rPr>
                      </w:pPr>
                      <w:r w:rsidRPr="002D05D0">
                        <w:rPr>
                          <w:b/>
                        </w:rPr>
                        <w:t>Methods to be used to collect</w:t>
                      </w:r>
                      <w:r>
                        <w:rPr>
                          <w:b/>
                        </w:rPr>
                        <w:t xml:space="preserve"> data</w:t>
                      </w:r>
                      <w:r w:rsidRPr="002D05D0">
                        <w:rPr>
                          <w:b/>
                        </w:rPr>
                        <w:t xml:space="preserve">: </w:t>
                      </w:r>
                      <w:r w:rsidRPr="002D05D0">
                        <w:t xml:space="preserve">An opt-in internet panel survey </w:t>
                      </w:r>
                      <w:r>
                        <w:t>of approximately 5,250 individuals who report vaping THC-containing products within the last 3 months who have not developed EVALI. This method</w:t>
                      </w:r>
                      <w:r w:rsidRPr="002D05D0">
                        <w:t xml:space="preserve"> allows </w:t>
                      </w:r>
                      <w:r>
                        <w:t xml:space="preserve">for </w:t>
                      </w:r>
                      <w:r w:rsidRPr="002D05D0">
                        <w:t xml:space="preserve">the rapid collection of information </w:t>
                      </w:r>
                      <w:r>
                        <w:t>on a timely issue</w:t>
                      </w:r>
                      <w:r w:rsidRPr="002D05D0">
                        <w:rPr>
                          <w:rFonts w:cs="Times New Roman"/>
                          <w:szCs w:val="24"/>
                        </w:rPr>
                        <w:t>.</w:t>
                      </w:r>
                    </w:p>
                    <w:p w14:paraId="49F8916F" w14:textId="47DA86A3" w:rsidR="00DF3E93" w:rsidRPr="002D05D0" w:rsidRDefault="00DF3E93" w:rsidP="00691613">
                      <w:pPr>
                        <w:pStyle w:val="Bullets"/>
                        <w:rPr>
                          <w:b/>
                        </w:rPr>
                      </w:pPr>
                      <w:r w:rsidRPr="002D05D0">
                        <w:rPr>
                          <w:b/>
                        </w:rPr>
                        <w:t xml:space="preserve">The subpopulation to be studied: </w:t>
                      </w:r>
                      <w:r w:rsidRPr="002D05D0">
                        <w:t xml:space="preserve">A </w:t>
                      </w:r>
                      <w:r>
                        <w:t>geographically</w:t>
                      </w:r>
                      <w:r w:rsidRPr="002D05D0">
                        <w:t xml:space="preserve"> diverse convenience sample of individuals who are vaping the same </w:t>
                      </w:r>
                      <w:r>
                        <w:t xml:space="preserve">or similar </w:t>
                      </w:r>
                      <w:r w:rsidRPr="002D05D0">
                        <w:t xml:space="preserve">products at the same </w:t>
                      </w:r>
                      <w:r>
                        <w:t xml:space="preserve">or similar </w:t>
                      </w:r>
                      <w:r w:rsidRPr="002D05D0">
                        <w:t>frequency but have not developed EVALI.</w:t>
                      </w:r>
                    </w:p>
                    <w:p w14:paraId="55FE183D" w14:textId="6D344FD0" w:rsidR="00DF3E93" w:rsidRPr="002D05D0" w:rsidRDefault="00DF3E93" w:rsidP="00691613">
                      <w:pPr>
                        <w:pStyle w:val="Bullets"/>
                        <w:rPr>
                          <w:b/>
                        </w:rPr>
                      </w:pPr>
                      <w:r w:rsidRPr="002D05D0">
                        <w:rPr>
                          <w:b/>
                        </w:rPr>
                        <w:t xml:space="preserve">How data will be analyzed: </w:t>
                      </w:r>
                      <w:r w:rsidRPr="002D05D0">
                        <w:t>We will compare the frequency of usage characteristics between the survey sample (controls who have not developed EVALI) and EVALI cases.</w:t>
                      </w:r>
                    </w:p>
                  </w:txbxContent>
                </v:textbox>
                <w10:wrap type="tight" anchorx="margin" anchory="margin"/>
              </v:shape>
            </w:pict>
          </mc:Fallback>
        </mc:AlternateContent>
      </w:r>
    </w:p>
    <w:p w14:paraId="55FE17B2" w14:textId="0D83E4EE" w:rsidR="004A13E8" w:rsidRDefault="004A13E8" w:rsidP="004A13E8">
      <w:pPr>
        <w:pStyle w:val="Subtitle"/>
      </w:pPr>
    </w:p>
    <w:p w14:paraId="17F246EB" w14:textId="449771A6" w:rsidR="007871C0" w:rsidRDefault="007871C0" w:rsidP="007871C0"/>
    <w:p w14:paraId="00EFC3B4" w14:textId="19955F80" w:rsidR="007871C0" w:rsidRDefault="007871C0" w:rsidP="007871C0"/>
    <w:p w14:paraId="127D6D72" w14:textId="70DC6DE0" w:rsidR="00AB6310" w:rsidRDefault="00AB6310" w:rsidP="007871C0"/>
    <w:p w14:paraId="537024CF" w14:textId="1040EB8C" w:rsidR="00AB6310" w:rsidRDefault="00AB6310" w:rsidP="007871C0"/>
    <w:p w14:paraId="2599253D" w14:textId="7F3664A8" w:rsidR="00AB6310" w:rsidRDefault="00AB6310" w:rsidP="007871C0"/>
    <w:p w14:paraId="64C07684" w14:textId="468F9EF6" w:rsidR="00AB6310" w:rsidRDefault="00AB6310" w:rsidP="007871C0"/>
    <w:p w14:paraId="0ED22A9F" w14:textId="2FB9D4C7" w:rsidR="00AB6310" w:rsidRDefault="00AB6310" w:rsidP="007871C0"/>
    <w:p w14:paraId="0724A6EB" w14:textId="242449EF" w:rsidR="00AB6310" w:rsidRDefault="00AB6310" w:rsidP="007871C0"/>
    <w:p w14:paraId="1F351105" w14:textId="51DAB353" w:rsidR="00AB6310" w:rsidRDefault="00AB6310" w:rsidP="007871C0"/>
    <w:p w14:paraId="4E1E4E12" w14:textId="77777777" w:rsidR="00AB6310" w:rsidRDefault="00AB6310" w:rsidP="007871C0"/>
    <w:p w14:paraId="1D285015" w14:textId="0D999DF5" w:rsidR="007871C0" w:rsidRDefault="007871C0" w:rsidP="007871C0"/>
    <w:p w14:paraId="55FE17B3" w14:textId="77777777" w:rsidR="004A13E8" w:rsidRDefault="004A13E8" w:rsidP="00AB6310">
      <w:pPr>
        <w:pStyle w:val="Heading1"/>
      </w:pPr>
      <w:bookmarkStart w:id="4" w:name="_Toc3365131"/>
      <w:r w:rsidRPr="004A13E8">
        <w:t>Circumstances Making the Collection of Information Necessary</w:t>
      </w:r>
      <w:bookmarkEnd w:id="4"/>
    </w:p>
    <w:p w14:paraId="548F23D7" w14:textId="70D85E51" w:rsidR="00C17428" w:rsidRPr="007B3E8B" w:rsidRDefault="00C17428" w:rsidP="00AB6310">
      <w:pPr>
        <w:spacing w:line="240" w:lineRule="auto"/>
        <w:rPr>
          <w:b/>
        </w:rPr>
      </w:pPr>
      <w:r>
        <w:t xml:space="preserve">The Centers for Disease Control and Prevention (CDC), </w:t>
      </w:r>
      <w:r w:rsidR="004C4A38" w:rsidRPr="004C4A38">
        <w:t>National Center for Injury Prevention and Control</w:t>
      </w:r>
      <w:r w:rsidR="004C4A38">
        <w:t xml:space="preserve"> (NCIPC</w:t>
      </w:r>
      <w:r>
        <w:t>), requests an emergen</w:t>
      </w:r>
      <w:r w:rsidR="005531E4">
        <w:t xml:space="preserve">cy </w:t>
      </w:r>
      <w:r w:rsidR="00867183">
        <w:t>90-day</w:t>
      </w:r>
      <w:r>
        <w:t xml:space="preserve"> approval for </w:t>
      </w:r>
      <w:r w:rsidR="00417C9C">
        <w:t xml:space="preserve">a </w:t>
      </w:r>
      <w:r w:rsidR="00417C9C" w:rsidRPr="00417C9C">
        <w:t>New Information Collection</w:t>
      </w:r>
      <w:r w:rsidR="00417C9C">
        <w:t xml:space="preserve">, </w:t>
      </w:r>
      <w:r>
        <w:t>“</w:t>
      </w:r>
      <w:r w:rsidR="004C4A38">
        <w:t xml:space="preserve">2019 Lung Injury Response Understanding Vaping Practices </w:t>
      </w:r>
      <w:r w:rsidR="0033230D">
        <w:t>in</w:t>
      </w:r>
      <w:r w:rsidR="004C4A38">
        <w:t xml:space="preserve"> The United States</w:t>
      </w:r>
      <w:r w:rsidR="00DD08BF">
        <w:t>.”</w:t>
      </w:r>
    </w:p>
    <w:p w14:paraId="2FEAC2FF" w14:textId="3C95471C" w:rsidR="0033230D" w:rsidRDefault="0033230D" w:rsidP="00AB6310">
      <w:pPr>
        <w:widowControl w:val="0"/>
        <w:spacing w:line="240" w:lineRule="auto"/>
        <w:rPr>
          <w:rFonts w:cs="Times New Roman"/>
          <w:szCs w:val="24"/>
        </w:rPr>
      </w:pPr>
      <w:r w:rsidRPr="0050593B">
        <w:rPr>
          <w:rFonts w:cs="Times New Roman"/>
          <w:szCs w:val="24"/>
        </w:rPr>
        <w:t xml:space="preserve">In early </w:t>
      </w:r>
      <w:r w:rsidR="001D7BCD">
        <w:rPr>
          <w:rFonts w:cs="Times New Roman"/>
          <w:szCs w:val="24"/>
        </w:rPr>
        <w:t>August</w:t>
      </w:r>
      <w:r w:rsidRPr="0050593B">
        <w:rPr>
          <w:rFonts w:cs="Times New Roman"/>
          <w:szCs w:val="24"/>
        </w:rPr>
        <w:t xml:space="preserve"> 2019, </w:t>
      </w:r>
      <w:r>
        <w:rPr>
          <w:rFonts w:cs="Times New Roman"/>
          <w:szCs w:val="24"/>
        </w:rPr>
        <w:t xml:space="preserve">initial cases of e-cigarette, or vaping, product use associated lung injury (EVALI) were reported </w:t>
      </w:r>
      <w:r w:rsidRPr="0050593B">
        <w:rPr>
          <w:rFonts w:cs="Times New Roman"/>
          <w:szCs w:val="24"/>
        </w:rPr>
        <w:t xml:space="preserve">to CDC. </w:t>
      </w:r>
      <w:r w:rsidR="00756764">
        <w:rPr>
          <w:rFonts w:cs="Times New Roman"/>
          <w:szCs w:val="24"/>
        </w:rPr>
        <w:t>On August 16</w:t>
      </w:r>
      <w:r w:rsidR="00756764" w:rsidRPr="00756764">
        <w:rPr>
          <w:rFonts w:cs="Times New Roman"/>
          <w:szCs w:val="24"/>
        </w:rPr>
        <w:t xml:space="preserve">, 2019, the </w:t>
      </w:r>
      <w:r w:rsidR="00BE315E" w:rsidRPr="00756764">
        <w:rPr>
          <w:rFonts w:cs="Times New Roman"/>
          <w:szCs w:val="24"/>
        </w:rPr>
        <w:t>Wisconsin</w:t>
      </w:r>
      <w:r w:rsidR="00756764" w:rsidRPr="00756764">
        <w:rPr>
          <w:rFonts w:cs="Times New Roman"/>
          <w:szCs w:val="24"/>
        </w:rPr>
        <w:t xml:space="preserve"> and Illinois departments of health submitted a request for CDC Epi-aid assistance to investigate an outbreak of lung injury </w:t>
      </w:r>
      <w:r w:rsidR="00756764" w:rsidRPr="00756764">
        <w:rPr>
          <w:szCs w:val="24"/>
        </w:rPr>
        <w:t xml:space="preserve">associated with e-cigarette use, vaping, or dabbing. The investigation rapidly expanded to become a multi-state, centrally organized investigation with approval for multi-state data collection issued by the Office of Management and Budget on </w:t>
      </w:r>
      <w:r w:rsidR="00756764" w:rsidRPr="00867183">
        <w:rPr>
          <w:szCs w:val="24"/>
        </w:rPr>
        <w:t>August 29, 2019</w:t>
      </w:r>
      <w:r w:rsidR="00060259" w:rsidRPr="00867183">
        <w:rPr>
          <w:szCs w:val="24"/>
        </w:rPr>
        <w:t xml:space="preserve"> (OMB# 0920-1011, exp. 01/31/2020)</w:t>
      </w:r>
      <w:r w:rsidR="00756764" w:rsidRPr="00867183">
        <w:rPr>
          <w:szCs w:val="24"/>
        </w:rPr>
        <w:t xml:space="preserve">. </w:t>
      </w:r>
      <w:r w:rsidR="00FF2BC6" w:rsidRPr="00867183">
        <w:rPr>
          <w:szCs w:val="24"/>
        </w:rPr>
        <w:t>On September 16,</w:t>
      </w:r>
      <w:r w:rsidR="006E78D5" w:rsidRPr="00867183">
        <w:rPr>
          <w:szCs w:val="24"/>
        </w:rPr>
        <w:t xml:space="preserve"> 2019,</w:t>
      </w:r>
      <w:r w:rsidR="00FF2BC6" w:rsidRPr="00867183">
        <w:rPr>
          <w:szCs w:val="24"/>
        </w:rPr>
        <w:t xml:space="preserve"> CDC activated its Emergency Operations Center (EOC) to enhance the agency’s response to this emergency.</w:t>
      </w:r>
      <w:r w:rsidR="00FF2BC6" w:rsidRPr="00867183">
        <w:rPr>
          <w:sz w:val="22"/>
        </w:rPr>
        <w:t xml:space="preserve"> </w:t>
      </w:r>
      <w:r w:rsidR="005566C3" w:rsidRPr="00867183">
        <w:rPr>
          <w:rFonts w:cs="Times New Roman"/>
          <w:szCs w:val="24"/>
        </w:rPr>
        <w:t xml:space="preserve">A multi-state centrally coordinated response for </w:t>
      </w:r>
      <w:r w:rsidR="00867183" w:rsidRPr="00867183">
        <w:rPr>
          <w:rFonts w:cs="Times New Roman"/>
          <w:szCs w:val="24"/>
        </w:rPr>
        <w:t>EVALI</w:t>
      </w:r>
      <w:r w:rsidR="005566C3" w:rsidRPr="00867183">
        <w:rPr>
          <w:rFonts w:cs="Times New Roman"/>
          <w:szCs w:val="24"/>
        </w:rPr>
        <w:t xml:space="preserve"> was established at CDC to assist each state/local/territory jurisdiction in making rapid, practical decisions for actions to prevent and control th</w:t>
      </w:r>
      <w:r w:rsidR="001D7BCD">
        <w:rPr>
          <w:rFonts w:cs="Times New Roman"/>
          <w:szCs w:val="24"/>
        </w:rPr>
        <w:t>is</w:t>
      </w:r>
      <w:r w:rsidR="005566C3" w:rsidRPr="00867183">
        <w:rPr>
          <w:rFonts w:cs="Times New Roman"/>
          <w:szCs w:val="24"/>
        </w:rPr>
        <w:t xml:space="preserve"> public health problem. </w:t>
      </w:r>
      <w:r w:rsidRPr="00867183">
        <w:rPr>
          <w:rFonts w:cs="Times New Roman"/>
          <w:szCs w:val="24"/>
        </w:rPr>
        <w:t xml:space="preserve">As of </w:t>
      </w:r>
      <w:r w:rsidR="00391760" w:rsidRPr="00867183">
        <w:rPr>
          <w:rFonts w:cs="Times New Roman"/>
          <w:szCs w:val="24"/>
        </w:rPr>
        <w:t xml:space="preserve">November </w:t>
      </w:r>
      <w:r w:rsidR="001D7BCD">
        <w:rPr>
          <w:rFonts w:cs="Times New Roman"/>
          <w:szCs w:val="24"/>
        </w:rPr>
        <w:t>13</w:t>
      </w:r>
      <w:r w:rsidRPr="00756764">
        <w:rPr>
          <w:rFonts w:cs="Times New Roman"/>
          <w:szCs w:val="24"/>
        </w:rPr>
        <w:t>, 2019</w:t>
      </w:r>
      <w:r w:rsidRPr="0050593B">
        <w:rPr>
          <w:rFonts w:cs="Times New Roman"/>
          <w:szCs w:val="24"/>
        </w:rPr>
        <w:t xml:space="preserve">, </w:t>
      </w:r>
      <w:r w:rsidR="00391760">
        <w:rPr>
          <w:rFonts w:cs="Times New Roman"/>
          <w:szCs w:val="24"/>
        </w:rPr>
        <w:t>2,</w:t>
      </w:r>
      <w:r w:rsidR="001D7BCD">
        <w:rPr>
          <w:rFonts w:cs="Times New Roman"/>
          <w:szCs w:val="24"/>
        </w:rPr>
        <w:t>172</w:t>
      </w:r>
      <w:r w:rsidRPr="0050593B">
        <w:rPr>
          <w:rFonts w:cs="Times New Roman"/>
          <w:szCs w:val="24"/>
        </w:rPr>
        <w:t xml:space="preserve"> </w:t>
      </w:r>
      <w:r w:rsidR="001D7BCD">
        <w:rPr>
          <w:rFonts w:cs="Times New Roman"/>
          <w:szCs w:val="24"/>
        </w:rPr>
        <w:t>EVALI cases</w:t>
      </w:r>
      <w:r w:rsidRPr="0050593B">
        <w:rPr>
          <w:rFonts w:cs="Times New Roman"/>
          <w:szCs w:val="24"/>
        </w:rPr>
        <w:t xml:space="preserve"> have been reported </w:t>
      </w:r>
      <w:r w:rsidR="001D7BCD">
        <w:rPr>
          <w:rFonts w:cs="Times New Roman"/>
          <w:szCs w:val="24"/>
        </w:rPr>
        <w:t>to CDC from</w:t>
      </w:r>
      <w:r w:rsidRPr="0050593B">
        <w:rPr>
          <w:rFonts w:cs="Times New Roman"/>
          <w:szCs w:val="24"/>
        </w:rPr>
        <w:t xml:space="preserve"> 49 states, the District of Columbia, the US </w:t>
      </w:r>
      <w:r w:rsidR="00AF295A" w:rsidRPr="0050593B">
        <w:rPr>
          <w:rFonts w:cs="Times New Roman"/>
          <w:szCs w:val="24"/>
        </w:rPr>
        <w:t>Virgin Islands</w:t>
      </w:r>
      <w:r w:rsidR="001D7BCD">
        <w:rPr>
          <w:rFonts w:cs="Times New Roman"/>
          <w:szCs w:val="24"/>
        </w:rPr>
        <w:t>, and Puerto Rico</w:t>
      </w:r>
      <w:r w:rsidR="00AF295A">
        <w:rPr>
          <w:rFonts w:cs="Times New Roman"/>
          <w:szCs w:val="24"/>
        </w:rPr>
        <w:t xml:space="preserve">, with </w:t>
      </w:r>
      <w:r w:rsidR="001D7BCD">
        <w:rPr>
          <w:rFonts w:cs="Times New Roman"/>
          <w:szCs w:val="24"/>
        </w:rPr>
        <w:t>42</w:t>
      </w:r>
      <w:r w:rsidR="00AF295A" w:rsidRPr="009A20BF">
        <w:rPr>
          <w:rFonts w:cs="Times New Roman"/>
          <w:szCs w:val="24"/>
        </w:rPr>
        <w:t xml:space="preserve"> deaths among these cases</w:t>
      </w:r>
      <w:r w:rsidRPr="009A20BF">
        <w:rPr>
          <w:rFonts w:cs="Times New Roman"/>
          <w:szCs w:val="24"/>
        </w:rPr>
        <w:t>.</w:t>
      </w:r>
      <w:r w:rsidR="00867183">
        <w:rPr>
          <w:rStyle w:val="FootnoteReference"/>
          <w:rFonts w:cs="Times New Roman"/>
          <w:szCs w:val="24"/>
        </w:rPr>
        <w:footnoteReference w:id="1"/>
      </w:r>
      <w:r w:rsidRPr="009A20BF">
        <w:rPr>
          <w:rFonts w:cs="Times New Roman"/>
          <w:szCs w:val="24"/>
        </w:rPr>
        <w:t xml:space="preserve"> </w:t>
      </w:r>
    </w:p>
    <w:p w14:paraId="6B73D6A7" w14:textId="061D14FF" w:rsidR="00027C49" w:rsidRPr="00027C49" w:rsidRDefault="00027C49" w:rsidP="00AB6310">
      <w:pPr>
        <w:widowControl w:val="0"/>
        <w:spacing w:line="240" w:lineRule="auto"/>
        <w:rPr>
          <w:szCs w:val="24"/>
        </w:rPr>
      </w:pPr>
      <w:r w:rsidRPr="00027C49">
        <w:rPr>
          <w:szCs w:val="24"/>
        </w:rPr>
        <w:t>Based on reports from several states,</w:t>
      </w:r>
      <w:r w:rsidR="00341D9F">
        <w:rPr>
          <w:rStyle w:val="FootnoteReference"/>
          <w:szCs w:val="24"/>
        </w:rPr>
        <w:footnoteReference w:id="2"/>
      </w:r>
      <w:r w:rsidRPr="00027C49">
        <w:rPr>
          <w:szCs w:val="24"/>
        </w:rPr>
        <w:t xml:space="preserve"> patients have experienced respiratory symptoms (e.g., cough, shortness of breath, or chest pain), and some have also experienced gastrointestinal symptoms (e.g., nausea, vomiting, or diarrhea) or non-specific constitutional symptoms (fatigue, fever, or weight loss). Symptoms typically develop over a period of days but sometimes can manifest over several weeks. Gastrointestinal symptoms sometimes </w:t>
      </w:r>
      <w:r w:rsidR="000E01D7">
        <w:rPr>
          <w:szCs w:val="24"/>
        </w:rPr>
        <w:t xml:space="preserve">have </w:t>
      </w:r>
      <w:r w:rsidRPr="00027C49">
        <w:rPr>
          <w:szCs w:val="24"/>
        </w:rPr>
        <w:t xml:space="preserve">preceded respiratory symptoms. Fever, tachycardia, and elevated white blood cell count have been reported in the absence of an identifiable infectious disease. </w:t>
      </w:r>
    </w:p>
    <w:p w14:paraId="5C4776B1" w14:textId="1606C925" w:rsidR="0033230D" w:rsidRDefault="001D7BCD" w:rsidP="00AB6310">
      <w:pPr>
        <w:widowControl w:val="0"/>
        <w:spacing w:line="240" w:lineRule="auto"/>
        <w:rPr>
          <w:rFonts w:cs="Times New Roman"/>
          <w:szCs w:val="24"/>
        </w:rPr>
      </w:pPr>
      <w:r w:rsidRPr="002D515F">
        <w:rPr>
          <w:rFonts w:cs="Times New Roman"/>
          <w:szCs w:val="24"/>
        </w:rPr>
        <w:t>To date, all EVALI patients have reported a history of using e-cigarette, or vaping, products. The latest national and state findings suggest products containing THC, particularly from informal sources like friends, or family, or in-person or online dealers, are linked to most of the cases and play a major role in the outbreak. In addition, vitamin E has been identified as a chemical of concern among people with e-cigarette, or vaping, product use associated lung injury (EVALI).</w:t>
      </w:r>
      <w:r w:rsidR="00503352">
        <w:rPr>
          <w:rStyle w:val="FootnoteReference"/>
          <w:rFonts w:cs="Times New Roman"/>
          <w:szCs w:val="24"/>
        </w:rPr>
        <w:footnoteReference w:id="3"/>
      </w:r>
      <w:r w:rsidRPr="002D515F">
        <w:rPr>
          <w:rFonts w:cs="Times New Roman"/>
          <w:szCs w:val="24"/>
        </w:rPr>
        <w:t xml:space="preserve"> However, while it appears that vitamin E acetate is associated with EVALI, evidence is not yet sufficient to rule out contribution of other chemicals of concern to EVALI.  Many different substances and product sources are still under investigation, and it may be that there is more than one cause of this outbrea</w:t>
      </w:r>
      <w:r>
        <w:rPr>
          <w:rFonts w:cs="Times New Roman"/>
          <w:szCs w:val="24"/>
        </w:rPr>
        <w:t xml:space="preserve">k. </w:t>
      </w:r>
      <w:r w:rsidR="00A824D9">
        <w:rPr>
          <w:rFonts w:cs="Times New Roman"/>
          <w:szCs w:val="24"/>
        </w:rPr>
        <w:t>A</w:t>
      </w:r>
      <w:r w:rsidR="00B53C81">
        <w:t>dditional compounds or ingredients have not been identified</w:t>
      </w:r>
      <w:r w:rsidR="00A824D9">
        <w:t xml:space="preserve"> but</w:t>
      </w:r>
      <w:r w:rsidR="00B53C81">
        <w:t xml:space="preserve"> CDC has not ruled out that other ingredients or compounds may be involved. Overall, there are still many unanswered questions about specific products, sources, and use behaviors</w:t>
      </w:r>
      <w:r w:rsidR="008C04C4">
        <w:t>.</w:t>
      </w:r>
      <w:r>
        <w:rPr>
          <w:rFonts w:cs="Times New Roman"/>
          <w:szCs w:val="24"/>
        </w:rPr>
        <w:t xml:space="preserve"> In fact, m</w:t>
      </w:r>
      <w:r w:rsidR="0033230D" w:rsidRPr="0049643B">
        <w:rPr>
          <w:rFonts w:cs="Times New Roman"/>
          <w:szCs w:val="24"/>
        </w:rPr>
        <w:t>any different substances and product sources are still under investigation</w:t>
      </w:r>
      <w:r w:rsidR="0033230D">
        <w:rPr>
          <w:rFonts w:cs="Times New Roman"/>
          <w:szCs w:val="24"/>
        </w:rPr>
        <w:t xml:space="preserve">. </w:t>
      </w:r>
      <w:r w:rsidR="0033230D" w:rsidRPr="0050593B">
        <w:rPr>
          <w:rFonts w:cs="Times New Roman"/>
          <w:szCs w:val="24"/>
        </w:rPr>
        <w:t>Most case</w:t>
      </w:r>
      <w:r w:rsidR="000D0359">
        <w:rPr>
          <w:rFonts w:cs="Times New Roman"/>
          <w:szCs w:val="24"/>
        </w:rPr>
        <w:t xml:space="preserve"> </w:t>
      </w:r>
      <w:r w:rsidR="0033230D" w:rsidRPr="0050593B">
        <w:rPr>
          <w:rFonts w:cs="Times New Roman"/>
          <w:szCs w:val="24"/>
        </w:rPr>
        <w:t xml:space="preserve">patients report a history of </w:t>
      </w:r>
      <w:r w:rsidR="000D0359">
        <w:rPr>
          <w:rFonts w:cs="Times New Roman"/>
          <w:szCs w:val="24"/>
        </w:rPr>
        <w:t xml:space="preserve">use of </w:t>
      </w:r>
      <w:r w:rsidR="0033230D" w:rsidRPr="0050593B">
        <w:rPr>
          <w:rFonts w:cs="Times New Roman"/>
          <w:szCs w:val="24"/>
        </w:rPr>
        <w:t>THC</w:t>
      </w:r>
      <w:r w:rsidR="0033230D">
        <w:rPr>
          <w:rFonts w:cs="Times New Roman"/>
          <w:szCs w:val="24"/>
        </w:rPr>
        <w:t xml:space="preserve"> </w:t>
      </w:r>
      <w:r w:rsidR="0033230D" w:rsidRPr="0050593B">
        <w:rPr>
          <w:rFonts w:cs="Times New Roman"/>
          <w:szCs w:val="24"/>
        </w:rPr>
        <w:t>containing products, particularly those obtained off the street or from other informal sources (e.g. friends, family members, illicit dealers</w:t>
      </w:r>
      <w:r w:rsidR="0033230D">
        <w:rPr>
          <w:rFonts w:cs="Times New Roman"/>
          <w:szCs w:val="24"/>
        </w:rPr>
        <w:t>).</w:t>
      </w:r>
      <w:r w:rsidR="0014513A">
        <w:rPr>
          <w:rStyle w:val="FootnoteReference"/>
          <w:rFonts w:cs="Times New Roman"/>
          <w:szCs w:val="24"/>
        </w:rPr>
        <w:footnoteReference w:id="4"/>
      </w:r>
      <w:r w:rsidR="0033230D">
        <w:rPr>
          <w:rFonts w:cs="Times New Roman"/>
          <w:szCs w:val="24"/>
        </w:rPr>
        <w:t xml:space="preserve"> </w:t>
      </w:r>
      <w:r>
        <w:rPr>
          <w:rFonts w:cs="Times New Roman"/>
          <w:szCs w:val="24"/>
        </w:rPr>
        <w:t>At present, t</w:t>
      </w:r>
      <w:r w:rsidR="0033230D" w:rsidRPr="0050593B">
        <w:rPr>
          <w:rFonts w:cs="Times New Roman"/>
          <w:szCs w:val="24"/>
        </w:rPr>
        <w:t xml:space="preserve">here is very little data on </w:t>
      </w:r>
      <w:r w:rsidR="0033230D">
        <w:rPr>
          <w:rFonts w:cs="Times New Roman"/>
          <w:szCs w:val="24"/>
        </w:rPr>
        <w:t>which to compare EVALI cases to individuals who are vaping the same products at the same frequency but have not developed EVALI</w:t>
      </w:r>
      <w:r w:rsidR="000D0359">
        <w:rPr>
          <w:rFonts w:cs="Times New Roman"/>
          <w:szCs w:val="24"/>
        </w:rPr>
        <w:t xml:space="preserve"> (i.e. “controls”)</w:t>
      </w:r>
      <w:r w:rsidR="0033230D">
        <w:rPr>
          <w:rFonts w:cs="Times New Roman"/>
          <w:szCs w:val="24"/>
        </w:rPr>
        <w:t xml:space="preserve">.  Comparing cases to people who vape </w:t>
      </w:r>
      <w:r>
        <w:rPr>
          <w:rFonts w:cs="Times New Roman"/>
          <w:szCs w:val="24"/>
        </w:rPr>
        <w:t xml:space="preserve">THC </w:t>
      </w:r>
      <w:r w:rsidR="0033230D">
        <w:rPr>
          <w:rFonts w:cs="Times New Roman"/>
          <w:szCs w:val="24"/>
        </w:rPr>
        <w:t xml:space="preserve">but have not developed EVALI in a timely way is </w:t>
      </w:r>
      <w:r w:rsidR="00527E38">
        <w:rPr>
          <w:rFonts w:cs="Times New Roman"/>
          <w:szCs w:val="24"/>
        </w:rPr>
        <w:t>essential</w:t>
      </w:r>
      <w:r w:rsidR="0033230D">
        <w:rPr>
          <w:rFonts w:cs="Times New Roman"/>
          <w:szCs w:val="24"/>
        </w:rPr>
        <w:t xml:space="preserve"> for narrowing the list of products, substances, and risk factors requiring further public health </w:t>
      </w:r>
      <w:r w:rsidR="00490A58">
        <w:rPr>
          <w:rFonts w:cs="Times New Roman"/>
          <w:szCs w:val="24"/>
        </w:rPr>
        <w:t xml:space="preserve">investigation and </w:t>
      </w:r>
      <w:r w:rsidR="0033230D">
        <w:rPr>
          <w:rFonts w:cs="Times New Roman"/>
          <w:szCs w:val="24"/>
        </w:rPr>
        <w:t xml:space="preserve">action (e.g., prioritizing </w:t>
      </w:r>
      <w:r w:rsidR="000A4643">
        <w:rPr>
          <w:rFonts w:cs="Times New Roman"/>
          <w:szCs w:val="24"/>
        </w:rPr>
        <w:t>samples</w:t>
      </w:r>
      <w:r w:rsidR="0033230D">
        <w:rPr>
          <w:rFonts w:cs="Times New Roman"/>
          <w:szCs w:val="24"/>
        </w:rPr>
        <w:t xml:space="preserve"> for laboratory testing</w:t>
      </w:r>
      <w:r w:rsidR="00AB6310">
        <w:rPr>
          <w:rFonts w:cs="Times New Roman"/>
          <w:szCs w:val="24"/>
        </w:rPr>
        <w:t xml:space="preserve"> and epidemiological surveillance</w:t>
      </w:r>
      <w:r w:rsidR="0033230D">
        <w:rPr>
          <w:rFonts w:cs="Times New Roman"/>
          <w:szCs w:val="24"/>
        </w:rPr>
        <w:t xml:space="preserve">). </w:t>
      </w:r>
      <w:r>
        <w:rPr>
          <w:rFonts w:cs="Times New Roman"/>
          <w:szCs w:val="24"/>
        </w:rPr>
        <w:t xml:space="preserve">Further, </w:t>
      </w:r>
      <w:r w:rsidR="0033230D">
        <w:rPr>
          <w:rFonts w:cs="Times New Roman"/>
          <w:szCs w:val="24"/>
        </w:rPr>
        <w:t xml:space="preserve">there </w:t>
      </w:r>
      <w:r w:rsidR="00546E9C">
        <w:rPr>
          <w:rFonts w:cs="Times New Roman"/>
          <w:szCs w:val="24"/>
        </w:rPr>
        <w:t>are</w:t>
      </w:r>
      <w:r w:rsidR="0033230D">
        <w:rPr>
          <w:rFonts w:cs="Times New Roman"/>
          <w:szCs w:val="24"/>
        </w:rPr>
        <w:t xml:space="preserve"> insufficient data for guiding the selection of controls for a rigorous case control study</w:t>
      </w:r>
      <w:r w:rsidR="00546E9C">
        <w:rPr>
          <w:rFonts w:cs="Times New Roman"/>
          <w:szCs w:val="24"/>
        </w:rPr>
        <w:t xml:space="preserve">, due to a </w:t>
      </w:r>
      <w:r w:rsidR="0033230D">
        <w:rPr>
          <w:rFonts w:cs="Times New Roman"/>
          <w:szCs w:val="24"/>
        </w:rPr>
        <w:t>lack of uniformity in demographic characteristics and product brands and types</w:t>
      </w:r>
      <w:r w:rsidR="00546E9C">
        <w:rPr>
          <w:rFonts w:cs="Times New Roman"/>
          <w:szCs w:val="24"/>
        </w:rPr>
        <w:t xml:space="preserve"> among cases</w:t>
      </w:r>
      <w:r w:rsidR="0033230D">
        <w:rPr>
          <w:rFonts w:cs="Times New Roman"/>
          <w:szCs w:val="24"/>
        </w:rPr>
        <w:t xml:space="preserve">. </w:t>
      </w:r>
    </w:p>
    <w:p w14:paraId="1F8537E5" w14:textId="3C84AB96" w:rsidR="007E7120" w:rsidRPr="00BA3A50" w:rsidRDefault="007E7120" w:rsidP="00AB6310">
      <w:pPr>
        <w:widowControl w:val="0"/>
        <w:spacing w:line="240" w:lineRule="auto"/>
        <w:rPr>
          <w:rFonts w:cs="Times New Roman"/>
          <w:szCs w:val="24"/>
        </w:rPr>
      </w:pPr>
      <w:r>
        <w:rPr>
          <w:rFonts w:cs="Times New Roman"/>
          <w:szCs w:val="24"/>
        </w:rPr>
        <w:t xml:space="preserve">To this end, </w:t>
      </w:r>
      <w:r w:rsidR="001D7BCD">
        <w:rPr>
          <w:rFonts w:cs="Times New Roman"/>
          <w:szCs w:val="24"/>
        </w:rPr>
        <w:t>CDC-</w:t>
      </w:r>
      <w:r>
        <w:rPr>
          <w:rFonts w:cs="Times New Roman"/>
          <w:szCs w:val="24"/>
        </w:rPr>
        <w:t xml:space="preserve">NCIPC is proposing this information collection to </w:t>
      </w:r>
      <w:r w:rsidR="00F47919">
        <w:rPr>
          <w:rFonts w:cs="Times New Roman"/>
          <w:szCs w:val="24"/>
        </w:rPr>
        <w:t>identify</w:t>
      </w:r>
      <w:r>
        <w:rPr>
          <w:rFonts w:cs="Times New Roman"/>
          <w:szCs w:val="24"/>
        </w:rPr>
        <w:t xml:space="preserve"> the vaping-related characteristics and behaviors of those who have recently vaped THC-containing products but not developed EVALI </w:t>
      </w:r>
      <w:r w:rsidR="00303FAF">
        <w:rPr>
          <w:rFonts w:cs="Times New Roman"/>
          <w:szCs w:val="24"/>
        </w:rPr>
        <w:t>and compare these</w:t>
      </w:r>
      <w:r>
        <w:rPr>
          <w:rFonts w:cs="Times New Roman"/>
          <w:szCs w:val="24"/>
        </w:rPr>
        <w:t xml:space="preserve"> vaping-related characteristics of those who have developed EVALI. </w:t>
      </w:r>
      <w:r w:rsidR="0097127B">
        <w:rPr>
          <w:rFonts w:cs="Times New Roman"/>
          <w:szCs w:val="24"/>
        </w:rPr>
        <w:t>NCIPC is seeking approval from OMB to conduct a survey via an opt-in internet panel</w:t>
      </w:r>
      <w:r w:rsidR="00B776C3">
        <w:rPr>
          <w:rFonts w:cs="Times New Roman"/>
          <w:szCs w:val="24"/>
        </w:rPr>
        <w:t xml:space="preserve"> </w:t>
      </w:r>
      <w:r w:rsidR="001D7BCD">
        <w:rPr>
          <w:rFonts w:cs="Times New Roman"/>
          <w:szCs w:val="24"/>
        </w:rPr>
        <w:t>and compare these data with data from EVALI case patients</w:t>
      </w:r>
      <w:r w:rsidR="00B776C3">
        <w:rPr>
          <w:rFonts w:cs="Times New Roman"/>
          <w:szCs w:val="24"/>
        </w:rPr>
        <w:t xml:space="preserve">. </w:t>
      </w:r>
      <w:r w:rsidR="009D5629">
        <w:rPr>
          <w:rFonts w:cs="Times New Roman"/>
          <w:szCs w:val="24"/>
        </w:rPr>
        <w:t>A sample of respondents who are already part of the opt-in panel will be invited to participate in this survey to describe their vaping history and experiences (</w:t>
      </w:r>
      <w:r w:rsidR="009D5629">
        <w:rPr>
          <w:rFonts w:cs="Times New Roman"/>
          <w:b/>
          <w:szCs w:val="24"/>
        </w:rPr>
        <w:t>A</w:t>
      </w:r>
      <w:r w:rsidR="00BA3A50">
        <w:rPr>
          <w:rFonts w:cs="Times New Roman"/>
          <w:b/>
          <w:szCs w:val="24"/>
        </w:rPr>
        <w:t>ttachment</w:t>
      </w:r>
      <w:r w:rsidR="009D5629">
        <w:rPr>
          <w:rFonts w:cs="Times New Roman"/>
          <w:b/>
          <w:szCs w:val="24"/>
        </w:rPr>
        <w:t xml:space="preserve"> </w:t>
      </w:r>
      <w:r w:rsidR="00DD08BF">
        <w:rPr>
          <w:rFonts w:cs="Times New Roman"/>
          <w:b/>
          <w:szCs w:val="24"/>
        </w:rPr>
        <w:t>2</w:t>
      </w:r>
      <w:r w:rsidR="009D5629">
        <w:rPr>
          <w:rFonts w:cs="Times New Roman"/>
          <w:b/>
          <w:szCs w:val="24"/>
        </w:rPr>
        <w:t xml:space="preserve">). </w:t>
      </w:r>
      <w:r w:rsidR="00BA3A50">
        <w:rPr>
          <w:rFonts w:cs="Times New Roman"/>
          <w:szCs w:val="24"/>
        </w:rPr>
        <w:t>The results of this study will allow us to better target our future laboratory</w:t>
      </w:r>
      <w:r w:rsidR="001D7BCD">
        <w:rPr>
          <w:rFonts w:cs="Times New Roman"/>
          <w:szCs w:val="24"/>
        </w:rPr>
        <w:t>, clinical,</w:t>
      </w:r>
      <w:r w:rsidR="00BA3A50">
        <w:rPr>
          <w:rFonts w:cs="Times New Roman"/>
          <w:szCs w:val="24"/>
        </w:rPr>
        <w:t xml:space="preserve"> and epidemiological analyses.</w:t>
      </w:r>
    </w:p>
    <w:p w14:paraId="017F1B45" w14:textId="3A9BB1DF" w:rsidR="00B96444" w:rsidRPr="00CD645B" w:rsidRDefault="00B96444" w:rsidP="00B96444">
      <w:pPr>
        <w:spacing w:after="240" w:line="240" w:lineRule="auto"/>
        <w:rPr>
          <w:rFonts w:cs="Times New Roman"/>
          <w:szCs w:val="24"/>
        </w:rPr>
      </w:pPr>
      <w:bookmarkStart w:id="5" w:name="_Hlk24012090"/>
      <w:r w:rsidRPr="00CD645B">
        <w:rPr>
          <w:rFonts w:cs="Times New Roman"/>
          <w:szCs w:val="24"/>
        </w:rPr>
        <w:t xml:space="preserve">The proposed information collection is authorized by the Public Health Services Act </w:t>
      </w:r>
      <w:bookmarkEnd w:id="5"/>
      <w:r w:rsidRPr="00CD645B">
        <w:rPr>
          <w:rFonts w:cs="Times New Roman"/>
          <w:szCs w:val="24"/>
        </w:rPr>
        <w:t>(PHS Act) which provides the legislative means for states to advance public health across the lifespan and to reduce health disparities. Section 301 (a) of the PHS Act, 42 U.S.C. 241 (a), authorizes grants to aid “other appropriate public authorities, scientific institutions, and scientists in the conduct of, and promote the coordination of, research, investigations, experiments, demonstrations, and studies relating to the cause, diagnosis, treatment, control and prevention of physical and mental diseases and impairments of man” (</w:t>
      </w:r>
      <w:r w:rsidRPr="00CD645B">
        <w:rPr>
          <w:rFonts w:cs="Times New Roman"/>
          <w:b/>
          <w:szCs w:val="24"/>
        </w:rPr>
        <w:t xml:space="preserve">Attachment </w:t>
      </w:r>
      <w:r w:rsidR="00CF3B2E">
        <w:rPr>
          <w:rFonts w:cs="Times New Roman"/>
          <w:b/>
          <w:szCs w:val="24"/>
        </w:rPr>
        <w:t>1</w:t>
      </w:r>
      <w:r w:rsidRPr="00CD645B">
        <w:rPr>
          <w:rFonts w:cs="Times New Roman"/>
          <w:szCs w:val="24"/>
        </w:rPr>
        <w:t>).</w:t>
      </w:r>
    </w:p>
    <w:p w14:paraId="2EED4EF7" w14:textId="77777777" w:rsidR="0063486F" w:rsidRDefault="004A13E8" w:rsidP="0063486F">
      <w:pPr>
        <w:pStyle w:val="Heading1"/>
        <w:spacing w:after="0"/>
        <w:rPr>
          <w:b w:val="0"/>
        </w:rPr>
      </w:pPr>
      <w:bookmarkStart w:id="6" w:name="_Toc3365132"/>
      <w:r>
        <w:t xml:space="preserve">Purpose and Use of </w:t>
      </w:r>
      <w:r w:rsidRPr="0063486F">
        <w:t>Information Collection</w:t>
      </w:r>
      <w:bookmarkEnd w:id="6"/>
      <w:r w:rsidR="0063486F" w:rsidRPr="0063486F">
        <w:rPr>
          <w:b w:val="0"/>
        </w:rPr>
        <w:t xml:space="preserve"> </w:t>
      </w:r>
    </w:p>
    <w:p w14:paraId="0ACA4293" w14:textId="7B73B504" w:rsidR="00905C70" w:rsidRDefault="0063486F" w:rsidP="00915A2F">
      <w:pPr>
        <w:autoSpaceDE w:val="0"/>
        <w:autoSpaceDN w:val="0"/>
        <w:adjustRightInd w:val="0"/>
        <w:spacing w:after="0" w:line="240" w:lineRule="auto"/>
        <w:rPr>
          <w:rFonts w:cs="Times New Roman"/>
          <w:b/>
          <w:szCs w:val="24"/>
        </w:rPr>
      </w:pPr>
      <w:r w:rsidRPr="0063486F">
        <w:t xml:space="preserve">The purposes of this study are to (1) Collect data about product types, brands, devices, and frequency of use from a sample of individuals who report </w:t>
      </w:r>
      <w:r w:rsidRPr="0063486F">
        <w:rPr>
          <w:rFonts w:cs="Times New Roman"/>
          <w:szCs w:val="24"/>
        </w:rPr>
        <w:t xml:space="preserve">vaping </w:t>
      </w:r>
      <w:r w:rsidR="007223F7">
        <w:rPr>
          <w:rFonts w:cs="Times New Roman"/>
          <w:szCs w:val="24"/>
          <w:shd w:val="clear" w:color="auto" w:fill="FFFFFF"/>
        </w:rPr>
        <w:t>t</w:t>
      </w:r>
      <w:r w:rsidRPr="0063486F">
        <w:rPr>
          <w:rFonts w:cs="Times New Roman"/>
          <w:szCs w:val="24"/>
          <w:shd w:val="clear" w:color="auto" w:fill="FFFFFF"/>
        </w:rPr>
        <w:t>etrahydrocannabinol (</w:t>
      </w:r>
      <w:r w:rsidRPr="0063486F">
        <w:rPr>
          <w:rFonts w:cs="Times New Roman"/>
          <w:szCs w:val="24"/>
        </w:rPr>
        <w:t>THC)</w:t>
      </w:r>
      <w:r w:rsidRPr="0063486F">
        <w:t xml:space="preserve">-containing products but who have not </w:t>
      </w:r>
      <w:r w:rsidRPr="0063486F">
        <w:rPr>
          <w:rFonts w:cs="Times New Roman"/>
          <w:szCs w:val="24"/>
        </w:rPr>
        <w:t>EVALI</w:t>
      </w:r>
      <w:r>
        <w:rPr>
          <w:rFonts w:cs="Times New Roman"/>
          <w:szCs w:val="24"/>
        </w:rPr>
        <w:t xml:space="preserve"> and </w:t>
      </w:r>
      <w:r w:rsidRPr="0063486F">
        <w:rPr>
          <w:rFonts w:cs="Times New Roman"/>
          <w:szCs w:val="24"/>
        </w:rPr>
        <w:t xml:space="preserve">(2) </w:t>
      </w:r>
      <w:r w:rsidR="001D7BCD">
        <w:rPr>
          <w:rFonts w:cs="Times New Roman"/>
          <w:szCs w:val="24"/>
        </w:rPr>
        <w:t xml:space="preserve">to compare the </w:t>
      </w:r>
      <w:r w:rsidRPr="0063486F">
        <w:rPr>
          <w:rFonts w:cs="Times New Roman"/>
          <w:szCs w:val="24"/>
        </w:rPr>
        <w:t xml:space="preserve">vaping characteristics/behaviors of non-cases (those who vape but have not developed EVALI) </w:t>
      </w:r>
      <w:r w:rsidR="001D7BCD">
        <w:rPr>
          <w:rFonts w:cs="Times New Roman"/>
          <w:szCs w:val="24"/>
        </w:rPr>
        <w:t xml:space="preserve">to those of </w:t>
      </w:r>
      <w:r w:rsidRPr="0063486F">
        <w:rPr>
          <w:rFonts w:cs="Times New Roman"/>
          <w:szCs w:val="24"/>
        </w:rPr>
        <w:t xml:space="preserve"> EVALI </w:t>
      </w:r>
      <w:r w:rsidRPr="00F870AE">
        <w:rPr>
          <w:rFonts w:cs="Times New Roman"/>
          <w:szCs w:val="24"/>
        </w:rPr>
        <w:t xml:space="preserve">cases. </w:t>
      </w:r>
      <w:r w:rsidR="00F870AE" w:rsidRPr="00905C70">
        <w:rPr>
          <w:rFonts w:cs="Times New Roman"/>
          <w:szCs w:val="24"/>
        </w:rPr>
        <w:t xml:space="preserve">The survey contains a series of up </w:t>
      </w:r>
      <w:r w:rsidR="001D7BCD">
        <w:rPr>
          <w:rFonts w:cs="Times New Roman"/>
          <w:szCs w:val="24"/>
        </w:rPr>
        <w:t xml:space="preserve">to </w:t>
      </w:r>
      <w:r w:rsidR="00915A2F" w:rsidRPr="00905C70">
        <w:rPr>
          <w:rFonts w:cs="Times New Roman"/>
          <w:szCs w:val="24"/>
        </w:rPr>
        <w:t>34</w:t>
      </w:r>
      <w:r w:rsidR="00F870AE" w:rsidRPr="00905C70">
        <w:rPr>
          <w:rFonts w:cs="Times New Roman"/>
          <w:szCs w:val="24"/>
        </w:rPr>
        <w:t xml:space="preserve"> questions that assess the respondents’: 1) </w:t>
      </w:r>
      <w:r w:rsidR="001D7BCD">
        <w:rPr>
          <w:rFonts w:cs="Times New Roman"/>
          <w:szCs w:val="24"/>
        </w:rPr>
        <w:t xml:space="preserve">types of THC </w:t>
      </w:r>
      <w:r w:rsidR="00905C70" w:rsidRPr="00905C70">
        <w:rPr>
          <w:rFonts w:cs="Times New Roman"/>
          <w:szCs w:val="24"/>
        </w:rPr>
        <w:t>substance(s) used in vaping products</w:t>
      </w:r>
      <w:r w:rsidR="00F870AE" w:rsidRPr="00905C70">
        <w:rPr>
          <w:rFonts w:cs="Times New Roman"/>
          <w:szCs w:val="24"/>
        </w:rPr>
        <w:t xml:space="preserve"> 2) </w:t>
      </w:r>
      <w:r w:rsidR="00905C70" w:rsidRPr="00905C70">
        <w:rPr>
          <w:rFonts w:cs="Times New Roman"/>
          <w:szCs w:val="24"/>
        </w:rPr>
        <w:t>product sources</w:t>
      </w:r>
      <w:r w:rsidR="00915A2F" w:rsidRPr="00905C70">
        <w:rPr>
          <w:rFonts w:cs="Times New Roman"/>
          <w:szCs w:val="24"/>
        </w:rPr>
        <w:t xml:space="preserve"> </w:t>
      </w:r>
      <w:r w:rsidR="00F870AE" w:rsidRPr="00905C70">
        <w:rPr>
          <w:rFonts w:cs="Times New Roman"/>
          <w:szCs w:val="24"/>
        </w:rPr>
        <w:t xml:space="preserve">3) </w:t>
      </w:r>
      <w:r w:rsidR="00905C70" w:rsidRPr="00905C70">
        <w:rPr>
          <w:rFonts w:cs="Times New Roman"/>
          <w:szCs w:val="24"/>
        </w:rPr>
        <w:t>specific “brands” used 4) devices/products used 5) other substances used or vaped and 6) frequency of use</w:t>
      </w:r>
      <w:r w:rsidR="001D7BCD">
        <w:rPr>
          <w:rFonts w:cs="Times New Roman"/>
          <w:szCs w:val="24"/>
        </w:rPr>
        <w:t xml:space="preserve"> in the past three months</w:t>
      </w:r>
      <w:r w:rsidR="00905C70" w:rsidRPr="00905C70">
        <w:rPr>
          <w:rFonts w:cs="Times New Roman"/>
          <w:szCs w:val="24"/>
        </w:rPr>
        <w:t xml:space="preserve">. A full description of what we know, key questions asked, secondary questions asked, and implications for responses for each of the six topic areas can be found in </w:t>
      </w:r>
      <w:r w:rsidR="00905C70" w:rsidRPr="00905C70">
        <w:rPr>
          <w:rFonts w:cs="Times New Roman"/>
          <w:b/>
          <w:szCs w:val="24"/>
        </w:rPr>
        <w:t xml:space="preserve">Attachment </w:t>
      </w:r>
      <w:r w:rsidR="00CF3B2E">
        <w:rPr>
          <w:rFonts w:cs="Times New Roman"/>
          <w:b/>
          <w:szCs w:val="24"/>
        </w:rPr>
        <w:t>3</w:t>
      </w:r>
      <w:r w:rsidR="00905C70" w:rsidRPr="00905C70">
        <w:rPr>
          <w:rFonts w:cs="Times New Roman"/>
          <w:szCs w:val="24"/>
        </w:rPr>
        <w:t>.</w:t>
      </w:r>
    </w:p>
    <w:p w14:paraId="218A6E63" w14:textId="77777777" w:rsidR="00F870AE" w:rsidRDefault="00F870AE" w:rsidP="0063486F">
      <w:pPr>
        <w:pStyle w:val="Heading1"/>
        <w:numPr>
          <w:ilvl w:val="0"/>
          <w:numId w:val="0"/>
        </w:numPr>
        <w:spacing w:after="0"/>
        <w:rPr>
          <w:rFonts w:cs="Times New Roman"/>
          <w:b w:val="0"/>
          <w:szCs w:val="24"/>
        </w:rPr>
      </w:pPr>
    </w:p>
    <w:p w14:paraId="25DB53FE" w14:textId="778E855E" w:rsidR="0063486F" w:rsidRDefault="00387E08" w:rsidP="0063486F">
      <w:pPr>
        <w:pStyle w:val="Heading1"/>
        <w:numPr>
          <w:ilvl w:val="0"/>
          <w:numId w:val="0"/>
        </w:numPr>
        <w:spacing w:after="0"/>
        <w:rPr>
          <w:b w:val="0"/>
        </w:rPr>
      </w:pPr>
      <w:r w:rsidRPr="0063486F">
        <w:rPr>
          <w:rFonts w:cs="Times New Roman"/>
          <w:b w:val="0"/>
          <w:szCs w:val="24"/>
        </w:rPr>
        <w:t>The data collected will be used</w:t>
      </w:r>
      <w:r w:rsidRPr="007341A3">
        <w:rPr>
          <w:rFonts w:cs="Times New Roman"/>
          <w:szCs w:val="24"/>
        </w:rPr>
        <w:t xml:space="preserve"> </w:t>
      </w:r>
      <w:r w:rsidRPr="00AF28E7">
        <w:rPr>
          <w:rFonts w:cs="Times New Roman"/>
          <w:b w:val="0"/>
          <w:szCs w:val="24"/>
        </w:rPr>
        <w:t>to</w:t>
      </w:r>
      <w:r w:rsidRPr="007341A3">
        <w:rPr>
          <w:rFonts w:cs="Times New Roman"/>
          <w:szCs w:val="24"/>
        </w:rPr>
        <w:t xml:space="preserve"> </w:t>
      </w:r>
      <w:r w:rsidRPr="00387E08">
        <w:rPr>
          <w:rFonts w:cs="Times New Roman"/>
          <w:b w:val="0"/>
          <w:szCs w:val="24"/>
        </w:rPr>
        <w:t xml:space="preserve">identify </w:t>
      </w:r>
      <w:r w:rsidR="00FF72DE">
        <w:rPr>
          <w:rFonts w:cs="Times New Roman"/>
          <w:b w:val="0"/>
          <w:szCs w:val="24"/>
        </w:rPr>
        <w:t xml:space="preserve">substances used, </w:t>
      </w:r>
      <w:r w:rsidRPr="00387E08">
        <w:rPr>
          <w:rFonts w:cs="Times New Roman"/>
          <w:b w:val="0"/>
          <w:szCs w:val="24"/>
        </w:rPr>
        <w:t>product types, “brands,” devices, and frequency of use (collectively referred to as use characteristics</w:t>
      </w:r>
      <w:r w:rsidRPr="00387E08">
        <w:rPr>
          <w:b w:val="0"/>
        </w:rPr>
        <w:t xml:space="preserve">) from a </w:t>
      </w:r>
      <w:r w:rsidR="00FF72DE">
        <w:rPr>
          <w:b w:val="0"/>
        </w:rPr>
        <w:t>geographically</w:t>
      </w:r>
      <w:r w:rsidRPr="00387E08">
        <w:rPr>
          <w:b w:val="0"/>
        </w:rPr>
        <w:t xml:space="preserve"> diverse convenience sample of individuals who report vaping THC-containing products but have not developed EVALI. Comparing the frequenc</w:t>
      </w:r>
      <w:r w:rsidR="00FF72DE">
        <w:rPr>
          <w:b w:val="0"/>
        </w:rPr>
        <w:t>ies of these</w:t>
      </w:r>
      <w:r w:rsidRPr="00387E08">
        <w:rPr>
          <w:b w:val="0"/>
        </w:rPr>
        <w:t xml:space="preserve"> use characteristics between the convenience sample (controls) and EVALI cases will allow us to</w:t>
      </w:r>
      <w:r>
        <w:t xml:space="preserve"> </w:t>
      </w:r>
      <w:r w:rsidR="0063486F" w:rsidRPr="00387E08">
        <w:rPr>
          <w:b w:val="0"/>
        </w:rPr>
        <w:t xml:space="preserve">(1) </w:t>
      </w:r>
      <w:r w:rsidRPr="00387E08">
        <w:rPr>
          <w:b w:val="0"/>
        </w:rPr>
        <w:t xml:space="preserve">prioritize follow up on hypotheses about potential </w:t>
      </w:r>
      <w:r w:rsidR="00FF72DE">
        <w:rPr>
          <w:b w:val="0"/>
        </w:rPr>
        <w:t xml:space="preserve">risk factors for or </w:t>
      </w:r>
      <w:r w:rsidRPr="00387E08">
        <w:rPr>
          <w:b w:val="0"/>
        </w:rPr>
        <w:t>causes of the outbreak and (2) refine, target, and prioritize additional information gathering efforts, e.g. epidemiological analyses, laboratory testing, and analysis of pathological specimen</w:t>
      </w:r>
      <w:r w:rsidR="003F1C5E">
        <w:rPr>
          <w:b w:val="0"/>
        </w:rPr>
        <w:t>s.</w:t>
      </w:r>
    </w:p>
    <w:p w14:paraId="16419BA4" w14:textId="77777777" w:rsidR="0063486F" w:rsidRPr="0063486F" w:rsidRDefault="0063486F" w:rsidP="0063486F">
      <w:pPr>
        <w:spacing w:after="0"/>
      </w:pPr>
    </w:p>
    <w:p w14:paraId="737E461A" w14:textId="0B418A09" w:rsidR="008664D1" w:rsidRDefault="00662B3F" w:rsidP="0063486F">
      <w:pPr>
        <w:spacing w:after="0" w:line="240" w:lineRule="auto"/>
        <w:rPr>
          <w:rFonts w:cs="Times New Roman"/>
          <w:color w:val="222222"/>
          <w:szCs w:val="24"/>
          <w:shd w:val="clear" w:color="auto" w:fill="FFFFFF"/>
        </w:rPr>
      </w:pPr>
      <w:r w:rsidRPr="0063486F">
        <w:t xml:space="preserve">This request is to obtain OMB approval for collection of data through </w:t>
      </w:r>
      <w:r w:rsidR="007341A3" w:rsidRPr="0063486F">
        <w:t>an</w:t>
      </w:r>
      <w:r w:rsidRPr="0063486F">
        <w:t xml:space="preserve"> online</w:t>
      </w:r>
      <w:r w:rsidR="005A17B8" w:rsidRPr="0063486F">
        <w:t xml:space="preserve"> </w:t>
      </w:r>
      <w:r w:rsidRPr="0063486F">
        <w:t xml:space="preserve">survey of individuals registered with </w:t>
      </w:r>
      <w:r w:rsidR="007341A3" w:rsidRPr="0063486F">
        <w:t xml:space="preserve">the </w:t>
      </w:r>
      <w:r w:rsidRPr="0063486F">
        <w:rPr>
          <w:rFonts w:cs="Times New Roman"/>
          <w:szCs w:val="24"/>
        </w:rPr>
        <w:t>opt-in internet panel survey</w:t>
      </w:r>
      <w:r w:rsidR="005A17B8" w:rsidRPr="0063486F">
        <w:rPr>
          <w:rFonts w:cs="Times New Roman"/>
          <w:szCs w:val="24"/>
        </w:rPr>
        <w:t xml:space="preserve"> YouGov</w:t>
      </w:r>
      <w:r w:rsidRPr="0063486F">
        <w:rPr>
          <w:rFonts w:cs="Times New Roman"/>
          <w:szCs w:val="24"/>
        </w:rPr>
        <w:t>.</w:t>
      </w:r>
      <w:r w:rsidR="00C37EEA">
        <w:rPr>
          <w:rStyle w:val="FootnoteReference"/>
          <w:rFonts w:cs="Times New Roman"/>
          <w:szCs w:val="24"/>
        </w:rPr>
        <w:footnoteReference w:id="5"/>
      </w:r>
      <w:r w:rsidR="00601C93" w:rsidRPr="0063486F">
        <w:rPr>
          <w:rFonts w:cs="Times New Roman"/>
          <w:szCs w:val="24"/>
        </w:rPr>
        <w:t xml:space="preserve"> </w:t>
      </w:r>
      <w:r w:rsidR="007341A3" w:rsidRPr="0063486F">
        <w:rPr>
          <w:rFonts w:cs="Times New Roman"/>
          <w:color w:val="222222"/>
          <w:szCs w:val="24"/>
          <w:shd w:val="clear" w:color="auto" w:fill="FFFFFF"/>
        </w:rPr>
        <w:t>YouGov specializes in market research and opinion polling through online methods. The company's methodology involves obtaining responses from an invited group of </w:t>
      </w:r>
      <w:r w:rsidR="007341A3" w:rsidRPr="00C37EEA">
        <w:rPr>
          <w:rFonts w:cs="Times New Roman"/>
          <w:szCs w:val="24"/>
          <w:shd w:val="clear" w:color="auto" w:fill="FFFFFF"/>
        </w:rPr>
        <w:t>Internet users</w:t>
      </w:r>
      <w:r w:rsidR="007341A3" w:rsidRPr="0063486F">
        <w:rPr>
          <w:rFonts w:cs="Times New Roman"/>
          <w:color w:val="222222"/>
          <w:szCs w:val="24"/>
          <w:shd w:val="clear" w:color="auto" w:fill="FFFFFF"/>
        </w:rPr>
        <w:t>, and then weighting these responses in line</w:t>
      </w:r>
      <w:r w:rsidR="008664D1">
        <w:rPr>
          <w:rFonts w:cs="Times New Roman"/>
          <w:color w:val="222222"/>
          <w:szCs w:val="24"/>
          <w:shd w:val="clear" w:color="auto" w:fill="FFFFFF"/>
        </w:rPr>
        <w:t xml:space="preserve"> with demographic information</w:t>
      </w:r>
      <w:r w:rsidR="00DA7E7C">
        <w:rPr>
          <w:rFonts w:cs="Times New Roman"/>
          <w:color w:val="222222"/>
          <w:szCs w:val="24"/>
          <w:shd w:val="clear" w:color="auto" w:fill="FFFFFF"/>
        </w:rPr>
        <w:t xml:space="preserve"> (note: CDC will only use unweighted data)</w:t>
      </w:r>
      <w:r w:rsidR="008664D1">
        <w:rPr>
          <w:rFonts w:cs="Times New Roman"/>
          <w:color w:val="222222"/>
          <w:szCs w:val="24"/>
          <w:shd w:val="clear" w:color="auto" w:fill="FFFFFF"/>
        </w:rPr>
        <w:t xml:space="preserve">. </w:t>
      </w:r>
      <w:r w:rsidR="00B671F5">
        <w:rPr>
          <w:rFonts w:cs="Times New Roman"/>
          <w:color w:val="222222"/>
          <w:szCs w:val="24"/>
          <w:shd w:val="clear" w:color="auto" w:fill="FFFFFF"/>
        </w:rPr>
        <w:t xml:space="preserve">YouGov’s US internet panel has over 2 million </w:t>
      </w:r>
      <w:r w:rsidR="00376C41">
        <w:rPr>
          <w:rFonts w:cs="Times New Roman"/>
          <w:color w:val="222222"/>
          <w:szCs w:val="24"/>
          <w:shd w:val="clear" w:color="auto" w:fill="FFFFFF"/>
        </w:rPr>
        <w:t xml:space="preserve">regionally and socioeconomically diverse </w:t>
      </w:r>
      <w:r w:rsidR="00B671F5">
        <w:rPr>
          <w:rFonts w:cs="Times New Roman"/>
          <w:color w:val="222222"/>
          <w:szCs w:val="24"/>
          <w:shd w:val="clear" w:color="auto" w:fill="FFFFFF"/>
        </w:rPr>
        <w:t>respondents.</w:t>
      </w:r>
      <w:r w:rsidR="00B671F5">
        <w:rPr>
          <w:rStyle w:val="FootnoteReference"/>
          <w:rFonts w:cs="Times New Roman"/>
          <w:color w:val="222222"/>
          <w:szCs w:val="24"/>
          <w:shd w:val="clear" w:color="auto" w:fill="FFFFFF"/>
        </w:rPr>
        <w:footnoteReference w:id="6"/>
      </w:r>
      <w:r w:rsidR="009D2B69">
        <w:rPr>
          <w:rFonts w:cs="Times New Roman"/>
          <w:color w:val="222222"/>
          <w:szCs w:val="24"/>
          <w:shd w:val="clear" w:color="auto" w:fill="FFFFFF"/>
        </w:rPr>
        <w:t xml:space="preserve"> The panel is pre-screened allowing for a quick survey turn-around. </w:t>
      </w:r>
      <w:r w:rsidR="00380EBB" w:rsidRPr="00737739">
        <w:rPr>
          <w:rFonts w:cs="Times New Roman"/>
          <w:szCs w:val="24"/>
        </w:rPr>
        <w:t>CDC identified the YouGov opt-in internet panel survey as the preferred contractor based on available resources and procurement mechanisms available to CDC as well as prior experience with the contractor being able to conduct surveys in a geographical</w:t>
      </w:r>
      <w:r w:rsidR="00066213">
        <w:rPr>
          <w:rFonts w:cs="Times New Roman"/>
          <w:szCs w:val="24"/>
        </w:rPr>
        <w:t>ly</w:t>
      </w:r>
      <w:r w:rsidR="00380EBB" w:rsidRPr="00737739">
        <w:rPr>
          <w:rFonts w:cs="Times New Roman"/>
          <w:szCs w:val="24"/>
        </w:rPr>
        <w:t xml:space="preserve"> diverse set of states.</w:t>
      </w:r>
    </w:p>
    <w:p w14:paraId="154A8B59" w14:textId="77777777" w:rsidR="008664D1" w:rsidRDefault="008664D1" w:rsidP="0063486F">
      <w:pPr>
        <w:spacing w:after="0" w:line="240" w:lineRule="auto"/>
        <w:rPr>
          <w:rFonts w:cs="Times New Roman"/>
          <w:color w:val="222222"/>
          <w:szCs w:val="24"/>
          <w:shd w:val="clear" w:color="auto" w:fill="FFFFFF"/>
        </w:rPr>
      </w:pPr>
    </w:p>
    <w:p w14:paraId="693E72C1" w14:textId="0916F9D6" w:rsidR="00E57DD1" w:rsidRDefault="00601C93" w:rsidP="00AB6310">
      <w:pPr>
        <w:pStyle w:val="NormalWeb"/>
        <w:spacing w:before="0" w:beforeAutospacing="0" w:after="0" w:afterAutospacing="0"/>
        <w:rPr>
          <w:rFonts w:ascii="Times New Roman" w:hAnsi="Times New Roman" w:cs="Times New Roman"/>
          <w:sz w:val="24"/>
          <w:szCs w:val="24"/>
        </w:rPr>
      </w:pPr>
      <w:r w:rsidRPr="0097722A">
        <w:rPr>
          <w:rFonts w:ascii="Times New Roman" w:hAnsi="Times New Roman" w:cs="Times New Roman"/>
          <w:sz w:val="24"/>
          <w:szCs w:val="24"/>
        </w:rPr>
        <w:t>The proposed approach l</w:t>
      </w:r>
      <w:r>
        <w:rPr>
          <w:rFonts w:ascii="Times New Roman" w:hAnsi="Times New Roman" w:cs="Times New Roman"/>
          <w:sz w:val="24"/>
          <w:szCs w:val="24"/>
        </w:rPr>
        <w:t xml:space="preserve">everages </w:t>
      </w:r>
      <w:r w:rsidR="004A3FDC">
        <w:rPr>
          <w:rFonts w:ascii="Times New Roman" w:hAnsi="Times New Roman" w:cs="Times New Roman"/>
          <w:sz w:val="24"/>
          <w:szCs w:val="24"/>
        </w:rPr>
        <w:t xml:space="preserve">the benefits of </w:t>
      </w:r>
      <w:r>
        <w:rPr>
          <w:rFonts w:ascii="Times New Roman" w:hAnsi="Times New Roman" w:cs="Times New Roman"/>
          <w:sz w:val="24"/>
          <w:szCs w:val="24"/>
        </w:rPr>
        <w:t xml:space="preserve">an </w:t>
      </w:r>
      <w:bookmarkStart w:id="7" w:name="_Hlk23934124"/>
      <w:r>
        <w:rPr>
          <w:rFonts w:ascii="Times New Roman" w:hAnsi="Times New Roman" w:cs="Times New Roman"/>
          <w:sz w:val="24"/>
          <w:szCs w:val="24"/>
        </w:rPr>
        <w:t xml:space="preserve">opt-in internet panel survey </w:t>
      </w:r>
      <w:bookmarkEnd w:id="7"/>
      <w:r>
        <w:rPr>
          <w:rFonts w:ascii="Times New Roman" w:hAnsi="Times New Roman" w:cs="Times New Roman"/>
          <w:sz w:val="24"/>
          <w:szCs w:val="24"/>
        </w:rPr>
        <w:t xml:space="preserve">to rapidly collect specific information on a demographically and geographically diverse convenience sample of individuals who report vaping THC-containing products but have not developed EVALI. Because such </w:t>
      </w:r>
      <w:r w:rsidR="004A3FDC">
        <w:rPr>
          <w:rFonts w:ascii="Times New Roman" w:hAnsi="Times New Roman" w:cs="Times New Roman"/>
          <w:sz w:val="24"/>
          <w:szCs w:val="24"/>
        </w:rPr>
        <w:t xml:space="preserve">a </w:t>
      </w:r>
      <w:r>
        <w:rPr>
          <w:rFonts w:ascii="Times New Roman" w:hAnsi="Times New Roman" w:cs="Times New Roman"/>
          <w:sz w:val="24"/>
          <w:szCs w:val="24"/>
        </w:rPr>
        <w:t xml:space="preserve">sampling frame is not </w:t>
      </w:r>
      <w:r w:rsidR="00666EC1">
        <w:rPr>
          <w:rFonts w:ascii="Times New Roman" w:hAnsi="Times New Roman" w:cs="Times New Roman"/>
          <w:sz w:val="24"/>
          <w:szCs w:val="24"/>
        </w:rPr>
        <w:t xml:space="preserve">nationally </w:t>
      </w:r>
      <w:r>
        <w:rPr>
          <w:rFonts w:ascii="Times New Roman" w:hAnsi="Times New Roman" w:cs="Times New Roman"/>
          <w:sz w:val="24"/>
          <w:szCs w:val="24"/>
        </w:rPr>
        <w:t xml:space="preserve">representative and not suitable for generalizing about populations, only un-weighted data will be obtained from the opt-in internet panel survey contractor and only unweighted </w:t>
      </w:r>
      <w:r w:rsidR="00FF72DE">
        <w:rPr>
          <w:rFonts w:ascii="Times New Roman" w:hAnsi="Times New Roman" w:cs="Times New Roman"/>
          <w:sz w:val="24"/>
          <w:szCs w:val="24"/>
        </w:rPr>
        <w:t xml:space="preserve">and aggregate </w:t>
      </w:r>
      <w:r>
        <w:rPr>
          <w:rFonts w:ascii="Times New Roman" w:hAnsi="Times New Roman" w:cs="Times New Roman"/>
          <w:sz w:val="24"/>
          <w:szCs w:val="24"/>
        </w:rPr>
        <w:t xml:space="preserve">results will be shared with partners or publicly. </w:t>
      </w:r>
      <w:r w:rsidR="00A96CAA">
        <w:rPr>
          <w:rFonts w:ascii="Times New Roman" w:hAnsi="Times New Roman" w:cs="Times New Roman"/>
          <w:sz w:val="24"/>
          <w:szCs w:val="24"/>
        </w:rPr>
        <w:t xml:space="preserve">The time constraints associated with epidemic investigation, </w:t>
      </w:r>
      <w:r w:rsidR="00E57DD1">
        <w:rPr>
          <w:rFonts w:ascii="Times New Roman" w:hAnsi="Times New Roman" w:cs="Times New Roman"/>
          <w:sz w:val="24"/>
          <w:szCs w:val="24"/>
        </w:rPr>
        <w:t>the</w:t>
      </w:r>
      <w:r w:rsidR="00A96CAA">
        <w:rPr>
          <w:rFonts w:ascii="Times New Roman" w:hAnsi="Times New Roman" w:cs="Times New Roman"/>
          <w:sz w:val="24"/>
          <w:szCs w:val="24"/>
        </w:rPr>
        <w:t xml:space="preserve"> available funding, and the difficulty in collecting data about illicit activities (even in states where cannabis markets are regulated) prevent us from being able to measure</w:t>
      </w:r>
      <w:r>
        <w:rPr>
          <w:rFonts w:ascii="Times New Roman" w:hAnsi="Times New Roman" w:cs="Times New Roman"/>
          <w:sz w:val="24"/>
          <w:szCs w:val="24"/>
        </w:rPr>
        <w:t xml:space="preserve"> potential</w:t>
      </w:r>
      <w:r w:rsidRPr="000A36F1">
        <w:rPr>
          <w:rFonts w:ascii="Times New Roman" w:hAnsi="Times New Roman" w:cs="Times New Roman"/>
          <w:sz w:val="24"/>
          <w:szCs w:val="24"/>
        </w:rPr>
        <w:t xml:space="preserve"> regional and/or state variation </w:t>
      </w:r>
      <w:r w:rsidR="00A96CAA">
        <w:rPr>
          <w:rFonts w:ascii="Times New Roman" w:hAnsi="Times New Roman" w:cs="Times New Roman"/>
          <w:sz w:val="24"/>
          <w:szCs w:val="24"/>
        </w:rPr>
        <w:t xml:space="preserve">in </w:t>
      </w:r>
      <w:r w:rsidRPr="000A36F1">
        <w:rPr>
          <w:rFonts w:ascii="Times New Roman" w:hAnsi="Times New Roman" w:cs="Times New Roman"/>
          <w:sz w:val="24"/>
          <w:szCs w:val="24"/>
        </w:rPr>
        <w:t>supply chains and/or vaping behaviors</w:t>
      </w:r>
      <w:r>
        <w:rPr>
          <w:rFonts w:ascii="Times New Roman" w:hAnsi="Times New Roman" w:cs="Times New Roman"/>
          <w:sz w:val="24"/>
          <w:szCs w:val="24"/>
        </w:rPr>
        <w:t xml:space="preserve">. </w:t>
      </w:r>
    </w:p>
    <w:p w14:paraId="17DD3EB4" w14:textId="77777777" w:rsidR="00E57DD1" w:rsidRDefault="00E57DD1" w:rsidP="00AB6310">
      <w:pPr>
        <w:pStyle w:val="NormalWeb"/>
        <w:spacing w:before="0" w:beforeAutospacing="0" w:after="0" w:afterAutospacing="0"/>
        <w:rPr>
          <w:rFonts w:ascii="Times New Roman" w:hAnsi="Times New Roman" w:cs="Times New Roman"/>
          <w:sz w:val="24"/>
          <w:szCs w:val="24"/>
        </w:rPr>
      </w:pPr>
    </w:p>
    <w:p w14:paraId="748A90A6" w14:textId="517B4B87" w:rsidR="00601C93" w:rsidRDefault="00601C93" w:rsidP="00AB6310">
      <w:pPr>
        <w:pStyle w:val="NormalWeb"/>
        <w:spacing w:before="0" w:beforeAutospacing="0" w:after="0" w:afterAutospacing="0"/>
        <w:rPr>
          <w:rFonts w:ascii="Times New Roman" w:hAnsi="Times New Roman" w:cs="Times New Roman"/>
          <w:sz w:val="24"/>
          <w:szCs w:val="24"/>
        </w:rPr>
      </w:pPr>
      <w:r w:rsidRPr="00737739">
        <w:rPr>
          <w:rFonts w:ascii="Times New Roman" w:hAnsi="Times New Roman" w:cs="Times New Roman"/>
          <w:sz w:val="24"/>
          <w:szCs w:val="24"/>
        </w:rPr>
        <w:t xml:space="preserve">Therefore, our goal will be to recruit as many people as possible who meet the inclusion criteria </w:t>
      </w:r>
      <w:r w:rsidR="002F439D">
        <w:rPr>
          <w:rFonts w:ascii="Times New Roman" w:hAnsi="Times New Roman" w:cs="Times New Roman"/>
          <w:sz w:val="24"/>
          <w:szCs w:val="24"/>
        </w:rPr>
        <w:t>i</w:t>
      </w:r>
      <w:r w:rsidR="006D6059">
        <w:rPr>
          <w:rFonts w:ascii="Times New Roman" w:hAnsi="Times New Roman" w:cs="Times New Roman"/>
          <w:sz w:val="24"/>
          <w:szCs w:val="24"/>
        </w:rPr>
        <w:t xml:space="preserve">n </w:t>
      </w:r>
      <w:r w:rsidR="006D6059" w:rsidRPr="009F064B">
        <w:rPr>
          <w:rFonts w:ascii="Times New Roman" w:hAnsi="Times New Roman" w:cs="Times New Roman"/>
          <w:sz w:val="24"/>
          <w:szCs w:val="24"/>
        </w:rPr>
        <w:t>Table</w:t>
      </w:r>
      <w:r w:rsidR="00D04267" w:rsidRPr="009F064B">
        <w:rPr>
          <w:rFonts w:ascii="Times New Roman" w:hAnsi="Times New Roman" w:cs="Times New Roman"/>
          <w:sz w:val="24"/>
          <w:szCs w:val="24"/>
        </w:rPr>
        <w:t xml:space="preserve"> </w:t>
      </w:r>
      <w:r w:rsidR="00383506" w:rsidRPr="009F064B">
        <w:rPr>
          <w:rFonts w:ascii="Times New Roman" w:hAnsi="Times New Roman" w:cs="Times New Roman"/>
          <w:sz w:val="24"/>
          <w:szCs w:val="24"/>
        </w:rPr>
        <w:t>16B</w:t>
      </w:r>
      <w:r w:rsidR="00D04267" w:rsidRPr="009F064B">
        <w:rPr>
          <w:rFonts w:ascii="Times New Roman" w:hAnsi="Times New Roman" w:cs="Times New Roman"/>
          <w:sz w:val="24"/>
          <w:szCs w:val="24"/>
        </w:rPr>
        <w:t xml:space="preserve"> </w:t>
      </w:r>
      <w:r w:rsidR="006D6059" w:rsidRPr="009F064B">
        <w:rPr>
          <w:rFonts w:ascii="Times New Roman" w:hAnsi="Times New Roman" w:cs="Times New Roman"/>
          <w:sz w:val="24"/>
          <w:szCs w:val="24"/>
        </w:rPr>
        <w:t>below</w:t>
      </w:r>
      <w:r w:rsidRPr="009F064B">
        <w:rPr>
          <w:rFonts w:ascii="Times New Roman" w:hAnsi="Times New Roman" w:cs="Times New Roman"/>
          <w:sz w:val="24"/>
          <w:szCs w:val="24"/>
        </w:rPr>
        <w:t>.</w:t>
      </w:r>
      <w:r w:rsidRPr="00737739">
        <w:rPr>
          <w:rFonts w:ascii="Times New Roman" w:hAnsi="Times New Roman" w:cs="Times New Roman"/>
          <w:sz w:val="24"/>
          <w:szCs w:val="24"/>
        </w:rPr>
        <w:t xml:space="preserve"> We will recruit individuals that live in a geographically diverse set of states that represent a mix of states with higher and lower counts of EVALI cases, as well as states that have </w:t>
      </w:r>
      <w:r w:rsidR="002F439D">
        <w:rPr>
          <w:rFonts w:ascii="Times New Roman" w:hAnsi="Times New Roman" w:cs="Times New Roman"/>
          <w:sz w:val="24"/>
          <w:szCs w:val="24"/>
        </w:rPr>
        <w:t>legal</w:t>
      </w:r>
      <w:r w:rsidR="002F439D" w:rsidRPr="00737739">
        <w:rPr>
          <w:rFonts w:ascii="Times New Roman" w:hAnsi="Times New Roman" w:cs="Times New Roman"/>
          <w:sz w:val="24"/>
          <w:szCs w:val="24"/>
        </w:rPr>
        <w:t xml:space="preserve"> </w:t>
      </w:r>
      <w:r w:rsidRPr="00737739">
        <w:rPr>
          <w:rFonts w:ascii="Times New Roman" w:hAnsi="Times New Roman" w:cs="Times New Roman"/>
          <w:sz w:val="24"/>
          <w:szCs w:val="24"/>
        </w:rPr>
        <w:t xml:space="preserve">cannabis markets and those that do not. CDC has identified the following states representing </w:t>
      </w:r>
      <w:r>
        <w:rPr>
          <w:rFonts w:ascii="Times New Roman" w:hAnsi="Times New Roman" w:cs="Times New Roman"/>
          <w:sz w:val="24"/>
          <w:szCs w:val="24"/>
        </w:rPr>
        <w:t>a</w:t>
      </w:r>
      <w:r w:rsidRPr="00737739">
        <w:rPr>
          <w:rFonts w:ascii="Times New Roman" w:hAnsi="Times New Roman" w:cs="Times New Roman"/>
          <w:sz w:val="24"/>
          <w:szCs w:val="24"/>
        </w:rPr>
        <w:t xml:space="preserve"> geographically diverse area with a mix of states with and without regulatory cannabis markets. The states we are proposing </w:t>
      </w:r>
      <w:r w:rsidR="001B6312">
        <w:rPr>
          <w:rFonts w:ascii="Times New Roman" w:hAnsi="Times New Roman" w:cs="Times New Roman"/>
          <w:sz w:val="24"/>
          <w:szCs w:val="24"/>
        </w:rPr>
        <w:t>are</w:t>
      </w:r>
      <w:r w:rsidRPr="00737739">
        <w:rPr>
          <w:rFonts w:ascii="Times New Roman" w:hAnsi="Times New Roman" w:cs="Times New Roman"/>
          <w:sz w:val="24"/>
          <w:szCs w:val="24"/>
        </w:rPr>
        <w:t xml:space="preserve"> WA, CA, UT, CO, ND, TX, IL, WI, MN, TN, NC, PA, NY, NJ, MA.</w:t>
      </w:r>
    </w:p>
    <w:p w14:paraId="2A647417" w14:textId="77777777" w:rsidR="00601C93" w:rsidRDefault="00601C93" w:rsidP="00AB6310">
      <w:pPr>
        <w:pStyle w:val="NormalWeb"/>
        <w:spacing w:before="0" w:beforeAutospacing="0" w:after="0" w:afterAutospacing="0"/>
        <w:rPr>
          <w:rFonts w:ascii="Times New Roman" w:hAnsi="Times New Roman" w:cs="Times New Roman"/>
          <w:sz w:val="24"/>
          <w:szCs w:val="24"/>
        </w:rPr>
      </w:pPr>
    </w:p>
    <w:p w14:paraId="2905E2F9" w14:textId="319F5F8F" w:rsidR="00601C93" w:rsidRPr="0097722A" w:rsidRDefault="00601C93" w:rsidP="00AB6310">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The i</w:t>
      </w:r>
      <w:r w:rsidRPr="005C58DF">
        <w:rPr>
          <w:rFonts w:ascii="Times New Roman" w:hAnsi="Times New Roman" w:cs="Times New Roman"/>
          <w:sz w:val="24"/>
          <w:szCs w:val="24"/>
        </w:rPr>
        <w:t>nclusion criteria for respondents</w:t>
      </w:r>
      <w:r>
        <w:rPr>
          <w:rFonts w:ascii="Times New Roman" w:hAnsi="Times New Roman" w:cs="Times New Roman"/>
          <w:sz w:val="24"/>
          <w:szCs w:val="24"/>
        </w:rPr>
        <w:t xml:space="preserve"> is</w:t>
      </w:r>
      <w:r w:rsidRPr="005C58DF">
        <w:rPr>
          <w:rFonts w:ascii="Times New Roman" w:hAnsi="Times New Roman" w:cs="Times New Roman"/>
          <w:sz w:val="24"/>
          <w:szCs w:val="24"/>
        </w:rPr>
        <w:t xml:space="preserve">: 1) </w:t>
      </w:r>
      <w:r w:rsidR="009F44A1">
        <w:rPr>
          <w:rFonts w:ascii="Times New Roman" w:hAnsi="Times New Roman" w:cs="Times New Roman"/>
          <w:sz w:val="24"/>
          <w:szCs w:val="24"/>
        </w:rPr>
        <w:t xml:space="preserve">age </w:t>
      </w:r>
      <w:r w:rsidRPr="005C58DF">
        <w:rPr>
          <w:rFonts w:ascii="Times New Roman" w:hAnsi="Times New Roman" w:cs="Times New Roman"/>
          <w:sz w:val="24"/>
          <w:szCs w:val="24"/>
        </w:rPr>
        <w:t xml:space="preserve">18 years or older; 2) no diagnosis of probable or confirmed EVALI in the past year; 3) report </w:t>
      </w:r>
      <w:r w:rsidRPr="00737739">
        <w:rPr>
          <w:rFonts w:ascii="Times New Roman" w:hAnsi="Times New Roman" w:cs="Times New Roman"/>
          <w:sz w:val="24"/>
          <w:szCs w:val="24"/>
        </w:rPr>
        <w:t xml:space="preserve">vaping or dabbing of THC at least five times in the preceding </w:t>
      </w:r>
      <w:r w:rsidR="00FF72DE">
        <w:rPr>
          <w:rFonts w:ascii="Times New Roman" w:hAnsi="Times New Roman" w:cs="Times New Roman"/>
          <w:sz w:val="24"/>
          <w:szCs w:val="24"/>
        </w:rPr>
        <w:t>three</w:t>
      </w:r>
      <w:r w:rsidRPr="00737739">
        <w:rPr>
          <w:rFonts w:ascii="Times New Roman" w:hAnsi="Times New Roman" w:cs="Times New Roman"/>
          <w:sz w:val="24"/>
          <w:szCs w:val="24"/>
        </w:rPr>
        <w:t xml:space="preserve"> months</w:t>
      </w:r>
      <w:r w:rsidRPr="005C58DF">
        <w:rPr>
          <w:rFonts w:ascii="Times New Roman" w:hAnsi="Times New Roman" w:cs="Times New Roman"/>
          <w:sz w:val="24"/>
          <w:szCs w:val="24"/>
        </w:rPr>
        <w:t xml:space="preserve">; and 4) reside in </w:t>
      </w:r>
      <w:r>
        <w:rPr>
          <w:rFonts w:ascii="Times New Roman" w:hAnsi="Times New Roman" w:cs="Times New Roman"/>
          <w:sz w:val="24"/>
          <w:szCs w:val="24"/>
        </w:rPr>
        <w:t xml:space="preserve">one of the </w:t>
      </w:r>
      <w:r w:rsidRPr="005C58DF">
        <w:rPr>
          <w:rFonts w:ascii="Times New Roman" w:hAnsi="Times New Roman" w:cs="Times New Roman"/>
          <w:sz w:val="24"/>
          <w:szCs w:val="24"/>
        </w:rPr>
        <w:t>select</w:t>
      </w:r>
      <w:r>
        <w:rPr>
          <w:rFonts w:ascii="Times New Roman" w:hAnsi="Times New Roman" w:cs="Times New Roman"/>
          <w:sz w:val="24"/>
          <w:szCs w:val="24"/>
        </w:rPr>
        <w:t>ed</w:t>
      </w:r>
      <w:r w:rsidRPr="005C58DF">
        <w:rPr>
          <w:rFonts w:ascii="Times New Roman" w:hAnsi="Times New Roman" w:cs="Times New Roman"/>
          <w:sz w:val="24"/>
          <w:szCs w:val="24"/>
        </w:rPr>
        <w:t xml:space="preserve"> state</w:t>
      </w:r>
      <w:r>
        <w:rPr>
          <w:rFonts w:ascii="Times New Roman" w:hAnsi="Times New Roman" w:cs="Times New Roman"/>
          <w:sz w:val="24"/>
          <w:szCs w:val="24"/>
        </w:rPr>
        <w:t>s</w:t>
      </w:r>
      <w:r w:rsidRPr="005C58DF">
        <w:rPr>
          <w:rFonts w:ascii="Times New Roman" w:hAnsi="Times New Roman" w:cs="Times New Roman"/>
          <w:sz w:val="24"/>
          <w:szCs w:val="24"/>
        </w:rPr>
        <w:t xml:space="preserve">. These requirements are intended to identify the specific comparison population of interest. We have intentionally chosen to use the terms vaping/dabbing to isolate THC use over nicotine use via e-cigarettes; this is based on conversations with states involved in the response and those that oversee </w:t>
      </w:r>
      <w:r w:rsidR="009F44A1">
        <w:rPr>
          <w:rFonts w:ascii="Times New Roman" w:hAnsi="Times New Roman" w:cs="Times New Roman"/>
          <w:sz w:val="24"/>
          <w:szCs w:val="24"/>
        </w:rPr>
        <w:t>legal</w:t>
      </w:r>
      <w:r w:rsidRPr="005C58DF">
        <w:rPr>
          <w:rFonts w:ascii="Times New Roman" w:hAnsi="Times New Roman" w:cs="Times New Roman"/>
          <w:sz w:val="24"/>
          <w:szCs w:val="24"/>
        </w:rPr>
        <w:t xml:space="preserve"> cannabis markets in their state</w:t>
      </w:r>
      <w:r>
        <w:rPr>
          <w:rFonts w:ascii="Times New Roman" w:hAnsi="Times New Roman" w:cs="Times New Roman"/>
          <w:sz w:val="24"/>
          <w:szCs w:val="24"/>
        </w:rPr>
        <w:t xml:space="preserve"> </w:t>
      </w:r>
      <w:r w:rsidRPr="005C58DF">
        <w:rPr>
          <w:rFonts w:ascii="Times New Roman" w:hAnsi="Times New Roman" w:cs="Times New Roman"/>
          <w:sz w:val="24"/>
          <w:szCs w:val="24"/>
        </w:rPr>
        <w:t xml:space="preserve">and is intended to use language that is likely to resonate with the target population of interest. </w:t>
      </w:r>
      <w:r w:rsidRPr="0097722A">
        <w:rPr>
          <w:rFonts w:ascii="Times New Roman" w:hAnsi="Times New Roman" w:cs="Times New Roman"/>
          <w:sz w:val="24"/>
          <w:szCs w:val="24"/>
        </w:rPr>
        <w:t xml:space="preserve">The survey instrument was developed: 1) consistent with the current EVALI case interview form; 2) to provide data for use in prioritizing additional epidemiological, laboratory, and pathological investigations in the context of understanding the epidemic of EVALI.  </w:t>
      </w:r>
    </w:p>
    <w:p w14:paraId="6D59CC77" w14:textId="77777777" w:rsidR="00601C93" w:rsidRPr="00737739" w:rsidRDefault="00601C93" w:rsidP="00AB6310">
      <w:pPr>
        <w:pStyle w:val="NormalWeb"/>
        <w:spacing w:before="0" w:beforeAutospacing="0" w:after="0" w:afterAutospacing="0"/>
        <w:rPr>
          <w:rFonts w:ascii="Times New Roman" w:hAnsi="Times New Roman" w:cs="Times New Roman"/>
          <w:sz w:val="24"/>
          <w:szCs w:val="24"/>
        </w:rPr>
      </w:pPr>
    </w:p>
    <w:p w14:paraId="55FE17B9" w14:textId="77777777" w:rsidR="004A13E8" w:rsidRDefault="004A13E8" w:rsidP="00AB6310">
      <w:pPr>
        <w:pStyle w:val="Heading1"/>
      </w:pPr>
      <w:bookmarkStart w:id="8" w:name="_Toc3365133"/>
      <w:r>
        <w:t>Use of Improved Information Technology and Burden Reduction</w:t>
      </w:r>
      <w:bookmarkEnd w:id="8"/>
    </w:p>
    <w:p w14:paraId="08A388E1" w14:textId="786CD311" w:rsidR="000F10FA" w:rsidRDefault="008E2A19" w:rsidP="00147109">
      <w:pPr>
        <w:autoSpaceDE w:val="0"/>
        <w:autoSpaceDN w:val="0"/>
        <w:adjustRightInd w:val="0"/>
        <w:spacing w:after="0" w:line="240" w:lineRule="auto"/>
      </w:pPr>
      <w:r w:rsidRPr="005D4F91">
        <w:t>In</w:t>
      </w:r>
      <w:r w:rsidR="009A6F06" w:rsidRPr="005D4F91">
        <w:t>f</w:t>
      </w:r>
      <w:r w:rsidR="00A16155" w:rsidRPr="005D4F91">
        <w:t xml:space="preserve">ormation on </w:t>
      </w:r>
      <w:r w:rsidR="003D1DC3" w:rsidRPr="005D4F91">
        <w:t xml:space="preserve">participants </w:t>
      </w:r>
      <w:r w:rsidR="00A16155" w:rsidRPr="005D4F91">
        <w:t xml:space="preserve">will be collected by </w:t>
      </w:r>
      <w:r w:rsidR="003D1DC3" w:rsidRPr="005D4F91">
        <w:t>online survey</w:t>
      </w:r>
      <w:r w:rsidR="00A16155" w:rsidRPr="005D4F91">
        <w:t xml:space="preserve">. </w:t>
      </w:r>
      <w:r w:rsidR="000F10FA" w:rsidRPr="005D4F91">
        <w:t>The computer-based survey to collect and process data reduce respondent burden and make data processing reporting timelier and more efficient. The programmed survey automatically skips questions based on the individual’s responses. This automation saves administration time, improves data quality, and reduces burden by removing the need for the respondent to manually navigate skip patterns, which would be required if the survey was administered by paper and pencil. It also reduces burden because participants only need to read the survey questions that are relevant to them. Time and cost for data processing is reduced because the data is collected and entered at the same time and is quickly available for analysis.</w:t>
      </w:r>
      <w:r w:rsidR="000F10FA">
        <w:t xml:space="preserve"> </w:t>
      </w:r>
    </w:p>
    <w:p w14:paraId="04B2F812" w14:textId="77777777" w:rsidR="00147109" w:rsidRDefault="00147109" w:rsidP="00AB6310">
      <w:pPr>
        <w:pStyle w:val="Heading1"/>
        <w:numPr>
          <w:ilvl w:val="0"/>
          <w:numId w:val="0"/>
        </w:numPr>
        <w:ind w:left="360" w:hanging="360"/>
      </w:pPr>
      <w:bookmarkStart w:id="9" w:name="_Toc3365134"/>
    </w:p>
    <w:p w14:paraId="55FE17BC" w14:textId="281D3CD1" w:rsidR="004A13E8" w:rsidRPr="008E2A19" w:rsidRDefault="008E2A19" w:rsidP="00AB6310">
      <w:pPr>
        <w:pStyle w:val="Heading1"/>
        <w:numPr>
          <w:ilvl w:val="0"/>
          <w:numId w:val="0"/>
        </w:numPr>
        <w:ind w:left="360" w:hanging="360"/>
      </w:pPr>
      <w:r>
        <w:t xml:space="preserve">4.    </w:t>
      </w:r>
      <w:r w:rsidR="004A13E8" w:rsidRPr="008E2A19">
        <w:t>Efforts to Identify Duplication and Use of Similar Information</w:t>
      </w:r>
      <w:bookmarkEnd w:id="9"/>
    </w:p>
    <w:p w14:paraId="66F121F2" w14:textId="0547A52C" w:rsidR="00D54FD2" w:rsidRDefault="00D54FD2" w:rsidP="00AB6310">
      <w:pPr>
        <w:spacing w:after="0" w:line="240" w:lineRule="auto"/>
      </w:pPr>
      <w:r w:rsidRPr="00D54FD2">
        <w:t xml:space="preserve">CDC is not aware of similar data </w:t>
      </w:r>
      <w:r w:rsidR="0069495B">
        <w:t xml:space="preserve">collection efforts </w:t>
      </w:r>
      <w:r w:rsidRPr="00D54FD2">
        <w:t xml:space="preserve">regarding this particular type of </w:t>
      </w:r>
      <w:r w:rsidR="0071106C">
        <w:t>emergency</w:t>
      </w:r>
      <w:r w:rsidRPr="00D54FD2">
        <w:t>.</w:t>
      </w:r>
      <w:r w:rsidR="0071106C">
        <w:t xml:space="preserve"> </w:t>
      </w:r>
      <w:r w:rsidR="002C32E2" w:rsidRPr="002C32E2">
        <w:t xml:space="preserve">There </w:t>
      </w:r>
      <w:r w:rsidR="0069495B">
        <w:t>are</w:t>
      </w:r>
      <w:r w:rsidR="0069495B" w:rsidRPr="002C32E2">
        <w:t xml:space="preserve"> </w:t>
      </w:r>
      <w:r w:rsidR="002C32E2" w:rsidRPr="002C32E2">
        <w:t xml:space="preserve">very little data on which to compare EVALI cases to individuals who are vaping the same products at the same frequency but have not developed EVALI. Comparing cases to people who vape but have not developed EVALI in a timely way is very important for narrowing the list of products, substances, and risk factors requiring further public health action (e.g., continuing to refine communication messages) and additional studies (e.g., prioritizing </w:t>
      </w:r>
      <w:r w:rsidR="006674C1" w:rsidRPr="002C32E2">
        <w:t>samples</w:t>
      </w:r>
      <w:r w:rsidR="002C32E2" w:rsidRPr="002C32E2">
        <w:t xml:space="preserve"> for laboratory testing). </w:t>
      </w:r>
    </w:p>
    <w:p w14:paraId="28983B0A" w14:textId="77777777" w:rsidR="00180990" w:rsidRDefault="00180990" w:rsidP="00AB6310">
      <w:pPr>
        <w:spacing w:after="0" w:line="240" w:lineRule="auto"/>
      </w:pPr>
    </w:p>
    <w:p w14:paraId="0572E29D" w14:textId="77BF1F6E" w:rsidR="00706C49" w:rsidRDefault="00706C49" w:rsidP="00706C49">
      <w:pPr>
        <w:spacing w:after="0" w:line="240" w:lineRule="auto"/>
      </w:pPr>
      <w:r>
        <w:t>However, t</w:t>
      </w:r>
      <w:r w:rsidRPr="00614E35">
        <w:t xml:space="preserve">here are other federal collections that do collect </w:t>
      </w:r>
      <w:r w:rsidR="00FF72DE">
        <w:t xml:space="preserve">limited </w:t>
      </w:r>
      <w:r w:rsidRPr="00614E35">
        <w:t xml:space="preserve">data regarding smoking and vaping behaviors. </w:t>
      </w:r>
      <w:r>
        <w:rPr>
          <w:iCs/>
        </w:rPr>
        <w:t>The CDC conducts several national surveys that contain vaping-related questions. The CDC’s Youth Risk Behavior Survey (YRBS – OMB# 0920-0493, exp. 11/30/2019) continually collects data from a large sample of high school students. Pertinent questions include how many days in the past 30 days did the student use an electronic vapor product and from where they usually obtained their vapor products. The CDC’s Behavioral Risk Factor Surveillance System (BRFSS – OMB #0920-1061, exp. 3/31/2021) is an on-going telephone survey of U.S. residents of all 50 states. BRFSS asks how often the respondents use e-cigarettes or other electronic vaping products (for nicotine use) and whether they use marijuana by vaping it.</w:t>
      </w:r>
      <w:r w:rsidR="006A4245">
        <w:rPr>
          <w:iCs/>
        </w:rPr>
        <w:t xml:space="preserve"> However, the marijuana questions are an optional module and only a handful of states are currently using it.</w:t>
      </w:r>
      <w:r>
        <w:rPr>
          <w:iCs/>
        </w:rPr>
        <w:t xml:space="preserve"> The CDC’s</w:t>
      </w:r>
      <w:r w:rsidRPr="00614E35">
        <w:t xml:space="preserve"> National Youth Tobacco Survey (</w:t>
      </w:r>
      <w:r>
        <w:t xml:space="preserve">NYTS; </w:t>
      </w:r>
      <w:r w:rsidRPr="00614E35">
        <w:t xml:space="preserve">OMB# 0920-0621, exp. 04/30/2021) assesses 6th through 12th grade students’ use of tobacco </w:t>
      </w:r>
      <w:r>
        <w:t xml:space="preserve">products </w:t>
      </w:r>
      <w:r w:rsidRPr="00614E35">
        <w:t xml:space="preserve">in a variety of forms as well as their knowledge of and attitudes toward tobacco. </w:t>
      </w:r>
      <w:r>
        <w:t xml:space="preserve">It asks youth if they have ever been curious about using tobacco products, age at first use, number of days of lifetime and past 30 days use, where they bought/procured e-cigarettes in the last 30 days, and whether they have ever used marijuana in an e-cigarette. In the recent past, CDC also fielded a National Adult Tobacco Survey (NATS; OMB# 0920-0828, exp. 07/31/2015), but it has not been conducted since 2013-2014. The CDC’s National Health Interview Survey (NHIS; OMB# 0920-0214; exp. 12/31/2020) is an in-person, household survey that asks adult respondents how frequently they use e-cigarettes and how many of the past 30-days they have used e-cigarettes. Starting in 2019, these vaping questions will specifically exclude marijuana and focus solely on nicotine or other products. The CDC’s National Health and Nutrition Examination Survey (NHANES; OMB# 0920-0950, exp. 11/30/2021) is also a household interview study and asks adults in how many of the past 30-days they have used e-cigarettes. This question specifically focuses on e-cigarettes use for vaping nicotine. Finally, the CDC has partnered with the World Health Organization to field the Global Youth Tobacco Survey (GYTS). The GYTS is a school-based survey that collects data on students ages 13-15 years. This survey asks youth if they have ever heard of electronic cigarettes, how many days in the past 30 they have used e-cigarettes, and how many days in their lifetime they have used e-cigarettes. Again, this question focuses on use of e-cigarettes for vaping nicotine specifically. </w:t>
      </w:r>
    </w:p>
    <w:p w14:paraId="1D7F4AF3" w14:textId="77777777" w:rsidR="00407EB0" w:rsidRDefault="00407EB0" w:rsidP="00407EB0">
      <w:pPr>
        <w:spacing w:after="0" w:line="240" w:lineRule="auto"/>
      </w:pPr>
    </w:p>
    <w:p w14:paraId="04CA9925" w14:textId="1822FBD6" w:rsidR="002B6C83" w:rsidRDefault="00407EB0" w:rsidP="00407EB0">
      <w:pPr>
        <w:spacing w:after="0" w:line="240" w:lineRule="auto"/>
        <w:rPr>
          <w:iCs/>
        </w:rPr>
      </w:pPr>
      <w:r>
        <w:t>Outside of CDC, t</w:t>
      </w:r>
      <w:r w:rsidR="004E66E5" w:rsidRPr="00614E35">
        <w:t xml:space="preserve">he National Survey on Drug Use and Health </w:t>
      </w:r>
      <w:r w:rsidR="004E66E5" w:rsidRPr="00614E35">
        <w:rPr>
          <w:rFonts w:cs="Times New Roman"/>
          <w:color w:val="000000"/>
        </w:rPr>
        <w:t xml:space="preserve">(NSDUH - </w:t>
      </w:r>
      <w:r w:rsidR="004E66E5" w:rsidRPr="00614E35">
        <w:t>OMB# 0930-0110</w:t>
      </w:r>
      <w:r w:rsidR="005D4F91" w:rsidRPr="00614E35">
        <w:t>, exp. 10/31/2022</w:t>
      </w:r>
      <w:r w:rsidR="004E66E5" w:rsidRPr="00614E35">
        <w:t>)</w:t>
      </w:r>
      <w:r w:rsidR="000D5884">
        <w:t xml:space="preserve">, administered by </w:t>
      </w:r>
      <w:r w:rsidR="00691328">
        <w:t>Substance Abuse and Mental Health Services Administration (SAMHSA)</w:t>
      </w:r>
      <w:r w:rsidR="004E66E5" w:rsidRPr="00614E35">
        <w:t xml:space="preserve"> collects and reports data on substance use incidence and prevalence and mental health statistics for the civilian, non-institutionalized population aged 12 or older in the U.S. as well as for each state. </w:t>
      </w:r>
      <w:r w:rsidR="004E66E5" w:rsidRPr="00614E35">
        <w:rPr>
          <w:rFonts w:cs="Times New Roman"/>
          <w:color w:val="000000"/>
        </w:rPr>
        <w:t>NSDUH</w:t>
      </w:r>
      <w:r w:rsidR="004E66E5" w:rsidRPr="00614E35">
        <w:t xml:space="preserve"> accurately estimate</w:t>
      </w:r>
      <w:r w:rsidR="006A5FA6" w:rsidRPr="00614E35">
        <w:t>s</w:t>
      </w:r>
      <w:r w:rsidR="004E66E5" w:rsidRPr="00614E35">
        <w:t xml:space="preserve"> drug use and related mental health measures among the aging drug use population. </w:t>
      </w:r>
      <w:r w:rsidR="00FF72DE">
        <w:rPr>
          <w:rFonts w:cs="Times New Roman"/>
          <w:color w:val="000000"/>
        </w:rPr>
        <w:t>Although NSDUH does capture information on use of tobacco and marijuana, as of the recently release</w:t>
      </w:r>
      <w:r w:rsidR="00962227">
        <w:rPr>
          <w:rFonts w:cs="Times New Roman"/>
          <w:color w:val="000000"/>
        </w:rPr>
        <w:t>d</w:t>
      </w:r>
      <w:r w:rsidR="00FF72DE">
        <w:rPr>
          <w:rFonts w:cs="Times New Roman"/>
          <w:color w:val="000000"/>
        </w:rPr>
        <w:t xml:space="preserve"> 2018 data, no questions related to e-cigarette, or vaping, of these substances were included. </w:t>
      </w:r>
      <w:r w:rsidR="00962227">
        <w:rPr>
          <w:iCs/>
        </w:rPr>
        <w:t>Monitoring the Future, an NIH-funded study of 8</w:t>
      </w:r>
      <w:r w:rsidR="00962227" w:rsidRPr="006A4245">
        <w:rPr>
          <w:iCs/>
          <w:vertAlign w:val="superscript"/>
        </w:rPr>
        <w:t>th</w:t>
      </w:r>
      <w:r w:rsidR="00962227">
        <w:rPr>
          <w:iCs/>
        </w:rPr>
        <w:t>, 10</w:t>
      </w:r>
      <w:r w:rsidR="00962227" w:rsidRPr="006A4245">
        <w:rPr>
          <w:iCs/>
          <w:vertAlign w:val="superscript"/>
        </w:rPr>
        <w:t>th</w:t>
      </w:r>
      <w:r w:rsidR="00962227">
        <w:rPr>
          <w:iCs/>
        </w:rPr>
        <w:t>, and 12</w:t>
      </w:r>
      <w:r w:rsidR="00962227" w:rsidRPr="006A4245">
        <w:rPr>
          <w:iCs/>
          <w:vertAlign w:val="superscript"/>
        </w:rPr>
        <w:t>th</w:t>
      </w:r>
      <w:r w:rsidR="00962227">
        <w:rPr>
          <w:iCs/>
        </w:rPr>
        <w:t xml:space="preserve"> graders does include a limited number of questions on use of e-cigarette, or vaping, of nicotine and marijuana products.</w:t>
      </w:r>
    </w:p>
    <w:p w14:paraId="68B19F60" w14:textId="013C24F5" w:rsidR="00407EB0" w:rsidRDefault="00407EB0" w:rsidP="00407EB0">
      <w:pPr>
        <w:spacing w:after="0" w:line="240" w:lineRule="auto"/>
        <w:rPr>
          <w:iCs/>
        </w:rPr>
      </w:pPr>
    </w:p>
    <w:p w14:paraId="429B9EB5" w14:textId="079C2AB4" w:rsidR="007F29C4" w:rsidRDefault="00407EB0" w:rsidP="00407EB0">
      <w:pPr>
        <w:spacing w:after="0" w:line="240" w:lineRule="auto"/>
      </w:pPr>
      <w:r>
        <w:rPr>
          <w:iCs/>
        </w:rPr>
        <w:t>The YRBS, BRFSS, NHANES, NYTS, and NSDUH also ask specific questions about marijuana use</w:t>
      </w:r>
      <w:r w:rsidR="00BD3772">
        <w:rPr>
          <w:iCs/>
        </w:rPr>
        <w:t xml:space="preserve"> (e.g. age at first use, frequency of use, etc</w:t>
      </w:r>
      <w:r w:rsidR="001611A3">
        <w:rPr>
          <w:iCs/>
        </w:rPr>
        <w:t>.</w:t>
      </w:r>
      <w:r w:rsidR="00BD3772">
        <w:rPr>
          <w:iCs/>
        </w:rPr>
        <w:t>)</w:t>
      </w:r>
      <w:r>
        <w:rPr>
          <w:iCs/>
        </w:rPr>
        <w:t>. Only the BRFSS and NYTS inquire as to whether the marijuana was consumed via vaping or e-cigarette.</w:t>
      </w:r>
      <w:r w:rsidR="00AE3E49">
        <w:rPr>
          <w:iCs/>
        </w:rPr>
        <w:t xml:space="preserve"> </w:t>
      </w:r>
      <w:r w:rsidR="00952508" w:rsidRPr="00614E35">
        <w:rPr>
          <w:iCs/>
        </w:rPr>
        <w:t>However,</w:t>
      </w:r>
      <w:r w:rsidR="006674C1" w:rsidRPr="00614E35">
        <w:rPr>
          <w:iCs/>
        </w:rPr>
        <w:t xml:space="preserve"> </w:t>
      </w:r>
      <w:r w:rsidR="00254A6F">
        <w:rPr>
          <w:iCs/>
        </w:rPr>
        <w:t xml:space="preserve">the aims of all of these surveys are different from the aim of the </w:t>
      </w:r>
      <w:r w:rsidR="00AB7C2B">
        <w:rPr>
          <w:iCs/>
        </w:rPr>
        <w:t xml:space="preserve">proposed information collection. The YRBS, BRFSS, NHANES, NYTS, NSDUH, and GYTS all aim to estimate the prevalence of tobacco use, marijuana use, and/or </w:t>
      </w:r>
      <w:r w:rsidR="00962227">
        <w:rPr>
          <w:iCs/>
        </w:rPr>
        <w:t xml:space="preserve">certain limited </w:t>
      </w:r>
      <w:r w:rsidR="00AB7C2B">
        <w:rPr>
          <w:iCs/>
        </w:rPr>
        <w:t>vaping behaviors.</w:t>
      </w:r>
      <w:r w:rsidR="001611A3">
        <w:rPr>
          <w:iCs/>
        </w:rPr>
        <w:t xml:space="preserve"> N</w:t>
      </w:r>
      <w:r w:rsidR="006674C1" w:rsidRPr="00614E35">
        <w:rPr>
          <w:iCs/>
        </w:rPr>
        <w:t xml:space="preserve">one of these national surveys </w:t>
      </w:r>
      <w:r w:rsidR="00CC3335">
        <w:rPr>
          <w:iCs/>
        </w:rPr>
        <w:t xml:space="preserve">include questions about the newly discovered lung </w:t>
      </w:r>
      <w:r w:rsidR="001611A3">
        <w:rPr>
          <w:iCs/>
        </w:rPr>
        <w:t>injury</w:t>
      </w:r>
      <w:r w:rsidR="00CC3335">
        <w:rPr>
          <w:iCs/>
        </w:rPr>
        <w:t xml:space="preserve"> associated with vaping or e-cigarette use</w:t>
      </w:r>
      <w:r w:rsidR="00962227">
        <w:rPr>
          <w:iCs/>
        </w:rPr>
        <w:t>, nor the specific brands or devices used</w:t>
      </w:r>
      <w:r w:rsidR="0002668C">
        <w:rPr>
          <w:iCs/>
        </w:rPr>
        <w:t xml:space="preserve">. We are </w:t>
      </w:r>
      <w:r w:rsidR="0002668C" w:rsidRPr="00591AA2">
        <w:rPr>
          <w:rFonts w:cs="Times New Roman"/>
          <w:szCs w:val="24"/>
        </w:rPr>
        <w:t>confident that no effort has been undertaken by other federal agencies which closely matches the one we are proposing</w:t>
      </w:r>
      <w:r w:rsidR="0002668C">
        <w:rPr>
          <w:rFonts w:cs="Times New Roman"/>
          <w:szCs w:val="24"/>
        </w:rPr>
        <w:t xml:space="preserve"> because the data that they </w:t>
      </w:r>
      <w:r w:rsidR="001611A3">
        <w:rPr>
          <w:rFonts w:cs="Times New Roman"/>
          <w:szCs w:val="24"/>
        </w:rPr>
        <w:t xml:space="preserve">currently </w:t>
      </w:r>
      <w:r w:rsidR="0002668C">
        <w:rPr>
          <w:rFonts w:cs="Times New Roman"/>
          <w:szCs w:val="24"/>
        </w:rPr>
        <w:t>collect</w:t>
      </w:r>
      <w:r w:rsidR="00CC3335">
        <w:rPr>
          <w:iCs/>
        </w:rPr>
        <w:t xml:space="preserve"> do not </w:t>
      </w:r>
      <w:r w:rsidR="006674C1" w:rsidRPr="00614E35">
        <w:rPr>
          <w:iCs/>
        </w:rPr>
        <w:t xml:space="preserve">allow for a </w:t>
      </w:r>
      <w:r w:rsidR="006674C1" w:rsidRPr="00614E35">
        <w:t>comparison of EVALI cases to individuals who are vaping the same products at the same frequency but have not developed EVALI.</w:t>
      </w:r>
      <w:r w:rsidR="006674C1" w:rsidRPr="002C32E2">
        <w:t xml:space="preserve"> </w:t>
      </w:r>
      <w:r w:rsidR="00421904">
        <w:t xml:space="preserve">For this reason, a new information collection is needed. </w:t>
      </w:r>
    </w:p>
    <w:p w14:paraId="698B69A4" w14:textId="77777777" w:rsidR="00062920" w:rsidRPr="003B2FB4" w:rsidRDefault="00062920" w:rsidP="00AB6310">
      <w:pPr>
        <w:spacing w:line="240" w:lineRule="auto"/>
      </w:pPr>
    </w:p>
    <w:p w14:paraId="55FE17BF" w14:textId="2F4AF9F0" w:rsidR="00DC57CC" w:rsidRDefault="008E2A19" w:rsidP="00AB6310">
      <w:pPr>
        <w:pStyle w:val="Heading1"/>
        <w:numPr>
          <w:ilvl w:val="0"/>
          <w:numId w:val="0"/>
        </w:numPr>
      </w:pPr>
      <w:bookmarkStart w:id="10" w:name="_Toc3365135"/>
      <w:r>
        <w:t xml:space="preserve">5.   </w:t>
      </w:r>
      <w:r w:rsidR="004A13E8">
        <w:t>Impact on Small Businesses or Other Small Entities</w:t>
      </w:r>
      <w:bookmarkEnd w:id="10"/>
    </w:p>
    <w:p w14:paraId="4196C677" w14:textId="2ED7FBFC" w:rsidR="00C7154C" w:rsidRDefault="00C7154C" w:rsidP="00AB6310">
      <w:pPr>
        <w:spacing w:line="240" w:lineRule="auto"/>
      </w:pPr>
      <w:r w:rsidRPr="00C7154C">
        <w:t xml:space="preserve">The collection of information does not primarily involve small entities.  </w:t>
      </w:r>
    </w:p>
    <w:p w14:paraId="55FE17C3" w14:textId="63828BF9" w:rsidR="004A13E8" w:rsidRDefault="008E2A19" w:rsidP="00AB6310">
      <w:pPr>
        <w:pStyle w:val="Heading1"/>
        <w:numPr>
          <w:ilvl w:val="0"/>
          <w:numId w:val="0"/>
        </w:numPr>
        <w:ind w:left="360" w:hanging="360"/>
      </w:pPr>
      <w:bookmarkStart w:id="11" w:name="_Toc3365136"/>
      <w:r>
        <w:t xml:space="preserve">6.  </w:t>
      </w:r>
      <w:r w:rsidR="004A13E8">
        <w:t>Consequences of Collecting the Information Less Frequently</w:t>
      </w:r>
      <w:bookmarkEnd w:id="11"/>
    </w:p>
    <w:p w14:paraId="2B603B30" w14:textId="7FE33461" w:rsidR="004D5A58" w:rsidRPr="001523DF" w:rsidRDefault="004D5A58" w:rsidP="00AB6310">
      <w:pPr>
        <w:spacing w:line="240" w:lineRule="auto"/>
      </w:pPr>
      <w:r w:rsidRPr="004D5A58">
        <w:t xml:space="preserve">This is a one-time data collection. </w:t>
      </w:r>
      <w:r w:rsidR="00B277A5">
        <w:t>Without collecting these data, CDC will not have adequate information to understand if and how the behavior</w:t>
      </w:r>
      <w:r w:rsidR="00962227">
        <w:t>s</w:t>
      </w:r>
      <w:r w:rsidR="00B277A5">
        <w:t xml:space="preserve"> among EVALI cases and among </w:t>
      </w:r>
      <w:r w:rsidR="00B277A5" w:rsidRPr="00614E35">
        <w:t>individuals who are vaping the same products at the same frequency but have not developed EVALI</w:t>
      </w:r>
      <w:r w:rsidR="00B277A5">
        <w:t xml:space="preserve"> differ. </w:t>
      </w:r>
      <w:r w:rsidR="008B7817">
        <w:t>This information collection will be the first to</w:t>
      </w:r>
      <w:r w:rsidR="00962227">
        <w:t xml:space="preserve"> enable a comparison </w:t>
      </w:r>
      <w:r w:rsidR="008B7817">
        <w:t xml:space="preserve">between these two groups which will </w:t>
      </w:r>
      <w:r w:rsidR="00962227">
        <w:t>facilitate further targeting of laboratory, epidemiological, and clinical analyses and studies as part of the ongoing lung injury response</w:t>
      </w:r>
      <w:r w:rsidR="008B7817">
        <w:t xml:space="preserve">. </w:t>
      </w:r>
    </w:p>
    <w:p w14:paraId="55FE17C6" w14:textId="4C7A8DF4" w:rsidR="004A13E8" w:rsidRDefault="008E2A19" w:rsidP="00AB6310">
      <w:pPr>
        <w:pStyle w:val="Heading1"/>
        <w:numPr>
          <w:ilvl w:val="0"/>
          <w:numId w:val="0"/>
        </w:numPr>
        <w:ind w:left="360" w:hanging="360"/>
      </w:pPr>
      <w:bookmarkStart w:id="12" w:name="_Toc3365137"/>
      <w:r>
        <w:t xml:space="preserve">7.   </w:t>
      </w:r>
      <w:r w:rsidR="004A13E8">
        <w:t>Special Circumstances Relating to the Guidelines of 5 CFR 1320.5</w:t>
      </w:r>
      <w:bookmarkEnd w:id="12"/>
    </w:p>
    <w:p w14:paraId="55FE17C7" w14:textId="77777777" w:rsidR="004A13E8" w:rsidRPr="004A13E8" w:rsidRDefault="004A13E8" w:rsidP="00AB6310">
      <w:pPr>
        <w:spacing w:line="240" w:lineRule="auto"/>
      </w:pPr>
      <w:r>
        <w:t>This request fully complies with the regulation 5 CFR 1320.5.</w:t>
      </w:r>
    </w:p>
    <w:p w14:paraId="55FE17C8" w14:textId="3CCB35A5" w:rsidR="004A13E8" w:rsidRDefault="008E2A19" w:rsidP="00AB6310">
      <w:pPr>
        <w:pStyle w:val="Heading1"/>
        <w:numPr>
          <w:ilvl w:val="0"/>
          <w:numId w:val="0"/>
        </w:numPr>
        <w:ind w:left="360" w:hanging="360"/>
      </w:pPr>
      <w:bookmarkStart w:id="13" w:name="_Toc3365138"/>
      <w:r>
        <w:t>8</w:t>
      </w:r>
      <w:r w:rsidRPr="008E2A19">
        <w:t xml:space="preserve">.   </w:t>
      </w:r>
      <w:r w:rsidR="004A13E8" w:rsidRPr="008E2A19">
        <w:t>Comments in Response to the Federal Register Notice and Efforts to Consult Outside the Agency</w:t>
      </w:r>
      <w:bookmarkEnd w:id="13"/>
    </w:p>
    <w:p w14:paraId="55FE17C9" w14:textId="5D4D7F2B" w:rsidR="004A13E8" w:rsidRDefault="00C7154C" w:rsidP="00AB6310">
      <w:pPr>
        <w:spacing w:line="240" w:lineRule="auto"/>
      </w:pPr>
      <w:r>
        <w:t xml:space="preserve">A. </w:t>
      </w:r>
      <w:r w:rsidR="00F61489" w:rsidRPr="00F61489">
        <w:t>Because this is a request for an emergency clearance, CDC asks that the 60-day comment period be waived.</w:t>
      </w:r>
      <w:r w:rsidR="00C32380">
        <w:t xml:space="preserve"> </w:t>
      </w:r>
      <w:r w:rsidR="00962552">
        <w:t xml:space="preserve">However, a 60-day </w:t>
      </w:r>
      <w:r w:rsidR="00962552">
        <w:rPr>
          <w:i/>
        </w:rPr>
        <w:t>Federal Register</w:t>
      </w:r>
      <w:r w:rsidR="00962552">
        <w:t xml:space="preserve"> notice will be submitted to make the pub</w:t>
      </w:r>
      <w:r w:rsidR="00204803">
        <w:t>lic aware of this investigation.</w:t>
      </w:r>
      <w:r w:rsidR="00FF79CE">
        <w:t xml:space="preserve"> Any public comments will be used for future studies. </w:t>
      </w:r>
    </w:p>
    <w:p w14:paraId="69D7F91A" w14:textId="2AE9F751" w:rsidR="004D5A58" w:rsidRDefault="004A13E8" w:rsidP="00AB6310">
      <w:pPr>
        <w:spacing w:line="240" w:lineRule="auto"/>
      </w:pPr>
      <w:r>
        <w:t>B</w:t>
      </w:r>
      <w:r w:rsidR="00C7154C">
        <w:t>.</w:t>
      </w:r>
      <w:r w:rsidR="004D5A58">
        <w:t xml:space="preserve"> The efforts to consult outside the agency are outlined below:</w:t>
      </w:r>
    </w:p>
    <w:p w14:paraId="3433D669" w14:textId="7E72CBD4" w:rsidR="00511407" w:rsidRDefault="00511407" w:rsidP="00AB6310">
      <w:pPr>
        <w:spacing w:line="240" w:lineRule="auto"/>
      </w:pPr>
      <w:r>
        <w:t xml:space="preserve">CDC </w:t>
      </w:r>
      <w:r w:rsidRPr="00763937">
        <w:rPr>
          <w:szCs w:val="24"/>
        </w:rPr>
        <w:t xml:space="preserve">has been working closely with </w:t>
      </w:r>
      <w:r w:rsidR="005A1E62" w:rsidRPr="00763937">
        <w:rPr>
          <w:szCs w:val="24"/>
        </w:rPr>
        <w:t xml:space="preserve">Departments of Health </w:t>
      </w:r>
      <w:r w:rsidR="002F69D9" w:rsidRPr="00763937">
        <w:rPr>
          <w:szCs w:val="24"/>
        </w:rPr>
        <w:t xml:space="preserve">in </w:t>
      </w:r>
      <w:r w:rsidR="00CC3E67">
        <w:rPr>
          <w:szCs w:val="24"/>
        </w:rPr>
        <w:t>49</w:t>
      </w:r>
      <w:r w:rsidR="00F069BA" w:rsidRPr="00763937">
        <w:rPr>
          <w:szCs w:val="24"/>
        </w:rPr>
        <w:t xml:space="preserve"> states</w:t>
      </w:r>
      <w:r w:rsidR="00CC3E67">
        <w:rPr>
          <w:szCs w:val="24"/>
        </w:rPr>
        <w:t>, Washington DC, the US Virgin Islands</w:t>
      </w:r>
      <w:r w:rsidR="00962227">
        <w:rPr>
          <w:szCs w:val="24"/>
        </w:rPr>
        <w:t>, and Puerto Rico</w:t>
      </w:r>
      <w:r w:rsidR="00CC3E67">
        <w:rPr>
          <w:szCs w:val="24"/>
        </w:rPr>
        <w:t xml:space="preserve"> to monitor </w:t>
      </w:r>
      <w:r w:rsidR="00962227">
        <w:rPr>
          <w:szCs w:val="24"/>
        </w:rPr>
        <w:t>EVALI</w:t>
      </w:r>
      <w:r w:rsidR="00CC3E67">
        <w:rPr>
          <w:szCs w:val="24"/>
        </w:rPr>
        <w:t xml:space="preserve"> cases</w:t>
      </w:r>
      <w:r w:rsidR="00F069BA">
        <w:t xml:space="preserve">. </w:t>
      </w:r>
    </w:p>
    <w:p w14:paraId="0FB66DDD" w14:textId="150273A9" w:rsidR="00911F86" w:rsidRDefault="00763937" w:rsidP="00AB6310">
      <w:pPr>
        <w:spacing w:line="240" w:lineRule="auto"/>
      </w:pPr>
      <w:r>
        <w:rPr>
          <w:rFonts w:cs="Times New Roman"/>
          <w:szCs w:val="24"/>
        </w:rPr>
        <w:t xml:space="preserve">Additionally, </w:t>
      </w:r>
      <w:r w:rsidR="00911F86" w:rsidRPr="00CD645B">
        <w:rPr>
          <w:rFonts w:cs="Times New Roman"/>
          <w:szCs w:val="24"/>
        </w:rPr>
        <w:t xml:space="preserve">CDC </w:t>
      </w:r>
      <w:r w:rsidR="00962227">
        <w:rPr>
          <w:rFonts w:cs="Times New Roman"/>
          <w:szCs w:val="24"/>
        </w:rPr>
        <w:t>staff from the National Center for Injury Prevention and Control and the CDC’s Office on Smoking and Health</w:t>
      </w:r>
      <w:r w:rsidR="00911F86" w:rsidRPr="00CD645B">
        <w:rPr>
          <w:rFonts w:cs="Times New Roman"/>
          <w:szCs w:val="24"/>
        </w:rPr>
        <w:t xml:space="preserve"> reviewed the </w:t>
      </w:r>
      <w:r w:rsidR="00911F86">
        <w:rPr>
          <w:rFonts w:cs="Times New Roman"/>
          <w:szCs w:val="24"/>
        </w:rPr>
        <w:t>survey and</w:t>
      </w:r>
      <w:r w:rsidR="00911F86" w:rsidRPr="00CD645B">
        <w:rPr>
          <w:rFonts w:cs="Times New Roman"/>
          <w:szCs w:val="24"/>
        </w:rPr>
        <w:t xml:space="preserve"> protocol and provided feedback on the electronic versions of the instruments during conference calls and via email</w:t>
      </w:r>
      <w:r w:rsidR="00962227">
        <w:rPr>
          <w:rFonts w:cs="Times New Roman"/>
          <w:szCs w:val="24"/>
        </w:rPr>
        <w:t>, as did representatives from state health departments involved in the lung injury response</w:t>
      </w:r>
      <w:r w:rsidR="00911F86">
        <w:rPr>
          <w:rFonts w:cs="Times New Roman"/>
          <w:szCs w:val="24"/>
        </w:rPr>
        <w:t>.</w:t>
      </w:r>
    </w:p>
    <w:p w14:paraId="55FE17CB" w14:textId="67775F75" w:rsidR="004A13E8" w:rsidRDefault="008E2A19" w:rsidP="00AB6310">
      <w:pPr>
        <w:pStyle w:val="Heading1"/>
        <w:numPr>
          <w:ilvl w:val="0"/>
          <w:numId w:val="0"/>
        </w:numPr>
        <w:ind w:left="360" w:hanging="360"/>
      </w:pPr>
      <w:bookmarkStart w:id="14" w:name="_Toc3365139"/>
      <w:r w:rsidRPr="008E2A19">
        <w:t xml:space="preserve">9.   </w:t>
      </w:r>
      <w:r w:rsidR="004A13E8" w:rsidRPr="008E2A19">
        <w:t>Explanation of Any Payment or Gift to Respondents</w:t>
      </w:r>
      <w:bookmarkEnd w:id="14"/>
    </w:p>
    <w:p w14:paraId="3C576FE9" w14:textId="2F4DAAB1" w:rsidR="00AB3B59" w:rsidRPr="00D95E47" w:rsidRDefault="00734626" w:rsidP="00AB6310">
      <w:pPr>
        <w:pStyle w:val="Heading1"/>
        <w:numPr>
          <w:ilvl w:val="0"/>
          <w:numId w:val="0"/>
        </w:numPr>
        <w:rPr>
          <w:rFonts w:cs="Times New Roman"/>
          <w:b w:val="0"/>
          <w:szCs w:val="24"/>
        </w:rPr>
      </w:pPr>
      <w:r w:rsidRPr="00734626">
        <w:rPr>
          <w:rFonts w:cs="Times New Roman"/>
          <w:b w:val="0"/>
          <w:szCs w:val="24"/>
        </w:rPr>
        <w:t>Upon completion of a particular survey, t</w:t>
      </w:r>
      <w:r w:rsidR="000B07E5" w:rsidRPr="00734626">
        <w:rPr>
          <w:rFonts w:cs="Times New Roman"/>
          <w:b w:val="0"/>
          <w:szCs w:val="24"/>
        </w:rPr>
        <w:t xml:space="preserve">he standard protocol for YouGov </w:t>
      </w:r>
      <w:r w:rsidRPr="00734626">
        <w:rPr>
          <w:rFonts w:cs="Times New Roman"/>
          <w:b w:val="0"/>
          <w:szCs w:val="24"/>
        </w:rPr>
        <w:t xml:space="preserve">is to reward their panelists with </w:t>
      </w:r>
      <w:r w:rsidR="00AB3B59" w:rsidRPr="00734626">
        <w:rPr>
          <w:rFonts w:cs="Times New Roman"/>
          <w:b w:val="0"/>
          <w:szCs w:val="24"/>
        </w:rPr>
        <w:t xml:space="preserve">points which can later be redeemed for rewards. </w:t>
      </w:r>
      <w:r w:rsidRPr="00734626">
        <w:rPr>
          <w:rFonts w:cs="Times New Roman"/>
          <w:b w:val="0"/>
          <w:szCs w:val="24"/>
        </w:rPr>
        <w:t xml:space="preserve">A </w:t>
      </w:r>
      <w:r w:rsidR="00063051">
        <w:rPr>
          <w:rFonts w:cs="Times New Roman"/>
          <w:b w:val="0"/>
          <w:szCs w:val="24"/>
        </w:rPr>
        <w:t>typical</w:t>
      </w:r>
      <w:r w:rsidRPr="00734626">
        <w:rPr>
          <w:rFonts w:cs="Times New Roman"/>
          <w:b w:val="0"/>
          <w:szCs w:val="24"/>
        </w:rPr>
        <w:t xml:space="preserve"> survey rewards a panelist with 1,000 points, which is the equivalent of $1. Once a certain number of points are accumulated, the panelist can trade in their points for a</w:t>
      </w:r>
      <w:r w:rsidR="00AB3B59" w:rsidRPr="00734626">
        <w:rPr>
          <w:rFonts w:cs="Times New Roman"/>
          <w:b w:val="0"/>
          <w:szCs w:val="24"/>
        </w:rPr>
        <w:t xml:space="preserve"> gift card</w:t>
      </w:r>
      <w:r w:rsidRPr="00734626">
        <w:rPr>
          <w:rFonts w:cs="Times New Roman"/>
          <w:b w:val="0"/>
          <w:szCs w:val="24"/>
        </w:rPr>
        <w:t xml:space="preserve"> for</w:t>
      </w:r>
      <w:r w:rsidR="00AB3B59" w:rsidRPr="00734626">
        <w:rPr>
          <w:rFonts w:cs="Times New Roman"/>
          <w:b w:val="0"/>
          <w:szCs w:val="24"/>
        </w:rPr>
        <w:t xml:space="preserve"> brands</w:t>
      </w:r>
      <w:r w:rsidRPr="00734626">
        <w:rPr>
          <w:rFonts w:cs="Times New Roman"/>
          <w:b w:val="0"/>
          <w:szCs w:val="24"/>
        </w:rPr>
        <w:t>/vendors</w:t>
      </w:r>
      <w:r w:rsidR="00AB3B59" w:rsidRPr="00734626">
        <w:rPr>
          <w:rFonts w:cs="Times New Roman"/>
          <w:b w:val="0"/>
          <w:szCs w:val="24"/>
        </w:rPr>
        <w:t xml:space="preserve"> such as Amazon, Best Buy, Target and Gamestop. For this study </w:t>
      </w:r>
      <w:r w:rsidRPr="00734626">
        <w:rPr>
          <w:rFonts w:cs="Times New Roman"/>
          <w:b w:val="0"/>
          <w:szCs w:val="24"/>
        </w:rPr>
        <w:t>YouGov will offer panelists 2,000 points ($2 equivalent) for survey completion due to the emergency nature of the collection</w:t>
      </w:r>
      <w:r w:rsidR="00AB3B59" w:rsidRPr="00734626">
        <w:rPr>
          <w:rFonts w:cs="Times New Roman"/>
          <w:b w:val="0"/>
          <w:szCs w:val="24"/>
        </w:rPr>
        <w:t xml:space="preserve">. Although we recognize that </w:t>
      </w:r>
      <w:r w:rsidR="00D95E47" w:rsidRPr="00734626">
        <w:rPr>
          <w:rFonts w:cs="Times New Roman"/>
          <w:b w:val="0"/>
          <w:szCs w:val="24"/>
        </w:rPr>
        <w:t xml:space="preserve">providing a </w:t>
      </w:r>
      <w:r w:rsidR="00AB3B59" w:rsidRPr="00734626">
        <w:rPr>
          <w:rStyle w:val="e24kjd"/>
          <w:rFonts w:cs="Times New Roman"/>
          <w:b w:val="0"/>
          <w:bCs/>
          <w:szCs w:val="24"/>
          <w:lang w:val="en"/>
        </w:rPr>
        <w:t xml:space="preserve">survey incentive </w:t>
      </w:r>
      <w:r w:rsidR="00AB3B59" w:rsidRPr="00734626">
        <w:rPr>
          <w:rFonts w:cs="Times New Roman"/>
          <w:b w:val="0"/>
          <w:szCs w:val="24"/>
        </w:rPr>
        <w:t xml:space="preserve">is not a common practice </w:t>
      </w:r>
      <w:r w:rsidR="00E81272" w:rsidRPr="00734626">
        <w:rPr>
          <w:rFonts w:cs="Times New Roman"/>
          <w:b w:val="0"/>
          <w:szCs w:val="24"/>
        </w:rPr>
        <w:t>among government</w:t>
      </w:r>
      <w:r w:rsidR="00AB3B59" w:rsidRPr="00734626">
        <w:rPr>
          <w:rFonts w:cs="Times New Roman"/>
          <w:b w:val="0"/>
          <w:szCs w:val="24"/>
        </w:rPr>
        <w:t xml:space="preserve"> surveys, the emergency</w:t>
      </w:r>
      <w:r w:rsidR="00D95E47" w:rsidRPr="00734626">
        <w:rPr>
          <w:rFonts w:cs="Times New Roman"/>
          <w:b w:val="0"/>
          <w:szCs w:val="24"/>
        </w:rPr>
        <w:t xml:space="preserve"> nature</w:t>
      </w:r>
      <w:r w:rsidR="00AB3B59" w:rsidRPr="00734626">
        <w:rPr>
          <w:rFonts w:cs="Times New Roman"/>
          <w:b w:val="0"/>
          <w:szCs w:val="24"/>
        </w:rPr>
        <w:t xml:space="preserve"> of this collection and the fast </w:t>
      </w:r>
      <w:r w:rsidR="00D95E47" w:rsidRPr="00734626">
        <w:rPr>
          <w:rFonts w:cs="Times New Roman"/>
          <w:b w:val="0"/>
          <w:szCs w:val="24"/>
        </w:rPr>
        <w:t>turn-around for</w:t>
      </w:r>
      <w:r w:rsidR="00AB3B59" w:rsidRPr="00734626">
        <w:rPr>
          <w:rFonts w:cs="Times New Roman"/>
          <w:b w:val="0"/>
          <w:szCs w:val="24"/>
        </w:rPr>
        <w:t xml:space="preserve"> recruiting participants willing to answer </w:t>
      </w:r>
      <w:r w:rsidR="005F05A0">
        <w:rPr>
          <w:rFonts w:cs="Times New Roman"/>
          <w:b w:val="0"/>
          <w:szCs w:val="24"/>
        </w:rPr>
        <w:t xml:space="preserve">potentially sensitive </w:t>
      </w:r>
      <w:r w:rsidR="00AB3B59" w:rsidRPr="00734626">
        <w:rPr>
          <w:rFonts w:cs="Times New Roman"/>
          <w:b w:val="0"/>
          <w:szCs w:val="24"/>
        </w:rPr>
        <w:t>vaping question</w:t>
      </w:r>
      <w:r w:rsidR="005F05A0">
        <w:rPr>
          <w:rFonts w:cs="Times New Roman"/>
          <w:b w:val="0"/>
          <w:szCs w:val="24"/>
        </w:rPr>
        <w:t>s</w:t>
      </w:r>
      <w:r w:rsidR="00AB3B59" w:rsidRPr="00734626">
        <w:rPr>
          <w:rFonts w:cs="Times New Roman"/>
          <w:b w:val="0"/>
          <w:szCs w:val="24"/>
        </w:rPr>
        <w:t xml:space="preserve"> is driving us to provide</w:t>
      </w:r>
      <w:r w:rsidRPr="00734626">
        <w:rPr>
          <w:rFonts w:cs="Times New Roman"/>
          <w:b w:val="0"/>
          <w:szCs w:val="24"/>
        </w:rPr>
        <w:t xml:space="preserve"> these nominal</w:t>
      </w:r>
      <w:r w:rsidR="00AB3B59" w:rsidRPr="00734626">
        <w:rPr>
          <w:rFonts w:cs="Times New Roman"/>
          <w:b w:val="0"/>
          <w:szCs w:val="24"/>
        </w:rPr>
        <w:t xml:space="preserve"> incentives.</w:t>
      </w:r>
      <w:r w:rsidR="00AB3B59" w:rsidRPr="00D95E47">
        <w:rPr>
          <w:rFonts w:cs="Times New Roman"/>
          <w:b w:val="0"/>
          <w:szCs w:val="24"/>
        </w:rPr>
        <w:t xml:space="preserve"> </w:t>
      </w:r>
    </w:p>
    <w:p w14:paraId="55FE17CD" w14:textId="223F6D46" w:rsidR="004A13E8" w:rsidRPr="00D95E47" w:rsidRDefault="008E2A19" w:rsidP="00AB6310">
      <w:pPr>
        <w:pStyle w:val="Heading1"/>
        <w:numPr>
          <w:ilvl w:val="0"/>
          <w:numId w:val="0"/>
        </w:numPr>
        <w:ind w:left="360" w:hanging="360"/>
        <w:rPr>
          <w:rFonts w:cs="Times New Roman"/>
          <w:szCs w:val="24"/>
        </w:rPr>
      </w:pPr>
      <w:bookmarkStart w:id="15" w:name="_Toc3365140"/>
      <w:r w:rsidRPr="00D95E47">
        <w:rPr>
          <w:rFonts w:cs="Times New Roman"/>
          <w:szCs w:val="24"/>
        </w:rPr>
        <w:t xml:space="preserve">10.  </w:t>
      </w:r>
      <w:r w:rsidR="004A13E8" w:rsidRPr="00D95E47">
        <w:rPr>
          <w:rFonts w:cs="Times New Roman"/>
          <w:szCs w:val="24"/>
        </w:rPr>
        <w:t>Protection of the Privacy and Confidentiality of Information Provided by Respondents</w:t>
      </w:r>
      <w:bookmarkEnd w:id="15"/>
    </w:p>
    <w:p w14:paraId="20F600A0" w14:textId="1A1BE6C0" w:rsidR="0071106C" w:rsidRDefault="0071106C" w:rsidP="00AB6310">
      <w:pPr>
        <w:pStyle w:val="BodyTextIndent2"/>
        <w:tabs>
          <w:tab w:val="left" w:pos="720"/>
        </w:tabs>
        <w:spacing w:after="240" w:line="240" w:lineRule="auto"/>
        <w:ind w:left="0"/>
      </w:pPr>
      <w:r w:rsidRPr="00A229AC">
        <w:t xml:space="preserve">This submission has been reviewed by the </w:t>
      </w:r>
      <w:r w:rsidR="00962227">
        <w:t xml:space="preserve">CDC </w:t>
      </w:r>
      <w:r w:rsidRPr="00A229AC">
        <w:t xml:space="preserve">NCIPC’s Information Systems Security Officer, who has determined that the Privacy Act does not apply because </w:t>
      </w:r>
      <w:r w:rsidRPr="00A229AC">
        <w:rPr>
          <w:rFonts w:eastAsiaTheme="minorEastAsia"/>
        </w:rPr>
        <w:t xml:space="preserve">CDC will not have access to or receive any personally identifiable information (PII) about participants. </w:t>
      </w:r>
      <w:r w:rsidRPr="00A229AC">
        <w:t>The Privacy Impact Assessment (PIA) is attached (</w:t>
      </w:r>
      <w:r w:rsidRPr="00A229AC">
        <w:rPr>
          <w:b/>
        </w:rPr>
        <w:t xml:space="preserve">Attachment </w:t>
      </w:r>
      <w:r w:rsidR="00387BC4">
        <w:rPr>
          <w:b/>
        </w:rPr>
        <w:t>4</w:t>
      </w:r>
      <w:r w:rsidRPr="00A229AC">
        <w:t>).</w:t>
      </w:r>
      <w:r w:rsidR="000E0309" w:rsidRPr="00A229AC">
        <w:t xml:space="preserve"> </w:t>
      </w:r>
      <w:r w:rsidR="000E0309" w:rsidRPr="00A229AC">
        <w:rPr>
          <w:rFonts w:eastAsiaTheme="minorEastAsia"/>
        </w:rPr>
        <w:t>YouGov is an online panel that allows individuals to voluntarily respond to surveys of their choosing in exchange for a</w:t>
      </w:r>
      <w:r w:rsidR="00962227">
        <w:rPr>
          <w:rFonts w:eastAsiaTheme="minorEastAsia"/>
        </w:rPr>
        <w:t xml:space="preserve"> nominal</w:t>
      </w:r>
      <w:r w:rsidR="000E0309" w:rsidRPr="00A229AC">
        <w:rPr>
          <w:rFonts w:eastAsiaTheme="minorEastAsia"/>
        </w:rPr>
        <w:t xml:space="preserve"> incentive. The PII data is already collected and managed by </w:t>
      </w:r>
      <w:r w:rsidR="000E0309" w:rsidRPr="00A229AC">
        <w:t>YouGov.</w:t>
      </w:r>
      <w:r w:rsidR="000E0309" w:rsidRPr="00A229AC">
        <w:rPr>
          <w:rFonts w:eastAsiaTheme="minorEastAsia"/>
        </w:rPr>
        <w:t xml:space="preserve"> CDC will only receive de</w:t>
      </w:r>
      <w:r w:rsidR="006859B3">
        <w:rPr>
          <w:rFonts w:eastAsiaTheme="minorEastAsia"/>
        </w:rPr>
        <w:t>-</w:t>
      </w:r>
      <w:r w:rsidR="000E0309" w:rsidRPr="00A229AC">
        <w:rPr>
          <w:rFonts w:eastAsiaTheme="minorEastAsia"/>
        </w:rPr>
        <w:t>identified data.</w:t>
      </w:r>
      <w:r w:rsidR="007E0447" w:rsidRPr="00A229AC">
        <w:rPr>
          <w:rFonts w:eastAsiaTheme="minorEastAsia"/>
        </w:rPr>
        <w:t xml:space="preserve"> </w:t>
      </w:r>
      <w:r w:rsidR="008E4751" w:rsidRPr="00A229AC">
        <w:t>Respondents</w:t>
      </w:r>
      <w:r w:rsidR="008E4751" w:rsidRPr="00CD645B">
        <w:t xml:space="preserve"> will be assigned a study ID for use on data collection instrument</w:t>
      </w:r>
      <w:r w:rsidR="00962227">
        <w:t>s,</w:t>
      </w:r>
      <w:r w:rsidR="008E4751" w:rsidRPr="00CD645B">
        <w:t xml:space="preserve"> and all data files shared with CDC will be de-identified to maintain the privacy of those who participated in the study. </w:t>
      </w:r>
      <w:r w:rsidR="007E0447">
        <w:rPr>
          <w:rFonts w:eastAsiaTheme="minorEastAsia"/>
        </w:rPr>
        <w:t>The only demographic information we will receive from YouGov is the respondents’ sex, age, race/ethnicity, and state in which they reside.</w:t>
      </w:r>
      <w:r w:rsidR="00143E6B">
        <w:rPr>
          <w:rFonts w:eastAsiaTheme="minorEastAsia"/>
        </w:rPr>
        <w:t xml:space="preserve"> This is the same information we have received from the EVALI case reports</w:t>
      </w:r>
      <w:r w:rsidR="00877B63">
        <w:rPr>
          <w:rFonts w:eastAsiaTheme="minorEastAsia"/>
        </w:rPr>
        <w:t xml:space="preserve"> and are important for comparison purposes</w:t>
      </w:r>
      <w:r w:rsidR="00143E6B">
        <w:rPr>
          <w:rFonts w:eastAsiaTheme="minorEastAsia"/>
        </w:rPr>
        <w:t>.</w:t>
      </w:r>
      <w:r w:rsidR="007E0447">
        <w:rPr>
          <w:rFonts w:eastAsiaTheme="minorEastAsia"/>
        </w:rPr>
        <w:t xml:space="preserve"> None of these pieces of data allow for identification of individual respondents. </w:t>
      </w:r>
      <w:r w:rsidR="00FC48E3" w:rsidRPr="00CD645B">
        <w:t xml:space="preserve">No personal health information will be collected or maintained. </w:t>
      </w:r>
    </w:p>
    <w:p w14:paraId="641A6AFD" w14:textId="085A10FB" w:rsidR="00E60AEE" w:rsidRPr="00CD645B" w:rsidRDefault="00FA301C" w:rsidP="009C0A9B">
      <w:pPr>
        <w:spacing w:after="240" w:line="240" w:lineRule="auto"/>
        <w:rPr>
          <w:rFonts w:cs="Times New Roman"/>
          <w:szCs w:val="24"/>
        </w:rPr>
      </w:pPr>
      <w:r w:rsidRPr="00CD645B">
        <w:rPr>
          <w:rFonts w:cs="Times New Roman"/>
          <w:szCs w:val="24"/>
        </w:rPr>
        <w:t xml:space="preserve">Participation in </w:t>
      </w:r>
      <w:r>
        <w:rPr>
          <w:rFonts w:cs="Times New Roman"/>
          <w:szCs w:val="24"/>
        </w:rPr>
        <w:t>the survey</w:t>
      </w:r>
      <w:r w:rsidRPr="00CD645B">
        <w:rPr>
          <w:rFonts w:cs="Times New Roman"/>
          <w:szCs w:val="24"/>
        </w:rPr>
        <w:t xml:space="preserve"> will be voluntary for all respondents. Potential participants will be </w:t>
      </w:r>
      <w:r>
        <w:rPr>
          <w:rFonts w:cs="Times New Roman"/>
          <w:szCs w:val="24"/>
        </w:rPr>
        <w:t>emailed</w:t>
      </w:r>
      <w:r w:rsidRPr="00CD645B">
        <w:rPr>
          <w:rFonts w:cs="Times New Roman"/>
          <w:szCs w:val="24"/>
        </w:rPr>
        <w:t xml:space="preserve"> information about the </w:t>
      </w:r>
      <w:r>
        <w:rPr>
          <w:rFonts w:cs="Times New Roman"/>
          <w:szCs w:val="24"/>
        </w:rPr>
        <w:t>survey</w:t>
      </w:r>
      <w:r w:rsidRPr="00CD645B">
        <w:rPr>
          <w:rFonts w:cs="Times New Roman"/>
          <w:szCs w:val="24"/>
        </w:rPr>
        <w:t xml:space="preserve"> and what is required for participation</w:t>
      </w:r>
      <w:r w:rsidR="00706625">
        <w:rPr>
          <w:rFonts w:cs="Times New Roman"/>
          <w:szCs w:val="24"/>
        </w:rPr>
        <w:t xml:space="preserve"> (</w:t>
      </w:r>
      <w:r w:rsidRPr="00CD645B">
        <w:rPr>
          <w:rFonts w:cs="Times New Roman"/>
          <w:b/>
          <w:szCs w:val="24"/>
        </w:rPr>
        <w:t xml:space="preserve">Attachment </w:t>
      </w:r>
      <w:r w:rsidR="00894EC1">
        <w:rPr>
          <w:rFonts w:cs="Times New Roman"/>
          <w:b/>
          <w:szCs w:val="24"/>
        </w:rPr>
        <w:t>5</w:t>
      </w:r>
      <w:r w:rsidRPr="00CD645B">
        <w:rPr>
          <w:rFonts w:cs="Times New Roman"/>
          <w:szCs w:val="24"/>
        </w:rPr>
        <w:t>). PII, such as the name of the respondent and his/her contact information will not be stored in the initial data files at any time. Unique identifiers will be assigned to each case in the data files as data are collected</w:t>
      </w:r>
      <w:r>
        <w:rPr>
          <w:rFonts w:cs="Times New Roman"/>
          <w:szCs w:val="24"/>
        </w:rPr>
        <w:t>. Survey</w:t>
      </w:r>
      <w:r w:rsidRPr="00CD645B">
        <w:rPr>
          <w:rFonts w:cs="Times New Roman"/>
          <w:szCs w:val="24"/>
        </w:rPr>
        <w:t xml:space="preserve"> data will be stored by </w:t>
      </w:r>
      <w:r w:rsidR="009C6931">
        <w:rPr>
          <w:rFonts w:cs="Times New Roman"/>
          <w:szCs w:val="24"/>
        </w:rPr>
        <w:t>YouGov</w:t>
      </w:r>
      <w:r w:rsidRPr="00CD645B">
        <w:rPr>
          <w:rFonts w:cs="Times New Roman"/>
          <w:szCs w:val="24"/>
        </w:rPr>
        <w:t xml:space="preserve"> in secure servers. </w:t>
      </w:r>
      <w:r>
        <w:rPr>
          <w:rFonts w:eastAsiaTheme="minorEastAsia"/>
        </w:rPr>
        <w:t xml:space="preserve">YouGov maintains all respondent profile information on a separate server from survey responses/attitudinal data. </w:t>
      </w:r>
      <w:r w:rsidR="005D4DC6" w:rsidRPr="00CD645B">
        <w:rPr>
          <w:rFonts w:cs="Times New Roman"/>
          <w:szCs w:val="24"/>
        </w:rPr>
        <w:t xml:space="preserve">Upon contract termination and per the terms of the </w:t>
      </w:r>
      <w:r w:rsidR="009C6931">
        <w:rPr>
          <w:rFonts w:cs="Times New Roman"/>
          <w:szCs w:val="24"/>
        </w:rPr>
        <w:t>agreement</w:t>
      </w:r>
      <w:r w:rsidR="005D4DC6">
        <w:rPr>
          <w:rFonts w:eastAsiaTheme="minorEastAsia"/>
        </w:rPr>
        <w:t xml:space="preserve">, YouGov will </w:t>
      </w:r>
      <w:r>
        <w:rPr>
          <w:rFonts w:eastAsiaTheme="minorEastAsia"/>
        </w:rPr>
        <w:t>destroy all data related to this information collection at the completion of the project. D</w:t>
      </w:r>
      <w:r w:rsidRPr="00CD645B">
        <w:rPr>
          <w:rFonts w:cs="Times New Roman"/>
          <w:szCs w:val="24"/>
        </w:rPr>
        <w:t xml:space="preserve">ata files will be delivered </w:t>
      </w:r>
      <w:r>
        <w:t xml:space="preserve">to </w:t>
      </w:r>
      <w:r w:rsidR="00962227">
        <w:t xml:space="preserve">CDC </w:t>
      </w:r>
      <w:r>
        <w:t xml:space="preserve">NCIPC </w:t>
      </w:r>
      <w:r w:rsidRPr="00CD645B">
        <w:rPr>
          <w:rFonts w:cs="Times New Roman"/>
          <w:szCs w:val="24"/>
        </w:rPr>
        <w:t xml:space="preserve">using a secure file transfer protocol (SFTP) site. All data collected from the </w:t>
      </w:r>
      <w:r>
        <w:t>survey</w:t>
      </w:r>
      <w:r w:rsidRPr="00CD645B">
        <w:rPr>
          <w:rFonts w:cs="Times New Roman"/>
          <w:szCs w:val="24"/>
        </w:rPr>
        <w:t xml:space="preserve"> will be treated in a secure manner and will not be disclosed, unless otherwise compelled by law.</w:t>
      </w:r>
      <w:r w:rsidR="00E60AEE">
        <w:rPr>
          <w:rFonts w:cs="Times New Roman"/>
          <w:szCs w:val="24"/>
        </w:rPr>
        <w:t xml:space="preserve"> </w:t>
      </w:r>
      <w:r w:rsidR="00E60AEE" w:rsidRPr="00CD645B">
        <w:rPr>
          <w:rFonts w:cs="Times New Roman"/>
          <w:szCs w:val="24"/>
        </w:rPr>
        <w:t>CDC will retain and destroy records in accordance with the applicable CDC Records Control Schedule.</w:t>
      </w:r>
    </w:p>
    <w:p w14:paraId="66AC735D" w14:textId="6BE5F06A" w:rsidR="00056068" w:rsidRPr="00327632" w:rsidRDefault="00332E2C" w:rsidP="00056068">
      <w:pPr>
        <w:spacing w:after="240" w:line="240" w:lineRule="auto"/>
        <w:rPr>
          <w:rFonts w:cs="Times New Roman"/>
          <w:szCs w:val="24"/>
        </w:rPr>
      </w:pPr>
      <w:r w:rsidRPr="00CD645B">
        <w:rPr>
          <w:rFonts w:cs="Times New Roman"/>
          <w:szCs w:val="24"/>
        </w:rPr>
        <w:t>All respondents will be told during the consent process (</w:t>
      </w:r>
      <w:r w:rsidRPr="00CD645B">
        <w:rPr>
          <w:rFonts w:cs="Times New Roman"/>
          <w:b/>
          <w:szCs w:val="24"/>
        </w:rPr>
        <w:t xml:space="preserve">Attachment </w:t>
      </w:r>
      <w:r w:rsidR="001456F6">
        <w:rPr>
          <w:rFonts w:cs="Times New Roman"/>
          <w:b/>
          <w:szCs w:val="24"/>
        </w:rPr>
        <w:t>6</w:t>
      </w:r>
      <w:r w:rsidRPr="00CD645B">
        <w:rPr>
          <w:rFonts w:cs="Times New Roman"/>
          <w:b/>
          <w:szCs w:val="24"/>
        </w:rPr>
        <w:t xml:space="preserve">) </w:t>
      </w:r>
      <w:r w:rsidRPr="00CD645B">
        <w:rPr>
          <w:rFonts w:cs="Times New Roman"/>
          <w:szCs w:val="24"/>
        </w:rPr>
        <w:t xml:space="preserve">that the data they provide will be treated in a secure manner to the extent allowed by law. They also will be informed that participation is voluntary, that they may refuse to answer any question, and can stop at any time without risk. In addition, names of participants in any component of the study will not be provided to the federal government. Instead, a unique ID will be assigned to each participant. </w:t>
      </w:r>
      <w:r>
        <w:rPr>
          <w:rFonts w:cs="Times New Roman"/>
          <w:szCs w:val="24"/>
        </w:rPr>
        <w:t>Participants will be made aware that the CDC may report the results of the survey in aggregate. They will be informed that their names will not be used with individual responses.</w:t>
      </w:r>
      <w:r w:rsidR="00A96EC1">
        <w:rPr>
          <w:rFonts w:cs="Times New Roman"/>
          <w:szCs w:val="24"/>
        </w:rPr>
        <w:t xml:space="preserve"> </w:t>
      </w:r>
      <w:r w:rsidR="00056068" w:rsidRPr="00CD645B">
        <w:rPr>
          <w:rFonts w:cs="Times New Roman"/>
          <w:szCs w:val="24"/>
        </w:rPr>
        <w:t xml:space="preserve">Only approved members of the project team will have access to the data collected through the </w:t>
      </w:r>
      <w:r w:rsidR="00056068">
        <w:rPr>
          <w:rFonts w:cs="Times New Roman"/>
          <w:szCs w:val="24"/>
        </w:rPr>
        <w:t>survey</w:t>
      </w:r>
      <w:r w:rsidR="00056068" w:rsidRPr="00CD645B">
        <w:rPr>
          <w:rFonts w:cs="Times New Roman"/>
          <w:szCs w:val="24"/>
        </w:rPr>
        <w:t xml:space="preserve"> for the </w:t>
      </w:r>
      <w:r w:rsidR="00056068" w:rsidRPr="00327632">
        <w:rPr>
          <w:rFonts w:cs="Times New Roman"/>
          <w:szCs w:val="24"/>
        </w:rPr>
        <w:t>purposes of analysis and reporting.</w:t>
      </w:r>
      <w:r w:rsidR="00B05585">
        <w:rPr>
          <w:rFonts w:cs="Times New Roman"/>
          <w:szCs w:val="24"/>
        </w:rPr>
        <w:t xml:space="preserve"> YouGov also provides their panelists with an assurance of privacy and confidentiality. More information on their policies can be found </w:t>
      </w:r>
      <w:hyperlink r:id="rId13" w:history="1">
        <w:r w:rsidR="00B05585" w:rsidRPr="00B05585">
          <w:rPr>
            <w:rStyle w:val="Hyperlink"/>
            <w:rFonts w:cs="Times New Roman"/>
            <w:szCs w:val="24"/>
          </w:rPr>
          <w:t>here</w:t>
        </w:r>
      </w:hyperlink>
      <w:r w:rsidR="00B05585">
        <w:rPr>
          <w:rFonts w:cs="Times New Roman"/>
          <w:szCs w:val="24"/>
        </w:rPr>
        <w:t xml:space="preserve">. </w:t>
      </w:r>
    </w:p>
    <w:p w14:paraId="55FE17D0" w14:textId="4E1A6BF5" w:rsidR="004A13E8" w:rsidRPr="00056068" w:rsidRDefault="008E2A19" w:rsidP="00056068">
      <w:pPr>
        <w:spacing w:after="240" w:line="240" w:lineRule="auto"/>
        <w:rPr>
          <w:b/>
        </w:rPr>
      </w:pPr>
      <w:r w:rsidRPr="00056068">
        <w:rPr>
          <w:b/>
        </w:rPr>
        <w:t xml:space="preserve">11.  </w:t>
      </w:r>
      <w:r w:rsidR="004A13E8" w:rsidRPr="00056068">
        <w:rPr>
          <w:b/>
        </w:rPr>
        <w:t>Institutional Review Board (IRB) and Justification for Sensitive Questions</w:t>
      </w:r>
    </w:p>
    <w:p w14:paraId="55FE17D1" w14:textId="77777777" w:rsidR="004A13E8" w:rsidRDefault="004A13E8" w:rsidP="00AB6310">
      <w:pPr>
        <w:spacing w:line="240" w:lineRule="auto"/>
        <w:rPr>
          <w:u w:val="single"/>
        </w:rPr>
      </w:pPr>
      <w:r>
        <w:rPr>
          <w:u w:val="single"/>
        </w:rPr>
        <w:t>Institutional Review Board (IRB)</w:t>
      </w:r>
    </w:p>
    <w:p w14:paraId="0278D33A" w14:textId="43E9701C" w:rsidR="00C7154C" w:rsidRDefault="00C7154C" w:rsidP="00AB6310">
      <w:pPr>
        <w:spacing w:line="240" w:lineRule="auto"/>
      </w:pPr>
      <w:r>
        <w:t>The protocols and tools used to conduct this information collection request have been reviewed and approved by N</w:t>
      </w:r>
      <w:r w:rsidR="0071106C">
        <w:t>CIPC</w:t>
      </w:r>
      <w:r>
        <w:t xml:space="preserve">’s Human Subjects Advisor, who determined that this data collection does not meet the definition of research under 45 CFR 46.102(d). IRB review </w:t>
      </w:r>
      <w:r w:rsidR="0071106C">
        <w:t>is</w:t>
      </w:r>
      <w:r w:rsidR="009955F4">
        <w:t xml:space="preserve"> not required</w:t>
      </w:r>
      <w:r w:rsidR="009955F4" w:rsidRPr="00C7154C">
        <w:t xml:space="preserve"> </w:t>
      </w:r>
      <w:r w:rsidR="009955F4">
        <w:t>(</w:t>
      </w:r>
      <w:r w:rsidR="009955F4" w:rsidRPr="009E6D92">
        <w:rPr>
          <w:b/>
        </w:rPr>
        <w:t xml:space="preserve">Attachment </w:t>
      </w:r>
      <w:r w:rsidR="001456F6">
        <w:rPr>
          <w:b/>
        </w:rPr>
        <w:t>7</w:t>
      </w:r>
      <w:r w:rsidR="009955F4" w:rsidRPr="009E6D92">
        <w:rPr>
          <w:b/>
        </w:rPr>
        <w:t>).</w:t>
      </w:r>
    </w:p>
    <w:p w14:paraId="55FE17D4" w14:textId="7E56A7CD" w:rsidR="004A13E8" w:rsidRDefault="004A13E8" w:rsidP="00AB6310">
      <w:pPr>
        <w:spacing w:line="240" w:lineRule="auto"/>
      </w:pPr>
      <w:r>
        <w:rPr>
          <w:u w:val="single"/>
        </w:rPr>
        <w:t>Justification for Sensitive Questions</w:t>
      </w:r>
    </w:p>
    <w:p w14:paraId="2AAA65CA" w14:textId="5BDE4975" w:rsidR="006E6DB1" w:rsidRPr="00327632" w:rsidRDefault="00B77E8C" w:rsidP="006E6DB1">
      <w:pPr>
        <w:spacing w:after="240" w:line="240" w:lineRule="auto"/>
        <w:rPr>
          <w:rFonts w:cs="Times New Roman"/>
          <w:szCs w:val="24"/>
        </w:rPr>
      </w:pPr>
      <w:r>
        <w:t xml:space="preserve">In this </w:t>
      </w:r>
      <w:r w:rsidR="00337272">
        <w:t>information collection</w:t>
      </w:r>
      <w:r>
        <w:t xml:space="preserve">, </w:t>
      </w:r>
      <w:r w:rsidR="006E6DB1">
        <w:t xml:space="preserve">potentially </w:t>
      </w:r>
      <w:r>
        <w:t>sensitive questions will be asked</w:t>
      </w:r>
      <w:r w:rsidRPr="006E6DB1">
        <w:rPr>
          <w:szCs w:val="24"/>
        </w:rPr>
        <w:t>.</w:t>
      </w:r>
      <w:r w:rsidR="0071106C" w:rsidRPr="006E6DB1">
        <w:rPr>
          <w:szCs w:val="24"/>
        </w:rPr>
        <w:t xml:space="preserve"> </w:t>
      </w:r>
      <w:r w:rsidR="008863FE">
        <w:rPr>
          <w:szCs w:val="24"/>
        </w:rPr>
        <w:t>Specifically, respondents will be asked about their</w:t>
      </w:r>
      <w:r w:rsidR="006E6DB1" w:rsidRPr="006E6DB1">
        <w:rPr>
          <w:szCs w:val="24"/>
        </w:rPr>
        <w:t xml:space="preserve"> use of marijuana</w:t>
      </w:r>
      <w:r w:rsidR="006E6DB1">
        <w:rPr>
          <w:szCs w:val="24"/>
        </w:rPr>
        <w:t xml:space="preserve"> and</w:t>
      </w:r>
      <w:r w:rsidR="006E6DB1" w:rsidRPr="006E6DB1">
        <w:rPr>
          <w:szCs w:val="24"/>
        </w:rPr>
        <w:t xml:space="preserve"> THC</w:t>
      </w:r>
      <w:r w:rsidR="006E6DB1">
        <w:rPr>
          <w:szCs w:val="24"/>
        </w:rPr>
        <w:t>-</w:t>
      </w:r>
      <w:r w:rsidR="006E6DB1" w:rsidRPr="006E6DB1">
        <w:rPr>
          <w:szCs w:val="24"/>
        </w:rPr>
        <w:t>containing substance</w:t>
      </w:r>
      <w:r w:rsidR="006E6DB1">
        <w:rPr>
          <w:szCs w:val="24"/>
        </w:rPr>
        <w:t>s</w:t>
      </w:r>
      <w:r w:rsidR="006E6DB1" w:rsidRPr="006E6DB1">
        <w:rPr>
          <w:szCs w:val="24"/>
        </w:rPr>
        <w:t xml:space="preserve">. </w:t>
      </w:r>
      <w:r w:rsidR="006E6DB1">
        <w:rPr>
          <w:szCs w:val="24"/>
        </w:rPr>
        <w:t>A</w:t>
      </w:r>
      <w:r w:rsidR="006E6DB1" w:rsidRPr="006E6DB1">
        <w:rPr>
          <w:szCs w:val="24"/>
        </w:rPr>
        <w:t xml:space="preserve">lthough marijuana is legal for adult recreational and/or medical use in some </w:t>
      </w:r>
      <w:r w:rsidR="006E6DB1">
        <w:rPr>
          <w:szCs w:val="24"/>
        </w:rPr>
        <w:t>states</w:t>
      </w:r>
      <w:r w:rsidR="006E6DB1" w:rsidRPr="006E6DB1">
        <w:rPr>
          <w:szCs w:val="24"/>
        </w:rPr>
        <w:t xml:space="preserve">, it is still considered an illicit Schedule I </w:t>
      </w:r>
      <w:r w:rsidR="00C6523F">
        <w:rPr>
          <w:szCs w:val="24"/>
        </w:rPr>
        <w:t xml:space="preserve">controlled </w:t>
      </w:r>
      <w:r w:rsidR="006E6DB1" w:rsidRPr="006E6DB1">
        <w:rPr>
          <w:szCs w:val="24"/>
        </w:rPr>
        <w:t>substance by the federal government under the Controlled Substance</w:t>
      </w:r>
      <w:r w:rsidR="00C6523F">
        <w:rPr>
          <w:szCs w:val="24"/>
        </w:rPr>
        <w:t>s</w:t>
      </w:r>
      <w:r w:rsidR="006E6DB1" w:rsidRPr="006E6DB1">
        <w:rPr>
          <w:szCs w:val="24"/>
        </w:rPr>
        <w:t xml:space="preserve"> Act. </w:t>
      </w:r>
      <w:r w:rsidR="00250B39">
        <w:rPr>
          <w:szCs w:val="24"/>
        </w:rPr>
        <w:t>T</w:t>
      </w:r>
      <w:r w:rsidR="006E6DB1" w:rsidRPr="006E6DB1">
        <w:rPr>
          <w:szCs w:val="24"/>
        </w:rPr>
        <w:t xml:space="preserve">he reported source of </w:t>
      </w:r>
      <w:r w:rsidR="00250B39">
        <w:rPr>
          <w:szCs w:val="24"/>
        </w:rPr>
        <w:t xml:space="preserve">the THC-containing </w:t>
      </w:r>
      <w:r w:rsidR="006E6DB1" w:rsidRPr="006E6DB1">
        <w:rPr>
          <w:szCs w:val="24"/>
        </w:rPr>
        <w:t xml:space="preserve">product is also sensitive in nature. </w:t>
      </w:r>
      <w:r w:rsidR="006E6DB1">
        <w:rPr>
          <w:szCs w:val="24"/>
        </w:rPr>
        <w:t xml:space="preserve">In order to protect </w:t>
      </w:r>
      <w:r w:rsidR="006E6DB1">
        <w:rPr>
          <w:rFonts w:cs="Times New Roman"/>
          <w:szCs w:val="24"/>
        </w:rPr>
        <w:t xml:space="preserve">the privacy of respondents and ensure that information will not be disclosed, </w:t>
      </w:r>
      <w:r w:rsidR="006E6DB1" w:rsidRPr="00327632">
        <w:rPr>
          <w:rFonts w:cs="Times New Roman"/>
          <w:szCs w:val="24"/>
        </w:rPr>
        <w:t xml:space="preserve">CDC has received an Assurance of Confidentiality (AoC) </w:t>
      </w:r>
      <w:r w:rsidR="006E6DB1" w:rsidRPr="00327632">
        <w:rPr>
          <w:szCs w:val="24"/>
        </w:rPr>
        <w:t>under Section 308(d) of the Public Health Service Act for the protection of identifiable and potentially identifiable information on the outbreak of lung injury associated with e-cigarette product use, or vaping (i.e., the 2019 Lung Injury Response) collected by CDC in collaboration with the U.S. Food and Drug Administration (FDA), state and local health departments, Tribal and Territorial Entities, and other clinical and public health partners</w:t>
      </w:r>
      <w:r w:rsidR="00CC4CC0">
        <w:rPr>
          <w:szCs w:val="24"/>
        </w:rPr>
        <w:t xml:space="preserve"> (</w:t>
      </w:r>
      <w:r w:rsidR="00CC4CC0" w:rsidRPr="00CC4CC0">
        <w:rPr>
          <w:b/>
          <w:szCs w:val="24"/>
        </w:rPr>
        <w:t xml:space="preserve">Attachment </w:t>
      </w:r>
      <w:r w:rsidR="001456F6">
        <w:rPr>
          <w:b/>
          <w:szCs w:val="24"/>
        </w:rPr>
        <w:t>8</w:t>
      </w:r>
      <w:r w:rsidR="00CC4CC0">
        <w:rPr>
          <w:szCs w:val="24"/>
        </w:rPr>
        <w:t>)</w:t>
      </w:r>
      <w:r w:rsidR="006E6DB1" w:rsidRPr="00327632">
        <w:rPr>
          <w:szCs w:val="24"/>
        </w:rPr>
        <w:t>.</w:t>
      </w:r>
      <w:r w:rsidR="006E6DB1">
        <w:rPr>
          <w:szCs w:val="24"/>
        </w:rPr>
        <w:t xml:space="preserve"> </w:t>
      </w:r>
      <w:r w:rsidR="005524B6">
        <w:rPr>
          <w:szCs w:val="24"/>
        </w:rPr>
        <w:t>CDC is requesting an amendment to the</w:t>
      </w:r>
      <w:r w:rsidR="006E6DB1">
        <w:rPr>
          <w:szCs w:val="24"/>
        </w:rPr>
        <w:t xml:space="preserve"> AoC </w:t>
      </w:r>
      <w:r w:rsidR="005524B6">
        <w:rPr>
          <w:szCs w:val="24"/>
        </w:rPr>
        <w:t>in order to cover</w:t>
      </w:r>
      <w:r w:rsidR="006E6DB1">
        <w:rPr>
          <w:szCs w:val="24"/>
        </w:rPr>
        <w:t xml:space="preserve"> the current information collection. </w:t>
      </w:r>
    </w:p>
    <w:p w14:paraId="0E46ADAB" w14:textId="0EA30C78" w:rsidR="002D7DC1" w:rsidRDefault="00E13482" w:rsidP="00AB6310">
      <w:pPr>
        <w:spacing w:line="240" w:lineRule="auto"/>
        <w:rPr>
          <w:rFonts w:cs="Times New Roman"/>
          <w:szCs w:val="24"/>
        </w:rPr>
      </w:pPr>
      <w:r w:rsidRPr="006E6DB1">
        <w:rPr>
          <w:szCs w:val="24"/>
        </w:rPr>
        <w:t>In order to ease</w:t>
      </w:r>
      <w:r>
        <w:t xml:space="preserve"> the panelists into the THC-related questions, we will first ask them a series of questions </w:t>
      </w:r>
      <w:r w:rsidR="00C6523F">
        <w:t>related to lung injury and their use of nicotine-containing e-cigarette products</w:t>
      </w:r>
      <w:r>
        <w:t>. These questions are both important for our analytic purposes (i.e. we will examine whether cases and non-cases vary based on nicotine-vaping behaviors) as well as acting as a lead-in to the more sensitive questions</w:t>
      </w:r>
      <w:r w:rsidR="00C6523F">
        <w:t xml:space="preserve"> related to THC</w:t>
      </w:r>
      <w:r>
        <w:t xml:space="preserve">. </w:t>
      </w:r>
      <w:r w:rsidR="002D7DC1" w:rsidRPr="00CD645B">
        <w:rPr>
          <w:rFonts w:cs="Times New Roman"/>
          <w:szCs w:val="24"/>
        </w:rPr>
        <w:t xml:space="preserve">We will explain to study participants that </w:t>
      </w:r>
      <w:r w:rsidR="00EC66D4">
        <w:rPr>
          <w:rFonts w:cs="Times New Roman"/>
          <w:szCs w:val="24"/>
        </w:rPr>
        <w:t>all</w:t>
      </w:r>
      <w:r w:rsidR="002D7DC1" w:rsidRPr="00CD645B">
        <w:rPr>
          <w:rFonts w:cs="Times New Roman"/>
          <w:szCs w:val="24"/>
        </w:rPr>
        <w:t xml:space="preserve"> questions are asked for analy</w:t>
      </w:r>
      <w:r w:rsidR="00EC66D4">
        <w:rPr>
          <w:rFonts w:cs="Times New Roman"/>
          <w:szCs w:val="24"/>
        </w:rPr>
        <w:t>tic</w:t>
      </w:r>
      <w:r w:rsidR="002D7DC1" w:rsidRPr="00CD645B">
        <w:rPr>
          <w:rFonts w:cs="Times New Roman"/>
          <w:szCs w:val="24"/>
        </w:rPr>
        <w:t xml:space="preserve"> purposes only. Participants may decline to respond to </w:t>
      </w:r>
      <w:r w:rsidR="007E14AC">
        <w:rPr>
          <w:rFonts w:cs="Times New Roman"/>
          <w:szCs w:val="24"/>
        </w:rPr>
        <w:t>any</w:t>
      </w:r>
      <w:r w:rsidR="002D7DC1" w:rsidRPr="00CD645B">
        <w:rPr>
          <w:rFonts w:cs="Times New Roman"/>
          <w:szCs w:val="24"/>
        </w:rPr>
        <w:t xml:space="preserve"> question, and they will still be able to participate in the </w:t>
      </w:r>
      <w:r w:rsidR="007E14AC">
        <w:rPr>
          <w:rFonts w:cs="Times New Roman"/>
          <w:szCs w:val="24"/>
        </w:rPr>
        <w:t>survey</w:t>
      </w:r>
      <w:r w:rsidR="002D7DC1" w:rsidRPr="00CD645B">
        <w:rPr>
          <w:rFonts w:cs="Times New Roman"/>
          <w:szCs w:val="24"/>
        </w:rPr>
        <w:t xml:space="preserve">. The informed consent for the </w:t>
      </w:r>
      <w:r w:rsidR="002D7DC1">
        <w:rPr>
          <w:rFonts w:cs="Times New Roman"/>
          <w:szCs w:val="24"/>
        </w:rPr>
        <w:t>survey</w:t>
      </w:r>
      <w:r w:rsidR="002D7DC1" w:rsidRPr="00CD645B">
        <w:rPr>
          <w:rFonts w:cs="Times New Roman"/>
          <w:szCs w:val="24"/>
        </w:rPr>
        <w:t xml:space="preserve"> (</w:t>
      </w:r>
      <w:r w:rsidR="002D7DC1" w:rsidRPr="00CD645B">
        <w:rPr>
          <w:rFonts w:cs="Times New Roman"/>
          <w:b/>
          <w:szCs w:val="24"/>
        </w:rPr>
        <w:t xml:space="preserve">Attachment </w:t>
      </w:r>
      <w:r w:rsidR="00E215FE">
        <w:rPr>
          <w:rFonts w:cs="Times New Roman"/>
          <w:b/>
          <w:szCs w:val="24"/>
        </w:rPr>
        <w:t>6</w:t>
      </w:r>
      <w:r w:rsidR="002D7DC1" w:rsidRPr="00CD645B">
        <w:rPr>
          <w:rFonts w:cs="Times New Roman"/>
          <w:b/>
          <w:szCs w:val="24"/>
        </w:rPr>
        <w:t xml:space="preserve">) </w:t>
      </w:r>
      <w:r w:rsidR="002D7DC1" w:rsidRPr="00CD645B">
        <w:rPr>
          <w:rFonts w:cs="Times New Roman"/>
          <w:szCs w:val="24"/>
        </w:rPr>
        <w:t>explains that participants can refrain from answering any questions. All questions are voluntary in nature. There will be no negative consequences to any respondent, should they choose not to answer one or all of the questions. In the informed consent, we will inform all study participants that all data collected will be treated in a secure manner.</w:t>
      </w:r>
      <w:r w:rsidR="00671028">
        <w:rPr>
          <w:rFonts w:cs="Times New Roman"/>
          <w:szCs w:val="24"/>
        </w:rPr>
        <w:t xml:space="preserve"> The inclusion of </w:t>
      </w:r>
      <w:r w:rsidR="007E14AC">
        <w:rPr>
          <w:rFonts w:cs="Times New Roman"/>
          <w:szCs w:val="24"/>
        </w:rPr>
        <w:t>all sensitive survey</w:t>
      </w:r>
      <w:r w:rsidR="00671028">
        <w:rPr>
          <w:rFonts w:cs="Times New Roman"/>
          <w:szCs w:val="24"/>
        </w:rPr>
        <w:t xml:space="preserve"> questions</w:t>
      </w:r>
      <w:r w:rsidR="007E14AC">
        <w:rPr>
          <w:rFonts w:cs="Times New Roman"/>
          <w:szCs w:val="24"/>
        </w:rPr>
        <w:t xml:space="preserve"> is</w:t>
      </w:r>
      <w:r w:rsidR="00671028">
        <w:rPr>
          <w:rFonts w:cs="Times New Roman"/>
          <w:szCs w:val="24"/>
        </w:rPr>
        <w:t xml:space="preserve"> critical for our purposes, though. </w:t>
      </w:r>
      <w:r w:rsidR="00C6523F">
        <w:rPr>
          <w:rFonts w:cs="Times New Roman"/>
          <w:szCs w:val="24"/>
        </w:rPr>
        <w:t>The latest national data indicate that THC-containing products, particularly those obtained from informal or illicit sources play a major role in the outbreak.</w:t>
      </w:r>
      <w:r w:rsidR="00671028">
        <w:rPr>
          <w:rFonts w:cs="Times New Roman"/>
          <w:szCs w:val="24"/>
        </w:rPr>
        <w:t xml:space="preserve"> In order to determine if those that vape THC-containing products but do not develop EVALI have the same characteristics of EVALI cases, it is necessary to ask about the non-cases’ use of THC products. </w:t>
      </w:r>
    </w:p>
    <w:p w14:paraId="20221EEE" w14:textId="580940F0" w:rsidR="00B80658" w:rsidRDefault="00B80658" w:rsidP="00AB6310">
      <w:pPr>
        <w:spacing w:line="240" w:lineRule="auto"/>
        <w:rPr>
          <w:rFonts w:cs="Times New Roman"/>
          <w:szCs w:val="24"/>
        </w:rPr>
      </w:pPr>
    </w:p>
    <w:p w14:paraId="760D2508" w14:textId="77777777" w:rsidR="00B80658" w:rsidRPr="007E0533" w:rsidRDefault="00B80658" w:rsidP="00AB6310">
      <w:pPr>
        <w:spacing w:line="240" w:lineRule="auto"/>
      </w:pPr>
    </w:p>
    <w:p w14:paraId="55FE17D7" w14:textId="070CAA2C" w:rsidR="004A13E8" w:rsidRPr="008E2A19" w:rsidRDefault="008E2A19" w:rsidP="00AB6310">
      <w:pPr>
        <w:pStyle w:val="Heading1"/>
        <w:numPr>
          <w:ilvl w:val="0"/>
          <w:numId w:val="0"/>
        </w:numPr>
        <w:ind w:left="360" w:hanging="360"/>
      </w:pPr>
      <w:bookmarkStart w:id="16" w:name="_Toc3365142"/>
      <w:r w:rsidRPr="008E2A19">
        <w:t xml:space="preserve">12.  </w:t>
      </w:r>
      <w:r w:rsidR="004A13E8" w:rsidRPr="008E2A19">
        <w:t>Estimates of Annualized Burden Hours and Costs</w:t>
      </w:r>
      <w:bookmarkEnd w:id="16"/>
    </w:p>
    <w:p w14:paraId="60C80B77" w14:textId="6742EFB2" w:rsidR="00E13482" w:rsidRPr="00C6523F" w:rsidRDefault="00E13482" w:rsidP="009E00A6">
      <w:pPr>
        <w:rPr>
          <w:rFonts w:cstheme="minorHAnsi"/>
        </w:rPr>
      </w:pPr>
      <w:r>
        <w:rPr>
          <w:rFonts w:cs="Times New Roman"/>
          <w:szCs w:val="24"/>
        </w:rPr>
        <w:t>YouGov panelists</w:t>
      </w:r>
      <w:r w:rsidRPr="00CD645B">
        <w:rPr>
          <w:rFonts w:cs="Times New Roman"/>
          <w:szCs w:val="24"/>
        </w:rPr>
        <w:t xml:space="preserve"> will be invited by email to participate in </w:t>
      </w:r>
      <w:r>
        <w:rPr>
          <w:rFonts w:cs="Times New Roman"/>
          <w:szCs w:val="24"/>
        </w:rPr>
        <w:t>the EVALI survey</w:t>
      </w:r>
      <w:r w:rsidRPr="00CD645B">
        <w:rPr>
          <w:rFonts w:cs="Times New Roman"/>
          <w:szCs w:val="24"/>
        </w:rPr>
        <w:t xml:space="preserve"> (</w:t>
      </w:r>
      <w:r w:rsidRPr="00CD645B">
        <w:rPr>
          <w:rFonts w:cs="Times New Roman"/>
          <w:b/>
          <w:szCs w:val="24"/>
        </w:rPr>
        <w:t xml:space="preserve">Attachment </w:t>
      </w:r>
      <w:r w:rsidR="00B80658">
        <w:rPr>
          <w:rFonts w:cs="Times New Roman"/>
          <w:b/>
          <w:szCs w:val="24"/>
        </w:rPr>
        <w:t>5</w:t>
      </w:r>
      <w:r w:rsidRPr="00CD645B">
        <w:rPr>
          <w:rFonts w:cs="Times New Roman"/>
          <w:szCs w:val="24"/>
        </w:rPr>
        <w:t>)</w:t>
      </w:r>
      <w:r>
        <w:rPr>
          <w:rFonts w:cs="Times New Roman"/>
          <w:szCs w:val="24"/>
        </w:rPr>
        <w:t xml:space="preserve">. Our desired sub-population for the survey contains </w:t>
      </w:r>
      <w:r w:rsidRPr="002D05D0">
        <w:t>individuals who are vaping the same products at the same frequency but have not developed EVALI</w:t>
      </w:r>
      <w:r>
        <w:t xml:space="preserve">. </w:t>
      </w:r>
      <w:r w:rsidR="00973F75">
        <w:t>All panelists who opt-in to the survey will first be screened by asking whether or not they are 18 years or older</w:t>
      </w:r>
      <w:r w:rsidR="007C2536">
        <w:t xml:space="preserve"> and</w:t>
      </w:r>
      <w:r w:rsidR="00973F75">
        <w:t xml:space="preserve"> live in one of our</w:t>
      </w:r>
      <w:r w:rsidR="007C2536">
        <w:t xml:space="preserve"> 15</w:t>
      </w:r>
      <w:r w:rsidR="00973F75">
        <w:t xml:space="preserve"> selected states</w:t>
      </w:r>
      <w:r w:rsidR="007C2536">
        <w:t>.</w:t>
      </w:r>
      <w:r w:rsidR="00973F75">
        <w:t xml:space="preserve"> </w:t>
      </w:r>
      <w:r w:rsidR="00CB07FF">
        <w:t>If they answer no to either of those questions, they will not be allowed to continue the rest of the survey. If they answer yes to both the age and location question, the respondents will then</w:t>
      </w:r>
      <w:r w:rsidR="00973F75">
        <w:t xml:space="preserve"> be asked a </w:t>
      </w:r>
      <w:r w:rsidR="00C6523F">
        <w:t>question related to their use of nicotine-containing e-cigarettes in the past 3 months. This is followed by a question on whether they have been diagnosed with lung injury in the past year related to use of e-cigarette, or vaping, products. If they answer no to this question, they are then asked the final screening question</w:t>
      </w:r>
      <w:r w:rsidR="00CC3C1D">
        <w:t>,</w:t>
      </w:r>
      <w:r w:rsidR="00CB07FF">
        <w:t xml:space="preserve"> “</w:t>
      </w:r>
      <w:r w:rsidR="00C6523F">
        <w:rPr>
          <w:rFonts w:cstheme="minorHAnsi"/>
        </w:rPr>
        <w:t>In the past 3 months, have you vaped or dabbed marijuana or THC (the psychoactive compound in marijuana) at least five times</w:t>
      </w:r>
      <w:r w:rsidR="00C6523F" w:rsidRPr="00291221">
        <w:rPr>
          <w:rFonts w:cstheme="minorHAnsi"/>
        </w:rPr>
        <w:t xml:space="preserve">? This includes items you’ve purchased at a store, bought off the street, or </w:t>
      </w:r>
      <w:r w:rsidR="00C6523F">
        <w:rPr>
          <w:rFonts w:cstheme="minorHAnsi"/>
        </w:rPr>
        <w:t xml:space="preserve">that </w:t>
      </w:r>
      <w:r w:rsidR="00C6523F" w:rsidRPr="00291221">
        <w:rPr>
          <w:rFonts w:cstheme="minorHAnsi"/>
        </w:rPr>
        <w:t>were given to you by someone</w:t>
      </w:r>
      <w:r w:rsidR="00C6523F">
        <w:rPr>
          <w:rFonts w:cstheme="minorHAnsi"/>
        </w:rPr>
        <w:t>?”</w:t>
      </w:r>
      <w:r w:rsidR="00C6523F">
        <w:t xml:space="preserve"> If </w:t>
      </w:r>
      <w:r w:rsidR="00B5354E">
        <w:t>they answer “no” to this question, they will not be asked any follow-up questions and will not be included as part of our final sample.</w:t>
      </w:r>
      <w:r w:rsidR="00D6638C">
        <w:t xml:space="preserve"> The survey was designed this way in order to not place the potentially sensitive THC questions at the beginning. However, this does impact the number of respondents who answer </w:t>
      </w:r>
      <w:r w:rsidR="00C6523F">
        <w:t xml:space="preserve">any questions in order to roster our target sample size </w:t>
      </w:r>
      <w:r w:rsidR="00D6638C">
        <w:t xml:space="preserve">and therefore </w:t>
      </w:r>
      <w:r w:rsidR="00C6523F">
        <w:t xml:space="preserve">increases </w:t>
      </w:r>
      <w:r w:rsidR="00D6638C">
        <w:t>the overall burden.</w:t>
      </w:r>
    </w:p>
    <w:p w14:paraId="32AB0C63" w14:textId="78C0B4C8" w:rsidR="000F475C" w:rsidRDefault="00B77E8C" w:rsidP="00AB6310">
      <w:pPr>
        <w:spacing w:line="240" w:lineRule="auto"/>
      </w:pPr>
      <w:r w:rsidRPr="003C50EB">
        <w:rPr>
          <w:bCs/>
          <w:iCs/>
          <w:color w:val="000000"/>
        </w:rPr>
        <w:t>The estimated burden to respondents is summarized in Table 12-A</w:t>
      </w:r>
      <w:r>
        <w:rPr>
          <w:bCs/>
          <w:iCs/>
          <w:color w:val="000000"/>
        </w:rPr>
        <w:t xml:space="preserve"> and Table 12-B</w:t>
      </w:r>
      <w:r w:rsidRPr="003C50EB">
        <w:rPr>
          <w:bCs/>
          <w:iCs/>
          <w:color w:val="000000"/>
        </w:rPr>
        <w:t xml:space="preserve"> below.</w:t>
      </w:r>
      <w:r w:rsidR="00C22EB4">
        <w:rPr>
          <w:bCs/>
          <w:iCs/>
          <w:color w:val="000000"/>
        </w:rPr>
        <w:t xml:space="preserve"> </w:t>
      </w:r>
      <w:r w:rsidR="001277FD">
        <w:rPr>
          <w:bCs/>
          <w:iCs/>
          <w:color w:val="000000"/>
        </w:rPr>
        <w:t xml:space="preserve">There is no annualized burden as this is a onetime data collection to cover the emergency, therefore the burden provided is total. </w:t>
      </w:r>
      <w:r w:rsidR="008E2A19">
        <w:rPr>
          <w:bCs/>
          <w:iCs/>
          <w:color w:val="000000"/>
        </w:rPr>
        <w:t xml:space="preserve">The </w:t>
      </w:r>
      <w:r w:rsidR="00C31360">
        <w:rPr>
          <w:bCs/>
          <w:iCs/>
          <w:color w:val="000000"/>
        </w:rPr>
        <w:t xml:space="preserve">survey </w:t>
      </w:r>
      <w:r w:rsidR="00962552">
        <w:rPr>
          <w:bCs/>
          <w:iCs/>
          <w:color w:val="000000"/>
        </w:rPr>
        <w:t>takes an average</w:t>
      </w:r>
      <w:r w:rsidR="00C31360">
        <w:rPr>
          <w:bCs/>
          <w:iCs/>
          <w:color w:val="000000"/>
        </w:rPr>
        <w:t xml:space="preserve"> 1</w:t>
      </w:r>
      <w:r w:rsidR="00AE6915">
        <w:rPr>
          <w:bCs/>
          <w:iCs/>
          <w:color w:val="000000"/>
        </w:rPr>
        <w:t>0</w:t>
      </w:r>
      <w:r w:rsidR="001F3564">
        <w:rPr>
          <w:bCs/>
          <w:iCs/>
          <w:color w:val="000000"/>
        </w:rPr>
        <w:t xml:space="preserve"> </w:t>
      </w:r>
      <w:r w:rsidR="00C31360">
        <w:rPr>
          <w:bCs/>
          <w:iCs/>
          <w:color w:val="000000"/>
        </w:rPr>
        <w:t>minutes to complete</w:t>
      </w:r>
      <w:r w:rsidR="00DD2A81">
        <w:rPr>
          <w:bCs/>
          <w:iCs/>
          <w:color w:val="000000"/>
        </w:rPr>
        <w:t xml:space="preserve"> (</w:t>
      </w:r>
      <w:r w:rsidR="00DD2A81" w:rsidRPr="00DD2A81">
        <w:rPr>
          <w:b/>
          <w:bCs/>
          <w:iCs/>
          <w:color w:val="000000"/>
        </w:rPr>
        <w:t xml:space="preserve">Attachment </w:t>
      </w:r>
      <w:r w:rsidR="00DF3E93">
        <w:rPr>
          <w:b/>
          <w:bCs/>
          <w:iCs/>
          <w:color w:val="000000"/>
        </w:rPr>
        <w:t>2</w:t>
      </w:r>
      <w:r w:rsidR="00DD2A81">
        <w:rPr>
          <w:bCs/>
          <w:iCs/>
          <w:color w:val="000000"/>
        </w:rPr>
        <w:t>)</w:t>
      </w:r>
      <w:r w:rsidR="00971224">
        <w:rPr>
          <w:bCs/>
          <w:iCs/>
          <w:color w:val="000000"/>
        </w:rPr>
        <w:t>, preceded by a 4-question screener that is estimated to take about 2 minutes to complete</w:t>
      </w:r>
      <w:r w:rsidR="00C31360">
        <w:rPr>
          <w:bCs/>
          <w:iCs/>
          <w:color w:val="000000"/>
        </w:rPr>
        <w:t>.  It</w:t>
      </w:r>
      <w:r w:rsidR="00DA7E7C">
        <w:rPr>
          <w:bCs/>
          <w:iCs/>
          <w:color w:val="000000"/>
        </w:rPr>
        <w:t xml:space="preserve"> is</w:t>
      </w:r>
      <w:r w:rsidR="00C31360">
        <w:rPr>
          <w:bCs/>
          <w:iCs/>
          <w:color w:val="000000"/>
        </w:rPr>
        <w:t xml:space="preserve"> estimated that </w:t>
      </w:r>
      <w:r w:rsidR="00AE6915">
        <w:rPr>
          <w:bCs/>
          <w:iCs/>
          <w:color w:val="000000"/>
        </w:rPr>
        <w:t xml:space="preserve">up to </w:t>
      </w:r>
      <w:r w:rsidR="00836A86">
        <w:rPr>
          <w:bCs/>
          <w:iCs/>
          <w:color w:val="000000"/>
        </w:rPr>
        <w:t>400</w:t>
      </w:r>
      <w:r w:rsidR="001277FD">
        <w:rPr>
          <w:bCs/>
          <w:iCs/>
          <w:color w:val="000000"/>
        </w:rPr>
        <w:t xml:space="preserve"> respondents from 1</w:t>
      </w:r>
      <w:r w:rsidR="00AE6915">
        <w:rPr>
          <w:bCs/>
          <w:iCs/>
          <w:color w:val="000000"/>
        </w:rPr>
        <w:t>5</w:t>
      </w:r>
      <w:r w:rsidR="00962552">
        <w:rPr>
          <w:bCs/>
          <w:iCs/>
          <w:color w:val="000000"/>
        </w:rPr>
        <w:t xml:space="preserve"> </w:t>
      </w:r>
      <w:r w:rsidR="005531E4">
        <w:rPr>
          <w:bCs/>
          <w:iCs/>
          <w:color w:val="000000"/>
        </w:rPr>
        <w:t>state</w:t>
      </w:r>
      <w:r w:rsidR="000C2333">
        <w:rPr>
          <w:bCs/>
          <w:iCs/>
          <w:color w:val="000000"/>
        </w:rPr>
        <w:t>s</w:t>
      </w:r>
      <w:r w:rsidR="005531E4">
        <w:rPr>
          <w:bCs/>
          <w:iCs/>
          <w:color w:val="000000"/>
        </w:rPr>
        <w:t xml:space="preserve"> </w:t>
      </w:r>
      <w:r w:rsidR="00962552">
        <w:rPr>
          <w:bCs/>
          <w:iCs/>
          <w:color w:val="000000"/>
        </w:rPr>
        <w:t>will</w:t>
      </w:r>
      <w:r w:rsidR="00C31360">
        <w:rPr>
          <w:bCs/>
          <w:iCs/>
          <w:color w:val="000000"/>
        </w:rPr>
        <w:t xml:space="preserve"> </w:t>
      </w:r>
      <w:r w:rsidR="001000DF">
        <w:rPr>
          <w:bCs/>
          <w:iCs/>
          <w:color w:val="000000"/>
        </w:rPr>
        <w:t xml:space="preserve">complete </w:t>
      </w:r>
      <w:r w:rsidR="00C6523F">
        <w:rPr>
          <w:bCs/>
          <w:iCs/>
          <w:color w:val="000000"/>
        </w:rPr>
        <w:t xml:space="preserve">the </w:t>
      </w:r>
      <w:r w:rsidR="001000DF">
        <w:rPr>
          <w:bCs/>
          <w:iCs/>
          <w:color w:val="000000"/>
        </w:rPr>
        <w:t>full survey</w:t>
      </w:r>
      <w:r w:rsidR="004A120C">
        <w:rPr>
          <w:bCs/>
          <w:iCs/>
          <w:color w:val="000000"/>
        </w:rPr>
        <w:t xml:space="preserve"> for a total of </w:t>
      </w:r>
      <w:r w:rsidR="00836A86">
        <w:rPr>
          <w:bCs/>
          <w:iCs/>
          <w:color w:val="000000"/>
        </w:rPr>
        <w:t>up to 6,000</w:t>
      </w:r>
      <w:r w:rsidR="004A120C">
        <w:rPr>
          <w:bCs/>
          <w:iCs/>
          <w:color w:val="000000"/>
        </w:rPr>
        <w:t xml:space="preserve"> respondents</w:t>
      </w:r>
      <w:r w:rsidR="001277FD">
        <w:rPr>
          <w:bCs/>
          <w:iCs/>
          <w:color w:val="000000"/>
        </w:rPr>
        <w:t xml:space="preserve">. </w:t>
      </w:r>
      <w:r w:rsidR="00AE6915">
        <w:rPr>
          <w:bCs/>
          <w:iCs/>
          <w:color w:val="000000"/>
        </w:rPr>
        <w:t>As past 90-day vaping prevalence</w:t>
      </w:r>
      <w:r w:rsidR="00DA7E7C">
        <w:rPr>
          <w:bCs/>
          <w:iCs/>
          <w:color w:val="000000"/>
        </w:rPr>
        <w:t xml:space="preserve"> of THC</w:t>
      </w:r>
      <w:r w:rsidR="00AE6915">
        <w:rPr>
          <w:bCs/>
          <w:iCs/>
          <w:color w:val="000000"/>
        </w:rPr>
        <w:t xml:space="preserve"> is estimated to be about </w:t>
      </w:r>
      <w:r w:rsidR="00836A86">
        <w:rPr>
          <w:bCs/>
          <w:iCs/>
          <w:color w:val="000000"/>
        </w:rPr>
        <w:t>5</w:t>
      </w:r>
      <w:r w:rsidR="00AE6915">
        <w:rPr>
          <w:bCs/>
          <w:iCs/>
          <w:color w:val="000000"/>
        </w:rPr>
        <w:t xml:space="preserve">% (based on </w:t>
      </w:r>
      <w:r w:rsidR="00836A86">
        <w:rPr>
          <w:bCs/>
          <w:iCs/>
          <w:color w:val="000000"/>
        </w:rPr>
        <w:t>published literature,</w:t>
      </w:r>
      <w:r w:rsidR="00836A86">
        <w:rPr>
          <w:rStyle w:val="FootnoteReference"/>
          <w:bCs/>
          <w:iCs/>
          <w:color w:val="000000"/>
        </w:rPr>
        <w:footnoteReference w:id="7"/>
      </w:r>
      <w:r w:rsidR="00836A86">
        <w:rPr>
          <w:bCs/>
          <w:iCs/>
          <w:color w:val="000000"/>
        </w:rPr>
        <w:t xml:space="preserve"> discussions with subject matter experts, and </w:t>
      </w:r>
      <w:r w:rsidR="00AE6915">
        <w:rPr>
          <w:bCs/>
          <w:iCs/>
          <w:color w:val="000000"/>
        </w:rPr>
        <w:t xml:space="preserve">previous YouGov polling), we estimate that we will need to screen </w:t>
      </w:r>
      <w:r w:rsidR="004A2888">
        <w:rPr>
          <w:bCs/>
          <w:iCs/>
          <w:color w:val="000000"/>
        </w:rPr>
        <w:t>120,000</w:t>
      </w:r>
      <w:r w:rsidR="00AE6915">
        <w:rPr>
          <w:bCs/>
          <w:iCs/>
          <w:color w:val="000000"/>
        </w:rPr>
        <w:t xml:space="preserve"> individuals in order to achieve our desired </w:t>
      </w:r>
      <w:r w:rsidR="004A2888">
        <w:rPr>
          <w:bCs/>
          <w:iCs/>
          <w:color w:val="000000"/>
        </w:rPr>
        <w:t xml:space="preserve">maximum </w:t>
      </w:r>
      <w:r w:rsidR="00AE6915">
        <w:rPr>
          <w:bCs/>
          <w:iCs/>
          <w:color w:val="000000"/>
        </w:rPr>
        <w:t xml:space="preserve">sample size of </w:t>
      </w:r>
      <w:r w:rsidR="004A2888">
        <w:rPr>
          <w:bCs/>
          <w:iCs/>
          <w:color w:val="000000"/>
        </w:rPr>
        <w:t>6,000</w:t>
      </w:r>
      <w:r w:rsidR="00AE6915">
        <w:rPr>
          <w:bCs/>
          <w:iCs/>
          <w:color w:val="000000"/>
        </w:rPr>
        <w:t>.</w:t>
      </w:r>
    </w:p>
    <w:p w14:paraId="55FE17D9" w14:textId="0CCF6FF4" w:rsidR="004A13E8" w:rsidRDefault="00B77E8C" w:rsidP="00AB6310">
      <w:pPr>
        <w:spacing w:line="240" w:lineRule="auto"/>
      </w:pPr>
      <w:r>
        <w:t>Table 12-</w:t>
      </w:r>
      <w:r w:rsidR="009B0947">
        <w:t xml:space="preserve">A. </w:t>
      </w:r>
      <w:r w:rsidR="00C553B7">
        <w:t>Estimated Burden Hours</w:t>
      </w:r>
    </w:p>
    <w:tbl>
      <w:tblPr>
        <w:tblStyle w:val="TableGrid"/>
        <w:tblW w:w="0" w:type="auto"/>
        <w:tblLayout w:type="fixed"/>
        <w:tblLook w:val="04A0" w:firstRow="1" w:lastRow="0" w:firstColumn="1" w:lastColumn="0" w:noHBand="0" w:noVBand="1"/>
      </w:tblPr>
      <w:tblGrid>
        <w:gridCol w:w="1435"/>
        <w:gridCol w:w="2790"/>
        <w:gridCol w:w="1530"/>
        <w:gridCol w:w="1620"/>
        <w:gridCol w:w="1530"/>
        <w:gridCol w:w="1165"/>
      </w:tblGrid>
      <w:tr w:rsidR="004A13E8" w14:paraId="55FE17E0" w14:textId="77777777" w:rsidTr="004A120C">
        <w:tc>
          <w:tcPr>
            <w:tcW w:w="1435" w:type="dxa"/>
          </w:tcPr>
          <w:p w14:paraId="55FE17DA" w14:textId="77777777" w:rsidR="004A13E8" w:rsidRDefault="004A13E8" w:rsidP="00AB6310">
            <w:r>
              <w:t>Type of Respondent</w:t>
            </w:r>
          </w:p>
        </w:tc>
        <w:tc>
          <w:tcPr>
            <w:tcW w:w="2790" w:type="dxa"/>
          </w:tcPr>
          <w:p w14:paraId="55FE17DB" w14:textId="77777777" w:rsidR="004A13E8" w:rsidRDefault="004A13E8" w:rsidP="00AB6310">
            <w:r>
              <w:t>Form Name</w:t>
            </w:r>
          </w:p>
        </w:tc>
        <w:tc>
          <w:tcPr>
            <w:tcW w:w="1530" w:type="dxa"/>
          </w:tcPr>
          <w:p w14:paraId="55FE17DC" w14:textId="77777777" w:rsidR="004A13E8" w:rsidRDefault="004A13E8" w:rsidP="00AB6310">
            <w:r>
              <w:t>No. of Respondents</w:t>
            </w:r>
          </w:p>
        </w:tc>
        <w:tc>
          <w:tcPr>
            <w:tcW w:w="1620" w:type="dxa"/>
          </w:tcPr>
          <w:p w14:paraId="55FE17DD" w14:textId="77777777" w:rsidR="004A13E8" w:rsidRDefault="004A13E8" w:rsidP="00AB6310">
            <w:r>
              <w:t>No. Responses per Respondent</w:t>
            </w:r>
          </w:p>
        </w:tc>
        <w:tc>
          <w:tcPr>
            <w:tcW w:w="1530" w:type="dxa"/>
          </w:tcPr>
          <w:p w14:paraId="55FE17DE" w14:textId="77777777" w:rsidR="004A13E8" w:rsidRDefault="004A13E8" w:rsidP="00AB6310">
            <w:r>
              <w:t>Avg. Burden per response (in hrs.)</w:t>
            </w:r>
          </w:p>
        </w:tc>
        <w:tc>
          <w:tcPr>
            <w:tcW w:w="1165" w:type="dxa"/>
          </w:tcPr>
          <w:p w14:paraId="55FE17DF" w14:textId="77777777" w:rsidR="004A13E8" w:rsidRDefault="004A13E8" w:rsidP="00AB6310">
            <w:r>
              <w:t>Total Burden (in hrs.)</w:t>
            </w:r>
          </w:p>
        </w:tc>
      </w:tr>
      <w:tr w:rsidR="004A120C" w14:paraId="0A464C5D" w14:textId="77777777" w:rsidTr="004A120C">
        <w:tc>
          <w:tcPr>
            <w:tcW w:w="1435" w:type="dxa"/>
          </w:tcPr>
          <w:p w14:paraId="0727C59C" w14:textId="5CA67CA7" w:rsidR="004A120C" w:rsidRDefault="004A120C" w:rsidP="00AB6310">
            <w:r>
              <w:t>Individuals</w:t>
            </w:r>
          </w:p>
        </w:tc>
        <w:tc>
          <w:tcPr>
            <w:tcW w:w="2790" w:type="dxa"/>
          </w:tcPr>
          <w:p w14:paraId="1BD4AE84" w14:textId="3927888D" w:rsidR="004A120C" w:rsidRPr="00AE3A7D" w:rsidRDefault="004A120C" w:rsidP="00AB6310">
            <w:r w:rsidRPr="00AE3A7D">
              <w:t>Understanding Vaping Practices in the United States Survey</w:t>
            </w:r>
            <w:r>
              <w:t xml:space="preserve"> – screening questions</w:t>
            </w:r>
            <w:r w:rsidR="003F027F">
              <w:t xml:space="preserve"> (Att. </w:t>
            </w:r>
            <w:r w:rsidR="00DF3E93">
              <w:t>2</w:t>
            </w:r>
            <w:r w:rsidR="003F027F">
              <w:t>)</w:t>
            </w:r>
          </w:p>
        </w:tc>
        <w:tc>
          <w:tcPr>
            <w:tcW w:w="1530" w:type="dxa"/>
          </w:tcPr>
          <w:p w14:paraId="4937C450" w14:textId="75E3660D" w:rsidR="004A120C" w:rsidRDefault="00521633" w:rsidP="00AB6310">
            <w:r>
              <w:t>120,000</w:t>
            </w:r>
          </w:p>
        </w:tc>
        <w:tc>
          <w:tcPr>
            <w:tcW w:w="1620" w:type="dxa"/>
          </w:tcPr>
          <w:p w14:paraId="7B72FA0A" w14:textId="57C3F140" w:rsidR="004A120C" w:rsidRDefault="004A120C" w:rsidP="00AB6310">
            <w:r>
              <w:t>1</w:t>
            </w:r>
          </w:p>
        </w:tc>
        <w:tc>
          <w:tcPr>
            <w:tcW w:w="1530" w:type="dxa"/>
          </w:tcPr>
          <w:p w14:paraId="04EF4EB1" w14:textId="52E7567C" w:rsidR="004A120C" w:rsidRDefault="00971224" w:rsidP="00AB6310">
            <w:r>
              <w:t>2</w:t>
            </w:r>
            <w:r w:rsidR="004A120C">
              <w:t>/60</w:t>
            </w:r>
          </w:p>
        </w:tc>
        <w:tc>
          <w:tcPr>
            <w:tcW w:w="1165" w:type="dxa"/>
          </w:tcPr>
          <w:p w14:paraId="6BAA95EB" w14:textId="4F85CE1D" w:rsidR="004A120C" w:rsidRDefault="00521633" w:rsidP="00AB6310">
            <w:r>
              <w:t>4,000</w:t>
            </w:r>
          </w:p>
        </w:tc>
      </w:tr>
      <w:tr w:rsidR="00B77E8C" w14:paraId="32619D1B" w14:textId="77777777" w:rsidTr="004A120C">
        <w:tc>
          <w:tcPr>
            <w:tcW w:w="1435" w:type="dxa"/>
          </w:tcPr>
          <w:p w14:paraId="0128D7C1" w14:textId="77148392" w:rsidR="00B77E8C" w:rsidRDefault="00A33603" w:rsidP="00AB6310">
            <w:r>
              <w:t>Individuals</w:t>
            </w:r>
          </w:p>
        </w:tc>
        <w:tc>
          <w:tcPr>
            <w:tcW w:w="2790" w:type="dxa"/>
          </w:tcPr>
          <w:p w14:paraId="16E9A9A8" w14:textId="08439830" w:rsidR="00B77E8C" w:rsidRDefault="00AE3A7D" w:rsidP="00AB6310">
            <w:r w:rsidRPr="00AE3A7D">
              <w:t>Understanding Vaping Practices in the United States Survey</w:t>
            </w:r>
            <w:r w:rsidR="004A120C">
              <w:t xml:space="preserve"> – full survey</w:t>
            </w:r>
            <w:r w:rsidR="003F027F">
              <w:t xml:space="preserve"> (Att. </w:t>
            </w:r>
            <w:r w:rsidR="00DF3E93">
              <w:t>2</w:t>
            </w:r>
            <w:r w:rsidR="003F027F">
              <w:t>)</w:t>
            </w:r>
          </w:p>
        </w:tc>
        <w:tc>
          <w:tcPr>
            <w:tcW w:w="1530" w:type="dxa"/>
          </w:tcPr>
          <w:p w14:paraId="1D1E61C2" w14:textId="4513CFC8" w:rsidR="00B77E8C" w:rsidRDefault="00521633" w:rsidP="00AB6310">
            <w:r>
              <w:t>6,000</w:t>
            </w:r>
          </w:p>
        </w:tc>
        <w:tc>
          <w:tcPr>
            <w:tcW w:w="1620" w:type="dxa"/>
          </w:tcPr>
          <w:p w14:paraId="319918A5" w14:textId="16633A30" w:rsidR="00B77E8C" w:rsidRDefault="00A33603" w:rsidP="00AB6310">
            <w:r>
              <w:t>1</w:t>
            </w:r>
          </w:p>
        </w:tc>
        <w:tc>
          <w:tcPr>
            <w:tcW w:w="1530" w:type="dxa"/>
          </w:tcPr>
          <w:p w14:paraId="595346DF" w14:textId="57B8B714" w:rsidR="00B77E8C" w:rsidRDefault="00772405" w:rsidP="00AB6310">
            <w:r>
              <w:t>1</w:t>
            </w:r>
            <w:r w:rsidR="00AE6915">
              <w:t>0</w:t>
            </w:r>
            <w:r w:rsidR="00E653F8">
              <w:t>/60</w:t>
            </w:r>
          </w:p>
        </w:tc>
        <w:tc>
          <w:tcPr>
            <w:tcW w:w="1165" w:type="dxa"/>
          </w:tcPr>
          <w:p w14:paraId="6AD2C1CC" w14:textId="1CF73040" w:rsidR="00B77E8C" w:rsidRDefault="00521633" w:rsidP="00AB6310">
            <w:r>
              <w:t>1,000</w:t>
            </w:r>
          </w:p>
        </w:tc>
      </w:tr>
      <w:tr w:rsidR="004A13E8" w14:paraId="55FE17EB" w14:textId="77777777" w:rsidTr="00204803">
        <w:tc>
          <w:tcPr>
            <w:tcW w:w="1435" w:type="dxa"/>
          </w:tcPr>
          <w:p w14:paraId="55FE17E8" w14:textId="77777777" w:rsidR="004A13E8" w:rsidRPr="00131328" w:rsidRDefault="004A13E8" w:rsidP="00AB6310">
            <w:pPr>
              <w:rPr>
                <w:b/>
              </w:rPr>
            </w:pPr>
            <w:r>
              <w:rPr>
                <w:b/>
              </w:rPr>
              <w:t>Total</w:t>
            </w:r>
          </w:p>
        </w:tc>
        <w:tc>
          <w:tcPr>
            <w:tcW w:w="7470" w:type="dxa"/>
            <w:gridSpan w:val="4"/>
          </w:tcPr>
          <w:p w14:paraId="55FE17E9" w14:textId="77777777" w:rsidR="004A13E8" w:rsidRDefault="004A13E8" w:rsidP="00AB6310"/>
        </w:tc>
        <w:tc>
          <w:tcPr>
            <w:tcW w:w="1165" w:type="dxa"/>
          </w:tcPr>
          <w:p w14:paraId="55FE17EA" w14:textId="21347E71" w:rsidR="004A13E8" w:rsidRDefault="00521633" w:rsidP="00AB6310">
            <w:r>
              <w:t>5,000</w:t>
            </w:r>
          </w:p>
        </w:tc>
      </w:tr>
    </w:tbl>
    <w:p w14:paraId="70545E9D" w14:textId="591D84ED" w:rsidR="00B77E8C" w:rsidRDefault="00B77E8C" w:rsidP="00AB6310">
      <w:pPr>
        <w:spacing w:before="240" w:line="240" w:lineRule="auto"/>
      </w:pPr>
      <w:r>
        <w:t>There will be no anticipated costs to respondents other than time. The 2017 U.S. median national hourly wage</w:t>
      </w:r>
      <w:r w:rsidR="00A33603">
        <w:t xml:space="preserve"> for all occupations in the U.S. is $18.12</w:t>
      </w:r>
      <w:r>
        <w:t xml:space="preserve"> (</w:t>
      </w:r>
      <w:r w:rsidR="00204803">
        <w:t>see</w:t>
      </w:r>
      <w:r>
        <w:t xml:space="preserve"> </w:t>
      </w:r>
      <w:hyperlink r:id="rId14" w:anchor="00-0000" w:history="1">
        <w:r w:rsidR="00A33603" w:rsidRPr="00C81697">
          <w:rPr>
            <w:rStyle w:val="Hyperlink"/>
          </w:rPr>
          <w:t>https://www.bls.gov/oes/current/oes_nat.htm#00-0000</w:t>
        </w:r>
      </w:hyperlink>
      <w:r>
        <w:t>)</w:t>
      </w:r>
      <w:r w:rsidR="00A33603">
        <w:t xml:space="preserve">; since we do not </w:t>
      </w:r>
      <w:r w:rsidR="008E2A19">
        <w:t xml:space="preserve">know </w:t>
      </w:r>
      <w:r w:rsidR="00A33603">
        <w:t xml:space="preserve">occupations of </w:t>
      </w:r>
      <w:r w:rsidR="008E2A19">
        <w:t xml:space="preserve">all </w:t>
      </w:r>
      <w:r w:rsidR="00A33603">
        <w:t>individuals,</w:t>
      </w:r>
      <w:r w:rsidR="008E2A19">
        <w:t xml:space="preserve"> </w:t>
      </w:r>
      <w:r w:rsidR="00A33603">
        <w:t xml:space="preserve">this was used to represent </w:t>
      </w:r>
      <w:r>
        <w:t>wages. This wage is assumed for general respondents because of the variety of types</w:t>
      </w:r>
      <w:r w:rsidR="008E2A19">
        <w:t xml:space="preserve"> of occupations</w:t>
      </w:r>
      <w:r>
        <w:t xml:space="preserve"> expected.</w:t>
      </w:r>
    </w:p>
    <w:p w14:paraId="55FE17EC" w14:textId="775707A2" w:rsidR="004A13E8" w:rsidRDefault="00B77E8C" w:rsidP="00AB6310">
      <w:pPr>
        <w:spacing w:before="240" w:line="240" w:lineRule="auto"/>
      </w:pPr>
      <w:r>
        <w:t>Table 12-</w:t>
      </w:r>
      <w:r w:rsidR="004A13E8">
        <w:t>B.</w:t>
      </w:r>
      <w:r w:rsidR="00C553B7">
        <w:t xml:space="preserve"> Estimated Burden Costs</w:t>
      </w:r>
      <w:r w:rsidR="009B0947">
        <w:t xml:space="preserve"> </w:t>
      </w:r>
    </w:p>
    <w:tbl>
      <w:tblPr>
        <w:tblStyle w:val="TableGrid"/>
        <w:tblW w:w="10075" w:type="dxa"/>
        <w:tblLook w:val="04A0" w:firstRow="1" w:lastRow="0" w:firstColumn="1" w:lastColumn="0" w:noHBand="0" w:noVBand="1"/>
      </w:tblPr>
      <w:tblGrid>
        <w:gridCol w:w="1435"/>
        <w:gridCol w:w="3150"/>
        <w:gridCol w:w="1800"/>
        <w:gridCol w:w="1675"/>
        <w:gridCol w:w="2015"/>
      </w:tblGrid>
      <w:tr w:rsidR="004A13E8" w14:paraId="55FE17F2" w14:textId="77777777" w:rsidTr="00204803">
        <w:tc>
          <w:tcPr>
            <w:tcW w:w="1435" w:type="dxa"/>
          </w:tcPr>
          <w:p w14:paraId="55FE17ED" w14:textId="77777777" w:rsidR="004A13E8" w:rsidRDefault="004A13E8" w:rsidP="00AB6310">
            <w:r>
              <w:t>Type of Respondent</w:t>
            </w:r>
          </w:p>
        </w:tc>
        <w:tc>
          <w:tcPr>
            <w:tcW w:w="3150" w:type="dxa"/>
          </w:tcPr>
          <w:p w14:paraId="55FE17EE" w14:textId="77777777" w:rsidR="004A13E8" w:rsidRDefault="004A13E8" w:rsidP="00AB6310">
            <w:r>
              <w:t>Form Name</w:t>
            </w:r>
          </w:p>
        </w:tc>
        <w:tc>
          <w:tcPr>
            <w:tcW w:w="1800" w:type="dxa"/>
          </w:tcPr>
          <w:p w14:paraId="55FE17EF" w14:textId="77777777" w:rsidR="004A13E8" w:rsidRDefault="004A13E8" w:rsidP="00AB6310">
            <w:r>
              <w:t>Total Burden Hours</w:t>
            </w:r>
          </w:p>
        </w:tc>
        <w:tc>
          <w:tcPr>
            <w:tcW w:w="1675" w:type="dxa"/>
          </w:tcPr>
          <w:p w14:paraId="55FE17F0" w14:textId="77777777" w:rsidR="004A13E8" w:rsidRDefault="004A13E8" w:rsidP="00AB6310">
            <w:r>
              <w:t>Hourly Wage Rate</w:t>
            </w:r>
          </w:p>
        </w:tc>
        <w:tc>
          <w:tcPr>
            <w:tcW w:w="2015" w:type="dxa"/>
          </w:tcPr>
          <w:p w14:paraId="55FE17F1" w14:textId="77777777" w:rsidR="004A13E8" w:rsidRDefault="004A13E8" w:rsidP="00AB6310">
            <w:r>
              <w:t>Total Respondent Costs</w:t>
            </w:r>
          </w:p>
        </w:tc>
      </w:tr>
      <w:tr w:rsidR="00A33603" w14:paraId="55FE17F8" w14:textId="77777777" w:rsidTr="00204803">
        <w:tc>
          <w:tcPr>
            <w:tcW w:w="1435" w:type="dxa"/>
          </w:tcPr>
          <w:p w14:paraId="55FE17F3" w14:textId="1A266813" w:rsidR="00A33603" w:rsidRDefault="00A33603" w:rsidP="00AB6310">
            <w:r>
              <w:t>Individuals</w:t>
            </w:r>
          </w:p>
        </w:tc>
        <w:tc>
          <w:tcPr>
            <w:tcW w:w="3150" w:type="dxa"/>
          </w:tcPr>
          <w:p w14:paraId="55FE17F4" w14:textId="31CE2BB5" w:rsidR="00A33603" w:rsidRDefault="00AE3A7D" w:rsidP="00AB6310">
            <w:r w:rsidRPr="00AE3A7D">
              <w:t>Understanding Vaping Practices in the United States Survey</w:t>
            </w:r>
            <w:r w:rsidR="00B56BD6">
              <w:t xml:space="preserve"> (Att. </w:t>
            </w:r>
            <w:r w:rsidR="00DF3E93">
              <w:t>2</w:t>
            </w:r>
            <w:r w:rsidR="00B56BD6">
              <w:t>)</w:t>
            </w:r>
          </w:p>
        </w:tc>
        <w:tc>
          <w:tcPr>
            <w:tcW w:w="1800" w:type="dxa"/>
          </w:tcPr>
          <w:p w14:paraId="55FE17F5" w14:textId="479D5275" w:rsidR="00A33603" w:rsidRDefault="00BF55D7" w:rsidP="00AB6310">
            <w:r>
              <w:t>5,000</w:t>
            </w:r>
          </w:p>
        </w:tc>
        <w:tc>
          <w:tcPr>
            <w:tcW w:w="1675" w:type="dxa"/>
          </w:tcPr>
          <w:p w14:paraId="55FE17F6" w14:textId="5E08B0E1" w:rsidR="00A33603" w:rsidRDefault="00A33603" w:rsidP="00AB6310">
            <w:r>
              <w:t>$18.12</w:t>
            </w:r>
          </w:p>
        </w:tc>
        <w:tc>
          <w:tcPr>
            <w:tcW w:w="2015" w:type="dxa"/>
          </w:tcPr>
          <w:p w14:paraId="55FE17F7" w14:textId="1E8F741A" w:rsidR="00A33603" w:rsidRDefault="00A33603" w:rsidP="00AB6310">
            <w:r>
              <w:t>$</w:t>
            </w:r>
            <w:r w:rsidR="00BF55D7">
              <w:t>90,600</w:t>
            </w:r>
          </w:p>
        </w:tc>
      </w:tr>
      <w:tr w:rsidR="00A33603" w14:paraId="55FE17FC" w14:textId="77777777" w:rsidTr="00204803">
        <w:tc>
          <w:tcPr>
            <w:tcW w:w="1435" w:type="dxa"/>
          </w:tcPr>
          <w:p w14:paraId="55FE17F9" w14:textId="77777777" w:rsidR="00A33603" w:rsidRPr="00DC08D0" w:rsidRDefault="00A33603" w:rsidP="00AB6310">
            <w:pPr>
              <w:rPr>
                <w:b/>
              </w:rPr>
            </w:pPr>
            <w:r>
              <w:rPr>
                <w:b/>
              </w:rPr>
              <w:t>Total</w:t>
            </w:r>
          </w:p>
        </w:tc>
        <w:tc>
          <w:tcPr>
            <w:tcW w:w="6625" w:type="dxa"/>
            <w:gridSpan w:val="3"/>
          </w:tcPr>
          <w:p w14:paraId="55FE17FA" w14:textId="77777777" w:rsidR="00A33603" w:rsidRDefault="00A33603" w:rsidP="00AB6310"/>
        </w:tc>
        <w:tc>
          <w:tcPr>
            <w:tcW w:w="2015" w:type="dxa"/>
            <w:vAlign w:val="center"/>
          </w:tcPr>
          <w:p w14:paraId="55FE17FB" w14:textId="0491FA84" w:rsidR="00A33603" w:rsidRDefault="008E2A19" w:rsidP="00AB6310">
            <w:r>
              <w:t>$</w:t>
            </w:r>
            <w:r w:rsidR="001F47A0">
              <w:t>90,600</w:t>
            </w:r>
          </w:p>
        </w:tc>
      </w:tr>
    </w:tbl>
    <w:p w14:paraId="26A2BE61" w14:textId="77777777" w:rsidR="008E2A19" w:rsidRDefault="008E2A19" w:rsidP="00AB6310">
      <w:pPr>
        <w:pStyle w:val="Heading1"/>
        <w:numPr>
          <w:ilvl w:val="0"/>
          <w:numId w:val="0"/>
        </w:numPr>
        <w:ind w:left="360" w:hanging="360"/>
      </w:pPr>
    </w:p>
    <w:p w14:paraId="55FE17FE" w14:textId="1B33A08B" w:rsidR="004A13E8" w:rsidRDefault="008E2A19" w:rsidP="00AB6310">
      <w:pPr>
        <w:pStyle w:val="Heading1"/>
        <w:numPr>
          <w:ilvl w:val="0"/>
          <w:numId w:val="0"/>
        </w:numPr>
        <w:ind w:left="360" w:hanging="360"/>
      </w:pPr>
      <w:bookmarkStart w:id="17" w:name="_Toc3365143"/>
      <w:r>
        <w:t xml:space="preserve">13.  </w:t>
      </w:r>
      <w:r w:rsidR="004A13E8">
        <w:t xml:space="preserve">Estimates of Other Total Annual Cost Burden to </w:t>
      </w:r>
      <w:r w:rsidR="004A13E8" w:rsidRPr="008E2A19">
        <w:t>Respondents</w:t>
      </w:r>
      <w:r w:rsidR="004A13E8">
        <w:t xml:space="preserve"> or Record Keepers</w:t>
      </w:r>
      <w:bookmarkEnd w:id="17"/>
    </w:p>
    <w:p w14:paraId="5D230D23" w14:textId="2DF08A26" w:rsidR="0077262E" w:rsidRPr="00CD645B" w:rsidRDefault="0077262E" w:rsidP="0077262E">
      <w:pPr>
        <w:rPr>
          <w:rFonts w:cs="Times New Roman"/>
          <w:szCs w:val="24"/>
        </w:rPr>
      </w:pPr>
      <w:bookmarkStart w:id="18" w:name="_Toc3365144"/>
      <w:r w:rsidRPr="00CD645B">
        <w:rPr>
          <w:rFonts w:cs="Times New Roman"/>
          <w:szCs w:val="24"/>
        </w:rPr>
        <w:t xml:space="preserve">The requested data collection does not impose a financial burden on respondents, nor will respondents incur any expense other than the time spent </w:t>
      </w:r>
      <w:r>
        <w:rPr>
          <w:rFonts w:cs="Times New Roman"/>
          <w:szCs w:val="24"/>
        </w:rPr>
        <w:t>participating completing the survey</w:t>
      </w:r>
      <w:r w:rsidRPr="00CD645B">
        <w:rPr>
          <w:rFonts w:cs="Times New Roman"/>
          <w:szCs w:val="24"/>
        </w:rPr>
        <w:t xml:space="preserve">. Therefore, there are no additional respondent costs associated with start-up or capital investments. There are also no operational, maintenance, or equipment respondent costs associated with participation in the </w:t>
      </w:r>
      <w:r>
        <w:rPr>
          <w:rFonts w:cs="Times New Roman"/>
          <w:szCs w:val="24"/>
        </w:rPr>
        <w:t>survey</w:t>
      </w:r>
      <w:r w:rsidRPr="00CD645B">
        <w:rPr>
          <w:rFonts w:cs="Times New Roman"/>
          <w:szCs w:val="24"/>
        </w:rPr>
        <w:t>.</w:t>
      </w:r>
    </w:p>
    <w:p w14:paraId="55FE1801" w14:textId="7F8FA3FB" w:rsidR="004A13E8" w:rsidRPr="008E2A19" w:rsidRDefault="008E2A19" w:rsidP="00AB6310">
      <w:pPr>
        <w:pStyle w:val="Heading1"/>
        <w:numPr>
          <w:ilvl w:val="0"/>
          <w:numId w:val="0"/>
        </w:numPr>
        <w:ind w:left="360" w:hanging="360"/>
      </w:pPr>
      <w:r w:rsidRPr="008E2A19">
        <w:t xml:space="preserve">14.  </w:t>
      </w:r>
      <w:r w:rsidR="004A13E8" w:rsidRPr="008E2A19">
        <w:t>Annualized Cost to the Government</w:t>
      </w:r>
      <w:bookmarkEnd w:id="18"/>
    </w:p>
    <w:p w14:paraId="3D4C0476" w14:textId="15E5F315" w:rsidR="00234AA9" w:rsidRDefault="00B77E8C" w:rsidP="00AB6310">
      <w:pPr>
        <w:autoSpaceDE w:val="0"/>
        <w:autoSpaceDN w:val="0"/>
        <w:adjustRightInd w:val="0"/>
        <w:spacing w:line="240" w:lineRule="auto"/>
        <w:rPr>
          <w:color w:val="000000"/>
        </w:rPr>
      </w:pPr>
      <w:r w:rsidRPr="008E42F2">
        <w:rPr>
          <w:color w:val="000000"/>
        </w:rPr>
        <w:t>The estimated average annual cost to the federal government for the proposed inform</w:t>
      </w:r>
      <w:r w:rsidR="00633E15" w:rsidRPr="008E42F2">
        <w:rPr>
          <w:color w:val="000000"/>
        </w:rPr>
        <w:t>ation collection activities is $</w:t>
      </w:r>
      <w:r w:rsidR="009869D8">
        <w:rPr>
          <w:color w:val="000000"/>
        </w:rPr>
        <w:t>104,232</w:t>
      </w:r>
      <w:r w:rsidR="00A4776C" w:rsidRPr="008E42F2">
        <w:rPr>
          <w:color w:val="000000"/>
        </w:rPr>
        <w:t>, which includes CDC staff time/resources and the amount awarded to YouGov to conduct the survey</w:t>
      </w:r>
      <w:r w:rsidR="000D0588">
        <w:rPr>
          <w:color w:val="000000"/>
        </w:rPr>
        <w:t xml:space="preserve"> ($95,000)</w:t>
      </w:r>
      <w:r w:rsidRPr="008E42F2">
        <w:rPr>
          <w:color w:val="000000"/>
        </w:rPr>
        <w:t xml:space="preserve">. This figure encompasses </w:t>
      </w:r>
      <w:r w:rsidR="000E74A7" w:rsidRPr="008E42F2">
        <w:rPr>
          <w:color w:val="000000"/>
        </w:rPr>
        <w:t>50</w:t>
      </w:r>
      <w:r w:rsidRPr="008E42F2">
        <w:rPr>
          <w:color w:val="000000"/>
        </w:rPr>
        <w:t xml:space="preserve">% FTE </w:t>
      </w:r>
      <w:r w:rsidR="000E74A7" w:rsidRPr="008E42F2">
        <w:rPr>
          <w:color w:val="000000"/>
        </w:rPr>
        <w:t>for three</w:t>
      </w:r>
      <w:r w:rsidR="00DD0E60" w:rsidRPr="008E42F2">
        <w:rPr>
          <w:color w:val="000000"/>
        </w:rPr>
        <w:t xml:space="preserve"> employees </w:t>
      </w:r>
      <w:r w:rsidRPr="008E42F2">
        <w:rPr>
          <w:color w:val="000000"/>
        </w:rPr>
        <w:t xml:space="preserve">for </w:t>
      </w:r>
      <w:r w:rsidR="007D7CEF" w:rsidRPr="008E42F2">
        <w:rPr>
          <w:color w:val="000000"/>
        </w:rPr>
        <w:t>3</w:t>
      </w:r>
      <w:r w:rsidR="00234AA9" w:rsidRPr="008E42F2">
        <w:rPr>
          <w:color w:val="000000"/>
        </w:rPr>
        <w:t xml:space="preserve"> week</w:t>
      </w:r>
      <w:r w:rsidR="000E74A7" w:rsidRPr="008E42F2">
        <w:rPr>
          <w:color w:val="000000"/>
        </w:rPr>
        <w:t>s</w:t>
      </w:r>
      <w:r w:rsidR="00DD0E60" w:rsidRPr="008E42F2">
        <w:rPr>
          <w:color w:val="000000"/>
        </w:rPr>
        <w:t xml:space="preserve"> doing data </w:t>
      </w:r>
      <w:r w:rsidRPr="008E42F2">
        <w:rPr>
          <w:color w:val="000000"/>
        </w:rPr>
        <w:t>analysis</w:t>
      </w:r>
      <w:r w:rsidR="008357A7" w:rsidRPr="008E42F2">
        <w:rPr>
          <w:color w:val="000000"/>
        </w:rPr>
        <w:t xml:space="preserve">. </w:t>
      </w:r>
      <w:r w:rsidR="007D7CEF" w:rsidRPr="008E42F2">
        <w:rPr>
          <w:rFonts w:cs="Times New Roman"/>
          <w:color w:val="000000" w:themeColor="text1"/>
          <w:szCs w:val="24"/>
        </w:rPr>
        <w:t>It is estimated that three CDC employees (one GS-14 health scientist, one GS-13 health scientist, and one captain in the commissioned corps) will be involved for approximately 50% of their time for three weeks</w:t>
      </w:r>
      <w:r w:rsidR="00377093" w:rsidRPr="008E42F2">
        <w:rPr>
          <w:rFonts w:cs="Times New Roman"/>
          <w:color w:val="000000" w:themeColor="text1"/>
          <w:szCs w:val="24"/>
        </w:rPr>
        <w:t xml:space="preserve"> (60 hours)</w:t>
      </w:r>
      <w:r w:rsidR="007D7CEF" w:rsidRPr="008E42F2">
        <w:rPr>
          <w:rFonts w:cs="Times New Roman"/>
          <w:color w:val="000000" w:themeColor="text1"/>
          <w:szCs w:val="24"/>
        </w:rPr>
        <w:t xml:space="preserve"> each. The three salaries are $56.34, $44.70, and $52.82 per hour, respectively. The direct annual costs in CDC staff time will be approximately $9,232 for the analysis period. </w:t>
      </w:r>
      <w:r w:rsidRPr="008E42F2">
        <w:rPr>
          <w:color w:val="000000"/>
        </w:rPr>
        <w:t xml:space="preserve">The average </w:t>
      </w:r>
      <w:r w:rsidR="003D3EDC" w:rsidRPr="008E42F2">
        <w:rPr>
          <w:color w:val="000000"/>
        </w:rPr>
        <w:t>salaries were</w:t>
      </w:r>
      <w:r w:rsidRPr="008E42F2">
        <w:rPr>
          <w:color w:val="000000"/>
        </w:rPr>
        <w:t xml:space="preserve"> obtained from the Office of Personnel Management’s website (https://www.opm.gov/policy-data-oversight/pay-leave/salaries-wages/201</w:t>
      </w:r>
      <w:r w:rsidR="003D3EDC" w:rsidRPr="008E42F2">
        <w:rPr>
          <w:color w:val="000000"/>
        </w:rPr>
        <w:t>9</w:t>
      </w:r>
      <w:r w:rsidRPr="008E42F2">
        <w:rPr>
          <w:color w:val="000000"/>
        </w:rPr>
        <w:t xml:space="preserve">/general-schedule/). </w:t>
      </w:r>
    </w:p>
    <w:p w14:paraId="6A0AFB86" w14:textId="77777777" w:rsidR="00B31088" w:rsidRPr="00B77E8C" w:rsidRDefault="00B31088" w:rsidP="00AB6310">
      <w:pPr>
        <w:autoSpaceDE w:val="0"/>
        <w:autoSpaceDN w:val="0"/>
        <w:adjustRightInd w:val="0"/>
        <w:spacing w:line="240" w:lineRule="auto"/>
        <w:rPr>
          <w:color w:val="000000"/>
        </w:rPr>
      </w:pPr>
    </w:p>
    <w:tbl>
      <w:tblPr>
        <w:tblStyle w:val="TableGrid"/>
        <w:tblW w:w="0" w:type="auto"/>
        <w:tblInd w:w="-5" w:type="dxa"/>
        <w:tblLook w:val="01E0" w:firstRow="1" w:lastRow="1" w:firstColumn="1" w:lastColumn="1" w:noHBand="0" w:noVBand="0"/>
      </w:tblPr>
      <w:tblGrid>
        <w:gridCol w:w="2070"/>
        <w:gridCol w:w="2430"/>
        <w:gridCol w:w="2160"/>
        <w:gridCol w:w="1872"/>
        <w:gridCol w:w="1543"/>
      </w:tblGrid>
      <w:tr w:rsidR="00B77E8C" w:rsidRPr="005A1D72" w14:paraId="68B3877D" w14:textId="77777777" w:rsidTr="00B77E8C">
        <w:tc>
          <w:tcPr>
            <w:tcW w:w="10075" w:type="dxa"/>
            <w:gridSpan w:val="5"/>
          </w:tcPr>
          <w:p w14:paraId="3CD23E79" w14:textId="77777777" w:rsidR="00B77E8C" w:rsidRDefault="00B77E8C" w:rsidP="00AB6310">
            <w:pPr>
              <w:autoSpaceDE w:val="0"/>
              <w:autoSpaceDN w:val="0"/>
              <w:adjustRightInd w:val="0"/>
              <w:spacing w:before="60" w:after="60"/>
              <w:rPr>
                <w:b/>
                <w:color w:val="000000"/>
              </w:rPr>
            </w:pPr>
            <w:r w:rsidRPr="005A1D72">
              <w:rPr>
                <w:b/>
                <w:color w:val="000000"/>
              </w:rPr>
              <w:t>Estimated Annualized Cost to the Government per Activity and Total</w:t>
            </w:r>
          </w:p>
        </w:tc>
      </w:tr>
      <w:tr w:rsidR="00B77E8C" w:rsidRPr="005A1D72" w14:paraId="47F580E8" w14:textId="77777777" w:rsidTr="00B77E8C">
        <w:tc>
          <w:tcPr>
            <w:tcW w:w="2070" w:type="dxa"/>
          </w:tcPr>
          <w:p w14:paraId="4A61B6F4" w14:textId="77777777" w:rsidR="00B77E8C" w:rsidRPr="005A1D72" w:rsidRDefault="00B77E8C" w:rsidP="00AB6310">
            <w:pPr>
              <w:autoSpaceDE w:val="0"/>
              <w:autoSpaceDN w:val="0"/>
              <w:adjustRightInd w:val="0"/>
              <w:spacing w:before="60" w:after="60"/>
              <w:rPr>
                <w:color w:val="000000"/>
              </w:rPr>
            </w:pPr>
            <w:r>
              <w:rPr>
                <w:color w:val="000000"/>
              </w:rPr>
              <w:t>Activity</w:t>
            </w:r>
          </w:p>
        </w:tc>
        <w:tc>
          <w:tcPr>
            <w:tcW w:w="2430" w:type="dxa"/>
          </w:tcPr>
          <w:p w14:paraId="21B481BD" w14:textId="77777777" w:rsidR="00B77E8C" w:rsidRPr="005A1D72" w:rsidRDefault="00B77E8C" w:rsidP="00AB6310">
            <w:pPr>
              <w:autoSpaceDE w:val="0"/>
              <w:autoSpaceDN w:val="0"/>
              <w:adjustRightInd w:val="0"/>
              <w:spacing w:before="60" w:after="60"/>
              <w:rPr>
                <w:color w:val="000000"/>
              </w:rPr>
            </w:pPr>
            <w:r>
              <w:t>Time in hours required to perform activity</w:t>
            </w:r>
          </w:p>
        </w:tc>
        <w:tc>
          <w:tcPr>
            <w:tcW w:w="2160" w:type="dxa"/>
          </w:tcPr>
          <w:p w14:paraId="24E1F3FF" w14:textId="77777777" w:rsidR="00B77E8C" w:rsidRPr="005A1D72" w:rsidRDefault="00B77E8C" w:rsidP="00AB6310">
            <w:pPr>
              <w:autoSpaceDE w:val="0"/>
              <w:autoSpaceDN w:val="0"/>
              <w:adjustRightInd w:val="0"/>
              <w:spacing w:before="60" w:after="60"/>
              <w:rPr>
                <w:color w:val="000000"/>
              </w:rPr>
            </w:pPr>
            <w:r>
              <w:t>Number of employees performing activity</w:t>
            </w:r>
          </w:p>
        </w:tc>
        <w:tc>
          <w:tcPr>
            <w:tcW w:w="1872" w:type="dxa"/>
          </w:tcPr>
          <w:p w14:paraId="0B5A4A4B" w14:textId="77777777" w:rsidR="00B77E8C" w:rsidRDefault="00B77E8C" w:rsidP="00AB6310">
            <w:pPr>
              <w:autoSpaceDE w:val="0"/>
              <w:autoSpaceDN w:val="0"/>
              <w:adjustRightInd w:val="0"/>
              <w:spacing w:before="60" w:after="60"/>
              <w:rPr>
                <w:color w:val="000000"/>
              </w:rPr>
            </w:pPr>
            <w:r>
              <w:t>Average hourly wage of staff reviewing data</w:t>
            </w:r>
          </w:p>
        </w:tc>
        <w:tc>
          <w:tcPr>
            <w:tcW w:w="1543" w:type="dxa"/>
          </w:tcPr>
          <w:p w14:paraId="21E0CBC1" w14:textId="77777777" w:rsidR="00B77E8C" w:rsidRDefault="00B77E8C" w:rsidP="00AB6310">
            <w:pPr>
              <w:autoSpaceDE w:val="0"/>
              <w:autoSpaceDN w:val="0"/>
              <w:adjustRightInd w:val="0"/>
              <w:spacing w:before="60" w:after="60"/>
              <w:rPr>
                <w:color w:val="000000"/>
              </w:rPr>
            </w:pPr>
            <w:r>
              <w:t>Total Estimated Yearly Cost</w:t>
            </w:r>
          </w:p>
        </w:tc>
      </w:tr>
      <w:tr w:rsidR="00B77E8C" w:rsidRPr="005A1D72" w14:paraId="689D4C57" w14:textId="77777777" w:rsidTr="00B77E8C">
        <w:tc>
          <w:tcPr>
            <w:tcW w:w="2070" w:type="dxa"/>
          </w:tcPr>
          <w:p w14:paraId="3DCCE793" w14:textId="77777777" w:rsidR="00B77E8C" w:rsidRDefault="00B77E8C" w:rsidP="00AB6310">
            <w:pPr>
              <w:autoSpaceDE w:val="0"/>
              <w:autoSpaceDN w:val="0"/>
              <w:adjustRightInd w:val="0"/>
              <w:spacing w:before="60" w:after="60"/>
              <w:rPr>
                <w:color w:val="000000"/>
              </w:rPr>
            </w:pPr>
            <w:r>
              <w:rPr>
                <w:color w:val="000000"/>
              </w:rPr>
              <w:t>Data analysis</w:t>
            </w:r>
          </w:p>
        </w:tc>
        <w:tc>
          <w:tcPr>
            <w:tcW w:w="2430" w:type="dxa"/>
          </w:tcPr>
          <w:p w14:paraId="78DCC8CB" w14:textId="0405C170" w:rsidR="00B77E8C" w:rsidRDefault="00B77E8C" w:rsidP="00AB6310">
            <w:pPr>
              <w:autoSpaceDE w:val="0"/>
              <w:autoSpaceDN w:val="0"/>
              <w:adjustRightInd w:val="0"/>
              <w:spacing w:before="60" w:after="60"/>
              <w:rPr>
                <w:color w:val="000000"/>
              </w:rPr>
            </w:pPr>
            <w:r>
              <w:rPr>
                <w:color w:val="000000"/>
              </w:rPr>
              <w:t xml:space="preserve"> </w:t>
            </w:r>
            <w:r w:rsidR="002A6D7A">
              <w:rPr>
                <w:color w:val="000000"/>
              </w:rPr>
              <w:t>60</w:t>
            </w:r>
          </w:p>
        </w:tc>
        <w:tc>
          <w:tcPr>
            <w:tcW w:w="2160" w:type="dxa"/>
          </w:tcPr>
          <w:p w14:paraId="490FFE25" w14:textId="6BDAA992" w:rsidR="00B77E8C" w:rsidRDefault="002A6D7A" w:rsidP="00AB6310">
            <w:pPr>
              <w:autoSpaceDE w:val="0"/>
              <w:autoSpaceDN w:val="0"/>
              <w:adjustRightInd w:val="0"/>
              <w:spacing w:before="60" w:after="60"/>
              <w:rPr>
                <w:color w:val="000000"/>
              </w:rPr>
            </w:pPr>
            <w:r>
              <w:rPr>
                <w:color w:val="000000"/>
              </w:rPr>
              <w:t>3</w:t>
            </w:r>
          </w:p>
        </w:tc>
        <w:tc>
          <w:tcPr>
            <w:tcW w:w="1872" w:type="dxa"/>
          </w:tcPr>
          <w:p w14:paraId="0595A896" w14:textId="768A2599" w:rsidR="00B77E8C" w:rsidRDefault="00DD0E60" w:rsidP="00AB6310">
            <w:pPr>
              <w:autoSpaceDE w:val="0"/>
              <w:autoSpaceDN w:val="0"/>
              <w:adjustRightInd w:val="0"/>
              <w:spacing w:before="60" w:after="60"/>
              <w:rPr>
                <w:color w:val="000000"/>
              </w:rPr>
            </w:pPr>
            <w:r>
              <w:rPr>
                <w:color w:val="000000"/>
              </w:rPr>
              <w:t>$</w:t>
            </w:r>
            <w:r w:rsidR="002A6D7A">
              <w:rPr>
                <w:color w:val="000000"/>
              </w:rPr>
              <w:t>51.29</w:t>
            </w:r>
          </w:p>
        </w:tc>
        <w:tc>
          <w:tcPr>
            <w:tcW w:w="1543" w:type="dxa"/>
          </w:tcPr>
          <w:p w14:paraId="59713F7C" w14:textId="34355569" w:rsidR="00B77E8C" w:rsidRDefault="00DD0E60" w:rsidP="00AB6310">
            <w:pPr>
              <w:autoSpaceDE w:val="0"/>
              <w:autoSpaceDN w:val="0"/>
              <w:adjustRightInd w:val="0"/>
              <w:spacing w:before="60" w:after="60"/>
              <w:rPr>
                <w:color w:val="000000"/>
              </w:rPr>
            </w:pPr>
            <w:r>
              <w:rPr>
                <w:color w:val="000000"/>
              </w:rPr>
              <w:t>$</w:t>
            </w:r>
            <w:r w:rsidR="002A6D7A">
              <w:rPr>
                <w:color w:val="000000"/>
              </w:rPr>
              <w:t>9,232</w:t>
            </w:r>
          </w:p>
        </w:tc>
      </w:tr>
      <w:tr w:rsidR="00B77E8C" w:rsidRPr="005A1D72" w14:paraId="7742FE1A" w14:textId="77777777" w:rsidTr="00B77E8C">
        <w:tc>
          <w:tcPr>
            <w:tcW w:w="8532" w:type="dxa"/>
            <w:gridSpan w:val="4"/>
            <w:vAlign w:val="center"/>
          </w:tcPr>
          <w:p w14:paraId="75868CB4" w14:textId="77777777" w:rsidR="00B77E8C" w:rsidRPr="00793348" w:rsidRDefault="00B77E8C" w:rsidP="00AB6310">
            <w:pPr>
              <w:tabs>
                <w:tab w:val="left" w:pos="1380"/>
              </w:tabs>
              <w:autoSpaceDE w:val="0"/>
              <w:autoSpaceDN w:val="0"/>
              <w:adjustRightInd w:val="0"/>
              <w:spacing w:before="60" w:after="60"/>
              <w:rPr>
                <w:b/>
                <w:color w:val="000000"/>
              </w:rPr>
            </w:pPr>
            <w:r w:rsidRPr="00793348">
              <w:rPr>
                <w:b/>
                <w:color w:val="000000"/>
              </w:rPr>
              <w:t>Total</w:t>
            </w:r>
          </w:p>
        </w:tc>
        <w:tc>
          <w:tcPr>
            <w:tcW w:w="1543" w:type="dxa"/>
          </w:tcPr>
          <w:p w14:paraId="45D0D332" w14:textId="7AF1DE44" w:rsidR="00B77E8C" w:rsidRDefault="00B77E8C" w:rsidP="00AB6310">
            <w:pPr>
              <w:autoSpaceDE w:val="0"/>
              <w:autoSpaceDN w:val="0"/>
              <w:adjustRightInd w:val="0"/>
              <w:spacing w:before="60" w:after="60"/>
              <w:rPr>
                <w:color w:val="000000"/>
              </w:rPr>
            </w:pPr>
            <w:r w:rsidRPr="009E6881">
              <w:rPr>
                <w:color w:val="000000"/>
              </w:rPr>
              <w:t>$</w:t>
            </w:r>
            <w:r w:rsidR="002A6D7A">
              <w:rPr>
                <w:color w:val="000000"/>
              </w:rPr>
              <w:t>9,232</w:t>
            </w:r>
          </w:p>
        </w:tc>
      </w:tr>
    </w:tbl>
    <w:p w14:paraId="7303046B" w14:textId="3C74AEC6" w:rsidR="0092229A" w:rsidRPr="0092229A" w:rsidRDefault="0092229A" w:rsidP="00AB6310">
      <w:pPr>
        <w:pStyle w:val="Heading1"/>
        <w:numPr>
          <w:ilvl w:val="0"/>
          <w:numId w:val="0"/>
        </w:numPr>
        <w:spacing w:before="240"/>
        <w:ind w:left="360" w:hanging="360"/>
        <w:rPr>
          <w:b w:val="0"/>
        </w:rPr>
      </w:pPr>
      <w:bookmarkStart w:id="19" w:name="_Toc3365145"/>
      <w:r>
        <w:rPr>
          <w:b w:val="0"/>
        </w:rPr>
        <w:t>The total cost to the government over the study period is $</w:t>
      </w:r>
      <w:r w:rsidR="00DB3C30">
        <w:rPr>
          <w:b w:val="0"/>
          <w:u w:val="single"/>
        </w:rPr>
        <w:t>104,232</w:t>
      </w:r>
      <w:r>
        <w:rPr>
          <w:b w:val="0"/>
        </w:rPr>
        <w:t>.</w:t>
      </w:r>
    </w:p>
    <w:p w14:paraId="446434C2" w14:textId="77777777" w:rsidR="0092229A" w:rsidRDefault="0092229A" w:rsidP="00AB6310">
      <w:pPr>
        <w:pStyle w:val="Heading1"/>
        <w:numPr>
          <w:ilvl w:val="0"/>
          <w:numId w:val="0"/>
        </w:numPr>
        <w:spacing w:before="240"/>
        <w:ind w:left="360" w:hanging="360"/>
      </w:pPr>
    </w:p>
    <w:p w14:paraId="55FE1810" w14:textId="55CD69E4" w:rsidR="004A13E8" w:rsidRDefault="00234AA9" w:rsidP="00AB6310">
      <w:pPr>
        <w:pStyle w:val="Heading1"/>
        <w:numPr>
          <w:ilvl w:val="0"/>
          <w:numId w:val="0"/>
        </w:numPr>
        <w:spacing w:before="240"/>
        <w:ind w:left="360" w:hanging="360"/>
      </w:pPr>
      <w:r>
        <w:t xml:space="preserve">15.  </w:t>
      </w:r>
      <w:r w:rsidR="004A13E8">
        <w:t>Explanation for Program Changes or Adjustments</w:t>
      </w:r>
      <w:bookmarkEnd w:id="19"/>
    </w:p>
    <w:p w14:paraId="4A046443" w14:textId="1C05CA9D" w:rsidR="007E0533" w:rsidRPr="007E0533" w:rsidRDefault="00B77E8C" w:rsidP="00AB6310">
      <w:pPr>
        <w:spacing w:line="240" w:lineRule="auto"/>
      </w:pPr>
      <w:bookmarkStart w:id="20" w:name="_Toc295817068"/>
      <w:bookmarkStart w:id="21" w:name="_Toc295817603"/>
      <w:bookmarkStart w:id="22" w:name="_Toc295818084"/>
      <w:bookmarkStart w:id="23" w:name="_Toc295819857"/>
      <w:r w:rsidRPr="005A1D72">
        <w:t xml:space="preserve">This is </w:t>
      </w:r>
      <w:r>
        <w:t xml:space="preserve">a </w:t>
      </w:r>
      <w:r w:rsidRPr="005A1D72">
        <w:t>new information collection.</w:t>
      </w:r>
      <w:bookmarkEnd w:id="20"/>
      <w:bookmarkEnd w:id="21"/>
      <w:bookmarkEnd w:id="22"/>
      <w:bookmarkEnd w:id="23"/>
    </w:p>
    <w:p w14:paraId="55FE1812" w14:textId="604E78B3" w:rsidR="004A13E8" w:rsidRDefault="00234AA9" w:rsidP="00AB6310">
      <w:pPr>
        <w:pStyle w:val="Heading1"/>
        <w:numPr>
          <w:ilvl w:val="0"/>
          <w:numId w:val="0"/>
        </w:numPr>
        <w:ind w:left="360" w:hanging="360"/>
      </w:pPr>
      <w:bookmarkStart w:id="24" w:name="_Toc3365146"/>
      <w:r>
        <w:t xml:space="preserve">16.  </w:t>
      </w:r>
      <w:r w:rsidR="004A13E8">
        <w:t>Plans for Tabulation and Publication and Project Time Schedule</w:t>
      </w:r>
      <w:bookmarkEnd w:id="24"/>
    </w:p>
    <w:p w14:paraId="3D795AAC" w14:textId="79259840" w:rsidR="00EE1A2B" w:rsidRPr="00EE1A2B" w:rsidRDefault="00EE1A2B" w:rsidP="00AB6310">
      <w:pPr>
        <w:spacing w:line="240" w:lineRule="auto"/>
      </w:pPr>
      <w:r>
        <w:rPr>
          <w:rFonts w:cs="Times New Roman"/>
          <w:szCs w:val="24"/>
        </w:rPr>
        <w:t>Table 16A</w:t>
      </w:r>
      <w:r w:rsidR="00A82DAD">
        <w:rPr>
          <w:rFonts w:cs="Times New Roman"/>
          <w:szCs w:val="24"/>
        </w:rPr>
        <w:t xml:space="preserve"> </w:t>
      </w:r>
      <w:r>
        <w:rPr>
          <w:rFonts w:cs="Times New Roman"/>
          <w:szCs w:val="24"/>
        </w:rPr>
        <w:t xml:space="preserve">- </w:t>
      </w:r>
      <w:r>
        <w:t>Project Time Schedule</w:t>
      </w:r>
    </w:p>
    <w:tbl>
      <w:tblPr>
        <w:tblStyle w:val="TableGrid"/>
        <w:tblW w:w="0" w:type="auto"/>
        <w:tblLook w:val="04A0" w:firstRow="1" w:lastRow="0" w:firstColumn="1" w:lastColumn="0" w:noHBand="0" w:noVBand="1"/>
      </w:tblPr>
      <w:tblGrid>
        <w:gridCol w:w="5035"/>
        <w:gridCol w:w="5035"/>
      </w:tblGrid>
      <w:tr w:rsidR="004A13E8" w14:paraId="55FE1818" w14:textId="77777777" w:rsidTr="004A13E8">
        <w:tc>
          <w:tcPr>
            <w:tcW w:w="5035" w:type="dxa"/>
            <w:vAlign w:val="center"/>
          </w:tcPr>
          <w:p w14:paraId="55FE1816" w14:textId="77777777" w:rsidR="004A13E8" w:rsidRDefault="004A13E8" w:rsidP="00AB6310">
            <w:r>
              <w:t>Activity</w:t>
            </w:r>
          </w:p>
        </w:tc>
        <w:tc>
          <w:tcPr>
            <w:tcW w:w="5035" w:type="dxa"/>
            <w:vAlign w:val="center"/>
          </w:tcPr>
          <w:p w14:paraId="55FE1817" w14:textId="77777777" w:rsidR="004A13E8" w:rsidRDefault="004A13E8" w:rsidP="00AB6310">
            <w:r>
              <w:t>Time Schedule</w:t>
            </w:r>
          </w:p>
        </w:tc>
      </w:tr>
      <w:tr w:rsidR="004A13E8" w14:paraId="55FE181B" w14:textId="77777777" w:rsidTr="004A13E8">
        <w:tc>
          <w:tcPr>
            <w:tcW w:w="5035" w:type="dxa"/>
          </w:tcPr>
          <w:p w14:paraId="55FE1819" w14:textId="1FAAF6CA" w:rsidR="004A13E8" w:rsidRDefault="00DD0E60" w:rsidP="00AB6310">
            <w:r>
              <w:t>Data collection</w:t>
            </w:r>
          </w:p>
        </w:tc>
        <w:tc>
          <w:tcPr>
            <w:tcW w:w="5035" w:type="dxa"/>
          </w:tcPr>
          <w:p w14:paraId="55FE181A" w14:textId="3A315F54" w:rsidR="004A13E8" w:rsidRDefault="00633E15" w:rsidP="00AB6310">
            <w:r>
              <w:t>1 week</w:t>
            </w:r>
            <w:r w:rsidR="00DD0E60">
              <w:t xml:space="preserve"> after OMB approval</w:t>
            </w:r>
          </w:p>
        </w:tc>
      </w:tr>
      <w:tr w:rsidR="00DD0E60" w14:paraId="3B1A7C83" w14:textId="77777777" w:rsidTr="004A13E8">
        <w:tc>
          <w:tcPr>
            <w:tcW w:w="5035" w:type="dxa"/>
          </w:tcPr>
          <w:p w14:paraId="5769AEDB" w14:textId="2DABD6AF" w:rsidR="00DD0E60" w:rsidRDefault="00DD0E60" w:rsidP="00AB6310">
            <w:r>
              <w:t>Data analysis</w:t>
            </w:r>
          </w:p>
        </w:tc>
        <w:tc>
          <w:tcPr>
            <w:tcW w:w="5035" w:type="dxa"/>
          </w:tcPr>
          <w:p w14:paraId="0C65DEA1" w14:textId="50FB286D" w:rsidR="00DD0E60" w:rsidRDefault="00204803" w:rsidP="00AB6310">
            <w:r>
              <w:t>1</w:t>
            </w:r>
            <w:r w:rsidR="00DD0E60">
              <w:t xml:space="preserve"> months after OMB approval</w:t>
            </w:r>
          </w:p>
        </w:tc>
      </w:tr>
      <w:tr w:rsidR="004A13E8" w14:paraId="55FE181E" w14:textId="77777777" w:rsidTr="004A13E8">
        <w:tc>
          <w:tcPr>
            <w:tcW w:w="5035" w:type="dxa"/>
          </w:tcPr>
          <w:p w14:paraId="55FE181C" w14:textId="165E1561" w:rsidR="004A13E8" w:rsidRDefault="00DD0E60" w:rsidP="00AB6310">
            <w:r>
              <w:t>Generation of report</w:t>
            </w:r>
          </w:p>
        </w:tc>
        <w:tc>
          <w:tcPr>
            <w:tcW w:w="5035" w:type="dxa"/>
          </w:tcPr>
          <w:p w14:paraId="55FE181D" w14:textId="4E4AC7EC" w:rsidR="004A13E8" w:rsidRDefault="009265B9" w:rsidP="00AB6310">
            <w:r>
              <w:t>1.5</w:t>
            </w:r>
            <w:r w:rsidR="00DD0E60">
              <w:t xml:space="preserve"> months after OMB approval</w:t>
            </w:r>
          </w:p>
        </w:tc>
      </w:tr>
    </w:tbl>
    <w:p w14:paraId="00D4B17F" w14:textId="77777777" w:rsidR="007B161F" w:rsidRDefault="007B161F" w:rsidP="00AB6310">
      <w:pPr>
        <w:spacing w:line="240" w:lineRule="auto"/>
        <w:rPr>
          <w:rFonts w:cs="Times New Roman"/>
          <w:szCs w:val="24"/>
        </w:rPr>
      </w:pPr>
      <w:bookmarkStart w:id="25" w:name="_Toc3365147"/>
    </w:p>
    <w:p w14:paraId="68358D1D" w14:textId="25E478E9" w:rsidR="00473D83" w:rsidRPr="00CD645B" w:rsidRDefault="00473D83" w:rsidP="00473D83">
      <w:pPr>
        <w:pStyle w:val="BodyText"/>
        <w:spacing w:line="240" w:lineRule="auto"/>
        <w:rPr>
          <w:szCs w:val="24"/>
        </w:rPr>
      </w:pPr>
      <w:r w:rsidRPr="00CD645B">
        <w:rPr>
          <w:szCs w:val="24"/>
        </w:rPr>
        <w:t xml:space="preserve">Data analysis will focus on identifying results of the key questions. </w:t>
      </w:r>
      <w:r w:rsidR="00370BEC">
        <w:rPr>
          <w:szCs w:val="24"/>
        </w:rPr>
        <w:t>States, and potentially the public, will only receive summarized and analyzed data and not raw data.</w:t>
      </w:r>
    </w:p>
    <w:p w14:paraId="7AAA04B7" w14:textId="2A6E656B" w:rsidR="007B161F" w:rsidRDefault="007B161F" w:rsidP="00AB6310">
      <w:pPr>
        <w:spacing w:line="240" w:lineRule="auto"/>
        <w:rPr>
          <w:rFonts w:cs="Times New Roman"/>
          <w:szCs w:val="24"/>
        </w:rPr>
      </w:pPr>
    </w:p>
    <w:p w14:paraId="4D383F9B" w14:textId="5BA23705" w:rsidR="007C2BDD" w:rsidRDefault="007C2BDD" w:rsidP="00AB6310">
      <w:pPr>
        <w:spacing w:line="240" w:lineRule="auto"/>
        <w:rPr>
          <w:rFonts w:cs="Times New Roman"/>
          <w:szCs w:val="24"/>
        </w:rPr>
      </w:pPr>
      <w:r>
        <w:rPr>
          <w:rFonts w:cs="Times New Roman"/>
          <w:szCs w:val="24"/>
        </w:rPr>
        <w:t>Table 16B</w:t>
      </w:r>
      <w:r w:rsidR="00A82DAD">
        <w:rPr>
          <w:rFonts w:cs="Times New Roman"/>
          <w:szCs w:val="24"/>
        </w:rPr>
        <w:t xml:space="preserve"> </w:t>
      </w:r>
      <w:r>
        <w:rPr>
          <w:rFonts w:cs="Times New Roman"/>
          <w:szCs w:val="24"/>
        </w:rPr>
        <w:t>-</w:t>
      </w:r>
      <w:r w:rsidR="00125BEA">
        <w:rPr>
          <w:rFonts w:cs="Times New Roman"/>
          <w:szCs w:val="24"/>
        </w:rPr>
        <w:t xml:space="preserve"> I</w:t>
      </w:r>
      <w:r w:rsidRPr="00737739">
        <w:rPr>
          <w:rFonts w:cs="Times New Roman"/>
          <w:szCs w:val="24"/>
        </w:rPr>
        <w:t>nclusion criteria</w:t>
      </w:r>
    </w:p>
    <w:tbl>
      <w:tblPr>
        <w:tblStyle w:val="TableGrid"/>
        <w:tblW w:w="0" w:type="auto"/>
        <w:tblLook w:val="04A0" w:firstRow="1" w:lastRow="0" w:firstColumn="1" w:lastColumn="0" w:noHBand="0" w:noVBand="1"/>
      </w:tblPr>
      <w:tblGrid>
        <w:gridCol w:w="8635"/>
      </w:tblGrid>
      <w:tr w:rsidR="00A82DAD" w14:paraId="4CC7CD87" w14:textId="77777777" w:rsidTr="00A82DAD">
        <w:tc>
          <w:tcPr>
            <w:tcW w:w="8635" w:type="dxa"/>
          </w:tcPr>
          <w:p w14:paraId="13DDEB09" w14:textId="4FDC577A" w:rsidR="00A82DAD" w:rsidRPr="00A82DAD" w:rsidRDefault="00A82DAD" w:rsidP="00AB6310">
            <w:pPr>
              <w:rPr>
                <w:rFonts w:cs="Times New Roman"/>
                <w:b/>
                <w:szCs w:val="24"/>
              </w:rPr>
            </w:pPr>
            <w:r>
              <w:rPr>
                <w:rFonts w:cs="Times New Roman"/>
                <w:b/>
                <w:szCs w:val="24"/>
              </w:rPr>
              <w:t>Characteristics of Study Sample</w:t>
            </w:r>
          </w:p>
        </w:tc>
      </w:tr>
      <w:tr w:rsidR="00A82DAD" w14:paraId="3E14BE27" w14:textId="77777777" w:rsidTr="00A82DAD">
        <w:tc>
          <w:tcPr>
            <w:tcW w:w="8635" w:type="dxa"/>
          </w:tcPr>
          <w:p w14:paraId="282499A6" w14:textId="5F8F1395" w:rsidR="00A82DAD" w:rsidRDefault="00A82DAD" w:rsidP="00AB6310">
            <w:pPr>
              <w:rPr>
                <w:rFonts w:cs="Times New Roman"/>
                <w:szCs w:val="24"/>
              </w:rPr>
            </w:pPr>
            <w:r>
              <w:rPr>
                <w:rFonts w:cs="Times New Roman"/>
                <w:szCs w:val="24"/>
              </w:rPr>
              <w:t>18+ years of age</w:t>
            </w:r>
          </w:p>
        </w:tc>
      </w:tr>
      <w:tr w:rsidR="00A82DAD" w14:paraId="17B84F8C" w14:textId="77777777" w:rsidTr="00A82DAD">
        <w:tc>
          <w:tcPr>
            <w:tcW w:w="8635" w:type="dxa"/>
          </w:tcPr>
          <w:p w14:paraId="3CCFC0D9" w14:textId="62396270" w:rsidR="00A82DAD" w:rsidRDefault="00A82DAD" w:rsidP="00AB6310">
            <w:pPr>
              <w:rPr>
                <w:rFonts w:cs="Times New Roman"/>
                <w:szCs w:val="24"/>
              </w:rPr>
            </w:pPr>
            <w:r>
              <w:rPr>
                <w:rFonts w:cs="Times New Roman"/>
                <w:szCs w:val="24"/>
              </w:rPr>
              <w:t>Resident of one of 15 selected states</w:t>
            </w:r>
          </w:p>
        </w:tc>
      </w:tr>
      <w:tr w:rsidR="00A82DAD" w14:paraId="27499DD1" w14:textId="77777777" w:rsidTr="00A82DAD">
        <w:tc>
          <w:tcPr>
            <w:tcW w:w="8635" w:type="dxa"/>
          </w:tcPr>
          <w:p w14:paraId="14D05B92" w14:textId="48FF43C2" w:rsidR="00A82DAD" w:rsidRDefault="00A82DAD" w:rsidP="00AB6310">
            <w:pPr>
              <w:rPr>
                <w:rFonts w:cs="Times New Roman"/>
                <w:szCs w:val="24"/>
              </w:rPr>
            </w:pPr>
            <w:r>
              <w:rPr>
                <w:rFonts w:cs="Times New Roman"/>
                <w:szCs w:val="24"/>
              </w:rPr>
              <w:t xml:space="preserve">Self-report </w:t>
            </w:r>
            <w:r>
              <w:rPr>
                <w:rFonts w:cstheme="minorHAnsi"/>
              </w:rPr>
              <w:t xml:space="preserve">vaping or dabbed marijuana or THC (the psychoactive compound in marijuana) at least five times in the last </w:t>
            </w:r>
            <w:r w:rsidR="009265B9">
              <w:rPr>
                <w:rFonts w:cstheme="minorHAnsi"/>
              </w:rPr>
              <w:t>3</w:t>
            </w:r>
            <w:r>
              <w:rPr>
                <w:rFonts w:cstheme="minorHAnsi"/>
              </w:rPr>
              <w:t xml:space="preserve"> months</w:t>
            </w:r>
          </w:p>
        </w:tc>
      </w:tr>
      <w:tr w:rsidR="00A82DAD" w14:paraId="76D159B8" w14:textId="77777777" w:rsidTr="00A82DAD">
        <w:tc>
          <w:tcPr>
            <w:tcW w:w="8635" w:type="dxa"/>
          </w:tcPr>
          <w:p w14:paraId="19F2130B" w14:textId="03D73D66" w:rsidR="00A82DAD" w:rsidRDefault="00A82DAD" w:rsidP="00AB6310">
            <w:pPr>
              <w:rPr>
                <w:rFonts w:cs="Times New Roman"/>
                <w:szCs w:val="24"/>
              </w:rPr>
            </w:pPr>
            <w:r>
              <w:rPr>
                <w:rFonts w:cs="Times New Roman"/>
                <w:szCs w:val="24"/>
              </w:rPr>
              <w:t>Have not been diagnosed with EVALI</w:t>
            </w:r>
            <w:r w:rsidR="009265B9">
              <w:rPr>
                <w:rFonts w:cs="Times New Roman"/>
                <w:szCs w:val="24"/>
              </w:rPr>
              <w:t xml:space="preserve"> in past yea</w:t>
            </w:r>
            <w:r w:rsidR="00723D04">
              <w:rPr>
                <w:rFonts w:cs="Times New Roman"/>
                <w:szCs w:val="24"/>
              </w:rPr>
              <w:t>r</w:t>
            </w:r>
          </w:p>
        </w:tc>
      </w:tr>
    </w:tbl>
    <w:p w14:paraId="4CE2AB79" w14:textId="2ED92A9C" w:rsidR="007D49D8" w:rsidRDefault="007D49D8" w:rsidP="00AB6310">
      <w:pPr>
        <w:spacing w:line="240" w:lineRule="auto"/>
        <w:rPr>
          <w:rFonts w:cs="Times New Roman"/>
          <w:szCs w:val="24"/>
        </w:rPr>
      </w:pPr>
    </w:p>
    <w:p w14:paraId="55FE1826" w14:textId="03E56DB5" w:rsidR="004A13E8" w:rsidRDefault="00E83044" w:rsidP="00234AA9">
      <w:pPr>
        <w:pStyle w:val="Heading1"/>
        <w:numPr>
          <w:ilvl w:val="0"/>
          <w:numId w:val="0"/>
        </w:numPr>
        <w:spacing w:before="240"/>
        <w:ind w:left="360" w:hanging="360"/>
      </w:pPr>
      <w:r>
        <w:t>1</w:t>
      </w:r>
      <w:r w:rsidR="00234AA9">
        <w:t xml:space="preserve">7.  </w:t>
      </w:r>
      <w:r w:rsidR="004A13E8">
        <w:t>Reason(s) Display of OMB Expiration Date is Inappropriate</w:t>
      </w:r>
      <w:bookmarkEnd w:id="25"/>
    </w:p>
    <w:p w14:paraId="55FE1827" w14:textId="77777777" w:rsidR="004A13E8" w:rsidRPr="004A13E8" w:rsidRDefault="004A13E8" w:rsidP="004A13E8">
      <w:r>
        <w:t>The display of the OMB Expiration date is not inappropriate.</w:t>
      </w:r>
    </w:p>
    <w:p w14:paraId="55FE1828" w14:textId="4C297849" w:rsidR="004A13E8" w:rsidRDefault="00234AA9" w:rsidP="00234AA9">
      <w:pPr>
        <w:pStyle w:val="Heading1"/>
        <w:numPr>
          <w:ilvl w:val="0"/>
          <w:numId w:val="0"/>
        </w:numPr>
        <w:ind w:left="360" w:hanging="360"/>
      </w:pPr>
      <w:bookmarkStart w:id="26" w:name="_Toc3365148"/>
      <w:r>
        <w:t xml:space="preserve">18.  </w:t>
      </w:r>
      <w:r w:rsidR="004A13E8">
        <w:t>Exceptions to Certification for Paperwork Reduction Act Submissions</w:t>
      </w:r>
      <w:bookmarkEnd w:id="26"/>
    </w:p>
    <w:p w14:paraId="55FE1829" w14:textId="77777777" w:rsidR="004A13E8" w:rsidRPr="004A13E8" w:rsidRDefault="004A13E8" w:rsidP="004A13E8">
      <w:r>
        <w:t>There are no exceptions to the certification.</w:t>
      </w:r>
    </w:p>
    <w:p w14:paraId="448D74C1" w14:textId="77777777" w:rsidR="009E41DE" w:rsidRPr="004A13E8" w:rsidRDefault="009E41DE" w:rsidP="009E41DE">
      <w:pPr>
        <w:pStyle w:val="Heading1"/>
        <w:numPr>
          <w:ilvl w:val="0"/>
          <w:numId w:val="0"/>
        </w:numPr>
      </w:pPr>
      <w:bookmarkStart w:id="27" w:name="_Toc3365149"/>
      <w:r>
        <w:t>Attachments</w:t>
      </w:r>
      <w:bookmarkEnd w:id="27"/>
    </w:p>
    <w:p w14:paraId="01C4F75E" w14:textId="069DF2A9" w:rsidR="009E41DE" w:rsidRDefault="009E41DE" w:rsidP="009E41DE">
      <w:pPr>
        <w:pStyle w:val="ListParagraph"/>
        <w:numPr>
          <w:ilvl w:val="0"/>
          <w:numId w:val="6"/>
        </w:numPr>
        <w:spacing w:after="0" w:line="240" w:lineRule="auto"/>
      </w:pPr>
      <w:r w:rsidRPr="008B54AA">
        <w:t>Authorizing Legislation: Public Health Service Act</w:t>
      </w:r>
    </w:p>
    <w:p w14:paraId="4A77D0D5" w14:textId="77777777" w:rsidR="00DF3E93" w:rsidRDefault="00DF3E93" w:rsidP="00DF3E93">
      <w:pPr>
        <w:pStyle w:val="ListParagraph"/>
        <w:numPr>
          <w:ilvl w:val="0"/>
          <w:numId w:val="6"/>
        </w:numPr>
        <w:spacing w:after="0" w:line="240" w:lineRule="auto"/>
      </w:pPr>
      <w:r>
        <w:t>Survey: Understanding Vaping Practices in the United States</w:t>
      </w:r>
    </w:p>
    <w:p w14:paraId="3D578C93" w14:textId="77777777" w:rsidR="00DF3E93" w:rsidRDefault="00DF3E93" w:rsidP="00DF3E93">
      <w:pPr>
        <w:pStyle w:val="ListParagraph"/>
        <w:numPr>
          <w:ilvl w:val="0"/>
          <w:numId w:val="6"/>
        </w:numPr>
        <w:spacing w:after="0" w:line="240" w:lineRule="auto"/>
      </w:pPr>
      <w:r>
        <w:t>Background and rationale for EVALI survey questions</w:t>
      </w:r>
    </w:p>
    <w:p w14:paraId="2136A7B0" w14:textId="77777777" w:rsidR="001C01A2" w:rsidRDefault="001C01A2" w:rsidP="001C01A2">
      <w:pPr>
        <w:pStyle w:val="ListParagraph"/>
        <w:numPr>
          <w:ilvl w:val="0"/>
          <w:numId w:val="6"/>
        </w:numPr>
        <w:spacing w:after="0" w:line="240" w:lineRule="auto"/>
      </w:pPr>
      <w:r>
        <w:t>Privacy Impact Assessment (PIA)</w:t>
      </w:r>
    </w:p>
    <w:p w14:paraId="4814F93D" w14:textId="77777777" w:rsidR="001C01A2" w:rsidRDefault="001C01A2" w:rsidP="001C01A2">
      <w:pPr>
        <w:pStyle w:val="ListParagraph"/>
        <w:numPr>
          <w:ilvl w:val="0"/>
          <w:numId w:val="6"/>
        </w:numPr>
        <w:spacing w:after="0" w:line="240" w:lineRule="auto"/>
      </w:pPr>
      <w:r>
        <w:t>EVALI survey invitation</w:t>
      </w:r>
    </w:p>
    <w:p w14:paraId="618084E1" w14:textId="77777777" w:rsidR="00DF3E93" w:rsidRDefault="00DF3E93" w:rsidP="00DF3E93">
      <w:pPr>
        <w:pStyle w:val="ListParagraph"/>
        <w:numPr>
          <w:ilvl w:val="0"/>
          <w:numId w:val="6"/>
        </w:numPr>
        <w:spacing w:after="0" w:line="240" w:lineRule="auto"/>
      </w:pPr>
      <w:r>
        <w:t>EVALI consent form</w:t>
      </w:r>
    </w:p>
    <w:p w14:paraId="2C7D5756" w14:textId="77777777" w:rsidR="001C01A2" w:rsidRDefault="001C01A2" w:rsidP="001C01A2">
      <w:pPr>
        <w:pStyle w:val="ListParagraph"/>
        <w:numPr>
          <w:ilvl w:val="0"/>
          <w:numId w:val="6"/>
        </w:numPr>
        <w:spacing w:after="0" w:line="240" w:lineRule="auto"/>
      </w:pPr>
      <w:r>
        <w:t>EVALI IRB Docs - Determination</w:t>
      </w:r>
    </w:p>
    <w:p w14:paraId="55FE182E" w14:textId="705A6DDD" w:rsidR="00AD2F36" w:rsidRPr="004A13E8" w:rsidRDefault="005F73B4" w:rsidP="00CD5A1D">
      <w:pPr>
        <w:pStyle w:val="ListParagraph"/>
        <w:numPr>
          <w:ilvl w:val="0"/>
          <w:numId w:val="6"/>
        </w:numPr>
        <w:spacing w:after="0" w:line="240" w:lineRule="auto"/>
      </w:pPr>
      <w:r w:rsidRPr="005F73B4">
        <w:t xml:space="preserve">Lung Injury Response 2019 </w:t>
      </w:r>
      <w:r>
        <w:t>Assurance of Confidentiality</w:t>
      </w:r>
      <w:r w:rsidR="00871F19">
        <w:t xml:space="preserve"> (AoC)</w:t>
      </w:r>
    </w:p>
    <w:sectPr w:rsidR="00AD2F36" w:rsidRPr="004A13E8" w:rsidSect="00FC784D">
      <w:footerReference w:type="defaul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92F97" w14:textId="77777777" w:rsidR="00D477FC" w:rsidRDefault="00D477FC" w:rsidP="008B5D54">
      <w:pPr>
        <w:spacing w:after="0" w:line="240" w:lineRule="auto"/>
      </w:pPr>
      <w:r>
        <w:separator/>
      </w:r>
    </w:p>
  </w:endnote>
  <w:endnote w:type="continuationSeparator" w:id="0">
    <w:p w14:paraId="5E3F6C9E" w14:textId="77777777" w:rsidR="00D477FC" w:rsidRDefault="00D477FC"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0088568"/>
      <w:docPartObj>
        <w:docPartGallery w:val="Page Numbers (Bottom of Page)"/>
        <w:docPartUnique/>
      </w:docPartObj>
    </w:sdtPr>
    <w:sdtEndPr>
      <w:rPr>
        <w:noProof/>
      </w:rPr>
    </w:sdtEndPr>
    <w:sdtContent>
      <w:p w14:paraId="31CCCAED" w14:textId="77777777" w:rsidR="00DF3E93" w:rsidRPr="00CF2147" w:rsidRDefault="00DF3E93" w:rsidP="00CA7490">
        <w:pPr>
          <w:pStyle w:val="Footer"/>
          <w:jc w:val="right"/>
        </w:pPr>
        <w:r w:rsidRPr="00CF2147">
          <w:t>Understanding Vaping Practices in the U.S.</w:t>
        </w:r>
      </w:p>
      <w:p w14:paraId="6F9A7DF9" w14:textId="7F7624E8" w:rsidR="00DF3E93" w:rsidRDefault="00DF3E93">
        <w:pPr>
          <w:pStyle w:val="Footer"/>
          <w:jc w:val="right"/>
        </w:pPr>
        <w:r>
          <w:fldChar w:fldCharType="begin"/>
        </w:r>
        <w:r>
          <w:instrText xml:space="preserve"> PAGE   \* MERGEFORMAT </w:instrText>
        </w:r>
        <w:r>
          <w:fldChar w:fldCharType="separate"/>
        </w:r>
        <w:r w:rsidR="005F74AA">
          <w:rPr>
            <w:noProof/>
          </w:rPr>
          <w:t>1</w:t>
        </w:r>
        <w:r>
          <w:rPr>
            <w:noProof/>
          </w:rPr>
          <w:fldChar w:fldCharType="end"/>
        </w:r>
      </w:p>
    </w:sdtContent>
  </w:sdt>
  <w:p w14:paraId="6C3AA569" w14:textId="77777777" w:rsidR="00DF3E93" w:rsidRDefault="00DF3E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F33D3" w14:textId="77777777" w:rsidR="00D477FC" w:rsidRDefault="00D477FC" w:rsidP="008B5D54">
      <w:pPr>
        <w:spacing w:after="0" w:line="240" w:lineRule="auto"/>
      </w:pPr>
      <w:r>
        <w:separator/>
      </w:r>
    </w:p>
  </w:footnote>
  <w:footnote w:type="continuationSeparator" w:id="0">
    <w:p w14:paraId="228F7DE0" w14:textId="77777777" w:rsidR="00D477FC" w:rsidRDefault="00D477FC" w:rsidP="008B5D54">
      <w:pPr>
        <w:spacing w:after="0" w:line="240" w:lineRule="auto"/>
      </w:pPr>
      <w:r>
        <w:continuationSeparator/>
      </w:r>
    </w:p>
  </w:footnote>
  <w:footnote w:id="1">
    <w:p w14:paraId="1E152F2E" w14:textId="22D55149" w:rsidR="00DF3E93" w:rsidRDefault="00DF3E93" w:rsidP="00867183">
      <w:pPr>
        <w:pStyle w:val="Heading1"/>
        <w:numPr>
          <w:ilvl w:val="0"/>
          <w:numId w:val="0"/>
        </w:numPr>
        <w:shd w:val="clear" w:color="auto" w:fill="FFFFFF"/>
        <w:spacing w:after="0"/>
      </w:pPr>
      <w:r w:rsidRPr="00867183">
        <w:rPr>
          <w:rStyle w:val="FootnoteReference"/>
          <w:b w:val="0"/>
          <w:sz w:val="20"/>
          <w:szCs w:val="20"/>
        </w:rPr>
        <w:footnoteRef/>
      </w:r>
      <w:r>
        <w:rPr>
          <w:b w:val="0"/>
          <w:sz w:val="20"/>
          <w:szCs w:val="20"/>
        </w:rPr>
        <w:t xml:space="preserve"> </w:t>
      </w:r>
      <w:r w:rsidRPr="00867183">
        <w:rPr>
          <w:b w:val="0"/>
          <w:sz w:val="20"/>
          <w:szCs w:val="20"/>
        </w:rPr>
        <w:t>Centers for Disease Control and Prevention. (2019). “</w:t>
      </w:r>
      <w:r w:rsidRPr="00867183">
        <w:rPr>
          <w:b w:val="0"/>
          <w:bCs/>
          <w:color w:val="000000"/>
          <w:sz w:val="20"/>
          <w:szCs w:val="20"/>
        </w:rPr>
        <w:t>Outbreak of Lung Injury Associated with the Use of E-Cigarette, or Vaping, Products</w:t>
      </w:r>
      <w:r w:rsidRPr="00867183">
        <w:rPr>
          <w:b w:val="0"/>
          <w:sz w:val="20"/>
          <w:szCs w:val="20"/>
        </w:rPr>
        <w:t xml:space="preserve"> Accessed November </w:t>
      </w:r>
      <w:r>
        <w:rPr>
          <w:b w:val="0"/>
          <w:sz w:val="20"/>
          <w:szCs w:val="20"/>
        </w:rPr>
        <w:t>14</w:t>
      </w:r>
      <w:r w:rsidRPr="00867183">
        <w:rPr>
          <w:b w:val="0"/>
          <w:sz w:val="20"/>
          <w:szCs w:val="20"/>
        </w:rPr>
        <w:t xml:space="preserve">, 2019. </w:t>
      </w:r>
      <w:hyperlink r:id="rId1" w:anchor="latest-outbreak-information" w:history="1">
        <w:r w:rsidRPr="00867183">
          <w:rPr>
            <w:rStyle w:val="Hyperlink"/>
            <w:b w:val="0"/>
            <w:sz w:val="20"/>
            <w:szCs w:val="20"/>
          </w:rPr>
          <w:t>https://www.cdc.gov/tobacco/basic_information/e-cigarettes/severe-lung-disease.html#latest-outbreak-information</w:t>
        </w:r>
      </w:hyperlink>
      <w:r w:rsidRPr="00867183">
        <w:rPr>
          <w:b w:val="0"/>
          <w:sz w:val="20"/>
          <w:szCs w:val="20"/>
        </w:rPr>
        <w:t>.</w:t>
      </w:r>
    </w:p>
  </w:footnote>
  <w:footnote w:id="2">
    <w:p w14:paraId="3F3BE29F" w14:textId="21B3EE39" w:rsidR="00DF3E93" w:rsidRPr="00F365B5" w:rsidRDefault="00DF3E93" w:rsidP="00867183">
      <w:pPr>
        <w:pStyle w:val="FootnoteText"/>
      </w:pPr>
      <w:r>
        <w:rPr>
          <w:rStyle w:val="FootnoteReference"/>
        </w:rPr>
        <w:footnoteRef/>
      </w:r>
      <w:r>
        <w:t xml:space="preserve"> Layden JE, Ghinai I, Pray I, Kimball A, Layer M, Tenforde M, et al. (2019). “Pulmonary Illness Related to E-Cigarette Use in Illinois and Wisconsin — Preliminary Report.”  </w:t>
      </w:r>
      <w:r>
        <w:rPr>
          <w:i/>
        </w:rPr>
        <w:t>New England Journal of Medicine</w:t>
      </w:r>
      <w:r>
        <w:t xml:space="preserve"> DOI: 10.1056/NEJMoa1911614.</w:t>
      </w:r>
    </w:p>
  </w:footnote>
  <w:footnote w:id="3">
    <w:p w14:paraId="1D5F44F8" w14:textId="1336C8EF" w:rsidR="00DF3E93" w:rsidRPr="00503352" w:rsidRDefault="00DF3E93" w:rsidP="00503352">
      <w:pPr>
        <w:pStyle w:val="Heading1"/>
        <w:numPr>
          <w:ilvl w:val="0"/>
          <w:numId w:val="0"/>
        </w:numPr>
        <w:shd w:val="clear" w:color="auto" w:fill="FFFFFF"/>
        <w:rPr>
          <w:b w:val="0"/>
          <w:color w:val="000000"/>
          <w:sz w:val="20"/>
          <w:szCs w:val="20"/>
        </w:rPr>
      </w:pPr>
      <w:r w:rsidRPr="00503352">
        <w:rPr>
          <w:rStyle w:val="FootnoteReference"/>
          <w:b w:val="0"/>
          <w:sz w:val="20"/>
          <w:szCs w:val="20"/>
        </w:rPr>
        <w:footnoteRef/>
      </w:r>
      <w:r w:rsidRPr="00503352">
        <w:rPr>
          <w:b w:val="0"/>
          <w:sz w:val="20"/>
          <w:szCs w:val="20"/>
        </w:rPr>
        <w:t xml:space="preserve"> Blount BC, Karwowski MT, Morel-Espinosa M, Rees J, Sosnoff C, Cowan E, et al. (2019). “</w:t>
      </w:r>
      <w:r w:rsidRPr="00503352">
        <w:rPr>
          <w:b w:val="0"/>
          <w:bCs/>
          <w:color w:val="000000"/>
          <w:sz w:val="20"/>
          <w:szCs w:val="20"/>
        </w:rPr>
        <w:t>Evaluation of Bronchoalveolar Lavage Fluid from Patients in an Outbreak of E-cigarette, or Vaping, Product Use–Associated Lung Injury — 10 States, August–October 2019</w:t>
      </w:r>
      <w:r>
        <w:rPr>
          <w:b w:val="0"/>
          <w:bCs/>
          <w:color w:val="000000"/>
          <w:sz w:val="20"/>
          <w:szCs w:val="20"/>
        </w:rPr>
        <w:t>.</w:t>
      </w:r>
      <w:r w:rsidRPr="00503352">
        <w:rPr>
          <w:b w:val="0"/>
          <w:bCs/>
          <w:color w:val="000000"/>
          <w:sz w:val="20"/>
          <w:szCs w:val="20"/>
        </w:rPr>
        <w:t>”</w:t>
      </w:r>
      <w:r>
        <w:rPr>
          <w:b w:val="0"/>
          <w:bCs/>
          <w:color w:val="000000"/>
          <w:sz w:val="20"/>
          <w:szCs w:val="20"/>
        </w:rPr>
        <w:t xml:space="preserve"> </w:t>
      </w:r>
      <w:r>
        <w:rPr>
          <w:b w:val="0"/>
          <w:bCs/>
          <w:i/>
          <w:color w:val="000000"/>
          <w:sz w:val="20"/>
          <w:szCs w:val="20"/>
        </w:rPr>
        <w:t>MMWR</w:t>
      </w:r>
      <w:r>
        <w:rPr>
          <w:b w:val="0"/>
          <w:bCs/>
          <w:color w:val="000000"/>
          <w:sz w:val="20"/>
          <w:szCs w:val="20"/>
        </w:rPr>
        <w:t xml:space="preserve"> 68(45): 1040-1041.</w:t>
      </w:r>
    </w:p>
  </w:footnote>
  <w:footnote w:id="4">
    <w:p w14:paraId="64479EF1" w14:textId="4DEABEEC" w:rsidR="00DF3E93" w:rsidRPr="0014513A" w:rsidRDefault="00DF3E93">
      <w:pPr>
        <w:pStyle w:val="FootnoteText"/>
      </w:pPr>
      <w:r>
        <w:rPr>
          <w:rStyle w:val="FootnoteReference"/>
        </w:rPr>
        <w:footnoteRef/>
      </w:r>
      <w:r>
        <w:t xml:space="preserve"> Moritz ED, Zapata LB, Lekiachvili A, Glidden E, Annor FB, Werner AK, et al. (2019). “Update: Characteristics of Patients in a National Outbreak of E-cigarette, or Vaping, Product Use-Associated Lung Injuries – United States, October 2019. </w:t>
      </w:r>
      <w:r>
        <w:rPr>
          <w:i/>
        </w:rPr>
        <w:t>MMWR</w:t>
      </w:r>
      <w:r>
        <w:t xml:space="preserve"> 68(43);985-989.</w:t>
      </w:r>
    </w:p>
  </w:footnote>
  <w:footnote w:id="5">
    <w:p w14:paraId="4DCFD4B3" w14:textId="3AF736DD" w:rsidR="00DF3E93" w:rsidRDefault="00DF3E93" w:rsidP="006A48E6">
      <w:pPr>
        <w:pStyle w:val="Heading2"/>
        <w:shd w:val="clear" w:color="auto" w:fill="FAF9FB"/>
        <w:jc w:val="left"/>
      </w:pPr>
      <w:r w:rsidRPr="006A48E6">
        <w:rPr>
          <w:rStyle w:val="FootnoteReference"/>
          <w:rFonts w:cs="Times New Roman"/>
          <w:b w:val="0"/>
          <w:sz w:val="20"/>
          <w:szCs w:val="20"/>
        </w:rPr>
        <w:footnoteRef/>
      </w:r>
      <w:r w:rsidRPr="006A48E6">
        <w:rPr>
          <w:rFonts w:cs="Times New Roman"/>
          <w:b w:val="0"/>
          <w:sz w:val="20"/>
          <w:szCs w:val="20"/>
        </w:rPr>
        <w:t xml:space="preserve"> YouGov PLC. </w:t>
      </w:r>
      <w:r>
        <w:rPr>
          <w:rFonts w:cs="Times New Roman"/>
          <w:b w:val="0"/>
          <w:sz w:val="20"/>
          <w:szCs w:val="20"/>
        </w:rPr>
        <w:t>(</w:t>
      </w:r>
      <w:r w:rsidRPr="006A48E6">
        <w:rPr>
          <w:rFonts w:cs="Times New Roman"/>
          <w:b w:val="0"/>
          <w:sz w:val="20"/>
          <w:szCs w:val="20"/>
        </w:rPr>
        <w:t>2018</w:t>
      </w:r>
      <w:r>
        <w:rPr>
          <w:rFonts w:cs="Times New Roman"/>
          <w:b w:val="0"/>
          <w:sz w:val="20"/>
          <w:szCs w:val="20"/>
        </w:rPr>
        <w:t>)</w:t>
      </w:r>
      <w:r w:rsidRPr="006A48E6">
        <w:rPr>
          <w:rFonts w:cs="Times New Roman"/>
          <w:b w:val="0"/>
          <w:sz w:val="20"/>
          <w:szCs w:val="20"/>
        </w:rPr>
        <w:t>. “</w:t>
      </w:r>
      <w:r w:rsidRPr="006A48E6">
        <w:rPr>
          <w:rFonts w:cs="Times New Roman"/>
          <w:b w:val="0"/>
          <w:bCs/>
          <w:sz w:val="20"/>
          <w:szCs w:val="20"/>
        </w:rPr>
        <w:t>YouGov is an international research data and analytics group.</w:t>
      </w:r>
      <w:r>
        <w:rPr>
          <w:rFonts w:cs="Times New Roman"/>
          <w:b w:val="0"/>
          <w:bCs/>
          <w:sz w:val="20"/>
          <w:szCs w:val="20"/>
        </w:rPr>
        <w:t xml:space="preserve">” Accessed on November 7, 2019. </w:t>
      </w:r>
      <w:hyperlink r:id="rId2" w:history="1">
        <w:r w:rsidRPr="00BB50EA">
          <w:rPr>
            <w:rStyle w:val="Hyperlink"/>
            <w:rFonts w:cs="Times New Roman"/>
            <w:b w:val="0"/>
            <w:sz w:val="20"/>
            <w:szCs w:val="20"/>
          </w:rPr>
          <w:t>https://corporate.yougov.com/about/</w:t>
        </w:r>
      </w:hyperlink>
    </w:p>
  </w:footnote>
  <w:footnote w:id="6">
    <w:p w14:paraId="79A90903" w14:textId="65A345C5" w:rsidR="00DF3E93" w:rsidRDefault="00DF3E93">
      <w:pPr>
        <w:pStyle w:val="FootnoteText"/>
      </w:pPr>
      <w:r>
        <w:rPr>
          <w:rStyle w:val="FootnoteReference"/>
        </w:rPr>
        <w:footnoteRef/>
      </w:r>
      <w:r>
        <w:t xml:space="preserve"> YouGov PLC. (2018). “Our Panel.” Accessed on November 7, 2019. </w:t>
      </w:r>
      <w:hyperlink r:id="rId3" w:history="1">
        <w:r>
          <w:rPr>
            <w:rStyle w:val="Hyperlink"/>
          </w:rPr>
          <w:t>https://today.yougov.com/about/about-the-yougov-panel/</w:t>
        </w:r>
      </w:hyperlink>
      <w:r>
        <w:t xml:space="preserve">. </w:t>
      </w:r>
    </w:p>
  </w:footnote>
  <w:footnote w:id="7">
    <w:p w14:paraId="2D2BDE76" w14:textId="782B6BEF" w:rsidR="00DF3E93" w:rsidRPr="00836A86" w:rsidRDefault="00DF3E93" w:rsidP="00836A86">
      <w:pPr>
        <w:pStyle w:val="Heading1"/>
        <w:numPr>
          <w:ilvl w:val="0"/>
          <w:numId w:val="0"/>
        </w:numPr>
        <w:shd w:val="clear" w:color="auto" w:fill="FFFFFF"/>
        <w:ind w:left="90" w:hanging="90"/>
        <w:rPr>
          <w:b w:val="0"/>
          <w:color w:val="000000"/>
          <w:sz w:val="20"/>
          <w:szCs w:val="20"/>
        </w:rPr>
      </w:pPr>
      <w:r w:rsidRPr="00836A86">
        <w:rPr>
          <w:rStyle w:val="FootnoteReference"/>
          <w:b w:val="0"/>
          <w:sz w:val="20"/>
          <w:szCs w:val="20"/>
        </w:rPr>
        <w:footnoteRef/>
      </w:r>
      <w:r w:rsidRPr="00836A86">
        <w:rPr>
          <w:b w:val="0"/>
          <w:sz w:val="20"/>
          <w:szCs w:val="20"/>
        </w:rPr>
        <w:t xml:space="preserve"> Creamer MR, Wang TW, Babb S, Cullen KA, Day H, Willis G, et al. (2019). “</w:t>
      </w:r>
      <w:r w:rsidRPr="00836A86">
        <w:rPr>
          <w:b w:val="0"/>
          <w:bCs/>
          <w:color w:val="000000"/>
          <w:sz w:val="20"/>
          <w:szCs w:val="20"/>
        </w:rPr>
        <w:t xml:space="preserve">Tobacco Product Use and Cessation Indicators Among Adults — United States, 2018.” </w:t>
      </w:r>
      <w:r w:rsidRPr="00836A86">
        <w:rPr>
          <w:b w:val="0"/>
          <w:bCs/>
          <w:i/>
          <w:color w:val="000000"/>
          <w:sz w:val="20"/>
          <w:szCs w:val="20"/>
        </w:rPr>
        <w:t>MMW</w:t>
      </w:r>
      <w:r>
        <w:rPr>
          <w:b w:val="0"/>
          <w:bCs/>
          <w:i/>
          <w:color w:val="000000"/>
          <w:sz w:val="20"/>
          <w:szCs w:val="20"/>
        </w:rPr>
        <w:t>R</w:t>
      </w:r>
      <w:r>
        <w:rPr>
          <w:b w:val="0"/>
          <w:bCs/>
          <w:color w:val="000000"/>
          <w:sz w:val="20"/>
          <w:szCs w:val="20"/>
        </w:rPr>
        <w:t xml:space="preserve"> 68(45): 1013-1019.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B2824"/>
    <w:multiLevelType w:val="hybridMultilevel"/>
    <w:tmpl w:val="85F6D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8E56CA"/>
    <w:multiLevelType w:val="hybridMultilevel"/>
    <w:tmpl w:val="F3E0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615A4D"/>
    <w:multiLevelType w:val="hybridMultilevel"/>
    <w:tmpl w:val="9196A022"/>
    <w:lvl w:ilvl="0" w:tplc="376A559A">
      <w:start w:val="1"/>
      <w:numFmt w:val="decimal"/>
      <w:lvlText w:val="%1."/>
      <w:lvlJc w:val="left"/>
      <w:pPr>
        <w:ind w:left="720" w:hanging="360"/>
      </w:pPr>
      <w:rPr>
        <w:rFonts w:ascii="Times New Roman" w:eastAsiaTheme="minorHAnsi" w:hAnsi="Times New Roman"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3E8"/>
    <w:rsid w:val="00003E24"/>
    <w:rsid w:val="000042EA"/>
    <w:rsid w:val="000074D3"/>
    <w:rsid w:val="00007A6B"/>
    <w:rsid w:val="00011F47"/>
    <w:rsid w:val="00015C1E"/>
    <w:rsid w:val="00020FC7"/>
    <w:rsid w:val="0002668C"/>
    <w:rsid w:val="00027C49"/>
    <w:rsid w:val="0003038C"/>
    <w:rsid w:val="00031547"/>
    <w:rsid w:val="000445D4"/>
    <w:rsid w:val="00056068"/>
    <w:rsid w:val="0005699B"/>
    <w:rsid w:val="00060259"/>
    <w:rsid w:val="00062920"/>
    <w:rsid w:val="00063051"/>
    <w:rsid w:val="00066213"/>
    <w:rsid w:val="0007403E"/>
    <w:rsid w:val="00077A77"/>
    <w:rsid w:val="000867B4"/>
    <w:rsid w:val="00086AB0"/>
    <w:rsid w:val="00092EA3"/>
    <w:rsid w:val="000A4643"/>
    <w:rsid w:val="000B00E7"/>
    <w:rsid w:val="000B07E5"/>
    <w:rsid w:val="000B504C"/>
    <w:rsid w:val="000B6E34"/>
    <w:rsid w:val="000C1760"/>
    <w:rsid w:val="000C2333"/>
    <w:rsid w:val="000D0359"/>
    <w:rsid w:val="000D0588"/>
    <w:rsid w:val="000D2C0F"/>
    <w:rsid w:val="000D5884"/>
    <w:rsid w:val="000E01D7"/>
    <w:rsid w:val="000E0309"/>
    <w:rsid w:val="000E17A3"/>
    <w:rsid w:val="000E2B21"/>
    <w:rsid w:val="000E74A7"/>
    <w:rsid w:val="000E7801"/>
    <w:rsid w:val="000F10FA"/>
    <w:rsid w:val="000F1120"/>
    <w:rsid w:val="000F475C"/>
    <w:rsid w:val="000F7F80"/>
    <w:rsid w:val="001000DF"/>
    <w:rsid w:val="001033FD"/>
    <w:rsid w:val="00105735"/>
    <w:rsid w:val="00105A2C"/>
    <w:rsid w:val="00105A50"/>
    <w:rsid w:val="00107EEA"/>
    <w:rsid w:val="00113C05"/>
    <w:rsid w:val="00120130"/>
    <w:rsid w:val="00124128"/>
    <w:rsid w:val="00125BEA"/>
    <w:rsid w:val="00126301"/>
    <w:rsid w:val="001277FD"/>
    <w:rsid w:val="00143E6B"/>
    <w:rsid w:val="0014513A"/>
    <w:rsid w:val="001456F6"/>
    <w:rsid w:val="00147109"/>
    <w:rsid w:val="001523DF"/>
    <w:rsid w:val="001611A3"/>
    <w:rsid w:val="00180990"/>
    <w:rsid w:val="00181DB5"/>
    <w:rsid w:val="001A2B19"/>
    <w:rsid w:val="001A58BE"/>
    <w:rsid w:val="001B0103"/>
    <w:rsid w:val="001B6312"/>
    <w:rsid w:val="001C01A2"/>
    <w:rsid w:val="001C0D0F"/>
    <w:rsid w:val="001D616D"/>
    <w:rsid w:val="001D7BCD"/>
    <w:rsid w:val="001E0346"/>
    <w:rsid w:val="001E78C9"/>
    <w:rsid w:val="001F3564"/>
    <w:rsid w:val="001F47A0"/>
    <w:rsid w:val="002002D0"/>
    <w:rsid w:val="00204803"/>
    <w:rsid w:val="00211ED2"/>
    <w:rsid w:val="00234AA9"/>
    <w:rsid w:val="002350F1"/>
    <w:rsid w:val="0023634D"/>
    <w:rsid w:val="00237BB7"/>
    <w:rsid w:val="0024224E"/>
    <w:rsid w:val="002441B9"/>
    <w:rsid w:val="00244F67"/>
    <w:rsid w:val="00246E39"/>
    <w:rsid w:val="00250B39"/>
    <w:rsid w:val="0025156B"/>
    <w:rsid w:val="00251A01"/>
    <w:rsid w:val="00252E6F"/>
    <w:rsid w:val="002530CB"/>
    <w:rsid w:val="00254A6F"/>
    <w:rsid w:val="00257F9A"/>
    <w:rsid w:val="002630F6"/>
    <w:rsid w:val="00275B52"/>
    <w:rsid w:val="00292C8F"/>
    <w:rsid w:val="00294A6F"/>
    <w:rsid w:val="00297768"/>
    <w:rsid w:val="002A15BE"/>
    <w:rsid w:val="002A6D7A"/>
    <w:rsid w:val="002B6C83"/>
    <w:rsid w:val="002B75C7"/>
    <w:rsid w:val="002C0CB3"/>
    <w:rsid w:val="002C32E2"/>
    <w:rsid w:val="002D05D0"/>
    <w:rsid w:val="002D2DA5"/>
    <w:rsid w:val="002D7DC1"/>
    <w:rsid w:val="002E3ACF"/>
    <w:rsid w:val="002F1B39"/>
    <w:rsid w:val="002F439D"/>
    <w:rsid w:val="002F69D9"/>
    <w:rsid w:val="002F69E5"/>
    <w:rsid w:val="00300E26"/>
    <w:rsid w:val="00303FAF"/>
    <w:rsid w:val="00304BBB"/>
    <w:rsid w:val="003055A5"/>
    <w:rsid w:val="00327632"/>
    <w:rsid w:val="0033230D"/>
    <w:rsid w:val="00332E2C"/>
    <w:rsid w:val="00337272"/>
    <w:rsid w:val="00337396"/>
    <w:rsid w:val="003419B3"/>
    <w:rsid w:val="00341D9F"/>
    <w:rsid w:val="00342FFB"/>
    <w:rsid w:val="00370BEC"/>
    <w:rsid w:val="00376C41"/>
    <w:rsid w:val="00377093"/>
    <w:rsid w:val="00380EBB"/>
    <w:rsid w:val="00383506"/>
    <w:rsid w:val="00387BC4"/>
    <w:rsid w:val="00387E08"/>
    <w:rsid w:val="0039045F"/>
    <w:rsid w:val="00391760"/>
    <w:rsid w:val="003A05D3"/>
    <w:rsid w:val="003B2FB4"/>
    <w:rsid w:val="003C0786"/>
    <w:rsid w:val="003D1DC3"/>
    <w:rsid w:val="003D313B"/>
    <w:rsid w:val="003D3EDC"/>
    <w:rsid w:val="003F027F"/>
    <w:rsid w:val="003F1C5E"/>
    <w:rsid w:val="003F1F6C"/>
    <w:rsid w:val="003F60CF"/>
    <w:rsid w:val="00407EB0"/>
    <w:rsid w:val="00410C00"/>
    <w:rsid w:val="00415A3A"/>
    <w:rsid w:val="00417C9C"/>
    <w:rsid w:val="00421904"/>
    <w:rsid w:val="00424A36"/>
    <w:rsid w:val="0043440D"/>
    <w:rsid w:val="004448EC"/>
    <w:rsid w:val="00446A7C"/>
    <w:rsid w:val="00450762"/>
    <w:rsid w:val="0045149C"/>
    <w:rsid w:val="0046640E"/>
    <w:rsid w:val="004712C2"/>
    <w:rsid w:val="00473D83"/>
    <w:rsid w:val="00475410"/>
    <w:rsid w:val="004757F7"/>
    <w:rsid w:val="00482F4B"/>
    <w:rsid w:val="004841D1"/>
    <w:rsid w:val="004871C2"/>
    <w:rsid w:val="00490950"/>
    <w:rsid w:val="00490A58"/>
    <w:rsid w:val="00495604"/>
    <w:rsid w:val="004A0034"/>
    <w:rsid w:val="004A120C"/>
    <w:rsid w:val="004A13E8"/>
    <w:rsid w:val="004A22F5"/>
    <w:rsid w:val="004A2888"/>
    <w:rsid w:val="004A3FDC"/>
    <w:rsid w:val="004A4FC3"/>
    <w:rsid w:val="004A502B"/>
    <w:rsid w:val="004A5B5A"/>
    <w:rsid w:val="004B0023"/>
    <w:rsid w:val="004C24FD"/>
    <w:rsid w:val="004C4A38"/>
    <w:rsid w:val="004C659E"/>
    <w:rsid w:val="004C6E99"/>
    <w:rsid w:val="004D0740"/>
    <w:rsid w:val="004D0CD2"/>
    <w:rsid w:val="004D5A58"/>
    <w:rsid w:val="004E4C89"/>
    <w:rsid w:val="004E66E5"/>
    <w:rsid w:val="004F5C85"/>
    <w:rsid w:val="004F6DDB"/>
    <w:rsid w:val="00503352"/>
    <w:rsid w:val="00510537"/>
    <w:rsid w:val="00511407"/>
    <w:rsid w:val="0051413C"/>
    <w:rsid w:val="005213DE"/>
    <w:rsid w:val="00521633"/>
    <w:rsid w:val="005246E3"/>
    <w:rsid w:val="00527B48"/>
    <w:rsid w:val="00527E38"/>
    <w:rsid w:val="00531887"/>
    <w:rsid w:val="005365C5"/>
    <w:rsid w:val="00540450"/>
    <w:rsid w:val="00546E9C"/>
    <w:rsid w:val="005524B6"/>
    <w:rsid w:val="005531E4"/>
    <w:rsid w:val="005566C3"/>
    <w:rsid w:val="00562AEB"/>
    <w:rsid w:val="00573A56"/>
    <w:rsid w:val="00574F3E"/>
    <w:rsid w:val="00576320"/>
    <w:rsid w:val="0059126A"/>
    <w:rsid w:val="005A1095"/>
    <w:rsid w:val="005A17B8"/>
    <w:rsid w:val="005A1E62"/>
    <w:rsid w:val="005B41BE"/>
    <w:rsid w:val="005C51E1"/>
    <w:rsid w:val="005D340E"/>
    <w:rsid w:val="005D4DC6"/>
    <w:rsid w:val="005D4F91"/>
    <w:rsid w:val="005E293E"/>
    <w:rsid w:val="005E6DAA"/>
    <w:rsid w:val="005F05A0"/>
    <w:rsid w:val="005F23FE"/>
    <w:rsid w:val="005F73B4"/>
    <w:rsid w:val="005F74AA"/>
    <w:rsid w:val="00601C93"/>
    <w:rsid w:val="00610D36"/>
    <w:rsid w:val="00614E35"/>
    <w:rsid w:val="006165D2"/>
    <w:rsid w:val="00620248"/>
    <w:rsid w:val="00621E76"/>
    <w:rsid w:val="00624117"/>
    <w:rsid w:val="00630A21"/>
    <w:rsid w:val="00631E66"/>
    <w:rsid w:val="00633E15"/>
    <w:rsid w:val="0063486F"/>
    <w:rsid w:val="00640F76"/>
    <w:rsid w:val="0064432A"/>
    <w:rsid w:val="006443DA"/>
    <w:rsid w:val="006534E1"/>
    <w:rsid w:val="00662B3F"/>
    <w:rsid w:val="00663B97"/>
    <w:rsid w:val="00666EC1"/>
    <w:rsid w:val="006674C1"/>
    <w:rsid w:val="00670355"/>
    <w:rsid w:val="00671028"/>
    <w:rsid w:val="0068212F"/>
    <w:rsid w:val="006859B3"/>
    <w:rsid w:val="00690A9D"/>
    <w:rsid w:val="00691328"/>
    <w:rsid w:val="00691613"/>
    <w:rsid w:val="0069495B"/>
    <w:rsid w:val="006A03B2"/>
    <w:rsid w:val="006A3CCB"/>
    <w:rsid w:val="006A4245"/>
    <w:rsid w:val="006A48E6"/>
    <w:rsid w:val="006A5FA6"/>
    <w:rsid w:val="006B5A3B"/>
    <w:rsid w:val="006C10B1"/>
    <w:rsid w:val="006C6578"/>
    <w:rsid w:val="006D2FF6"/>
    <w:rsid w:val="006D6059"/>
    <w:rsid w:val="006D7BCB"/>
    <w:rsid w:val="006E0228"/>
    <w:rsid w:val="006E120B"/>
    <w:rsid w:val="006E60EE"/>
    <w:rsid w:val="006E6DB1"/>
    <w:rsid w:val="006E78D5"/>
    <w:rsid w:val="00705D2C"/>
    <w:rsid w:val="00705FC7"/>
    <w:rsid w:val="00706625"/>
    <w:rsid w:val="00706C49"/>
    <w:rsid w:val="0071106C"/>
    <w:rsid w:val="00713C81"/>
    <w:rsid w:val="007223F7"/>
    <w:rsid w:val="00723D04"/>
    <w:rsid w:val="00731F3D"/>
    <w:rsid w:val="00733391"/>
    <w:rsid w:val="00733819"/>
    <w:rsid w:val="007341A3"/>
    <w:rsid w:val="00734626"/>
    <w:rsid w:val="00740564"/>
    <w:rsid w:val="0074200D"/>
    <w:rsid w:val="00742577"/>
    <w:rsid w:val="007535A5"/>
    <w:rsid w:val="00754278"/>
    <w:rsid w:val="00756764"/>
    <w:rsid w:val="00763937"/>
    <w:rsid w:val="007652A5"/>
    <w:rsid w:val="00766B83"/>
    <w:rsid w:val="00772405"/>
    <w:rsid w:val="0077262E"/>
    <w:rsid w:val="00775FB4"/>
    <w:rsid w:val="00780DC1"/>
    <w:rsid w:val="00785866"/>
    <w:rsid w:val="007871C0"/>
    <w:rsid w:val="007A4A7C"/>
    <w:rsid w:val="007A5784"/>
    <w:rsid w:val="007B161F"/>
    <w:rsid w:val="007B3E8B"/>
    <w:rsid w:val="007B571E"/>
    <w:rsid w:val="007B6C23"/>
    <w:rsid w:val="007C1CA8"/>
    <w:rsid w:val="007C1FDB"/>
    <w:rsid w:val="007C2536"/>
    <w:rsid w:val="007C2BDD"/>
    <w:rsid w:val="007C5EED"/>
    <w:rsid w:val="007D49D8"/>
    <w:rsid w:val="007D58D1"/>
    <w:rsid w:val="007D6FE9"/>
    <w:rsid w:val="007D72DC"/>
    <w:rsid w:val="007D7CEF"/>
    <w:rsid w:val="007E0447"/>
    <w:rsid w:val="007E0533"/>
    <w:rsid w:val="007E14AC"/>
    <w:rsid w:val="007E5A81"/>
    <w:rsid w:val="007E7120"/>
    <w:rsid w:val="007F29C4"/>
    <w:rsid w:val="007F46E9"/>
    <w:rsid w:val="007F735E"/>
    <w:rsid w:val="00813754"/>
    <w:rsid w:val="00815153"/>
    <w:rsid w:val="00822C8C"/>
    <w:rsid w:val="00827F0C"/>
    <w:rsid w:val="008357A7"/>
    <w:rsid w:val="00836A86"/>
    <w:rsid w:val="0084173D"/>
    <w:rsid w:val="00843345"/>
    <w:rsid w:val="008449AA"/>
    <w:rsid w:val="00845DEE"/>
    <w:rsid w:val="00855A49"/>
    <w:rsid w:val="008664D1"/>
    <w:rsid w:val="00866F97"/>
    <w:rsid w:val="00867183"/>
    <w:rsid w:val="00871F19"/>
    <w:rsid w:val="00877B63"/>
    <w:rsid w:val="008863FE"/>
    <w:rsid w:val="0088740F"/>
    <w:rsid w:val="00890484"/>
    <w:rsid w:val="00894EC1"/>
    <w:rsid w:val="008A6566"/>
    <w:rsid w:val="008B14AF"/>
    <w:rsid w:val="008B5D54"/>
    <w:rsid w:val="008B7817"/>
    <w:rsid w:val="008C04C4"/>
    <w:rsid w:val="008C2A1E"/>
    <w:rsid w:val="008C40BD"/>
    <w:rsid w:val="008D1981"/>
    <w:rsid w:val="008D5AEA"/>
    <w:rsid w:val="008E2659"/>
    <w:rsid w:val="008E2A19"/>
    <w:rsid w:val="008E410C"/>
    <w:rsid w:val="008E42F2"/>
    <w:rsid w:val="008E4751"/>
    <w:rsid w:val="008E47C7"/>
    <w:rsid w:val="008F1415"/>
    <w:rsid w:val="00900BE0"/>
    <w:rsid w:val="00900D77"/>
    <w:rsid w:val="00901A37"/>
    <w:rsid w:val="00905C70"/>
    <w:rsid w:val="00906C9C"/>
    <w:rsid w:val="00911F86"/>
    <w:rsid w:val="00912AF7"/>
    <w:rsid w:val="00915A2F"/>
    <w:rsid w:val="00916B25"/>
    <w:rsid w:val="0092229A"/>
    <w:rsid w:val="009265B9"/>
    <w:rsid w:val="00937842"/>
    <w:rsid w:val="009379B4"/>
    <w:rsid w:val="00937D6B"/>
    <w:rsid w:val="00950478"/>
    <w:rsid w:val="009504DD"/>
    <w:rsid w:val="00952508"/>
    <w:rsid w:val="009578C9"/>
    <w:rsid w:val="009579DA"/>
    <w:rsid w:val="00962227"/>
    <w:rsid w:val="00962552"/>
    <w:rsid w:val="00963E7C"/>
    <w:rsid w:val="009709F6"/>
    <w:rsid w:val="00971224"/>
    <w:rsid w:val="0097127B"/>
    <w:rsid w:val="00973F75"/>
    <w:rsid w:val="00975500"/>
    <w:rsid w:val="00981176"/>
    <w:rsid w:val="00983BE5"/>
    <w:rsid w:val="00984FE5"/>
    <w:rsid w:val="00986310"/>
    <w:rsid w:val="009869D8"/>
    <w:rsid w:val="009955F4"/>
    <w:rsid w:val="00997D0E"/>
    <w:rsid w:val="009A42AE"/>
    <w:rsid w:val="009A6F06"/>
    <w:rsid w:val="009A79E1"/>
    <w:rsid w:val="009B0947"/>
    <w:rsid w:val="009B6321"/>
    <w:rsid w:val="009C0A9B"/>
    <w:rsid w:val="009C6931"/>
    <w:rsid w:val="009D2B69"/>
    <w:rsid w:val="009D5629"/>
    <w:rsid w:val="009E00A6"/>
    <w:rsid w:val="009E2AF4"/>
    <w:rsid w:val="009E41DE"/>
    <w:rsid w:val="009E5681"/>
    <w:rsid w:val="009E6D92"/>
    <w:rsid w:val="009F064B"/>
    <w:rsid w:val="009F44A1"/>
    <w:rsid w:val="009F69CC"/>
    <w:rsid w:val="009F73EC"/>
    <w:rsid w:val="00A02CCF"/>
    <w:rsid w:val="00A150DE"/>
    <w:rsid w:val="00A16155"/>
    <w:rsid w:val="00A229AC"/>
    <w:rsid w:val="00A278EF"/>
    <w:rsid w:val="00A30D3B"/>
    <w:rsid w:val="00A33603"/>
    <w:rsid w:val="00A4776C"/>
    <w:rsid w:val="00A512C3"/>
    <w:rsid w:val="00A516BE"/>
    <w:rsid w:val="00A5192C"/>
    <w:rsid w:val="00A67086"/>
    <w:rsid w:val="00A824D9"/>
    <w:rsid w:val="00A82DAD"/>
    <w:rsid w:val="00A96C8D"/>
    <w:rsid w:val="00A96CAA"/>
    <w:rsid w:val="00A96EC1"/>
    <w:rsid w:val="00A97661"/>
    <w:rsid w:val="00AA44AF"/>
    <w:rsid w:val="00AA6595"/>
    <w:rsid w:val="00AA7BC4"/>
    <w:rsid w:val="00AB021E"/>
    <w:rsid w:val="00AB3B59"/>
    <w:rsid w:val="00AB6310"/>
    <w:rsid w:val="00AB7C2B"/>
    <w:rsid w:val="00AC5997"/>
    <w:rsid w:val="00AD2F36"/>
    <w:rsid w:val="00AE3A7D"/>
    <w:rsid w:val="00AE3E49"/>
    <w:rsid w:val="00AE6915"/>
    <w:rsid w:val="00AF1ECB"/>
    <w:rsid w:val="00AF28E7"/>
    <w:rsid w:val="00AF295A"/>
    <w:rsid w:val="00B05585"/>
    <w:rsid w:val="00B128AC"/>
    <w:rsid w:val="00B132D5"/>
    <w:rsid w:val="00B22B9B"/>
    <w:rsid w:val="00B27072"/>
    <w:rsid w:val="00B277A5"/>
    <w:rsid w:val="00B31088"/>
    <w:rsid w:val="00B35275"/>
    <w:rsid w:val="00B42A8B"/>
    <w:rsid w:val="00B5293C"/>
    <w:rsid w:val="00B5354E"/>
    <w:rsid w:val="00B53992"/>
    <w:rsid w:val="00B53C81"/>
    <w:rsid w:val="00B55735"/>
    <w:rsid w:val="00B56BD6"/>
    <w:rsid w:val="00B57FF3"/>
    <w:rsid w:val="00B608AC"/>
    <w:rsid w:val="00B64B9E"/>
    <w:rsid w:val="00B671F5"/>
    <w:rsid w:val="00B776C3"/>
    <w:rsid w:val="00B77E8C"/>
    <w:rsid w:val="00B80658"/>
    <w:rsid w:val="00B91400"/>
    <w:rsid w:val="00B953D5"/>
    <w:rsid w:val="00B96444"/>
    <w:rsid w:val="00BA3A50"/>
    <w:rsid w:val="00BA470D"/>
    <w:rsid w:val="00BA4F5A"/>
    <w:rsid w:val="00BA6B1A"/>
    <w:rsid w:val="00BB7984"/>
    <w:rsid w:val="00BC3F6D"/>
    <w:rsid w:val="00BC7BBC"/>
    <w:rsid w:val="00BD1A05"/>
    <w:rsid w:val="00BD3772"/>
    <w:rsid w:val="00BE09D2"/>
    <w:rsid w:val="00BE0E36"/>
    <w:rsid w:val="00BE315E"/>
    <w:rsid w:val="00BE63F6"/>
    <w:rsid w:val="00BE66E0"/>
    <w:rsid w:val="00BF233F"/>
    <w:rsid w:val="00BF3001"/>
    <w:rsid w:val="00BF55D7"/>
    <w:rsid w:val="00BF5C40"/>
    <w:rsid w:val="00BF7333"/>
    <w:rsid w:val="00C02DEF"/>
    <w:rsid w:val="00C10F60"/>
    <w:rsid w:val="00C17428"/>
    <w:rsid w:val="00C22EB4"/>
    <w:rsid w:val="00C31360"/>
    <w:rsid w:val="00C31925"/>
    <w:rsid w:val="00C32380"/>
    <w:rsid w:val="00C37EEA"/>
    <w:rsid w:val="00C5405B"/>
    <w:rsid w:val="00C553B7"/>
    <w:rsid w:val="00C6523F"/>
    <w:rsid w:val="00C7154C"/>
    <w:rsid w:val="00C85E90"/>
    <w:rsid w:val="00C90B13"/>
    <w:rsid w:val="00C9136D"/>
    <w:rsid w:val="00CA0F4D"/>
    <w:rsid w:val="00CA1A7B"/>
    <w:rsid w:val="00CA7490"/>
    <w:rsid w:val="00CB07FF"/>
    <w:rsid w:val="00CB09C3"/>
    <w:rsid w:val="00CC3335"/>
    <w:rsid w:val="00CC3C12"/>
    <w:rsid w:val="00CC3C1D"/>
    <w:rsid w:val="00CC3E67"/>
    <w:rsid w:val="00CC4CC0"/>
    <w:rsid w:val="00CD2AA4"/>
    <w:rsid w:val="00CD5A1D"/>
    <w:rsid w:val="00CE1150"/>
    <w:rsid w:val="00CF01DA"/>
    <w:rsid w:val="00CF3B2E"/>
    <w:rsid w:val="00D04267"/>
    <w:rsid w:val="00D04818"/>
    <w:rsid w:val="00D13EA1"/>
    <w:rsid w:val="00D14F45"/>
    <w:rsid w:val="00D15B89"/>
    <w:rsid w:val="00D17EF7"/>
    <w:rsid w:val="00D42969"/>
    <w:rsid w:val="00D477FC"/>
    <w:rsid w:val="00D511C8"/>
    <w:rsid w:val="00D5163A"/>
    <w:rsid w:val="00D53126"/>
    <w:rsid w:val="00D54FD2"/>
    <w:rsid w:val="00D55F21"/>
    <w:rsid w:val="00D56CCA"/>
    <w:rsid w:val="00D57A67"/>
    <w:rsid w:val="00D6638C"/>
    <w:rsid w:val="00D75174"/>
    <w:rsid w:val="00D952DF"/>
    <w:rsid w:val="00D95E47"/>
    <w:rsid w:val="00DA7E7C"/>
    <w:rsid w:val="00DB35D3"/>
    <w:rsid w:val="00DB3663"/>
    <w:rsid w:val="00DB3C30"/>
    <w:rsid w:val="00DB671A"/>
    <w:rsid w:val="00DC57CC"/>
    <w:rsid w:val="00DC74EE"/>
    <w:rsid w:val="00DD08BF"/>
    <w:rsid w:val="00DD0D84"/>
    <w:rsid w:val="00DD0E60"/>
    <w:rsid w:val="00DD21BB"/>
    <w:rsid w:val="00DD2A81"/>
    <w:rsid w:val="00DE3113"/>
    <w:rsid w:val="00DF14EA"/>
    <w:rsid w:val="00DF3E93"/>
    <w:rsid w:val="00E01AB3"/>
    <w:rsid w:val="00E0773B"/>
    <w:rsid w:val="00E13482"/>
    <w:rsid w:val="00E215FE"/>
    <w:rsid w:val="00E35397"/>
    <w:rsid w:val="00E35EA6"/>
    <w:rsid w:val="00E513DF"/>
    <w:rsid w:val="00E53BA3"/>
    <w:rsid w:val="00E57DD1"/>
    <w:rsid w:val="00E60AEE"/>
    <w:rsid w:val="00E653F8"/>
    <w:rsid w:val="00E724AA"/>
    <w:rsid w:val="00E80D2C"/>
    <w:rsid w:val="00E81272"/>
    <w:rsid w:val="00E83044"/>
    <w:rsid w:val="00E90B45"/>
    <w:rsid w:val="00E9186F"/>
    <w:rsid w:val="00EA1407"/>
    <w:rsid w:val="00EA4A3A"/>
    <w:rsid w:val="00EB556D"/>
    <w:rsid w:val="00EC309D"/>
    <w:rsid w:val="00EC3FDE"/>
    <w:rsid w:val="00EC66D4"/>
    <w:rsid w:val="00EE1A2B"/>
    <w:rsid w:val="00EE5A76"/>
    <w:rsid w:val="00EF6F1E"/>
    <w:rsid w:val="00F00226"/>
    <w:rsid w:val="00F05F08"/>
    <w:rsid w:val="00F069BA"/>
    <w:rsid w:val="00F262D9"/>
    <w:rsid w:val="00F30471"/>
    <w:rsid w:val="00F33090"/>
    <w:rsid w:val="00F3399F"/>
    <w:rsid w:val="00F365B5"/>
    <w:rsid w:val="00F40347"/>
    <w:rsid w:val="00F47919"/>
    <w:rsid w:val="00F548DB"/>
    <w:rsid w:val="00F56C86"/>
    <w:rsid w:val="00F61489"/>
    <w:rsid w:val="00F62816"/>
    <w:rsid w:val="00F870AE"/>
    <w:rsid w:val="00FA301C"/>
    <w:rsid w:val="00FA589D"/>
    <w:rsid w:val="00FA74B4"/>
    <w:rsid w:val="00FA7FA2"/>
    <w:rsid w:val="00FB0F85"/>
    <w:rsid w:val="00FC48E3"/>
    <w:rsid w:val="00FC784D"/>
    <w:rsid w:val="00FD43BA"/>
    <w:rsid w:val="00FE0398"/>
    <w:rsid w:val="00FF05C4"/>
    <w:rsid w:val="00FF2BC6"/>
    <w:rsid w:val="00FF40BC"/>
    <w:rsid w:val="00FF69DD"/>
    <w:rsid w:val="00FF72DE"/>
    <w:rsid w:val="00FF7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FE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E-mail Signature" w:uiPriority="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aliases w:val="Bullet List,FooterText,List Paragraph1,Proposal Bullet List,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aliases w:val="Bullet List Char,FooterText Char,List Paragraph1 Char,Proposal Bullet List Char,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3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417C9C"/>
    <w:rPr>
      <w:sz w:val="16"/>
      <w:szCs w:val="16"/>
    </w:rPr>
  </w:style>
  <w:style w:type="paragraph" w:styleId="CommentText">
    <w:name w:val="annotation text"/>
    <w:basedOn w:val="Normal"/>
    <w:link w:val="CommentTextChar"/>
    <w:uiPriority w:val="99"/>
    <w:unhideWhenUsed/>
    <w:rsid w:val="00417C9C"/>
    <w:pPr>
      <w:spacing w:line="240" w:lineRule="auto"/>
    </w:pPr>
    <w:rPr>
      <w:sz w:val="20"/>
      <w:szCs w:val="20"/>
    </w:rPr>
  </w:style>
  <w:style w:type="character" w:customStyle="1" w:styleId="CommentTextChar">
    <w:name w:val="Comment Text Char"/>
    <w:basedOn w:val="DefaultParagraphFont"/>
    <w:link w:val="CommentText"/>
    <w:uiPriority w:val="99"/>
    <w:rsid w:val="00417C9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17C9C"/>
    <w:rPr>
      <w:b/>
      <w:bCs/>
    </w:rPr>
  </w:style>
  <w:style w:type="character" w:customStyle="1" w:styleId="CommentSubjectChar">
    <w:name w:val="Comment Subject Char"/>
    <w:basedOn w:val="CommentTextChar"/>
    <w:link w:val="CommentSubject"/>
    <w:uiPriority w:val="99"/>
    <w:semiHidden/>
    <w:rsid w:val="00417C9C"/>
    <w:rPr>
      <w:rFonts w:ascii="Times New Roman" w:hAnsi="Times New Roman"/>
      <w:b/>
      <w:bCs/>
      <w:sz w:val="20"/>
      <w:szCs w:val="20"/>
    </w:rPr>
  </w:style>
  <w:style w:type="paragraph" w:styleId="BalloonText">
    <w:name w:val="Balloon Text"/>
    <w:basedOn w:val="Normal"/>
    <w:link w:val="BalloonTextChar"/>
    <w:uiPriority w:val="99"/>
    <w:semiHidden/>
    <w:unhideWhenUsed/>
    <w:rsid w:val="00417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C9C"/>
    <w:rPr>
      <w:rFonts w:ascii="Segoe UI" w:hAnsi="Segoe UI" w:cs="Segoe UI"/>
      <w:sz w:val="18"/>
      <w:szCs w:val="18"/>
    </w:rPr>
  </w:style>
  <w:style w:type="paragraph" w:styleId="E-mailSignature">
    <w:name w:val="E-mail Signature"/>
    <w:basedOn w:val="Normal"/>
    <w:link w:val="E-mailSignatureChar"/>
    <w:rsid w:val="00527B48"/>
    <w:pPr>
      <w:spacing w:after="0" w:line="240" w:lineRule="auto"/>
    </w:pPr>
    <w:rPr>
      <w:rFonts w:eastAsia="Times New Roman" w:cs="Times New Roman"/>
      <w:szCs w:val="24"/>
    </w:rPr>
  </w:style>
  <w:style w:type="character" w:customStyle="1" w:styleId="E-mailSignatureChar">
    <w:name w:val="E-mail Signature Char"/>
    <w:basedOn w:val="DefaultParagraphFont"/>
    <w:link w:val="E-mailSignature"/>
    <w:rsid w:val="00527B48"/>
    <w:rPr>
      <w:rFonts w:ascii="Times New Roman" w:eastAsia="Times New Roman" w:hAnsi="Times New Roman" w:cs="Times New Roman"/>
      <w:sz w:val="24"/>
      <w:szCs w:val="24"/>
    </w:rPr>
  </w:style>
  <w:style w:type="paragraph" w:styleId="NormalWeb">
    <w:name w:val="Normal (Web)"/>
    <w:basedOn w:val="Normal"/>
    <w:uiPriority w:val="99"/>
    <w:unhideWhenUsed/>
    <w:rsid w:val="00601C93"/>
    <w:pPr>
      <w:spacing w:before="100" w:beforeAutospacing="1" w:after="100" w:afterAutospacing="1" w:line="240" w:lineRule="auto"/>
    </w:pPr>
    <w:rPr>
      <w:rFonts w:ascii="Calibri" w:hAnsi="Calibri" w:cs="Calibri"/>
      <w:sz w:val="22"/>
    </w:rPr>
  </w:style>
  <w:style w:type="character" w:customStyle="1" w:styleId="e24kjd">
    <w:name w:val="e24kjd"/>
    <w:basedOn w:val="DefaultParagraphFont"/>
    <w:rsid w:val="00AB3B59"/>
  </w:style>
  <w:style w:type="paragraph" w:styleId="BodyTextIndent2">
    <w:name w:val="Body Text Indent 2"/>
    <w:basedOn w:val="Normal"/>
    <w:link w:val="BodyTextIndent2Char"/>
    <w:rsid w:val="0071106C"/>
    <w:pPr>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71106C"/>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451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513A"/>
    <w:rPr>
      <w:rFonts w:ascii="Times New Roman" w:hAnsi="Times New Roman"/>
      <w:sz w:val="20"/>
      <w:szCs w:val="20"/>
    </w:rPr>
  </w:style>
  <w:style w:type="character" w:styleId="FootnoteReference">
    <w:name w:val="footnote reference"/>
    <w:basedOn w:val="DefaultParagraphFont"/>
    <w:uiPriority w:val="99"/>
    <w:semiHidden/>
    <w:unhideWhenUsed/>
    <w:rsid w:val="0014513A"/>
    <w:rPr>
      <w:vertAlign w:val="superscript"/>
    </w:rPr>
  </w:style>
  <w:style w:type="character" w:customStyle="1" w:styleId="UnresolvedMention1">
    <w:name w:val="Unresolved Mention1"/>
    <w:basedOn w:val="DefaultParagraphFont"/>
    <w:uiPriority w:val="99"/>
    <w:semiHidden/>
    <w:unhideWhenUsed/>
    <w:rsid w:val="006A48E6"/>
    <w:rPr>
      <w:color w:val="605E5C"/>
      <w:shd w:val="clear" w:color="auto" w:fill="E1DFDD"/>
    </w:rPr>
  </w:style>
  <w:style w:type="paragraph" w:styleId="BodyText">
    <w:name w:val="Body Text"/>
    <w:basedOn w:val="Normal"/>
    <w:link w:val="BodyTextChar"/>
    <w:uiPriority w:val="99"/>
    <w:semiHidden/>
    <w:unhideWhenUsed/>
    <w:rsid w:val="00473D83"/>
    <w:pPr>
      <w:spacing w:after="120"/>
    </w:pPr>
  </w:style>
  <w:style w:type="character" w:customStyle="1" w:styleId="BodyTextChar">
    <w:name w:val="Body Text Char"/>
    <w:basedOn w:val="DefaultParagraphFont"/>
    <w:link w:val="BodyText"/>
    <w:uiPriority w:val="99"/>
    <w:semiHidden/>
    <w:rsid w:val="00473D83"/>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E-mail Signature" w:uiPriority="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aliases w:val="Bullet List,FooterText,List Paragraph1,Proposal Bullet List,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aliases w:val="Bullet List Char,FooterText Char,List Paragraph1 Char,Proposal Bullet List Char,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3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417C9C"/>
    <w:rPr>
      <w:sz w:val="16"/>
      <w:szCs w:val="16"/>
    </w:rPr>
  </w:style>
  <w:style w:type="paragraph" w:styleId="CommentText">
    <w:name w:val="annotation text"/>
    <w:basedOn w:val="Normal"/>
    <w:link w:val="CommentTextChar"/>
    <w:uiPriority w:val="99"/>
    <w:unhideWhenUsed/>
    <w:rsid w:val="00417C9C"/>
    <w:pPr>
      <w:spacing w:line="240" w:lineRule="auto"/>
    </w:pPr>
    <w:rPr>
      <w:sz w:val="20"/>
      <w:szCs w:val="20"/>
    </w:rPr>
  </w:style>
  <w:style w:type="character" w:customStyle="1" w:styleId="CommentTextChar">
    <w:name w:val="Comment Text Char"/>
    <w:basedOn w:val="DefaultParagraphFont"/>
    <w:link w:val="CommentText"/>
    <w:uiPriority w:val="99"/>
    <w:rsid w:val="00417C9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17C9C"/>
    <w:rPr>
      <w:b/>
      <w:bCs/>
    </w:rPr>
  </w:style>
  <w:style w:type="character" w:customStyle="1" w:styleId="CommentSubjectChar">
    <w:name w:val="Comment Subject Char"/>
    <w:basedOn w:val="CommentTextChar"/>
    <w:link w:val="CommentSubject"/>
    <w:uiPriority w:val="99"/>
    <w:semiHidden/>
    <w:rsid w:val="00417C9C"/>
    <w:rPr>
      <w:rFonts w:ascii="Times New Roman" w:hAnsi="Times New Roman"/>
      <w:b/>
      <w:bCs/>
      <w:sz w:val="20"/>
      <w:szCs w:val="20"/>
    </w:rPr>
  </w:style>
  <w:style w:type="paragraph" w:styleId="BalloonText">
    <w:name w:val="Balloon Text"/>
    <w:basedOn w:val="Normal"/>
    <w:link w:val="BalloonTextChar"/>
    <w:uiPriority w:val="99"/>
    <w:semiHidden/>
    <w:unhideWhenUsed/>
    <w:rsid w:val="00417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C9C"/>
    <w:rPr>
      <w:rFonts w:ascii="Segoe UI" w:hAnsi="Segoe UI" w:cs="Segoe UI"/>
      <w:sz w:val="18"/>
      <w:szCs w:val="18"/>
    </w:rPr>
  </w:style>
  <w:style w:type="paragraph" w:styleId="E-mailSignature">
    <w:name w:val="E-mail Signature"/>
    <w:basedOn w:val="Normal"/>
    <w:link w:val="E-mailSignatureChar"/>
    <w:rsid w:val="00527B48"/>
    <w:pPr>
      <w:spacing w:after="0" w:line="240" w:lineRule="auto"/>
    </w:pPr>
    <w:rPr>
      <w:rFonts w:eastAsia="Times New Roman" w:cs="Times New Roman"/>
      <w:szCs w:val="24"/>
    </w:rPr>
  </w:style>
  <w:style w:type="character" w:customStyle="1" w:styleId="E-mailSignatureChar">
    <w:name w:val="E-mail Signature Char"/>
    <w:basedOn w:val="DefaultParagraphFont"/>
    <w:link w:val="E-mailSignature"/>
    <w:rsid w:val="00527B48"/>
    <w:rPr>
      <w:rFonts w:ascii="Times New Roman" w:eastAsia="Times New Roman" w:hAnsi="Times New Roman" w:cs="Times New Roman"/>
      <w:sz w:val="24"/>
      <w:szCs w:val="24"/>
    </w:rPr>
  </w:style>
  <w:style w:type="paragraph" w:styleId="NormalWeb">
    <w:name w:val="Normal (Web)"/>
    <w:basedOn w:val="Normal"/>
    <w:uiPriority w:val="99"/>
    <w:unhideWhenUsed/>
    <w:rsid w:val="00601C93"/>
    <w:pPr>
      <w:spacing w:before="100" w:beforeAutospacing="1" w:after="100" w:afterAutospacing="1" w:line="240" w:lineRule="auto"/>
    </w:pPr>
    <w:rPr>
      <w:rFonts w:ascii="Calibri" w:hAnsi="Calibri" w:cs="Calibri"/>
      <w:sz w:val="22"/>
    </w:rPr>
  </w:style>
  <w:style w:type="character" w:customStyle="1" w:styleId="e24kjd">
    <w:name w:val="e24kjd"/>
    <w:basedOn w:val="DefaultParagraphFont"/>
    <w:rsid w:val="00AB3B59"/>
  </w:style>
  <w:style w:type="paragraph" w:styleId="BodyTextIndent2">
    <w:name w:val="Body Text Indent 2"/>
    <w:basedOn w:val="Normal"/>
    <w:link w:val="BodyTextIndent2Char"/>
    <w:rsid w:val="0071106C"/>
    <w:pPr>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71106C"/>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451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513A"/>
    <w:rPr>
      <w:rFonts w:ascii="Times New Roman" w:hAnsi="Times New Roman"/>
      <w:sz w:val="20"/>
      <w:szCs w:val="20"/>
    </w:rPr>
  </w:style>
  <w:style w:type="character" w:styleId="FootnoteReference">
    <w:name w:val="footnote reference"/>
    <w:basedOn w:val="DefaultParagraphFont"/>
    <w:uiPriority w:val="99"/>
    <w:semiHidden/>
    <w:unhideWhenUsed/>
    <w:rsid w:val="0014513A"/>
    <w:rPr>
      <w:vertAlign w:val="superscript"/>
    </w:rPr>
  </w:style>
  <w:style w:type="character" w:customStyle="1" w:styleId="UnresolvedMention1">
    <w:name w:val="Unresolved Mention1"/>
    <w:basedOn w:val="DefaultParagraphFont"/>
    <w:uiPriority w:val="99"/>
    <w:semiHidden/>
    <w:unhideWhenUsed/>
    <w:rsid w:val="006A48E6"/>
    <w:rPr>
      <w:color w:val="605E5C"/>
      <w:shd w:val="clear" w:color="auto" w:fill="E1DFDD"/>
    </w:rPr>
  </w:style>
  <w:style w:type="paragraph" w:styleId="BodyText">
    <w:name w:val="Body Text"/>
    <w:basedOn w:val="Normal"/>
    <w:link w:val="BodyTextChar"/>
    <w:uiPriority w:val="99"/>
    <w:semiHidden/>
    <w:unhideWhenUsed/>
    <w:rsid w:val="00473D83"/>
    <w:pPr>
      <w:spacing w:after="120"/>
    </w:pPr>
  </w:style>
  <w:style w:type="character" w:customStyle="1" w:styleId="BodyTextChar">
    <w:name w:val="Body Text Char"/>
    <w:basedOn w:val="DefaultParagraphFont"/>
    <w:link w:val="BodyText"/>
    <w:uiPriority w:val="99"/>
    <w:semiHidden/>
    <w:rsid w:val="00473D8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92751">
      <w:bodyDiv w:val="1"/>
      <w:marLeft w:val="0"/>
      <w:marRight w:val="0"/>
      <w:marTop w:val="0"/>
      <w:marBottom w:val="0"/>
      <w:divBdr>
        <w:top w:val="none" w:sz="0" w:space="0" w:color="auto"/>
        <w:left w:val="none" w:sz="0" w:space="0" w:color="auto"/>
        <w:bottom w:val="none" w:sz="0" w:space="0" w:color="auto"/>
        <w:right w:val="none" w:sz="0" w:space="0" w:color="auto"/>
      </w:divBdr>
    </w:div>
    <w:div w:id="363291960">
      <w:bodyDiv w:val="1"/>
      <w:marLeft w:val="0"/>
      <w:marRight w:val="0"/>
      <w:marTop w:val="0"/>
      <w:marBottom w:val="0"/>
      <w:divBdr>
        <w:top w:val="none" w:sz="0" w:space="0" w:color="auto"/>
        <w:left w:val="none" w:sz="0" w:space="0" w:color="auto"/>
        <w:bottom w:val="none" w:sz="0" w:space="0" w:color="auto"/>
        <w:right w:val="none" w:sz="0" w:space="0" w:color="auto"/>
      </w:divBdr>
    </w:div>
    <w:div w:id="430274756">
      <w:bodyDiv w:val="1"/>
      <w:marLeft w:val="0"/>
      <w:marRight w:val="0"/>
      <w:marTop w:val="0"/>
      <w:marBottom w:val="0"/>
      <w:divBdr>
        <w:top w:val="none" w:sz="0" w:space="0" w:color="auto"/>
        <w:left w:val="none" w:sz="0" w:space="0" w:color="auto"/>
        <w:bottom w:val="none" w:sz="0" w:space="0" w:color="auto"/>
        <w:right w:val="none" w:sz="0" w:space="0" w:color="auto"/>
      </w:divBdr>
    </w:div>
    <w:div w:id="1098478184">
      <w:bodyDiv w:val="1"/>
      <w:marLeft w:val="0"/>
      <w:marRight w:val="0"/>
      <w:marTop w:val="0"/>
      <w:marBottom w:val="0"/>
      <w:divBdr>
        <w:top w:val="none" w:sz="0" w:space="0" w:color="auto"/>
        <w:left w:val="none" w:sz="0" w:space="0" w:color="auto"/>
        <w:bottom w:val="none" w:sz="0" w:space="0" w:color="auto"/>
        <w:right w:val="none" w:sz="0" w:space="0" w:color="auto"/>
      </w:divBdr>
    </w:div>
    <w:div w:id="1312128803">
      <w:bodyDiv w:val="1"/>
      <w:marLeft w:val="0"/>
      <w:marRight w:val="0"/>
      <w:marTop w:val="0"/>
      <w:marBottom w:val="0"/>
      <w:divBdr>
        <w:top w:val="none" w:sz="0" w:space="0" w:color="auto"/>
        <w:left w:val="none" w:sz="0" w:space="0" w:color="auto"/>
        <w:bottom w:val="none" w:sz="0" w:space="0" w:color="auto"/>
        <w:right w:val="none" w:sz="0" w:space="0" w:color="auto"/>
      </w:divBdr>
    </w:div>
    <w:div w:id="1321883678">
      <w:bodyDiv w:val="1"/>
      <w:marLeft w:val="0"/>
      <w:marRight w:val="0"/>
      <w:marTop w:val="0"/>
      <w:marBottom w:val="0"/>
      <w:divBdr>
        <w:top w:val="none" w:sz="0" w:space="0" w:color="auto"/>
        <w:left w:val="none" w:sz="0" w:space="0" w:color="auto"/>
        <w:bottom w:val="none" w:sz="0" w:space="0" w:color="auto"/>
        <w:right w:val="none" w:sz="0" w:space="0" w:color="auto"/>
      </w:divBdr>
    </w:div>
    <w:div w:id="201418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my.yougov.com/en-my/about/privac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bls.gov/oes/current/oes_nat.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oday.yougov.com/about/about-the-yougov-panel/" TargetMode="External"/><Relationship Id="rId2" Type="http://schemas.openxmlformats.org/officeDocument/2006/relationships/hyperlink" Target="https://corporate.yougov.com/about/" TargetMode="External"/><Relationship Id="rId1" Type="http://schemas.openxmlformats.org/officeDocument/2006/relationships/hyperlink" Target="https://www.cdc.gov/tobacco/basic_information/e-cigarettes/severe-lung-diseas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8f66e3cfe0790222bd562befd0530322">
  <xsd:schema xmlns:xsd="http://www.w3.org/2001/XMLSchema" xmlns:xs="http://www.w3.org/2001/XMLSchema" xmlns:p="http://schemas.microsoft.com/office/2006/metadata/properties" xmlns:ns2="81daf041-c113-401c-bf82-107f5d396711" targetNamespace="http://schemas.microsoft.com/office/2006/metadata/properties" ma:root="true" ma:fieldsID="cd89f18d43787e6e61c67e7add6b5be3"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PFY6PPX2AYTS-1630823389-41</_dlc_DocId>
    <_dlc_DocIdUrl xmlns="81daf041-c113-401c-bf82-107f5d396711">
      <Url>https://esp.cdc.gov/sites/ncezid/OD/policy/PRA/_layouts/15/DocIdRedir.aspx?ID=PFY6PPX2AYTS-1630823389-41</Url>
      <Description>PFY6PPX2AYTS-1630823389-41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4AB8F-3D93-4C53-A399-ACA1A7C37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C21317-D8DA-4166-A653-ABCE83E313DB}">
  <ds:schemaRefs>
    <ds:schemaRef ds:uri="http://schemas.microsoft.com/sharepoint/events"/>
  </ds:schemaRefs>
</ds:datastoreItem>
</file>

<file path=customXml/itemProps3.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4.xml><?xml version="1.0" encoding="utf-8"?>
<ds:datastoreItem xmlns:ds="http://schemas.openxmlformats.org/officeDocument/2006/customXml" ds:itemID="{E509D13A-A765-489B-AC65-A1B5B3A55FEF}">
  <ds:schemaRefs>
    <ds:schemaRef ds:uri="http://schemas.microsoft.com/office/2006/documentManagement/types"/>
    <ds:schemaRef ds:uri="http://purl.org/dc/elements/1.1/"/>
    <ds:schemaRef ds:uri="http://purl.org/dc/terms/"/>
    <ds:schemaRef ds:uri="http://schemas.microsoft.com/office/infopath/2007/PartnerControls"/>
    <ds:schemaRef ds:uri="http://purl.org/dc/dcmitype/"/>
    <ds:schemaRef ds:uri="http://schemas.microsoft.com/office/2006/metadata/properties"/>
    <ds:schemaRef ds:uri="http://schemas.openxmlformats.org/package/2006/metadata/core-properties"/>
    <ds:schemaRef ds:uri="81daf041-c113-401c-bf82-107f5d396711"/>
    <ds:schemaRef ds:uri="http://www.w3.org/XML/1998/namespace"/>
  </ds:schemaRefs>
</ds:datastoreItem>
</file>

<file path=customXml/itemProps5.xml><?xml version="1.0" encoding="utf-8"?>
<ds:datastoreItem xmlns:ds="http://schemas.openxmlformats.org/officeDocument/2006/customXml" ds:itemID="{FD22AC08-81E1-4657-85D6-9BAC680C0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5269</Words>
  <Characters>30034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cp:lastPrinted>2019-11-06T19:01:00Z</cp:lastPrinted>
  <dcterms:created xsi:type="dcterms:W3CDTF">2019-11-25T18:53:00Z</dcterms:created>
  <dcterms:modified xsi:type="dcterms:W3CDTF">2019-11-25T18:53:00Z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_dlc_DocIdItemGuid">
    <vt:lpwstr>e28d4fa4-bae3-4cdf-93ea-0dd5dc1c0e99</vt:lpwstr>
  </property>
</Properties>
</file>