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723" w:rsidRPr="003531C8" w:rsidRDefault="00D70905" w:rsidP="00AF1723">
      <w:pPr>
        <w:rPr>
          <w:b/>
        </w:rPr>
      </w:pPr>
      <w:bookmarkStart w:id="0" w:name="_GoBack"/>
      <w:bookmarkEnd w:id="0"/>
      <w:r w:rsidRPr="003531C8">
        <w:rPr>
          <w:b/>
        </w:rPr>
        <w:t xml:space="preserve">Attachment </w:t>
      </w:r>
      <w:r w:rsidR="003531C8" w:rsidRPr="003531C8">
        <w:rPr>
          <w:b/>
        </w:rPr>
        <w:t>10</w:t>
      </w:r>
      <w:r w:rsidRPr="003531C8">
        <w:rPr>
          <w:b/>
        </w:rPr>
        <w:t>:  THRIVE</w:t>
      </w:r>
      <w:r w:rsidR="00AF1723" w:rsidRPr="003531C8">
        <w:rPr>
          <w:b/>
        </w:rPr>
        <w:t xml:space="preserve"> </w:t>
      </w:r>
      <w:r w:rsidR="003531C8">
        <w:rPr>
          <w:b/>
        </w:rPr>
        <w:t>E</w:t>
      </w:r>
      <w:r w:rsidR="0034046F" w:rsidRPr="003531C8">
        <w:rPr>
          <w:b/>
        </w:rPr>
        <w:t>valuation</w:t>
      </w:r>
      <w:r w:rsidR="00AF1723" w:rsidRPr="003531C8">
        <w:rPr>
          <w:b/>
        </w:rPr>
        <w:t xml:space="preserve"> Summary</w:t>
      </w:r>
    </w:p>
    <w:p w:rsidR="00A86DDA" w:rsidRPr="001C58BC" w:rsidRDefault="00A86DDA" w:rsidP="00A86DDA">
      <w:pPr>
        <w:kinsoku w:val="0"/>
        <w:overflowPunct w:val="0"/>
        <w:ind w:left="720"/>
        <w:contextualSpacing/>
        <w:textAlignment w:val="baseline"/>
        <w:rPr>
          <w:rFonts w:eastAsia="Times New Roman" w:cs="Times New Roman"/>
          <w:color w:val="006166"/>
        </w:rPr>
      </w:pPr>
    </w:p>
    <w:p w:rsidR="00323BFC" w:rsidRPr="001C58BC" w:rsidRDefault="00EA4504" w:rsidP="00323BFC">
      <w:pPr>
        <w:numPr>
          <w:ilvl w:val="0"/>
          <w:numId w:val="8"/>
        </w:numPr>
        <w:tabs>
          <w:tab w:val="clear" w:pos="720"/>
          <w:tab w:val="num" w:pos="450"/>
        </w:tabs>
        <w:kinsoku w:val="0"/>
        <w:overflowPunct w:val="0"/>
        <w:ind w:left="450"/>
        <w:contextualSpacing/>
        <w:textAlignment w:val="baseline"/>
        <w:rPr>
          <w:rFonts w:eastAsia="Times New Roman" w:cs="Times New Roman"/>
        </w:rPr>
      </w:pPr>
      <w:r w:rsidRPr="001C58BC">
        <w:rPr>
          <w:rFonts w:eastAsia="Calibri" w:cs="Calibri"/>
          <w:kern w:val="24"/>
        </w:rPr>
        <w:t>Served 30,238 clients from 9/</w:t>
      </w:r>
      <w:r w:rsidR="003E2AEF" w:rsidRPr="001C58BC">
        <w:rPr>
          <w:rFonts w:eastAsia="Calibri" w:cs="Calibri"/>
          <w:kern w:val="24"/>
        </w:rPr>
        <w:t>30/20</w:t>
      </w:r>
      <w:r w:rsidRPr="001C58BC">
        <w:rPr>
          <w:rFonts w:eastAsia="Calibri" w:cs="Calibri"/>
          <w:kern w:val="24"/>
        </w:rPr>
        <w:t>16-9/</w:t>
      </w:r>
      <w:r w:rsidR="003E2AEF" w:rsidRPr="001C58BC">
        <w:rPr>
          <w:rFonts w:eastAsia="Calibri" w:cs="Calibri"/>
          <w:kern w:val="24"/>
        </w:rPr>
        <w:t>29/20</w:t>
      </w:r>
      <w:r w:rsidRPr="001C58BC">
        <w:rPr>
          <w:rFonts w:eastAsia="Calibri" w:cs="Calibri"/>
          <w:kern w:val="24"/>
        </w:rPr>
        <w:t>18</w:t>
      </w:r>
    </w:p>
    <w:p w:rsidR="00323BFC" w:rsidRPr="001C58BC" w:rsidRDefault="00EA4504" w:rsidP="00323BFC">
      <w:pPr>
        <w:numPr>
          <w:ilvl w:val="1"/>
          <w:numId w:val="8"/>
        </w:numPr>
        <w:kinsoku w:val="0"/>
        <w:overflowPunct w:val="0"/>
        <w:contextualSpacing/>
        <w:textAlignment w:val="baseline"/>
        <w:rPr>
          <w:rFonts w:eastAsia="Times New Roman" w:cs="Times New Roman"/>
        </w:rPr>
      </w:pPr>
      <w:r w:rsidRPr="001C58BC">
        <w:rPr>
          <w:rFonts w:eastAsia="Calibri" w:cs="Calibri"/>
          <w:kern w:val="24"/>
        </w:rPr>
        <w:t>MSM of color: 10,300</w:t>
      </w:r>
    </w:p>
    <w:p w:rsidR="00EA4504" w:rsidRPr="001C58BC" w:rsidRDefault="00EA4504" w:rsidP="00323BFC">
      <w:pPr>
        <w:numPr>
          <w:ilvl w:val="1"/>
          <w:numId w:val="8"/>
        </w:numPr>
        <w:kinsoku w:val="0"/>
        <w:overflowPunct w:val="0"/>
        <w:contextualSpacing/>
        <w:textAlignment w:val="baseline"/>
        <w:rPr>
          <w:rFonts w:eastAsia="Times New Roman" w:cs="Times New Roman"/>
        </w:rPr>
      </w:pPr>
      <w:r w:rsidRPr="001C58BC">
        <w:rPr>
          <w:rFonts w:eastAsia="Calibri" w:cs="Calibri"/>
          <w:kern w:val="24"/>
        </w:rPr>
        <w:t>TGW of color: 1,004</w:t>
      </w:r>
    </w:p>
    <w:p w:rsidR="00323BFC" w:rsidRPr="001C58BC" w:rsidRDefault="00EA4504" w:rsidP="00323BFC">
      <w:pPr>
        <w:numPr>
          <w:ilvl w:val="0"/>
          <w:numId w:val="8"/>
        </w:numPr>
        <w:tabs>
          <w:tab w:val="clear" w:pos="720"/>
          <w:tab w:val="num" w:pos="450"/>
        </w:tabs>
        <w:kinsoku w:val="0"/>
        <w:overflowPunct w:val="0"/>
        <w:ind w:left="450"/>
        <w:contextualSpacing/>
        <w:textAlignment w:val="baseline"/>
        <w:rPr>
          <w:rFonts w:eastAsia="Times New Roman" w:cs="Times New Roman"/>
        </w:rPr>
      </w:pPr>
      <w:r w:rsidRPr="001C58BC">
        <w:rPr>
          <w:rFonts w:eastAsia="Calibri" w:cs="Calibri"/>
          <w:kern w:val="24"/>
        </w:rPr>
        <w:t xml:space="preserve">Cross-site evaluation </w:t>
      </w:r>
    </w:p>
    <w:p w:rsidR="00323BFC" w:rsidRPr="001C58BC" w:rsidRDefault="00323BFC" w:rsidP="00323BFC">
      <w:pPr>
        <w:numPr>
          <w:ilvl w:val="1"/>
          <w:numId w:val="8"/>
        </w:numPr>
        <w:kinsoku w:val="0"/>
        <w:overflowPunct w:val="0"/>
        <w:contextualSpacing/>
        <w:textAlignment w:val="baseline"/>
        <w:rPr>
          <w:rFonts w:eastAsia="Times New Roman" w:cs="Times New Roman"/>
        </w:rPr>
      </w:pPr>
      <w:r w:rsidRPr="001C58BC">
        <w:rPr>
          <w:rFonts w:eastAsia="Times New Roman" w:cs="Times New Roman"/>
        </w:rPr>
        <w:t>Data u</w:t>
      </w:r>
      <w:r w:rsidR="00EA4504" w:rsidRPr="001C58BC">
        <w:rPr>
          <w:rFonts w:eastAsia="Times New Roman" w:cs="Times New Roman"/>
        </w:rPr>
        <w:t>sed to improve programmatic performance</w:t>
      </w:r>
    </w:p>
    <w:p w:rsidR="00323BFC" w:rsidRPr="001C58BC" w:rsidRDefault="00323BFC" w:rsidP="00323BFC">
      <w:pPr>
        <w:numPr>
          <w:ilvl w:val="1"/>
          <w:numId w:val="8"/>
        </w:numPr>
        <w:kinsoku w:val="0"/>
        <w:overflowPunct w:val="0"/>
        <w:contextualSpacing/>
        <w:textAlignment w:val="baseline"/>
        <w:rPr>
          <w:rFonts w:eastAsia="Times New Roman" w:cs="Times New Roman"/>
        </w:rPr>
      </w:pPr>
      <w:r w:rsidRPr="001C58BC">
        <w:rPr>
          <w:rFonts w:eastAsia="Times New Roman" w:cs="Times New Roman"/>
        </w:rPr>
        <w:t>Increased identification</w:t>
      </w:r>
      <w:r w:rsidR="00EA4504" w:rsidRPr="001C58BC">
        <w:rPr>
          <w:rFonts w:eastAsia="Times New Roman" w:cs="Times New Roman"/>
        </w:rPr>
        <w:t xml:space="preserve"> of suboptimal performance of collaborative partners</w:t>
      </w:r>
    </w:p>
    <w:p w:rsidR="00323BFC" w:rsidRPr="001C58BC" w:rsidRDefault="00EA4504" w:rsidP="00323BFC">
      <w:pPr>
        <w:numPr>
          <w:ilvl w:val="1"/>
          <w:numId w:val="8"/>
        </w:numPr>
        <w:kinsoku w:val="0"/>
        <w:overflowPunct w:val="0"/>
        <w:contextualSpacing/>
        <w:textAlignment w:val="baseline"/>
        <w:rPr>
          <w:rFonts w:eastAsia="Times New Roman" w:cs="Times New Roman"/>
        </w:rPr>
      </w:pPr>
      <w:r w:rsidRPr="001C58BC">
        <w:rPr>
          <w:rFonts w:eastAsia="Times New Roman" w:cs="Times New Roman"/>
        </w:rPr>
        <w:t>Identif</w:t>
      </w:r>
      <w:r w:rsidR="00323BFC" w:rsidRPr="001C58BC">
        <w:rPr>
          <w:rFonts w:eastAsia="Times New Roman" w:cs="Times New Roman"/>
        </w:rPr>
        <w:t>ied</w:t>
      </w:r>
      <w:r w:rsidRPr="001C58BC">
        <w:rPr>
          <w:rFonts w:eastAsia="Times New Roman" w:cs="Times New Roman"/>
        </w:rPr>
        <w:t xml:space="preserve"> need for technical assistance</w:t>
      </w:r>
    </w:p>
    <w:p w:rsidR="00323BFC" w:rsidRPr="001C58BC" w:rsidRDefault="00EA4504" w:rsidP="00323BFC">
      <w:pPr>
        <w:numPr>
          <w:ilvl w:val="1"/>
          <w:numId w:val="8"/>
        </w:numPr>
        <w:kinsoku w:val="0"/>
        <w:overflowPunct w:val="0"/>
        <w:contextualSpacing/>
        <w:textAlignment w:val="baseline"/>
        <w:rPr>
          <w:rFonts w:eastAsia="Times New Roman" w:cs="Times New Roman"/>
        </w:rPr>
      </w:pPr>
      <w:r w:rsidRPr="001C58BC">
        <w:rPr>
          <w:rFonts w:eastAsia="Calibri" w:cs="Calibri"/>
          <w:kern w:val="24"/>
        </w:rPr>
        <w:t xml:space="preserve">Data transmission every 6 months </w:t>
      </w:r>
    </w:p>
    <w:p w:rsidR="0034046F" w:rsidRDefault="00EA4504" w:rsidP="0034046F">
      <w:pPr>
        <w:numPr>
          <w:ilvl w:val="2"/>
          <w:numId w:val="8"/>
        </w:numPr>
        <w:tabs>
          <w:tab w:val="clear" w:pos="2160"/>
        </w:tabs>
        <w:kinsoku w:val="0"/>
        <w:overflowPunct w:val="0"/>
        <w:contextualSpacing/>
        <w:textAlignment w:val="baseline"/>
        <w:rPr>
          <w:rFonts w:eastAsia="Times New Roman" w:cs="Times New Roman"/>
        </w:rPr>
      </w:pPr>
      <w:r w:rsidRPr="001C58BC">
        <w:rPr>
          <w:rFonts w:eastAsia="Calibri" w:cs="Calibri"/>
          <w:kern w:val="24"/>
        </w:rPr>
        <w:t xml:space="preserve">Next data submission </w:t>
      </w:r>
      <w:r w:rsidR="00ED20FA" w:rsidRPr="001C58BC">
        <w:rPr>
          <w:rFonts w:eastAsia="Calibri" w:cs="Calibri"/>
          <w:kern w:val="24"/>
        </w:rPr>
        <w:t>– 6/15/</w:t>
      </w:r>
      <w:r w:rsidRPr="001C58BC">
        <w:rPr>
          <w:rFonts w:eastAsia="Calibri" w:cs="Calibri"/>
          <w:kern w:val="24"/>
        </w:rPr>
        <w:t>2019</w:t>
      </w:r>
    </w:p>
    <w:p w:rsidR="0034046F" w:rsidRPr="0034046F" w:rsidRDefault="0034046F" w:rsidP="0034046F">
      <w:pPr>
        <w:numPr>
          <w:ilvl w:val="1"/>
          <w:numId w:val="8"/>
        </w:numPr>
        <w:kinsoku w:val="0"/>
        <w:overflowPunct w:val="0"/>
        <w:contextualSpacing/>
        <w:textAlignment w:val="baseline"/>
        <w:rPr>
          <w:rFonts w:eastAsia="Times New Roman" w:cs="Times New Roman"/>
        </w:rPr>
      </w:pPr>
      <w:r w:rsidRPr="0034046F">
        <w:t xml:space="preserve">Outcomes </w:t>
      </w:r>
    </w:p>
    <w:p w:rsidR="0034046F" w:rsidRPr="001C58BC" w:rsidRDefault="0034046F" w:rsidP="0034046F">
      <w:pPr>
        <w:pStyle w:val="ListParagraph"/>
        <w:numPr>
          <w:ilvl w:val="0"/>
          <w:numId w:val="1"/>
        </w:numPr>
        <w:ind w:left="1800"/>
      </w:pPr>
      <w:r w:rsidRPr="001C58BC">
        <w:t>Projects funding HIV testing, must report on Numbers Tested, HIV Positivity, Knowledge of HIV-Positive Status, Late HIV Diagnosis, and Linkage to Care.</w:t>
      </w:r>
    </w:p>
    <w:p w:rsidR="0034046F" w:rsidRPr="001C58BC" w:rsidRDefault="0034046F" w:rsidP="0034046F">
      <w:pPr>
        <w:pStyle w:val="ListParagraph"/>
        <w:ind w:left="1800"/>
      </w:pPr>
    </w:p>
    <w:p w:rsidR="0034046F" w:rsidRPr="001C58BC" w:rsidRDefault="0034046F" w:rsidP="0034046F">
      <w:pPr>
        <w:pStyle w:val="ListParagraph"/>
        <w:numPr>
          <w:ilvl w:val="0"/>
          <w:numId w:val="1"/>
        </w:numPr>
        <w:ind w:left="1800"/>
      </w:pPr>
      <w:r w:rsidRPr="001C58BC">
        <w:t>Projects or activities where an HIV-diagnosis occurs must also collect data and report on the Housing Status of their HIV-positive clients, when applicable.</w:t>
      </w:r>
    </w:p>
    <w:p w:rsidR="0034046F" w:rsidRPr="001C58BC" w:rsidRDefault="0034046F" w:rsidP="0034046F">
      <w:pPr>
        <w:ind w:left="720"/>
      </w:pPr>
    </w:p>
    <w:p w:rsidR="0034046F" w:rsidRDefault="0034046F" w:rsidP="0034046F">
      <w:pPr>
        <w:pStyle w:val="ListParagraph"/>
        <w:numPr>
          <w:ilvl w:val="0"/>
          <w:numId w:val="1"/>
        </w:numPr>
        <w:ind w:left="1800"/>
      </w:pPr>
      <w:r w:rsidRPr="001C58BC">
        <w:t xml:space="preserve">Projects based in Medical Care settings involving efforts to provide, improve or enhance capacity for Retention in HIV Medical Care, use of Antiretroviral Therapy (ART) Among Persons in HIV Medical Care, and Viral Load Suppression </w:t>
      </w:r>
      <w:r w:rsidR="00C85C01" w:rsidRPr="001C58BC">
        <w:t>among</w:t>
      </w:r>
      <w:r w:rsidRPr="001C58BC">
        <w:t xml:space="preserve"> Persons in HIV Medical Care should also be reported, when applicable.</w:t>
      </w:r>
    </w:p>
    <w:p w:rsidR="0034046F" w:rsidRPr="0034046F" w:rsidRDefault="0034046F" w:rsidP="0034046F">
      <w:pPr>
        <w:pStyle w:val="ListParagraph"/>
        <w:rPr>
          <w:u w:val="single"/>
        </w:rPr>
      </w:pPr>
    </w:p>
    <w:p w:rsidR="0034046F" w:rsidRPr="0034046F" w:rsidRDefault="0034046F" w:rsidP="0034046F">
      <w:pPr>
        <w:pStyle w:val="ListParagraph"/>
        <w:numPr>
          <w:ilvl w:val="0"/>
          <w:numId w:val="1"/>
        </w:numPr>
        <w:ind w:left="1800"/>
      </w:pPr>
      <w:r w:rsidRPr="0034046F">
        <w:rPr>
          <w:u w:val="single"/>
        </w:rPr>
        <w:t>Outputs</w:t>
      </w:r>
    </w:p>
    <w:p w:rsidR="0034046F" w:rsidRPr="001C58BC" w:rsidRDefault="0034046F" w:rsidP="0034046F">
      <w:pPr>
        <w:pStyle w:val="ListParagraph"/>
        <w:numPr>
          <w:ilvl w:val="0"/>
          <w:numId w:val="2"/>
        </w:numPr>
      </w:pPr>
      <w:r w:rsidRPr="001C58BC">
        <w:t xml:space="preserve">All projects must report on the number of people served by the program and its core activities. </w:t>
      </w:r>
    </w:p>
    <w:p w:rsidR="0034046F" w:rsidRPr="001C58BC" w:rsidRDefault="0034046F" w:rsidP="0034046F">
      <w:pPr>
        <w:pStyle w:val="ListParagraph"/>
        <w:numPr>
          <w:ilvl w:val="0"/>
          <w:numId w:val="2"/>
        </w:numPr>
      </w:pPr>
      <w:r w:rsidRPr="001C58BC">
        <w:t>Projects involving Training of clinical and program staff or Capacity Building with community and faith-based organizations must report the appropriate output data for these activities.</w:t>
      </w:r>
    </w:p>
    <w:p w:rsidR="0034046F" w:rsidRPr="001C58BC" w:rsidRDefault="0034046F" w:rsidP="0034046F">
      <w:pPr>
        <w:kinsoku w:val="0"/>
        <w:overflowPunct w:val="0"/>
        <w:ind w:left="1440"/>
        <w:contextualSpacing/>
        <w:textAlignment w:val="baseline"/>
        <w:rPr>
          <w:rFonts w:eastAsia="Times New Roman" w:cs="Times New Roman"/>
        </w:rPr>
      </w:pPr>
    </w:p>
    <w:p w:rsidR="00EA4504" w:rsidRPr="001C58BC" w:rsidRDefault="003D7B70" w:rsidP="00187E1A">
      <w:pPr>
        <w:numPr>
          <w:ilvl w:val="0"/>
          <w:numId w:val="8"/>
        </w:numPr>
        <w:tabs>
          <w:tab w:val="clear" w:pos="720"/>
          <w:tab w:val="num" w:pos="450"/>
        </w:tabs>
        <w:kinsoku w:val="0"/>
        <w:overflowPunct w:val="0"/>
        <w:ind w:left="450"/>
        <w:contextualSpacing/>
        <w:textAlignment w:val="baseline"/>
        <w:rPr>
          <w:rFonts w:eastAsia="Times New Roman" w:cs="Times New Roman"/>
        </w:rPr>
      </w:pPr>
      <w:r w:rsidRPr="001C58BC">
        <w:rPr>
          <w:rFonts w:eastAsia="Calibri" w:cs="Calibri"/>
          <w:kern w:val="24"/>
        </w:rPr>
        <w:t xml:space="preserve">Supplement: </w:t>
      </w:r>
      <w:r w:rsidR="00EA4504" w:rsidRPr="001C58BC">
        <w:rPr>
          <w:rFonts w:eastAsia="Calibri" w:cs="Calibri"/>
          <w:kern w:val="24"/>
        </w:rPr>
        <w:t>Screening, Brief Intervention, and Referral to Treatment (SBIRT) implementation and evaluation</w:t>
      </w:r>
    </w:p>
    <w:p w:rsidR="00EA4504" w:rsidRPr="001C58BC" w:rsidRDefault="00EA4504" w:rsidP="00496C0E">
      <w:pPr>
        <w:numPr>
          <w:ilvl w:val="1"/>
          <w:numId w:val="8"/>
        </w:numPr>
        <w:tabs>
          <w:tab w:val="num" w:pos="1080"/>
        </w:tabs>
        <w:kinsoku w:val="0"/>
        <w:overflowPunct w:val="0"/>
        <w:contextualSpacing/>
        <w:textAlignment w:val="baseline"/>
        <w:rPr>
          <w:rFonts w:eastAsia="Times New Roman" w:cs="Times New Roman"/>
        </w:rPr>
      </w:pPr>
      <w:r w:rsidRPr="001C58BC">
        <w:rPr>
          <w:rFonts w:eastAsia="Calibri" w:cs="Calibri"/>
          <w:kern w:val="24"/>
        </w:rPr>
        <w:t>Collaboration with SAMHSA to improve screening and referral for substance use services</w:t>
      </w:r>
    </w:p>
    <w:p w:rsidR="006B4F9B" w:rsidRPr="001C58BC" w:rsidRDefault="006B4F9B" w:rsidP="006B4F9B">
      <w:pPr>
        <w:numPr>
          <w:ilvl w:val="1"/>
          <w:numId w:val="8"/>
        </w:numPr>
        <w:tabs>
          <w:tab w:val="num" w:pos="1170"/>
        </w:tabs>
        <w:kinsoku w:val="0"/>
        <w:overflowPunct w:val="0"/>
        <w:contextualSpacing/>
        <w:textAlignment w:val="baseline"/>
        <w:rPr>
          <w:rFonts w:eastAsia="Times New Roman" w:cs="Times New Roman"/>
        </w:rPr>
      </w:pPr>
      <w:r w:rsidRPr="001C58BC">
        <w:rPr>
          <w:rFonts w:eastAsia="Calibri" w:cs="Calibri"/>
          <w:kern w:val="24"/>
        </w:rPr>
        <w:t>5 THRIVE sites participating: Baltimore, Louisiana, New York City, Philadelphia, Washington DC</w:t>
      </w:r>
    </w:p>
    <w:p w:rsidR="00496C0E" w:rsidRPr="001C58BC" w:rsidRDefault="00110D8C" w:rsidP="00496C0E">
      <w:pPr>
        <w:numPr>
          <w:ilvl w:val="1"/>
          <w:numId w:val="8"/>
        </w:numPr>
        <w:tabs>
          <w:tab w:val="num" w:pos="1080"/>
        </w:tabs>
        <w:kinsoku w:val="0"/>
        <w:overflowPunct w:val="0"/>
        <w:contextualSpacing/>
        <w:textAlignment w:val="baseline"/>
        <w:rPr>
          <w:rFonts w:eastAsia="Times New Roman" w:cs="Times New Roman"/>
        </w:rPr>
      </w:pPr>
      <w:r w:rsidRPr="001C58BC">
        <w:rPr>
          <w:rFonts w:eastAsia="Calibri" w:cs="Calibri"/>
          <w:kern w:val="24"/>
        </w:rPr>
        <w:t>Addiction Technology Transfer Center Network (ATTC) conducted l</w:t>
      </w:r>
      <w:r w:rsidR="00EA4504" w:rsidRPr="001C58BC">
        <w:rPr>
          <w:rFonts w:eastAsia="Calibri" w:cs="Calibri"/>
          <w:kern w:val="24"/>
        </w:rPr>
        <w:t xml:space="preserve">ocal SBIRT trainings </w:t>
      </w:r>
    </w:p>
    <w:p w:rsidR="00496C0E" w:rsidRPr="001C58BC" w:rsidRDefault="00EA4504" w:rsidP="00496C0E">
      <w:pPr>
        <w:numPr>
          <w:ilvl w:val="2"/>
          <w:numId w:val="8"/>
        </w:numPr>
        <w:kinsoku w:val="0"/>
        <w:overflowPunct w:val="0"/>
        <w:contextualSpacing/>
        <w:textAlignment w:val="baseline"/>
        <w:rPr>
          <w:rFonts w:eastAsia="Times New Roman" w:cs="Times New Roman"/>
        </w:rPr>
      </w:pPr>
      <w:r w:rsidRPr="001C58BC">
        <w:rPr>
          <w:rFonts w:eastAsia="Calibri" w:cs="Calibri"/>
          <w:kern w:val="24"/>
        </w:rPr>
        <w:t>Motivational Interviewing</w:t>
      </w:r>
    </w:p>
    <w:p w:rsidR="006B4F9B" w:rsidRPr="001C58BC" w:rsidRDefault="00EA4504" w:rsidP="006B4F9B">
      <w:pPr>
        <w:numPr>
          <w:ilvl w:val="2"/>
          <w:numId w:val="8"/>
        </w:numPr>
        <w:kinsoku w:val="0"/>
        <w:overflowPunct w:val="0"/>
        <w:contextualSpacing/>
        <w:textAlignment w:val="baseline"/>
        <w:rPr>
          <w:rFonts w:eastAsia="Times New Roman" w:cs="Times New Roman"/>
        </w:rPr>
      </w:pPr>
      <w:r w:rsidRPr="001C58BC">
        <w:rPr>
          <w:rFonts w:eastAsia="Calibri" w:cs="Calibri"/>
          <w:kern w:val="24"/>
        </w:rPr>
        <w:t>Introduction to local SAMSHA providers</w:t>
      </w:r>
    </w:p>
    <w:p w:rsidR="006B4F9B" w:rsidRPr="001C58BC" w:rsidRDefault="00EA4504" w:rsidP="006B4F9B">
      <w:pPr>
        <w:numPr>
          <w:ilvl w:val="1"/>
          <w:numId w:val="8"/>
        </w:numPr>
        <w:kinsoku w:val="0"/>
        <w:overflowPunct w:val="0"/>
        <w:contextualSpacing/>
        <w:textAlignment w:val="baseline"/>
        <w:rPr>
          <w:rFonts w:eastAsia="Times New Roman" w:cs="Times New Roman"/>
        </w:rPr>
      </w:pPr>
      <w:r w:rsidRPr="001C58BC">
        <w:rPr>
          <w:rFonts w:eastAsia="Calibri" w:cs="Calibri"/>
          <w:kern w:val="24"/>
        </w:rPr>
        <w:t xml:space="preserve">Evaluation of SBIRT implementation </w:t>
      </w:r>
    </w:p>
    <w:p w:rsidR="0061348C" w:rsidRPr="001C58BC" w:rsidRDefault="00EA4504" w:rsidP="0061348C">
      <w:pPr>
        <w:numPr>
          <w:ilvl w:val="0"/>
          <w:numId w:val="8"/>
        </w:numPr>
        <w:tabs>
          <w:tab w:val="clear" w:pos="720"/>
          <w:tab w:val="num" w:pos="450"/>
        </w:tabs>
        <w:kinsoku w:val="0"/>
        <w:overflowPunct w:val="0"/>
        <w:ind w:hanging="630"/>
        <w:contextualSpacing/>
        <w:textAlignment w:val="baseline"/>
        <w:rPr>
          <w:rFonts w:eastAsia="Times New Roman" w:cs="Times New Roman"/>
        </w:rPr>
      </w:pPr>
      <w:r w:rsidRPr="001C58BC">
        <w:rPr>
          <w:rFonts w:eastAsiaTheme="minorEastAsia"/>
          <w:kern w:val="24"/>
        </w:rPr>
        <w:t>Collaborative Assessment Tool</w:t>
      </w:r>
    </w:p>
    <w:p w:rsidR="00EA4504" w:rsidRPr="001C58BC" w:rsidRDefault="0061348C" w:rsidP="0061348C">
      <w:pPr>
        <w:numPr>
          <w:ilvl w:val="1"/>
          <w:numId w:val="8"/>
        </w:numPr>
        <w:kinsoku w:val="0"/>
        <w:overflowPunct w:val="0"/>
        <w:contextualSpacing/>
        <w:textAlignment w:val="baseline"/>
        <w:rPr>
          <w:rFonts w:eastAsia="Times New Roman" w:cs="Times New Roman"/>
        </w:rPr>
      </w:pPr>
      <w:r w:rsidRPr="001C58BC">
        <w:rPr>
          <w:rFonts w:eastAsia="Calibri" w:cs="Calibri"/>
          <w:kern w:val="24"/>
        </w:rPr>
        <w:lastRenderedPageBreak/>
        <w:t>Conducted survey of collaborative members (</w:t>
      </w:r>
      <w:r w:rsidRPr="001C58BC">
        <w:rPr>
          <w:rFonts w:eastAsiaTheme="minorEastAsia"/>
          <w:kern w:val="24"/>
        </w:rPr>
        <w:t>health department, CBOs, and clinical care providers</w:t>
      </w:r>
      <w:r w:rsidRPr="001C58BC">
        <w:rPr>
          <w:rFonts w:eastAsia="Calibri" w:cs="Calibri"/>
          <w:kern w:val="24"/>
        </w:rPr>
        <w:t xml:space="preserve">) to </w:t>
      </w:r>
      <w:r w:rsidR="00EA4504" w:rsidRPr="001C58BC">
        <w:rPr>
          <w:rFonts w:eastAsiaTheme="minorEastAsia"/>
          <w:kern w:val="24"/>
        </w:rPr>
        <w:t>assess</w:t>
      </w:r>
      <w:r w:rsidRPr="001C58BC">
        <w:rPr>
          <w:rFonts w:eastAsiaTheme="minorEastAsia"/>
          <w:kern w:val="24"/>
        </w:rPr>
        <w:t xml:space="preserve"> best practices, facilitators, and barriers for developing and maintaining a community collaborative </w:t>
      </w:r>
      <w:r w:rsidR="00EA4504" w:rsidRPr="001C58BC">
        <w:rPr>
          <w:rFonts w:eastAsiaTheme="minorEastAsia"/>
          <w:kern w:val="24"/>
        </w:rPr>
        <w:t>125 surveys completed  (50% response rate, thus far)</w:t>
      </w:r>
    </w:p>
    <w:p w:rsidR="0036438C" w:rsidRPr="001C58BC" w:rsidRDefault="0036438C" w:rsidP="001D0222">
      <w:pPr>
        <w:ind w:right="-810"/>
      </w:pPr>
    </w:p>
    <w:p w:rsidR="00EA4504" w:rsidRPr="001C58BC" w:rsidRDefault="00EA4504" w:rsidP="001D0222">
      <w:pPr>
        <w:ind w:right="-810"/>
        <w:rPr>
          <w:b/>
          <w:color w:val="1F497D" w:themeColor="text2"/>
        </w:rPr>
      </w:pPr>
    </w:p>
    <w:p w:rsidR="00C76D1A" w:rsidRPr="001C58BC" w:rsidRDefault="00C76D1A" w:rsidP="0034046F">
      <w:pPr>
        <w:tabs>
          <w:tab w:val="left" w:pos="1440"/>
        </w:tabs>
      </w:pPr>
      <w:r w:rsidRPr="001C58BC">
        <w:t>CDC THRIVE evaluation team will continue to review preliminary cross-site performance measures on a regular basis.</w:t>
      </w:r>
      <w:r w:rsidR="0034046F">
        <w:t xml:space="preserve">  </w:t>
      </w:r>
      <w:r w:rsidR="00685143">
        <w:t>Analyses</w:t>
      </w:r>
      <w:r w:rsidRPr="001C58BC">
        <w:t xml:space="preserve"> of </w:t>
      </w:r>
      <w:r w:rsidR="00685143">
        <w:t>final</w:t>
      </w:r>
      <w:r w:rsidRPr="001C58BC">
        <w:t xml:space="preserve"> cross-site evaluation database in late 2020 will </w:t>
      </w:r>
      <w:r w:rsidR="00685143">
        <w:t xml:space="preserve">provide </w:t>
      </w:r>
      <w:r w:rsidRPr="001C58BC">
        <w:t>understand</w:t>
      </w:r>
      <w:r w:rsidR="00685143">
        <w:t>ing of</w:t>
      </w:r>
      <w:r w:rsidRPr="001C58BC">
        <w:t xml:space="preserve"> the effectiveness of THRIVE interventions</w:t>
      </w:r>
    </w:p>
    <w:p w:rsidR="00232006" w:rsidRDefault="00C76D1A" w:rsidP="00232006">
      <w:pPr>
        <w:pStyle w:val="ListParagraph"/>
        <w:numPr>
          <w:ilvl w:val="1"/>
          <w:numId w:val="2"/>
        </w:numPr>
        <w:tabs>
          <w:tab w:val="left" w:pos="1440"/>
        </w:tabs>
        <w:ind w:left="1440"/>
      </w:pPr>
      <w:r w:rsidRPr="001C58BC">
        <w:t>Special local evaluations at sites will further increase understanding of the effect</w:t>
      </w:r>
      <w:r w:rsidR="00232006">
        <w:t>iveness of THRIVE interventions</w:t>
      </w:r>
    </w:p>
    <w:p w:rsidR="00232006" w:rsidRDefault="00232006" w:rsidP="00232006">
      <w:pPr>
        <w:pStyle w:val="ListParagraph"/>
        <w:numPr>
          <w:ilvl w:val="1"/>
          <w:numId w:val="2"/>
        </w:numPr>
        <w:tabs>
          <w:tab w:val="left" w:pos="1440"/>
        </w:tabs>
        <w:ind w:left="1440"/>
      </w:pPr>
      <w:r>
        <w:t>Examples of planned evaluations</w:t>
      </w:r>
      <w:r w:rsidR="00C76D1A" w:rsidRPr="001C58BC">
        <w:t>:</w:t>
      </w:r>
    </w:p>
    <w:p w:rsidR="00232006" w:rsidRPr="00232006" w:rsidRDefault="00232006" w:rsidP="00D13D78">
      <w:pPr>
        <w:pStyle w:val="ListParagraph"/>
        <w:numPr>
          <w:ilvl w:val="2"/>
          <w:numId w:val="2"/>
        </w:numPr>
        <w:tabs>
          <w:tab w:val="left" w:pos="1440"/>
        </w:tabs>
        <w:ind w:left="1980"/>
      </w:pPr>
      <w:r w:rsidRPr="00232006">
        <w:rPr>
          <w:rFonts w:cstheme="minorHAnsi"/>
        </w:rPr>
        <w:t>Incr</w:t>
      </w:r>
      <w:r>
        <w:rPr>
          <w:rFonts w:cstheme="minorHAnsi"/>
        </w:rPr>
        <w:t>ease in PrEP providers in THRIVE</w:t>
      </w:r>
      <w:r w:rsidR="00C80D14">
        <w:rPr>
          <w:rFonts w:cstheme="minorHAnsi"/>
        </w:rPr>
        <w:t xml:space="preserve"> jurisdicitons</w:t>
      </w:r>
    </w:p>
    <w:p w:rsidR="00232006" w:rsidRPr="00232006" w:rsidRDefault="00232006" w:rsidP="00D13D78">
      <w:pPr>
        <w:pStyle w:val="ListParagraph"/>
        <w:numPr>
          <w:ilvl w:val="2"/>
          <w:numId w:val="2"/>
        </w:numPr>
        <w:tabs>
          <w:tab w:val="left" w:pos="1440"/>
        </w:tabs>
        <w:ind w:left="1980"/>
      </w:pPr>
      <w:r w:rsidRPr="00232006">
        <w:rPr>
          <w:rFonts w:cstheme="minorHAnsi"/>
        </w:rPr>
        <w:t>Collaborative</w:t>
      </w:r>
      <w:r>
        <w:rPr>
          <w:rFonts w:cstheme="minorHAnsi"/>
        </w:rPr>
        <w:t xml:space="preserve"> assessment</w:t>
      </w:r>
      <w:r w:rsidRPr="00232006">
        <w:rPr>
          <w:rFonts w:cstheme="minorHAnsi"/>
        </w:rPr>
        <w:t xml:space="preserve"> – </w:t>
      </w:r>
      <w:r w:rsidR="00C80D14">
        <w:rPr>
          <w:rFonts w:cstheme="minorHAnsi"/>
        </w:rPr>
        <w:t>Collaborative Assessment Tool (</w:t>
      </w:r>
      <w:r w:rsidRPr="00232006">
        <w:rPr>
          <w:rFonts w:cstheme="minorHAnsi"/>
        </w:rPr>
        <w:t>survey</w:t>
      </w:r>
      <w:r w:rsidR="00C80D14">
        <w:rPr>
          <w:rFonts w:cstheme="minorHAnsi"/>
        </w:rPr>
        <w:t>)</w:t>
      </w:r>
    </w:p>
    <w:p w:rsidR="00232006" w:rsidRPr="00232006" w:rsidRDefault="00232006" w:rsidP="00D13D78">
      <w:pPr>
        <w:pStyle w:val="ListParagraph"/>
        <w:numPr>
          <w:ilvl w:val="2"/>
          <w:numId w:val="2"/>
        </w:numPr>
        <w:tabs>
          <w:tab w:val="left" w:pos="1440"/>
        </w:tabs>
        <w:ind w:left="1980"/>
      </w:pPr>
      <w:r w:rsidRPr="00232006">
        <w:rPr>
          <w:rFonts w:cstheme="minorHAnsi"/>
        </w:rPr>
        <w:t>Mapping of collaborative members to optimize reach</w:t>
      </w:r>
    </w:p>
    <w:p w:rsidR="00232006" w:rsidRPr="00232006" w:rsidRDefault="00A652DE" w:rsidP="00D13D78">
      <w:pPr>
        <w:pStyle w:val="ListParagraph"/>
        <w:numPr>
          <w:ilvl w:val="2"/>
          <w:numId w:val="2"/>
        </w:numPr>
        <w:tabs>
          <w:tab w:val="left" w:pos="1440"/>
        </w:tabs>
        <w:ind w:left="1980"/>
      </w:pPr>
      <w:r>
        <w:rPr>
          <w:rFonts w:cstheme="minorHAnsi"/>
        </w:rPr>
        <w:t xml:space="preserve">HIV testing, repeat testing, </w:t>
      </w:r>
      <w:r w:rsidR="00232006" w:rsidRPr="00232006">
        <w:rPr>
          <w:rFonts w:cstheme="minorHAnsi"/>
        </w:rPr>
        <w:t>and positivity among MSM of color</w:t>
      </w:r>
    </w:p>
    <w:p w:rsidR="00232006" w:rsidRPr="00232006" w:rsidRDefault="00232006" w:rsidP="00D13D78">
      <w:pPr>
        <w:pStyle w:val="ListParagraph"/>
        <w:numPr>
          <w:ilvl w:val="2"/>
          <w:numId w:val="2"/>
        </w:numPr>
        <w:tabs>
          <w:tab w:val="left" w:pos="1440"/>
        </w:tabs>
        <w:ind w:left="1980"/>
      </w:pPr>
      <w:r w:rsidRPr="00232006">
        <w:rPr>
          <w:rFonts w:cstheme="minorHAnsi"/>
        </w:rPr>
        <w:t>PrEP continuum at each site</w:t>
      </w:r>
    </w:p>
    <w:p w:rsidR="00232006" w:rsidRPr="00232006" w:rsidRDefault="00232006" w:rsidP="00D13D78">
      <w:pPr>
        <w:pStyle w:val="ListParagraph"/>
        <w:numPr>
          <w:ilvl w:val="2"/>
          <w:numId w:val="2"/>
        </w:numPr>
        <w:tabs>
          <w:tab w:val="left" w:pos="1440"/>
        </w:tabs>
        <w:ind w:left="1980"/>
      </w:pPr>
      <w:r w:rsidRPr="00232006">
        <w:rPr>
          <w:rFonts w:cstheme="minorHAnsi"/>
        </w:rPr>
        <w:t xml:space="preserve">Effectivness of PrEP navigation models </w:t>
      </w:r>
    </w:p>
    <w:p w:rsidR="00A07B20" w:rsidRPr="00A07B20" w:rsidRDefault="00232006" w:rsidP="00D13D78">
      <w:pPr>
        <w:pStyle w:val="ListParagraph"/>
        <w:numPr>
          <w:ilvl w:val="2"/>
          <w:numId w:val="2"/>
        </w:numPr>
        <w:tabs>
          <w:tab w:val="left" w:pos="1440"/>
        </w:tabs>
        <w:ind w:left="1980"/>
      </w:pPr>
      <w:r w:rsidRPr="00232006">
        <w:rPr>
          <w:rFonts w:cstheme="minorHAnsi"/>
        </w:rPr>
        <w:t>HIV care continuum at each site</w:t>
      </w:r>
    </w:p>
    <w:p w:rsidR="00232006" w:rsidRPr="00A07B20" w:rsidRDefault="00A07B20" w:rsidP="00D13D78">
      <w:pPr>
        <w:pStyle w:val="ListParagraph"/>
        <w:numPr>
          <w:ilvl w:val="2"/>
          <w:numId w:val="2"/>
        </w:numPr>
        <w:tabs>
          <w:tab w:val="left" w:pos="1440"/>
        </w:tabs>
        <w:ind w:left="1980"/>
      </w:pPr>
      <w:r>
        <w:rPr>
          <w:rFonts w:cstheme="minorHAnsi"/>
        </w:rPr>
        <w:t xml:space="preserve">Effect of behavioral health services on the PrEP and HIV care continuums </w:t>
      </w:r>
    </w:p>
    <w:p w:rsidR="00232006" w:rsidRPr="00232006" w:rsidRDefault="00232006" w:rsidP="00D13D78">
      <w:pPr>
        <w:pStyle w:val="ListParagraph"/>
        <w:numPr>
          <w:ilvl w:val="2"/>
          <w:numId w:val="2"/>
        </w:numPr>
        <w:tabs>
          <w:tab w:val="left" w:pos="1440"/>
        </w:tabs>
        <w:ind w:left="1980"/>
      </w:pPr>
      <w:r w:rsidRPr="00232006">
        <w:rPr>
          <w:rFonts w:cstheme="minorHAnsi"/>
        </w:rPr>
        <w:t>PrEP initiation, adherence, and persistence in Washington DC</w:t>
      </w:r>
    </w:p>
    <w:p w:rsidR="00232006" w:rsidRPr="00232006" w:rsidRDefault="00232006" w:rsidP="00D13D78">
      <w:pPr>
        <w:pStyle w:val="ListParagraph"/>
        <w:numPr>
          <w:ilvl w:val="2"/>
          <w:numId w:val="2"/>
        </w:numPr>
        <w:tabs>
          <w:tab w:val="left" w:pos="1440"/>
        </w:tabs>
        <w:ind w:left="1980"/>
      </w:pPr>
      <w:r w:rsidRPr="00232006">
        <w:rPr>
          <w:rFonts w:cstheme="minorHAnsi"/>
        </w:rPr>
        <w:t>Financial incentives in New Orleans</w:t>
      </w:r>
    </w:p>
    <w:p w:rsidR="00232006" w:rsidRPr="00232006" w:rsidRDefault="00232006" w:rsidP="00D13D78">
      <w:pPr>
        <w:pStyle w:val="ListParagraph"/>
        <w:numPr>
          <w:ilvl w:val="2"/>
          <w:numId w:val="2"/>
        </w:numPr>
        <w:tabs>
          <w:tab w:val="left" w:pos="1440"/>
        </w:tabs>
        <w:ind w:left="1980"/>
      </w:pPr>
      <w:r w:rsidRPr="00232006">
        <w:rPr>
          <w:rFonts w:cstheme="minorHAnsi"/>
        </w:rPr>
        <w:t xml:space="preserve">Social networks of newly diagnosed HIV-positive men in Birmingham </w:t>
      </w:r>
    </w:p>
    <w:p w:rsidR="00232006" w:rsidRPr="00232006" w:rsidRDefault="00232006" w:rsidP="00D13D78">
      <w:pPr>
        <w:pStyle w:val="ListParagraph"/>
        <w:numPr>
          <w:ilvl w:val="2"/>
          <w:numId w:val="2"/>
        </w:numPr>
        <w:tabs>
          <w:tab w:val="left" w:pos="1440"/>
        </w:tabs>
        <w:ind w:left="1980"/>
      </w:pPr>
      <w:r w:rsidRPr="00232006">
        <w:rPr>
          <w:rFonts w:cstheme="minorHAnsi"/>
        </w:rPr>
        <w:t>ART starter packs in Baltimore, Virginia</w:t>
      </w:r>
    </w:p>
    <w:p w:rsidR="00232006" w:rsidRPr="00232006" w:rsidRDefault="00232006" w:rsidP="00D13D78">
      <w:pPr>
        <w:pStyle w:val="ListParagraph"/>
        <w:numPr>
          <w:ilvl w:val="2"/>
          <w:numId w:val="2"/>
        </w:numPr>
        <w:spacing w:after="200" w:line="276" w:lineRule="auto"/>
        <w:ind w:left="1980"/>
        <w:rPr>
          <w:rFonts w:cstheme="minorHAnsi"/>
        </w:rPr>
      </w:pPr>
      <w:r w:rsidRPr="00232006">
        <w:rPr>
          <w:rFonts w:cstheme="minorHAnsi"/>
        </w:rPr>
        <w:t xml:space="preserve">Men </w:t>
      </w:r>
      <w:r w:rsidR="00703B31">
        <w:rPr>
          <w:rFonts w:cstheme="minorHAnsi"/>
        </w:rPr>
        <w:t xml:space="preserve">of color served </w:t>
      </w:r>
      <w:r w:rsidRPr="00232006">
        <w:rPr>
          <w:rFonts w:cstheme="minorHAnsi"/>
        </w:rPr>
        <w:t>in THRIVE who weren’t MSM</w:t>
      </w:r>
    </w:p>
    <w:p w:rsidR="00232006" w:rsidRPr="0034046F" w:rsidRDefault="00232006" w:rsidP="00D13D78">
      <w:pPr>
        <w:pStyle w:val="ListParagraph"/>
        <w:numPr>
          <w:ilvl w:val="2"/>
          <w:numId w:val="2"/>
        </w:numPr>
        <w:tabs>
          <w:tab w:val="left" w:pos="1440"/>
        </w:tabs>
        <w:ind w:left="1980"/>
      </w:pPr>
      <w:r w:rsidRPr="00232006">
        <w:rPr>
          <w:rFonts w:cstheme="minorHAnsi"/>
        </w:rPr>
        <w:t xml:space="preserve">Women </w:t>
      </w:r>
      <w:r w:rsidR="00703B31">
        <w:rPr>
          <w:rFonts w:cstheme="minorHAnsi"/>
        </w:rPr>
        <w:t xml:space="preserve">of color served </w:t>
      </w:r>
      <w:r w:rsidRPr="00232006">
        <w:rPr>
          <w:rFonts w:cstheme="minorHAnsi"/>
        </w:rPr>
        <w:t>in THRIVE</w:t>
      </w:r>
    </w:p>
    <w:p w:rsidR="0034046F" w:rsidRDefault="0034046F" w:rsidP="0034046F">
      <w:pPr>
        <w:tabs>
          <w:tab w:val="left" w:pos="1440"/>
        </w:tabs>
      </w:pPr>
    </w:p>
    <w:p w:rsidR="0034046F" w:rsidRDefault="0034046F" w:rsidP="0034046F">
      <w:pPr>
        <w:tabs>
          <w:tab w:val="left" w:pos="1440"/>
        </w:tabs>
      </w:pPr>
    </w:p>
    <w:p w:rsidR="003531C8" w:rsidRDefault="003531C8">
      <w:r>
        <w:br w:type="page"/>
      </w:r>
    </w:p>
    <w:p w:rsidR="0034046F" w:rsidRPr="001C58BC" w:rsidRDefault="0034046F" w:rsidP="0034046F">
      <w:pPr>
        <w:numPr>
          <w:ilvl w:val="0"/>
          <w:numId w:val="4"/>
        </w:numPr>
        <w:ind w:left="450" w:right="-810"/>
        <w:contextualSpacing/>
      </w:pPr>
      <w:r w:rsidRPr="001C58BC">
        <w:lastRenderedPageBreak/>
        <w:t>Timeframe for evaluation</w:t>
      </w:r>
    </w:p>
    <w:p w:rsidR="0034046F" w:rsidRPr="001C58BC" w:rsidRDefault="0034046F" w:rsidP="0034046F">
      <w:pPr>
        <w:numPr>
          <w:ilvl w:val="1"/>
          <w:numId w:val="4"/>
        </w:numPr>
        <w:ind w:right="-810"/>
        <w:contextualSpacing/>
      </w:pPr>
      <w:r w:rsidRPr="001C58BC">
        <w:t>Provide the start and end dates of the project period being evaluated.</w:t>
      </w:r>
    </w:p>
    <w:p w:rsidR="0034046F" w:rsidRPr="001C58BC" w:rsidRDefault="0034046F" w:rsidP="0034046F">
      <w:pPr>
        <w:rPr>
          <w:b/>
        </w:rPr>
      </w:pPr>
    </w:p>
    <w:p w:rsidR="0034046F" w:rsidRPr="001C58BC" w:rsidRDefault="0034046F" w:rsidP="0034046F">
      <w:pPr>
        <w:ind w:hanging="360"/>
        <w:rPr>
          <w:b/>
        </w:rPr>
      </w:pPr>
      <w:r w:rsidRPr="001C58BC">
        <w:rPr>
          <w:b/>
        </w:rPr>
        <w:t>Cross site evaluation data submission dates</w:t>
      </w:r>
    </w:p>
    <w:tbl>
      <w:tblPr>
        <w:tblW w:w="9450" w:type="dxa"/>
        <w:tblInd w:w="-370" w:type="dxa"/>
        <w:tblCellMar>
          <w:left w:w="0" w:type="dxa"/>
          <w:right w:w="0" w:type="dxa"/>
        </w:tblCellMar>
        <w:tblLook w:val="04A0" w:firstRow="1" w:lastRow="0" w:firstColumn="1" w:lastColumn="0" w:noHBand="0" w:noVBand="1"/>
      </w:tblPr>
      <w:tblGrid>
        <w:gridCol w:w="2880"/>
        <w:gridCol w:w="1350"/>
        <w:gridCol w:w="1648"/>
        <w:gridCol w:w="1682"/>
        <w:gridCol w:w="1890"/>
      </w:tblGrid>
      <w:tr w:rsidR="0034046F" w:rsidRPr="001C58BC" w:rsidTr="00DF0473">
        <w:tc>
          <w:tcPr>
            <w:tcW w:w="28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34046F" w:rsidRPr="001C58BC" w:rsidRDefault="0034046F" w:rsidP="00DF0473">
            <w:r w:rsidRPr="001C58BC">
              <w:rPr>
                <w:b/>
                <w:bCs/>
              </w:rPr>
              <w:t> </w:t>
            </w:r>
          </w:p>
          <w:p w:rsidR="0034046F" w:rsidRPr="001C58BC" w:rsidRDefault="0034046F" w:rsidP="00DF0473">
            <w:pPr>
              <w:jc w:val="center"/>
            </w:pPr>
            <w:r w:rsidRPr="001C58BC">
              <w:rPr>
                <w:b/>
                <w:bCs/>
              </w:rPr>
              <w:t>Project Year</w:t>
            </w:r>
          </w:p>
        </w:tc>
        <w:tc>
          <w:tcPr>
            <w:tcW w:w="1350" w:type="dxa"/>
            <w:tcBorders>
              <w:top w:val="single" w:sz="8" w:space="0" w:color="auto"/>
              <w:left w:val="nil"/>
              <w:bottom w:val="single" w:sz="8" w:space="0" w:color="auto"/>
              <w:right w:val="single" w:sz="8" w:space="0" w:color="auto"/>
            </w:tcBorders>
            <w:shd w:val="clear" w:color="auto" w:fill="BFBFBF" w:themeFill="background1" w:themeFillShade="BF"/>
            <w:hideMark/>
          </w:tcPr>
          <w:p w:rsidR="0034046F" w:rsidRPr="001C58BC" w:rsidRDefault="0034046F" w:rsidP="00DF0473">
            <w:pPr>
              <w:jc w:val="center"/>
              <w:rPr>
                <w:b/>
                <w:bCs/>
              </w:rPr>
            </w:pPr>
            <w:r w:rsidRPr="001C58BC">
              <w:rPr>
                <w:b/>
                <w:bCs/>
              </w:rPr>
              <w:t>1</w:t>
            </w:r>
            <w:r w:rsidRPr="001C58BC">
              <w:rPr>
                <w:b/>
                <w:bCs/>
                <w:vertAlign w:val="superscript"/>
              </w:rPr>
              <w:t>st</w:t>
            </w:r>
            <w:r w:rsidRPr="001C58BC">
              <w:rPr>
                <w:b/>
                <w:bCs/>
              </w:rPr>
              <w:t xml:space="preserve"> Data </w:t>
            </w:r>
          </w:p>
          <w:p w:rsidR="0034046F" w:rsidRPr="001C58BC" w:rsidRDefault="0034046F" w:rsidP="00DF0473">
            <w:pPr>
              <w:jc w:val="center"/>
            </w:pPr>
            <w:r w:rsidRPr="001C58BC">
              <w:rPr>
                <w:b/>
                <w:bCs/>
              </w:rPr>
              <w:t>Submission Date</w:t>
            </w:r>
          </w:p>
        </w:tc>
        <w:tc>
          <w:tcPr>
            <w:tcW w:w="1648" w:type="dxa"/>
            <w:tcBorders>
              <w:top w:val="single" w:sz="8" w:space="0" w:color="auto"/>
              <w:left w:val="nil"/>
              <w:bottom w:val="single" w:sz="8" w:space="0" w:color="auto"/>
              <w:right w:val="single" w:sz="8" w:space="0" w:color="auto"/>
            </w:tcBorders>
            <w:shd w:val="clear" w:color="auto" w:fill="BFBFBF" w:themeFill="background1" w:themeFillShade="BF"/>
            <w:hideMark/>
          </w:tcPr>
          <w:p w:rsidR="0034046F" w:rsidRPr="001C58BC" w:rsidRDefault="0034046F" w:rsidP="00DF0473">
            <w:pPr>
              <w:jc w:val="center"/>
            </w:pPr>
            <w:r w:rsidRPr="001C58BC">
              <w:rPr>
                <w:b/>
                <w:bCs/>
              </w:rPr>
              <w:t>1</w:t>
            </w:r>
            <w:r w:rsidRPr="001C58BC">
              <w:rPr>
                <w:b/>
                <w:bCs/>
                <w:vertAlign w:val="superscript"/>
              </w:rPr>
              <w:t>st</w:t>
            </w:r>
            <w:r w:rsidRPr="001C58BC">
              <w:rPr>
                <w:b/>
                <w:bCs/>
              </w:rPr>
              <w:t xml:space="preserve"> </w:t>
            </w:r>
          </w:p>
          <w:p w:rsidR="0034046F" w:rsidRPr="001C58BC" w:rsidRDefault="0034046F" w:rsidP="00DF0473">
            <w:pPr>
              <w:jc w:val="center"/>
            </w:pPr>
            <w:r w:rsidRPr="001C58BC">
              <w:rPr>
                <w:b/>
                <w:bCs/>
              </w:rPr>
              <w:t>Data Period</w:t>
            </w:r>
          </w:p>
        </w:tc>
        <w:tc>
          <w:tcPr>
            <w:tcW w:w="1682" w:type="dxa"/>
            <w:tcBorders>
              <w:top w:val="single" w:sz="8" w:space="0" w:color="auto"/>
              <w:left w:val="nil"/>
              <w:bottom w:val="single" w:sz="8" w:space="0" w:color="auto"/>
              <w:right w:val="single" w:sz="8" w:space="0" w:color="auto"/>
            </w:tcBorders>
            <w:shd w:val="clear" w:color="auto" w:fill="BFBFBF" w:themeFill="background1" w:themeFillShade="BF"/>
            <w:hideMark/>
          </w:tcPr>
          <w:p w:rsidR="0034046F" w:rsidRPr="001C58BC" w:rsidRDefault="0034046F" w:rsidP="00DF0473">
            <w:pPr>
              <w:jc w:val="center"/>
              <w:rPr>
                <w:b/>
                <w:bCs/>
              </w:rPr>
            </w:pPr>
            <w:r w:rsidRPr="001C58BC">
              <w:rPr>
                <w:b/>
                <w:bCs/>
              </w:rPr>
              <w:t>2</w:t>
            </w:r>
            <w:r w:rsidRPr="001C58BC">
              <w:rPr>
                <w:b/>
                <w:bCs/>
                <w:vertAlign w:val="superscript"/>
              </w:rPr>
              <w:t>nd</w:t>
            </w:r>
            <w:r w:rsidRPr="001C58BC">
              <w:rPr>
                <w:b/>
                <w:bCs/>
              </w:rPr>
              <w:t xml:space="preserve"> Data </w:t>
            </w:r>
          </w:p>
          <w:p w:rsidR="0034046F" w:rsidRPr="001C58BC" w:rsidRDefault="0034046F" w:rsidP="00DF0473">
            <w:pPr>
              <w:jc w:val="center"/>
            </w:pPr>
            <w:r w:rsidRPr="001C58BC">
              <w:rPr>
                <w:b/>
                <w:bCs/>
              </w:rPr>
              <w:t>Submission Date</w:t>
            </w:r>
          </w:p>
        </w:tc>
        <w:tc>
          <w:tcPr>
            <w:tcW w:w="189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34046F" w:rsidRPr="001C58BC" w:rsidRDefault="0034046F" w:rsidP="00DF0473">
            <w:pPr>
              <w:jc w:val="center"/>
            </w:pPr>
            <w:r w:rsidRPr="001C58BC">
              <w:rPr>
                <w:b/>
                <w:bCs/>
              </w:rPr>
              <w:t>2</w:t>
            </w:r>
            <w:r w:rsidRPr="001C58BC">
              <w:rPr>
                <w:b/>
                <w:bCs/>
                <w:vertAlign w:val="superscript"/>
              </w:rPr>
              <w:t>nd</w:t>
            </w:r>
            <w:r w:rsidRPr="001C58BC">
              <w:rPr>
                <w:b/>
                <w:bCs/>
              </w:rPr>
              <w:t xml:space="preserve"> </w:t>
            </w:r>
          </w:p>
          <w:p w:rsidR="0034046F" w:rsidRPr="001C58BC" w:rsidRDefault="0034046F" w:rsidP="00DF0473">
            <w:pPr>
              <w:jc w:val="center"/>
            </w:pPr>
            <w:r w:rsidRPr="001C58BC">
              <w:rPr>
                <w:b/>
                <w:bCs/>
              </w:rPr>
              <w:t>Data Period</w:t>
            </w:r>
          </w:p>
        </w:tc>
      </w:tr>
      <w:tr w:rsidR="0034046F" w:rsidRPr="001C58BC" w:rsidTr="00DF0473">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046F" w:rsidRPr="001C58BC" w:rsidRDefault="0034046F" w:rsidP="00DF0473">
            <w:pPr>
              <w:jc w:val="center"/>
            </w:pPr>
            <w:r w:rsidRPr="001C58BC">
              <w:t>1 (Sep. 30, 2015 –                        Sep. 29, 2016)</w:t>
            </w:r>
          </w:p>
        </w:tc>
        <w:tc>
          <w:tcPr>
            <w:tcW w:w="1350" w:type="dxa"/>
            <w:tcBorders>
              <w:top w:val="nil"/>
              <w:left w:val="nil"/>
              <w:bottom w:val="single" w:sz="8" w:space="0" w:color="auto"/>
              <w:right w:val="single" w:sz="8" w:space="0" w:color="auto"/>
            </w:tcBorders>
            <w:hideMark/>
          </w:tcPr>
          <w:p w:rsidR="0034046F" w:rsidRPr="001C58BC" w:rsidRDefault="0034046F" w:rsidP="00DF0473">
            <w:pPr>
              <w:jc w:val="center"/>
            </w:pPr>
            <w:r w:rsidRPr="001C58BC">
              <w:t>---</w:t>
            </w:r>
          </w:p>
        </w:tc>
        <w:tc>
          <w:tcPr>
            <w:tcW w:w="1648" w:type="dxa"/>
            <w:tcBorders>
              <w:top w:val="nil"/>
              <w:left w:val="nil"/>
              <w:bottom w:val="single" w:sz="8" w:space="0" w:color="auto"/>
              <w:right w:val="single" w:sz="8" w:space="0" w:color="auto"/>
            </w:tcBorders>
            <w:hideMark/>
          </w:tcPr>
          <w:p w:rsidR="0034046F" w:rsidRPr="001C58BC" w:rsidRDefault="0034046F" w:rsidP="00DF0473">
            <w:pPr>
              <w:jc w:val="center"/>
            </w:pPr>
            <w:r w:rsidRPr="001C58BC">
              <w:t>---</w:t>
            </w:r>
          </w:p>
        </w:tc>
        <w:tc>
          <w:tcPr>
            <w:tcW w:w="1682" w:type="dxa"/>
            <w:tcBorders>
              <w:top w:val="nil"/>
              <w:left w:val="nil"/>
              <w:bottom w:val="single" w:sz="8" w:space="0" w:color="auto"/>
              <w:right w:val="single" w:sz="8" w:space="0" w:color="auto"/>
            </w:tcBorders>
            <w:hideMark/>
          </w:tcPr>
          <w:p w:rsidR="0034046F" w:rsidRPr="001C58BC" w:rsidRDefault="0034046F" w:rsidP="00DF0473">
            <w:pPr>
              <w:jc w:val="center"/>
            </w:pPr>
            <w:r w:rsidRPr="001C58BC">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4046F" w:rsidRPr="001C58BC" w:rsidRDefault="0034046F" w:rsidP="00DF0473">
            <w:pPr>
              <w:jc w:val="center"/>
            </w:pPr>
            <w:r w:rsidRPr="001C58BC">
              <w:t>---</w:t>
            </w:r>
          </w:p>
        </w:tc>
      </w:tr>
      <w:tr w:rsidR="0034046F" w:rsidRPr="001C58BC" w:rsidTr="00DF0473">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46F" w:rsidRPr="001C58BC" w:rsidRDefault="0034046F" w:rsidP="00DF0473">
            <w:pPr>
              <w:jc w:val="center"/>
            </w:pPr>
            <w:r w:rsidRPr="001C58BC">
              <w:t>1 (Sep. 30, 2016 –                        Sep. 29, 2017)</w:t>
            </w:r>
          </w:p>
        </w:tc>
        <w:tc>
          <w:tcPr>
            <w:tcW w:w="1350" w:type="dxa"/>
            <w:tcBorders>
              <w:top w:val="nil"/>
              <w:left w:val="nil"/>
              <w:bottom w:val="single" w:sz="8" w:space="0" w:color="auto"/>
              <w:right w:val="single" w:sz="8" w:space="0" w:color="auto"/>
            </w:tcBorders>
            <w:vAlign w:val="center"/>
            <w:hideMark/>
          </w:tcPr>
          <w:p w:rsidR="0034046F" w:rsidRPr="001C58BC" w:rsidRDefault="0034046F" w:rsidP="00DF0473">
            <w:pPr>
              <w:jc w:val="center"/>
            </w:pPr>
            <w:r w:rsidRPr="001C58BC">
              <w:t>---</w:t>
            </w:r>
          </w:p>
        </w:tc>
        <w:tc>
          <w:tcPr>
            <w:tcW w:w="1648" w:type="dxa"/>
            <w:tcBorders>
              <w:top w:val="nil"/>
              <w:left w:val="nil"/>
              <w:bottom w:val="single" w:sz="8" w:space="0" w:color="auto"/>
              <w:right w:val="single" w:sz="8" w:space="0" w:color="auto"/>
            </w:tcBorders>
            <w:hideMark/>
          </w:tcPr>
          <w:p w:rsidR="0034046F" w:rsidRPr="001C58BC" w:rsidRDefault="0034046F" w:rsidP="00DF0473">
            <w:pPr>
              <w:jc w:val="center"/>
            </w:pPr>
            <w:r w:rsidRPr="001C58BC">
              <w:t>---</w:t>
            </w:r>
          </w:p>
        </w:tc>
        <w:tc>
          <w:tcPr>
            <w:tcW w:w="1682" w:type="dxa"/>
            <w:tcBorders>
              <w:top w:val="nil"/>
              <w:left w:val="nil"/>
              <w:bottom w:val="single" w:sz="8" w:space="0" w:color="auto"/>
              <w:right w:val="single" w:sz="8" w:space="0" w:color="auto"/>
            </w:tcBorders>
            <w:vAlign w:val="center"/>
            <w:hideMark/>
          </w:tcPr>
          <w:p w:rsidR="0034046F" w:rsidRPr="001C58BC" w:rsidRDefault="0034046F" w:rsidP="00DF0473">
            <w:pPr>
              <w:jc w:val="center"/>
            </w:pPr>
            <w:r w:rsidRPr="001C58BC">
              <w:t>December 15, 2017</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4046F" w:rsidRPr="001C58BC" w:rsidRDefault="0034046F" w:rsidP="00DF0473">
            <w:pPr>
              <w:jc w:val="center"/>
            </w:pPr>
            <w:r w:rsidRPr="001C58BC">
              <w:t>April 17, 2017 –            Sep. 29, 2017</w:t>
            </w:r>
          </w:p>
        </w:tc>
      </w:tr>
      <w:tr w:rsidR="0034046F" w:rsidRPr="001C58BC" w:rsidTr="00DF0473">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46F" w:rsidRPr="001C58BC" w:rsidRDefault="0034046F" w:rsidP="00DF0473">
            <w:pPr>
              <w:jc w:val="center"/>
            </w:pPr>
            <w:r w:rsidRPr="001C58BC">
              <w:t>1 (Sep. 30, 2017–                        Sep. 29, 2018)</w:t>
            </w:r>
          </w:p>
        </w:tc>
        <w:tc>
          <w:tcPr>
            <w:tcW w:w="1350" w:type="dxa"/>
            <w:tcBorders>
              <w:top w:val="nil"/>
              <w:left w:val="nil"/>
              <w:bottom w:val="single" w:sz="8" w:space="0" w:color="auto"/>
              <w:right w:val="single" w:sz="8" w:space="0" w:color="auto"/>
            </w:tcBorders>
            <w:vAlign w:val="center"/>
            <w:hideMark/>
          </w:tcPr>
          <w:p w:rsidR="0034046F" w:rsidRPr="001C58BC" w:rsidRDefault="0034046F" w:rsidP="00DF0473">
            <w:pPr>
              <w:jc w:val="center"/>
            </w:pPr>
            <w:r w:rsidRPr="001C58BC">
              <w:t>June 15, 2018</w:t>
            </w:r>
          </w:p>
        </w:tc>
        <w:tc>
          <w:tcPr>
            <w:tcW w:w="1648" w:type="dxa"/>
            <w:tcBorders>
              <w:top w:val="nil"/>
              <w:left w:val="nil"/>
              <w:bottom w:val="single" w:sz="8" w:space="0" w:color="auto"/>
              <w:right w:val="single" w:sz="8" w:space="0" w:color="auto"/>
            </w:tcBorders>
            <w:hideMark/>
          </w:tcPr>
          <w:p w:rsidR="0034046F" w:rsidRPr="001C58BC" w:rsidRDefault="0034046F" w:rsidP="00DF0473">
            <w:pPr>
              <w:jc w:val="center"/>
            </w:pPr>
            <w:r w:rsidRPr="001C58BC">
              <w:t>Sep. 30, 2017 – Mar. 31, 2018</w:t>
            </w:r>
          </w:p>
        </w:tc>
        <w:tc>
          <w:tcPr>
            <w:tcW w:w="1682" w:type="dxa"/>
            <w:tcBorders>
              <w:top w:val="nil"/>
              <w:left w:val="nil"/>
              <w:bottom w:val="single" w:sz="8" w:space="0" w:color="auto"/>
              <w:right w:val="single" w:sz="8" w:space="0" w:color="auto"/>
            </w:tcBorders>
            <w:hideMark/>
          </w:tcPr>
          <w:p w:rsidR="0034046F" w:rsidRPr="001C58BC" w:rsidRDefault="0034046F" w:rsidP="00DF0473">
            <w:pPr>
              <w:jc w:val="center"/>
            </w:pPr>
            <w:r w:rsidRPr="001C58BC">
              <w:t>December 15, 2018</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4046F" w:rsidRPr="001C58BC" w:rsidRDefault="0034046F" w:rsidP="00DF0473">
            <w:pPr>
              <w:jc w:val="center"/>
            </w:pPr>
            <w:r w:rsidRPr="001C58BC">
              <w:t>April 17, 2018 –            Sep. 29, 2018</w:t>
            </w:r>
          </w:p>
        </w:tc>
      </w:tr>
      <w:tr w:rsidR="0034046F" w:rsidRPr="001C58BC" w:rsidTr="00DF0473">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46F" w:rsidRPr="001C58BC" w:rsidRDefault="0034046F" w:rsidP="00DF0473">
            <w:pPr>
              <w:jc w:val="center"/>
            </w:pPr>
            <w:r w:rsidRPr="001C58BC">
              <w:t>1 (Sep. 30, 2018 –                        Sep. 29, 2019)</w:t>
            </w:r>
          </w:p>
        </w:tc>
        <w:tc>
          <w:tcPr>
            <w:tcW w:w="1350" w:type="dxa"/>
            <w:tcBorders>
              <w:top w:val="nil"/>
              <w:left w:val="nil"/>
              <w:bottom w:val="single" w:sz="8" w:space="0" w:color="auto"/>
              <w:right w:val="single" w:sz="8" w:space="0" w:color="auto"/>
            </w:tcBorders>
            <w:hideMark/>
          </w:tcPr>
          <w:p w:rsidR="0034046F" w:rsidRPr="001C58BC" w:rsidRDefault="0034046F" w:rsidP="00DF0473">
            <w:pPr>
              <w:jc w:val="center"/>
            </w:pPr>
            <w:r w:rsidRPr="001C58BC">
              <w:t>June 15, 2019</w:t>
            </w:r>
          </w:p>
        </w:tc>
        <w:tc>
          <w:tcPr>
            <w:tcW w:w="1648" w:type="dxa"/>
            <w:tcBorders>
              <w:top w:val="nil"/>
              <w:left w:val="nil"/>
              <w:bottom w:val="single" w:sz="8" w:space="0" w:color="auto"/>
              <w:right w:val="single" w:sz="8" w:space="0" w:color="auto"/>
            </w:tcBorders>
            <w:hideMark/>
          </w:tcPr>
          <w:p w:rsidR="0034046F" w:rsidRPr="001C58BC" w:rsidRDefault="0034046F" w:rsidP="00DF0473">
            <w:pPr>
              <w:jc w:val="center"/>
            </w:pPr>
            <w:r w:rsidRPr="001C58BC">
              <w:t>Sep. 30, 2018 – Mar. 31, 2019</w:t>
            </w:r>
          </w:p>
        </w:tc>
        <w:tc>
          <w:tcPr>
            <w:tcW w:w="1682" w:type="dxa"/>
            <w:tcBorders>
              <w:top w:val="nil"/>
              <w:left w:val="nil"/>
              <w:bottom w:val="single" w:sz="8" w:space="0" w:color="auto"/>
              <w:right w:val="single" w:sz="8" w:space="0" w:color="auto"/>
            </w:tcBorders>
            <w:hideMark/>
          </w:tcPr>
          <w:p w:rsidR="0034046F" w:rsidRPr="001C58BC" w:rsidRDefault="0034046F" w:rsidP="00DF0473">
            <w:pPr>
              <w:jc w:val="center"/>
            </w:pPr>
            <w:r w:rsidRPr="001C58BC">
              <w:t>December 15, 2019</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4046F" w:rsidRPr="001C58BC" w:rsidRDefault="0034046F" w:rsidP="00DF0473">
            <w:pPr>
              <w:jc w:val="center"/>
            </w:pPr>
            <w:r w:rsidRPr="001C58BC">
              <w:t>April 17, 2019 –            Sep. 29, 2019</w:t>
            </w:r>
          </w:p>
        </w:tc>
      </w:tr>
      <w:tr w:rsidR="0034046F" w:rsidRPr="001C58BC" w:rsidTr="00DF0473">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046F" w:rsidRPr="001C58BC" w:rsidRDefault="0034046F" w:rsidP="00DF0473">
            <w:pPr>
              <w:jc w:val="center"/>
            </w:pPr>
            <w:r w:rsidRPr="001C58BC">
              <w:t>No-cost extension year*</w:t>
            </w:r>
          </w:p>
          <w:p w:rsidR="0034046F" w:rsidRPr="001C58BC" w:rsidRDefault="0034046F" w:rsidP="00DF0473">
            <w:pPr>
              <w:jc w:val="center"/>
            </w:pPr>
            <w:r w:rsidRPr="001C58BC">
              <w:t>(Sep. 30, 2019 –                        Sep. 29, 2020)**</w:t>
            </w:r>
          </w:p>
        </w:tc>
        <w:tc>
          <w:tcPr>
            <w:tcW w:w="1350" w:type="dxa"/>
            <w:tcBorders>
              <w:top w:val="nil"/>
              <w:left w:val="nil"/>
              <w:bottom w:val="single" w:sz="8" w:space="0" w:color="auto"/>
              <w:right w:val="single" w:sz="8" w:space="0" w:color="auto"/>
            </w:tcBorders>
            <w:hideMark/>
          </w:tcPr>
          <w:p w:rsidR="0034046F" w:rsidRPr="001C58BC" w:rsidRDefault="0034046F" w:rsidP="00DF0473">
            <w:pPr>
              <w:jc w:val="center"/>
            </w:pPr>
            <w:r w:rsidRPr="001C58BC">
              <w:t>June 15, 2020</w:t>
            </w:r>
          </w:p>
        </w:tc>
        <w:tc>
          <w:tcPr>
            <w:tcW w:w="1648" w:type="dxa"/>
            <w:tcBorders>
              <w:top w:val="nil"/>
              <w:left w:val="nil"/>
              <w:bottom w:val="single" w:sz="8" w:space="0" w:color="auto"/>
              <w:right w:val="single" w:sz="8" w:space="0" w:color="auto"/>
            </w:tcBorders>
            <w:hideMark/>
          </w:tcPr>
          <w:p w:rsidR="0034046F" w:rsidRPr="001C58BC" w:rsidRDefault="0034046F" w:rsidP="00DF0473">
            <w:pPr>
              <w:jc w:val="center"/>
            </w:pPr>
            <w:r w:rsidRPr="001C58BC">
              <w:t>Sep. 30, 2019 – Mar. 31, 2020</w:t>
            </w:r>
          </w:p>
        </w:tc>
        <w:tc>
          <w:tcPr>
            <w:tcW w:w="1682" w:type="dxa"/>
            <w:tcBorders>
              <w:top w:val="nil"/>
              <w:left w:val="nil"/>
              <w:bottom w:val="single" w:sz="8" w:space="0" w:color="auto"/>
              <w:right w:val="single" w:sz="8" w:space="0" w:color="auto"/>
            </w:tcBorders>
            <w:hideMark/>
          </w:tcPr>
          <w:p w:rsidR="0034046F" w:rsidRPr="001C58BC" w:rsidRDefault="0034046F" w:rsidP="00DF0473">
            <w:pPr>
              <w:jc w:val="center"/>
            </w:pPr>
            <w:r w:rsidRPr="001C58BC">
              <w:t>December 15, 2020**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4046F" w:rsidRPr="001C58BC" w:rsidRDefault="0034046F" w:rsidP="00DF0473">
            <w:pPr>
              <w:jc w:val="center"/>
            </w:pPr>
            <w:r w:rsidRPr="001C58BC">
              <w:t>April 17, 2020 –            Sep. 29, 2020**</w:t>
            </w:r>
          </w:p>
        </w:tc>
      </w:tr>
    </w:tbl>
    <w:p w:rsidR="0034046F" w:rsidRPr="001C58BC" w:rsidRDefault="0034046F" w:rsidP="0034046F">
      <w:pPr>
        <w:ind w:left="-360"/>
        <w:contextualSpacing/>
      </w:pPr>
      <w:r w:rsidRPr="001C58BC">
        <w:t>*Pending approval for a one year, no-cost extension</w:t>
      </w:r>
    </w:p>
    <w:p w:rsidR="0034046F" w:rsidRPr="001C58BC" w:rsidRDefault="0034046F" w:rsidP="0034046F">
      <w:pPr>
        <w:ind w:left="-360"/>
      </w:pPr>
      <w:r w:rsidRPr="001C58BC">
        <w:t xml:space="preserve">**Pending renewal of OMB approval for 5/1/ 2020 – 9/30/2020 </w:t>
      </w:r>
    </w:p>
    <w:p w:rsidR="0034046F" w:rsidRPr="00232006" w:rsidRDefault="0034046F" w:rsidP="0034046F">
      <w:pPr>
        <w:tabs>
          <w:tab w:val="left" w:pos="1440"/>
        </w:tabs>
      </w:pPr>
    </w:p>
    <w:sectPr w:rsidR="0034046F" w:rsidRPr="00232006" w:rsidSect="003531C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905" w:rsidRDefault="00D70905" w:rsidP="005F39B4">
      <w:r>
        <w:separator/>
      </w:r>
    </w:p>
  </w:endnote>
  <w:endnote w:type="continuationSeparator" w:id="0">
    <w:p w:rsidR="00D70905" w:rsidRDefault="00D70905" w:rsidP="005F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655428"/>
      <w:docPartObj>
        <w:docPartGallery w:val="Page Numbers (Bottom of Page)"/>
        <w:docPartUnique/>
      </w:docPartObj>
    </w:sdtPr>
    <w:sdtEndPr>
      <w:rPr>
        <w:noProof/>
      </w:rPr>
    </w:sdtEndPr>
    <w:sdtContent>
      <w:p w:rsidR="00D70905" w:rsidRDefault="00D70905">
        <w:pPr>
          <w:pStyle w:val="Footer"/>
          <w:jc w:val="right"/>
        </w:pPr>
        <w:r>
          <w:fldChar w:fldCharType="begin"/>
        </w:r>
        <w:r>
          <w:instrText xml:space="preserve"> PAGE   \* MERGEFORMAT </w:instrText>
        </w:r>
        <w:r>
          <w:fldChar w:fldCharType="separate"/>
        </w:r>
        <w:r w:rsidR="005443F1">
          <w:rPr>
            <w:noProof/>
          </w:rPr>
          <w:t>1</w:t>
        </w:r>
        <w:r>
          <w:rPr>
            <w:noProof/>
          </w:rPr>
          <w:fldChar w:fldCharType="end"/>
        </w:r>
      </w:p>
    </w:sdtContent>
  </w:sdt>
  <w:p w:rsidR="00D70905" w:rsidRDefault="00D70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905" w:rsidRDefault="00D70905" w:rsidP="005F39B4">
      <w:r>
        <w:separator/>
      </w:r>
    </w:p>
  </w:footnote>
  <w:footnote w:type="continuationSeparator" w:id="0">
    <w:p w:rsidR="00D70905" w:rsidRDefault="00D70905" w:rsidP="005F3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2013"/>
    <w:multiLevelType w:val="hybridMultilevel"/>
    <w:tmpl w:val="5C5801F8"/>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52F0427"/>
    <w:multiLevelType w:val="hybridMultilevel"/>
    <w:tmpl w:val="F2FC30DE"/>
    <w:lvl w:ilvl="0" w:tplc="E15ABB2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3D241E6A">
      <w:start w:val="142"/>
      <w:numFmt w:val="bullet"/>
      <w:lvlText w:val="•"/>
      <w:lvlJc w:val="left"/>
      <w:pPr>
        <w:tabs>
          <w:tab w:val="num" w:pos="2160"/>
        </w:tabs>
        <w:ind w:left="2160" w:hanging="360"/>
      </w:pPr>
      <w:rPr>
        <w:rFonts w:ascii="Arial" w:hAnsi="Arial" w:hint="default"/>
      </w:rPr>
    </w:lvl>
    <w:lvl w:ilvl="3" w:tplc="511ACFFA">
      <w:start w:val="1"/>
      <w:numFmt w:val="bullet"/>
      <w:lvlText w:val=""/>
      <w:lvlJc w:val="left"/>
      <w:pPr>
        <w:tabs>
          <w:tab w:val="num" w:pos="2880"/>
        </w:tabs>
        <w:ind w:left="2880" w:hanging="360"/>
      </w:pPr>
      <w:rPr>
        <w:rFonts w:ascii="Wingdings" w:hAnsi="Wingdings" w:hint="default"/>
      </w:rPr>
    </w:lvl>
    <w:lvl w:ilvl="4" w:tplc="2F3EA618" w:tentative="1">
      <w:start w:val="1"/>
      <w:numFmt w:val="bullet"/>
      <w:lvlText w:val=""/>
      <w:lvlJc w:val="left"/>
      <w:pPr>
        <w:tabs>
          <w:tab w:val="num" w:pos="3600"/>
        </w:tabs>
        <w:ind w:left="3600" w:hanging="360"/>
      </w:pPr>
      <w:rPr>
        <w:rFonts w:ascii="Wingdings" w:hAnsi="Wingdings" w:hint="default"/>
      </w:rPr>
    </w:lvl>
    <w:lvl w:ilvl="5" w:tplc="7B249F92" w:tentative="1">
      <w:start w:val="1"/>
      <w:numFmt w:val="bullet"/>
      <w:lvlText w:val=""/>
      <w:lvlJc w:val="left"/>
      <w:pPr>
        <w:tabs>
          <w:tab w:val="num" w:pos="4320"/>
        </w:tabs>
        <w:ind w:left="4320" w:hanging="360"/>
      </w:pPr>
      <w:rPr>
        <w:rFonts w:ascii="Wingdings" w:hAnsi="Wingdings" w:hint="default"/>
      </w:rPr>
    </w:lvl>
    <w:lvl w:ilvl="6" w:tplc="13B6A1A8" w:tentative="1">
      <w:start w:val="1"/>
      <w:numFmt w:val="bullet"/>
      <w:lvlText w:val=""/>
      <w:lvlJc w:val="left"/>
      <w:pPr>
        <w:tabs>
          <w:tab w:val="num" w:pos="5040"/>
        </w:tabs>
        <w:ind w:left="5040" w:hanging="360"/>
      </w:pPr>
      <w:rPr>
        <w:rFonts w:ascii="Wingdings" w:hAnsi="Wingdings" w:hint="default"/>
      </w:rPr>
    </w:lvl>
    <w:lvl w:ilvl="7" w:tplc="346C913A" w:tentative="1">
      <w:start w:val="1"/>
      <w:numFmt w:val="bullet"/>
      <w:lvlText w:val=""/>
      <w:lvlJc w:val="left"/>
      <w:pPr>
        <w:tabs>
          <w:tab w:val="num" w:pos="5760"/>
        </w:tabs>
        <w:ind w:left="5760" w:hanging="360"/>
      </w:pPr>
      <w:rPr>
        <w:rFonts w:ascii="Wingdings" w:hAnsi="Wingdings" w:hint="default"/>
      </w:rPr>
    </w:lvl>
    <w:lvl w:ilvl="8" w:tplc="CC5677BC" w:tentative="1">
      <w:start w:val="1"/>
      <w:numFmt w:val="bullet"/>
      <w:lvlText w:val=""/>
      <w:lvlJc w:val="left"/>
      <w:pPr>
        <w:tabs>
          <w:tab w:val="num" w:pos="6480"/>
        </w:tabs>
        <w:ind w:left="6480" w:hanging="360"/>
      </w:pPr>
      <w:rPr>
        <w:rFonts w:ascii="Wingdings" w:hAnsi="Wingdings" w:hint="default"/>
      </w:rPr>
    </w:lvl>
  </w:abstractNum>
  <w:abstractNum w:abstractNumId="2">
    <w:nsid w:val="0C0C5B81"/>
    <w:multiLevelType w:val="hybridMultilevel"/>
    <w:tmpl w:val="379E34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D467173"/>
    <w:multiLevelType w:val="hybridMultilevel"/>
    <w:tmpl w:val="18086E6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EA87126"/>
    <w:multiLevelType w:val="hybridMultilevel"/>
    <w:tmpl w:val="95F42F3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106E9116">
      <w:numFmt w:val="bullet"/>
      <w:lvlText w:val="•"/>
      <w:lvlJc w:val="left"/>
      <w:pPr>
        <w:ind w:left="2160" w:hanging="360"/>
      </w:pPr>
      <w:rPr>
        <w:rFonts w:ascii="Cambria" w:eastAsiaTheme="minorHAnsi" w:hAnsi="Cambria" w:cstheme="minorBid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F7732"/>
    <w:multiLevelType w:val="hybridMultilevel"/>
    <w:tmpl w:val="B2AAC226"/>
    <w:lvl w:ilvl="0" w:tplc="710C6038">
      <w:start w:val="5"/>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F17BE1"/>
    <w:multiLevelType w:val="hybridMultilevel"/>
    <w:tmpl w:val="845E7A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2A5E56"/>
    <w:multiLevelType w:val="hybridMultilevel"/>
    <w:tmpl w:val="9ACAE4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627D7C"/>
    <w:multiLevelType w:val="hybridMultilevel"/>
    <w:tmpl w:val="811A5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5557766"/>
    <w:multiLevelType w:val="hybridMultilevel"/>
    <w:tmpl w:val="AFA25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9513EF7"/>
    <w:multiLevelType w:val="hybridMultilevel"/>
    <w:tmpl w:val="8578D582"/>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5">
      <w:start w:val="1"/>
      <w:numFmt w:val="bullet"/>
      <w:lvlText w:val=""/>
      <w:lvlJc w:val="left"/>
      <w:pPr>
        <w:ind w:left="4320" w:hanging="360"/>
      </w:pPr>
      <w:rPr>
        <w:rFonts w:ascii="Wingdings" w:hAnsi="Wingdings"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EEC496E"/>
    <w:multiLevelType w:val="hybridMultilevel"/>
    <w:tmpl w:val="73006846"/>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2">
    <w:nsid w:val="2F1F065D"/>
    <w:multiLevelType w:val="hybridMultilevel"/>
    <w:tmpl w:val="B8A413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A1CDA"/>
    <w:multiLevelType w:val="hybridMultilevel"/>
    <w:tmpl w:val="B3AC6C00"/>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4C40F8E"/>
    <w:multiLevelType w:val="hybridMultilevel"/>
    <w:tmpl w:val="5ADE93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2DA64AD"/>
    <w:multiLevelType w:val="hybridMultilevel"/>
    <w:tmpl w:val="13DC5ACC"/>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nsid w:val="4EC52E15"/>
    <w:multiLevelType w:val="hybridMultilevel"/>
    <w:tmpl w:val="36FA7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FAA72D2"/>
    <w:multiLevelType w:val="hybridMultilevel"/>
    <w:tmpl w:val="66E021C4"/>
    <w:lvl w:ilvl="0" w:tplc="DC24DC24">
      <w:start w:val="1"/>
      <w:numFmt w:val="bullet"/>
      <w:lvlText w:val=""/>
      <w:lvlJc w:val="left"/>
      <w:pPr>
        <w:tabs>
          <w:tab w:val="num" w:pos="-266"/>
        </w:tabs>
        <w:ind w:left="-266" w:hanging="360"/>
      </w:pPr>
      <w:rPr>
        <w:rFonts w:ascii="Wingdings" w:hAnsi="Wingdings" w:hint="default"/>
      </w:rPr>
    </w:lvl>
    <w:lvl w:ilvl="1" w:tplc="F604875E">
      <w:start w:val="142"/>
      <w:numFmt w:val="bullet"/>
      <w:lvlText w:val="–"/>
      <w:lvlJc w:val="left"/>
      <w:pPr>
        <w:tabs>
          <w:tab w:val="num" w:pos="454"/>
        </w:tabs>
        <w:ind w:left="454" w:hanging="360"/>
      </w:pPr>
      <w:rPr>
        <w:rFonts w:ascii="Arial" w:hAnsi="Arial" w:hint="default"/>
      </w:rPr>
    </w:lvl>
    <w:lvl w:ilvl="2" w:tplc="88E64BAC" w:tentative="1">
      <w:start w:val="1"/>
      <w:numFmt w:val="bullet"/>
      <w:lvlText w:val=""/>
      <w:lvlJc w:val="left"/>
      <w:pPr>
        <w:tabs>
          <w:tab w:val="num" w:pos="1174"/>
        </w:tabs>
        <w:ind w:left="1174" w:hanging="360"/>
      </w:pPr>
      <w:rPr>
        <w:rFonts w:ascii="Wingdings" w:hAnsi="Wingdings" w:hint="default"/>
      </w:rPr>
    </w:lvl>
    <w:lvl w:ilvl="3" w:tplc="5DEA4494" w:tentative="1">
      <w:start w:val="1"/>
      <w:numFmt w:val="bullet"/>
      <w:lvlText w:val=""/>
      <w:lvlJc w:val="left"/>
      <w:pPr>
        <w:tabs>
          <w:tab w:val="num" w:pos="1894"/>
        </w:tabs>
        <w:ind w:left="1894" w:hanging="360"/>
      </w:pPr>
      <w:rPr>
        <w:rFonts w:ascii="Wingdings" w:hAnsi="Wingdings" w:hint="default"/>
      </w:rPr>
    </w:lvl>
    <w:lvl w:ilvl="4" w:tplc="5D9C7D42" w:tentative="1">
      <w:start w:val="1"/>
      <w:numFmt w:val="bullet"/>
      <w:lvlText w:val=""/>
      <w:lvlJc w:val="left"/>
      <w:pPr>
        <w:tabs>
          <w:tab w:val="num" w:pos="2614"/>
        </w:tabs>
        <w:ind w:left="2614" w:hanging="360"/>
      </w:pPr>
      <w:rPr>
        <w:rFonts w:ascii="Wingdings" w:hAnsi="Wingdings" w:hint="default"/>
      </w:rPr>
    </w:lvl>
    <w:lvl w:ilvl="5" w:tplc="E2267098" w:tentative="1">
      <w:start w:val="1"/>
      <w:numFmt w:val="bullet"/>
      <w:lvlText w:val=""/>
      <w:lvlJc w:val="left"/>
      <w:pPr>
        <w:tabs>
          <w:tab w:val="num" w:pos="3334"/>
        </w:tabs>
        <w:ind w:left="3334" w:hanging="360"/>
      </w:pPr>
      <w:rPr>
        <w:rFonts w:ascii="Wingdings" w:hAnsi="Wingdings" w:hint="default"/>
      </w:rPr>
    </w:lvl>
    <w:lvl w:ilvl="6" w:tplc="D2966D8C" w:tentative="1">
      <w:start w:val="1"/>
      <w:numFmt w:val="bullet"/>
      <w:lvlText w:val=""/>
      <w:lvlJc w:val="left"/>
      <w:pPr>
        <w:tabs>
          <w:tab w:val="num" w:pos="4054"/>
        </w:tabs>
        <w:ind w:left="4054" w:hanging="360"/>
      </w:pPr>
      <w:rPr>
        <w:rFonts w:ascii="Wingdings" w:hAnsi="Wingdings" w:hint="default"/>
      </w:rPr>
    </w:lvl>
    <w:lvl w:ilvl="7" w:tplc="F28EDD06" w:tentative="1">
      <w:start w:val="1"/>
      <w:numFmt w:val="bullet"/>
      <w:lvlText w:val=""/>
      <w:lvlJc w:val="left"/>
      <w:pPr>
        <w:tabs>
          <w:tab w:val="num" w:pos="4774"/>
        </w:tabs>
        <w:ind w:left="4774" w:hanging="360"/>
      </w:pPr>
      <w:rPr>
        <w:rFonts w:ascii="Wingdings" w:hAnsi="Wingdings" w:hint="default"/>
      </w:rPr>
    </w:lvl>
    <w:lvl w:ilvl="8" w:tplc="AE488C54" w:tentative="1">
      <w:start w:val="1"/>
      <w:numFmt w:val="bullet"/>
      <w:lvlText w:val=""/>
      <w:lvlJc w:val="left"/>
      <w:pPr>
        <w:tabs>
          <w:tab w:val="num" w:pos="5494"/>
        </w:tabs>
        <w:ind w:left="5494" w:hanging="360"/>
      </w:pPr>
      <w:rPr>
        <w:rFonts w:ascii="Wingdings" w:hAnsi="Wingdings" w:hint="default"/>
      </w:rPr>
    </w:lvl>
  </w:abstractNum>
  <w:abstractNum w:abstractNumId="18">
    <w:nsid w:val="50447945"/>
    <w:multiLevelType w:val="hybridMultilevel"/>
    <w:tmpl w:val="17F8D2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46F6674"/>
    <w:multiLevelType w:val="hybridMultilevel"/>
    <w:tmpl w:val="572EE2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F8401B"/>
    <w:multiLevelType w:val="hybridMultilevel"/>
    <w:tmpl w:val="D07E1C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2C3E90"/>
    <w:multiLevelType w:val="hybridMultilevel"/>
    <w:tmpl w:val="9E1C1DE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8E327E"/>
    <w:multiLevelType w:val="hybridMultilevel"/>
    <w:tmpl w:val="8040A7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C61679"/>
    <w:multiLevelType w:val="hybridMultilevel"/>
    <w:tmpl w:val="E904C2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951BF"/>
    <w:multiLevelType w:val="hybridMultilevel"/>
    <w:tmpl w:val="FB2678E4"/>
    <w:lvl w:ilvl="0" w:tplc="64F2FDEE">
      <w:start w:val="5"/>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32567C"/>
    <w:multiLevelType w:val="hybridMultilevel"/>
    <w:tmpl w:val="951E4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3281059"/>
    <w:multiLevelType w:val="hybridMultilevel"/>
    <w:tmpl w:val="AC84E9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7B938DE"/>
    <w:multiLevelType w:val="hybridMultilevel"/>
    <w:tmpl w:val="9BAC8A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CE7DE6"/>
    <w:multiLevelType w:val="hybridMultilevel"/>
    <w:tmpl w:val="D7E64348"/>
    <w:lvl w:ilvl="0" w:tplc="B5D67E26">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
  </w:num>
  <w:num w:numId="4">
    <w:abstractNumId w:val="19"/>
  </w:num>
  <w:num w:numId="5">
    <w:abstractNumId w:val="7"/>
  </w:num>
  <w:num w:numId="6">
    <w:abstractNumId w:val="5"/>
  </w:num>
  <w:num w:numId="7">
    <w:abstractNumId w:val="24"/>
  </w:num>
  <w:num w:numId="8">
    <w:abstractNumId w:val="1"/>
  </w:num>
  <w:num w:numId="9">
    <w:abstractNumId w:val="17"/>
  </w:num>
  <w:num w:numId="10">
    <w:abstractNumId w:val="13"/>
  </w:num>
  <w:num w:numId="11">
    <w:abstractNumId w:val="8"/>
  </w:num>
  <w:num w:numId="12">
    <w:abstractNumId w:val="28"/>
  </w:num>
  <w:num w:numId="13">
    <w:abstractNumId w:val="4"/>
  </w:num>
  <w:num w:numId="14">
    <w:abstractNumId w:val="16"/>
  </w:num>
  <w:num w:numId="15">
    <w:abstractNumId w:val="18"/>
  </w:num>
  <w:num w:numId="16">
    <w:abstractNumId w:val="14"/>
  </w:num>
  <w:num w:numId="17">
    <w:abstractNumId w:val="9"/>
  </w:num>
  <w:num w:numId="18">
    <w:abstractNumId w:val="15"/>
  </w:num>
  <w:num w:numId="19">
    <w:abstractNumId w:val="22"/>
  </w:num>
  <w:num w:numId="20">
    <w:abstractNumId w:val="23"/>
  </w:num>
  <w:num w:numId="21">
    <w:abstractNumId w:val="12"/>
  </w:num>
  <w:num w:numId="22">
    <w:abstractNumId w:val="20"/>
  </w:num>
  <w:num w:numId="23">
    <w:abstractNumId w:val="26"/>
  </w:num>
  <w:num w:numId="24">
    <w:abstractNumId w:val="6"/>
  </w:num>
  <w:num w:numId="25">
    <w:abstractNumId w:val="3"/>
  </w:num>
  <w:num w:numId="26">
    <w:abstractNumId w:val="11"/>
  </w:num>
  <w:num w:numId="27">
    <w:abstractNumId w:val="0"/>
  </w:num>
  <w:num w:numId="28">
    <w:abstractNumId w:val="27"/>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F6C"/>
    <w:rsid w:val="000078C9"/>
    <w:rsid w:val="00017F58"/>
    <w:rsid w:val="00021C3A"/>
    <w:rsid w:val="000461FA"/>
    <w:rsid w:val="00052D24"/>
    <w:rsid w:val="000544AC"/>
    <w:rsid w:val="0005719D"/>
    <w:rsid w:val="00064893"/>
    <w:rsid w:val="00072419"/>
    <w:rsid w:val="00081D4B"/>
    <w:rsid w:val="0008688A"/>
    <w:rsid w:val="000873ED"/>
    <w:rsid w:val="000944D6"/>
    <w:rsid w:val="000A7F6C"/>
    <w:rsid w:val="000B0300"/>
    <w:rsid w:val="000B3FD7"/>
    <w:rsid w:val="000C0209"/>
    <w:rsid w:val="000D6006"/>
    <w:rsid w:val="000F2BFF"/>
    <w:rsid w:val="000F53B0"/>
    <w:rsid w:val="00102C65"/>
    <w:rsid w:val="001041B0"/>
    <w:rsid w:val="00110D8C"/>
    <w:rsid w:val="00136AD0"/>
    <w:rsid w:val="0014304C"/>
    <w:rsid w:val="00156661"/>
    <w:rsid w:val="001834C9"/>
    <w:rsid w:val="00187E1A"/>
    <w:rsid w:val="001A56E7"/>
    <w:rsid w:val="001A58AD"/>
    <w:rsid w:val="001A5973"/>
    <w:rsid w:val="001A648B"/>
    <w:rsid w:val="001C58BC"/>
    <w:rsid w:val="001C739D"/>
    <w:rsid w:val="001D0222"/>
    <w:rsid w:val="0021215F"/>
    <w:rsid w:val="00225543"/>
    <w:rsid w:val="00232006"/>
    <w:rsid w:val="00247CB4"/>
    <w:rsid w:val="00253BBA"/>
    <w:rsid w:val="002659EE"/>
    <w:rsid w:val="002663BA"/>
    <w:rsid w:val="00270089"/>
    <w:rsid w:val="002752C8"/>
    <w:rsid w:val="00276DC5"/>
    <w:rsid w:val="002C4937"/>
    <w:rsid w:val="002D6795"/>
    <w:rsid w:val="002E06F2"/>
    <w:rsid w:val="002F1B68"/>
    <w:rsid w:val="002F2784"/>
    <w:rsid w:val="002F4F00"/>
    <w:rsid w:val="00320385"/>
    <w:rsid w:val="00321EEC"/>
    <w:rsid w:val="00322DC2"/>
    <w:rsid w:val="00323BFC"/>
    <w:rsid w:val="00330260"/>
    <w:rsid w:val="0034046F"/>
    <w:rsid w:val="00343C1E"/>
    <w:rsid w:val="00345233"/>
    <w:rsid w:val="003531C8"/>
    <w:rsid w:val="00361E9E"/>
    <w:rsid w:val="0036438C"/>
    <w:rsid w:val="00367CA7"/>
    <w:rsid w:val="00367E25"/>
    <w:rsid w:val="003760D2"/>
    <w:rsid w:val="00391C92"/>
    <w:rsid w:val="003A4DD3"/>
    <w:rsid w:val="003C36F5"/>
    <w:rsid w:val="003D1B0B"/>
    <w:rsid w:val="003D7B70"/>
    <w:rsid w:val="003E1744"/>
    <w:rsid w:val="003E2AEF"/>
    <w:rsid w:val="003F25A7"/>
    <w:rsid w:val="003F5185"/>
    <w:rsid w:val="004051DF"/>
    <w:rsid w:val="00413819"/>
    <w:rsid w:val="00423EB1"/>
    <w:rsid w:val="00444766"/>
    <w:rsid w:val="004604DF"/>
    <w:rsid w:val="00461E47"/>
    <w:rsid w:val="004661E7"/>
    <w:rsid w:val="00466C65"/>
    <w:rsid w:val="004670AB"/>
    <w:rsid w:val="00475B43"/>
    <w:rsid w:val="00481A3A"/>
    <w:rsid w:val="00492898"/>
    <w:rsid w:val="00493FF4"/>
    <w:rsid w:val="00496C0E"/>
    <w:rsid w:val="004A132A"/>
    <w:rsid w:val="004C6E10"/>
    <w:rsid w:val="004F2EE3"/>
    <w:rsid w:val="004F62B4"/>
    <w:rsid w:val="00501B3B"/>
    <w:rsid w:val="0050350C"/>
    <w:rsid w:val="00504200"/>
    <w:rsid w:val="00506D12"/>
    <w:rsid w:val="00516C4D"/>
    <w:rsid w:val="005443F1"/>
    <w:rsid w:val="0057736A"/>
    <w:rsid w:val="00592764"/>
    <w:rsid w:val="00595704"/>
    <w:rsid w:val="005A08B3"/>
    <w:rsid w:val="005A7D41"/>
    <w:rsid w:val="005B25E1"/>
    <w:rsid w:val="005B3631"/>
    <w:rsid w:val="005C027A"/>
    <w:rsid w:val="005C05B7"/>
    <w:rsid w:val="005D2285"/>
    <w:rsid w:val="005E2EB8"/>
    <w:rsid w:val="005F39B4"/>
    <w:rsid w:val="006032E1"/>
    <w:rsid w:val="0061014B"/>
    <w:rsid w:val="0061302B"/>
    <w:rsid w:val="0061348C"/>
    <w:rsid w:val="006166FA"/>
    <w:rsid w:val="006331B4"/>
    <w:rsid w:val="00635EEC"/>
    <w:rsid w:val="00637354"/>
    <w:rsid w:val="006535DB"/>
    <w:rsid w:val="006641D7"/>
    <w:rsid w:val="00667714"/>
    <w:rsid w:val="00673283"/>
    <w:rsid w:val="00675B49"/>
    <w:rsid w:val="00683446"/>
    <w:rsid w:val="00685143"/>
    <w:rsid w:val="00685898"/>
    <w:rsid w:val="006976B6"/>
    <w:rsid w:val="006A1059"/>
    <w:rsid w:val="006B4F9B"/>
    <w:rsid w:val="006B5AE4"/>
    <w:rsid w:val="006D4414"/>
    <w:rsid w:val="006E5B9F"/>
    <w:rsid w:val="00701034"/>
    <w:rsid w:val="00703B31"/>
    <w:rsid w:val="0071061E"/>
    <w:rsid w:val="00711B35"/>
    <w:rsid w:val="007136AC"/>
    <w:rsid w:val="00732253"/>
    <w:rsid w:val="00733076"/>
    <w:rsid w:val="00740AD0"/>
    <w:rsid w:val="007648AD"/>
    <w:rsid w:val="0077154C"/>
    <w:rsid w:val="00773A23"/>
    <w:rsid w:val="0078164D"/>
    <w:rsid w:val="007A26DE"/>
    <w:rsid w:val="007A73E3"/>
    <w:rsid w:val="007B0D45"/>
    <w:rsid w:val="007B3089"/>
    <w:rsid w:val="007C316A"/>
    <w:rsid w:val="007C3D50"/>
    <w:rsid w:val="007D1067"/>
    <w:rsid w:val="007E690F"/>
    <w:rsid w:val="007F5C22"/>
    <w:rsid w:val="0081070D"/>
    <w:rsid w:val="0081293F"/>
    <w:rsid w:val="00822EE2"/>
    <w:rsid w:val="008251F5"/>
    <w:rsid w:val="00853F25"/>
    <w:rsid w:val="008559D5"/>
    <w:rsid w:val="00860982"/>
    <w:rsid w:val="00867F1C"/>
    <w:rsid w:val="00882252"/>
    <w:rsid w:val="008A2F07"/>
    <w:rsid w:val="008C6696"/>
    <w:rsid w:val="008D6E5F"/>
    <w:rsid w:val="00900AB2"/>
    <w:rsid w:val="00903883"/>
    <w:rsid w:val="00925994"/>
    <w:rsid w:val="009313FD"/>
    <w:rsid w:val="00931DF0"/>
    <w:rsid w:val="009573D6"/>
    <w:rsid w:val="00972E12"/>
    <w:rsid w:val="009910C3"/>
    <w:rsid w:val="009B5DA4"/>
    <w:rsid w:val="009D300B"/>
    <w:rsid w:val="00A029B0"/>
    <w:rsid w:val="00A06D0E"/>
    <w:rsid w:val="00A07B20"/>
    <w:rsid w:val="00A12782"/>
    <w:rsid w:val="00A37391"/>
    <w:rsid w:val="00A652DE"/>
    <w:rsid w:val="00A84C58"/>
    <w:rsid w:val="00A85271"/>
    <w:rsid w:val="00A86DDA"/>
    <w:rsid w:val="00A93265"/>
    <w:rsid w:val="00AA1CB0"/>
    <w:rsid w:val="00AB4412"/>
    <w:rsid w:val="00AE65A8"/>
    <w:rsid w:val="00AF1723"/>
    <w:rsid w:val="00AF519E"/>
    <w:rsid w:val="00B017A1"/>
    <w:rsid w:val="00B04CB6"/>
    <w:rsid w:val="00B20A6B"/>
    <w:rsid w:val="00B2237E"/>
    <w:rsid w:val="00B23096"/>
    <w:rsid w:val="00B417B0"/>
    <w:rsid w:val="00B516F5"/>
    <w:rsid w:val="00B52F79"/>
    <w:rsid w:val="00B5333B"/>
    <w:rsid w:val="00B70A30"/>
    <w:rsid w:val="00B7511C"/>
    <w:rsid w:val="00B7538C"/>
    <w:rsid w:val="00B828E6"/>
    <w:rsid w:val="00B92130"/>
    <w:rsid w:val="00BA69A7"/>
    <w:rsid w:val="00BB1842"/>
    <w:rsid w:val="00BC685A"/>
    <w:rsid w:val="00BD2604"/>
    <w:rsid w:val="00BD58AC"/>
    <w:rsid w:val="00BE2B02"/>
    <w:rsid w:val="00BF6190"/>
    <w:rsid w:val="00C125C1"/>
    <w:rsid w:val="00C33AE5"/>
    <w:rsid w:val="00C76D1A"/>
    <w:rsid w:val="00C80D14"/>
    <w:rsid w:val="00C85C01"/>
    <w:rsid w:val="00CC33EB"/>
    <w:rsid w:val="00CE1B25"/>
    <w:rsid w:val="00CF6993"/>
    <w:rsid w:val="00D00596"/>
    <w:rsid w:val="00D124E7"/>
    <w:rsid w:val="00D13D78"/>
    <w:rsid w:val="00D147FC"/>
    <w:rsid w:val="00D174FA"/>
    <w:rsid w:val="00D22597"/>
    <w:rsid w:val="00D458BC"/>
    <w:rsid w:val="00D50C7D"/>
    <w:rsid w:val="00D55DCF"/>
    <w:rsid w:val="00D56A9D"/>
    <w:rsid w:val="00D70905"/>
    <w:rsid w:val="00D87362"/>
    <w:rsid w:val="00D907E4"/>
    <w:rsid w:val="00D95A11"/>
    <w:rsid w:val="00DA2EC1"/>
    <w:rsid w:val="00DB640C"/>
    <w:rsid w:val="00DD7750"/>
    <w:rsid w:val="00E1088E"/>
    <w:rsid w:val="00E24A97"/>
    <w:rsid w:val="00E45D62"/>
    <w:rsid w:val="00E60C52"/>
    <w:rsid w:val="00E67A80"/>
    <w:rsid w:val="00E777B4"/>
    <w:rsid w:val="00E77B13"/>
    <w:rsid w:val="00E82167"/>
    <w:rsid w:val="00E94262"/>
    <w:rsid w:val="00EA4504"/>
    <w:rsid w:val="00EA497B"/>
    <w:rsid w:val="00EC138B"/>
    <w:rsid w:val="00ED20FA"/>
    <w:rsid w:val="00EE1DDA"/>
    <w:rsid w:val="00EE34D0"/>
    <w:rsid w:val="00F03F4A"/>
    <w:rsid w:val="00F21DDD"/>
    <w:rsid w:val="00F2372F"/>
    <w:rsid w:val="00F35EB1"/>
    <w:rsid w:val="00F4215E"/>
    <w:rsid w:val="00F45C8B"/>
    <w:rsid w:val="00F57E34"/>
    <w:rsid w:val="00F60302"/>
    <w:rsid w:val="00F7549E"/>
    <w:rsid w:val="00F77527"/>
    <w:rsid w:val="00F873B1"/>
    <w:rsid w:val="00F91975"/>
    <w:rsid w:val="00F93117"/>
    <w:rsid w:val="00FB2FA9"/>
    <w:rsid w:val="00FD15BC"/>
    <w:rsid w:val="00FD3E48"/>
    <w:rsid w:val="00FD4072"/>
    <w:rsid w:val="00FE2814"/>
    <w:rsid w:val="00FF00C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9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E5B9F"/>
    <w:pPr>
      <w:ind w:left="720"/>
      <w:contextualSpacing/>
    </w:pPr>
  </w:style>
  <w:style w:type="character" w:styleId="CommentReference">
    <w:name w:val="annotation reference"/>
    <w:basedOn w:val="DefaultParagraphFont"/>
    <w:uiPriority w:val="99"/>
    <w:semiHidden/>
    <w:unhideWhenUsed/>
    <w:rsid w:val="0057736A"/>
    <w:rPr>
      <w:sz w:val="16"/>
      <w:szCs w:val="16"/>
    </w:rPr>
  </w:style>
  <w:style w:type="paragraph" w:styleId="CommentText">
    <w:name w:val="annotation text"/>
    <w:basedOn w:val="Normal"/>
    <w:link w:val="CommentTextChar"/>
    <w:uiPriority w:val="99"/>
    <w:semiHidden/>
    <w:unhideWhenUsed/>
    <w:rsid w:val="0057736A"/>
    <w:rPr>
      <w:sz w:val="20"/>
      <w:szCs w:val="20"/>
    </w:rPr>
  </w:style>
  <w:style w:type="character" w:customStyle="1" w:styleId="CommentTextChar">
    <w:name w:val="Comment Text Char"/>
    <w:basedOn w:val="DefaultParagraphFont"/>
    <w:link w:val="CommentText"/>
    <w:uiPriority w:val="99"/>
    <w:semiHidden/>
    <w:rsid w:val="0057736A"/>
    <w:rPr>
      <w:sz w:val="20"/>
      <w:szCs w:val="20"/>
    </w:rPr>
  </w:style>
  <w:style w:type="paragraph" w:styleId="CommentSubject">
    <w:name w:val="annotation subject"/>
    <w:basedOn w:val="CommentText"/>
    <w:next w:val="CommentText"/>
    <w:link w:val="CommentSubjectChar"/>
    <w:uiPriority w:val="99"/>
    <w:semiHidden/>
    <w:unhideWhenUsed/>
    <w:rsid w:val="0057736A"/>
    <w:rPr>
      <w:b/>
      <w:bCs/>
    </w:rPr>
  </w:style>
  <w:style w:type="character" w:customStyle="1" w:styleId="CommentSubjectChar">
    <w:name w:val="Comment Subject Char"/>
    <w:basedOn w:val="CommentTextChar"/>
    <w:link w:val="CommentSubject"/>
    <w:uiPriority w:val="99"/>
    <w:semiHidden/>
    <w:rsid w:val="0057736A"/>
    <w:rPr>
      <w:b/>
      <w:bCs/>
      <w:sz w:val="20"/>
      <w:szCs w:val="20"/>
    </w:rPr>
  </w:style>
  <w:style w:type="paragraph" w:styleId="BalloonText">
    <w:name w:val="Balloon Text"/>
    <w:basedOn w:val="Normal"/>
    <w:link w:val="BalloonTextChar"/>
    <w:uiPriority w:val="99"/>
    <w:semiHidden/>
    <w:unhideWhenUsed/>
    <w:rsid w:val="0057736A"/>
    <w:rPr>
      <w:rFonts w:ascii="Tahoma" w:hAnsi="Tahoma" w:cs="Tahoma"/>
      <w:sz w:val="16"/>
      <w:szCs w:val="16"/>
    </w:rPr>
  </w:style>
  <w:style w:type="character" w:customStyle="1" w:styleId="BalloonTextChar">
    <w:name w:val="Balloon Text Char"/>
    <w:basedOn w:val="DefaultParagraphFont"/>
    <w:link w:val="BalloonText"/>
    <w:uiPriority w:val="99"/>
    <w:semiHidden/>
    <w:rsid w:val="0057736A"/>
    <w:rPr>
      <w:rFonts w:ascii="Tahoma" w:hAnsi="Tahoma" w:cs="Tahoma"/>
      <w:sz w:val="16"/>
      <w:szCs w:val="16"/>
    </w:rPr>
  </w:style>
  <w:style w:type="paragraph" w:styleId="Header">
    <w:name w:val="header"/>
    <w:basedOn w:val="Normal"/>
    <w:link w:val="HeaderChar"/>
    <w:uiPriority w:val="99"/>
    <w:unhideWhenUsed/>
    <w:rsid w:val="005F39B4"/>
    <w:pPr>
      <w:tabs>
        <w:tab w:val="center" w:pos="4680"/>
        <w:tab w:val="right" w:pos="9360"/>
      </w:tabs>
    </w:pPr>
  </w:style>
  <w:style w:type="character" w:customStyle="1" w:styleId="HeaderChar">
    <w:name w:val="Header Char"/>
    <w:basedOn w:val="DefaultParagraphFont"/>
    <w:link w:val="Header"/>
    <w:uiPriority w:val="99"/>
    <w:rsid w:val="005F39B4"/>
  </w:style>
  <w:style w:type="paragraph" w:styleId="Footer">
    <w:name w:val="footer"/>
    <w:basedOn w:val="Normal"/>
    <w:link w:val="FooterChar"/>
    <w:uiPriority w:val="99"/>
    <w:unhideWhenUsed/>
    <w:rsid w:val="005F39B4"/>
    <w:pPr>
      <w:tabs>
        <w:tab w:val="center" w:pos="4680"/>
        <w:tab w:val="right" w:pos="9360"/>
      </w:tabs>
    </w:pPr>
  </w:style>
  <w:style w:type="character" w:customStyle="1" w:styleId="FooterChar">
    <w:name w:val="Footer Char"/>
    <w:basedOn w:val="DefaultParagraphFont"/>
    <w:link w:val="Footer"/>
    <w:uiPriority w:val="99"/>
    <w:rsid w:val="005F39B4"/>
  </w:style>
  <w:style w:type="table" w:customStyle="1" w:styleId="TableGrid1">
    <w:name w:val="Table Grid1"/>
    <w:basedOn w:val="TableNormal"/>
    <w:next w:val="TableGrid"/>
    <w:uiPriority w:val="39"/>
    <w:rsid w:val="00391C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391C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EA45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B5AE4"/>
    <w:rPr>
      <w:color w:val="0000FF" w:themeColor="hyperlink"/>
      <w:u w:val="single"/>
    </w:rPr>
  </w:style>
  <w:style w:type="character" w:styleId="FollowedHyperlink">
    <w:name w:val="FollowedHyperlink"/>
    <w:basedOn w:val="DefaultParagraphFont"/>
    <w:uiPriority w:val="99"/>
    <w:semiHidden/>
    <w:unhideWhenUsed/>
    <w:rsid w:val="006D44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9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E5B9F"/>
    <w:pPr>
      <w:ind w:left="720"/>
      <w:contextualSpacing/>
    </w:pPr>
  </w:style>
  <w:style w:type="character" w:styleId="CommentReference">
    <w:name w:val="annotation reference"/>
    <w:basedOn w:val="DefaultParagraphFont"/>
    <w:uiPriority w:val="99"/>
    <w:semiHidden/>
    <w:unhideWhenUsed/>
    <w:rsid w:val="0057736A"/>
    <w:rPr>
      <w:sz w:val="16"/>
      <w:szCs w:val="16"/>
    </w:rPr>
  </w:style>
  <w:style w:type="paragraph" w:styleId="CommentText">
    <w:name w:val="annotation text"/>
    <w:basedOn w:val="Normal"/>
    <w:link w:val="CommentTextChar"/>
    <w:uiPriority w:val="99"/>
    <w:semiHidden/>
    <w:unhideWhenUsed/>
    <w:rsid w:val="0057736A"/>
    <w:rPr>
      <w:sz w:val="20"/>
      <w:szCs w:val="20"/>
    </w:rPr>
  </w:style>
  <w:style w:type="character" w:customStyle="1" w:styleId="CommentTextChar">
    <w:name w:val="Comment Text Char"/>
    <w:basedOn w:val="DefaultParagraphFont"/>
    <w:link w:val="CommentText"/>
    <w:uiPriority w:val="99"/>
    <w:semiHidden/>
    <w:rsid w:val="0057736A"/>
    <w:rPr>
      <w:sz w:val="20"/>
      <w:szCs w:val="20"/>
    </w:rPr>
  </w:style>
  <w:style w:type="paragraph" w:styleId="CommentSubject">
    <w:name w:val="annotation subject"/>
    <w:basedOn w:val="CommentText"/>
    <w:next w:val="CommentText"/>
    <w:link w:val="CommentSubjectChar"/>
    <w:uiPriority w:val="99"/>
    <w:semiHidden/>
    <w:unhideWhenUsed/>
    <w:rsid w:val="0057736A"/>
    <w:rPr>
      <w:b/>
      <w:bCs/>
    </w:rPr>
  </w:style>
  <w:style w:type="character" w:customStyle="1" w:styleId="CommentSubjectChar">
    <w:name w:val="Comment Subject Char"/>
    <w:basedOn w:val="CommentTextChar"/>
    <w:link w:val="CommentSubject"/>
    <w:uiPriority w:val="99"/>
    <w:semiHidden/>
    <w:rsid w:val="0057736A"/>
    <w:rPr>
      <w:b/>
      <w:bCs/>
      <w:sz w:val="20"/>
      <w:szCs w:val="20"/>
    </w:rPr>
  </w:style>
  <w:style w:type="paragraph" w:styleId="BalloonText">
    <w:name w:val="Balloon Text"/>
    <w:basedOn w:val="Normal"/>
    <w:link w:val="BalloonTextChar"/>
    <w:uiPriority w:val="99"/>
    <w:semiHidden/>
    <w:unhideWhenUsed/>
    <w:rsid w:val="0057736A"/>
    <w:rPr>
      <w:rFonts w:ascii="Tahoma" w:hAnsi="Tahoma" w:cs="Tahoma"/>
      <w:sz w:val="16"/>
      <w:szCs w:val="16"/>
    </w:rPr>
  </w:style>
  <w:style w:type="character" w:customStyle="1" w:styleId="BalloonTextChar">
    <w:name w:val="Balloon Text Char"/>
    <w:basedOn w:val="DefaultParagraphFont"/>
    <w:link w:val="BalloonText"/>
    <w:uiPriority w:val="99"/>
    <w:semiHidden/>
    <w:rsid w:val="0057736A"/>
    <w:rPr>
      <w:rFonts w:ascii="Tahoma" w:hAnsi="Tahoma" w:cs="Tahoma"/>
      <w:sz w:val="16"/>
      <w:szCs w:val="16"/>
    </w:rPr>
  </w:style>
  <w:style w:type="paragraph" w:styleId="Header">
    <w:name w:val="header"/>
    <w:basedOn w:val="Normal"/>
    <w:link w:val="HeaderChar"/>
    <w:uiPriority w:val="99"/>
    <w:unhideWhenUsed/>
    <w:rsid w:val="005F39B4"/>
    <w:pPr>
      <w:tabs>
        <w:tab w:val="center" w:pos="4680"/>
        <w:tab w:val="right" w:pos="9360"/>
      </w:tabs>
    </w:pPr>
  </w:style>
  <w:style w:type="character" w:customStyle="1" w:styleId="HeaderChar">
    <w:name w:val="Header Char"/>
    <w:basedOn w:val="DefaultParagraphFont"/>
    <w:link w:val="Header"/>
    <w:uiPriority w:val="99"/>
    <w:rsid w:val="005F39B4"/>
  </w:style>
  <w:style w:type="paragraph" w:styleId="Footer">
    <w:name w:val="footer"/>
    <w:basedOn w:val="Normal"/>
    <w:link w:val="FooterChar"/>
    <w:uiPriority w:val="99"/>
    <w:unhideWhenUsed/>
    <w:rsid w:val="005F39B4"/>
    <w:pPr>
      <w:tabs>
        <w:tab w:val="center" w:pos="4680"/>
        <w:tab w:val="right" w:pos="9360"/>
      </w:tabs>
    </w:pPr>
  </w:style>
  <w:style w:type="character" w:customStyle="1" w:styleId="FooterChar">
    <w:name w:val="Footer Char"/>
    <w:basedOn w:val="DefaultParagraphFont"/>
    <w:link w:val="Footer"/>
    <w:uiPriority w:val="99"/>
    <w:rsid w:val="005F39B4"/>
  </w:style>
  <w:style w:type="table" w:customStyle="1" w:styleId="TableGrid1">
    <w:name w:val="Table Grid1"/>
    <w:basedOn w:val="TableNormal"/>
    <w:next w:val="TableGrid"/>
    <w:uiPriority w:val="39"/>
    <w:rsid w:val="00391C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391C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EA45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B5AE4"/>
    <w:rPr>
      <w:color w:val="0000FF" w:themeColor="hyperlink"/>
      <w:u w:val="single"/>
    </w:rPr>
  </w:style>
  <w:style w:type="character" w:styleId="FollowedHyperlink">
    <w:name w:val="FollowedHyperlink"/>
    <w:basedOn w:val="DefaultParagraphFont"/>
    <w:uiPriority w:val="99"/>
    <w:semiHidden/>
    <w:unhideWhenUsed/>
    <w:rsid w:val="006D44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23168">
      <w:bodyDiv w:val="1"/>
      <w:marLeft w:val="0"/>
      <w:marRight w:val="0"/>
      <w:marTop w:val="0"/>
      <w:marBottom w:val="0"/>
      <w:divBdr>
        <w:top w:val="none" w:sz="0" w:space="0" w:color="auto"/>
        <w:left w:val="none" w:sz="0" w:space="0" w:color="auto"/>
        <w:bottom w:val="none" w:sz="0" w:space="0" w:color="auto"/>
        <w:right w:val="none" w:sz="0" w:space="0" w:color="auto"/>
      </w:divBdr>
      <w:divsChild>
        <w:div w:id="345179219">
          <w:marLeft w:val="403"/>
          <w:marRight w:val="0"/>
          <w:marTop w:val="86"/>
          <w:marBottom w:val="0"/>
          <w:divBdr>
            <w:top w:val="none" w:sz="0" w:space="0" w:color="auto"/>
            <w:left w:val="none" w:sz="0" w:space="0" w:color="auto"/>
            <w:bottom w:val="none" w:sz="0" w:space="0" w:color="auto"/>
            <w:right w:val="none" w:sz="0" w:space="0" w:color="auto"/>
          </w:divBdr>
        </w:div>
        <w:div w:id="546186923">
          <w:marLeft w:val="403"/>
          <w:marRight w:val="0"/>
          <w:marTop w:val="86"/>
          <w:marBottom w:val="0"/>
          <w:divBdr>
            <w:top w:val="none" w:sz="0" w:space="0" w:color="auto"/>
            <w:left w:val="none" w:sz="0" w:space="0" w:color="auto"/>
            <w:bottom w:val="none" w:sz="0" w:space="0" w:color="auto"/>
            <w:right w:val="none" w:sz="0" w:space="0" w:color="auto"/>
          </w:divBdr>
        </w:div>
        <w:div w:id="1357542433">
          <w:marLeft w:val="403"/>
          <w:marRight w:val="0"/>
          <w:marTop w:val="86"/>
          <w:marBottom w:val="0"/>
          <w:divBdr>
            <w:top w:val="none" w:sz="0" w:space="0" w:color="auto"/>
            <w:left w:val="none" w:sz="0" w:space="0" w:color="auto"/>
            <w:bottom w:val="none" w:sz="0" w:space="0" w:color="auto"/>
            <w:right w:val="none" w:sz="0" w:space="0" w:color="auto"/>
          </w:divBdr>
        </w:div>
        <w:div w:id="1199782874">
          <w:marLeft w:val="878"/>
          <w:marRight w:val="0"/>
          <w:marTop w:val="77"/>
          <w:marBottom w:val="0"/>
          <w:divBdr>
            <w:top w:val="none" w:sz="0" w:space="0" w:color="auto"/>
            <w:left w:val="none" w:sz="0" w:space="0" w:color="auto"/>
            <w:bottom w:val="none" w:sz="0" w:space="0" w:color="auto"/>
            <w:right w:val="none" w:sz="0" w:space="0" w:color="auto"/>
          </w:divBdr>
        </w:div>
        <w:div w:id="1425224814">
          <w:marLeft w:val="1440"/>
          <w:marRight w:val="0"/>
          <w:marTop w:val="0"/>
          <w:marBottom w:val="0"/>
          <w:divBdr>
            <w:top w:val="none" w:sz="0" w:space="0" w:color="auto"/>
            <w:left w:val="none" w:sz="0" w:space="0" w:color="auto"/>
            <w:bottom w:val="none" w:sz="0" w:space="0" w:color="auto"/>
            <w:right w:val="none" w:sz="0" w:space="0" w:color="auto"/>
          </w:divBdr>
        </w:div>
        <w:div w:id="64300086">
          <w:marLeft w:val="1440"/>
          <w:marRight w:val="0"/>
          <w:marTop w:val="0"/>
          <w:marBottom w:val="0"/>
          <w:divBdr>
            <w:top w:val="none" w:sz="0" w:space="0" w:color="auto"/>
            <w:left w:val="none" w:sz="0" w:space="0" w:color="auto"/>
            <w:bottom w:val="none" w:sz="0" w:space="0" w:color="auto"/>
            <w:right w:val="none" w:sz="0" w:space="0" w:color="auto"/>
          </w:divBdr>
        </w:div>
        <w:div w:id="1582567037">
          <w:marLeft w:val="403"/>
          <w:marRight w:val="0"/>
          <w:marTop w:val="86"/>
          <w:marBottom w:val="0"/>
          <w:divBdr>
            <w:top w:val="none" w:sz="0" w:space="0" w:color="auto"/>
            <w:left w:val="none" w:sz="0" w:space="0" w:color="auto"/>
            <w:bottom w:val="none" w:sz="0" w:space="0" w:color="auto"/>
            <w:right w:val="none" w:sz="0" w:space="0" w:color="auto"/>
          </w:divBdr>
        </w:div>
        <w:div w:id="1771924161">
          <w:marLeft w:val="878"/>
          <w:marRight w:val="0"/>
          <w:marTop w:val="77"/>
          <w:marBottom w:val="0"/>
          <w:divBdr>
            <w:top w:val="none" w:sz="0" w:space="0" w:color="auto"/>
            <w:left w:val="none" w:sz="0" w:space="0" w:color="auto"/>
            <w:bottom w:val="none" w:sz="0" w:space="0" w:color="auto"/>
            <w:right w:val="none" w:sz="0" w:space="0" w:color="auto"/>
          </w:divBdr>
        </w:div>
        <w:div w:id="494301899">
          <w:marLeft w:val="403"/>
          <w:marRight w:val="0"/>
          <w:marTop w:val="91"/>
          <w:marBottom w:val="0"/>
          <w:divBdr>
            <w:top w:val="none" w:sz="0" w:space="0" w:color="auto"/>
            <w:left w:val="none" w:sz="0" w:space="0" w:color="auto"/>
            <w:bottom w:val="none" w:sz="0" w:space="0" w:color="auto"/>
            <w:right w:val="none" w:sz="0" w:space="0" w:color="auto"/>
          </w:divBdr>
        </w:div>
      </w:divsChild>
    </w:div>
    <w:div w:id="379406209">
      <w:bodyDiv w:val="1"/>
      <w:marLeft w:val="0"/>
      <w:marRight w:val="0"/>
      <w:marTop w:val="0"/>
      <w:marBottom w:val="0"/>
      <w:divBdr>
        <w:top w:val="none" w:sz="0" w:space="0" w:color="auto"/>
        <w:left w:val="none" w:sz="0" w:space="0" w:color="auto"/>
        <w:bottom w:val="none" w:sz="0" w:space="0" w:color="auto"/>
        <w:right w:val="none" w:sz="0" w:space="0" w:color="auto"/>
      </w:divBdr>
    </w:div>
    <w:div w:id="673845814">
      <w:bodyDiv w:val="1"/>
      <w:marLeft w:val="0"/>
      <w:marRight w:val="0"/>
      <w:marTop w:val="0"/>
      <w:marBottom w:val="0"/>
      <w:divBdr>
        <w:top w:val="none" w:sz="0" w:space="0" w:color="auto"/>
        <w:left w:val="none" w:sz="0" w:space="0" w:color="auto"/>
        <w:bottom w:val="none" w:sz="0" w:space="0" w:color="auto"/>
        <w:right w:val="none" w:sz="0" w:space="0" w:color="auto"/>
      </w:divBdr>
    </w:div>
    <w:div w:id="934825258">
      <w:bodyDiv w:val="1"/>
      <w:marLeft w:val="0"/>
      <w:marRight w:val="0"/>
      <w:marTop w:val="0"/>
      <w:marBottom w:val="0"/>
      <w:divBdr>
        <w:top w:val="none" w:sz="0" w:space="0" w:color="auto"/>
        <w:left w:val="none" w:sz="0" w:space="0" w:color="auto"/>
        <w:bottom w:val="none" w:sz="0" w:space="0" w:color="auto"/>
        <w:right w:val="none" w:sz="0" w:space="0" w:color="auto"/>
      </w:divBdr>
    </w:div>
    <w:div w:id="1135757775">
      <w:bodyDiv w:val="1"/>
      <w:marLeft w:val="0"/>
      <w:marRight w:val="0"/>
      <w:marTop w:val="0"/>
      <w:marBottom w:val="0"/>
      <w:divBdr>
        <w:top w:val="none" w:sz="0" w:space="0" w:color="auto"/>
        <w:left w:val="none" w:sz="0" w:space="0" w:color="auto"/>
        <w:bottom w:val="none" w:sz="0" w:space="0" w:color="auto"/>
        <w:right w:val="none" w:sz="0" w:space="0" w:color="auto"/>
      </w:divBdr>
    </w:div>
    <w:div w:id="1581794117">
      <w:bodyDiv w:val="1"/>
      <w:marLeft w:val="0"/>
      <w:marRight w:val="0"/>
      <w:marTop w:val="0"/>
      <w:marBottom w:val="0"/>
      <w:divBdr>
        <w:top w:val="none" w:sz="0" w:space="0" w:color="auto"/>
        <w:left w:val="none" w:sz="0" w:space="0" w:color="auto"/>
        <w:bottom w:val="none" w:sz="0" w:space="0" w:color="auto"/>
        <w:right w:val="none" w:sz="0" w:space="0" w:color="auto"/>
      </w:divBdr>
      <w:divsChild>
        <w:div w:id="1523007770">
          <w:marLeft w:val="403"/>
          <w:marRight w:val="0"/>
          <w:marTop w:val="72"/>
          <w:marBottom w:val="0"/>
          <w:divBdr>
            <w:top w:val="none" w:sz="0" w:space="0" w:color="auto"/>
            <w:left w:val="none" w:sz="0" w:space="0" w:color="auto"/>
            <w:bottom w:val="none" w:sz="0" w:space="0" w:color="auto"/>
            <w:right w:val="none" w:sz="0" w:space="0" w:color="auto"/>
          </w:divBdr>
        </w:div>
        <w:div w:id="2005158459">
          <w:marLeft w:val="878"/>
          <w:marRight w:val="0"/>
          <w:marTop w:val="72"/>
          <w:marBottom w:val="0"/>
          <w:divBdr>
            <w:top w:val="none" w:sz="0" w:space="0" w:color="auto"/>
            <w:left w:val="none" w:sz="0" w:space="0" w:color="auto"/>
            <w:bottom w:val="none" w:sz="0" w:space="0" w:color="auto"/>
            <w:right w:val="none" w:sz="0" w:space="0" w:color="auto"/>
          </w:divBdr>
        </w:div>
        <w:div w:id="1668051665">
          <w:marLeft w:val="878"/>
          <w:marRight w:val="0"/>
          <w:marTop w:val="72"/>
          <w:marBottom w:val="0"/>
          <w:divBdr>
            <w:top w:val="none" w:sz="0" w:space="0" w:color="auto"/>
            <w:left w:val="none" w:sz="0" w:space="0" w:color="auto"/>
            <w:bottom w:val="none" w:sz="0" w:space="0" w:color="auto"/>
            <w:right w:val="none" w:sz="0" w:space="0" w:color="auto"/>
          </w:divBdr>
        </w:div>
        <w:div w:id="1195460866">
          <w:marLeft w:val="403"/>
          <w:marRight w:val="0"/>
          <w:marTop w:val="72"/>
          <w:marBottom w:val="0"/>
          <w:divBdr>
            <w:top w:val="none" w:sz="0" w:space="0" w:color="auto"/>
            <w:left w:val="none" w:sz="0" w:space="0" w:color="auto"/>
            <w:bottom w:val="none" w:sz="0" w:space="0" w:color="auto"/>
            <w:right w:val="none" w:sz="0" w:space="0" w:color="auto"/>
          </w:divBdr>
        </w:div>
        <w:div w:id="806820826">
          <w:marLeft w:val="403"/>
          <w:marRight w:val="0"/>
          <w:marTop w:val="72"/>
          <w:marBottom w:val="0"/>
          <w:divBdr>
            <w:top w:val="none" w:sz="0" w:space="0" w:color="auto"/>
            <w:left w:val="none" w:sz="0" w:space="0" w:color="auto"/>
            <w:bottom w:val="none" w:sz="0" w:space="0" w:color="auto"/>
            <w:right w:val="none" w:sz="0" w:space="0" w:color="auto"/>
          </w:divBdr>
        </w:div>
        <w:div w:id="765541202">
          <w:marLeft w:val="403"/>
          <w:marRight w:val="0"/>
          <w:marTop w:val="72"/>
          <w:marBottom w:val="0"/>
          <w:divBdr>
            <w:top w:val="none" w:sz="0" w:space="0" w:color="auto"/>
            <w:left w:val="none" w:sz="0" w:space="0" w:color="auto"/>
            <w:bottom w:val="none" w:sz="0" w:space="0" w:color="auto"/>
            <w:right w:val="none" w:sz="0" w:space="0" w:color="auto"/>
          </w:divBdr>
        </w:div>
      </w:divsChild>
    </w:div>
    <w:div w:id="1718355114">
      <w:bodyDiv w:val="1"/>
      <w:marLeft w:val="0"/>
      <w:marRight w:val="0"/>
      <w:marTop w:val="0"/>
      <w:marBottom w:val="0"/>
      <w:divBdr>
        <w:top w:val="none" w:sz="0" w:space="0" w:color="auto"/>
        <w:left w:val="none" w:sz="0" w:space="0" w:color="auto"/>
        <w:bottom w:val="none" w:sz="0" w:space="0" w:color="auto"/>
        <w:right w:val="none" w:sz="0" w:space="0" w:color="auto"/>
      </w:divBdr>
      <w:divsChild>
        <w:div w:id="2110000085">
          <w:marLeft w:val="720"/>
          <w:marRight w:val="0"/>
          <w:marTop w:val="0"/>
          <w:marBottom w:val="0"/>
          <w:divBdr>
            <w:top w:val="none" w:sz="0" w:space="0" w:color="auto"/>
            <w:left w:val="none" w:sz="0" w:space="0" w:color="auto"/>
            <w:bottom w:val="none" w:sz="0" w:space="0" w:color="auto"/>
            <w:right w:val="none" w:sz="0" w:space="0" w:color="auto"/>
          </w:divBdr>
        </w:div>
        <w:div w:id="2147233569">
          <w:marLeft w:val="720"/>
          <w:marRight w:val="0"/>
          <w:marTop w:val="0"/>
          <w:marBottom w:val="0"/>
          <w:divBdr>
            <w:top w:val="none" w:sz="0" w:space="0" w:color="auto"/>
            <w:left w:val="none" w:sz="0" w:space="0" w:color="auto"/>
            <w:bottom w:val="none" w:sz="0" w:space="0" w:color="auto"/>
            <w:right w:val="none" w:sz="0" w:space="0" w:color="auto"/>
          </w:divBdr>
        </w:div>
        <w:div w:id="1909803419">
          <w:marLeft w:val="720"/>
          <w:marRight w:val="0"/>
          <w:marTop w:val="0"/>
          <w:marBottom w:val="0"/>
          <w:divBdr>
            <w:top w:val="none" w:sz="0" w:space="0" w:color="auto"/>
            <w:left w:val="none" w:sz="0" w:space="0" w:color="auto"/>
            <w:bottom w:val="none" w:sz="0" w:space="0" w:color="auto"/>
            <w:right w:val="none" w:sz="0" w:space="0" w:color="auto"/>
          </w:divBdr>
        </w:div>
        <w:div w:id="1090347039">
          <w:marLeft w:val="1440"/>
          <w:marRight w:val="0"/>
          <w:marTop w:val="0"/>
          <w:marBottom w:val="0"/>
          <w:divBdr>
            <w:top w:val="none" w:sz="0" w:space="0" w:color="auto"/>
            <w:left w:val="none" w:sz="0" w:space="0" w:color="auto"/>
            <w:bottom w:val="none" w:sz="0" w:space="0" w:color="auto"/>
            <w:right w:val="none" w:sz="0" w:space="0" w:color="auto"/>
          </w:divBdr>
        </w:div>
        <w:div w:id="1108356637">
          <w:marLeft w:val="720"/>
          <w:marRight w:val="0"/>
          <w:marTop w:val="0"/>
          <w:marBottom w:val="0"/>
          <w:divBdr>
            <w:top w:val="none" w:sz="0" w:space="0" w:color="auto"/>
            <w:left w:val="none" w:sz="0" w:space="0" w:color="auto"/>
            <w:bottom w:val="none" w:sz="0" w:space="0" w:color="auto"/>
            <w:right w:val="none" w:sz="0" w:space="0" w:color="auto"/>
          </w:divBdr>
        </w:div>
        <w:div w:id="1279218433">
          <w:marLeft w:val="720"/>
          <w:marRight w:val="0"/>
          <w:marTop w:val="0"/>
          <w:marBottom w:val="0"/>
          <w:divBdr>
            <w:top w:val="none" w:sz="0" w:space="0" w:color="auto"/>
            <w:left w:val="none" w:sz="0" w:space="0" w:color="auto"/>
            <w:bottom w:val="none" w:sz="0" w:space="0" w:color="auto"/>
            <w:right w:val="none" w:sz="0" w:space="0" w:color="auto"/>
          </w:divBdr>
        </w:div>
        <w:div w:id="2039230456">
          <w:marLeft w:val="720"/>
          <w:marRight w:val="0"/>
          <w:marTop w:val="0"/>
          <w:marBottom w:val="0"/>
          <w:divBdr>
            <w:top w:val="none" w:sz="0" w:space="0" w:color="auto"/>
            <w:left w:val="none" w:sz="0" w:space="0" w:color="auto"/>
            <w:bottom w:val="none" w:sz="0" w:space="0" w:color="auto"/>
            <w:right w:val="none" w:sz="0" w:space="0" w:color="auto"/>
          </w:divBdr>
        </w:div>
        <w:div w:id="315652527">
          <w:marLeft w:val="1440"/>
          <w:marRight w:val="0"/>
          <w:marTop w:val="0"/>
          <w:marBottom w:val="0"/>
          <w:divBdr>
            <w:top w:val="none" w:sz="0" w:space="0" w:color="auto"/>
            <w:left w:val="none" w:sz="0" w:space="0" w:color="auto"/>
            <w:bottom w:val="none" w:sz="0" w:space="0" w:color="auto"/>
            <w:right w:val="none" w:sz="0" w:space="0" w:color="auto"/>
          </w:divBdr>
        </w:div>
        <w:div w:id="812601742">
          <w:marLeft w:val="1440"/>
          <w:marRight w:val="0"/>
          <w:marTop w:val="0"/>
          <w:marBottom w:val="0"/>
          <w:divBdr>
            <w:top w:val="none" w:sz="0" w:space="0" w:color="auto"/>
            <w:left w:val="none" w:sz="0" w:space="0" w:color="auto"/>
            <w:bottom w:val="none" w:sz="0" w:space="0" w:color="auto"/>
            <w:right w:val="none" w:sz="0" w:space="0" w:color="auto"/>
          </w:divBdr>
        </w:div>
        <w:div w:id="1204709596">
          <w:marLeft w:val="720"/>
          <w:marRight w:val="0"/>
          <w:marTop w:val="0"/>
          <w:marBottom w:val="0"/>
          <w:divBdr>
            <w:top w:val="none" w:sz="0" w:space="0" w:color="auto"/>
            <w:left w:val="none" w:sz="0" w:space="0" w:color="auto"/>
            <w:bottom w:val="none" w:sz="0" w:space="0" w:color="auto"/>
            <w:right w:val="none" w:sz="0" w:space="0" w:color="auto"/>
          </w:divBdr>
        </w:div>
      </w:divsChild>
    </w:div>
    <w:div w:id="1950116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C9325-B460-488D-B92B-6EE76301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cp:lastPrinted>2019-03-13T19:24:00Z</cp:lastPrinted>
  <dcterms:created xsi:type="dcterms:W3CDTF">2019-11-18T15:10:00Z</dcterms:created>
  <dcterms:modified xsi:type="dcterms:W3CDTF">2019-11-18T15:10:00Z</dcterms:modified>
</cp:coreProperties>
</file>