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7BC" w:rsidP="00B82B14" w:rsidRDefault="00E707BC" w14:paraId="4639EADB" w14:textId="77777777">
      <w:pPr>
        <w:pStyle w:val="OMBStatement"/>
        <w:spacing w:after="0"/>
      </w:pPr>
      <w:r>
        <w:t>Appendix II</w:t>
      </w:r>
    </w:p>
    <w:p w:rsidRPr="00465C89" w:rsidR="00E967C1" w:rsidP="00B82B14" w:rsidRDefault="00E967C1" w14:paraId="53BC2FC6" w14:textId="52365805">
      <w:pPr>
        <w:pStyle w:val="OMBStatement"/>
        <w:spacing w:after="0"/>
      </w:pPr>
      <w:r w:rsidRPr="00465C89">
        <w:t>OMB No: 0910-0497</w:t>
      </w:r>
      <w:r w:rsidRPr="00465C89">
        <w:tab/>
      </w:r>
      <w:r w:rsidRPr="00465C89">
        <w:tab/>
      </w:r>
      <w:r w:rsidRPr="00465C89">
        <w:tab/>
      </w:r>
      <w:r w:rsidRPr="00465C89">
        <w:tab/>
      </w:r>
      <w:r w:rsidRPr="00465C89">
        <w:tab/>
        <w:t xml:space="preserve"> </w:t>
      </w:r>
      <w:r w:rsidRPr="00465C89">
        <w:tab/>
        <w:t xml:space="preserve">                       Expiration Date: 10/31/2020</w:t>
      </w:r>
    </w:p>
    <w:p w:rsidR="00FC2F62" w:rsidP="00465C89" w:rsidRDefault="00FC2F62" w14:paraId="78D3FE94" w14:textId="77777777">
      <w:pPr>
        <w:pStyle w:val="OMBStatement"/>
      </w:pPr>
    </w:p>
    <w:p w:rsidRPr="00465C89" w:rsidR="00E967C1" w:rsidP="00465C89" w:rsidRDefault="00E967C1" w14:paraId="0A2FF3D3" w14:textId="06CCC5FC">
      <w:pPr>
        <w:pStyle w:val="OMBStatement"/>
      </w:pPr>
      <w:r w:rsidRPr="00465C89">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Pr="00465C89" w:rsidR="00E967C1" w:rsidP="00465C89" w:rsidRDefault="00E967C1" w14:paraId="42A64A2D" w14:textId="5A4C1ECD">
      <w:pPr>
        <w:pStyle w:val="OMBStatement"/>
      </w:pPr>
      <w:r w:rsidRPr="00465C89">
        <w:t xml:space="preserve">Send comments regarding this burden estimate or any other aspects of this collection of information, including suggestions for reducing burden to </w:t>
      </w:r>
      <w:hyperlink w:history="1" r:id="rId8">
        <w:r w:rsidRPr="00465C89">
          <w:rPr>
            <w:rStyle w:val="Hyperlink"/>
            <w:rFonts w:cstheme="minorHAnsi"/>
            <w:color w:val="000000" w:themeColor="text1"/>
            <w:u w:val="none"/>
          </w:rPr>
          <w:t>PRAStaff@fda.hhs.gov</w:t>
        </w:r>
      </w:hyperlink>
      <w:r w:rsidRPr="00465C89">
        <w:t>.</w:t>
      </w:r>
    </w:p>
    <w:p w:rsidRPr="00194CE4" w:rsidR="00E967C1" w:rsidP="00194CE4" w:rsidRDefault="00E967C1" w14:paraId="22F1A6C0" w14:textId="2C3843C8">
      <w:pPr>
        <w:pStyle w:val="Title"/>
      </w:pPr>
      <w:r w:rsidRPr="00194CE4">
        <w:t xml:space="preserve">Focus Groups with English- and Spanish-Speaking </w:t>
      </w:r>
      <w:r w:rsidR="00194CE4">
        <w:br/>
      </w:r>
      <w:r w:rsidRPr="00194CE4">
        <w:t xml:space="preserve">Hispanic Low-Income Parents on Childhood Obesity </w:t>
      </w:r>
      <w:r w:rsidR="00194CE4">
        <w:br/>
      </w:r>
      <w:r w:rsidRPr="00194CE4">
        <w:t>Appendix II: Moderator’s Guide</w:t>
      </w:r>
    </w:p>
    <w:p w:rsidR="00194CE4" w:rsidP="00194CE4" w:rsidRDefault="00194CE4" w14:paraId="7701F3EF" w14:textId="77777777"/>
    <w:p w:rsidRPr="005503C3" w:rsidR="00194CE4" w:rsidP="00194CE4" w:rsidRDefault="00194CE4" w14:paraId="20F8145B" w14:textId="77777777">
      <w:r w:rsidRPr="005503C3">
        <w:t>The target audience for these focus groups is low-income U.S. adult (18+) consumers who are parents/caregivers to children (3 to 6 yrs.).</w:t>
      </w:r>
    </w:p>
    <w:p w:rsidRPr="00432137" w:rsidR="00194CE4" w:rsidP="00836AD9" w:rsidRDefault="00194CE4" w14:paraId="6831BCB3" w14:textId="77777777">
      <w:pPr>
        <w:pStyle w:val="Heading1"/>
        <w:rPr>
          <w:highlight w:val="yellow"/>
        </w:rPr>
      </w:pPr>
      <w:r w:rsidRPr="00432137">
        <w:t>Recruiting Goals</w:t>
      </w:r>
    </w:p>
    <w:p w:rsidRPr="005503C3" w:rsidR="00194CE4" w:rsidP="00836AD9" w:rsidRDefault="00194CE4" w14:paraId="57211078" w14:textId="77777777">
      <w:pPr>
        <w:pStyle w:val="Bullets"/>
        <w:numPr>
          <w:ilvl w:val="0"/>
          <w:numId w:val="20"/>
        </w:numPr>
      </w:pPr>
      <w:r w:rsidRPr="005503C3">
        <w:t xml:space="preserve">Twelve (12) focus groups will be conducted, and segmented as follows: </w:t>
      </w:r>
    </w:p>
    <w:p w:rsidRPr="005503C3" w:rsidR="00194CE4" w:rsidP="00194CE4" w:rsidRDefault="00194CE4" w14:paraId="2A81A596" w14:textId="77777777">
      <w:pPr>
        <w:ind w:left="720"/>
      </w:pPr>
    </w:p>
    <w:tbl>
      <w:tblPr>
        <w:tblStyle w:val="GridTable2-Accent1"/>
        <w:tblW w:w="9342" w:type="dxa"/>
        <w:tblInd w:w="612" w:type="dxa"/>
        <w:tblLayout w:type="fixed"/>
        <w:tblLook w:val="0620" w:firstRow="1" w:lastRow="0" w:firstColumn="0" w:lastColumn="0" w:noHBand="1" w:noVBand="1"/>
      </w:tblPr>
      <w:tblGrid>
        <w:gridCol w:w="1260"/>
        <w:gridCol w:w="4050"/>
        <w:gridCol w:w="4032"/>
      </w:tblGrid>
      <w:tr w:rsidRPr="005503C3" w:rsidR="00194CE4" w:rsidTr="00183B1E" w14:paraId="585DB60E" w14:textId="77777777">
        <w:trPr>
          <w:cnfStyle w:val="100000000000" w:firstRow="1" w:lastRow="0" w:firstColumn="0" w:lastColumn="0" w:oddVBand="0" w:evenVBand="0" w:oddHBand="0" w:evenHBand="0" w:firstRowFirstColumn="0" w:firstRowLastColumn="0" w:lastRowFirstColumn="0" w:lastRowLastColumn="0"/>
        </w:trPr>
        <w:tc>
          <w:tcPr>
            <w:tcW w:w="1260" w:type="dxa"/>
          </w:tcPr>
          <w:p w:rsidRPr="005503C3" w:rsidR="00194CE4" w:rsidP="00183B1E" w:rsidRDefault="00194CE4" w14:paraId="4ABA24BD" w14:textId="77777777">
            <w:pPr>
              <w:jc w:val="center"/>
              <w:rPr>
                <w:b w:val="0"/>
              </w:rPr>
            </w:pPr>
            <w:r>
              <w:t xml:space="preserve">Group </w:t>
            </w:r>
          </w:p>
        </w:tc>
        <w:tc>
          <w:tcPr>
            <w:tcW w:w="4050" w:type="dxa"/>
          </w:tcPr>
          <w:p w:rsidRPr="005503C3" w:rsidR="00194CE4" w:rsidP="00183B1E" w:rsidRDefault="00194CE4" w14:paraId="622037CE" w14:textId="77777777">
            <w:pPr>
              <w:jc w:val="center"/>
              <w:rPr>
                <w:b w:val="0"/>
              </w:rPr>
            </w:pPr>
            <w:r w:rsidRPr="005503C3">
              <w:t>Access and Facility Type</w:t>
            </w:r>
          </w:p>
        </w:tc>
        <w:tc>
          <w:tcPr>
            <w:tcW w:w="4032" w:type="dxa"/>
          </w:tcPr>
          <w:p w:rsidRPr="005503C3" w:rsidR="00194CE4" w:rsidP="00183B1E" w:rsidRDefault="00194CE4" w14:paraId="0909CF2D" w14:textId="77777777">
            <w:pPr>
              <w:jc w:val="center"/>
              <w:rPr>
                <w:b w:val="0"/>
              </w:rPr>
            </w:pPr>
            <w:r w:rsidRPr="005503C3">
              <w:t>Race/Ethnicity/Language</w:t>
            </w:r>
          </w:p>
        </w:tc>
      </w:tr>
      <w:tr w:rsidRPr="005503C3" w:rsidR="00194CE4" w:rsidTr="00183B1E" w14:paraId="327A42D4" w14:textId="77777777">
        <w:tc>
          <w:tcPr>
            <w:tcW w:w="1260" w:type="dxa"/>
          </w:tcPr>
          <w:p w:rsidRPr="005503C3" w:rsidR="00194CE4" w:rsidP="00183B1E" w:rsidRDefault="00194CE4" w14:paraId="1E1E2695" w14:textId="77777777">
            <w:pPr>
              <w:rPr>
                <w:b/>
              </w:rPr>
            </w:pPr>
            <w:r w:rsidRPr="005503C3">
              <w:rPr>
                <w:b/>
              </w:rPr>
              <w:t>Mock*</w:t>
            </w:r>
          </w:p>
        </w:tc>
        <w:tc>
          <w:tcPr>
            <w:tcW w:w="4050" w:type="dxa"/>
          </w:tcPr>
          <w:p w:rsidRPr="005503C3" w:rsidR="00194CE4" w:rsidP="00183B1E" w:rsidRDefault="00194CE4" w14:paraId="05BAE066" w14:textId="77777777">
            <w:r w:rsidRPr="005503C3">
              <w:t>TBD</w:t>
            </w:r>
          </w:p>
        </w:tc>
        <w:tc>
          <w:tcPr>
            <w:tcW w:w="4032" w:type="dxa"/>
          </w:tcPr>
          <w:p w:rsidRPr="005503C3" w:rsidR="00194CE4" w:rsidP="00183B1E" w:rsidRDefault="00194CE4" w14:paraId="6D3F5A5B" w14:textId="77777777">
            <w:r w:rsidRPr="005503C3">
              <w:t>TBD</w:t>
            </w:r>
          </w:p>
        </w:tc>
      </w:tr>
      <w:tr w:rsidRPr="005503C3" w:rsidR="00194CE4" w:rsidTr="00183B1E" w14:paraId="451F3AD4" w14:textId="77777777">
        <w:tc>
          <w:tcPr>
            <w:tcW w:w="1260" w:type="dxa"/>
          </w:tcPr>
          <w:p w:rsidRPr="00E37D4A" w:rsidR="00194CE4" w:rsidP="00183B1E" w:rsidRDefault="00194CE4" w14:paraId="17629CE7" w14:textId="77777777">
            <w:pPr>
              <w:rPr>
                <w:b/>
                <w:sz w:val="22"/>
              </w:rPr>
            </w:pPr>
            <w:r w:rsidRPr="00E37D4A">
              <w:rPr>
                <w:b/>
                <w:sz w:val="22"/>
              </w:rPr>
              <w:t>Group 1</w:t>
            </w:r>
          </w:p>
        </w:tc>
        <w:tc>
          <w:tcPr>
            <w:tcW w:w="4050" w:type="dxa"/>
          </w:tcPr>
          <w:p w:rsidRPr="00E37D4A" w:rsidR="00194CE4" w:rsidP="00183B1E" w:rsidRDefault="00194CE4" w14:paraId="3D2A143F" w14:textId="77777777">
            <w:pPr>
              <w:rPr>
                <w:sz w:val="22"/>
              </w:rPr>
            </w:pPr>
            <w:r w:rsidRPr="00E37D4A">
              <w:rPr>
                <w:sz w:val="22"/>
              </w:rPr>
              <w:t>High Access; Conventional Facility</w:t>
            </w:r>
          </w:p>
        </w:tc>
        <w:tc>
          <w:tcPr>
            <w:tcW w:w="4032" w:type="dxa"/>
          </w:tcPr>
          <w:p w:rsidRPr="00E37D4A" w:rsidR="00194CE4" w:rsidP="00183B1E" w:rsidRDefault="00194CE4" w14:paraId="125795EC" w14:textId="77777777">
            <w:pPr>
              <w:rPr>
                <w:sz w:val="22"/>
              </w:rPr>
            </w:pPr>
            <w:r w:rsidRPr="00E37D4A">
              <w:rPr>
                <w:sz w:val="22"/>
              </w:rPr>
              <w:t>English-Speaking Hispanics</w:t>
            </w:r>
          </w:p>
        </w:tc>
      </w:tr>
      <w:tr w:rsidRPr="005503C3" w:rsidR="00194CE4" w:rsidTr="00183B1E" w14:paraId="0800C639" w14:textId="77777777">
        <w:tc>
          <w:tcPr>
            <w:tcW w:w="1260" w:type="dxa"/>
          </w:tcPr>
          <w:p w:rsidRPr="00E37D4A" w:rsidR="00194CE4" w:rsidP="00183B1E" w:rsidRDefault="00194CE4" w14:paraId="5A20A46A" w14:textId="77777777">
            <w:pPr>
              <w:rPr>
                <w:b/>
                <w:sz w:val="22"/>
              </w:rPr>
            </w:pPr>
            <w:r w:rsidRPr="00E37D4A">
              <w:rPr>
                <w:b/>
                <w:sz w:val="22"/>
              </w:rPr>
              <w:t>Group 2</w:t>
            </w:r>
          </w:p>
        </w:tc>
        <w:tc>
          <w:tcPr>
            <w:tcW w:w="4050" w:type="dxa"/>
          </w:tcPr>
          <w:p w:rsidRPr="00E37D4A" w:rsidR="00194CE4" w:rsidP="00183B1E" w:rsidRDefault="00194CE4" w14:paraId="315068B3" w14:textId="77777777">
            <w:pPr>
              <w:rPr>
                <w:sz w:val="22"/>
              </w:rPr>
            </w:pPr>
            <w:r w:rsidRPr="00E37D4A">
              <w:rPr>
                <w:sz w:val="22"/>
              </w:rPr>
              <w:t>High Access; Conventional Facility</w:t>
            </w:r>
          </w:p>
        </w:tc>
        <w:tc>
          <w:tcPr>
            <w:tcW w:w="4032" w:type="dxa"/>
          </w:tcPr>
          <w:p w:rsidRPr="00E37D4A" w:rsidR="00194CE4" w:rsidP="00183B1E" w:rsidRDefault="00194CE4" w14:paraId="74CD6DF8" w14:textId="77777777">
            <w:pPr>
              <w:rPr>
                <w:sz w:val="22"/>
              </w:rPr>
            </w:pPr>
            <w:r w:rsidRPr="00E37D4A">
              <w:rPr>
                <w:sz w:val="22"/>
              </w:rPr>
              <w:t>English-Speaking Hispanics</w:t>
            </w:r>
          </w:p>
        </w:tc>
      </w:tr>
      <w:tr w:rsidRPr="005503C3" w:rsidR="00194CE4" w:rsidTr="00183B1E" w14:paraId="3020C38B" w14:textId="77777777">
        <w:tc>
          <w:tcPr>
            <w:tcW w:w="1260" w:type="dxa"/>
          </w:tcPr>
          <w:p w:rsidRPr="00E37D4A" w:rsidR="00194CE4" w:rsidP="00183B1E" w:rsidRDefault="00194CE4" w14:paraId="20C12764" w14:textId="77777777">
            <w:pPr>
              <w:rPr>
                <w:b/>
                <w:sz w:val="22"/>
              </w:rPr>
            </w:pPr>
            <w:r w:rsidRPr="00E37D4A">
              <w:rPr>
                <w:b/>
                <w:sz w:val="22"/>
              </w:rPr>
              <w:t>Group 3</w:t>
            </w:r>
          </w:p>
        </w:tc>
        <w:tc>
          <w:tcPr>
            <w:tcW w:w="4050" w:type="dxa"/>
          </w:tcPr>
          <w:p w:rsidRPr="00E37D4A" w:rsidR="00194CE4" w:rsidP="00183B1E" w:rsidRDefault="00194CE4" w14:paraId="2D10E106" w14:textId="77777777">
            <w:pPr>
              <w:rPr>
                <w:sz w:val="22"/>
              </w:rPr>
            </w:pPr>
            <w:r w:rsidRPr="00E37D4A">
              <w:rPr>
                <w:sz w:val="22"/>
              </w:rPr>
              <w:t>High Access; Conventional Facility</w:t>
            </w:r>
          </w:p>
        </w:tc>
        <w:tc>
          <w:tcPr>
            <w:tcW w:w="4032" w:type="dxa"/>
          </w:tcPr>
          <w:p w:rsidRPr="00E37D4A" w:rsidR="00194CE4" w:rsidP="00183B1E" w:rsidRDefault="00194CE4" w14:paraId="7B9577C5" w14:textId="77777777">
            <w:pPr>
              <w:rPr>
                <w:sz w:val="22"/>
              </w:rPr>
            </w:pPr>
            <w:r w:rsidRPr="00E37D4A">
              <w:rPr>
                <w:sz w:val="22"/>
              </w:rPr>
              <w:t>Spanish-Speaking Hispanics</w:t>
            </w:r>
          </w:p>
        </w:tc>
      </w:tr>
      <w:tr w:rsidRPr="005503C3" w:rsidR="00194CE4" w:rsidTr="00183B1E" w14:paraId="0105D2EE" w14:textId="77777777">
        <w:tc>
          <w:tcPr>
            <w:tcW w:w="1260" w:type="dxa"/>
          </w:tcPr>
          <w:p w:rsidRPr="00E37D4A" w:rsidR="00194CE4" w:rsidP="00183B1E" w:rsidRDefault="00194CE4" w14:paraId="73FA7273" w14:textId="77777777">
            <w:pPr>
              <w:rPr>
                <w:b/>
                <w:sz w:val="22"/>
              </w:rPr>
            </w:pPr>
            <w:r w:rsidRPr="00E37D4A">
              <w:rPr>
                <w:b/>
                <w:sz w:val="22"/>
              </w:rPr>
              <w:t>Group 4</w:t>
            </w:r>
          </w:p>
        </w:tc>
        <w:tc>
          <w:tcPr>
            <w:tcW w:w="4050" w:type="dxa"/>
          </w:tcPr>
          <w:p w:rsidRPr="00E37D4A" w:rsidR="00194CE4" w:rsidP="00183B1E" w:rsidRDefault="00194CE4" w14:paraId="6A05A680" w14:textId="77777777">
            <w:pPr>
              <w:rPr>
                <w:sz w:val="22"/>
              </w:rPr>
            </w:pPr>
            <w:r w:rsidRPr="00E37D4A">
              <w:rPr>
                <w:sz w:val="22"/>
              </w:rPr>
              <w:t>High Access; Conventional Facility</w:t>
            </w:r>
          </w:p>
        </w:tc>
        <w:tc>
          <w:tcPr>
            <w:tcW w:w="4032" w:type="dxa"/>
          </w:tcPr>
          <w:p w:rsidRPr="00E37D4A" w:rsidR="00194CE4" w:rsidP="00183B1E" w:rsidRDefault="00194CE4" w14:paraId="75D17F19" w14:textId="77777777">
            <w:pPr>
              <w:rPr>
                <w:sz w:val="22"/>
              </w:rPr>
            </w:pPr>
            <w:r w:rsidRPr="00E37D4A">
              <w:rPr>
                <w:sz w:val="22"/>
              </w:rPr>
              <w:t>Spanish-Speaking Hispanics</w:t>
            </w:r>
          </w:p>
        </w:tc>
      </w:tr>
      <w:tr w:rsidRPr="005503C3" w:rsidR="00194CE4" w:rsidTr="00183B1E" w14:paraId="5351616B" w14:textId="77777777">
        <w:tc>
          <w:tcPr>
            <w:tcW w:w="1260" w:type="dxa"/>
          </w:tcPr>
          <w:p w:rsidRPr="00E37D4A" w:rsidR="00194CE4" w:rsidP="00183B1E" w:rsidRDefault="00194CE4" w14:paraId="577996DA" w14:textId="77777777">
            <w:pPr>
              <w:rPr>
                <w:b/>
                <w:sz w:val="22"/>
              </w:rPr>
            </w:pPr>
            <w:r w:rsidRPr="00E37D4A">
              <w:rPr>
                <w:b/>
                <w:sz w:val="22"/>
              </w:rPr>
              <w:t>Group 5</w:t>
            </w:r>
          </w:p>
        </w:tc>
        <w:tc>
          <w:tcPr>
            <w:tcW w:w="4050" w:type="dxa"/>
          </w:tcPr>
          <w:p w:rsidRPr="00E37D4A" w:rsidR="00194CE4" w:rsidP="00183B1E" w:rsidRDefault="00194CE4" w14:paraId="6E9D1158" w14:textId="77777777">
            <w:pPr>
              <w:rPr>
                <w:sz w:val="22"/>
              </w:rPr>
            </w:pPr>
            <w:r w:rsidRPr="00E37D4A">
              <w:rPr>
                <w:sz w:val="22"/>
              </w:rPr>
              <w:t>High Access; Conventional Facility</w:t>
            </w:r>
          </w:p>
        </w:tc>
        <w:tc>
          <w:tcPr>
            <w:tcW w:w="4032" w:type="dxa"/>
          </w:tcPr>
          <w:p w:rsidRPr="00E37D4A" w:rsidR="00194CE4" w:rsidP="00183B1E" w:rsidRDefault="00194CE4" w14:paraId="1AAF54B5" w14:textId="77777777">
            <w:pPr>
              <w:rPr>
                <w:sz w:val="22"/>
              </w:rPr>
            </w:pPr>
            <w:r w:rsidRPr="00E37D4A">
              <w:rPr>
                <w:sz w:val="22"/>
              </w:rPr>
              <w:t>English-Speaking, Non-Hispanic White</w:t>
            </w:r>
          </w:p>
        </w:tc>
      </w:tr>
      <w:tr w:rsidRPr="005503C3" w:rsidR="00194CE4" w:rsidTr="00183B1E" w14:paraId="722A8CEB" w14:textId="77777777">
        <w:tc>
          <w:tcPr>
            <w:tcW w:w="1260" w:type="dxa"/>
          </w:tcPr>
          <w:p w:rsidRPr="00E37D4A" w:rsidR="00194CE4" w:rsidP="00183B1E" w:rsidRDefault="00194CE4" w14:paraId="74133284" w14:textId="77777777">
            <w:pPr>
              <w:rPr>
                <w:b/>
                <w:sz w:val="22"/>
              </w:rPr>
            </w:pPr>
            <w:r w:rsidRPr="00E37D4A">
              <w:rPr>
                <w:b/>
                <w:sz w:val="22"/>
              </w:rPr>
              <w:t>Group 6</w:t>
            </w:r>
          </w:p>
        </w:tc>
        <w:tc>
          <w:tcPr>
            <w:tcW w:w="4050" w:type="dxa"/>
          </w:tcPr>
          <w:p w:rsidRPr="00E37D4A" w:rsidR="00194CE4" w:rsidP="00183B1E" w:rsidRDefault="00194CE4" w14:paraId="1F85DA55" w14:textId="77777777">
            <w:pPr>
              <w:rPr>
                <w:sz w:val="22"/>
              </w:rPr>
            </w:pPr>
            <w:r w:rsidRPr="00E37D4A">
              <w:rPr>
                <w:sz w:val="22"/>
              </w:rPr>
              <w:t>High Access; Conventional Facility</w:t>
            </w:r>
          </w:p>
        </w:tc>
        <w:tc>
          <w:tcPr>
            <w:tcW w:w="4032" w:type="dxa"/>
          </w:tcPr>
          <w:p w:rsidRPr="00E37D4A" w:rsidR="00194CE4" w:rsidP="00183B1E" w:rsidRDefault="00194CE4" w14:paraId="6D15A367" w14:textId="77777777">
            <w:pPr>
              <w:rPr>
                <w:sz w:val="22"/>
              </w:rPr>
            </w:pPr>
            <w:r w:rsidRPr="00E37D4A">
              <w:rPr>
                <w:sz w:val="22"/>
              </w:rPr>
              <w:t>English-Speaking, Non-Hispanic White</w:t>
            </w:r>
          </w:p>
        </w:tc>
      </w:tr>
      <w:tr w:rsidRPr="005503C3" w:rsidR="00194CE4" w:rsidTr="00183B1E" w14:paraId="165629D6" w14:textId="77777777">
        <w:tc>
          <w:tcPr>
            <w:tcW w:w="1260" w:type="dxa"/>
          </w:tcPr>
          <w:p w:rsidRPr="00E37D4A" w:rsidR="00194CE4" w:rsidP="00183B1E" w:rsidRDefault="00194CE4" w14:paraId="656CFFCA" w14:textId="77777777">
            <w:pPr>
              <w:rPr>
                <w:b/>
                <w:sz w:val="22"/>
              </w:rPr>
            </w:pPr>
            <w:r w:rsidRPr="00E37D4A">
              <w:rPr>
                <w:b/>
                <w:sz w:val="22"/>
              </w:rPr>
              <w:t>Group 7</w:t>
            </w:r>
          </w:p>
        </w:tc>
        <w:tc>
          <w:tcPr>
            <w:tcW w:w="4050" w:type="dxa"/>
          </w:tcPr>
          <w:p w:rsidRPr="00E37D4A" w:rsidR="00194CE4" w:rsidP="00183B1E" w:rsidRDefault="00194CE4" w14:paraId="219DE24B" w14:textId="77777777">
            <w:pPr>
              <w:rPr>
                <w:sz w:val="22"/>
              </w:rPr>
            </w:pPr>
            <w:r w:rsidRPr="00E37D4A">
              <w:rPr>
                <w:sz w:val="22"/>
              </w:rPr>
              <w:t>Low Access; Non-Conventional Facility</w:t>
            </w:r>
          </w:p>
        </w:tc>
        <w:tc>
          <w:tcPr>
            <w:tcW w:w="4032" w:type="dxa"/>
          </w:tcPr>
          <w:p w:rsidRPr="00E37D4A" w:rsidR="00194CE4" w:rsidP="00183B1E" w:rsidRDefault="00194CE4" w14:paraId="40FF1F07" w14:textId="77777777">
            <w:pPr>
              <w:rPr>
                <w:sz w:val="22"/>
              </w:rPr>
            </w:pPr>
            <w:r w:rsidRPr="00E37D4A">
              <w:rPr>
                <w:sz w:val="22"/>
              </w:rPr>
              <w:t>English-Speaking Hispanics</w:t>
            </w:r>
          </w:p>
        </w:tc>
      </w:tr>
      <w:tr w:rsidRPr="005503C3" w:rsidR="00194CE4" w:rsidTr="00183B1E" w14:paraId="3C57A8EC" w14:textId="77777777">
        <w:tc>
          <w:tcPr>
            <w:tcW w:w="1260" w:type="dxa"/>
          </w:tcPr>
          <w:p w:rsidRPr="00E37D4A" w:rsidR="00194CE4" w:rsidP="00183B1E" w:rsidRDefault="00194CE4" w14:paraId="028FA580" w14:textId="77777777">
            <w:pPr>
              <w:rPr>
                <w:b/>
                <w:sz w:val="22"/>
              </w:rPr>
            </w:pPr>
            <w:r w:rsidRPr="00E37D4A">
              <w:rPr>
                <w:b/>
                <w:sz w:val="22"/>
              </w:rPr>
              <w:t>Group 8</w:t>
            </w:r>
          </w:p>
        </w:tc>
        <w:tc>
          <w:tcPr>
            <w:tcW w:w="4050" w:type="dxa"/>
          </w:tcPr>
          <w:p w:rsidRPr="00E37D4A" w:rsidR="00194CE4" w:rsidP="00183B1E" w:rsidRDefault="00194CE4" w14:paraId="5BCCE029" w14:textId="77777777">
            <w:pPr>
              <w:rPr>
                <w:sz w:val="22"/>
              </w:rPr>
            </w:pPr>
            <w:r w:rsidRPr="00E37D4A">
              <w:rPr>
                <w:sz w:val="22"/>
              </w:rPr>
              <w:t>Low Access; Non-Conventional Facility</w:t>
            </w:r>
          </w:p>
        </w:tc>
        <w:tc>
          <w:tcPr>
            <w:tcW w:w="4032" w:type="dxa"/>
          </w:tcPr>
          <w:p w:rsidRPr="00E37D4A" w:rsidR="00194CE4" w:rsidP="00183B1E" w:rsidRDefault="00194CE4" w14:paraId="5DC07BBB" w14:textId="77777777">
            <w:pPr>
              <w:rPr>
                <w:sz w:val="22"/>
              </w:rPr>
            </w:pPr>
            <w:r w:rsidRPr="00E37D4A">
              <w:rPr>
                <w:sz w:val="22"/>
              </w:rPr>
              <w:t>English-Speaking Hispanics</w:t>
            </w:r>
          </w:p>
        </w:tc>
      </w:tr>
      <w:tr w:rsidRPr="005503C3" w:rsidR="00194CE4" w:rsidTr="00183B1E" w14:paraId="7347241F" w14:textId="77777777">
        <w:tc>
          <w:tcPr>
            <w:tcW w:w="1260" w:type="dxa"/>
          </w:tcPr>
          <w:p w:rsidRPr="00E37D4A" w:rsidR="00194CE4" w:rsidP="00183B1E" w:rsidRDefault="00194CE4" w14:paraId="09F84678" w14:textId="77777777">
            <w:pPr>
              <w:rPr>
                <w:b/>
                <w:sz w:val="22"/>
              </w:rPr>
            </w:pPr>
            <w:r w:rsidRPr="00E37D4A">
              <w:rPr>
                <w:b/>
                <w:sz w:val="22"/>
              </w:rPr>
              <w:t>Group 9</w:t>
            </w:r>
          </w:p>
        </w:tc>
        <w:tc>
          <w:tcPr>
            <w:tcW w:w="4050" w:type="dxa"/>
          </w:tcPr>
          <w:p w:rsidRPr="00E37D4A" w:rsidR="00194CE4" w:rsidP="00183B1E" w:rsidRDefault="00194CE4" w14:paraId="14B4302E" w14:textId="77777777">
            <w:pPr>
              <w:rPr>
                <w:sz w:val="22"/>
              </w:rPr>
            </w:pPr>
            <w:r w:rsidRPr="00E37D4A">
              <w:rPr>
                <w:sz w:val="22"/>
              </w:rPr>
              <w:t>Low Access; Non-Conventional Facility</w:t>
            </w:r>
          </w:p>
        </w:tc>
        <w:tc>
          <w:tcPr>
            <w:tcW w:w="4032" w:type="dxa"/>
          </w:tcPr>
          <w:p w:rsidRPr="00E37D4A" w:rsidR="00194CE4" w:rsidP="00183B1E" w:rsidRDefault="00194CE4" w14:paraId="5FA90C3B" w14:textId="77777777">
            <w:pPr>
              <w:rPr>
                <w:sz w:val="22"/>
              </w:rPr>
            </w:pPr>
            <w:r w:rsidRPr="00E37D4A">
              <w:rPr>
                <w:sz w:val="22"/>
              </w:rPr>
              <w:t>Spanish-Speaking Hispanics</w:t>
            </w:r>
          </w:p>
        </w:tc>
      </w:tr>
      <w:tr w:rsidRPr="005503C3" w:rsidR="00194CE4" w:rsidTr="00183B1E" w14:paraId="0354506F" w14:textId="77777777">
        <w:tc>
          <w:tcPr>
            <w:tcW w:w="1260" w:type="dxa"/>
          </w:tcPr>
          <w:p w:rsidRPr="00E37D4A" w:rsidR="00194CE4" w:rsidP="00183B1E" w:rsidRDefault="00194CE4" w14:paraId="0B41C0A9" w14:textId="77777777">
            <w:pPr>
              <w:rPr>
                <w:b/>
                <w:sz w:val="22"/>
              </w:rPr>
            </w:pPr>
            <w:r w:rsidRPr="00E37D4A">
              <w:rPr>
                <w:b/>
                <w:sz w:val="22"/>
              </w:rPr>
              <w:t>Group 10</w:t>
            </w:r>
          </w:p>
        </w:tc>
        <w:tc>
          <w:tcPr>
            <w:tcW w:w="4050" w:type="dxa"/>
          </w:tcPr>
          <w:p w:rsidRPr="00E37D4A" w:rsidR="00194CE4" w:rsidP="00183B1E" w:rsidRDefault="00194CE4" w14:paraId="7488CF8F" w14:textId="77777777">
            <w:pPr>
              <w:rPr>
                <w:sz w:val="22"/>
              </w:rPr>
            </w:pPr>
            <w:r w:rsidRPr="00E37D4A">
              <w:rPr>
                <w:sz w:val="22"/>
              </w:rPr>
              <w:t>Low Access; Non-Conventional Facility</w:t>
            </w:r>
          </w:p>
        </w:tc>
        <w:tc>
          <w:tcPr>
            <w:tcW w:w="4032" w:type="dxa"/>
          </w:tcPr>
          <w:p w:rsidRPr="00E37D4A" w:rsidR="00194CE4" w:rsidP="00183B1E" w:rsidRDefault="00194CE4" w14:paraId="3F8F9BAF" w14:textId="77777777">
            <w:pPr>
              <w:rPr>
                <w:sz w:val="22"/>
              </w:rPr>
            </w:pPr>
            <w:r w:rsidRPr="00E37D4A">
              <w:rPr>
                <w:sz w:val="22"/>
              </w:rPr>
              <w:t>Spanish-Speaking Hispanics</w:t>
            </w:r>
          </w:p>
        </w:tc>
      </w:tr>
      <w:tr w:rsidRPr="005503C3" w:rsidR="00194CE4" w:rsidTr="00183B1E" w14:paraId="0AB9DCFA" w14:textId="77777777">
        <w:tc>
          <w:tcPr>
            <w:tcW w:w="1260" w:type="dxa"/>
          </w:tcPr>
          <w:p w:rsidRPr="00E37D4A" w:rsidR="00194CE4" w:rsidP="00183B1E" w:rsidRDefault="00194CE4" w14:paraId="549E6D38" w14:textId="77777777">
            <w:pPr>
              <w:rPr>
                <w:b/>
                <w:sz w:val="22"/>
              </w:rPr>
            </w:pPr>
            <w:r w:rsidRPr="00E37D4A">
              <w:rPr>
                <w:b/>
                <w:sz w:val="22"/>
              </w:rPr>
              <w:t>Group 11</w:t>
            </w:r>
          </w:p>
        </w:tc>
        <w:tc>
          <w:tcPr>
            <w:tcW w:w="4050" w:type="dxa"/>
          </w:tcPr>
          <w:p w:rsidRPr="00E37D4A" w:rsidR="00194CE4" w:rsidP="00183B1E" w:rsidRDefault="00194CE4" w14:paraId="5CD0CE58" w14:textId="77777777">
            <w:pPr>
              <w:rPr>
                <w:sz w:val="22"/>
              </w:rPr>
            </w:pPr>
            <w:r w:rsidRPr="00E37D4A">
              <w:rPr>
                <w:sz w:val="22"/>
              </w:rPr>
              <w:t>Low Access; Non-Conventional Facility</w:t>
            </w:r>
          </w:p>
        </w:tc>
        <w:tc>
          <w:tcPr>
            <w:tcW w:w="4032" w:type="dxa"/>
          </w:tcPr>
          <w:p w:rsidRPr="00E37D4A" w:rsidR="00194CE4" w:rsidP="00183B1E" w:rsidRDefault="00194CE4" w14:paraId="5188DE02" w14:textId="77777777">
            <w:pPr>
              <w:rPr>
                <w:sz w:val="22"/>
              </w:rPr>
            </w:pPr>
            <w:r w:rsidRPr="00E37D4A">
              <w:rPr>
                <w:sz w:val="22"/>
              </w:rPr>
              <w:t>English-Speaking, Non-Hispanic White</w:t>
            </w:r>
          </w:p>
        </w:tc>
      </w:tr>
      <w:tr w:rsidRPr="005503C3" w:rsidR="00194CE4" w:rsidTr="00183B1E" w14:paraId="418AE5E3" w14:textId="77777777">
        <w:tc>
          <w:tcPr>
            <w:tcW w:w="1260" w:type="dxa"/>
          </w:tcPr>
          <w:p w:rsidRPr="00E37D4A" w:rsidR="00194CE4" w:rsidP="00183B1E" w:rsidRDefault="00194CE4" w14:paraId="175F2C07" w14:textId="77777777">
            <w:pPr>
              <w:rPr>
                <w:b/>
                <w:sz w:val="22"/>
              </w:rPr>
            </w:pPr>
            <w:r w:rsidRPr="00E37D4A">
              <w:rPr>
                <w:b/>
                <w:sz w:val="22"/>
              </w:rPr>
              <w:t>Group 12</w:t>
            </w:r>
          </w:p>
        </w:tc>
        <w:tc>
          <w:tcPr>
            <w:tcW w:w="4050" w:type="dxa"/>
          </w:tcPr>
          <w:p w:rsidRPr="00E37D4A" w:rsidR="00194CE4" w:rsidP="00183B1E" w:rsidRDefault="00194CE4" w14:paraId="3928CDC7" w14:textId="77777777">
            <w:pPr>
              <w:rPr>
                <w:sz w:val="22"/>
              </w:rPr>
            </w:pPr>
            <w:r w:rsidRPr="00E37D4A">
              <w:rPr>
                <w:sz w:val="22"/>
              </w:rPr>
              <w:t>Low Access; Non-Conventional Facility</w:t>
            </w:r>
          </w:p>
        </w:tc>
        <w:tc>
          <w:tcPr>
            <w:tcW w:w="4032" w:type="dxa"/>
          </w:tcPr>
          <w:p w:rsidRPr="00E37D4A" w:rsidR="00194CE4" w:rsidP="00183B1E" w:rsidRDefault="00194CE4" w14:paraId="6D6B1ED6" w14:textId="77777777">
            <w:pPr>
              <w:rPr>
                <w:sz w:val="22"/>
              </w:rPr>
            </w:pPr>
            <w:r w:rsidRPr="00E37D4A">
              <w:rPr>
                <w:sz w:val="22"/>
              </w:rPr>
              <w:t>English-Speaking, Non-Hispanic White</w:t>
            </w:r>
          </w:p>
        </w:tc>
      </w:tr>
    </w:tbl>
    <w:p w:rsidR="00194CE4" w:rsidP="00194CE4" w:rsidRDefault="00194CE4" w14:paraId="08A20FE8" w14:textId="77777777">
      <w:pPr>
        <w:ind w:firstLine="720"/>
        <w:rPr>
          <w:sz w:val="18"/>
          <w:szCs w:val="18"/>
        </w:rPr>
      </w:pPr>
    </w:p>
    <w:p w:rsidRPr="00447DBA" w:rsidR="00E967C1" w:rsidP="00447DBA" w:rsidRDefault="00194CE4" w14:paraId="22154AED" w14:textId="1C975E07">
      <w:pPr>
        <w:ind w:firstLine="720"/>
        <w:rPr>
          <w:sz w:val="18"/>
          <w:szCs w:val="18"/>
        </w:rPr>
      </w:pPr>
      <w:r w:rsidRPr="005503C3">
        <w:rPr>
          <w:sz w:val="18"/>
          <w:szCs w:val="18"/>
        </w:rPr>
        <w:t>*Data collected from mock focus group will not be included in analysis</w:t>
      </w:r>
    </w:p>
    <w:p w:rsidRPr="00DC66BA" w:rsidR="00E967C1" w:rsidP="00836AD9" w:rsidRDefault="00E967C1" w14:paraId="25E82BA2" w14:textId="77777777">
      <w:pPr>
        <w:pStyle w:val="Heading1"/>
      </w:pPr>
      <w:r w:rsidRPr="00DC66BA">
        <w:t>Purpose:</w:t>
      </w:r>
    </w:p>
    <w:p w:rsidRPr="00DC66BA" w:rsidR="00E967C1" w:rsidP="00E967C1" w:rsidRDefault="00E967C1" w14:paraId="56DEAEE8" w14:textId="77777777">
      <w:r w:rsidRPr="00DC66BA">
        <w:t>To better understand consumer behaviors, motivations, and attitudes toward child obesity.  The findings from these groups will inform audience-focused public information and education that addresses childhood obesity.</w:t>
      </w:r>
    </w:p>
    <w:p w:rsidRPr="00DC66BA" w:rsidR="00E967C1" w:rsidP="00E967C1" w:rsidRDefault="00E967C1" w14:paraId="37E8D7F1" w14:textId="77777777">
      <w:pPr>
        <w:rPr>
          <w:b/>
        </w:rPr>
      </w:pPr>
      <w:r w:rsidRPr="00DC66BA">
        <w:rPr>
          <w:b/>
        </w:rPr>
        <w:br w:type="page"/>
      </w:r>
    </w:p>
    <w:tbl>
      <w:tblPr>
        <w:tblStyle w:val="TableGrid"/>
        <w:tblW w:w="9540" w:type="dxa"/>
        <w:tblInd w:w="108" w:type="dxa"/>
        <w:tblLook w:val="04A0" w:firstRow="1" w:lastRow="0" w:firstColumn="1" w:lastColumn="0" w:noHBand="0" w:noVBand="1"/>
      </w:tblPr>
      <w:tblGrid>
        <w:gridCol w:w="9540"/>
      </w:tblGrid>
      <w:tr w:rsidRPr="00DC66BA" w:rsidR="00E967C1" w:rsidTr="00447DBA" w14:paraId="4532928C" w14:textId="77777777">
        <w:tc>
          <w:tcPr>
            <w:tcW w:w="9540" w:type="dxa"/>
            <w:tcBorders>
              <w:top w:val="single" w:color="auto" w:sz="4" w:space="0"/>
              <w:left w:val="single" w:color="auto" w:sz="4" w:space="0"/>
              <w:bottom w:val="single" w:color="auto" w:sz="4" w:space="0"/>
              <w:right w:val="single" w:color="auto" w:sz="4" w:space="0"/>
            </w:tcBorders>
            <w:shd w:val="clear" w:color="auto" w:fill="1F497D" w:themeFill="text2"/>
            <w:hideMark/>
          </w:tcPr>
          <w:p w:rsidRPr="00447DBA" w:rsidR="00E967C1" w:rsidP="00447DBA" w:rsidRDefault="00E967C1" w14:paraId="766614A2" w14:textId="77777777">
            <w:pPr>
              <w:rPr>
                <w:rFonts w:asciiTheme="minorHAnsi" w:hAnsiTheme="minorHAnsi" w:cstheme="minorHAnsi"/>
                <w:b/>
                <w:color w:val="FFFFFF" w:themeColor="background1"/>
              </w:rPr>
            </w:pPr>
            <w:r w:rsidRPr="00447DBA">
              <w:rPr>
                <w:rFonts w:asciiTheme="minorHAnsi" w:hAnsiTheme="minorHAnsi" w:cstheme="minorHAnsi"/>
                <w:b/>
                <w:color w:val="FFFFFF" w:themeColor="background1"/>
              </w:rPr>
              <w:lastRenderedPageBreak/>
              <w:t>NOTES TO REVIEWER:</w:t>
            </w:r>
          </w:p>
        </w:tc>
      </w:tr>
      <w:tr w:rsidRPr="00DC66BA" w:rsidR="00E967C1" w:rsidTr="007E5742" w14:paraId="476AE83B" w14:textId="77777777">
        <w:tc>
          <w:tcPr>
            <w:tcW w:w="9540" w:type="dxa"/>
            <w:tcBorders>
              <w:top w:val="single" w:color="auto" w:sz="4" w:space="0"/>
              <w:left w:val="single" w:color="auto" w:sz="4" w:space="0"/>
              <w:bottom w:val="single" w:color="auto" w:sz="4" w:space="0"/>
              <w:right w:val="single" w:color="auto" w:sz="4" w:space="0"/>
            </w:tcBorders>
            <w:hideMark/>
          </w:tcPr>
          <w:tbl>
            <w:tblPr>
              <w:tblW w:w="0" w:type="auto"/>
              <w:tblBorders>
                <w:top w:val="nil"/>
                <w:left w:val="nil"/>
                <w:bottom w:val="nil"/>
                <w:right w:val="nil"/>
              </w:tblBorders>
              <w:tblLook w:val="0000" w:firstRow="0" w:lastRow="0" w:firstColumn="0" w:lastColumn="0" w:noHBand="0" w:noVBand="0"/>
            </w:tblPr>
            <w:tblGrid>
              <w:gridCol w:w="9324"/>
            </w:tblGrid>
            <w:tr w:rsidRPr="00DC66BA" w:rsidR="00E967C1" w:rsidTr="007E5742" w14:paraId="14234DCE" w14:textId="77777777">
              <w:trPr>
                <w:trHeight w:val="391"/>
              </w:trPr>
              <w:tc>
                <w:tcPr>
                  <w:tcW w:w="0" w:type="auto"/>
                </w:tcPr>
                <w:p w:rsidRPr="00DC66BA" w:rsidR="00E967C1" w:rsidP="007E5742" w:rsidRDefault="00E967C1" w14:paraId="402CDCE7" w14:textId="77777777">
                  <w:pPr>
                    <w:autoSpaceDE w:val="0"/>
                    <w:autoSpaceDN w:val="0"/>
                    <w:adjustRightInd w:val="0"/>
                  </w:pPr>
                  <w:r w:rsidRPr="00DC66BA">
                    <w:t xml:space="preserve">This focus group guide is not a script and, therefore, should not be read verbatim. The moderator will use these questions as a roadmap and probe as needed to maintain the natural flow of conversation. </w:t>
                  </w:r>
                </w:p>
              </w:tc>
            </w:tr>
          </w:tbl>
          <w:p w:rsidRPr="00DC66BA" w:rsidR="00E967C1" w:rsidP="00344EE4" w:rsidRDefault="00E967C1" w14:paraId="296CA10B" w14:textId="77777777">
            <w:pPr>
              <w:pStyle w:val="Body"/>
              <w:framePr w:wrap="around"/>
              <w:shd w:val="clear" w:color="auto" w:fill="FFFFFF" w:themeFill="background1"/>
            </w:pPr>
          </w:p>
        </w:tc>
      </w:tr>
    </w:tbl>
    <w:p w:rsidRPr="00DC66BA" w:rsidR="00E967C1" w:rsidP="00836AD9" w:rsidRDefault="00E967C1" w14:paraId="6B5BF2FA" w14:textId="77777777">
      <w:pPr>
        <w:pStyle w:val="Body"/>
        <w:framePr w:wrap="around"/>
      </w:pPr>
    </w:p>
    <w:tbl>
      <w:tblPr>
        <w:tblStyle w:val="TableGrid"/>
        <w:tblpPr w:leftFromText="180" w:rightFromText="180" w:vertAnchor="text" w:horzAnchor="margin" w:tblpX="115" w:tblpY="78"/>
        <w:tblW w:w="9565" w:type="dxa"/>
        <w:tblCellMar>
          <w:top w:w="29" w:type="dxa"/>
          <w:left w:w="115" w:type="dxa"/>
          <w:bottom w:w="29" w:type="dxa"/>
          <w:right w:w="115" w:type="dxa"/>
        </w:tblCellMar>
        <w:tblLook w:val="04A0" w:firstRow="1" w:lastRow="0" w:firstColumn="1" w:lastColumn="0" w:noHBand="0" w:noVBand="1"/>
      </w:tblPr>
      <w:tblGrid>
        <w:gridCol w:w="9565"/>
      </w:tblGrid>
      <w:tr w:rsidRPr="00DC66BA" w:rsidR="00E967C1" w:rsidTr="007E5742" w14:paraId="3233342C" w14:textId="77777777">
        <w:trPr>
          <w:trHeight w:val="303"/>
        </w:trPr>
        <w:tc>
          <w:tcPr>
            <w:tcW w:w="9565" w:type="dxa"/>
            <w:shd w:val="clear" w:color="auto" w:fill="808080" w:themeFill="background1" w:themeFillShade="80"/>
            <w:vAlign w:val="center"/>
          </w:tcPr>
          <w:p w:rsidRPr="00836AD9" w:rsidR="00E967C1" w:rsidP="00836AD9" w:rsidRDefault="00E967C1" w14:paraId="41854EF7" w14:textId="77777777">
            <w:pPr>
              <w:pStyle w:val="Body"/>
              <w:framePr w:hSpace="0" w:wrap="auto" w:hAnchor="text" w:vAnchor="margin" w:xAlign="left" w:yAlign="inline"/>
            </w:pPr>
            <w:r w:rsidRPr="00836AD9">
              <w:t>Research Questions</w:t>
            </w:r>
          </w:p>
        </w:tc>
      </w:tr>
      <w:tr w:rsidRPr="00DC66BA" w:rsidR="00E967C1" w:rsidTr="007E5742" w14:paraId="562AC1B7" w14:textId="77777777">
        <w:trPr>
          <w:trHeight w:val="864"/>
        </w:trPr>
        <w:tc>
          <w:tcPr>
            <w:tcW w:w="9565" w:type="dxa"/>
            <w:tcBorders>
              <w:bottom w:val="single" w:color="auto" w:sz="4" w:space="0"/>
            </w:tcBorders>
            <w:shd w:val="clear" w:color="auto" w:fill="auto"/>
            <w:vAlign w:val="center"/>
          </w:tcPr>
          <w:p w:rsidRPr="00836AD9" w:rsidR="00E967C1" w:rsidP="00836AD9" w:rsidRDefault="00447DBA" w14:paraId="716538AC" w14:textId="2F4B5C53">
            <w:pPr>
              <w:ind w:left="1045" w:hanging="990"/>
              <w:jc w:val="both"/>
              <w:rPr>
                <w:rFonts w:asciiTheme="minorHAnsi" w:hAnsiTheme="minorHAnsi" w:cstheme="minorHAnsi"/>
              </w:rPr>
            </w:pPr>
            <w:r w:rsidRPr="00836AD9">
              <w:rPr>
                <w:rFonts w:asciiTheme="minorHAnsi" w:hAnsiTheme="minorHAnsi" w:cstheme="minorHAnsi"/>
              </w:rPr>
              <w:t>RQ1.</w:t>
            </w:r>
            <w:r w:rsidRPr="00836AD9">
              <w:rPr>
                <w:rFonts w:asciiTheme="minorHAnsi" w:hAnsiTheme="minorHAnsi" w:cstheme="minorHAnsi"/>
              </w:rPr>
              <w:tab/>
            </w:r>
            <w:r w:rsidRPr="00836AD9" w:rsidR="00E967C1">
              <w:rPr>
                <w:rFonts w:asciiTheme="minorHAnsi" w:hAnsiTheme="minorHAnsi" w:cstheme="minorHAnsi"/>
              </w:rPr>
              <w:t>What are low-income parents’ experiences related to making healthful food choices at the grocery store?</w:t>
            </w:r>
          </w:p>
          <w:p w:rsidRPr="00836AD9" w:rsidR="00E967C1" w:rsidP="00836AD9" w:rsidRDefault="00E967C1" w14:paraId="533C23A2" w14:textId="03E64DE0">
            <w:pPr>
              <w:ind w:left="1045" w:hanging="990"/>
              <w:jc w:val="both"/>
              <w:rPr>
                <w:rFonts w:asciiTheme="minorHAnsi" w:hAnsiTheme="minorHAnsi" w:cstheme="minorHAnsi"/>
              </w:rPr>
            </w:pPr>
            <w:r w:rsidRPr="00836AD9">
              <w:rPr>
                <w:rFonts w:asciiTheme="minorHAnsi" w:hAnsiTheme="minorHAnsi" w:cstheme="minorHAnsi"/>
              </w:rPr>
              <w:t xml:space="preserve">RQ1a.  </w:t>
            </w:r>
            <w:r w:rsidR="00836AD9">
              <w:rPr>
                <w:rFonts w:asciiTheme="minorHAnsi" w:hAnsiTheme="minorHAnsi" w:cstheme="minorHAnsi"/>
              </w:rPr>
              <w:tab/>
            </w:r>
            <w:r w:rsidRPr="00836AD9">
              <w:rPr>
                <w:rFonts w:asciiTheme="minorHAnsi" w:hAnsiTheme="minorHAnsi" w:cstheme="minorHAnsi"/>
              </w:rPr>
              <w:t>Do these experiences vary by access level?</w:t>
            </w:r>
          </w:p>
          <w:p w:rsidRPr="00836AD9" w:rsidR="00E967C1" w:rsidP="00836AD9" w:rsidRDefault="00E967C1" w14:paraId="452FCF26" w14:textId="47E13DA7">
            <w:pPr>
              <w:ind w:left="1045" w:hanging="990"/>
              <w:jc w:val="both"/>
              <w:rPr>
                <w:rFonts w:asciiTheme="minorHAnsi" w:hAnsiTheme="minorHAnsi" w:cstheme="minorHAnsi"/>
              </w:rPr>
            </w:pPr>
            <w:r w:rsidRPr="00836AD9">
              <w:rPr>
                <w:rFonts w:asciiTheme="minorHAnsi" w:hAnsiTheme="minorHAnsi" w:cstheme="minorHAnsi"/>
              </w:rPr>
              <w:t xml:space="preserve">RQ1b. </w:t>
            </w:r>
            <w:r w:rsidR="00836AD9">
              <w:rPr>
                <w:rFonts w:asciiTheme="minorHAnsi" w:hAnsiTheme="minorHAnsi" w:cstheme="minorHAnsi"/>
              </w:rPr>
              <w:tab/>
            </w:r>
            <w:r w:rsidRPr="00836AD9">
              <w:rPr>
                <w:rFonts w:asciiTheme="minorHAnsi" w:hAnsiTheme="minorHAnsi" w:cstheme="minorHAnsi"/>
              </w:rPr>
              <w:t>Are there any cultural differences to these experiences?</w:t>
            </w:r>
          </w:p>
        </w:tc>
      </w:tr>
      <w:tr w:rsidRPr="00DC66BA" w:rsidR="00E967C1" w:rsidTr="007E5742" w14:paraId="5AD0D488" w14:textId="77777777">
        <w:trPr>
          <w:trHeight w:val="996"/>
        </w:trPr>
        <w:tc>
          <w:tcPr>
            <w:tcW w:w="9565" w:type="dxa"/>
            <w:tcBorders>
              <w:bottom w:val="single" w:color="auto" w:sz="4" w:space="0"/>
            </w:tcBorders>
            <w:shd w:val="clear" w:color="auto" w:fill="D9D9D9" w:themeFill="background1" w:themeFillShade="D9"/>
            <w:vAlign w:val="center"/>
          </w:tcPr>
          <w:p w:rsidRPr="00836AD9" w:rsidR="00E967C1" w:rsidP="00836AD9" w:rsidRDefault="00E967C1" w14:paraId="41566C50" w14:textId="6457D380">
            <w:pPr>
              <w:ind w:left="1045" w:hanging="990"/>
              <w:jc w:val="both"/>
              <w:rPr>
                <w:rFonts w:asciiTheme="minorHAnsi" w:hAnsiTheme="minorHAnsi" w:cstheme="minorHAnsi"/>
              </w:rPr>
            </w:pPr>
            <w:r w:rsidRPr="00836AD9">
              <w:rPr>
                <w:rFonts w:asciiTheme="minorHAnsi" w:hAnsiTheme="minorHAnsi" w:cstheme="minorHAnsi"/>
              </w:rPr>
              <w:t xml:space="preserve">RQ2.  </w:t>
            </w:r>
            <w:r w:rsidR="00836AD9">
              <w:rPr>
                <w:rFonts w:asciiTheme="minorHAnsi" w:hAnsiTheme="minorHAnsi" w:cstheme="minorHAnsi"/>
              </w:rPr>
              <w:tab/>
            </w:r>
            <w:r w:rsidRPr="00836AD9">
              <w:rPr>
                <w:rFonts w:asciiTheme="minorHAnsi" w:hAnsiTheme="minorHAnsi" w:cstheme="minorHAnsi"/>
              </w:rPr>
              <w:t>What are low-income parents’ experiences related to making healthful food choices at home?</w:t>
            </w:r>
          </w:p>
          <w:p w:rsidRPr="00836AD9" w:rsidR="00E967C1" w:rsidP="00836AD9" w:rsidRDefault="00E967C1" w14:paraId="2B8602F2" w14:textId="2706FA13">
            <w:pPr>
              <w:ind w:left="1045" w:hanging="990"/>
              <w:jc w:val="both"/>
              <w:rPr>
                <w:rFonts w:asciiTheme="minorHAnsi" w:hAnsiTheme="minorHAnsi" w:cstheme="minorHAnsi"/>
              </w:rPr>
            </w:pPr>
            <w:r w:rsidRPr="00836AD9">
              <w:rPr>
                <w:rFonts w:asciiTheme="minorHAnsi" w:hAnsiTheme="minorHAnsi" w:cstheme="minorHAnsi"/>
              </w:rPr>
              <w:t xml:space="preserve">RQ2a.  </w:t>
            </w:r>
            <w:r w:rsidR="00836AD9">
              <w:rPr>
                <w:rFonts w:asciiTheme="minorHAnsi" w:hAnsiTheme="minorHAnsi" w:cstheme="minorHAnsi"/>
              </w:rPr>
              <w:tab/>
            </w:r>
            <w:r w:rsidRPr="00836AD9">
              <w:rPr>
                <w:rFonts w:asciiTheme="minorHAnsi" w:hAnsiTheme="minorHAnsi" w:cstheme="minorHAnsi"/>
              </w:rPr>
              <w:t>Do these experiences vary by access level?</w:t>
            </w:r>
          </w:p>
          <w:p w:rsidRPr="00836AD9" w:rsidR="00E967C1" w:rsidP="00836AD9" w:rsidRDefault="00E967C1" w14:paraId="4F2BB523" w14:textId="51B46C8A">
            <w:pPr>
              <w:ind w:left="1045" w:hanging="990"/>
              <w:jc w:val="both"/>
              <w:rPr>
                <w:rFonts w:asciiTheme="minorHAnsi" w:hAnsiTheme="minorHAnsi" w:cstheme="minorHAnsi"/>
              </w:rPr>
            </w:pPr>
            <w:r w:rsidRPr="00836AD9">
              <w:rPr>
                <w:rFonts w:asciiTheme="minorHAnsi" w:hAnsiTheme="minorHAnsi" w:cstheme="minorHAnsi"/>
              </w:rPr>
              <w:t xml:space="preserve">RQ2b.  </w:t>
            </w:r>
            <w:r w:rsidR="00836AD9">
              <w:rPr>
                <w:rFonts w:asciiTheme="minorHAnsi" w:hAnsiTheme="minorHAnsi" w:cstheme="minorHAnsi"/>
              </w:rPr>
              <w:tab/>
            </w:r>
            <w:r w:rsidRPr="00836AD9">
              <w:rPr>
                <w:rFonts w:asciiTheme="minorHAnsi" w:hAnsiTheme="minorHAnsi" w:cstheme="minorHAnsi"/>
              </w:rPr>
              <w:t>Are there any cultural differences to these experiences?</w:t>
            </w:r>
          </w:p>
        </w:tc>
      </w:tr>
      <w:tr w:rsidRPr="00DC66BA" w:rsidR="00E967C1" w:rsidTr="007E5742" w14:paraId="0EF17CB2" w14:textId="77777777">
        <w:trPr>
          <w:trHeight w:val="576"/>
        </w:trPr>
        <w:tc>
          <w:tcPr>
            <w:tcW w:w="9565" w:type="dxa"/>
            <w:tcBorders>
              <w:bottom w:val="single" w:color="auto" w:sz="4" w:space="0"/>
            </w:tcBorders>
            <w:shd w:val="clear" w:color="auto" w:fill="auto"/>
            <w:vAlign w:val="center"/>
          </w:tcPr>
          <w:p w:rsidRPr="00836AD9" w:rsidR="005D61F7" w:rsidP="005D61F7" w:rsidRDefault="005D61F7" w14:paraId="5C495B6A" w14:textId="1DF1B6AF">
            <w:pPr>
              <w:ind w:left="1045" w:hanging="990"/>
              <w:jc w:val="both"/>
              <w:rPr>
                <w:rFonts w:asciiTheme="minorHAnsi" w:hAnsiTheme="minorHAnsi" w:cstheme="minorHAnsi"/>
              </w:rPr>
            </w:pPr>
            <w:r w:rsidRPr="00836AD9">
              <w:rPr>
                <w:rFonts w:asciiTheme="minorHAnsi" w:hAnsiTheme="minorHAnsi" w:cstheme="minorHAnsi"/>
              </w:rPr>
              <w:t>RQ</w:t>
            </w:r>
            <w:r>
              <w:rPr>
                <w:rFonts w:asciiTheme="minorHAnsi" w:hAnsiTheme="minorHAnsi" w:cstheme="minorHAnsi"/>
              </w:rPr>
              <w:t>3</w:t>
            </w:r>
            <w:r w:rsidRPr="00836AD9">
              <w:rPr>
                <w:rFonts w:asciiTheme="minorHAnsi" w:hAnsiTheme="minorHAnsi" w:cstheme="minorHAnsi"/>
              </w:rPr>
              <w:t>.</w:t>
            </w:r>
            <w:r w:rsidRPr="00836AD9">
              <w:rPr>
                <w:rFonts w:asciiTheme="minorHAnsi" w:hAnsiTheme="minorHAnsi" w:cstheme="minorHAnsi"/>
              </w:rPr>
              <w:tab/>
              <w:t>What do low-income parents believe constitutes a healthy, well-fed child?</w:t>
            </w:r>
          </w:p>
          <w:p w:rsidRPr="00836AD9" w:rsidR="005D61F7" w:rsidP="005D61F7" w:rsidRDefault="005D61F7" w14:paraId="0544CF2C" w14:textId="7F3EE6A0">
            <w:pPr>
              <w:tabs>
                <w:tab w:val="left" w:pos="0"/>
              </w:tabs>
              <w:ind w:left="1045" w:hanging="990"/>
              <w:rPr>
                <w:rFonts w:asciiTheme="minorHAnsi" w:hAnsiTheme="minorHAnsi" w:cstheme="minorHAnsi"/>
              </w:rPr>
            </w:pPr>
            <w:r w:rsidRPr="00836AD9">
              <w:rPr>
                <w:rFonts w:asciiTheme="minorHAnsi" w:hAnsiTheme="minorHAnsi" w:cstheme="minorHAnsi"/>
              </w:rPr>
              <w:t>RQ</w:t>
            </w:r>
            <w:r>
              <w:rPr>
                <w:rFonts w:asciiTheme="minorHAnsi" w:hAnsiTheme="minorHAnsi" w:cstheme="minorHAnsi"/>
              </w:rPr>
              <w:t>3</w:t>
            </w:r>
            <w:r w:rsidRPr="00836AD9">
              <w:rPr>
                <w:rFonts w:asciiTheme="minorHAnsi" w:hAnsiTheme="minorHAnsi" w:cstheme="minorHAnsi"/>
              </w:rPr>
              <w:t xml:space="preserve">a.  </w:t>
            </w:r>
            <w:r>
              <w:rPr>
                <w:rFonts w:asciiTheme="minorHAnsi" w:hAnsiTheme="minorHAnsi" w:cstheme="minorHAnsi"/>
              </w:rPr>
              <w:tab/>
            </w:r>
            <w:r w:rsidRPr="00836AD9">
              <w:rPr>
                <w:rFonts w:asciiTheme="minorHAnsi" w:hAnsiTheme="minorHAnsi" w:cstheme="minorHAnsi"/>
              </w:rPr>
              <w:t>To what extent does this belief vary by access level?</w:t>
            </w:r>
          </w:p>
          <w:p w:rsidRPr="00836AD9" w:rsidR="00E967C1" w:rsidP="005D61F7" w:rsidRDefault="005D61F7" w14:paraId="187656ED" w14:textId="64F4C5C8">
            <w:pPr>
              <w:tabs>
                <w:tab w:val="left" w:pos="0"/>
              </w:tabs>
              <w:ind w:left="1045" w:hanging="990"/>
              <w:rPr>
                <w:rFonts w:asciiTheme="minorHAnsi" w:hAnsiTheme="minorHAnsi" w:cstheme="minorHAnsi"/>
              </w:rPr>
            </w:pPr>
            <w:r w:rsidRPr="00836AD9">
              <w:rPr>
                <w:rFonts w:asciiTheme="minorHAnsi" w:hAnsiTheme="minorHAnsi" w:cstheme="minorHAnsi"/>
              </w:rPr>
              <w:t>RQ</w:t>
            </w:r>
            <w:r>
              <w:rPr>
                <w:rFonts w:asciiTheme="minorHAnsi" w:hAnsiTheme="minorHAnsi" w:cstheme="minorHAnsi"/>
              </w:rPr>
              <w:t>3</w:t>
            </w:r>
            <w:r w:rsidRPr="00836AD9">
              <w:rPr>
                <w:rFonts w:asciiTheme="minorHAnsi" w:hAnsiTheme="minorHAnsi" w:cstheme="minorHAnsi"/>
              </w:rPr>
              <w:t xml:space="preserve">b.  </w:t>
            </w:r>
            <w:r>
              <w:rPr>
                <w:rFonts w:asciiTheme="minorHAnsi" w:hAnsiTheme="minorHAnsi" w:cstheme="minorHAnsi"/>
              </w:rPr>
              <w:tab/>
            </w:r>
            <w:r w:rsidRPr="00836AD9">
              <w:rPr>
                <w:rFonts w:asciiTheme="minorHAnsi" w:hAnsiTheme="minorHAnsi" w:cstheme="minorHAnsi"/>
              </w:rPr>
              <w:t>Are there any cultural differences to these experiences?</w:t>
            </w:r>
          </w:p>
        </w:tc>
      </w:tr>
      <w:tr w:rsidRPr="00DC66BA" w:rsidR="00E967C1" w:rsidTr="007E5742" w14:paraId="33535CC4" w14:textId="77777777">
        <w:trPr>
          <w:trHeight w:val="576"/>
        </w:trPr>
        <w:tc>
          <w:tcPr>
            <w:tcW w:w="9565" w:type="dxa"/>
            <w:tcBorders>
              <w:bottom w:val="single" w:color="auto" w:sz="4" w:space="0"/>
            </w:tcBorders>
            <w:shd w:val="clear" w:color="auto" w:fill="D9D9D9" w:themeFill="background1" w:themeFillShade="D9"/>
            <w:vAlign w:val="center"/>
          </w:tcPr>
          <w:p w:rsidRPr="00836AD9" w:rsidR="005D61F7" w:rsidP="005D61F7" w:rsidRDefault="005D61F7" w14:paraId="1E03CD7D" w14:textId="16442861">
            <w:pPr>
              <w:ind w:left="1045" w:hanging="990"/>
              <w:jc w:val="both"/>
              <w:rPr>
                <w:rFonts w:asciiTheme="minorHAnsi" w:hAnsiTheme="minorHAnsi" w:cstheme="minorHAnsi"/>
              </w:rPr>
            </w:pPr>
            <w:r w:rsidRPr="00836AD9">
              <w:rPr>
                <w:rFonts w:asciiTheme="minorHAnsi" w:hAnsiTheme="minorHAnsi" w:cstheme="minorHAnsi"/>
              </w:rPr>
              <w:t>RQ</w:t>
            </w:r>
            <w:r>
              <w:rPr>
                <w:rFonts w:asciiTheme="minorHAnsi" w:hAnsiTheme="minorHAnsi" w:cstheme="minorHAnsi"/>
              </w:rPr>
              <w:t>4</w:t>
            </w:r>
            <w:r w:rsidRPr="00836AD9">
              <w:rPr>
                <w:rFonts w:asciiTheme="minorHAnsi" w:hAnsiTheme="minorHAnsi" w:cstheme="minorHAnsi"/>
              </w:rPr>
              <w:t xml:space="preserve">.  </w:t>
            </w:r>
            <w:r>
              <w:rPr>
                <w:rFonts w:asciiTheme="minorHAnsi" w:hAnsiTheme="minorHAnsi" w:cstheme="minorHAnsi"/>
              </w:rPr>
              <w:tab/>
            </w:r>
            <w:r w:rsidRPr="00836AD9">
              <w:rPr>
                <w:rFonts w:asciiTheme="minorHAnsi" w:hAnsiTheme="minorHAnsi" w:cstheme="minorHAnsi"/>
              </w:rPr>
              <w:t>What are low-income parents’ attitudes and perceptions related to childhood obesity and body image?</w:t>
            </w:r>
          </w:p>
          <w:p w:rsidRPr="00836AD9" w:rsidR="00E967C1" w:rsidP="005D61F7" w:rsidRDefault="005D61F7" w14:paraId="4A3A22BC" w14:textId="278149CE">
            <w:pPr>
              <w:tabs>
                <w:tab w:val="left" w:pos="0"/>
              </w:tabs>
              <w:ind w:left="1045" w:hanging="990"/>
              <w:rPr>
                <w:rFonts w:asciiTheme="minorHAnsi" w:hAnsiTheme="minorHAnsi" w:cstheme="minorHAnsi"/>
                <w:bCs/>
              </w:rPr>
            </w:pPr>
            <w:r w:rsidRPr="00836AD9">
              <w:rPr>
                <w:rFonts w:asciiTheme="minorHAnsi" w:hAnsiTheme="minorHAnsi" w:cstheme="minorHAnsi"/>
              </w:rPr>
              <w:t>RQ</w:t>
            </w:r>
            <w:r>
              <w:rPr>
                <w:rFonts w:asciiTheme="minorHAnsi" w:hAnsiTheme="minorHAnsi" w:cstheme="minorHAnsi"/>
              </w:rPr>
              <w:t>4</w:t>
            </w:r>
            <w:r w:rsidRPr="00836AD9">
              <w:rPr>
                <w:rFonts w:asciiTheme="minorHAnsi" w:hAnsiTheme="minorHAnsi" w:cstheme="minorHAnsi"/>
              </w:rPr>
              <w:t xml:space="preserve">a.  </w:t>
            </w:r>
            <w:r>
              <w:rPr>
                <w:rFonts w:asciiTheme="minorHAnsi" w:hAnsiTheme="minorHAnsi" w:cstheme="minorHAnsi"/>
              </w:rPr>
              <w:tab/>
            </w:r>
            <w:r w:rsidRPr="00836AD9">
              <w:rPr>
                <w:rFonts w:asciiTheme="minorHAnsi" w:hAnsiTheme="minorHAnsi" w:cstheme="minorHAnsi"/>
              </w:rPr>
              <w:t>Are there any cultural differences to these attitudes and perceptions?</w:t>
            </w:r>
          </w:p>
        </w:tc>
      </w:tr>
      <w:tr w:rsidRPr="00DC66BA" w:rsidR="00E967C1" w:rsidTr="007E5742" w14:paraId="46585B29" w14:textId="77777777">
        <w:trPr>
          <w:trHeight w:val="576"/>
        </w:trPr>
        <w:tc>
          <w:tcPr>
            <w:tcW w:w="9565" w:type="dxa"/>
            <w:shd w:val="clear" w:color="auto" w:fill="auto"/>
            <w:vAlign w:val="center"/>
          </w:tcPr>
          <w:p w:rsidRPr="00836AD9" w:rsidR="005D61F7" w:rsidP="005D61F7" w:rsidRDefault="005D61F7" w14:paraId="3DE791F7" w14:textId="62B7CA70">
            <w:pPr>
              <w:ind w:left="1045" w:hanging="990"/>
              <w:jc w:val="both"/>
              <w:rPr>
                <w:rFonts w:asciiTheme="minorHAnsi" w:hAnsiTheme="minorHAnsi" w:cstheme="minorHAnsi"/>
              </w:rPr>
            </w:pPr>
            <w:r w:rsidRPr="00836AD9">
              <w:rPr>
                <w:rFonts w:asciiTheme="minorHAnsi" w:hAnsiTheme="minorHAnsi" w:cstheme="minorHAnsi"/>
              </w:rPr>
              <w:t>RQ</w:t>
            </w:r>
            <w:r>
              <w:rPr>
                <w:rFonts w:asciiTheme="minorHAnsi" w:hAnsiTheme="minorHAnsi" w:cstheme="minorHAnsi"/>
              </w:rPr>
              <w:t>5</w:t>
            </w:r>
            <w:r w:rsidRPr="00836AD9">
              <w:rPr>
                <w:rFonts w:asciiTheme="minorHAnsi" w:hAnsiTheme="minorHAnsi" w:cstheme="minorHAnsi"/>
              </w:rPr>
              <w:t xml:space="preserve">.  </w:t>
            </w:r>
            <w:r>
              <w:rPr>
                <w:rFonts w:asciiTheme="minorHAnsi" w:hAnsiTheme="minorHAnsi" w:cstheme="minorHAnsi"/>
              </w:rPr>
              <w:tab/>
            </w:r>
            <w:r w:rsidRPr="00836AD9">
              <w:rPr>
                <w:rFonts w:asciiTheme="minorHAnsi" w:hAnsiTheme="minorHAnsi" w:cstheme="minorHAnsi"/>
              </w:rPr>
              <w:t>What resources (e.g., health professionals, health educators) do low-income parents have to overcome childhood obesity? Additionally, what are their perceived barriers?</w:t>
            </w:r>
          </w:p>
          <w:p w:rsidRPr="00836AD9" w:rsidR="005D61F7" w:rsidP="005D61F7" w:rsidRDefault="005D61F7" w14:paraId="77D77BCE" w14:textId="4355013B">
            <w:pPr>
              <w:ind w:left="1045" w:hanging="990"/>
              <w:jc w:val="both"/>
              <w:rPr>
                <w:rFonts w:asciiTheme="minorHAnsi" w:hAnsiTheme="minorHAnsi" w:cstheme="minorHAnsi"/>
              </w:rPr>
            </w:pPr>
            <w:r w:rsidRPr="00836AD9">
              <w:rPr>
                <w:rFonts w:asciiTheme="minorHAnsi" w:hAnsiTheme="minorHAnsi" w:cstheme="minorHAnsi"/>
              </w:rPr>
              <w:t>RQ</w:t>
            </w:r>
            <w:r>
              <w:rPr>
                <w:rFonts w:asciiTheme="minorHAnsi" w:hAnsiTheme="minorHAnsi" w:cstheme="minorHAnsi"/>
              </w:rPr>
              <w:t>5</w:t>
            </w:r>
            <w:r w:rsidRPr="00836AD9">
              <w:rPr>
                <w:rFonts w:asciiTheme="minorHAnsi" w:hAnsiTheme="minorHAnsi" w:cstheme="minorHAnsi"/>
              </w:rPr>
              <w:t xml:space="preserve">a. </w:t>
            </w:r>
            <w:r>
              <w:rPr>
                <w:rFonts w:asciiTheme="minorHAnsi" w:hAnsiTheme="minorHAnsi" w:cstheme="minorHAnsi"/>
              </w:rPr>
              <w:tab/>
            </w:r>
            <w:r w:rsidRPr="00836AD9">
              <w:rPr>
                <w:rFonts w:asciiTheme="minorHAnsi" w:hAnsiTheme="minorHAnsi" w:cstheme="minorHAnsi"/>
              </w:rPr>
              <w:t>To what extent does having lower access to supermarkets exacerbate these barriers?</w:t>
            </w:r>
          </w:p>
          <w:p w:rsidRPr="00836AD9" w:rsidR="00E967C1" w:rsidP="005D61F7" w:rsidRDefault="005D61F7" w14:paraId="37014246" w14:textId="0B20896E">
            <w:pPr>
              <w:ind w:left="1045" w:hanging="990"/>
              <w:jc w:val="both"/>
              <w:rPr>
                <w:rFonts w:asciiTheme="minorHAnsi" w:hAnsiTheme="minorHAnsi" w:cstheme="minorHAnsi"/>
              </w:rPr>
            </w:pPr>
            <w:r w:rsidRPr="00836AD9">
              <w:rPr>
                <w:rFonts w:asciiTheme="minorHAnsi" w:hAnsiTheme="minorHAnsi" w:cstheme="minorHAnsi"/>
              </w:rPr>
              <w:t>RQ</w:t>
            </w:r>
            <w:r>
              <w:rPr>
                <w:rFonts w:asciiTheme="minorHAnsi" w:hAnsiTheme="minorHAnsi" w:cstheme="minorHAnsi"/>
              </w:rPr>
              <w:t>5</w:t>
            </w:r>
            <w:r w:rsidRPr="00836AD9">
              <w:rPr>
                <w:rFonts w:asciiTheme="minorHAnsi" w:hAnsiTheme="minorHAnsi" w:cstheme="minorHAnsi"/>
              </w:rPr>
              <w:t xml:space="preserve">b.  </w:t>
            </w:r>
            <w:r>
              <w:rPr>
                <w:rFonts w:asciiTheme="minorHAnsi" w:hAnsiTheme="minorHAnsi" w:cstheme="minorHAnsi"/>
              </w:rPr>
              <w:tab/>
            </w:r>
            <w:r w:rsidRPr="00836AD9">
              <w:rPr>
                <w:rFonts w:asciiTheme="minorHAnsi" w:hAnsiTheme="minorHAnsi" w:cstheme="minorHAnsi"/>
              </w:rPr>
              <w:t>Are there any cultural differences to these experiences?</w:t>
            </w:r>
          </w:p>
        </w:tc>
      </w:tr>
    </w:tbl>
    <w:p w:rsidRPr="00DC66BA" w:rsidR="00E967C1" w:rsidRDefault="00E967C1" w14:paraId="6F6E5D88" w14:textId="77777777"/>
    <w:p w:rsidRPr="00DC66BA" w:rsidR="00E967C1" w:rsidP="00E967C1" w:rsidRDefault="00E967C1" w14:paraId="78071C5E" w14:textId="77777777">
      <w:r w:rsidRPr="00DC66BA">
        <w:br w:type="page"/>
      </w:r>
    </w:p>
    <w:p w:rsidRPr="00DC66BA" w:rsidR="00E967C1" w:rsidP="00836AD9" w:rsidRDefault="002D745D" w14:paraId="43D84CFE" w14:textId="77777777">
      <w:pPr>
        <w:pStyle w:val="Heading1"/>
      </w:pPr>
      <w:r>
        <w:lastRenderedPageBreak/>
        <w:t>Introduction and Warm-Up (10</w:t>
      </w:r>
      <w:r w:rsidRPr="00DC66BA" w:rsidR="00E967C1">
        <w:t xml:space="preserve"> min.)</w:t>
      </w:r>
    </w:p>
    <w:p w:rsidRPr="00DC66BA" w:rsidR="00E967C1" w:rsidP="00E967C1" w:rsidRDefault="00E967C1" w14:paraId="4805BE0B" w14:textId="19DEA37D">
      <w:pPr>
        <w:spacing w:after="120"/>
      </w:pPr>
      <w:r w:rsidRPr="00DC66BA">
        <w:t>Thank you for joining us today.</w:t>
      </w:r>
      <w:r w:rsidR="00F84A67">
        <w:t xml:space="preserve"> I’m _____, and I’m from Westat, a research firm in Rockville, MD</w:t>
      </w:r>
      <w:r w:rsidRPr="00DC66BA">
        <w:t xml:space="preserve">.  We are conducting research on behalf of the U.S. Food and Drug Administration. Today I am going to be asking you to talk about your family’s food and eating behaviors. I’m here to learn from you and hear what you have to say about these topics, so please feel free to speak openly and honestly. Your full participation today is going to help us better understand how people think about and make decisions </w:t>
      </w:r>
      <w:r w:rsidRPr="00DC66BA">
        <w:rPr>
          <w:noProof/>
        </w:rPr>
        <w:t>around</w:t>
      </w:r>
      <w:r w:rsidRPr="00DC66BA">
        <w:t xml:space="preserve"> food. What you have to say is very important to us and your time today is appreciated. We will have about 90 minutes for our discussion.  </w:t>
      </w:r>
    </w:p>
    <w:p w:rsidRPr="00DC66BA" w:rsidR="00E967C1" w:rsidP="00836AD9" w:rsidRDefault="00E967C1" w14:paraId="1F5876C7" w14:textId="77777777">
      <w:r w:rsidRPr="00DC66BA">
        <w:t>Before we begin, I want to review a few ground rules for our discussion.</w:t>
      </w:r>
    </w:p>
    <w:p w:rsidRPr="00836AD9" w:rsidR="00E967C1" w:rsidP="00836AD9" w:rsidRDefault="00E967C1" w14:paraId="1FD16E69" w14:textId="77777777">
      <w:pPr>
        <w:pStyle w:val="Bullets"/>
      </w:pPr>
      <w:r w:rsidRPr="00836AD9">
        <w:t>There are no right or wrong answers in today’s discussion. We want to know your honest opinions and experiences.</w:t>
      </w:r>
    </w:p>
    <w:p w:rsidR="00EE65A1" w:rsidP="00836AD9" w:rsidRDefault="00E967C1" w14:paraId="3A794A05" w14:textId="77777777">
      <w:pPr>
        <w:pStyle w:val="Bullets"/>
      </w:pPr>
      <w:r w:rsidRPr="00836AD9">
        <w:t xml:space="preserve">We are audio and video recording this conversation so that I can give you my full attention and not have to take a lot of notes. </w:t>
      </w:r>
      <w:r w:rsidR="00324BFB">
        <w:t>We are also livestreaming the discussion so that</w:t>
      </w:r>
      <w:r w:rsidRPr="00836AD9">
        <w:t xml:space="preserve"> project staff from our research team </w:t>
      </w:r>
      <w:r w:rsidR="00324BFB">
        <w:t xml:space="preserve">can watch. </w:t>
      </w:r>
    </w:p>
    <w:p w:rsidRPr="00836AD9" w:rsidR="00E967C1" w:rsidP="00836AD9" w:rsidRDefault="00324BFB" w14:paraId="40857BE0" w14:textId="5A19774F">
      <w:pPr>
        <w:pStyle w:val="Bullets"/>
      </w:pPr>
      <w:r>
        <w:t>IF IN CONVENTIONAL FACILITY, There are also staff</w:t>
      </w:r>
      <w:r w:rsidRPr="00836AD9" w:rsidR="00E967C1">
        <w:t xml:space="preserve"> in the observation room behind us. </w:t>
      </w:r>
      <w:r>
        <w:t>I have a colleague who is assisting with the technology for the recordings and livestreaming.</w:t>
      </w:r>
    </w:p>
    <w:p w:rsidRPr="00836AD9" w:rsidR="00E967C1" w:rsidP="00836AD9" w:rsidRDefault="00E967C1" w14:paraId="5BEE1006" w14:textId="4432B042">
      <w:pPr>
        <w:pStyle w:val="Bullets"/>
      </w:pPr>
      <w:r w:rsidRPr="00836AD9">
        <w:t xml:space="preserve">When writing up our findings, we will not include any information that could identify you. Your </w:t>
      </w:r>
      <w:r w:rsidR="00324BFB">
        <w:t>name or contact information</w:t>
      </w:r>
      <w:r w:rsidRPr="00836AD9">
        <w:t xml:space="preserve"> will not be given to anyone, and no one will contact you about this research after this group is over. Essentially, nothing you say will be tied directly to you.  We are interested in what is being said, not who is saying it.  </w:t>
      </w:r>
    </w:p>
    <w:p w:rsidRPr="00836AD9" w:rsidR="00E967C1" w:rsidP="00836AD9" w:rsidRDefault="00E967C1" w14:paraId="56E9933D" w14:textId="77777777">
      <w:pPr>
        <w:pStyle w:val="Bullets"/>
      </w:pPr>
      <w:r w:rsidRPr="00836AD9">
        <w:t>Everyone’s participation is important; we want to hear from everybody.</w:t>
      </w:r>
    </w:p>
    <w:p w:rsidRPr="00836AD9" w:rsidR="00E967C1" w:rsidP="00836AD9" w:rsidRDefault="00E967C1" w14:paraId="59C27BED" w14:textId="77777777">
      <w:pPr>
        <w:pStyle w:val="Bullets"/>
      </w:pPr>
      <w:r w:rsidRPr="00836AD9">
        <w:t>It is OK to disagree.</w:t>
      </w:r>
    </w:p>
    <w:p w:rsidRPr="00836AD9" w:rsidR="00E967C1" w:rsidP="00836AD9" w:rsidRDefault="00E967C1" w14:paraId="15191B1A" w14:textId="77777777">
      <w:pPr>
        <w:pStyle w:val="Bullets"/>
      </w:pPr>
      <w:r w:rsidRPr="00836AD9">
        <w:t>Please speak up (speak loudly).</w:t>
      </w:r>
    </w:p>
    <w:p w:rsidRPr="00836AD9" w:rsidR="00E967C1" w:rsidP="00836AD9" w:rsidRDefault="00E967C1" w14:paraId="7F316C6A" w14:textId="43E3C4D7">
      <w:pPr>
        <w:pStyle w:val="Bullets"/>
      </w:pPr>
      <w:r w:rsidRPr="00836AD9">
        <w:t xml:space="preserve">Please speak one at </w:t>
      </w:r>
      <w:r w:rsidR="0007738F">
        <w:t>a</w:t>
      </w:r>
      <w:r w:rsidRPr="00836AD9" w:rsidR="0007738F">
        <w:t xml:space="preserve"> </w:t>
      </w:r>
      <w:r w:rsidRPr="00836AD9">
        <w:t>time so we can hear all the responses—no side conversations.</w:t>
      </w:r>
    </w:p>
    <w:p w:rsidRPr="00836AD9" w:rsidR="00E967C1" w:rsidP="00836AD9" w:rsidRDefault="00E967C1" w14:paraId="261912A6" w14:textId="77777777">
      <w:pPr>
        <w:pStyle w:val="Bullets"/>
      </w:pPr>
      <w:r w:rsidRPr="00836AD9">
        <w:t>Please turn off your cell phones or anything else that may make it difficult to concentrate.</w:t>
      </w:r>
    </w:p>
    <w:p w:rsidRPr="00836AD9" w:rsidR="00E967C1" w:rsidP="00836AD9" w:rsidRDefault="00E967C1" w14:paraId="2AED32C3" w14:textId="77777777">
      <w:pPr>
        <w:pStyle w:val="Bullets"/>
      </w:pPr>
      <w:r w:rsidRPr="00836AD9">
        <w:t>If at any point you feel uncomfortable with a question, simply let me know that you prefer not to answer that question. You can also leave the groups at any time.</w:t>
      </w:r>
    </w:p>
    <w:p w:rsidRPr="00836AD9" w:rsidR="00E967C1" w:rsidP="00836AD9" w:rsidRDefault="00E967C1" w14:paraId="68C12F1D" w14:textId="77777777">
      <w:pPr>
        <w:pStyle w:val="Bullets"/>
      </w:pPr>
      <w:r w:rsidRPr="00836AD9">
        <w:t>In any questions where we ask about “your children” please refer only to your children who are 3-6 years old.</w:t>
      </w:r>
    </w:p>
    <w:p w:rsidRPr="00836AD9" w:rsidR="00E967C1" w:rsidP="00836AD9" w:rsidRDefault="00E967C1" w14:paraId="5639684A" w14:textId="0345EE7A">
      <w:pPr>
        <w:pStyle w:val="Bullets"/>
      </w:pPr>
      <w:r w:rsidRPr="00836AD9">
        <w:t xml:space="preserve">Finally, please keep an open mind and remain respectful of your fellow participants.  This means please do not interrupt people and please </w:t>
      </w:r>
      <w:r w:rsidR="00FC7A3E">
        <w:t>don’t share</w:t>
      </w:r>
      <w:r w:rsidRPr="00836AD9" w:rsidR="00FC7A3E">
        <w:t xml:space="preserve"> </w:t>
      </w:r>
      <w:r w:rsidRPr="00836AD9">
        <w:t xml:space="preserve">what we discuss </w:t>
      </w:r>
      <w:r w:rsidR="00FC7A3E">
        <w:t>with others</w:t>
      </w:r>
      <w:r w:rsidRPr="00836AD9">
        <w:t xml:space="preserve"> after the group.</w:t>
      </w:r>
    </w:p>
    <w:p w:rsidRPr="00836AD9" w:rsidR="00E967C1" w:rsidP="00836AD9" w:rsidRDefault="00E967C1" w14:paraId="7362C947" w14:textId="77777777">
      <w:pPr>
        <w:pStyle w:val="Bullets"/>
      </w:pPr>
      <w:r w:rsidRPr="00836AD9">
        <w:t>Do you have any questions before we begin?</w:t>
      </w:r>
    </w:p>
    <w:p w:rsidRPr="00DC66BA" w:rsidR="00E967C1" w:rsidP="00E967C1" w:rsidRDefault="00E967C1" w14:paraId="2FD0A64D" w14:textId="77777777">
      <w:pPr>
        <w:spacing w:after="120"/>
        <w:ind w:left="1170"/>
      </w:pPr>
    </w:p>
    <w:p w:rsidR="00836AD9" w:rsidP="00E967C1" w:rsidRDefault="00836AD9" w14:paraId="37DFC5AD" w14:textId="77777777">
      <w:pPr>
        <w:spacing w:after="120"/>
        <w:rPr>
          <w:b/>
        </w:rPr>
      </w:pPr>
    </w:p>
    <w:p w:rsidR="00E967C1" w:rsidP="00E967C1" w:rsidRDefault="00E967C1" w14:paraId="72889509" w14:textId="50BF237B">
      <w:pPr>
        <w:spacing w:after="120"/>
      </w:pPr>
      <w:r w:rsidRPr="00DC66BA">
        <w:rPr>
          <w:b/>
        </w:rPr>
        <w:t>Warm-Up.</w:t>
      </w:r>
      <w:r w:rsidRPr="00DC66BA">
        <w:t xml:space="preserve"> Thanks again for being here. Everyone in the room has something in common—you are all parents or caregivers of young children. Let’s warm up by going around the room and saying your first name, your children’s ages, and their favorite foods.</w:t>
      </w:r>
    </w:p>
    <w:p w:rsidRPr="00DC66BA" w:rsidR="00465C89" w:rsidP="00E967C1" w:rsidRDefault="00465C89" w14:paraId="4FC111CE" w14:textId="77777777">
      <w:pPr>
        <w:spacing w:after="120"/>
      </w:pPr>
    </w:p>
    <w:p w:rsidRPr="00836AD9" w:rsidR="00E967C1" w:rsidP="00836AD9" w:rsidRDefault="00E967C1" w14:paraId="39C0A69E" w14:textId="455128CD">
      <w:pPr>
        <w:pStyle w:val="Heading1"/>
      </w:pPr>
      <w:r w:rsidRPr="00836AD9">
        <w:t>Food Shopping (1</w:t>
      </w:r>
      <w:r w:rsidRPr="00836AD9" w:rsidR="00BC568B">
        <w:t>5</w:t>
      </w:r>
      <w:r w:rsidRPr="00836AD9" w:rsidR="002D745D">
        <w:t xml:space="preserve"> min</w:t>
      </w:r>
      <w:r w:rsidRPr="00836AD9">
        <w:t>.)</w:t>
      </w:r>
    </w:p>
    <w:p w:rsidRPr="00DC66BA" w:rsidR="002D745D" w:rsidP="002D745D" w:rsidRDefault="002D745D" w14:paraId="2EC4CF8B" w14:textId="408A023A">
      <w:pPr>
        <w:pStyle w:val="ListParagraph"/>
        <w:numPr>
          <w:ilvl w:val="0"/>
          <w:numId w:val="17"/>
        </w:numPr>
        <w:spacing w:after="120"/>
      </w:pPr>
      <w:r w:rsidRPr="00DC66BA">
        <w:t xml:space="preserve">Let’s </w:t>
      </w:r>
      <w:r w:rsidR="00BC568B">
        <w:t xml:space="preserve">start off by </w:t>
      </w:r>
      <w:r w:rsidRPr="00DC66BA">
        <w:t>talk</w:t>
      </w:r>
      <w:r w:rsidR="00BC568B">
        <w:t>ing</w:t>
      </w:r>
      <w:r w:rsidRPr="00DC66BA">
        <w:t xml:space="preserve"> about </w:t>
      </w:r>
      <w:r w:rsidR="00BC568B">
        <w:t>g</w:t>
      </w:r>
      <w:r w:rsidR="00EE65A1">
        <w:t>etting groceries</w:t>
      </w:r>
      <w:r w:rsidRPr="00DC66BA">
        <w:t xml:space="preserve"> for your family…</w:t>
      </w:r>
    </w:p>
    <w:p w:rsidR="00323DB8" w:rsidP="00836AD9" w:rsidRDefault="00323DB8" w14:paraId="4F5AE0A9" w14:textId="63AA4521">
      <w:pPr>
        <w:pStyle w:val="Bullets"/>
      </w:pPr>
      <w:r>
        <w:t xml:space="preserve">Where do you </w:t>
      </w:r>
      <w:r w:rsidR="004C59BF">
        <w:t xml:space="preserve">usually </w:t>
      </w:r>
      <w:r w:rsidR="00EE65A1">
        <w:t>get your</w:t>
      </w:r>
      <w:r w:rsidR="004C59BF">
        <w:t xml:space="preserve"> </w:t>
      </w:r>
      <w:r w:rsidRPr="00836AD9" w:rsidR="004C59BF">
        <w:t>groceries</w:t>
      </w:r>
      <w:r w:rsidR="00EE65A1">
        <w:t xml:space="preserve"> from</w:t>
      </w:r>
      <w:r>
        <w:t>?</w:t>
      </w:r>
    </w:p>
    <w:p w:rsidR="00323DB8" w:rsidP="00836AD9" w:rsidRDefault="00BC568B" w14:paraId="6C699313" w14:textId="76701352">
      <w:pPr>
        <w:pStyle w:val="Bullets"/>
      </w:pPr>
      <w:r>
        <w:t>In a typical month, how</w:t>
      </w:r>
      <w:r w:rsidR="00323DB8">
        <w:t xml:space="preserve"> often do you </w:t>
      </w:r>
      <w:r w:rsidR="00EE65A1">
        <w:t>go</w:t>
      </w:r>
      <w:r w:rsidR="00323DB8">
        <w:t>?</w:t>
      </w:r>
      <w:r w:rsidR="004C59BF">
        <w:t xml:space="preserve"> </w:t>
      </w:r>
    </w:p>
    <w:p w:rsidRPr="00465C89" w:rsidR="004D7CEE" w:rsidP="004D7CEE" w:rsidRDefault="004D7CEE" w14:paraId="6A39C7BA" w14:textId="431466E9">
      <w:pPr>
        <w:pStyle w:val="ModeratorNotes"/>
      </w:pPr>
      <w:r>
        <w:t>IF NEEDED, Probe on whether participants time shopping to line up with EBT disbursement or other payments</w:t>
      </w:r>
    </w:p>
    <w:p w:rsidRPr="00465C89" w:rsidR="00836AD9" w:rsidP="00836AD9" w:rsidRDefault="00323DB8" w14:paraId="082E9A0C" w14:textId="0F7B075B">
      <w:pPr>
        <w:pStyle w:val="Bullets"/>
      </w:pPr>
      <w:r>
        <w:t xml:space="preserve">What challenges do you face to get </w:t>
      </w:r>
      <w:r w:rsidR="00EE65A1">
        <w:t>there</w:t>
      </w:r>
      <w:r w:rsidRPr="00465C89">
        <w:t>?</w:t>
      </w:r>
    </w:p>
    <w:p w:rsidRPr="00465C89" w:rsidR="003B03C0" w:rsidP="002E5183" w:rsidRDefault="003B03C0" w14:paraId="07320075" w14:textId="43434EB0">
      <w:pPr>
        <w:pStyle w:val="ModeratorNotes"/>
      </w:pPr>
      <w:r w:rsidRPr="00465C89">
        <w:t>Transportation, child care, etc. are likely to emerge as barriers here.</w:t>
      </w:r>
    </w:p>
    <w:p w:rsidR="00164A9C" w:rsidP="001419D0" w:rsidRDefault="00164A9C" w14:paraId="48946726" w14:textId="7199315A">
      <w:pPr>
        <w:pStyle w:val="ListParagraph"/>
        <w:numPr>
          <w:ilvl w:val="0"/>
          <w:numId w:val="17"/>
        </w:numPr>
        <w:spacing w:after="120"/>
      </w:pPr>
      <w:r>
        <w:t>When you get groceries, how do you typically decide what you get?</w:t>
      </w:r>
    </w:p>
    <w:p w:rsidR="00432FF2" w:rsidP="00432FF2" w:rsidRDefault="00432FF2" w14:paraId="28EFA361" w14:textId="2BC1F121">
      <w:pPr>
        <w:pStyle w:val="ModeratorNotes"/>
      </w:pPr>
      <w:r>
        <w:t>PROBE on cost, healthfulness, making sure there’s enough food for the week, etc.</w:t>
      </w:r>
    </w:p>
    <w:p w:rsidR="00432FF2" w:rsidP="001419D0" w:rsidRDefault="00432FF2" w14:paraId="47D20307" w14:textId="02D3251C">
      <w:pPr>
        <w:pStyle w:val="Bullets"/>
      </w:pPr>
      <w:r>
        <w:t xml:space="preserve">Do you </w:t>
      </w:r>
      <w:r w:rsidR="00164A9C">
        <w:t xml:space="preserve">get </w:t>
      </w:r>
      <w:r>
        <w:t xml:space="preserve">different things </w:t>
      </w:r>
      <w:r w:rsidR="00164A9C">
        <w:t>for</w:t>
      </w:r>
      <w:r>
        <w:t xml:space="preserve"> your child as compared to </w:t>
      </w:r>
      <w:r w:rsidR="001419D0">
        <w:t xml:space="preserve">what you get </w:t>
      </w:r>
      <w:r w:rsidR="00164A9C">
        <w:t>for</w:t>
      </w:r>
      <w:r>
        <w:t xml:space="preserve"> yourself?</w:t>
      </w:r>
    </w:p>
    <w:p w:rsidR="001419D0" w:rsidP="001419D0" w:rsidRDefault="001419D0" w14:paraId="79434722" w14:textId="15C99805">
      <w:pPr>
        <w:pStyle w:val="Bullets"/>
      </w:pPr>
      <w:r>
        <w:t xml:space="preserve">Do you </w:t>
      </w:r>
      <w:r w:rsidR="006143EB">
        <w:t>get</w:t>
      </w:r>
      <w:r>
        <w:t xml:space="preserve"> different things when your child is with you than when </w:t>
      </w:r>
      <w:r w:rsidR="006143EB">
        <w:t xml:space="preserve">you </w:t>
      </w:r>
      <w:r>
        <w:t>go alone?</w:t>
      </w:r>
    </w:p>
    <w:p w:rsidR="004C59BF" w:rsidP="00836AD9" w:rsidRDefault="004C59BF" w14:paraId="35611F27" w14:textId="2C156B88">
      <w:pPr>
        <w:pStyle w:val="Bullets"/>
      </w:pPr>
      <w:r>
        <w:t>Are there any sections where you tend to make most of your selections? Explain.</w:t>
      </w:r>
    </w:p>
    <w:p w:rsidR="004C59BF" w:rsidP="00836AD9" w:rsidRDefault="004C59BF" w14:paraId="69F4F754" w14:textId="47DC401D">
      <w:pPr>
        <w:pStyle w:val="Bullets"/>
      </w:pPr>
      <w:r>
        <w:t xml:space="preserve">Conversely, are there any sections that you tend to avoid?  Explain. </w:t>
      </w:r>
    </w:p>
    <w:p w:rsidR="002E5183" w:rsidRDefault="002E5183" w14:paraId="2845995F" w14:textId="77777777">
      <w:pPr>
        <w:spacing w:after="160" w:line="259" w:lineRule="auto"/>
        <w:rPr>
          <w:rFonts w:asciiTheme="majorHAnsi" w:hAnsiTheme="majorHAnsi" w:eastAsiaTheme="majorEastAsia" w:cstheme="majorBidi"/>
          <w:color w:val="365F91" w:themeColor="accent1" w:themeShade="BF"/>
          <w:sz w:val="32"/>
          <w:szCs w:val="28"/>
        </w:rPr>
      </w:pPr>
      <w:r>
        <w:br w:type="page"/>
      </w:r>
    </w:p>
    <w:p w:rsidRPr="00DC66BA" w:rsidR="00E967C1" w:rsidP="00836AD9" w:rsidRDefault="002D745D" w14:paraId="1110380F" w14:textId="679DB56A">
      <w:pPr>
        <w:pStyle w:val="Heading1"/>
      </w:pPr>
      <w:r>
        <w:lastRenderedPageBreak/>
        <w:t>Food Preparation in the Home (</w:t>
      </w:r>
      <w:r w:rsidR="00BC568B">
        <w:t>1</w:t>
      </w:r>
      <w:r w:rsidRPr="00DC66BA" w:rsidR="001A287C">
        <w:t>5</w:t>
      </w:r>
      <w:r>
        <w:t xml:space="preserve"> min</w:t>
      </w:r>
      <w:r w:rsidRPr="00DC66BA" w:rsidR="00E967C1">
        <w:t>.)</w:t>
      </w:r>
    </w:p>
    <w:p w:rsidR="00CC7FBF" w:rsidP="001A287C" w:rsidRDefault="00E967C1" w14:paraId="4E9E37C5" w14:textId="77777777">
      <w:pPr>
        <w:keepNext/>
        <w:spacing w:after="120"/>
      </w:pPr>
      <w:r w:rsidRPr="00DC66BA">
        <w:t xml:space="preserve">Let’s talk about preparing </w:t>
      </w:r>
      <w:r w:rsidR="00CC7FBF">
        <w:t>meals</w:t>
      </w:r>
      <w:r w:rsidRPr="00DC66BA">
        <w:t xml:space="preserve"> for your </w:t>
      </w:r>
      <w:r w:rsidR="002D745D">
        <w:t>family.</w:t>
      </w:r>
    </w:p>
    <w:p w:rsidR="002E5183" w:rsidP="002D745D" w:rsidRDefault="002E5183" w14:paraId="1F345FDD" w14:textId="2DEECE5A">
      <w:pPr>
        <w:pStyle w:val="ListParagraph"/>
        <w:keepNext/>
        <w:numPr>
          <w:ilvl w:val="0"/>
          <w:numId w:val="15"/>
        </w:numPr>
        <w:spacing w:after="120"/>
      </w:pPr>
      <w:r>
        <w:t>Let’s look at the recipes you brought with you.</w:t>
      </w:r>
    </w:p>
    <w:p w:rsidR="002E5183" w:rsidP="002E5183" w:rsidRDefault="002E5183" w14:paraId="26DC28F5" w14:textId="3E8ECE13">
      <w:pPr>
        <w:pStyle w:val="Bullets"/>
      </w:pPr>
      <w:r>
        <w:t>Tell me about the recipe.  Why is it something you cook often?</w:t>
      </w:r>
    </w:p>
    <w:p w:rsidR="002E5183" w:rsidP="002E5183" w:rsidRDefault="002E5183" w14:paraId="0784848D" w14:textId="112F1270">
      <w:pPr>
        <w:pStyle w:val="ModeratorNotes"/>
      </w:pPr>
      <w:r>
        <w:t>PROBE AS NEEDED: appealing to kids, economical, fast, healthfulness</w:t>
      </w:r>
    </w:p>
    <w:p w:rsidR="005C144E" w:rsidP="002E5183" w:rsidRDefault="005C144E" w14:paraId="55E31BD1" w14:textId="1D99355E">
      <w:pPr>
        <w:pStyle w:val="ModeratorNotes"/>
      </w:pPr>
      <w:r>
        <w:t>INCLUDE RESPONDENTS WHO DON’T BRING A RECIPE IN THE DISCUSSION</w:t>
      </w:r>
    </w:p>
    <w:p w:rsidR="00080B7D" w:rsidP="00080B7D" w:rsidRDefault="00080B7D" w14:paraId="137CCDB4" w14:textId="2910304E">
      <w:pPr>
        <w:pStyle w:val="Bullets"/>
      </w:pPr>
      <w:r>
        <w:t>What other foods do you usually serve with this dish? How do you decide which foods should be included in the meal?</w:t>
      </w:r>
    </w:p>
    <w:p w:rsidR="00836AD9" w:rsidP="002D745D" w:rsidRDefault="00CC7FBF" w14:paraId="0F55F803" w14:textId="1119A0A4">
      <w:pPr>
        <w:pStyle w:val="ListParagraph"/>
        <w:keepNext/>
        <w:numPr>
          <w:ilvl w:val="0"/>
          <w:numId w:val="15"/>
        </w:numPr>
        <w:spacing w:after="120"/>
      </w:pPr>
      <w:r>
        <w:t>What kinds of things do you consider/take into account when you’re pr</w:t>
      </w:r>
      <w:r w:rsidR="00836AD9">
        <w:t>eparing a meal for your family?</w:t>
      </w:r>
    </w:p>
    <w:p w:rsidR="00C207B6" w:rsidP="002E5183" w:rsidRDefault="00CC7FBF" w14:paraId="26CE59F5" w14:textId="7B8B1FE1">
      <w:pPr>
        <w:pStyle w:val="ModeratorNotes"/>
      </w:pPr>
      <w:r>
        <w:t>PROBE AS NEEDED: picky eaters, something different for the youngsters, en</w:t>
      </w:r>
      <w:r w:rsidR="002E5183">
        <w:t>ough food to eat, healthfulness</w:t>
      </w:r>
    </w:p>
    <w:p w:rsidRPr="00DC66BA" w:rsidR="00E967C1" w:rsidP="00836AD9" w:rsidRDefault="00E967C1" w14:paraId="1EC45E6B" w14:textId="77777777">
      <w:pPr>
        <w:pStyle w:val="Heading1"/>
      </w:pPr>
      <w:r w:rsidRPr="00DC66BA">
        <w:t>Attitudes toward “Healthy” and “Healthy Eating” (15</w:t>
      </w:r>
      <w:r w:rsidR="002D745D">
        <w:t xml:space="preserve"> </w:t>
      </w:r>
      <w:r w:rsidRPr="00DC66BA">
        <w:t>min</w:t>
      </w:r>
      <w:r w:rsidR="002D745D">
        <w:t>.</w:t>
      </w:r>
      <w:r w:rsidRPr="00DC66BA">
        <w:t>)</w:t>
      </w:r>
    </w:p>
    <w:p w:rsidR="00E967C1" w:rsidP="002D745D" w:rsidRDefault="0098364D" w14:paraId="7D1475D8" w14:textId="77777777">
      <w:pPr>
        <w:pStyle w:val="ListParagraph"/>
        <w:keepNext/>
        <w:numPr>
          <w:ilvl w:val="0"/>
          <w:numId w:val="18"/>
        </w:numPr>
        <w:spacing w:after="120"/>
      </w:pPr>
      <w:r w:rsidRPr="002D745D">
        <w:t>Le</w:t>
      </w:r>
      <w:r w:rsidRPr="002D745D" w:rsidR="00E967C1">
        <w:t>t’s take a step back for a second and think about the word “health.”  What does this word mean to you?</w:t>
      </w:r>
    </w:p>
    <w:p w:rsidRPr="002D745D" w:rsidR="002D745D" w:rsidP="002D745D" w:rsidRDefault="002D745D" w14:paraId="14F9DB7A" w14:textId="77777777">
      <w:pPr>
        <w:pStyle w:val="ListParagraph"/>
        <w:keepNext/>
        <w:spacing w:after="120"/>
      </w:pPr>
    </w:p>
    <w:p w:rsidR="002E5183" w:rsidP="002D745D" w:rsidRDefault="00E967C1" w14:paraId="4463F0A9" w14:textId="77777777">
      <w:pPr>
        <w:pStyle w:val="ListParagraph"/>
        <w:keepNext/>
        <w:numPr>
          <w:ilvl w:val="0"/>
          <w:numId w:val="18"/>
        </w:numPr>
      </w:pPr>
      <w:r w:rsidRPr="002D745D">
        <w:t xml:space="preserve">Now, what </w:t>
      </w:r>
      <w:r w:rsidRPr="002D745D" w:rsidR="00CC7FBF">
        <w:t>words come</w:t>
      </w:r>
      <w:r w:rsidRPr="002D745D">
        <w:t xml:space="preserve"> to mind when you think of a healthy child?</w:t>
      </w:r>
    </w:p>
    <w:p w:rsidR="002E5183" w:rsidP="002E5183" w:rsidRDefault="002E5183" w14:paraId="49146D58" w14:textId="77777777">
      <w:pPr>
        <w:pStyle w:val="ListParagraph"/>
      </w:pPr>
    </w:p>
    <w:p w:rsidRPr="002D745D" w:rsidR="00E967C1" w:rsidP="002E5183" w:rsidRDefault="00E967C1" w14:paraId="5065A279" w14:textId="1B0CB3EE">
      <w:pPr>
        <w:pStyle w:val="ModeratorNotes"/>
      </w:pPr>
      <w:r w:rsidRPr="002D745D">
        <w:t>Moderator writes these words on the board and picks which words to probe on.</w:t>
      </w:r>
      <w:r w:rsidRPr="002D745D" w:rsidR="00CC7FBF">
        <w:t xml:space="preserve"> </w:t>
      </w:r>
      <w:r w:rsidRPr="002D745D">
        <w:t xml:space="preserve">Tell me more about that…” for words related to </w:t>
      </w:r>
      <w:r w:rsidRPr="002D745D">
        <w:rPr>
          <w:u w:val="single"/>
        </w:rPr>
        <w:t>food</w:t>
      </w:r>
      <w:r w:rsidRPr="002D745D">
        <w:t xml:space="preserve"> (well-fed, eats healthy, etc.) and </w:t>
      </w:r>
      <w:r w:rsidRPr="002D745D">
        <w:rPr>
          <w:u w:val="single"/>
        </w:rPr>
        <w:t>weight</w:t>
      </w:r>
      <w:r w:rsidRPr="002D745D">
        <w:t xml:space="preserve"> (not too heavy, not too thin, strong, good-looking, etc.)</w:t>
      </w:r>
    </w:p>
    <w:p w:rsidR="002E5183" w:rsidP="00BC568B" w:rsidRDefault="003018A1" w14:paraId="7BDD1BEA" w14:textId="51996428">
      <w:pPr>
        <w:pStyle w:val="ListParagraph"/>
        <w:numPr>
          <w:ilvl w:val="0"/>
          <w:numId w:val="18"/>
        </w:numPr>
        <w:spacing w:after="120"/>
      </w:pPr>
      <w:r>
        <w:t>Let’s discuss a little more about</w:t>
      </w:r>
      <w:r w:rsidRPr="00BC568B" w:rsidR="00CC7FBF">
        <w:t xml:space="preserve"> how food</w:t>
      </w:r>
      <w:r>
        <w:t xml:space="preserve"> is</w:t>
      </w:r>
      <w:r w:rsidRPr="00BC568B" w:rsidR="00CC7FBF">
        <w:t xml:space="preserve"> </w:t>
      </w:r>
      <w:r>
        <w:t>related to your child’s health…</w:t>
      </w:r>
    </w:p>
    <w:p w:rsidRPr="00BC568B" w:rsidR="00CC7FBF" w:rsidP="002E5183" w:rsidRDefault="00CC7FBF" w14:paraId="1625D880" w14:textId="61D12396">
      <w:pPr>
        <w:pStyle w:val="ModeratorNotes"/>
      </w:pPr>
      <w:r w:rsidRPr="00BC568B">
        <w:t>PROBE: type o</w:t>
      </w:r>
      <w:r w:rsidR="002E5183">
        <w:t>f food, how much the child eats</w:t>
      </w:r>
      <w:r w:rsidR="003018A1">
        <w:t xml:space="preserve"> (adapt probing depending upon discussion at Q2)</w:t>
      </w:r>
    </w:p>
    <w:p w:rsidR="002E5183" w:rsidP="002E5183" w:rsidRDefault="0098364D" w14:paraId="01D22BE6" w14:textId="6F1067C9">
      <w:pPr>
        <w:pStyle w:val="Bullets"/>
      </w:pPr>
      <w:r>
        <w:t xml:space="preserve">Parents often have concerns about </w:t>
      </w:r>
      <w:r w:rsidRPr="0098364D">
        <w:rPr>
          <w:u w:val="single"/>
        </w:rPr>
        <w:t>what</w:t>
      </w:r>
      <w:r>
        <w:t xml:space="preserve"> their children eat. </w:t>
      </w:r>
      <w:r w:rsidR="009C344C">
        <w:t>Is anyone here concerned about what foods your child eats</w:t>
      </w:r>
      <w:r>
        <w:t>?</w:t>
      </w:r>
      <w:r w:rsidR="002E5183">
        <w:t xml:space="preserve"> Tell me about that.</w:t>
      </w:r>
    </w:p>
    <w:p w:rsidR="0098364D" w:rsidP="002E5183" w:rsidRDefault="0098364D" w14:paraId="2C1C8BD9" w14:textId="3AC79FB3">
      <w:pPr>
        <w:pStyle w:val="ModeratorNotes"/>
      </w:pPr>
      <w:r>
        <w:t xml:space="preserve">PROBE </w:t>
      </w:r>
      <w:r w:rsidR="002E5183">
        <w:t>on what the “right kinds of foods” means to them.</w:t>
      </w:r>
    </w:p>
    <w:p w:rsidRPr="0098364D" w:rsidR="0098364D" w:rsidP="002E5183" w:rsidRDefault="0098364D" w14:paraId="201C86FA" w14:textId="1FB0A810">
      <w:pPr>
        <w:pStyle w:val="Bullets"/>
      </w:pPr>
      <w:r w:rsidRPr="0098364D">
        <w:t xml:space="preserve">Sometimes parents worry about </w:t>
      </w:r>
      <w:r w:rsidRPr="0098364D">
        <w:rPr>
          <w:u w:val="single"/>
        </w:rPr>
        <w:t>how much</w:t>
      </w:r>
      <w:r w:rsidRPr="0098364D">
        <w:t xml:space="preserve"> their children eat, that they </w:t>
      </w:r>
      <w:r>
        <w:t>may be</w:t>
      </w:r>
      <w:r w:rsidRPr="0098364D">
        <w:t xml:space="preserve"> eating too much or too little of a certain food. Has anyone here had that concern?</w:t>
      </w:r>
      <w:r w:rsidR="002E5183">
        <w:br/>
      </w:r>
      <w:r w:rsidRPr="0098364D">
        <w:t xml:space="preserve">IF YES: What steps, if any, have you taken to address that with your child? How effective have they been? </w:t>
      </w:r>
    </w:p>
    <w:p w:rsidRPr="00DC66BA" w:rsidR="00E967C1" w:rsidP="002E5183" w:rsidRDefault="00E967C1" w14:paraId="329AD6D6" w14:textId="6402EAC4">
      <w:pPr>
        <w:pStyle w:val="ListParagraph"/>
        <w:numPr>
          <w:ilvl w:val="0"/>
          <w:numId w:val="18"/>
        </w:numPr>
      </w:pPr>
      <w:r w:rsidRPr="00DC66BA">
        <w:lastRenderedPageBreak/>
        <w:t xml:space="preserve">What does it mean </w:t>
      </w:r>
      <w:r w:rsidR="006D783A">
        <w:t>for a child to be</w:t>
      </w:r>
      <w:r w:rsidRPr="00DC66BA">
        <w:t xml:space="preserve"> “</w:t>
      </w:r>
      <w:r w:rsidR="006D783A">
        <w:t>well-nourished”?</w:t>
      </w:r>
      <w:r w:rsidRPr="00DC66BA">
        <w:t xml:space="preserve">  What do you do to make </w:t>
      </w:r>
      <w:r w:rsidRPr="002E5183">
        <w:t>sure</w:t>
      </w:r>
      <w:r w:rsidRPr="00DC66BA">
        <w:t xml:space="preserve"> your child is </w:t>
      </w:r>
      <w:r w:rsidR="006D783A">
        <w:t>well-nourished</w:t>
      </w:r>
      <w:r w:rsidRPr="00DC66BA">
        <w:t>?</w:t>
      </w:r>
    </w:p>
    <w:p w:rsidRPr="00DC66BA" w:rsidR="006143EB" w:rsidP="006143EB" w:rsidRDefault="006143EB" w14:paraId="48724AB3" w14:textId="77777777">
      <w:pPr>
        <w:pStyle w:val="ModeratorNotes"/>
      </w:pPr>
      <w:r>
        <w:t>PROBE: How would you know if your</w:t>
      </w:r>
      <w:r w:rsidRPr="00DC66BA">
        <w:t xml:space="preserve"> </w:t>
      </w:r>
      <w:r>
        <w:t>child is well-nourished</w:t>
      </w:r>
      <w:r w:rsidRPr="00DC66BA">
        <w:t>?  What signs would you look for?</w:t>
      </w:r>
    </w:p>
    <w:p w:rsidRPr="00DC66BA" w:rsidR="00E967C1" w:rsidP="00F84A67" w:rsidRDefault="006143EB" w14:paraId="7930A083" w14:textId="67B6827E">
      <w:pPr>
        <w:pStyle w:val="ModeratorNotes"/>
      </w:pPr>
      <w:r>
        <w:t>PROBE</w:t>
      </w:r>
      <w:r w:rsidRPr="00DC66BA" w:rsidR="00E967C1">
        <w:t>: Which foods would help your child be</w:t>
      </w:r>
      <w:r w:rsidR="006D783A">
        <w:t xml:space="preserve"> “well-nourished”?</w:t>
      </w:r>
    </w:p>
    <w:p w:rsidRPr="00DC66BA" w:rsidR="00E967C1" w:rsidP="00836AD9" w:rsidRDefault="00E967C1" w14:paraId="0A96D900" w14:textId="77777777">
      <w:pPr>
        <w:pStyle w:val="Heading1"/>
      </w:pPr>
      <w:r w:rsidRPr="00DC66BA">
        <w:t>Perceptions of “Overweight” and their Child’s Weight (25-30 min.)</w:t>
      </w:r>
    </w:p>
    <w:p w:rsidR="00BC568B" w:rsidP="00E967C1" w:rsidRDefault="00E967C1" w14:paraId="2839364D" w14:textId="032F9D03">
      <w:pPr>
        <w:spacing w:after="120"/>
      </w:pPr>
      <w:r w:rsidRPr="00DC66BA">
        <w:rPr>
          <w:b/>
        </w:rPr>
        <w:t>Activity.</w:t>
      </w:r>
      <w:r w:rsidRPr="00DC66BA">
        <w:t xml:space="preserve">  We</w:t>
      </w:r>
      <w:r w:rsidR="00C2528C">
        <w:t xml:space="preserve"> talked about the term “healthy child” </w:t>
      </w:r>
      <w:r w:rsidRPr="00DC66BA">
        <w:t xml:space="preserve">earlier.  Now let’s do an activity that builds upon that. </w:t>
      </w:r>
      <w:r w:rsidR="000E099E">
        <w:br/>
        <w:t>MODERATOR HAS LARGE CARDS WITH EACH FIGURE.</w:t>
      </w:r>
    </w:p>
    <w:p w:rsidR="00C2528C" w:rsidP="00F84A67" w:rsidRDefault="00C2528C" w14:paraId="6B17C612" w14:textId="77777777">
      <w:pPr>
        <w:spacing w:after="120"/>
      </w:pPr>
      <w:r>
        <w:t>Each of these cards has a drawing of a child about 3-6 years old.  For each card, you’ll decide as a group whether the child is “healthy” or “not healthy.”</w:t>
      </w:r>
    </w:p>
    <w:p w:rsidR="00E967C1" w:rsidP="00C2528C" w:rsidRDefault="00C2528C" w14:paraId="6F73F6A6" w14:textId="736797BF">
      <w:pPr>
        <w:pStyle w:val="ModeratorNotes"/>
      </w:pPr>
      <w:r>
        <w:t>Write “healthy” and “not healthy” as headings on the board or easel.</w:t>
      </w:r>
      <w:r w:rsidR="00DE2256">
        <w:t xml:space="preserve"> </w:t>
      </w:r>
    </w:p>
    <w:p w:rsidRPr="00DC66BA" w:rsidR="00C2528C" w:rsidP="00C2528C" w:rsidRDefault="000E099E" w14:paraId="16D7EE2E" w14:textId="23785F4F">
      <w:r>
        <w:t>ALTERNATE MALE/FEMALE FIGURES BY</w:t>
      </w:r>
      <w:r w:rsidR="00715C5C">
        <w:t xml:space="preserve"> GROUP</w:t>
      </w:r>
      <w:r w:rsidR="00A26F33">
        <w:t xml:space="preserve">.  </w:t>
      </w:r>
      <w:r w:rsidR="00C2528C">
        <w:t>For each figure:</w:t>
      </w:r>
    </w:p>
    <w:p w:rsidR="00E967C1" w:rsidP="00BC568B" w:rsidRDefault="00C2528C" w14:paraId="4ECA3D4F" w14:textId="0FDDA4CD">
      <w:pPr>
        <w:pStyle w:val="ListParagraph"/>
        <w:numPr>
          <w:ilvl w:val="0"/>
          <w:numId w:val="19"/>
        </w:numPr>
        <w:spacing w:after="120"/>
      </w:pPr>
      <w:r>
        <w:t>Is this child “healthy” or “not healthy”</w:t>
      </w:r>
      <w:r w:rsidRPr="00DE2256" w:rsidR="00E967C1">
        <w:t>?</w:t>
      </w:r>
      <w:r>
        <w:t xml:space="preserve">  Why?</w:t>
      </w:r>
    </w:p>
    <w:p w:rsidRPr="00DE2256" w:rsidR="00A26F33" w:rsidP="00A26F33" w:rsidRDefault="00715C5C" w14:paraId="450804D2" w14:textId="4AB3C114">
      <w:pPr>
        <w:pStyle w:val="ModeratorNotes"/>
      </w:pPr>
      <w:r>
        <w:t>Probe</w:t>
      </w:r>
      <w:r w:rsidR="00A26F33">
        <w:t xml:space="preserve"> on </w:t>
      </w:r>
      <w:r w:rsidRPr="00A26F33" w:rsidR="00A26F33">
        <w:t>reasons</w:t>
      </w:r>
      <w:r w:rsidR="00A26F33">
        <w:t xml:space="preserve"> for classification, e.g., size, body characteristics </w:t>
      </w:r>
    </w:p>
    <w:p w:rsidR="00E967C1" w:rsidP="00C2528C" w:rsidRDefault="00C2528C" w14:paraId="3F9ED50B" w14:textId="549145B4">
      <w:pPr>
        <w:pStyle w:val="Bullets"/>
      </w:pPr>
      <w:r>
        <w:t>Who disagrees?</w:t>
      </w:r>
      <w:r w:rsidR="00A26F33">
        <w:t xml:space="preserve"> Why?</w:t>
      </w:r>
    </w:p>
    <w:p w:rsidR="00A26F33" w:rsidP="00A26F33" w:rsidRDefault="00A26F33" w14:paraId="642BE13B" w14:textId="6B97C63A">
      <w:pPr>
        <w:pStyle w:val="ModeratorNotes"/>
      </w:pPr>
      <w:r>
        <w:t>Elicit reasons for disagreement, e.g., inability to assess “healthy” by body weight; individual body size differences unrelated to health</w:t>
      </w:r>
    </w:p>
    <w:p w:rsidR="00A26F33" w:rsidP="00A26F33" w:rsidRDefault="00A26F33" w14:paraId="389C9A54" w14:textId="0CBDEFD3">
      <w:pPr>
        <w:pStyle w:val="ModeratorNotes"/>
      </w:pPr>
      <w:r>
        <w:t>For each figure, place in a “healthy” or “not healthy” pile, based on either consensus or, if needed, majority vote.</w:t>
      </w:r>
    </w:p>
    <w:p w:rsidR="00E967C1" w:rsidP="00BC568B" w:rsidRDefault="00A26F33" w14:paraId="379D6AC9" w14:textId="4F51F1B0">
      <w:pPr>
        <w:pStyle w:val="ListParagraph"/>
        <w:keepNext/>
        <w:numPr>
          <w:ilvl w:val="0"/>
          <w:numId w:val="19"/>
        </w:numPr>
        <w:spacing w:after="120"/>
      </w:pPr>
      <w:r>
        <w:t>Let’s look at all of the cards together.</w:t>
      </w:r>
    </w:p>
    <w:p w:rsidR="00A26F33" w:rsidP="00715C5C" w:rsidRDefault="00A26F33" w14:paraId="482B4E25" w14:textId="2431570A">
      <w:pPr>
        <w:pStyle w:val="ModeratorNotes"/>
      </w:pPr>
      <w:r>
        <w:t>Hang figures under the relevant header.</w:t>
      </w:r>
    </w:p>
    <w:p w:rsidR="00715C5C" w:rsidP="00715C5C" w:rsidRDefault="00715C5C" w14:paraId="13E4D2D5" w14:textId="1EC6EEFB">
      <w:pPr>
        <w:pStyle w:val="Bullets"/>
      </w:pPr>
      <w:r>
        <w:t>What are the differences between the “healthy” and “not healthy” groups?</w:t>
      </w:r>
    </w:p>
    <w:p w:rsidR="00715C5C" w:rsidP="00715C5C" w:rsidRDefault="00715C5C" w14:paraId="738F040F" w14:textId="32861E8D">
      <w:pPr>
        <w:pStyle w:val="ModeratorNotes"/>
      </w:pPr>
      <w:r>
        <w:t>Probe on commonalities within each group, as well as differences across groups.</w:t>
      </w:r>
    </w:p>
    <w:p w:rsidRPr="00DE2256" w:rsidR="00715C5C" w:rsidP="00715C5C" w:rsidRDefault="00715C5C" w14:paraId="5E4EC2DD" w14:textId="2AEEC29E">
      <w:pPr>
        <w:pStyle w:val="ModeratorNotes"/>
      </w:pPr>
      <w:r>
        <w:t>If participants wish to change classifications based on comparing the groups, discuss reasons why.</w:t>
      </w:r>
    </w:p>
    <w:p w:rsidR="00344EE4" w:rsidP="00715C5C" w:rsidRDefault="00344EE4" w14:paraId="41395A3F" w14:textId="77777777"/>
    <w:p w:rsidR="00E967C1" w:rsidP="00715C5C" w:rsidRDefault="00715C5C" w14:paraId="62C29088" w14:textId="42B868AD">
      <w:r>
        <w:t xml:space="preserve">REPEAT WITH </w:t>
      </w:r>
      <w:r w:rsidR="000E099E">
        <w:t xml:space="preserve">FEMALE/MALE </w:t>
      </w:r>
      <w:r>
        <w:t>FIGURES.</w:t>
      </w:r>
    </w:p>
    <w:p w:rsidRPr="00DC66BA" w:rsidR="00715C5C" w:rsidP="00715C5C" w:rsidRDefault="00715C5C" w14:paraId="5F6F1160" w14:textId="3B91773B">
      <w:pPr>
        <w:pStyle w:val="ModeratorNotes"/>
      </w:pPr>
      <w:r>
        <w:t>Probe on any gender differences if raised by respondents.</w:t>
      </w:r>
    </w:p>
    <w:p w:rsidR="00344EE4" w:rsidRDefault="00344EE4" w14:paraId="2F22C6D7" w14:textId="77777777">
      <w:pPr>
        <w:spacing w:after="160" w:line="259" w:lineRule="auto"/>
        <w:rPr>
          <w:rFonts w:eastAsia="Calibri"/>
          <w:b/>
          <w:bCs/>
          <w:sz w:val="22"/>
          <w:szCs w:val="22"/>
          <w:highlight w:val="yellow"/>
        </w:rPr>
      </w:pPr>
      <w:r>
        <w:rPr>
          <w:highlight w:val="yellow"/>
        </w:rPr>
        <w:br w:type="page"/>
      </w:r>
    </w:p>
    <w:p w:rsidRPr="00344EE4" w:rsidR="00715C5C" w:rsidP="00715C5C" w:rsidRDefault="00E967C1" w14:paraId="2D0891CF" w14:textId="1E90727E">
      <w:pPr>
        <w:pStyle w:val="ListParagraph"/>
        <w:numPr>
          <w:ilvl w:val="0"/>
          <w:numId w:val="19"/>
        </w:numPr>
      </w:pPr>
      <w:r w:rsidRPr="00344EE4">
        <w:lastRenderedPageBreak/>
        <w:t>What concerns or thoughts, if any, do you have about YOUR child’s wei</w:t>
      </w:r>
      <w:r w:rsidRPr="00344EE4" w:rsidR="00715C5C">
        <w:t>ght</w:t>
      </w:r>
      <w:r w:rsidR="00774AAF">
        <w:t>?</w:t>
      </w:r>
      <w:r w:rsidRPr="00344EE4" w:rsidR="00715C5C">
        <w:t xml:space="preserve"> </w:t>
      </w:r>
    </w:p>
    <w:p w:rsidR="00E967C1" w:rsidP="00715C5C" w:rsidRDefault="00E967C1" w14:paraId="5D2FA611" w14:textId="583B78F9">
      <w:pPr>
        <w:pStyle w:val="ModeratorNotes"/>
      </w:pPr>
      <w:r w:rsidRPr="00344EE4">
        <w:t>If parent mentions having concerns or thoughts about t</w:t>
      </w:r>
      <w:r w:rsidRPr="00344EE4" w:rsidR="00715C5C">
        <w:t>heir child’s weight, probe for…</w:t>
      </w:r>
    </w:p>
    <w:p w:rsidRPr="00344EE4" w:rsidR="00774AAF" w:rsidP="00715C5C" w:rsidRDefault="00774AAF" w14:paraId="7C9CE044" w14:textId="03D48926">
      <w:pPr>
        <w:pStyle w:val="ModeratorNotes"/>
      </w:pPr>
      <w:r>
        <w:t>Concerns as the child/ren grow(s) older</w:t>
      </w:r>
    </w:p>
    <w:p w:rsidRPr="00344EE4" w:rsidR="00E967C1" w:rsidP="00344EE4" w:rsidRDefault="00E967C1" w14:paraId="0802D343" w14:textId="77777777">
      <w:pPr>
        <w:pStyle w:val="Bullets"/>
      </w:pPr>
      <w:r w:rsidRPr="00344EE4">
        <w:t>Have you ever wanted to change your child’s weight status?</w:t>
      </w:r>
    </w:p>
    <w:p w:rsidRPr="00344EE4" w:rsidR="00E967C1" w:rsidP="00344EE4" w:rsidRDefault="00E967C1" w14:paraId="6F6F7932" w14:textId="77777777">
      <w:pPr>
        <w:pStyle w:val="Bullets"/>
      </w:pPr>
      <w:r w:rsidRPr="00344EE4">
        <w:t>If so, why? What have you done?</w:t>
      </w:r>
    </w:p>
    <w:p w:rsidRPr="00DC66BA" w:rsidR="00E967C1" w:rsidP="00836AD9" w:rsidRDefault="00E967C1" w14:paraId="6F7B7293" w14:textId="77777777">
      <w:pPr>
        <w:pStyle w:val="Heading1"/>
      </w:pPr>
      <w:r w:rsidRPr="00DC66BA">
        <w:t>Resources for and Perceived Barriers to Healthy Eating (12 min.)</w:t>
      </w:r>
      <w:bookmarkStart w:name="_GoBack" w:id="0"/>
      <w:bookmarkEnd w:id="0"/>
    </w:p>
    <w:p w:rsidRPr="00DE2256" w:rsidR="00DE2256" w:rsidP="006143EB" w:rsidRDefault="00DE2256" w14:paraId="6DE75C79" w14:textId="62826BF8">
      <w:pPr>
        <w:pStyle w:val="ListParagraph"/>
        <w:numPr>
          <w:ilvl w:val="3"/>
          <w:numId w:val="3"/>
        </w:numPr>
        <w:tabs>
          <w:tab w:val="clear" w:pos="2610"/>
        </w:tabs>
        <w:ind w:left="720"/>
      </w:pPr>
      <w:r w:rsidRPr="00DE2256">
        <w:t xml:space="preserve">If you’ve had questions about your child’s eating and nutrition, </w:t>
      </w:r>
      <w:r w:rsidRPr="00344EE4">
        <w:t>where</w:t>
      </w:r>
      <w:r w:rsidRPr="00DE2256">
        <w:t xml:space="preserve"> have you gone – or who have you talked to – to get answers? </w:t>
      </w:r>
    </w:p>
    <w:p w:rsidRPr="00DE2256" w:rsidR="00DE2256" w:rsidP="00344EE4" w:rsidRDefault="00DE2256" w14:paraId="5FD37D86" w14:textId="77777777">
      <w:pPr>
        <w:pStyle w:val="Bullets"/>
      </w:pPr>
      <w:r w:rsidRPr="00DE2256">
        <w:t>What source/s of info have been most useful for you?  What changes, if any, have you made based on those recommendations?</w:t>
      </w:r>
    </w:p>
    <w:p w:rsidR="00DE2256" w:rsidP="00344EE4" w:rsidRDefault="00DE2256" w14:paraId="4F83695A" w14:textId="4BBC2E7C">
      <w:pPr>
        <w:pStyle w:val="Bullets"/>
      </w:pPr>
      <w:r w:rsidRPr="00DE2256">
        <w:t>What sources have been least useful to you?</w:t>
      </w:r>
    </w:p>
    <w:p w:rsidRPr="00DE2256" w:rsidR="00774AAF" w:rsidP="00344EE4" w:rsidRDefault="00774AAF" w14:paraId="0D50159B" w14:textId="7F2AE826">
      <w:pPr>
        <w:pStyle w:val="Bullets"/>
      </w:pPr>
      <w:r>
        <w:t>What did you do when you had conflicting advice?</w:t>
      </w:r>
    </w:p>
    <w:p w:rsidRPr="00DC66BA" w:rsidR="00E967C1" w:rsidP="00344EE4" w:rsidRDefault="00DE2256" w14:paraId="7F6D7C35" w14:textId="77777777">
      <w:pPr>
        <w:pStyle w:val="Bullets"/>
      </w:pPr>
      <w:r w:rsidRPr="00DE2256">
        <w:t>What areas/issues do you still have questions about?</w:t>
      </w:r>
    </w:p>
    <w:p w:rsidRPr="00DC66BA" w:rsidR="00E967C1" w:rsidP="00836AD9" w:rsidRDefault="00BC568B" w14:paraId="37705EF9" w14:textId="77777777">
      <w:pPr>
        <w:pStyle w:val="Heading1"/>
      </w:pPr>
      <w:r>
        <w:t>Summary</w:t>
      </w:r>
    </w:p>
    <w:p w:rsidR="00344EE4" w:rsidP="002D745D" w:rsidRDefault="002D745D" w14:paraId="72EF2D97" w14:textId="77777777">
      <w:pPr>
        <w:keepNext/>
        <w:spacing w:after="120"/>
      </w:pPr>
      <w:r w:rsidRPr="002D745D">
        <w:t>We’ve talked a lot about different challenges parents face making sure their young children eat a healthy diet and maintain a healthy weight.  Are there any particular issues you’ve faced that we haven’t already</w:t>
      </w:r>
      <w:r w:rsidR="00344EE4">
        <w:t xml:space="preserve"> discussed?</w:t>
      </w:r>
    </w:p>
    <w:p w:rsidRPr="002D745D" w:rsidR="002D745D" w:rsidP="00344EE4" w:rsidRDefault="00344EE4" w14:paraId="6CF844E8" w14:textId="24B930E8">
      <w:pPr>
        <w:pStyle w:val="ModeratorNotes"/>
      </w:pPr>
      <w:r>
        <w:t>OPEN for discussion</w:t>
      </w:r>
    </w:p>
    <w:p w:rsidRPr="00DC66BA" w:rsidR="00E967C1" w:rsidP="00836AD9" w:rsidRDefault="00BC568B" w14:paraId="22F8D551" w14:textId="77777777">
      <w:pPr>
        <w:pStyle w:val="Heading1"/>
      </w:pPr>
      <w:r>
        <w:t>False Close</w:t>
      </w:r>
    </w:p>
    <w:p w:rsidR="00344EE4" w:rsidP="00E967C1" w:rsidRDefault="00E967C1" w14:paraId="628BC022" w14:textId="77777777">
      <w:pPr>
        <w:spacing w:after="120"/>
      </w:pPr>
      <w:r w:rsidRPr="00DC66BA">
        <w:t>If you will excuse me for just a moment, I would like to check with my team to see if there are an</w:t>
      </w:r>
      <w:r w:rsidR="00344EE4">
        <w:t>y follow-up questions for you.</w:t>
      </w:r>
    </w:p>
    <w:p w:rsidRPr="00DC66BA" w:rsidR="00E967C1" w:rsidP="00E967C1" w:rsidRDefault="00E967C1" w14:paraId="3BE96470" w14:textId="754BEFBE">
      <w:pPr>
        <w:pStyle w:val="ModeratorNotes"/>
      </w:pPr>
      <w:r w:rsidRPr="00DC66BA">
        <w:t xml:space="preserve">Moderator goes to back room to see </w:t>
      </w:r>
      <w:r w:rsidR="00344EE4">
        <w:t>if there are any new questions.</w:t>
      </w:r>
    </w:p>
    <w:p w:rsidRPr="00DC66BA" w:rsidR="00E967C1" w:rsidP="00836AD9" w:rsidRDefault="00BC568B" w14:paraId="03BF01FF" w14:textId="77777777">
      <w:pPr>
        <w:pStyle w:val="Heading1"/>
      </w:pPr>
      <w:r>
        <w:t>Close</w:t>
      </w:r>
    </w:p>
    <w:p w:rsidRPr="00DC66BA" w:rsidR="00E967C1" w:rsidP="00E967C1" w:rsidRDefault="00E967C1" w14:paraId="51BC36ED" w14:textId="77777777">
      <w:pPr>
        <w:spacing w:after="120"/>
      </w:pPr>
      <w:r w:rsidRPr="00DC66BA">
        <w:t>Great, I believe we are all done here.  Thank you so much for your time!</w:t>
      </w:r>
    </w:p>
    <w:p w:rsidRPr="00DC66BA" w:rsidR="00E967C1" w:rsidP="00344EE4" w:rsidRDefault="00E967C1" w14:paraId="3C941124" w14:textId="15CDAB9A">
      <w:pPr>
        <w:pStyle w:val="ModeratorNotes"/>
      </w:pPr>
      <w:r w:rsidRPr="00DC66BA">
        <w:t xml:space="preserve">Moderator stops recording and directs participants to the assistant who will administer </w:t>
      </w:r>
      <w:r w:rsidR="00344EE4">
        <w:t>incentives and obtain receipts.</w:t>
      </w:r>
    </w:p>
    <w:p w:rsidRPr="00DC66BA" w:rsidR="00E967C1" w:rsidP="00E967C1" w:rsidRDefault="00E967C1" w14:paraId="17627343" w14:textId="77777777">
      <w:pPr>
        <w:rPr>
          <w:b/>
        </w:rPr>
      </w:pPr>
    </w:p>
    <w:sectPr w:rsidRPr="00DC66BA" w:rsidR="00E967C1">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83B39" w14:textId="77777777" w:rsidR="00095742" w:rsidRDefault="00095742" w:rsidP="00E967C1">
      <w:r>
        <w:separator/>
      </w:r>
    </w:p>
  </w:endnote>
  <w:endnote w:type="continuationSeparator" w:id="0">
    <w:p w14:paraId="3EF45280" w14:textId="77777777" w:rsidR="00095742" w:rsidRDefault="00095742" w:rsidP="00E9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Bitstream Vera Sans">
    <w:panose1 w:val="00000000000000000000"/>
    <w:charset w:val="00"/>
    <w:family w:val="roman"/>
    <w:notTrueType/>
    <w:pitch w:val="default"/>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678E" w14:textId="77777777" w:rsidR="00344EE4" w:rsidRDefault="00344EE4">
    <w:pPr>
      <w:pStyle w:val="Footer"/>
    </w:pPr>
  </w:p>
  <w:p w14:paraId="175C8CDB" w14:textId="77777777" w:rsidR="00CE08B1" w:rsidRDefault="00CE08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137927"/>
      <w:docPartObj>
        <w:docPartGallery w:val="Page Numbers (Bottom of Page)"/>
        <w:docPartUnique/>
      </w:docPartObj>
    </w:sdtPr>
    <w:sdtEndPr>
      <w:rPr>
        <w:noProof/>
      </w:rPr>
    </w:sdtEndPr>
    <w:sdtContent>
      <w:p w14:paraId="1C1C4751" w14:textId="4ED7A756" w:rsidR="00344EE4" w:rsidRDefault="00344EE4">
        <w:pPr>
          <w:pStyle w:val="Footer"/>
          <w:jc w:val="center"/>
        </w:pPr>
        <w:r>
          <w:fldChar w:fldCharType="begin"/>
        </w:r>
        <w:r>
          <w:instrText xml:space="preserve"> PAGE   \* MERGEFORMAT </w:instrText>
        </w:r>
        <w:r>
          <w:fldChar w:fldCharType="separate"/>
        </w:r>
        <w:r w:rsidR="00015858">
          <w:rPr>
            <w:noProof/>
          </w:rPr>
          <w:t>6</w:t>
        </w:r>
        <w:r>
          <w:rPr>
            <w:noProof/>
          </w:rPr>
          <w:fldChar w:fldCharType="end"/>
        </w:r>
      </w:p>
    </w:sdtContent>
  </w:sdt>
  <w:p w14:paraId="58569A9D" w14:textId="77777777" w:rsidR="00344EE4" w:rsidRDefault="00344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4799E" w14:textId="77777777" w:rsidR="00095742" w:rsidRDefault="00095742" w:rsidP="00E967C1">
      <w:r>
        <w:separator/>
      </w:r>
    </w:p>
  </w:footnote>
  <w:footnote w:type="continuationSeparator" w:id="0">
    <w:p w14:paraId="205590E4" w14:textId="77777777" w:rsidR="00095742" w:rsidRDefault="00095742" w:rsidP="00E9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F5FD8" w14:textId="77777777" w:rsidR="00344EE4" w:rsidRDefault="00344EE4">
    <w:pPr>
      <w:pStyle w:val="Header"/>
    </w:pPr>
  </w:p>
  <w:p w14:paraId="3CC22EEF" w14:textId="77777777" w:rsidR="00CE08B1" w:rsidRDefault="00CE08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1612"/>
    <w:multiLevelType w:val="hybridMultilevel"/>
    <w:tmpl w:val="20AA72B6"/>
    <w:lvl w:ilvl="0" w:tplc="227A0F70">
      <w:start w:val="1"/>
      <w:numFmt w:val="decimal"/>
      <w:lvlText w:val="%1."/>
      <w:lvlJc w:val="left"/>
      <w:pPr>
        <w:ind w:left="720" w:hanging="360"/>
      </w:pPr>
      <w:rPr>
        <w:rFonts w:ascii="Franklin Gothic Book" w:hAnsi="Franklin Gothic Book"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D280D"/>
    <w:multiLevelType w:val="hybridMultilevel"/>
    <w:tmpl w:val="5C302D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47B4E"/>
    <w:multiLevelType w:val="hybridMultilevel"/>
    <w:tmpl w:val="1B6E93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1638C"/>
    <w:multiLevelType w:val="hybridMultilevel"/>
    <w:tmpl w:val="4F4EC8AE"/>
    <w:lvl w:ilvl="0" w:tplc="C5945940">
      <w:start w:val="1"/>
      <w:numFmt w:val="bullet"/>
      <w:pStyle w:val="Bullets"/>
      <w:lvlText w:val=""/>
      <w:lvlJc w:val="left"/>
      <w:pPr>
        <w:tabs>
          <w:tab w:val="num" w:pos="1170"/>
        </w:tabs>
        <w:ind w:left="1170" w:hanging="360"/>
      </w:pPr>
      <w:rPr>
        <w:rFonts w:ascii="Symbol" w:hAnsi="Symbol" w:hint="default"/>
        <w:b w:val="0"/>
        <w:i w:val="0"/>
        <w:sz w:val="22"/>
      </w:rPr>
    </w:lvl>
    <w:lvl w:ilvl="1" w:tplc="04090003">
      <w:start w:val="1"/>
      <w:numFmt w:val="bullet"/>
      <w:lvlText w:val="o"/>
      <w:lvlJc w:val="left"/>
      <w:pPr>
        <w:tabs>
          <w:tab w:val="num" w:pos="1170"/>
        </w:tabs>
        <w:ind w:left="1170" w:hanging="360"/>
      </w:pPr>
      <w:rPr>
        <w:rFonts w:ascii="Courier New" w:hAnsi="Courier New" w:cs="Courier New" w:hint="default"/>
      </w:rPr>
    </w:lvl>
    <w:lvl w:ilvl="2" w:tplc="5D643828">
      <w:start w:val="1"/>
      <w:numFmt w:val="bullet"/>
      <w:pStyle w:val="RFPrequirements"/>
      <w:lvlText w:val="´"/>
      <w:lvlJc w:val="left"/>
      <w:pPr>
        <w:tabs>
          <w:tab w:val="num" w:pos="1890"/>
        </w:tabs>
        <w:ind w:left="1890" w:hanging="180"/>
      </w:pPr>
      <w:rPr>
        <w:rFonts w:ascii="Wingdings 3" w:hAnsi="Wingdings 3" w:hint="default"/>
        <w:color w:val="7F7F7F" w:themeColor="text1" w:themeTint="80"/>
      </w:r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909C0"/>
    <w:multiLevelType w:val="hybridMultilevel"/>
    <w:tmpl w:val="6BE6CF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75668F"/>
    <w:multiLevelType w:val="hybridMultilevel"/>
    <w:tmpl w:val="6C5677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C96B15"/>
    <w:multiLevelType w:val="hybridMultilevel"/>
    <w:tmpl w:val="8B32A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8708B4"/>
    <w:multiLevelType w:val="hybridMultilevel"/>
    <w:tmpl w:val="3B78C8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56991"/>
    <w:multiLevelType w:val="hybridMultilevel"/>
    <w:tmpl w:val="632C2C62"/>
    <w:lvl w:ilvl="0" w:tplc="8DEE54B2">
      <w:start w:val="1"/>
      <w:numFmt w:val="bullet"/>
      <w:lvlText w:val=""/>
      <w:lvlJc w:val="left"/>
      <w:pPr>
        <w:ind w:left="720" w:hanging="360"/>
      </w:pPr>
      <w:rPr>
        <w:rFonts w:ascii="Webdings" w:hAnsi="Webdings"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B5655"/>
    <w:multiLevelType w:val="hybridMultilevel"/>
    <w:tmpl w:val="5F72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94D27"/>
    <w:multiLevelType w:val="hybridMultilevel"/>
    <w:tmpl w:val="C10EE060"/>
    <w:lvl w:ilvl="0" w:tplc="D05E486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27EDA"/>
    <w:multiLevelType w:val="hybridMultilevel"/>
    <w:tmpl w:val="0DFCB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F43C4"/>
    <w:multiLevelType w:val="hybridMultilevel"/>
    <w:tmpl w:val="FB4E7B28"/>
    <w:lvl w:ilvl="0" w:tplc="0409000F">
      <w:start w:val="1"/>
      <w:numFmt w:val="decimal"/>
      <w:pStyle w:val="Respon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F0E4A"/>
    <w:multiLevelType w:val="hybridMultilevel"/>
    <w:tmpl w:val="B0E84E04"/>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2AD4E9D"/>
    <w:multiLevelType w:val="hybridMultilevel"/>
    <w:tmpl w:val="6BBC83B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816D71"/>
    <w:multiLevelType w:val="hybridMultilevel"/>
    <w:tmpl w:val="C86425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666EEB"/>
    <w:multiLevelType w:val="hybridMultilevel"/>
    <w:tmpl w:val="103A01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64BA0"/>
    <w:multiLevelType w:val="hybridMultilevel"/>
    <w:tmpl w:val="DE68FE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53882"/>
    <w:multiLevelType w:val="hybridMultilevel"/>
    <w:tmpl w:val="036246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85CE9"/>
    <w:multiLevelType w:val="hybridMultilevel"/>
    <w:tmpl w:val="3C0C1334"/>
    <w:lvl w:ilvl="0" w:tplc="D5523C50">
      <w:start w:val="6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3"/>
  </w:num>
  <w:num w:numId="4">
    <w:abstractNumId w:val="6"/>
  </w:num>
  <w:num w:numId="5">
    <w:abstractNumId w:val="0"/>
  </w:num>
  <w:num w:numId="6">
    <w:abstractNumId w:val="15"/>
  </w:num>
  <w:num w:numId="7">
    <w:abstractNumId w:val="14"/>
  </w:num>
  <w:num w:numId="8">
    <w:abstractNumId w:val="1"/>
  </w:num>
  <w:num w:numId="9">
    <w:abstractNumId w:val="17"/>
  </w:num>
  <w:num w:numId="10">
    <w:abstractNumId w:val="19"/>
  </w:num>
  <w:num w:numId="11">
    <w:abstractNumId w:val="8"/>
  </w:num>
  <w:num w:numId="12">
    <w:abstractNumId w:val="7"/>
  </w:num>
  <w:num w:numId="13">
    <w:abstractNumId w:val="5"/>
  </w:num>
  <w:num w:numId="14">
    <w:abstractNumId w:val="18"/>
  </w:num>
  <w:num w:numId="15">
    <w:abstractNumId w:val="2"/>
  </w:num>
  <w:num w:numId="16">
    <w:abstractNumId w:val="16"/>
  </w:num>
  <w:num w:numId="17">
    <w:abstractNumId w:val="12"/>
  </w:num>
  <w:num w:numId="18">
    <w:abstractNumId w:val="13"/>
  </w:num>
  <w:num w:numId="19">
    <w:abstractNumId w:val="10"/>
  </w:num>
  <w:num w:numId="20">
    <w:abstractNumId w:val="11"/>
  </w:num>
  <w:num w:numId="21">
    <w:abstractNumId w:val="9"/>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419" w:vendorID="64" w:dllVersion="6" w:nlCheck="1" w:checkStyle="0"/>
  <w:activeWritingStyle w:appName="MSWord" w:lang="en-US" w:vendorID="64" w:dllVersion="6" w:nlCheck="1" w:checkStyle="1"/>
  <w:activeWritingStyle w:appName="MSWord" w:lang="es-US" w:vendorID="64" w:dllVersion="6" w:nlCheck="1" w:checkStyle="0"/>
  <w:activeWritingStyle w:appName="MSWord" w:lang="es-ES" w:vendorID="64" w:dllVersion="6" w:nlCheck="1" w:checkStyle="0"/>
  <w:activeWritingStyle w:appName="MSWord" w:lang="en-US" w:vendorID="64" w:dllVersion="0" w:nlCheck="1" w:checkStyle="0"/>
  <w:activeWritingStyle w:appName="MSWord" w:lang="es-419" w:vendorID="64" w:dllVersion="0" w:nlCheck="1" w:checkStyle="0"/>
  <w:activeWritingStyle w:appName="MSWord" w:lang="es-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7C1"/>
    <w:rsid w:val="00015858"/>
    <w:rsid w:val="000617A6"/>
    <w:rsid w:val="0007738F"/>
    <w:rsid w:val="00080B7D"/>
    <w:rsid w:val="00095742"/>
    <w:rsid w:val="00096B2D"/>
    <w:rsid w:val="000A69F2"/>
    <w:rsid w:val="000E099E"/>
    <w:rsid w:val="001005DF"/>
    <w:rsid w:val="001419D0"/>
    <w:rsid w:val="00164A9C"/>
    <w:rsid w:val="00194CE4"/>
    <w:rsid w:val="001A287C"/>
    <w:rsid w:val="001C5C16"/>
    <w:rsid w:val="001D2A47"/>
    <w:rsid w:val="002523A8"/>
    <w:rsid w:val="002A1211"/>
    <w:rsid w:val="002D745D"/>
    <w:rsid w:val="002E5183"/>
    <w:rsid w:val="003018A1"/>
    <w:rsid w:val="00323DB8"/>
    <w:rsid w:val="00324BFB"/>
    <w:rsid w:val="00344EE4"/>
    <w:rsid w:val="00350D74"/>
    <w:rsid w:val="00351497"/>
    <w:rsid w:val="003B03C0"/>
    <w:rsid w:val="004057A9"/>
    <w:rsid w:val="00427CFA"/>
    <w:rsid w:val="00432FF2"/>
    <w:rsid w:val="004431E6"/>
    <w:rsid w:val="00447DBA"/>
    <w:rsid w:val="00465C89"/>
    <w:rsid w:val="004676E4"/>
    <w:rsid w:val="004B7DA6"/>
    <w:rsid w:val="004C59BF"/>
    <w:rsid w:val="004D7CEE"/>
    <w:rsid w:val="0051748A"/>
    <w:rsid w:val="00570004"/>
    <w:rsid w:val="005C144E"/>
    <w:rsid w:val="005D369F"/>
    <w:rsid w:val="005D61F7"/>
    <w:rsid w:val="005F1EB1"/>
    <w:rsid w:val="006143EB"/>
    <w:rsid w:val="006374CF"/>
    <w:rsid w:val="006D4BDD"/>
    <w:rsid w:val="006D783A"/>
    <w:rsid w:val="006F4D92"/>
    <w:rsid w:val="006F5B87"/>
    <w:rsid w:val="00715C5C"/>
    <w:rsid w:val="00774AAF"/>
    <w:rsid w:val="00795FFA"/>
    <w:rsid w:val="00797183"/>
    <w:rsid w:val="00813720"/>
    <w:rsid w:val="00830D2B"/>
    <w:rsid w:val="00836AD9"/>
    <w:rsid w:val="00897516"/>
    <w:rsid w:val="008A38AD"/>
    <w:rsid w:val="008A58CE"/>
    <w:rsid w:val="00902140"/>
    <w:rsid w:val="0094259B"/>
    <w:rsid w:val="00946181"/>
    <w:rsid w:val="00971E91"/>
    <w:rsid w:val="0098364D"/>
    <w:rsid w:val="009C344C"/>
    <w:rsid w:val="009F0397"/>
    <w:rsid w:val="009F208F"/>
    <w:rsid w:val="00A26F33"/>
    <w:rsid w:val="00A7095F"/>
    <w:rsid w:val="00A778D7"/>
    <w:rsid w:val="00A9265C"/>
    <w:rsid w:val="00A975C6"/>
    <w:rsid w:val="00AB23C4"/>
    <w:rsid w:val="00B04A2A"/>
    <w:rsid w:val="00B82B14"/>
    <w:rsid w:val="00B9566B"/>
    <w:rsid w:val="00B956EC"/>
    <w:rsid w:val="00BA2267"/>
    <w:rsid w:val="00BC07AE"/>
    <w:rsid w:val="00BC568B"/>
    <w:rsid w:val="00C207B6"/>
    <w:rsid w:val="00C2528C"/>
    <w:rsid w:val="00CC7FBF"/>
    <w:rsid w:val="00CE08B1"/>
    <w:rsid w:val="00D21FF1"/>
    <w:rsid w:val="00D57D5B"/>
    <w:rsid w:val="00D842A4"/>
    <w:rsid w:val="00DB2004"/>
    <w:rsid w:val="00DC66BA"/>
    <w:rsid w:val="00DE2256"/>
    <w:rsid w:val="00E707BC"/>
    <w:rsid w:val="00E967C1"/>
    <w:rsid w:val="00EA16A0"/>
    <w:rsid w:val="00EE65A1"/>
    <w:rsid w:val="00F36E78"/>
    <w:rsid w:val="00F564C0"/>
    <w:rsid w:val="00F80C20"/>
    <w:rsid w:val="00F84A67"/>
    <w:rsid w:val="00FC2F62"/>
    <w:rsid w:val="00FC7A3E"/>
    <w:rsid w:val="00FD2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8F8E"/>
  <w15:chartTrackingRefBased/>
  <w15:docId w15:val="{ED8D650F-0DDE-4DA9-88AC-0B484591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CE4"/>
    <w:pPr>
      <w:spacing w:after="0" w:line="240" w:lineRule="auto"/>
    </w:pPr>
    <w:rPr>
      <w:rFonts w:eastAsia="Times New Roman" w:cs="Times New Roman"/>
      <w:color w:val="000000"/>
      <w:sz w:val="24"/>
      <w:szCs w:val="24"/>
    </w:rPr>
  </w:style>
  <w:style w:type="paragraph" w:styleId="Heading1">
    <w:name w:val="heading 1"/>
    <w:basedOn w:val="Normal"/>
    <w:next w:val="Normal"/>
    <w:link w:val="Heading1Char"/>
    <w:uiPriority w:val="9"/>
    <w:qFormat/>
    <w:rsid w:val="00836AD9"/>
    <w:pPr>
      <w:keepNext/>
      <w:keepLines/>
      <w:spacing w:before="360" w:after="240"/>
      <w:outlineLvl w:val="0"/>
    </w:pPr>
    <w:rPr>
      <w:rFonts w:asciiTheme="majorHAnsi" w:eastAsiaTheme="majorEastAsia" w:hAnsiTheme="majorHAnsi" w:cstheme="majorBidi"/>
      <w:color w:val="365F91" w:themeColor="accent1" w:themeShade="BF"/>
      <w:sz w:val="32"/>
      <w:szCs w:val="28"/>
    </w:rPr>
  </w:style>
  <w:style w:type="paragraph" w:styleId="Heading2">
    <w:name w:val="heading 2"/>
    <w:basedOn w:val="Normal"/>
    <w:next w:val="Normal"/>
    <w:link w:val="Heading2Char"/>
    <w:uiPriority w:val="9"/>
    <w:unhideWhenUsed/>
    <w:qFormat/>
    <w:rsid w:val="00194CE4"/>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uiPriority w:val="9"/>
    <w:semiHidden/>
    <w:unhideWhenUsed/>
    <w:qFormat/>
    <w:rsid w:val="00194CE4"/>
    <w:pPr>
      <w:keepNext/>
      <w:keepLines/>
      <w:spacing w:before="240" w:after="40"/>
      <w:outlineLvl w:val="2"/>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967C1"/>
    <w:rPr>
      <w:rFonts w:cs="Times New Roman"/>
      <w:color w:val="0000FF"/>
      <w:u w:val="single"/>
    </w:rPr>
  </w:style>
  <w:style w:type="paragraph" w:styleId="Title">
    <w:name w:val="Title"/>
    <w:basedOn w:val="Normal"/>
    <w:next w:val="Normal"/>
    <w:link w:val="TitleChar"/>
    <w:qFormat/>
    <w:rsid w:val="00194CE4"/>
    <w:pPr>
      <w:suppressAutoHyphens/>
      <w:spacing w:before="360"/>
      <w:jc w:val="center"/>
    </w:pPr>
    <w:rPr>
      <w:rFonts w:asciiTheme="majorHAnsi" w:eastAsia="Bitstream Vera Sans" w:hAnsiTheme="majorHAnsi"/>
      <w:color w:val="1F497D" w:themeColor="text2"/>
      <w:sz w:val="32"/>
      <w:szCs w:val="22"/>
    </w:rPr>
  </w:style>
  <w:style w:type="character" w:customStyle="1" w:styleId="TitleChar">
    <w:name w:val="Title Char"/>
    <w:basedOn w:val="DefaultParagraphFont"/>
    <w:link w:val="Title"/>
    <w:rsid w:val="00194CE4"/>
    <w:rPr>
      <w:rFonts w:asciiTheme="majorHAnsi" w:eastAsia="Bitstream Vera Sans" w:hAnsiTheme="majorHAnsi" w:cs="Times New Roman"/>
      <w:color w:val="1F497D" w:themeColor="text2"/>
      <w:sz w:val="32"/>
    </w:rPr>
  </w:style>
  <w:style w:type="table" w:styleId="TableGrid">
    <w:name w:val="Table Grid"/>
    <w:basedOn w:val="TableNormal"/>
    <w:uiPriority w:val="59"/>
    <w:rsid w:val="00E967C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t"/>
    <w:basedOn w:val="Normal"/>
    <w:link w:val="BodyChar"/>
    <w:autoRedefine/>
    <w:rsid w:val="00836AD9"/>
    <w:pPr>
      <w:framePr w:hSpace="180" w:wrap="around" w:vAnchor="text" w:hAnchor="margin" w:x="115" w:y="78"/>
      <w:pBdr>
        <w:bottom w:val="nil"/>
      </w:pBdr>
      <w:shd w:val="clear" w:color="auto" w:fill="1F497D" w:themeFill="text2"/>
      <w:tabs>
        <w:tab w:val="left" w:pos="4770"/>
      </w:tabs>
      <w:jc w:val="both"/>
      <w:outlineLvl w:val="0"/>
    </w:pPr>
    <w:rPr>
      <w:rFonts w:cstheme="minorHAnsi"/>
      <w:b/>
      <w:bCs/>
      <w:noProof/>
      <w:color w:val="FFFFFF" w:themeColor="background1"/>
      <w:spacing w:val="-3"/>
    </w:rPr>
  </w:style>
  <w:style w:type="character" w:customStyle="1" w:styleId="BodyChar">
    <w:name w:val="Body Char"/>
    <w:aliases w:val="t Char"/>
    <w:basedOn w:val="DefaultParagraphFont"/>
    <w:link w:val="Body"/>
    <w:locked/>
    <w:rsid w:val="00836AD9"/>
    <w:rPr>
      <w:rFonts w:eastAsia="Times New Roman" w:cstheme="minorHAnsi"/>
      <w:b/>
      <w:bCs/>
      <w:noProof/>
      <w:color w:val="FFFFFF" w:themeColor="background1"/>
      <w:spacing w:val="-3"/>
      <w:sz w:val="24"/>
      <w:szCs w:val="24"/>
      <w:shd w:val="clear" w:color="auto" w:fill="1F497D" w:themeFill="text2"/>
    </w:rPr>
  </w:style>
  <w:style w:type="paragraph" w:styleId="ListParagraph">
    <w:name w:val="List Paragraph"/>
    <w:aliases w:val="Question"/>
    <w:basedOn w:val="Normal"/>
    <w:link w:val="ListParagraphChar"/>
    <w:uiPriority w:val="34"/>
    <w:qFormat/>
    <w:rsid w:val="00194CE4"/>
    <w:pPr>
      <w:spacing w:before="480" w:after="40"/>
      <w:ind w:left="720" w:hanging="720"/>
      <w:contextualSpacing/>
    </w:pPr>
    <w:rPr>
      <w:rFonts w:eastAsia="Calibri"/>
      <w:b/>
      <w:bCs/>
      <w:sz w:val="22"/>
      <w:szCs w:val="22"/>
    </w:rPr>
  </w:style>
  <w:style w:type="character" w:customStyle="1" w:styleId="ListParagraphChar">
    <w:name w:val="List Paragraph Char"/>
    <w:aliases w:val="Question Char"/>
    <w:link w:val="ListParagraph"/>
    <w:uiPriority w:val="34"/>
    <w:rsid w:val="00194CE4"/>
    <w:rPr>
      <w:rFonts w:eastAsia="Calibri" w:cs="Times New Roman"/>
      <w:b/>
      <w:bCs/>
      <w:color w:val="000000"/>
    </w:rPr>
  </w:style>
  <w:style w:type="table" w:customStyle="1" w:styleId="GridTable1Light1">
    <w:name w:val="Grid Table 1 Light1"/>
    <w:basedOn w:val="TableNormal"/>
    <w:uiPriority w:val="46"/>
    <w:rsid w:val="00E967C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rsid w:val="00E967C1"/>
    <w:pPr>
      <w:spacing w:after="260"/>
    </w:pPr>
    <w:rPr>
      <w:rFonts w:ascii="Palatino" w:hAnsi="Palatino"/>
      <w:color w:val="auto"/>
      <w:sz w:val="22"/>
    </w:rPr>
  </w:style>
  <w:style w:type="character" w:customStyle="1" w:styleId="BodyTextChar">
    <w:name w:val="Body Text Char"/>
    <w:basedOn w:val="DefaultParagraphFont"/>
    <w:link w:val="BodyText"/>
    <w:uiPriority w:val="99"/>
    <w:rsid w:val="00E967C1"/>
    <w:rPr>
      <w:rFonts w:ascii="Palatino" w:eastAsia="Times New Roman" w:hAnsi="Palatino" w:cs="Times New Roman"/>
      <w:szCs w:val="24"/>
    </w:rPr>
  </w:style>
  <w:style w:type="character" w:styleId="CommentReference">
    <w:name w:val="annotation reference"/>
    <w:basedOn w:val="DefaultParagraphFont"/>
    <w:uiPriority w:val="99"/>
    <w:semiHidden/>
    <w:unhideWhenUsed/>
    <w:rsid w:val="00E967C1"/>
    <w:rPr>
      <w:sz w:val="16"/>
      <w:szCs w:val="16"/>
    </w:rPr>
  </w:style>
  <w:style w:type="paragraph" w:styleId="CommentText">
    <w:name w:val="annotation text"/>
    <w:basedOn w:val="Normal"/>
    <w:link w:val="CommentTextChar"/>
    <w:uiPriority w:val="99"/>
    <w:unhideWhenUsed/>
    <w:rsid w:val="00E967C1"/>
    <w:rPr>
      <w:sz w:val="20"/>
      <w:szCs w:val="20"/>
    </w:rPr>
  </w:style>
  <w:style w:type="character" w:customStyle="1" w:styleId="CommentTextChar">
    <w:name w:val="Comment Text Char"/>
    <w:basedOn w:val="DefaultParagraphFont"/>
    <w:link w:val="CommentText"/>
    <w:uiPriority w:val="99"/>
    <w:rsid w:val="00E967C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967C1"/>
    <w:rPr>
      <w:b/>
      <w:bCs/>
    </w:rPr>
  </w:style>
  <w:style w:type="character" w:customStyle="1" w:styleId="CommentSubjectChar">
    <w:name w:val="Comment Subject Char"/>
    <w:basedOn w:val="CommentTextChar"/>
    <w:link w:val="CommentSubject"/>
    <w:uiPriority w:val="99"/>
    <w:semiHidden/>
    <w:rsid w:val="00E967C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967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7C1"/>
    <w:rPr>
      <w:rFonts w:ascii="Segoe UI" w:eastAsia="Times New Roman" w:hAnsi="Segoe UI" w:cs="Segoe UI"/>
      <w:color w:val="000000"/>
      <w:sz w:val="18"/>
      <w:szCs w:val="18"/>
    </w:rPr>
  </w:style>
  <w:style w:type="character" w:customStyle="1" w:styleId="Heading1Char">
    <w:name w:val="Heading 1 Char"/>
    <w:basedOn w:val="DefaultParagraphFont"/>
    <w:link w:val="Heading1"/>
    <w:uiPriority w:val="9"/>
    <w:rsid w:val="00836AD9"/>
    <w:rPr>
      <w:rFonts w:asciiTheme="majorHAnsi" w:eastAsiaTheme="majorEastAsia" w:hAnsiTheme="majorHAnsi" w:cstheme="majorBidi"/>
      <w:color w:val="365F91" w:themeColor="accent1" w:themeShade="BF"/>
      <w:sz w:val="32"/>
      <w:szCs w:val="28"/>
    </w:rPr>
  </w:style>
  <w:style w:type="paragraph" w:customStyle="1" w:styleId="OMBStatement">
    <w:name w:val="OMB Statement"/>
    <w:link w:val="OMBStatementChar"/>
    <w:qFormat/>
    <w:rsid w:val="00465C89"/>
    <w:pPr>
      <w:jc w:val="both"/>
    </w:pPr>
    <w:rPr>
      <w:rFonts w:eastAsia="Bitstream Vera Sans" w:cstheme="minorHAnsi"/>
      <w:b/>
      <w:color w:val="000000" w:themeColor="text1"/>
      <w:sz w:val="18"/>
      <w:szCs w:val="18"/>
    </w:rPr>
  </w:style>
  <w:style w:type="character" w:customStyle="1" w:styleId="OMBStatementChar">
    <w:name w:val="OMB Statement Char"/>
    <w:basedOn w:val="TitleChar"/>
    <w:link w:val="OMBStatement"/>
    <w:rsid w:val="00465C89"/>
    <w:rPr>
      <w:rFonts w:asciiTheme="majorHAnsi" w:eastAsia="Bitstream Vera Sans" w:hAnsiTheme="majorHAnsi" w:cstheme="minorHAnsi"/>
      <w:b/>
      <w:color w:val="000000" w:themeColor="text1"/>
      <w:sz w:val="18"/>
      <w:szCs w:val="18"/>
    </w:rPr>
  </w:style>
  <w:style w:type="paragraph" w:customStyle="1" w:styleId="Bullets">
    <w:name w:val="Bullets"/>
    <w:basedOn w:val="Normal"/>
    <w:link w:val="BulletsChar"/>
    <w:qFormat/>
    <w:rsid w:val="00836AD9"/>
    <w:pPr>
      <w:numPr>
        <w:numId w:val="3"/>
      </w:numPr>
      <w:tabs>
        <w:tab w:val="clear" w:pos="1170"/>
        <w:tab w:val="num" w:pos="720"/>
      </w:tabs>
      <w:spacing w:before="40" w:after="80"/>
      <w:ind w:left="1080"/>
    </w:pPr>
    <w:rPr>
      <w:szCs w:val="22"/>
    </w:rPr>
  </w:style>
  <w:style w:type="character" w:customStyle="1" w:styleId="BulletsChar">
    <w:name w:val="Bullets Char"/>
    <w:basedOn w:val="DefaultParagraphFont"/>
    <w:link w:val="Bullets"/>
    <w:rsid w:val="00836AD9"/>
    <w:rPr>
      <w:rFonts w:eastAsia="Times New Roman" w:cs="Times New Roman"/>
      <w:color w:val="000000"/>
      <w:sz w:val="24"/>
    </w:rPr>
  </w:style>
  <w:style w:type="paragraph" w:customStyle="1" w:styleId="Responses">
    <w:name w:val="Responses"/>
    <w:basedOn w:val="Normal"/>
    <w:link w:val="ResponsesChar"/>
    <w:qFormat/>
    <w:rsid w:val="00194CE4"/>
    <w:pPr>
      <w:numPr>
        <w:numId w:val="18"/>
      </w:numPr>
      <w:spacing w:after="40"/>
      <w:ind w:left="1170" w:hanging="450"/>
    </w:pPr>
    <w:rPr>
      <w:sz w:val="22"/>
      <w:szCs w:val="22"/>
    </w:rPr>
  </w:style>
  <w:style w:type="character" w:customStyle="1" w:styleId="ResponsesChar">
    <w:name w:val="Responses Char"/>
    <w:basedOn w:val="DefaultParagraphFont"/>
    <w:link w:val="Responses"/>
    <w:rsid w:val="00194CE4"/>
    <w:rPr>
      <w:rFonts w:eastAsia="Times New Roman" w:cs="Times New Roman"/>
      <w:color w:val="000000"/>
    </w:rPr>
  </w:style>
  <w:style w:type="character" w:customStyle="1" w:styleId="Heading2Char">
    <w:name w:val="Heading 2 Char"/>
    <w:basedOn w:val="DefaultParagraphFont"/>
    <w:link w:val="Heading2"/>
    <w:uiPriority w:val="9"/>
    <w:rsid w:val="00194CE4"/>
    <w:rPr>
      <w:rFonts w:asciiTheme="majorHAnsi" w:eastAsiaTheme="majorEastAsia" w:hAnsiTheme="majorHAnsi" w:cstheme="majorBidi"/>
      <w:color w:val="365F91" w:themeColor="accent1" w:themeShade="BF"/>
      <w:sz w:val="24"/>
      <w:szCs w:val="26"/>
    </w:rPr>
  </w:style>
  <w:style w:type="character" w:customStyle="1" w:styleId="Heading3Char">
    <w:name w:val="Heading 3 Char"/>
    <w:basedOn w:val="DefaultParagraphFont"/>
    <w:link w:val="Heading3"/>
    <w:uiPriority w:val="9"/>
    <w:semiHidden/>
    <w:rsid w:val="00194CE4"/>
    <w:rPr>
      <w:rFonts w:asciiTheme="majorHAnsi" w:eastAsiaTheme="majorEastAsia" w:hAnsiTheme="majorHAnsi" w:cstheme="majorBidi"/>
      <w:color w:val="243F60" w:themeColor="accent1" w:themeShade="7F"/>
      <w:szCs w:val="24"/>
    </w:rPr>
  </w:style>
  <w:style w:type="character" w:styleId="Emphasis">
    <w:name w:val="Emphasis"/>
    <w:basedOn w:val="DefaultParagraphFont"/>
    <w:uiPriority w:val="20"/>
    <w:qFormat/>
    <w:rsid w:val="00194CE4"/>
    <w:rPr>
      <w:i/>
      <w:iCs/>
    </w:rPr>
  </w:style>
  <w:style w:type="character" w:styleId="SubtleEmphasis">
    <w:name w:val="Subtle Emphasis"/>
    <w:basedOn w:val="DefaultParagraphFont"/>
    <w:uiPriority w:val="19"/>
    <w:qFormat/>
    <w:rsid w:val="00194CE4"/>
    <w:rPr>
      <w:i/>
      <w:iCs/>
      <w:color w:val="1F497D" w:themeColor="text2"/>
      <w:sz w:val="20"/>
    </w:rPr>
  </w:style>
  <w:style w:type="table" w:styleId="GridTable2-Accent1">
    <w:name w:val="Grid Table 2 Accent 1"/>
    <w:basedOn w:val="TableNormal"/>
    <w:uiPriority w:val="47"/>
    <w:rsid w:val="00194CE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RFPrequirements">
    <w:name w:val="RFP requirements"/>
    <w:basedOn w:val="Normal"/>
    <w:link w:val="RFPrequirementsChar"/>
    <w:rsid w:val="00836AD9"/>
    <w:pPr>
      <w:numPr>
        <w:ilvl w:val="2"/>
        <w:numId w:val="3"/>
      </w:numPr>
    </w:pPr>
  </w:style>
  <w:style w:type="paragraph" w:customStyle="1" w:styleId="ModeratorNotes">
    <w:name w:val="Moderator Notes"/>
    <w:basedOn w:val="RFPrequirements"/>
    <w:link w:val="ModeratorNotesChar"/>
    <w:qFormat/>
    <w:rsid w:val="002E5183"/>
    <w:pPr>
      <w:tabs>
        <w:tab w:val="clear" w:pos="1890"/>
      </w:tabs>
      <w:spacing w:after="120"/>
      <w:ind w:left="1530" w:hanging="360"/>
    </w:pPr>
    <w:rPr>
      <w:i/>
    </w:rPr>
  </w:style>
  <w:style w:type="paragraph" w:styleId="Header">
    <w:name w:val="header"/>
    <w:basedOn w:val="Normal"/>
    <w:link w:val="HeaderChar"/>
    <w:uiPriority w:val="99"/>
    <w:unhideWhenUsed/>
    <w:rsid w:val="00344EE4"/>
    <w:pPr>
      <w:tabs>
        <w:tab w:val="center" w:pos="4680"/>
        <w:tab w:val="right" w:pos="9360"/>
      </w:tabs>
    </w:pPr>
  </w:style>
  <w:style w:type="character" w:customStyle="1" w:styleId="RFPrequirementsChar">
    <w:name w:val="RFP requirements Char"/>
    <w:basedOn w:val="DefaultParagraphFont"/>
    <w:link w:val="RFPrequirements"/>
    <w:rsid w:val="00836AD9"/>
    <w:rPr>
      <w:rFonts w:eastAsia="Times New Roman" w:cs="Times New Roman"/>
      <w:color w:val="000000"/>
      <w:sz w:val="24"/>
      <w:szCs w:val="24"/>
    </w:rPr>
  </w:style>
  <w:style w:type="character" w:customStyle="1" w:styleId="ModeratorNotesChar">
    <w:name w:val="Moderator Notes Char"/>
    <w:basedOn w:val="RFPrequirementsChar"/>
    <w:link w:val="ModeratorNotes"/>
    <w:rsid w:val="002E5183"/>
    <w:rPr>
      <w:rFonts w:eastAsia="Times New Roman" w:cs="Times New Roman"/>
      <w:i/>
      <w:color w:val="000000"/>
      <w:sz w:val="24"/>
      <w:szCs w:val="24"/>
    </w:rPr>
  </w:style>
  <w:style w:type="character" w:customStyle="1" w:styleId="HeaderChar">
    <w:name w:val="Header Char"/>
    <w:basedOn w:val="DefaultParagraphFont"/>
    <w:link w:val="Header"/>
    <w:uiPriority w:val="99"/>
    <w:rsid w:val="00344EE4"/>
    <w:rPr>
      <w:rFonts w:eastAsia="Times New Roman" w:cs="Times New Roman"/>
      <w:color w:val="000000"/>
      <w:sz w:val="24"/>
      <w:szCs w:val="24"/>
    </w:rPr>
  </w:style>
  <w:style w:type="paragraph" w:styleId="Footer">
    <w:name w:val="footer"/>
    <w:basedOn w:val="Normal"/>
    <w:link w:val="FooterChar"/>
    <w:uiPriority w:val="99"/>
    <w:unhideWhenUsed/>
    <w:rsid w:val="00344EE4"/>
    <w:pPr>
      <w:tabs>
        <w:tab w:val="center" w:pos="4680"/>
        <w:tab w:val="right" w:pos="9360"/>
      </w:tabs>
    </w:pPr>
  </w:style>
  <w:style w:type="character" w:customStyle="1" w:styleId="FooterChar">
    <w:name w:val="Footer Char"/>
    <w:basedOn w:val="DefaultParagraphFont"/>
    <w:link w:val="Footer"/>
    <w:uiPriority w:val="99"/>
    <w:rsid w:val="00344EE4"/>
    <w:rPr>
      <w:rFonts w:eastAsia="Times New Roman" w:cs="Times New Roman"/>
      <w:color w:val="000000"/>
      <w:sz w:val="24"/>
      <w:szCs w:val="24"/>
    </w:rPr>
  </w:style>
  <w:style w:type="paragraph" w:styleId="HTMLPreformatted">
    <w:name w:val="HTML Preformatted"/>
    <w:basedOn w:val="Normal"/>
    <w:link w:val="HTMLPreformattedChar"/>
    <w:uiPriority w:val="99"/>
    <w:unhideWhenUsed/>
    <w:rsid w:val="00EA1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EA16A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16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011A-E893-4C39-B30F-10946013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Kathleen</dc:creator>
  <cp:keywords/>
  <dc:description/>
  <cp:lastModifiedBy>Mizrachi, Ila</cp:lastModifiedBy>
  <cp:revision>2</cp:revision>
  <cp:lastPrinted>2019-12-02T15:12:00Z</cp:lastPrinted>
  <dcterms:created xsi:type="dcterms:W3CDTF">2020-02-07T20:26:00Z</dcterms:created>
  <dcterms:modified xsi:type="dcterms:W3CDTF">2020-02-07T20:26:00Z</dcterms:modified>
</cp:coreProperties>
</file>