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FE9DF" w14:textId="35158D51" w:rsidR="003F1C7A" w:rsidRDefault="00364051" w:rsidP="00243BAE">
      <w:pPr>
        <w:pStyle w:val="Heading2"/>
        <w:tabs>
          <w:tab w:val="left" w:pos="900"/>
        </w:tabs>
        <w:ind w:right="-180"/>
        <w:rPr>
          <w:sz w:val="28"/>
        </w:rPr>
      </w:pPr>
      <w:bookmarkStart w:id="0" w:name="_GoBack"/>
      <w:bookmarkEnd w:id="0"/>
      <w:r>
        <w:rPr>
          <w:sz w:val="28"/>
        </w:rPr>
        <w:t>FDA</w:t>
      </w:r>
      <w:r w:rsidR="00243BAE">
        <w:rPr>
          <w:sz w:val="28"/>
        </w:rPr>
        <w:t xml:space="preserve"> </w:t>
      </w:r>
      <w:r w:rsidR="003F1C7A">
        <w:rPr>
          <w:sz w:val="28"/>
        </w:rPr>
        <w:t>DOCUMENTATION FOR THE GENERIC CLEARANCE</w:t>
      </w:r>
    </w:p>
    <w:p w14:paraId="01DBED14" w14:textId="77777777" w:rsidR="003F1C7A" w:rsidRDefault="003F1C7A">
      <w:pPr>
        <w:jc w:val="center"/>
      </w:pPr>
      <w:r>
        <w:rPr>
          <w:b/>
          <w:sz w:val="28"/>
        </w:rPr>
        <w:t xml:space="preserve">OF </w:t>
      </w:r>
      <w:r w:rsidR="00F12AEE">
        <w:rPr>
          <w:b/>
          <w:sz w:val="28"/>
        </w:rPr>
        <w:t>FOCUS GROUPS</w:t>
      </w:r>
      <w:r w:rsidR="000F2F28">
        <w:rPr>
          <w:b/>
          <w:sz w:val="28"/>
        </w:rPr>
        <w:t xml:space="preserve"> (0910-0497)</w:t>
      </w:r>
    </w:p>
    <w:p w14:paraId="6D22BC4E" w14:textId="77777777" w:rsidR="003F1C7A" w:rsidRDefault="004910F4">
      <w:r>
        <w:rPr>
          <w:noProof/>
          <w:sz w:val="18"/>
          <w:szCs w:val="18"/>
        </w:rPr>
        <mc:AlternateContent>
          <mc:Choice Requires="wps">
            <w:drawing>
              <wp:anchor distT="0" distB="0" distL="114300" distR="114300" simplePos="0" relativeHeight="251657728" behindDoc="0" locked="0" layoutInCell="1" allowOverlap="1" wp14:anchorId="26841BDC" wp14:editId="352D7FDE">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5A8383"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14:paraId="689EE456" w14:textId="77777777" w:rsidR="003F1C7A" w:rsidRPr="00463B4D" w:rsidRDefault="009404FA">
      <w:pPr>
        <w:rPr>
          <w:sz w:val="20"/>
          <w:szCs w:val="20"/>
        </w:rPr>
      </w:pPr>
      <w:r w:rsidRPr="00463B4D">
        <w:rPr>
          <w:sz w:val="20"/>
          <w:szCs w:val="20"/>
        </w:rPr>
        <w:t>Focus groups do not yield meaningful quantitative findings.  They can provide public input, but they do not yield data about public opinion that can be generalized.  As such, they cannot be used to drive the development of policies, programs, and services.  Policy makers and educators can use focus groups findings to test and refine their ideas, but should then conduct further research before making important decisions such as adopting new policies and allocating or redirecting significant resources to support these policies.</w:t>
      </w:r>
    </w:p>
    <w:p w14:paraId="32AAACA8" w14:textId="4902EB89" w:rsidR="003F1C7A" w:rsidRDefault="003F1C7A" w:rsidP="005E23BA">
      <w:pPr>
        <w:spacing w:before="120"/>
      </w:pPr>
      <w:r>
        <w:rPr>
          <w:b/>
        </w:rPr>
        <w:t>TITLE OF INFORMATION COLLECTION:</w:t>
      </w:r>
      <w:r>
        <w:t xml:space="preserve">  </w:t>
      </w:r>
      <w:r w:rsidR="00AC63BA" w:rsidRPr="00AC63BA">
        <w:t xml:space="preserve">Focus Groups on </w:t>
      </w:r>
      <w:r w:rsidR="00D86401">
        <w:t>Perceptions of Prescription Drug Promotion and Approval Review Process</w:t>
      </w:r>
      <w:r w:rsidR="00AA3856" w:rsidRPr="00336FCF">
        <w:t xml:space="preserve"> (Formative Research)</w:t>
      </w:r>
    </w:p>
    <w:p w14:paraId="3FDF10F9" w14:textId="77777777" w:rsidR="00290BA3" w:rsidRDefault="00290BA3" w:rsidP="00290BA3">
      <w:pPr>
        <w:jc w:val="center"/>
      </w:pPr>
    </w:p>
    <w:p w14:paraId="37C02F21" w14:textId="77777777" w:rsidR="003F1C7A" w:rsidRDefault="003F1C7A">
      <w:pPr>
        <w:spacing w:after="120"/>
      </w:pPr>
      <w:r>
        <w:rPr>
          <w:b/>
        </w:rPr>
        <w:t>DESCRIPTION OF THIS SPECIFIC COLLECTION</w:t>
      </w:r>
      <w:r>
        <w:t xml:space="preserve"> </w:t>
      </w:r>
    </w:p>
    <w:p w14:paraId="62DCC3A0" w14:textId="77777777" w:rsidR="003F1C7A" w:rsidRDefault="0049419A" w:rsidP="00F12AEE">
      <w:pPr>
        <w:numPr>
          <w:ilvl w:val="0"/>
          <w:numId w:val="15"/>
        </w:numPr>
        <w:tabs>
          <w:tab w:val="clear" w:pos="1296"/>
          <w:tab w:val="num" w:pos="720"/>
        </w:tabs>
        <w:ind w:left="360" w:firstLine="0"/>
      </w:pPr>
      <w:r>
        <w:rPr>
          <w:b/>
        </w:rPr>
        <w:t>Statement of n</w:t>
      </w:r>
      <w:r w:rsidR="00F12AEE">
        <w:rPr>
          <w:b/>
        </w:rPr>
        <w:t>eed</w:t>
      </w:r>
      <w:r w:rsidR="003F1C7A" w:rsidRPr="00E26798">
        <w:rPr>
          <w:b/>
        </w:rPr>
        <w:t>:</w:t>
      </w:r>
      <w:r w:rsidR="003F1C7A">
        <w:t xml:space="preserve">  </w:t>
      </w:r>
    </w:p>
    <w:p w14:paraId="4448E58E" w14:textId="77777777" w:rsidR="005F51A9" w:rsidRDefault="005F51A9" w:rsidP="001E15AA">
      <w:pPr>
        <w:ind w:left="720"/>
        <w:jc w:val="both"/>
      </w:pPr>
    </w:p>
    <w:p w14:paraId="4874568F" w14:textId="00F14DF8" w:rsidR="0092248E" w:rsidRDefault="00787E77" w:rsidP="001E15AA">
      <w:pPr>
        <w:ind w:left="720"/>
        <w:jc w:val="both"/>
      </w:pPr>
      <w:r w:rsidRPr="00336FCF">
        <w:t xml:space="preserve">The Food and Drug Administration (FDA), Center for </w:t>
      </w:r>
      <w:r w:rsidR="00D86401">
        <w:t>Drug Evaluation and Research</w:t>
      </w:r>
      <w:r w:rsidRPr="00336FCF">
        <w:t xml:space="preserve"> (</w:t>
      </w:r>
      <w:r w:rsidR="00D86401">
        <w:t>CDER</w:t>
      </w:r>
      <w:r w:rsidRPr="00336FCF">
        <w:t xml:space="preserve">), Office of </w:t>
      </w:r>
      <w:r w:rsidR="00D86401">
        <w:t>Prescription Drug Promotion</w:t>
      </w:r>
      <w:r w:rsidRPr="00336FCF">
        <w:t xml:space="preserve"> is seeking OMB approval under the generic clearance 0910-0497</w:t>
      </w:r>
      <w:r>
        <w:t xml:space="preserve"> for the focus group</w:t>
      </w:r>
      <w:r w:rsidRPr="00336FCF">
        <w:t xml:space="preserve"> project, “</w:t>
      </w:r>
      <w:r w:rsidR="00D86401">
        <w:t>Perceptions of Prescription Drug Promotion and Approval Review Process</w:t>
      </w:r>
      <w:r w:rsidR="00D86401" w:rsidRPr="00336FCF">
        <w:t xml:space="preserve"> </w:t>
      </w:r>
      <w:r w:rsidRPr="00336FCF">
        <w:t>(Formative Research)</w:t>
      </w:r>
      <w:r>
        <w:t xml:space="preserve">.” </w:t>
      </w:r>
    </w:p>
    <w:p w14:paraId="1CDAB309" w14:textId="1080FFE4" w:rsidR="0092248E" w:rsidRDefault="0092248E" w:rsidP="001E15AA">
      <w:pPr>
        <w:ind w:left="720"/>
        <w:jc w:val="both"/>
      </w:pPr>
    </w:p>
    <w:p w14:paraId="6D9E4005" w14:textId="05D49C69" w:rsidR="00DF596E" w:rsidRDefault="00DF596E" w:rsidP="00DF596E">
      <w:pPr>
        <w:pStyle w:val="ListParagraph"/>
      </w:pPr>
      <w:r>
        <w:t xml:space="preserve">The </w:t>
      </w:r>
      <w:r w:rsidRPr="0021291E">
        <w:t>U.S. Food and Drug Administration (FDA</w:t>
      </w:r>
      <w:r>
        <w:t>;</w:t>
      </w:r>
      <w:r w:rsidR="00BE6B0A">
        <w:t xml:space="preserve"> </w:t>
      </w:r>
      <w:r w:rsidRPr="00EB14DB">
        <w:t>2018</w:t>
      </w:r>
      <w:r w:rsidR="005B212B">
        <w:rPr>
          <w:rStyle w:val="FootnoteReference"/>
        </w:rPr>
        <w:footnoteReference w:id="2"/>
      </w:r>
      <w:r w:rsidRPr="0021291E">
        <w:t>)</w:t>
      </w:r>
      <w:r>
        <w:t xml:space="preserve"> regulates the approval process for prescription drugs. Although it has broad regulatory authority over prescription drug promotion, FDA does not pre-approve prescription drug promotional material (e.g., print and television advertisements, websites, digital ads</w:t>
      </w:r>
      <w:r w:rsidR="00BE6B0A">
        <w:t>) except in certain circumstances (e.g., Subpart H products)</w:t>
      </w:r>
      <w:r>
        <w:t xml:space="preserve">. The Agency </w:t>
      </w:r>
      <w:r w:rsidR="00BE6B0A">
        <w:t>may</w:t>
      </w:r>
      <w:r>
        <w:t xml:space="preserve"> provide </w:t>
      </w:r>
      <w:r w:rsidR="00BE6B0A">
        <w:t xml:space="preserve">advisory </w:t>
      </w:r>
      <w:r>
        <w:t xml:space="preserve">comments if requested by the sponsor, </w:t>
      </w:r>
      <w:r w:rsidR="00BE6B0A">
        <w:t>and</w:t>
      </w:r>
      <w:r>
        <w:t xml:space="preserve"> all </w:t>
      </w:r>
      <w:r w:rsidR="00BE6B0A">
        <w:t>promotional material</w:t>
      </w:r>
      <w:r>
        <w:t xml:space="preserve"> must be submitted to FDA at the time they are initially disseminated</w:t>
      </w:r>
      <w:r w:rsidR="00BE6B0A">
        <w:t>; however,</w:t>
      </w:r>
      <w:r>
        <w:t xml:space="preserve"> pharmaceutical companies can also </w:t>
      </w:r>
      <w:r w:rsidR="00BE6B0A">
        <w:t>disseminate promotional material</w:t>
      </w:r>
      <w:r>
        <w:t xml:space="preserve"> without prior FDA review or comment (Prescription-drug advertisements, </w:t>
      </w:r>
      <w:r w:rsidRPr="00327A93">
        <w:t>Title 21 eCFR §202.1</w:t>
      </w:r>
      <w:r>
        <w:t xml:space="preserve">). </w:t>
      </w:r>
      <w:r w:rsidRPr="00E8603B">
        <w:t xml:space="preserve">Despite efforts to explain and clarify this process to </w:t>
      </w:r>
      <w:r w:rsidR="00BE6B0A">
        <w:t>the public</w:t>
      </w:r>
      <w:r w:rsidRPr="00E8603B">
        <w:t xml:space="preserve">, confusion remains. Surveys of consumers conducted over the past 20 years show little change in the misconceptions associated with FDA’s role in reviewing and approving prescription drug promotions. For example, </w:t>
      </w:r>
      <w:bookmarkStart w:id="1" w:name="_Hlk521580889"/>
      <w:r w:rsidRPr="00E8603B">
        <w:t>Bell, Kravitz and Wilkes (1999</w:t>
      </w:r>
      <w:bookmarkEnd w:id="1"/>
      <w:r w:rsidRPr="00E8603B">
        <w:t>)</w:t>
      </w:r>
      <w:r w:rsidR="000B717E">
        <w:rPr>
          <w:rStyle w:val="FootnoteReference"/>
        </w:rPr>
        <w:footnoteReference w:id="3"/>
      </w:r>
      <w:r w:rsidRPr="00E8603B">
        <w:t xml:space="preserve"> found that 43% of consumers in a telephone survey thought that only “completely safe” drugs could be advertised. Another survey of patients conducted in 1999 and 2002 found that between 21% (2002) and 31% (1999) agreed that “only the safest prescription drugs” were allowed to be advertised to the public (Aikin, Swasy, &amp; Braman, 2004)</w:t>
      </w:r>
      <w:r w:rsidR="000B717E">
        <w:rPr>
          <w:rStyle w:val="FootnoteReference"/>
        </w:rPr>
        <w:footnoteReference w:id="4"/>
      </w:r>
      <w:r w:rsidRPr="00E8603B">
        <w:t>. More recently, O’Donoghue and colleagues (2016)</w:t>
      </w:r>
      <w:r w:rsidR="000B717E">
        <w:rPr>
          <w:rStyle w:val="FootnoteReference"/>
        </w:rPr>
        <w:footnoteReference w:id="5"/>
      </w:r>
      <w:r w:rsidRPr="00E8603B">
        <w:t xml:space="preserve"> found that 25.8% of consumers indicated </w:t>
      </w:r>
      <w:r w:rsidRPr="00E8603B">
        <w:lastRenderedPageBreak/>
        <w:t xml:space="preserve">that only drugs that were “extremely effective” could be advertised to the public, and 68.8% indicated that FDA must approve prescription drug ads </w:t>
      </w:r>
      <w:r w:rsidRPr="00E8603B">
        <w:rPr>
          <w:i/>
        </w:rPr>
        <w:t xml:space="preserve">before </w:t>
      </w:r>
      <w:r w:rsidRPr="00E8603B">
        <w:t>they appear to the public. This suggests that many people continue to believe that FDA is involved in reviewing promotional content</w:t>
      </w:r>
      <w:r>
        <w:t xml:space="preserve"> in advance</w:t>
      </w:r>
      <w:r w:rsidRPr="00E8603B">
        <w:t xml:space="preserve">, which may influence the trust they put in the </w:t>
      </w:r>
      <w:r w:rsidR="00BE6B0A">
        <w:t>information contained in promotional materials</w:t>
      </w:r>
      <w:r w:rsidRPr="00E8603B">
        <w:t xml:space="preserve">.  </w:t>
      </w:r>
    </w:p>
    <w:p w14:paraId="09952483" w14:textId="77777777" w:rsidR="00DF596E" w:rsidRDefault="00DF596E" w:rsidP="00DF596E">
      <w:pPr>
        <w:pStyle w:val="ListParagraph"/>
      </w:pPr>
    </w:p>
    <w:p w14:paraId="63731570" w14:textId="21C2A6DF" w:rsidR="006D7B32" w:rsidRPr="006A7962" w:rsidRDefault="007A5748" w:rsidP="00DF596E">
      <w:pPr>
        <w:ind w:left="720"/>
      </w:pPr>
      <w:r>
        <w:t xml:space="preserve">Information about the status of FDA review of promotional materials could be disseminated through use of a disclosure but </w:t>
      </w:r>
      <w:r w:rsidR="00DF596E">
        <w:t xml:space="preserve">the literature on disclosures is mixed. Studies have reported low levels of recall for warnings and disclosures for a variety of products (Bhalla </w:t>
      </w:r>
      <w:r w:rsidR="000B717E">
        <w:t xml:space="preserve">&amp; </w:t>
      </w:r>
      <w:r w:rsidR="000B717E" w:rsidRPr="00CF30F2">
        <w:rPr>
          <w:shd w:val="clear" w:color="auto" w:fill="FFFFFF"/>
        </w:rPr>
        <w:t>Lastovicka</w:t>
      </w:r>
      <w:r w:rsidR="000B717E">
        <w:rPr>
          <w:rFonts w:asciiTheme="majorHAnsi" w:hAnsiTheme="majorHAnsi" w:cstheme="majorHAnsi"/>
          <w:sz w:val="22"/>
          <w:szCs w:val="22"/>
          <w:shd w:val="clear" w:color="auto" w:fill="FFFFFF"/>
        </w:rPr>
        <w:t>,</w:t>
      </w:r>
      <w:r w:rsidR="00DF596E">
        <w:t xml:space="preserve"> 1984</w:t>
      </w:r>
      <w:r w:rsidR="000B717E">
        <w:rPr>
          <w:rStyle w:val="FootnoteReference"/>
        </w:rPr>
        <w:footnoteReference w:id="6"/>
      </w:r>
      <w:r w:rsidR="00DF596E">
        <w:t>; Houston &amp; Rothschild, 1980</w:t>
      </w:r>
      <w:r w:rsidR="000B717E">
        <w:rPr>
          <w:rStyle w:val="FootnoteReference"/>
        </w:rPr>
        <w:footnoteReference w:id="7"/>
      </w:r>
      <w:r w:rsidR="00DF596E">
        <w:t>; Jacoby &amp; Witherspoon, 1982</w:t>
      </w:r>
      <w:r w:rsidR="000B717E">
        <w:rPr>
          <w:rStyle w:val="FootnoteReference"/>
        </w:rPr>
        <w:footnoteReference w:id="8"/>
      </w:r>
      <w:r w:rsidR="00DF596E">
        <w:t>; Scammon, 1977</w:t>
      </w:r>
      <w:r w:rsidR="000B717E">
        <w:rPr>
          <w:rStyle w:val="FootnoteReference"/>
        </w:rPr>
        <w:footnoteReference w:id="9"/>
      </w:r>
      <w:r w:rsidR="00DF596E">
        <w:t xml:space="preserve">). </w:t>
      </w:r>
      <w:r>
        <w:t>S</w:t>
      </w:r>
      <w:r w:rsidR="006D7B32" w:rsidRPr="006A7962">
        <w:t>urveys of consumer attitudes have found that many people (40%+) believe that supplements are approved by FDA (Pillitteri et al</w:t>
      </w:r>
      <w:r w:rsidR="000B717E">
        <w:t>.</w:t>
      </w:r>
      <w:r w:rsidR="006D7B32" w:rsidRPr="006A7962">
        <w:t>, 2008</w:t>
      </w:r>
      <w:r w:rsidR="00377FDC">
        <w:rPr>
          <w:rStyle w:val="FootnoteReference"/>
        </w:rPr>
        <w:footnoteReference w:id="10"/>
      </w:r>
      <w:r w:rsidR="006D7B32" w:rsidRPr="006A7962">
        <w:t>), despite awareness of the Dietary Supplement Health and Education Act (DSHEA) disclaimer</w:t>
      </w:r>
      <w:r w:rsidR="006D7B32" w:rsidRPr="006A7962">
        <w:rPr>
          <w:rStyle w:val="FootnoteReference"/>
          <w:rFonts w:eastAsia="MS Mincho"/>
        </w:rPr>
        <w:footnoteReference w:id="11"/>
      </w:r>
      <w:r w:rsidR="006D7B32" w:rsidRPr="006A7962">
        <w:t xml:space="preserve"> (Mason &amp; Scammon, 2011</w:t>
      </w:r>
      <w:r w:rsidR="000C430D">
        <w:rPr>
          <w:rStyle w:val="FootnoteReference"/>
        </w:rPr>
        <w:footnoteReference w:id="12"/>
      </w:r>
      <w:r w:rsidR="006D7B32" w:rsidRPr="006A7962">
        <w:t>). A study by Asher et al</w:t>
      </w:r>
      <w:r w:rsidR="000C430D">
        <w:t>.</w:t>
      </w:r>
      <w:r w:rsidR="006D7B32" w:rsidRPr="006A7962">
        <w:t xml:space="preserve"> (200</w:t>
      </w:r>
      <w:r w:rsidR="00572EF2">
        <w:t>8</w:t>
      </w:r>
      <w:r w:rsidR="006D7B32" w:rsidRPr="006A7962">
        <w:t>)</w:t>
      </w:r>
      <w:r w:rsidR="00572EF2">
        <w:rPr>
          <w:rStyle w:val="FootnoteReference"/>
        </w:rPr>
        <w:footnoteReference w:id="13"/>
      </w:r>
      <w:r w:rsidR="006D7B32" w:rsidRPr="006A7962">
        <w:t xml:space="preserve"> found that after exposure to an advertisement for a weight-loss supplement, 10% thought the product was FDA-approved and 7% thought the ad itself was FTC-approved. </w:t>
      </w:r>
      <w:r w:rsidR="00DF596E">
        <w:t>In the context of prescription drug promotion, there is initial evidence that—when noticed—disclosures may effectively convey important information</w:t>
      </w:r>
      <w:r>
        <w:t xml:space="preserve"> (</w:t>
      </w:r>
      <w:r w:rsidR="002970CC">
        <w:t>Betts et al., 2017</w:t>
      </w:r>
      <w:r w:rsidR="002970CC">
        <w:rPr>
          <w:rStyle w:val="FootnoteReference"/>
        </w:rPr>
        <w:footnoteReference w:id="14"/>
      </w:r>
      <w:r w:rsidR="002970CC">
        <w:t xml:space="preserve">; </w:t>
      </w:r>
      <w:r>
        <w:t>Betts et al., 2018</w:t>
      </w:r>
      <w:r>
        <w:rPr>
          <w:rStyle w:val="FootnoteReference"/>
        </w:rPr>
        <w:footnoteReference w:id="15"/>
      </w:r>
      <w:r>
        <w:t>; Sullivan, O’Donoghue, David &amp; Patel, 2018</w:t>
      </w:r>
      <w:r>
        <w:rPr>
          <w:rStyle w:val="FootnoteReference"/>
        </w:rPr>
        <w:footnoteReference w:id="16"/>
      </w:r>
      <w:r>
        <w:t>)</w:t>
      </w:r>
      <w:r w:rsidR="00DF596E">
        <w:t>; however, whether disclosures (or signals like those indicated in the current study) can educate or correct misunderstanding warrants further investigation.</w:t>
      </w:r>
    </w:p>
    <w:p w14:paraId="510A4506" w14:textId="77777777" w:rsidR="006D7B32" w:rsidRPr="006A7962" w:rsidRDefault="006D7B32" w:rsidP="006D7B32"/>
    <w:p w14:paraId="1206E122" w14:textId="4360A8FD" w:rsidR="006D7B32" w:rsidRPr="006A7962" w:rsidRDefault="00BE6B0A" w:rsidP="006D7B32">
      <w:pPr>
        <w:ind w:left="720"/>
      </w:pPr>
      <w:r>
        <w:t>C</w:t>
      </w:r>
      <w:r w:rsidRPr="0021291E">
        <w:t xml:space="preserve">onsumer understanding of </w:t>
      </w:r>
      <w:r w:rsidR="00DC7043">
        <w:t xml:space="preserve">the </w:t>
      </w:r>
      <w:r>
        <w:t xml:space="preserve">prescription drug approval </w:t>
      </w:r>
      <w:r w:rsidRPr="0021291E">
        <w:t>process is lacking, and many misconceptions about the process and requirements persist.</w:t>
      </w:r>
      <w:r>
        <w:t xml:space="preserve"> </w:t>
      </w:r>
      <w:r w:rsidR="006D7B32" w:rsidRPr="006A7962">
        <w:t xml:space="preserve">Although healthcare professionals (HCPs) may have a deeper understanding </w:t>
      </w:r>
      <w:r w:rsidR="006D7B32">
        <w:t xml:space="preserve">than consumers </w:t>
      </w:r>
      <w:r w:rsidR="006D7B32" w:rsidRPr="006A7962">
        <w:t xml:space="preserve">of the approval required for prescription drugs, it is unclear </w:t>
      </w:r>
      <w:r w:rsidR="006D7B32">
        <w:t>to what extent they understand the details of</w:t>
      </w:r>
      <w:r w:rsidR="006D7B32" w:rsidRPr="006A7962">
        <w:t xml:space="preserve"> </w:t>
      </w:r>
      <w:r w:rsidR="006D7B32" w:rsidRPr="006A7962">
        <w:lastRenderedPageBreak/>
        <w:t>FDA’s oversight role with regard to promotion</w:t>
      </w:r>
      <w:r w:rsidR="002970CC">
        <w:t xml:space="preserve"> or the best way to communicate this information in the context of a promotional piece</w:t>
      </w:r>
      <w:r w:rsidR="006D7B32" w:rsidRPr="006A7962">
        <w:t xml:space="preserve">. To our knowledge, no research has examined these issues with </w:t>
      </w:r>
      <w:r w:rsidR="006D7B32">
        <w:t>HCPs or compared HCPs to consumers</w:t>
      </w:r>
      <w:r w:rsidR="006D7B32" w:rsidRPr="006A7962">
        <w:t>.</w:t>
      </w:r>
    </w:p>
    <w:p w14:paraId="2CF782AF" w14:textId="77777777" w:rsidR="006D7B32" w:rsidRPr="006A7962" w:rsidRDefault="006D7B32" w:rsidP="006D7B32"/>
    <w:p w14:paraId="2E5D494B" w14:textId="085029D4" w:rsidR="006D7B32" w:rsidRPr="006A7962" w:rsidRDefault="005F51A9" w:rsidP="009F7E17">
      <w:pPr>
        <w:ind w:firstLine="720"/>
        <w:rPr>
          <w:u w:val="single"/>
        </w:rPr>
      </w:pPr>
      <w:r>
        <w:t>A</w:t>
      </w:r>
      <w:r w:rsidR="006D7B32" w:rsidRPr="006A7962">
        <w:t xml:space="preserve">. </w:t>
      </w:r>
      <w:r w:rsidR="006D7B32" w:rsidRPr="006A7962">
        <w:tab/>
      </w:r>
      <w:r w:rsidR="006D7B32" w:rsidRPr="006A7962">
        <w:rPr>
          <w:u w:val="single"/>
        </w:rPr>
        <w:t>Objectives</w:t>
      </w:r>
      <w:r w:rsidR="009F7E17">
        <w:rPr>
          <w:u w:val="single"/>
        </w:rPr>
        <w:t xml:space="preserve"> </w:t>
      </w:r>
    </w:p>
    <w:p w14:paraId="4BD1944B" w14:textId="77777777" w:rsidR="006D7B32" w:rsidRPr="006A7962" w:rsidRDefault="006D7B32" w:rsidP="006D7B32">
      <w:pPr>
        <w:ind w:left="720"/>
      </w:pPr>
    </w:p>
    <w:p w14:paraId="3FE586D9" w14:textId="5D7D1A88" w:rsidR="006D7B32" w:rsidRDefault="006D7B32" w:rsidP="006D7B32">
      <w:pPr>
        <w:ind w:left="720"/>
        <w:jc w:val="both"/>
      </w:pPr>
      <w:r>
        <w:t>This</w:t>
      </w:r>
      <w:r w:rsidRPr="006A7962">
        <w:t xml:space="preserve"> project </w:t>
      </w:r>
      <w:r>
        <w:t xml:space="preserve">phase </w:t>
      </w:r>
      <w:r w:rsidRPr="006A7962">
        <w:t xml:space="preserve">will </w:t>
      </w:r>
      <w:r>
        <w:t>explore HCP and consumer beliefs about</w:t>
      </w:r>
      <w:r w:rsidRPr="006A7962">
        <w:t xml:space="preserve"> FDA</w:t>
      </w:r>
      <w:r w:rsidR="00DF596E">
        <w:t xml:space="preserve">’s role in </w:t>
      </w:r>
      <w:r w:rsidRPr="006A7962">
        <w:t>review and approval in DTC and professional promotion</w:t>
      </w:r>
      <w:r w:rsidR="00637C8C">
        <w:t xml:space="preserve"> and drug approval status</w:t>
      </w:r>
      <w:r w:rsidRPr="006A7962">
        <w:t>.</w:t>
      </w:r>
    </w:p>
    <w:p w14:paraId="762892F4" w14:textId="77777777" w:rsidR="00882AE4" w:rsidRPr="007A4331" w:rsidRDefault="00882AE4" w:rsidP="001E15AA">
      <w:pPr>
        <w:jc w:val="both"/>
      </w:pPr>
    </w:p>
    <w:p w14:paraId="0D9A8D96" w14:textId="77777777" w:rsidR="003F1C7A" w:rsidRDefault="0049419A" w:rsidP="00F12AEE">
      <w:pPr>
        <w:numPr>
          <w:ilvl w:val="0"/>
          <w:numId w:val="15"/>
        </w:numPr>
        <w:tabs>
          <w:tab w:val="clear" w:pos="1296"/>
          <w:tab w:val="num" w:pos="720"/>
        </w:tabs>
        <w:ind w:left="720"/>
      </w:pPr>
      <w:r>
        <w:rPr>
          <w:b/>
        </w:rPr>
        <w:t>Intended u</w:t>
      </w:r>
      <w:r w:rsidR="00F12AEE">
        <w:rPr>
          <w:b/>
        </w:rPr>
        <w:t>se</w:t>
      </w:r>
      <w:r>
        <w:rPr>
          <w:b/>
        </w:rPr>
        <w:t xml:space="preserve"> of information</w:t>
      </w:r>
      <w:r w:rsidR="003F1C7A">
        <w:rPr>
          <w:b/>
        </w:rPr>
        <w:t>:</w:t>
      </w:r>
      <w:r w:rsidR="003F1C7A">
        <w:t xml:space="preserve">  </w:t>
      </w:r>
    </w:p>
    <w:p w14:paraId="3A8C954E" w14:textId="77777777" w:rsidR="005F51A9" w:rsidRDefault="005F51A9" w:rsidP="001835D3">
      <w:pPr>
        <w:ind w:left="720"/>
      </w:pPr>
    </w:p>
    <w:p w14:paraId="100D428B" w14:textId="7C288BEA" w:rsidR="00FB79C4" w:rsidRDefault="001835D3" w:rsidP="001835D3">
      <w:pPr>
        <w:ind w:left="720"/>
      </w:pPr>
      <w:r>
        <w:t>The</w:t>
      </w:r>
      <w:r w:rsidR="00FB79C4" w:rsidRPr="00AB3513">
        <w:t xml:space="preserve"> qualitative information </w:t>
      </w:r>
      <w:r>
        <w:t>collected from this study will</w:t>
      </w:r>
      <w:r w:rsidR="00FB79C4" w:rsidRPr="00AB3513">
        <w:t xml:space="preserve"> </w:t>
      </w:r>
      <w:r w:rsidR="00FB79C4">
        <w:t xml:space="preserve">contribute to </w:t>
      </w:r>
      <w:r w:rsidR="00D86401">
        <w:t>subsequent quantitative experimental research</w:t>
      </w:r>
      <w:r w:rsidR="00FB79C4">
        <w:t>.</w:t>
      </w:r>
    </w:p>
    <w:p w14:paraId="29082190" w14:textId="77777777" w:rsidR="003F1C7A" w:rsidRDefault="003F1C7A" w:rsidP="00F12AEE">
      <w:pPr>
        <w:ind w:left="360"/>
      </w:pPr>
    </w:p>
    <w:p w14:paraId="37FC61DC" w14:textId="77777777" w:rsidR="003F1C7A" w:rsidRDefault="0049419A" w:rsidP="00E96045">
      <w:pPr>
        <w:keepNext/>
        <w:numPr>
          <w:ilvl w:val="0"/>
          <w:numId w:val="15"/>
        </w:numPr>
        <w:tabs>
          <w:tab w:val="clear" w:pos="1296"/>
          <w:tab w:val="num" w:pos="720"/>
        </w:tabs>
        <w:ind w:left="720"/>
      </w:pPr>
      <w:r>
        <w:rPr>
          <w:b/>
        </w:rPr>
        <w:t>Description of r</w:t>
      </w:r>
      <w:r w:rsidR="00F12AEE">
        <w:rPr>
          <w:b/>
        </w:rPr>
        <w:t>espondents</w:t>
      </w:r>
      <w:r w:rsidR="003F1C7A" w:rsidRPr="00E26798">
        <w:rPr>
          <w:b/>
        </w:rPr>
        <w:t>:</w:t>
      </w:r>
      <w:r w:rsidR="003F1C7A">
        <w:t xml:space="preserve">  </w:t>
      </w:r>
    </w:p>
    <w:p w14:paraId="05AAA5B6" w14:textId="77777777" w:rsidR="005F51A9" w:rsidRDefault="005F51A9" w:rsidP="00637C8C">
      <w:pPr>
        <w:ind w:left="720"/>
      </w:pPr>
    </w:p>
    <w:p w14:paraId="684318E0" w14:textId="3E48B092" w:rsidR="00576639" w:rsidRDefault="00576639" w:rsidP="00637C8C">
      <w:pPr>
        <w:ind w:left="720"/>
      </w:pPr>
      <w:r>
        <w:t xml:space="preserve">A total of </w:t>
      </w:r>
      <w:r w:rsidR="00EC0795">
        <w:t>nine</w:t>
      </w:r>
      <w:r w:rsidRPr="00CA5223">
        <w:t xml:space="preserve"> focus groups are planned</w:t>
      </w:r>
      <w:r w:rsidR="00D86401">
        <w:t xml:space="preserve">; </w:t>
      </w:r>
      <w:r w:rsidR="00EC0795">
        <w:t>five</w:t>
      </w:r>
      <w:r w:rsidR="00D86401">
        <w:t xml:space="preserve"> with </w:t>
      </w:r>
      <w:r w:rsidR="002D7B37">
        <w:t xml:space="preserve">adult </w:t>
      </w:r>
      <w:r w:rsidR="00D86401">
        <w:t xml:space="preserve">consumers </w:t>
      </w:r>
      <w:r w:rsidR="002D7B37">
        <w:t xml:space="preserve">(aged 18 and over) </w:t>
      </w:r>
      <w:r w:rsidR="00D86401">
        <w:t xml:space="preserve">and </w:t>
      </w:r>
      <w:r w:rsidR="00EC0795">
        <w:t>four</w:t>
      </w:r>
      <w:r w:rsidR="00D86401">
        <w:t xml:space="preserve"> with </w:t>
      </w:r>
      <w:r w:rsidR="002D7B37">
        <w:t xml:space="preserve">HCPs </w:t>
      </w:r>
      <w:r w:rsidR="002970CC">
        <w:t>(</w:t>
      </w:r>
      <w:r w:rsidR="002D7B37">
        <w:t>general practice Primary Care Physicians and advanced practitioners [nurse practitioners and physicians assistants]</w:t>
      </w:r>
      <w:r w:rsidR="002970CC">
        <w:t>)</w:t>
      </w:r>
      <w:r w:rsidRPr="00CA5223">
        <w:t xml:space="preserve">. </w:t>
      </w:r>
      <w:r w:rsidRPr="001C3D56">
        <w:t>No more than 10 participants will participate in a group. FDA has contracted with</w:t>
      </w:r>
      <w:r w:rsidR="00216F24" w:rsidRPr="001C3D56">
        <w:t xml:space="preserve"> </w:t>
      </w:r>
      <w:r w:rsidR="00D86401">
        <w:t xml:space="preserve">RTI International </w:t>
      </w:r>
      <w:r w:rsidRPr="00336FCF">
        <w:t>to conduct these in-person focus groups.</w:t>
      </w:r>
    </w:p>
    <w:p w14:paraId="7A72D61B" w14:textId="228CC957" w:rsidR="00917B38" w:rsidRDefault="00917B38" w:rsidP="00576639">
      <w:pPr>
        <w:ind w:left="720"/>
        <w:jc w:val="both"/>
      </w:pPr>
    </w:p>
    <w:p w14:paraId="644BCCDF" w14:textId="66885C98" w:rsidR="00DC5D0A" w:rsidRDefault="00917B38" w:rsidP="00917B38">
      <w:pPr>
        <w:ind w:left="720"/>
      </w:pPr>
      <w:r w:rsidRPr="00E75CCC">
        <w:t xml:space="preserve">Eligible participants </w:t>
      </w:r>
      <w:r>
        <w:t xml:space="preserve">for the </w:t>
      </w:r>
      <w:r>
        <w:rPr>
          <w:b/>
        </w:rPr>
        <w:t xml:space="preserve">Healthcare Provider </w:t>
      </w:r>
      <w:r>
        <w:t xml:space="preserve">groups </w:t>
      </w:r>
      <w:r w:rsidRPr="00E75CCC">
        <w:t xml:space="preserve">will be </w:t>
      </w:r>
      <w:r>
        <w:t>in general practice (PCPs and advanced practitioners), who engage in</w:t>
      </w:r>
      <w:r w:rsidRPr="00FE6A23">
        <w:t xml:space="preserve"> direct patient care at least 50% of the time, and we will ensure reasonable diversity of number of years in practice</w:t>
      </w:r>
      <w:r w:rsidRPr="00E75CCC">
        <w:t>.</w:t>
      </w:r>
      <w:r>
        <w:t xml:space="preserve"> </w:t>
      </w:r>
      <w:r w:rsidR="00DC5D0A" w:rsidRPr="00602974">
        <w:t xml:space="preserve">We will exclude individuals who work in the marketing, advertising, or pharmaceutical industries or people that work for the Department of Health and Human Services </w:t>
      </w:r>
      <w:r w:rsidR="00DC5D0A">
        <w:t xml:space="preserve">because they may have specialized knowledge of FDA regulatory policies. </w:t>
      </w:r>
    </w:p>
    <w:p w14:paraId="4504DC68" w14:textId="77777777" w:rsidR="00DC5D0A" w:rsidRDefault="00DC5D0A" w:rsidP="00917B38">
      <w:pPr>
        <w:ind w:left="720"/>
      </w:pPr>
    </w:p>
    <w:p w14:paraId="12BD404C" w14:textId="77777777" w:rsidR="00DC5D0A" w:rsidRDefault="00917B38" w:rsidP="00917B38">
      <w:pPr>
        <w:ind w:left="720"/>
      </w:pPr>
      <w:r>
        <w:t xml:space="preserve">Eligible participants for the </w:t>
      </w:r>
      <w:r>
        <w:rPr>
          <w:b/>
        </w:rPr>
        <w:t xml:space="preserve">Consumer </w:t>
      </w:r>
      <w:r>
        <w:t>groups will be general population adults (divided by education level).</w:t>
      </w:r>
      <w:r w:rsidRPr="00E75CCC">
        <w:t xml:space="preserve"> </w:t>
      </w:r>
      <w:r w:rsidR="00DC5D0A" w:rsidRPr="00602974">
        <w:t xml:space="preserve">We will exclude individuals who work in the health care, marketing, advertising, or pharmaceutical industries or people that work for the Department of Health and Human Services because their knowledge and experiences may not reflect those of the average consumer. </w:t>
      </w:r>
    </w:p>
    <w:p w14:paraId="340F044E" w14:textId="77777777" w:rsidR="00DC5D0A" w:rsidRDefault="00DC5D0A" w:rsidP="00917B38">
      <w:pPr>
        <w:ind w:left="720"/>
      </w:pPr>
    </w:p>
    <w:p w14:paraId="1BF9EFF0" w14:textId="39B27FE1" w:rsidR="00DC5D0A" w:rsidRDefault="00DC5D0A" w:rsidP="00917B38">
      <w:pPr>
        <w:ind w:left="720"/>
      </w:pPr>
      <w:r w:rsidRPr="00602974">
        <w:t>In addition</w:t>
      </w:r>
      <w:r>
        <w:t xml:space="preserve"> to the above screening criteria</w:t>
      </w:r>
      <w:r w:rsidRPr="00602974">
        <w:t xml:space="preserve">, we will exclude individuals who have participated in an interview or focus group during the previous </w:t>
      </w:r>
      <w:r>
        <w:t>3</w:t>
      </w:r>
      <w:r w:rsidRPr="00602974">
        <w:t xml:space="preserve"> months to minimize the threat of trained responses or social desirability bias. </w:t>
      </w:r>
    </w:p>
    <w:p w14:paraId="04E1DBDD" w14:textId="77777777" w:rsidR="00DC5D0A" w:rsidRDefault="00DC5D0A" w:rsidP="00917B38">
      <w:pPr>
        <w:ind w:left="720"/>
      </w:pPr>
    </w:p>
    <w:p w14:paraId="4E4C66F4" w14:textId="51402498" w:rsidR="00917B38" w:rsidRDefault="00917B38" w:rsidP="00917B38">
      <w:pPr>
        <w:ind w:left="720"/>
      </w:pPr>
      <w:r w:rsidRPr="00E75CCC">
        <w:t>Our participant segments are as follow</w:t>
      </w:r>
      <w:r w:rsidR="00DC5D0A">
        <w:t>s</w:t>
      </w:r>
      <w:r w:rsidRPr="00E75CCC">
        <w:t xml:space="preserve">: </w:t>
      </w:r>
    </w:p>
    <w:p w14:paraId="3F4CCC32" w14:textId="77777777" w:rsidR="00917B38" w:rsidRPr="00E75CCC" w:rsidRDefault="00917B38" w:rsidP="00917B38">
      <w:pPr>
        <w:ind w:left="720"/>
      </w:pPr>
    </w:p>
    <w:p w14:paraId="6416879D" w14:textId="77777777" w:rsidR="00917B38" w:rsidRPr="00E75CCC" w:rsidRDefault="00917B38" w:rsidP="00917B38">
      <w:pPr>
        <w:ind w:left="720" w:firstLine="720"/>
        <w:rPr>
          <w:b/>
          <w:u w:val="single"/>
        </w:rPr>
      </w:pPr>
      <w:r>
        <w:rPr>
          <w:b/>
          <w:u w:val="single"/>
        </w:rPr>
        <w:t xml:space="preserve">Healthcare Providers (4 groups; </w:t>
      </w:r>
      <w:r w:rsidRPr="00E75CCC">
        <w:rPr>
          <w:b/>
          <w:u w:val="single"/>
        </w:rPr>
        <w:t>n=</w:t>
      </w:r>
      <w:r>
        <w:rPr>
          <w:b/>
          <w:u w:val="single"/>
        </w:rPr>
        <w:t>36</w:t>
      </w:r>
      <w:r w:rsidRPr="00E75CCC">
        <w:rPr>
          <w:b/>
          <w:u w:val="single"/>
        </w:rPr>
        <w:t>):</w:t>
      </w:r>
    </w:p>
    <w:p w14:paraId="4F5D7E3B" w14:textId="77777777" w:rsidR="00917B38" w:rsidRPr="00E75CCC" w:rsidRDefault="00917B38" w:rsidP="00917B38">
      <w:pPr>
        <w:pStyle w:val="ListParagraph"/>
        <w:numPr>
          <w:ilvl w:val="1"/>
          <w:numId w:val="22"/>
        </w:numPr>
        <w:spacing w:after="80"/>
        <w:contextualSpacing/>
      </w:pPr>
      <w:r>
        <w:t>PCPs</w:t>
      </w:r>
      <w:r w:rsidRPr="00E75CCC">
        <w:t xml:space="preserve"> (</w:t>
      </w:r>
      <w:r>
        <w:t xml:space="preserve">2 groups; </w:t>
      </w:r>
      <w:r w:rsidRPr="00E75CCC">
        <w:t>n=</w:t>
      </w:r>
      <w:r>
        <w:t>18</w:t>
      </w:r>
      <w:r w:rsidRPr="00E75CCC">
        <w:t>)</w:t>
      </w:r>
    </w:p>
    <w:p w14:paraId="50C0825C" w14:textId="5D6E7A12" w:rsidR="00917B38" w:rsidRPr="00E75CCC" w:rsidRDefault="00917B38" w:rsidP="00917B38">
      <w:pPr>
        <w:pStyle w:val="ListParagraph"/>
        <w:numPr>
          <w:ilvl w:val="2"/>
          <w:numId w:val="22"/>
        </w:numPr>
        <w:contextualSpacing/>
        <w:rPr>
          <w:i/>
          <w:iCs/>
        </w:rPr>
      </w:pPr>
      <w:r>
        <w:rPr>
          <w:iCs/>
        </w:rPr>
        <w:t xml:space="preserve">1 group each </w:t>
      </w:r>
      <w:r w:rsidR="00CF30F2">
        <w:rPr>
          <w:iCs/>
        </w:rPr>
        <w:t>in</w:t>
      </w:r>
      <w:r>
        <w:rPr>
          <w:iCs/>
        </w:rPr>
        <w:t xml:space="preserve"> Atlanta and Washington, DC</w:t>
      </w:r>
    </w:p>
    <w:p w14:paraId="0455F6F7" w14:textId="77777777" w:rsidR="00917B38" w:rsidRPr="00E75CCC" w:rsidRDefault="00917B38" w:rsidP="00917B38">
      <w:pPr>
        <w:pStyle w:val="ListParagraph"/>
        <w:numPr>
          <w:ilvl w:val="1"/>
          <w:numId w:val="22"/>
        </w:numPr>
        <w:spacing w:after="80"/>
        <w:contextualSpacing/>
      </w:pPr>
      <w:r>
        <w:t>Advanced Practitioners (Nurse Practitioners and Physicians Assistants) (2 groups; n=18)</w:t>
      </w:r>
    </w:p>
    <w:p w14:paraId="70F018A6" w14:textId="2CA6B978" w:rsidR="00917B38" w:rsidRDefault="00917B38" w:rsidP="00917B38">
      <w:pPr>
        <w:pStyle w:val="ListParagraph"/>
        <w:numPr>
          <w:ilvl w:val="2"/>
          <w:numId w:val="22"/>
        </w:numPr>
        <w:spacing w:after="80"/>
        <w:contextualSpacing/>
      </w:pPr>
      <w:r>
        <w:t xml:space="preserve">1 group each </w:t>
      </w:r>
      <w:r w:rsidR="00CF30F2">
        <w:t>in</w:t>
      </w:r>
      <w:r>
        <w:t xml:space="preserve"> Atlanta and Washington, DC</w:t>
      </w:r>
    </w:p>
    <w:p w14:paraId="45EE9DFA" w14:textId="77777777" w:rsidR="00917B38" w:rsidRPr="00E75CCC" w:rsidRDefault="00917B38" w:rsidP="00917B38">
      <w:pPr>
        <w:pStyle w:val="ListParagraph"/>
        <w:spacing w:after="80"/>
        <w:ind w:left="3060"/>
      </w:pPr>
    </w:p>
    <w:p w14:paraId="6E2F5B75" w14:textId="77777777" w:rsidR="00917B38" w:rsidRDefault="00917B38" w:rsidP="00917B38">
      <w:pPr>
        <w:ind w:left="720" w:firstLine="720"/>
        <w:rPr>
          <w:b/>
          <w:u w:val="single"/>
        </w:rPr>
      </w:pPr>
      <w:r>
        <w:rPr>
          <w:b/>
          <w:u w:val="single"/>
        </w:rPr>
        <w:t>Consumers (5 groups; n=45)</w:t>
      </w:r>
    </w:p>
    <w:p w14:paraId="29D476F7" w14:textId="77777777" w:rsidR="00917B38" w:rsidRPr="00406F7A" w:rsidRDefault="00917B38" w:rsidP="00917B38">
      <w:pPr>
        <w:pStyle w:val="ListParagraph"/>
        <w:numPr>
          <w:ilvl w:val="1"/>
          <w:numId w:val="22"/>
        </w:numPr>
        <w:spacing w:after="80"/>
        <w:contextualSpacing/>
        <w:rPr>
          <w:b/>
        </w:rPr>
      </w:pPr>
      <w:r w:rsidRPr="00406F7A">
        <w:t>Less than High School education (n=2 groups; n=18)</w:t>
      </w:r>
    </w:p>
    <w:p w14:paraId="56E4A517" w14:textId="77777777" w:rsidR="00917B38" w:rsidRPr="00406F7A" w:rsidRDefault="00917B38" w:rsidP="00917B38">
      <w:pPr>
        <w:pStyle w:val="ListParagraph"/>
        <w:numPr>
          <w:ilvl w:val="2"/>
          <w:numId w:val="22"/>
        </w:numPr>
        <w:spacing w:after="80"/>
        <w:ind w:left="3067"/>
        <w:contextualSpacing/>
        <w:rPr>
          <w:b/>
        </w:rPr>
      </w:pPr>
      <w:r w:rsidRPr="00406F7A">
        <w:t>2 groups in Atlanta</w:t>
      </w:r>
    </w:p>
    <w:p w14:paraId="1C9E4883" w14:textId="77777777" w:rsidR="00917B38" w:rsidRPr="00406F7A" w:rsidRDefault="00917B38" w:rsidP="00917B38">
      <w:pPr>
        <w:pStyle w:val="ListParagraph"/>
        <w:numPr>
          <w:ilvl w:val="1"/>
          <w:numId w:val="22"/>
        </w:numPr>
        <w:spacing w:after="80"/>
        <w:contextualSpacing/>
        <w:rPr>
          <w:b/>
        </w:rPr>
      </w:pPr>
      <w:r w:rsidRPr="00406F7A">
        <w:t>High School or more education (n=3 groups; n=27)</w:t>
      </w:r>
    </w:p>
    <w:p w14:paraId="0E14C814" w14:textId="2CAE9175" w:rsidR="00917B38" w:rsidRPr="00336FCF" w:rsidRDefault="00917B38" w:rsidP="00917B38">
      <w:pPr>
        <w:pStyle w:val="ListParagraph"/>
        <w:numPr>
          <w:ilvl w:val="0"/>
          <w:numId w:val="23"/>
        </w:numPr>
        <w:ind w:left="3067"/>
        <w:jc w:val="both"/>
      </w:pPr>
      <w:r w:rsidRPr="00406F7A">
        <w:t>1 group in Atlanta; 2 groups in Washington, DC</w:t>
      </w:r>
    </w:p>
    <w:p w14:paraId="711E2F0D" w14:textId="77777777" w:rsidR="00E215FA" w:rsidRDefault="00E215FA" w:rsidP="00F12AEE">
      <w:pPr>
        <w:ind w:left="720"/>
      </w:pPr>
    </w:p>
    <w:p w14:paraId="2DFFF238" w14:textId="77777777" w:rsidR="003F1C7A" w:rsidRPr="00E215FA" w:rsidRDefault="003F1C7A" w:rsidP="00F12AEE">
      <w:pPr>
        <w:numPr>
          <w:ilvl w:val="0"/>
          <w:numId w:val="15"/>
        </w:numPr>
        <w:tabs>
          <w:tab w:val="clear" w:pos="1296"/>
          <w:tab w:val="num" w:pos="720"/>
        </w:tabs>
        <w:ind w:left="720"/>
      </w:pPr>
      <w:r w:rsidRPr="00E26798">
        <w:rPr>
          <w:b/>
        </w:rPr>
        <w:t xml:space="preserve">Date(s) </w:t>
      </w:r>
      <w:r w:rsidR="009404FA">
        <w:rPr>
          <w:b/>
        </w:rPr>
        <w:t xml:space="preserve">to be conducted </w:t>
      </w:r>
      <w:r w:rsidRPr="00E26798">
        <w:rPr>
          <w:b/>
        </w:rPr>
        <w:t>and location(s)</w:t>
      </w:r>
      <w:r w:rsidR="0049419A">
        <w:rPr>
          <w:b/>
        </w:rPr>
        <w:t>:</w:t>
      </w:r>
      <w:r w:rsidRPr="00E26798">
        <w:rPr>
          <w:b/>
        </w:rPr>
        <w:t xml:space="preserve">  </w:t>
      </w:r>
    </w:p>
    <w:p w14:paraId="72E14A13" w14:textId="77777777" w:rsidR="005F51A9" w:rsidRDefault="005F51A9" w:rsidP="008B130B">
      <w:pPr>
        <w:ind w:left="720"/>
      </w:pPr>
    </w:p>
    <w:p w14:paraId="4EFC28C8" w14:textId="7EA3F455" w:rsidR="00D14201" w:rsidRDefault="00D14201" w:rsidP="008B130B">
      <w:pPr>
        <w:ind w:left="720"/>
      </w:pPr>
      <w:r w:rsidRPr="003D1766">
        <w:t xml:space="preserve">Focus groups will be conducted approximately one month from the date of OMB approval. The focus groups will be conducted </w:t>
      </w:r>
      <w:r w:rsidR="002970CC" w:rsidRPr="005C5330">
        <w:t>Washington, DC and Atlanta, GA</w:t>
      </w:r>
      <w:r>
        <w:t xml:space="preserve">. </w:t>
      </w:r>
      <w:r w:rsidR="006A2D27">
        <w:t>T</w:t>
      </w:r>
      <w:r>
        <w:t>he</w:t>
      </w:r>
      <w:r w:rsidR="006A2D27">
        <w:t xml:space="preserve"> selected</w:t>
      </w:r>
      <w:r>
        <w:t xml:space="preserve"> location</w:t>
      </w:r>
      <w:r w:rsidR="002F51BE">
        <w:t>s</w:t>
      </w:r>
      <w:r>
        <w:t xml:space="preserve"> offer suitable focus group facilities and recruitment capabilities that will enable us to recruit groups </w:t>
      </w:r>
      <w:r w:rsidR="000477CE">
        <w:t xml:space="preserve">who meet the criteria described in </w:t>
      </w:r>
      <w:r w:rsidR="00637C8C">
        <w:t>S</w:t>
      </w:r>
      <w:r w:rsidR="000477CE">
        <w:t>ection 3 above</w:t>
      </w:r>
      <w:r w:rsidR="006A305F">
        <w:t>.</w:t>
      </w:r>
    </w:p>
    <w:p w14:paraId="4D9E3E24" w14:textId="77777777" w:rsidR="00190AA2" w:rsidRDefault="00190AA2" w:rsidP="00F12AEE">
      <w:pPr>
        <w:ind w:left="360"/>
        <w:jc w:val="both"/>
      </w:pPr>
    </w:p>
    <w:p w14:paraId="4AC2C105" w14:textId="77777777" w:rsidR="00E26798" w:rsidRPr="00E96045" w:rsidRDefault="00140A0D" w:rsidP="00F12AEE">
      <w:pPr>
        <w:numPr>
          <w:ilvl w:val="0"/>
          <w:numId w:val="15"/>
        </w:numPr>
        <w:tabs>
          <w:tab w:val="clear" w:pos="1296"/>
          <w:tab w:val="num" w:pos="720"/>
        </w:tabs>
        <w:ind w:left="720"/>
      </w:pPr>
      <w:r>
        <w:rPr>
          <w:b/>
        </w:rPr>
        <w:t>How the Information is being collected</w:t>
      </w:r>
      <w:r w:rsidR="0049419A">
        <w:rPr>
          <w:b/>
        </w:rPr>
        <w:t>:</w:t>
      </w:r>
    </w:p>
    <w:p w14:paraId="06B04B02" w14:textId="77777777" w:rsidR="005F51A9" w:rsidRDefault="005F51A9" w:rsidP="00EE231A">
      <w:pPr>
        <w:ind w:left="720"/>
        <w:jc w:val="both"/>
        <w:rPr>
          <w:u w:val="single"/>
        </w:rPr>
      </w:pPr>
    </w:p>
    <w:p w14:paraId="2C73C3C5" w14:textId="47E3BC01" w:rsidR="00EE231A" w:rsidRPr="00EE231A" w:rsidRDefault="00EE231A" w:rsidP="00EE231A">
      <w:pPr>
        <w:ind w:left="720"/>
        <w:jc w:val="both"/>
        <w:rPr>
          <w:u w:val="single"/>
        </w:rPr>
      </w:pPr>
      <w:r w:rsidRPr="00EE231A">
        <w:rPr>
          <w:u w:val="single"/>
        </w:rPr>
        <w:t>Recruitment Information</w:t>
      </w:r>
    </w:p>
    <w:p w14:paraId="702A2612" w14:textId="12E17DA4" w:rsidR="00EE231A" w:rsidRPr="00336FCF" w:rsidRDefault="00F64116" w:rsidP="008B130B">
      <w:pPr>
        <w:ind w:left="720"/>
      </w:pPr>
      <w:r>
        <w:t xml:space="preserve">Selected market research facilities and recruiters </w:t>
      </w:r>
      <w:r w:rsidRPr="00E75CCC">
        <w:t xml:space="preserve">will identify potential participants in their respective cities through existing contact databases and </w:t>
      </w:r>
      <w:r w:rsidR="005050BA">
        <w:t xml:space="preserve">social </w:t>
      </w:r>
      <w:r w:rsidRPr="00E75CCC">
        <w:t xml:space="preserve">media </w:t>
      </w:r>
      <w:r w:rsidRPr="00D94258">
        <w:t>advertisements</w:t>
      </w:r>
      <w:r w:rsidR="006B7085">
        <w:t xml:space="preserve"> </w:t>
      </w:r>
      <w:r w:rsidR="006B7085" w:rsidRPr="005050BA">
        <w:t xml:space="preserve">(Attachment </w:t>
      </w:r>
      <w:r w:rsidR="00D95DBC" w:rsidRPr="001E29B0">
        <w:t>A</w:t>
      </w:r>
      <w:r w:rsidR="006B7085" w:rsidRPr="005050BA">
        <w:t>)</w:t>
      </w:r>
      <w:r w:rsidRPr="005050BA">
        <w:t>.</w:t>
      </w:r>
      <w:r w:rsidRPr="00D94258">
        <w:t xml:space="preserve"> </w:t>
      </w:r>
      <w:r>
        <w:t xml:space="preserve">The market research facilities and recruiters </w:t>
      </w:r>
      <w:r w:rsidRPr="00D94258">
        <w:t xml:space="preserve">will contact potential participants by telephone or email and screen them for eligibility </w:t>
      </w:r>
      <w:r w:rsidR="00EE231A" w:rsidRPr="00336FCF">
        <w:t>using the participant screener (</w:t>
      </w:r>
      <w:r>
        <w:t xml:space="preserve">Attachment </w:t>
      </w:r>
      <w:r w:rsidR="00D95DBC">
        <w:t>B</w:t>
      </w:r>
      <w:r w:rsidR="00EE231A" w:rsidRPr="00336FCF">
        <w:t xml:space="preserve">). The facilities’ staff will provide all necessary information and instructions to ensure participants arrive at the proper location on the agreed upon date and time. Facilities will </w:t>
      </w:r>
      <w:r w:rsidR="00EE231A">
        <w:t xml:space="preserve">conduct </w:t>
      </w:r>
      <w:r w:rsidR="00EE231A" w:rsidRPr="00336FCF">
        <w:t>recruit</w:t>
      </w:r>
      <w:r w:rsidR="00EE231A">
        <w:t>ment and</w:t>
      </w:r>
      <w:r w:rsidR="00EE231A" w:rsidRPr="00336FCF">
        <w:t xml:space="preserve"> ensure</w:t>
      </w:r>
      <w:r w:rsidR="00EE231A">
        <w:t xml:space="preserve"> that</w:t>
      </w:r>
      <w:r w:rsidR="00EE231A" w:rsidRPr="00336FCF">
        <w:t xml:space="preserve"> the needed number of participants </w:t>
      </w:r>
      <w:r w:rsidR="00EE231A">
        <w:t>show up for</w:t>
      </w:r>
      <w:r w:rsidR="00EE231A" w:rsidRPr="00336FCF">
        <w:t xml:space="preserve"> their scheduled time slot. The facilities will send confirmation and reminder correspondences to recruited participants to help ensure attendance</w:t>
      </w:r>
      <w:r w:rsidR="00637C8C">
        <w:t xml:space="preserve"> (Attachments </w:t>
      </w:r>
      <w:r w:rsidR="00D95DBC">
        <w:t>C</w:t>
      </w:r>
      <w:r w:rsidR="008F3E78">
        <w:t xml:space="preserve"> </w:t>
      </w:r>
      <w:r w:rsidR="00637C8C">
        <w:t xml:space="preserve">and </w:t>
      </w:r>
      <w:r w:rsidR="00D95DBC">
        <w:t>D</w:t>
      </w:r>
      <w:r w:rsidR="00637C8C">
        <w:t>)</w:t>
      </w:r>
      <w:r w:rsidR="00EE231A" w:rsidRPr="00336FCF">
        <w:t>.</w:t>
      </w:r>
    </w:p>
    <w:p w14:paraId="3C61EB30" w14:textId="77777777" w:rsidR="008A4D10" w:rsidRPr="00EE231A" w:rsidRDefault="008A4D10" w:rsidP="00EE231A">
      <w:pPr>
        <w:ind w:left="720"/>
        <w:jc w:val="both"/>
      </w:pPr>
    </w:p>
    <w:p w14:paraId="48C5E05E" w14:textId="77777777" w:rsidR="00EE231A" w:rsidRPr="00EE231A" w:rsidRDefault="00EE231A" w:rsidP="00EE231A">
      <w:pPr>
        <w:ind w:left="720"/>
        <w:jc w:val="both"/>
        <w:rPr>
          <w:u w:val="single"/>
        </w:rPr>
      </w:pPr>
      <w:r w:rsidRPr="00EE231A">
        <w:rPr>
          <w:u w:val="single"/>
        </w:rPr>
        <w:t>Focus Group Discussions</w:t>
      </w:r>
    </w:p>
    <w:p w14:paraId="6A3D3F6D" w14:textId="6F9DB572" w:rsidR="00EE231A" w:rsidRPr="00336FCF" w:rsidRDefault="00EC0795" w:rsidP="008B130B">
      <w:pPr>
        <w:ind w:left="720"/>
      </w:pPr>
      <w:r>
        <w:t>RTI</w:t>
      </w:r>
      <w:r w:rsidR="00EE231A" w:rsidRPr="00336FCF">
        <w:t xml:space="preserve"> staff members will serve as moderators for all focus groups. </w:t>
      </w:r>
      <w:r w:rsidR="00D95DBC" w:rsidRPr="00A756BC">
        <w:t>RTI staff member</w:t>
      </w:r>
      <w:r w:rsidR="00D95DBC">
        <w:t>s</w:t>
      </w:r>
      <w:r w:rsidR="00D95DBC" w:rsidRPr="00A756BC">
        <w:t xml:space="preserve"> will administer the informed consent prior to the beginning of the focus group</w:t>
      </w:r>
      <w:r w:rsidR="00D95DBC">
        <w:t>s</w:t>
      </w:r>
      <w:r w:rsidR="00892A3E">
        <w:t xml:space="preserve"> and provide</w:t>
      </w:r>
      <w:r w:rsidR="00D95DBC" w:rsidRPr="00A756BC">
        <w:t xml:space="preserve"> a hard copy of the informed consent</w:t>
      </w:r>
      <w:r w:rsidR="00D95DBC">
        <w:t xml:space="preserve"> (Attachments E and F)</w:t>
      </w:r>
      <w:r w:rsidR="00D95DBC" w:rsidRPr="00A756BC">
        <w:t xml:space="preserve"> to participant</w:t>
      </w:r>
      <w:r w:rsidR="00D95DBC">
        <w:t xml:space="preserve">s. </w:t>
      </w:r>
      <w:r w:rsidR="00EE231A">
        <w:t>FDA</w:t>
      </w:r>
      <w:r w:rsidR="00EE231A" w:rsidRPr="00336FCF">
        <w:t xml:space="preserve"> staff members will observe most, if not all, of the sessions from the observation rooms at the focus group facilities or remot</w:t>
      </w:r>
      <w:r w:rsidR="00AC2461">
        <w:t>ely using streaming technology.</w:t>
      </w:r>
    </w:p>
    <w:p w14:paraId="4AB72B2A" w14:textId="77777777" w:rsidR="00EE231A" w:rsidRPr="00EE231A" w:rsidRDefault="00EE231A" w:rsidP="008B130B">
      <w:pPr>
        <w:ind w:left="720"/>
      </w:pPr>
    </w:p>
    <w:p w14:paraId="6FFFB9AE" w14:textId="23DF3A2B" w:rsidR="00EE231A" w:rsidRPr="00336FCF" w:rsidRDefault="00EE231A" w:rsidP="008B130B">
      <w:pPr>
        <w:ind w:left="720"/>
      </w:pPr>
      <w:r w:rsidRPr="00336FCF">
        <w:t>The moderator will use the attached moderator guide</w:t>
      </w:r>
      <w:r w:rsidR="00C701A6">
        <w:t>s</w:t>
      </w:r>
      <w:r w:rsidR="00102CB9">
        <w:t xml:space="preserve"> </w:t>
      </w:r>
      <w:r>
        <w:t>(</w:t>
      </w:r>
      <w:r w:rsidR="00637C8C">
        <w:t>Attachments</w:t>
      </w:r>
      <w:r w:rsidR="00F2502B">
        <w:t xml:space="preserve"> </w:t>
      </w:r>
      <w:r w:rsidR="008F3E78">
        <w:t xml:space="preserve">G </w:t>
      </w:r>
      <w:r w:rsidR="00DC5D0A">
        <w:t xml:space="preserve">and </w:t>
      </w:r>
      <w:r w:rsidR="008F3E78">
        <w:t>H</w:t>
      </w:r>
      <w:r>
        <w:t>)</w:t>
      </w:r>
      <w:r w:rsidRPr="00336FCF">
        <w:t xml:space="preserve"> to ensure that all relevant topic areas</w:t>
      </w:r>
      <w:r w:rsidR="00F2502B">
        <w:t xml:space="preserve"> </w:t>
      </w:r>
      <w:r w:rsidRPr="00336FCF">
        <w:t>are addressed</w:t>
      </w:r>
      <w:r w:rsidR="006B7085">
        <w:t xml:space="preserve">, including discussion about disclosure signals in promotional </w:t>
      </w:r>
      <w:r w:rsidR="006B7085" w:rsidRPr="005050BA">
        <w:t>materials</w:t>
      </w:r>
      <w:r w:rsidRPr="005050BA">
        <w:t>.</w:t>
      </w:r>
      <w:r w:rsidRPr="00336FCF">
        <w:t xml:space="preserve">  The focus group facilities will make audio</w:t>
      </w:r>
      <w:r>
        <w:t xml:space="preserve"> and video</w:t>
      </w:r>
      <w:r w:rsidRPr="00336FCF">
        <w:t xml:space="preserve"> recordings to ensure a verbatim record o</w:t>
      </w:r>
      <w:r>
        <w:t>f the proceedings is captured.</w:t>
      </w:r>
    </w:p>
    <w:p w14:paraId="408336BB" w14:textId="77777777" w:rsidR="00EE231A" w:rsidRPr="00EE231A" w:rsidRDefault="00EE231A" w:rsidP="008B130B">
      <w:pPr>
        <w:ind w:left="720"/>
      </w:pPr>
    </w:p>
    <w:p w14:paraId="04D77AC8" w14:textId="7A06F9DD" w:rsidR="00EE231A" w:rsidRPr="00336FCF" w:rsidRDefault="00EE231A" w:rsidP="008B130B">
      <w:pPr>
        <w:ind w:left="720"/>
      </w:pPr>
      <w:r w:rsidRPr="00336FCF">
        <w:t xml:space="preserve">The Contractor will comply with safeguards for ensuring participant information is kept </w:t>
      </w:r>
      <w:r w:rsidR="008802AB">
        <w:t>secure</w:t>
      </w:r>
      <w:r w:rsidR="008802AB" w:rsidRPr="00336FCF">
        <w:t xml:space="preserve"> </w:t>
      </w:r>
      <w:r w:rsidRPr="00336FCF">
        <w:t xml:space="preserve">to the extent permitted by law. The last names of the participants will </w:t>
      </w:r>
      <w:r>
        <w:t xml:space="preserve">not appear on any focus group </w:t>
      </w:r>
      <w:r w:rsidRPr="00336FCF">
        <w:t>materials. Verbatim quotes included in the final report will not be attributed to any individual.</w:t>
      </w:r>
    </w:p>
    <w:p w14:paraId="598DEBC6" w14:textId="77777777" w:rsidR="00F12AEE" w:rsidRDefault="00F12AEE" w:rsidP="00EE231A">
      <w:pPr>
        <w:ind w:left="720"/>
        <w:jc w:val="both"/>
      </w:pPr>
    </w:p>
    <w:p w14:paraId="349AEFB6" w14:textId="77777777" w:rsidR="003F1C7A" w:rsidRPr="00E215FA" w:rsidRDefault="003F1C7A" w:rsidP="00BF3A0E">
      <w:pPr>
        <w:keepNext/>
        <w:numPr>
          <w:ilvl w:val="0"/>
          <w:numId w:val="15"/>
        </w:numPr>
        <w:tabs>
          <w:tab w:val="clear" w:pos="1296"/>
          <w:tab w:val="num" w:pos="720"/>
        </w:tabs>
        <w:ind w:left="720"/>
      </w:pPr>
      <w:r w:rsidRPr="00E26798">
        <w:rPr>
          <w:b/>
        </w:rPr>
        <w:t>Number of focus groups</w:t>
      </w:r>
      <w:r w:rsidR="0049419A">
        <w:rPr>
          <w:b/>
        </w:rPr>
        <w:t>:</w:t>
      </w:r>
    </w:p>
    <w:p w14:paraId="38E82774" w14:textId="77777777" w:rsidR="005F51A9" w:rsidRDefault="005F51A9" w:rsidP="00205677">
      <w:pPr>
        <w:ind w:left="720"/>
        <w:jc w:val="both"/>
      </w:pPr>
    </w:p>
    <w:p w14:paraId="36EAD85C" w14:textId="343A3AA2" w:rsidR="00205677" w:rsidRPr="003D1766" w:rsidRDefault="00205677" w:rsidP="00205677">
      <w:pPr>
        <w:ind w:left="720"/>
        <w:jc w:val="both"/>
      </w:pPr>
      <w:r>
        <w:t xml:space="preserve">A total of </w:t>
      </w:r>
      <w:r w:rsidR="00EC0795">
        <w:t>nine</w:t>
      </w:r>
      <w:r w:rsidRPr="00CA5223">
        <w:t xml:space="preserve"> focus groups </w:t>
      </w:r>
      <w:r w:rsidR="00C52DAD">
        <w:t xml:space="preserve">of </w:t>
      </w:r>
      <w:r w:rsidR="00EC0795">
        <w:t>eight</w:t>
      </w:r>
      <w:r w:rsidR="00C52DAD">
        <w:t xml:space="preserve"> to 10 participants will be conducted</w:t>
      </w:r>
      <w:r w:rsidRPr="00CA5223">
        <w:t>.</w:t>
      </w:r>
      <w:r>
        <w:t xml:space="preserve"> </w:t>
      </w:r>
    </w:p>
    <w:p w14:paraId="6A7B0096" w14:textId="066150AF" w:rsidR="0049419A" w:rsidRDefault="0049419A" w:rsidP="00F12AEE">
      <w:pPr>
        <w:ind w:left="720"/>
      </w:pPr>
    </w:p>
    <w:p w14:paraId="5E60F28F" w14:textId="77777777" w:rsidR="009F7E17" w:rsidRDefault="009F7E17" w:rsidP="00F12AEE">
      <w:pPr>
        <w:ind w:left="720"/>
      </w:pPr>
    </w:p>
    <w:p w14:paraId="0BD2590E" w14:textId="77777777" w:rsidR="00E26798" w:rsidRPr="00E96045" w:rsidRDefault="0049419A" w:rsidP="0049419A">
      <w:pPr>
        <w:numPr>
          <w:ilvl w:val="0"/>
          <w:numId w:val="15"/>
        </w:numPr>
        <w:tabs>
          <w:tab w:val="clear" w:pos="1296"/>
          <w:tab w:val="num" w:pos="720"/>
        </w:tabs>
        <w:ind w:left="720"/>
      </w:pPr>
      <w:r>
        <w:rPr>
          <w:b/>
        </w:rPr>
        <w:t>Amount and justification for any proposed incentive:</w:t>
      </w:r>
      <w:r w:rsidR="003F1C7A">
        <w:t xml:space="preserve"> </w:t>
      </w:r>
    </w:p>
    <w:p w14:paraId="1B5DFB40" w14:textId="77777777" w:rsidR="005F51A9" w:rsidRDefault="005F51A9" w:rsidP="008B130B">
      <w:pPr>
        <w:ind w:left="720"/>
      </w:pPr>
    </w:p>
    <w:p w14:paraId="1FAF2A68" w14:textId="3D3E555F" w:rsidR="00C73D7F" w:rsidRPr="000C1DC4" w:rsidRDefault="00C52DAD" w:rsidP="008B130B">
      <w:pPr>
        <w:ind w:left="720"/>
      </w:pPr>
      <w:r w:rsidRPr="000C1DC4">
        <w:t>To prepare for these focus groups, we consulted with facilities that recruit and host focus groups to determine appropriate amounts as tokens of appreciation for participants’ time</w:t>
      </w:r>
      <w:r w:rsidR="00C73D7F" w:rsidRPr="000C1DC4">
        <w:t xml:space="preserve">. Based on these consultations, </w:t>
      </w:r>
      <w:r w:rsidRPr="000C1DC4">
        <w:t xml:space="preserve">we </w:t>
      </w:r>
      <w:r w:rsidR="00C73D7F" w:rsidRPr="000C1DC4">
        <w:t>propose $</w:t>
      </w:r>
      <w:r w:rsidR="00EC0795">
        <w:t>100</w:t>
      </w:r>
      <w:r w:rsidR="00C73D7F" w:rsidRPr="000C1DC4">
        <w:t xml:space="preserve"> </w:t>
      </w:r>
      <w:r w:rsidR="00B50E31">
        <w:t xml:space="preserve">for consumers and $300 for HCPs </w:t>
      </w:r>
      <w:r w:rsidR="00C73D7F" w:rsidRPr="000C1DC4">
        <w:t xml:space="preserve">for 90 minutes to ensure that we are able to attract a reasonable cross section of </w:t>
      </w:r>
      <w:r w:rsidR="00B50E31">
        <w:t>consumers and HCPs</w:t>
      </w:r>
      <w:r w:rsidR="00C73D7F" w:rsidRPr="000C1DC4">
        <w:t>.</w:t>
      </w:r>
    </w:p>
    <w:p w14:paraId="1DFA93BA" w14:textId="5951E51E" w:rsidR="00EB0699" w:rsidRPr="00C94AFC" w:rsidRDefault="00EB0699" w:rsidP="00C94AFC">
      <w:pPr>
        <w:ind w:left="720"/>
      </w:pPr>
    </w:p>
    <w:p w14:paraId="674517D1" w14:textId="58515EAA" w:rsidR="00183526" w:rsidRDefault="00183526" w:rsidP="008B130B">
      <w:pPr>
        <w:pStyle w:val="ListParagraph"/>
      </w:pPr>
      <w:r>
        <w:rPr>
          <w:color w:val="000000"/>
        </w:rPr>
        <w:t>S</w:t>
      </w:r>
      <w:r w:rsidRPr="00361C2E">
        <w:rPr>
          <w:color w:val="000000"/>
        </w:rPr>
        <w:t xml:space="preserve">ignificant time and other burdens </w:t>
      </w:r>
      <w:r>
        <w:rPr>
          <w:color w:val="000000"/>
        </w:rPr>
        <w:t xml:space="preserve">accompany </w:t>
      </w:r>
      <w:r w:rsidRPr="00361C2E">
        <w:rPr>
          <w:color w:val="000000"/>
        </w:rPr>
        <w:t>participation in research</w:t>
      </w:r>
      <w:r>
        <w:rPr>
          <w:color w:val="000000"/>
        </w:rPr>
        <w:t>, as well as the process of</w:t>
      </w:r>
      <w:r w:rsidRPr="00361C2E">
        <w:rPr>
          <w:color w:val="000000"/>
        </w:rPr>
        <w:t xml:space="preserve"> convey</w:t>
      </w:r>
      <w:r>
        <w:rPr>
          <w:color w:val="000000"/>
        </w:rPr>
        <w:t xml:space="preserve">ing </w:t>
      </w:r>
      <w:r w:rsidRPr="00361C2E">
        <w:rPr>
          <w:color w:val="000000"/>
        </w:rPr>
        <w:t>importance to participants</w:t>
      </w:r>
      <w:r>
        <w:t xml:space="preserve">. </w:t>
      </w:r>
      <w:r>
        <w:rPr>
          <w:color w:val="000000"/>
        </w:rPr>
        <w:t>Incentives or honorariums</w:t>
      </w:r>
      <w:r w:rsidRPr="00361C2E">
        <w:rPr>
          <w:color w:val="000000"/>
        </w:rPr>
        <w:t xml:space="preserve"> are intended to help defray these “costs”</w:t>
      </w:r>
      <w:r>
        <w:rPr>
          <w:color w:val="000000"/>
        </w:rPr>
        <w:t xml:space="preserve"> (i.e., burdens)</w:t>
      </w:r>
      <w:r w:rsidRPr="00361C2E">
        <w:rPr>
          <w:color w:val="000000"/>
        </w:rPr>
        <w:t xml:space="preserve"> in order to encourage individuals to participate (</w:t>
      </w:r>
      <w:r w:rsidRPr="00361C2E">
        <w:t>Klabunde et al., 2012</w:t>
      </w:r>
      <w:r w:rsidR="006846A0">
        <w:rPr>
          <w:rStyle w:val="FootnoteReference"/>
        </w:rPr>
        <w:footnoteReference w:id="17"/>
      </w:r>
      <w:r w:rsidRPr="00361C2E">
        <w:t xml:space="preserve">). </w:t>
      </w:r>
      <w:r w:rsidRPr="00361C2E">
        <w:rPr>
          <w:color w:val="000000"/>
        </w:rPr>
        <w:t xml:space="preserve">Numerous empirical studies have established that </w:t>
      </w:r>
      <w:r>
        <w:rPr>
          <w:color w:val="000000"/>
        </w:rPr>
        <w:t>incentives</w:t>
      </w:r>
      <w:r w:rsidRPr="00361C2E">
        <w:rPr>
          <w:color w:val="000000"/>
        </w:rPr>
        <w:t xml:space="preserve"> can significantly increase participation rates</w:t>
      </w:r>
      <w:r>
        <w:rPr>
          <w:color w:val="000000"/>
        </w:rPr>
        <w:t xml:space="preserve"> among both consumers and HCPs</w:t>
      </w:r>
      <w:r w:rsidRPr="00361C2E">
        <w:rPr>
          <w:color w:val="000000"/>
        </w:rPr>
        <w:t xml:space="preserve"> (</w:t>
      </w:r>
      <w:r w:rsidR="00EB3245">
        <w:rPr>
          <w:color w:val="000000"/>
        </w:rPr>
        <w:t xml:space="preserve">see, for example, </w:t>
      </w:r>
      <w:r w:rsidRPr="00361C2E">
        <w:rPr>
          <w:color w:val="000000"/>
        </w:rPr>
        <w:t>Abreu &amp; Winters, 1999</w:t>
      </w:r>
      <w:r w:rsidR="008562F0">
        <w:rPr>
          <w:rStyle w:val="FootnoteReference"/>
          <w:color w:val="000000"/>
        </w:rPr>
        <w:footnoteReference w:id="18"/>
      </w:r>
      <w:r w:rsidRPr="00361C2E">
        <w:rPr>
          <w:color w:val="000000"/>
        </w:rPr>
        <w:t xml:space="preserve">; </w:t>
      </w:r>
      <w:r w:rsidRPr="00361C2E">
        <w:t>Aikin et al., 2016</w:t>
      </w:r>
      <w:r w:rsidR="00EB3245">
        <w:rPr>
          <w:rStyle w:val="FootnoteReference"/>
        </w:rPr>
        <w:footnoteReference w:id="19"/>
      </w:r>
      <w:r w:rsidRPr="00361C2E">
        <w:t>;</w:t>
      </w:r>
      <w:r w:rsidRPr="00361C2E">
        <w:rPr>
          <w:color w:val="000000"/>
        </w:rPr>
        <w:t xml:space="preserve"> </w:t>
      </w:r>
      <w:r w:rsidRPr="00361C2E">
        <w:t>Dykema et al., 2011</w:t>
      </w:r>
      <w:r w:rsidR="00EB3245">
        <w:rPr>
          <w:rStyle w:val="FootnoteReference"/>
        </w:rPr>
        <w:footnoteReference w:id="20"/>
      </w:r>
      <w:r w:rsidRPr="00361C2E">
        <w:t>; Medway &amp; Tourangeau, 2015</w:t>
      </w:r>
      <w:r w:rsidR="00EB3245">
        <w:rPr>
          <w:rStyle w:val="FootnoteReference"/>
        </w:rPr>
        <w:footnoteReference w:id="21"/>
      </w:r>
      <w:r w:rsidRPr="00361C2E">
        <w:t>; Mercer et al., 2015</w:t>
      </w:r>
      <w:r w:rsidR="00EB3245">
        <w:rPr>
          <w:rStyle w:val="FootnoteReference"/>
        </w:rPr>
        <w:footnoteReference w:id="22"/>
      </w:r>
      <w:r w:rsidRPr="00361C2E">
        <w:t xml:space="preserve">; </w:t>
      </w:r>
      <w:r w:rsidRPr="00361C2E">
        <w:rPr>
          <w:color w:val="000000"/>
        </w:rPr>
        <w:t>Shettle &amp; Mooney, 1999</w:t>
      </w:r>
      <w:r w:rsidR="00EB3245">
        <w:rPr>
          <w:rStyle w:val="FootnoteReference"/>
          <w:color w:val="000000"/>
        </w:rPr>
        <w:footnoteReference w:id="23"/>
      </w:r>
      <w:r w:rsidRPr="00361C2E">
        <w:rPr>
          <w:color w:val="000000"/>
        </w:rPr>
        <w:t xml:space="preserve">; </w:t>
      </w:r>
      <w:r w:rsidRPr="00361C2E">
        <w:t>Thorpe et al., 2008; VanGeest et al., 2007)</w:t>
      </w:r>
      <w:r w:rsidRPr="00361C2E">
        <w:rPr>
          <w:color w:val="000000"/>
        </w:rPr>
        <w:t xml:space="preserve">. </w:t>
      </w:r>
      <w:r>
        <w:rPr>
          <w:color w:val="000000"/>
        </w:rPr>
        <w:t xml:space="preserve">As a result, incentives have become a standard facet of market research across a variety of audience groups. </w:t>
      </w:r>
      <w:r w:rsidRPr="000C1DC4">
        <w:t>The importance of monetary compensation for focus group participation has been discussed by Krueger and Casey (2014), who indicate that offering monetary compensation can help ensure that sufficient numbers of participants will attend, thereby yielding more useful research results.</w:t>
      </w:r>
      <w:r w:rsidRPr="000C1DC4">
        <w:rPr>
          <w:rStyle w:val="FootnoteReference"/>
        </w:rPr>
        <w:footnoteReference w:id="24"/>
      </w:r>
      <w:r w:rsidRPr="000C1DC4">
        <w:t xml:space="preserve">  Further, in a meta-analysis of 38 experiments and quasi-experiments, Church (1993) found that providing cash incentives for participation was far more effective than nonmonetary gifts in generating survey response, and prepaid monetary incentives yielded an average increase of 19.1 percentage points over comparison groups.</w:t>
      </w:r>
      <w:r w:rsidRPr="000C1DC4">
        <w:rPr>
          <w:rStyle w:val="FootnoteReference"/>
        </w:rPr>
        <w:footnoteReference w:id="25"/>
      </w:r>
      <w:r w:rsidRPr="000C1DC4">
        <w:t xml:space="preserve"> When applied in a reasonable manner, incentives are not an unjust inducement and are an approach that acknowledges respondents for their participation and treats them justly and with respect by recognizing and acknowledging the effort they expend to participate.</w:t>
      </w:r>
      <w:r w:rsidRPr="000C1DC4">
        <w:rPr>
          <w:rStyle w:val="FootnoteReference"/>
        </w:rPr>
        <w:footnoteReference w:id="26"/>
      </w:r>
      <w:r w:rsidRPr="000C1DC4">
        <w:t xml:space="preserve"> Finally, the importance of monetary incentives has been corroborated in experiences related to the National Adult Literacy Survey by Berlin and colleagues (1992)</w:t>
      </w:r>
      <w:r w:rsidRPr="000C1DC4">
        <w:rPr>
          <w:rStyle w:val="FootnoteReference"/>
        </w:rPr>
        <w:footnoteReference w:id="27"/>
      </w:r>
      <w:r w:rsidRPr="000C1DC4">
        <w:t>.</w:t>
      </w:r>
    </w:p>
    <w:p w14:paraId="53905009" w14:textId="77777777" w:rsidR="00183526" w:rsidRPr="00C94AFC" w:rsidRDefault="00183526" w:rsidP="00C94AFC">
      <w:pPr>
        <w:ind w:left="720"/>
        <w:jc w:val="both"/>
      </w:pPr>
    </w:p>
    <w:p w14:paraId="31020609" w14:textId="16A1ADAC" w:rsidR="00C73D7F" w:rsidRPr="000C1DC4" w:rsidRDefault="00C73D7F" w:rsidP="008B130B">
      <w:pPr>
        <w:ind w:left="720"/>
        <w:rPr>
          <w:rFonts w:asciiTheme="minorHAnsi" w:eastAsiaTheme="minorHAnsi" w:hAnsiTheme="minorHAnsi" w:cstheme="minorBidi"/>
          <w:sz w:val="22"/>
          <w:szCs w:val="22"/>
        </w:rPr>
      </w:pPr>
      <w:r w:rsidRPr="00C94AFC">
        <w:t xml:space="preserve">Our experience in conducting focus group research indicates that offering </w:t>
      </w:r>
      <w:r w:rsidR="008408E6" w:rsidRPr="00C94AFC">
        <w:t xml:space="preserve">nonmonetary incentives or </w:t>
      </w:r>
      <w:r w:rsidRPr="00C94AFC">
        <w:t xml:space="preserve">an incentive that is below the </w:t>
      </w:r>
      <w:r w:rsidR="00C52DAD" w:rsidRPr="00C94AFC">
        <w:t xml:space="preserve">commonly </w:t>
      </w:r>
      <w:r w:rsidRPr="00C94AFC">
        <w:t xml:space="preserve">accepted rate will result in increased costs that exceed the amount saved on a reduced incentive. </w:t>
      </w:r>
      <w:r w:rsidRPr="000C1DC4">
        <w:t>The consequences of an insufficient incentive include the following:</w:t>
      </w:r>
    </w:p>
    <w:p w14:paraId="35AE5B57" w14:textId="77777777" w:rsidR="00C73D7F" w:rsidRPr="00C94AFC" w:rsidRDefault="00C73D7F" w:rsidP="00C94AFC">
      <w:pPr>
        <w:ind w:left="720"/>
        <w:jc w:val="both"/>
      </w:pPr>
    </w:p>
    <w:p w14:paraId="7CF2EACC" w14:textId="77777777" w:rsidR="00C73D7F" w:rsidRPr="000C1DC4" w:rsidRDefault="00C73D7F" w:rsidP="00C73D7F">
      <w:pPr>
        <w:numPr>
          <w:ilvl w:val="0"/>
          <w:numId w:val="20"/>
        </w:numPr>
        <w:tabs>
          <w:tab w:val="num" w:pos="1080"/>
        </w:tabs>
        <w:ind w:left="1080"/>
        <w:contextualSpacing/>
      </w:pPr>
      <w:r w:rsidRPr="00C94AFC">
        <w:t>Increased time and cost of recruitment</w:t>
      </w:r>
    </w:p>
    <w:p w14:paraId="0E269E48" w14:textId="77777777" w:rsidR="00C73D7F" w:rsidRPr="000C1DC4" w:rsidRDefault="00C73D7F" w:rsidP="00C73D7F">
      <w:pPr>
        <w:numPr>
          <w:ilvl w:val="0"/>
          <w:numId w:val="20"/>
        </w:numPr>
        <w:tabs>
          <w:tab w:val="num" w:pos="1080"/>
        </w:tabs>
        <w:ind w:left="1080"/>
        <w:contextualSpacing/>
      </w:pPr>
      <w:r w:rsidRPr="000C1DC4">
        <w:t>Increased likelihood of “no-shows” (which may result in methodologically unsound focus groups with small numbers of participants)</w:t>
      </w:r>
    </w:p>
    <w:p w14:paraId="7A92E188" w14:textId="77777777" w:rsidR="00C73D7F" w:rsidRPr="000C1DC4" w:rsidRDefault="00C73D7F" w:rsidP="00C73D7F">
      <w:pPr>
        <w:numPr>
          <w:ilvl w:val="0"/>
          <w:numId w:val="20"/>
        </w:numPr>
        <w:tabs>
          <w:tab w:val="num" w:pos="1080"/>
        </w:tabs>
        <w:ind w:left="1080"/>
        <w:contextualSpacing/>
      </w:pPr>
      <w:r w:rsidRPr="000C1DC4">
        <w:t>Increased probability that a focus group may need to be cancelled or postponed due to insufficient numbers recruited by the scheduled date of the focus group, which not only incurs additional costs, but also puts additional burden on the recruited participants who have to reschedule their participation in the focus group.</w:t>
      </w:r>
    </w:p>
    <w:p w14:paraId="6FE31324" w14:textId="77777777" w:rsidR="007853F0" w:rsidRPr="00C94AFC" w:rsidRDefault="007853F0" w:rsidP="00C94AFC">
      <w:pPr>
        <w:pStyle w:val="ListParagraph"/>
      </w:pPr>
    </w:p>
    <w:p w14:paraId="0D32907A" w14:textId="2EB6BAD8" w:rsidR="00183526" w:rsidRPr="00303B33" w:rsidRDefault="00183526" w:rsidP="00C94AFC">
      <w:pPr>
        <w:pStyle w:val="Heading3"/>
        <w:ind w:left="720"/>
      </w:pPr>
      <w:r w:rsidRPr="00303B33">
        <w:t>Consumers</w:t>
      </w:r>
    </w:p>
    <w:p w14:paraId="67DD4833" w14:textId="77777777" w:rsidR="00183526" w:rsidRPr="00303B33" w:rsidRDefault="00183526" w:rsidP="00C94AFC">
      <w:pPr>
        <w:autoSpaceDE w:val="0"/>
        <w:autoSpaceDN w:val="0"/>
        <w:spacing w:before="120" w:after="120"/>
        <w:ind w:left="720"/>
        <w:rPr>
          <w:color w:val="000000"/>
        </w:rPr>
      </w:pPr>
      <w:r>
        <w:rPr>
          <w:color w:val="000000"/>
        </w:rPr>
        <w:t xml:space="preserve">We plan to offer a </w:t>
      </w:r>
      <w:r w:rsidRPr="00303B33">
        <w:rPr>
          <w:color w:val="000000"/>
        </w:rPr>
        <w:t>$</w:t>
      </w:r>
      <w:r>
        <w:rPr>
          <w:color w:val="000000"/>
        </w:rPr>
        <w:t>100 incentive</w:t>
      </w:r>
      <w:r w:rsidRPr="00303B33">
        <w:rPr>
          <w:color w:val="000000"/>
        </w:rPr>
        <w:t xml:space="preserve"> </w:t>
      </w:r>
      <w:r>
        <w:rPr>
          <w:color w:val="000000"/>
        </w:rPr>
        <w:t xml:space="preserve">for adult consumers who complete their participation in one of the 90-minute in-person focus groups to be held (in Atlanta, GA and the Washington, DC area). RTI has consulted with several research firms with experience recruiting and hosting qualitative research across multiple markets (Schlesinger Group, L&amp;E Research, Focus Pointe Global, Plaza Research, Fieldwork), including those indicated for the current study (Atlanta, GA and the Washington, DC area). All of the contacted research firms have extensive experience working with government-funded studies and understand the processes for working within the parameters of these studies, including incentive parameters. All research firms confirmed that the incentive amount of $100 is consistent with what consumers require for participation in 90- to 120-minute in-person studies. The firms’ feedback also reflected the concerns over insufficient incentives noted above.  </w:t>
      </w:r>
    </w:p>
    <w:p w14:paraId="2F27A8FD" w14:textId="15F1F894" w:rsidR="00183526" w:rsidRPr="00E4352E" w:rsidRDefault="00183526" w:rsidP="00C94AFC">
      <w:pPr>
        <w:autoSpaceDE w:val="0"/>
        <w:autoSpaceDN w:val="0"/>
        <w:spacing w:before="240" w:after="120"/>
        <w:ind w:left="720"/>
        <w:rPr>
          <w:color w:val="000000"/>
        </w:rPr>
      </w:pPr>
      <w:r>
        <w:rPr>
          <w:color w:val="000000"/>
        </w:rPr>
        <w:t>In addition, t</w:t>
      </w:r>
      <w:r w:rsidRPr="00303B33">
        <w:rPr>
          <w:color w:val="000000"/>
        </w:rPr>
        <w:t>his</w:t>
      </w:r>
      <w:r>
        <w:rPr>
          <w:color w:val="000000"/>
        </w:rPr>
        <w:t xml:space="preserve"> $100</w:t>
      </w:r>
      <w:r w:rsidRPr="00303B33">
        <w:rPr>
          <w:color w:val="000000"/>
        </w:rPr>
        <w:t xml:space="preserve"> </w:t>
      </w:r>
      <w:r>
        <w:rPr>
          <w:color w:val="000000"/>
        </w:rPr>
        <w:t>incentive amount</w:t>
      </w:r>
      <w:r w:rsidRPr="00303B33">
        <w:rPr>
          <w:color w:val="000000"/>
        </w:rPr>
        <w:t xml:space="preserve"> </w:t>
      </w:r>
      <w:r>
        <w:rPr>
          <w:color w:val="000000"/>
        </w:rPr>
        <w:t xml:space="preserve">is </w:t>
      </w:r>
      <w:r w:rsidRPr="00303B33">
        <w:rPr>
          <w:color w:val="000000"/>
        </w:rPr>
        <w:t xml:space="preserve">consistent with other research conducted by RTI, including recent and current studies with FDA, where $75 has been used as the incentive for </w:t>
      </w:r>
      <w:r w:rsidRPr="00D73203">
        <w:rPr>
          <w:b/>
          <w:iCs/>
          <w:color w:val="000000"/>
        </w:rPr>
        <w:t xml:space="preserve">60-minute </w:t>
      </w:r>
      <w:r w:rsidR="00D73203">
        <w:rPr>
          <w:b/>
          <w:iCs/>
          <w:color w:val="000000"/>
        </w:rPr>
        <w:t>interviews</w:t>
      </w:r>
      <w:r>
        <w:rPr>
          <w:i/>
          <w:iCs/>
          <w:color w:val="000000"/>
        </w:rPr>
        <w:t xml:space="preserve"> </w:t>
      </w:r>
      <w:r>
        <w:rPr>
          <w:color w:val="000000"/>
        </w:rPr>
        <w:t>with consumers</w:t>
      </w:r>
      <w:r w:rsidRPr="00303B33">
        <w:rPr>
          <w:color w:val="000000"/>
        </w:rPr>
        <w:t>, including</w:t>
      </w:r>
      <w:r>
        <w:rPr>
          <w:color w:val="000000"/>
        </w:rPr>
        <w:t xml:space="preserve"> </w:t>
      </w:r>
      <w:r>
        <w:rPr>
          <w:i/>
          <w:iCs/>
          <w:color w:val="000000"/>
        </w:rPr>
        <w:t xml:space="preserve">Hearing, Aging, and Direct-to-Consumer Television Advertisements </w:t>
      </w:r>
      <w:r>
        <w:rPr>
          <w:color w:val="000000"/>
        </w:rPr>
        <w:t xml:space="preserve">(OMB Control number </w:t>
      </w:r>
      <w:r w:rsidRPr="003D4F5C">
        <w:rPr>
          <w:color w:val="000000"/>
        </w:rPr>
        <w:t>0910-0818</w:t>
      </w:r>
      <w:r>
        <w:rPr>
          <w:color w:val="000000"/>
        </w:rPr>
        <w:t>),</w:t>
      </w:r>
      <w:r w:rsidRPr="00303B33">
        <w:rPr>
          <w:color w:val="000000"/>
        </w:rPr>
        <w:t xml:space="preserve"> </w:t>
      </w:r>
      <w:r w:rsidRPr="00E4352E">
        <w:rPr>
          <w:i/>
          <w:iCs/>
          <w:color w:val="000000"/>
        </w:rPr>
        <w:t xml:space="preserve">Disclosure Regarding Additional Risks in Direct-to-Consumer Prescription Drug Television Advertisements Study </w:t>
      </w:r>
      <w:r w:rsidRPr="00E4352E">
        <w:rPr>
          <w:color w:val="000000"/>
        </w:rPr>
        <w:t>(</w:t>
      </w:r>
      <w:r w:rsidRPr="00303B33">
        <w:rPr>
          <w:color w:val="000000"/>
        </w:rPr>
        <w:t>under gene</w:t>
      </w:r>
      <w:r>
        <w:rPr>
          <w:color w:val="000000"/>
        </w:rPr>
        <w:t>ric</w:t>
      </w:r>
      <w:r w:rsidRPr="00303B33">
        <w:rPr>
          <w:color w:val="000000"/>
        </w:rPr>
        <w:t xml:space="preserve"> OMB Control Number 0910-0695</w:t>
      </w:r>
      <w:r>
        <w:rPr>
          <w:color w:val="000000"/>
        </w:rPr>
        <w:t>)</w:t>
      </w:r>
      <w:r w:rsidRPr="00303B33">
        <w:rPr>
          <w:color w:val="000000"/>
        </w:rPr>
        <w:t xml:space="preserve">, the </w:t>
      </w:r>
      <w:r w:rsidRPr="00F52DED">
        <w:rPr>
          <w:i/>
          <w:iCs/>
          <w:color w:val="000000"/>
        </w:rPr>
        <w:t>Experimental Study of Comparative Direct-to-Consumer (DTC) Advertising</w:t>
      </w:r>
      <w:r w:rsidRPr="00303B33">
        <w:rPr>
          <w:color w:val="000000"/>
        </w:rPr>
        <w:t xml:space="preserve"> (OMB Control Number 0910-0707), </w:t>
      </w:r>
      <w:r>
        <w:rPr>
          <w:color w:val="000000"/>
        </w:rPr>
        <w:t xml:space="preserve">and the </w:t>
      </w:r>
      <w:r w:rsidRPr="00E4352E">
        <w:rPr>
          <w:i/>
          <w:iCs/>
        </w:rPr>
        <w:t>Risk and Benefit Perception Scale Development</w:t>
      </w:r>
      <w:r w:rsidRPr="009751DF">
        <w:rPr>
          <w:b/>
          <w:bCs/>
          <w:i/>
          <w:iCs/>
        </w:rPr>
        <w:t xml:space="preserve"> </w:t>
      </w:r>
      <w:r>
        <w:rPr>
          <w:color w:val="000000"/>
        </w:rPr>
        <w:t xml:space="preserve">(under generic </w:t>
      </w:r>
      <w:r w:rsidRPr="00303B33">
        <w:rPr>
          <w:color w:val="000000"/>
        </w:rPr>
        <w:t>OMB Control Number 0910-0497).</w:t>
      </w:r>
      <w:r>
        <w:rPr>
          <w:color w:val="000000"/>
        </w:rPr>
        <w:t xml:space="preserve"> Increasing the participation time to </w:t>
      </w:r>
      <w:r>
        <w:rPr>
          <w:i/>
          <w:iCs/>
          <w:color w:val="000000"/>
        </w:rPr>
        <w:t xml:space="preserve">90 minutes </w:t>
      </w:r>
      <w:r>
        <w:rPr>
          <w:color w:val="000000"/>
        </w:rPr>
        <w:t xml:space="preserve">warrants the higher incentive rates because of the longer time commitment. This project includes </w:t>
      </w:r>
      <w:r w:rsidRPr="00D73203">
        <w:rPr>
          <w:b/>
          <w:color w:val="000000"/>
        </w:rPr>
        <w:t>90-minute interviews</w:t>
      </w:r>
      <w:r>
        <w:rPr>
          <w:color w:val="000000"/>
        </w:rPr>
        <w:t xml:space="preserve"> to</w:t>
      </w:r>
      <w:r>
        <w:rPr>
          <w:i/>
          <w:iCs/>
          <w:color w:val="000000"/>
        </w:rPr>
        <w:t xml:space="preserve"> </w:t>
      </w:r>
      <w:r>
        <w:rPr>
          <w:color w:val="000000"/>
        </w:rPr>
        <w:t>collect in-depth data that will inform subsequent study phases to ensure their effectiveness and efficiency.</w:t>
      </w:r>
    </w:p>
    <w:p w14:paraId="1F8AD14C" w14:textId="44A991CC" w:rsidR="00183526" w:rsidRDefault="00183526" w:rsidP="00C94AFC">
      <w:pPr>
        <w:ind w:left="720"/>
        <w:rPr>
          <w:iCs/>
        </w:rPr>
      </w:pPr>
      <w:r>
        <w:rPr>
          <w:iCs/>
        </w:rPr>
        <w:t xml:space="preserve">Other important considerations include </w:t>
      </w:r>
      <w:r w:rsidRPr="00282DF9">
        <w:rPr>
          <w:iCs/>
        </w:rPr>
        <w:t xml:space="preserve">the ability to attract a reasonable cross-section of participants, </w:t>
      </w:r>
      <w:r>
        <w:rPr>
          <w:iCs/>
        </w:rPr>
        <w:t>reflecting</w:t>
      </w:r>
      <w:r w:rsidRPr="00282DF9">
        <w:rPr>
          <w:iCs/>
        </w:rPr>
        <w:t xml:space="preserve"> diversity in age, income, and education</w:t>
      </w:r>
      <w:r>
        <w:rPr>
          <w:iCs/>
        </w:rPr>
        <w:t>, as well as prevent a low show rate. T</w:t>
      </w:r>
      <w:r w:rsidRPr="00282DF9">
        <w:rPr>
          <w:iCs/>
        </w:rPr>
        <w:t>he</w:t>
      </w:r>
      <w:r>
        <w:rPr>
          <w:iCs/>
        </w:rPr>
        <w:t xml:space="preserve"> $100 incentive will help to facilitate sample diversity and sufficient show rates. </w:t>
      </w:r>
    </w:p>
    <w:p w14:paraId="0A04FCDE" w14:textId="77777777" w:rsidR="00183526" w:rsidRDefault="00183526" w:rsidP="00183526">
      <w:pPr>
        <w:ind w:left="720"/>
        <w:rPr>
          <w:iCs/>
        </w:rPr>
      </w:pPr>
    </w:p>
    <w:p w14:paraId="2B8C0CDA" w14:textId="77777777" w:rsidR="00183526" w:rsidRDefault="00183526" w:rsidP="00C94AFC">
      <w:pPr>
        <w:pStyle w:val="Heading3"/>
        <w:ind w:left="720"/>
      </w:pPr>
      <w:r>
        <w:t>Healthcare Providers</w:t>
      </w:r>
    </w:p>
    <w:p w14:paraId="4660655B" w14:textId="4AA48C1E" w:rsidR="00183526" w:rsidRDefault="00183526" w:rsidP="00C94AFC">
      <w:pPr>
        <w:autoSpaceDE w:val="0"/>
        <w:autoSpaceDN w:val="0"/>
        <w:spacing w:before="120" w:after="120"/>
        <w:ind w:left="720"/>
        <w:rPr>
          <w:color w:val="000000"/>
        </w:rPr>
      </w:pPr>
      <w:r>
        <w:rPr>
          <w:color w:val="000000"/>
        </w:rPr>
        <w:t xml:space="preserve">Considering the time and burden associated with participation in research is also important when the study includes HCPs </w:t>
      </w:r>
      <w:r w:rsidRPr="00361C2E">
        <w:rPr>
          <w:color w:val="000000"/>
        </w:rPr>
        <w:t xml:space="preserve">who </w:t>
      </w:r>
      <w:r w:rsidR="00DC7043">
        <w:rPr>
          <w:color w:val="000000"/>
        </w:rPr>
        <w:t>are</w:t>
      </w:r>
      <w:r>
        <w:rPr>
          <w:color w:val="000000"/>
        </w:rPr>
        <w:t xml:space="preserve"> more </w:t>
      </w:r>
      <w:r w:rsidRPr="00361C2E">
        <w:rPr>
          <w:color w:val="000000"/>
        </w:rPr>
        <w:t xml:space="preserve">difficult to recruit than </w:t>
      </w:r>
      <w:r>
        <w:rPr>
          <w:color w:val="000000"/>
        </w:rPr>
        <w:t xml:space="preserve">are </w:t>
      </w:r>
      <w:r w:rsidRPr="00361C2E">
        <w:rPr>
          <w:color w:val="000000"/>
        </w:rPr>
        <w:t>members of the general population</w:t>
      </w:r>
      <w:r w:rsidRPr="00361C2E">
        <w:t>.</w:t>
      </w:r>
      <w:r w:rsidR="008B130B">
        <w:t xml:space="preserve"> </w:t>
      </w:r>
      <w:r w:rsidRPr="00361C2E">
        <w:t>For example, many HCPs work irregular hours and must respond to clinical emergencies, making them less available to participate in research that must be scheduled in advance (Asch, Connor, Hamilton, &amp; Fox, 2000</w:t>
      </w:r>
      <w:r w:rsidR="008B130B">
        <w:rPr>
          <w:rStyle w:val="FootnoteReference"/>
        </w:rPr>
        <w:footnoteReference w:id="28"/>
      </w:r>
      <w:r w:rsidRPr="00361C2E">
        <w:t>).</w:t>
      </w:r>
      <w:r w:rsidRPr="00361C2E">
        <w:rPr>
          <w:color w:val="000000"/>
        </w:rPr>
        <w:t xml:space="preserve"> The amount of time required for data collection </w:t>
      </w:r>
      <w:r>
        <w:rPr>
          <w:color w:val="000000"/>
        </w:rPr>
        <w:t xml:space="preserve">also </w:t>
      </w:r>
      <w:r w:rsidRPr="00361C2E">
        <w:rPr>
          <w:color w:val="000000"/>
        </w:rPr>
        <w:t xml:space="preserve">limits HCPs’ participation in research. </w:t>
      </w:r>
      <w:r w:rsidRPr="00C66CB5">
        <w:rPr>
          <w:color w:val="000000"/>
        </w:rPr>
        <w:t>These time constraints are particularly salient for qualitative data collections like focus groups because they tend to be more time consuming than surveys and may require travel to an offsite location.</w:t>
      </w:r>
      <w:r>
        <w:rPr>
          <w:color w:val="000000"/>
        </w:rPr>
        <w:t xml:space="preserve"> </w:t>
      </w:r>
    </w:p>
    <w:p w14:paraId="69BFE785" w14:textId="77777777" w:rsidR="00183526" w:rsidRDefault="00183526" w:rsidP="00183526">
      <w:pPr>
        <w:autoSpaceDE w:val="0"/>
        <w:autoSpaceDN w:val="0"/>
        <w:ind w:left="720"/>
        <w:rPr>
          <w:color w:val="000000"/>
        </w:rPr>
      </w:pPr>
      <w:bookmarkStart w:id="2" w:name="_Hlk183930"/>
      <w:bookmarkStart w:id="3" w:name="_Hlk534637442"/>
    </w:p>
    <w:p w14:paraId="7B1D27C0" w14:textId="5D7EEFBC" w:rsidR="00183526" w:rsidRPr="000C631D" w:rsidRDefault="00183526" w:rsidP="00C94AFC">
      <w:pPr>
        <w:autoSpaceDE w:val="0"/>
        <w:autoSpaceDN w:val="0"/>
        <w:ind w:left="720"/>
        <w:rPr>
          <w:color w:val="000000"/>
        </w:rPr>
      </w:pPr>
      <w:r>
        <w:rPr>
          <w:color w:val="000000"/>
        </w:rPr>
        <w:t xml:space="preserve">For this study, we will provide all HCP participants with a $300 honorarium for their participation in the 90-minute focus group. </w:t>
      </w:r>
      <w:bookmarkEnd w:id="2"/>
      <w:r>
        <w:rPr>
          <w:color w:val="000000"/>
        </w:rPr>
        <w:t xml:space="preserve"> P</w:t>
      </w:r>
      <w:r w:rsidRPr="009F2485">
        <w:rPr>
          <w:shd w:val="clear" w:color="auto" w:fill="FFFFFF"/>
        </w:rPr>
        <w:t xml:space="preserve">ast experience on other projects RTI has conducted, and </w:t>
      </w:r>
      <w:r>
        <w:rPr>
          <w:shd w:val="clear" w:color="auto" w:fill="FFFFFF"/>
        </w:rPr>
        <w:t>our</w:t>
      </w:r>
      <w:r w:rsidRPr="009F2485">
        <w:rPr>
          <w:shd w:val="clear" w:color="auto" w:fill="FFFFFF"/>
        </w:rPr>
        <w:t xml:space="preserve"> recent consultation with several research firms across multiple markets (Schlesinger Group, L&amp;E Research, Focus Pointe Global, Plaza Research, Fieldwork), show that </w:t>
      </w:r>
      <w:r>
        <w:rPr>
          <w:shd w:val="clear" w:color="auto" w:fill="FFFFFF"/>
        </w:rPr>
        <w:t>offering the $300 incentive is</w:t>
      </w:r>
      <w:r w:rsidRPr="009F2485">
        <w:rPr>
          <w:shd w:val="clear" w:color="auto" w:fill="FFFFFF"/>
        </w:rPr>
        <w:t xml:space="preserve"> consistent with what HCPs require to take time out of their already time-constrained clinical practices to participate in these types of research projects. </w:t>
      </w:r>
      <w:bookmarkStart w:id="4" w:name="_Hlk536188661"/>
      <w:r>
        <w:rPr>
          <w:shd w:val="clear" w:color="auto" w:fill="FFFFFF"/>
        </w:rPr>
        <w:t>H</w:t>
      </w:r>
      <w:r w:rsidRPr="009F2485">
        <w:rPr>
          <w:shd w:val="clear" w:color="auto" w:fill="FFFFFF"/>
        </w:rPr>
        <w:t xml:space="preserve">onorariums </w:t>
      </w:r>
      <w:r>
        <w:rPr>
          <w:shd w:val="clear" w:color="auto" w:fill="FFFFFF"/>
        </w:rPr>
        <w:t xml:space="preserve">of similar rates </w:t>
      </w:r>
      <w:r w:rsidRPr="009F2485">
        <w:rPr>
          <w:shd w:val="clear" w:color="auto" w:fill="FFFFFF"/>
        </w:rPr>
        <w:t xml:space="preserve">for HCPs </w:t>
      </w:r>
      <w:r>
        <w:rPr>
          <w:shd w:val="clear" w:color="auto" w:fill="FFFFFF"/>
        </w:rPr>
        <w:t>have also been supported by research showing</w:t>
      </w:r>
      <w:r w:rsidRPr="009F2485">
        <w:rPr>
          <w:shd w:val="clear" w:color="auto" w:fill="FFFFFF"/>
        </w:rPr>
        <w:t xml:space="preserve"> that monetary incentives result in higher response rates </w:t>
      </w:r>
      <w:r>
        <w:rPr>
          <w:shd w:val="clear" w:color="auto" w:fill="FFFFFF"/>
        </w:rPr>
        <w:t>than do</w:t>
      </w:r>
      <w:r w:rsidRPr="009F2485">
        <w:rPr>
          <w:shd w:val="clear" w:color="auto" w:fill="FFFFFF"/>
        </w:rPr>
        <w:t xml:space="preserve"> nonmonetary </w:t>
      </w:r>
      <w:r>
        <w:rPr>
          <w:shd w:val="clear" w:color="auto" w:fill="FFFFFF"/>
        </w:rPr>
        <w:t>incentives</w:t>
      </w:r>
      <w:r w:rsidRPr="009F2485">
        <w:rPr>
          <w:shd w:val="clear" w:color="auto" w:fill="FFFFFF"/>
        </w:rPr>
        <w:t xml:space="preserve">, and higher incentives (up to or exceeding $500) yield greater participation than </w:t>
      </w:r>
      <w:r>
        <w:rPr>
          <w:shd w:val="clear" w:color="auto" w:fill="FFFFFF"/>
        </w:rPr>
        <w:t xml:space="preserve">do </w:t>
      </w:r>
      <w:r w:rsidRPr="009F2485">
        <w:rPr>
          <w:shd w:val="clear" w:color="auto" w:fill="FFFFFF"/>
        </w:rPr>
        <w:t xml:space="preserve">lower incentives (Krueger </w:t>
      </w:r>
      <w:r>
        <w:rPr>
          <w:shd w:val="clear" w:color="auto" w:fill="FFFFFF"/>
        </w:rPr>
        <w:t>&amp;</w:t>
      </w:r>
      <w:r w:rsidRPr="009F2485">
        <w:rPr>
          <w:shd w:val="clear" w:color="auto" w:fill="FFFFFF"/>
        </w:rPr>
        <w:t xml:space="preserve"> Casey, 2015).</w:t>
      </w:r>
    </w:p>
    <w:bookmarkEnd w:id="3"/>
    <w:bookmarkEnd w:id="4"/>
    <w:p w14:paraId="65B14B5C" w14:textId="77777777" w:rsidR="00183526" w:rsidRDefault="00183526" w:rsidP="00183526">
      <w:pPr>
        <w:autoSpaceDE w:val="0"/>
        <w:autoSpaceDN w:val="0"/>
        <w:ind w:left="720"/>
        <w:rPr>
          <w:color w:val="000000"/>
        </w:rPr>
      </w:pPr>
    </w:p>
    <w:p w14:paraId="288AECD5" w14:textId="10BA69D0" w:rsidR="00183526" w:rsidRDefault="00183526" w:rsidP="00C94AFC">
      <w:pPr>
        <w:autoSpaceDE w:val="0"/>
        <w:autoSpaceDN w:val="0"/>
        <w:ind w:left="720"/>
        <w:rPr>
          <w:color w:val="000000"/>
        </w:rPr>
      </w:pPr>
      <w:r w:rsidRPr="000C631D">
        <w:rPr>
          <w:color w:val="000000"/>
        </w:rPr>
        <w:t>In addition, th</w:t>
      </w:r>
      <w:r>
        <w:rPr>
          <w:color w:val="000000"/>
        </w:rPr>
        <w:t xml:space="preserve">e $300 incentive </w:t>
      </w:r>
      <w:r w:rsidRPr="000C631D">
        <w:rPr>
          <w:color w:val="000000"/>
        </w:rPr>
        <w:t>amount is consistent with other studies OMB has approved for several FDA research projects, including the current</w:t>
      </w:r>
      <w:r w:rsidRPr="000C631D">
        <w:rPr>
          <w:i/>
          <w:iCs/>
          <w:color w:val="000000"/>
        </w:rPr>
        <w:t xml:space="preserve"> Healthcare Providers’ Understanding of Opioid Analgesic Abuse-Deterrent Formulations (ADF) Study</w:t>
      </w:r>
      <w:r w:rsidRPr="000C631D">
        <w:rPr>
          <w:color w:val="000000"/>
        </w:rPr>
        <w:t xml:space="preserve"> (</w:t>
      </w:r>
      <w:r w:rsidR="00727B22">
        <w:rPr>
          <w:color w:val="000000"/>
        </w:rPr>
        <w:t xml:space="preserve">under generic </w:t>
      </w:r>
      <w:r w:rsidRPr="000C631D">
        <w:rPr>
          <w:color w:val="000000"/>
        </w:rPr>
        <w:t xml:space="preserve">OMB control number </w:t>
      </w:r>
      <w:r w:rsidR="00727B22">
        <w:rPr>
          <w:color w:val="000000"/>
        </w:rPr>
        <w:t>0910-0847</w:t>
      </w:r>
      <w:r w:rsidRPr="000C631D">
        <w:rPr>
          <w:color w:val="000000"/>
        </w:rPr>
        <w:t xml:space="preserve">), and previous FDA studies, including </w:t>
      </w:r>
      <w:bookmarkStart w:id="5" w:name="_Hlk260786"/>
      <w:r w:rsidRPr="000C631D">
        <w:rPr>
          <w:i/>
          <w:iCs/>
          <w:color w:val="000000"/>
        </w:rPr>
        <w:t>Testing Communications on Biological Products</w:t>
      </w:r>
      <w:r w:rsidRPr="000C631D">
        <w:rPr>
          <w:color w:val="000000"/>
        </w:rPr>
        <w:t xml:space="preserve"> approved </w:t>
      </w:r>
      <w:bookmarkEnd w:id="5"/>
      <w:r w:rsidRPr="000C631D">
        <w:rPr>
          <w:color w:val="000000"/>
        </w:rPr>
        <w:t xml:space="preserve">in 2014 </w:t>
      </w:r>
      <w:r>
        <w:rPr>
          <w:color w:val="000000"/>
        </w:rPr>
        <w:t>(</w:t>
      </w:r>
      <w:r w:rsidRPr="000C631D">
        <w:rPr>
          <w:color w:val="000000"/>
        </w:rPr>
        <w:t xml:space="preserve">under generic </w:t>
      </w:r>
      <w:r>
        <w:rPr>
          <w:color w:val="000000"/>
        </w:rPr>
        <w:t xml:space="preserve">OMB Control Number </w:t>
      </w:r>
      <w:bookmarkStart w:id="6" w:name="_Hlk260964"/>
      <w:r w:rsidRPr="000C631D">
        <w:rPr>
          <w:color w:val="000000"/>
        </w:rPr>
        <w:t>0910-0687</w:t>
      </w:r>
      <w:bookmarkEnd w:id="6"/>
      <w:r>
        <w:rPr>
          <w:color w:val="000000"/>
        </w:rPr>
        <w:t>)</w:t>
      </w:r>
      <w:r w:rsidRPr="000C631D">
        <w:rPr>
          <w:color w:val="000000"/>
        </w:rPr>
        <w:t>.</w:t>
      </w:r>
    </w:p>
    <w:p w14:paraId="52151504" w14:textId="77777777" w:rsidR="00727B22" w:rsidRPr="00C94AFC" w:rsidRDefault="00727B22" w:rsidP="00C94AFC">
      <w:pPr>
        <w:pStyle w:val="ListParagraph"/>
        <w:jc w:val="both"/>
      </w:pPr>
    </w:p>
    <w:p w14:paraId="571537E7" w14:textId="51695CAC" w:rsidR="00DE6944" w:rsidRPr="000C1DC4" w:rsidRDefault="00183526" w:rsidP="00183526">
      <w:pPr>
        <w:pStyle w:val="ListParagraph"/>
        <w:jc w:val="both"/>
      </w:pPr>
      <w:r w:rsidRPr="000C1DC4">
        <w:t>Our proposed incentive amount</w:t>
      </w:r>
      <w:r>
        <w:t>s</w:t>
      </w:r>
      <w:r w:rsidRPr="000C1DC4">
        <w:t xml:space="preserve"> will help ensure that respondents honor their commitment of participating in the focus group focus groups.  </w:t>
      </w:r>
    </w:p>
    <w:p w14:paraId="1A5242C5" w14:textId="77777777" w:rsidR="008E5BE4" w:rsidRDefault="008E5BE4" w:rsidP="007853F0">
      <w:pPr>
        <w:pStyle w:val="ListParagraph"/>
      </w:pPr>
    </w:p>
    <w:p w14:paraId="60D84792" w14:textId="77777777" w:rsidR="00140A0D" w:rsidRPr="00E96045" w:rsidRDefault="00140A0D" w:rsidP="00140A0D">
      <w:pPr>
        <w:numPr>
          <w:ilvl w:val="0"/>
          <w:numId w:val="15"/>
        </w:numPr>
        <w:tabs>
          <w:tab w:val="clear" w:pos="1296"/>
          <w:tab w:val="num" w:pos="720"/>
          <w:tab w:val="num" w:pos="900"/>
        </w:tabs>
        <w:ind w:left="720"/>
      </w:pPr>
      <w:r>
        <w:rPr>
          <w:b/>
        </w:rPr>
        <w:t>Questions of a Sensitive Nature:</w:t>
      </w:r>
    </w:p>
    <w:p w14:paraId="0D46ECE3" w14:textId="77777777" w:rsidR="005F51A9" w:rsidRDefault="005F51A9" w:rsidP="00140A0D">
      <w:pPr>
        <w:pStyle w:val="ListParagraph"/>
      </w:pPr>
    </w:p>
    <w:p w14:paraId="643E9B3B" w14:textId="713B5C0A" w:rsidR="00140A0D" w:rsidRDefault="00473C32" w:rsidP="00140A0D">
      <w:pPr>
        <w:pStyle w:val="ListParagraph"/>
      </w:pPr>
      <w:r>
        <w:t>None.</w:t>
      </w:r>
    </w:p>
    <w:p w14:paraId="50D6158D" w14:textId="48463F80" w:rsidR="00140A0D" w:rsidRDefault="00140A0D" w:rsidP="00140A0D">
      <w:pPr>
        <w:pStyle w:val="ListParagraph"/>
      </w:pPr>
    </w:p>
    <w:p w14:paraId="49FEEC63" w14:textId="77777777" w:rsidR="009F7E17" w:rsidRDefault="009F7E17" w:rsidP="00140A0D">
      <w:pPr>
        <w:pStyle w:val="ListParagraph"/>
      </w:pPr>
    </w:p>
    <w:p w14:paraId="4005AA60" w14:textId="77777777" w:rsidR="00140A0D" w:rsidRPr="00E96045" w:rsidRDefault="00140A0D" w:rsidP="00140A0D">
      <w:pPr>
        <w:numPr>
          <w:ilvl w:val="0"/>
          <w:numId w:val="15"/>
        </w:numPr>
        <w:tabs>
          <w:tab w:val="clear" w:pos="1296"/>
          <w:tab w:val="num" w:pos="720"/>
          <w:tab w:val="num" w:pos="900"/>
        </w:tabs>
        <w:ind w:left="720"/>
      </w:pPr>
      <w:r>
        <w:rPr>
          <w:b/>
        </w:rPr>
        <w:t xml:space="preserve">Description of </w:t>
      </w:r>
      <w:r w:rsidR="00163E86">
        <w:rPr>
          <w:b/>
        </w:rPr>
        <w:t>s</w:t>
      </w:r>
      <w:r>
        <w:rPr>
          <w:b/>
        </w:rPr>
        <w:t xml:space="preserve">tatistical </w:t>
      </w:r>
      <w:r w:rsidR="00163E86">
        <w:rPr>
          <w:b/>
        </w:rPr>
        <w:t>m</w:t>
      </w:r>
      <w:r>
        <w:rPr>
          <w:b/>
        </w:rPr>
        <w:t>ethods (</w:t>
      </w:r>
      <w:r w:rsidR="00163E86">
        <w:rPr>
          <w:b/>
        </w:rPr>
        <w:t>i.e</w:t>
      </w:r>
      <w:r w:rsidR="00B31D14">
        <w:rPr>
          <w:b/>
        </w:rPr>
        <w:t>.,</w:t>
      </w:r>
      <w:r w:rsidR="00E971FC">
        <w:rPr>
          <w:b/>
        </w:rPr>
        <w:t xml:space="preserve"> </w:t>
      </w:r>
      <w:r w:rsidR="00163E86">
        <w:rPr>
          <w:b/>
        </w:rPr>
        <w:t>s</w:t>
      </w:r>
      <w:r>
        <w:rPr>
          <w:b/>
        </w:rPr>
        <w:t xml:space="preserve">ample </w:t>
      </w:r>
      <w:r w:rsidR="00163E86">
        <w:rPr>
          <w:b/>
        </w:rPr>
        <w:t>s</w:t>
      </w:r>
      <w:r>
        <w:rPr>
          <w:b/>
        </w:rPr>
        <w:t xml:space="preserve">ize &amp; </w:t>
      </w:r>
      <w:r w:rsidR="00163E86">
        <w:rPr>
          <w:b/>
        </w:rPr>
        <w:t>m</w:t>
      </w:r>
      <w:r>
        <w:rPr>
          <w:b/>
        </w:rPr>
        <w:t xml:space="preserve">ethod of </w:t>
      </w:r>
      <w:r w:rsidR="00163E86">
        <w:rPr>
          <w:b/>
        </w:rPr>
        <w:t>s</w:t>
      </w:r>
      <w:r>
        <w:rPr>
          <w:b/>
        </w:rPr>
        <w:t>election):</w:t>
      </w:r>
    </w:p>
    <w:p w14:paraId="4927603D" w14:textId="77777777" w:rsidR="005F51A9" w:rsidRDefault="005F51A9" w:rsidP="008B130B">
      <w:pPr>
        <w:ind w:left="720"/>
      </w:pPr>
    </w:p>
    <w:p w14:paraId="3465EAC9" w14:textId="74FA80AD" w:rsidR="00473C32" w:rsidRPr="0050277D" w:rsidRDefault="00917B38" w:rsidP="008B130B">
      <w:pPr>
        <w:ind w:left="720"/>
      </w:pPr>
      <w:r>
        <w:t xml:space="preserve">Facilities will </w:t>
      </w:r>
      <w:r w:rsidR="00473C32" w:rsidRPr="0050277D">
        <w:t>contact prospective participants by telephone and screen them for eligibility to participate (</w:t>
      </w:r>
      <w:r w:rsidR="00637C8C">
        <w:t xml:space="preserve">Attachment </w:t>
      </w:r>
      <w:r w:rsidR="005050BA">
        <w:t>B</w:t>
      </w:r>
      <w:r w:rsidR="00473C32" w:rsidRPr="0050277D">
        <w:t xml:space="preserve">). </w:t>
      </w:r>
      <w:r w:rsidR="00473C32" w:rsidRPr="00336FCF">
        <w:t xml:space="preserve">The facilities’ staff will provide all necessary information and instructions to ensure participants arrive at the proper location on </w:t>
      </w:r>
      <w:r w:rsidR="00473C32">
        <w:t xml:space="preserve">the agreed upon date and time. </w:t>
      </w:r>
      <w:r w:rsidR="00473C32" w:rsidRPr="00336FCF">
        <w:t xml:space="preserve">Facilities will </w:t>
      </w:r>
      <w:r w:rsidR="00473C32">
        <w:t>conduct recruitment and</w:t>
      </w:r>
      <w:r w:rsidR="00473C32" w:rsidRPr="00336FCF">
        <w:t xml:space="preserve"> ensure </w:t>
      </w:r>
      <w:r w:rsidR="00473C32">
        <w:t xml:space="preserve">that </w:t>
      </w:r>
      <w:r w:rsidR="00473C32" w:rsidRPr="00336FCF">
        <w:t xml:space="preserve">the </w:t>
      </w:r>
      <w:r w:rsidR="00473C32">
        <w:t>needed number of participants show up for</w:t>
      </w:r>
      <w:r w:rsidR="00473C32" w:rsidRPr="00336FCF">
        <w:t xml:space="preserve"> their scheduled time slot.</w:t>
      </w:r>
      <w:r w:rsidR="00473C32">
        <w:t xml:space="preserve"> </w:t>
      </w:r>
      <w:r w:rsidR="00473C32" w:rsidRPr="0050277D">
        <w:t>This study</w:t>
      </w:r>
      <w:r w:rsidR="00473C32">
        <w:t xml:space="preserve"> employs qualitative methods and</w:t>
      </w:r>
      <w:r w:rsidR="00473C32" w:rsidRPr="0050277D">
        <w:t xml:space="preserve"> does not entail the use of any statistical methods.</w:t>
      </w:r>
    </w:p>
    <w:p w14:paraId="44ECE68E" w14:textId="77777777" w:rsidR="00473C32" w:rsidRPr="00473C32" w:rsidRDefault="00473C32" w:rsidP="008B130B">
      <w:pPr>
        <w:ind w:left="720"/>
      </w:pPr>
    </w:p>
    <w:p w14:paraId="4F559EA4" w14:textId="77777777" w:rsidR="00473C32" w:rsidRPr="00336FCF" w:rsidRDefault="00473C32" w:rsidP="008B130B">
      <w:pPr>
        <w:ind w:left="720"/>
      </w:pPr>
      <w:r w:rsidRPr="00336FCF">
        <w:t xml:space="preserve">Table 1 shows the estimated annual reporting burden for the groups, assuming </w:t>
      </w:r>
      <w:r>
        <w:t>10</w:t>
      </w:r>
      <w:r w:rsidRPr="00336FCF">
        <w:t xml:space="preserve"> participants per group.</w:t>
      </w:r>
    </w:p>
    <w:p w14:paraId="22B3D73E" w14:textId="77777777" w:rsidR="00140A0D" w:rsidRPr="00C94AFC" w:rsidRDefault="00140A0D" w:rsidP="00993D2B">
      <w:pPr>
        <w:pStyle w:val="ListParagraph"/>
      </w:pPr>
    </w:p>
    <w:p w14:paraId="68551AF2" w14:textId="77777777" w:rsidR="00190AA2" w:rsidRPr="00C94AFC" w:rsidRDefault="00190AA2" w:rsidP="00C94AFC">
      <w:pPr>
        <w:pStyle w:val="ListParagraph"/>
      </w:pPr>
    </w:p>
    <w:p w14:paraId="23F7A350" w14:textId="77777777" w:rsidR="003F1C7A" w:rsidRDefault="003F1C7A">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p w14:paraId="6E40EF07" w14:textId="77777777" w:rsidR="005C6A7F" w:rsidRDefault="005C6A7F">
      <w:pPr>
        <w:rPr>
          <w:i/>
        </w:rPr>
      </w:pPr>
    </w:p>
    <w:p w14:paraId="4C1EDDDF" w14:textId="77777777" w:rsidR="003F1C7A" w:rsidRDefault="00F62F0B">
      <w:pPr>
        <w:keepNext/>
        <w:keepLines/>
        <w:rPr>
          <w:b/>
        </w:rPr>
      </w:pPr>
      <w:r>
        <w:rPr>
          <w:b/>
        </w:rPr>
        <w:t>Table 1.</w:t>
      </w:r>
    </w:p>
    <w:p w14:paraId="57329771" w14:textId="77777777" w:rsidR="00F62F0B" w:rsidRDefault="00F62F0B" w:rsidP="00C94AFC">
      <w:pPr>
        <w:keepNext/>
        <w:keepLines/>
        <w:rPr>
          <w:b/>
        </w:rPr>
      </w:pP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1985"/>
        <w:gridCol w:w="1985"/>
        <w:gridCol w:w="1986"/>
      </w:tblGrid>
      <w:tr w:rsidR="00993D2B" w14:paraId="37A6164E" w14:textId="77777777" w:rsidTr="00862F2F">
        <w:trPr>
          <w:cantSplit/>
          <w:trHeight w:val="274"/>
          <w:jc w:val="center"/>
        </w:trPr>
        <w:tc>
          <w:tcPr>
            <w:tcW w:w="2536" w:type="dxa"/>
            <w:shd w:val="clear" w:color="auto" w:fill="E0E0E0"/>
          </w:tcPr>
          <w:p w14:paraId="4AE8A550" w14:textId="77777777" w:rsidR="003F1C7A" w:rsidRDefault="00696B03">
            <w:pPr>
              <w:jc w:val="center"/>
              <w:rPr>
                <w:b/>
              </w:rPr>
            </w:pPr>
            <w:bookmarkStart w:id="7" w:name="_Hlk13736248"/>
            <w:r>
              <w:rPr>
                <w:b/>
              </w:rPr>
              <w:t>Type/</w:t>
            </w:r>
            <w:r w:rsidR="003F1C7A">
              <w:rPr>
                <w:b/>
              </w:rPr>
              <w:t>Category of Respondent</w:t>
            </w:r>
          </w:p>
        </w:tc>
        <w:tc>
          <w:tcPr>
            <w:tcW w:w="1985" w:type="dxa"/>
            <w:shd w:val="clear" w:color="auto" w:fill="E0E0E0"/>
          </w:tcPr>
          <w:p w14:paraId="5A1AD10B" w14:textId="77777777" w:rsidR="003F1C7A" w:rsidRDefault="003F1C7A" w:rsidP="00696B03">
            <w:pPr>
              <w:jc w:val="center"/>
              <w:rPr>
                <w:b/>
              </w:rPr>
            </w:pPr>
            <w:r>
              <w:rPr>
                <w:b/>
              </w:rPr>
              <w:t>No. of Respondent</w:t>
            </w:r>
            <w:r w:rsidR="00696B03">
              <w:rPr>
                <w:b/>
              </w:rPr>
              <w:t>s</w:t>
            </w:r>
          </w:p>
        </w:tc>
        <w:tc>
          <w:tcPr>
            <w:tcW w:w="1985" w:type="dxa"/>
            <w:shd w:val="clear" w:color="auto" w:fill="E0E0E0"/>
          </w:tcPr>
          <w:p w14:paraId="51D26AD0" w14:textId="77777777" w:rsidR="003F1C7A" w:rsidRDefault="003F1C7A">
            <w:pPr>
              <w:jc w:val="center"/>
              <w:rPr>
                <w:b/>
              </w:rPr>
            </w:pPr>
            <w:r>
              <w:rPr>
                <w:b/>
              </w:rPr>
              <w:t>Participation Time</w:t>
            </w:r>
            <w:r w:rsidR="00696B03">
              <w:rPr>
                <w:b/>
              </w:rPr>
              <w:t xml:space="preserve"> (minutes)</w:t>
            </w:r>
          </w:p>
        </w:tc>
        <w:tc>
          <w:tcPr>
            <w:tcW w:w="1986" w:type="dxa"/>
            <w:shd w:val="clear" w:color="auto" w:fill="E0E0E0"/>
          </w:tcPr>
          <w:p w14:paraId="105882E9" w14:textId="77777777" w:rsidR="003F1C7A" w:rsidRDefault="003F1C7A" w:rsidP="0097718E">
            <w:pPr>
              <w:jc w:val="center"/>
              <w:rPr>
                <w:b/>
              </w:rPr>
            </w:pPr>
            <w:r>
              <w:rPr>
                <w:b/>
              </w:rPr>
              <w:t>Burden</w:t>
            </w:r>
          </w:p>
          <w:p w14:paraId="2EA2D3DA" w14:textId="77777777" w:rsidR="00696B03" w:rsidRDefault="00696B03" w:rsidP="0097718E">
            <w:pPr>
              <w:jc w:val="center"/>
              <w:rPr>
                <w:b/>
              </w:rPr>
            </w:pPr>
            <w:r>
              <w:rPr>
                <w:b/>
              </w:rPr>
              <w:t>(hours)</w:t>
            </w:r>
          </w:p>
        </w:tc>
      </w:tr>
      <w:tr w:rsidR="00F62F0B" w14:paraId="0C15F45D" w14:textId="77777777" w:rsidTr="00862F2F">
        <w:trPr>
          <w:trHeight w:val="274"/>
          <w:jc w:val="center"/>
        </w:trPr>
        <w:tc>
          <w:tcPr>
            <w:tcW w:w="2536" w:type="dxa"/>
          </w:tcPr>
          <w:p w14:paraId="79B28C71" w14:textId="77777777" w:rsidR="00F62F0B" w:rsidRPr="00776554" w:rsidRDefault="00F62F0B" w:rsidP="00E54B22">
            <w:r>
              <w:t>Screener</w:t>
            </w:r>
          </w:p>
        </w:tc>
        <w:tc>
          <w:tcPr>
            <w:tcW w:w="1985" w:type="dxa"/>
          </w:tcPr>
          <w:p w14:paraId="51C2D0A6" w14:textId="78AC8027" w:rsidR="00F62F0B" w:rsidRPr="00776554" w:rsidRDefault="008802AB" w:rsidP="00E54B22">
            <w:r>
              <w:t>200</w:t>
            </w:r>
          </w:p>
        </w:tc>
        <w:tc>
          <w:tcPr>
            <w:tcW w:w="1985" w:type="dxa"/>
          </w:tcPr>
          <w:p w14:paraId="39CB450D" w14:textId="77777777" w:rsidR="00F62F0B" w:rsidRPr="00776554" w:rsidRDefault="00F62F0B" w:rsidP="00E54B22">
            <w:r>
              <w:t>5</w:t>
            </w:r>
          </w:p>
        </w:tc>
        <w:tc>
          <w:tcPr>
            <w:tcW w:w="1986" w:type="dxa"/>
          </w:tcPr>
          <w:p w14:paraId="4624C7E8" w14:textId="24F51EE3" w:rsidR="00F62F0B" w:rsidRPr="00776554" w:rsidRDefault="00265BFD" w:rsidP="00E54B22">
            <w:r>
              <w:t>50</w:t>
            </w:r>
          </w:p>
        </w:tc>
      </w:tr>
      <w:tr w:rsidR="007E76D6" w14:paraId="62D4BEAB" w14:textId="77777777" w:rsidTr="00862F2F">
        <w:trPr>
          <w:trHeight w:val="274"/>
          <w:jc w:val="center"/>
        </w:trPr>
        <w:tc>
          <w:tcPr>
            <w:tcW w:w="2536" w:type="dxa"/>
          </w:tcPr>
          <w:p w14:paraId="414C4889" w14:textId="77777777" w:rsidR="007E76D6" w:rsidRDefault="007E76D6" w:rsidP="00E54B22">
            <w:r>
              <w:t>Focus group discussion</w:t>
            </w:r>
          </w:p>
        </w:tc>
        <w:tc>
          <w:tcPr>
            <w:tcW w:w="1985" w:type="dxa"/>
          </w:tcPr>
          <w:p w14:paraId="268784D1" w14:textId="5EEAE52F" w:rsidR="007E76D6" w:rsidRDefault="004A39BA" w:rsidP="00802398">
            <w:r>
              <w:t>90</w:t>
            </w:r>
          </w:p>
        </w:tc>
        <w:tc>
          <w:tcPr>
            <w:tcW w:w="1985" w:type="dxa"/>
          </w:tcPr>
          <w:p w14:paraId="37FEFF9F" w14:textId="07B42D66" w:rsidR="007E76D6" w:rsidDel="0016369C" w:rsidRDefault="004A39BA" w:rsidP="00E54B22">
            <w:r>
              <w:t>90</w:t>
            </w:r>
          </w:p>
        </w:tc>
        <w:tc>
          <w:tcPr>
            <w:tcW w:w="1986" w:type="dxa"/>
          </w:tcPr>
          <w:p w14:paraId="4CA14B5B" w14:textId="0C1B3B0F" w:rsidR="007E76D6" w:rsidDel="0016369C" w:rsidRDefault="00AE1B4C" w:rsidP="00802398">
            <w:r>
              <w:t>135</w:t>
            </w:r>
          </w:p>
        </w:tc>
      </w:tr>
      <w:tr w:rsidR="001C7B3E" w14:paraId="17BA2E99" w14:textId="77777777" w:rsidTr="00D670C5">
        <w:trPr>
          <w:trHeight w:val="274"/>
          <w:jc w:val="center"/>
        </w:trPr>
        <w:tc>
          <w:tcPr>
            <w:tcW w:w="6506" w:type="dxa"/>
            <w:gridSpan w:val="3"/>
          </w:tcPr>
          <w:p w14:paraId="16A39372" w14:textId="77777777" w:rsidR="001C7B3E" w:rsidRDefault="001C7B3E" w:rsidP="00E54B22">
            <w:r>
              <w:t>Total</w:t>
            </w:r>
          </w:p>
        </w:tc>
        <w:tc>
          <w:tcPr>
            <w:tcW w:w="1986" w:type="dxa"/>
          </w:tcPr>
          <w:p w14:paraId="1C5C306B" w14:textId="63E08123" w:rsidR="001C7B3E" w:rsidRDefault="00AE1B4C" w:rsidP="00802398">
            <w:r>
              <w:t>185</w:t>
            </w:r>
          </w:p>
        </w:tc>
      </w:tr>
      <w:bookmarkEnd w:id="7"/>
    </w:tbl>
    <w:p w14:paraId="5C9A601F" w14:textId="77777777" w:rsidR="003F1C7A" w:rsidRDefault="003F1C7A"/>
    <w:p w14:paraId="29667C79" w14:textId="77777777" w:rsidR="00F62F0B" w:rsidRDefault="00F62F0B"/>
    <w:p w14:paraId="5BC2076C" w14:textId="54E41AFE" w:rsidR="00B71082" w:rsidRPr="009238D7" w:rsidRDefault="003F1C7A" w:rsidP="00B71082">
      <w:r>
        <w:rPr>
          <w:b/>
        </w:rPr>
        <w:t xml:space="preserve">REQUESTED APPROVAL DATE:  </w:t>
      </w:r>
      <w:r w:rsidR="005F51A9">
        <w:t>August</w:t>
      </w:r>
      <w:r w:rsidR="009238D7">
        <w:t>, 201</w:t>
      </w:r>
      <w:r w:rsidR="00EC0795">
        <w:t>9</w:t>
      </w:r>
    </w:p>
    <w:p w14:paraId="3DA38F6E" w14:textId="77777777" w:rsidR="003F1C7A" w:rsidRDefault="003F1C7A">
      <w:pPr>
        <w:rPr>
          <w:b/>
        </w:rPr>
      </w:pPr>
    </w:p>
    <w:p w14:paraId="46C23698" w14:textId="77777777" w:rsidR="00D00880" w:rsidRDefault="00140A0D" w:rsidP="00140A0D">
      <w:pPr>
        <w:rPr>
          <w:b/>
        </w:rPr>
      </w:pPr>
      <w:r>
        <w:rPr>
          <w:b/>
        </w:rPr>
        <w:t xml:space="preserve">NAME OF PRA ANALYST &amp; PROGRAM CONTACT:  </w:t>
      </w:r>
    </w:p>
    <w:p w14:paraId="5D7D514D" w14:textId="77777777" w:rsidR="005F51A9" w:rsidRDefault="005F51A9" w:rsidP="00D00880">
      <w:pPr>
        <w:rPr>
          <w:bCs/>
        </w:rPr>
      </w:pPr>
    </w:p>
    <w:p w14:paraId="23B53193" w14:textId="11B81153" w:rsidR="00D00880" w:rsidRPr="00D00880" w:rsidRDefault="002254D4" w:rsidP="00D00880">
      <w:pPr>
        <w:rPr>
          <w:bCs/>
        </w:rPr>
      </w:pPr>
      <w:r>
        <w:rPr>
          <w:bCs/>
        </w:rPr>
        <w:t xml:space="preserve">Ila S. Mizrachi </w:t>
      </w:r>
      <w:r w:rsidR="00D00880" w:rsidRPr="00D00880">
        <w:rPr>
          <w:bCs/>
        </w:rPr>
        <w:t xml:space="preserve">(PRA Analyst) </w:t>
      </w:r>
    </w:p>
    <w:p w14:paraId="793B8B66" w14:textId="77777777" w:rsidR="002254D4" w:rsidRDefault="00C5776F" w:rsidP="00D00880">
      <w:hyperlink r:id="rId9" w:history="1">
        <w:r w:rsidR="002254D4" w:rsidRPr="009B5E5A">
          <w:rPr>
            <w:rStyle w:val="Hyperlink"/>
          </w:rPr>
          <w:t>Ila.Mizrachi@fda.hhs.gov</w:t>
        </w:r>
      </w:hyperlink>
    </w:p>
    <w:p w14:paraId="7C5FAE54" w14:textId="77777777" w:rsidR="00D00880" w:rsidRPr="00D00880" w:rsidRDefault="00D00880" w:rsidP="00D00880">
      <w:pPr>
        <w:rPr>
          <w:bCs/>
        </w:rPr>
      </w:pPr>
      <w:r w:rsidRPr="00D00880">
        <w:rPr>
          <w:bCs/>
        </w:rPr>
        <w:t>301-796-</w:t>
      </w:r>
      <w:r w:rsidR="002254D4">
        <w:rPr>
          <w:bCs/>
        </w:rPr>
        <w:t>7726</w:t>
      </w:r>
    </w:p>
    <w:p w14:paraId="7DAFCA77" w14:textId="77777777" w:rsidR="00D00880" w:rsidRPr="00D00880" w:rsidRDefault="00D00880" w:rsidP="00D00880">
      <w:pPr>
        <w:rPr>
          <w:bCs/>
        </w:rPr>
      </w:pPr>
    </w:p>
    <w:p w14:paraId="5BF74478" w14:textId="7274E0A4" w:rsidR="00D00880" w:rsidRPr="00D00880" w:rsidRDefault="00EC0795" w:rsidP="00D00880">
      <w:pPr>
        <w:rPr>
          <w:bCs/>
        </w:rPr>
      </w:pPr>
      <w:r>
        <w:rPr>
          <w:bCs/>
        </w:rPr>
        <w:t>Kathryn Aikin</w:t>
      </w:r>
      <w:r w:rsidR="00637C8C">
        <w:rPr>
          <w:bCs/>
        </w:rPr>
        <w:t>, Ph.D.</w:t>
      </w:r>
      <w:r w:rsidR="00D00880" w:rsidRPr="00D00880">
        <w:rPr>
          <w:bCs/>
        </w:rPr>
        <w:t xml:space="preserve"> (Program Contact)</w:t>
      </w:r>
    </w:p>
    <w:p w14:paraId="380A9892" w14:textId="19488CB4" w:rsidR="00D00880" w:rsidRPr="00D00880" w:rsidRDefault="00EC0795" w:rsidP="00D00880">
      <w:pPr>
        <w:rPr>
          <w:bCs/>
        </w:rPr>
      </w:pPr>
      <w:r>
        <w:rPr>
          <w:bCs/>
        </w:rPr>
        <w:t>Kathryn.Aikin</w:t>
      </w:r>
      <w:r w:rsidR="00D00880" w:rsidRPr="00D00880">
        <w:rPr>
          <w:bCs/>
        </w:rPr>
        <w:t>@fda.hhs.gov</w:t>
      </w:r>
    </w:p>
    <w:p w14:paraId="098BDEE0" w14:textId="017B9886" w:rsidR="00140A0D" w:rsidRDefault="00637C8C" w:rsidP="00140A0D">
      <w:pPr>
        <w:tabs>
          <w:tab w:val="left" w:pos="5670"/>
        </w:tabs>
        <w:suppressAutoHyphens/>
        <w:rPr>
          <w:bCs/>
        </w:rPr>
      </w:pPr>
      <w:r>
        <w:rPr>
          <w:bCs/>
        </w:rPr>
        <w:t>301-796-0569</w:t>
      </w:r>
    </w:p>
    <w:p w14:paraId="55F1F5F0" w14:textId="77777777" w:rsidR="00D00880" w:rsidRDefault="00D00880" w:rsidP="00140A0D">
      <w:pPr>
        <w:tabs>
          <w:tab w:val="left" w:pos="5670"/>
        </w:tabs>
        <w:suppressAutoHyphens/>
        <w:rPr>
          <w:b/>
        </w:rPr>
      </w:pPr>
    </w:p>
    <w:p w14:paraId="3E74EBBA" w14:textId="43646D71" w:rsidR="003F1C7A" w:rsidRDefault="00140A0D" w:rsidP="00140A0D">
      <w:pPr>
        <w:tabs>
          <w:tab w:val="left" w:pos="5670"/>
        </w:tabs>
        <w:suppressAutoHyphens/>
      </w:pPr>
      <w:r>
        <w:rPr>
          <w:b/>
        </w:rPr>
        <w:t xml:space="preserve">FDA CENTER:  </w:t>
      </w:r>
      <w:r w:rsidR="00EC0795">
        <w:t>Center for Drug Evaluation and Research</w:t>
      </w:r>
      <w:r w:rsidR="00265BFD">
        <w:t xml:space="preserve"> (</w:t>
      </w:r>
      <w:r w:rsidR="00EC0795">
        <w:t>CDER</w:t>
      </w:r>
      <w:r w:rsidR="00265BFD">
        <w:t>)</w:t>
      </w:r>
    </w:p>
    <w:p w14:paraId="7EC75466" w14:textId="3FFDD0C7" w:rsidR="007A5748" w:rsidRDefault="007A5748" w:rsidP="00140A0D">
      <w:pPr>
        <w:tabs>
          <w:tab w:val="left" w:pos="5670"/>
        </w:tabs>
        <w:suppressAutoHyphens/>
      </w:pPr>
    </w:p>
    <w:p w14:paraId="39EC59D2" w14:textId="0CB59D62" w:rsidR="007A5748" w:rsidRDefault="008B130B" w:rsidP="00140A0D">
      <w:pPr>
        <w:tabs>
          <w:tab w:val="left" w:pos="5670"/>
        </w:tabs>
        <w:suppressAutoHyphens/>
      </w:pPr>
      <w:bookmarkStart w:id="8" w:name="_Hlk12276532"/>
      <w:r>
        <w:t>Attachments:</w:t>
      </w:r>
    </w:p>
    <w:p w14:paraId="49983DDB" w14:textId="084FF100" w:rsidR="00D95DBC" w:rsidRDefault="00D95DBC" w:rsidP="00140A0D">
      <w:pPr>
        <w:tabs>
          <w:tab w:val="left" w:pos="5670"/>
        </w:tabs>
        <w:suppressAutoHyphens/>
      </w:pPr>
      <w:r>
        <w:t>Attachment A: Recruitment Advertisements</w:t>
      </w:r>
    </w:p>
    <w:p w14:paraId="2E695E30" w14:textId="6305887E" w:rsidR="005050BA" w:rsidRDefault="005050BA" w:rsidP="005050BA">
      <w:pPr>
        <w:tabs>
          <w:tab w:val="left" w:pos="5670"/>
        </w:tabs>
        <w:suppressAutoHyphens/>
      </w:pPr>
      <w:r>
        <w:t>Attachment B: Consumer and HCP Screeners</w:t>
      </w:r>
    </w:p>
    <w:p w14:paraId="7C93DD02" w14:textId="56243564" w:rsidR="005050BA" w:rsidRDefault="005050BA" w:rsidP="005050BA">
      <w:pPr>
        <w:tabs>
          <w:tab w:val="left" w:pos="5670"/>
        </w:tabs>
        <w:suppressAutoHyphens/>
      </w:pPr>
      <w:r>
        <w:t>Attachment C: Consumer Reminder Script and Email</w:t>
      </w:r>
    </w:p>
    <w:p w14:paraId="4F929148" w14:textId="7E6B9F53" w:rsidR="005050BA" w:rsidRDefault="005050BA" w:rsidP="005050BA">
      <w:pPr>
        <w:tabs>
          <w:tab w:val="left" w:pos="5670"/>
        </w:tabs>
        <w:suppressAutoHyphens/>
      </w:pPr>
      <w:r>
        <w:t>Attachment D: HCP Reminder Script and Email</w:t>
      </w:r>
    </w:p>
    <w:p w14:paraId="2E636436" w14:textId="03CE0639" w:rsidR="008B130B" w:rsidRDefault="00637C8C" w:rsidP="00140A0D">
      <w:pPr>
        <w:tabs>
          <w:tab w:val="left" w:pos="5670"/>
        </w:tabs>
        <w:suppressAutoHyphens/>
      </w:pPr>
      <w:r>
        <w:t>Attachment</w:t>
      </w:r>
      <w:r w:rsidR="008B130B">
        <w:t xml:space="preserve"> </w:t>
      </w:r>
      <w:r w:rsidR="005050BA">
        <w:t>E</w:t>
      </w:r>
      <w:r>
        <w:t>: Consumer Informed Consent</w:t>
      </w:r>
    </w:p>
    <w:p w14:paraId="72701DBE" w14:textId="2BE22538" w:rsidR="00B3103B" w:rsidRDefault="00637C8C" w:rsidP="00140A0D">
      <w:pPr>
        <w:tabs>
          <w:tab w:val="left" w:pos="5670"/>
        </w:tabs>
        <w:suppressAutoHyphens/>
      </w:pPr>
      <w:r>
        <w:t>Attachment</w:t>
      </w:r>
      <w:r w:rsidR="008B130B">
        <w:t xml:space="preserve"> </w:t>
      </w:r>
      <w:r w:rsidR="005050BA">
        <w:t>F</w:t>
      </w:r>
      <w:r>
        <w:t>: HCP Informed Consent</w:t>
      </w:r>
      <w:r w:rsidR="005050BA">
        <w:t xml:space="preserve"> </w:t>
      </w:r>
    </w:p>
    <w:p w14:paraId="046DD46F" w14:textId="0EB2629D" w:rsidR="008B130B" w:rsidRDefault="00637C8C" w:rsidP="00140A0D">
      <w:pPr>
        <w:tabs>
          <w:tab w:val="left" w:pos="5670"/>
        </w:tabs>
        <w:suppressAutoHyphens/>
      </w:pPr>
      <w:r>
        <w:t>Attachment</w:t>
      </w:r>
      <w:r w:rsidR="008B130B">
        <w:t xml:space="preserve"> </w:t>
      </w:r>
      <w:r w:rsidR="008F3E78">
        <w:t>G</w:t>
      </w:r>
      <w:r>
        <w:t>: Consumer Moderator’s Guide</w:t>
      </w:r>
    </w:p>
    <w:p w14:paraId="10579593" w14:textId="4DEC6002" w:rsidR="008F3E78" w:rsidRPr="00C94AFC" w:rsidRDefault="00637C8C" w:rsidP="005F51A9">
      <w:pPr>
        <w:tabs>
          <w:tab w:val="left" w:pos="5670"/>
        </w:tabs>
        <w:suppressAutoHyphens/>
      </w:pPr>
      <w:r>
        <w:t>Attachment</w:t>
      </w:r>
      <w:r w:rsidR="008B130B">
        <w:t xml:space="preserve"> </w:t>
      </w:r>
      <w:r w:rsidR="008F3E78">
        <w:t>H</w:t>
      </w:r>
      <w:r>
        <w:t>: HCP Moderator’s Guide</w:t>
      </w:r>
      <w:bookmarkEnd w:id="8"/>
    </w:p>
    <w:sectPr w:rsidR="008F3E78" w:rsidRPr="00C94AFC" w:rsidSect="00C94AFC">
      <w:headerReference w:type="default" r:id="rId10"/>
      <w:footerReference w:type="default" r:id="rId11"/>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F8849" w14:textId="77777777" w:rsidR="008A201F" w:rsidRDefault="008A201F">
      <w:r>
        <w:separator/>
      </w:r>
    </w:p>
  </w:endnote>
  <w:endnote w:type="continuationSeparator" w:id="0">
    <w:p w14:paraId="63FF8C22" w14:textId="77777777" w:rsidR="008A201F" w:rsidRDefault="008A201F">
      <w:r>
        <w:continuationSeparator/>
      </w:r>
    </w:p>
  </w:endnote>
  <w:endnote w:type="continuationNotice" w:id="1">
    <w:p w14:paraId="3DFE8E88" w14:textId="77777777" w:rsidR="008A201F" w:rsidRDefault="008A2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2B640" w14:textId="0EB34BF9" w:rsidR="00F12AEE" w:rsidRPr="00C94AFC" w:rsidRDefault="00F12AEE" w:rsidP="00C94AFC">
    <w:pPr>
      <w:pStyle w:val="Footer"/>
      <w:tabs>
        <w:tab w:val="clear" w:pos="8640"/>
        <w:tab w:val="right" w:pos="9000"/>
      </w:tabs>
      <w:jc w:val="center"/>
      <w:rPr>
        <w:sz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776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DD1E0" w14:textId="77777777" w:rsidR="008A201F" w:rsidRDefault="008A201F" w:rsidP="00993D2B">
      <w:r>
        <w:separator/>
      </w:r>
    </w:p>
  </w:footnote>
  <w:footnote w:type="continuationSeparator" w:id="0">
    <w:p w14:paraId="400FEEA7" w14:textId="77777777" w:rsidR="008A201F" w:rsidRDefault="008A201F">
      <w:r>
        <w:continuationSeparator/>
      </w:r>
    </w:p>
  </w:footnote>
  <w:footnote w:type="continuationNotice" w:id="1">
    <w:p w14:paraId="3823ED5B" w14:textId="77777777" w:rsidR="008A201F" w:rsidRDefault="008A201F" w:rsidP="00993D2B"/>
  </w:footnote>
  <w:footnote w:id="2">
    <w:p w14:paraId="499CC3CA" w14:textId="03685B19" w:rsidR="005B212B" w:rsidRPr="000B717E" w:rsidRDefault="005B212B" w:rsidP="000B717E">
      <w:pPr>
        <w:pStyle w:val="biblio"/>
        <w:spacing w:after="0"/>
        <w:ind w:left="0" w:firstLine="0"/>
        <w:rPr>
          <w:sz w:val="20"/>
        </w:rPr>
      </w:pPr>
      <w:r>
        <w:rPr>
          <w:rStyle w:val="FootnoteReference"/>
        </w:rPr>
        <w:footnoteRef/>
      </w:r>
      <w:r>
        <w:t xml:space="preserve"> </w:t>
      </w:r>
      <w:r w:rsidRPr="000B717E">
        <w:rPr>
          <w:sz w:val="20"/>
        </w:rPr>
        <w:t xml:space="preserve">U.S. Food and Drug Administration (FDA). (2018, June 13). </w:t>
      </w:r>
      <w:r w:rsidRPr="000B717E">
        <w:rPr>
          <w:i/>
          <w:sz w:val="20"/>
        </w:rPr>
        <w:t>Development and approval process (Drugs).</w:t>
      </w:r>
      <w:r w:rsidRPr="000B717E">
        <w:rPr>
          <w:sz w:val="20"/>
        </w:rPr>
        <w:t xml:space="preserve"> https://www.fda.gov/drugs/developmentapprovalprocess/default.htm</w:t>
      </w:r>
    </w:p>
  </w:footnote>
  <w:footnote w:id="3">
    <w:p w14:paraId="1E8CCE71" w14:textId="6BED04EA" w:rsidR="000B717E" w:rsidRPr="000B717E" w:rsidRDefault="000B717E" w:rsidP="000B717E">
      <w:pPr>
        <w:pStyle w:val="FootnoteText"/>
        <w:rPr>
          <w:rFonts w:ascii="Times New Roman" w:hAnsi="Times New Roman"/>
        </w:rPr>
      </w:pPr>
      <w:r w:rsidRPr="000B717E">
        <w:rPr>
          <w:rStyle w:val="FootnoteReference"/>
          <w:rFonts w:ascii="Times New Roman" w:hAnsi="Times New Roman"/>
        </w:rPr>
        <w:footnoteRef/>
      </w:r>
      <w:r w:rsidRPr="000B717E">
        <w:rPr>
          <w:rFonts w:ascii="Times New Roman" w:hAnsi="Times New Roman"/>
        </w:rPr>
        <w:t xml:space="preserve"> Bell, A. B., Kravitz, R. L., &amp; Wilkes, M. S. (1999). Direct-to-consumer prescription drug advertising and the public.</w:t>
      </w:r>
      <w:r w:rsidRPr="000B717E">
        <w:rPr>
          <w:rFonts w:ascii="Times New Roman" w:hAnsi="Times New Roman"/>
          <w:i/>
        </w:rPr>
        <w:t xml:space="preserve"> Journal of General Internal Medicine, 14</w:t>
      </w:r>
      <w:r w:rsidRPr="000B717E">
        <w:rPr>
          <w:rFonts w:ascii="Times New Roman" w:hAnsi="Times New Roman"/>
        </w:rPr>
        <w:t>(11), 651–657. https://www.ncbi.nlm.nih.gov/pmc/articles/PMC1496757/pdf/jgi_01049.pdf</w:t>
      </w:r>
    </w:p>
  </w:footnote>
  <w:footnote w:id="4">
    <w:p w14:paraId="48810B5C" w14:textId="0AA401B5" w:rsidR="000B717E" w:rsidRPr="000B717E" w:rsidRDefault="000B717E">
      <w:pPr>
        <w:pStyle w:val="FootnoteText"/>
        <w:rPr>
          <w:rFonts w:ascii="Times New Roman" w:hAnsi="Times New Roman"/>
        </w:rPr>
      </w:pPr>
      <w:r w:rsidRPr="000B717E">
        <w:rPr>
          <w:rStyle w:val="FootnoteReference"/>
          <w:rFonts w:ascii="Times New Roman" w:hAnsi="Times New Roman"/>
        </w:rPr>
        <w:footnoteRef/>
      </w:r>
      <w:r w:rsidRPr="000B717E">
        <w:rPr>
          <w:rFonts w:ascii="Times New Roman" w:hAnsi="Times New Roman"/>
        </w:rPr>
        <w:t xml:space="preserve"> Aikin, K. J., Swasy, J., &amp; Braman, A. C. (2004). Patient and physician attitudes and behaviors associated with DTC promotion of prescription drugs: Summary of FDA survey results. Silver Spring, MD: FDA.</w:t>
      </w:r>
    </w:p>
  </w:footnote>
  <w:footnote w:id="5">
    <w:p w14:paraId="17F21E45" w14:textId="75ED8DAA" w:rsidR="000B717E" w:rsidRPr="000B717E" w:rsidRDefault="000B717E">
      <w:pPr>
        <w:pStyle w:val="FootnoteText"/>
        <w:rPr>
          <w:rFonts w:ascii="Times New Roman" w:hAnsi="Times New Roman"/>
        </w:rPr>
      </w:pPr>
      <w:r w:rsidRPr="000B717E">
        <w:rPr>
          <w:rStyle w:val="FootnoteReference"/>
          <w:rFonts w:ascii="Times New Roman" w:hAnsi="Times New Roman"/>
        </w:rPr>
        <w:footnoteRef/>
      </w:r>
      <w:r w:rsidRPr="000B717E">
        <w:rPr>
          <w:rFonts w:ascii="Times New Roman" w:hAnsi="Times New Roman"/>
        </w:rPr>
        <w:t xml:space="preserve"> </w:t>
      </w:r>
      <w:r w:rsidRPr="000B717E">
        <w:rPr>
          <w:rFonts w:ascii="Times New Roman" w:eastAsia="SimSun" w:hAnsi="Times New Roman"/>
        </w:rPr>
        <w:t>O’Donoghue</w:t>
      </w:r>
      <w:r w:rsidRPr="000B717E">
        <w:rPr>
          <w:rFonts w:ascii="Times New Roman" w:hAnsi="Times New Roman"/>
        </w:rPr>
        <w:t xml:space="preserve">, A. C., </w:t>
      </w:r>
      <w:r w:rsidRPr="000B717E">
        <w:rPr>
          <w:rFonts w:ascii="Times New Roman" w:eastAsia="SimSun" w:hAnsi="Times New Roman"/>
        </w:rPr>
        <w:t>Sullivan</w:t>
      </w:r>
      <w:r w:rsidRPr="000B717E">
        <w:rPr>
          <w:rFonts w:ascii="Times New Roman" w:hAnsi="Times New Roman"/>
        </w:rPr>
        <w:t xml:space="preserve">, H. W., </w:t>
      </w:r>
      <w:r w:rsidRPr="000B717E">
        <w:rPr>
          <w:rFonts w:ascii="Times New Roman" w:eastAsia="SimSun" w:hAnsi="Times New Roman"/>
        </w:rPr>
        <w:t>Williams</w:t>
      </w:r>
      <w:r w:rsidRPr="000B717E">
        <w:rPr>
          <w:rFonts w:ascii="Times New Roman" w:hAnsi="Times New Roman"/>
        </w:rPr>
        <w:t xml:space="preserve">, P. A., </w:t>
      </w:r>
      <w:r w:rsidRPr="000B717E">
        <w:rPr>
          <w:rFonts w:ascii="Times New Roman" w:eastAsia="SimSun" w:hAnsi="Times New Roman"/>
        </w:rPr>
        <w:t>Squire</w:t>
      </w:r>
      <w:r w:rsidRPr="000B717E">
        <w:rPr>
          <w:rFonts w:ascii="Times New Roman" w:hAnsi="Times New Roman"/>
        </w:rPr>
        <w:t xml:space="preserve">, C., </w:t>
      </w:r>
      <w:r w:rsidRPr="000B717E">
        <w:rPr>
          <w:rFonts w:ascii="Times New Roman" w:eastAsia="SimSun" w:hAnsi="Times New Roman"/>
        </w:rPr>
        <w:t>Betts</w:t>
      </w:r>
      <w:r w:rsidRPr="000B717E">
        <w:rPr>
          <w:rFonts w:ascii="Times New Roman" w:hAnsi="Times New Roman"/>
        </w:rPr>
        <w:t xml:space="preserve">, K. R., </w:t>
      </w:r>
      <w:r w:rsidRPr="000B717E">
        <w:rPr>
          <w:rFonts w:ascii="Times New Roman" w:eastAsia="SimSun" w:hAnsi="Times New Roman"/>
        </w:rPr>
        <w:t>Fitts Willoughby</w:t>
      </w:r>
      <w:r w:rsidRPr="000B717E">
        <w:rPr>
          <w:rFonts w:ascii="Times New Roman" w:hAnsi="Times New Roman"/>
        </w:rPr>
        <w:t xml:space="preserve">, J., &amp; </w:t>
      </w:r>
      <w:r w:rsidRPr="000B717E">
        <w:rPr>
          <w:rFonts w:ascii="Times New Roman" w:eastAsia="SimSun" w:hAnsi="Times New Roman"/>
        </w:rPr>
        <w:t>Parvanta</w:t>
      </w:r>
      <w:r w:rsidRPr="000B717E">
        <w:rPr>
          <w:rFonts w:ascii="Times New Roman" w:hAnsi="Times New Roman"/>
        </w:rPr>
        <w:t>, S. (2016). Consumers’ understanding of FDA approval requirements and composite</w:t>
      </w:r>
      <w:r w:rsidRPr="009F3AD1">
        <w:rPr>
          <w:rFonts w:asciiTheme="majorHAnsi" w:hAnsiTheme="majorHAnsi" w:cstheme="majorHAnsi"/>
          <w:sz w:val="22"/>
          <w:szCs w:val="22"/>
        </w:rPr>
        <w:t xml:space="preserve"> </w:t>
      </w:r>
      <w:r w:rsidRPr="000B717E">
        <w:rPr>
          <w:rFonts w:ascii="Times New Roman" w:hAnsi="Times New Roman"/>
        </w:rPr>
        <w:t xml:space="preserve">scores in direct-to-consumer prescription drug print ads. </w:t>
      </w:r>
      <w:r w:rsidRPr="000B717E">
        <w:rPr>
          <w:rFonts w:ascii="Times New Roman" w:hAnsi="Times New Roman"/>
          <w:i/>
        </w:rPr>
        <w:t>Journal of Health Communication, 21</w:t>
      </w:r>
      <w:r w:rsidRPr="000B717E">
        <w:rPr>
          <w:rFonts w:ascii="Times New Roman" w:hAnsi="Times New Roman"/>
        </w:rPr>
        <w:t xml:space="preserve">(8), 927–934. </w:t>
      </w:r>
      <w:hyperlink r:id="rId1" w:history="1">
        <w:r w:rsidRPr="000B717E">
          <w:rPr>
            <w:rFonts w:ascii="Times New Roman" w:hAnsi="Times New Roman"/>
          </w:rPr>
          <w:t>doi:10.1080/10810730.2016.1179367</w:t>
        </w:r>
      </w:hyperlink>
    </w:p>
  </w:footnote>
  <w:footnote w:id="6">
    <w:p w14:paraId="372D6194" w14:textId="089F1190" w:rsidR="000B717E" w:rsidRPr="000B717E" w:rsidRDefault="000B717E" w:rsidP="000B717E">
      <w:pPr>
        <w:pStyle w:val="biblio"/>
        <w:spacing w:after="0"/>
        <w:ind w:left="0" w:firstLine="0"/>
        <w:rPr>
          <w:sz w:val="20"/>
        </w:rPr>
      </w:pPr>
      <w:r>
        <w:rPr>
          <w:rStyle w:val="FootnoteReference"/>
        </w:rPr>
        <w:footnoteRef/>
      </w:r>
      <w:r>
        <w:t xml:space="preserve"> </w:t>
      </w:r>
      <w:r w:rsidRPr="000B717E">
        <w:rPr>
          <w:sz w:val="20"/>
          <w:shd w:val="clear" w:color="auto" w:fill="FFFFFF"/>
        </w:rPr>
        <w:t xml:space="preserve">Bhalla, G., &amp; Lastovicka, J. L. (1984). The impact of changing cigarette warning message content and format. </w:t>
      </w:r>
      <w:r w:rsidRPr="000B717E">
        <w:rPr>
          <w:i/>
          <w:iCs/>
          <w:sz w:val="20"/>
          <w:shd w:val="clear" w:color="auto" w:fill="FFFFFF"/>
        </w:rPr>
        <w:t>ACR North American Advances</w:t>
      </w:r>
      <w:r w:rsidRPr="000B717E">
        <w:rPr>
          <w:sz w:val="20"/>
          <w:shd w:val="clear" w:color="auto" w:fill="FFFFFF"/>
        </w:rPr>
        <w:t>.</w:t>
      </w:r>
    </w:p>
  </w:footnote>
  <w:footnote w:id="7">
    <w:p w14:paraId="41285487" w14:textId="59716DE5" w:rsidR="000B717E" w:rsidRPr="000B717E" w:rsidRDefault="000B717E" w:rsidP="000B717E">
      <w:pPr>
        <w:pStyle w:val="biblio"/>
        <w:spacing w:after="0"/>
        <w:ind w:left="0" w:firstLine="0"/>
        <w:rPr>
          <w:sz w:val="20"/>
        </w:rPr>
      </w:pPr>
      <w:r w:rsidRPr="000B717E">
        <w:rPr>
          <w:rStyle w:val="FootnoteReference"/>
          <w:sz w:val="20"/>
        </w:rPr>
        <w:footnoteRef/>
      </w:r>
      <w:r w:rsidRPr="000B717E">
        <w:rPr>
          <w:sz w:val="20"/>
        </w:rPr>
        <w:t xml:space="preserve"> </w:t>
      </w:r>
      <w:r w:rsidRPr="000B717E">
        <w:rPr>
          <w:sz w:val="20"/>
          <w:shd w:val="clear" w:color="auto" w:fill="FFFFFF"/>
        </w:rPr>
        <w:t>Houston, M. J., &amp; Rothschild, M. L. (1980). Policy-related experiments on information provision: a normative model and explication. </w:t>
      </w:r>
      <w:r w:rsidRPr="000B717E">
        <w:rPr>
          <w:i/>
          <w:iCs/>
          <w:sz w:val="20"/>
          <w:shd w:val="clear" w:color="auto" w:fill="FFFFFF"/>
        </w:rPr>
        <w:t>Journal of Marketing Research</w:t>
      </w:r>
      <w:r w:rsidRPr="000B717E">
        <w:rPr>
          <w:sz w:val="20"/>
          <w:shd w:val="clear" w:color="auto" w:fill="FFFFFF"/>
        </w:rPr>
        <w:t>, 432</w:t>
      </w:r>
      <w:r w:rsidRPr="000B717E">
        <w:rPr>
          <w:color w:val="000000"/>
          <w:sz w:val="20"/>
        </w:rPr>
        <w:sym w:font="Symbol" w:char="F02D"/>
      </w:r>
      <w:r w:rsidRPr="000B717E">
        <w:rPr>
          <w:sz w:val="20"/>
          <w:shd w:val="clear" w:color="auto" w:fill="FFFFFF"/>
        </w:rPr>
        <w:t>449.</w:t>
      </w:r>
    </w:p>
  </w:footnote>
  <w:footnote w:id="8">
    <w:p w14:paraId="76AD1BFD" w14:textId="6F91C6F3" w:rsidR="000B717E" w:rsidRPr="000B717E" w:rsidRDefault="000B717E" w:rsidP="000B717E">
      <w:pPr>
        <w:pStyle w:val="biblio"/>
        <w:spacing w:after="0"/>
        <w:ind w:left="0" w:firstLine="0"/>
        <w:rPr>
          <w:sz w:val="20"/>
        </w:rPr>
      </w:pPr>
      <w:r w:rsidRPr="000B717E">
        <w:rPr>
          <w:rStyle w:val="FootnoteReference"/>
          <w:sz w:val="20"/>
        </w:rPr>
        <w:footnoteRef/>
      </w:r>
      <w:r w:rsidRPr="000B717E">
        <w:rPr>
          <w:sz w:val="20"/>
        </w:rPr>
        <w:t xml:space="preserve"> </w:t>
      </w:r>
      <w:r w:rsidRPr="000B717E">
        <w:rPr>
          <w:sz w:val="20"/>
          <w:shd w:val="clear" w:color="auto" w:fill="FFFFFF"/>
        </w:rPr>
        <w:t>Jacoby, L. L., &amp; Witherspoon, D. (1982). Remembering without awareness. </w:t>
      </w:r>
      <w:r w:rsidRPr="000B717E">
        <w:rPr>
          <w:i/>
          <w:iCs/>
          <w:sz w:val="20"/>
          <w:shd w:val="clear" w:color="auto" w:fill="FFFFFF"/>
        </w:rPr>
        <w:t>Canadian Journal of Psychology</w:t>
      </w:r>
      <w:r w:rsidRPr="000B717E">
        <w:rPr>
          <w:sz w:val="20"/>
          <w:shd w:val="clear" w:color="auto" w:fill="FFFFFF"/>
        </w:rPr>
        <w:t>, </w:t>
      </w:r>
      <w:r w:rsidRPr="000B717E">
        <w:rPr>
          <w:i/>
          <w:iCs/>
          <w:sz w:val="20"/>
          <w:shd w:val="clear" w:color="auto" w:fill="FFFFFF"/>
        </w:rPr>
        <w:t>36</w:t>
      </w:r>
      <w:r w:rsidRPr="000B717E">
        <w:rPr>
          <w:sz w:val="20"/>
          <w:shd w:val="clear" w:color="auto" w:fill="FFFFFF"/>
        </w:rPr>
        <w:t>(2), 300.</w:t>
      </w:r>
    </w:p>
  </w:footnote>
  <w:footnote w:id="9">
    <w:p w14:paraId="7B6878FE" w14:textId="468A5389" w:rsidR="000B717E" w:rsidRPr="000B717E" w:rsidRDefault="000B717E" w:rsidP="000B717E">
      <w:pPr>
        <w:pStyle w:val="biblio"/>
        <w:spacing w:after="0"/>
        <w:ind w:left="0" w:firstLine="0"/>
        <w:rPr>
          <w:sz w:val="20"/>
        </w:rPr>
      </w:pPr>
      <w:r w:rsidRPr="000B717E">
        <w:rPr>
          <w:rStyle w:val="FootnoteReference"/>
          <w:sz w:val="20"/>
        </w:rPr>
        <w:footnoteRef/>
      </w:r>
      <w:r w:rsidRPr="000B717E">
        <w:rPr>
          <w:sz w:val="20"/>
        </w:rPr>
        <w:t xml:space="preserve"> </w:t>
      </w:r>
      <w:r w:rsidRPr="000B717E">
        <w:rPr>
          <w:sz w:val="20"/>
          <w:shd w:val="clear" w:color="auto" w:fill="FFFFFF"/>
        </w:rPr>
        <w:t xml:space="preserve">Scammon, D. L. (1977). “Information load” and consumers. </w:t>
      </w:r>
      <w:r w:rsidRPr="000B717E">
        <w:rPr>
          <w:i/>
          <w:iCs/>
          <w:sz w:val="20"/>
          <w:shd w:val="clear" w:color="auto" w:fill="FFFFFF"/>
        </w:rPr>
        <w:t>Journal of Consumer Research</w:t>
      </w:r>
      <w:r w:rsidRPr="000B717E">
        <w:rPr>
          <w:sz w:val="20"/>
          <w:shd w:val="clear" w:color="auto" w:fill="FFFFFF"/>
        </w:rPr>
        <w:t xml:space="preserve">, </w:t>
      </w:r>
      <w:r w:rsidRPr="000B717E">
        <w:rPr>
          <w:i/>
          <w:iCs/>
          <w:sz w:val="20"/>
          <w:shd w:val="clear" w:color="auto" w:fill="FFFFFF"/>
        </w:rPr>
        <w:t>4</w:t>
      </w:r>
      <w:r w:rsidRPr="000B717E">
        <w:rPr>
          <w:sz w:val="20"/>
          <w:shd w:val="clear" w:color="auto" w:fill="FFFFFF"/>
        </w:rPr>
        <w:t>(3), 148</w:t>
      </w:r>
      <w:r w:rsidRPr="000B717E">
        <w:rPr>
          <w:sz w:val="20"/>
        </w:rPr>
        <w:t>–</w:t>
      </w:r>
      <w:r w:rsidRPr="000B717E">
        <w:rPr>
          <w:sz w:val="20"/>
          <w:shd w:val="clear" w:color="auto" w:fill="FFFFFF"/>
        </w:rPr>
        <w:t>155.</w:t>
      </w:r>
    </w:p>
  </w:footnote>
  <w:footnote w:id="10">
    <w:p w14:paraId="0F85861A" w14:textId="110E4536" w:rsidR="00377FDC" w:rsidRPr="000C430D" w:rsidRDefault="00377FDC">
      <w:pPr>
        <w:pStyle w:val="FootnoteText"/>
        <w:rPr>
          <w:rFonts w:ascii="Times New Roman" w:hAnsi="Times New Roman"/>
        </w:rPr>
      </w:pPr>
      <w:r>
        <w:rPr>
          <w:rStyle w:val="FootnoteReference"/>
        </w:rPr>
        <w:footnoteRef/>
      </w:r>
      <w:r>
        <w:t xml:space="preserve"> </w:t>
      </w:r>
      <w:r w:rsidRPr="000C430D">
        <w:rPr>
          <w:rFonts w:ascii="Times New Roman" w:hAnsi="Times New Roman"/>
          <w:color w:val="222222"/>
          <w:shd w:val="clear" w:color="auto" w:fill="FFFFFF"/>
        </w:rPr>
        <w:t>Pillitteri, J. L., Shiffman, S., Rohay, J. M., Harkins, A. M., Burton, S. L., &amp; Wadden, T. A. (2008). Use of dietary supplements for weight loss in the United States: results of a national survey. </w:t>
      </w:r>
      <w:r w:rsidRPr="000C430D">
        <w:rPr>
          <w:rFonts w:ascii="Times New Roman" w:hAnsi="Times New Roman"/>
          <w:i/>
          <w:iCs/>
          <w:color w:val="222222"/>
          <w:shd w:val="clear" w:color="auto" w:fill="FFFFFF"/>
        </w:rPr>
        <w:t>Obesity</w:t>
      </w:r>
      <w:r w:rsidRPr="000C430D">
        <w:rPr>
          <w:rFonts w:ascii="Times New Roman" w:hAnsi="Times New Roman"/>
          <w:color w:val="222222"/>
          <w:shd w:val="clear" w:color="auto" w:fill="FFFFFF"/>
        </w:rPr>
        <w:t>, </w:t>
      </w:r>
      <w:r w:rsidRPr="000C430D">
        <w:rPr>
          <w:rFonts w:ascii="Times New Roman" w:hAnsi="Times New Roman"/>
          <w:i/>
          <w:iCs/>
          <w:color w:val="222222"/>
          <w:shd w:val="clear" w:color="auto" w:fill="FFFFFF"/>
        </w:rPr>
        <w:t>16</w:t>
      </w:r>
      <w:r w:rsidRPr="000C430D">
        <w:rPr>
          <w:rFonts w:ascii="Times New Roman" w:hAnsi="Times New Roman"/>
          <w:color w:val="222222"/>
          <w:shd w:val="clear" w:color="auto" w:fill="FFFFFF"/>
        </w:rPr>
        <w:t>(4), 790-796.</w:t>
      </w:r>
    </w:p>
  </w:footnote>
  <w:footnote w:id="11">
    <w:p w14:paraId="6A57E2F1" w14:textId="024B8CAB" w:rsidR="006D7B32" w:rsidRPr="002970CC" w:rsidRDefault="006D7B32" w:rsidP="002970CC">
      <w:pPr>
        <w:rPr>
          <w:sz w:val="20"/>
          <w:szCs w:val="20"/>
        </w:rPr>
      </w:pPr>
      <w:r>
        <w:rPr>
          <w:rStyle w:val="FootnoteReference"/>
          <w:rFonts w:eastAsia="MS Mincho"/>
        </w:rPr>
        <w:footnoteRef/>
      </w:r>
      <w:r>
        <w:t xml:space="preserve"> </w:t>
      </w:r>
      <w:r w:rsidRPr="002970CC">
        <w:rPr>
          <w:sz w:val="20"/>
          <w:szCs w:val="20"/>
        </w:rPr>
        <w:t xml:space="preserve">"This statement has not been evaluated by the Food and Drug Administration (FDA). This product is not intended to diagnose, treat, cure, or prevent any disease.” </w:t>
      </w:r>
    </w:p>
  </w:footnote>
  <w:footnote w:id="12">
    <w:p w14:paraId="410591C1" w14:textId="5DFD7F41" w:rsidR="000C430D" w:rsidRPr="000C430D" w:rsidRDefault="000C430D">
      <w:pPr>
        <w:pStyle w:val="FootnoteText"/>
        <w:rPr>
          <w:rFonts w:ascii="Times New Roman" w:hAnsi="Times New Roman"/>
        </w:rPr>
      </w:pPr>
      <w:r>
        <w:rPr>
          <w:rStyle w:val="FootnoteReference"/>
        </w:rPr>
        <w:footnoteRef/>
      </w:r>
      <w:r>
        <w:t xml:space="preserve"> </w:t>
      </w:r>
      <w:r w:rsidRPr="000C430D">
        <w:rPr>
          <w:rFonts w:ascii="Times New Roman" w:hAnsi="Times New Roman"/>
          <w:color w:val="222222"/>
          <w:shd w:val="clear" w:color="auto" w:fill="FFFFFF"/>
        </w:rPr>
        <w:t>Mason, M. J., &amp; Scammon, D. L. (2011). Unintended consequences of health supplement information regulations: the importance of recognizing consumer motivations. </w:t>
      </w:r>
      <w:r w:rsidRPr="000C430D">
        <w:rPr>
          <w:rFonts w:ascii="Times New Roman" w:hAnsi="Times New Roman"/>
          <w:i/>
          <w:iCs/>
          <w:color w:val="222222"/>
          <w:shd w:val="clear" w:color="auto" w:fill="FFFFFF"/>
        </w:rPr>
        <w:t>Journal of Consumer Affairs</w:t>
      </w:r>
      <w:r w:rsidRPr="000C430D">
        <w:rPr>
          <w:rFonts w:ascii="Times New Roman" w:hAnsi="Times New Roman"/>
          <w:color w:val="222222"/>
          <w:shd w:val="clear" w:color="auto" w:fill="FFFFFF"/>
        </w:rPr>
        <w:t>, </w:t>
      </w:r>
      <w:r w:rsidRPr="000C430D">
        <w:rPr>
          <w:rFonts w:ascii="Times New Roman" w:hAnsi="Times New Roman"/>
          <w:i/>
          <w:iCs/>
          <w:color w:val="222222"/>
          <w:shd w:val="clear" w:color="auto" w:fill="FFFFFF"/>
        </w:rPr>
        <w:t>45</w:t>
      </w:r>
      <w:r w:rsidRPr="000C430D">
        <w:rPr>
          <w:rFonts w:ascii="Times New Roman" w:hAnsi="Times New Roman"/>
          <w:color w:val="222222"/>
          <w:shd w:val="clear" w:color="auto" w:fill="FFFFFF"/>
        </w:rPr>
        <w:t>(2), 201-223.</w:t>
      </w:r>
    </w:p>
  </w:footnote>
  <w:footnote w:id="13">
    <w:p w14:paraId="43888B82" w14:textId="5F45D39D" w:rsidR="00572EF2" w:rsidRPr="00572EF2" w:rsidRDefault="00572EF2">
      <w:pPr>
        <w:pStyle w:val="FootnoteText"/>
        <w:rPr>
          <w:rFonts w:ascii="Times New Roman" w:hAnsi="Times New Roman"/>
        </w:rPr>
      </w:pPr>
      <w:r>
        <w:rPr>
          <w:rStyle w:val="FootnoteReference"/>
        </w:rPr>
        <w:footnoteRef/>
      </w:r>
      <w:r>
        <w:t xml:space="preserve"> </w:t>
      </w:r>
      <w:r w:rsidRPr="00572EF2">
        <w:rPr>
          <w:rFonts w:ascii="Times New Roman" w:hAnsi="Times New Roman"/>
        </w:rPr>
        <w:t xml:space="preserve">Asher, B.H., Miller, R.G., Pichard, C.P., Levine, R., &amp; Wright, S.M. (2008). Patients’ Understanding of the Regulation of Dietary Supplements. </w:t>
      </w:r>
      <w:r w:rsidRPr="00572EF2">
        <w:rPr>
          <w:rFonts w:ascii="Times New Roman" w:hAnsi="Times New Roman"/>
          <w:i/>
        </w:rPr>
        <w:t>Journal of Community Health</w:t>
      </w:r>
      <w:r w:rsidRPr="00572EF2">
        <w:rPr>
          <w:rFonts w:ascii="Times New Roman" w:hAnsi="Times New Roman"/>
        </w:rPr>
        <w:t xml:space="preserve">, </w:t>
      </w:r>
      <w:r w:rsidRPr="00572EF2">
        <w:rPr>
          <w:rFonts w:ascii="Times New Roman" w:hAnsi="Times New Roman"/>
          <w:i/>
        </w:rPr>
        <w:t>33</w:t>
      </w:r>
      <w:r w:rsidRPr="00572EF2">
        <w:rPr>
          <w:rFonts w:ascii="Times New Roman" w:hAnsi="Times New Roman"/>
        </w:rPr>
        <w:t>, 22-30. doi 10.1007/s10900-007-9063-7</w:t>
      </w:r>
    </w:p>
  </w:footnote>
  <w:footnote w:id="14">
    <w:p w14:paraId="7EB58C86" w14:textId="37DB2A64" w:rsidR="002970CC" w:rsidRPr="002970CC" w:rsidRDefault="002970CC">
      <w:pPr>
        <w:pStyle w:val="FootnoteText"/>
        <w:rPr>
          <w:rFonts w:ascii="Times New Roman" w:hAnsi="Times New Roman"/>
        </w:rPr>
      </w:pPr>
      <w:r w:rsidRPr="002970CC">
        <w:rPr>
          <w:rStyle w:val="FootnoteReference"/>
          <w:rFonts w:ascii="Times New Roman" w:hAnsi="Times New Roman"/>
        </w:rPr>
        <w:footnoteRef/>
      </w:r>
      <w:r w:rsidRPr="002970CC">
        <w:rPr>
          <w:rFonts w:ascii="Times New Roman" w:hAnsi="Times New Roman"/>
        </w:rPr>
        <w:t xml:space="preserve"> </w:t>
      </w:r>
      <w:r w:rsidRPr="002970CC">
        <w:rPr>
          <w:rFonts w:ascii="Times New Roman" w:hAnsi="Times New Roman"/>
          <w:color w:val="222222"/>
          <w:shd w:val="clear" w:color="auto" w:fill="FFFFFF"/>
        </w:rPr>
        <w:t>Betts, K. R., Aikin, K. J., Boudewyns, V., Johnson, M., Stine, A., &amp; Southwell, B. G. (2017). Physician response to contextualized price-comparison claims in prescription drug advertising. </w:t>
      </w:r>
      <w:r w:rsidRPr="002970CC">
        <w:rPr>
          <w:rFonts w:ascii="Times New Roman" w:hAnsi="Times New Roman"/>
          <w:i/>
          <w:iCs/>
          <w:color w:val="222222"/>
          <w:shd w:val="clear" w:color="auto" w:fill="FFFFFF"/>
        </w:rPr>
        <w:t>Journal of Communication in Healthcare</w:t>
      </w:r>
      <w:r w:rsidRPr="002970CC">
        <w:rPr>
          <w:rFonts w:ascii="Times New Roman" w:hAnsi="Times New Roman"/>
          <w:color w:val="222222"/>
          <w:shd w:val="clear" w:color="auto" w:fill="FFFFFF"/>
        </w:rPr>
        <w:t>, </w:t>
      </w:r>
      <w:r w:rsidRPr="002970CC">
        <w:rPr>
          <w:rFonts w:ascii="Times New Roman" w:hAnsi="Times New Roman"/>
          <w:i/>
          <w:iCs/>
          <w:color w:val="222222"/>
          <w:shd w:val="clear" w:color="auto" w:fill="FFFFFF"/>
        </w:rPr>
        <w:t>10</w:t>
      </w:r>
      <w:r w:rsidRPr="002970CC">
        <w:rPr>
          <w:rFonts w:ascii="Times New Roman" w:hAnsi="Times New Roman"/>
          <w:color w:val="222222"/>
          <w:shd w:val="clear" w:color="auto" w:fill="FFFFFF"/>
        </w:rPr>
        <w:t>(3), 195-204.</w:t>
      </w:r>
    </w:p>
  </w:footnote>
  <w:footnote w:id="15">
    <w:p w14:paraId="493CAF75" w14:textId="1E7EA3B4" w:rsidR="007A5748" w:rsidRPr="002970CC" w:rsidRDefault="007A5748">
      <w:pPr>
        <w:pStyle w:val="FootnoteText"/>
        <w:rPr>
          <w:rFonts w:ascii="Times New Roman" w:hAnsi="Times New Roman"/>
        </w:rPr>
      </w:pPr>
      <w:r w:rsidRPr="002970CC">
        <w:rPr>
          <w:rStyle w:val="FootnoteReference"/>
          <w:rFonts w:ascii="Times New Roman" w:hAnsi="Times New Roman"/>
        </w:rPr>
        <w:footnoteRef/>
      </w:r>
      <w:r w:rsidRPr="002970CC">
        <w:rPr>
          <w:rFonts w:ascii="Times New Roman" w:hAnsi="Times New Roman"/>
        </w:rPr>
        <w:t xml:space="preserve"> </w:t>
      </w:r>
      <w:r w:rsidRPr="002970CC">
        <w:rPr>
          <w:rFonts w:ascii="Times New Roman" w:hAnsi="Times New Roman"/>
          <w:color w:val="222222"/>
          <w:shd w:val="clear" w:color="auto" w:fill="FFFFFF"/>
        </w:rPr>
        <w:t>Betts, K. R., Boudewyns, V., Aikin, K. J., Squire, C., Dolina, S., Hayes, J. J., &amp; Southwell, B. G. (2018). Serious and actionable risks, plus disclosure: Investigating an alternative approach for presenting risk information in prescription drug television advertisements. </w:t>
      </w:r>
      <w:r w:rsidRPr="002970CC">
        <w:rPr>
          <w:rFonts w:ascii="Times New Roman" w:hAnsi="Times New Roman"/>
          <w:i/>
          <w:iCs/>
          <w:color w:val="222222"/>
          <w:shd w:val="clear" w:color="auto" w:fill="FFFFFF"/>
        </w:rPr>
        <w:t>Research in Social and Administrative Pharmacy</w:t>
      </w:r>
      <w:r w:rsidRPr="002970CC">
        <w:rPr>
          <w:rFonts w:ascii="Times New Roman" w:hAnsi="Times New Roman"/>
          <w:color w:val="222222"/>
          <w:shd w:val="clear" w:color="auto" w:fill="FFFFFF"/>
        </w:rPr>
        <w:t>, </w:t>
      </w:r>
      <w:r w:rsidRPr="002970CC">
        <w:rPr>
          <w:rFonts w:ascii="Times New Roman" w:hAnsi="Times New Roman"/>
          <w:i/>
          <w:iCs/>
          <w:color w:val="222222"/>
          <w:shd w:val="clear" w:color="auto" w:fill="FFFFFF"/>
        </w:rPr>
        <w:t>14</w:t>
      </w:r>
      <w:r w:rsidRPr="002970CC">
        <w:rPr>
          <w:rFonts w:ascii="Times New Roman" w:hAnsi="Times New Roman"/>
          <w:color w:val="222222"/>
          <w:shd w:val="clear" w:color="auto" w:fill="FFFFFF"/>
        </w:rPr>
        <w:t>(10), 951-963.</w:t>
      </w:r>
    </w:p>
  </w:footnote>
  <w:footnote w:id="16">
    <w:p w14:paraId="1425DD04" w14:textId="09B0707B" w:rsidR="007A5748" w:rsidRDefault="007A5748">
      <w:pPr>
        <w:pStyle w:val="FootnoteText"/>
      </w:pPr>
      <w:r>
        <w:rPr>
          <w:rStyle w:val="FootnoteReference"/>
        </w:rPr>
        <w:footnoteRef/>
      </w:r>
      <w:r>
        <w:t xml:space="preserve"> </w:t>
      </w:r>
      <w:r w:rsidRPr="002970CC">
        <w:rPr>
          <w:rFonts w:ascii="Times New Roman" w:hAnsi="Times New Roman"/>
          <w:color w:val="222222"/>
          <w:shd w:val="clear" w:color="auto" w:fill="FFFFFF"/>
        </w:rPr>
        <w:t>Sullivan, H. W., O'Donoghue, A. C., David, K. T., &amp; Patel, N. J. (2018). Disclosing accelerated approval on direct‐to‐consumer prescription drug websites. </w:t>
      </w:r>
      <w:r w:rsidRPr="002970CC">
        <w:rPr>
          <w:rFonts w:ascii="Times New Roman" w:hAnsi="Times New Roman"/>
          <w:i/>
          <w:iCs/>
          <w:color w:val="222222"/>
          <w:shd w:val="clear" w:color="auto" w:fill="FFFFFF"/>
        </w:rPr>
        <w:t>Pharmacoepidemiology and Drug Safety</w:t>
      </w:r>
      <w:r w:rsidRPr="002970CC">
        <w:rPr>
          <w:rFonts w:ascii="Times New Roman" w:hAnsi="Times New Roman"/>
          <w:color w:val="222222"/>
          <w:shd w:val="clear" w:color="auto" w:fill="FFFFFF"/>
        </w:rPr>
        <w:t>, </w:t>
      </w:r>
      <w:r w:rsidRPr="002970CC">
        <w:rPr>
          <w:rFonts w:ascii="Times New Roman" w:hAnsi="Times New Roman"/>
          <w:i/>
          <w:iCs/>
          <w:color w:val="222222"/>
          <w:shd w:val="clear" w:color="auto" w:fill="FFFFFF"/>
        </w:rPr>
        <w:t>27</w:t>
      </w:r>
      <w:r w:rsidRPr="002970CC">
        <w:rPr>
          <w:rFonts w:ascii="Times New Roman" w:hAnsi="Times New Roman"/>
          <w:color w:val="222222"/>
          <w:shd w:val="clear" w:color="auto" w:fill="FFFFFF"/>
        </w:rPr>
        <w:t>(11), 1277-1280.</w:t>
      </w:r>
    </w:p>
  </w:footnote>
  <w:footnote w:id="17">
    <w:p w14:paraId="3356CF35" w14:textId="2362106F" w:rsidR="006846A0" w:rsidRDefault="006846A0">
      <w:pPr>
        <w:pStyle w:val="FootnoteText"/>
      </w:pPr>
      <w:r>
        <w:rPr>
          <w:rStyle w:val="FootnoteReference"/>
        </w:rPr>
        <w:footnoteRef/>
      </w:r>
      <w:r>
        <w:t xml:space="preserve"> </w:t>
      </w:r>
      <w:r w:rsidRPr="006846A0">
        <w:rPr>
          <w:rFonts w:ascii="Times New Roman" w:hAnsi="Times New Roman"/>
          <w:color w:val="222222"/>
          <w:shd w:val="clear" w:color="auto" w:fill="FFFFFF"/>
        </w:rPr>
        <w:t>Klabunde, C. N., Willis, G. B., McLeod, C. C., Dillman, D. A., Johnson, T. P., Greene, S. M., &amp; Brown, M. L. (2012). Improving the quality of surveys of physicians and medical groups: a research agenda. </w:t>
      </w:r>
      <w:r w:rsidRPr="006846A0">
        <w:rPr>
          <w:rFonts w:ascii="Times New Roman" w:hAnsi="Times New Roman"/>
          <w:i/>
          <w:iCs/>
          <w:color w:val="222222"/>
          <w:shd w:val="clear" w:color="auto" w:fill="FFFFFF"/>
        </w:rPr>
        <w:t>Evaluation &amp; the Health Professions</w:t>
      </w:r>
      <w:r w:rsidRPr="006846A0">
        <w:rPr>
          <w:rFonts w:ascii="Times New Roman" w:hAnsi="Times New Roman"/>
          <w:color w:val="222222"/>
          <w:shd w:val="clear" w:color="auto" w:fill="FFFFFF"/>
        </w:rPr>
        <w:t>, </w:t>
      </w:r>
      <w:r w:rsidRPr="006846A0">
        <w:rPr>
          <w:rFonts w:ascii="Times New Roman" w:hAnsi="Times New Roman"/>
          <w:i/>
          <w:iCs/>
          <w:color w:val="222222"/>
          <w:shd w:val="clear" w:color="auto" w:fill="FFFFFF"/>
        </w:rPr>
        <w:t>35</w:t>
      </w:r>
      <w:r w:rsidRPr="006846A0">
        <w:rPr>
          <w:rFonts w:ascii="Times New Roman" w:hAnsi="Times New Roman"/>
          <w:color w:val="222222"/>
          <w:shd w:val="clear" w:color="auto" w:fill="FFFFFF"/>
        </w:rPr>
        <w:t>(4), 477-506.</w:t>
      </w:r>
    </w:p>
  </w:footnote>
  <w:footnote w:id="18">
    <w:p w14:paraId="5CE2C073" w14:textId="1D43CDAE" w:rsidR="008562F0" w:rsidRPr="008562F0" w:rsidRDefault="008562F0">
      <w:pPr>
        <w:pStyle w:val="FootnoteText"/>
        <w:rPr>
          <w:rFonts w:ascii="Times New Roman" w:hAnsi="Times New Roman"/>
        </w:rPr>
      </w:pPr>
      <w:r>
        <w:rPr>
          <w:rStyle w:val="FootnoteReference"/>
        </w:rPr>
        <w:footnoteRef/>
      </w:r>
      <w:r>
        <w:t xml:space="preserve"> </w:t>
      </w:r>
      <w:r w:rsidRPr="008562F0">
        <w:rPr>
          <w:rFonts w:ascii="Times New Roman" w:hAnsi="Times New Roman"/>
          <w:color w:val="222222"/>
          <w:shd w:val="clear" w:color="auto" w:fill="FFFFFF"/>
        </w:rPr>
        <w:t>Abreu, D. A., &amp; Winters, F. (1999). Using monetary incentives to reduce attrition in the survey of income and program participation. In </w:t>
      </w:r>
      <w:r w:rsidRPr="008562F0">
        <w:rPr>
          <w:rFonts w:ascii="Times New Roman" w:hAnsi="Times New Roman"/>
          <w:i/>
          <w:iCs/>
          <w:color w:val="222222"/>
          <w:shd w:val="clear" w:color="auto" w:fill="FFFFFF"/>
        </w:rPr>
        <w:t xml:space="preserve">Proceedings of the Survey Research Methods Section, American Statistical Association. </w:t>
      </w:r>
      <w:r w:rsidRPr="00490E15">
        <w:rPr>
          <w:rFonts w:ascii="Times New Roman" w:hAnsi="Times New Roman"/>
          <w:iCs/>
          <w:color w:val="222222"/>
          <w:shd w:val="clear" w:color="auto" w:fill="FFFFFF"/>
        </w:rPr>
        <w:t>Baltimore, MD</w:t>
      </w:r>
      <w:r w:rsidRPr="00490E15">
        <w:rPr>
          <w:rFonts w:ascii="Times New Roman" w:hAnsi="Times New Roman"/>
          <w:color w:val="222222"/>
          <w:shd w:val="clear" w:color="auto" w:fill="FFFFFF"/>
        </w:rPr>
        <w:t> </w:t>
      </w:r>
      <w:r w:rsidRPr="008562F0">
        <w:rPr>
          <w:rFonts w:ascii="Times New Roman" w:hAnsi="Times New Roman"/>
          <w:color w:val="222222"/>
          <w:shd w:val="clear" w:color="auto" w:fill="FFFFFF"/>
        </w:rPr>
        <w:t>(pp. 533-538).</w:t>
      </w:r>
    </w:p>
  </w:footnote>
  <w:footnote w:id="19">
    <w:p w14:paraId="1B603FA2" w14:textId="3CE2C280" w:rsidR="00EB3245" w:rsidRPr="00EB3245" w:rsidRDefault="00EB3245" w:rsidP="00EB3245">
      <w:pPr>
        <w:widowControl w:val="0"/>
        <w:autoSpaceDE w:val="0"/>
        <w:autoSpaceDN w:val="0"/>
        <w:adjustRightInd w:val="0"/>
        <w:rPr>
          <w:sz w:val="20"/>
          <w:szCs w:val="20"/>
        </w:rPr>
      </w:pPr>
      <w:r>
        <w:rPr>
          <w:rStyle w:val="FootnoteReference"/>
        </w:rPr>
        <w:footnoteRef/>
      </w:r>
      <w:r>
        <w:t xml:space="preserve"> </w:t>
      </w:r>
      <w:r w:rsidRPr="00EB3245">
        <w:rPr>
          <w:sz w:val="20"/>
          <w:szCs w:val="20"/>
        </w:rPr>
        <w:t xml:space="preserve">Aikin, K.J., Betts, K., Boudewyns, V., Stine, A., &amp; Southwell, B. (2016).  Physician responsiveness to survey incentives and sponsorship in prescription drug advertising research.  </w:t>
      </w:r>
      <w:r w:rsidRPr="00EB3245">
        <w:rPr>
          <w:i/>
          <w:sz w:val="20"/>
          <w:szCs w:val="20"/>
        </w:rPr>
        <w:t>Annals of Behavioral Medicine</w:t>
      </w:r>
      <w:r w:rsidRPr="00EB3245">
        <w:rPr>
          <w:sz w:val="20"/>
          <w:szCs w:val="20"/>
        </w:rPr>
        <w:t>, 50(Supp. 1): S1-S335.</w:t>
      </w:r>
    </w:p>
  </w:footnote>
  <w:footnote w:id="20">
    <w:p w14:paraId="54AD8D23" w14:textId="78E7C258" w:rsidR="00EB3245" w:rsidRPr="00EB3245" w:rsidRDefault="00EB3245">
      <w:pPr>
        <w:pStyle w:val="FootnoteText"/>
        <w:rPr>
          <w:rFonts w:ascii="Times New Roman" w:hAnsi="Times New Roman"/>
        </w:rPr>
      </w:pPr>
      <w:r>
        <w:rPr>
          <w:rStyle w:val="FootnoteReference"/>
        </w:rPr>
        <w:footnoteRef/>
      </w:r>
      <w:r>
        <w:t xml:space="preserve"> </w:t>
      </w:r>
      <w:r w:rsidRPr="00EB3245">
        <w:rPr>
          <w:rFonts w:ascii="Times New Roman" w:hAnsi="Times New Roman"/>
          <w:color w:val="222222"/>
          <w:shd w:val="clear" w:color="auto" w:fill="FFFFFF"/>
        </w:rPr>
        <w:t>Dykema, J., Stevenson, J., Day, B., Sellers, S. L., &amp; Bonham, V. L. (2011). Effects of incentives and prenotification on response rates and costs in a national web survey of physicians. </w:t>
      </w:r>
      <w:r w:rsidRPr="00EB3245">
        <w:rPr>
          <w:rFonts w:ascii="Times New Roman" w:hAnsi="Times New Roman"/>
          <w:i/>
          <w:iCs/>
          <w:color w:val="222222"/>
          <w:shd w:val="clear" w:color="auto" w:fill="FFFFFF"/>
        </w:rPr>
        <w:t>Evaluation &amp; the health Professions</w:t>
      </w:r>
      <w:r w:rsidRPr="00EB3245">
        <w:rPr>
          <w:rFonts w:ascii="Times New Roman" w:hAnsi="Times New Roman"/>
          <w:color w:val="222222"/>
          <w:shd w:val="clear" w:color="auto" w:fill="FFFFFF"/>
        </w:rPr>
        <w:t>, </w:t>
      </w:r>
      <w:r w:rsidRPr="00EB3245">
        <w:rPr>
          <w:rFonts w:ascii="Times New Roman" w:hAnsi="Times New Roman"/>
          <w:i/>
          <w:iCs/>
          <w:color w:val="222222"/>
          <w:shd w:val="clear" w:color="auto" w:fill="FFFFFF"/>
        </w:rPr>
        <w:t>34</w:t>
      </w:r>
      <w:r w:rsidRPr="00EB3245">
        <w:rPr>
          <w:rFonts w:ascii="Times New Roman" w:hAnsi="Times New Roman"/>
          <w:color w:val="222222"/>
          <w:shd w:val="clear" w:color="auto" w:fill="FFFFFF"/>
        </w:rPr>
        <w:t>(4), 434-447.</w:t>
      </w:r>
    </w:p>
  </w:footnote>
  <w:footnote w:id="21">
    <w:p w14:paraId="78AC7C1B" w14:textId="40251A9D" w:rsidR="00EB3245" w:rsidRPr="00EB3245" w:rsidRDefault="00EB3245">
      <w:pPr>
        <w:pStyle w:val="FootnoteText"/>
        <w:rPr>
          <w:rFonts w:ascii="Times New Roman" w:hAnsi="Times New Roman"/>
        </w:rPr>
      </w:pPr>
      <w:r w:rsidRPr="00EB3245">
        <w:rPr>
          <w:rStyle w:val="FootnoteReference"/>
          <w:rFonts w:ascii="Times New Roman" w:hAnsi="Times New Roman"/>
        </w:rPr>
        <w:footnoteRef/>
      </w:r>
      <w:r w:rsidRPr="00EB3245">
        <w:rPr>
          <w:rFonts w:ascii="Times New Roman" w:hAnsi="Times New Roman"/>
        </w:rPr>
        <w:t xml:space="preserve"> </w:t>
      </w:r>
      <w:r w:rsidRPr="00EB3245">
        <w:rPr>
          <w:rFonts w:ascii="Times New Roman" w:hAnsi="Times New Roman"/>
          <w:color w:val="222222"/>
          <w:shd w:val="clear" w:color="auto" w:fill="FFFFFF"/>
        </w:rPr>
        <w:t>Medway, R. L., &amp; Tourangeau, R. (2015). Response quality in telephone surveys: do prepaid cash incentives make a difference? </w:t>
      </w:r>
      <w:r w:rsidRPr="00EB3245">
        <w:rPr>
          <w:rFonts w:ascii="Times New Roman" w:hAnsi="Times New Roman"/>
          <w:i/>
          <w:iCs/>
          <w:color w:val="222222"/>
          <w:shd w:val="clear" w:color="auto" w:fill="FFFFFF"/>
        </w:rPr>
        <w:t xml:space="preserve">Public </w:t>
      </w:r>
      <w:r>
        <w:rPr>
          <w:rFonts w:ascii="Times New Roman" w:hAnsi="Times New Roman"/>
          <w:i/>
          <w:iCs/>
          <w:color w:val="222222"/>
          <w:shd w:val="clear" w:color="auto" w:fill="FFFFFF"/>
        </w:rPr>
        <w:t>O</w:t>
      </w:r>
      <w:r w:rsidRPr="00EB3245">
        <w:rPr>
          <w:rFonts w:ascii="Times New Roman" w:hAnsi="Times New Roman"/>
          <w:i/>
          <w:iCs/>
          <w:color w:val="222222"/>
          <w:shd w:val="clear" w:color="auto" w:fill="FFFFFF"/>
        </w:rPr>
        <w:t xml:space="preserve">pinion </w:t>
      </w:r>
      <w:r>
        <w:rPr>
          <w:rFonts w:ascii="Times New Roman" w:hAnsi="Times New Roman"/>
          <w:i/>
          <w:iCs/>
          <w:color w:val="222222"/>
          <w:shd w:val="clear" w:color="auto" w:fill="FFFFFF"/>
        </w:rPr>
        <w:t>Q</w:t>
      </w:r>
      <w:r w:rsidRPr="00EB3245">
        <w:rPr>
          <w:rFonts w:ascii="Times New Roman" w:hAnsi="Times New Roman"/>
          <w:i/>
          <w:iCs/>
          <w:color w:val="222222"/>
          <w:shd w:val="clear" w:color="auto" w:fill="FFFFFF"/>
        </w:rPr>
        <w:t>uarterly</w:t>
      </w:r>
      <w:r w:rsidRPr="00EB3245">
        <w:rPr>
          <w:rFonts w:ascii="Times New Roman" w:hAnsi="Times New Roman"/>
          <w:color w:val="222222"/>
          <w:shd w:val="clear" w:color="auto" w:fill="FFFFFF"/>
        </w:rPr>
        <w:t>, </w:t>
      </w:r>
      <w:r w:rsidRPr="00EB3245">
        <w:rPr>
          <w:rFonts w:ascii="Times New Roman" w:hAnsi="Times New Roman"/>
          <w:i/>
          <w:iCs/>
          <w:color w:val="222222"/>
          <w:shd w:val="clear" w:color="auto" w:fill="FFFFFF"/>
        </w:rPr>
        <w:t>79</w:t>
      </w:r>
      <w:r w:rsidRPr="00EB3245">
        <w:rPr>
          <w:rFonts w:ascii="Times New Roman" w:hAnsi="Times New Roman"/>
          <w:color w:val="222222"/>
          <w:shd w:val="clear" w:color="auto" w:fill="FFFFFF"/>
        </w:rPr>
        <w:t>(2), 524-543.</w:t>
      </w:r>
    </w:p>
  </w:footnote>
  <w:footnote w:id="22">
    <w:p w14:paraId="066F804D" w14:textId="53B7555E" w:rsidR="00EB3245" w:rsidRPr="00EB3245" w:rsidRDefault="00EB3245">
      <w:pPr>
        <w:pStyle w:val="FootnoteText"/>
        <w:rPr>
          <w:rFonts w:ascii="Times New Roman" w:hAnsi="Times New Roman"/>
        </w:rPr>
      </w:pPr>
      <w:r>
        <w:rPr>
          <w:rStyle w:val="FootnoteReference"/>
        </w:rPr>
        <w:footnoteRef/>
      </w:r>
      <w:r>
        <w:t xml:space="preserve"> </w:t>
      </w:r>
      <w:r w:rsidRPr="00EB3245">
        <w:rPr>
          <w:rFonts w:ascii="Times New Roman" w:hAnsi="Times New Roman"/>
          <w:color w:val="222222"/>
          <w:shd w:val="clear" w:color="auto" w:fill="FFFFFF"/>
        </w:rPr>
        <w:t>Mercer, A., Caporaso, A., Cantor, D., &amp; Townsend, R. (2015). How much gets you how much? Monetary incentives and response rates in household surveys. </w:t>
      </w:r>
      <w:r w:rsidRPr="00EB3245">
        <w:rPr>
          <w:rFonts w:ascii="Times New Roman" w:hAnsi="Times New Roman"/>
          <w:i/>
          <w:iCs/>
          <w:color w:val="222222"/>
          <w:shd w:val="clear" w:color="auto" w:fill="FFFFFF"/>
        </w:rPr>
        <w:t>Public Opinion Quarterly</w:t>
      </w:r>
      <w:r w:rsidRPr="00EB3245">
        <w:rPr>
          <w:rFonts w:ascii="Times New Roman" w:hAnsi="Times New Roman"/>
          <w:color w:val="222222"/>
          <w:shd w:val="clear" w:color="auto" w:fill="FFFFFF"/>
        </w:rPr>
        <w:t>, </w:t>
      </w:r>
      <w:r w:rsidRPr="00EB3245">
        <w:rPr>
          <w:rFonts w:ascii="Times New Roman" w:hAnsi="Times New Roman"/>
          <w:i/>
          <w:iCs/>
          <w:color w:val="222222"/>
          <w:shd w:val="clear" w:color="auto" w:fill="FFFFFF"/>
        </w:rPr>
        <w:t>79</w:t>
      </w:r>
      <w:r w:rsidRPr="00EB3245">
        <w:rPr>
          <w:rFonts w:ascii="Times New Roman" w:hAnsi="Times New Roman"/>
          <w:color w:val="222222"/>
          <w:shd w:val="clear" w:color="auto" w:fill="FFFFFF"/>
        </w:rPr>
        <w:t>(1), 105-129.</w:t>
      </w:r>
    </w:p>
  </w:footnote>
  <w:footnote w:id="23">
    <w:p w14:paraId="29A3E171" w14:textId="42E344A2" w:rsidR="00EB3245" w:rsidRPr="00EB3245" w:rsidRDefault="00EB3245">
      <w:pPr>
        <w:pStyle w:val="FootnoteText"/>
        <w:rPr>
          <w:rFonts w:ascii="Times New Roman" w:hAnsi="Times New Roman"/>
        </w:rPr>
      </w:pPr>
      <w:r w:rsidRPr="00EB3245">
        <w:rPr>
          <w:rStyle w:val="FootnoteReference"/>
          <w:rFonts w:ascii="Times New Roman" w:hAnsi="Times New Roman"/>
        </w:rPr>
        <w:footnoteRef/>
      </w:r>
      <w:r w:rsidRPr="00EB3245">
        <w:rPr>
          <w:rFonts w:ascii="Times New Roman" w:hAnsi="Times New Roman"/>
        </w:rPr>
        <w:t xml:space="preserve"> </w:t>
      </w:r>
      <w:r w:rsidRPr="00EB3245">
        <w:rPr>
          <w:rFonts w:ascii="Times New Roman" w:hAnsi="Times New Roman"/>
          <w:color w:val="222222"/>
          <w:shd w:val="clear" w:color="auto" w:fill="FFFFFF"/>
        </w:rPr>
        <w:t>Shettle, C., &amp; Mooney, G. (1999). Monetary incentives in US government surveys. </w:t>
      </w:r>
      <w:r w:rsidRPr="00EB3245">
        <w:rPr>
          <w:rFonts w:ascii="Times New Roman" w:hAnsi="Times New Roman"/>
          <w:i/>
          <w:iCs/>
          <w:color w:val="222222"/>
          <w:shd w:val="clear" w:color="auto" w:fill="FFFFFF"/>
        </w:rPr>
        <w:t>Journal of Official Statistics</w:t>
      </w:r>
      <w:r w:rsidRPr="00EB3245">
        <w:rPr>
          <w:rFonts w:ascii="Times New Roman" w:hAnsi="Times New Roman"/>
          <w:color w:val="222222"/>
          <w:shd w:val="clear" w:color="auto" w:fill="FFFFFF"/>
        </w:rPr>
        <w:t>, </w:t>
      </w:r>
      <w:r w:rsidRPr="00EB3245">
        <w:rPr>
          <w:rFonts w:ascii="Times New Roman" w:hAnsi="Times New Roman"/>
          <w:i/>
          <w:iCs/>
          <w:color w:val="222222"/>
          <w:shd w:val="clear" w:color="auto" w:fill="FFFFFF"/>
        </w:rPr>
        <w:t>15</w:t>
      </w:r>
      <w:r w:rsidRPr="00EB3245">
        <w:rPr>
          <w:rFonts w:ascii="Times New Roman" w:hAnsi="Times New Roman"/>
          <w:color w:val="222222"/>
          <w:shd w:val="clear" w:color="auto" w:fill="FFFFFF"/>
        </w:rPr>
        <w:t>(2), 231.</w:t>
      </w:r>
    </w:p>
  </w:footnote>
  <w:footnote w:id="24">
    <w:p w14:paraId="60AF9261" w14:textId="77777777" w:rsidR="00183526" w:rsidRPr="006846A0" w:rsidRDefault="00183526" w:rsidP="00183526">
      <w:pPr>
        <w:pStyle w:val="FootnoteText"/>
        <w:rPr>
          <w:rFonts w:ascii="Times New Roman" w:hAnsi="Times New Roman"/>
        </w:rPr>
      </w:pPr>
      <w:r>
        <w:rPr>
          <w:rStyle w:val="FootnoteReference"/>
        </w:rPr>
        <w:footnoteRef/>
      </w:r>
      <w:r>
        <w:t xml:space="preserve"> </w:t>
      </w:r>
      <w:r w:rsidRPr="006846A0">
        <w:rPr>
          <w:rFonts w:ascii="Times New Roman" w:hAnsi="Times New Roman"/>
        </w:rPr>
        <w:t>Krueger, R.A. &amp; M.A. Casey. (2014). Focus groups: A practical guide for applied research. (5th ed.). Thousand Oaks, CA: Sage Publications, Inc.</w:t>
      </w:r>
    </w:p>
  </w:footnote>
  <w:footnote w:id="25">
    <w:p w14:paraId="4A8F6AD4" w14:textId="77777777" w:rsidR="00183526" w:rsidRPr="006846A0" w:rsidRDefault="00183526" w:rsidP="00183526">
      <w:pPr>
        <w:pStyle w:val="FootnoteText"/>
        <w:rPr>
          <w:rFonts w:ascii="Times New Roman" w:hAnsi="Times New Roman"/>
        </w:rPr>
      </w:pPr>
      <w:r w:rsidRPr="006846A0">
        <w:rPr>
          <w:rStyle w:val="FootnoteReference"/>
          <w:rFonts w:ascii="Times New Roman" w:hAnsi="Times New Roman"/>
        </w:rPr>
        <w:footnoteRef/>
      </w:r>
      <w:r w:rsidRPr="006846A0">
        <w:rPr>
          <w:rFonts w:ascii="Times New Roman" w:hAnsi="Times New Roman"/>
        </w:rPr>
        <w:t xml:space="preserve"> Church, A.H. (1993). Estimating the effect of incentives on mail survey response rates: A meta-analysis. </w:t>
      </w:r>
      <w:r w:rsidRPr="006846A0">
        <w:rPr>
          <w:rFonts w:ascii="Times New Roman" w:hAnsi="Times New Roman"/>
          <w:i/>
          <w:iCs/>
        </w:rPr>
        <w:t>Public Opinion Quarterly,</w:t>
      </w:r>
      <w:r w:rsidRPr="006846A0">
        <w:rPr>
          <w:rFonts w:ascii="Times New Roman" w:hAnsi="Times New Roman"/>
        </w:rPr>
        <w:t xml:space="preserve"> 57, 62-79.</w:t>
      </w:r>
    </w:p>
  </w:footnote>
  <w:footnote w:id="26">
    <w:p w14:paraId="7B022DD0" w14:textId="77777777" w:rsidR="00183526" w:rsidRPr="006846A0" w:rsidRDefault="00183526" w:rsidP="00183526">
      <w:pPr>
        <w:pStyle w:val="FootnoteText"/>
        <w:rPr>
          <w:rFonts w:ascii="Times New Roman" w:hAnsi="Times New Roman"/>
        </w:rPr>
      </w:pPr>
      <w:r w:rsidRPr="006846A0">
        <w:rPr>
          <w:rStyle w:val="FootnoteReference"/>
          <w:rFonts w:ascii="Times New Roman" w:hAnsi="Times New Roman"/>
        </w:rPr>
        <w:footnoteRef/>
      </w:r>
      <w:r w:rsidRPr="006846A0">
        <w:rPr>
          <w:rFonts w:ascii="Times New Roman" w:hAnsi="Times New Roman"/>
        </w:rPr>
        <w:t xml:space="preserve"> Halpen, S.D., Karlawish, J.H., Casarett, D., Berlin, J.A., &amp; Asch, D.A. (2004). Empirical assessment of whether moderate payments are undue or unjust inducements for participation in clinical trials. </w:t>
      </w:r>
      <w:r w:rsidRPr="006846A0">
        <w:rPr>
          <w:rFonts w:ascii="Times New Roman" w:hAnsi="Times New Roman"/>
          <w:i/>
        </w:rPr>
        <w:t>Archives of Internal Medicine</w:t>
      </w:r>
      <w:r w:rsidRPr="006846A0">
        <w:rPr>
          <w:rFonts w:ascii="Times New Roman" w:hAnsi="Times New Roman"/>
        </w:rPr>
        <w:t xml:space="preserve">, </w:t>
      </w:r>
      <w:r w:rsidRPr="006846A0">
        <w:rPr>
          <w:rFonts w:ascii="Times New Roman" w:hAnsi="Times New Roman"/>
          <w:i/>
        </w:rPr>
        <w:t>164</w:t>
      </w:r>
      <w:r w:rsidRPr="006846A0">
        <w:rPr>
          <w:rFonts w:ascii="Times New Roman" w:hAnsi="Times New Roman"/>
        </w:rPr>
        <w:t>(</w:t>
      </w:r>
      <w:r w:rsidRPr="006846A0">
        <w:rPr>
          <w:rFonts w:ascii="Times New Roman" w:hAnsi="Times New Roman"/>
          <w:i/>
        </w:rPr>
        <w:t>7</w:t>
      </w:r>
      <w:r w:rsidRPr="006846A0">
        <w:rPr>
          <w:rFonts w:ascii="Times New Roman" w:hAnsi="Times New Roman"/>
        </w:rPr>
        <w:t>), 801-803.</w:t>
      </w:r>
    </w:p>
  </w:footnote>
  <w:footnote w:id="27">
    <w:p w14:paraId="1DA48CDC" w14:textId="3E4F3DD1" w:rsidR="00183526" w:rsidRPr="006846A0" w:rsidRDefault="00183526" w:rsidP="00183526">
      <w:pPr>
        <w:pStyle w:val="FootnoteText"/>
        <w:rPr>
          <w:rFonts w:ascii="Times New Roman" w:hAnsi="Times New Roman"/>
        </w:rPr>
      </w:pPr>
      <w:r w:rsidRPr="006846A0">
        <w:rPr>
          <w:rStyle w:val="FootnoteReference"/>
          <w:rFonts w:ascii="Times New Roman" w:hAnsi="Times New Roman"/>
        </w:rPr>
        <w:footnoteRef/>
      </w:r>
      <w:r w:rsidRPr="006846A0">
        <w:rPr>
          <w:rFonts w:ascii="Times New Roman" w:hAnsi="Times New Roman"/>
        </w:rPr>
        <w:t xml:space="preserve"> Berlin, M., L. Mohadjer, J. Waksberg, A. Kolstad, I. Kirsch, D. Rock, &amp; K. Yamamoto.</w:t>
      </w:r>
      <w:r w:rsidR="00EB3245">
        <w:rPr>
          <w:rFonts w:ascii="Times New Roman" w:hAnsi="Times New Roman"/>
        </w:rPr>
        <w:t xml:space="preserve"> (1992).</w:t>
      </w:r>
      <w:r w:rsidRPr="006846A0">
        <w:rPr>
          <w:rFonts w:ascii="Times New Roman" w:hAnsi="Times New Roman"/>
        </w:rPr>
        <w:t xml:space="preserve"> An experiment in monetary incentives. </w:t>
      </w:r>
      <w:r w:rsidR="00EB3245">
        <w:rPr>
          <w:rFonts w:ascii="Times New Roman" w:hAnsi="Times New Roman"/>
        </w:rPr>
        <w:t xml:space="preserve">In </w:t>
      </w:r>
      <w:r w:rsidRPr="00845831">
        <w:rPr>
          <w:rFonts w:ascii="Times New Roman" w:hAnsi="Times New Roman"/>
          <w:i/>
        </w:rPr>
        <w:t>Proceedings of Survey Research Methods Section</w:t>
      </w:r>
      <w:r w:rsidR="00EB3245" w:rsidRPr="00845831">
        <w:rPr>
          <w:rFonts w:ascii="Times New Roman" w:hAnsi="Times New Roman"/>
          <w:i/>
        </w:rPr>
        <w:t>, American Statistical</w:t>
      </w:r>
      <w:r w:rsidR="00EB3245" w:rsidRPr="00845831">
        <w:rPr>
          <w:i/>
        </w:rPr>
        <w:t xml:space="preserve"> </w:t>
      </w:r>
      <w:r w:rsidR="00EB3245" w:rsidRPr="00845831">
        <w:rPr>
          <w:rFonts w:ascii="Times New Roman" w:hAnsi="Times New Roman"/>
          <w:i/>
        </w:rPr>
        <w:t>Association</w:t>
      </w:r>
      <w:r w:rsidR="00EB3245">
        <w:rPr>
          <w:rFonts w:ascii="Times New Roman" w:hAnsi="Times New Roman"/>
        </w:rPr>
        <w:t xml:space="preserve">. </w:t>
      </w:r>
      <w:r w:rsidRPr="006846A0">
        <w:rPr>
          <w:rFonts w:ascii="Times New Roman" w:hAnsi="Times New Roman"/>
        </w:rPr>
        <w:t>Alexandria, VA</w:t>
      </w:r>
      <w:r w:rsidR="00EB3245">
        <w:rPr>
          <w:rFonts w:ascii="Times New Roman" w:hAnsi="Times New Roman"/>
        </w:rPr>
        <w:t xml:space="preserve">. </w:t>
      </w:r>
      <w:r w:rsidR="00845831">
        <w:rPr>
          <w:rFonts w:ascii="Times New Roman" w:hAnsi="Times New Roman"/>
        </w:rPr>
        <w:t>(</w:t>
      </w:r>
      <w:r w:rsidRPr="006846A0">
        <w:rPr>
          <w:rFonts w:ascii="Times New Roman" w:hAnsi="Times New Roman"/>
        </w:rPr>
        <w:t>pp. 393–398</w:t>
      </w:r>
      <w:r w:rsidR="00845831">
        <w:rPr>
          <w:rFonts w:ascii="Times New Roman" w:hAnsi="Times New Roman"/>
        </w:rPr>
        <w:t>)</w:t>
      </w:r>
      <w:r w:rsidRPr="006846A0">
        <w:rPr>
          <w:rFonts w:ascii="Times New Roman" w:hAnsi="Times New Roman"/>
        </w:rPr>
        <w:t>.</w:t>
      </w:r>
    </w:p>
  </w:footnote>
  <w:footnote w:id="28">
    <w:p w14:paraId="4BA6BF5D" w14:textId="639A7D20" w:rsidR="008B130B" w:rsidRPr="008B130B" w:rsidRDefault="008B130B">
      <w:pPr>
        <w:pStyle w:val="FootnoteText"/>
        <w:rPr>
          <w:rFonts w:ascii="Times New Roman" w:hAnsi="Times New Roman"/>
        </w:rPr>
      </w:pPr>
      <w:r>
        <w:rPr>
          <w:rStyle w:val="FootnoteReference"/>
        </w:rPr>
        <w:footnoteRef/>
      </w:r>
      <w:r>
        <w:t xml:space="preserve"> </w:t>
      </w:r>
      <w:r w:rsidRPr="008B130B">
        <w:rPr>
          <w:rFonts w:ascii="Times New Roman" w:hAnsi="Times New Roman"/>
          <w:color w:val="222222"/>
          <w:shd w:val="clear" w:color="auto" w:fill="FFFFFF"/>
        </w:rPr>
        <w:t>Asch, S., Connor, S. E., Hamilton, E. G., &amp; Fox, S. A. (2000). Problems in recruiting community‐based physicians for health services research. </w:t>
      </w:r>
      <w:r w:rsidRPr="008B130B">
        <w:rPr>
          <w:rFonts w:ascii="Times New Roman" w:hAnsi="Times New Roman"/>
          <w:i/>
          <w:iCs/>
          <w:color w:val="222222"/>
          <w:shd w:val="clear" w:color="auto" w:fill="FFFFFF"/>
        </w:rPr>
        <w:t>Journal of General Internal Medicine</w:t>
      </w:r>
      <w:r w:rsidRPr="008B130B">
        <w:rPr>
          <w:rFonts w:ascii="Times New Roman" w:hAnsi="Times New Roman"/>
          <w:color w:val="222222"/>
          <w:shd w:val="clear" w:color="auto" w:fill="FFFFFF"/>
        </w:rPr>
        <w:t>, </w:t>
      </w:r>
      <w:r w:rsidRPr="008B130B">
        <w:rPr>
          <w:rFonts w:ascii="Times New Roman" w:hAnsi="Times New Roman"/>
          <w:i/>
          <w:iCs/>
          <w:color w:val="222222"/>
          <w:shd w:val="clear" w:color="auto" w:fill="FFFFFF"/>
        </w:rPr>
        <w:t>15</w:t>
      </w:r>
      <w:r w:rsidRPr="008B130B">
        <w:rPr>
          <w:rFonts w:ascii="Times New Roman" w:hAnsi="Times New Roman"/>
          <w:color w:val="222222"/>
          <w:shd w:val="clear" w:color="auto" w:fill="FFFFFF"/>
        </w:rPr>
        <w:t>(8), 591-599.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729FB" w14:textId="77777777" w:rsidR="00993D2B" w:rsidRDefault="00993D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89679D"/>
    <w:multiLevelType w:val="hybridMultilevel"/>
    <w:tmpl w:val="524E1190"/>
    <w:lvl w:ilvl="0" w:tplc="04090001">
      <w:start w:val="1"/>
      <w:numFmt w:val="bullet"/>
      <w:lvlText w:val=""/>
      <w:lvlJc w:val="left"/>
      <w:pPr>
        <w:ind w:left="2250" w:hanging="360"/>
      </w:pPr>
      <w:rPr>
        <w:rFonts w:ascii="Symbol" w:hAnsi="Symbol" w:hint="default"/>
      </w:rPr>
    </w:lvl>
    <w:lvl w:ilvl="1" w:tplc="2B944546">
      <w:start w:val="1"/>
      <w:numFmt w:val="bullet"/>
      <w:lvlText w:val="o"/>
      <w:lvlJc w:val="left"/>
      <w:pPr>
        <w:ind w:left="2250" w:hanging="360"/>
      </w:pPr>
      <w:rPr>
        <w:rFonts w:ascii="Courier New" w:hAnsi="Courier New" w:cs="Courier New" w:hint="default"/>
        <w:u w:val="none"/>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F5477D"/>
    <w:multiLevelType w:val="hybridMultilevel"/>
    <w:tmpl w:val="A8B824D2"/>
    <w:lvl w:ilvl="0" w:tplc="DC68185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498E211C"/>
    <w:multiLevelType w:val="hybridMultilevel"/>
    <w:tmpl w:val="B10491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4B205A69"/>
    <w:multiLevelType w:val="hybridMultilevel"/>
    <w:tmpl w:val="5B761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EE0306A"/>
    <w:multiLevelType w:val="hybridMultilevel"/>
    <w:tmpl w:val="3C8C3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FC848D6"/>
    <w:multiLevelType w:val="hybridMultilevel"/>
    <w:tmpl w:val="F3F491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60D878B0"/>
    <w:multiLevelType w:val="hybridMultilevel"/>
    <w:tmpl w:val="8CF29F44"/>
    <w:lvl w:ilvl="0" w:tplc="0409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1">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3">
    <w:nsid w:val="72FB651B"/>
    <w:multiLevelType w:val="hybridMultilevel"/>
    <w:tmpl w:val="05665982"/>
    <w:lvl w:ilvl="0" w:tplc="04090001">
      <w:start w:val="1"/>
      <w:numFmt w:val="bullet"/>
      <w:pStyle w:val="bullets"/>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A624DFF"/>
    <w:multiLevelType w:val="hybridMultilevel"/>
    <w:tmpl w:val="E61ED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6"/>
  </w:num>
  <w:num w:numId="3">
    <w:abstractNumId w:val="24"/>
  </w:num>
  <w:num w:numId="4">
    <w:abstractNumId w:val="27"/>
  </w:num>
  <w:num w:numId="5">
    <w:abstractNumId w:val="5"/>
  </w:num>
  <w:num w:numId="6">
    <w:abstractNumId w:val="2"/>
  </w:num>
  <w:num w:numId="7">
    <w:abstractNumId w:val="11"/>
  </w:num>
  <w:num w:numId="8">
    <w:abstractNumId w:val="21"/>
  </w:num>
  <w:num w:numId="9">
    <w:abstractNumId w:val="12"/>
  </w:num>
  <w:num w:numId="10">
    <w:abstractNumId w:val="3"/>
  </w:num>
  <w:num w:numId="11">
    <w:abstractNumId w:val="6"/>
  </w:num>
  <w:num w:numId="12">
    <w:abstractNumId w:val="8"/>
  </w:num>
  <w:num w:numId="13">
    <w:abstractNumId w:val="1"/>
  </w:num>
  <w:num w:numId="14">
    <w:abstractNumId w:val="10"/>
  </w:num>
  <w:num w:numId="15">
    <w:abstractNumId w:val="22"/>
  </w:num>
  <w:num w:numId="16">
    <w:abstractNumId w:val="18"/>
  </w:num>
  <w:num w:numId="17">
    <w:abstractNumId w:val="0"/>
  </w:num>
  <w:num w:numId="18">
    <w:abstractNumId w:val="9"/>
  </w:num>
  <w:num w:numId="19">
    <w:abstractNumId w:val="7"/>
  </w:num>
  <w:num w:numId="20">
    <w:abstractNumId w:val="14"/>
  </w:num>
  <w:num w:numId="21">
    <w:abstractNumId w:val="17"/>
  </w:num>
  <w:num w:numId="22">
    <w:abstractNumId w:val="4"/>
  </w:num>
  <w:num w:numId="23">
    <w:abstractNumId w:val="20"/>
  </w:num>
  <w:num w:numId="24">
    <w:abstractNumId w:val="19"/>
  </w:num>
  <w:num w:numId="25">
    <w:abstractNumId w:val="23"/>
  </w:num>
  <w:num w:numId="26">
    <w:abstractNumId w:val="16"/>
  </w:num>
  <w:num w:numId="27">
    <w:abstractNumId w:val="25"/>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a3sDQ1MTcxsTQwNrdU0lEKTi0uzszPAykwqQUASkMqjCwAAAA="/>
  </w:docVars>
  <w:rsids>
    <w:rsidRoot w:val="00744F5B"/>
    <w:rsid w:val="00005D48"/>
    <w:rsid w:val="000229E4"/>
    <w:rsid w:val="00024852"/>
    <w:rsid w:val="000275F0"/>
    <w:rsid w:val="00027D62"/>
    <w:rsid w:val="00035B5C"/>
    <w:rsid w:val="000477CE"/>
    <w:rsid w:val="00071751"/>
    <w:rsid w:val="000A525C"/>
    <w:rsid w:val="000B717E"/>
    <w:rsid w:val="000C1DC4"/>
    <w:rsid w:val="000C386B"/>
    <w:rsid w:val="000C430D"/>
    <w:rsid w:val="000C631D"/>
    <w:rsid w:val="000D4A46"/>
    <w:rsid w:val="000F1CDA"/>
    <w:rsid w:val="000F2F28"/>
    <w:rsid w:val="00102CB9"/>
    <w:rsid w:val="00103A05"/>
    <w:rsid w:val="00113DB3"/>
    <w:rsid w:val="0012150E"/>
    <w:rsid w:val="00121C06"/>
    <w:rsid w:val="00126D06"/>
    <w:rsid w:val="00132EF8"/>
    <w:rsid w:val="0013429B"/>
    <w:rsid w:val="00135607"/>
    <w:rsid w:val="00140343"/>
    <w:rsid w:val="00140A0D"/>
    <w:rsid w:val="001534AD"/>
    <w:rsid w:val="00163E86"/>
    <w:rsid w:val="001673A9"/>
    <w:rsid w:val="00172A6E"/>
    <w:rsid w:val="00173ACB"/>
    <w:rsid w:val="0017544C"/>
    <w:rsid w:val="00183526"/>
    <w:rsid w:val="001835D3"/>
    <w:rsid w:val="00190AA2"/>
    <w:rsid w:val="001973CE"/>
    <w:rsid w:val="001A68F4"/>
    <w:rsid w:val="001B08AE"/>
    <w:rsid w:val="001C0117"/>
    <w:rsid w:val="001C3D56"/>
    <w:rsid w:val="001C7B3E"/>
    <w:rsid w:val="001D19B4"/>
    <w:rsid w:val="001E15AA"/>
    <w:rsid w:val="001E29B0"/>
    <w:rsid w:val="001E7387"/>
    <w:rsid w:val="001F09C0"/>
    <w:rsid w:val="001F397E"/>
    <w:rsid w:val="001F4032"/>
    <w:rsid w:val="00205677"/>
    <w:rsid w:val="0020693D"/>
    <w:rsid w:val="00216F24"/>
    <w:rsid w:val="002254D4"/>
    <w:rsid w:val="00230200"/>
    <w:rsid w:val="00243BAE"/>
    <w:rsid w:val="00255B16"/>
    <w:rsid w:val="00255F9E"/>
    <w:rsid w:val="002615BF"/>
    <w:rsid w:val="00263DCB"/>
    <w:rsid w:val="00265BFD"/>
    <w:rsid w:val="00274A8E"/>
    <w:rsid w:val="00275ACB"/>
    <w:rsid w:val="00287B67"/>
    <w:rsid w:val="00290BA3"/>
    <w:rsid w:val="0029232B"/>
    <w:rsid w:val="002970CC"/>
    <w:rsid w:val="002A0451"/>
    <w:rsid w:val="002D5DF1"/>
    <w:rsid w:val="002D7B37"/>
    <w:rsid w:val="002F5085"/>
    <w:rsid w:val="002F51BE"/>
    <w:rsid w:val="00302509"/>
    <w:rsid w:val="00303B33"/>
    <w:rsid w:val="00306E47"/>
    <w:rsid w:val="00314CE8"/>
    <w:rsid w:val="00320C26"/>
    <w:rsid w:val="00324DC3"/>
    <w:rsid w:val="00350C25"/>
    <w:rsid w:val="0035268F"/>
    <w:rsid w:val="00354FAE"/>
    <w:rsid w:val="00361C2E"/>
    <w:rsid w:val="00362661"/>
    <w:rsid w:val="00364051"/>
    <w:rsid w:val="00377E79"/>
    <w:rsid w:val="00377FDC"/>
    <w:rsid w:val="003A35BD"/>
    <w:rsid w:val="003B2DE7"/>
    <w:rsid w:val="003C7EE8"/>
    <w:rsid w:val="003D4F5C"/>
    <w:rsid w:val="003F1C7A"/>
    <w:rsid w:val="00411149"/>
    <w:rsid w:val="004312CC"/>
    <w:rsid w:val="0043221D"/>
    <w:rsid w:val="0045274E"/>
    <w:rsid w:val="0045615E"/>
    <w:rsid w:val="00463B4D"/>
    <w:rsid w:val="004722B4"/>
    <w:rsid w:val="00473C32"/>
    <w:rsid w:val="00490E15"/>
    <w:rsid w:val="004910F4"/>
    <w:rsid w:val="00492C69"/>
    <w:rsid w:val="0049419A"/>
    <w:rsid w:val="004A0140"/>
    <w:rsid w:val="004A39BA"/>
    <w:rsid w:val="004B694D"/>
    <w:rsid w:val="004C6ACD"/>
    <w:rsid w:val="004E1EE9"/>
    <w:rsid w:val="004E2E04"/>
    <w:rsid w:val="005050BA"/>
    <w:rsid w:val="00506FE7"/>
    <w:rsid w:val="00511181"/>
    <w:rsid w:val="00513F6A"/>
    <w:rsid w:val="00540689"/>
    <w:rsid w:val="00540C6D"/>
    <w:rsid w:val="00555D7E"/>
    <w:rsid w:val="00572EF2"/>
    <w:rsid w:val="00576639"/>
    <w:rsid w:val="005820B8"/>
    <w:rsid w:val="00582AEC"/>
    <w:rsid w:val="005A1029"/>
    <w:rsid w:val="005A18A4"/>
    <w:rsid w:val="005B212B"/>
    <w:rsid w:val="005B3F8D"/>
    <w:rsid w:val="005B4CFB"/>
    <w:rsid w:val="005B532B"/>
    <w:rsid w:val="005C1579"/>
    <w:rsid w:val="005C6A7F"/>
    <w:rsid w:val="005D0D89"/>
    <w:rsid w:val="005D17C7"/>
    <w:rsid w:val="005D6364"/>
    <w:rsid w:val="005E23BA"/>
    <w:rsid w:val="005E4981"/>
    <w:rsid w:val="005E6BD2"/>
    <w:rsid w:val="005F51A9"/>
    <w:rsid w:val="00605169"/>
    <w:rsid w:val="006237E4"/>
    <w:rsid w:val="006355C6"/>
    <w:rsid w:val="006357D8"/>
    <w:rsid w:val="00637C8C"/>
    <w:rsid w:val="006470BB"/>
    <w:rsid w:val="00670BC7"/>
    <w:rsid w:val="00673DB8"/>
    <w:rsid w:val="006846A0"/>
    <w:rsid w:val="00696B03"/>
    <w:rsid w:val="006970B6"/>
    <w:rsid w:val="006A2D27"/>
    <w:rsid w:val="006A305F"/>
    <w:rsid w:val="006B7085"/>
    <w:rsid w:val="006C5643"/>
    <w:rsid w:val="006D3B31"/>
    <w:rsid w:val="006D51DD"/>
    <w:rsid w:val="006D7B32"/>
    <w:rsid w:val="006F1B1E"/>
    <w:rsid w:val="006F3095"/>
    <w:rsid w:val="006F7CCE"/>
    <w:rsid w:val="00727B22"/>
    <w:rsid w:val="0074463A"/>
    <w:rsid w:val="00744F5B"/>
    <w:rsid w:val="00780A9A"/>
    <w:rsid w:val="007837CA"/>
    <w:rsid w:val="007853F0"/>
    <w:rsid w:val="00787E77"/>
    <w:rsid w:val="00793F1E"/>
    <w:rsid w:val="007944E7"/>
    <w:rsid w:val="00795B93"/>
    <w:rsid w:val="007A305E"/>
    <w:rsid w:val="007A4331"/>
    <w:rsid w:val="007A4CF6"/>
    <w:rsid w:val="007A5748"/>
    <w:rsid w:val="007A750F"/>
    <w:rsid w:val="007B045B"/>
    <w:rsid w:val="007C2C46"/>
    <w:rsid w:val="007C6E1E"/>
    <w:rsid w:val="007D7B02"/>
    <w:rsid w:val="007D7BAA"/>
    <w:rsid w:val="007E69D7"/>
    <w:rsid w:val="007E76D6"/>
    <w:rsid w:val="007F5F99"/>
    <w:rsid w:val="00802398"/>
    <w:rsid w:val="008408E6"/>
    <w:rsid w:val="00845831"/>
    <w:rsid w:val="00846A5B"/>
    <w:rsid w:val="00846BA5"/>
    <w:rsid w:val="008562F0"/>
    <w:rsid w:val="008577D6"/>
    <w:rsid w:val="00862F2F"/>
    <w:rsid w:val="0086387B"/>
    <w:rsid w:val="00871FD9"/>
    <w:rsid w:val="00875770"/>
    <w:rsid w:val="008802AB"/>
    <w:rsid w:val="00882AE4"/>
    <w:rsid w:val="00883571"/>
    <w:rsid w:val="008863D0"/>
    <w:rsid w:val="00892A3E"/>
    <w:rsid w:val="008948B1"/>
    <w:rsid w:val="00894F96"/>
    <w:rsid w:val="00895FDC"/>
    <w:rsid w:val="008A15B1"/>
    <w:rsid w:val="008A201F"/>
    <w:rsid w:val="008A4D10"/>
    <w:rsid w:val="008B130B"/>
    <w:rsid w:val="008B6E1F"/>
    <w:rsid w:val="008D29D6"/>
    <w:rsid w:val="008D7FCD"/>
    <w:rsid w:val="008E5BE4"/>
    <w:rsid w:val="008E6145"/>
    <w:rsid w:val="008E7B52"/>
    <w:rsid w:val="008F3E78"/>
    <w:rsid w:val="008F6E91"/>
    <w:rsid w:val="009065AB"/>
    <w:rsid w:val="00906986"/>
    <w:rsid w:val="00910694"/>
    <w:rsid w:val="00917B38"/>
    <w:rsid w:val="0092248E"/>
    <w:rsid w:val="009238D7"/>
    <w:rsid w:val="009404FA"/>
    <w:rsid w:val="0097718E"/>
    <w:rsid w:val="0098121D"/>
    <w:rsid w:val="009845CD"/>
    <w:rsid w:val="00993D2B"/>
    <w:rsid w:val="009940CE"/>
    <w:rsid w:val="009C37AC"/>
    <w:rsid w:val="009E0F10"/>
    <w:rsid w:val="009E1E12"/>
    <w:rsid w:val="009E555A"/>
    <w:rsid w:val="009E7B22"/>
    <w:rsid w:val="009F2485"/>
    <w:rsid w:val="009F7E17"/>
    <w:rsid w:val="00A037AF"/>
    <w:rsid w:val="00A17F22"/>
    <w:rsid w:val="00A2089D"/>
    <w:rsid w:val="00A212B8"/>
    <w:rsid w:val="00A26BA5"/>
    <w:rsid w:val="00A35493"/>
    <w:rsid w:val="00A44BF9"/>
    <w:rsid w:val="00A746A9"/>
    <w:rsid w:val="00A82DCC"/>
    <w:rsid w:val="00A84CA0"/>
    <w:rsid w:val="00A9245B"/>
    <w:rsid w:val="00AA3856"/>
    <w:rsid w:val="00AB2333"/>
    <w:rsid w:val="00AC2461"/>
    <w:rsid w:val="00AC63BA"/>
    <w:rsid w:val="00AD31D7"/>
    <w:rsid w:val="00AE1B4C"/>
    <w:rsid w:val="00AE34BB"/>
    <w:rsid w:val="00AF5DE2"/>
    <w:rsid w:val="00B021C5"/>
    <w:rsid w:val="00B14F69"/>
    <w:rsid w:val="00B27899"/>
    <w:rsid w:val="00B3103B"/>
    <w:rsid w:val="00B31D14"/>
    <w:rsid w:val="00B40D56"/>
    <w:rsid w:val="00B41C47"/>
    <w:rsid w:val="00B46254"/>
    <w:rsid w:val="00B46E5B"/>
    <w:rsid w:val="00B50E31"/>
    <w:rsid w:val="00B54E20"/>
    <w:rsid w:val="00B65597"/>
    <w:rsid w:val="00B71082"/>
    <w:rsid w:val="00B72DD6"/>
    <w:rsid w:val="00B82EB6"/>
    <w:rsid w:val="00B859B1"/>
    <w:rsid w:val="00B87572"/>
    <w:rsid w:val="00B94044"/>
    <w:rsid w:val="00BB1C84"/>
    <w:rsid w:val="00BC3B0E"/>
    <w:rsid w:val="00BC7613"/>
    <w:rsid w:val="00BE6B0A"/>
    <w:rsid w:val="00BF3A0E"/>
    <w:rsid w:val="00BF526E"/>
    <w:rsid w:val="00C168EA"/>
    <w:rsid w:val="00C42C31"/>
    <w:rsid w:val="00C52DAD"/>
    <w:rsid w:val="00C54AE4"/>
    <w:rsid w:val="00C5776F"/>
    <w:rsid w:val="00C66CB5"/>
    <w:rsid w:val="00C701A6"/>
    <w:rsid w:val="00C716BF"/>
    <w:rsid w:val="00C73D7F"/>
    <w:rsid w:val="00C94AFC"/>
    <w:rsid w:val="00C95692"/>
    <w:rsid w:val="00CA092E"/>
    <w:rsid w:val="00CB5868"/>
    <w:rsid w:val="00CC096B"/>
    <w:rsid w:val="00CC7869"/>
    <w:rsid w:val="00CD03A3"/>
    <w:rsid w:val="00CE0205"/>
    <w:rsid w:val="00CE54C9"/>
    <w:rsid w:val="00CE57C2"/>
    <w:rsid w:val="00CE660E"/>
    <w:rsid w:val="00CF0774"/>
    <w:rsid w:val="00CF10F4"/>
    <w:rsid w:val="00CF30F2"/>
    <w:rsid w:val="00D00880"/>
    <w:rsid w:val="00D05FCF"/>
    <w:rsid w:val="00D10399"/>
    <w:rsid w:val="00D14201"/>
    <w:rsid w:val="00D31111"/>
    <w:rsid w:val="00D340AB"/>
    <w:rsid w:val="00D3689E"/>
    <w:rsid w:val="00D43148"/>
    <w:rsid w:val="00D44F55"/>
    <w:rsid w:val="00D47D1B"/>
    <w:rsid w:val="00D542D4"/>
    <w:rsid w:val="00D7047E"/>
    <w:rsid w:val="00D73203"/>
    <w:rsid w:val="00D86401"/>
    <w:rsid w:val="00D95DBC"/>
    <w:rsid w:val="00DA4D60"/>
    <w:rsid w:val="00DC30B4"/>
    <w:rsid w:val="00DC5D0A"/>
    <w:rsid w:val="00DC7043"/>
    <w:rsid w:val="00DC76EE"/>
    <w:rsid w:val="00DC770F"/>
    <w:rsid w:val="00DD24A2"/>
    <w:rsid w:val="00DD3323"/>
    <w:rsid w:val="00DD6106"/>
    <w:rsid w:val="00DD7C40"/>
    <w:rsid w:val="00DE6944"/>
    <w:rsid w:val="00DF53C4"/>
    <w:rsid w:val="00DF596E"/>
    <w:rsid w:val="00DF6975"/>
    <w:rsid w:val="00E17CC8"/>
    <w:rsid w:val="00E215FA"/>
    <w:rsid w:val="00E26798"/>
    <w:rsid w:val="00E36C1A"/>
    <w:rsid w:val="00E42761"/>
    <w:rsid w:val="00E4352E"/>
    <w:rsid w:val="00E45491"/>
    <w:rsid w:val="00E45BA0"/>
    <w:rsid w:val="00E629FF"/>
    <w:rsid w:val="00E70641"/>
    <w:rsid w:val="00E96045"/>
    <w:rsid w:val="00E971FC"/>
    <w:rsid w:val="00EA0586"/>
    <w:rsid w:val="00EA2382"/>
    <w:rsid w:val="00EB0699"/>
    <w:rsid w:val="00EB3245"/>
    <w:rsid w:val="00EB5E20"/>
    <w:rsid w:val="00EC0795"/>
    <w:rsid w:val="00EC1E0E"/>
    <w:rsid w:val="00EC6B0A"/>
    <w:rsid w:val="00ED1701"/>
    <w:rsid w:val="00EE231A"/>
    <w:rsid w:val="00EE5502"/>
    <w:rsid w:val="00EE7334"/>
    <w:rsid w:val="00F1118C"/>
    <w:rsid w:val="00F12AEE"/>
    <w:rsid w:val="00F15DA1"/>
    <w:rsid w:val="00F2502B"/>
    <w:rsid w:val="00F26B2B"/>
    <w:rsid w:val="00F3292F"/>
    <w:rsid w:val="00F3704A"/>
    <w:rsid w:val="00F52DED"/>
    <w:rsid w:val="00F62F0B"/>
    <w:rsid w:val="00F64116"/>
    <w:rsid w:val="00F9129B"/>
    <w:rsid w:val="00FB2A18"/>
    <w:rsid w:val="00FB79C4"/>
    <w:rsid w:val="00FC0F71"/>
    <w:rsid w:val="00FE3BAE"/>
    <w:rsid w:val="00FF6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4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D2B"/>
    <w:rPr>
      <w:sz w:val="24"/>
      <w:szCs w:val="24"/>
    </w:rPr>
  </w:style>
  <w:style w:type="paragraph" w:styleId="Heading1">
    <w:name w:val="heading 1"/>
    <w:basedOn w:val="Normal"/>
    <w:next w:val="Normal"/>
    <w:link w:val="Heading1Char"/>
    <w:uiPriority w:val="9"/>
    <w:qFormat/>
    <w:rsid w:val="00993D2B"/>
    <w:pPr>
      <w:keepNext/>
      <w:ind w:right="-360"/>
      <w:outlineLvl w:val="0"/>
    </w:pPr>
    <w:rPr>
      <w:b/>
      <w:bCs/>
    </w:rPr>
  </w:style>
  <w:style w:type="paragraph" w:styleId="Heading2">
    <w:name w:val="heading 2"/>
    <w:basedOn w:val="Normal"/>
    <w:next w:val="Normal"/>
    <w:link w:val="Heading2Char"/>
    <w:uiPriority w:val="9"/>
    <w:qFormat/>
    <w:rsid w:val="00993D2B"/>
    <w:pPr>
      <w:keepNext/>
      <w:jc w:val="center"/>
      <w:outlineLvl w:val="1"/>
    </w:pPr>
    <w:rPr>
      <w:b/>
      <w:bCs/>
    </w:rPr>
  </w:style>
  <w:style w:type="paragraph" w:styleId="Heading3">
    <w:name w:val="heading 3"/>
    <w:basedOn w:val="Normal"/>
    <w:next w:val="Normal"/>
    <w:link w:val="Heading3Char"/>
    <w:uiPriority w:val="9"/>
    <w:qFormat/>
    <w:rsid w:val="00993D2B"/>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93D2B"/>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rsid w:val="00993D2B"/>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link w:val="BalloonTextChar"/>
    <w:uiPriority w:val="99"/>
    <w:semiHidden/>
    <w:rsid w:val="00993D2B"/>
    <w:rPr>
      <w:rFonts w:ascii="Tahoma" w:hAnsi="Tahoma" w:cs="Tahoma"/>
      <w:sz w:val="16"/>
      <w:szCs w:val="16"/>
    </w:rPr>
  </w:style>
  <w:style w:type="character" w:styleId="Hyperlink">
    <w:name w:val="Hyperlink"/>
    <w:rPr>
      <w:color w:val="0000FF"/>
      <w:u w:val="single"/>
    </w:rPr>
  </w:style>
  <w:style w:type="paragraph" w:styleId="ListParagraph">
    <w:name w:val="List Paragraph"/>
    <w:basedOn w:val="Normal"/>
    <w:link w:val="ListParagraphChar"/>
    <w:uiPriority w:val="34"/>
    <w:qFormat/>
    <w:rsid w:val="00993D2B"/>
    <w:pPr>
      <w:ind w:left="720"/>
    </w:pPr>
  </w:style>
  <w:style w:type="character" w:styleId="CommentReference">
    <w:name w:val="annotation reference"/>
    <w:semiHidden/>
    <w:unhideWhenUsed/>
    <w:rsid w:val="00993D2B"/>
    <w:rPr>
      <w:sz w:val="16"/>
      <w:szCs w:val="16"/>
    </w:rPr>
  </w:style>
  <w:style w:type="paragraph" w:styleId="CommentText">
    <w:name w:val="annotation text"/>
    <w:basedOn w:val="Normal"/>
    <w:link w:val="CommentTextChar"/>
    <w:semiHidden/>
    <w:unhideWhenUsed/>
    <w:rsid w:val="00993D2B"/>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semiHidden/>
    <w:rsid w:val="00787E77"/>
    <w:rPr>
      <w:rFonts w:ascii="Calibri" w:eastAsia="Calibri" w:hAnsi="Calibri"/>
    </w:rPr>
  </w:style>
  <w:style w:type="paragraph" w:styleId="FootnoteText">
    <w:name w:val="footnote text"/>
    <w:basedOn w:val="Normal"/>
    <w:link w:val="FootnoteTextChar"/>
    <w:unhideWhenUsed/>
    <w:rsid w:val="00CC096B"/>
    <w:rPr>
      <w:rFonts w:ascii="Garamond" w:hAnsi="Garamond"/>
      <w:sz w:val="20"/>
      <w:szCs w:val="20"/>
    </w:rPr>
  </w:style>
  <w:style w:type="character" w:customStyle="1" w:styleId="FootnoteTextChar">
    <w:name w:val="Footnote Text Char"/>
    <w:basedOn w:val="DefaultParagraphFont"/>
    <w:link w:val="FootnoteText"/>
    <w:rsid w:val="00CC096B"/>
    <w:rPr>
      <w:rFonts w:ascii="Garamond" w:hAnsi="Garamond"/>
    </w:rPr>
  </w:style>
  <w:style w:type="character" w:styleId="FootnoteReference">
    <w:name w:val="footnote reference"/>
    <w:basedOn w:val="DefaultParagraphFont"/>
    <w:semiHidden/>
    <w:unhideWhenUsed/>
    <w:rsid w:val="00CC096B"/>
    <w:rPr>
      <w:vertAlign w:val="superscript"/>
    </w:rPr>
  </w:style>
  <w:style w:type="paragraph" w:styleId="CommentSubject">
    <w:name w:val="annotation subject"/>
    <w:basedOn w:val="CommentText"/>
    <w:next w:val="CommentText"/>
    <w:link w:val="CommentSubjectChar"/>
    <w:uiPriority w:val="99"/>
    <w:semiHidden/>
    <w:unhideWhenUsed/>
    <w:rsid w:val="00993D2B"/>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837CA"/>
    <w:rPr>
      <w:rFonts w:ascii="Calibri" w:eastAsia="Calibri" w:hAnsi="Calibri"/>
      <w:b/>
      <w:bCs/>
    </w:rPr>
  </w:style>
  <w:style w:type="paragraph" w:customStyle="1" w:styleId="Tabletext">
    <w:name w:val="Table text"/>
    <w:basedOn w:val="Normal"/>
    <w:rsid w:val="00EB0699"/>
    <w:pPr>
      <w:snapToGrid w:val="0"/>
      <w:spacing w:before="60" w:after="60"/>
    </w:pPr>
    <w:rPr>
      <w:rFonts w:eastAsiaTheme="minorHAnsi"/>
    </w:rPr>
  </w:style>
  <w:style w:type="character" w:styleId="FollowedHyperlink">
    <w:name w:val="FollowedHyperlink"/>
    <w:basedOn w:val="DefaultParagraphFont"/>
    <w:uiPriority w:val="99"/>
    <w:semiHidden/>
    <w:unhideWhenUsed/>
    <w:rsid w:val="00B021C5"/>
    <w:rPr>
      <w:color w:val="800080" w:themeColor="followedHyperlink"/>
      <w:u w:val="single"/>
    </w:rPr>
  </w:style>
  <w:style w:type="paragraph" w:styleId="EndnoteText">
    <w:name w:val="endnote text"/>
    <w:basedOn w:val="Normal"/>
    <w:link w:val="EndnoteTextChar"/>
    <w:uiPriority w:val="99"/>
    <w:semiHidden/>
    <w:unhideWhenUsed/>
    <w:rsid w:val="00071751"/>
    <w:rPr>
      <w:sz w:val="20"/>
      <w:szCs w:val="20"/>
    </w:rPr>
  </w:style>
  <w:style w:type="character" w:customStyle="1" w:styleId="EndnoteTextChar">
    <w:name w:val="Endnote Text Char"/>
    <w:basedOn w:val="DefaultParagraphFont"/>
    <w:link w:val="EndnoteText"/>
    <w:uiPriority w:val="99"/>
    <w:semiHidden/>
    <w:rsid w:val="00071751"/>
  </w:style>
  <w:style w:type="character" w:styleId="EndnoteReference">
    <w:name w:val="endnote reference"/>
    <w:basedOn w:val="DefaultParagraphFont"/>
    <w:uiPriority w:val="99"/>
    <w:semiHidden/>
    <w:unhideWhenUsed/>
    <w:rsid w:val="00071751"/>
    <w:rPr>
      <w:vertAlign w:val="superscript"/>
    </w:rPr>
  </w:style>
  <w:style w:type="character" w:customStyle="1" w:styleId="ref-title">
    <w:name w:val="ref-title"/>
    <w:basedOn w:val="DefaultParagraphFont"/>
    <w:rsid w:val="00780A9A"/>
  </w:style>
  <w:style w:type="character" w:customStyle="1" w:styleId="ref-journal">
    <w:name w:val="ref-journal"/>
    <w:basedOn w:val="DefaultParagraphFont"/>
    <w:rsid w:val="00780A9A"/>
  </w:style>
  <w:style w:type="character" w:customStyle="1" w:styleId="ref-vol">
    <w:name w:val="ref-vol"/>
    <w:basedOn w:val="DefaultParagraphFont"/>
    <w:rsid w:val="00780A9A"/>
  </w:style>
  <w:style w:type="paragraph" w:customStyle="1" w:styleId="biblio">
    <w:name w:val="biblio"/>
    <w:basedOn w:val="Normal"/>
    <w:rsid w:val="00993D2B"/>
    <w:pPr>
      <w:keepLines/>
      <w:spacing w:after="240"/>
      <w:ind w:left="720" w:hanging="720"/>
    </w:pPr>
    <w:rPr>
      <w:szCs w:val="20"/>
    </w:rPr>
  </w:style>
  <w:style w:type="paragraph" w:styleId="TOC2">
    <w:name w:val="toc 2"/>
    <w:basedOn w:val="Normal"/>
    <w:next w:val="Normal"/>
    <w:autoRedefine/>
    <w:uiPriority w:val="39"/>
    <w:qFormat/>
    <w:rsid w:val="00993D2B"/>
    <w:pPr>
      <w:tabs>
        <w:tab w:val="left" w:pos="1080"/>
        <w:tab w:val="right" w:leader="dot" w:pos="9360"/>
      </w:tabs>
      <w:ind w:left="1080" w:right="720" w:hanging="540"/>
    </w:pPr>
    <w:rPr>
      <w:rFonts w:ascii="Verdana" w:hAnsi="Verdana"/>
      <w:noProof/>
      <w:sz w:val="20"/>
      <w:szCs w:val="20"/>
    </w:rPr>
  </w:style>
  <w:style w:type="character" w:customStyle="1" w:styleId="ListParagraphChar">
    <w:name w:val="List Paragraph Char"/>
    <w:link w:val="ListParagraph"/>
    <w:uiPriority w:val="34"/>
    <w:locked/>
    <w:rsid w:val="00993D2B"/>
    <w:rPr>
      <w:sz w:val="24"/>
      <w:szCs w:val="24"/>
    </w:rPr>
  </w:style>
  <w:style w:type="character" w:customStyle="1" w:styleId="BalloonTextChar">
    <w:name w:val="Balloon Text Char"/>
    <w:basedOn w:val="DefaultParagraphFont"/>
    <w:link w:val="BalloonText"/>
    <w:uiPriority w:val="99"/>
    <w:semiHidden/>
    <w:rsid w:val="00993D2B"/>
    <w:rPr>
      <w:rFonts w:ascii="Tahoma" w:hAnsi="Tahoma" w:cs="Tahoma"/>
      <w:sz w:val="16"/>
      <w:szCs w:val="16"/>
    </w:rPr>
  </w:style>
  <w:style w:type="paragraph" w:customStyle="1" w:styleId="bullets">
    <w:name w:val="bullets"/>
    <w:basedOn w:val="Normal"/>
    <w:rsid w:val="00993D2B"/>
    <w:pPr>
      <w:numPr>
        <w:numId w:val="25"/>
      </w:numPr>
      <w:spacing w:after="240"/>
    </w:pPr>
    <w:rPr>
      <w:sz w:val="22"/>
      <w:szCs w:val="20"/>
    </w:rPr>
  </w:style>
  <w:style w:type="character" w:customStyle="1" w:styleId="HeaderChar">
    <w:name w:val="Header Char"/>
    <w:basedOn w:val="DefaultParagraphFont"/>
    <w:link w:val="Header"/>
    <w:uiPriority w:val="99"/>
    <w:rsid w:val="00993D2B"/>
    <w:rPr>
      <w:snapToGrid w:val="0"/>
      <w:sz w:val="24"/>
      <w:szCs w:val="24"/>
    </w:rPr>
  </w:style>
  <w:style w:type="character" w:customStyle="1" w:styleId="FooterChar">
    <w:name w:val="Footer Char"/>
    <w:basedOn w:val="DefaultParagraphFont"/>
    <w:link w:val="Footer"/>
    <w:uiPriority w:val="99"/>
    <w:rsid w:val="00993D2B"/>
    <w:rPr>
      <w:sz w:val="24"/>
      <w:szCs w:val="24"/>
    </w:rPr>
  </w:style>
  <w:style w:type="paragraph" w:customStyle="1" w:styleId="Heading">
    <w:name w:val="Heading"/>
    <w:basedOn w:val="Normal"/>
    <w:qFormat/>
    <w:rsid w:val="00993D2B"/>
    <w:pPr>
      <w:spacing w:before="240" w:after="240"/>
      <w:ind w:left="1440" w:hanging="1440"/>
    </w:pPr>
    <w:rPr>
      <w:sz w:val="22"/>
    </w:rPr>
  </w:style>
  <w:style w:type="paragraph" w:customStyle="1" w:styleId="Headinglast">
    <w:name w:val="Heading last"/>
    <w:basedOn w:val="Heading"/>
    <w:qFormat/>
    <w:rsid w:val="00993D2B"/>
  </w:style>
  <w:style w:type="table" w:styleId="TableGrid">
    <w:name w:val="Table Grid"/>
    <w:basedOn w:val="TableNormal"/>
    <w:uiPriority w:val="59"/>
    <w:rsid w:val="00993D2B"/>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3D2B"/>
    <w:rPr>
      <w:b/>
      <w:bCs/>
      <w:sz w:val="24"/>
      <w:szCs w:val="24"/>
    </w:rPr>
  </w:style>
  <w:style w:type="character" w:customStyle="1" w:styleId="Heading2Char">
    <w:name w:val="Heading 2 Char"/>
    <w:basedOn w:val="DefaultParagraphFont"/>
    <w:link w:val="Heading2"/>
    <w:uiPriority w:val="9"/>
    <w:rsid w:val="00993D2B"/>
    <w:rPr>
      <w:b/>
      <w:bCs/>
      <w:sz w:val="24"/>
      <w:szCs w:val="24"/>
    </w:rPr>
  </w:style>
  <w:style w:type="character" w:customStyle="1" w:styleId="Heading3Char">
    <w:name w:val="Heading 3 Char"/>
    <w:basedOn w:val="DefaultParagraphFont"/>
    <w:link w:val="Heading3"/>
    <w:uiPriority w:val="9"/>
    <w:rsid w:val="00993D2B"/>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D2B"/>
    <w:rPr>
      <w:sz w:val="24"/>
      <w:szCs w:val="24"/>
    </w:rPr>
  </w:style>
  <w:style w:type="paragraph" w:styleId="Heading1">
    <w:name w:val="heading 1"/>
    <w:basedOn w:val="Normal"/>
    <w:next w:val="Normal"/>
    <w:link w:val="Heading1Char"/>
    <w:uiPriority w:val="9"/>
    <w:qFormat/>
    <w:rsid w:val="00993D2B"/>
    <w:pPr>
      <w:keepNext/>
      <w:ind w:right="-360"/>
      <w:outlineLvl w:val="0"/>
    </w:pPr>
    <w:rPr>
      <w:b/>
      <w:bCs/>
    </w:rPr>
  </w:style>
  <w:style w:type="paragraph" w:styleId="Heading2">
    <w:name w:val="heading 2"/>
    <w:basedOn w:val="Normal"/>
    <w:next w:val="Normal"/>
    <w:link w:val="Heading2Char"/>
    <w:uiPriority w:val="9"/>
    <w:qFormat/>
    <w:rsid w:val="00993D2B"/>
    <w:pPr>
      <w:keepNext/>
      <w:jc w:val="center"/>
      <w:outlineLvl w:val="1"/>
    </w:pPr>
    <w:rPr>
      <w:b/>
      <w:bCs/>
    </w:rPr>
  </w:style>
  <w:style w:type="paragraph" w:styleId="Heading3">
    <w:name w:val="heading 3"/>
    <w:basedOn w:val="Normal"/>
    <w:next w:val="Normal"/>
    <w:link w:val="Heading3Char"/>
    <w:uiPriority w:val="9"/>
    <w:qFormat/>
    <w:rsid w:val="00993D2B"/>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93D2B"/>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rsid w:val="00993D2B"/>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link w:val="BalloonTextChar"/>
    <w:uiPriority w:val="99"/>
    <w:semiHidden/>
    <w:rsid w:val="00993D2B"/>
    <w:rPr>
      <w:rFonts w:ascii="Tahoma" w:hAnsi="Tahoma" w:cs="Tahoma"/>
      <w:sz w:val="16"/>
      <w:szCs w:val="16"/>
    </w:rPr>
  </w:style>
  <w:style w:type="character" w:styleId="Hyperlink">
    <w:name w:val="Hyperlink"/>
    <w:rPr>
      <w:color w:val="0000FF"/>
      <w:u w:val="single"/>
    </w:rPr>
  </w:style>
  <w:style w:type="paragraph" w:styleId="ListParagraph">
    <w:name w:val="List Paragraph"/>
    <w:basedOn w:val="Normal"/>
    <w:link w:val="ListParagraphChar"/>
    <w:uiPriority w:val="34"/>
    <w:qFormat/>
    <w:rsid w:val="00993D2B"/>
    <w:pPr>
      <w:ind w:left="720"/>
    </w:pPr>
  </w:style>
  <w:style w:type="character" w:styleId="CommentReference">
    <w:name w:val="annotation reference"/>
    <w:semiHidden/>
    <w:unhideWhenUsed/>
    <w:rsid w:val="00993D2B"/>
    <w:rPr>
      <w:sz w:val="16"/>
      <w:szCs w:val="16"/>
    </w:rPr>
  </w:style>
  <w:style w:type="paragraph" w:styleId="CommentText">
    <w:name w:val="annotation text"/>
    <w:basedOn w:val="Normal"/>
    <w:link w:val="CommentTextChar"/>
    <w:semiHidden/>
    <w:unhideWhenUsed/>
    <w:rsid w:val="00993D2B"/>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semiHidden/>
    <w:rsid w:val="00787E77"/>
    <w:rPr>
      <w:rFonts w:ascii="Calibri" w:eastAsia="Calibri" w:hAnsi="Calibri"/>
    </w:rPr>
  </w:style>
  <w:style w:type="paragraph" w:styleId="FootnoteText">
    <w:name w:val="footnote text"/>
    <w:basedOn w:val="Normal"/>
    <w:link w:val="FootnoteTextChar"/>
    <w:unhideWhenUsed/>
    <w:rsid w:val="00CC096B"/>
    <w:rPr>
      <w:rFonts w:ascii="Garamond" w:hAnsi="Garamond"/>
      <w:sz w:val="20"/>
      <w:szCs w:val="20"/>
    </w:rPr>
  </w:style>
  <w:style w:type="character" w:customStyle="1" w:styleId="FootnoteTextChar">
    <w:name w:val="Footnote Text Char"/>
    <w:basedOn w:val="DefaultParagraphFont"/>
    <w:link w:val="FootnoteText"/>
    <w:rsid w:val="00CC096B"/>
    <w:rPr>
      <w:rFonts w:ascii="Garamond" w:hAnsi="Garamond"/>
    </w:rPr>
  </w:style>
  <w:style w:type="character" w:styleId="FootnoteReference">
    <w:name w:val="footnote reference"/>
    <w:basedOn w:val="DefaultParagraphFont"/>
    <w:semiHidden/>
    <w:unhideWhenUsed/>
    <w:rsid w:val="00CC096B"/>
    <w:rPr>
      <w:vertAlign w:val="superscript"/>
    </w:rPr>
  </w:style>
  <w:style w:type="paragraph" w:styleId="CommentSubject">
    <w:name w:val="annotation subject"/>
    <w:basedOn w:val="CommentText"/>
    <w:next w:val="CommentText"/>
    <w:link w:val="CommentSubjectChar"/>
    <w:uiPriority w:val="99"/>
    <w:semiHidden/>
    <w:unhideWhenUsed/>
    <w:rsid w:val="00993D2B"/>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837CA"/>
    <w:rPr>
      <w:rFonts w:ascii="Calibri" w:eastAsia="Calibri" w:hAnsi="Calibri"/>
      <w:b/>
      <w:bCs/>
    </w:rPr>
  </w:style>
  <w:style w:type="paragraph" w:customStyle="1" w:styleId="Tabletext">
    <w:name w:val="Table text"/>
    <w:basedOn w:val="Normal"/>
    <w:rsid w:val="00EB0699"/>
    <w:pPr>
      <w:snapToGrid w:val="0"/>
      <w:spacing w:before="60" w:after="60"/>
    </w:pPr>
    <w:rPr>
      <w:rFonts w:eastAsiaTheme="minorHAnsi"/>
    </w:rPr>
  </w:style>
  <w:style w:type="character" w:styleId="FollowedHyperlink">
    <w:name w:val="FollowedHyperlink"/>
    <w:basedOn w:val="DefaultParagraphFont"/>
    <w:uiPriority w:val="99"/>
    <w:semiHidden/>
    <w:unhideWhenUsed/>
    <w:rsid w:val="00B021C5"/>
    <w:rPr>
      <w:color w:val="800080" w:themeColor="followedHyperlink"/>
      <w:u w:val="single"/>
    </w:rPr>
  </w:style>
  <w:style w:type="paragraph" w:styleId="EndnoteText">
    <w:name w:val="endnote text"/>
    <w:basedOn w:val="Normal"/>
    <w:link w:val="EndnoteTextChar"/>
    <w:uiPriority w:val="99"/>
    <w:semiHidden/>
    <w:unhideWhenUsed/>
    <w:rsid w:val="00071751"/>
    <w:rPr>
      <w:sz w:val="20"/>
      <w:szCs w:val="20"/>
    </w:rPr>
  </w:style>
  <w:style w:type="character" w:customStyle="1" w:styleId="EndnoteTextChar">
    <w:name w:val="Endnote Text Char"/>
    <w:basedOn w:val="DefaultParagraphFont"/>
    <w:link w:val="EndnoteText"/>
    <w:uiPriority w:val="99"/>
    <w:semiHidden/>
    <w:rsid w:val="00071751"/>
  </w:style>
  <w:style w:type="character" w:styleId="EndnoteReference">
    <w:name w:val="endnote reference"/>
    <w:basedOn w:val="DefaultParagraphFont"/>
    <w:uiPriority w:val="99"/>
    <w:semiHidden/>
    <w:unhideWhenUsed/>
    <w:rsid w:val="00071751"/>
    <w:rPr>
      <w:vertAlign w:val="superscript"/>
    </w:rPr>
  </w:style>
  <w:style w:type="character" w:customStyle="1" w:styleId="ref-title">
    <w:name w:val="ref-title"/>
    <w:basedOn w:val="DefaultParagraphFont"/>
    <w:rsid w:val="00780A9A"/>
  </w:style>
  <w:style w:type="character" w:customStyle="1" w:styleId="ref-journal">
    <w:name w:val="ref-journal"/>
    <w:basedOn w:val="DefaultParagraphFont"/>
    <w:rsid w:val="00780A9A"/>
  </w:style>
  <w:style w:type="character" w:customStyle="1" w:styleId="ref-vol">
    <w:name w:val="ref-vol"/>
    <w:basedOn w:val="DefaultParagraphFont"/>
    <w:rsid w:val="00780A9A"/>
  </w:style>
  <w:style w:type="paragraph" w:customStyle="1" w:styleId="biblio">
    <w:name w:val="biblio"/>
    <w:basedOn w:val="Normal"/>
    <w:rsid w:val="00993D2B"/>
    <w:pPr>
      <w:keepLines/>
      <w:spacing w:after="240"/>
      <w:ind w:left="720" w:hanging="720"/>
    </w:pPr>
    <w:rPr>
      <w:szCs w:val="20"/>
    </w:rPr>
  </w:style>
  <w:style w:type="paragraph" w:styleId="TOC2">
    <w:name w:val="toc 2"/>
    <w:basedOn w:val="Normal"/>
    <w:next w:val="Normal"/>
    <w:autoRedefine/>
    <w:uiPriority w:val="39"/>
    <w:qFormat/>
    <w:rsid w:val="00993D2B"/>
    <w:pPr>
      <w:tabs>
        <w:tab w:val="left" w:pos="1080"/>
        <w:tab w:val="right" w:leader="dot" w:pos="9360"/>
      </w:tabs>
      <w:ind w:left="1080" w:right="720" w:hanging="540"/>
    </w:pPr>
    <w:rPr>
      <w:rFonts w:ascii="Verdana" w:hAnsi="Verdana"/>
      <w:noProof/>
      <w:sz w:val="20"/>
      <w:szCs w:val="20"/>
    </w:rPr>
  </w:style>
  <w:style w:type="character" w:customStyle="1" w:styleId="ListParagraphChar">
    <w:name w:val="List Paragraph Char"/>
    <w:link w:val="ListParagraph"/>
    <w:uiPriority w:val="34"/>
    <w:locked/>
    <w:rsid w:val="00993D2B"/>
    <w:rPr>
      <w:sz w:val="24"/>
      <w:szCs w:val="24"/>
    </w:rPr>
  </w:style>
  <w:style w:type="character" w:customStyle="1" w:styleId="BalloonTextChar">
    <w:name w:val="Balloon Text Char"/>
    <w:basedOn w:val="DefaultParagraphFont"/>
    <w:link w:val="BalloonText"/>
    <w:uiPriority w:val="99"/>
    <w:semiHidden/>
    <w:rsid w:val="00993D2B"/>
    <w:rPr>
      <w:rFonts w:ascii="Tahoma" w:hAnsi="Tahoma" w:cs="Tahoma"/>
      <w:sz w:val="16"/>
      <w:szCs w:val="16"/>
    </w:rPr>
  </w:style>
  <w:style w:type="paragraph" w:customStyle="1" w:styleId="bullets">
    <w:name w:val="bullets"/>
    <w:basedOn w:val="Normal"/>
    <w:rsid w:val="00993D2B"/>
    <w:pPr>
      <w:numPr>
        <w:numId w:val="25"/>
      </w:numPr>
      <w:spacing w:after="240"/>
    </w:pPr>
    <w:rPr>
      <w:sz w:val="22"/>
      <w:szCs w:val="20"/>
    </w:rPr>
  </w:style>
  <w:style w:type="character" w:customStyle="1" w:styleId="HeaderChar">
    <w:name w:val="Header Char"/>
    <w:basedOn w:val="DefaultParagraphFont"/>
    <w:link w:val="Header"/>
    <w:uiPriority w:val="99"/>
    <w:rsid w:val="00993D2B"/>
    <w:rPr>
      <w:snapToGrid w:val="0"/>
      <w:sz w:val="24"/>
      <w:szCs w:val="24"/>
    </w:rPr>
  </w:style>
  <w:style w:type="character" w:customStyle="1" w:styleId="FooterChar">
    <w:name w:val="Footer Char"/>
    <w:basedOn w:val="DefaultParagraphFont"/>
    <w:link w:val="Footer"/>
    <w:uiPriority w:val="99"/>
    <w:rsid w:val="00993D2B"/>
    <w:rPr>
      <w:sz w:val="24"/>
      <w:szCs w:val="24"/>
    </w:rPr>
  </w:style>
  <w:style w:type="paragraph" w:customStyle="1" w:styleId="Heading">
    <w:name w:val="Heading"/>
    <w:basedOn w:val="Normal"/>
    <w:qFormat/>
    <w:rsid w:val="00993D2B"/>
    <w:pPr>
      <w:spacing w:before="240" w:after="240"/>
      <w:ind w:left="1440" w:hanging="1440"/>
    </w:pPr>
    <w:rPr>
      <w:sz w:val="22"/>
    </w:rPr>
  </w:style>
  <w:style w:type="paragraph" w:customStyle="1" w:styleId="Headinglast">
    <w:name w:val="Heading last"/>
    <w:basedOn w:val="Heading"/>
    <w:qFormat/>
    <w:rsid w:val="00993D2B"/>
  </w:style>
  <w:style w:type="table" w:styleId="TableGrid">
    <w:name w:val="Table Grid"/>
    <w:basedOn w:val="TableNormal"/>
    <w:uiPriority w:val="59"/>
    <w:rsid w:val="00993D2B"/>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3D2B"/>
    <w:rPr>
      <w:b/>
      <w:bCs/>
      <w:sz w:val="24"/>
      <w:szCs w:val="24"/>
    </w:rPr>
  </w:style>
  <w:style w:type="character" w:customStyle="1" w:styleId="Heading2Char">
    <w:name w:val="Heading 2 Char"/>
    <w:basedOn w:val="DefaultParagraphFont"/>
    <w:link w:val="Heading2"/>
    <w:uiPriority w:val="9"/>
    <w:rsid w:val="00993D2B"/>
    <w:rPr>
      <w:b/>
      <w:bCs/>
      <w:sz w:val="24"/>
      <w:szCs w:val="24"/>
    </w:rPr>
  </w:style>
  <w:style w:type="character" w:customStyle="1" w:styleId="Heading3Char">
    <w:name w:val="Heading 3 Char"/>
    <w:basedOn w:val="DefaultParagraphFont"/>
    <w:link w:val="Heading3"/>
    <w:uiPriority w:val="9"/>
    <w:rsid w:val="00993D2B"/>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890657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3349">
          <w:marLeft w:val="0"/>
          <w:marRight w:val="0"/>
          <w:marTop w:val="0"/>
          <w:marBottom w:val="0"/>
          <w:divBdr>
            <w:top w:val="none" w:sz="0" w:space="0" w:color="auto"/>
            <w:left w:val="none" w:sz="0" w:space="0" w:color="auto"/>
            <w:bottom w:val="none" w:sz="0" w:space="0" w:color="auto"/>
            <w:right w:val="none" w:sz="0" w:space="0" w:color="auto"/>
          </w:divBdr>
          <w:divsChild>
            <w:div w:id="111368839">
              <w:marLeft w:val="0"/>
              <w:marRight w:val="0"/>
              <w:marTop w:val="0"/>
              <w:marBottom w:val="0"/>
              <w:divBdr>
                <w:top w:val="none" w:sz="0" w:space="0" w:color="auto"/>
                <w:left w:val="none" w:sz="0" w:space="0" w:color="auto"/>
                <w:bottom w:val="none" w:sz="0" w:space="0" w:color="auto"/>
                <w:right w:val="none" w:sz="0" w:space="0" w:color="auto"/>
              </w:divBdr>
              <w:divsChild>
                <w:div w:id="169374568">
                  <w:marLeft w:val="0"/>
                  <w:marRight w:val="0"/>
                  <w:marTop w:val="0"/>
                  <w:marBottom w:val="0"/>
                  <w:divBdr>
                    <w:top w:val="none" w:sz="0" w:space="0" w:color="auto"/>
                    <w:left w:val="none" w:sz="0" w:space="0" w:color="auto"/>
                    <w:bottom w:val="none" w:sz="0" w:space="0" w:color="auto"/>
                    <w:right w:val="none" w:sz="0" w:space="0" w:color="auto"/>
                  </w:divBdr>
                  <w:divsChild>
                    <w:div w:id="554389323">
                      <w:marLeft w:val="0"/>
                      <w:marRight w:val="0"/>
                      <w:marTop w:val="0"/>
                      <w:marBottom w:val="0"/>
                      <w:divBdr>
                        <w:top w:val="none" w:sz="0" w:space="0" w:color="auto"/>
                        <w:left w:val="none" w:sz="0" w:space="0" w:color="auto"/>
                        <w:bottom w:val="none" w:sz="0" w:space="0" w:color="auto"/>
                        <w:right w:val="none" w:sz="0" w:space="0" w:color="auto"/>
                      </w:divBdr>
                      <w:divsChild>
                        <w:div w:id="2061440152">
                          <w:marLeft w:val="0"/>
                          <w:marRight w:val="0"/>
                          <w:marTop w:val="0"/>
                          <w:marBottom w:val="0"/>
                          <w:divBdr>
                            <w:top w:val="none" w:sz="0" w:space="0" w:color="auto"/>
                            <w:left w:val="none" w:sz="0" w:space="0" w:color="auto"/>
                            <w:bottom w:val="none" w:sz="0" w:space="0" w:color="auto"/>
                            <w:right w:val="none" w:sz="0" w:space="0" w:color="auto"/>
                          </w:divBdr>
                          <w:divsChild>
                            <w:div w:id="13864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907235">
      <w:bodyDiv w:val="1"/>
      <w:marLeft w:val="0"/>
      <w:marRight w:val="0"/>
      <w:marTop w:val="0"/>
      <w:marBottom w:val="0"/>
      <w:divBdr>
        <w:top w:val="none" w:sz="0" w:space="0" w:color="auto"/>
        <w:left w:val="none" w:sz="0" w:space="0" w:color="auto"/>
        <w:bottom w:val="none" w:sz="0" w:space="0" w:color="auto"/>
        <w:right w:val="none" w:sz="0" w:space="0" w:color="auto"/>
      </w:divBdr>
      <w:divsChild>
        <w:div w:id="781728463">
          <w:marLeft w:val="0"/>
          <w:marRight w:val="0"/>
          <w:marTop w:val="0"/>
          <w:marBottom w:val="0"/>
          <w:divBdr>
            <w:top w:val="none" w:sz="0" w:space="0" w:color="auto"/>
            <w:left w:val="none" w:sz="0" w:space="0" w:color="auto"/>
            <w:bottom w:val="none" w:sz="0" w:space="0" w:color="auto"/>
            <w:right w:val="none" w:sz="0" w:space="0" w:color="auto"/>
          </w:divBdr>
          <w:divsChild>
            <w:div w:id="1981883919">
              <w:marLeft w:val="0"/>
              <w:marRight w:val="0"/>
              <w:marTop w:val="0"/>
              <w:marBottom w:val="0"/>
              <w:divBdr>
                <w:top w:val="none" w:sz="0" w:space="0" w:color="auto"/>
                <w:left w:val="none" w:sz="0" w:space="0" w:color="auto"/>
                <w:bottom w:val="none" w:sz="0" w:space="0" w:color="auto"/>
                <w:right w:val="none" w:sz="0" w:space="0" w:color="auto"/>
              </w:divBdr>
              <w:divsChild>
                <w:div w:id="1837459786">
                  <w:marLeft w:val="0"/>
                  <w:marRight w:val="0"/>
                  <w:marTop w:val="0"/>
                  <w:marBottom w:val="0"/>
                  <w:divBdr>
                    <w:top w:val="none" w:sz="0" w:space="0" w:color="auto"/>
                    <w:left w:val="none" w:sz="0" w:space="0" w:color="auto"/>
                    <w:bottom w:val="none" w:sz="0" w:space="0" w:color="auto"/>
                    <w:right w:val="none" w:sz="0" w:space="0" w:color="auto"/>
                  </w:divBdr>
                  <w:divsChild>
                    <w:div w:id="1429422374">
                      <w:marLeft w:val="0"/>
                      <w:marRight w:val="0"/>
                      <w:marTop w:val="0"/>
                      <w:marBottom w:val="0"/>
                      <w:divBdr>
                        <w:top w:val="none" w:sz="0" w:space="0" w:color="auto"/>
                        <w:left w:val="none" w:sz="0" w:space="0" w:color="auto"/>
                        <w:bottom w:val="none" w:sz="0" w:space="0" w:color="auto"/>
                        <w:right w:val="none" w:sz="0" w:space="0" w:color="auto"/>
                      </w:divBdr>
                      <w:divsChild>
                        <w:div w:id="980382280">
                          <w:marLeft w:val="0"/>
                          <w:marRight w:val="0"/>
                          <w:marTop w:val="0"/>
                          <w:marBottom w:val="0"/>
                          <w:divBdr>
                            <w:top w:val="none" w:sz="0" w:space="0" w:color="auto"/>
                            <w:left w:val="none" w:sz="0" w:space="0" w:color="auto"/>
                            <w:bottom w:val="none" w:sz="0" w:space="0" w:color="auto"/>
                            <w:right w:val="none" w:sz="0" w:space="0" w:color="auto"/>
                          </w:divBdr>
                          <w:divsChild>
                            <w:div w:id="20583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949320">
      <w:bodyDiv w:val="1"/>
      <w:marLeft w:val="0"/>
      <w:marRight w:val="0"/>
      <w:marTop w:val="0"/>
      <w:marBottom w:val="0"/>
      <w:divBdr>
        <w:top w:val="none" w:sz="0" w:space="0" w:color="auto"/>
        <w:left w:val="none" w:sz="0" w:space="0" w:color="auto"/>
        <w:bottom w:val="none" w:sz="0" w:space="0" w:color="auto"/>
        <w:right w:val="none" w:sz="0" w:space="0" w:color="auto"/>
      </w:divBdr>
    </w:div>
    <w:div w:id="1271860756">
      <w:bodyDiv w:val="1"/>
      <w:marLeft w:val="0"/>
      <w:marRight w:val="0"/>
      <w:marTop w:val="0"/>
      <w:marBottom w:val="0"/>
      <w:divBdr>
        <w:top w:val="none" w:sz="0" w:space="0" w:color="auto"/>
        <w:left w:val="none" w:sz="0" w:space="0" w:color="auto"/>
        <w:bottom w:val="none" w:sz="0" w:space="0" w:color="auto"/>
        <w:right w:val="none" w:sz="0" w:space="0" w:color="auto"/>
      </w:divBdr>
      <w:divsChild>
        <w:div w:id="1507397608">
          <w:marLeft w:val="0"/>
          <w:marRight w:val="0"/>
          <w:marTop w:val="0"/>
          <w:marBottom w:val="0"/>
          <w:divBdr>
            <w:top w:val="none" w:sz="0" w:space="0" w:color="auto"/>
            <w:left w:val="none" w:sz="0" w:space="0" w:color="auto"/>
            <w:bottom w:val="none" w:sz="0" w:space="0" w:color="auto"/>
            <w:right w:val="none" w:sz="0" w:space="0" w:color="auto"/>
          </w:divBdr>
          <w:divsChild>
            <w:div w:id="1235435703">
              <w:marLeft w:val="0"/>
              <w:marRight w:val="0"/>
              <w:marTop w:val="0"/>
              <w:marBottom w:val="0"/>
              <w:divBdr>
                <w:top w:val="none" w:sz="0" w:space="0" w:color="auto"/>
                <w:left w:val="none" w:sz="0" w:space="0" w:color="auto"/>
                <w:bottom w:val="none" w:sz="0" w:space="0" w:color="auto"/>
                <w:right w:val="none" w:sz="0" w:space="0" w:color="auto"/>
              </w:divBdr>
              <w:divsChild>
                <w:div w:id="1265726337">
                  <w:marLeft w:val="0"/>
                  <w:marRight w:val="0"/>
                  <w:marTop w:val="0"/>
                  <w:marBottom w:val="0"/>
                  <w:divBdr>
                    <w:top w:val="none" w:sz="0" w:space="0" w:color="auto"/>
                    <w:left w:val="none" w:sz="0" w:space="0" w:color="auto"/>
                    <w:bottom w:val="none" w:sz="0" w:space="0" w:color="auto"/>
                    <w:right w:val="none" w:sz="0" w:space="0" w:color="auto"/>
                  </w:divBdr>
                  <w:divsChild>
                    <w:div w:id="632950116">
                      <w:marLeft w:val="0"/>
                      <w:marRight w:val="0"/>
                      <w:marTop w:val="0"/>
                      <w:marBottom w:val="0"/>
                      <w:divBdr>
                        <w:top w:val="none" w:sz="0" w:space="0" w:color="auto"/>
                        <w:left w:val="none" w:sz="0" w:space="0" w:color="auto"/>
                        <w:bottom w:val="none" w:sz="0" w:space="0" w:color="auto"/>
                        <w:right w:val="none" w:sz="0" w:space="0" w:color="auto"/>
                      </w:divBdr>
                      <w:divsChild>
                        <w:div w:id="405953113">
                          <w:marLeft w:val="0"/>
                          <w:marRight w:val="0"/>
                          <w:marTop w:val="0"/>
                          <w:marBottom w:val="0"/>
                          <w:divBdr>
                            <w:top w:val="none" w:sz="0" w:space="0" w:color="auto"/>
                            <w:left w:val="none" w:sz="0" w:space="0" w:color="auto"/>
                            <w:bottom w:val="none" w:sz="0" w:space="0" w:color="auto"/>
                            <w:right w:val="none" w:sz="0" w:space="0" w:color="auto"/>
                          </w:divBdr>
                          <w:divsChild>
                            <w:div w:id="2337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70421">
      <w:bodyDiv w:val="1"/>
      <w:marLeft w:val="0"/>
      <w:marRight w:val="0"/>
      <w:marTop w:val="0"/>
      <w:marBottom w:val="0"/>
      <w:divBdr>
        <w:top w:val="none" w:sz="0" w:space="0" w:color="auto"/>
        <w:left w:val="none" w:sz="0" w:space="0" w:color="auto"/>
        <w:bottom w:val="none" w:sz="0" w:space="0" w:color="auto"/>
        <w:right w:val="none" w:sz="0" w:space="0" w:color="auto"/>
      </w:divBdr>
    </w:div>
    <w:div w:id="2019119443">
      <w:bodyDiv w:val="1"/>
      <w:marLeft w:val="0"/>
      <w:marRight w:val="0"/>
      <w:marTop w:val="0"/>
      <w:marBottom w:val="0"/>
      <w:divBdr>
        <w:top w:val="none" w:sz="0" w:space="0" w:color="auto"/>
        <w:left w:val="none" w:sz="0" w:space="0" w:color="auto"/>
        <w:bottom w:val="none" w:sz="0" w:space="0" w:color="auto"/>
        <w:right w:val="none" w:sz="0" w:space="0" w:color="auto"/>
      </w:divBdr>
      <w:divsChild>
        <w:div w:id="1230579027">
          <w:marLeft w:val="0"/>
          <w:marRight w:val="0"/>
          <w:marTop w:val="0"/>
          <w:marBottom w:val="0"/>
          <w:divBdr>
            <w:top w:val="none" w:sz="0" w:space="0" w:color="auto"/>
            <w:left w:val="none" w:sz="0" w:space="0" w:color="auto"/>
            <w:bottom w:val="none" w:sz="0" w:space="0" w:color="auto"/>
            <w:right w:val="none" w:sz="0" w:space="0" w:color="auto"/>
          </w:divBdr>
          <w:divsChild>
            <w:div w:id="674108963">
              <w:marLeft w:val="0"/>
              <w:marRight w:val="0"/>
              <w:marTop w:val="0"/>
              <w:marBottom w:val="0"/>
              <w:divBdr>
                <w:top w:val="none" w:sz="0" w:space="0" w:color="auto"/>
                <w:left w:val="none" w:sz="0" w:space="0" w:color="auto"/>
                <w:bottom w:val="none" w:sz="0" w:space="0" w:color="auto"/>
                <w:right w:val="none" w:sz="0" w:space="0" w:color="auto"/>
              </w:divBdr>
              <w:divsChild>
                <w:div w:id="1068308649">
                  <w:marLeft w:val="0"/>
                  <w:marRight w:val="0"/>
                  <w:marTop w:val="0"/>
                  <w:marBottom w:val="0"/>
                  <w:divBdr>
                    <w:top w:val="none" w:sz="0" w:space="0" w:color="auto"/>
                    <w:left w:val="none" w:sz="0" w:space="0" w:color="auto"/>
                    <w:bottom w:val="none" w:sz="0" w:space="0" w:color="auto"/>
                    <w:right w:val="none" w:sz="0" w:space="0" w:color="auto"/>
                  </w:divBdr>
                  <w:divsChild>
                    <w:div w:id="109320535">
                      <w:marLeft w:val="0"/>
                      <w:marRight w:val="0"/>
                      <w:marTop w:val="0"/>
                      <w:marBottom w:val="0"/>
                      <w:divBdr>
                        <w:top w:val="none" w:sz="0" w:space="0" w:color="auto"/>
                        <w:left w:val="none" w:sz="0" w:space="0" w:color="auto"/>
                        <w:bottom w:val="none" w:sz="0" w:space="0" w:color="auto"/>
                        <w:right w:val="none" w:sz="0" w:space="0" w:color="auto"/>
                      </w:divBdr>
                      <w:divsChild>
                        <w:div w:id="1197280984">
                          <w:marLeft w:val="0"/>
                          <w:marRight w:val="0"/>
                          <w:marTop w:val="0"/>
                          <w:marBottom w:val="0"/>
                          <w:divBdr>
                            <w:top w:val="none" w:sz="0" w:space="0" w:color="auto"/>
                            <w:left w:val="none" w:sz="0" w:space="0" w:color="auto"/>
                            <w:bottom w:val="none" w:sz="0" w:space="0" w:color="auto"/>
                            <w:right w:val="none" w:sz="0" w:space="0" w:color="auto"/>
                          </w:divBdr>
                          <w:divsChild>
                            <w:div w:id="18031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la.Mizrachi@fda.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80/10810730.2016.11793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17B92-CDD3-48B0-A65B-AEAE8D979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2772</Words>
  <Characters>15803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2010-11-01T18:07:00Z</cp:lastPrinted>
  <dcterms:created xsi:type="dcterms:W3CDTF">2019-08-16T15:47:00Z</dcterms:created>
  <dcterms:modified xsi:type="dcterms:W3CDTF">2019-08-16T15:47:00Z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