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FE9DF" w14:textId="77777777" w:rsidR="003F1C7A" w:rsidRDefault="00364051" w:rsidP="00243BAE">
      <w:pPr>
        <w:pStyle w:val="Heading2"/>
        <w:tabs>
          <w:tab w:val="left" w:pos="900"/>
        </w:tabs>
        <w:ind w:right="-180"/>
        <w:rPr>
          <w:sz w:val="28"/>
        </w:rPr>
      </w:pPr>
      <w:bookmarkStart w:id="0" w:name="_GoBack"/>
      <w:bookmarkEnd w:id="0"/>
      <w:r>
        <w:rPr>
          <w:sz w:val="28"/>
        </w:rPr>
        <w:t>FDA</w:t>
      </w:r>
      <w:r w:rsidR="00243BAE">
        <w:rPr>
          <w:sz w:val="28"/>
        </w:rPr>
        <w:t xml:space="preserve"> </w:t>
      </w:r>
      <w:r w:rsidR="003F1C7A">
        <w:rPr>
          <w:sz w:val="28"/>
        </w:rPr>
        <w:t>DOCUMENTATION FOR THE GENERIC CLEARANCE</w:t>
      </w:r>
    </w:p>
    <w:p w14:paraId="01DBED14" w14:textId="77777777" w:rsidR="003F1C7A" w:rsidRDefault="003F1C7A">
      <w:pPr>
        <w:jc w:val="center"/>
      </w:pPr>
      <w:r>
        <w:rPr>
          <w:b/>
          <w:sz w:val="28"/>
        </w:rPr>
        <w:t xml:space="preserve">OF </w:t>
      </w:r>
      <w:r w:rsidR="00F12AEE">
        <w:rPr>
          <w:b/>
          <w:sz w:val="28"/>
        </w:rPr>
        <w:t>FOCUS GROUPS</w:t>
      </w:r>
      <w:r w:rsidR="000F2F28">
        <w:rPr>
          <w:b/>
          <w:sz w:val="28"/>
        </w:rPr>
        <w:t xml:space="preserve"> (0910-0497)</w:t>
      </w:r>
    </w:p>
    <w:p w14:paraId="6D22BC4E" w14:textId="77777777" w:rsidR="003F1C7A" w:rsidRDefault="004910F4">
      <w:r>
        <w:rPr>
          <w:noProof/>
          <w:sz w:val="18"/>
          <w:szCs w:val="18"/>
        </w:rPr>
        <mc:AlternateContent>
          <mc:Choice Requires="wps">
            <w:drawing>
              <wp:anchor distT="0" distB="0" distL="114300" distR="114300" simplePos="0" relativeHeight="251657728" behindDoc="0" locked="0" layoutInCell="1" allowOverlap="1" wp14:anchorId="26841BDC" wp14:editId="352D7FDE">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CBACE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689EE456" w14:textId="305FF116" w:rsidR="003F1C7A" w:rsidRPr="00463B4D" w:rsidRDefault="009404FA">
      <w:pPr>
        <w:rPr>
          <w:sz w:val="20"/>
          <w:szCs w:val="20"/>
        </w:rPr>
      </w:pPr>
      <w:r w:rsidRPr="00463B4D">
        <w:rPr>
          <w:sz w:val="20"/>
          <w:szCs w:val="20"/>
        </w:rPr>
        <w:t xml:space="preserve">Focus groups do not yield quantitative findings.  They can provide public input, but they do not yield data about public opinion that can be </w:t>
      </w:r>
      <w:r w:rsidR="00F40866">
        <w:rPr>
          <w:sz w:val="20"/>
          <w:szCs w:val="20"/>
        </w:rPr>
        <w:t xml:space="preserve">statistically </w:t>
      </w:r>
      <w:r w:rsidRPr="00463B4D">
        <w:rPr>
          <w:sz w:val="20"/>
          <w:szCs w:val="20"/>
        </w:rPr>
        <w:t xml:space="preserve">generalized.  As such, they cannot be used to drive the development of policies, programs, and services.  Policy makers and educators can use focus groups findings to test and refine their </w:t>
      </w:r>
      <w:r w:rsidR="00282871" w:rsidRPr="00463B4D">
        <w:rPr>
          <w:sz w:val="20"/>
          <w:szCs w:val="20"/>
        </w:rPr>
        <w:t>ideas but</w:t>
      </w:r>
      <w:r w:rsidRPr="00463B4D">
        <w:rPr>
          <w:sz w:val="20"/>
          <w:szCs w:val="20"/>
        </w:rPr>
        <w:t xml:space="preserve"> should then conduct further research before making important decisions such as adopting new policies and allocating or redirecting significant resources to support these policies.</w:t>
      </w:r>
    </w:p>
    <w:p w14:paraId="32AAACA8" w14:textId="136C4692" w:rsidR="003F1C7A" w:rsidRDefault="003F1C7A" w:rsidP="005E23BA">
      <w:pPr>
        <w:spacing w:before="120"/>
      </w:pPr>
      <w:r>
        <w:rPr>
          <w:b/>
        </w:rPr>
        <w:t>TITLE OF INFORMATION COLLECTION:</w:t>
      </w:r>
      <w:r>
        <w:t xml:space="preserve">  </w:t>
      </w:r>
      <w:r w:rsidR="00E62E33">
        <w:t>Healthy Icon Focus Groups</w:t>
      </w:r>
      <w:r w:rsidR="004A1115">
        <w:t xml:space="preserve"> – Phase I</w:t>
      </w:r>
      <w:r w:rsidR="00B956CF">
        <w:t>I</w:t>
      </w:r>
    </w:p>
    <w:p w14:paraId="3FDF10F9" w14:textId="3BDC0BCE" w:rsidR="00290BA3" w:rsidRDefault="00290BA3" w:rsidP="00B956CF"/>
    <w:p w14:paraId="37C02F21" w14:textId="77777777" w:rsidR="003F1C7A" w:rsidRDefault="003F1C7A">
      <w:pPr>
        <w:spacing w:after="120"/>
      </w:pPr>
      <w:r>
        <w:rPr>
          <w:b/>
        </w:rPr>
        <w:t>DESCRIPTION OF THIS SPECIFIC COLLECTION</w:t>
      </w:r>
      <w:r>
        <w:t xml:space="preserve"> </w:t>
      </w:r>
    </w:p>
    <w:p w14:paraId="62DCC3A0" w14:textId="77777777" w:rsidR="003F1C7A" w:rsidRDefault="0049419A" w:rsidP="00F12AEE">
      <w:pPr>
        <w:numPr>
          <w:ilvl w:val="0"/>
          <w:numId w:val="15"/>
        </w:numPr>
        <w:tabs>
          <w:tab w:val="clear" w:pos="1296"/>
          <w:tab w:val="num" w:pos="720"/>
        </w:tabs>
        <w:ind w:left="360" w:firstLine="0"/>
      </w:pPr>
      <w:r>
        <w:rPr>
          <w:b/>
        </w:rPr>
        <w:t>Statement of n</w:t>
      </w:r>
      <w:r w:rsidR="00F12AEE">
        <w:rPr>
          <w:b/>
        </w:rPr>
        <w:t>eed</w:t>
      </w:r>
      <w:r w:rsidR="003F1C7A" w:rsidRPr="00E26798">
        <w:rPr>
          <w:b/>
        </w:rPr>
        <w:t>:</w:t>
      </w:r>
      <w:r w:rsidR="003F1C7A">
        <w:t xml:space="preserve">  </w:t>
      </w:r>
    </w:p>
    <w:p w14:paraId="1DA66EB8" w14:textId="77777777" w:rsidR="004122E8" w:rsidRDefault="004122E8" w:rsidP="001F4357">
      <w:pPr>
        <w:ind w:left="720"/>
      </w:pPr>
    </w:p>
    <w:p w14:paraId="7A22FC97" w14:textId="2E5C1535" w:rsidR="001F4357" w:rsidRDefault="00787E77" w:rsidP="001F4357">
      <w:pPr>
        <w:ind w:left="720"/>
      </w:pPr>
      <w:r w:rsidRPr="00336FCF">
        <w:t xml:space="preserve">The Food and Drug Administration (FDA), Center for </w:t>
      </w:r>
      <w:r>
        <w:t>Food Safety and Applied Nutrition</w:t>
      </w:r>
      <w:r w:rsidRPr="00336FCF">
        <w:t xml:space="preserve"> (C</w:t>
      </w:r>
      <w:r>
        <w:t>FSAN</w:t>
      </w:r>
      <w:r w:rsidRPr="00336FCF">
        <w:t xml:space="preserve">), Office of </w:t>
      </w:r>
      <w:r>
        <w:t>Analytics and Outreach</w:t>
      </w:r>
      <w:r w:rsidRPr="00336FCF">
        <w:t xml:space="preserve"> is seeking OMB approval under the generic clearance 0910-0497</w:t>
      </w:r>
      <w:r>
        <w:t xml:space="preserve"> for the focus group</w:t>
      </w:r>
      <w:r w:rsidRPr="00336FCF">
        <w:t xml:space="preserve"> project, “</w:t>
      </w:r>
      <w:r w:rsidR="00E62E33">
        <w:t>Healthy Icon Focus Groups</w:t>
      </w:r>
      <w:r w:rsidR="004A1115">
        <w:t xml:space="preserve"> - Phase </w:t>
      </w:r>
      <w:r w:rsidR="005B75C9">
        <w:t>II</w:t>
      </w:r>
      <w:r w:rsidR="00E62E33">
        <w:t>.</w:t>
      </w:r>
      <w:r>
        <w:t xml:space="preserve">” </w:t>
      </w:r>
    </w:p>
    <w:p w14:paraId="7CC3F435" w14:textId="77777777" w:rsidR="001F4357" w:rsidRDefault="001F4357" w:rsidP="001F4357">
      <w:pPr>
        <w:ind w:left="720"/>
      </w:pPr>
    </w:p>
    <w:p w14:paraId="5D82737A" w14:textId="70195DC2" w:rsidR="001F4357" w:rsidRDefault="008C1492" w:rsidP="00040ADC">
      <w:pPr>
        <w:ind w:left="720"/>
      </w:pPr>
      <w:r>
        <w:t>On</w:t>
      </w:r>
      <w:r w:rsidRPr="001F4357">
        <w:t xml:space="preserve"> </w:t>
      </w:r>
      <w:r w:rsidR="001F4357" w:rsidRPr="001F4357">
        <w:t>January</w:t>
      </w:r>
      <w:r w:rsidR="004122E8">
        <w:t xml:space="preserve"> 11,</w:t>
      </w:r>
      <w:r w:rsidR="001F4357" w:rsidRPr="001F4357">
        <w:t xml:space="preserve"> 2018, the FDA issued a Strategic Policy Roadmap</w:t>
      </w:r>
      <w:r w:rsidR="00361F80">
        <w:rPr>
          <w:rStyle w:val="FootnoteReference"/>
        </w:rPr>
        <w:footnoteReference w:id="1"/>
      </w:r>
      <w:r w:rsidR="001F4357" w:rsidRPr="001F4357">
        <w:t xml:space="preserve"> outlining key priorities the agency intended to pursue to advance its public health mission. </w:t>
      </w:r>
      <w:r w:rsidR="000F6D02">
        <w:t xml:space="preserve"> </w:t>
      </w:r>
      <w:r w:rsidR="001F4357" w:rsidRPr="001F4357">
        <w:t>As part of the Roadmap, the FDA outlined a Nutrition Action Plan aimed at reducing preventable death and disease caused by poor nutrition by ensuring that consumers have access to accurate, useful information to make healthy food choices.</w:t>
      </w:r>
      <w:r w:rsidR="000F6D02">
        <w:t xml:space="preserve"> </w:t>
      </w:r>
      <w:r w:rsidR="001F4357" w:rsidRPr="001F4357">
        <w:t xml:space="preserve"> One of the steps under this Action Plan involves leveraging dietary information to reduce the burden of disease through nutrition and encouraging the development of more healthful food options. </w:t>
      </w:r>
      <w:r w:rsidR="00040ADC">
        <w:t xml:space="preserve"> As one of the methods for achieving this step of the </w:t>
      </w:r>
      <w:r w:rsidR="001F4357" w:rsidRPr="001F4357">
        <w:t xml:space="preserve">Action Plan, the FDA is developing a graphic symbol to help consumers identify packaged food products that would meet an FDA definition for “healthy.” </w:t>
      </w:r>
      <w:r w:rsidR="000F6D02">
        <w:t xml:space="preserve"> </w:t>
      </w:r>
      <w:r w:rsidR="001F4357" w:rsidRPr="001F4357">
        <w:t xml:space="preserve">The symbol would be voluntary, allowing packaged food companies to place it on their products if the products meet the FDA definition of “healthy.” </w:t>
      </w:r>
    </w:p>
    <w:p w14:paraId="1F64F1AB" w14:textId="27E80E05" w:rsidR="001F4357" w:rsidRDefault="001F4357" w:rsidP="001F4357">
      <w:pPr>
        <w:ind w:left="720"/>
      </w:pPr>
    </w:p>
    <w:p w14:paraId="04BD3732" w14:textId="28961259" w:rsidR="005B75C9" w:rsidRDefault="005B75C9" w:rsidP="001F4357">
      <w:pPr>
        <w:ind w:left="720"/>
      </w:pPr>
      <w:r>
        <w:t xml:space="preserve">On April 4, 2019, OMB approved without change, Phase I of this focus group project (ICR Reference Number 201707-0910-018). In the Phase I request, FDA described the extant literature on front-of-pack </w:t>
      </w:r>
      <w:r w:rsidR="004122E8">
        <w:t xml:space="preserve">(FoP) </w:t>
      </w:r>
      <w:r>
        <w:t xml:space="preserve">icons and its own systematic literature review, from which the Phase I focus groups were developed. </w:t>
      </w:r>
    </w:p>
    <w:p w14:paraId="629650A3" w14:textId="5294BBE8" w:rsidR="005B75C9" w:rsidRDefault="005B75C9" w:rsidP="00066485"/>
    <w:p w14:paraId="208F0E1A" w14:textId="2D84931E" w:rsidR="005B75C9" w:rsidRDefault="005B75C9" w:rsidP="005B75C9">
      <w:pPr>
        <w:ind w:firstLine="720"/>
      </w:pPr>
      <w:r>
        <w:t xml:space="preserve">The </w:t>
      </w:r>
      <w:r w:rsidRPr="00C41CA0">
        <w:t>global</w:t>
      </w:r>
      <w:r w:rsidR="00245748">
        <w:t xml:space="preserve"> literature</w:t>
      </w:r>
      <w:r w:rsidRPr="00C41CA0">
        <w:t xml:space="preserve"> take-aways</w:t>
      </w:r>
      <w:r w:rsidR="00245748">
        <w:t xml:space="preserve"> are</w:t>
      </w:r>
      <w:r w:rsidRPr="00C41CA0">
        <w:t>:</w:t>
      </w:r>
    </w:p>
    <w:p w14:paraId="520CA42A" w14:textId="77777777" w:rsidR="00EB3878" w:rsidRPr="00C41CA0" w:rsidRDefault="00EB3878" w:rsidP="005B75C9">
      <w:pPr>
        <w:ind w:firstLine="720"/>
      </w:pPr>
    </w:p>
    <w:p w14:paraId="2B1CC0AE" w14:textId="77777777" w:rsidR="005B75C9" w:rsidRPr="00C41CA0" w:rsidRDefault="005B75C9" w:rsidP="005B75C9">
      <w:pPr>
        <w:pStyle w:val="CommentText"/>
        <w:numPr>
          <w:ilvl w:val="0"/>
          <w:numId w:val="22"/>
        </w:numPr>
        <w:spacing w:after="0" w:line="240" w:lineRule="auto"/>
        <w:ind w:left="1440"/>
        <w:rPr>
          <w:rFonts w:ascii="Times New Roman" w:hAnsi="Times New Roman"/>
          <w:sz w:val="24"/>
          <w:szCs w:val="24"/>
        </w:rPr>
      </w:pPr>
      <w:r w:rsidRPr="00C41CA0">
        <w:rPr>
          <w:rFonts w:ascii="Times New Roman" w:hAnsi="Times New Roman"/>
          <w:sz w:val="24"/>
          <w:szCs w:val="24"/>
        </w:rPr>
        <w:t>A FOP rating system or symbol can help consumers identify and select healthy foods;</w:t>
      </w:r>
    </w:p>
    <w:p w14:paraId="0918A6C2" w14:textId="77777777" w:rsidR="005B75C9" w:rsidRPr="00C41CA0" w:rsidRDefault="005B75C9" w:rsidP="005B75C9">
      <w:pPr>
        <w:pStyle w:val="CommentText"/>
        <w:numPr>
          <w:ilvl w:val="0"/>
          <w:numId w:val="22"/>
        </w:numPr>
        <w:spacing w:after="0" w:line="240" w:lineRule="auto"/>
        <w:ind w:left="1440"/>
        <w:rPr>
          <w:rFonts w:ascii="Times New Roman" w:hAnsi="Times New Roman"/>
          <w:sz w:val="24"/>
          <w:szCs w:val="24"/>
        </w:rPr>
      </w:pPr>
      <w:r w:rsidRPr="00C41CA0">
        <w:rPr>
          <w:rFonts w:ascii="Times New Roman" w:hAnsi="Times New Roman"/>
          <w:bCs/>
          <w:sz w:val="24"/>
          <w:szCs w:val="24"/>
        </w:rPr>
        <w:t>Consumers generally prefer simple labels (such as the ones using a summary system);</w:t>
      </w:r>
    </w:p>
    <w:p w14:paraId="11C22843" w14:textId="5695E746" w:rsidR="005B75C9" w:rsidRPr="00C41CA0" w:rsidRDefault="005B75C9" w:rsidP="005B75C9">
      <w:pPr>
        <w:pStyle w:val="CommentText"/>
        <w:numPr>
          <w:ilvl w:val="0"/>
          <w:numId w:val="22"/>
        </w:numPr>
        <w:spacing w:after="0" w:line="240" w:lineRule="auto"/>
        <w:ind w:left="1440"/>
        <w:rPr>
          <w:rFonts w:ascii="Times New Roman" w:hAnsi="Times New Roman"/>
          <w:sz w:val="24"/>
          <w:szCs w:val="24"/>
        </w:rPr>
      </w:pPr>
      <w:r w:rsidRPr="00C41CA0">
        <w:rPr>
          <w:rFonts w:ascii="Times New Roman" w:hAnsi="Times New Roman"/>
          <w:bCs/>
          <w:sz w:val="24"/>
          <w:szCs w:val="24"/>
        </w:rPr>
        <w:t>There is limited research on</w:t>
      </w:r>
      <w:r w:rsidR="004122E8">
        <w:rPr>
          <w:rFonts w:ascii="Times New Roman" w:hAnsi="Times New Roman"/>
          <w:bCs/>
          <w:sz w:val="24"/>
          <w:szCs w:val="24"/>
        </w:rPr>
        <w:t>:</w:t>
      </w:r>
      <w:r w:rsidRPr="00C41CA0">
        <w:rPr>
          <w:rFonts w:ascii="Times New Roman" w:hAnsi="Times New Roman"/>
          <w:bCs/>
          <w:sz w:val="24"/>
          <w:szCs w:val="24"/>
        </w:rPr>
        <w:t xml:space="preserve"> </w:t>
      </w:r>
      <w:r w:rsidR="004122E8">
        <w:rPr>
          <w:rFonts w:ascii="Times New Roman" w:hAnsi="Times New Roman"/>
          <w:bCs/>
          <w:sz w:val="24"/>
          <w:szCs w:val="24"/>
        </w:rPr>
        <w:t>(</w:t>
      </w:r>
      <w:r w:rsidRPr="00C41CA0">
        <w:rPr>
          <w:rFonts w:ascii="Times New Roman" w:hAnsi="Times New Roman"/>
          <w:bCs/>
          <w:sz w:val="24"/>
          <w:szCs w:val="24"/>
        </w:rPr>
        <w:t>1) which type of summary system works best and</w:t>
      </w:r>
      <w:r w:rsidR="004122E8">
        <w:rPr>
          <w:rFonts w:ascii="Times New Roman" w:hAnsi="Times New Roman"/>
          <w:bCs/>
          <w:sz w:val="24"/>
          <w:szCs w:val="24"/>
        </w:rPr>
        <w:t>;</w:t>
      </w:r>
      <w:r w:rsidRPr="00C41CA0">
        <w:rPr>
          <w:rFonts w:ascii="Times New Roman" w:hAnsi="Times New Roman"/>
          <w:bCs/>
          <w:sz w:val="24"/>
          <w:szCs w:val="24"/>
        </w:rPr>
        <w:t xml:space="preserve"> </w:t>
      </w:r>
      <w:r w:rsidR="004122E8">
        <w:rPr>
          <w:rFonts w:ascii="Times New Roman" w:hAnsi="Times New Roman"/>
          <w:bCs/>
          <w:sz w:val="24"/>
          <w:szCs w:val="24"/>
        </w:rPr>
        <w:t>(</w:t>
      </w:r>
      <w:r w:rsidRPr="00C41CA0">
        <w:rPr>
          <w:rFonts w:ascii="Times New Roman" w:hAnsi="Times New Roman"/>
          <w:bCs/>
          <w:sz w:val="24"/>
          <w:szCs w:val="24"/>
        </w:rPr>
        <w:t>2) whether consumers’ use of summary systems result in healthier diets</w:t>
      </w:r>
      <w:r w:rsidR="004122E8">
        <w:rPr>
          <w:rFonts w:ascii="Times New Roman" w:hAnsi="Times New Roman"/>
          <w:bCs/>
          <w:sz w:val="24"/>
          <w:szCs w:val="24"/>
        </w:rPr>
        <w:t>;</w:t>
      </w:r>
    </w:p>
    <w:p w14:paraId="608F4643" w14:textId="4FD65BE5" w:rsidR="005B75C9" w:rsidRPr="00C41CA0" w:rsidRDefault="005B75C9" w:rsidP="005B75C9">
      <w:pPr>
        <w:pStyle w:val="CommentText"/>
        <w:numPr>
          <w:ilvl w:val="0"/>
          <w:numId w:val="22"/>
        </w:numPr>
        <w:spacing w:after="0" w:line="240" w:lineRule="auto"/>
        <w:ind w:left="1440"/>
        <w:rPr>
          <w:rFonts w:ascii="Times New Roman" w:hAnsi="Times New Roman"/>
          <w:sz w:val="24"/>
          <w:szCs w:val="24"/>
        </w:rPr>
      </w:pPr>
      <w:r w:rsidRPr="00C41CA0">
        <w:rPr>
          <w:rFonts w:ascii="Times New Roman" w:hAnsi="Times New Roman"/>
          <w:sz w:val="24"/>
          <w:szCs w:val="24"/>
        </w:rPr>
        <w:lastRenderedPageBreak/>
        <w:t>Some manufacturers have reformulated products following the implementation of FOP nutrition symbols; there is some evidence of increased sales of products bearing a FOP symbol</w:t>
      </w:r>
      <w:r w:rsidR="004122E8">
        <w:rPr>
          <w:rFonts w:ascii="Times New Roman" w:hAnsi="Times New Roman"/>
          <w:sz w:val="24"/>
          <w:szCs w:val="24"/>
        </w:rPr>
        <w:t>; and</w:t>
      </w:r>
    </w:p>
    <w:p w14:paraId="738773D2" w14:textId="77777777" w:rsidR="005B75C9" w:rsidRPr="00AF337C" w:rsidRDefault="005B75C9" w:rsidP="005B75C9">
      <w:pPr>
        <w:pStyle w:val="CommentText"/>
        <w:numPr>
          <w:ilvl w:val="0"/>
          <w:numId w:val="22"/>
        </w:numPr>
        <w:spacing w:after="0" w:line="240" w:lineRule="auto"/>
        <w:ind w:left="1440"/>
        <w:rPr>
          <w:rFonts w:ascii="Times New Roman" w:hAnsi="Times New Roman"/>
          <w:sz w:val="24"/>
          <w:szCs w:val="24"/>
        </w:rPr>
      </w:pPr>
      <w:r w:rsidRPr="00C41CA0">
        <w:rPr>
          <w:rFonts w:ascii="Times New Roman" w:hAnsi="Times New Roman"/>
          <w:bCs/>
          <w:sz w:val="24"/>
          <w:szCs w:val="24"/>
        </w:rPr>
        <w:t>Institutional endorsement of logos may be related to greater confidence in the label.</w:t>
      </w:r>
    </w:p>
    <w:p w14:paraId="40081103" w14:textId="4553EE34" w:rsidR="005B75C9" w:rsidRDefault="005B75C9" w:rsidP="00481C9B"/>
    <w:p w14:paraId="3FE62751" w14:textId="41010394" w:rsidR="009267A7" w:rsidRPr="009267A7" w:rsidRDefault="009267A7" w:rsidP="009267A7">
      <w:pPr>
        <w:ind w:left="720"/>
        <w:rPr>
          <w:u w:val="single"/>
        </w:rPr>
      </w:pPr>
      <w:r w:rsidRPr="009267A7">
        <w:rPr>
          <w:u w:val="single"/>
        </w:rPr>
        <w:t>Phase I Focus Group</w:t>
      </w:r>
      <w:r w:rsidR="00E143B2">
        <w:rPr>
          <w:u w:val="single"/>
        </w:rPr>
        <w:t xml:space="preserve"> </w:t>
      </w:r>
      <w:r w:rsidRPr="009267A7">
        <w:rPr>
          <w:u w:val="single"/>
        </w:rPr>
        <w:t>Results</w:t>
      </w:r>
    </w:p>
    <w:p w14:paraId="59F61654" w14:textId="50C37B64" w:rsidR="009267A7" w:rsidRDefault="009267A7" w:rsidP="00481C9B"/>
    <w:p w14:paraId="19A30AA3" w14:textId="65A6F51D" w:rsidR="00E143B2" w:rsidRDefault="00E143B2" w:rsidP="00E143B2">
      <w:pPr>
        <w:pStyle w:val="ListParagraph"/>
      </w:pPr>
      <w:r w:rsidRPr="00E143B2">
        <w:t>The FDA/CFSAN Graphics Department had developed some “healthy” symbols or icons for testing in the Phase I focus groups. The intention was to get participant feedback on thematic and stylistic differences. Themes included testing a graphic inspired by the Nutrition Facts Label, graphics that were circular and square, one inspired by the UDSA organic icon, and others inspired by the MyPlate symbol. Each of these themes had four styles: “</w:t>
      </w:r>
      <w:r w:rsidR="009A5DA0" w:rsidRPr="00E143B2">
        <w:t>Healthy</w:t>
      </w:r>
      <w:r w:rsidRPr="00E143B2">
        <w:t>” alone on the icon, including “FDA,” an explanation for why the product is deemed healthy, and a version showing the food groups that might render the product “healthy’ by FDA standards.</w:t>
      </w:r>
    </w:p>
    <w:p w14:paraId="528C1790" w14:textId="77777777" w:rsidR="00E143B2" w:rsidRPr="00E143B2" w:rsidRDefault="00E143B2" w:rsidP="00E143B2">
      <w:pPr>
        <w:pStyle w:val="ListParagraph"/>
      </w:pPr>
    </w:p>
    <w:p w14:paraId="7661943A" w14:textId="1A680A61" w:rsidR="009267A7" w:rsidRDefault="009267A7" w:rsidP="009267A7">
      <w:pPr>
        <w:ind w:left="720"/>
      </w:pPr>
      <w:r>
        <w:t>Data from the Phase I focus groups were analyzed using the topline summaries from each group and noting general responses to each of the early prototype themes and styles.</w:t>
      </w:r>
      <w:r w:rsidR="004531CD">
        <w:t xml:space="preserve"> The major top-line findings are:</w:t>
      </w:r>
    </w:p>
    <w:p w14:paraId="6EB8DC78" w14:textId="44EEE207" w:rsidR="009267A7" w:rsidRDefault="009267A7" w:rsidP="00481C9B"/>
    <w:p w14:paraId="39FF953F" w14:textId="26BAFE2A" w:rsidR="009267A7" w:rsidRPr="009267A7" w:rsidRDefault="009267A7" w:rsidP="003310AC">
      <w:pPr>
        <w:pStyle w:val="ListParagraph"/>
        <w:widowControl w:val="0"/>
        <w:numPr>
          <w:ilvl w:val="0"/>
          <w:numId w:val="23"/>
        </w:numPr>
      </w:pPr>
      <w:r w:rsidRPr="009267A7">
        <w:t xml:space="preserve">Many </w:t>
      </w:r>
      <w:r w:rsidR="004531CD">
        <w:t xml:space="preserve">participants </w:t>
      </w:r>
      <w:r w:rsidRPr="009267A7">
        <w:t>did not automatically recognize the NFL-inspired icon but could easily see it when prompted</w:t>
      </w:r>
      <w:r w:rsidR="004531CD">
        <w:t>;</w:t>
      </w:r>
    </w:p>
    <w:p w14:paraId="1D0D73E5" w14:textId="26EFE7A8" w:rsidR="009267A7" w:rsidRPr="009267A7" w:rsidRDefault="004531CD" w:rsidP="003310AC">
      <w:pPr>
        <w:pStyle w:val="ListParagraph"/>
        <w:widowControl w:val="0"/>
        <w:numPr>
          <w:ilvl w:val="0"/>
          <w:numId w:val="23"/>
        </w:numPr>
      </w:pPr>
      <w:r>
        <w:t>Participants expressed s</w:t>
      </w:r>
      <w:r w:rsidR="009267A7" w:rsidRPr="009267A7">
        <w:t>trong preference for circles or soft lines versus squares</w:t>
      </w:r>
      <w:r>
        <w:t>;</w:t>
      </w:r>
    </w:p>
    <w:p w14:paraId="2823E226" w14:textId="2411FD79" w:rsidR="009267A7" w:rsidRPr="009267A7" w:rsidRDefault="009267A7" w:rsidP="003310AC">
      <w:pPr>
        <w:pStyle w:val="ListParagraph"/>
        <w:widowControl w:val="0"/>
        <w:numPr>
          <w:ilvl w:val="0"/>
          <w:numId w:val="23"/>
        </w:numPr>
      </w:pPr>
      <w:r w:rsidRPr="009267A7">
        <w:t>Many suggested using the color green as symbolic of healthy</w:t>
      </w:r>
      <w:r w:rsidR="004531CD">
        <w:t>;</w:t>
      </w:r>
    </w:p>
    <w:p w14:paraId="03A78A00" w14:textId="68473DEE" w:rsidR="009267A7" w:rsidRPr="009267A7" w:rsidRDefault="009267A7" w:rsidP="003310AC">
      <w:pPr>
        <w:pStyle w:val="ListParagraph"/>
        <w:widowControl w:val="0"/>
        <w:numPr>
          <w:ilvl w:val="0"/>
          <w:numId w:val="23"/>
        </w:numPr>
      </w:pPr>
      <w:r w:rsidRPr="009267A7">
        <w:t>Most did not like vertical lettering</w:t>
      </w:r>
      <w:r w:rsidR="004531CD">
        <w:t>;</w:t>
      </w:r>
    </w:p>
    <w:p w14:paraId="4D65CC56" w14:textId="2E2DA7C5" w:rsidR="009267A7" w:rsidRDefault="009267A7" w:rsidP="004531CD">
      <w:pPr>
        <w:pStyle w:val="ListParagraph"/>
        <w:widowControl w:val="0"/>
        <w:numPr>
          <w:ilvl w:val="0"/>
          <w:numId w:val="23"/>
        </w:numPr>
      </w:pPr>
      <w:r w:rsidRPr="009267A7">
        <w:t>Many did not like redundancy; when “healthy” appeared twice</w:t>
      </w:r>
      <w:r w:rsidR="004531CD">
        <w:t>;</w:t>
      </w:r>
    </w:p>
    <w:p w14:paraId="5380FB85" w14:textId="5B54F611" w:rsidR="004531CD" w:rsidRPr="009267A7" w:rsidRDefault="004531CD" w:rsidP="003310AC">
      <w:pPr>
        <w:pStyle w:val="ListParagraph"/>
        <w:widowControl w:val="0"/>
        <w:numPr>
          <w:ilvl w:val="0"/>
          <w:numId w:val="23"/>
        </w:numPr>
      </w:pPr>
      <w:r>
        <w:t>P</w:t>
      </w:r>
      <w:r w:rsidRPr="009267A7">
        <w:t>articipants preferred icons identifying the sponsor</w:t>
      </w:r>
      <w:r>
        <w:t>.</w:t>
      </w:r>
    </w:p>
    <w:p w14:paraId="7041353C" w14:textId="77777777" w:rsidR="00B71F03" w:rsidRDefault="00B71F03" w:rsidP="00E143B2">
      <w:pPr>
        <w:widowControl w:val="0"/>
        <w:ind w:left="720"/>
      </w:pPr>
    </w:p>
    <w:p w14:paraId="2F48F939" w14:textId="10A430B1" w:rsidR="00E143B2" w:rsidRPr="00E143B2" w:rsidRDefault="00E143B2" w:rsidP="00E143B2">
      <w:pPr>
        <w:widowControl w:val="0"/>
        <w:ind w:left="720"/>
      </w:pPr>
      <w:r w:rsidRPr="00E143B2">
        <w:t xml:space="preserve">Results from the Phase I focus group testing of early icon prototypes —wherein FDA explored icon themes and styles using a wide variety of in-house developed icons— will guide (but not limit) the development of more icon prototypes for further testing. </w:t>
      </w:r>
    </w:p>
    <w:p w14:paraId="0F14FEBD" w14:textId="77777777" w:rsidR="009267A7" w:rsidRDefault="009267A7" w:rsidP="00481C9B"/>
    <w:p w14:paraId="42BD1361" w14:textId="12A7DD3A" w:rsidR="00710967" w:rsidRDefault="00710967" w:rsidP="00710967">
      <w:pPr>
        <w:ind w:left="720"/>
        <w:jc w:val="both"/>
        <w:rPr>
          <w:u w:val="single"/>
        </w:rPr>
      </w:pPr>
      <w:r>
        <w:rPr>
          <w:u w:val="single"/>
        </w:rPr>
        <w:t xml:space="preserve">Phase II </w:t>
      </w:r>
      <w:r w:rsidR="00A00710">
        <w:rPr>
          <w:u w:val="single"/>
        </w:rPr>
        <w:t xml:space="preserve">“Healthy” </w:t>
      </w:r>
      <w:r w:rsidRPr="00AF337C">
        <w:rPr>
          <w:u w:val="single"/>
        </w:rPr>
        <w:t>Icon</w:t>
      </w:r>
      <w:r w:rsidR="00E143B2">
        <w:rPr>
          <w:u w:val="single"/>
        </w:rPr>
        <w:t xml:space="preserve"> Focus Groups</w:t>
      </w:r>
    </w:p>
    <w:p w14:paraId="6447CAB1" w14:textId="77777777" w:rsidR="005B75C9" w:rsidRDefault="005B75C9" w:rsidP="00481C9B"/>
    <w:p w14:paraId="0C6EAD1D" w14:textId="2B971E5C" w:rsidR="005B75C9" w:rsidRDefault="00245748" w:rsidP="001F4357">
      <w:pPr>
        <w:ind w:left="720"/>
      </w:pPr>
      <w:r>
        <w:t xml:space="preserve">The </w:t>
      </w:r>
      <w:r w:rsidR="005B75C9">
        <w:t xml:space="preserve">Phase II focus groups </w:t>
      </w:r>
      <w:r>
        <w:t>will be</w:t>
      </w:r>
      <w:r w:rsidR="005B75C9">
        <w:t xml:space="preserve"> a follow-on of the Phase I focus groups</w:t>
      </w:r>
      <w:r>
        <w:t>,</w:t>
      </w:r>
      <w:r w:rsidR="005B75C9">
        <w:t xml:space="preserve"> wherein the results </w:t>
      </w:r>
      <w:r>
        <w:t xml:space="preserve">from </w:t>
      </w:r>
      <w:r w:rsidR="005B75C9">
        <w:t>Phase I have informed a set of professionally produced icons for focus group testing</w:t>
      </w:r>
      <w:r w:rsidR="00710967">
        <w:t xml:space="preserve"> (see Phase II icons in Appendix I)</w:t>
      </w:r>
      <w:r w:rsidR="00FE1098">
        <w:t>.</w:t>
      </w:r>
      <w:r w:rsidR="005B75C9">
        <w:t xml:space="preserve"> </w:t>
      </w:r>
    </w:p>
    <w:p w14:paraId="133BD349" w14:textId="4CDEC2D3" w:rsidR="003F2E8E" w:rsidRDefault="003F2E8E" w:rsidP="00481C9B"/>
    <w:p w14:paraId="328E5C48" w14:textId="3E93464A" w:rsidR="00E62E33" w:rsidRDefault="00376752" w:rsidP="004531CD">
      <w:pPr>
        <w:ind w:left="720"/>
      </w:pPr>
      <w:r>
        <w:t>The</w:t>
      </w:r>
      <w:r w:rsidR="004531CD">
        <w:t>se</w:t>
      </w:r>
      <w:r>
        <w:t xml:space="preserve"> </w:t>
      </w:r>
      <w:r w:rsidR="00FC1562">
        <w:t xml:space="preserve"> professionally</w:t>
      </w:r>
      <w:r w:rsidR="00A939C3">
        <w:t>-</w:t>
      </w:r>
      <w:r w:rsidR="00FC1562">
        <w:t xml:space="preserve">developed icons fall into </w:t>
      </w:r>
      <w:r w:rsidR="0066622D">
        <w:t>7</w:t>
      </w:r>
      <w:r>
        <w:t xml:space="preserve"> </w:t>
      </w:r>
      <w:r w:rsidR="00FC1562">
        <w:t xml:space="preserve">themes. Each theme has 3 or 4 </w:t>
      </w:r>
      <w:r w:rsidR="00AB0296">
        <w:t xml:space="preserve">stylistic </w:t>
      </w:r>
      <w:r>
        <w:t>variations</w:t>
      </w:r>
      <w:r w:rsidR="00AB0296">
        <w:t xml:space="preserve"> (e.g., different colors, borders or no borders, placement of “FDA”)</w:t>
      </w:r>
      <w:r w:rsidR="00FC1562">
        <w:t xml:space="preserve">. </w:t>
      </w:r>
      <w:r w:rsidR="00AB0296">
        <w:t>Phase II Icon t</w:t>
      </w:r>
      <w:r w:rsidR="00FC1562">
        <w:t xml:space="preserve">hemes </w:t>
      </w:r>
      <w:r w:rsidR="00AB0296">
        <w:t>a</w:t>
      </w:r>
      <w:r w:rsidR="00FC1562">
        <w:t xml:space="preserve">re </w:t>
      </w:r>
      <w:r w:rsidR="00FE1098">
        <w:t>listed</w:t>
      </w:r>
      <w:r w:rsidR="00FC1562">
        <w:t xml:space="preserve"> below</w:t>
      </w:r>
      <w:r w:rsidR="00FE1098">
        <w:t>:</w:t>
      </w:r>
      <w:r w:rsidR="00FC1562">
        <w:t xml:space="preserve"> </w:t>
      </w:r>
    </w:p>
    <w:p w14:paraId="1E85F390" w14:textId="4A02B6EC" w:rsidR="002C4C50" w:rsidRDefault="002C4C50" w:rsidP="00710967">
      <w:pPr>
        <w:ind w:left="720"/>
      </w:pPr>
    </w:p>
    <w:p w14:paraId="65306981" w14:textId="0D4C57AD" w:rsidR="00EB3878" w:rsidRDefault="00EB3878" w:rsidP="00710967">
      <w:pPr>
        <w:ind w:left="720"/>
      </w:pPr>
    </w:p>
    <w:p w14:paraId="44CC4B35" w14:textId="6C6E1568" w:rsidR="00EB3878" w:rsidRDefault="00EB3878" w:rsidP="00710967">
      <w:pPr>
        <w:ind w:left="720"/>
      </w:pPr>
    </w:p>
    <w:p w14:paraId="563818DD" w14:textId="411EA748" w:rsidR="00EB3878" w:rsidRDefault="00EB3878" w:rsidP="00710967">
      <w:pPr>
        <w:ind w:left="720"/>
      </w:pPr>
    </w:p>
    <w:p w14:paraId="50045C8E" w14:textId="525FA6E6" w:rsidR="00EB3878" w:rsidRDefault="00EB3878" w:rsidP="00710967">
      <w:pPr>
        <w:ind w:left="720"/>
      </w:pPr>
    </w:p>
    <w:p w14:paraId="3A92B44D" w14:textId="77777777" w:rsidR="00EB3878" w:rsidRDefault="00EB3878" w:rsidP="00710967">
      <w:pPr>
        <w:ind w:left="720"/>
      </w:pPr>
    </w:p>
    <w:p w14:paraId="10DD5D67" w14:textId="52B2B613" w:rsidR="00B27552" w:rsidRDefault="00B27552" w:rsidP="00710967">
      <w:pPr>
        <w:tabs>
          <w:tab w:val="left" w:pos="-1440"/>
        </w:tabs>
        <w:ind w:left="720"/>
      </w:pPr>
      <w:r w:rsidRPr="00B27552">
        <w:lastRenderedPageBreak/>
        <w:t xml:space="preserve">1. </w:t>
      </w:r>
      <w:r w:rsidR="0066622D">
        <w:t>Sunrise</w:t>
      </w:r>
    </w:p>
    <w:p w14:paraId="5B974F82" w14:textId="12436A61" w:rsidR="00B27552" w:rsidRPr="00B27552" w:rsidRDefault="00B27552" w:rsidP="00710967">
      <w:pPr>
        <w:tabs>
          <w:tab w:val="left" w:pos="-1440"/>
        </w:tabs>
        <w:ind w:left="720"/>
      </w:pPr>
      <w:r w:rsidRPr="00B27552">
        <w:t xml:space="preserve">2. </w:t>
      </w:r>
      <w:r w:rsidR="0066622D">
        <w:t>Checkmark</w:t>
      </w:r>
    </w:p>
    <w:p w14:paraId="523BC978" w14:textId="074E41E2" w:rsidR="00B27552" w:rsidRPr="00B27552" w:rsidRDefault="00B27552" w:rsidP="00710967">
      <w:pPr>
        <w:tabs>
          <w:tab w:val="left" w:pos="-1440"/>
        </w:tabs>
        <w:ind w:left="720"/>
      </w:pPr>
      <w:r w:rsidRPr="00B27552">
        <w:t xml:space="preserve">3. </w:t>
      </w:r>
      <w:r w:rsidR="0066622D">
        <w:t>Fresh</w:t>
      </w:r>
    </w:p>
    <w:p w14:paraId="3689F608" w14:textId="77777777" w:rsidR="0066622D" w:rsidRDefault="00B27552" w:rsidP="00710967">
      <w:pPr>
        <w:tabs>
          <w:tab w:val="left" w:pos="-1440"/>
        </w:tabs>
        <w:ind w:left="720"/>
      </w:pPr>
      <w:r w:rsidRPr="00B27552">
        <w:t xml:space="preserve">4. </w:t>
      </w:r>
      <w:r w:rsidR="0066622D">
        <w:t>Checkmark/Fresh</w:t>
      </w:r>
    </w:p>
    <w:p w14:paraId="6D63799E" w14:textId="1DC03892" w:rsidR="00DD0744" w:rsidRDefault="0066622D" w:rsidP="00710967">
      <w:pPr>
        <w:tabs>
          <w:tab w:val="left" w:pos="-1440"/>
        </w:tabs>
        <w:ind w:left="720"/>
      </w:pPr>
      <w:r>
        <w:t>5. Leaf</w:t>
      </w:r>
      <w:r w:rsidR="00DD0744">
        <w:tab/>
      </w:r>
      <w:r w:rsidR="00685782">
        <w:t xml:space="preserve"> </w:t>
      </w:r>
    </w:p>
    <w:p w14:paraId="5D18975C" w14:textId="29562E50" w:rsidR="00B27552" w:rsidRDefault="0066622D" w:rsidP="00710967">
      <w:pPr>
        <w:tabs>
          <w:tab w:val="left" w:pos="-1440"/>
        </w:tabs>
        <w:ind w:left="720"/>
      </w:pPr>
      <w:r>
        <w:t>6</w:t>
      </w:r>
      <w:r w:rsidR="00B27552" w:rsidRPr="00B27552">
        <w:t xml:space="preserve">. </w:t>
      </w:r>
      <w:r w:rsidR="00376752">
        <w:t>Food Groups</w:t>
      </w:r>
    </w:p>
    <w:p w14:paraId="293C64E6" w14:textId="7A2E1F61" w:rsidR="00E143B2" w:rsidRDefault="0066622D" w:rsidP="00E143B2">
      <w:pPr>
        <w:tabs>
          <w:tab w:val="left" w:pos="-1440"/>
        </w:tabs>
        <w:ind w:left="720"/>
      </w:pPr>
      <w:r>
        <w:t>7</w:t>
      </w:r>
      <w:r w:rsidR="00E143B2" w:rsidRPr="00B27552">
        <w:t xml:space="preserve">. </w:t>
      </w:r>
      <w:r w:rsidR="00E143B2">
        <w:t xml:space="preserve">FDA </w:t>
      </w:r>
      <w:r w:rsidR="006A4DB6">
        <w:t>Banner</w:t>
      </w:r>
    </w:p>
    <w:p w14:paraId="66A02871" w14:textId="77777777" w:rsidR="00E143B2" w:rsidRDefault="00E143B2" w:rsidP="00710967">
      <w:pPr>
        <w:tabs>
          <w:tab w:val="left" w:pos="-1440"/>
        </w:tabs>
        <w:ind w:left="720"/>
      </w:pPr>
    </w:p>
    <w:p w14:paraId="7DC9A992" w14:textId="57D518F6" w:rsidR="00E143B2" w:rsidRPr="00E143B2" w:rsidRDefault="00E143B2" w:rsidP="006C02F9">
      <w:pPr>
        <w:ind w:left="720"/>
      </w:pPr>
      <w:r w:rsidRPr="00E143B2">
        <w:t xml:space="preserve">The Phase II focus group results will </w:t>
      </w:r>
      <w:r w:rsidR="0074228F" w:rsidRPr="001F4357">
        <w:t xml:space="preserve">help FDA </w:t>
      </w:r>
      <w:r w:rsidR="0074228F">
        <w:t>narrow down the designs, from among those tested, that may best resonate with consumers</w:t>
      </w:r>
      <w:r w:rsidR="006C02F9">
        <w:t xml:space="preserve">, and </w:t>
      </w:r>
      <w:r w:rsidRPr="00E143B2">
        <w:t>help FDA gain a better understanding of how consumers might use symbols in making healthier food choices</w:t>
      </w:r>
      <w:r w:rsidR="006C02F9">
        <w:t>. The f</w:t>
      </w:r>
      <w:r w:rsidRPr="00E143B2">
        <w:t>ocus group results will also help FDA in developing</w:t>
      </w:r>
      <w:r w:rsidR="00FD1B31">
        <w:t xml:space="preserve"> future</w:t>
      </w:r>
      <w:r w:rsidRPr="00E143B2">
        <w:t xml:space="preserve"> quantitative research that </w:t>
      </w:r>
      <w:r w:rsidR="006C02F9">
        <w:t>might</w:t>
      </w:r>
      <w:r w:rsidRPr="00E143B2">
        <w:t xml:space="preserve"> be used for providing guidance or regulations for a voluntary symbol for “healthy” for use on the food label.</w:t>
      </w:r>
    </w:p>
    <w:p w14:paraId="3C7B5261" w14:textId="77777777" w:rsidR="00E143B2" w:rsidRPr="00E143B2" w:rsidRDefault="00E143B2" w:rsidP="00E143B2">
      <w:pPr>
        <w:ind w:left="720"/>
        <w:rPr>
          <w:rFonts w:asciiTheme="majorHAnsi" w:hAnsiTheme="majorHAnsi"/>
        </w:rPr>
      </w:pPr>
    </w:p>
    <w:p w14:paraId="0D9A8D96" w14:textId="18F7B55C" w:rsidR="003F1C7A" w:rsidRDefault="0049419A" w:rsidP="00F63D73">
      <w:pPr>
        <w:pStyle w:val="ListParagraph"/>
        <w:numPr>
          <w:ilvl w:val="0"/>
          <w:numId w:val="15"/>
        </w:numPr>
        <w:tabs>
          <w:tab w:val="clear" w:pos="1296"/>
        </w:tabs>
        <w:ind w:left="720"/>
      </w:pPr>
      <w:r w:rsidRPr="00F63D73">
        <w:rPr>
          <w:b/>
        </w:rPr>
        <w:t>Intended u</w:t>
      </w:r>
      <w:r w:rsidR="00F12AEE" w:rsidRPr="00F63D73">
        <w:rPr>
          <w:b/>
        </w:rPr>
        <w:t>se</w:t>
      </w:r>
      <w:r w:rsidRPr="00F63D73">
        <w:rPr>
          <w:b/>
        </w:rPr>
        <w:t xml:space="preserve"> of information</w:t>
      </w:r>
      <w:r w:rsidR="003F1C7A" w:rsidRPr="00F63D73">
        <w:rPr>
          <w:b/>
        </w:rPr>
        <w:t>:</w:t>
      </w:r>
      <w:r w:rsidR="003F1C7A">
        <w:t xml:space="preserve">  </w:t>
      </w:r>
    </w:p>
    <w:p w14:paraId="0B67946B" w14:textId="77777777" w:rsidR="004122E8" w:rsidRDefault="004122E8" w:rsidP="006C02F9">
      <w:pPr>
        <w:widowControl w:val="0"/>
        <w:ind w:left="720"/>
      </w:pPr>
    </w:p>
    <w:p w14:paraId="32A7E905" w14:textId="297BBF53" w:rsidR="006C02F9" w:rsidRDefault="001835D3" w:rsidP="006C02F9">
      <w:pPr>
        <w:widowControl w:val="0"/>
        <w:ind w:left="720"/>
      </w:pPr>
      <w:r>
        <w:t>The</w:t>
      </w:r>
      <w:r w:rsidR="00FB79C4" w:rsidRPr="00AB3513">
        <w:t xml:space="preserve"> </w:t>
      </w:r>
      <w:r w:rsidR="00945015">
        <w:t xml:space="preserve">eight (8) </w:t>
      </w:r>
      <w:r w:rsidR="005120FE">
        <w:t xml:space="preserve">focus groups </w:t>
      </w:r>
      <w:r w:rsidR="00945015">
        <w:t xml:space="preserve">requested in this package </w:t>
      </w:r>
      <w:r w:rsidR="00B8351B">
        <w:t xml:space="preserve">are the second phase of the </w:t>
      </w:r>
      <w:r w:rsidR="004F62DF">
        <w:t xml:space="preserve">planned </w:t>
      </w:r>
      <w:r w:rsidR="00DD0744">
        <w:t>two (2) phases</w:t>
      </w:r>
      <w:r w:rsidR="00945015">
        <w:t xml:space="preserve"> of focus groups (</w:t>
      </w:r>
      <w:r w:rsidR="00B8351B">
        <w:t>Phase I groups were approved on 4-4-2019</w:t>
      </w:r>
      <w:r w:rsidR="00945015">
        <w:t>)</w:t>
      </w:r>
      <w:r w:rsidR="004F62DF">
        <w:t xml:space="preserve">. </w:t>
      </w:r>
      <w:r w:rsidR="000F6D02">
        <w:t xml:space="preserve"> </w:t>
      </w:r>
      <w:r w:rsidR="003A6102">
        <w:t xml:space="preserve">A </w:t>
      </w:r>
      <w:r w:rsidR="00DD0744">
        <w:t xml:space="preserve">professional communications firm </w:t>
      </w:r>
      <w:r w:rsidR="003A6102">
        <w:t>with experience in developing logos consult</w:t>
      </w:r>
      <w:r w:rsidR="00B8351B">
        <w:t>ed</w:t>
      </w:r>
      <w:r w:rsidR="003A6102">
        <w:t xml:space="preserve"> with FDA on the first set of focus groups and use</w:t>
      </w:r>
      <w:r w:rsidR="00B8351B">
        <w:t>d</w:t>
      </w:r>
      <w:r w:rsidR="003A6102">
        <w:t xml:space="preserve"> the findings</w:t>
      </w:r>
      <w:r w:rsidR="00B8351B">
        <w:t xml:space="preserve"> from Phase I</w:t>
      </w:r>
      <w:r w:rsidR="003310AC">
        <w:t xml:space="preserve"> to produce a new set of icons for testing.</w:t>
      </w:r>
      <w:r w:rsidR="003A6102">
        <w:t xml:space="preserve"> </w:t>
      </w:r>
    </w:p>
    <w:p w14:paraId="05126274" w14:textId="77777777" w:rsidR="006C02F9" w:rsidRDefault="006C02F9" w:rsidP="006C02F9">
      <w:pPr>
        <w:widowControl w:val="0"/>
        <w:ind w:left="720"/>
      </w:pPr>
    </w:p>
    <w:p w14:paraId="100D428B" w14:textId="0B4ECFE8" w:rsidR="00FB79C4" w:rsidRDefault="00B8351B" w:rsidP="006C02F9">
      <w:pPr>
        <w:widowControl w:val="0"/>
        <w:ind w:left="720"/>
      </w:pPr>
      <w:r>
        <w:t xml:space="preserve">The results of the Phase II </w:t>
      </w:r>
      <w:r w:rsidR="00945015">
        <w:t>f</w:t>
      </w:r>
      <w:r w:rsidR="007C69C6">
        <w:t xml:space="preserve">ocus group </w:t>
      </w:r>
      <w:r w:rsidR="00A802BA" w:rsidRPr="001F4357">
        <w:t xml:space="preserve">will </w:t>
      </w:r>
      <w:r w:rsidR="00A802BA">
        <w:t>inform</w:t>
      </w:r>
      <w:r w:rsidR="00FD1B31">
        <w:t xml:space="preserve"> future</w:t>
      </w:r>
      <w:r w:rsidR="00A802BA">
        <w:t xml:space="preserve"> quantitative studies</w:t>
      </w:r>
      <w:r w:rsidR="005556BA">
        <w:t xml:space="preserve"> </w:t>
      </w:r>
      <w:r w:rsidR="00AD0BB4">
        <w:t xml:space="preserve">to </w:t>
      </w:r>
      <w:r w:rsidR="007C69C6">
        <w:t xml:space="preserve">more </w:t>
      </w:r>
      <w:r w:rsidR="00AD0BB4">
        <w:t>systematically</w:t>
      </w:r>
      <w:r w:rsidR="007C69C6">
        <w:t xml:space="preserve"> </w:t>
      </w:r>
      <w:r w:rsidR="00AD0BB4">
        <w:t>test icon</w:t>
      </w:r>
      <w:r w:rsidR="007C69C6">
        <w:t xml:space="preserve"> effects.</w:t>
      </w:r>
      <w:r w:rsidR="00A802BA">
        <w:t xml:space="preserve"> </w:t>
      </w:r>
      <w:r w:rsidR="004F1994">
        <w:t>A</w:t>
      </w:r>
      <w:r w:rsidR="006C02F9" w:rsidRPr="00E143B2">
        <w:t xml:space="preserve"> reduced number of icon prototypes will be subject to two sets of online market research surveys and an online experiment</w:t>
      </w:r>
      <w:r w:rsidR="004F1994">
        <w:t xml:space="preserve">. </w:t>
      </w:r>
      <w:r w:rsidR="007C69C6">
        <w:t xml:space="preserve">The information </w:t>
      </w:r>
      <w:r w:rsidR="00AD0BB4">
        <w:t>gathered</w:t>
      </w:r>
      <w:r w:rsidR="007C69C6">
        <w:t xml:space="preserve"> from the </w:t>
      </w:r>
      <w:r w:rsidR="005556BA">
        <w:t xml:space="preserve">overall </w:t>
      </w:r>
      <w:r w:rsidR="007C69C6">
        <w:t xml:space="preserve">research </w:t>
      </w:r>
      <w:r w:rsidR="005556BA">
        <w:t xml:space="preserve">plan </w:t>
      </w:r>
      <w:r w:rsidR="007C69C6">
        <w:t xml:space="preserve">will help FDA </w:t>
      </w:r>
      <w:r w:rsidR="00A802BA">
        <w:t>assess the potential for a “healthy” icon to help consumers make healthier food choices.</w:t>
      </w:r>
      <w:r w:rsidR="000F6D02">
        <w:t xml:space="preserve"> </w:t>
      </w:r>
      <w:r w:rsidR="00A802BA">
        <w:t xml:space="preserve"> </w:t>
      </w:r>
      <w:r>
        <w:t>A s</w:t>
      </w:r>
      <w:r w:rsidR="005556BA">
        <w:t xml:space="preserve">eparate information collection request </w:t>
      </w:r>
      <w:r w:rsidR="00AD0BB4">
        <w:t xml:space="preserve">will be submitted for </w:t>
      </w:r>
      <w:r>
        <w:t xml:space="preserve">the quantitative </w:t>
      </w:r>
      <w:r w:rsidR="00AD0BB4">
        <w:t>part of the research</w:t>
      </w:r>
      <w:r w:rsidR="005556BA">
        <w:t>.</w:t>
      </w:r>
    </w:p>
    <w:p w14:paraId="29082190" w14:textId="77777777" w:rsidR="003F1C7A" w:rsidRDefault="003F1C7A" w:rsidP="001B392C">
      <w:pPr>
        <w:ind w:left="360"/>
      </w:pPr>
    </w:p>
    <w:p w14:paraId="37FC61DC" w14:textId="77777777" w:rsidR="003F1C7A" w:rsidRDefault="0049419A" w:rsidP="001B392C">
      <w:pPr>
        <w:keepNext/>
        <w:numPr>
          <w:ilvl w:val="0"/>
          <w:numId w:val="15"/>
        </w:numPr>
        <w:tabs>
          <w:tab w:val="clear" w:pos="1296"/>
          <w:tab w:val="num" w:pos="720"/>
        </w:tabs>
        <w:ind w:left="720"/>
      </w:pPr>
      <w:r>
        <w:rPr>
          <w:b/>
        </w:rPr>
        <w:t>Description of r</w:t>
      </w:r>
      <w:r w:rsidR="00F12AEE">
        <w:rPr>
          <w:b/>
        </w:rPr>
        <w:t>espondents</w:t>
      </w:r>
      <w:r w:rsidR="003F1C7A" w:rsidRPr="00E26798">
        <w:rPr>
          <w:b/>
        </w:rPr>
        <w:t>:</w:t>
      </w:r>
      <w:r w:rsidR="003F1C7A">
        <w:t xml:space="preserve">  </w:t>
      </w:r>
    </w:p>
    <w:p w14:paraId="123D3A2B" w14:textId="77777777" w:rsidR="004122E8" w:rsidRDefault="004122E8" w:rsidP="001B392C">
      <w:pPr>
        <w:ind w:left="720"/>
      </w:pPr>
    </w:p>
    <w:p w14:paraId="72316B37" w14:textId="1FB5885E" w:rsidR="00B26010" w:rsidRDefault="00C52DAD" w:rsidP="001B392C">
      <w:pPr>
        <w:ind w:left="720"/>
      </w:pPr>
      <w:r>
        <w:t>Groups will include only adults (18+)</w:t>
      </w:r>
      <w:r w:rsidR="00ED7C61">
        <w:t xml:space="preserve"> and</w:t>
      </w:r>
      <w:r w:rsidR="0093362F">
        <w:t xml:space="preserve"> will be segmented by level of nutrition motivation</w:t>
      </w:r>
      <w:r w:rsidR="007239ED">
        <w:t xml:space="preserve"> (high and low nutrition motivation)</w:t>
      </w:r>
      <w:r w:rsidR="0093362F">
        <w:t xml:space="preserve">, assessed using two questions that will gauge participants </w:t>
      </w:r>
      <w:r w:rsidR="003310AC">
        <w:t>use of the Nutrition Facts Label</w:t>
      </w:r>
      <w:r w:rsidR="0093362F">
        <w:t>.</w:t>
      </w:r>
      <w:r w:rsidR="000F6D02">
        <w:t xml:space="preserve"> </w:t>
      </w:r>
      <w:r w:rsidR="0093362F">
        <w:t xml:space="preserve"> </w:t>
      </w:r>
      <w:r w:rsidR="00B26010">
        <w:t>Segmenting by nutrition motivation will help FDA clarify di</w:t>
      </w:r>
      <w:r w:rsidR="001B392C">
        <w:t xml:space="preserve">fferences between </w:t>
      </w:r>
      <w:r w:rsidR="00B26010">
        <w:t xml:space="preserve">levels of motivation and learn how best to convey “healthy” in a way that appeals to individuals not already motivated to making healthy food choices. </w:t>
      </w:r>
    </w:p>
    <w:p w14:paraId="103083D4" w14:textId="77777777" w:rsidR="00B26010" w:rsidRDefault="00B26010" w:rsidP="001B392C">
      <w:pPr>
        <w:ind w:left="720"/>
      </w:pPr>
    </w:p>
    <w:p w14:paraId="684318E0" w14:textId="7F2638B4" w:rsidR="00576639" w:rsidRPr="00336FCF" w:rsidRDefault="00E62E33" w:rsidP="001B392C">
      <w:pPr>
        <w:ind w:left="720"/>
      </w:pPr>
      <w:r>
        <w:t xml:space="preserve">Groups will </w:t>
      </w:r>
      <w:r w:rsidR="0093362F">
        <w:t xml:space="preserve">also </w:t>
      </w:r>
      <w:r>
        <w:t xml:space="preserve">be segmented by education level with half the groups </w:t>
      </w:r>
      <w:r w:rsidR="002E5CC6">
        <w:t xml:space="preserve">being comprised of individuals with some university level courses and higher and </w:t>
      </w:r>
      <w:r w:rsidR="00B00D27">
        <w:t xml:space="preserve">half with a </w:t>
      </w:r>
      <w:r w:rsidR="002E5CC6">
        <w:t xml:space="preserve">community college degree and lower. </w:t>
      </w:r>
      <w:r w:rsidR="000F6D02">
        <w:t xml:space="preserve"> </w:t>
      </w:r>
      <w:r w:rsidR="002E5CC6">
        <w:t xml:space="preserve">The groups will have a mix of ages, race/ethnicities, and genders. </w:t>
      </w:r>
      <w:r w:rsidR="000F6D02">
        <w:t xml:space="preserve"> </w:t>
      </w:r>
      <w:r w:rsidR="00576639" w:rsidRPr="001C3D56">
        <w:t>No more than 10 participants will participate in a group (see Appendix I</w:t>
      </w:r>
      <w:r w:rsidR="00760CBA">
        <w:t>I</w:t>
      </w:r>
      <w:r w:rsidR="006A2D27" w:rsidRPr="001C3D56">
        <w:t>, Participant Screener</w:t>
      </w:r>
      <w:r w:rsidR="00576639" w:rsidRPr="001C3D56">
        <w:t xml:space="preserve">). </w:t>
      </w:r>
    </w:p>
    <w:p w14:paraId="711E2F0D" w14:textId="291BB348" w:rsidR="00E215FA" w:rsidRDefault="00E215FA" w:rsidP="001B392C">
      <w:pPr>
        <w:ind w:left="720"/>
      </w:pPr>
    </w:p>
    <w:p w14:paraId="26B9ABAC" w14:textId="3BFBA925" w:rsidR="00EB3878" w:rsidRDefault="00EB3878" w:rsidP="001B392C">
      <w:pPr>
        <w:ind w:left="720"/>
      </w:pPr>
    </w:p>
    <w:p w14:paraId="4094CB1B" w14:textId="27409C68" w:rsidR="00EB3878" w:rsidRDefault="00EB3878" w:rsidP="001B392C">
      <w:pPr>
        <w:ind w:left="720"/>
      </w:pPr>
    </w:p>
    <w:p w14:paraId="74BD1433" w14:textId="77777777" w:rsidR="00EB3878" w:rsidRDefault="00EB3878" w:rsidP="001B392C">
      <w:pPr>
        <w:ind w:left="720"/>
      </w:pPr>
    </w:p>
    <w:p w14:paraId="2DFFF238" w14:textId="77777777" w:rsidR="003F1C7A" w:rsidRPr="00E215FA" w:rsidRDefault="003F1C7A" w:rsidP="001B392C">
      <w:pPr>
        <w:numPr>
          <w:ilvl w:val="0"/>
          <w:numId w:val="15"/>
        </w:numPr>
        <w:tabs>
          <w:tab w:val="clear" w:pos="1296"/>
          <w:tab w:val="num" w:pos="720"/>
        </w:tabs>
        <w:ind w:left="720"/>
      </w:pPr>
      <w:r w:rsidRPr="00E26798">
        <w:rPr>
          <w:b/>
        </w:rPr>
        <w:t xml:space="preserve">Date(s) </w:t>
      </w:r>
      <w:r w:rsidR="009404FA">
        <w:rPr>
          <w:b/>
        </w:rPr>
        <w:t xml:space="preserve">to be conducted </w:t>
      </w:r>
      <w:r w:rsidRPr="00E26798">
        <w:rPr>
          <w:b/>
        </w:rPr>
        <w:t>and location(s)</w:t>
      </w:r>
      <w:r w:rsidR="0049419A">
        <w:rPr>
          <w:b/>
        </w:rPr>
        <w:t>:</w:t>
      </w:r>
      <w:r w:rsidRPr="00E26798">
        <w:rPr>
          <w:b/>
        </w:rPr>
        <w:t xml:space="preserve">  </w:t>
      </w:r>
    </w:p>
    <w:p w14:paraId="173ECB0A" w14:textId="77777777" w:rsidR="004122E8" w:rsidRDefault="004122E8" w:rsidP="001B392C">
      <w:pPr>
        <w:ind w:left="720"/>
      </w:pPr>
    </w:p>
    <w:p w14:paraId="4EFC28C8" w14:textId="51ED4A0E" w:rsidR="00D14201" w:rsidRDefault="00D14201" w:rsidP="001B392C">
      <w:pPr>
        <w:ind w:left="720"/>
      </w:pPr>
      <w:r w:rsidRPr="003D1766">
        <w:t xml:space="preserve">Focus groups will be conducted approximately one month from the date of OMB approval. </w:t>
      </w:r>
      <w:r w:rsidR="000F6D02">
        <w:t xml:space="preserve"> </w:t>
      </w:r>
      <w:r w:rsidR="001470C1" w:rsidRPr="000C1DC4">
        <w:t xml:space="preserve">The study will enroll participants who reside in </w:t>
      </w:r>
      <w:r w:rsidR="001470C1">
        <w:t>t</w:t>
      </w:r>
      <w:r w:rsidR="001470C1" w:rsidRPr="000C1DC4">
        <w:t>he Washington, DC metro area</w:t>
      </w:r>
      <w:r w:rsidR="001470C1">
        <w:t>,</w:t>
      </w:r>
      <w:r w:rsidR="001470C1" w:rsidRPr="000C1DC4">
        <w:t xml:space="preserve"> </w:t>
      </w:r>
      <w:r w:rsidR="001470C1">
        <w:t xml:space="preserve">the Midwest, and the Southwest US. </w:t>
      </w:r>
      <w:r w:rsidR="000F6D02">
        <w:t xml:space="preserve"> </w:t>
      </w:r>
      <w:r w:rsidR="006A2D27">
        <w:t>T</w:t>
      </w:r>
      <w:r>
        <w:t>he</w:t>
      </w:r>
      <w:r w:rsidR="006A2D27">
        <w:t xml:space="preserve"> selected</w:t>
      </w:r>
      <w:r>
        <w:t xml:space="preserve"> location</w:t>
      </w:r>
      <w:r w:rsidR="002F51BE">
        <w:t>s</w:t>
      </w:r>
      <w:r>
        <w:t xml:space="preserve"> offer suitable focus group facilities and recruitment capabilities that will enable us to recruit groups participants</w:t>
      </w:r>
      <w:r w:rsidR="000477CE">
        <w:t xml:space="preserve"> who meet the criteria described in section 3 above</w:t>
      </w:r>
      <w:r w:rsidR="006A305F">
        <w:t>.</w:t>
      </w:r>
    </w:p>
    <w:p w14:paraId="4D9E3E24" w14:textId="77777777" w:rsidR="00190AA2" w:rsidRDefault="00190AA2" w:rsidP="001B392C">
      <w:pPr>
        <w:ind w:left="360"/>
      </w:pPr>
    </w:p>
    <w:p w14:paraId="4AC2C105" w14:textId="77777777" w:rsidR="00E26798" w:rsidRPr="00E96045" w:rsidRDefault="00140A0D" w:rsidP="001B392C">
      <w:pPr>
        <w:numPr>
          <w:ilvl w:val="0"/>
          <w:numId w:val="15"/>
        </w:numPr>
        <w:tabs>
          <w:tab w:val="clear" w:pos="1296"/>
          <w:tab w:val="num" w:pos="720"/>
        </w:tabs>
        <w:ind w:left="720"/>
      </w:pPr>
      <w:r>
        <w:rPr>
          <w:b/>
        </w:rPr>
        <w:t>How the Information is being collected</w:t>
      </w:r>
      <w:r w:rsidR="0049419A">
        <w:rPr>
          <w:b/>
        </w:rPr>
        <w:t>:</w:t>
      </w:r>
    </w:p>
    <w:p w14:paraId="1AE11A64" w14:textId="77777777" w:rsidR="004122E8" w:rsidRDefault="004122E8" w:rsidP="001B392C">
      <w:pPr>
        <w:ind w:left="720"/>
        <w:rPr>
          <w:u w:val="single"/>
        </w:rPr>
      </w:pPr>
    </w:p>
    <w:p w14:paraId="2C73C3C5" w14:textId="5EFFEAD7" w:rsidR="00EE231A" w:rsidRPr="00EE231A" w:rsidRDefault="00EE231A" w:rsidP="001B392C">
      <w:pPr>
        <w:ind w:left="720"/>
        <w:rPr>
          <w:u w:val="single"/>
        </w:rPr>
      </w:pPr>
      <w:r w:rsidRPr="00EE231A">
        <w:rPr>
          <w:u w:val="single"/>
        </w:rPr>
        <w:t>Recruitment Information</w:t>
      </w:r>
    </w:p>
    <w:p w14:paraId="02644F01" w14:textId="77777777" w:rsidR="004122E8" w:rsidRDefault="004122E8" w:rsidP="001B392C">
      <w:pPr>
        <w:ind w:left="720"/>
      </w:pPr>
    </w:p>
    <w:p w14:paraId="702A2612" w14:textId="1840A0C4" w:rsidR="00EE231A" w:rsidRPr="00336FCF" w:rsidRDefault="00EE231A" w:rsidP="001B392C">
      <w:pPr>
        <w:ind w:left="720"/>
      </w:pPr>
      <w:r w:rsidRPr="00336FCF">
        <w:t xml:space="preserve">Staff from the focus group facilities will </w:t>
      </w:r>
      <w:r>
        <w:t>use their in-house databases to recruit participants</w:t>
      </w:r>
      <w:r w:rsidRPr="00336FCF">
        <w:t xml:space="preserve"> </w:t>
      </w:r>
      <w:r>
        <w:t xml:space="preserve">via telephone </w:t>
      </w:r>
      <w:r w:rsidRPr="00336FCF">
        <w:t>using the participant screener (</w:t>
      </w:r>
      <w:r>
        <w:t>Appendix I</w:t>
      </w:r>
      <w:r w:rsidR="00760CBA">
        <w:t>I</w:t>
      </w:r>
      <w:r w:rsidRPr="00336FCF">
        <w:t xml:space="preserve">). </w:t>
      </w:r>
      <w:r w:rsidR="000F6D02">
        <w:t xml:space="preserve"> </w:t>
      </w:r>
      <w:r w:rsidRPr="00336FCF">
        <w:t xml:space="preserve">The facilities’ staff will provide all necessary information and instructions to ensure participants arrive at the proper location on the agreed upon date and time. </w:t>
      </w:r>
      <w:r w:rsidR="000F6D02">
        <w:t xml:space="preserve"> </w:t>
      </w:r>
      <w:r w:rsidRPr="00336FCF">
        <w:t xml:space="preserve">Facilities will </w:t>
      </w:r>
      <w:r>
        <w:t xml:space="preserve">conduct </w:t>
      </w:r>
      <w:r w:rsidRPr="00336FCF">
        <w:t>recruit</w:t>
      </w:r>
      <w:r>
        <w:t>ment and</w:t>
      </w:r>
      <w:r w:rsidRPr="00336FCF">
        <w:t xml:space="preserve"> ensure</w:t>
      </w:r>
      <w:r>
        <w:t xml:space="preserve"> that</w:t>
      </w:r>
      <w:r w:rsidRPr="00336FCF">
        <w:t xml:space="preserve"> the needed number of participants </w:t>
      </w:r>
      <w:r>
        <w:t>show up for</w:t>
      </w:r>
      <w:r w:rsidRPr="00336FCF">
        <w:t xml:space="preserve"> their scheduled time slot. </w:t>
      </w:r>
      <w:r w:rsidR="000F6D02">
        <w:t xml:space="preserve"> </w:t>
      </w:r>
      <w:r w:rsidRPr="00336FCF">
        <w:t>The facilities will send confirmation and reminder correspondences to recruited participants to help ensure attendance.</w:t>
      </w:r>
    </w:p>
    <w:p w14:paraId="3C61EB30" w14:textId="153E68B8" w:rsidR="008A4D10" w:rsidRPr="00EE231A" w:rsidRDefault="008A4D10" w:rsidP="001B392C"/>
    <w:p w14:paraId="48C5E05E" w14:textId="77777777" w:rsidR="00EE231A" w:rsidRPr="00EE231A" w:rsidRDefault="00EE231A" w:rsidP="001B392C">
      <w:pPr>
        <w:ind w:left="720"/>
        <w:rPr>
          <w:u w:val="single"/>
        </w:rPr>
      </w:pPr>
      <w:r w:rsidRPr="00EE231A">
        <w:rPr>
          <w:u w:val="single"/>
        </w:rPr>
        <w:t>Focus Group Discussions</w:t>
      </w:r>
    </w:p>
    <w:p w14:paraId="437C727B" w14:textId="77777777" w:rsidR="004122E8" w:rsidRDefault="004122E8" w:rsidP="001B392C">
      <w:pPr>
        <w:ind w:left="720"/>
      </w:pPr>
    </w:p>
    <w:p w14:paraId="6FFFB9AE" w14:textId="48BE3177" w:rsidR="00EE231A" w:rsidRPr="00336FCF" w:rsidRDefault="00EE231A" w:rsidP="001B392C">
      <w:pPr>
        <w:ind w:left="720"/>
      </w:pPr>
      <w:r w:rsidRPr="00336FCF">
        <w:t>The moderator will use the attached moderator guide</w:t>
      </w:r>
      <w:r w:rsidR="00102CB9">
        <w:t xml:space="preserve"> </w:t>
      </w:r>
      <w:r>
        <w:t>(</w:t>
      </w:r>
      <w:r w:rsidR="00102CB9">
        <w:t>Appendi</w:t>
      </w:r>
      <w:r w:rsidR="00F2502B">
        <w:t>x II</w:t>
      </w:r>
      <w:r w:rsidR="00760CBA">
        <w:t>I</w:t>
      </w:r>
      <w:r>
        <w:t>)</w:t>
      </w:r>
      <w:r w:rsidRPr="00336FCF">
        <w:t xml:space="preserve"> to ensure that all relevant topic areas</w:t>
      </w:r>
      <w:r w:rsidR="00F2502B">
        <w:t xml:space="preserve"> </w:t>
      </w:r>
      <w:r w:rsidRPr="00336FCF">
        <w:t>are addressed.  The focus group facilities will make audio</w:t>
      </w:r>
      <w:r>
        <w:t xml:space="preserve"> and video</w:t>
      </w:r>
      <w:r w:rsidRPr="00336FCF">
        <w:t xml:space="preserve"> recordings to ensure a verbatim record o</w:t>
      </w:r>
      <w:r>
        <w:t>f the proceedings is captured.</w:t>
      </w:r>
    </w:p>
    <w:p w14:paraId="408336BB" w14:textId="77777777" w:rsidR="00EE231A" w:rsidRPr="00EE231A" w:rsidRDefault="00EE231A" w:rsidP="001B392C">
      <w:pPr>
        <w:ind w:left="720"/>
      </w:pPr>
    </w:p>
    <w:p w14:paraId="04D77AC8" w14:textId="3B18B037" w:rsidR="00EE231A" w:rsidRPr="00336FCF" w:rsidRDefault="00EE231A" w:rsidP="001B392C">
      <w:pPr>
        <w:ind w:left="720"/>
      </w:pPr>
      <w:r w:rsidRPr="00336FCF">
        <w:t xml:space="preserve">The Contractor will comply with safeguards for ensuring participant information is kept </w:t>
      </w:r>
      <w:r w:rsidR="00C96629">
        <w:t>secure</w:t>
      </w:r>
      <w:r w:rsidR="00C96629" w:rsidRPr="00336FCF">
        <w:t xml:space="preserve"> </w:t>
      </w:r>
      <w:r w:rsidRPr="00336FCF">
        <w:t xml:space="preserve">to the extent permitted by law. </w:t>
      </w:r>
      <w:r w:rsidR="000F6D02">
        <w:t xml:space="preserve"> </w:t>
      </w:r>
      <w:r w:rsidRPr="00336FCF">
        <w:t xml:space="preserve">The last names of the participants will </w:t>
      </w:r>
      <w:r>
        <w:t xml:space="preserve">not appear on any focus group </w:t>
      </w:r>
      <w:r w:rsidRPr="00336FCF">
        <w:t xml:space="preserve">materials. </w:t>
      </w:r>
      <w:r w:rsidR="000F6D02">
        <w:t xml:space="preserve"> </w:t>
      </w:r>
      <w:r w:rsidRPr="00336FCF">
        <w:t>Verbatim quotes included in the final report will not be attributed to any individual.</w:t>
      </w:r>
    </w:p>
    <w:p w14:paraId="598DEBC6" w14:textId="77777777" w:rsidR="00F12AEE" w:rsidRDefault="00F12AEE" w:rsidP="001B392C">
      <w:pPr>
        <w:ind w:left="720"/>
      </w:pPr>
    </w:p>
    <w:p w14:paraId="349AEFB6" w14:textId="77777777" w:rsidR="003F1C7A" w:rsidRPr="00E215FA" w:rsidRDefault="003F1C7A" w:rsidP="001B392C">
      <w:pPr>
        <w:keepNext/>
        <w:numPr>
          <w:ilvl w:val="0"/>
          <w:numId w:val="15"/>
        </w:numPr>
        <w:tabs>
          <w:tab w:val="clear" w:pos="1296"/>
          <w:tab w:val="num" w:pos="720"/>
        </w:tabs>
        <w:ind w:left="720"/>
      </w:pPr>
      <w:r w:rsidRPr="00E26798">
        <w:rPr>
          <w:b/>
        </w:rPr>
        <w:t>Number of focus groups</w:t>
      </w:r>
      <w:r w:rsidR="0049419A">
        <w:rPr>
          <w:b/>
        </w:rPr>
        <w:t>:</w:t>
      </w:r>
    </w:p>
    <w:p w14:paraId="68559BEB" w14:textId="77777777" w:rsidR="00B415A5" w:rsidRDefault="00B415A5" w:rsidP="001B392C">
      <w:pPr>
        <w:ind w:left="720"/>
      </w:pPr>
    </w:p>
    <w:p w14:paraId="36EAD85C" w14:textId="656E3E7B" w:rsidR="00205677" w:rsidRPr="003D1766" w:rsidRDefault="00205677" w:rsidP="001B392C">
      <w:pPr>
        <w:ind w:left="720"/>
      </w:pPr>
      <w:r>
        <w:t xml:space="preserve">A total of </w:t>
      </w:r>
      <w:r w:rsidR="000021AC">
        <w:t>8</w:t>
      </w:r>
      <w:r w:rsidRPr="00CA5223">
        <w:t xml:space="preserve"> focus groups </w:t>
      </w:r>
      <w:r w:rsidR="00C52DAD">
        <w:t>of 8 to 10 participants will be conducted</w:t>
      </w:r>
      <w:r w:rsidRPr="00CA5223">
        <w:t>.</w:t>
      </w:r>
      <w:r>
        <w:t xml:space="preserve"> </w:t>
      </w:r>
    </w:p>
    <w:p w14:paraId="6A7B0096" w14:textId="77777777" w:rsidR="0049419A" w:rsidRDefault="0049419A" w:rsidP="001B392C">
      <w:pPr>
        <w:ind w:left="720"/>
      </w:pPr>
    </w:p>
    <w:p w14:paraId="0BD2590E" w14:textId="77777777" w:rsidR="00E26798" w:rsidRPr="00E96045" w:rsidRDefault="0049419A" w:rsidP="001B392C">
      <w:pPr>
        <w:numPr>
          <w:ilvl w:val="0"/>
          <w:numId w:val="15"/>
        </w:numPr>
        <w:tabs>
          <w:tab w:val="clear" w:pos="1296"/>
          <w:tab w:val="num" w:pos="720"/>
        </w:tabs>
        <w:ind w:left="720"/>
      </w:pPr>
      <w:r>
        <w:rPr>
          <w:b/>
        </w:rPr>
        <w:t>Amount and justification for any proposed incentive:</w:t>
      </w:r>
      <w:r w:rsidR="003F1C7A">
        <w:t xml:space="preserve"> </w:t>
      </w:r>
    </w:p>
    <w:p w14:paraId="65FDFFC5" w14:textId="77777777" w:rsidR="00B415A5" w:rsidRDefault="00B415A5" w:rsidP="001B392C">
      <w:pPr>
        <w:ind w:left="720"/>
      </w:pPr>
    </w:p>
    <w:p w14:paraId="1FAF2A68" w14:textId="515FDF15" w:rsidR="00C73D7F" w:rsidRPr="000C1DC4" w:rsidRDefault="007C76AB" w:rsidP="001B392C">
      <w:pPr>
        <w:ind w:left="720"/>
      </w:pPr>
      <w:r>
        <w:t>F</w:t>
      </w:r>
      <w:r w:rsidR="00C52DAD" w:rsidRPr="000C1DC4">
        <w:t xml:space="preserve">acilities that recruit and host focus groups </w:t>
      </w:r>
      <w:r>
        <w:t>have shared with us the amounts for</w:t>
      </w:r>
      <w:r w:rsidR="00C52DAD" w:rsidRPr="000C1DC4">
        <w:t xml:space="preserve"> tokens of appreciation for participants’ time</w:t>
      </w:r>
      <w:r>
        <w:t xml:space="preserve">. </w:t>
      </w:r>
      <w:r w:rsidR="000F6D02">
        <w:t xml:space="preserve"> </w:t>
      </w:r>
      <w:r>
        <w:t>W</w:t>
      </w:r>
      <w:r w:rsidR="00C52DAD" w:rsidRPr="000C1DC4">
        <w:t xml:space="preserve">e </w:t>
      </w:r>
      <w:r w:rsidR="00C73D7F" w:rsidRPr="000C1DC4">
        <w:t xml:space="preserve">propose $75 for 90 minutes to ensure that we </w:t>
      </w:r>
      <w:r w:rsidRPr="000C1DC4">
        <w:t>can</w:t>
      </w:r>
      <w:r w:rsidR="00C73D7F" w:rsidRPr="000C1DC4">
        <w:t xml:space="preserve"> attract a reasonable cros</w:t>
      </w:r>
      <w:r>
        <w:t>s-</w:t>
      </w:r>
      <w:r w:rsidR="00C73D7F" w:rsidRPr="000C1DC4">
        <w:t>section of participants</w:t>
      </w:r>
      <w:r>
        <w:t>.</w:t>
      </w:r>
      <w:r w:rsidR="00E45491" w:rsidRPr="000C1DC4">
        <w:t xml:space="preserve"> </w:t>
      </w:r>
    </w:p>
    <w:p w14:paraId="1DFA93BA" w14:textId="77777777" w:rsidR="00EB0699" w:rsidRPr="000C1DC4" w:rsidRDefault="00EB0699" w:rsidP="001B392C">
      <w:pPr>
        <w:ind w:left="720"/>
      </w:pPr>
    </w:p>
    <w:p w14:paraId="31020609" w14:textId="2C8A32D9" w:rsidR="00C73D7F" w:rsidRPr="000C1DC4" w:rsidRDefault="00C73D7F" w:rsidP="001B392C">
      <w:pPr>
        <w:ind w:left="720"/>
      </w:pPr>
      <w:r w:rsidRPr="000C1DC4">
        <w:t xml:space="preserve">Our experience in conducting focus group research indicates that offering </w:t>
      </w:r>
      <w:r w:rsidR="008408E6" w:rsidRPr="000C1DC4">
        <w:t xml:space="preserve">nonmonetary incentives or </w:t>
      </w:r>
      <w:r w:rsidRPr="000C1DC4">
        <w:t xml:space="preserve">an incentive that is below the </w:t>
      </w:r>
      <w:r w:rsidR="00C52DAD" w:rsidRPr="000C1DC4">
        <w:t xml:space="preserve">commonly </w:t>
      </w:r>
      <w:r w:rsidRPr="000C1DC4">
        <w:t xml:space="preserve">accepted rate will result in increased costs that exceed the amount saved on a reduced incentive. </w:t>
      </w:r>
      <w:r w:rsidR="000F6D02">
        <w:t xml:space="preserve"> </w:t>
      </w:r>
      <w:r w:rsidRPr="000C1DC4">
        <w:t>The consequences of an insufficient incentive include the following:</w:t>
      </w:r>
    </w:p>
    <w:p w14:paraId="35AE5B57" w14:textId="14BCE13D" w:rsidR="00C73D7F" w:rsidRDefault="00C73D7F" w:rsidP="001B392C">
      <w:pPr>
        <w:ind w:left="720"/>
      </w:pPr>
    </w:p>
    <w:p w14:paraId="2D19AC9D" w14:textId="4CFFD980" w:rsidR="00EB3878" w:rsidRDefault="00EB3878" w:rsidP="001B392C">
      <w:pPr>
        <w:ind w:left="720"/>
      </w:pPr>
    </w:p>
    <w:p w14:paraId="0E47F4DF" w14:textId="77777777" w:rsidR="00EB3878" w:rsidRPr="000C1DC4" w:rsidRDefault="00EB3878" w:rsidP="001B392C">
      <w:pPr>
        <w:ind w:left="720"/>
      </w:pPr>
    </w:p>
    <w:p w14:paraId="7CF2EACC" w14:textId="77777777" w:rsidR="00C73D7F" w:rsidRPr="000C1DC4" w:rsidRDefault="00C73D7F" w:rsidP="001B392C">
      <w:pPr>
        <w:numPr>
          <w:ilvl w:val="0"/>
          <w:numId w:val="20"/>
        </w:numPr>
        <w:tabs>
          <w:tab w:val="num" w:pos="1080"/>
        </w:tabs>
        <w:ind w:left="1080"/>
        <w:contextualSpacing/>
      </w:pPr>
      <w:r w:rsidRPr="000C1DC4">
        <w:t>Increased time and cost of recruitment</w:t>
      </w:r>
    </w:p>
    <w:p w14:paraId="0E269E48" w14:textId="77777777" w:rsidR="00C73D7F" w:rsidRPr="000C1DC4" w:rsidRDefault="00C73D7F" w:rsidP="001B392C">
      <w:pPr>
        <w:numPr>
          <w:ilvl w:val="0"/>
          <w:numId w:val="20"/>
        </w:numPr>
        <w:tabs>
          <w:tab w:val="num" w:pos="1080"/>
        </w:tabs>
        <w:ind w:left="1080"/>
        <w:contextualSpacing/>
      </w:pPr>
      <w:r w:rsidRPr="000C1DC4">
        <w:t>Increased likelihood of “no-shows” (which may result in methodologically unsound focus groups with small numbers of participants)</w:t>
      </w:r>
    </w:p>
    <w:p w14:paraId="7A92E188" w14:textId="369C3F09" w:rsidR="00C73D7F" w:rsidRPr="000C1DC4" w:rsidRDefault="00C73D7F" w:rsidP="001B392C">
      <w:pPr>
        <w:numPr>
          <w:ilvl w:val="0"/>
          <w:numId w:val="20"/>
        </w:numPr>
        <w:tabs>
          <w:tab w:val="num" w:pos="1080"/>
        </w:tabs>
        <w:ind w:left="1080"/>
        <w:contextualSpacing/>
      </w:pPr>
      <w:r w:rsidRPr="000C1DC4">
        <w:t xml:space="preserve">Increased probability that a focus group may need to be cancelled or postponed due to insufficient numbers recruited by the scheduled date of the focus group, which not only incurs additional costs, but also puts additional burden on the recruited participants who </w:t>
      </w:r>
      <w:r w:rsidR="00265358" w:rsidRPr="000C1DC4">
        <w:t>must</w:t>
      </w:r>
      <w:r w:rsidRPr="000C1DC4">
        <w:t xml:space="preserve"> reschedule their participation in the focus group.</w:t>
      </w:r>
    </w:p>
    <w:p w14:paraId="6FE31324" w14:textId="77777777" w:rsidR="007853F0" w:rsidRPr="000C1DC4" w:rsidRDefault="007853F0" w:rsidP="001B392C">
      <w:pPr>
        <w:pStyle w:val="ListParagraph"/>
      </w:pPr>
    </w:p>
    <w:p w14:paraId="75624C47" w14:textId="40ECC419" w:rsidR="007837CA" w:rsidRPr="000C1DC4" w:rsidRDefault="007F5F99" w:rsidP="001B392C">
      <w:pPr>
        <w:pStyle w:val="ListParagraph"/>
      </w:pPr>
      <w:r w:rsidRPr="000C1DC4">
        <w:t xml:space="preserve">Our proposed incentive amount will help ensure that respondents honor their commitment of participating in the </w:t>
      </w:r>
      <w:r w:rsidR="007853F0" w:rsidRPr="000C1DC4">
        <w:t xml:space="preserve">focus groups.  </w:t>
      </w:r>
      <w:r w:rsidR="00DE6944" w:rsidRPr="000C1DC4">
        <w:t xml:space="preserve">Our </w:t>
      </w:r>
      <w:r w:rsidR="0017544C" w:rsidRPr="000C1DC4">
        <w:t>incentive was chosen based on</w:t>
      </w:r>
      <w:r w:rsidR="00B415A5">
        <w:t>:</w:t>
      </w:r>
      <w:r w:rsidR="0017544C" w:rsidRPr="000C1DC4">
        <w:t xml:space="preserve"> </w:t>
      </w:r>
      <w:r w:rsidR="00B415A5">
        <w:t>(</w:t>
      </w:r>
      <w:r w:rsidR="0017544C" w:rsidRPr="000C1DC4">
        <w:t xml:space="preserve">1) an </w:t>
      </w:r>
      <w:r w:rsidR="00DE6944" w:rsidRPr="000C1DC4">
        <w:t>estimated cost related to childcare for 3 hours (</w:t>
      </w:r>
      <w:r w:rsidR="0017544C" w:rsidRPr="000C1DC4">
        <w:t>e.g.,</w:t>
      </w:r>
      <w:r w:rsidR="00DE6944" w:rsidRPr="000C1DC4">
        <w:t xml:space="preserve"> approximate travel time to and from facility, time to park </w:t>
      </w:r>
      <w:r w:rsidR="00B46254" w:rsidRPr="000C1DC4">
        <w:t xml:space="preserve">a </w:t>
      </w:r>
      <w:r w:rsidR="00DE6944" w:rsidRPr="000C1DC4">
        <w:t xml:space="preserve">vehicle, check-in and check-out procedures, and </w:t>
      </w:r>
      <w:r w:rsidR="00B46254" w:rsidRPr="000C1DC4">
        <w:t xml:space="preserve">the </w:t>
      </w:r>
      <w:r w:rsidR="00DE6944" w:rsidRPr="000C1DC4">
        <w:t>90-minute focus group discussion)</w:t>
      </w:r>
      <w:r w:rsidR="0017544C" w:rsidRPr="000C1DC4">
        <w:t>, which</w:t>
      </w:r>
      <w:r w:rsidR="00DE6944" w:rsidRPr="000C1DC4">
        <w:t xml:space="preserve"> </w:t>
      </w:r>
      <w:r w:rsidR="0017544C" w:rsidRPr="000C1DC4">
        <w:t>is</w:t>
      </w:r>
      <w:r w:rsidR="00DE6944" w:rsidRPr="000C1DC4">
        <w:t xml:space="preserve"> approximately $48</w:t>
      </w:r>
      <w:r w:rsidR="00DE6944" w:rsidRPr="000C1DC4">
        <w:rPr>
          <w:rStyle w:val="FootnoteReference"/>
        </w:rPr>
        <w:footnoteReference w:id="2"/>
      </w:r>
      <w:r w:rsidR="00B46254" w:rsidRPr="000C1DC4">
        <w:t>;</w:t>
      </w:r>
      <w:r w:rsidR="0017544C" w:rsidRPr="000C1DC4">
        <w:t xml:space="preserve"> </w:t>
      </w:r>
      <w:r w:rsidR="00B415A5">
        <w:t>(</w:t>
      </w:r>
      <w:r w:rsidR="0017544C" w:rsidRPr="000C1DC4">
        <w:t>2)</w:t>
      </w:r>
      <w:r w:rsidR="00DE6944" w:rsidRPr="000C1DC4">
        <w:t xml:space="preserve"> </w:t>
      </w:r>
      <w:r w:rsidR="0017544C" w:rsidRPr="000C1DC4">
        <w:t xml:space="preserve">an </w:t>
      </w:r>
      <w:r w:rsidR="00DE6944" w:rsidRPr="000C1DC4">
        <w:t xml:space="preserve">estimated cost for </w:t>
      </w:r>
      <w:r w:rsidR="00B46254" w:rsidRPr="000C1DC4">
        <w:t>an average driving commute</w:t>
      </w:r>
      <w:r w:rsidR="00DE6944" w:rsidRPr="000C1DC4">
        <w:t xml:space="preserve"> to and from the facility </w:t>
      </w:r>
      <w:r w:rsidR="0017544C" w:rsidRPr="000C1DC4">
        <w:t>of</w:t>
      </w:r>
      <w:r w:rsidR="00DE6944" w:rsidRPr="000C1DC4">
        <w:t xml:space="preserve"> approximately $18</w:t>
      </w:r>
      <w:r w:rsidR="00DE6944" w:rsidRPr="000C1DC4">
        <w:rPr>
          <w:rStyle w:val="FootnoteReference"/>
        </w:rPr>
        <w:footnoteReference w:id="3"/>
      </w:r>
      <w:r w:rsidR="008408E6" w:rsidRPr="000C1DC4">
        <w:t xml:space="preserve">; and </w:t>
      </w:r>
      <w:r w:rsidR="00B415A5">
        <w:t>(</w:t>
      </w:r>
      <w:r w:rsidR="008408E6" w:rsidRPr="000C1DC4">
        <w:t>3) our contractor’s</w:t>
      </w:r>
      <w:r w:rsidR="00DE6944" w:rsidRPr="000C1DC4">
        <w:t xml:space="preserve"> </w:t>
      </w:r>
      <w:r w:rsidR="008408E6" w:rsidRPr="000C1DC4">
        <w:t>and other researchers’ experiences with using nonmonetary incentives, which generally produce participation rates no better than the complete absence of any incentives.</w:t>
      </w:r>
      <w:r w:rsidR="008408E6" w:rsidRPr="000C1DC4">
        <w:rPr>
          <w:rStyle w:val="FootnoteReference"/>
        </w:rPr>
        <w:footnoteReference w:id="4"/>
      </w:r>
      <w:r w:rsidR="008408E6" w:rsidRPr="000C1DC4">
        <w:t xml:space="preserve"> </w:t>
      </w:r>
      <w:r w:rsidR="00DE6944" w:rsidRPr="000C1DC4">
        <w:t xml:space="preserve"> </w:t>
      </w:r>
      <w:r w:rsidR="007853F0" w:rsidRPr="000C1DC4">
        <w:t>Th</w:t>
      </w:r>
      <w:r w:rsidR="00B46254" w:rsidRPr="000C1DC4">
        <w:t>e proposed</w:t>
      </w:r>
      <w:r w:rsidR="007853F0" w:rsidRPr="000C1DC4">
        <w:t xml:space="preserve"> amount</w:t>
      </w:r>
      <w:r w:rsidR="00B46254" w:rsidRPr="000C1DC4">
        <w:t xml:space="preserve"> </w:t>
      </w:r>
      <w:r w:rsidR="007853F0" w:rsidRPr="000C1DC4">
        <w:t xml:space="preserve">is comparable to what has been the level of reimbursement for the target audiences in similar </w:t>
      </w:r>
      <w:r w:rsidR="00C52DAD" w:rsidRPr="000C1DC4">
        <w:t>government-</w:t>
      </w:r>
      <w:r w:rsidR="007853F0" w:rsidRPr="000C1DC4">
        <w:t xml:space="preserve">funded activities.  </w:t>
      </w:r>
      <w:r w:rsidR="00275ACB" w:rsidRPr="000C1DC4">
        <w:t>Parents</w:t>
      </w:r>
      <w:r w:rsidR="007853F0" w:rsidRPr="000C1DC4">
        <w:t xml:space="preserve"> of young children are often more difficult to recruit than more general audiences</w:t>
      </w:r>
      <w:r w:rsidR="00B46254" w:rsidRPr="000C1DC4">
        <w:t xml:space="preserve"> and t</w:t>
      </w:r>
      <w:r w:rsidR="007853F0" w:rsidRPr="000C1DC4">
        <w:t>he incentive needs to be enough to help the participants cover ou</w:t>
      </w:r>
      <w:r w:rsidRPr="000C1DC4">
        <w:t>tside childcare costs if needed</w:t>
      </w:r>
      <w:r w:rsidR="007837CA" w:rsidRPr="000C1DC4">
        <w:t xml:space="preserve">.  </w:t>
      </w:r>
      <w:r w:rsidR="008408E6" w:rsidRPr="000C1DC4">
        <w:t>As noted above, we expect that lower or nonmonetary</w:t>
      </w:r>
      <w:r w:rsidR="007837CA" w:rsidRPr="000C1DC4">
        <w:t xml:space="preserve"> incentives </w:t>
      </w:r>
      <w:r w:rsidR="008408E6" w:rsidRPr="000C1DC4">
        <w:t>will necessitate</w:t>
      </w:r>
      <w:r w:rsidR="007837CA" w:rsidRPr="000C1DC4">
        <w:t xml:space="preserve"> </w:t>
      </w:r>
      <w:r w:rsidR="008408E6" w:rsidRPr="000C1DC4">
        <w:t>over-</w:t>
      </w:r>
      <w:r w:rsidR="007837CA" w:rsidRPr="000C1DC4">
        <w:t>recruit</w:t>
      </w:r>
      <w:r w:rsidR="008408E6" w:rsidRPr="000C1DC4">
        <w:t>ment</w:t>
      </w:r>
      <w:r w:rsidR="007837CA" w:rsidRPr="000C1DC4">
        <w:t xml:space="preserve"> by higher percentages</w:t>
      </w:r>
      <w:r w:rsidR="008408E6" w:rsidRPr="000C1DC4">
        <w:t xml:space="preserve"> and result in </w:t>
      </w:r>
      <w:r w:rsidR="007C6E1E" w:rsidRPr="000C1DC4">
        <w:t xml:space="preserve">longer </w:t>
      </w:r>
      <w:r w:rsidR="008408E6" w:rsidRPr="000C1DC4">
        <w:t>recruiting</w:t>
      </w:r>
      <w:r w:rsidR="0098121D" w:rsidRPr="000C1DC4">
        <w:t xml:space="preserve"> time </w:t>
      </w:r>
      <w:r w:rsidR="00324DC3" w:rsidRPr="000C1DC4">
        <w:t>as well as</w:t>
      </w:r>
      <w:r w:rsidR="0098121D" w:rsidRPr="000C1DC4">
        <w:t xml:space="preserve"> </w:t>
      </w:r>
      <w:r w:rsidR="007C6E1E" w:rsidRPr="000C1DC4">
        <w:t xml:space="preserve">higher </w:t>
      </w:r>
      <w:r w:rsidR="0098121D" w:rsidRPr="000C1DC4">
        <w:t>overall</w:t>
      </w:r>
      <w:r w:rsidR="008408E6" w:rsidRPr="000C1DC4">
        <w:t xml:space="preserve"> </w:t>
      </w:r>
      <w:r w:rsidR="00F26B2B" w:rsidRPr="000C1DC4">
        <w:t xml:space="preserve">project </w:t>
      </w:r>
      <w:r w:rsidR="008408E6" w:rsidRPr="000C1DC4">
        <w:t>costs</w:t>
      </w:r>
      <w:r w:rsidR="007837CA" w:rsidRPr="000C1DC4">
        <w:t>.</w:t>
      </w:r>
    </w:p>
    <w:p w14:paraId="571537E7" w14:textId="77777777" w:rsidR="00DE6944" w:rsidRPr="000C1DC4" w:rsidRDefault="00DE6944" w:rsidP="001B392C">
      <w:pPr>
        <w:ind w:left="720"/>
      </w:pPr>
    </w:p>
    <w:p w14:paraId="640E7959" w14:textId="01661E2A" w:rsidR="007853F0" w:rsidRDefault="00B46254" w:rsidP="001B392C">
      <w:pPr>
        <w:pStyle w:val="ListParagraph"/>
      </w:pPr>
      <w:r w:rsidRPr="000C1DC4">
        <w:t>T</w:t>
      </w:r>
      <w:r w:rsidR="007853F0" w:rsidRPr="000C1DC4">
        <w:t>he importance of monetary compensation for focus group participation</w:t>
      </w:r>
      <w:r w:rsidRPr="000C1DC4">
        <w:t xml:space="preserve"> has been discussed by</w:t>
      </w:r>
      <w:r w:rsidR="007853F0" w:rsidRPr="000C1DC4">
        <w:t xml:space="preserve"> </w:t>
      </w:r>
      <w:r w:rsidR="002A0451" w:rsidRPr="000C1DC4">
        <w:t>Krueger and Casey (2014)</w:t>
      </w:r>
      <w:r w:rsidRPr="000C1DC4">
        <w:t>, who</w:t>
      </w:r>
      <w:r w:rsidR="007853F0" w:rsidRPr="000C1DC4">
        <w:t xml:space="preserve"> indicate that offering minimal levels of monetary compensation can help ensure that sufficient numbers of participants will attend</w:t>
      </w:r>
      <w:r w:rsidR="0017544C" w:rsidRPr="000C1DC4">
        <w:t>,</w:t>
      </w:r>
      <w:r w:rsidR="007853F0" w:rsidRPr="000C1DC4">
        <w:t xml:space="preserve"> thereby yielding </w:t>
      </w:r>
      <w:r w:rsidR="0017544C" w:rsidRPr="000C1DC4">
        <w:t xml:space="preserve">more </w:t>
      </w:r>
      <w:r w:rsidR="007853F0" w:rsidRPr="000C1DC4">
        <w:t xml:space="preserve">useful </w:t>
      </w:r>
      <w:r w:rsidR="0017544C" w:rsidRPr="000C1DC4">
        <w:t xml:space="preserve">research </w:t>
      </w:r>
      <w:r w:rsidR="007853F0" w:rsidRPr="000C1DC4">
        <w:t>results.</w:t>
      </w:r>
      <w:r w:rsidR="002A0451" w:rsidRPr="000C1DC4">
        <w:rPr>
          <w:rStyle w:val="FootnoteReference"/>
        </w:rPr>
        <w:footnoteReference w:id="5"/>
      </w:r>
      <w:r w:rsidR="007853F0" w:rsidRPr="000C1DC4">
        <w:t xml:space="preserve">  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w:t>
      </w:r>
      <w:r w:rsidR="00071751" w:rsidRPr="000C1DC4">
        <w:t xml:space="preserve"> points over comparison groups.</w:t>
      </w:r>
      <w:r w:rsidR="00071751" w:rsidRPr="000C1DC4">
        <w:rPr>
          <w:rStyle w:val="FootnoteReference"/>
        </w:rPr>
        <w:footnoteReference w:id="6"/>
      </w:r>
      <w:r w:rsidR="00071751" w:rsidRPr="000C1DC4">
        <w:t xml:space="preserve"> </w:t>
      </w:r>
      <w:r w:rsidR="000F6D02">
        <w:t xml:space="preserve"> </w:t>
      </w:r>
      <w:r w:rsidR="00071751" w:rsidRPr="000C1DC4">
        <w:t>When applied in a reasonable manner, incentives are not an unjust inducement and are an approach that acknowledges respondents for their participation</w:t>
      </w:r>
      <w:r w:rsidR="00DD24A2" w:rsidRPr="000C1DC4">
        <w:t xml:space="preserve"> and treats them justly and with respect by recognizing and acknowledging the effort they expend to participate</w:t>
      </w:r>
      <w:r w:rsidR="00071751" w:rsidRPr="000C1DC4">
        <w:t>.</w:t>
      </w:r>
      <w:r w:rsidR="00071751" w:rsidRPr="000C1DC4">
        <w:rPr>
          <w:rStyle w:val="FootnoteReference"/>
        </w:rPr>
        <w:footnoteReference w:id="7"/>
      </w:r>
      <w:r w:rsidR="00DD24A2" w:rsidRPr="000C1DC4">
        <w:t xml:space="preserve"> </w:t>
      </w:r>
      <w:r w:rsidR="000F6D02">
        <w:t xml:space="preserve"> </w:t>
      </w:r>
      <w:r w:rsidR="007853F0" w:rsidRPr="000C1DC4">
        <w:t xml:space="preserve">Finally, the importance of monetary incentives </w:t>
      </w:r>
      <w:r w:rsidRPr="000C1DC4">
        <w:t>has</w:t>
      </w:r>
      <w:r w:rsidR="007853F0" w:rsidRPr="000C1DC4">
        <w:t xml:space="preserve"> been corroborated in experiences related to the National Adult Literacy Survey by Berlin </w:t>
      </w:r>
      <w:r w:rsidR="005C1579" w:rsidRPr="000C1DC4">
        <w:t xml:space="preserve">and colleagues </w:t>
      </w:r>
      <w:r w:rsidR="007853F0" w:rsidRPr="000C1DC4">
        <w:t>(1992)</w:t>
      </w:r>
      <w:r w:rsidR="007F5F99" w:rsidRPr="000C1DC4">
        <w:rPr>
          <w:rStyle w:val="FootnoteReference"/>
        </w:rPr>
        <w:footnoteReference w:id="8"/>
      </w:r>
      <w:r w:rsidR="007853F0" w:rsidRPr="000C1DC4">
        <w:t xml:space="preserve"> and </w:t>
      </w:r>
      <w:r w:rsidR="007C2C46" w:rsidRPr="000C1DC4">
        <w:t>internal</w:t>
      </w:r>
      <w:r w:rsidR="00AF5DE2" w:rsidRPr="000C1DC4">
        <w:t xml:space="preserve"> </w:t>
      </w:r>
      <w:r w:rsidR="00906986" w:rsidRPr="000C1DC4">
        <w:t xml:space="preserve">proprietary </w:t>
      </w:r>
      <w:r w:rsidR="00AF5DE2" w:rsidRPr="000C1DC4">
        <w:t xml:space="preserve">research </w:t>
      </w:r>
      <w:r w:rsidR="007C2C46" w:rsidRPr="000C1DC4">
        <w:t>conducted by our contractor</w:t>
      </w:r>
      <w:r w:rsidRPr="000C1DC4">
        <w:t xml:space="preserve">, </w:t>
      </w:r>
      <w:r w:rsidR="00275ACB" w:rsidRPr="000C1DC4">
        <w:t>FMG</w:t>
      </w:r>
      <w:r w:rsidR="007853F0" w:rsidRPr="000C1DC4">
        <w:t>.</w:t>
      </w:r>
    </w:p>
    <w:p w14:paraId="1A5242C5" w14:textId="77777777" w:rsidR="008E5BE4" w:rsidRDefault="008E5BE4" w:rsidP="001B392C">
      <w:pPr>
        <w:pStyle w:val="ListParagraph"/>
      </w:pPr>
    </w:p>
    <w:p w14:paraId="60D84792" w14:textId="77777777" w:rsidR="00140A0D" w:rsidRPr="00E96045" w:rsidRDefault="00140A0D" w:rsidP="001B392C">
      <w:pPr>
        <w:numPr>
          <w:ilvl w:val="0"/>
          <w:numId w:val="15"/>
        </w:numPr>
        <w:tabs>
          <w:tab w:val="clear" w:pos="1296"/>
          <w:tab w:val="num" w:pos="720"/>
          <w:tab w:val="num" w:pos="900"/>
        </w:tabs>
        <w:ind w:left="720"/>
      </w:pPr>
      <w:r>
        <w:rPr>
          <w:b/>
        </w:rPr>
        <w:t>Questions of a Sensitive Nature:</w:t>
      </w:r>
    </w:p>
    <w:p w14:paraId="5F460462" w14:textId="77777777" w:rsidR="00B415A5" w:rsidRDefault="00B415A5" w:rsidP="001B392C">
      <w:pPr>
        <w:pStyle w:val="ListParagraph"/>
      </w:pPr>
    </w:p>
    <w:p w14:paraId="643E9B3B" w14:textId="562BC6C7" w:rsidR="00140A0D" w:rsidRDefault="00B415A5" w:rsidP="001B392C">
      <w:pPr>
        <w:pStyle w:val="ListParagraph"/>
      </w:pPr>
      <w:r>
        <w:t>There will be no questions of a sensitive nature asked of participants.</w:t>
      </w:r>
    </w:p>
    <w:p w14:paraId="50D6158D" w14:textId="77777777" w:rsidR="00140A0D" w:rsidRDefault="00140A0D" w:rsidP="001B392C">
      <w:pPr>
        <w:pStyle w:val="ListParagraph"/>
      </w:pPr>
    </w:p>
    <w:p w14:paraId="4005AA60" w14:textId="77777777" w:rsidR="00140A0D" w:rsidRPr="00E96045" w:rsidRDefault="00140A0D" w:rsidP="001B392C">
      <w:pPr>
        <w:numPr>
          <w:ilvl w:val="0"/>
          <w:numId w:val="15"/>
        </w:numPr>
        <w:tabs>
          <w:tab w:val="clear" w:pos="1296"/>
          <w:tab w:val="num" w:pos="720"/>
          <w:tab w:val="num" w:pos="900"/>
        </w:tabs>
        <w:ind w:left="720"/>
      </w:pPr>
      <w:r>
        <w:rPr>
          <w:b/>
        </w:rPr>
        <w:t xml:space="preserve">Description of </w:t>
      </w:r>
      <w:r w:rsidR="00163E86">
        <w:rPr>
          <w:b/>
        </w:rPr>
        <w:t>s</w:t>
      </w:r>
      <w:r>
        <w:rPr>
          <w:b/>
        </w:rPr>
        <w:t xml:space="preserve">tatistical </w:t>
      </w:r>
      <w:r w:rsidR="00163E86">
        <w:rPr>
          <w:b/>
        </w:rPr>
        <w:t>m</w:t>
      </w:r>
      <w:r>
        <w:rPr>
          <w:b/>
        </w:rPr>
        <w:t>ethods (</w:t>
      </w:r>
      <w:r w:rsidR="00163E86">
        <w:rPr>
          <w:b/>
        </w:rPr>
        <w:t>i.e</w:t>
      </w:r>
      <w:r w:rsidR="00B31D14">
        <w:rPr>
          <w:b/>
        </w:rPr>
        <w:t>.,</w:t>
      </w:r>
      <w:r w:rsidR="00E971FC">
        <w:rPr>
          <w:b/>
        </w:rPr>
        <w:t xml:space="preserve"> </w:t>
      </w:r>
      <w:r w:rsidR="00163E86">
        <w:rPr>
          <w:b/>
        </w:rPr>
        <w:t>s</w:t>
      </w:r>
      <w:r>
        <w:rPr>
          <w:b/>
        </w:rPr>
        <w:t xml:space="preserve">ample </w:t>
      </w:r>
      <w:r w:rsidR="00163E86">
        <w:rPr>
          <w:b/>
        </w:rPr>
        <w:t>s</w:t>
      </w:r>
      <w:r>
        <w:rPr>
          <w:b/>
        </w:rPr>
        <w:t xml:space="preserve">ize &amp; </w:t>
      </w:r>
      <w:r w:rsidR="00163E86">
        <w:rPr>
          <w:b/>
        </w:rPr>
        <w:t>m</w:t>
      </w:r>
      <w:r>
        <w:rPr>
          <w:b/>
        </w:rPr>
        <w:t xml:space="preserve">ethod of </w:t>
      </w:r>
      <w:r w:rsidR="00163E86">
        <w:rPr>
          <w:b/>
        </w:rPr>
        <w:t>s</w:t>
      </w:r>
      <w:r>
        <w:rPr>
          <w:b/>
        </w:rPr>
        <w:t>election):</w:t>
      </w:r>
    </w:p>
    <w:p w14:paraId="75092FEB" w14:textId="77777777" w:rsidR="00DB2CCE" w:rsidRDefault="00DB2CCE" w:rsidP="001B392C">
      <w:pPr>
        <w:ind w:left="720"/>
      </w:pPr>
    </w:p>
    <w:p w14:paraId="3465EAC9" w14:textId="16A93955" w:rsidR="00473C32" w:rsidRPr="0050277D" w:rsidRDefault="00473C32" w:rsidP="001B392C">
      <w:pPr>
        <w:ind w:left="720"/>
      </w:pPr>
      <w:r w:rsidRPr="0050277D">
        <w:t>The Contractor will contact prospective participants by telephone and screen them for eligibility to participate (Appendix I</w:t>
      </w:r>
      <w:r w:rsidR="00760CBA">
        <w:t>I</w:t>
      </w:r>
      <w:r w:rsidRPr="0050277D">
        <w:t xml:space="preserve">). </w:t>
      </w:r>
      <w:r w:rsidR="000F6D02">
        <w:t xml:space="preserve"> </w:t>
      </w:r>
      <w:r w:rsidRPr="00336FCF">
        <w:t xml:space="preserve">The facilities’ staff will provide all necessary information and instructions to ensure participants arrive at the proper location on </w:t>
      </w:r>
      <w:r>
        <w:t>the agreed upon date and time.</w:t>
      </w:r>
      <w:r w:rsidR="000F6D02">
        <w:t xml:space="preserve"> </w:t>
      </w:r>
      <w:r>
        <w:t xml:space="preserve"> </w:t>
      </w:r>
      <w:r w:rsidRPr="00336FCF">
        <w:t xml:space="preserve">Facilities will </w:t>
      </w:r>
      <w:r>
        <w:t>conduct recruitment and</w:t>
      </w:r>
      <w:r w:rsidRPr="00336FCF">
        <w:t xml:space="preserve"> ensure </w:t>
      </w:r>
      <w:r>
        <w:t xml:space="preserve">that </w:t>
      </w:r>
      <w:r w:rsidRPr="00336FCF">
        <w:t xml:space="preserve">the </w:t>
      </w:r>
      <w:r>
        <w:t>needed number of participants show up for</w:t>
      </w:r>
      <w:r w:rsidRPr="00336FCF">
        <w:t xml:space="preserve"> their scheduled time slot.</w:t>
      </w:r>
      <w:r>
        <w:t xml:space="preserve"> </w:t>
      </w:r>
      <w:r w:rsidR="000F6D02">
        <w:t xml:space="preserve"> </w:t>
      </w:r>
      <w:r w:rsidRPr="0050277D">
        <w:t>This study</w:t>
      </w:r>
      <w:r>
        <w:t xml:space="preserve"> employs qualitative methods and</w:t>
      </w:r>
      <w:r w:rsidRPr="0050277D">
        <w:t xml:space="preserve"> does not entail the use of any statistical methods.</w:t>
      </w:r>
    </w:p>
    <w:p w14:paraId="44ECE68E" w14:textId="77777777" w:rsidR="00473C32" w:rsidRPr="00473C32" w:rsidRDefault="00473C32" w:rsidP="001B392C">
      <w:pPr>
        <w:ind w:left="720"/>
      </w:pPr>
    </w:p>
    <w:p w14:paraId="22B3D73E" w14:textId="7989BBAA" w:rsidR="00140A0D" w:rsidRDefault="00473C32" w:rsidP="00EB3878">
      <w:pPr>
        <w:ind w:left="720"/>
      </w:pPr>
      <w:r w:rsidRPr="00336FCF">
        <w:t xml:space="preserve">Table 1 shows the estimated annual reporting burden for the groups, assuming </w:t>
      </w:r>
      <w:r>
        <w:t>10</w:t>
      </w:r>
      <w:r w:rsidRPr="00336FCF">
        <w:t xml:space="preserve"> participants per group.</w:t>
      </w:r>
    </w:p>
    <w:p w14:paraId="68551AF2" w14:textId="77777777" w:rsidR="00190AA2" w:rsidRDefault="00190AA2" w:rsidP="001B392C">
      <w:pPr>
        <w:pStyle w:val="ListParagraph"/>
      </w:pPr>
    </w:p>
    <w:p w14:paraId="23F7A350" w14:textId="77777777" w:rsidR="003F1C7A" w:rsidRDefault="003F1C7A" w:rsidP="001B392C">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p w14:paraId="6E40EF07" w14:textId="77777777" w:rsidR="005C6A7F" w:rsidRDefault="005C6A7F" w:rsidP="001B392C">
      <w:pPr>
        <w:rPr>
          <w:i/>
        </w:rPr>
      </w:pPr>
    </w:p>
    <w:p w14:paraId="4C1EDDDF" w14:textId="77777777" w:rsidR="003F1C7A" w:rsidRDefault="00F62F0B" w:rsidP="001B392C">
      <w:pPr>
        <w:keepNext/>
        <w:keepLines/>
        <w:rPr>
          <w:b/>
        </w:rPr>
      </w:pPr>
      <w:r>
        <w:rPr>
          <w:b/>
        </w:rPr>
        <w:t>Table 1.</w:t>
      </w:r>
    </w:p>
    <w:p w14:paraId="57329771" w14:textId="77777777" w:rsidR="00F62F0B" w:rsidRDefault="00F62F0B" w:rsidP="001B392C">
      <w:pPr>
        <w:keepNext/>
        <w:keepLines/>
        <w:rPr>
          <w:b/>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1985"/>
        <w:gridCol w:w="1985"/>
        <w:gridCol w:w="1986"/>
      </w:tblGrid>
      <w:tr w:rsidR="003F1C7A" w14:paraId="37A6164E" w14:textId="77777777" w:rsidTr="00862F2F">
        <w:trPr>
          <w:cantSplit/>
          <w:trHeight w:val="274"/>
          <w:jc w:val="center"/>
        </w:trPr>
        <w:tc>
          <w:tcPr>
            <w:tcW w:w="2536" w:type="dxa"/>
            <w:shd w:val="clear" w:color="auto" w:fill="E0E0E0"/>
          </w:tcPr>
          <w:p w14:paraId="4AE8A550" w14:textId="77777777" w:rsidR="003F1C7A" w:rsidRDefault="00696B03" w:rsidP="001B392C">
            <w:pPr>
              <w:rPr>
                <w:b/>
              </w:rPr>
            </w:pPr>
            <w:r>
              <w:rPr>
                <w:b/>
              </w:rPr>
              <w:t>Type/</w:t>
            </w:r>
            <w:r w:rsidR="003F1C7A">
              <w:rPr>
                <w:b/>
              </w:rPr>
              <w:t>Category of Respondent</w:t>
            </w:r>
          </w:p>
        </w:tc>
        <w:tc>
          <w:tcPr>
            <w:tcW w:w="1985" w:type="dxa"/>
            <w:shd w:val="clear" w:color="auto" w:fill="E0E0E0"/>
          </w:tcPr>
          <w:p w14:paraId="5A1AD10B" w14:textId="77777777" w:rsidR="003F1C7A" w:rsidRDefault="003F1C7A" w:rsidP="001B392C">
            <w:pPr>
              <w:rPr>
                <w:b/>
              </w:rPr>
            </w:pPr>
            <w:r>
              <w:rPr>
                <w:b/>
              </w:rPr>
              <w:t>No. of Respondent</w:t>
            </w:r>
            <w:r w:rsidR="00696B03">
              <w:rPr>
                <w:b/>
              </w:rPr>
              <w:t>s</w:t>
            </w:r>
          </w:p>
        </w:tc>
        <w:tc>
          <w:tcPr>
            <w:tcW w:w="1985" w:type="dxa"/>
            <w:shd w:val="clear" w:color="auto" w:fill="E0E0E0"/>
          </w:tcPr>
          <w:p w14:paraId="51D26AD0" w14:textId="77777777" w:rsidR="003F1C7A" w:rsidRDefault="003F1C7A" w:rsidP="001B392C">
            <w:pPr>
              <w:rPr>
                <w:b/>
              </w:rPr>
            </w:pPr>
            <w:r>
              <w:rPr>
                <w:b/>
              </w:rPr>
              <w:t>Participation Time</w:t>
            </w:r>
            <w:r w:rsidR="00696B03">
              <w:rPr>
                <w:b/>
              </w:rPr>
              <w:t xml:space="preserve"> (minutes)</w:t>
            </w:r>
          </w:p>
        </w:tc>
        <w:tc>
          <w:tcPr>
            <w:tcW w:w="1986" w:type="dxa"/>
            <w:shd w:val="clear" w:color="auto" w:fill="E0E0E0"/>
          </w:tcPr>
          <w:p w14:paraId="105882E9" w14:textId="77777777" w:rsidR="003F1C7A" w:rsidRDefault="003F1C7A" w:rsidP="001B392C">
            <w:pPr>
              <w:rPr>
                <w:b/>
              </w:rPr>
            </w:pPr>
            <w:r>
              <w:rPr>
                <w:b/>
              </w:rPr>
              <w:t>Burden</w:t>
            </w:r>
          </w:p>
          <w:p w14:paraId="2EA2D3DA" w14:textId="77777777" w:rsidR="00696B03" w:rsidRDefault="00696B03" w:rsidP="001B392C">
            <w:pPr>
              <w:rPr>
                <w:b/>
              </w:rPr>
            </w:pPr>
            <w:r>
              <w:rPr>
                <w:b/>
              </w:rPr>
              <w:t>(hours)</w:t>
            </w:r>
          </w:p>
        </w:tc>
      </w:tr>
      <w:tr w:rsidR="00F62F0B" w14:paraId="0C15F45D" w14:textId="77777777" w:rsidTr="00862F2F">
        <w:trPr>
          <w:trHeight w:val="274"/>
          <w:jc w:val="center"/>
        </w:trPr>
        <w:tc>
          <w:tcPr>
            <w:tcW w:w="2536" w:type="dxa"/>
          </w:tcPr>
          <w:p w14:paraId="79B28C71" w14:textId="77777777" w:rsidR="00F62F0B" w:rsidRPr="00776554" w:rsidRDefault="00F62F0B" w:rsidP="001B392C">
            <w:r>
              <w:t>Screener</w:t>
            </w:r>
          </w:p>
        </w:tc>
        <w:tc>
          <w:tcPr>
            <w:tcW w:w="1985" w:type="dxa"/>
          </w:tcPr>
          <w:p w14:paraId="51C2D0A6" w14:textId="525261EF" w:rsidR="00F62F0B" w:rsidRPr="00776554" w:rsidRDefault="000021AC" w:rsidP="001B392C">
            <w:r>
              <w:t>300</w:t>
            </w:r>
          </w:p>
        </w:tc>
        <w:tc>
          <w:tcPr>
            <w:tcW w:w="1985" w:type="dxa"/>
          </w:tcPr>
          <w:p w14:paraId="39CB450D" w14:textId="77777777" w:rsidR="00F62F0B" w:rsidRPr="00776554" w:rsidRDefault="00F62F0B" w:rsidP="001B392C">
            <w:r>
              <w:t>5</w:t>
            </w:r>
          </w:p>
        </w:tc>
        <w:tc>
          <w:tcPr>
            <w:tcW w:w="1986" w:type="dxa"/>
          </w:tcPr>
          <w:p w14:paraId="4624C7E8" w14:textId="3D83F992" w:rsidR="00F62F0B" w:rsidRPr="00776554" w:rsidRDefault="000021AC" w:rsidP="001B392C">
            <w:r>
              <w:t>25</w:t>
            </w:r>
          </w:p>
        </w:tc>
      </w:tr>
      <w:tr w:rsidR="007E76D6" w14:paraId="62D4BEAB" w14:textId="77777777" w:rsidTr="00862F2F">
        <w:trPr>
          <w:trHeight w:val="274"/>
          <w:jc w:val="center"/>
        </w:trPr>
        <w:tc>
          <w:tcPr>
            <w:tcW w:w="2536" w:type="dxa"/>
          </w:tcPr>
          <w:p w14:paraId="414C4889" w14:textId="77777777" w:rsidR="007E76D6" w:rsidRDefault="007E76D6" w:rsidP="001B392C">
            <w:r>
              <w:t>Focus group discussion</w:t>
            </w:r>
          </w:p>
        </w:tc>
        <w:tc>
          <w:tcPr>
            <w:tcW w:w="1985" w:type="dxa"/>
          </w:tcPr>
          <w:p w14:paraId="268784D1" w14:textId="2200CF39" w:rsidR="007E76D6" w:rsidRDefault="000021AC" w:rsidP="001B392C">
            <w:r>
              <w:t>80</w:t>
            </w:r>
          </w:p>
        </w:tc>
        <w:tc>
          <w:tcPr>
            <w:tcW w:w="1985" w:type="dxa"/>
          </w:tcPr>
          <w:p w14:paraId="37FEFF9F" w14:textId="2AE4FA78" w:rsidR="007E76D6" w:rsidDel="0016369C" w:rsidRDefault="00265BFD" w:rsidP="001B392C">
            <w:r>
              <w:t>120</w:t>
            </w:r>
          </w:p>
        </w:tc>
        <w:tc>
          <w:tcPr>
            <w:tcW w:w="1986" w:type="dxa"/>
          </w:tcPr>
          <w:p w14:paraId="4CA14B5B" w14:textId="5564C814" w:rsidR="007E76D6" w:rsidDel="0016369C" w:rsidRDefault="000021AC" w:rsidP="000F6D02">
            <w:r>
              <w:t>160</w:t>
            </w:r>
          </w:p>
        </w:tc>
      </w:tr>
      <w:tr w:rsidR="001C7B3E" w14:paraId="17BA2E99" w14:textId="77777777" w:rsidTr="00D670C5">
        <w:trPr>
          <w:trHeight w:val="274"/>
          <w:jc w:val="center"/>
        </w:trPr>
        <w:tc>
          <w:tcPr>
            <w:tcW w:w="6506" w:type="dxa"/>
            <w:gridSpan w:val="3"/>
          </w:tcPr>
          <w:p w14:paraId="16A39372" w14:textId="77777777" w:rsidR="001C7B3E" w:rsidRDefault="001C7B3E" w:rsidP="001B392C">
            <w:r>
              <w:t>Total</w:t>
            </w:r>
          </w:p>
        </w:tc>
        <w:tc>
          <w:tcPr>
            <w:tcW w:w="1986" w:type="dxa"/>
          </w:tcPr>
          <w:p w14:paraId="1C5C306B" w14:textId="141A7262" w:rsidR="001C7B3E" w:rsidRDefault="000021AC" w:rsidP="001B392C">
            <w:r>
              <w:t>185</w:t>
            </w:r>
          </w:p>
        </w:tc>
      </w:tr>
    </w:tbl>
    <w:p w14:paraId="5C9A601F" w14:textId="77777777" w:rsidR="003F1C7A" w:rsidRDefault="003F1C7A" w:rsidP="001B392C"/>
    <w:p w14:paraId="5BC2076C" w14:textId="68759602" w:rsidR="00B71082" w:rsidRPr="009238D7" w:rsidRDefault="00DB7E1F" w:rsidP="001B392C">
      <w:r>
        <w:rPr>
          <w:b/>
        </w:rPr>
        <w:t xml:space="preserve">REQUESTED APPROVAL DATE: </w:t>
      </w:r>
      <w:r w:rsidR="00B415A5" w:rsidRPr="00EB3878">
        <w:t>September, 2019</w:t>
      </w:r>
    </w:p>
    <w:p w14:paraId="3DA38F6E" w14:textId="77777777" w:rsidR="003F1C7A" w:rsidRDefault="003F1C7A" w:rsidP="001B392C">
      <w:pPr>
        <w:rPr>
          <w:b/>
        </w:rPr>
      </w:pPr>
    </w:p>
    <w:p w14:paraId="46C23698" w14:textId="77777777" w:rsidR="00D00880" w:rsidRDefault="00140A0D" w:rsidP="001B392C">
      <w:pPr>
        <w:rPr>
          <w:b/>
        </w:rPr>
      </w:pPr>
      <w:r>
        <w:rPr>
          <w:b/>
        </w:rPr>
        <w:t xml:space="preserve">NAME OF PRA ANALYST &amp; PROGRAM CONTACT:  </w:t>
      </w:r>
    </w:p>
    <w:p w14:paraId="3DA4335B" w14:textId="77777777" w:rsidR="00B415A5" w:rsidRDefault="00B415A5" w:rsidP="001B392C">
      <w:pPr>
        <w:rPr>
          <w:bCs/>
        </w:rPr>
      </w:pPr>
    </w:p>
    <w:p w14:paraId="23B53193" w14:textId="7E09162A" w:rsidR="00D00880" w:rsidRPr="00D00880" w:rsidRDefault="002254D4" w:rsidP="001B392C">
      <w:pPr>
        <w:rPr>
          <w:bCs/>
        </w:rPr>
      </w:pPr>
      <w:r>
        <w:rPr>
          <w:bCs/>
        </w:rPr>
        <w:t xml:space="preserve">Ila S. Mizrachi </w:t>
      </w:r>
      <w:r w:rsidR="00D00880" w:rsidRPr="00D00880">
        <w:rPr>
          <w:bCs/>
        </w:rPr>
        <w:t xml:space="preserve">(PRA Analyst) </w:t>
      </w:r>
    </w:p>
    <w:p w14:paraId="793B8B66" w14:textId="77777777" w:rsidR="002254D4" w:rsidRDefault="00041ADC" w:rsidP="001B392C">
      <w:hyperlink r:id="rId9" w:history="1">
        <w:r w:rsidR="002254D4" w:rsidRPr="009B5E5A">
          <w:rPr>
            <w:rStyle w:val="Hyperlink"/>
          </w:rPr>
          <w:t>Ila.Mizrachi@fda.hhs.gov</w:t>
        </w:r>
      </w:hyperlink>
    </w:p>
    <w:p w14:paraId="7DAFCA77" w14:textId="52B90D76" w:rsidR="00D00880" w:rsidRPr="00D00880" w:rsidRDefault="00D00880" w:rsidP="001B392C">
      <w:pPr>
        <w:rPr>
          <w:bCs/>
        </w:rPr>
      </w:pPr>
      <w:r w:rsidRPr="00D00880">
        <w:rPr>
          <w:bCs/>
        </w:rPr>
        <w:t>301-796-</w:t>
      </w:r>
      <w:r w:rsidR="002254D4">
        <w:rPr>
          <w:bCs/>
        </w:rPr>
        <w:t>7726</w:t>
      </w:r>
    </w:p>
    <w:p w14:paraId="41A15672" w14:textId="77777777" w:rsidR="00EB3878" w:rsidRDefault="00EB3878" w:rsidP="001B392C">
      <w:pPr>
        <w:rPr>
          <w:bCs/>
        </w:rPr>
      </w:pPr>
    </w:p>
    <w:p w14:paraId="5BF74478" w14:textId="20463D10" w:rsidR="00D00880" w:rsidRPr="00D00880" w:rsidRDefault="00E56658" w:rsidP="001B392C">
      <w:pPr>
        <w:rPr>
          <w:bCs/>
        </w:rPr>
      </w:pPr>
      <w:r>
        <w:rPr>
          <w:bCs/>
        </w:rPr>
        <w:t>Linda Verrill, Ph.D.</w:t>
      </w:r>
      <w:r w:rsidR="00D00880" w:rsidRPr="00D00880">
        <w:rPr>
          <w:bCs/>
        </w:rPr>
        <w:t xml:space="preserve"> (Program Contact)</w:t>
      </w:r>
    </w:p>
    <w:p w14:paraId="380A9892" w14:textId="61BD8D62" w:rsidR="00D00880" w:rsidRPr="00D00880" w:rsidRDefault="00E56658" w:rsidP="001B392C">
      <w:pPr>
        <w:rPr>
          <w:bCs/>
        </w:rPr>
      </w:pPr>
      <w:r>
        <w:rPr>
          <w:bCs/>
        </w:rPr>
        <w:t>Linda.Verrill</w:t>
      </w:r>
      <w:r w:rsidR="00D00880" w:rsidRPr="00D00880">
        <w:rPr>
          <w:bCs/>
        </w:rPr>
        <w:t>@fda.hhs.gov</w:t>
      </w:r>
    </w:p>
    <w:p w14:paraId="098BDEE0" w14:textId="1DF06451" w:rsidR="00140A0D" w:rsidRDefault="00D00880" w:rsidP="001B392C">
      <w:pPr>
        <w:tabs>
          <w:tab w:val="left" w:pos="5670"/>
        </w:tabs>
        <w:suppressAutoHyphens/>
        <w:rPr>
          <w:bCs/>
        </w:rPr>
      </w:pPr>
      <w:r w:rsidRPr="00D00880">
        <w:rPr>
          <w:bCs/>
        </w:rPr>
        <w:t>240-402-</w:t>
      </w:r>
      <w:r w:rsidR="00E56658">
        <w:rPr>
          <w:bCs/>
        </w:rPr>
        <w:t>1765</w:t>
      </w:r>
    </w:p>
    <w:p w14:paraId="50CFE60B" w14:textId="77777777" w:rsidR="00EB3878" w:rsidRDefault="00EB3878" w:rsidP="001B392C">
      <w:pPr>
        <w:tabs>
          <w:tab w:val="left" w:pos="5670"/>
        </w:tabs>
        <w:suppressAutoHyphens/>
        <w:rPr>
          <w:b/>
        </w:rPr>
      </w:pPr>
    </w:p>
    <w:p w14:paraId="3E74EBBA" w14:textId="33F172DA" w:rsidR="003F1C7A" w:rsidRPr="00E215FA" w:rsidRDefault="00140A0D" w:rsidP="001B392C">
      <w:pPr>
        <w:tabs>
          <w:tab w:val="left" w:pos="5670"/>
        </w:tabs>
        <w:suppressAutoHyphens/>
      </w:pPr>
      <w:r>
        <w:rPr>
          <w:b/>
        </w:rPr>
        <w:t xml:space="preserve">FDA CENTER:  </w:t>
      </w:r>
      <w:r w:rsidR="001973CE">
        <w:t>C</w:t>
      </w:r>
      <w:r w:rsidR="002254D4">
        <w:t>enter for Food Safety and Applied Nutrition</w:t>
      </w:r>
      <w:r w:rsidR="00265BFD">
        <w:t xml:space="preserve"> </w:t>
      </w:r>
    </w:p>
    <w:sectPr w:rsidR="003F1C7A" w:rsidRPr="00E215FA" w:rsidSect="00E96045">
      <w:footerReference w:type="default" r:id="rId10"/>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61938" w14:textId="77777777" w:rsidR="00C042C8" w:rsidRDefault="00C042C8">
      <w:r>
        <w:separator/>
      </w:r>
    </w:p>
  </w:endnote>
  <w:endnote w:type="continuationSeparator" w:id="0">
    <w:p w14:paraId="65CBF11F" w14:textId="77777777" w:rsidR="00C042C8" w:rsidRDefault="00C0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2B640" w14:textId="0EB34BF9"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41AD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3C74B" w14:textId="77777777" w:rsidR="00C042C8" w:rsidRDefault="00C042C8">
      <w:r>
        <w:separator/>
      </w:r>
    </w:p>
  </w:footnote>
  <w:footnote w:type="continuationSeparator" w:id="0">
    <w:p w14:paraId="00017440" w14:textId="77777777" w:rsidR="00C042C8" w:rsidRDefault="00C042C8">
      <w:r>
        <w:continuationSeparator/>
      </w:r>
    </w:p>
  </w:footnote>
  <w:footnote w:id="1">
    <w:p w14:paraId="61CE80C5" w14:textId="5EB8D011" w:rsidR="00361F80" w:rsidRDefault="00361F80">
      <w:pPr>
        <w:pStyle w:val="FootnoteText"/>
      </w:pPr>
      <w:r>
        <w:rPr>
          <w:rStyle w:val="FootnoteReference"/>
        </w:rPr>
        <w:footnoteRef/>
      </w:r>
      <w:r>
        <w:t xml:space="preserve"> Healthy Innovation, Safer Families: FDA’s 2018 Strategic Policy Roadmap.   </w:t>
      </w:r>
      <w:hyperlink r:id="rId1" w:history="1">
        <w:r w:rsidRPr="009A04EE">
          <w:rPr>
            <w:rStyle w:val="Hyperlink"/>
          </w:rPr>
          <w:t>https://www.fda.gov/AboutFDA/ReportsManualsForms/Reports/ucm591993.htm</w:t>
        </w:r>
      </w:hyperlink>
      <w:r>
        <w:t>. Accessed 11-27-18.</w:t>
      </w:r>
    </w:p>
  </w:footnote>
  <w:footnote w:id="2">
    <w:p w14:paraId="39A7F4FA" w14:textId="77777777" w:rsidR="00DE6944" w:rsidRDefault="00DE6944" w:rsidP="00DE6944">
      <w:pPr>
        <w:pStyle w:val="FootnoteText"/>
      </w:pPr>
      <w:r>
        <w:rPr>
          <w:rStyle w:val="FootnoteReference"/>
        </w:rPr>
        <w:footnoteRef/>
      </w:r>
      <w:r>
        <w:t xml:space="preserve"> Assumes an hourly rate of $16 per hour for a professional babysitter</w:t>
      </w:r>
    </w:p>
  </w:footnote>
  <w:footnote w:id="3">
    <w:p w14:paraId="7B6DF57B" w14:textId="77777777" w:rsidR="00DE6944" w:rsidRDefault="00DE6944" w:rsidP="00DE6944">
      <w:pPr>
        <w:pStyle w:val="FootnoteText"/>
      </w:pPr>
      <w:r>
        <w:rPr>
          <w:rStyle w:val="FootnoteReference"/>
        </w:rPr>
        <w:footnoteRef/>
      </w:r>
      <w:r>
        <w:t xml:space="preserve"> Assumes travel by automobile; calculation derived from average annual commuting costs reported at </w:t>
      </w:r>
      <w:r w:rsidRPr="008577D6">
        <w:t>https://www.census.gov/hhes/commuting/files/JSM_Proceedings_paper.pdf</w:t>
      </w:r>
    </w:p>
  </w:footnote>
  <w:footnote w:id="4">
    <w:p w14:paraId="446F67A5" w14:textId="77777777" w:rsidR="008408E6" w:rsidRDefault="008408E6">
      <w:pPr>
        <w:pStyle w:val="FootnoteText"/>
      </w:pPr>
      <w:r>
        <w:rPr>
          <w:rStyle w:val="FootnoteReference"/>
        </w:rPr>
        <w:footnoteRef/>
      </w:r>
      <w:r>
        <w:t xml:space="preserve"> </w:t>
      </w:r>
      <w:r w:rsidR="00DA4D60">
        <w:t xml:space="preserve">See: </w:t>
      </w:r>
      <w:r w:rsidR="009845CD">
        <w:t xml:space="preserve">Church, A.H. (1993). Estimating the effect of incentives on mail survey response rates: A meta-analysis. </w:t>
      </w:r>
      <w:r w:rsidR="009845CD">
        <w:rPr>
          <w:i/>
          <w:iCs/>
        </w:rPr>
        <w:t>Public Opinion Quarterly,</w:t>
      </w:r>
      <w:r w:rsidR="009845CD">
        <w:t xml:space="preserve"> 57, 62-79</w:t>
      </w:r>
      <w:r w:rsidR="00DA4D60">
        <w:t xml:space="preserve">; </w:t>
      </w:r>
      <w:r w:rsidR="000275F0">
        <w:t xml:space="preserve">Dykema, J. et al. </w:t>
      </w:r>
      <w:r w:rsidR="000275F0" w:rsidRPr="000275F0">
        <w:t xml:space="preserve">(2012). Use of monetary and nonmonetary incentives to increase response rates among African Americans in the Wisconsin pregnancy risk assessment monitoring system. </w:t>
      </w:r>
      <w:r w:rsidR="000275F0" w:rsidRPr="000275F0">
        <w:rPr>
          <w:i/>
          <w:iCs/>
        </w:rPr>
        <w:t>Maternal and child health journal</w:t>
      </w:r>
      <w:r w:rsidR="000275F0" w:rsidRPr="000275F0">
        <w:t xml:space="preserve">, </w:t>
      </w:r>
      <w:r w:rsidR="000275F0" w:rsidRPr="000275F0">
        <w:rPr>
          <w:i/>
          <w:iCs/>
        </w:rPr>
        <w:t>16</w:t>
      </w:r>
      <w:r w:rsidR="000275F0">
        <w:t xml:space="preserve">(4), 785-791; </w:t>
      </w:r>
      <w:r w:rsidR="00362661" w:rsidRPr="00362661">
        <w:t xml:space="preserve">Singer, E., &amp; Kulka, R. A. (2002). Paying respondents for survey participation. </w:t>
      </w:r>
      <w:r w:rsidR="007A4CF6">
        <w:t xml:space="preserve">In: </w:t>
      </w:r>
      <w:r w:rsidR="00362661" w:rsidRPr="00362661">
        <w:rPr>
          <w:i/>
          <w:iCs/>
        </w:rPr>
        <w:t>Studies of welfare populations: Data collection and research issues</w:t>
      </w:r>
      <w:r w:rsidR="00362661" w:rsidRPr="00362661">
        <w:t>, 105-128.</w:t>
      </w:r>
    </w:p>
  </w:footnote>
  <w:footnote w:id="5">
    <w:p w14:paraId="00E7F771" w14:textId="77777777" w:rsidR="002A0451" w:rsidRDefault="002A0451" w:rsidP="002A0451">
      <w:pPr>
        <w:pStyle w:val="FootnoteText"/>
      </w:pPr>
      <w:r>
        <w:rPr>
          <w:rStyle w:val="FootnoteReference"/>
        </w:rPr>
        <w:footnoteRef/>
      </w:r>
      <w:r>
        <w:t xml:space="preserve"> Krueger, R.A. &amp; </w:t>
      </w:r>
      <w:r w:rsidR="00795B93">
        <w:t>M.A. Casey</w:t>
      </w:r>
      <w:r>
        <w:t>. (2014). Focus groups: A practical guide for applied research. (5th ed.). Thousand Oaks, CA: Sage Publications, Inc.</w:t>
      </w:r>
    </w:p>
  </w:footnote>
  <w:footnote w:id="6">
    <w:p w14:paraId="2E3524E2" w14:textId="77777777" w:rsidR="00071751" w:rsidRDefault="00071751" w:rsidP="00071751">
      <w:pPr>
        <w:pStyle w:val="FootnoteText"/>
      </w:pPr>
      <w:r>
        <w:rPr>
          <w:rStyle w:val="FootnoteReference"/>
        </w:rPr>
        <w:footnoteRef/>
      </w:r>
      <w:r>
        <w:t xml:space="preserve"> Church, A.H. (1993). Estimating the effect of incentives on mail survey response rates: A meta-analysis. </w:t>
      </w:r>
      <w:r>
        <w:rPr>
          <w:i/>
          <w:iCs/>
        </w:rPr>
        <w:t>Public Opinion Quarterly,</w:t>
      </w:r>
      <w:r>
        <w:t xml:space="preserve"> 57, 62-79.</w:t>
      </w:r>
    </w:p>
  </w:footnote>
  <w:footnote w:id="7">
    <w:p w14:paraId="5D2E7FD1" w14:textId="4D17E267" w:rsidR="00071751" w:rsidRPr="00DD24A2" w:rsidRDefault="00071751">
      <w:pPr>
        <w:pStyle w:val="FootnoteText"/>
      </w:pPr>
      <w:r w:rsidRPr="00DD24A2">
        <w:rPr>
          <w:rStyle w:val="FootnoteReference"/>
        </w:rPr>
        <w:footnoteRef/>
      </w:r>
      <w:r w:rsidRPr="00DD24A2">
        <w:t xml:space="preserve"> </w:t>
      </w:r>
      <w:r w:rsidRPr="00B41C47">
        <w:t xml:space="preserve">Halpen, S.D., Karlawish, J.H., Casarett, D., Berlin, J.A., &amp; Asch, D.A. (2004). Empirical assessment of whether moderate payments are undue or unjust inducements for participation in clinical trials. </w:t>
      </w:r>
      <w:r w:rsidRPr="00B41C47">
        <w:rPr>
          <w:i/>
        </w:rPr>
        <w:t>Archives of Internal Medicine</w:t>
      </w:r>
      <w:r w:rsidRPr="00B41C47">
        <w:t xml:space="preserve">, </w:t>
      </w:r>
      <w:r w:rsidRPr="00B41C47">
        <w:rPr>
          <w:i/>
        </w:rPr>
        <w:t>164</w:t>
      </w:r>
      <w:r w:rsidRPr="00B41C47">
        <w:t>(</w:t>
      </w:r>
      <w:r w:rsidRPr="00B41C47">
        <w:rPr>
          <w:i/>
        </w:rPr>
        <w:t>7</w:t>
      </w:r>
      <w:r w:rsidRPr="00B41C47">
        <w:t>), 801-803.</w:t>
      </w:r>
    </w:p>
  </w:footnote>
  <w:footnote w:id="8">
    <w:p w14:paraId="1B58B6A0" w14:textId="77777777" w:rsidR="007F5F99" w:rsidRDefault="007F5F99">
      <w:pPr>
        <w:pStyle w:val="FootnoteText"/>
      </w:pPr>
      <w:r>
        <w:rPr>
          <w:rStyle w:val="FootnoteReference"/>
        </w:rPr>
        <w:footnoteRef/>
      </w:r>
      <w:r>
        <w:t xml:space="preserve"> </w:t>
      </w:r>
      <w:r w:rsidR="00795B93" w:rsidRPr="00795B93">
        <w:t>Berlin</w:t>
      </w:r>
      <w:r w:rsidR="00795B93">
        <w:t>,</w:t>
      </w:r>
      <w:r w:rsidR="00795B93" w:rsidRPr="00795B93">
        <w:t xml:space="preserve"> M</w:t>
      </w:r>
      <w:r w:rsidR="00795B93">
        <w:t>.</w:t>
      </w:r>
      <w:r w:rsidR="00795B93" w:rsidRPr="00795B93">
        <w:t xml:space="preserve">, </w:t>
      </w:r>
      <w:r w:rsidR="00795B93">
        <w:t xml:space="preserve">L. </w:t>
      </w:r>
      <w:r w:rsidR="00795B93" w:rsidRPr="00795B93">
        <w:t xml:space="preserve">Mohadjer, </w:t>
      </w:r>
      <w:r w:rsidR="00795B93">
        <w:t xml:space="preserve">J. </w:t>
      </w:r>
      <w:r w:rsidR="00795B93" w:rsidRPr="00795B93">
        <w:t xml:space="preserve">Waksberg, </w:t>
      </w:r>
      <w:r w:rsidR="00027D62">
        <w:t xml:space="preserve">A. </w:t>
      </w:r>
      <w:r w:rsidR="00795B93" w:rsidRPr="00795B93">
        <w:t xml:space="preserve">Kolstad, </w:t>
      </w:r>
      <w:r w:rsidR="00027D62">
        <w:t xml:space="preserve">I. </w:t>
      </w:r>
      <w:r w:rsidR="00795B93" w:rsidRPr="00795B93">
        <w:t xml:space="preserve">Kirsch, </w:t>
      </w:r>
      <w:r w:rsidR="00027D62">
        <w:t xml:space="preserve">D. </w:t>
      </w:r>
      <w:r w:rsidR="00795B93" w:rsidRPr="00795B93">
        <w:t>Rock,</w:t>
      </w:r>
      <w:r w:rsidR="00027D62">
        <w:t xml:space="preserve"> &amp; K.</w:t>
      </w:r>
      <w:r w:rsidR="00795B93" w:rsidRPr="00795B93">
        <w:t xml:space="preserve"> Yamamoto.</w:t>
      </w:r>
      <w:r w:rsidR="00027D62">
        <w:t xml:space="preserve"> </w:t>
      </w:r>
      <w:r w:rsidR="00795B93" w:rsidRPr="00795B93">
        <w:t>An experiment in monetary incentives. American Statistical Association, Proceedings of Survey Research Methods Section; Alexandria, VA: 1992. pp. 393–398.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305DAB"/>
    <w:multiLevelType w:val="hybridMultilevel"/>
    <w:tmpl w:val="B7667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4EE0306A"/>
    <w:multiLevelType w:val="hybridMultilevel"/>
    <w:tmpl w:val="3C8C3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9">
    <w:nsid w:val="75F21273"/>
    <w:multiLevelType w:val="hybridMultilevel"/>
    <w:tmpl w:val="22EA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5"/>
  </w:num>
  <w:num w:numId="6">
    <w:abstractNumId w:val="2"/>
  </w:num>
  <w:num w:numId="7">
    <w:abstractNumId w:val="11"/>
  </w:num>
  <w:num w:numId="8">
    <w:abstractNumId w:val="17"/>
  </w:num>
  <w:num w:numId="9">
    <w:abstractNumId w:val="12"/>
  </w:num>
  <w:num w:numId="10">
    <w:abstractNumId w:val="3"/>
  </w:num>
  <w:num w:numId="11">
    <w:abstractNumId w:val="6"/>
  </w:num>
  <w:num w:numId="12">
    <w:abstractNumId w:val="8"/>
  </w:num>
  <w:num w:numId="13">
    <w:abstractNumId w:val="1"/>
  </w:num>
  <w:num w:numId="14">
    <w:abstractNumId w:val="10"/>
  </w:num>
  <w:num w:numId="15">
    <w:abstractNumId w:val="18"/>
  </w:num>
  <w:num w:numId="16">
    <w:abstractNumId w:val="16"/>
  </w:num>
  <w:num w:numId="17">
    <w:abstractNumId w:val="0"/>
  </w:num>
  <w:num w:numId="18">
    <w:abstractNumId w:val="9"/>
  </w:num>
  <w:num w:numId="19">
    <w:abstractNumId w:val="7"/>
  </w:num>
  <w:num w:numId="20">
    <w:abstractNumId w:val="14"/>
  </w:num>
  <w:num w:numId="21">
    <w:abstractNumId w:val="15"/>
  </w:num>
  <w:num w:numId="22">
    <w:abstractNumId w:val="1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a3sDQ1MTcxsTQwNrdU0lEKTi0uzszPAykwrgUAjdVrwywAAAA="/>
  </w:docVars>
  <w:rsids>
    <w:rsidRoot w:val="00744F5B"/>
    <w:rsid w:val="000021AC"/>
    <w:rsid w:val="00005D48"/>
    <w:rsid w:val="00021957"/>
    <w:rsid w:val="000229E4"/>
    <w:rsid w:val="00024852"/>
    <w:rsid w:val="000275F0"/>
    <w:rsid w:val="00027D62"/>
    <w:rsid w:val="00034D7F"/>
    <w:rsid w:val="00035B5C"/>
    <w:rsid w:val="00040ADC"/>
    <w:rsid w:val="00041ADC"/>
    <w:rsid w:val="000477CE"/>
    <w:rsid w:val="00066485"/>
    <w:rsid w:val="00071751"/>
    <w:rsid w:val="00081B37"/>
    <w:rsid w:val="00096B3F"/>
    <w:rsid w:val="000A525C"/>
    <w:rsid w:val="000A52C2"/>
    <w:rsid w:val="000C1DC4"/>
    <w:rsid w:val="000C386B"/>
    <w:rsid w:val="000F1CDA"/>
    <w:rsid w:val="000F2F28"/>
    <w:rsid w:val="000F6D02"/>
    <w:rsid w:val="00102CB9"/>
    <w:rsid w:val="00103A05"/>
    <w:rsid w:val="00113DB3"/>
    <w:rsid w:val="0012027A"/>
    <w:rsid w:val="0012150E"/>
    <w:rsid w:val="00121C06"/>
    <w:rsid w:val="00126D06"/>
    <w:rsid w:val="00132EF8"/>
    <w:rsid w:val="0013429B"/>
    <w:rsid w:val="00135607"/>
    <w:rsid w:val="00140343"/>
    <w:rsid w:val="00140A0D"/>
    <w:rsid w:val="00146896"/>
    <w:rsid w:val="001470C1"/>
    <w:rsid w:val="001534AD"/>
    <w:rsid w:val="00154467"/>
    <w:rsid w:val="00163E86"/>
    <w:rsid w:val="001673A9"/>
    <w:rsid w:val="00172A6E"/>
    <w:rsid w:val="00173ACB"/>
    <w:rsid w:val="0017544C"/>
    <w:rsid w:val="001835D3"/>
    <w:rsid w:val="001844DD"/>
    <w:rsid w:val="00190AA2"/>
    <w:rsid w:val="001973CE"/>
    <w:rsid w:val="001A072A"/>
    <w:rsid w:val="001A38D6"/>
    <w:rsid w:val="001A68F4"/>
    <w:rsid w:val="001B08AE"/>
    <w:rsid w:val="001B392C"/>
    <w:rsid w:val="001C0117"/>
    <w:rsid w:val="001C3D56"/>
    <w:rsid w:val="001C7B3E"/>
    <w:rsid w:val="001D19B4"/>
    <w:rsid w:val="001E15AA"/>
    <w:rsid w:val="001F09C0"/>
    <w:rsid w:val="001F397E"/>
    <w:rsid w:val="001F4032"/>
    <w:rsid w:val="001F4357"/>
    <w:rsid w:val="00205677"/>
    <w:rsid w:val="0020693D"/>
    <w:rsid w:val="00216F24"/>
    <w:rsid w:val="002254D4"/>
    <w:rsid w:val="00230200"/>
    <w:rsid w:val="00243BAE"/>
    <w:rsid w:val="00245748"/>
    <w:rsid w:val="00254EB8"/>
    <w:rsid w:val="00255B16"/>
    <w:rsid w:val="002615BF"/>
    <w:rsid w:val="00263DCB"/>
    <w:rsid w:val="00265358"/>
    <w:rsid w:val="00265BFD"/>
    <w:rsid w:val="00274A8E"/>
    <w:rsid w:val="00275ACB"/>
    <w:rsid w:val="00282871"/>
    <w:rsid w:val="00287B67"/>
    <w:rsid w:val="00290BA3"/>
    <w:rsid w:val="0029232B"/>
    <w:rsid w:val="002A0345"/>
    <w:rsid w:val="002A0451"/>
    <w:rsid w:val="002A0FC9"/>
    <w:rsid w:val="002C4C50"/>
    <w:rsid w:val="002E5CC6"/>
    <w:rsid w:val="002F043F"/>
    <w:rsid w:val="002F5085"/>
    <w:rsid w:val="002F51BE"/>
    <w:rsid w:val="00306E47"/>
    <w:rsid w:val="00314CE8"/>
    <w:rsid w:val="00324DC3"/>
    <w:rsid w:val="003310AC"/>
    <w:rsid w:val="00350C25"/>
    <w:rsid w:val="00354FAE"/>
    <w:rsid w:val="00361F80"/>
    <w:rsid w:val="00362661"/>
    <w:rsid w:val="00364051"/>
    <w:rsid w:val="00376752"/>
    <w:rsid w:val="00377E79"/>
    <w:rsid w:val="003A6102"/>
    <w:rsid w:val="003B2DE7"/>
    <w:rsid w:val="003C7EE8"/>
    <w:rsid w:val="003F0F24"/>
    <w:rsid w:val="003F1C7A"/>
    <w:rsid w:val="003F2E8E"/>
    <w:rsid w:val="00411149"/>
    <w:rsid w:val="00412089"/>
    <w:rsid w:val="004122E8"/>
    <w:rsid w:val="004312CC"/>
    <w:rsid w:val="0043221D"/>
    <w:rsid w:val="004531CD"/>
    <w:rsid w:val="0045615E"/>
    <w:rsid w:val="00463B4D"/>
    <w:rsid w:val="004722B4"/>
    <w:rsid w:val="00473C32"/>
    <w:rsid w:val="00477E1E"/>
    <w:rsid w:val="00481C9B"/>
    <w:rsid w:val="0048309C"/>
    <w:rsid w:val="004910F4"/>
    <w:rsid w:val="0049419A"/>
    <w:rsid w:val="004A0140"/>
    <w:rsid w:val="004A1115"/>
    <w:rsid w:val="004B694D"/>
    <w:rsid w:val="004C6ACD"/>
    <w:rsid w:val="004D0416"/>
    <w:rsid w:val="004E1EE9"/>
    <w:rsid w:val="004F1994"/>
    <w:rsid w:val="004F62DF"/>
    <w:rsid w:val="00506FE7"/>
    <w:rsid w:val="005120FE"/>
    <w:rsid w:val="00513F6A"/>
    <w:rsid w:val="00517225"/>
    <w:rsid w:val="00540689"/>
    <w:rsid w:val="00540C6D"/>
    <w:rsid w:val="005556BA"/>
    <w:rsid w:val="0055741E"/>
    <w:rsid w:val="00576639"/>
    <w:rsid w:val="00582AEC"/>
    <w:rsid w:val="005A1029"/>
    <w:rsid w:val="005A18A4"/>
    <w:rsid w:val="005B3F8D"/>
    <w:rsid w:val="005B4CFB"/>
    <w:rsid w:val="005B75C9"/>
    <w:rsid w:val="005C1579"/>
    <w:rsid w:val="005C6A7F"/>
    <w:rsid w:val="005D0D89"/>
    <w:rsid w:val="005D6364"/>
    <w:rsid w:val="005E23BA"/>
    <w:rsid w:val="005E4981"/>
    <w:rsid w:val="00605169"/>
    <w:rsid w:val="006237E4"/>
    <w:rsid w:val="006355C6"/>
    <w:rsid w:val="00641796"/>
    <w:rsid w:val="006470BB"/>
    <w:rsid w:val="0065144D"/>
    <w:rsid w:val="0066622D"/>
    <w:rsid w:val="00670BC7"/>
    <w:rsid w:val="00685782"/>
    <w:rsid w:val="006939E3"/>
    <w:rsid w:val="00696B03"/>
    <w:rsid w:val="006970B6"/>
    <w:rsid w:val="006A2D27"/>
    <w:rsid w:val="006A305F"/>
    <w:rsid w:val="006A4DB6"/>
    <w:rsid w:val="006C02F9"/>
    <w:rsid w:val="006D3B31"/>
    <w:rsid w:val="006F3095"/>
    <w:rsid w:val="00702527"/>
    <w:rsid w:val="00710967"/>
    <w:rsid w:val="007239ED"/>
    <w:rsid w:val="007375E7"/>
    <w:rsid w:val="0074228F"/>
    <w:rsid w:val="0074463A"/>
    <w:rsid w:val="00744F5B"/>
    <w:rsid w:val="00760CBA"/>
    <w:rsid w:val="00780A9A"/>
    <w:rsid w:val="0078172C"/>
    <w:rsid w:val="007837CA"/>
    <w:rsid w:val="007853F0"/>
    <w:rsid w:val="00787E77"/>
    <w:rsid w:val="00793F1E"/>
    <w:rsid w:val="007944E7"/>
    <w:rsid w:val="00795B93"/>
    <w:rsid w:val="00795D9D"/>
    <w:rsid w:val="007A305E"/>
    <w:rsid w:val="007A4331"/>
    <w:rsid w:val="007A4CF6"/>
    <w:rsid w:val="007B045B"/>
    <w:rsid w:val="007B1836"/>
    <w:rsid w:val="007C2C46"/>
    <w:rsid w:val="007C69C6"/>
    <w:rsid w:val="007C6E1E"/>
    <w:rsid w:val="007C76AB"/>
    <w:rsid w:val="007D7B02"/>
    <w:rsid w:val="007D7BAA"/>
    <w:rsid w:val="007E69D7"/>
    <w:rsid w:val="007E7325"/>
    <w:rsid w:val="007E76D6"/>
    <w:rsid w:val="007F5F99"/>
    <w:rsid w:val="00802398"/>
    <w:rsid w:val="0081042C"/>
    <w:rsid w:val="008408E6"/>
    <w:rsid w:val="00846A5B"/>
    <w:rsid w:val="00854DC4"/>
    <w:rsid w:val="008577D6"/>
    <w:rsid w:val="00862F2F"/>
    <w:rsid w:val="00870E3C"/>
    <w:rsid w:val="00871FD9"/>
    <w:rsid w:val="00875770"/>
    <w:rsid w:val="00882AE4"/>
    <w:rsid w:val="00883571"/>
    <w:rsid w:val="008863D0"/>
    <w:rsid w:val="008948B1"/>
    <w:rsid w:val="00894F96"/>
    <w:rsid w:val="00895FDC"/>
    <w:rsid w:val="008A0CCC"/>
    <w:rsid w:val="008A15B1"/>
    <w:rsid w:val="008A4D10"/>
    <w:rsid w:val="008C1492"/>
    <w:rsid w:val="008D29D6"/>
    <w:rsid w:val="008E5BE4"/>
    <w:rsid w:val="008E6145"/>
    <w:rsid w:val="008E7B52"/>
    <w:rsid w:val="008F6E91"/>
    <w:rsid w:val="009065AB"/>
    <w:rsid w:val="00906986"/>
    <w:rsid w:val="00910694"/>
    <w:rsid w:val="0092248E"/>
    <w:rsid w:val="009238D7"/>
    <w:rsid w:val="009267A7"/>
    <w:rsid w:val="0093362F"/>
    <w:rsid w:val="009404FA"/>
    <w:rsid w:val="00945015"/>
    <w:rsid w:val="0097718E"/>
    <w:rsid w:val="0098121D"/>
    <w:rsid w:val="009845CD"/>
    <w:rsid w:val="009867AB"/>
    <w:rsid w:val="0099242D"/>
    <w:rsid w:val="009940CE"/>
    <w:rsid w:val="009A5DA0"/>
    <w:rsid w:val="009C3BA0"/>
    <w:rsid w:val="009E0F10"/>
    <w:rsid w:val="009E1E12"/>
    <w:rsid w:val="009E555A"/>
    <w:rsid w:val="009E7B22"/>
    <w:rsid w:val="009F79DD"/>
    <w:rsid w:val="00A00710"/>
    <w:rsid w:val="00A037AF"/>
    <w:rsid w:val="00A10801"/>
    <w:rsid w:val="00A2089D"/>
    <w:rsid w:val="00A212B8"/>
    <w:rsid w:val="00A2659D"/>
    <w:rsid w:val="00A26BA5"/>
    <w:rsid w:val="00A44BF9"/>
    <w:rsid w:val="00A746A9"/>
    <w:rsid w:val="00A802BA"/>
    <w:rsid w:val="00A82DCC"/>
    <w:rsid w:val="00A84CA0"/>
    <w:rsid w:val="00A85B35"/>
    <w:rsid w:val="00A91991"/>
    <w:rsid w:val="00A9245B"/>
    <w:rsid w:val="00A939C3"/>
    <w:rsid w:val="00AA3856"/>
    <w:rsid w:val="00AB0296"/>
    <w:rsid w:val="00AB2333"/>
    <w:rsid w:val="00AC2461"/>
    <w:rsid w:val="00AC63BA"/>
    <w:rsid w:val="00AD0BB4"/>
    <w:rsid w:val="00AD31D7"/>
    <w:rsid w:val="00AE34BB"/>
    <w:rsid w:val="00AF337C"/>
    <w:rsid w:val="00AF5DE2"/>
    <w:rsid w:val="00B00D27"/>
    <w:rsid w:val="00B021C5"/>
    <w:rsid w:val="00B14F69"/>
    <w:rsid w:val="00B26010"/>
    <w:rsid w:val="00B27552"/>
    <w:rsid w:val="00B31D14"/>
    <w:rsid w:val="00B40D56"/>
    <w:rsid w:val="00B415A5"/>
    <w:rsid w:val="00B41C47"/>
    <w:rsid w:val="00B45740"/>
    <w:rsid w:val="00B46254"/>
    <w:rsid w:val="00B46E5B"/>
    <w:rsid w:val="00B65597"/>
    <w:rsid w:val="00B71082"/>
    <w:rsid w:val="00B71F03"/>
    <w:rsid w:val="00B72DD6"/>
    <w:rsid w:val="00B8351B"/>
    <w:rsid w:val="00B859B1"/>
    <w:rsid w:val="00B87572"/>
    <w:rsid w:val="00B94044"/>
    <w:rsid w:val="00B956CF"/>
    <w:rsid w:val="00BC3B0E"/>
    <w:rsid w:val="00BC7613"/>
    <w:rsid w:val="00BF3A0E"/>
    <w:rsid w:val="00BF4E4F"/>
    <w:rsid w:val="00BF526E"/>
    <w:rsid w:val="00C042C8"/>
    <w:rsid w:val="00C168EA"/>
    <w:rsid w:val="00C41CA0"/>
    <w:rsid w:val="00C42C31"/>
    <w:rsid w:val="00C52DAD"/>
    <w:rsid w:val="00C54AE4"/>
    <w:rsid w:val="00C716BF"/>
    <w:rsid w:val="00C73D7F"/>
    <w:rsid w:val="00C808E7"/>
    <w:rsid w:val="00C96629"/>
    <w:rsid w:val="00C9699F"/>
    <w:rsid w:val="00CB6A35"/>
    <w:rsid w:val="00CC096B"/>
    <w:rsid w:val="00CC7869"/>
    <w:rsid w:val="00CE0205"/>
    <w:rsid w:val="00CE54C9"/>
    <w:rsid w:val="00CE57C2"/>
    <w:rsid w:val="00CE660E"/>
    <w:rsid w:val="00CF0774"/>
    <w:rsid w:val="00CF10F4"/>
    <w:rsid w:val="00D00880"/>
    <w:rsid w:val="00D05FCF"/>
    <w:rsid w:val="00D10399"/>
    <w:rsid w:val="00D14201"/>
    <w:rsid w:val="00D275BE"/>
    <w:rsid w:val="00D31111"/>
    <w:rsid w:val="00D340AB"/>
    <w:rsid w:val="00D3689E"/>
    <w:rsid w:val="00D43148"/>
    <w:rsid w:val="00D542D4"/>
    <w:rsid w:val="00D647BF"/>
    <w:rsid w:val="00D7047E"/>
    <w:rsid w:val="00DA4D60"/>
    <w:rsid w:val="00DB2CCE"/>
    <w:rsid w:val="00DB7E1F"/>
    <w:rsid w:val="00DC0678"/>
    <w:rsid w:val="00DC30B4"/>
    <w:rsid w:val="00DC76EE"/>
    <w:rsid w:val="00DD0744"/>
    <w:rsid w:val="00DD24A2"/>
    <w:rsid w:val="00DD3323"/>
    <w:rsid w:val="00DD6106"/>
    <w:rsid w:val="00DD7C40"/>
    <w:rsid w:val="00DE6944"/>
    <w:rsid w:val="00DF53C4"/>
    <w:rsid w:val="00E143B2"/>
    <w:rsid w:val="00E17CC8"/>
    <w:rsid w:val="00E215FA"/>
    <w:rsid w:val="00E26798"/>
    <w:rsid w:val="00E36C1A"/>
    <w:rsid w:val="00E45491"/>
    <w:rsid w:val="00E45BA0"/>
    <w:rsid w:val="00E47890"/>
    <w:rsid w:val="00E56658"/>
    <w:rsid w:val="00E629FF"/>
    <w:rsid w:val="00E62E33"/>
    <w:rsid w:val="00E70641"/>
    <w:rsid w:val="00E96045"/>
    <w:rsid w:val="00E971FC"/>
    <w:rsid w:val="00EA0586"/>
    <w:rsid w:val="00EA2382"/>
    <w:rsid w:val="00EB0699"/>
    <w:rsid w:val="00EB3878"/>
    <w:rsid w:val="00EB5E20"/>
    <w:rsid w:val="00EC1E0E"/>
    <w:rsid w:val="00EC6B0A"/>
    <w:rsid w:val="00ED197E"/>
    <w:rsid w:val="00ED7C61"/>
    <w:rsid w:val="00EE231A"/>
    <w:rsid w:val="00EE5502"/>
    <w:rsid w:val="00EE7334"/>
    <w:rsid w:val="00F10C0E"/>
    <w:rsid w:val="00F1118C"/>
    <w:rsid w:val="00F12AEE"/>
    <w:rsid w:val="00F15DA1"/>
    <w:rsid w:val="00F2502B"/>
    <w:rsid w:val="00F26B2B"/>
    <w:rsid w:val="00F3704A"/>
    <w:rsid w:val="00F40866"/>
    <w:rsid w:val="00F62F0B"/>
    <w:rsid w:val="00F63D73"/>
    <w:rsid w:val="00F9129B"/>
    <w:rsid w:val="00FB79C4"/>
    <w:rsid w:val="00FC1562"/>
    <w:rsid w:val="00FD1B31"/>
    <w:rsid w:val="00FD449C"/>
    <w:rsid w:val="00FE1098"/>
    <w:rsid w:val="00FE13AD"/>
    <w:rsid w:val="00FE3BAE"/>
    <w:rsid w:val="00FF1570"/>
    <w:rsid w:val="00FF6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4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787E77"/>
    <w:rPr>
      <w:sz w:val="16"/>
      <w:szCs w:val="16"/>
    </w:rPr>
  </w:style>
  <w:style w:type="paragraph" w:styleId="CommentText">
    <w:name w:val="annotation text"/>
    <w:basedOn w:val="Normal"/>
    <w:link w:val="CommentTextChar"/>
    <w:uiPriority w:val="99"/>
    <w:unhideWhenUsed/>
    <w:rsid w:val="00787E7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787E77"/>
    <w:rPr>
      <w:rFonts w:ascii="Calibri" w:eastAsia="Calibri" w:hAnsi="Calibri"/>
    </w:rPr>
  </w:style>
  <w:style w:type="paragraph" w:styleId="FootnoteText">
    <w:name w:val="footnote text"/>
    <w:basedOn w:val="Normal"/>
    <w:link w:val="FootnoteTextChar"/>
    <w:uiPriority w:val="99"/>
    <w:unhideWhenUsed/>
    <w:rsid w:val="00CC096B"/>
    <w:rPr>
      <w:rFonts w:ascii="Garamond" w:hAnsi="Garamond"/>
      <w:sz w:val="20"/>
      <w:szCs w:val="20"/>
    </w:rPr>
  </w:style>
  <w:style w:type="character" w:customStyle="1" w:styleId="FootnoteTextChar">
    <w:name w:val="Footnote Text Char"/>
    <w:basedOn w:val="DefaultParagraphFont"/>
    <w:link w:val="FootnoteText"/>
    <w:uiPriority w:val="99"/>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7837CA"/>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 w:type="paragraph" w:styleId="EndnoteText">
    <w:name w:val="endnote text"/>
    <w:basedOn w:val="Normal"/>
    <w:link w:val="EndnoteTextChar"/>
    <w:uiPriority w:val="99"/>
    <w:semiHidden/>
    <w:unhideWhenUsed/>
    <w:rsid w:val="00071751"/>
    <w:rPr>
      <w:sz w:val="20"/>
      <w:szCs w:val="20"/>
    </w:rPr>
  </w:style>
  <w:style w:type="character" w:customStyle="1" w:styleId="EndnoteTextChar">
    <w:name w:val="Endnote Text Char"/>
    <w:basedOn w:val="DefaultParagraphFont"/>
    <w:link w:val="EndnoteText"/>
    <w:uiPriority w:val="99"/>
    <w:semiHidden/>
    <w:rsid w:val="00071751"/>
  </w:style>
  <w:style w:type="character" w:styleId="EndnoteReference">
    <w:name w:val="endnote reference"/>
    <w:basedOn w:val="DefaultParagraphFont"/>
    <w:uiPriority w:val="99"/>
    <w:semiHidden/>
    <w:unhideWhenUsed/>
    <w:rsid w:val="00071751"/>
    <w:rPr>
      <w:vertAlign w:val="superscript"/>
    </w:rPr>
  </w:style>
  <w:style w:type="character" w:customStyle="1" w:styleId="ref-title">
    <w:name w:val="ref-title"/>
    <w:basedOn w:val="DefaultParagraphFont"/>
    <w:rsid w:val="00780A9A"/>
  </w:style>
  <w:style w:type="character" w:customStyle="1" w:styleId="ref-journal">
    <w:name w:val="ref-journal"/>
    <w:basedOn w:val="DefaultParagraphFont"/>
    <w:rsid w:val="00780A9A"/>
  </w:style>
  <w:style w:type="character" w:customStyle="1" w:styleId="ref-vol">
    <w:name w:val="ref-vol"/>
    <w:basedOn w:val="DefaultParagraphFont"/>
    <w:rsid w:val="00780A9A"/>
  </w:style>
  <w:style w:type="character" w:customStyle="1" w:styleId="UnresolvedMention1">
    <w:name w:val="Unresolved Mention1"/>
    <w:basedOn w:val="DefaultParagraphFont"/>
    <w:uiPriority w:val="99"/>
    <w:semiHidden/>
    <w:unhideWhenUsed/>
    <w:rsid w:val="00361F8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787E77"/>
    <w:rPr>
      <w:sz w:val="16"/>
      <w:szCs w:val="16"/>
    </w:rPr>
  </w:style>
  <w:style w:type="paragraph" w:styleId="CommentText">
    <w:name w:val="annotation text"/>
    <w:basedOn w:val="Normal"/>
    <w:link w:val="CommentTextChar"/>
    <w:uiPriority w:val="99"/>
    <w:unhideWhenUsed/>
    <w:rsid w:val="00787E7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787E77"/>
    <w:rPr>
      <w:rFonts w:ascii="Calibri" w:eastAsia="Calibri" w:hAnsi="Calibri"/>
    </w:rPr>
  </w:style>
  <w:style w:type="paragraph" w:styleId="FootnoteText">
    <w:name w:val="footnote text"/>
    <w:basedOn w:val="Normal"/>
    <w:link w:val="FootnoteTextChar"/>
    <w:uiPriority w:val="99"/>
    <w:unhideWhenUsed/>
    <w:rsid w:val="00CC096B"/>
    <w:rPr>
      <w:rFonts w:ascii="Garamond" w:hAnsi="Garamond"/>
      <w:sz w:val="20"/>
      <w:szCs w:val="20"/>
    </w:rPr>
  </w:style>
  <w:style w:type="character" w:customStyle="1" w:styleId="FootnoteTextChar">
    <w:name w:val="Footnote Text Char"/>
    <w:basedOn w:val="DefaultParagraphFont"/>
    <w:link w:val="FootnoteText"/>
    <w:uiPriority w:val="99"/>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7837CA"/>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 w:type="paragraph" w:styleId="EndnoteText">
    <w:name w:val="endnote text"/>
    <w:basedOn w:val="Normal"/>
    <w:link w:val="EndnoteTextChar"/>
    <w:uiPriority w:val="99"/>
    <w:semiHidden/>
    <w:unhideWhenUsed/>
    <w:rsid w:val="00071751"/>
    <w:rPr>
      <w:sz w:val="20"/>
      <w:szCs w:val="20"/>
    </w:rPr>
  </w:style>
  <w:style w:type="character" w:customStyle="1" w:styleId="EndnoteTextChar">
    <w:name w:val="Endnote Text Char"/>
    <w:basedOn w:val="DefaultParagraphFont"/>
    <w:link w:val="EndnoteText"/>
    <w:uiPriority w:val="99"/>
    <w:semiHidden/>
    <w:rsid w:val="00071751"/>
  </w:style>
  <w:style w:type="character" w:styleId="EndnoteReference">
    <w:name w:val="endnote reference"/>
    <w:basedOn w:val="DefaultParagraphFont"/>
    <w:uiPriority w:val="99"/>
    <w:semiHidden/>
    <w:unhideWhenUsed/>
    <w:rsid w:val="00071751"/>
    <w:rPr>
      <w:vertAlign w:val="superscript"/>
    </w:rPr>
  </w:style>
  <w:style w:type="character" w:customStyle="1" w:styleId="ref-title">
    <w:name w:val="ref-title"/>
    <w:basedOn w:val="DefaultParagraphFont"/>
    <w:rsid w:val="00780A9A"/>
  </w:style>
  <w:style w:type="character" w:customStyle="1" w:styleId="ref-journal">
    <w:name w:val="ref-journal"/>
    <w:basedOn w:val="DefaultParagraphFont"/>
    <w:rsid w:val="00780A9A"/>
  </w:style>
  <w:style w:type="character" w:customStyle="1" w:styleId="ref-vol">
    <w:name w:val="ref-vol"/>
    <w:basedOn w:val="DefaultParagraphFont"/>
    <w:rsid w:val="00780A9A"/>
  </w:style>
  <w:style w:type="character" w:customStyle="1" w:styleId="UnresolvedMention1">
    <w:name w:val="Unresolved Mention1"/>
    <w:basedOn w:val="DefaultParagraphFont"/>
    <w:uiPriority w:val="99"/>
    <w:semiHidden/>
    <w:unhideWhenUsed/>
    <w:rsid w:val="00361F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795626">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890657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3349">
          <w:marLeft w:val="0"/>
          <w:marRight w:val="0"/>
          <w:marTop w:val="0"/>
          <w:marBottom w:val="0"/>
          <w:divBdr>
            <w:top w:val="none" w:sz="0" w:space="0" w:color="auto"/>
            <w:left w:val="none" w:sz="0" w:space="0" w:color="auto"/>
            <w:bottom w:val="none" w:sz="0" w:space="0" w:color="auto"/>
            <w:right w:val="none" w:sz="0" w:space="0" w:color="auto"/>
          </w:divBdr>
          <w:divsChild>
            <w:div w:id="111368839">
              <w:marLeft w:val="0"/>
              <w:marRight w:val="0"/>
              <w:marTop w:val="0"/>
              <w:marBottom w:val="0"/>
              <w:divBdr>
                <w:top w:val="none" w:sz="0" w:space="0" w:color="auto"/>
                <w:left w:val="none" w:sz="0" w:space="0" w:color="auto"/>
                <w:bottom w:val="none" w:sz="0" w:space="0" w:color="auto"/>
                <w:right w:val="none" w:sz="0" w:space="0" w:color="auto"/>
              </w:divBdr>
              <w:divsChild>
                <w:div w:id="169374568">
                  <w:marLeft w:val="0"/>
                  <w:marRight w:val="0"/>
                  <w:marTop w:val="0"/>
                  <w:marBottom w:val="0"/>
                  <w:divBdr>
                    <w:top w:val="none" w:sz="0" w:space="0" w:color="auto"/>
                    <w:left w:val="none" w:sz="0" w:space="0" w:color="auto"/>
                    <w:bottom w:val="none" w:sz="0" w:space="0" w:color="auto"/>
                    <w:right w:val="none" w:sz="0" w:space="0" w:color="auto"/>
                  </w:divBdr>
                  <w:divsChild>
                    <w:div w:id="554389323">
                      <w:marLeft w:val="0"/>
                      <w:marRight w:val="0"/>
                      <w:marTop w:val="0"/>
                      <w:marBottom w:val="0"/>
                      <w:divBdr>
                        <w:top w:val="none" w:sz="0" w:space="0" w:color="auto"/>
                        <w:left w:val="none" w:sz="0" w:space="0" w:color="auto"/>
                        <w:bottom w:val="none" w:sz="0" w:space="0" w:color="auto"/>
                        <w:right w:val="none" w:sz="0" w:space="0" w:color="auto"/>
                      </w:divBdr>
                      <w:divsChild>
                        <w:div w:id="2061440152">
                          <w:marLeft w:val="0"/>
                          <w:marRight w:val="0"/>
                          <w:marTop w:val="0"/>
                          <w:marBottom w:val="0"/>
                          <w:divBdr>
                            <w:top w:val="none" w:sz="0" w:space="0" w:color="auto"/>
                            <w:left w:val="none" w:sz="0" w:space="0" w:color="auto"/>
                            <w:bottom w:val="none" w:sz="0" w:space="0" w:color="auto"/>
                            <w:right w:val="none" w:sz="0" w:space="0" w:color="auto"/>
                          </w:divBdr>
                          <w:divsChild>
                            <w:div w:id="13864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07235">
      <w:bodyDiv w:val="1"/>
      <w:marLeft w:val="0"/>
      <w:marRight w:val="0"/>
      <w:marTop w:val="0"/>
      <w:marBottom w:val="0"/>
      <w:divBdr>
        <w:top w:val="none" w:sz="0" w:space="0" w:color="auto"/>
        <w:left w:val="none" w:sz="0" w:space="0" w:color="auto"/>
        <w:bottom w:val="none" w:sz="0" w:space="0" w:color="auto"/>
        <w:right w:val="none" w:sz="0" w:space="0" w:color="auto"/>
      </w:divBdr>
      <w:divsChild>
        <w:div w:id="781728463">
          <w:marLeft w:val="0"/>
          <w:marRight w:val="0"/>
          <w:marTop w:val="0"/>
          <w:marBottom w:val="0"/>
          <w:divBdr>
            <w:top w:val="none" w:sz="0" w:space="0" w:color="auto"/>
            <w:left w:val="none" w:sz="0" w:space="0" w:color="auto"/>
            <w:bottom w:val="none" w:sz="0" w:space="0" w:color="auto"/>
            <w:right w:val="none" w:sz="0" w:space="0" w:color="auto"/>
          </w:divBdr>
          <w:divsChild>
            <w:div w:id="1981883919">
              <w:marLeft w:val="0"/>
              <w:marRight w:val="0"/>
              <w:marTop w:val="0"/>
              <w:marBottom w:val="0"/>
              <w:divBdr>
                <w:top w:val="none" w:sz="0" w:space="0" w:color="auto"/>
                <w:left w:val="none" w:sz="0" w:space="0" w:color="auto"/>
                <w:bottom w:val="none" w:sz="0" w:space="0" w:color="auto"/>
                <w:right w:val="none" w:sz="0" w:space="0" w:color="auto"/>
              </w:divBdr>
              <w:divsChild>
                <w:div w:id="1837459786">
                  <w:marLeft w:val="0"/>
                  <w:marRight w:val="0"/>
                  <w:marTop w:val="0"/>
                  <w:marBottom w:val="0"/>
                  <w:divBdr>
                    <w:top w:val="none" w:sz="0" w:space="0" w:color="auto"/>
                    <w:left w:val="none" w:sz="0" w:space="0" w:color="auto"/>
                    <w:bottom w:val="none" w:sz="0" w:space="0" w:color="auto"/>
                    <w:right w:val="none" w:sz="0" w:space="0" w:color="auto"/>
                  </w:divBdr>
                  <w:divsChild>
                    <w:div w:id="1429422374">
                      <w:marLeft w:val="0"/>
                      <w:marRight w:val="0"/>
                      <w:marTop w:val="0"/>
                      <w:marBottom w:val="0"/>
                      <w:divBdr>
                        <w:top w:val="none" w:sz="0" w:space="0" w:color="auto"/>
                        <w:left w:val="none" w:sz="0" w:space="0" w:color="auto"/>
                        <w:bottom w:val="none" w:sz="0" w:space="0" w:color="auto"/>
                        <w:right w:val="none" w:sz="0" w:space="0" w:color="auto"/>
                      </w:divBdr>
                      <w:divsChild>
                        <w:div w:id="980382280">
                          <w:marLeft w:val="0"/>
                          <w:marRight w:val="0"/>
                          <w:marTop w:val="0"/>
                          <w:marBottom w:val="0"/>
                          <w:divBdr>
                            <w:top w:val="none" w:sz="0" w:space="0" w:color="auto"/>
                            <w:left w:val="none" w:sz="0" w:space="0" w:color="auto"/>
                            <w:bottom w:val="none" w:sz="0" w:space="0" w:color="auto"/>
                            <w:right w:val="none" w:sz="0" w:space="0" w:color="auto"/>
                          </w:divBdr>
                          <w:divsChild>
                            <w:div w:id="20583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949320">
      <w:bodyDiv w:val="1"/>
      <w:marLeft w:val="0"/>
      <w:marRight w:val="0"/>
      <w:marTop w:val="0"/>
      <w:marBottom w:val="0"/>
      <w:divBdr>
        <w:top w:val="none" w:sz="0" w:space="0" w:color="auto"/>
        <w:left w:val="none" w:sz="0" w:space="0" w:color="auto"/>
        <w:bottom w:val="none" w:sz="0" w:space="0" w:color="auto"/>
        <w:right w:val="none" w:sz="0" w:space="0" w:color="auto"/>
      </w:divBdr>
    </w:div>
    <w:div w:id="1271860756">
      <w:bodyDiv w:val="1"/>
      <w:marLeft w:val="0"/>
      <w:marRight w:val="0"/>
      <w:marTop w:val="0"/>
      <w:marBottom w:val="0"/>
      <w:divBdr>
        <w:top w:val="none" w:sz="0" w:space="0" w:color="auto"/>
        <w:left w:val="none" w:sz="0" w:space="0" w:color="auto"/>
        <w:bottom w:val="none" w:sz="0" w:space="0" w:color="auto"/>
        <w:right w:val="none" w:sz="0" w:space="0" w:color="auto"/>
      </w:divBdr>
      <w:divsChild>
        <w:div w:id="1507397608">
          <w:marLeft w:val="0"/>
          <w:marRight w:val="0"/>
          <w:marTop w:val="0"/>
          <w:marBottom w:val="0"/>
          <w:divBdr>
            <w:top w:val="none" w:sz="0" w:space="0" w:color="auto"/>
            <w:left w:val="none" w:sz="0" w:space="0" w:color="auto"/>
            <w:bottom w:val="none" w:sz="0" w:space="0" w:color="auto"/>
            <w:right w:val="none" w:sz="0" w:space="0" w:color="auto"/>
          </w:divBdr>
          <w:divsChild>
            <w:div w:id="1235435703">
              <w:marLeft w:val="0"/>
              <w:marRight w:val="0"/>
              <w:marTop w:val="0"/>
              <w:marBottom w:val="0"/>
              <w:divBdr>
                <w:top w:val="none" w:sz="0" w:space="0" w:color="auto"/>
                <w:left w:val="none" w:sz="0" w:space="0" w:color="auto"/>
                <w:bottom w:val="none" w:sz="0" w:space="0" w:color="auto"/>
                <w:right w:val="none" w:sz="0" w:space="0" w:color="auto"/>
              </w:divBdr>
              <w:divsChild>
                <w:div w:id="1265726337">
                  <w:marLeft w:val="0"/>
                  <w:marRight w:val="0"/>
                  <w:marTop w:val="0"/>
                  <w:marBottom w:val="0"/>
                  <w:divBdr>
                    <w:top w:val="none" w:sz="0" w:space="0" w:color="auto"/>
                    <w:left w:val="none" w:sz="0" w:space="0" w:color="auto"/>
                    <w:bottom w:val="none" w:sz="0" w:space="0" w:color="auto"/>
                    <w:right w:val="none" w:sz="0" w:space="0" w:color="auto"/>
                  </w:divBdr>
                  <w:divsChild>
                    <w:div w:id="632950116">
                      <w:marLeft w:val="0"/>
                      <w:marRight w:val="0"/>
                      <w:marTop w:val="0"/>
                      <w:marBottom w:val="0"/>
                      <w:divBdr>
                        <w:top w:val="none" w:sz="0" w:space="0" w:color="auto"/>
                        <w:left w:val="none" w:sz="0" w:space="0" w:color="auto"/>
                        <w:bottom w:val="none" w:sz="0" w:space="0" w:color="auto"/>
                        <w:right w:val="none" w:sz="0" w:space="0" w:color="auto"/>
                      </w:divBdr>
                      <w:divsChild>
                        <w:div w:id="405953113">
                          <w:marLeft w:val="0"/>
                          <w:marRight w:val="0"/>
                          <w:marTop w:val="0"/>
                          <w:marBottom w:val="0"/>
                          <w:divBdr>
                            <w:top w:val="none" w:sz="0" w:space="0" w:color="auto"/>
                            <w:left w:val="none" w:sz="0" w:space="0" w:color="auto"/>
                            <w:bottom w:val="none" w:sz="0" w:space="0" w:color="auto"/>
                            <w:right w:val="none" w:sz="0" w:space="0" w:color="auto"/>
                          </w:divBdr>
                          <w:divsChild>
                            <w:div w:id="2337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70421">
      <w:bodyDiv w:val="1"/>
      <w:marLeft w:val="0"/>
      <w:marRight w:val="0"/>
      <w:marTop w:val="0"/>
      <w:marBottom w:val="0"/>
      <w:divBdr>
        <w:top w:val="none" w:sz="0" w:space="0" w:color="auto"/>
        <w:left w:val="none" w:sz="0" w:space="0" w:color="auto"/>
        <w:bottom w:val="none" w:sz="0" w:space="0" w:color="auto"/>
        <w:right w:val="none" w:sz="0" w:space="0" w:color="auto"/>
      </w:divBdr>
    </w:div>
    <w:div w:id="2019119443">
      <w:bodyDiv w:val="1"/>
      <w:marLeft w:val="0"/>
      <w:marRight w:val="0"/>
      <w:marTop w:val="0"/>
      <w:marBottom w:val="0"/>
      <w:divBdr>
        <w:top w:val="none" w:sz="0" w:space="0" w:color="auto"/>
        <w:left w:val="none" w:sz="0" w:space="0" w:color="auto"/>
        <w:bottom w:val="none" w:sz="0" w:space="0" w:color="auto"/>
        <w:right w:val="none" w:sz="0" w:space="0" w:color="auto"/>
      </w:divBdr>
      <w:divsChild>
        <w:div w:id="1230579027">
          <w:marLeft w:val="0"/>
          <w:marRight w:val="0"/>
          <w:marTop w:val="0"/>
          <w:marBottom w:val="0"/>
          <w:divBdr>
            <w:top w:val="none" w:sz="0" w:space="0" w:color="auto"/>
            <w:left w:val="none" w:sz="0" w:space="0" w:color="auto"/>
            <w:bottom w:val="none" w:sz="0" w:space="0" w:color="auto"/>
            <w:right w:val="none" w:sz="0" w:space="0" w:color="auto"/>
          </w:divBdr>
          <w:divsChild>
            <w:div w:id="674108963">
              <w:marLeft w:val="0"/>
              <w:marRight w:val="0"/>
              <w:marTop w:val="0"/>
              <w:marBottom w:val="0"/>
              <w:divBdr>
                <w:top w:val="none" w:sz="0" w:space="0" w:color="auto"/>
                <w:left w:val="none" w:sz="0" w:space="0" w:color="auto"/>
                <w:bottom w:val="none" w:sz="0" w:space="0" w:color="auto"/>
                <w:right w:val="none" w:sz="0" w:space="0" w:color="auto"/>
              </w:divBdr>
              <w:divsChild>
                <w:div w:id="1068308649">
                  <w:marLeft w:val="0"/>
                  <w:marRight w:val="0"/>
                  <w:marTop w:val="0"/>
                  <w:marBottom w:val="0"/>
                  <w:divBdr>
                    <w:top w:val="none" w:sz="0" w:space="0" w:color="auto"/>
                    <w:left w:val="none" w:sz="0" w:space="0" w:color="auto"/>
                    <w:bottom w:val="none" w:sz="0" w:space="0" w:color="auto"/>
                    <w:right w:val="none" w:sz="0" w:space="0" w:color="auto"/>
                  </w:divBdr>
                  <w:divsChild>
                    <w:div w:id="109320535">
                      <w:marLeft w:val="0"/>
                      <w:marRight w:val="0"/>
                      <w:marTop w:val="0"/>
                      <w:marBottom w:val="0"/>
                      <w:divBdr>
                        <w:top w:val="none" w:sz="0" w:space="0" w:color="auto"/>
                        <w:left w:val="none" w:sz="0" w:space="0" w:color="auto"/>
                        <w:bottom w:val="none" w:sz="0" w:space="0" w:color="auto"/>
                        <w:right w:val="none" w:sz="0" w:space="0" w:color="auto"/>
                      </w:divBdr>
                      <w:divsChild>
                        <w:div w:id="1197280984">
                          <w:marLeft w:val="0"/>
                          <w:marRight w:val="0"/>
                          <w:marTop w:val="0"/>
                          <w:marBottom w:val="0"/>
                          <w:divBdr>
                            <w:top w:val="none" w:sz="0" w:space="0" w:color="auto"/>
                            <w:left w:val="none" w:sz="0" w:space="0" w:color="auto"/>
                            <w:bottom w:val="none" w:sz="0" w:space="0" w:color="auto"/>
                            <w:right w:val="none" w:sz="0" w:space="0" w:color="auto"/>
                          </w:divBdr>
                          <w:divsChild>
                            <w:div w:id="18031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la.Mizrachi@fda.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da.gov/AboutFDA/ReportsManualsForms/Reports/ucm59199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7BB10-6B45-4946-8D77-D35BD5140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2010-11-01T18:07:00Z</cp:lastPrinted>
  <dcterms:created xsi:type="dcterms:W3CDTF">2019-09-06T19:19:00Z</dcterms:created>
  <dcterms:modified xsi:type="dcterms:W3CDTF">2019-09-06T19:19:00Z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