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98217"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2D805F4F" w14:textId="77777777" w:rsidR="003F1C7A" w:rsidRDefault="003F1C7A">
      <w:pPr>
        <w:jc w:val="center"/>
      </w:pPr>
      <w:r>
        <w:rPr>
          <w:b/>
          <w:sz w:val="28"/>
        </w:rPr>
        <w:t xml:space="preserve">OF </w:t>
      </w:r>
      <w:r w:rsidR="00F12AEE">
        <w:rPr>
          <w:b/>
          <w:sz w:val="28"/>
        </w:rPr>
        <w:t>FOCUS GROUPS</w:t>
      </w:r>
      <w:r w:rsidR="000F2F28">
        <w:rPr>
          <w:b/>
          <w:sz w:val="28"/>
        </w:rPr>
        <w:t xml:space="preserve"> (</w:t>
      </w:r>
      <w:r w:rsidR="000F2F28" w:rsidRPr="0016155F">
        <w:rPr>
          <w:b/>
          <w:sz w:val="28"/>
        </w:rPr>
        <w:t>0910-0497</w:t>
      </w:r>
      <w:r w:rsidR="000F2F28">
        <w:rPr>
          <w:b/>
          <w:sz w:val="28"/>
        </w:rPr>
        <w:t>)</w:t>
      </w:r>
    </w:p>
    <w:p w14:paraId="30D520F5" w14:textId="77777777" w:rsidR="003F1C7A" w:rsidRDefault="00043795">
      <w:r>
        <w:rPr>
          <w:noProof/>
          <w:sz w:val="18"/>
          <w:szCs w:val="18"/>
        </w:rPr>
        <mc:AlternateContent>
          <mc:Choice Requires="wps">
            <w:drawing>
              <wp:anchor distT="0" distB="0" distL="114300" distR="114300" simplePos="0" relativeHeight="251657728" behindDoc="0" locked="0" layoutInCell="1" allowOverlap="1" wp14:anchorId="56BF6192" wp14:editId="070EF6D5">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A5660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7B5E3260" w14:textId="77777777" w:rsidR="003F1C7A" w:rsidRPr="008D2DA3" w:rsidRDefault="009404FA">
      <w:pPr>
        <w:rPr>
          <w:sz w:val="20"/>
          <w:szCs w:val="20"/>
        </w:rPr>
      </w:pPr>
      <w:r w:rsidRPr="008D2DA3">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14:paraId="2C95AD8F" w14:textId="77777777" w:rsidR="00BC1C35" w:rsidRDefault="00BC1C35" w:rsidP="005E23BA">
      <w:pPr>
        <w:spacing w:before="120"/>
        <w:rPr>
          <w:b/>
        </w:rPr>
      </w:pPr>
    </w:p>
    <w:p w14:paraId="322BF4F1" w14:textId="546F688E" w:rsidR="003F1C7A" w:rsidRDefault="003F1C7A" w:rsidP="007A5A07">
      <w:pPr>
        <w:ind w:left="720"/>
      </w:pPr>
      <w:r>
        <w:rPr>
          <w:b/>
        </w:rPr>
        <w:t>TITLE OF INFORMATION COLLECTION:</w:t>
      </w:r>
      <w:r>
        <w:t xml:space="preserve">  </w:t>
      </w:r>
      <w:r w:rsidR="007A5A07">
        <w:t xml:space="preserve">Focus Groups on Consumer Understanding and Behaviors Related to Plant-Based </w:t>
      </w:r>
      <w:r w:rsidR="004B7A8C">
        <w:t>Dairy Alternatives</w:t>
      </w:r>
    </w:p>
    <w:p w14:paraId="44312DFF" w14:textId="77777777" w:rsidR="007A5A07" w:rsidRDefault="007A5A07">
      <w:pPr>
        <w:spacing w:after="120"/>
        <w:rPr>
          <w:b/>
        </w:rPr>
      </w:pPr>
    </w:p>
    <w:p w14:paraId="5B60A0DC" w14:textId="6FE5B4E6" w:rsidR="003F1C7A" w:rsidRDefault="003F1C7A">
      <w:pPr>
        <w:spacing w:after="120"/>
      </w:pPr>
      <w:r>
        <w:rPr>
          <w:b/>
        </w:rPr>
        <w:t>DESCRIPTION OF THIS SPECIFIC COLLECTION</w:t>
      </w:r>
    </w:p>
    <w:p w14:paraId="5A59C86D" w14:textId="77777777" w:rsidR="00D62D9B" w:rsidRDefault="00D62D9B">
      <w:pPr>
        <w:spacing w:after="120"/>
      </w:pPr>
    </w:p>
    <w:p w14:paraId="2507F390" w14:textId="77777777" w:rsidR="003F1C7A" w:rsidRDefault="0049419A" w:rsidP="008D2DA3">
      <w:pPr>
        <w:numPr>
          <w:ilvl w:val="0"/>
          <w:numId w:val="15"/>
        </w:numPr>
        <w:tabs>
          <w:tab w:val="clear" w:pos="1296"/>
          <w:tab w:val="num" w:pos="720"/>
        </w:tabs>
        <w:spacing w:after="120"/>
        <w:ind w:left="360" w:firstLine="0"/>
      </w:pPr>
      <w:r>
        <w:rPr>
          <w:b/>
        </w:rPr>
        <w:t>Statement of n</w:t>
      </w:r>
      <w:r w:rsidR="00F12AEE">
        <w:rPr>
          <w:b/>
        </w:rPr>
        <w:t>eed</w:t>
      </w:r>
      <w:r w:rsidR="003F1C7A" w:rsidRPr="00E26798">
        <w:rPr>
          <w:b/>
        </w:rPr>
        <w:t>:</w:t>
      </w:r>
      <w:r w:rsidR="003F1C7A">
        <w:t xml:space="preserve">  </w:t>
      </w:r>
    </w:p>
    <w:p w14:paraId="3ACA849D" w14:textId="747D9182" w:rsidR="00156815" w:rsidRDefault="00156815" w:rsidP="00AE7162">
      <w:pPr>
        <w:ind w:left="720"/>
        <w:contextualSpacing/>
      </w:pPr>
      <w:r>
        <w:t xml:space="preserve">The Food and Drug Administration (FDA) proposes to undertake focus group research to determine consumers’ attitudes, motivations and habits related to plant-based </w:t>
      </w:r>
      <w:r w:rsidR="00621D77">
        <w:t>dairy alternatives</w:t>
      </w:r>
      <w:r>
        <w:t>.</w:t>
      </w:r>
    </w:p>
    <w:p w14:paraId="4CA5435B" w14:textId="53416208" w:rsidR="0040798D" w:rsidRDefault="00156815" w:rsidP="00AE7162">
      <w:pPr>
        <w:ind w:left="720"/>
        <w:contextualSpacing/>
      </w:pPr>
      <w:r>
        <w:t xml:space="preserve">One of the purposes of </w:t>
      </w:r>
      <w:r w:rsidR="00382634">
        <w:t xml:space="preserve">the Food, Drug, and Cosmetic Act and </w:t>
      </w:r>
      <w:r>
        <w:t xml:space="preserve">FDA’s food labeling regulations and policies is to </w:t>
      </w:r>
      <w:r w:rsidR="00382634">
        <w:t>protect consumers against misleading labeling</w:t>
      </w:r>
      <w:r>
        <w:t xml:space="preserve">. </w:t>
      </w:r>
      <w:r w:rsidR="00CF6D64">
        <w:t xml:space="preserve"> </w:t>
      </w:r>
      <w:r>
        <w:t xml:space="preserve">Over time, there has been an emergence of plant-based dairy alternatives </w:t>
      </w:r>
      <w:r w:rsidR="00685A13">
        <w:t xml:space="preserve">labeled with </w:t>
      </w:r>
      <w:r>
        <w:t xml:space="preserve">names </w:t>
      </w:r>
      <w:r w:rsidR="00685A13">
        <w:t>that include the names of</w:t>
      </w:r>
      <w:r>
        <w:t xml:space="preserve"> dairy foods, for example, “soy milk,” “almond milk,” and “soy yogurt.”</w:t>
      </w:r>
      <w:r w:rsidR="00CF6D64">
        <w:t xml:space="preserve"> </w:t>
      </w:r>
      <w:r>
        <w:t xml:space="preserve"> </w:t>
      </w:r>
      <w:r w:rsidR="00685A13">
        <w:t xml:space="preserve">Many dairy foods </w:t>
      </w:r>
      <w:r w:rsidR="00A8655C">
        <w:t xml:space="preserve">have standards of identity and </w:t>
      </w:r>
      <w:r w:rsidR="00685A13">
        <w:t>are defined by regulation</w:t>
      </w:r>
      <w:r w:rsidR="00A8655C">
        <w:t>.  For instance, milk is described as the lacteal secretion, practically free from colostrum, obtained by the complete milking of one or more healthy cows (Title 21 Code of Federal Regulations, 131</w:t>
      </w:r>
      <w:r w:rsidR="009B4068">
        <w:t>.110(a)</w:t>
      </w:r>
      <w:r w:rsidR="00A8655C">
        <w:t>).  Dairy foods are commonly recognized by the names under which these definitions and standards are established (e.g., “milk,” “yogurt,”</w:t>
      </w:r>
      <w:r w:rsidR="009B4068">
        <w:t xml:space="preserve"> “mozzarella cheese”</w:t>
      </w:r>
      <w:r w:rsidR="00A8655C">
        <w:t xml:space="preserve">).  </w:t>
      </w:r>
      <w:r>
        <w:t xml:space="preserve">There are divergent views regarding whether </w:t>
      </w:r>
      <w:r w:rsidR="009B4068">
        <w:t xml:space="preserve">labeling plant-based </w:t>
      </w:r>
      <w:r>
        <w:t>dairy alternative</w:t>
      </w:r>
      <w:r w:rsidR="009B4068">
        <w:t>s</w:t>
      </w:r>
      <w:r>
        <w:t xml:space="preserve"> </w:t>
      </w:r>
      <w:r w:rsidR="009B4068">
        <w:t xml:space="preserve">with these names is misleading </w:t>
      </w:r>
      <w:r>
        <w:t>and whether or not consumers understand what they are purchasing when they choose these products.</w:t>
      </w:r>
    </w:p>
    <w:p w14:paraId="75B09854" w14:textId="77777777" w:rsidR="0053505B" w:rsidRDefault="0053505B" w:rsidP="00AE7162">
      <w:pPr>
        <w:ind w:left="720"/>
        <w:contextualSpacing/>
      </w:pPr>
    </w:p>
    <w:p w14:paraId="516CA9C4" w14:textId="2D017961" w:rsidR="00D6682F" w:rsidRDefault="0053505B" w:rsidP="00AE7162">
      <w:pPr>
        <w:ind w:left="720"/>
        <w:contextualSpacing/>
      </w:pPr>
      <w:r>
        <w:t>The objective is to investigate consumer understanding of plant-based</w:t>
      </w:r>
      <w:r w:rsidR="0087428D">
        <w:t xml:space="preserve"> </w:t>
      </w:r>
      <w:r w:rsidR="00C062AA">
        <w:t>dairy alternatives</w:t>
      </w:r>
      <w:r>
        <w:t xml:space="preserve"> </w:t>
      </w:r>
      <w:r w:rsidR="00F9198D">
        <w:t>labeled with names that include the names of dairy foods</w:t>
      </w:r>
      <w:r>
        <w:t xml:space="preserve">. </w:t>
      </w:r>
    </w:p>
    <w:p w14:paraId="7B332633" w14:textId="77777777" w:rsidR="00D6682F" w:rsidRDefault="00D6682F" w:rsidP="00AE7162">
      <w:pPr>
        <w:ind w:left="720"/>
        <w:contextualSpacing/>
      </w:pPr>
    </w:p>
    <w:p w14:paraId="663CF0EC" w14:textId="77777777" w:rsidR="006757DD" w:rsidRDefault="006757DD" w:rsidP="00AE7162">
      <w:pPr>
        <w:ind w:left="360" w:firstLine="360"/>
        <w:contextualSpacing/>
      </w:pPr>
      <w:r>
        <w:t>More specifically, we would like to answer the following research questions:</w:t>
      </w:r>
    </w:p>
    <w:p w14:paraId="4AF37296" w14:textId="77777777" w:rsidR="006757DD" w:rsidRDefault="006757DD" w:rsidP="006757DD">
      <w:pPr>
        <w:ind w:left="720"/>
        <w:contextualSpacing/>
      </w:pPr>
    </w:p>
    <w:p w14:paraId="787FD10F" w14:textId="403E9957" w:rsidR="006757DD" w:rsidRDefault="006757DD" w:rsidP="006757DD">
      <w:pPr>
        <w:pStyle w:val="ListParagraph"/>
        <w:numPr>
          <w:ilvl w:val="1"/>
          <w:numId w:val="26"/>
        </w:numPr>
        <w:contextualSpacing/>
      </w:pPr>
      <w:r>
        <w:t>What is consumer understanding of and expectations about the content and nutritional profile of plant-based dairy alternatives;</w:t>
      </w:r>
    </w:p>
    <w:p w14:paraId="5A843438" w14:textId="184FF63D" w:rsidR="006757DD" w:rsidRDefault="006757DD" w:rsidP="006757DD">
      <w:pPr>
        <w:pStyle w:val="ListParagraph"/>
        <w:numPr>
          <w:ilvl w:val="1"/>
          <w:numId w:val="26"/>
        </w:numPr>
        <w:contextualSpacing/>
      </w:pPr>
      <w:r>
        <w:t>How consumers understand the differences between plant-based dairy alternatives and traditional dairy products, e.g., do they assume nutritional equivalency;</w:t>
      </w:r>
    </w:p>
    <w:p w14:paraId="1CD42748" w14:textId="5AA39188" w:rsidR="006757DD" w:rsidRDefault="006757DD" w:rsidP="006757DD">
      <w:pPr>
        <w:pStyle w:val="ListParagraph"/>
        <w:numPr>
          <w:ilvl w:val="1"/>
          <w:numId w:val="26"/>
        </w:numPr>
        <w:contextualSpacing/>
      </w:pPr>
      <w:r>
        <w:t xml:space="preserve">What is consumer purchase and use behavior, e.g., substituting;  </w:t>
      </w:r>
    </w:p>
    <w:p w14:paraId="11F3ADF4" w14:textId="582EDD27" w:rsidR="006757DD" w:rsidRDefault="006757DD" w:rsidP="006757DD">
      <w:pPr>
        <w:pStyle w:val="ListParagraph"/>
        <w:numPr>
          <w:ilvl w:val="1"/>
          <w:numId w:val="26"/>
        </w:numPr>
        <w:contextualSpacing/>
      </w:pPr>
      <w:r>
        <w:t>What motivates consumer use of plant-based dairy alternatives</w:t>
      </w:r>
      <w:r w:rsidR="001813AB">
        <w:t>;</w:t>
      </w:r>
      <w:r w:rsidR="003B6FDD">
        <w:t xml:space="preserve"> and</w:t>
      </w:r>
    </w:p>
    <w:p w14:paraId="4C653757" w14:textId="5A781211" w:rsidR="006757DD" w:rsidRDefault="006757DD" w:rsidP="006757DD">
      <w:pPr>
        <w:pStyle w:val="ListParagraph"/>
        <w:numPr>
          <w:ilvl w:val="1"/>
          <w:numId w:val="26"/>
        </w:numPr>
        <w:contextualSpacing/>
      </w:pPr>
      <w:r>
        <w:t>What are consumer expectations regarding naming terminology of plant-based dairy alternatives</w:t>
      </w:r>
      <w:r w:rsidR="003B6FDD">
        <w:t>.</w:t>
      </w:r>
    </w:p>
    <w:p w14:paraId="11BE19E8" w14:textId="7B7495E1" w:rsidR="0092376D" w:rsidRPr="001813AB" w:rsidRDefault="0092376D" w:rsidP="0092376D">
      <w:pPr>
        <w:pStyle w:val="ListParagraph"/>
        <w:contextualSpacing/>
        <w:rPr>
          <w:i/>
        </w:rPr>
      </w:pPr>
    </w:p>
    <w:p w14:paraId="1847B381" w14:textId="77777777" w:rsidR="0092376D" w:rsidRDefault="0092376D" w:rsidP="0092376D">
      <w:pPr>
        <w:pStyle w:val="ListParagraph"/>
        <w:contextualSpacing/>
      </w:pPr>
    </w:p>
    <w:p w14:paraId="75936F64" w14:textId="77777777" w:rsidR="00FB5F97" w:rsidRDefault="00FB5F97" w:rsidP="0092376D">
      <w:pPr>
        <w:contextualSpacing/>
        <w:sectPr w:rsidR="00FB5F97" w:rsidSect="00AE7162">
          <w:footerReference w:type="default" r:id="rId9"/>
          <w:pgSz w:w="12240" w:h="15840"/>
          <w:pgMar w:top="1152" w:right="1152" w:bottom="1152" w:left="1152" w:header="720" w:footer="720" w:gutter="0"/>
          <w:cols w:space="720"/>
          <w:titlePg/>
          <w:docGrid w:linePitch="360"/>
        </w:sectPr>
      </w:pPr>
    </w:p>
    <w:p w14:paraId="3CEA317A" w14:textId="047E1FB7" w:rsidR="008B049E" w:rsidRPr="0031518F" w:rsidRDefault="008B049E" w:rsidP="0092376D">
      <w:pPr>
        <w:contextualSpacing/>
      </w:pPr>
    </w:p>
    <w:p w14:paraId="5F01D414" w14:textId="77777777" w:rsidR="003F1C7A" w:rsidRDefault="0049419A" w:rsidP="00F12AEE">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14:paraId="6431F47B" w14:textId="77777777" w:rsidR="00B82761" w:rsidRDefault="00B82761" w:rsidP="00B82761">
      <w:pPr>
        <w:ind w:left="720"/>
      </w:pPr>
    </w:p>
    <w:p w14:paraId="20ACE7DE" w14:textId="4B59F363" w:rsidR="0053505B" w:rsidRDefault="0053505B" w:rsidP="00AE7162">
      <w:pPr>
        <w:ind w:left="720"/>
      </w:pPr>
      <w:r>
        <w:t xml:space="preserve">The focus groups will help to provide FDA with the information necessary to </w:t>
      </w:r>
      <w:r w:rsidR="00CF6D64">
        <w:t xml:space="preserve">understand requests presented in </w:t>
      </w:r>
      <w:r>
        <w:t xml:space="preserve">two petitions received. </w:t>
      </w:r>
      <w:r w:rsidR="00CF6D64">
        <w:t xml:space="preserve"> </w:t>
      </w:r>
      <w:r>
        <w:t xml:space="preserve">One is a petition from the Soy Foods Association of North America requesting that the FDA issue a regulation recognizing “soymilk” as the established common or usual name of the liquid food obtained by combining aqueous-extracted whole soybean solids and water, or by combining other edible-quality soy protein solids, soybean oil, and water. </w:t>
      </w:r>
      <w:r w:rsidR="00CF6D64">
        <w:t xml:space="preserve"> </w:t>
      </w:r>
      <w:r>
        <w:t xml:space="preserve">The other petition is from the Good Food Institute requesting the FDA issue regulations and provide guidance to industry clarifying how foods may be named by reference to names of other “traditional” foods (including standardized foods) in a manner that makes clear to consumers their distinct origins and properties. </w:t>
      </w:r>
      <w:r w:rsidR="00CF6D64">
        <w:t xml:space="preserve"> </w:t>
      </w:r>
      <w:r>
        <w:t>The petition asserts that these regulations and guidance to industry would help to avert perceived regulatory uncertainty for the industry and the court system.</w:t>
      </w:r>
    </w:p>
    <w:p w14:paraId="1C33437B" w14:textId="77777777" w:rsidR="0053505B" w:rsidRDefault="0053505B" w:rsidP="00AE7162">
      <w:pPr>
        <w:ind w:left="720"/>
      </w:pPr>
    </w:p>
    <w:p w14:paraId="3C42A2E7" w14:textId="6118B9A4" w:rsidR="0053505B" w:rsidRDefault="00CF6D64" w:rsidP="00AE7162">
      <w:pPr>
        <w:ind w:left="720"/>
      </w:pPr>
      <w:r w:rsidRPr="00CF6D64">
        <w:t>The focus group results will help FDA understand consumer knowledge, motivations and behavior related to using various plant-based foods</w:t>
      </w:r>
      <w:r w:rsidR="00371213">
        <w:t>.</w:t>
      </w:r>
      <w:r w:rsidRPr="00CF6D64">
        <w:t xml:space="preserve">  The results will also help FDA to determine whether consumers currently understand the differences between dairy and plant-based products with regard to nutritional value, functional properties, and allergenicity when making their purchase decisions.</w:t>
      </w:r>
    </w:p>
    <w:p w14:paraId="49E909BD" w14:textId="77777777" w:rsidR="0040798D" w:rsidRDefault="0040798D" w:rsidP="0040798D">
      <w:pPr>
        <w:ind w:left="360"/>
      </w:pPr>
    </w:p>
    <w:p w14:paraId="0C276FB4" w14:textId="77777777" w:rsidR="003F1C7A" w:rsidRDefault="0049419A" w:rsidP="008D2DA3">
      <w:pPr>
        <w:numPr>
          <w:ilvl w:val="0"/>
          <w:numId w:val="15"/>
        </w:numPr>
        <w:tabs>
          <w:tab w:val="clear" w:pos="1296"/>
          <w:tab w:val="num" w:pos="720"/>
        </w:tabs>
        <w:spacing w:after="120"/>
        <w:ind w:left="720"/>
      </w:pPr>
      <w:r>
        <w:rPr>
          <w:b/>
        </w:rPr>
        <w:t>Description of r</w:t>
      </w:r>
      <w:r w:rsidR="00F12AEE">
        <w:rPr>
          <w:b/>
        </w:rPr>
        <w:t>espondents</w:t>
      </w:r>
      <w:r w:rsidR="003F1C7A" w:rsidRPr="00E26798">
        <w:rPr>
          <w:b/>
        </w:rPr>
        <w:t>:</w:t>
      </w:r>
      <w:r w:rsidR="003F1C7A">
        <w:t xml:space="preserve">  </w:t>
      </w:r>
    </w:p>
    <w:p w14:paraId="5FF51046" w14:textId="59B8B1D6" w:rsidR="00FC510C" w:rsidRDefault="0087428D" w:rsidP="00AE7162">
      <w:pPr>
        <w:ind w:left="720"/>
      </w:pPr>
      <w:r>
        <w:t xml:space="preserve">This qualitative </w:t>
      </w:r>
      <w:r w:rsidR="00FC510C">
        <w:t xml:space="preserve">research </w:t>
      </w:r>
      <w:r>
        <w:t xml:space="preserve">project </w:t>
      </w:r>
      <w:r w:rsidR="00FC510C">
        <w:t>wil</w:t>
      </w:r>
      <w:r w:rsidR="0040798D">
        <w:t xml:space="preserve">l </w:t>
      </w:r>
      <w:r>
        <w:t>include</w:t>
      </w:r>
      <w:r w:rsidR="0040798D">
        <w:t xml:space="preserve"> </w:t>
      </w:r>
      <w:r>
        <w:t>12</w:t>
      </w:r>
      <w:r w:rsidR="0040798D">
        <w:t xml:space="preserve"> focus gro</w:t>
      </w:r>
      <w:r w:rsidR="00416388">
        <w:t xml:space="preserve">ups with adult participants who </w:t>
      </w:r>
      <w:r w:rsidR="007936F2">
        <w:t xml:space="preserve">do at least </w:t>
      </w:r>
      <w:r w:rsidR="007936F2" w:rsidRPr="007936F2">
        <w:t xml:space="preserve">half of the grocery shopping for </w:t>
      </w:r>
      <w:r w:rsidR="007936F2">
        <w:t>their</w:t>
      </w:r>
      <w:r w:rsidR="007936F2" w:rsidRPr="007936F2">
        <w:t xml:space="preserve"> household</w:t>
      </w:r>
      <w:r w:rsidR="007936F2">
        <w:t>s</w:t>
      </w:r>
      <w:r w:rsidR="00FC510C">
        <w:t xml:space="preserve"> and who </w:t>
      </w:r>
      <w:r w:rsidR="00416388">
        <w:t xml:space="preserve">purchase plant-based </w:t>
      </w:r>
      <w:r w:rsidR="00557FFC">
        <w:t>dairy alternatives</w:t>
      </w:r>
      <w:r w:rsidR="00416388">
        <w:t xml:space="preserve">. </w:t>
      </w:r>
      <w:r w:rsidR="00CF6D64">
        <w:t xml:space="preserve"> </w:t>
      </w:r>
      <w:r w:rsidR="00FC510C">
        <w:t>A</w:t>
      </w:r>
      <w:r w:rsidR="00FC510C" w:rsidRPr="00B32157">
        <w:t>ll groups w</w:t>
      </w:r>
      <w:r w:rsidR="00416388">
        <w:t>i</w:t>
      </w:r>
      <w:r w:rsidR="00FC510C" w:rsidRPr="00B32157">
        <w:t xml:space="preserve">ll include </w:t>
      </w:r>
      <w:r w:rsidR="00FC510C">
        <w:t>individuals ages 18 and over and will include participants of diverse ages and races/ethnicities. (See Appendix I)</w:t>
      </w:r>
    </w:p>
    <w:p w14:paraId="577E3CFF" w14:textId="77777777" w:rsidR="0092677B" w:rsidRDefault="0092677B" w:rsidP="00AE7162">
      <w:pPr>
        <w:ind w:left="720"/>
      </w:pPr>
    </w:p>
    <w:p w14:paraId="6ED82606" w14:textId="510AE54E" w:rsidR="003E19C3" w:rsidRDefault="0092677B" w:rsidP="00490134">
      <w:pPr>
        <w:ind w:left="360"/>
      </w:pPr>
      <w:r>
        <w:t xml:space="preserve">These groups </w:t>
      </w:r>
      <w:r w:rsidR="00A146C5">
        <w:t>will</w:t>
      </w:r>
      <w:r>
        <w:t xml:space="preserve"> be segmented by education level</w:t>
      </w:r>
      <w:r w:rsidR="00BC1C35">
        <w:t xml:space="preserve">, </w:t>
      </w:r>
      <w:r>
        <w:t>gender</w:t>
      </w:r>
      <w:r w:rsidR="00BC1C35">
        <w:t xml:space="preserve"> and age</w:t>
      </w:r>
      <w:r w:rsidR="00FC510C">
        <w:t xml:space="preserve"> of participants</w:t>
      </w:r>
      <w:r>
        <w:t>; half of</w:t>
      </w:r>
      <w:r w:rsidR="00BC1C35" w:rsidRPr="00BC1C35">
        <w:t xml:space="preserve"> the group discussions in each location will be conducted with lower education participants who hold an Associate’s degree from a community college or lower, and the other half with higher educated participants who hold a Bachelor’s degree or higher; at the same time, </w:t>
      </w:r>
      <w:r w:rsidR="003844C3">
        <w:t xml:space="preserve">half of all groups in each location will be conducted with participants with a child/children age from 2 to </w:t>
      </w:r>
      <w:r w:rsidR="0092376D">
        <w:t>17</w:t>
      </w:r>
      <w:r w:rsidR="003844C3">
        <w:t>, and the other half with participants who don't have any children living with them in their household (See the Table below).</w:t>
      </w:r>
    </w:p>
    <w:p w14:paraId="751E44A0" w14:textId="253B9959" w:rsidR="003E19C3" w:rsidRDefault="003E19C3" w:rsidP="00490134">
      <w:pPr>
        <w:ind w:left="360"/>
      </w:pPr>
    </w:p>
    <w:p w14:paraId="7A76C278" w14:textId="390F7F50" w:rsidR="003E19C3" w:rsidRDefault="003E19C3" w:rsidP="00490134">
      <w:pPr>
        <w:ind w:left="360"/>
      </w:pPr>
    </w:p>
    <w:p w14:paraId="2293F482" w14:textId="2117EDE7" w:rsidR="003E19C3" w:rsidRDefault="003E19C3" w:rsidP="00490134">
      <w:pPr>
        <w:ind w:left="360"/>
      </w:pPr>
    </w:p>
    <w:p w14:paraId="2E0E861E" w14:textId="7E3C0682" w:rsidR="003E19C3" w:rsidRDefault="003E19C3" w:rsidP="00490134">
      <w:pPr>
        <w:ind w:left="360"/>
      </w:pPr>
    </w:p>
    <w:p w14:paraId="5FD2B2B8" w14:textId="311F22AC" w:rsidR="003E19C3" w:rsidRDefault="003E19C3" w:rsidP="00490134">
      <w:pPr>
        <w:ind w:left="360"/>
      </w:pPr>
    </w:p>
    <w:p w14:paraId="1281F48F" w14:textId="1E8FBDC9" w:rsidR="003E19C3" w:rsidRDefault="003E19C3" w:rsidP="00490134">
      <w:pPr>
        <w:ind w:left="360"/>
      </w:pPr>
    </w:p>
    <w:p w14:paraId="41CEDE33" w14:textId="77777777" w:rsidR="003E19C3" w:rsidRDefault="003E19C3" w:rsidP="00490134">
      <w:pPr>
        <w:ind w:left="360"/>
      </w:pPr>
    </w:p>
    <w:p w14:paraId="21ACC0FE" w14:textId="77777777" w:rsidR="0031518F" w:rsidRDefault="0031518F" w:rsidP="003E19C3">
      <w:pPr>
        <w:rPr>
          <w:rFonts w:asciiTheme="minorHAnsi" w:hAnsiTheme="minorHAnsi"/>
          <w:b/>
          <w:sz w:val="22"/>
          <w:szCs w:val="22"/>
        </w:rPr>
      </w:pPr>
      <w:r>
        <w:rPr>
          <w:rFonts w:asciiTheme="minorHAnsi" w:hAnsiTheme="minorHAnsi"/>
          <w:b/>
          <w:sz w:val="22"/>
          <w:szCs w:val="22"/>
        </w:rPr>
        <w:br w:type="page"/>
      </w:r>
    </w:p>
    <w:p w14:paraId="6413BEA5" w14:textId="127B5D08" w:rsidR="003844C3" w:rsidRDefault="0040798D" w:rsidP="00AE7162">
      <w:pPr>
        <w:ind w:firstLine="720"/>
        <w:rPr>
          <w:rFonts w:asciiTheme="minorHAnsi" w:hAnsiTheme="minorHAnsi"/>
          <w:b/>
          <w:sz w:val="22"/>
          <w:szCs w:val="22"/>
        </w:rPr>
      </w:pPr>
      <w:r w:rsidRPr="00A146C5">
        <w:rPr>
          <w:rFonts w:asciiTheme="minorHAnsi" w:hAnsiTheme="minorHAnsi"/>
          <w:b/>
          <w:sz w:val="22"/>
          <w:szCs w:val="22"/>
        </w:rPr>
        <w:lastRenderedPageBreak/>
        <w:t>Focus Group Segmentation</w:t>
      </w:r>
    </w:p>
    <w:p w14:paraId="25BAFCAC" w14:textId="6485B534" w:rsidR="003844C3" w:rsidRDefault="00BC1C35" w:rsidP="003844C3">
      <w:pPr>
        <w:rPr>
          <w:rFonts w:ascii="Calibri" w:hAnsi="Calibri"/>
          <w:sz w:val="22"/>
          <w:szCs w:val="22"/>
        </w:rPr>
      </w:pPr>
      <w:r w:rsidRPr="00BC1C35">
        <w:rPr>
          <w:rFonts w:ascii="Calibri" w:hAnsi="Calibri"/>
          <w:sz w:val="22"/>
          <w:szCs w:val="22"/>
        </w:rPr>
        <w:t xml:space="preserve"> </w:t>
      </w: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890"/>
        <w:gridCol w:w="2880"/>
        <w:gridCol w:w="1890"/>
      </w:tblGrid>
      <w:tr w:rsidR="003844C3" w14:paraId="364022CB" w14:textId="77777777" w:rsidTr="00AE7162">
        <w:tc>
          <w:tcPr>
            <w:tcW w:w="1350" w:type="dxa"/>
            <w:tcBorders>
              <w:top w:val="single" w:sz="4" w:space="0" w:color="auto"/>
              <w:left w:val="single" w:sz="4" w:space="0" w:color="auto"/>
              <w:bottom w:val="single" w:sz="18" w:space="0" w:color="auto"/>
              <w:right w:val="single" w:sz="4" w:space="0" w:color="auto"/>
            </w:tcBorders>
            <w:hideMark/>
          </w:tcPr>
          <w:p w14:paraId="117C0C1B" w14:textId="77777777" w:rsidR="003844C3" w:rsidRDefault="003844C3">
            <w:pPr>
              <w:rPr>
                <w:rFonts w:ascii="Calibri" w:hAnsi="Calibri"/>
                <w:b/>
                <w:sz w:val="22"/>
                <w:szCs w:val="22"/>
              </w:rPr>
            </w:pPr>
            <w:r>
              <w:rPr>
                <w:rFonts w:ascii="Calibri" w:hAnsi="Calibri"/>
                <w:b/>
                <w:sz w:val="22"/>
                <w:szCs w:val="22"/>
              </w:rPr>
              <w:t>Group No.</w:t>
            </w:r>
          </w:p>
        </w:tc>
        <w:tc>
          <w:tcPr>
            <w:tcW w:w="1890" w:type="dxa"/>
            <w:tcBorders>
              <w:top w:val="single" w:sz="4" w:space="0" w:color="auto"/>
              <w:left w:val="single" w:sz="4" w:space="0" w:color="auto"/>
              <w:bottom w:val="single" w:sz="18" w:space="0" w:color="auto"/>
              <w:right w:val="single" w:sz="4" w:space="0" w:color="auto"/>
            </w:tcBorders>
            <w:hideMark/>
          </w:tcPr>
          <w:p w14:paraId="5EE9356F" w14:textId="77777777" w:rsidR="003844C3" w:rsidRDefault="003844C3">
            <w:pPr>
              <w:rPr>
                <w:rFonts w:ascii="Calibri" w:hAnsi="Calibri"/>
                <w:b/>
                <w:sz w:val="22"/>
                <w:szCs w:val="22"/>
              </w:rPr>
            </w:pPr>
            <w:r>
              <w:rPr>
                <w:rFonts w:ascii="Calibri" w:hAnsi="Calibri"/>
                <w:b/>
                <w:sz w:val="22"/>
                <w:szCs w:val="22"/>
              </w:rPr>
              <w:t>Location</w:t>
            </w:r>
          </w:p>
        </w:tc>
        <w:tc>
          <w:tcPr>
            <w:tcW w:w="2880" w:type="dxa"/>
            <w:tcBorders>
              <w:top w:val="single" w:sz="4" w:space="0" w:color="auto"/>
              <w:left w:val="single" w:sz="4" w:space="0" w:color="auto"/>
              <w:bottom w:val="single" w:sz="18" w:space="0" w:color="auto"/>
              <w:right w:val="single" w:sz="4" w:space="0" w:color="auto"/>
            </w:tcBorders>
            <w:hideMark/>
          </w:tcPr>
          <w:p w14:paraId="33B3C40F" w14:textId="77777777" w:rsidR="003844C3" w:rsidRDefault="003844C3">
            <w:pPr>
              <w:rPr>
                <w:rFonts w:ascii="Calibri" w:hAnsi="Calibri"/>
                <w:b/>
                <w:sz w:val="22"/>
                <w:szCs w:val="22"/>
              </w:rPr>
            </w:pPr>
            <w:r>
              <w:rPr>
                <w:rFonts w:ascii="Calibri" w:hAnsi="Calibri"/>
                <w:b/>
                <w:sz w:val="22"/>
                <w:szCs w:val="22"/>
              </w:rPr>
              <w:t>Parental Status</w:t>
            </w:r>
          </w:p>
        </w:tc>
        <w:tc>
          <w:tcPr>
            <w:tcW w:w="1890" w:type="dxa"/>
            <w:tcBorders>
              <w:top w:val="single" w:sz="4" w:space="0" w:color="auto"/>
              <w:left w:val="single" w:sz="4" w:space="0" w:color="auto"/>
              <w:bottom w:val="single" w:sz="18" w:space="0" w:color="auto"/>
              <w:right w:val="single" w:sz="4" w:space="0" w:color="auto"/>
            </w:tcBorders>
            <w:hideMark/>
          </w:tcPr>
          <w:p w14:paraId="12753A09" w14:textId="77777777" w:rsidR="003844C3" w:rsidRDefault="003844C3">
            <w:pPr>
              <w:rPr>
                <w:rFonts w:ascii="Calibri" w:hAnsi="Calibri"/>
                <w:b/>
                <w:sz w:val="22"/>
                <w:szCs w:val="22"/>
              </w:rPr>
            </w:pPr>
            <w:r>
              <w:rPr>
                <w:rFonts w:ascii="Calibri" w:hAnsi="Calibri"/>
                <w:b/>
                <w:sz w:val="22"/>
                <w:szCs w:val="22"/>
              </w:rPr>
              <w:t>Level of Education</w:t>
            </w:r>
          </w:p>
        </w:tc>
      </w:tr>
      <w:tr w:rsidR="003844C3" w14:paraId="34AFA11C" w14:textId="77777777" w:rsidTr="00AE7162">
        <w:tc>
          <w:tcPr>
            <w:tcW w:w="1350" w:type="dxa"/>
            <w:vMerge w:val="restart"/>
            <w:tcBorders>
              <w:top w:val="single" w:sz="18" w:space="0" w:color="auto"/>
              <w:left w:val="single" w:sz="4" w:space="0" w:color="auto"/>
              <w:bottom w:val="single" w:sz="4" w:space="0" w:color="auto"/>
              <w:right w:val="single" w:sz="4" w:space="0" w:color="auto"/>
            </w:tcBorders>
            <w:hideMark/>
          </w:tcPr>
          <w:p w14:paraId="55839013" w14:textId="77777777" w:rsidR="003844C3" w:rsidRDefault="003844C3">
            <w:pPr>
              <w:rPr>
                <w:rFonts w:ascii="Calibri" w:hAnsi="Calibri"/>
                <w:b/>
                <w:sz w:val="22"/>
                <w:szCs w:val="22"/>
              </w:rPr>
            </w:pPr>
            <w:r>
              <w:rPr>
                <w:rFonts w:ascii="Calibri" w:hAnsi="Calibri"/>
                <w:b/>
                <w:sz w:val="22"/>
                <w:szCs w:val="22"/>
              </w:rPr>
              <w:t>Group 1 &amp; 2</w:t>
            </w:r>
          </w:p>
        </w:tc>
        <w:tc>
          <w:tcPr>
            <w:tcW w:w="1890" w:type="dxa"/>
            <w:vMerge w:val="restart"/>
            <w:tcBorders>
              <w:top w:val="single" w:sz="18" w:space="0" w:color="auto"/>
              <w:left w:val="single" w:sz="4" w:space="0" w:color="auto"/>
              <w:bottom w:val="single" w:sz="4" w:space="0" w:color="auto"/>
              <w:right w:val="single" w:sz="4" w:space="0" w:color="auto"/>
            </w:tcBorders>
            <w:hideMark/>
          </w:tcPr>
          <w:p w14:paraId="333B09F0" w14:textId="77777777" w:rsidR="003844C3" w:rsidRDefault="003844C3">
            <w:pPr>
              <w:rPr>
                <w:rFonts w:ascii="Calibri" w:hAnsi="Calibri"/>
                <w:sz w:val="22"/>
                <w:szCs w:val="22"/>
              </w:rPr>
            </w:pPr>
            <w:r>
              <w:rPr>
                <w:rFonts w:ascii="Calibri" w:hAnsi="Calibri"/>
                <w:sz w:val="22"/>
                <w:szCs w:val="22"/>
              </w:rPr>
              <w:t>Bethesda, MD</w:t>
            </w:r>
          </w:p>
          <w:p w14:paraId="7AF8F847" w14:textId="77777777" w:rsidR="003844C3" w:rsidRDefault="003844C3">
            <w:pPr>
              <w:rPr>
                <w:rFonts w:ascii="Calibri" w:hAnsi="Calibri"/>
                <w:sz w:val="22"/>
                <w:szCs w:val="22"/>
              </w:rPr>
            </w:pPr>
            <w:r>
              <w:rPr>
                <w:rFonts w:ascii="Calibri" w:hAnsi="Calibri"/>
                <w:sz w:val="22"/>
                <w:szCs w:val="22"/>
              </w:rPr>
              <w:t>(Metropolitan DC)</w:t>
            </w:r>
          </w:p>
        </w:tc>
        <w:tc>
          <w:tcPr>
            <w:tcW w:w="2880" w:type="dxa"/>
            <w:vMerge w:val="restart"/>
            <w:tcBorders>
              <w:top w:val="single" w:sz="18" w:space="0" w:color="auto"/>
              <w:left w:val="single" w:sz="4" w:space="0" w:color="auto"/>
              <w:bottom w:val="single" w:sz="4" w:space="0" w:color="auto"/>
              <w:right w:val="single" w:sz="4" w:space="0" w:color="auto"/>
            </w:tcBorders>
            <w:hideMark/>
          </w:tcPr>
          <w:p w14:paraId="3C59AF8F" w14:textId="5A6746C8" w:rsidR="003844C3" w:rsidRDefault="003844C3">
            <w:pPr>
              <w:rPr>
                <w:rFonts w:ascii="Calibri" w:hAnsi="Calibri"/>
                <w:sz w:val="22"/>
                <w:szCs w:val="22"/>
              </w:rPr>
            </w:pPr>
            <w:r>
              <w:rPr>
                <w:rFonts w:ascii="Calibri" w:hAnsi="Calibri"/>
                <w:sz w:val="22"/>
                <w:szCs w:val="22"/>
              </w:rPr>
              <w:t>With at least one 2 – 1</w:t>
            </w:r>
            <w:r w:rsidR="0092376D">
              <w:rPr>
                <w:rFonts w:ascii="Calibri" w:hAnsi="Calibri"/>
                <w:sz w:val="22"/>
                <w:szCs w:val="22"/>
              </w:rPr>
              <w:t>7</w:t>
            </w:r>
            <w:r>
              <w:rPr>
                <w:rFonts w:ascii="Calibri" w:hAnsi="Calibri"/>
                <w:sz w:val="22"/>
                <w:szCs w:val="22"/>
              </w:rPr>
              <w:t xml:space="preserve"> year old child in household</w:t>
            </w:r>
          </w:p>
        </w:tc>
        <w:tc>
          <w:tcPr>
            <w:tcW w:w="1890" w:type="dxa"/>
            <w:tcBorders>
              <w:top w:val="single" w:sz="18" w:space="0" w:color="auto"/>
              <w:left w:val="single" w:sz="4" w:space="0" w:color="auto"/>
              <w:bottom w:val="single" w:sz="4" w:space="0" w:color="auto"/>
              <w:right w:val="single" w:sz="4" w:space="0" w:color="auto"/>
            </w:tcBorders>
            <w:hideMark/>
          </w:tcPr>
          <w:p w14:paraId="57B0CCDA" w14:textId="77777777" w:rsidR="003844C3" w:rsidRDefault="003844C3">
            <w:pPr>
              <w:rPr>
                <w:rFonts w:ascii="Calibri" w:hAnsi="Calibri"/>
                <w:sz w:val="22"/>
                <w:szCs w:val="22"/>
              </w:rPr>
            </w:pPr>
            <w:r>
              <w:rPr>
                <w:rFonts w:ascii="Calibri" w:hAnsi="Calibri"/>
                <w:sz w:val="22"/>
                <w:szCs w:val="22"/>
              </w:rPr>
              <w:t>Higher</w:t>
            </w:r>
          </w:p>
        </w:tc>
      </w:tr>
      <w:tr w:rsidR="003844C3" w14:paraId="23BAE93F" w14:textId="77777777" w:rsidTr="00AE7162">
        <w:trPr>
          <w:trHeight w:val="132"/>
        </w:trPr>
        <w:tc>
          <w:tcPr>
            <w:tcW w:w="1350" w:type="dxa"/>
            <w:vMerge/>
            <w:tcBorders>
              <w:top w:val="single" w:sz="18" w:space="0" w:color="auto"/>
              <w:left w:val="single" w:sz="4" w:space="0" w:color="auto"/>
              <w:bottom w:val="single" w:sz="4" w:space="0" w:color="auto"/>
              <w:right w:val="single" w:sz="4" w:space="0" w:color="auto"/>
            </w:tcBorders>
            <w:vAlign w:val="center"/>
            <w:hideMark/>
          </w:tcPr>
          <w:p w14:paraId="50C487D0" w14:textId="77777777" w:rsidR="003844C3" w:rsidRDefault="003844C3">
            <w:pPr>
              <w:rPr>
                <w:rFonts w:ascii="Calibri" w:hAnsi="Calibri"/>
                <w:b/>
                <w:sz w:val="22"/>
                <w:szCs w:val="22"/>
              </w:rPr>
            </w:pPr>
          </w:p>
        </w:tc>
        <w:tc>
          <w:tcPr>
            <w:tcW w:w="1890" w:type="dxa"/>
            <w:vMerge/>
            <w:tcBorders>
              <w:top w:val="single" w:sz="18" w:space="0" w:color="auto"/>
              <w:left w:val="single" w:sz="4" w:space="0" w:color="auto"/>
              <w:bottom w:val="single" w:sz="4" w:space="0" w:color="auto"/>
              <w:right w:val="single" w:sz="4" w:space="0" w:color="auto"/>
            </w:tcBorders>
            <w:vAlign w:val="center"/>
            <w:hideMark/>
          </w:tcPr>
          <w:p w14:paraId="1E9B0BD5" w14:textId="77777777" w:rsidR="003844C3" w:rsidRDefault="003844C3">
            <w:pPr>
              <w:rPr>
                <w:rFonts w:ascii="Calibri" w:hAnsi="Calibri"/>
                <w:sz w:val="22"/>
                <w:szCs w:val="22"/>
              </w:rPr>
            </w:pPr>
          </w:p>
        </w:tc>
        <w:tc>
          <w:tcPr>
            <w:tcW w:w="2880" w:type="dxa"/>
            <w:vMerge/>
            <w:tcBorders>
              <w:top w:val="single" w:sz="18" w:space="0" w:color="auto"/>
              <w:left w:val="single" w:sz="4" w:space="0" w:color="auto"/>
              <w:bottom w:val="single" w:sz="4" w:space="0" w:color="auto"/>
              <w:right w:val="single" w:sz="4" w:space="0" w:color="auto"/>
            </w:tcBorders>
            <w:vAlign w:val="center"/>
            <w:hideMark/>
          </w:tcPr>
          <w:p w14:paraId="3D21B8FB" w14:textId="77777777" w:rsidR="003844C3" w:rsidRDefault="003844C3">
            <w:pPr>
              <w:rPr>
                <w:rFonts w:ascii="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51C23D6A" w14:textId="77777777" w:rsidR="003844C3" w:rsidRDefault="003844C3">
            <w:pPr>
              <w:rPr>
                <w:rFonts w:ascii="Calibri" w:hAnsi="Calibri"/>
                <w:sz w:val="22"/>
                <w:szCs w:val="22"/>
              </w:rPr>
            </w:pPr>
            <w:r>
              <w:rPr>
                <w:rFonts w:ascii="Calibri" w:hAnsi="Calibri"/>
                <w:sz w:val="22"/>
                <w:szCs w:val="22"/>
              </w:rPr>
              <w:t>Lower</w:t>
            </w:r>
          </w:p>
        </w:tc>
      </w:tr>
      <w:tr w:rsidR="003844C3" w14:paraId="62133B9B" w14:textId="77777777" w:rsidTr="00AE7162">
        <w:trPr>
          <w:trHeight w:val="132"/>
        </w:trPr>
        <w:tc>
          <w:tcPr>
            <w:tcW w:w="1350" w:type="dxa"/>
            <w:vMerge w:val="restart"/>
            <w:tcBorders>
              <w:top w:val="single" w:sz="4" w:space="0" w:color="auto"/>
              <w:left w:val="single" w:sz="4" w:space="0" w:color="auto"/>
              <w:bottom w:val="single" w:sz="4" w:space="0" w:color="auto"/>
              <w:right w:val="single" w:sz="4" w:space="0" w:color="auto"/>
            </w:tcBorders>
            <w:hideMark/>
          </w:tcPr>
          <w:p w14:paraId="5492D247" w14:textId="77777777" w:rsidR="003844C3" w:rsidRDefault="003844C3">
            <w:pPr>
              <w:rPr>
                <w:rFonts w:ascii="Calibri" w:hAnsi="Calibri"/>
                <w:b/>
                <w:sz w:val="22"/>
                <w:szCs w:val="22"/>
              </w:rPr>
            </w:pPr>
            <w:r>
              <w:rPr>
                <w:rFonts w:ascii="Calibri" w:hAnsi="Calibri"/>
                <w:b/>
                <w:sz w:val="22"/>
                <w:szCs w:val="22"/>
              </w:rPr>
              <w:t>Group 3 &amp; 4</w:t>
            </w:r>
          </w:p>
        </w:tc>
        <w:tc>
          <w:tcPr>
            <w:tcW w:w="1890" w:type="dxa"/>
            <w:vMerge/>
            <w:tcBorders>
              <w:top w:val="single" w:sz="18" w:space="0" w:color="auto"/>
              <w:left w:val="single" w:sz="4" w:space="0" w:color="auto"/>
              <w:bottom w:val="single" w:sz="4" w:space="0" w:color="auto"/>
              <w:right w:val="single" w:sz="4" w:space="0" w:color="auto"/>
            </w:tcBorders>
            <w:vAlign w:val="center"/>
            <w:hideMark/>
          </w:tcPr>
          <w:p w14:paraId="1F99D712" w14:textId="77777777" w:rsidR="003844C3" w:rsidRDefault="003844C3">
            <w:pPr>
              <w:rPr>
                <w:rFonts w:ascii="Calibri" w:hAnsi="Calibri"/>
                <w:sz w:val="22"/>
                <w:szCs w:val="22"/>
              </w:rPr>
            </w:pPr>
          </w:p>
        </w:tc>
        <w:tc>
          <w:tcPr>
            <w:tcW w:w="2880" w:type="dxa"/>
            <w:vMerge w:val="restart"/>
            <w:tcBorders>
              <w:top w:val="single" w:sz="4" w:space="0" w:color="auto"/>
              <w:left w:val="single" w:sz="4" w:space="0" w:color="auto"/>
              <w:bottom w:val="single" w:sz="4" w:space="0" w:color="auto"/>
              <w:right w:val="single" w:sz="4" w:space="0" w:color="auto"/>
            </w:tcBorders>
            <w:hideMark/>
          </w:tcPr>
          <w:p w14:paraId="6BDC88E1" w14:textId="77777777" w:rsidR="003844C3" w:rsidRDefault="003844C3">
            <w:pPr>
              <w:rPr>
                <w:rFonts w:ascii="Calibri" w:hAnsi="Calibri"/>
                <w:sz w:val="22"/>
                <w:szCs w:val="22"/>
              </w:rPr>
            </w:pPr>
            <w:r>
              <w:rPr>
                <w:rFonts w:ascii="Calibri" w:hAnsi="Calibri"/>
                <w:sz w:val="22"/>
                <w:szCs w:val="22"/>
              </w:rPr>
              <w:t>Without any children in household</w:t>
            </w:r>
          </w:p>
        </w:tc>
        <w:tc>
          <w:tcPr>
            <w:tcW w:w="1890" w:type="dxa"/>
            <w:tcBorders>
              <w:top w:val="single" w:sz="4" w:space="0" w:color="auto"/>
              <w:left w:val="single" w:sz="4" w:space="0" w:color="auto"/>
              <w:bottom w:val="single" w:sz="4" w:space="0" w:color="auto"/>
              <w:right w:val="single" w:sz="4" w:space="0" w:color="auto"/>
            </w:tcBorders>
            <w:hideMark/>
          </w:tcPr>
          <w:p w14:paraId="067C1A8D" w14:textId="77777777" w:rsidR="003844C3" w:rsidRDefault="003844C3">
            <w:pPr>
              <w:rPr>
                <w:rFonts w:ascii="Calibri" w:hAnsi="Calibri"/>
                <w:sz w:val="22"/>
                <w:szCs w:val="22"/>
              </w:rPr>
            </w:pPr>
            <w:r>
              <w:rPr>
                <w:rFonts w:ascii="Calibri" w:hAnsi="Calibri"/>
                <w:sz w:val="22"/>
                <w:szCs w:val="22"/>
              </w:rPr>
              <w:t>Higher</w:t>
            </w:r>
          </w:p>
        </w:tc>
      </w:tr>
      <w:tr w:rsidR="003844C3" w14:paraId="76AB2E90" w14:textId="77777777" w:rsidTr="00AE7162">
        <w:trPr>
          <w:trHeight w:val="132"/>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6E2A5D8" w14:textId="77777777" w:rsidR="003844C3" w:rsidRDefault="003844C3">
            <w:pPr>
              <w:rPr>
                <w:rFonts w:ascii="Calibri" w:hAnsi="Calibri"/>
                <w:b/>
                <w:sz w:val="22"/>
                <w:szCs w:val="22"/>
              </w:rPr>
            </w:pPr>
          </w:p>
        </w:tc>
        <w:tc>
          <w:tcPr>
            <w:tcW w:w="1890" w:type="dxa"/>
            <w:vMerge/>
            <w:tcBorders>
              <w:top w:val="single" w:sz="18" w:space="0" w:color="auto"/>
              <w:left w:val="single" w:sz="4" w:space="0" w:color="auto"/>
              <w:bottom w:val="single" w:sz="4" w:space="0" w:color="auto"/>
              <w:right w:val="single" w:sz="4" w:space="0" w:color="auto"/>
            </w:tcBorders>
            <w:vAlign w:val="center"/>
            <w:hideMark/>
          </w:tcPr>
          <w:p w14:paraId="1000FE9A" w14:textId="77777777" w:rsidR="003844C3" w:rsidRDefault="003844C3">
            <w:pPr>
              <w:rPr>
                <w:rFonts w:ascii="Calibri" w:hAnsi="Calibri"/>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1341717" w14:textId="77777777" w:rsidR="003844C3" w:rsidRDefault="003844C3">
            <w:pPr>
              <w:rPr>
                <w:rFonts w:ascii="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1666893A" w14:textId="77777777" w:rsidR="003844C3" w:rsidRDefault="003844C3">
            <w:pPr>
              <w:rPr>
                <w:rFonts w:ascii="Calibri" w:hAnsi="Calibri"/>
                <w:sz w:val="22"/>
                <w:szCs w:val="22"/>
              </w:rPr>
            </w:pPr>
            <w:r>
              <w:rPr>
                <w:rFonts w:ascii="Calibri" w:hAnsi="Calibri"/>
                <w:sz w:val="22"/>
                <w:szCs w:val="22"/>
              </w:rPr>
              <w:t>Lower</w:t>
            </w:r>
          </w:p>
        </w:tc>
      </w:tr>
      <w:tr w:rsidR="003844C3" w14:paraId="3716F8A3" w14:textId="77777777" w:rsidTr="00AE7162">
        <w:trPr>
          <w:trHeight w:val="132"/>
        </w:trPr>
        <w:tc>
          <w:tcPr>
            <w:tcW w:w="1350" w:type="dxa"/>
            <w:vMerge w:val="restart"/>
            <w:tcBorders>
              <w:top w:val="single" w:sz="4" w:space="0" w:color="auto"/>
              <w:left w:val="single" w:sz="4" w:space="0" w:color="auto"/>
              <w:bottom w:val="single" w:sz="4" w:space="0" w:color="auto"/>
              <w:right w:val="single" w:sz="4" w:space="0" w:color="auto"/>
            </w:tcBorders>
            <w:hideMark/>
          </w:tcPr>
          <w:p w14:paraId="202648DE" w14:textId="77777777" w:rsidR="003844C3" w:rsidRDefault="003844C3">
            <w:pPr>
              <w:rPr>
                <w:rFonts w:ascii="Calibri" w:hAnsi="Calibri"/>
                <w:b/>
                <w:sz w:val="22"/>
                <w:szCs w:val="22"/>
              </w:rPr>
            </w:pPr>
            <w:r>
              <w:rPr>
                <w:rFonts w:ascii="Calibri" w:hAnsi="Calibri"/>
                <w:b/>
                <w:sz w:val="22"/>
                <w:szCs w:val="22"/>
              </w:rPr>
              <w:t>Group 5 &amp; 6</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77C63E8B" w14:textId="77777777" w:rsidR="003844C3" w:rsidRDefault="003844C3">
            <w:pPr>
              <w:rPr>
                <w:rFonts w:ascii="Calibri" w:hAnsi="Calibri"/>
                <w:sz w:val="22"/>
                <w:szCs w:val="22"/>
              </w:rPr>
            </w:pPr>
            <w:r>
              <w:rPr>
                <w:rFonts w:ascii="Calibri" w:hAnsi="Calibri"/>
                <w:sz w:val="22"/>
                <w:szCs w:val="22"/>
              </w:rPr>
              <w:t>Raleigh, NC</w:t>
            </w:r>
          </w:p>
          <w:p w14:paraId="0B5A48CB" w14:textId="77777777" w:rsidR="003844C3" w:rsidRDefault="003844C3">
            <w:pPr>
              <w:rPr>
                <w:rFonts w:ascii="Calibri" w:hAnsi="Calibri"/>
                <w:sz w:val="22"/>
                <w:szCs w:val="22"/>
              </w:rPr>
            </w:pPr>
            <w:r>
              <w:rPr>
                <w:rFonts w:ascii="Calibri" w:hAnsi="Calibri"/>
                <w:sz w:val="22"/>
                <w:szCs w:val="22"/>
              </w:rPr>
              <w:t>(Southeast)</w:t>
            </w:r>
          </w:p>
        </w:tc>
        <w:tc>
          <w:tcPr>
            <w:tcW w:w="2880" w:type="dxa"/>
            <w:vMerge w:val="restart"/>
            <w:tcBorders>
              <w:top w:val="single" w:sz="4" w:space="0" w:color="auto"/>
              <w:left w:val="single" w:sz="4" w:space="0" w:color="auto"/>
              <w:bottom w:val="single" w:sz="4" w:space="0" w:color="auto"/>
              <w:right w:val="single" w:sz="4" w:space="0" w:color="auto"/>
            </w:tcBorders>
            <w:hideMark/>
          </w:tcPr>
          <w:p w14:paraId="21A7559C" w14:textId="4CF3A7E3" w:rsidR="003844C3" w:rsidRDefault="003844C3">
            <w:pPr>
              <w:rPr>
                <w:rFonts w:ascii="Calibri" w:hAnsi="Calibri"/>
                <w:sz w:val="22"/>
                <w:szCs w:val="22"/>
              </w:rPr>
            </w:pPr>
            <w:r>
              <w:rPr>
                <w:rFonts w:ascii="Calibri" w:hAnsi="Calibri"/>
                <w:sz w:val="22"/>
                <w:szCs w:val="22"/>
              </w:rPr>
              <w:t>With at least one 2 – 1</w:t>
            </w:r>
            <w:r w:rsidR="0092376D">
              <w:rPr>
                <w:rFonts w:ascii="Calibri" w:hAnsi="Calibri"/>
                <w:sz w:val="22"/>
                <w:szCs w:val="22"/>
              </w:rPr>
              <w:t>7</w:t>
            </w:r>
            <w:r>
              <w:rPr>
                <w:rFonts w:ascii="Calibri" w:hAnsi="Calibri"/>
                <w:sz w:val="22"/>
                <w:szCs w:val="22"/>
              </w:rPr>
              <w:t xml:space="preserve"> year old child in household</w:t>
            </w:r>
          </w:p>
        </w:tc>
        <w:tc>
          <w:tcPr>
            <w:tcW w:w="1890" w:type="dxa"/>
            <w:tcBorders>
              <w:top w:val="single" w:sz="4" w:space="0" w:color="auto"/>
              <w:left w:val="single" w:sz="4" w:space="0" w:color="auto"/>
              <w:bottom w:val="single" w:sz="4" w:space="0" w:color="auto"/>
              <w:right w:val="single" w:sz="4" w:space="0" w:color="auto"/>
            </w:tcBorders>
            <w:hideMark/>
          </w:tcPr>
          <w:p w14:paraId="2B8C0E8D" w14:textId="77777777" w:rsidR="003844C3" w:rsidRDefault="003844C3">
            <w:pPr>
              <w:rPr>
                <w:rFonts w:ascii="Calibri" w:hAnsi="Calibri"/>
                <w:sz w:val="22"/>
                <w:szCs w:val="22"/>
              </w:rPr>
            </w:pPr>
            <w:r>
              <w:rPr>
                <w:rFonts w:ascii="Calibri" w:hAnsi="Calibri"/>
                <w:sz w:val="22"/>
                <w:szCs w:val="22"/>
              </w:rPr>
              <w:t>Higher</w:t>
            </w:r>
          </w:p>
        </w:tc>
      </w:tr>
      <w:tr w:rsidR="003844C3" w14:paraId="44E54D51" w14:textId="77777777" w:rsidTr="00AE7162">
        <w:trPr>
          <w:trHeight w:val="132"/>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74D4EA6" w14:textId="77777777" w:rsidR="003844C3" w:rsidRDefault="003844C3">
            <w:pPr>
              <w:rPr>
                <w:rFonts w:ascii="Calibri" w:hAnsi="Calibri"/>
                <w:b/>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BCEEA15" w14:textId="77777777" w:rsidR="003844C3" w:rsidRDefault="003844C3">
            <w:pPr>
              <w:rPr>
                <w:rFonts w:ascii="Calibri" w:hAnsi="Calibri"/>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BF6EED0" w14:textId="77777777" w:rsidR="003844C3" w:rsidRDefault="003844C3">
            <w:pPr>
              <w:rPr>
                <w:rFonts w:ascii="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1B346A78" w14:textId="77777777" w:rsidR="003844C3" w:rsidRDefault="003844C3">
            <w:pPr>
              <w:rPr>
                <w:rFonts w:ascii="Calibri" w:hAnsi="Calibri"/>
                <w:sz w:val="22"/>
                <w:szCs w:val="22"/>
              </w:rPr>
            </w:pPr>
            <w:r>
              <w:rPr>
                <w:rFonts w:ascii="Calibri" w:hAnsi="Calibri"/>
                <w:sz w:val="22"/>
                <w:szCs w:val="22"/>
              </w:rPr>
              <w:t>Lower</w:t>
            </w:r>
          </w:p>
        </w:tc>
      </w:tr>
      <w:tr w:rsidR="003844C3" w14:paraId="006B0246" w14:textId="77777777" w:rsidTr="00AE7162">
        <w:trPr>
          <w:trHeight w:val="132"/>
        </w:trPr>
        <w:tc>
          <w:tcPr>
            <w:tcW w:w="1350" w:type="dxa"/>
            <w:vMerge w:val="restart"/>
            <w:tcBorders>
              <w:top w:val="single" w:sz="4" w:space="0" w:color="auto"/>
              <w:left w:val="single" w:sz="4" w:space="0" w:color="auto"/>
              <w:bottom w:val="single" w:sz="4" w:space="0" w:color="auto"/>
              <w:right w:val="single" w:sz="4" w:space="0" w:color="auto"/>
            </w:tcBorders>
            <w:hideMark/>
          </w:tcPr>
          <w:p w14:paraId="2BD40075" w14:textId="77777777" w:rsidR="003844C3" w:rsidRDefault="003844C3">
            <w:pPr>
              <w:rPr>
                <w:rFonts w:ascii="Calibri" w:hAnsi="Calibri"/>
                <w:b/>
                <w:sz w:val="22"/>
                <w:szCs w:val="22"/>
              </w:rPr>
            </w:pPr>
            <w:r>
              <w:rPr>
                <w:rFonts w:ascii="Calibri" w:hAnsi="Calibri"/>
                <w:b/>
                <w:sz w:val="22"/>
                <w:szCs w:val="22"/>
              </w:rPr>
              <w:t>Group 7 &amp; 8</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F224EC8" w14:textId="77777777" w:rsidR="003844C3" w:rsidRDefault="003844C3">
            <w:pPr>
              <w:rPr>
                <w:rFonts w:ascii="Calibri" w:hAnsi="Calibri"/>
                <w:sz w:val="22"/>
                <w:szCs w:val="22"/>
              </w:rPr>
            </w:pPr>
          </w:p>
        </w:tc>
        <w:tc>
          <w:tcPr>
            <w:tcW w:w="2880" w:type="dxa"/>
            <w:vMerge w:val="restart"/>
            <w:tcBorders>
              <w:top w:val="single" w:sz="4" w:space="0" w:color="auto"/>
              <w:left w:val="single" w:sz="4" w:space="0" w:color="auto"/>
              <w:bottom w:val="single" w:sz="4" w:space="0" w:color="auto"/>
              <w:right w:val="single" w:sz="4" w:space="0" w:color="auto"/>
            </w:tcBorders>
            <w:hideMark/>
          </w:tcPr>
          <w:p w14:paraId="62355D65" w14:textId="77777777" w:rsidR="003844C3" w:rsidRDefault="003844C3">
            <w:pPr>
              <w:rPr>
                <w:rFonts w:ascii="Calibri" w:hAnsi="Calibri"/>
                <w:sz w:val="22"/>
                <w:szCs w:val="22"/>
              </w:rPr>
            </w:pPr>
            <w:r>
              <w:rPr>
                <w:rFonts w:ascii="Calibri" w:hAnsi="Calibri"/>
                <w:sz w:val="22"/>
                <w:szCs w:val="22"/>
              </w:rPr>
              <w:t>Without any children in household</w:t>
            </w:r>
          </w:p>
        </w:tc>
        <w:tc>
          <w:tcPr>
            <w:tcW w:w="1890" w:type="dxa"/>
            <w:tcBorders>
              <w:top w:val="single" w:sz="4" w:space="0" w:color="auto"/>
              <w:left w:val="single" w:sz="4" w:space="0" w:color="auto"/>
              <w:bottom w:val="single" w:sz="4" w:space="0" w:color="auto"/>
              <w:right w:val="single" w:sz="4" w:space="0" w:color="auto"/>
            </w:tcBorders>
            <w:hideMark/>
          </w:tcPr>
          <w:p w14:paraId="344CC695" w14:textId="77777777" w:rsidR="003844C3" w:rsidRDefault="003844C3">
            <w:pPr>
              <w:rPr>
                <w:rFonts w:ascii="Calibri" w:hAnsi="Calibri"/>
                <w:sz w:val="22"/>
                <w:szCs w:val="22"/>
              </w:rPr>
            </w:pPr>
            <w:r>
              <w:rPr>
                <w:rFonts w:ascii="Calibri" w:hAnsi="Calibri"/>
                <w:sz w:val="22"/>
                <w:szCs w:val="22"/>
              </w:rPr>
              <w:t>Higher</w:t>
            </w:r>
          </w:p>
        </w:tc>
      </w:tr>
      <w:tr w:rsidR="003844C3" w14:paraId="01D3D2F3" w14:textId="77777777" w:rsidTr="00AE7162">
        <w:trPr>
          <w:trHeight w:val="132"/>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2442D720" w14:textId="77777777" w:rsidR="003844C3" w:rsidRDefault="003844C3">
            <w:pPr>
              <w:rPr>
                <w:rFonts w:ascii="Calibri" w:hAnsi="Calibri"/>
                <w:b/>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343BA19" w14:textId="77777777" w:rsidR="003844C3" w:rsidRDefault="003844C3">
            <w:pPr>
              <w:rPr>
                <w:rFonts w:ascii="Calibri" w:hAnsi="Calibri"/>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8471D65" w14:textId="77777777" w:rsidR="003844C3" w:rsidRDefault="003844C3">
            <w:pPr>
              <w:rPr>
                <w:rFonts w:ascii="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6B3F98BF" w14:textId="77777777" w:rsidR="003844C3" w:rsidRDefault="003844C3">
            <w:pPr>
              <w:rPr>
                <w:rFonts w:ascii="Calibri" w:hAnsi="Calibri"/>
                <w:sz w:val="22"/>
                <w:szCs w:val="22"/>
              </w:rPr>
            </w:pPr>
            <w:r>
              <w:rPr>
                <w:rFonts w:ascii="Calibri" w:hAnsi="Calibri"/>
                <w:sz w:val="22"/>
                <w:szCs w:val="22"/>
              </w:rPr>
              <w:t>Lower</w:t>
            </w:r>
          </w:p>
        </w:tc>
      </w:tr>
      <w:tr w:rsidR="003844C3" w14:paraId="3C04AD92" w14:textId="77777777" w:rsidTr="00AE7162">
        <w:trPr>
          <w:trHeight w:val="132"/>
        </w:trPr>
        <w:tc>
          <w:tcPr>
            <w:tcW w:w="1350" w:type="dxa"/>
            <w:vMerge w:val="restart"/>
            <w:tcBorders>
              <w:top w:val="single" w:sz="4" w:space="0" w:color="auto"/>
              <w:left w:val="single" w:sz="4" w:space="0" w:color="auto"/>
              <w:bottom w:val="single" w:sz="4" w:space="0" w:color="auto"/>
              <w:right w:val="single" w:sz="4" w:space="0" w:color="auto"/>
            </w:tcBorders>
            <w:hideMark/>
          </w:tcPr>
          <w:p w14:paraId="3650559F" w14:textId="77777777" w:rsidR="003844C3" w:rsidRDefault="003844C3">
            <w:pPr>
              <w:rPr>
                <w:rFonts w:ascii="Calibri" w:hAnsi="Calibri"/>
                <w:b/>
                <w:sz w:val="22"/>
                <w:szCs w:val="22"/>
              </w:rPr>
            </w:pPr>
            <w:r>
              <w:rPr>
                <w:rFonts w:ascii="Calibri" w:hAnsi="Calibri"/>
                <w:b/>
                <w:sz w:val="22"/>
                <w:szCs w:val="22"/>
              </w:rPr>
              <w:t>Group 9 &amp; 10</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42F18816" w14:textId="77777777" w:rsidR="003844C3" w:rsidRDefault="003844C3">
            <w:pPr>
              <w:rPr>
                <w:rFonts w:ascii="Calibri" w:hAnsi="Calibri"/>
                <w:sz w:val="22"/>
                <w:szCs w:val="22"/>
              </w:rPr>
            </w:pPr>
            <w:r>
              <w:rPr>
                <w:rFonts w:ascii="Calibri" w:hAnsi="Calibri"/>
                <w:sz w:val="22"/>
                <w:szCs w:val="22"/>
              </w:rPr>
              <w:t>Portland, Oregon</w:t>
            </w:r>
          </w:p>
          <w:p w14:paraId="46FE7DDF" w14:textId="77777777" w:rsidR="003844C3" w:rsidRDefault="003844C3">
            <w:pPr>
              <w:rPr>
                <w:rFonts w:ascii="Calibri" w:hAnsi="Calibri"/>
                <w:sz w:val="22"/>
                <w:szCs w:val="22"/>
              </w:rPr>
            </w:pPr>
            <w:r>
              <w:rPr>
                <w:rFonts w:ascii="Calibri" w:hAnsi="Calibri"/>
                <w:sz w:val="22"/>
                <w:szCs w:val="22"/>
              </w:rPr>
              <w:t>(West)</w:t>
            </w:r>
          </w:p>
        </w:tc>
        <w:tc>
          <w:tcPr>
            <w:tcW w:w="2880" w:type="dxa"/>
            <w:vMerge w:val="restart"/>
            <w:tcBorders>
              <w:top w:val="single" w:sz="4" w:space="0" w:color="auto"/>
              <w:left w:val="single" w:sz="4" w:space="0" w:color="auto"/>
              <w:bottom w:val="single" w:sz="4" w:space="0" w:color="auto"/>
              <w:right w:val="single" w:sz="4" w:space="0" w:color="auto"/>
            </w:tcBorders>
            <w:hideMark/>
          </w:tcPr>
          <w:p w14:paraId="2C2FB199" w14:textId="59AEA459" w:rsidR="003844C3" w:rsidRDefault="003844C3">
            <w:pPr>
              <w:rPr>
                <w:rFonts w:ascii="Calibri" w:hAnsi="Calibri"/>
                <w:sz w:val="22"/>
                <w:szCs w:val="22"/>
              </w:rPr>
            </w:pPr>
            <w:r>
              <w:rPr>
                <w:rFonts w:ascii="Calibri" w:hAnsi="Calibri"/>
                <w:sz w:val="22"/>
                <w:szCs w:val="22"/>
              </w:rPr>
              <w:t>With at least one 2 – 1</w:t>
            </w:r>
            <w:r w:rsidR="0092376D">
              <w:rPr>
                <w:rFonts w:ascii="Calibri" w:hAnsi="Calibri"/>
                <w:sz w:val="22"/>
                <w:szCs w:val="22"/>
              </w:rPr>
              <w:t>7</w:t>
            </w:r>
            <w:r>
              <w:rPr>
                <w:rFonts w:ascii="Calibri" w:hAnsi="Calibri"/>
                <w:sz w:val="22"/>
                <w:szCs w:val="22"/>
              </w:rPr>
              <w:t xml:space="preserve"> year old child in household</w:t>
            </w:r>
          </w:p>
        </w:tc>
        <w:tc>
          <w:tcPr>
            <w:tcW w:w="1890" w:type="dxa"/>
            <w:tcBorders>
              <w:top w:val="single" w:sz="4" w:space="0" w:color="auto"/>
              <w:left w:val="single" w:sz="4" w:space="0" w:color="auto"/>
              <w:bottom w:val="single" w:sz="4" w:space="0" w:color="auto"/>
              <w:right w:val="single" w:sz="4" w:space="0" w:color="auto"/>
            </w:tcBorders>
            <w:hideMark/>
          </w:tcPr>
          <w:p w14:paraId="3CBD0F67" w14:textId="77777777" w:rsidR="003844C3" w:rsidRDefault="003844C3">
            <w:pPr>
              <w:rPr>
                <w:rFonts w:ascii="Calibri" w:hAnsi="Calibri"/>
                <w:sz w:val="22"/>
                <w:szCs w:val="22"/>
              </w:rPr>
            </w:pPr>
            <w:r>
              <w:rPr>
                <w:rFonts w:ascii="Calibri" w:hAnsi="Calibri"/>
                <w:sz w:val="22"/>
                <w:szCs w:val="22"/>
              </w:rPr>
              <w:t>Higher</w:t>
            </w:r>
          </w:p>
        </w:tc>
      </w:tr>
      <w:tr w:rsidR="003844C3" w14:paraId="308F7C85" w14:textId="77777777" w:rsidTr="00AE7162">
        <w:trPr>
          <w:trHeight w:val="132"/>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A839B00" w14:textId="77777777" w:rsidR="003844C3" w:rsidRDefault="003844C3">
            <w:pPr>
              <w:rPr>
                <w:rFonts w:ascii="Calibri" w:hAnsi="Calibri"/>
                <w:b/>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5DE0420" w14:textId="77777777" w:rsidR="003844C3" w:rsidRDefault="003844C3">
            <w:pPr>
              <w:rPr>
                <w:rFonts w:ascii="Calibri" w:hAnsi="Calibri"/>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1511125" w14:textId="77777777" w:rsidR="003844C3" w:rsidRDefault="003844C3">
            <w:pPr>
              <w:rPr>
                <w:rFonts w:ascii="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4E0BAA42" w14:textId="77777777" w:rsidR="003844C3" w:rsidRDefault="003844C3">
            <w:pPr>
              <w:rPr>
                <w:rFonts w:ascii="Calibri" w:hAnsi="Calibri"/>
                <w:sz w:val="22"/>
                <w:szCs w:val="22"/>
              </w:rPr>
            </w:pPr>
            <w:r>
              <w:rPr>
                <w:rFonts w:ascii="Calibri" w:hAnsi="Calibri"/>
                <w:sz w:val="22"/>
                <w:szCs w:val="22"/>
              </w:rPr>
              <w:t>Lower</w:t>
            </w:r>
          </w:p>
        </w:tc>
      </w:tr>
      <w:tr w:rsidR="003844C3" w14:paraId="338D45AF" w14:textId="77777777" w:rsidTr="00AE7162">
        <w:trPr>
          <w:trHeight w:val="132"/>
        </w:trPr>
        <w:tc>
          <w:tcPr>
            <w:tcW w:w="1350" w:type="dxa"/>
            <w:vMerge w:val="restart"/>
            <w:tcBorders>
              <w:top w:val="single" w:sz="4" w:space="0" w:color="auto"/>
              <w:left w:val="single" w:sz="4" w:space="0" w:color="auto"/>
              <w:bottom w:val="single" w:sz="4" w:space="0" w:color="auto"/>
              <w:right w:val="single" w:sz="4" w:space="0" w:color="auto"/>
            </w:tcBorders>
            <w:hideMark/>
          </w:tcPr>
          <w:p w14:paraId="0BA8CC4B" w14:textId="77777777" w:rsidR="003844C3" w:rsidRDefault="003844C3">
            <w:pPr>
              <w:rPr>
                <w:rFonts w:ascii="Calibri" w:hAnsi="Calibri"/>
                <w:b/>
                <w:sz w:val="22"/>
                <w:szCs w:val="22"/>
              </w:rPr>
            </w:pPr>
            <w:r>
              <w:rPr>
                <w:rFonts w:ascii="Calibri" w:hAnsi="Calibri"/>
                <w:b/>
                <w:sz w:val="22"/>
                <w:szCs w:val="22"/>
              </w:rPr>
              <w:t>Group 11 &amp; 12</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5B201C8" w14:textId="77777777" w:rsidR="003844C3" w:rsidRDefault="003844C3">
            <w:pPr>
              <w:rPr>
                <w:rFonts w:ascii="Calibri" w:hAnsi="Calibri"/>
                <w:sz w:val="22"/>
                <w:szCs w:val="22"/>
              </w:rPr>
            </w:pPr>
          </w:p>
        </w:tc>
        <w:tc>
          <w:tcPr>
            <w:tcW w:w="2880" w:type="dxa"/>
            <w:vMerge w:val="restart"/>
            <w:tcBorders>
              <w:top w:val="single" w:sz="4" w:space="0" w:color="auto"/>
              <w:left w:val="single" w:sz="4" w:space="0" w:color="auto"/>
              <w:bottom w:val="single" w:sz="4" w:space="0" w:color="auto"/>
              <w:right w:val="single" w:sz="4" w:space="0" w:color="auto"/>
            </w:tcBorders>
            <w:hideMark/>
          </w:tcPr>
          <w:p w14:paraId="78FB39C2" w14:textId="77777777" w:rsidR="003844C3" w:rsidRDefault="003844C3">
            <w:pPr>
              <w:rPr>
                <w:rFonts w:ascii="Calibri" w:hAnsi="Calibri"/>
                <w:sz w:val="22"/>
                <w:szCs w:val="22"/>
              </w:rPr>
            </w:pPr>
            <w:r>
              <w:rPr>
                <w:rFonts w:ascii="Calibri" w:hAnsi="Calibri"/>
                <w:sz w:val="22"/>
                <w:szCs w:val="22"/>
              </w:rPr>
              <w:t>Without any children in household</w:t>
            </w:r>
          </w:p>
        </w:tc>
        <w:tc>
          <w:tcPr>
            <w:tcW w:w="1890" w:type="dxa"/>
            <w:tcBorders>
              <w:top w:val="single" w:sz="4" w:space="0" w:color="auto"/>
              <w:left w:val="single" w:sz="4" w:space="0" w:color="auto"/>
              <w:bottom w:val="single" w:sz="4" w:space="0" w:color="auto"/>
              <w:right w:val="single" w:sz="4" w:space="0" w:color="auto"/>
            </w:tcBorders>
            <w:hideMark/>
          </w:tcPr>
          <w:p w14:paraId="58E3BB17" w14:textId="77777777" w:rsidR="003844C3" w:rsidRDefault="003844C3">
            <w:pPr>
              <w:rPr>
                <w:rFonts w:ascii="Calibri" w:hAnsi="Calibri"/>
                <w:sz w:val="22"/>
                <w:szCs w:val="22"/>
              </w:rPr>
            </w:pPr>
            <w:r>
              <w:rPr>
                <w:rFonts w:ascii="Calibri" w:hAnsi="Calibri"/>
                <w:sz w:val="22"/>
                <w:szCs w:val="22"/>
              </w:rPr>
              <w:t>Higher</w:t>
            </w:r>
          </w:p>
        </w:tc>
      </w:tr>
      <w:tr w:rsidR="003844C3" w14:paraId="547D1132" w14:textId="77777777" w:rsidTr="00AE7162">
        <w:trPr>
          <w:trHeight w:val="132"/>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DB72CBB" w14:textId="77777777" w:rsidR="003844C3" w:rsidRDefault="003844C3">
            <w:pPr>
              <w:rPr>
                <w:rFonts w:ascii="Calibri" w:hAnsi="Calibri"/>
                <w:b/>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73BD9D4" w14:textId="77777777" w:rsidR="003844C3" w:rsidRDefault="003844C3">
            <w:pPr>
              <w:rPr>
                <w:rFonts w:ascii="Calibri" w:hAnsi="Calibri"/>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E204FF7" w14:textId="77777777" w:rsidR="003844C3" w:rsidRDefault="003844C3">
            <w:pPr>
              <w:rPr>
                <w:rFonts w:ascii="Calibri" w:hAnsi="Calibri"/>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14:paraId="58A8882D" w14:textId="77777777" w:rsidR="003844C3" w:rsidRDefault="003844C3">
            <w:pPr>
              <w:rPr>
                <w:rFonts w:ascii="Calibri" w:hAnsi="Calibri"/>
                <w:sz w:val="22"/>
                <w:szCs w:val="22"/>
              </w:rPr>
            </w:pPr>
            <w:r>
              <w:rPr>
                <w:rFonts w:ascii="Calibri" w:hAnsi="Calibri"/>
                <w:sz w:val="22"/>
                <w:szCs w:val="22"/>
              </w:rPr>
              <w:t>Lower</w:t>
            </w:r>
          </w:p>
        </w:tc>
      </w:tr>
    </w:tbl>
    <w:p w14:paraId="5D0985C0" w14:textId="77777777" w:rsidR="003844C3" w:rsidRDefault="003844C3" w:rsidP="003844C3">
      <w:pPr>
        <w:rPr>
          <w:rFonts w:ascii="Calibri" w:hAnsi="Calibri"/>
          <w:sz w:val="22"/>
          <w:szCs w:val="22"/>
        </w:rPr>
      </w:pPr>
    </w:p>
    <w:p w14:paraId="515D07BE" w14:textId="77777777" w:rsidR="003844C3" w:rsidRDefault="003844C3" w:rsidP="003844C3">
      <w:pPr>
        <w:rPr>
          <w:rFonts w:ascii="Calibri" w:hAnsi="Calibri"/>
          <w:sz w:val="22"/>
          <w:szCs w:val="22"/>
        </w:rPr>
      </w:pPr>
      <w:r>
        <w:rPr>
          <w:rFonts w:ascii="Calibri" w:hAnsi="Calibri"/>
          <w:sz w:val="22"/>
          <w:szCs w:val="22"/>
        </w:rPr>
        <w:t>*Proposed locations are subject to change.</w:t>
      </w:r>
    </w:p>
    <w:p w14:paraId="78FEDA90" w14:textId="77777777" w:rsidR="003844C3" w:rsidRDefault="003844C3" w:rsidP="003844C3">
      <w:pPr>
        <w:rPr>
          <w:rFonts w:ascii="Calibri" w:hAnsi="Calibri"/>
          <w:sz w:val="22"/>
          <w:szCs w:val="22"/>
        </w:rPr>
      </w:pPr>
    </w:p>
    <w:p w14:paraId="35315436" w14:textId="5480846E" w:rsidR="003F1C7A" w:rsidRPr="00E215FA" w:rsidRDefault="003F1C7A" w:rsidP="00371213">
      <w:pPr>
        <w:pStyle w:val="ListParagraph"/>
        <w:numPr>
          <w:ilvl w:val="0"/>
          <w:numId w:val="15"/>
        </w:numPr>
        <w:tabs>
          <w:tab w:val="clear" w:pos="1296"/>
          <w:tab w:val="num" w:pos="720"/>
        </w:tabs>
        <w:spacing w:after="120"/>
        <w:ind w:left="720"/>
      </w:pPr>
      <w:r w:rsidRPr="00371213">
        <w:rPr>
          <w:b/>
        </w:rPr>
        <w:t xml:space="preserve">Date(s) </w:t>
      </w:r>
      <w:r w:rsidR="009404FA" w:rsidRPr="00371213">
        <w:rPr>
          <w:b/>
        </w:rPr>
        <w:t xml:space="preserve">to be conducted </w:t>
      </w:r>
      <w:r w:rsidRPr="00371213">
        <w:rPr>
          <w:b/>
        </w:rPr>
        <w:t>and location(s)</w:t>
      </w:r>
      <w:r w:rsidR="0049419A" w:rsidRPr="00371213">
        <w:rPr>
          <w:b/>
        </w:rPr>
        <w:t>:</w:t>
      </w:r>
      <w:r w:rsidRPr="00371213">
        <w:rPr>
          <w:b/>
        </w:rPr>
        <w:t xml:space="preserve">  </w:t>
      </w:r>
    </w:p>
    <w:p w14:paraId="40787994" w14:textId="0C96BB5F" w:rsidR="00862EEA" w:rsidRDefault="00B63756" w:rsidP="00AE7162">
      <w:pPr>
        <w:spacing w:after="120"/>
        <w:ind w:left="720"/>
      </w:pPr>
      <w:r>
        <w:t>The</w:t>
      </w:r>
      <w:r w:rsidR="00862EEA">
        <w:t xml:space="preserve"> focus groups will be</w:t>
      </w:r>
      <w:r w:rsidR="00862EEA" w:rsidRPr="00217B5D">
        <w:t xml:space="preserve"> </w:t>
      </w:r>
      <w:r w:rsidR="00862EEA">
        <w:t>conducted in one city in each of</w:t>
      </w:r>
      <w:r w:rsidR="001813AB">
        <w:t xml:space="preserve"> three</w:t>
      </w:r>
      <w:r w:rsidR="00862EEA">
        <w:t xml:space="preserve"> different geographic regions: Bethesda, MD (Metropolitan DC); </w:t>
      </w:r>
      <w:r>
        <w:t>Raleigh</w:t>
      </w:r>
      <w:r w:rsidR="00862EEA">
        <w:t xml:space="preserve"> (</w:t>
      </w:r>
      <w:r>
        <w:t xml:space="preserve">Southern </w:t>
      </w:r>
      <w:r w:rsidR="00862EEA">
        <w:t xml:space="preserve">East Coast); and </w:t>
      </w:r>
      <w:r>
        <w:t xml:space="preserve">Portland, OR </w:t>
      </w:r>
      <w:r w:rsidR="00862EEA">
        <w:t xml:space="preserve">(West Coast).  Four groups will be conducted in each location for a total of </w:t>
      </w:r>
      <w:r>
        <w:t>12</w:t>
      </w:r>
      <w:r w:rsidR="00862EEA">
        <w:t xml:space="preserve"> focus groups. </w:t>
      </w:r>
      <w:r w:rsidR="00F34CB2">
        <w:t xml:space="preserve"> </w:t>
      </w:r>
      <w:r w:rsidR="00862EEA">
        <w:t xml:space="preserve">Focus groups will begin in </w:t>
      </w:r>
      <w:r w:rsidR="00CF6D64">
        <w:t>April</w:t>
      </w:r>
      <w:r w:rsidR="00862EEA">
        <w:t xml:space="preserve"> </w:t>
      </w:r>
      <w:r w:rsidR="003E4CB8">
        <w:t>201</w:t>
      </w:r>
      <w:r>
        <w:t>9</w:t>
      </w:r>
      <w:r w:rsidR="003E4CB8">
        <w:t>, approximately</w:t>
      </w:r>
      <w:r w:rsidR="00862EEA" w:rsidRPr="00B32157">
        <w:t xml:space="preserve"> </w:t>
      </w:r>
      <w:r w:rsidR="001813AB">
        <w:t>four</w:t>
      </w:r>
      <w:r w:rsidR="00862EEA">
        <w:t xml:space="preserve"> weeks</w:t>
      </w:r>
      <w:r w:rsidR="00862EEA" w:rsidRPr="00B32157">
        <w:t xml:space="preserve"> from the date of OMB approval.</w:t>
      </w:r>
      <w:r w:rsidR="00862EEA">
        <w:t xml:space="preserve"> </w:t>
      </w:r>
      <w:r w:rsidR="00F34CB2">
        <w:t xml:space="preserve"> </w:t>
      </w:r>
      <w:r w:rsidR="00862EEA">
        <w:t xml:space="preserve">Three urban locations were selected </w:t>
      </w:r>
      <w:r w:rsidR="003E4CB8">
        <w:t>based on</w:t>
      </w:r>
      <w:r w:rsidR="00862EEA">
        <w:t xml:space="preserve"> the demographic diversity of the local population; the presence of a large population, which will contribute to recruitment success; and the availability of professional focus group facilities that have a proven track record of successful recruiting. </w:t>
      </w:r>
      <w:r>
        <w:t xml:space="preserve"> </w:t>
      </w:r>
      <w:r w:rsidR="007E26EE">
        <w:t>All selected</w:t>
      </w:r>
      <w:r w:rsidR="00862EEA">
        <w:t xml:space="preserve"> cities have professional focus group facilities and a large enough population to ensure recruitment success. </w:t>
      </w:r>
    </w:p>
    <w:p w14:paraId="68DCF410" w14:textId="77777777" w:rsidR="00190AA2" w:rsidRDefault="00190AA2" w:rsidP="007425FE">
      <w:pPr>
        <w:ind w:left="360"/>
      </w:pPr>
    </w:p>
    <w:p w14:paraId="7F8BE6B8" w14:textId="050D63A8" w:rsidR="00E26798" w:rsidRDefault="007E26EE" w:rsidP="00D921D6">
      <w:pPr>
        <w:numPr>
          <w:ilvl w:val="0"/>
          <w:numId w:val="15"/>
        </w:numPr>
        <w:tabs>
          <w:tab w:val="clear" w:pos="1296"/>
          <w:tab w:val="num" w:pos="720"/>
        </w:tabs>
        <w:spacing w:after="120"/>
        <w:ind w:left="720"/>
      </w:pPr>
      <w:r>
        <w:rPr>
          <w:b/>
        </w:rPr>
        <w:t>How the i</w:t>
      </w:r>
      <w:r w:rsidR="00140A0D">
        <w:rPr>
          <w:b/>
        </w:rPr>
        <w:t>nformation is being collected</w:t>
      </w:r>
      <w:r w:rsidR="0049419A">
        <w:rPr>
          <w:b/>
        </w:rPr>
        <w:t>:</w:t>
      </w:r>
    </w:p>
    <w:p w14:paraId="351F2A0A" w14:textId="77777777" w:rsidR="00862EEA" w:rsidRPr="003E4CB8" w:rsidRDefault="00862EEA" w:rsidP="00AE7162">
      <w:pPr>
        <w:spacing w:after="120"/>
        <w:ind w:firstLine="720"/>
        <w:rPr>
          <w:u w:val="single"/>
        </w:rPr>
      </w:pPr>
      <w:r w:rsidRPr="003E4CB8">
        <w:rPr>
          <w:u w:val="single"/>
        </w:rPr>
        <w:t>Recruitment Information</w:t>
      </w:r>
    </w:p>
    <w:p w14:paraId="079C8B97" w14:textId="3050387E" w:rsidR="00862EEA" w:rsidRDefault="00862EEA" w:rsidP="00AE7162">
      <w:pPr>
        <w:spacing w:after="120"/>
        <w:ind w:left="720"/>
      </w:pPr>
      <w:r>
        <w:t>All recruitment will be conducted by a local professional focus group facility</w:t>
      </w:r>
      <w:r w:rsidR="00BA0ABE">
        <w:t>,</w:t>
      </w:r>
      <w:r>
        <w:t xml:space="preserve"> which will enable us to meet the criteria described in section 3, above.</w:t>
      </w:r>
      <w:r w:rsidR="00F34CB2">
        <w:t xml:space="preserve"> </w:t>
      </w:r>
    </w:p>
    <w:p w14:paraId="1BA3DE0C" w14:textId="5E9D46B5" w:rsidR="00862EEA" w:rsidRPr="00B32157" w:rsidRDefault="00862EEA" w:rsidP="00AE7162">
      <w:pPr>
        <w:ind w:left="720"/>
      </w:pPr>
      <w:r>
        <w:t xml:space="preserve">In all </w:t>
      </w:r>
      <w:r w:rsidR="006757DD">
        <w:t xml:space="preserve">three </w:t>
      </w:r>
      <w:r>
        <w:t xml:space="preserve">cities, </w:t>
      </w:r>
      <w:r w:rsidRPr="00B32157">
        <w:t>facilit</w:t>
      </w:r>
      <w:r>
        <w:t xml:space="preserve">y </w:t>
      </w:r>
      <w:r w:rsidRPr="00B32157">
        <w:t xml:space="preserve">staff will provide all necessary information and instructions to ensure participants arrive at the proper location on the agreed upon date and time. </w:t>
      </w:r>
      <w:r w:rsidR="00F34CB2">
        <w:t xml:space="preserve"> </w:t>
      </w:r>
      <w:r>
        <w:t>They</w:t>
      </w:r>
      <w:r w:rsidRPr="00B32157">
        <w:t xml:space="preserve"> will conduct recruitment and ensure that the needed number of participants show up for their scheduled time slot. </w:t>
      </w:r>
      <w:r w:rsidR="00F34CB2">
        <w:t xml:space="preserve"> </w:t>
      </w:r>
      <w:r w:rsidRPr="00B32157">
        <w:t>The facilities will send confirmation and reminder correspondences to recruited participants to help ensure attendance.</w:t>
      </w:r>
    </w:p>
    <w:p w14:paraId="788A430E" w14:textId="77777777" w:rsidR="00862EEA" w:rsidRDefault="00862EEA" w:rsidP="007425FE">
      <w:pPr>
        <w:spacing w:after="120"/>
        <w:rPr>
          <w:u w:val="single"/>
        </w:rPr>
      </w:pPr>
    </w:p>
    <w:p w14:paraId="6B3B61FA" w14:textId="77777777" w:rsidR="00862EEA" w:rsidRPr="00B32157" w:rsidRDefault="00862EEA" w:rsidP="00AE7162">
      <w:pPr>
        <w:spacing w:after="120"/>
        <w:ind w:left="360" w:firstLine="360"/>
        <w:rPr>
          <w:u w:val="single"/>
        </w:rPr>
      </w:pPr>
      <w:r w:rsidRPr="00B32157">
        <w:rPr>
          <w:u w:val="single"/>
        </w:rPr>
        <w:t>Focus Group Discussions</w:t>
      </w:r>
    </w:p>
    <w:p w14:paraId="602A9141" w14:textId="01157B57" w:rsidR="007C0F20" w:rsidRDefault="00862EEA" w:rsidP="00AE7162">
      <w:pPr>
        <w:spacing w:after="120"/>
        <w:ind w:left="720"/>
      </w:pPr>
      <w:r>
        <w:t xml:space="preserve">A </w:t>
      </w:r>
      <w:r w:rsidR="00A56F16">
        <w:t>RTI</w:t>
      </w:r>
      <w:r>
        <w:t xml:space="preserve"> senior social science researcher will </w:t>
      </w:r>
      <w:r w:rsidRPr="00B32157">
        <w:t xml:space="preserve">serve as </w:t>
      </w:r>
      <w:r>
        <w:t xml:space="preserve">a </w:t>
      </w:r>
      <w:r w:rsidRPr="00B32157">
        <w:t>moderator for all focus groups</w:t>
      </w:r>
      <w:r>
        <w:t xml:space="preserve">. </w:t>
      </w:r>
      <w:r w:rsidR="00F34CB2">
        <w:t xml:space="preserve"> </w:t>
      </w:r>
      <w:r>
        <w:t>Prior to beginning each discussion, the moderator will review the informed consent form (Appendix II) and have all participants sign and date one copy.</w:t>
      </w:r>
      <w:r w:rsidR="00F34CB2">
        <w:t xml:space="preserve"> </w:t>
      </w:r>
      <w:r>
        <w:t xml:space="preserve"> The moderator will then use the </w:t>
      </w:r>
      <w:r w:rsidRPr="00B32157">
        <w:t>attached moderator</w:t>
      </w:r>
      <w:r w:rsidR="007C0F20">
        <w:t>’s</w:t>
      </w:r>
      <w:r w:rsidRPr="00B32157">
        <w:t xml:space="preserve"> guide (</w:t>
      </w:r>
      <w:r w:rsidRPr="003E4CB8">
        <w:t>Appendix I</w:t>
      </w:r>
      <w:r w:rsidR="001813AB">
        <w:t>II</w:t>
      </w:r>
      <w:r w:rsidRPr="00B32157">
        <w:t>) to ensure that all relev</w:t>
      </w:r>
      <w:r>
        <w:t>ant topic areas are addressed.</w:t>
      </w:r>
      <w:r w:rsidRPr="00B32157">
        <w:t xml:space="preserve"> </w:t>
      </w:r>
    </w:p>
    <w:p w14:paraId="5C1357EF" w14:textId="58F175DF" w:rsidR="00862EEA" w:rsidRPr="00B32157" w:rsidRDefault="00862EEA" w:rsidP="00AE7162">
      <w:pPr>
        <w:spacing w:after="120"/>
        <w:ind w:left="720"/>
      </w:pPr>
      <w:r>
        <w:t xml:space="preserve">Prior to beginning the discussion, the moderator will ensure that the </w:t>
      </w:r>
      <w:r w:rsidRPr="00B32157">
        <w:t xml:space="preserve">FDA </w:t>
      </w:r>
      <w:r>
        <w:t>project director and other members of this initiative may</w:t>
      </w:r>
      <w:r w:rsidRPr="00B32157">
        <w:t xml:space="preserve"> observe </w:t>
      </w:r>
      <w:r w:rsidR="003E4CB8" w:rsidRPr="00B32157">
        <w:t>all</w:t>
      </w:r>
      <w:r w:rsidRPr="00B32157">
        <w:t xml:space="preserve"> the sessions</w:t>
      </w:r>
      <w:r>
        <w:t xml:space="preserve"> either </w:t>
      </w:r>
      <w:r w:rsidRPr="00B32157">
        <w:t xml:space="preserve">from the observation rooms at the focus group facilities or remotely using streaming </w:t>
      </w:r>
      <w:r>
        <w:t xml:space="preserve">video </w:t>
      </w:r>
      <w:r w:rsidRPr="00B32157">
        <w:t>technology.</w:t>
      </w:r>
      <w:r>
        <w:t xml:space="preserve"> </w:t>
      </w:r>
      <w:r w:rsidR="00F34CB2">
        <w:t xml:space="preserve"> </w:t>
      </w:r>
      <w:r>
        <w:t xml:space="preserve">The streaming technology vendor will make both audio and video recordings of each group, as well as provide a near-verbatim transcript of each discussion, to ensure that participants’ views and opinions are accurately captured. </w:t>
      </w:r>
      <w:r w:rsidR="00F34CB2">
        <w:t xml:space="preserve"> </w:t>
      </w:r>
      <w:r>
        <w:t>These transcripts will form the basis of the data analysis.</w:t>
      </w:r>
    </w:p>
    <w:p w14:paraId="6D21462F" w14:textId="3D32B794" w:rsidR="00B41EDC" w:rsidRDefault="00A56F16" w:rsidP="00AE7162">
      <w:pPr>
        <w:ind w:left="720"/>
      </w:pPr>
      <w:r>
        <w:t>RTI</w:t>
      </w:r>
      <w:r w:rsidR="00862EEA">
        <w:t xml:space="preserve"> and all contracted vendors (e.g., focus group facilities, streaming video vendor)</w:t>
      </w:r>
      <w:r w:rsidR="00862EEA" w:rsidRPr="00B32157">
        <w:t xml:space="preserve"> will comply with safeguards for ensuring participant information is kept </w:t>
      </w:r>
      <w:r w:rsidR="00FB5F97">
        <w:t>secure</w:t>
      </w:r>
      <w:r w:rsidR="00FB5F97" w:rsidRPr="00B32157">
        <w:t xml:space="preserve"> </w:t>
      </w:r>
      <w:r w:rsidR="00862EEA" w:rsidRPr="00B32157">
        <w:t>to the extent permitted by law.</w:t>
      </w:r>
      <w:r w:rsidR="00F34CB2">
        <w:t xml:space="preserve"> </w:t>
      </w:r>
      <w:r w:rsidR="00862EEA" w:rsidRPr="00B32157">
        <w:t xml:space="preserve"> The last names of the participants will not appear on any focus group materials. </w:t>
      </w:r>
      <w:r w:rsidR="00F34CB2">
        <w:t xml:space="preserve"> </w:t>
      </w:r>
      <w:r w:rsidR="00862EEA" w:rsidRPr="00B32157">
        <w:t>Verbatim quotes included in the final report will not be attributed to any individual.</w:t>
      </w:r>
    </w:p>
    <w:p w14:paraId="34902D25" w14:textId="5CD71290" w:rsidR="00B41EDC" w:rsidRDefault="00B41EDC"/>
    <w:p w14:paraId="6525A6A8" w14:textId="77777777" w:rsidR="003F1C7A" w:rsidRPr="00E215FA" w:rsidRDefault="003F1C7A" w:rsidP="007425FE">
      <w:pPr>
        <w:numPr>
          <w:ilvl w:val="0"/>
          <w:numId w:val="15"/>
        </w:numPr>
        <w:tabs>
          <w:tab w:val="clear" w:pos="1296"/>
          <w:tab w:val="num" w:pos="720"/>
        </w:tabs>
        <w:spacing w:after="120"/>
        <w:ind w:left="720"/>
      </w:pPr>
      <w:r w:rsidRPr="00E26798">
        <w:rPr>
          <w:b/>
        </w:rPr>
        <w:t>Number of focus groups</w:t>
      </w:r>
      <w:r w:rsidR="0049419A">
        <w:rPr>
          <w:b/>
        </w:rPr>
        <w:t>:</w:t>
      </w:r>
    </w:p>
    <w:p w14:paraId="70777935" w14:textId="4C42D232" w:rsidR="007A4331" w:rsidRDefault="002618CB" w:rsidP="00AE7162">
      <w:pPr>
        <w:ind w:left="720"/>
      </w:pPr>
      <w:r>
        <w:t>Twe</w:t>
      </w:r>
      <w:r w:rsidR="006757DD">
        <w:t>lve</w:t>
      </w:r>
      <w:r w:rsidR="00D314ED">
        <w:t xml:space="preserve"> focus groups</w:t>
      </w:r>
      <w:r w:rsidR="00BA0ABE">
        <w:t>, each with</w:t>
      </w:r>
      <w:r w:rsidR="00865D86">
        <w:t xml:space="preserve"> 8 to 10 participants</w:t>
      </w:r>
      <w:r w:rsidR="00BA0ABE">
        <w:t>,</w:t>
      </w:r>
      <w:r w:rsidR="00865D86">
        <w:t xml:space="preserve"> </w:t>
      </w:r>
      <w:r w:rsidR="00D314ED">
        <w:t>will be conducted.</w:t>
      </w:r>
      <w:r w:rsidR="007A007D">
        <w:t xml:space="preserve"> </w:t>
      </w:r>
      <w:r w:rsidR="00E8427E">
        <w:t xml:space="preserve"> </w:t>
      </w:r>
      <w:r w:rsidR="00B87084" w:rsidRPr="00B87084">
        <w:t>We recruit 12 participants per group</w:t>
      </w:r>
      <w:r w:rsidR="00B87084">
        <w:t xml:space="preserve">.  We will </w:t>
      </w:r>
      <w:r w:rsidR="00B87084" w:rsidRPr="00B87084">
        <w:t>only select 8-10 to participate in the discussion</w:t>
      </w:r>
      <w:r w:rsidR="00B87084">
        <w:t xml:space="preserve"> and the remaining participants will be dismissed</w:t>
      </w:r>
      <w:r w:rsidR="00B87084" w:rsidRPr="00B87084">
        <w:t>.</w:t>
      </w:r>
    </w:p>
    <w:p w14:paraId="3271E1F6" w14:textId="77777777" w:rsidR="0049419A" w:rsidRDefault="0049419A">
      <w:pPr>
        <w:ind w:left="720"/>
      </w:pPr>
    </w:p>
    <w:p w14:paraId="55F67002" w14:textId="77777777" w:rsidR="008148A8" w:rsidRDefault="0049419A" w:rsidP="007425FE">
      <w:pPr>
        <w:numPr>
          <w:ilvl w:val="0"/>
          <w:numId w:val="15"/>
        </w:numPr>
        <w:tabs>
          <w:tab w:val="clear" w:pos="1296"/>
          <w:tab w:val="num" w:pos="720"/>
        </w:tabs>
        <w:spacing w:after="120"/>
        <w:ind w:left="720"/>
        <w:rPr>
          <w:b/>
        </w:rPr>
      </w:pPr>
      <w:r>
        <w:rPr>
          <w:b/>
        </w:rPr>
        <w:t>Amount and justification for any proposed incentive:</w:t>
      </w:r>
      <w:r w:rsidR="003F1C7A">
        <w:t xml:space="preserve"> </w:t>
      </w:r>
    </w:p>
    <w:p w14:paraId="6A33EE2A" w14:textId="2A8A2B1C" w:rsidR="008148A8" w:rsidRDefault="008148A8" w:rsidP="00AE7162">
      <w:pPr>
        <w:ind w:left="720"/>
        <w:rPr>
          <w:b/>
        </w:rPr>
      </w:pPr>
      <w:r>
        <w:t xml:space="preserve">To prepare </w:t>
      </w:r>
      <w:r w:rsidRPr="00336FCF">
        <w:t xml:space="preserve">for these focus groups, </w:t>
      </w:r>
      <w:r>
        <w:t xml:space="preserve">we </w:t>
      </w:r>
      <w:r w:rsidRPr="00336FCF">
        <w:t>consulted with facilities that host focus groups to deter</w:t>
      </w:r>
      <w:r>
        <w:t>mine incentive rates.</w:t>
      </w:r>
      <w:r w:rsidR="00F34CB2">
        <w:t xml:space="preserve"> </w:t>
      </w:r>
      <w:r>
        <w:t xml:space="preserve"> Based on these consultations</w:t>
      </w:r>
      <w:r w:rsidRPr="00336FCF">
        <w:t xml:space="preserve">, we propose </w:t>
      </w:r>
      <w:r w:rsidR="00950C6C">
        <w:t>offering</w:t>
      </w:r>
      <w:r w:rsidRPr="00336FCF">
        <w:t xml:space="preserve"> </w:t>
      </w:r>
      <w:r w:rsidRPr="006757DD">
        <w:t>$</w:t>
      </w:r>
      <w:r w:rsidR="006757DD">
        <w:t>75</w:t>
      </w:r>
      <w:r w:rsidR="00C55A5F" w:rsidRPr="00336FCF">
        <w:t xml:space="preserve"> </w:t>
      </w:r>
      <w:r w:rsidR="007923B4">
        <w:t xml:space="preserve">to show a token of our appreciation </w:t>
      </w:r>
      <w:r w:rsidR="004063F4">
        <w:t xml:space="preserve">to </w:t>
      </w:r>
      <w:r w:rsidR="002618CB">
        <w:t xml:space="preserve">participants. </w:t>
      </w:r>
      <w:r w:rsidR="00F34CB2">
        <w:t xml:space="preserve"> </w:t>
      </w:r>
      <w:r w:rsidR="002618CB">
        <w:t>The</w:t>
      </w:r>
      <w:r>
        <w:t xml:space="preserve"> incentives </w:t>
      </w:r>
      <w:r w:rsidR="00365B86">
        <w:t>will</w:t>
      </w:r>
      <w:r w:rsidRPr="00336FCF">
        <w:t xml:space="preserve"> ensure that we are able to attract a reasonable cross</w:t>
      </w:r>
      <w:r>
        <w:t xml:space="preserve"> </w:t>
      </w:r>
      <w:r w:rsidRPr="00336FCF">
        <w:t>section of participants</w:t>
      </w:r>
      <w:r>
        <w:t xml:space="preserve"> who meet our screening requirements to participate in </w:t>
      </w:r>
      <w:r w:rsidR="00365B86">
        <w:t>the focus groups.</w:t>
      </w:r>
    </w:p>
    <w:p w14:paraId="6544C19C" w14:textId="77777777" w:rsidR="008148A8" w:rsidRDefault="008148A8" w:rsidP="00AE7162">
      <w:pPr>
        <w:ind w:left="720"/>
        <w:rPr>
          <w:b/>
        </w:rPr>
      </w:pPr>
    </w:p>
    <w:p w14:paraId="19C45D48" w14:textId="4BADEDDE" w:rsidR="00A23469" w:rsidRPr="008148A8" w:rsidRDefault="00A23469" w:rsidP="00AE7162">
      <w:pPr>
        <w:ind w:left="720"/>
        <w:rPr>
          <w:b/>
        </w:rPr>
      </w:pPr>
      <w:r w:rsidRPr="00336FCF">
        <w:t xml:space="preserve">Our experience in conducting focus group research indicates that offering </w:t>
      </w:r>
      <w:r>
        <w:t xml:space="preserve">nonmonetary incentives or </w:t>
      </w:r>
      <w:r w:rsidRPr="00336FCF">
        <w:t>an incentive that is below the</w:t>
      </w:r>
      <w:r w:rsidR="00865D86">
        <w:t xml:space="preserve"> commonly</w:t>
      </w:r>
      <w:r w:rsidRPr="00336FCF">
        <w:t xml:space="preserve"> accepted rate will result in increased costs that exceed the amount saved on a reduced incentive. </w:t>
      </w:r>
      <w:r w:rsidR="00F34CB2">
        <w:t xml:space="preserve"> </w:t>
      </w:r>
      <w:r w:rsidRPr="00336FCF">
        <w:t>The consequences of an insufficient in</w:t>
      </w:r>
      <w:r>
        <w:t>centive include the following:</w:t>
      </w:r>
    </w:p>
    <w:p w14:paraId="1D3B644E" w14:textId="77777777" w:rsidR="00A23469" w:rsidRPr="00336FCF" w:rsidRDefault="00A23469" w:rsidP="007425FE">
      <w:pPr>
        <w:ind w:left="720"/>
      </w:pPr>
    </w:p>
    <w:p w14:paraId="0A83D350" w14:textId="0C3DC6F0" w:rsidR="00F75BE7" w:rsidRDefault="00A23469" w:rsidP="00D921D6">
      <w:pPr>
        <w:numPr>
          <w:ilvl w:val="0"/>
          <w:numId w:val="22"/>
        </w:numPr>
        <w:contextualSpacing/>
      </w:pPr>
      <w:r w:rsidRPr="00336FCF">
        <w:t>Increased time and cost of recruitment</w:t>
      </w:r>
      <w:r w:rsidR="00843019">
        <w:t>;</w:t>
      </w:r>
    </w:p>
    <w:p w14:paraId="7E4E68C5" w14:textId="288A6EBD" w:rsidR="00F75BE7" w:rsidRDefault="00A23469" w:rsidP="00843019">
      <w:pPr>
        <w:numPr>
          <w:ilvl w:val="0"/>
          <w:numId w:val="22"/>
        </w:numPr>
        <w:contextualSpacing/>
      </w:pPr>
      <w:r w:rsidRPr="00336FCF">
        <w:t>Increased likelihood of “no-shows” (which may result in methodologically unsound focus groups with small numbers of participants</w:t>
      </w:r>
      <w:r w:rsidR="00843019" w:rsidRPr="00336FCF">
        <w:t>)</w:t>
      </w:r>
      <w:r w:rsidR="00843019">
        <w:t>; and</w:t>
      </w:r>
    </w:p>
    <w:p w14:paraId="21163D10" w14:textId="2E5E275D" w:rsidR="00A23469" w:rsidRPr="00336FCF" w:rsidRDefault="00A23469" w:rsidP="00843019">
      <w:pPr>
        <w:numPr>
          <w:ilvl w:val="0"/>
          <w:numId w:val="22"/>
        </w:numPr>
        <w:contextualSpacing/>
      </w:pPr>
      <w:r w:rsidRPr="00336FCF">
        <w:t xml:space="preserve">Increased probability that a focus group may need to be cancelled or postponed </w:t>
      </w:r>
      <w:r w:rsidR="00843019">
        <w:t>because of</w:t>
      </w:r>
      <w:r w:rsidRPr="00336FCF">
        <w:t xml:space="preserve">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14:paraId="6D314D13" w14:textId="77777777" w:rsidR="00A23469" w:rsidRDefault="00A23469">
      <w:pPr>
        <w:pStyle w:val="ListParagraph"/>
      </w:pPr>
    </w:p>
    <w:p w14:paraId="1766CFEF" w14:textId="6A8B347D" w:rsidR="00A23469" w:rsidRDefault="00A23469" w:rsidP="00AE7162">
      <w:pPr>
        <w:pStyle w:val="ListParagraph"/>
      </w:pPr>
      <w:r>
        <w:t xml:space="preserve">Our proposed incentive amount will help ensure that respondents honor their commitment of </w:t>
      </w:r>
      <w:r w:rsidR="004063F4">
        <w:t>participating in the</w:t>
      </w:r>
      <w:r w:rsidR="002618CB">
        <w:t xml:space="preserve"> focus groups. </w:t>
      </w:r>
      <w:r w:rsidR="00F34CB2">
        <w:t xml:space="preserve"> </w:t>
      </w:r>
      <w:r w:rsidR="002618CB">
        <w:t>I</w:t>
      </w:r>
      <w:r w:rsidR="005C6900">
        <w:t>ncentives are</w:t>
      </w:r>
      <w:r w:rsidR="004063F4">
        <w:t xml:space="preserve"> based on </w:t>
      </w:r>
      <w:r w:rsidR="00843019">
        <w:t>(</w:t>
      </w:r>
      <w:r w:rsidR="004063F4">
        <w:t xml:space="preserve">1) </w:t>
      </w:r>
      <w:r>
        <w:t>estimated cost</w:t>
      </w:r>
      <w:r w:rsidR="004063F4">
        <w:t>s</w:t>
      </w:r>
      <w:r>
        <w:t xml:space="preserve"> related to childcare for 3 hours (e.g., approximate travel time to and from facility, time to park a vehicle, check-in and check-out procedures, and the 90-minute focus group discussion), which is approximately $</w:t>
      </w:r>
      <w:r w:rsidR="00C55A5F">
        <w:t>54</w:t>
      </w:r>
      <w:r w:rsidR="005C6900">
        <w:rPr>
          <w:rStyle w:val="FootnoteReference"/>
        </w:rPr>
        <w:footnoteReference w:id="1"/>
      </w:r>
      <w:r>
        <w:t xml:space="preserve">; </w:t>
      </w:r>
      <w:r w:rsidR="00843019">
        <w:t>(</w:t>
      </w:r>
      <w:r>
        <w:t>2) estimated cost for an average driving commute to and from the facility of approximately $</w:t>
      </w:r>
      <w:r w:rsidR="0099381D">
        <w:t>20</w:t>
      </w:r>
      <w:r>
        <w:rPr>
          <w:rStyle w:val="FootnoteReference"/>
        </w:rPr>
        <w:footnoteReference w:id="2"/>
      </w:r>
      <w:r>
        <w:t xml:space="preserve">; and </w:t>
      </w:r>
      <w:r w:rsidR="00843019">
        <w:t>(</w:t>
      </w:r>
      <w:r>
        <w:t>3) our contractor’s and other researchers’ experiences with using nonmonetary incentives, which generally produce participation rates no better than the complete absence of any incentives.</w:t>
      </w:r>
      <w:r>
        <w:rPr>
          <w:rStyle w:val="FootnoteReference"/>
        </w:rPr>
        <w:footnoteReference w:id="3"/>
      </w:r>
      <w:r>
        <w:t xml:space="preserve">  The proposed amount</w:t>
      </w:r>
      <w:r w:rsidR="008148A8">
        <w:t>s are</w:t>
      </w:r>
      <w:r>
        <w:t xml:space="preserve"> comparable to what has been the level of reimbursement for the target audiences in similar government</w:t>
      </w:r>
      <w:r w:rsidR="00862EEA">
        <w:t>-</w:t>
      </w:r>
      <w:r>
        <w:t>funded activities.  As noted above, we expect that lower or nonmonetary incentives will necessitate over-recruitment by higher percentages and</w:t>
      </w:r>
      <w:r w:rsidRPr="008408E6">
        <w:t xml:space="preserve"> </w:t>
      </w:r>
      <w:r>
        <w:t>result in longer recruiting time as well as higher overall project costs.</w:t>
      </w:r>
    </w:p>
    <w:p w14:paraId="445E3F7B" w14:textId="77777777" w:rsidR="006757DD" w:rsidRDefault="006757DD" w:rsidP="007425FE">
      <w:pPr>
        <w:pStyle w:val="ListParagraph"/>
        <w:ind w:left="360"/>
      </w:pPr>
    </w:p>
    <w:p w14:paraId="69DE33FC" w14:textId="77777777" w:rsidR="00140A0D" w:rsidRDefault="00140A0D" w:rsidP="007425FE">
      <w:pPr>
        <w:numPr>
          <w:ilvl w:val="0"/>
          <w:numId w:val="15"/>
        </w:numPr>
        <w:tabs>
          <w:tab w:val="clear" w:pos="1296"/>
          <w:tab w:val="num" w:pos="720"/>
          <w:tab w:val="num" w:pos="900"/>
        </w:tabs>
        <w:spacing w:after="120"/>
        <w:ind w:left="720"/>
        <w:rPr>
          <w:b/>
        </w:rPr>
      </w:pPr>
      <w:r>
        <w:rPr>
          <w:b/>
        </w:rPr>
        <w:t>Questions of a Sensitive Nature:</w:t>
      </w:r>
    </w:p>
    <w:p w14:paraId="0C7D2C08" w14:textId="77777777" w:rsidR="00140A0D" w:rsidRDefault="00D314ED" w:rsidP="00AE7162">
      <w:pPr>
        <w:pStyle w:val="ListParagraph"/>
        <w:ind w:left="0" w:firstLine="720"/>
      </w:pPr>
      <w:r>
        <w:t>There will be no questions of a sensitive nature asked of participants.</w:t>
      </w:r>
    </w:p>
    <w:p w14:paraId="390EEE72" w14:textId="77777777" w:rsidR="00140A0D" w:rsidRDefault="00140A0D" w:rsidP="00140A0D">
      <w:pPr>
        <w:pStyle w:val="ListParagraph"/>
      </w:pPr>
    </w:p>
    <w:p w14:paraId="0CDE6675" w14:textId="77777777" w:rsidR="00140A0D" w:rsidRDefault="00140A0D" w:rsidP="008D2DA3">
      <w:pPr>
        <w:numPr>
          <w:ilvl w:val="0"/>
          <w:numId w:val="15"/>
        </w:numPr>
        <w:tabs>
          <w:tab w:val="clear" w:pos="1296"/>
          <w:tab w:val="num" w:pos="720"/>
          <w:tab w:val="num" w:pos="900"/>
        </w:tabs>
        <w:spacing w:after="120"/>
        <w:ind w:left="720"/>
        <w:rPr>
          <w:b/>
        </w:rPr>
      </w:pPr>
      <w:r>
        <w:rPr>
          <w:b/>
        </w:rPr>
        <w:t>Description of Statistical Methods (</w:t>
      </w:r>
      <w:r w:rsidR="00E971FC">
        <w:rPr>
          <w:b/>
        </w:rPr>
        <w:t xml:space="preserve"> </w:t>
      </w:r>
      <w:r w:rsidR="008D2DA3">
        <w:rPr>
          <w:b/>
        </w:rPr>
        <w:t>i</w:t>
      </w:r>
      <w:r w:rsidR="00E971FC">
        <w:rPr>
          <w:b/>
        </w:rPr>
        <w:t>.</w:t>
      </w:r>
      <w:r w:rsidR="008D2DA3">
        <w:rPr>
          <w:b/>
        </w:rPr>
        <w:t>e</w:t>
      </w:r>
      <w:r w:rsidR="00E971FC">
        <w:rPr>
          <w:b/>
        </w:rPr>
        <w:t>.</w:t>
      </w:r>
      <w:r w:rsidR="00843019">
        <w:rPr>
          <w:b/>
        </w:rPr>
        <w:t>,</w:t>
      </w:r>
      <w:r w:rsidR="00E971FC">
        <w:rPr>
          <w:b/>
        </w:rPr>
        <w:t xml:space="preserve"> </w:t>
      </w:r>
      <w:r>
        <w:rPr>
          <w:b/>
        </w:rPr>
        <w:t xml:space="preserve">Sample Size </w:t>
      </w:r>
      <w:r w:rsidR="008D2DA3">
        <w:rPr>
          <w:b/>
        </w:rPr>
        <w:t>and</w:t>
      </w:r>
      <w:r>
        <w:rPr>
          <w:b/>
        </w:rPr>
        <w:t xml:space="preserve"> Method of Selection):</w:t>
      </w:r>
    </w:p>
    <w:p w14:paraId="4B0D3E37" w14:textId="2FD68C71" w:rsidR="007C0F20" w:rsidRDefault="00AA0BF6" w:rsidP="00AE7162">
      <w:pPr>
        <w:pStyle w:val="ListParagraph"/>
      </w:pPr>
      <w:r>
        <w:t xml:space="preserve">This is a qualitative study using a convenience sample.  It does not entail the use of any statistical methods. </w:t>
      </w:r>
      <w:r w:rsidR="00CF6D64">
        <w:t xml:space="preserve"> </w:t>
      </w:r>
      <w:r w:rsidR="00D314ED">
        <w:t xml:space="preserve">The </w:t>
      </w:r>
      <w:r w:rsidR="00843019">
        <w:t xml:space="preserve">contractor </w:t>
      </w:r>
      <w:r w:rsidR="00D314ED">
        <w:t>will contact prospective participants by telephone and screen them for eligibility to participate (see Appendix I).</w:t>
      </w:r>
      <w:r w:rsidR="00253F8E">
        <w:t xml:space="preserve"> </w:t>
      </w:r>
    </w:p>
    <w:p w14:paraId="5618A829" w14:textId="54D6A5DD" w:rsidR="007C0F20" w:rsidRDefault="007C0F20" w:rsidP="00AE7162">
      <w:pPr>
        <w:pStyle w:val="ListParagraph"/>
      </w:pPr>
    </w:p>
    <w:p w14:paraId="0AF8011E" w14:textId="38906AD2" w:rsidR="00D314ED" w:rsidRDefault="00253F8E" w:rsidP="00AE7162">
      <w:pPr>
        <w:pStyle w:val="ListParagraph"/>
      </w:pPr>
      <w:r w:rsidRPr="00281957">
        <w:rPr>
          <w:color w:val="000000"/>
        </w:rPr>
        <w:t>Suf</w:t>
      </w:r>
      <w:r>
        <w:rPr>
          <w:color w:val="000000"/>
        </w:rPr>
        <w:t>ficient recruits will be screened</w:t>
      </w:r>
      <w:r w:rsidRPr="00281957">
        <w:rPr>
          <w:color w:val="000000"/>
        </w:rPr>
        <w:t xml:space="preserve"> in order to achieve a target of 8-10 participants per group</w:t>
      </w:r>
      <w:r>
        <w:t xml:space="preserve">. </w:t>
      </w:r>
      <w:r w:rsidR="000B306B">
        <w:t xml:space="preserve"> </w:t>
      </w:r>
      <w:r w:rsidR="00D314ED">
        <w:t>To maximize participation rate</w:t>
      </w:r>
      <w:r w:rsidR="00672ADD">
        <w:t>s</w:t>
      </w:r>
      <w:r w:rsidR="00D314ED">
        <w:t xml:space="preserve">, recruiters will </w:t>
      </w:r>
      <w:r w:rsidR="00BF52FF">
        <w:t xml:space="preserve">make at least </w:t>
      </w:r>
      <w:r w:rsidR="00843019">
        <w:t xml:space="preserve">five </w:t>
      </w:r>
      <w:r w:rsidR="00BF52FF">
        <w:t xml:space="preserve">attempts to </w:t>
      </w:r>
      <w:r w:rsidR="00D314ED">
        <w:t xml:space="preserve">contact each potential participant to screen for eligibility and recruit for participation.  Additionally, participants will receive a reminder call and confirmation letter before the groups convene. </w:t>
      </w:r>
    </w:p>
    <w:p w14:paraId="674F95AB" w14:textId="77777777" w:rsidR="00140A0D" w:rsidRDefault="00140A0D" w:rsidP="00140A0D">
      <w:pPr>
        <w:pStyle w:val="ListParagraph"/>
      </w:pPr>
    </w:p>
    <w:p w14:paraId="732D9CAE" w14:textId="77777777" w:rsidR="003F1C7A" w:rsidRDefault="003F1C7A" w:rsidP="00AE7162">
      <w:pPr>
        <w:ind w:left="720"/>
        <w:rPr>
          <w:i/>
        </w:rPr>
      </w:pPr>
      <w:r>
        <w:rPr>
          <w:b/>
        </w:rPr>
        <w:t>BURDEN HOUR COMPUTATION</w:t>
      </w:r>
      <w:r>
        <w:t xml:space="preserve"> </w:t>
      </w:r>
      <w:r>
        <w:rPr>
          <w:i/>
        </w:rPr>
        <w:t>(Number of respon</w:t>
      </w:r>
      <w:r w:rsidR="00736C68">
        <w:rPr>
          <w:i/>
        </w:rPr>
        <w:t>dents</w:t>
      </w:r>
      <w:r w:rsidR="0049419A">
        <w:rPr>
          <w:i/>
        </w:rPr>
        <w:t xml:space="preserve"> </w:t>
      </w:r>
      <w:r>
        <w:rPr>
          <w:i/>
        </w:rPr>
        <w:t>(X) estimated response or participation time in minutes (/60) = annual burden hours):</w:t>
      </w:r>
    </w:p>
    <w:p w14:paraId="37E0BE11" w14:textId="77777777" w:rsidR="003F1C7A" w:rsidRDefault="003F1C7A">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47545977" w14:textId="77777777">
        <w:trPr>
          <w:trHeight w:val="274"/>
          <w:jc w:val="center"/>
        </w:trPr>
        <w:tc>
          <w:tcPr>
            <w:tcW w:w="1996" w:type="dxa"/>
            <w:shd w:val="clear" w:color="auto" w:fill="E0E0E0"/>
          </w:tcPr>
          <w:p w14:paraId="43E85995" w14:textId="77777777" w:rsidR="003F1C7A" w:rsidRDefault="00696B03">
            <w:pPr>
              <w:jc w:val="center"/>
              <w:rPr>
                <w:b/>
              </w:rPr>
            </w:pPr>
            <w:r>
              <w:rPr>
                <w:b/>
              </w:rPr>
              <w:t>Type/</w:t>
            </w:r>
            <w:r w:rsidR="003F1C7A">
              <w:rPr>
                <w:b/>
              </w:rPr>
              <w:t>Category of Respondent</w:t>
            </w:r>
          </w:p>
        </w:tc>
        <w:tc>
          <w:tcPr>
            <w:tcW w:w="3000" w:type="dxa"/>
            <w:shd w:val="clear" w:color="auto" w:fill="E0E0E0"/>
          </w:tcPr>
          <w:p w14:paraId="43C186F0"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72628EE9" w14:textId="77777777"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14:paraId="4A1165CC" w14:textId="77777777" w:rsidR="003F1C7A" w:rsidRDefault="003F1C7A">
            <w:pPr>
              <w:jc w:val="center"/>
              <w:rPr>
                <w:b/>
              </w:rPr>
            </w:pPr>
            <w:r>
              <w:rPr>
                <w:b/>
              </w:rPr>
              <w:t>Burden</w:t>
            </w:r>
          </w:p>
          <w:p w14:paraId="187B2558" w14:textId="77777777" w:rsidR="00696B03" w:rsidRDefault="00696B03">
            <w:pPr>
              <w:jc w:val="center"/>
              <w:rPr>
                <w:b/>
              </w:rPr>
            </w:pPr>
            <w:r>
              <w:rPr>
                <w:b/>
              </w:rPr>
              <w:t>(hours)</w:t>
            </w:r>
          </w:p>
        </w:tc>
      </w:tr>
      <w:tr w:rsidR="00401EA5" w14:paraId="1EB15D6D" w14:textId="77777777">
        <w:trPr>
          <w:trHeight w:val="274"/>
          <w:jc w:val="center"/>
        </w:trPr>
        <w:tc>
          <w:tcPr>
            <w:tcW w:w="1996" w:type="dxa"/>
          </w:tcPr>
          <w:p w14:paraId="09F9026D" w14:textId="77777777" w:rsidR="00401EA5" w:rsidRDefault="00401EA5" w:rsidP="00807C34">
            <w:pPr>
              <w:jc w:val="center"/>
            </w:pPr>
            <w:r>
              <w:t>Screener</w:t>
            </w:r>
          </w:p>
        </w:tc>
        <w:tc>
          <w:tcPr>
            <w:tcW w:w="3000" w:type="dxa"/>
          </w:tcPr>
          <w:p w14:paraId="30DEBB0F" w14:textId="118E66BE" w:rsidR="00401EA5" w:rsidRDefault="00621D77" w:rsidP="00411149">
            <w:pPr>
              <w:jc w:val="center"/>
            </w:pPr>
            <w:r>
              <w:t>480</w:t>
            </w:r>
          </w:p>
        </w:tc>
        <w:tc>
          <w:tcPr>
            <w:tcW w:w="1619" w:type="dxa"/>
          </w:tcPr>
          <w:p w14:paraId="6BBAEF69" w14:textId="77777777" w:rsidR="00401EA5" w:rsidRDefault="00A235B8">
            <w:pPr>
              <w:jc w:val="center"/>
            </w:pPr>
            <w:r>
              <w:t>5</w:t>
            </w:r>
          </w:p>
        </w:tc>
        <w:tc>
          <w:tcPr>
            <w:tcW w:w="1877" w:type="dxa"/>
          </w:tcPr>
          <w:p w14:paraId="7D7F7B7D" w14:textId="2EF46E94" w:rsidR="00401EA5" w:rsidRDefault="00621D77">
            <w:pPr>
              <w:jc w:val="center"/>
            </w:pPr>
            <w:r>
              <w:t>40</w:t>
            </w:r>
          </w:p>
        </w:tc>
      </w:tr>
      <w:tr w:rsidR="003F1C7A" w14:paraId="25EFCC31" w14:textId="77777777">
        <w:trPr>
          <w:trHeight w:val="274"/>
          <w:jc w:val="center"/>
        </w:trPr>
        <w:tc>
          <w:tcPr>
            <w:tcW w:w="1996" w:type="dxa"/>
          </w:tcPr>
          <w:p w14:paraId="1559F18C" w14:textId="77777777" w:rsidR="003F1C7A" w:rsidRDefault="003E5B36" w:rsidP="00807C34">
            <w:pPr>
              <w:jc w:val="center"/>
            </w:pPr>
            <w:r>
              <w:t>Adult 18+</w:t>
            </w:r>
            <w:r w:rsidR="00D314ED">
              <w:t xml:space="preserve"> </w:t>
            </w:r>
          </w:p>
        </w:tc>
        <w:tc>
          <w:tcPr>
            <w:tcW w:w="3000" w:type="dxa"/>
          </w:tcPr>
          <w:p w14:paraId="36943E42" w14:textId="498B3D89" w:rsidR="003F1C7A" w:rsidRDefault="00621D77" w:rsidP="00F75BE7">
            <w:pPr>
              <w:jc w:val="center"/>
            </w:pPr>
            <w:r>
              <w:t>144</w:t>
            </w:r>
          </w:p>
        </w:tc>
        <w:tc>
          <w:tcPr>
            <w:tcW w:w="1619" w:type="dxa"/>
          </w:tcPr>
          <w:p w14:paraId="70253EDE" w14:textId="0B5E1391" w:rsidR="003F1C7A" w:rsidRDefault="00621D77">
            <w:pPr>
              <w:jc w:val="center"/>
            </w:pPr>
            <w:r>
              <w:t>90</w:t>
            </w:r>
          </w:p>
        </w:tc>
        <w:tc>
          <w:tcPr>
            <w:tcW w:w="1877" w:type="dxa"/>
          </w:tcPr>
          <w:p w14:paraId="5FE9C322" w14:textId="2E15AF39" w:rsidR="003F1C7A" w:rsidRDefault="00621D77">
            <w:pPr>
              <w:jc w:val="center"/>
            </w:pPr>
            <w:r>
              <w:t>216</w:t>
            </w:r>
          </w:p>
        </w:tc>
      </w:tr>
      <w:tr w:rsidR="00A235B8" w14:paraId="0C59F9BF" w14:textId="77777777" w:rsidTr="00B53098">
        <w:trPr>
          <w:trHeight w:val="274"/>
          <w:jc w:val="center"/>
        </w:trPr>
        <w:tc>
          <w:tcPr>
            <w:tcW w:w="6615" w:type="dxa"/>
            <w:gridSpan w:val="3"/>
          </w:tcPr>
          <w:p w14:paraId="7B79294C" w14:textId="4F185EC6" w:rsidR="00A235B8" w:rsidRDefault="00B13EB9" w:rsidP="00A235B8">
            <w:r>
              <w:t xml:space="preserve">      </w:t>
            </w:r>
            <w:r w:rsidR="00A235B8">
              <w:t>Total</w:t>
            </w:r>
          </w:p>
        </w:tc>
        <w:tc>
          <w:tcPr>
            <w:tcW w:w="1877" w:type="dxa"/>
          </w:tcPr>
          <w:p w14:paraId="72323CF8" w14:textId="35684375" w:rsidR="00A235B8" w:rsidRDefault="00621D77" w:rsidP="00F93412">
            <w:pPr>
              <w:jc w:val="center"/>
            </w:pPr>
            <w:r>
              <w:t>256</w:t>
            </w:r>
          </w:p>
        </w:tc>
      </w:tr>
    </w:tbl>
    <w:p w14:paraId="72CECD68" w14:textId="77777777" w:rsidR="003F1C7A" w:rsidRDefault="003F1C7A"/>
    <w:p w14:paraId="02AAF164" w14:textId="246FCF7A" w:rsidR="003F1C7A" w:rsidRDefault="003F1C7A" w:rsidP="00AE7162">
      <w:pPr>
        <w:ind w:left="720"/>
        <w:rPr>
          <w:b/>
        </w:rPr>
      </w:pPr>
      <w:r>
        <w:rPr>
          <w:b/>
        </w:rPr>
        <w:t xml:space="preserve">REQUESTED APPROVAL DATE:  </w:t>
      </w:r>
      <w:r w:rsidR="000B306B">
        <w:t>April 5</w:t>
      </w:r>
      <w:r w:rsidR="001B2439">
        <w:t>,</w:t>
      </w:r>
      <w:r w:rsidR="009F7F3F">
        <w:t xml:space="preserve"> 201</w:t>
      </w:r>
      <w:r w:rsidR="00621D77">
        <w:t>9</w:t>
      </w:r>
    </w:p>
    <w:p w14:paraId="72FB3E4D" w14:textId="77777777" w:rsidR="008B1BC6" w:rsidRDefault="008B1BC6" w:rsidP="00AE7162">
      <w:pPr>
        <w:tabs>
          <w:tab w:val="left" w:pos="5670"/>
        </w:tabs>
        <w:suppressAutoHyphens/>
        <w:ind w:left="720"/>
        <w:rPr>
          <w:b/>
        </w:rPr>
      </w:pPr>
    </w:p>
    <w:p w14:paraId="2B91F9ED" w14:textId="17970A71" w:rsidR="008B1BC6" w:rsidRPr="00D00880" w:rsidRDefault="008B1BC6" w:rsidP="00AE7162">
      <w:pPr>
        <w:ind w:left="720"/>
        <w:rPr>
          <w:bCs/>
        </w:rPr>
      </w:pPr>
      <w:r>
        <w:rPr>
          <w:bCs/>
        </w:rPr>
        <w:t xml:space="preserve">Ila </w:t>
      </w:r>
      <w:r w:rsidR="00293FBF">
        <w:rPr>
          <w:bCs/>
        </w:rPr>
        <w:t xml:space="preserve">S. </w:t>
      </w:r>
      <w:r>
        <w:rPr>
          <w:bCs/>
        </w:rPr>
        <w:t>Mizrachi</w:t>
      </w:r>
      <w:r w:rsidRPr="00D00880">
        <w:rPr>
          <w:bCs/>
        </w:rPr>
        <w:t xml:space="preserve"> (PRA Analyst) </w:t>
      </w:r>
    </w:p>
    <w:p w14:paraId="1A2DBD83" w14:textId="77777777" w:rsidR="008B1BC6" w:rsidRPr="00D00880" w:rsidRDefault="00CB7212" w:rsidP="00AE7162">
      <w:pPr>
        <w:ind w:left="720"/>
        <w:rPr>
          <w:bCs/>
        </w:rPr>
      </w:pPr>
      <w:hyperlink r:id="rId10" w:history="1">
        <w:r w:rsidR="008B1BC6" w:rsidRPr="00FC7843">
          <w:rPr>
            <w:rStyle w:val="Hyperlink"/>
          </w:rPr>
          <w:t>Ila.Mizrachi@fda.hhs.gov</w:t>
        </w:r>
      </w:hyperlink>
      <w:r w:rsidR="008B1BC6">
        <w:t xml:space="preserve"> </w:t>
      </w:r>
    </w:p>
    <w:p w14:paraId="67CBF7D8" w14:textId="77777777" w:rsidR="008B1BC6" w:rsidRPr="00D00880" w:rsidRDefault="008B1BC6" w:rsidP="00AE7162">
      <w:pPr>
        <w:ind w:left="720"/>
        <w:rPr>
          <w:bCs/>
        </w:rPr>
      </w:pPr>
      <w:r w:rsidRPr="00D00880">
        <w:rPr>
          <w:bCs/>
        </w:rPr>
        <w:t>301-796-</w:t>
      </w:r>
      <w:r>
        <w:rPr>
          <w:bCs/>
        </w:rPr>
        <w:t>7726</w:t>
      </w:r>
    </w:p>
    <w:p w14:paraId="16F00E96" w14:textId="77777777" w:rsidR="008B1BC6" w:rsidRPr="00D00880" w:rsidRDefault="008B1BC6" w:rsidP="00AE7162">
      <w:pPr>
        <w:ind w:left="720"/>
        <w:rPr>
          <w:bCs/>
        </w:rPr>
      </w:pPr>
    </w:p>
    <w:p w14:paraId="126C404D" w14:textId="77777777" w:rsidR="008B1BC6" w:rsidRPr="00D00880" w:rsidRDefault="000A3821" w:rsidP="00AE7162">
      <w:pPr>
        <w:ind w:left="720"/>
        <w:rPr>
          <w:bCs/>
        </w:rPr>
      </w:pPr>
      <w:r>
        <w:rPr>
          <w:bCs/>
        </w:rPr>
        <w:t>Ewa Carlton</w:t>
      </w:r>
      <w:r w:rsidR="008B1BC6" w:rsidRPr="00D00880">
        <w:rPr>
          <w:bCs/>
        </w:rPr>
        <w:t xml:space="preserve"> (Program Contact)</w:t>
      </w:r>
    </w:p>
    <w:p w14:paraId="5DEB791A" w14:textId="77777777" w:rsidR="008B1BC6" w:rsidRDefault="00CB7212" w:rsidP="00AE7162">
      <w:pPr>
        <w:ind w:left="720"/>
        <w:rPr>
          <w:bCs/>
        </w:rPr>
      </w:pPr>
      <w:hyperlink r:id="rId11" w:history="1">
        <w:r w:rsidR="000A3821">
          <w:rPr>
            <w:rStyle w:val="Hyperlink"/>
            <w:bCs/>
          </w:rPr>
          <w:t>ewa.carlton@fda.hhs.gov</w:t>
        </w:r>
      </w:hyperlink>
    </w:p>
    <w:p w14:paraId="2D91BDF4" w14:textId="77777777" w:rsidR="008B1BC6" w:rsidRDefault="008B1BC6" w:rsidP="00AE7162">
      <w:pPr>
        <w:tabs>
          <w:tab w:val="left" w:pos="5670"/>
        </w:tabs>
        <w:suppressAutoHyphens/>
        <w:ind w:left="720"/>
        <w:rPr>
          <w:bCs/>
        </w:rPr>
      </w:pPr>
      <w:r w:rsidRPr="00D00880">
        <w:rPr>
          <w:bCs/>
        </w:rPr>
        <w:t>240-402-</w:t>
      </w:r>
      <w:r w:rsidR="000A3821">
        <w:rPr>
          <w:bCs/>
        </w:rPr>
        <w:t>2948</w:t>
      </w:r>
    </w:p>
    <w:p w14:paraId="4B30F582" w14:textId="77777777" w:rsidR="008B1BC6" w:rsidRDefault="008B1BC6" w:rsidP="00AE7162">
      <w:pPr>
        <w:tabs>
          <w:tab w:val="left" w:pos="5670"/>
        </w:tabs>
        <w:suppressAutoHyphens/>
        <w:ind w:left="720"/>
        <w:rPr>
          <w:b/>
        </w:rPr>
      </w:pPr>
    </w:p>
    <w:p w14:paraId="30475B16" w14:textId="52EF0118" w:rsidR="008B1BC6" w:rsidRDefault="008B1BC6" w:rsidP="00AE7162">
      <w:pPr>
        <w:tabs>
          <w:tab w:val="left" w:pos="5670"/>
        </w:tabs>
        <w:suppressAutoHyphens/>
        <w:ind w:left="720"/>
        <w:rPr>
          <w:b/>
        </w:rPr>
      </w:pPr>
      <w:r w:rsidRPr="008B1BC6">
        <w:rPr>
          <w:b/>
        </w:rPr>
        <w:t>FDA CENTER:  C</w:t>
      </w:r>
      <w:r w:rsidR="00293FBF">
        <w:rPr>
          <w:b/>
        </w:rPr>
        <w:t xml:space="preserve">enter for </w:t>
      </w:r>
      <w:r w:rsidRPr="008B1BC6">
        <w:rPr>
          <w:b/>
        </w:rPr>
        <w:t>S</w:t>
      </w:r>
      <w:r w:rsidR="00293FBF">
        <w:rPr>
          <w:b/>
        </w:rPr>
        <w:t xml:space="preserve">afety and </w:t>
      </w:r>
      <w:r w:rsidRPr="008B1BC6">
        <w:rPr>
          <w:b/>
        </w:rPr>
        <w:t>A</w:t>
      </w:r>
      <w:r w:rsidR="00293FBF">
        <w:rPr>
          <w:b/>
        </w:rPr>
        <w:t xml:space="preserve">pplied </w:t>
      </w:r>
      <w:r w:rsidRPr="008B1BC6">
        <w:rPr>
          <w:b/>
        </w:rPr>
        <w:t>N</w:t>
      </w:r>
      <w:r w:rsidR="00293FBF">
        <w:rPr>
          <w:b/>
        </w:rPr>
        <w:t>utrition</w:t>
      </w:r>
    </w:p>
    <w:p w14:paraId="3C7E332F" w14:textId="77777777" w:rsidR="003E4CB8" w:rsidRDefault="003E4CB8" w:rsidP="00D650D8">
      <w:pPr>
        <w:tabs>
          <w:tab w:val="left" w:pos="5670"/>
        </w:tabs>
        <w:suppressAutoHyphens/>
        <w:rPr>
          <w:b/>
        </w:rPr>
      </w:pPr>
    </w:p>
    <w:p w14:paraId="2910E665" w14:textId="0C4364EA" w:rsidR="002E6199" w:rsidRPr="003E4CB8" w:rsidRDefault="002E6199" w:rsidP="00D650D8">
      <w:pPr>
        <w:tabs>
          <w:tab w:val="left" w:pos="5670"/>
        </w:tabs>
        <w:suppressAutoHyphens/>
      </w:pPr>
    </w:p>
    <w:sectPr w:rsidR="002E6199" w:rsidRPr="003E4CB8" w:rsidSect="00FB5F9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0E285" w14:textId="77777777" w:rsidR="000E6C14" w:rsidRDefault="000E6C14">
      <w:r>
        <w:separator/>
      </w:r>
    </w:p>
  </w:endnote>
  <w:endnote w:type="continuationSeparator" w:id="0">
    <w:p w14:paraId="393D6CCA" w14:textId="77777777" w:rsidR="000E6C14" w:rsidRDefault="000E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63639"/>
      <w:docPartObj>
        <w:docPartGallery w:val="Page Numbers (Bottom of Page)"/>
        <w:docPartUnique/>
      </w:docPartObj>
    </w:sdtPr>
    <w:sdtEndPr>
      <w:rPr>
        <w:noProof/>
      </w:rPr>
    </w:sdtEndPr>
    <w:sdtContent>
      <w:p w14:paraId="72FA92C3" w14:textId="6CC9F820" w:rsidR="00FB5F97" w:rsidRDefault="00FB5F97">
        <w:pPr>
          <w:pStyle w:val="Footer"/>
          <w:jc w:val="center"/>
        </w:pPr>
        <w:r>
          <w:fldChar w:fldCharType="begin"/>
        </w:r>
        <w:r>
          <w:instrText xml:space="preserve"> PAGE   \* MERGEFORMAT </w:instrText>
        </w:r>
        <w:r>
          <w:fldChar w:fldCharType="separate"/>
        </w:r>
        <w:r w:rsidR="00CB7212">
          <w:rPr>
            <w:noProof/>
          </w:rPr>
          <w:t>2</w:t>
        </w:r>
        <w:r>
          <w:rPr>
            <w:noProof/>
          </w:rPr>
          <w:fldChar w:fldCharType="end"/>
        </w:r>
      </w:p>
    </w:sdtContent>
  </w:sdt>
  <w:p w14:paraId="35ACC09B" w14:textId="2EDA3157" w:rsidR="00EE3E71" w:rsidRDefault="00EE3E71">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74EDD" w14:textId="77777777" w:rsidR="000E6C14" w:rsidRDefault="000E6C14">
      <w:r>
        <w:separator/>
      </w:r>
    </w:p>
  </w:footnote>
  <w:footnote w:type="continuationSeparator" w:id="0">
    <w:p w14:paraId="0C6A3058" w14:textId="77777777" w:rsidR="000E6C14" w:rsidRDefault="000E6C14">
      <w:r>
        <w:continuationSeparator/>
      </w:r>
    </w:p>
  </w:footnote>
  <w:footnote w:id="1">
    <w:p w14:paraId="04272816" w14:textId="3609E0A4" w:rsidR="005C6900" w:rsidRDefault="005C6900">
      <w:pPr>
        <w:pStyle w:val="FootnoteText"/>
      </w:pPr>
      <w:r>
        <w:rPr>
          <w:rStyle w:val="FootnoteReference"/>
        </w:rPr>
        <w:footnoteRef/>
      </w:r>
      <w:r>
        <w:t xml:space="preserve"> Assumes an hourly rate of $</w:t>
      </w:r>
      <w:r w:rsidR="00C55A5F">
        <w:t xml:space="preserve">18 </w:t>
      </w:r>
      <w:r>
        <w:t>per hour for a professional babysitter</w:t>
      </w:r>
    </w:p>
  </w:footnote>
  <w:footnote w:id="2">
    <w:p w14:paraId="6D397B41" w14:textId="77777777" w:rsidR="00A23469" w:rsidRDefault="00A23469" w:rsidP="00A23469">
      <w:pPr>
        <w:pStyle w:val="FootnoteText"/>
      </w:pPr>
      <w:r>
        <w:rPr>
          <w:rStyle w:val="FootnoteReference"/>
        </w:rPr>
        <w:footnoteRef/>
      </w:r>
      <w:r>
        <w:t xml:space="preserve"> Assumes travel by automobile; calculation derived from average annual commuting costs reported at </w:t>
      </w:r>
      <w:hyperlink r:id="rId1" w:history="1">
        <w:r w:rsidR="004063F4" w:rsidRPr="006E614F">
          <w:rPr>
            <w:rStyle w:val="Hyperlink"/>
          </w:rPr>
          <w:t>https://www.census.gov/hhes/commuting/files/JSM_Proceedings_paper.pdf</w:t>
        </w:r>
      </w:hyperlink>
      <w:r w:rsidR="004063F4">
        <w:t>, accessed 7/1/2016.</w:t>
      </w:r>
    </w:p>
  </w:footnote>
  <w:footnote w:id="3">
    <w:p w14:paraId="513A4D58" w14:textId="77777777" w:rsidR="00A23469" w:rsidRDefault="00A23469" w:rsidP="00A23469">
      <w:pPr>
        <w:pStyle w:val="FootnoteText"/>
      </w:pPr>
      <w:r>
        <w:rPr>
          <w:rStyle w:val="FootnoteReference"/>
        </w:rPr>
        <w:footnoteRef/>
      </w:r>
      <w:r>
        <w:t xml:space="preserve"> See: Church, A.H. (1993). Estimating the effect of incentives on mail survey response rates: A meta-analysis. </w:t>
      </w:r>
      <w:r>
        <w:rPr>
          <w:i/>
          <w:iCs/>
        </w:rPr>
        <w:t>Public Opinion Quarterly,</w:t>
      </w:r>
      <w:r>
        <w:t xml:space="preserve"> 57, 62-79; Dykema, J. et al. </w:t>
      </w:r>
      <w:r w:rsidRPr="000275F0">
        <w:t xml:space="preserve">(2012). Use of monetary and nonmonetary incentives to increase response rates among African Americans in the Wisconsin pregnancy risk assessment monitoring system. </w:t>
      </w:r>
      <w:r w:rsidRPr="000275F0">
        <w:rPr>
          <w:i/>
          <w:iCs/>
        </w:rPr>
        <w:t>Maternal and child health journal</w:t>
      </w:r>
      <w:r w:rsidRPr="000275F0">
        <w:t xml:space="preserve">, </w:t>
      </w:r>
      <w:r w:rsidRPr="000275F0">
        <w:rPr>
          <w:i/>
          <w:iCs/>
        </w:rPr>
        <w:t>16</w:t>
      </w:r>
      <w:r>
        <w:t xml:space="preserve">(4), 785-791; </w:t>
      </w:r>
      <w:r w:rsidRPr="00362661">
        <w:t xml:space="preserve">Singer, E., &amp; Kulka, R. A. (2002). Paying respondents for survey participation. </w:t>
      </w:r>
      <w:r>
        <w:t xml:space="preserve">In: </w:t>
      </w:r>
      <w:r w:rsidRPr="00362661">
        <w:rPr>
          <w:i/>
          <w:iCs/>
        </w:rPr>
        <w:t>Studies of welfare populations: Data collection and research issues</w:t>
      </w:r>
      <w:r w:rsidRPr="00362661">
        <w:t>, 105-128.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5B01DB"/>
    <w:multiLevelType w:val="hybridMultilevel"/>
    <w:tmpl w:val="B4886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64624E"/>
    <w:multiLevelType w:val="hybridMultilevel"/>
    <w:tmpl w:val="D4E26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2F2F51"/>
    <w:multiLevelType w:val="hybridMultilevel"/>
    <w:tmpl w:val="B5E00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484C533C"/>
    <w:multiLevelType w:val="hybridMultilevel"/>
    <w:tmpl w:val="CEC28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205A69"/>
    <w:multiLevelType w:val="hybridMultilevel"/>
    <w:tmpl w:val="5B76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8F1340B"/>
    <w:multiLevelType w:val="hybridMultilevel"/>
    <w:tmpl w:val="ABF2F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4"/>
  </w:num>
  <w:num w:numId="6">
    <w:abstractNumId w:val="2"/>
  </w:num>
  <w:num w:numId="7">
    <w:abstractNumId w:val="13"/>
  </w:num>
  <w:num w:numId="8">
    <w:abstractNumId w:val="21"/>
  </w:num>
  <w:num w:numId="9">
    <w:abstractNumId w:val="14"/>
  </w:num>
  <w:num w:numId="10">
    <w:abstractNumId w:val="3"/>
  </w:num>
  <w:num w:numId="11">
    <w:abstractNumId w:val="5"/>
  </w:num>
  <w:num w:numId="12">
    <w:abstractNumId w:val="8"/>
  </w:num>
  <w:num w:numId="13">
    <w:abstractNumId w:val="1"/>
  </w:num>
  <w:num w:numId="14">
    <w:abstractNumId w:val="12"/>
  </w:num>
  <w:num w:numId="15">
    <w:abstractNumId w:val="22"/>
  </w:num>
  <w:num w:numId="16">
    <w:abstractNumId w:val="19"/>
  </w:num>
  <w:num w:numId="17">
    <w:abstractNumId w:val="0"/>
  </w:num>
  <w:num w:numId="18">
    <w:abstractNumId w:val="11"/>
  </w:num>
  <w:num w:numId="19">
    <w:abstractNumId w:val="7"/>
  </w:num>
  <w:num w:numId="20">
    <w:abstractNumId w:val="9"/>
  </w:num>
  <w:num w:numId="21">
    <w:abstractNumId w:val="16"/>
  </w:num>
  <w:num w:numId="22">
    <w:abstractNumId w:val="18"/>
  </w:num>
  <w:num w:numId="23">
    <w:abstractNumId w:val="6"/>
  </w:num>
  <w:num w:numId="24">
    <w:abstractNumId w:val="10"/>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E8A"/>
    <w:rsid w:val="00005D48"/>
    <w:rsid w:val="0001187B"/>
    <w:rsid w:val="00013E73"/>
    <w:rsid w:val="000301C5"/>
    <w:rsid w:val="00032508"/>
    <w:rsid w:val="000330C2"/>
    <w:rsid w:val="0003464D"/>
    <w:rsid w:val="000357AC"/>
    <w:rsid w:val="00035B5C"/>
    <w:rsid w:val="00043795"/>
    <w:rsid w:val="00053539"/>
    <w:rsid w:val="000620F6"/>
    <w:rsid w:val="00080096"/>
    <w:rsid w:val="00087545"/>
    <w:rsid w:val="000972E9"/>
    <w:rsid w:val="000A23D7"/>
    <w:rsid w:val="000A3821"/>
    <w:rsid w:val="000A525C"/>
    <w:rsid w:val="000B306B"/>
    <w:rsid w:val="000B39A3"/>
    <w:rsid w:val="000C386B"/>
    <w:rsid w:val="000C57C2"/>
    <w:rsid w:val="000C67E4"/>
    <w:rsid w:val="000D16F9"/>
    <w:rsid w:val="000E09EF"/>
    <w:rsid w:val="000E0CDB"/>
    <w:rsid w:val="000E547B"/>
    <w:rsid w:val="000E6C14"/>
    <w:rsid w:val="000E6C8F"/>
    <w:rsid w:val="000E7908"/>
    <w:rsid w:val="000F1CDA"/>
    <w:rsid w:val="000F2F28"/>
    <w:rsid w:val="001006AA"/>
    <w:rsid w:val="00110ABB"/>
    <w:rsid w:val="00122860"/>
    <w:rsid w:val="00126D06"/>
    <w:rsid w:val="0013026B"/>
    <w:rsid w:val="00132EF8"/>
    <w:rsid w:val="00140343"/>
    <w:rsid w:val="00140A0D"/>
    <w:rsid w:val="00140C36"/>
    <w:rsid w:val="00144FC7"/>
    <w:rsid w:val="00156815"/>
    <w:rsid w:val="0016155F"/>
    <w:rsid w:val="00166FF8"/>
    <w:rsid w:val="001704F1"/>
    <w:rsid w:val="00172A6E"/>
    <w:rsid w:val="001813AB"/>
    <w:rsid w:val="00182DEB"/>
    <w:rsid w:val="0018646A"/>
    <w:rsid w:val="00190AA2"/>
    <w:rsid w:val="0019577F"/>
    <w:rsid w:val="001A335B"/>
    <w:rsid w:val="001A68F4"/>
    <w:rsid w:val="001B2439"/>
    <w:rsid w:val="001C0117"/>
    <w:rsid w:val="001D19B4"/>
    <w:rsid w:val="001E1D01"/>
    <w:rsid w:val="001F09C0"/>
    <w:rsid w:val="001F4032"/>
    <w:rsid w:val="001F5C80"/>
    <w:rsid w:val="0020634E"/>
    <w:rsid w:val="00206D1F"/>
    <w:rsid w:val="00220F7F"/>
    <w:rsid w:val="00241C89"/>
    <w:rsid w:val="00243BAE"/>
    <w:rsid w:val="0024742B"/>
    <w:rsid w:val="00253F8E"/>
    <w:rsid w:val="00255B16"/>
    <w:rsid w:val="00256059"/>
    <w:rsid w:val="002618CB"/>
    <w:rsid w:val="00263F8F"/>
    <w:rsid w:val="002838DF"/>
    <w:rsid w:val="00291A75"/>
    <w:rsid w:val="00293FBF"/>
    <w:rsid w:val="0029609C"/>
    <w:rsid w:val="002D273E"/>
    <w:rsid w:val="002D2EA9"/>
    <w:rsid w:val="002E6199"/>
    <w:rsid w:val="0030690D"/>
    <w:rsid w:val="0031518F"/>
    <w:rsid w:val="003211CB"/>
    <w:rsid w:val="003305D0"/>
    <w:rsid w:val="003415A3"/>
    <w:rsid w:val="00341F7E"/>
    <w:rsid w:val="00350C25"/>
    <w:rsid w:val="00357967"/>
    <w:rsid w:val="00364051"/>
    <w:rsid w:val="00365B86"/>
    <w:rsid w:val="00371213"/>
    <w:rsid w:val="00382634"/>
    <w:rsid w:val="003844C3"/>
    <w:rsid w:val="00386FF2"/>
    <w:rsid w:val="003B4B79"/>
    <w:rsid w:val="003B6FDD"/>
    <w:rsid w:val="003B7962"/>
    <w:rsid w:val="003C0558"/>
    <w:rsid w:val="003C1F0B"/>
    <w:rsid w:val="003D3FD2"/>
    <w:rsid w:val="003D562E"/>
    <w:rsid w:val="003E19C3"/>
    <w:rsid w:val="003E4CB8"/>
    <w:rsid w:val="003E5B36"/>
    <w:rsid w:val="003E7265"/>
    <w:rsid w:val="003F1C7A"/>
    <w:rsid w:val="003F5384"/>
    <w:rsid w:val="004005BA"/>
    <w:rsid w:val="00401EA5"/>
    <w:rsid w:val="00404629"/>
    <w:rsid w:val="004063F4"/>
    <w:rsid w:val="0040798D"/>
    <w:rsid w:val="00411149"/>
    <w:rsid w:val="004142C9"/>
    <w:rsid w:val="00416388"/>
    <w:rsid w:val="004177F8"/>
    <w:rsid w:val="004246E3"/>
    <w:rsid w:val="00424945"/>
    <w:rsid w:val="00433A0A"/>
    <w:rsid w:val="00440AE9"/>
    <w:rsid w:val="00452BA7"/>
    <w:rsid w:val="0045675C"/>
    <w:rsid w:val="00463B4D"/>
    <w:rsid w:val="004641F4"/>
    <w:rsid w:val="0046630C"/>
    <w:rsid w:val="00467E0A"/>
    <w:rsid w:val="00470AF7"/>
    <w:rsid w:val="0048747F"/>
    <w:rsid w:val="00490134"/>
    <w:rsid w:val="0049419A"/>
    <w:rsid w:val="004B0CBA"/>
    <w:rsid w:val="004B694D"/>
    <w:rsid w:val="004B6A45"/>
    <w:rsid w:val="004B7A8C"/>
    <w:rsid w:val="004B7BB2"/>
    <w:rsid w:val="004C6968"/>
    <w:rsid w:val="004D431E"/>
    <w:rsid w:val="004E06B2"/>
    <w:rsid w:val="004E6163"/>
    <w:rsid w:val="004F7CFE"/>
    <w:rsid w:val="00500266"/>
    <w:rsid w:val="0050092F"/>
    <w:rsid w:val="00501A2B"/>
    <w:rsid w:val="005028BE"/>
    <w:rsid w:val="00525761"/>
    <w:rsid w:val="00531E6B"/>
    <w:rsid w:val="0053505B"/>
    <w:rsid w:val="005409C4"/>
    <w:rsid w:val="005444B9"/>
    <w:rsid w:val="005477F2"/>
    <w:rsid w:val="00551FF8"/>
    <w:rsid w:val="00554A36"/>
    <w:rsid w:val="00557FFC"/>
    <w:rsid w:val="005766E1"/>
    <w:rsid w:val="00581A6C"/>
    <w:rsid w:val="00587D2D"/>
    <w:rsid w:val="005A18A4"/>
    <w:rsid w:val="005C06EE"/>
    <w:rsid w:val="005C6900"/>
    <w:rsid w:val="005C7C17"/>
    <w:rsid w:val="005E23BA"/>
    <w:rsid w:val="005E4981"/>
    <w:rsid w:val="006072E6"/>
    <w:rsid w:val="006074F7"/>
    <w:rsid w:val="00607A20"/>
    <w:rsid w:val="00613B5E"/>
    <w:rsid w:val="00620EB2"/>
    <w:rsid w:val="00621017"/>
    <w:rsid w:val="00621384"/>
    <w:rsid w:val="00621D77"/>
    <w:rsid w:val="006300A3"/>
    <w:rsid w:val="0064052C"/>
    <w:rsid w:val="00642270"/>
    <w:rsid w:val="00647932"/>
    <w:rsid w:val="00672ADD"/>
    <w:rsid w:val="006757DD"/>
    <w:rsid w:val="00685A13"/>
    <w:rsid w:val="00696B03"/>
    <w:rsid w:val="006970B6"/>
    <w:rsid w:val="006A64E2"/>
    <w:rsid w:val="006B5693"/>
    <w:rsid w:val="006C2876"/>
    <w:rsid w:val="006D3B31"/>
    <w:rsid w:val="006D415C"/>
    <w:rsid w:val="006E152F"/>
    <w:rsid w:val="006E5888"/>
    <w:rsid w:val="006E6950"/>
    <w:rsid w:val="00702E74"/>
    <w:rsid w:val="0071770A"/>
    <w:rsid w:val="00724D70"/>
    <w:rsid w:val="00736C68"/>
    <w:rsid w:val="007425FE"/>
    <w:rsid w:val="0074463A"/>
    <w:rsid w:val="00744F5B"/>
    <w:rsid w:val="007527FD"/>
    <w:rsid w:val="0076303E"/>
    <w:rsid w:val="00766011"/>
    <w:rsid w:val="00784A1F"/>
    <w:rsid w:val="007923B4"/>
    <w:rsid w:val="007936F2"/>
    <w:rsid w:val="007A007D"/>
    <w:rsid w:val="007A4331"/>
    <w:rsid w:val="007A5A07"/>
    <w:rsid w:val="007B045B"/>
    <w:rsid w:val="007B1AD3"/>
    <w:rsid w:val="007C0F20"/>
    <w:rsid w:val="007D6740"/>
    <w:rsid w:val="007E26EE"/>
    <w:rsid w:val="007F51A5"/>
    <w:rsid w:val="007F7220"/>
    <w:rsid w:val="008007DA"/>
    <w:rsid w:val="00807ABD"/>
    <w:rsid w:val="00807C34"/>
    <w:rsid w:val="00811360"/>
    <w:rsid w:val="008148A8"/>
    <w:rsid w:val="008307BF"/>
    <w:rsid w:val="00834F94"/>
    <w:rsid w:val="00843019"/>
    <w:rsid w:val="00846E2C"/>
    <w:rsid w:val="00850661"/>
    <w:rsid w:val="008545C9"/>
    <w:rsid w:val="00862EEA"/>
    <w:rsid w:val="00865D86"/>
    <w:rsid w:val="0087208E"/>
    <w:rsid w:val="0087246C"/>
    <w:rsid w:val="00872E7A"/>
    <w:rsid w:val="0087428D"/>
    <w:rsid w:val="00882AE4"/>
    <w:rsid w:val="008863D0"/>
    <w:rsid w:val="008929D7"/>
    <w:rsid w:val="00893D75"/>
    <w:rsid w:val="00894F96"/>
    <w:rsid w:val="008A0B1B"/>
    <w:rsid w:val="008A4CED"/>
    <w:rsid w:val="008B049E"/>
    <w:rsid w:val="008B19E0"/>
    <w:rsid w:val="008B1BC6"/>
    <w:rsid w:val="008C7AB4"/>
    <w:rsid w:val="008D2DA3"/>
    <w:rsid w:val="008D6825"/>
    <w:rsid w:val="008D6C1D"/>
    <w:rsid w:val="008E6145"/>
    <w:rsid w:val="008E7410"/>
    <w:rsid w:val="008F0681"/>
    <w:rsid w:val="008F1016"/>
    <w:rsid w:val="008F2981"/>
    <w:rsid w:val="008F5FB8"/>
    <w:rsid w:val="008F6E91"/>
    <w:rsid w:val="008F7C99"/>
    <w:rsid w:val="009045DC"/>
    <w:rsid w:val="009135F5"/>
    <w:rsid w:val="00922575"/>
    <w:rsid w:val="0092376D"/>
    <w:rsid w:val="0092677B"/>
    <w:rsid w:val="00934C24"/>
    <w:rsid w:val="009404FA"/>
    <w:rsid w:val="009426F8"/>
    <w:rsid w:val="00950C6C"/>
    <w:rsid w:val="0095740F"/>
    <w:rsid w:val="00957A89"/>
    <w:rsid w:val="0096702F"/>
    <w:rsid w:val="0097005F"/>
    <w:rsid w:val="0099381D"/>
    <w:rsid w:val="009A3D9E"/>
    <w:rsid w:val="009A5ED2"/>
    <w:rsid w:val="009B0017"/>
    <w:rsid w:val="009B4068"/>
    <w:rsid w:val="009C4A88"/>
    <w:rsid w:val="009D466B"/>
    <w:rsid w:val="009F7F3F"/>
    <w:rsid w:val="00A02577"/>
    <w:rsid w:val="00A037AF"/>
    <w:rsid w:val="00A11459"/>
    <w:rsid w:val="00A12F89"/>
    <w:rsid w:val="00A146C5"/>
    <w:rsid w:val="00A22B2A"/>
    <w:rsid w:val="00A23469"/>
    <w:rsid w:val="00A235B8"/>
    <w:rsid w:val="00A26BA5"/>
    <w:rsid w:val="00A43E66"/>
    <w:rsid w:val="00A44BF9"/>
    <w:rsid w:val="00A52B75"/>
    <w:rsid w:val="00A56130"/>
    <w:rsid w:val="00A56F16"/>
    <w:rsid w:val="00A817A8"/>
    <w:rsid w:val="00A82DCC"/>
    <w:rsid w:val="00A8655C"/>
    <w:rsid w:val="00A90160"/>
    <w:rsid w:val="00A91D09"/>
    <w:rsid w:val="00A9350E"/>
    <w:rsid w:val="00AA0BF6"/>
    <w:rsid w:val="00AB33B8"/>
    <w:rsid w:val="00AB3A90"/>
    <w:rsid w:val="00AB445F"/>
    <w:rsid w:val="00AB4EAE"/>
    <w:rsid w:val="00AC1F4B"/>
    <w:rsid w:val="00AC355E"/>
    <w:rsid w:val="00AC4D8D"/>
    <w:rsid w:val="00AE1CEA"/>
    <w:rsid w:val="00AE3BC5"/>
    <w:rsid w:val="00AE7162"/>
    <w:rsid w:val="00B1198E"/>
    <w:rsid w:val="00B13EB9"/>
    <w:rsid w:val="00B1702D"/>
    <w:rsid w:val="00B230C2"/>
    <w:rsid w:val="00B2472C"/>
    <w:rsid w:val="00B32FB2"/>
    <w:rsid w:val="00B41EDC"/>
    <w:rsid w:val="00B46E5B"/>
    <w:rsid w:val="00B53098"/>
    <w:rsid w:val="00B63756"/>
    <w:rsid w:val="00B64EB2"/>
    <w:rsid w:val="00B80CFC"/>
    <w:rsid w:val="00B82761"/>
    <w:rsid w:val="00B83ED5"/>
    <w:rsid w:val="00B8479A"/>
    <w:rsid w:val="00B859B1"/>
    <w:rsid w:val="00B87084"/>
    <w:rsid w:val="00BA0ABE"/>
    <w:rsid w:val="00BC1C35"/>
    <w:rsid w:val="00BE49F8"/>
    <w:rsid w:val="00BF52FF"/>
    <w:rsid w:val="00C02AC4"/>
    <w:rsid w:val="00C062AA"/>
    <w:rsid w:val="00C215CC"/>
    <w:rsid w:val="00C50074"/>
    <w:rsid w:val="00C53035"/>
    <w:rsid w:val="00C55A5F"/>
    <w:rsid w:val="00C63031"/>
    <w:rsid w:val="00C6490C"/>
    <w:rsid w:val="00C655BE"/>
    <w:rsid w:val="00C72CAA"/>
    <w:rsid w:val="00C95E88"/>
    <w:rsid w:val="00CB26F7"/>
    <w:rsid w:val="00CB7212"/>
    <w:rsid w:val="00CC094E"/>
    <w:rsid w:val="00CC1DED"/>
    <w:rsid w:val="00CC2179"/>
    <w:rsid w:val="00CC7E2C"/>
    <w:rsid w:val="00CD2B3B"/>
    <w:rsid w:val="00CE57C2"/>
    <w:rsid w:val="00CE62F7"/>
    <w:rsid w:val="00CF0774"/>
    <w:rsid w:val="00CF10F4"/>
    <w:rsid w:val="00CF6D64"/>
    <w:rsid w:val="00D02022"/>
    <w:rsid w:val="00D222FF"/>
    <w:rsid w:val="00D2719A"/>
    <w:rsid w:val="00D314ED"/>
    <w:rsid w:val="00D340AB"/>
    <w:rsid w:val="00D478CD"/>
    <w:rsid w:val="00D542D4"/>
    <w:rsid w:val="00D55A6C"/>
    <w:rsid w:val="00D61F49"/>
    <w:rsid w:val="00D62D9B"/>
    <w:rsid w:val="00D650D8"/>
    <w:rsid w:val="00D6682F"/>
    <w:rsid w:val="00D80BB7"/>
    <w:rsid w:val="00D921D6"/>
    <w:rsid w:val="00D93C61"/>
    <w:rsid w:val="00D9463C"/>
    <w:rsid w:val="00DA06DD"/>
    <w:rsid w:val="00DC66C2"/>
    <w:rsid w:val="00DC76EE"/>
    <w:rsid w:val="00DD38F4"/>
    <w:rsid w:val="00DD5CD4"/>
    <w:rsid w:val="00DD6106"/>
    <w:rsid w:val="00DE6000"/>
    <w:rsid w:val="00E018D6"/>
    <w:rsid w:val="00E07DAB"/>
    <w:rsid w:val="00E10D6B"/>
    <w:rsid w:val="00E11D01"/>
    <w:rsid w:val="00E14D77"/>
    <w:rsid w:val="00E156FF"/>
    <w:rsid w:val="00E215FA"/>
    <w:rsid w:val="00E26798"/>
    <w:rsid w:val="00E44398"/>
    <w:rsid w:val="00E45BA0"/>
    <w:rsid w:val="00E46E7F"/>
    <w:rsid w:val="00E543E3"/>
    <w:rsid w:val="00E55796"/>
    <w:rsid w:val="00E60AD4"/>
    <w:rsid w:val="00E629FF"/>
    <w:rsid w:val="00E76709"/>
    <w:rsid w:val="00E77913"/>
    <w:rsid w:val="00E8427E"/>
    <w:rsid w:val="00E85DD4"/>
    <w:rsid w:val="00E86A2F"/>
    <w:rsid w:val="00E92F08"/>
    <w:rsid w:val="00E971FC"/>
    <w:rsid w:val="00EA0586"/>
    <w:rsid w:val="00ED4432"/>
    <w:rsid w:val="00EE1457"/>
    <w:rsid w:val="00EE3E71"/>
    <w:rsid w:val="00EE7334"/>
    <w:rsid w:val="00EF4D43"/>
    <w:rsid w:val="00EF694E"/>
    <w:rsid w:val="00F12AEE"/>
    <w:rsid w:val="00F145B0"/>
    <w:rsid w:val="00F2531F"/>
    <w:rsid w:val="00F34CB2"/>
    <w:rsid w:val="00F356CE"/>
    <w:rsid w:val="00F3704A"/>
    <w:rsid w:val="00F41120"/>
    <w:rsid w:val="00F74947"/>
    <w:rsid w:val="00F75BE7"/>
    <w:rsid w:val="00F85C65"/>
    <w:rsid w:val="00F9198D"/>
    <w:rsid w:val="00F93001"/>
    <w:rsid w:val="00F93412"/>
    <w:rsid w:val="00FA3676"/>
    <w:rsid w:val="00FA4409"/>
    <w:rsid w:val="00FB057B"/>
    <w:rsid w:val="00FB0844"/>
    <w:rsid w:val="00FB2D56"/>
    <w:rsid w:val="00FB5F97"/>
    <w:rsid w:val="00FC510C"/>
    <w:rsid w:val="00FD0EDC"/>
    <w:rsid w:val="00FD6FA3"/>
    <w:rsid w:val="00FE155E"/>
    <w:rsid w:val="00FE322F"/>
    <w:rsid w:val="00FF1920"/>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basedOn w:val="Normal"/>
    <w:link w:val="FootnoteTextChar"/>
    <w:semiHidden/>
    <w:unhideWhenUsed/>
    <w:rsid w:val="00A23469"/>
    <w:rPr>
      <w:rFonts w:ascii="Garamond" w:hAnsi="Garamond"/>
      <w:sz w:val="20"/>
      <w:szCs w:val="20"/>
    </w:rPr>
  </w:style>
  <w:style w:type="character" w:customStyle="1" w:styleId="FootnoteTextChar">
    <w:name w:val="Footnote Text Char"/>
    <w:link w:val="FootnoteText"/>
    <w:semiHidden/>
    <w:rsid w:val="00A23469"/>
    <w:rPr>
      <w:rFonts w:ascii="Garamond" w:hAnsi="Garamond"/>
    </w:rPr>
  </w:style>
  <w:style w:type="character" w:styleId="FootnoteReference">
    <w:name w:val="footnote reference"/>
    <w:semiHidden/>
    <w:unhideWhenUsed/>
    <w:rsid w:val="00A23469"/>
    <w:rPr>
      <w:vertAlign w:val="superscript"/>
    </w:rPr>
  </w:style>
  <w:style w:type="character" w:customStyle="1" w:styleId="FooterChar">
    <w:name w:val="Footer Char"/>
    <w:link w:val="Footer"/>
    <w:uiPriority w:val="99"/>
    <w:rsid w:val="00CE62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basedOn w:val="Normal"/>
    <w:link w:val="FootnoteTextChar"/>
    <w:semiHidden/>
    <w:unhideWhenUsed/>
    <w:rsid w:val="00A23469"/>
    <w:rPr>
      <w:rFonts w:ascii="Garamond" w:hAnsi="Garamond"/>
      <w:sz w:val="20"/>
      <w:szCs w:val="20"/>
    </w:rPr>
  </w:style>
  <w:style w:type="character" w:customStyle="1" w:styleId="FootnoteTextChar">
    <w:name w:val="Footnote Text Char"/>
    <w:link w:val="FootnoteText"/>
    <w:semiHidden/>
    <w:rsid w:val="00A23469"/>
    <w:rPr>
      <w:rFonts w:ascii="Garamond" w:hAnsi="Garamond"/>
    </w:rPr>
  </w:style>
  <w:style w:type="character" w:styleId="FootnoteReference">
    <w:name w:val="footnote reference"/>
    <w:semiHidden/>
    <w:unhideWhenUsed/>
    <w:rsid w:val="00A23469"/>
    <w:rPr>
      <w:vertAlign w:val="superscript"/>
    </w:rPr>
  </w:style>
  <w:style w:type="character" w:customStyle="1" w:styleId="FooterChar">
    <w:name w:val="Footer Char"/>
    <w:link w:val="Footer"/>
    <w:uiPriority w:val="99"/>
    <w:rsid w:val="00CE62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7883">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da.Verrill@fda.hhs.gov" TargetMode="External"/><Relationship Id="rId5" Type="http://schemas.openxmlformats.org/officeDocument/2006/relationships/settings" Target="settings.xml"/><Relationship Id="rId10" Type="http://schemas.openxmlformats.org/officeDocument/2006/relationships/hyperlink" Target="mailto:Ila.Mizrachi@fda.hhs.gov"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hhes/commuting/files/JSM_Proceedings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C3AD-0E52-4F9F-8D2A-87A8A18A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12471</CharactersWithSpaces>
  <SharedDoc>false</SharedDoc>
  <HLinks>
    <vt:vector size="18" baseType="variant">
      <vt:variant>
        <vt:i4>852017</vt:i4>
      </vt:variant>
      <vt:variant>
        <vt:i4>3</vt:i4>
      </vt:variant>
      <vt:variant>
        <vt:i4>0</vt:i4>
      </vt:variant>
      <vt:variant>
        <vt:i4>5</vt:i4>
      </vt:variant>
      <vt:variant>
        <vt:lpwstr>mailto:Linda.Verrill@fda.hhs.gov</vt:lpwstr>
      </vt:variant>
      <vt:variant>
        <vt:lpwstr/>
      </vt:variant>
      <vt:variant>
        <vt:i4>5701730</vt:i4>
      </vt:variant>
      <vt:variant>
        <vt:i4>0</vt:i4>
      </vt:variant>
      <vt:variant>
        <vt:i4>0</vt:i4>
      </vt:variant>
      <vt:variant>
        <vt:i4>5</vt:i4>
      </vt:variant>
      <vt:variant>
        <vt:lpwstr>mailto:Ila.Mizrachi@fda.hhs.gov</vt:lpwstr>
      </vt:variant>
      <vt:variant>
        <vt:lpwstr/>
      </vt:variant>
      <vt:variant>
        <vt:i4>5046343</vt:i4>
      </vt:variant>
      <vt:variant>
        <vt:i4>0</vt:i4>
      </vt:variant>
      <vt:variant>
        <vt:i4>0</vt:i4>
      </vt:variant>
      <vt:variant>
        <vt:i4>5</vt:i4>
      </vt:variant>
      <vt:variant>
        <vt:lpwstr>https://www.census.gov/hhes/commuting/files/JSM_Proceedings_paper.pdf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2019-03-22T19:26:00Z</dcterms:created>
  <dcterms:modified xsi:type="dcterms:W3CDTF">2019-03-22T19:26:00Z</dcterms:modified>
</cp:coreProperties>
</file>