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5A2" w:rsidP="005E55A2" w:rsidRDefault="005E55A2" w14:paraId="5E678434" w14:textId="77777777">
      <w:pPr>
        <w:pStyle w:val="Heading2"/>
        <w:tabs>
          <w:tab w:val="left" w:pos="900"/>
        </w:tabs>
        <w:ind w:right="-180"/>
        <w:rPr>
          <w:sz w:val="28"/>
        </w:rPr>
      </w:pPr>
      <w:r>
        <w:rPr>
          <w:sz w:val="28"/>
        </w:rPr>
        <w:t>FDA DOCUMENTATION FOR THE GENERIC CLEARANCE</w:t>
      </w:r>
    </w:p>
    <w:p w:rsidR="005E55A2" w:rsidP="005E55A2" w:rsidRDefault="005E55A2" w14:paraId="4447AE62" w14:textId="77777777">
      <w:pPr>
        <w:jc w:val="center"/>
      </w:pPr>
      <w:r>
        <w:rPr>
          <w:b/>
          <w:sz w:val="28"/>
        </w:rPr>
        <w:t>OF FOCUS GROUPS (0910-0497)</w:t>
      </w:r>
    </w:p>
    <w:p w:rsidR="005E55A2" w:rsidP="005E55A2" w:rsidRDefault="005E55A2" w14:paraId="0CF9CA3C" w14:textId="77777777">
      <w:r>
        <w:rPr>
          <w:noProof/>
          <w:sz w:val="18"/>
          <w:szCs w:val="18"/>
        </w:rPr>
        <mc:AlternateContent>
          <mc:Choice Requires="wps">
            <w:drawing>
              <wp:anchor distT="0" distB="0" distL="114300" distR="114300" simplePos="0" relativeHeight="251659264" behindDoc="0" locked="0" layoutInCell="1" allowOverlap="1" wp14:editId="746F25B6" wp14:anchorId="5163959A">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07D44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463B4D" w:rsidR="005E55A2" w:rsidP="005E55A2" w:rsidRDefault="005E55A2" w14:paraId="65D01119" w14:textId="77777777">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Pr="005E4981" w:rsidR="005E55A2" w:rsidP="005E55A2" w:rsidRDefault="005E55A2" w14:paraId="7A2CD9D9" w14:textId="0FE9568F">
      <w:pPr>
        <w:spacing w:before="120"/>
      </w:pPr>
      <w:r>
        <w:rPr>
          <w:b/>
        </w:rPr>
        <w:t>TITLE OF INFORMATION COLLECTION:</w:t>
      </w:r>
      <w:r>
        <w:t xml:space="preserve">  </w:t>
      </w:r>
      <w:r w:rsidR="00C523D1">
        <w:t>Focus Groups with Nutrition Educators</w:t>
      </w:r>
    </w:p>
    <w:p w:rsidR="005E55A2" w:rsidP="005E55A2" w:rsidRDefault="005E55A2" w14:paraId="25AE5E02" w14:textId="77777777">
      <w:pPr>
        <w:jc w:val="center"/>
      </w:pPr>
    </w:p>
    <w:p w:rsidR="005E55A2" w:rsidP="005E55A2" w:rsidRDefault="005E55A2" w14:paraId="2D593617" w14:textId="77777777">
      <w:pPr>
        <w:spacing w:after="120"/>
      </w:pPr>
      <w:r>
        <w:rPr>
          <w:b/>
        </w:rPr>
        <w:t>DESCRIPTION OF THIS SPECIFIC COLLECTION</w:t>
      </w:r>
      <w:r>
        <w:t xml:space="preserve"> </w:t>
      </w:r>
    </w:p>
    <w:p w:rsidR="005E55A2" w:rsidP="005E55A2" w:rsidRDefault="005E55A2" w14:paraId="527CCF25" w14:textId="77777777">
      <w:pPr>
        <w:numPr>
          <w:ilvl w:val="0"/>
          <w:numId w:val="1"/>
        </w:numPr>
        <w:tabs>
          <w:tab w:val="clear" w:pos="1296"/>
          <w:tab w:val="num" w:pos="720"/>
        </w:tabs>
        <w:ind w:left="360" w:firstLine="0"/>
      </w:pPr>
      <w:r>
        <w:rPr>
          <w:b/>
        </w:rPr>
        <w:t>Statement of need</w:t>
      </w:r>
      <w:r w:rsidRPr="00E26798">
        <w:rPr>
          <w:b/>
        </w:rPr>
        <w:t>:</w:t>
      </w:r>
      <w:r>
        <w:t xml:space="preserve">  </w:t>
      </w:r>
    </w:p>
    <w:p w:rsidR="004812CC" w:rsidP="005E55A2" w:rsidRDefault="004812CC" w14:paraId="7A7F424F" w14:textId="77777777">
      <w:pPr>
        <w:ind w:left="720"/>
        <w:jc w:val="both"/>
      </w:pPr>
    </w:p>
    <w:p w:rsidR="005E55A2" w:rsidP="00A21059" w:rsidRDefault="005E55A2" w14:paraId="1923A086" w14:textId="6AFF28A9">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666AB2">
        <w:t>“</w:t>
      </w:r>
      <w:r w:rsidR="00C523D1">
        <w:t>Focus Groups with Nutrition Educators</w:t>
      </w:r>
      <w:r w:rsidR="00666AB2">
        <w:t xml:space="preserve">”. </w:t>
      </w:r>
    </w:p>
    <w:p w:rsidR="00662197" w:rsidP="00A21059" w:rsidRDefault="00662197" w14:paraId="148DDB41" w14:textId="77777777">
      <w:pPr>
        <w:ind w:left="720"/>
      </w:pPr>
    </w:p>
    <w:p w:rsidR="00C523D1" w:rsidP="00A21059" w:rsidRDefault="00C523D1" w14:paraId="2F56C0DC" w14:textId="190780F9">
      <w:pPr>
        <w:ind w:left="720"/>
      </w:pPr>
      <w:r w:rsidRPr="00C523D1">
        <w:t>The Food and Drug Administration (FDA) develops education initiatives aimed at helping consumers interpret and incorporate nutrition information in the context of their daily lives. The effectiveness of such efforts relies heavily on the delivery of nutrition education information by professionals</w:t>
      </w:r>
      <w:r>
        <w:t xml:space="preserve">, such as nutrition educators. </w:t>
      </w:r>
    </w:p>
    <w:p w:rsidR="00C523D1" w:rsidP="00A21059" w:rsidRDefault="00C523D1" w14:paraId="3B228082" w14:textId="77777777">
      <w:pPr>
        <w:ind w:left="720"/>
      </w:pPr>
    </w:p>
    <w:p w:rsidRPr="00C523D1" w:rsidR="00044728" w:rsidP="00044728" w:rsidRDefault="00C523D1" w14:paraId="6EB35D5F" w14:textId="62EA86CE">
      <w:pPr>
        <w:ind w:left="720"/>
      </w:pPr>
      <w:r w:rsidRPr="00C523D1">
        <w:t>To</w:t>
      </w:r>
      <w:r w:rsidR="00044728">
        <w:t xml:space="preserve"> support and further improve the effectiveness of </w:t>
      </w:r>
      <w:r w:rsidRPr="00C523D1">
        <w:t xml:space="preserve">FDA’s </w:t>
      </w:r>
      <w:r w:rsidR="00044728">
        <w:t xml:space="preserve">nutrition education initiatives, FDA is planning to </w:t>
      </w:r>
      <w:r w:rsidRPr="00C523D1" w:rsidR="00044728">
        <w:t xml:space="preserve">conduct </w:t>
      </w:r>
      <w:r w:rsidR="00044728">
        <w:t xml:space="preserve">this </w:t>
      </w:r>
      <w:r w:rsidRPr="00C523D1" w:rsidR="00044728">
        <w:t>focus group</w:t>
      </w:r>
      <w:r w:rsidR="00044728">
        <w:t xml:space="preserve"> study </w:t>
      </w:r>
      <w:r w:rsidRPr="00C523D1" w:rsidR="00044728">
        <w:t xml:space="preserve">to better understand nutrition educators’ concerns and lessons learned through their work, and to identify ways that FDA can support their educational efforts. Results of this study will provide the Center with an in-depth understanding of the needs and challenges faced by nutrition educators, what approaches and resources they find most helpful and would prefer to use when providing information to the population they serve, and how FDA can best support their activities. </w:t>
      </w:r>
    </w:p>
    <w:p w:rsidRPr="00044728" w:rsidR="00C523D1" w:rsidP="00044728" w:rsidRDefault="00C523D1" w14:paraId="130F5D4A" w14:textId="77777777"/>
    <w:p w:rsidRPr="00044728" w:rsidR="007A3BA7" w:rsidP="00044728" w:rsidRDefault="00C523D1" w14:paraId="40AA86A8" w14:textId="675488E2">
      <w:pPr>
        <w:ind w:left="720"/>
      </w:pPr>
      <w:r w:rsidRPr="00044728">
        <w:t>T</w:t>
      </w:r>
      <w:r w:rsidRPr="00044728" w:rsidR="00044728">
        <w:t xml:space="preserve">his </w:t>
      </w:r>
      <w:r w:rsidRPr="00044728">
        <w:t>research aligns with FDA’s Center for Food Safety and Applied Nutrition (CFSAN) strategic goal to “advance diet and health research that contributes to the development of science-based policies and communication strategies” and is part of the agency’s continuing effort to enable consumers to make informed dietary choices and construct healthful diets.</w:t>
      </w:r>
      <w:r w:rsidRPr="00044728" w:rsidR="00F576B5">
        <w:t xml:space="preserve"> </w:t>
      </w:r>
    </w:p>
    <w:p w:rsidRPr="00044728" w:rsidR="005E55A2" w:rsidP="005E55A2" w:rsidRDefault="005E55A2" w14:paraId="674603D7" w14:textId="77777777"/>
    <w:p w:rsidRPr="00044728" w:rsidR="005E55A2" w:rsidP="005E55A2" w:rsidRDefault="005E55A2" w14:paraId="040E2F05" w14:textId="77777777">
      <w:pPr>
        <w:numPr>
          <w:ilvl w:val="0"/>
          <w:numId w:val="1"/>
        </w:numPr>
        <w:tabs>
          <w:tab w:val="clear" w:pos="1296"/>
          <w:tab w:val="num" w:pos="720"/>
        </w:tabs>
        <w:ind w:left="720"/>
      </w:pPr>
      <w:r w:rsidRPr="00044728">
        <w:rPr>
          <w:b/>
        </w:rPr>
        <w:t>Intended use of information:</w:t>
      </w:r>
      <w:r w:rsidRPr="00044728">
        <w:t xml:space="preserve">  </w:t>
      </w:r>
    </w:p>
    <w:p w:rsidRPr="00044728" w:rsidR="00BF328C" w:rsidP="00AE71B4" w:rsidRDefault="00BF328C" w14:paraId="6596C762" w14:textId="77777777">
      <w:pPr>
        <w:ind w:left="720"/>
      </w:pPr>
    </w:p>
    <w:p w:rsidRPr="00044728" w:rsidR="005E55A2" w:rsidP="00044728" w:rsidRDefault="00044728" w14:paraId="2402DE07" w14:textId="35682732">
      <w:pPr>
        <w:ind w:left="720"/>
      </w:pPr>
      <w:r w:rsidRPr="00044728">
        <w:t>As stated above, by obtaining a better understanding of the challenges nutrition educators face, this study serves to help the agency identify gaps in current communication strategies and to further assist with formulating effective educational materials.</w:t>
      </w:r>
    </w:p>
    <w:p w:rsidRPr="00044728" w:rsidR="00044728" w:rsidP="00044728" w:rsidRDefault="00044728" w14:paraId="11C268B2" w14:textId="77777777">
      <w:pPr>
        <w:ind w:left="720"/>
      </w:pPr>
    </w:p>
    <w:p w:rsidRPr="00044728" w:rsidR="005E55A2" w:rsidP="005E55A2" w:rsidRDefault="005E55A2" w14:paraId="1D0C78C1" w14:textId="77777777">
      <w:pPr>
        <w:keepNext/>
        <w:numPr>
          <w:ilvl w:val="0"/>
          <w:numId w:val="1"/>
        </w:numPr>
        <w:tabs>
          <w:tab w:val="clear" w:pos="1296"/>
          <w:tab w:val="num" w:pos="720"/>
        </w:tabs>
        <w:ind w:left="720"/>
      </w:pPr>
      <w:r w:rsidRPr="00044728">
        <w:rPr>
          <w:b/>
        </w:rPr>
        <w:t>Description of respondents:</w:t>
      </w:r>
      <w:r w:rsidRPr="00044728">
        <w:t xml:space="preserve">  </w:t>
      </w:r>
    </w:p>
    <w:p w:rsidRPr="00C523D1" w:rsidR="003C231C" w:rsidP="00B1482A" w:rsidRDefault="003C231C" w14:paraId="309CAD30" w14:textId="77777777">
      <w:pPr>
        <w:ind w:left="720"/>
        <w:jc w:val="both"/>
        <w:rPr>
          <w:color w:val="2E74B5" w:themeColor="accent5" w:themeShade="BF"/>
        </w:rPr>
      </w:pPr>
    </w:p>
    <w:p w:rsidRPr="00044728" w:rsidR="00B1482A" w:rsidP="00B1482A" w:rsidRDefault="00184048" w14:paraId="6E346723" w14:textId="38381A89">
      <w:pPr>
        <w:ind w:left="720"/>
        <w:jc w:val="both"/>
      </w:pPr>
      <w:r w:rsidRPr="00044728">
        <w:t xml:space="preserve">FDA </w:t>
      </w:r>
      <w:r w:rsidRPr="00044728" w:rsidR="00B1482A">
        <w:t xml:space="preserve">has contracted with RTI International to conduct a total of </w:t>
      </w:r>
      <w:r w:rsidRPr="00044728" w:rsidR="00044728">
        <w:t>20</w:t>
      </w:r>
      <w:r w:rsidRPr="00044728" w:rsidR="00B1482A">
        <w:t xml:space="preserve"> </w:t>
      </w:r>
      <w:r w:rsidRPr="00044728" w:rsidR="00044728">
        <w:t xml:space="preserve">focus </w:t>
      </w:r>
      <w:r w:rsidRPr="00044728" w:rsidR="00B1482A">
        <w:t xml:space="preserve">groups. </w:t>
      </w:r>
    </w:p>
    <w:p w:rsidRPr="00C523D1" w:rsidR="00B1482A" w:rsidP="00B1482A" w:rsidRDefault="00B1482A" w14:paraId="3265F9E3" w14:textId="77777777">
      <w:pPr>
        <w:ind w:left="720"/>
        <w:jc w:val="both"/>
        <w:rPr>
          <w:color w:val="2E74B5" w:themeColor="accent5" w:themeShade="BF"/>
        </w:rPr>
      </w:pPr>
    </w:p>
    <w:p w:rsidR="00DD6E36" w:rsidP="00A21059" w:rsidRDefault="00360F5F" w14:paraId="1E862A14" w14:textId="58B32AF6">
      <w:pPr>
        <w:ind w:left="720"/>
      </w:pPr>
      <w:r w:rsidRPr="00044728">
        <w:lastRenderedPageBreak/>
        <w:t>Groups will include only</w:t>
      </w:r>
      <w:r w:rsidRPr="00044728" w:rsidR="00184048">
        <w:t xml:space="preserve"> adult individuals</w:t>
      </w:r>
      <w:r w:rsidRPr="00044728">
        <w:t xml:space="preserve"> (18+)</w:t>
      </w:r>
      <w:r w:rsidRPr="00044728" w:rsidR="00044728">
        <w:t xml:space="preserve"> who </w:t>
      </w:r>
      <w:r w:rsidR="00DD6E36">
        <w:t>currently work</w:t>
      </w:r>
      <w:r w:rsidRPr="00044728" w:rsidR="00044728">
        <w:t xml:space="preserve"> as nutrition educators</w:t>
      </w:r>
      <w:r w:rsidRPr="00044728">
        <w:t>.</w:t>
      </w:r>
      <w:r w:rsidR="000970D8">
        <w:t xml:space="preserve"> Groups will be segmented by (1) nutrition educator type and (2) location</w:t>
      </w:r>
      <w:r w:rsidR="00DD6E36">
        <w:t xml:space="preserve">; </w:t>
      </w:r>
      <w:r w:rsidR="000970D8">
        <w:t xml:space="preserve">and will be conducted either in-person or virtually. </w:t>
      </w:r>
      <w:r w:rsidR="00A84BA5">
        <w:t>Details of group segmentation and mode are p</w:t>
      </w:r>
      <w:r w:rsidR="00DD6E36">
        <w:t xml:space="preserve">rovided </w:t>
      </w:r>
      <w:r w:rsidR="00A84BA5">
        <w:t xml:space="preserve">in the table </w:t>
      </w:r>
      <w:r w:rsidR="00DD6E36">
        <w:t>below.</w:t>
      </w:r>
    </w:p>
    <w:p w:rsidR="00DD6E36" w:rsidP="00A21059" w:rsidRDefault="00DD6E36" w14:paraId="5B100750" w14:textId="10F57E9A">
      <w:pPr>
        <w:ind w:left="720"/>
      </w:pPr>
    </w:p>
    <w:tbl>
      <w:tblPr>
        <w:tblStyle w:val="TableGrid"/>
        <w:tblW w:w="8730" w:type="dxa"/>
        <w:tblInd w:w="625" w:type="dxa"/>
        <w:tblLook w:val="04A0" w:firstRow="1" w:lastRow="0" w:firstColumn="1" w:lastColumn="0" w:noHBand="0" w:noVBand="1"/>
      </w:tblPr>
      <w:tblGrid>
        <w:gridCol w:w="897"/>
        <w:gridCol w:w="3532"/>
        <w:gridCol w:w="1696"/>
        <w:gridCol w:w="2605"/>
      </w:tblGrid>
      <w:tr w:rsidR="00A84BA5" w:rsidTr="00A84BA5" w14:paraId="5FC79AF3" w14:textId="77777777">
        <w:tc>
          <w:tcPr>
            <w:tcW w:w="272" w:type="dxa"/>
            <w:vAlign w:val="center"/>
          </w:tcPr>
          <w:p w:rsidRPr="00A84BA5" w:rsidR="00DD6E36" w:rsidP="00A84BA5" w:rsidRDefault="00DD6E36" w14:paraId="29F936B6" w14:textId="4261C7E3">
            <w:pPr>
              <w:jc w:val="center"/>
              <w:rPr>
                <w:b/>
              </w:rPr>
            </w:pPr>
            <w:r w:rsidRPr="00A84BA5">
              <w:rPr>
                <w:b/>
              </w:rPr>
              <w:t>Group #</w:t>
            </w:r>
          </w:p>
        </w:tc>
        <w:tc>
          <w:tcPr>
            <w:tcW w:w="3867" w:type="dxa"/>
            <w:vAlign w:val="center"/>
          </w:tcPr>
          <w:p w:rsidRPr="00A84BA5" w:rsidR="0031045F" w:rsidP="00A84BA5" w:rsidRDefault="0031045F" w14:paraId="2485F735" w14:textId="77777777">
            <w:pPr>
              <w:jc w:val="center"/>
              <w:rPr>
                <w:b/>
              </w:rPr>
            </w:pPr>
            <w:r w:rsidRPr="00A84BA5">
              <w:rPr>
                <w:b/>
              </w:rPr>
              <w:t>Participants/</w:t>
            </w:r>
          </w:p>
          <w:p w:rsidRPr="00A84BA5" w:rsidR="00DD6E36" w:rsidP="00A84BA5" w:rsidRDefault="0031045F" w14:paraId="58B4ACCC" w14:textId="3BF4419D">
            <w:pPr>
              <w:jc w:val="center"/>
              <w:rPr>
                <w:b/>
              </w:rPr>
            </w:pPr>
            <w:r w:rsidRPr="00A84BA5">
              <w:rPr>
                <w:b/>
              </w:rPr>
              <w:t>Nutrition Educator Type</w:t>
            </w:r>
          </w:p>
        </w:tc>
        <w:tc>
          <w:tcPr>
            <w:tcW w:w="1696" w:type="dxa"/>
            <w:vAlign w:val="center"/>
          </w:tcPr>
          <w:p w:rsidRPr="00A84BA5" w:rsidR="00DD6E36" w:rsidP="00A84BA5" w:rsidRDefault="0031045F" w14:paraId="2655EF4B" w14:textId="4BEBEC52">
            <w:pPr>
              <w:jc w:val="center"/>
              <w:rPr>
                <w:b/>
              </w:rPr>
            </w:pPr>
            <w:r w:rsidRPr="00A84BA5">
              <w:rPr>
                <w:b/>
              </w:rPr>
              <w:t>Location</w:t>
            </w:r>
          </w:p>
        </w:tc>
        <w:tc>
          <w:tcPr>
            <w:tcW w:w="2895" w:type="dxa"/>
            <w:vAlign w:val="center"/>
          </w:tcPr>
          <w:p w:rsidRPr="00A84BA5" w:rsidR="00DD6E36" w:rsidP="00A84BA5" w:rsidRDefault="0031045F" w14:paraId="49C9DA46" w14:textId="1DFE5E81">
            <w:pPr>
              <w:jc w:val="center"/>
              <w:rPr>
                <w:b/>
              </w:rPr>
            </w:pPr>
            <w:r w:rsidRPr="00A84BA5">
              <w:rPr>
                <w:b/>
              </w:rPr>
              <w:t>Mode</w:t>
            </w:r>
          </w:p>
        </w:tc>
      </w:tr>
      <w:tr w:rsidR="00A84BA5" w:rsidTr="00A84BA5" w14:paraId="221063CF" w14:textId="77777777">
        <w:tc>
          <w:tcPr>
            <w:tcW w:w="272" w:type="dxa"/>
            <w:vAlign w:val="center"/>
          </w:tcPr>
          <w:p w:rsidR="00D1719F" w:rsidP="00A84BA5" w:rsidRDefault="00D1719F" w14:paraId="07904F39" w14:textId="68BFA163">
            <w:pPr>
              <w:jc w:val="center"/>
            </w:pPr>
            <w:r>
              <w:t>1</w:t>
            </w:r>
          </w:p>
        </w:tc>
        <w:tc>
          <w:tcPr>
            <w:tcW w:w="3867" w:type="dxa"/>
            <w:vMerge w:val="restart"/>
            <w:vAlign w:val="center"/>
          </w:tcPr>
          <w:p w:rsidR="00D1719F" w:rsidP="00A84BA5" w:rsidRDefault="00D1719F" w14:paraId="463BE33F" w14:textId="20090517">
            <w:pPr>
              <w:jc w:val="center"/>
            </w:pPr>
            <w:r>
              <w:t>Nutrition Assistance Program Educators</w:t>
            </w:r>
          </w:p>
        </w:tc>
        <w:tc>
          <w:tcPr>
            <w:tcW w:w="1696" w:type="dxa"/>
            <w:vMerge w:val="restart"/>
            <w:vAlign w:val="center"/>
          </w:tcPr>
          <w:p w:rsidR="00D1719F" w:rsidP="00A84BA5" w:rsidRDefault="00D1719F" w14:paraId="0289C1CE" w14:textId="5D209D31">
            <w:pPr>
              <w:jc w:val="center"/>
            </w:pPr>
            <w:r>
              <w:t>MD</w:t>
            </w:r>
          </w:p>
        </w:tc>
        <w:tc>
          <w:tcPr>
            <w:tcW w:w="2895" w:type="dxa"/>
            <w:vMerge w:val="restart"/>
            <w:vAlign w:val="center"/>
          </w:tcPr>
          <w:p w:rsidR="00D1719F" w:rsidP="00A84BA5" w:rsidRDefault="00D1719F" w14:paraId="79DCAE1C" w14:textId="061CEBA6">
            <w:pPr>
              <w:jc w:val="center"/>
            </w:pPr>
            <w:r>
              <w:t>In-person</w:t>
            </w:r>
          </w:p>
        </w:tc>
      </w:tr>
      <w:tr w:rsidR="00A84BA5" w:rsidTr="00A84BA5" w14:paraId="7D98423C" w14:textId="77777777">
        <w:tc>
          <w:tcPr>
            <w:tcW w:w="272" w:type="dxa"/>
            <w:vAlign w:val="center"/>
          </w:tcPr>
          <w:p w:rsidR="00D1719F" w:rsidP="00A84BA5" w:rsidRDefault="00D1719F" w14:paraId="69D1BB83" w14:textId="1A9F3007">
            <w:pPr>
              <w:jc w:val="center"/>
            </w:pPr>
            <w:r>
              <w:t>2</w:t>
            </w:r>
          </w:p>
        </w:tc>
        <w:tc>
          <w:tcPr>
            <w:tcW w:w="3867" w:type="dxa"/>
            <w:vMerge/>
            <w:vAlign w:val="center"/>
          </w:tcPr>
          <w:p w:rsidR="00D1719F" w:rsidP="00A84BA5" w:rsidRDefault="00D1719F" w14:paraId="2E137D16" w14:textId="77777777">
            <w:pPr>
              <w:jc w:val="center"/>
            </w:pPr>
          </w:p>
        </w:tc>
        <w:tc>
          <w:tcPr>
            <w:tcW w:w="1696" w:type="dxa"/>
            <w:vMerge/>
            <w:vAlign w:val="center"/>
          </w:tcPr>
          <w:p w:rsidR="00D1719F" w:rsidP="00A84BA5" w:rsidRDefault="00D1719F" w14:paraId="3CB28F6E" w14:textId="77777777">
            <w:pPr>
              <w:jc w:val="center"/>
            </w:pPr>
          </w:p>
        </w:tc>
        <w:tc>
          <w:tcPr>
            <w:tcW w:w="2895" w:type="dxa"/>
            <w:vMerge/>
            <w:vAlign w:val="center"/>
          </w:tcPr>
          <w:p w:rsidR="00D1719F" w:rsidP="00A84BA5" w:rsidRDefault="00D1719F" w14:paraId="29355205" w14:textId="77777777">
            <w:pPr>
              <w:jc w:val="center"/>
            </w:pPr>
          </w:p>
        </w:tc>
      </w:tr>
      <w:tr w:rsidR="00A84BA5" w:rsidTr="00A84BA5" w14:paraId="4EACC701" w14:textId="77777777">
        <w:tc>
          <w:tcPr>
            <w:tcW w:w="272" w:type="dxa"/>
            <w:vAlign w:val="center"/>
          </w:tcPr>
          <w:p w:rsidR="00D1719F" w:rsidP="00A84BA5" w:rsidRDefault="00D1719F" w14:paraId="5531EF62" w14:textId="680246F2">
            <w:pPr>
              <w:jc w:val="center"/>
            </w:pPr>
            <w:r>
              <w:t>3</w:t>
            </w:r>
          </w:p>
        </w:tc>
        <w:tc>
          <w:tcPr>
            <w:tcW w:w="3867" w:type="dxa"/>
            <w:vMerge/>
            <w:vAlign w:val="center"/>
          </w:tcPr>
          <w:p w:rsidR="00D1719F" w:rsidP="00A84BA5" w:rsidRDefault="00D1719F" w14:paraId="77B9588B" w14:textId="77777777">
            <w:pPr>
              <w:jc w:val="center"/>
            </w:pPr>
          </w:p>
        </w:tc>
        <w:tc>
          <w:tcPr>
            <w:tcW w:w="1696" w:type="dxa"/>
            <w:vMerge w:val="restart"/>
            <w:vAlign w:val="center"/>
          </w:tcPr>
          <w:p w:rsidR="00D1719F" w:rsidP="00A84BA5" w:rsidRDefault="00D1719F" w14:paraId="1C86B373" w14:textId="4859253D">
            <w:pPr>
              <w:jc w:val="center"/>
            </w:pPr>
            <w:r>
              <w:t>TX</w:t>
            </w:r>
          </w:p>
        </w:tc>
        <w:tc>
          <w:tcPr>
            <w:tcW w:w="2895" w:type="dxa"/>
            <w:vMerge/>
            <w:vAlign w:val="center"/>
          </w:tcPr>
          <w:p w:rsidR="00D1719F" w:rsidP="00A84BA5" w:rsidRDefault="00D1719F" w14:paraId="769F0C6E" w14:textId="77777777">
            <w:pPr>
              <w:jc w:val="center"/>
            </w:pPr>
          </w:p>
        </w:tc>
      </w:tr>
      <w:tr w:rsidR="00A84BA5" w:rsidTr="00A84BA5" w14:paraId="0272C10E" w14:textId="77777777">
        <w:tc>
          <w:tcPr>
            <w:tcW w:w="272" w:type="dxa"/>
            <w:vAlign w:val="center"/>
          </w:tcPr>
          <w:p w:rsidR="00D1719F" w:rsidP="00A84BA5" w:rsidRDefault="00D1719F" w14:paraId="555B52B2" w14:textId="3A6899EA">
            <w:pPr>
              <w:jc w:val="center"/>
            </w:pPr>
            <w:r>
              <w:t>4</w:t>
            </w:r>
          </w:p>
        </w:tc>
        <w:tc>
          <w:tcPr>
            <w:tcW w:w="3867" w:type="dxa"/>
            <w:vMerge/>
            <w:vAlign w:val="center"/>
          </w:tcPr>
          <w:p w:rsidR="00D1719F" w:rsidP="00A84BA5" w:rsidRDefault="00D1719F" w14:paraId="2B804EA2" w14:textId="77777777">
            <w:pPr>
              <w:jc w:val="center"/>
            </w:pPr>
          </w:p>
        </w:tc>
        <w:tc>
          <w:tcPr>
            <w:tcW w:w="1696" w:type="dxa"/>
            <w:vMerge/>
            <w:vAlign w:val="center"/>
          </w:tcPr>
          <w:p w:rsidR="00D1719F" w:rsidP="00A84BA5" w:rsidRDefault="00D1719F" w14:paraId="745559C4" w14:textId="77777777">
            <w:pPr>
              <w:jc w:val="center"/>
            </w:pPr>
          </w:p>
        </w:tc>
        <w:tc>
          <w:tcPr>
            <w:tcW w:w="2895" w:type="dxa"/>
            <w:vMerge/>
            <w:vAlign w:val="center"/>
          </w:tcPr>
          <w:p w:rsidR="00D1719F" w:rsidP="00A84BA5" w:rsidRDefault="00D1719F" w14:paraId="0961A7E5" w14:textId="77777777">
            <w:pPr>
              <w:jc w:val="center"/>
            </w:pPr>
          </w:p>
        </w:tc>
      </w:tr>
      <w:tr w:rsidR="00A84BA5" w:rsidTr="00A84BA5" w14:paraId="7917E7DA" w14:textId="77777777">
        <w:tc>
          <w:tcPr>
            <w:tcW w:w="272" w:type="dxa"/>
            <w:vAlign w:val="center"/>
          </w:tcPr>
          <w:p w:rsidR="00D1719F" w:rsidP="00A84BA5" w:rsidRDefault="00D1719F" w14:paraId="0764E6CB" w14:textId="59E58457">
            <w:pPr>
              <w:jc w:val="center"/>
            </w:pPr>
            <w:r>
              <w:t>5</w:t>
            </w:r>
          </w:p>
        </w:tc>
        <w:tc>
          <w:tcPr>
            <w:tcW w:w="3867" w:type="dxa"/>
            <w:vMerge/>
            <w:vAlign w:val="center"/>
          </w:tcPr>
          <w:p w:rsidR="00D1719F" w:rsidP="00A84BA5" w:rsidRDefault="00D1719F" w14:paraId="44F6AFC6" w14:textId="77777777">
            <w:pPr>
              <w:jc w:val="center"/>
            </w:pPr>
          </w:p>
        </w:tc>
        <w:tc>
          <w:tcPr>
            <w:tcW w:w="1696" w:type="dxa"/>
            <w:vMerge w:val="restart"/>
            <w:vAlign w:val="center"/>
          </w:tcPr>
          <w:p w:rsidR="00D1719F" w:rsidP="00A84BA5" w:rsidRDefault="00D1719F" w14:paraId="46C207FA" w14:textId="6FEA7AB6">
            <w:pPr>
              <w:jc w:val="center"/>
            </w:pPr>
            <w:r>
              <w:t>NC</w:t>
            </w:r>
          </w:p>
        </w:tc>
        <w:tc>
          <w:tcPr>
            <w:tcW w:w="2895" w:type="dxa"/>
            <w:vMerge/>
            <w:vAlign w:val="center"/>
          </w:tcPr>
          <w:p w:rsidR="00D1719F" w:rsidP="00A84BA5" w:rsidRDefault="00D1719F" w14:paraId="1CB8D033" w14:textId="77777777">
            <w:pPr>
              <w:jc w:val="center"/>
            </w:pPr>
          </w:p>
        </w:tc>
      </w:tr>
      <w:tr w:rsidR="00A84BA5" w:rsidTr="00A84BA5" w14:paraId="67BFF41E" w14:textId="77777777">
        <w:tc>
          <w:tcPr>
            <w:tcW w:w="272" w:type="dxa"/>
            <w:vAlign w:val="center"/>
          </w:tcPr>
          <w:p w:rsidR="00D1719F" w:rsidP="00A84BA5" w:rsidRDefault="00D1719F" w14:paraId="2526804C" w14:textId="5512F1BE">
            <w:pPr>
              <w:jc w:val="center"/>
            </w:pPr>
            <w:r>
              <w:t>6</w:t>
            </w:r>
          </w:p>
        </w:tc>
        <w:tc>
          <w:tcPr>
            <w:tcW w:w="3867" w:type="dxa"/>
            <w:vMerge/>
            <w:vAlign w:val="center"/>
          </w:tcPr>
          <w:p w:rsidR="00D1719F" w:rsidP="00A84BA5" w:rsidRDefault="00D1719F" w14:paraId="51149EE0" w14:textId="77777777">
            <w:pPr>
              <w:jc w:val="center"/>
            </w:pPr>
          </w:p>
        </w:tc>
        <w:tc>
          <w:tcPr>
            <w:tcW w:w="1696" w:type="dxa"/>
            <w:vMerge/>
            <w:vAlign w:val="center"/>
          </w:tcPr>
          <w:p w:rsidR="00D1719F" w:rsidP="00A84BA5" w:rsidRDefault="00D1719F" w14:paraId="1F1FEB37" w14:textId="77777777">
            <w:pPr>
              <w:jc w:val="center"/>
            </w:pPr>
          </w:p>
        </w:tc>
        <w:tc>
          <w:tcPr>
            <w:tcW w:w="2895" w:type="dxa"/>
            <w:vMerge/>
            <w:vAlign w:val="center"/>
          </w:tcPr>
          <w:p w:rsidR="00D1719F" w:rsidP="00A84BA5" w:rsidRDefault="00D1719F" w14:paraId="268F6FC7" w14:textId="77777777">
            <w:pPr>
              <w:jc w:val="center"/>
            </w:pPr>
          </w:p>
        </w:tc>
      </w:tr>
      <w:tr w:rsidR="00A84BA5" w:rsidTr="00A84BA5" w14:paraId="61DBB43C" w14:textId="77777777">
        <w:tc>
          <w:tcPr>
            <w:tcW w:w="272" w:type="dxa"/>
            <w:vAlign w:val="center"/>
          </w:tcPr>
          <w:p w:rsidR="00D1719F" w:rsidP="00A84BA5" w:rsidRDefault="00D1719F" w14:paraId="4A050009" w14:textId="52D0F4B1">
            <w:pPr>
              <w:jc w:val="center"/>
            </w:pPr>
            <w:r>
              <w:t>7</w:t>
            </w:r>
          </w:p>
        </w:tc>
        <w:tc>
          <w:tcPr>
            <w:tcW w:w="3867" w:type="dxa"/>
            <w:vMerge/>
            <w:vAlign w:val="center"/>
          </w:tcPr>
          <w:p w:rsidR="00D1719F" w:rsidP="00A84BA5" w:rsidRDefault="00D1719F" w14:paraId="3CDF2AA4" w14:textId="77777777">
            <w:pPr>
              <w:jc w:val="center"/>
            </w:pPr>
          </w:p>
        </w:tc>
        <w:tc>
          <w:tcPr>
            <w:tcW w:w="1696" w:type="dxa"/>
            <w:vMerge w:val="restart"/>
            <w:vAlign w:val="center"/>
          </w:tcPr>
          <w:p w:rsidR="00D1719F" w:rsidP="00A84BA5" w:rsidRDefault="00D1719F" w14:paraId="5873B975" w14:textId="72A9865C">
            <w:pPr>
              <w:jc w:val="center"/>
            </w:pPr>
            <w:r>
              <w:t>CA</w:t>
            </w:r>
          </w:p>
        </w:tc>
        <w:tc>
          <w:tcPr>
            <w:tcW w:w="2895" w:type="dxa"/>
            <w:vMerge/>
            <w:vAlign w:val="center"/>
          </w:tcPr>
          <w:p w:rsidR="00D1719F" w:rsidP="00A84BA5" w:rsidRDefault="00D1719F" w14:paraId="6A9E9C36" w14:textId="77777777">
            <w:pPr>
              <w:jc w:val="center"/>
            </w:pPr>
          </w:p>
        </w:tc>
      </w:tr>
      <w:tr w:rsidR="00A84BA5" w:rsidTr="00A84BA5" w14:paraId="56B325D2" w14:textId="77777777">
        <w:tc>
          <w:tcPr>
            <w:tcW w:w="272" w:type="dxa"/>
            <w:vAlign w:val="center"/>
          </w:tcPr>
          <w:p w:rsidR="00D1719F" w:rsidP="00A84BA5" w:rsidRDefault="00D1719F" w14:paraId="763946C4" w14:textId="35480F01">
            <w:pPr>
              <w:jc w:val="center"/>
            </w:pPr>
            <w:r>
              <w:t>8</w:t>
            </w:r>
          </w:p>
        </w:tc>
        <w:tc>
          <w:tcPr>
            <w:tcW w:w="3867" w:type="dxa"/>
            <w:vMerge/>
            <w:vAlign w:val="center"/>
          </w:tcPr>
          <w:p w:rsidR="00D1719F" w:rsidP="00A84BA5" w:rsidRDefault="00D1719F" w14:paraId="0E5CC2D8" w14:textId="77777777">
            <w:pPr>
              <w:jc w:val="center"/>
            </w:pPr>
          </w:p>
        </w:tc>
        <w:tc>
          <w:tcPr>
            <w:tcW w:w="1696" w:type="dxa"/>
            <w:vMerge/>
            <w:vAlign w:val="center"/>
          </w:tcPr>
          <w:p w:rsidR="00D1719F" w:rsidP="00A84BA5" w:rsidRDefault="00D1719F" w14:paraId="17AB92D7" w14:textId="77777777">
            <w:pPr>
              <w:jc w:val="center"/>
            </w:pPr>
          </w:p>
        </w:tc>
        <w:tc>
          <w:tcPr>
            <w:tcW w:w="2895" w:type="dxa"/>
            <w:vMerge/>
            <w:vAlign w:val="center"/>
          </w:tcPr>
          <w:p w:rsidR="00D1719F" w:rsidP="00A84BA5" w:rsidRDefault="00D1719F" w14:paraId="2C2D08B1" w14:textId="77777777">
            <w:pPr>
              <w:jc w:val="center"/>
            </w:pPr>
          </w:p>
        </w:tc>
      </w:tr>
      <w:tr w:rsidR="00A84BA5" w:rsidTr="00A84BA5" w14:paraId="573D3694" w14:textId="77777777">
        <w:tc>
          <w:tcPr>
            <w:tcW w:w="272" w:type="dxa"/>
            <w:vAlign w:val="center"/>
          </w:tcPr>
          <w:p w:rsidR="00D1719F" w:rsidP="00A84BA5" w:rsidRDefault="00D1719F" w14:paraId="6FD4922F" w14:textId="28747800">
            <w:pPr>
              <w:jc w:val="center"/>
            </w:pPr>
            <w:r>
              <w:t>9</w:t>
            </w:r>
          </w:p>
        </w:tc>
        <w:tc>
          <w:tcPr>
            <w:tcW w:w="3867" w:type="dxa"/>
            <w:vMerge/>
            <w:vAlign w:val="center"/>
          </w:tcPr>
          <w:p w:rsidR="00D1719F" w:rsidP="00A84BA5" w:rsidRDefault="00D1719F" w14:paraId="48F90551" w14:textId="77777777">
            <w:pPr>
              <w:jc w:val="center"/>
            </w:pPr>
          </w:p>
        </w:tc>
        <w:tc>
          <w:tcPr>
            <w:tcW w:w="1696" w:type="dxa"/>
            <w:vMerge w:val="restart"/>
            <w:vAlign w:val="center"/>
          </w:tcPr>
          <w:p w:rsidR="00D1719F" w:rsidP="00A84BA5" w:rsidRDefault="00D1719F" w14:paraId="144DD22A" w14:textId="1653ABBC">
            <w:pPr>
              <w:jc w:val="center"/>
            </w:pPr>
            <w:r>
              <w:t>WI</w:t>
            </w:r>
          </w:p>
        </w:tc>
        <w:tc>
          <w:tcPr>
            <w:tcW w:w="2895" w:type="dxa"/>
            <w:vMerge/>
            <w:vAlign w:val="center"/>
          </w:tcPr>
          <w:p w:rsidR="00D1719F" w:rsidP="00A84BA5" w:rsidRDefault="00D1719F" w14:paraId="088451A7" w14:textId="77777777">
            <w:pPr>
              <w:jc w:val="center"/>
            </w:pPr>
          </w:p>
        </w:tc>
      </w:tr>
      <w:tr w:rsidR="00A84BA5" w:rsidTr="00A84BA5" w14:paraId="626D0307" w14:textId="77777777">
        <w:tc>
          <w:tcPr>
            <w:tcW w:w="272" w:type="dxa"/>
            <w:vAlign w:val="center"/>
          </w:tcPr>
          <w:p w:rsidR="00D1719F" w:rsidP="00A84BA5" w:rsidRDefault="00D1719F" w14:paraId="2D7886D6" w14:textId="0A761FC5">
            <w:pPr>
              <w:jc w:val="center"/>
            </w:pPr>
            <w:r>
              <w:t>10</w:t>
            </w:r>
          </w:p>
        </w:tc>
        <w:tc>
          <w:tcPr>
            <w:tcW w:w="3867" w:type="dxa"/>
            <w:vMerge/>
            <w:vAlign w:val="center"/>
          </w:tcPr>
          <w:p w:rsidR="00D1719F" w:rsidP="00A84BA5" w:rsidRDefault="00D1719F" w14:paraId="03D981C2" w14:textId="77777777">
            <w:pPr>
              <w:jc w:val="center"/>
            </w:pPr>
          </w:p>
        </w:tc>
        <w:tc>
          <w:tcPr>
            <w:tcW w:w="1696" w:type="dxa"/>
            <w:vMerge/>
            <w:vAlign w:val="center"/>
          </w:tcPr>
          <w:p w:rsidR="00D1719F" w:rsidP="00A84BA5" w:rsidRDefault="00D1719F" w14:paraId="4A53A3ED" w14:textId="77777777">
            <w:pPr>
              <w:jc w:val="center"/>
            </w:pPr>
          </w:p>
        </w:tc>
        <w:tc>
          <w:tcPr>
            <w:tcW w:w="2895" w:type="dxa"/>
            <w:vMerge/>
            <w:vAlign w:val="center"/>
          </w:tcPr>
          <w:p w:rsidR="00D1719F" w:rsidP="00A84BA5" w:rsidRDefault="00D1719F" w14:paraId="05C49AA3" w14:textId="77777777">
            <w:pPr>
              <w:jc w:val="center"/>
            </w:pPr>
          </w:p>
        </w:tc>
      </w:tr>
      <w:tr w:rsidR="00A84BA5" w:rsidTr="00A84BA5" w14:paraId="3F0ECB0C" w14:textId="77777777">
        <w:tc>
          <w:tcPr>
            <w:tcW w:w="272" w:type="dxa"/>
            <w:vAlign w:val="center"/>
          </w:tcPr>
          <w:p w:rsidR="00D1719F" w:rsidP="00A84BA5" w:rsidRDefault="00D1719F" w14:paraId="4C28350F" w14:textId="4C009235">
            <w:pPr>
              <w:jc w:val="center"/>
            </w:pPr>
            <w:r>
              <w:t>11</w:t>
            </w:r>
          </w:p>
        </w:tc>
        <w:tc>
          <w:tcPr>
            <w:tcW w:w="3867" w:type="dxa"/>
            <w:vMerge w:val="restart"/>
            <w:vAlign w:val="center"/>
          </w:tcPr>
          <w:p w:rsidR="00D1719F" w:rsidP="00A84BA5" w:rsidRDefault="00D1719F" w14:paraId="3D886A8C" w14:textId="3325BAED">
            <w:pPr>
              <w:jc w:val="center"/>
            </w:pPr>
            <w:r>
              <w:t>Local/County/State Department Health Educators</w:t>
            </w:r>
          </w:p>
        </w:tc>
        <w:tc>
          <w:tcPr>
            <w:tcW w:w="1696" w:type="dxa"/>
            <w:vMerge w:val="restart"/>
            <w:vAlign w:val="center"/>
          </w:tcPr>
          <w:p w:rsidR="00D1719F" w:rsidP="00A84BA5" w:rsidRDefault="00D1719F" w14:paraId="356C5E7E" w14:textId="7826B32C">
            <w:pPr>
              <w:jc w:val="center"/>
            </w:pPr>
            <w:r>
              <w:t>Geographically Diverse</w:t>
            </w:r>
          </w:p>
        </w:tc>
        <w:tc>
          <w:tcPr>
            <w:tcW w:w="2895" w:type="dxa"/>
            <w:vMerge w:val="restart"/>
            <w:vAlign w:val="center"/>
          </w:tcPr>
          <w:p w:rsidR="00D1719F" w:rsidP="00A84BA5" w:rsidRDefault="00D1719F" w14:paraId="1971D541" w14:textId="5792C135">
            <w:pPr>
              <w:jc w:val="center"/>
            </w:pPr>
            <w:r>
              <w:t>Virtual</w:t>
            </w:r>
          </w:p>
        </w:tc>
      </w:tr>
      <w:tr w:rsidR="00A84BA5" w:rsidTr="00A84BA5" w14:paraId="02A44C7C" w14:textId="77777777">
        <w:tc>
          <w:tcPr>
            <w:tcW w:w="272" w:type="dxa"/>
            <w:vAlign w:val="center"/>
          </w:tcPr>
          <w:p w:rsidR="00D1719F" w:rsidP="00A84BA5" w:rsidRDefault="00D1719F" w14:paraId="1FE19F93" w14:textId="10CB6B10">
            <w:pPr>
              <w:jc w:val="center"/>
            </w:pPr>
            <w:r>
              <w:t>12</w:t>
            </w:r>
          </w:p>
        </w:tc>
        <w:tc>
          <w:tcPr>
            <w:tcW w:w="3867" w:type="dxa"/>
            <w:vMerge/>
            <w:vAlign w:val="center"/>
          </w:tcPr>
          <w:p w:rsidR="00D1719F" w:rsidP="00A84BA5" w:rsidRDefault="00D1719F" w14:paraId="2DB38AFE" w14:textId="77777777">
            <w:pPr>
              <w:jc w:val="center"/>
            </w:pPr>
          </w:p>
        </w:tc>
        <w:tc>
          <w:tcPr>
            <w:tcW w:w="1696" w:type="dxa"/>
            <w:vMerge/>
            <w:vAlign w:val="center"/>
          </w:tcPr>
          <w:p w:rsidR="00D1719F" w:rsidP="00A84BA5" w:rsidRDefault="00D1719F" w14:paraId="5BE7FBC7" w14:textId="77777777">
            <w:pPr>
              <w:jc w:val="center"/>
            </w:pPr>
          </w:p>
        </w:tc>
        <w:tc>
          <w:tcPr>
            <w:tcW w:w="2895" w:type="dxa"/>
            <w:vMerge/>
            <w:vAlign w:val="center"/>
          </w:tcPr>
          <w:p w:rsidR="00D1719F" w:rsidP="00A84BA5" w:rsidRDefault="00D1719F" w14:paraId="6DB2E266" w14:textId="77777777">
            <w:pPr>
              <w:jc w:val="center"/>
            </w:pPr>
          </w:p>
        </w:tc>
      </w:tr>
      <w:tr w:rsidR="00A84BA5" w:rsidTr="00A84BA5" w14:paraId="6F861487" w14:textId="77777777">
        <w:tc>
          <w:tcPr>
            <w:tcW w:w="272" w:type="dxa"/>
            <w:vAlign w:val="center"/>
          </w:tcPr>
          <w:p w:rsidR="00D1719F" w:rsidP="00A84BA5" w:rsidRDefault="00D1719F" w14:paraId="7B351B3D" w14:textId="60C377C2">
            <w:pPr>
              <w:jc w:val="center"/>
            </w:pPr>
            <w:r>
              <w:t>13</w:t>
            </w:r>
          </w:p>
        </w:tc>
        <w:tc>
          <w:tcPr>
            <w:tcW w:w="3867" w:type="dxa"/>
            <w:vMerge/>
            <w:vAlign w:val="center"/>
          </w:tcPr>
          <w:p w:rsidR="00D1719F" w:rsidP="00A84BA5" w:rsidRDefault="00D1719F" w14:paraId="3F62EC18" w14:textId="77777777">
            <w:pPr>
              <w:jc w:val="center"/>
            </w:pPr>
          </w:p>
        </w:tc>
        <w:tc>
          <w:tcPr>
            <w:tcW w:w="1696" w:type="dxa"/>
            <w:vMerge/>
            <w:vAlign w:val="center"/>
          </w:tcPr>
          <w:p w:rsidR="00D1719F" w:rsidP="00A84BA5" w:rsidRDefault="00D1719F" w14:paraId="51083527" w14:textId="77777777">
            <w:pPr>
              <w:jc w:val="center"/>
            </w:pPr>
          </w:p>
        </w:tc>
        <w:tc>
          <w:tcPr>
            <w:tcW w:w="2895" w:type="dxa"/>
            <w:vMerge/>
            <w:vAlign w:val="center"/>
          </w:tcPr>
          <w:p w:rsidR="00D1719F" w:rsidP="00A84BA5" w:rsidRDefault="00D1719F" w14:paraId="42EBEA3E" w14:textId="77777777">
            <w:pPr>
              <w:jc w:val="center"/>
            </w:pPr>
          </w:p>
        </w:tc>
      </w:tr>
      <w:tr w:rsidR="00A84BA5" w:rsidTr="00A84BA5" w14:paraId="594FE2E0" w14:textId="77777777">
        <w:tc>
          <w:tcPr>
            <w:tcW w:w="272" w:type="dxa"/>
            <w:vAlign w:val="center"/>
          </w:tcPr>
          <w:p w:rsidR="00D1719F" w:rsidP="00A84BA5" w:rsidRDefault="00D1719F" w14:paraId="18C92E9D" w14:textId="479D32D5">
            <w:pPr>
              <w:jc w:val="center"/>
            </w:pPr>
            <w:r>
              <w:t>14</w:t>
            </w:r>
          </w:p>
        </w:tc>
        <w:tc>
          <w:tcPr>
            <w:tcW w:w="3867" w:type="dxa"/>
            <w:vMerge/>
            <w:vAlign w:val="center"/>
          </w:tcPr>
          <w:p w:rsidR="00D1719F" w:rsidP="00A84BA5" w:rsidRDefault="00D1719F" w14:paraId="790E0CE8" w14:textId="77777777">
            <w:pPr>
              <w:jc w:val="center"/>
            </w:pPr>
          </w:p>
        </w:tc>
        <w:tc>
          <w:tcPr>
            <w:tcW w:w="1696" w:type="dxa"/>
            <w:vMerge/>
            <w:vAlign w:val="center"/>
          </w:tcPr>
          <w:p w:rsidR="00D1719F" w:rsidP="00A84BA5" w:rsidRDefault="00D1719F" w14:paraId="2B121240" w14:textId="77777777">
            <w:pPr>
              <w:jc w:val="center"/>
            </w:pPr>
          </w:p>
        </w:tc>
        <w:tc>
          <w:tcPr>
            <w:tcW w:w="2895" w:type="dxa"/>
            <w:vMerge/>
            <w:vAlign w:val="center"/>
          </w:tcPr>
          <w:p w:rsidR="00D1719F" w:rsidP="00A84BA5" w:rsidRDefault="00D1719F" w14:paraId="6F52DF5D" w14:textId="77777777">
            <w:pPr>
              <w:jc w:val="center"/>
            </w:pPr>
          </w:p>
        </w:tc>
      </w:tr>
      <w:tr w:rsidR="00A84BA5" w:rsidTr="00A84BA5" w14:paraId="36FCD8A6" w14:textId="77777777">
        <w:tc>
          <w:tcPr>
            <w:tcW w:w="272" w:type="dxa"/>
            <w:vAlign w:val="center"/>
          </w:tcPr>
          <w:p w:rsidR="00D1719F" w:rsidP="00A84BA5" w:rsidRDefault="00D1719F" w14:paraId="2961569F" w14:textId="382BEF27">
            <w:pPr>
              <w:jc w:val="center"/>
            </w:pPr>
            <w:r>
              <w:t>15</w:t>
            </w:r>
          </w:p>
        </w:tc>
        <w:tc>
          <w:tcPr>
            <w:tcW w:w="3867" w:type="dxa"/>
            <w:vMerge w:val="restart"/>
            <w:vAlign w:val="center"/>
          </w:tcPr>
          <w:p w:rsidR="00D1719F" w:rsidP="00A84BA5" w:rsidRDefault="00D1719F" w14:paraId="1644ECBA" w14:textId="5217D0A7">
            <w:pPr>
              <w:jc w:val="center"/>
            </w:pPr>
            <w:r>
              <w:t>Grocery Store Educators</w:t>
            </w:r>
          </w:p>
        </w:tc>
        <w:tc>
          <w:tcPr>
            <w:tcW w:w="1696" w:type="dxa"/>
            <w:vMerge/>
            <w:vAlign w:val="center"/>
          </w:tcPr>
          <w:p w:rsidR="00D1719F" w:rsidP="00A84BA5" w:rsidRDefault="00D1719F" w14:paraId="6D3A62AD" w14:textId="77777777">
            <w:pPr>
              <w:jc w:val="center"/>
            </w:pPr>
          </w:p>
        </w:tc>
        <w:tc>
          <w:tcPr>
            <w:tcW w:w="2895" w:type="dxa"/>
            <w:vMerge/>
            <w:vAlign w:val="center"/>
          </w:tcPr>
          <w:p w:rsidR="00D1719F" w:rsidP="00A84BA5" w:rsidRDefault="00D1719F" w14:paraId="73E86F25" w14:textId="77777777">
            <w:pPr>
              <w:jc w:val="center"/>
            </w:pPr>
          </w:p>
        </w:tc>
      </w:tr>
      <w:tr w:rsidR="00A84BA5" w:rsidTr="00A84BA5" w14:paraId="173FA73D" w14:textId="77777777">
        <w:tc>
          <w:tcPr>
            <w:tcW w:w="272" w:type="dxa"/>
            <w:vAlign w:val="center"/>
          </w:tcPr>
          <w:p w:rsidR="00D1719F" w:rsidP="00A84BA5" w:rsidRDefault="00D1719F" w14:paraId="01DD9160" w14:textId="0F610FFE">
            <w:pPr>
              <w:jc w:val="center"/>
            </w:pPr>
            <w:r>
              <w:t>16</w:t>
            </w:r>
          </w:p>
        </w:tc>
        <w:tc>
          <w:tcPr>
            <w:tcW w:w="3867" w:type="dxa"/>
            <w:vMerge/>
            <w:vAlign w:val="center"/>
          </w:tcPr>
          <w:p w:rsidR="00D1719F" w:rsidP="00A84BA5" w:rsidRDefault="00D1719F" w14:paraId="2C1EB291" w14:textId="77777777">
            <w:pPr>
              <w:jc w:val="center"/>
            </w:pPr>
          </w:p>
        </w:tc>
        <w:tc>
          <w:tcPr>
            <w:tcW w:w="1696" w:type="dxa"/>
            <w:vMerge/>
            <w:vAlign w:val="center"/>
          </w:tcPr>
          <w:p w:rsidR="00D1719F" w:rsidP="00A84BA5" w:rsidRDefault="00D1719F" w14:paraId="30B54257" w14:textId="77777777">
            <w:pPr>
              <w:jc w:val="center"/>
            </w:pPr>
          </w:p>
        </w:tc>
        <w:tc>
          <w:tcPr>
            <w:tcW w:w="2895" w:type="dxa"/>
            <w:vMerge/>
            <w:vAlign w:val="center"/>
          </w:tcPr>
          <w:p w:rsidR="00D1719F" w:rsidP="00A84BA5" w:rsidRDefault="00D1719F" w14:paraId="34BED009" w14:textId="77777777">
            <w:pPr>
              <w:jc w:val="center"/>
            </w:pPr>
          </w:p>
        </w:tc>
      </w:tr>
      <w:tr w:rsidR="00A84BA5" w:rsidTr="00A84BA5" w14:paraId="57776417" w14:textId="77777777">
        <w:tc>
          <w:tcPr>
            <w:tcW w:w="272" w:type="dxa"/>
            <w:vAlign w:val="center"/>
          </w:tcPr>
          <w:p w:rsidR="00D1719F" w:rsidP="00A84BA5" w:rsidRDefault="00D1719F" w14:paraId="16435E64" w14:textId="1B8FE60F">
            <w:pPr>
              <w:jc w:val="center"/>
            </w:pPr>
            <w:r>
              <w:t>17</w:t>
            </w:r>
          </w:p>
        </w:tc>
        <w:tc>
          <w:tcPr>
            <w:tcW w:w="3867" w:type="dxa"/>
            <w:vMerge/>
            <w:vAlign w:val="center"/>
          </w:tcPr>
          <w:p w:rsidR="00D1719F" w:rsidP="00A84BA5" w:rsidRDefault="00D1719F" w14:paraId="3188E5D7" w14:textId="77777777">
            <w:pPr>
              <w:jc w:val="center"/>
            </w:pPr>
          </w:p>
        </w:tc>
        <w:tc>
          <w:tcPr>
            <w:tcW w:w="1696" w:type="dxa"/>
            <w:vMerge/>
            <w:vAlign w:val="center"/>
          </w:tcPr>
          <w:p w:rsidR="00D1719F" w:rsidP="00A84BA5" w:rsidRDefault="00D1719F" w14:paraId="6BE635D4" w14:textId="77777777">
            <w:pPr>
              <w:jc w:val="center"/>
            </w:pPr>
          </w:p>
        </w:tc>
        <w:tc>
          <w:tcPr>
            <w:tcW w:w="2895" w:type="dxa"/>
            <w:vMerge/>
            <w:vAlign w:val="center"/>
          </w:tcPr>
          <w:p w:rsidR="00D1719F" w:rsidP="00A84BA5" w:rsidRDefault="00D1719F" w14:paraId="79AC0637" w14:textId="77777777">
            <w:pPr>
              <w:jc w:val="center"/>
            </w:pPr>
          </w:p>
        </w:tc>
      </w:tr>
      <w:tr w:rsidR="00A84BA5" w:rsidTr="00A84BA5" w14:paraId="601E85DC" w14:textId="77777777">
        <w:tc>
          <w:tcPr>
            <w:tcW w:w="272" w:type="dxa"/>
            <w:vAlign w:val="center"/>
          </w:tcPr>
          <w:p w:rsidR="00D1719F" w:rsidP="00A84BA5" w:rsidRDefault="00D1719F" w14:paraId="7CCC3DFD" w14:textId="2641E882">
            <w:pPr>
              <w:jc w:val="center"/>
            </w:pPr>
            <w:r>
              <w:t>18</w:t>
            </w:r>
          </w:p>
        </w:tc>
        <w:tc>
          <w:tcPr>
            <w:tcW w:w="3867" w:type="dxa"/>
            <w:vMerge/>
            <w:vAlign w:val="center"/>
          </w:tcPr>
          <w:p w:rsidR="00D1719F" w:rsidP="00A84BA5" w:rsidRDefault="00D1719F" w14:paraId="4272FB10" w14:textId="77777777">
            <w:pPr>
              <w:jc w:val="center"/>
            </w:pPr>
          </w:p>
        </w:tc>
        <w:tc>
          <w:tcPr>
            <w:tcW w:w="1696" w:type="dxa"/>
            <w:vMerge/>
            <w:vAlign w:val="center"/>
          </w:tcPr>
          <w:p w:rsidR="00D1719F" w:rsidP="00A84BA5" w:rsidRDefault="00D1719F" w14:paraId="50165ADF" w14:textId="77777777">
            <w:pPr>
              <w:jc w:val="center"/>
            </w:pPr>
          </w:p>
        </w:tc>
        <w:tc>
          <w:tcPr>
            <w:tcW w:w="2895" w:type="dxa"/>
            <w:vMerge/>
            <w:vAlign w:val="center"/>
          </w:tcPr>
          <w:p w:rsidR="00D1719F" w:rsidP="00A84BA5" w:rsidRDefault="00D1719F" w14:paraId="04A8F07C" w14:textId="77777777">
            <w:pPr>
              <w:jc w:val="center"/>
            </w:pPr>
          </w:p>
        </w:tc>
      </w:tr>
      <w:tr w:rsidR="00A84BA5" w:rsidTr="00A84BA5" w14:paraId="15B83A79" w14:textId="77777777">
        <w:tc>
          <w:tcPr>
            <w:tcW w:w="272" w:type="dxa"/>
            <w:vAlign w:val="center"/>
          </w:tcPr>
          <w:p w:rsidR="00D1719F" w:rsidP="00A84BA5" w:rsidRDefault="00D1719F" w14:paraId="0242767C" w14:textId="08F28F33">
            <w:pPr>
              <w:jc w:val="center"/>
            </w:pPr>
            <w:r>
              <w:t>19</w:t>
            </w:r>
          </w:p>
        </w:tc>
        <w:tc>
          <w:tcPr>
            <w:tcW w:w="3867" w:type="dxa"/>
            <w:vMerge w:val="restart"/>
            <w:vAlign w:val="center"/>
          </w:tcPr>
          <w:p w:rsidR="00D1719F" w:rsidP="00A84BA5" w:rsidRDefault="00D1719F" w14:paraId="4AC828B2" w14:textId="19863136">
            <w:pPr>
              <w:jc w:val="center"/>
            </w:pPr>
            <w:r>
              <w:t>Any Nutrition Educators</w:t>
            </w:r>
          </w:p>
        </w:tc>
        <w:tc>
          <w:tcPr>
            <w:tcW w:w="1696" w:type="dxa"/>
            <w:vMerge/>
            <w:vAlign w:val="center"/>
          </w:tcPr>
          <w:p w:rsidR="00D1719F" w:rsidP="00A84BA5" w:rsidRDefault="00D1719F" w14:paraId="7BCE109A" w14:textId="77777777">
            <w:pPr>
              <w:jc w:val="center"/>
            </w:pPr>
          </w:p>
        </w:tc>
        <w:tc>
          <w:tcPr>
            <w:tcW w:w="2895" w:type="dxa"/>
            <w:vMerge w:val="restart"/>
            <w:vAlign w:val="center"/>
          </w:tcPr>
          <w:p w:rsidR="00D1719F" w:rsidP="00A84BA5" w:rsidRDefault="00D1719F" w14:paraId="2B5FCFEB" w14:textId="22EA3D1F">
            <w:pPr>
              <w:jc w:val="center"/>
            </w:pPr>
            <w:r>
              <w:t>In-person (at a national nutrition conference)</w:t>
            </w:r>
          </w:p>
        </w:tc>
      </w:tr>
      <w:tr w:rsidR="00A84BA5" w:rsidTr="00A84BA5" w14:paraId="18D19CFC" w14:textId="77777777">
        <w:tc>
          <w:tcPr>
            <w:tcW w:w="272" w:type="dxa"/>
            <w:vAlign w:val="center"/>
          </w:tcPr>
          <w:p w:rsidR="00D1719F" w:rsidP="00A84BA5" w:rsidRDefault="00D1719F" w14:paraId="19D0C92A" w14:textId="446BD5AB">
            <w:pPr>
              <w:jc w:val="center"/>
            </w:pPr>
            <w:r>
              <w:t>20</w:t>
            </w:r>
          </w:p>
        </w:tc>
        <w:tc>
          <w:tcPr>
            <w:tcW w:w="3867" w:type="dxa"/>
            <w:vMerge/>
            <w:vAlign w:val="center"/>
          </w:tcPr>
          <w:p w:rsidR="00D1719F" w:rsidP="00A84BA5" w:rsidRDefault="00D1719F" w14:paraId="79C1FD70" w14:textId="77777777">
            <w:pPr>
              <w:jc w:val="center"/>
            </w:pPr>
          </w:p>
        </w:tc>
        <w:tc>
          <w:tcPr>
            <w:tcW w:w="1696" w:type="dxa"/>
            <w:vMerge/>
            <w:vAlign w:val="center"/>
          </w:tcPr>
          <w:p w:rsidR="00D1719F" w:rsidP="00A84BA5" w:rsidRDefault="00D1719F" w14:paraId="22249FD6" w14:textId="77777777">
            <w:pPr>
              <w:jc w:val="center"/>
            </w:pPr>
          </w:p>
        </w:tc>
        <w:tc>
          <w:tcPr>
            <w:tcW w:w="2895" w:type="dxa"/>
            <w:vMerge/>
            <w:vAlign w:val="center"/>
          </w:tcPr>
          <w:p w:rsidR="00D1719F" w:rsidP="00A84BA5" w:rsidRDefault="00D1719F" w14:paraId="721488D1" w14:textId="77777777">
            <w:pPr>
              <w:jc w:val="center"/>
            </w:pPr>
          </w:p>
        </w:tc>
      </w:tr>
    </w:tbl>
    <w:p w:rsidRPr="00C523D1" w:rsidR="00B1482A" w:rsidP="00A84BA5" w:rsidRDefault="00B1482A" w14:paraId="5A6A819C" w14:textId="77777777">
      <w:pPr>
        <w:jc w:val="both"/>
        <w:rPr>
          <w:color w:val="2E74B5" w:themeColor="accent5" w:themeShade="BF"/>
        </w:rPr>
      </w:pPr>
    </w:p>
    <w:p w:rsidRPr="004A2CE0" w:rsidR="00B1482A" w:rsidP="009779D9" w:rsidRDefault="00B1482A" w14:paraId="08C18E3A" w14:textId="48E7584A">
      <w:pPr>
        <w:ind w:left="720"/>
        <w:jc w:val="both"/>
      </w:pPr>
      <w:r w:rsidRPr="004A2CE0">
        <w:t>The groups will have a mix of genders.</w:t>
      </w:r>
      <w:r w:rsidRPr="004A2CE0" w:rsidR="00A84BA5">
        <w:t xml:space="preserve"> </w:t>
      </w:r>
      <w:r w:rsidRPr="00587621" w:rsidR="00587621">
        <w:t>The in-person focus groups will contain no more than 8 participants in each group, and virtual focus groups will contain no more than 6 participants in each group.</w:t>
      </w:r>
      <w:r w:rsidRPr="00587621" w:rsidDel="00587621" w:rsidR="00587621">
        <w:t xml:space="preserve"> </w:t>
      </w:r>
      <w:r w:rsidRPr="004A2CE0">
        <w:t xml:space="preserve">(see Appendix </w:t>
      </w:r>
      <w:r w:rsidRPr="004A2CE0" w:rsidR="00093BF4">
        <w:t>I</w:t>
      </w:r>
      <w:r w:rsidRPr="004A2CE0">
        <w:t xml:space="preserve">, Participant Screener). </w:t>
      </w:r>
    </w:p>
    <w:p w:rsidRPr="00C523D1" w:rsidR="005E55A2" w:rsidP="009779D9" w:rsidRDefault="005E55A2" w14:paraId="3360C077" w14:textId="77777777">
      <w:pPr>
        <w:rPr>
          <w:color w:val="2E74B5" w:themeColor="accent5" w:themeShade="BF"/>
        </w:rPr>
      </w:pPr>
    </w:p>
    <w:p w:rsidRPr="00F20607" w:rsidR="005E55A2" w:rsidP="005E55A2" w:rsidRDefault="005E55A2" w14:paraId="21C47465" w14:textId="77777777">
      <w:pPr>
        <w:numPr>
          <w:ilvl w:val="0"/>
          <w:numId w:val="1"/>
        </w:numPr>
        <w:tabs>
          <w:tab w:val="clear" w:pos="1296"/>
          <w:tab w:val="num" w:pos="720"/>
        </w:tabs>
        <w:ind w:left="720"/>
      </w:pPr>
      <w:bookmarkStart w:name="_Hlk36022945" w:id="0"/>
      <w:r w:rsidRPr="00F20607">
        <w:rPr>
          <w:b/>
        </w:rPr>
        <w:t xml:space="preserve">Date(s) to be conducted and location(s):  </w:t>
      </w:r>
    </w:p>
    <w:p w:rsidRPr="00F20607" w:rsidR="003C231C" w:rsidP="005E55A2" w:rsidRDefault="003C231C" w14:paraId="554EF096" w14:textId="77777777">
      <w:pPr>
        <w:ind w:left="720"/>
        <w:jc w:val="both"/>
      </w:pPr>
    </w:p>
    <w:p w:rsidRPr="00F20607" w:rsidR="00F65ED3" w:rsidP="00A21059" w:rsidRDefault="00F65ED3" w14:paraId="7B375777" w14:textId="35C77C5F">
      <w:pPr>
        <w:ind w:left="720"/>
      </w:pPr>
      <w:r w:rsidRPr="00F20607">
        <w:t xml:space="preserve">Given the ongoing COVID-19 pandemic, the groups will be conducted after receipt of OMB approval and when it is safe to do so. </w:t>
      </w:r>
    </w:p>
    <w:bookmarkEnd w:id="0"/>
    <w:p w:rsidRPr="00C523D1" w:rsidR="00F65ED3" w:rsidP="00A21059" w:rsidRDefault="00F65ED3" w14:paraId="08F6C298" w14:textId="77777777">
      <w:pPr>
        <w:ind w:left="720"/>
        <w:rPr>
          <w:color w:val="2E74B5" w:themeColor="accent5" w:themeShade="BF"/>
        </w:rPr>
      </w:pPr>
    </w:p>
    <w:p w:rsidR="00370E0E" w:rsidP="00A21059" w:rsidRDefault="00915BA5" w14:paraId="3999BF83" w14:textId="6C84038B">
      <w:pPr>
        <w:ind w:left="720"/>
      </w:pPr>
      <w:r>
        <w:t>Ten (</w:t>
      </w:r>
      <w:r w:rsidR="00F47947">
        <w:t>10</w:t>
      </w:r>
      <w:r>
        <w:t>)</w:t>
      </w:r>
      <w:r w:rsidR="00F20607">
        <w:t xml:space="preserve"> of the</w:t>
      </w:r>
      <w:r w:rsidRPr="00F20607" w:rsidR="005E55A2">
        <w:t xml:space="preserve"> </w:t>
      </w:r>
      <w:r w:rsidRPr="00F20607" w:rsidR="004A2CE0">
        <w:t xml:space="preserve">in-person </w:t>
      </w:r>
      <w:r w:rsidRPr="00F20607" w:rsidR="005E55A2">
        <w:t>focus groups</w:t>
      </w:r>
      <w:r w:rsidR="00F20607">
        <w:t xml:space="preserve"> (with nutrition assistance program educators) </w:t>
      </w:r>
      <w:r w:rsidRPr="00F20607" w:rsidR="005E55A2">
        <w:t>will be conducted in</w:t>
      </w:r>
      <w:r w:rsidRPr="00F20607" w:rsidR="008A6CBF">
        <w:t xml:space="preserve"> </w:t>
      </w:r>
      <w:r w:rsidRPr="00F20607" w:rsidR="00F20607">
        <w:t>Maryland, Texas, North Carolina, California, and Wisconsin</w:t>
      </w:r>
      <w:r w:rsidRPr="00F20607" w:rsidR="008A6CBF">
        <w:t>.</w:t>
      </w:r>
      <w:r w:rsidR="00CA05A4">
        <w:t xml:space="preserve"> </w:t>
      </w:r>
      <w:r w:rsidRPr="00F20607" w:rsidR="008A6CBF">
        <w:t>The selected locations</w:t>
      </w:r>
      <w:r w:rsidR="00FD070D">
        <w:t>:</w:t>
      </w:r>
      <w:r w:rsidRPr="00F20607" w:rsidR="008A6CBF">
        <w:t xml:space="preserve"> </w:t>
      </w:r>
      <w:r w:rsidR="00F20607">
        <w:t xml:space="preserve">(1) </w:t>
      </w:r>
      <w:r w:rsidRPr="00F20607" w:rsidR="008A6CBF">
        <w:t>offer suitable focus group facilities and recruitment capabilities that will enable us to recruit participants who meet the criteria described in section 3 above</w:t>
      </w:r>
      <w:r w:rsidR="00CA05A4">
        <w:t xml:space="preserve">; and (2) partially align with FDA’s planned nutrition education campaign efforts on the new Nutrition Facts label. Given the nature of this study that the participants are all nutrition educators, these in-person groups will be conducted at non-conventional facilities (e.g. cooperative extension centers/offices and local conference venues). </w:t>
      </w:r>
    </w:p>
    <w:p w:rsidR="00CA05A4" w:rsidP="00A21059" w:rsidRDefault="00CA05A4" w14:paraId="40EE98FE" w14:textId="1C7027CF">
      <w:pPr>
        <w:ind w:left="720"/>
      </w:pPr>
    </w:p>
    <w:p w:rsidR="00CA05A4" w:rsidP="00A21059" w:rsidRDefault="00915BA5" w14:paraId="15B3FA62" w14:textId="3C40F7D9">
      <w:pPr>
        <w:ind w:left="720"/>
      </w:pPr>
      <w:r>
        <w:lastRenderedPageBreak/>
        <w:t>Two (</w:t>
      </w:r>
      <w:r w:rsidR="00F47947">
        <w:t>2</w:t>
      </w:r>
      <w:r>
        <w:t>)</w:t>
      </w:r>
      <w:r w:rsidR="00CA05A4">
        <w:t xml:space="preserve"> of the in-person focus groups (with any type of nutrition educator) will be conducted at a national nutrition education conference – the Society for Nutrition Education and Behavior (SNEB) annual conference </w:t>
      </w:r>
      <w:r w:rsidR="00F47947">
        <w:t xml:space="preserve">in 2021 (SNEB 2021, New Orleans, LA, August 7-10, 2021). </w:t>
      </w:r>
    </w:p>
    <w:p w:rsidR="00F47947" w:rsidP="00A21059" w:rsidRDefault="00F47947" w14:paraId="0A00B6E8" w14:textId="587589FE">
      <w:pPr>
        <w:ind w:left="720"/>
      </w:pPr>
    </w:p>
    <w:p w:rsidRPr="00C523D1" w:rsidR="00F47947" w:rsidP="00A21059" w:rsidRDefault="00915BA5" w14:paraId="303BB974" w14:textId="166A0F02">
      <w:pPr>
        <w:ind w:left="720"/>
        <w:rPr>
          <w:color w:val="2E74B5" w:themeColor="accent5" w:themeShade="BF"/>
        </w:rPr>
      </w:pPr>
      <w:r>
        <w:t>Eight (</w:t>
      </w:r>
      <w:r w:rsidR="00F47947">
        <w:t>8</w:t>
      </w:r>
      <w:r>
        <w:t>)</w:t>
      </w:r>
      <w:r w:rsidR="00F47947">
        <w:t xml:space="preserve"> of the focus groups (with local/county/state department health educators and grocery store educators</w:t>
      </w:r>
      <w:r w:rsidR="00C25B2D">
        <w:t>) will be conducted virtually</w:t>
      </w:r>
      <w:r w:rsidR="006D7751">
        <w:t xml:space="preserve"> and without restriction to </w:t>
      </w:r>
      <w:r w:rsidR="00C25B2D">
        <w:t xml:space="preserve">any specific geographic location. </w:t>
      </w:r>
    </w:p>
    <w:p w:rsidRPr="00C523D1" w:rsidR="005E55A2" w:rsidP="008A6CBF" w:rsidRDefault="005E55A2" w14:paraId="3077E28B" w14:textId="77777777">
      <w:pPr>
        <w:jc w:val="both"/>
        <w:rPr>
          <w:color w:val="2E74B5" w:themeColor="accent5" w:themeShade="BF"/>
        </w:rPr>
      </w:pPr>
    </w:p>
    <w:p w:rsidRPr="001F0C71" w:rsidR="005E55A2" w:rsidP="005E55A2" w:rsidRDefault="005E55A2" w14:paraId="023AB1C9" w14:textId="77777777">
      <w:pPr>
        <w:numPr>
          <w:ilvl w:val="0"/>
          <w:numId w:val="1"/>
        </w:numPr>
        <w:tabs>
          <w:tab w:val="clear" w:pos="1296"/>
          <w:tab w:val="num" w:pos="720"/>
        </w:tabs>
        <w:ind w:left="720"/>
      </w:pPr>
      <w:r w:rsidRPr="001F0C71">
        <w:rPr>
          <w:b/>
        </w:rPr>
        <w:t>How the Information is being collected:</w:t>
      </w:r>
    </w:p>
    <w:p w:rsidRPr="001F0C71" w:rsidR="003C231C" w:rsidP="005E55A2" w:rsidRDefault="003C231C" w14:paraId="06D3CB17" w14:textId="77777777">
      <w:pPr>
        <w:ind w:left="720"/>
        <w:jc w:val="both"/>
        <w:rPr>
          <w:u w:val="single"/>
        </w:rPr>
      </w:pPr>
    </w:p>
    <w:p w:rsidRPr="001F0C71" w:rsidR="005E55A2" w:rsidP="005E55A2" w:rsidRDefault="005E55A2" w14:paraId="20C323D8" w14:textId="50707F63">
      <w:pPr>
        <w:ind w:left="720"/>
        <w:jc w:val="both"/>
        <w:rPr>
          <w:u w:val="single"/>
        </w:rPr>
      </w:pPr>
      <w:r w:rsidRPr="001F0C71">
        <w:rPr>
          <w:u w:val="single"/>
        </w:rPr>
        <w:t>Recruitment Information</w:t>
      </w:r>
    </w:p>
    <w:p w:rsidRPr="00C523D1" w:rsidR="003C231C" w:rsidP="006A44DB" w:rsidRDefault="003C231C" w14:paraId="04248BE2" w14:textId="77777777">
      <w:pPr>
        <w:ind w:left="720"/>
        <w:rPr>
          <w:color w:val="2E74B5" w:themeColor="accent5" w:themeShade="BF"/>
        </w:rPr>
      </w:pPr>
    </w:p>
    <w:p w:rsidRPr="00DB7372" w:rsidR="009629BA" w:rsidP="00DB7372" w:rsidRDefault="009629BA" w14:paraId="0FED8EC0" w14:textId="5404A401">
      <w:pPr>
        <w:ind w:left="720"/>
      </w:pPr>
      <w:r w:rsidRPr="00044728">
        <w:t>RTI International</w:t>
      </w:r>
      <w:r w:rsidR="001F0C71">
        <w:t xml:space="preserve"> will recruit participants via identifying and working with </w:t>
      </w:r>
      <w:r w:rsidR="00DB7372">
        <w:t xml:space="preserve">key personnel </w:t>
      </w:r>
      <w:r w:rsidR="004409EA">
        <w:t xml:space="preserve">who have </w:t>
      </w:r>
      <w:r w:rsidR="00DB7372">
        <w:t>broad connection</w:t>
      </w:r>
      <w:r w:rsidR="00F82877">
        <w:t>s</w:t>
      </w:r>
      <w:r w:rsidR="00DB7372">
        <w:t xml:space="preserve"> with nutrition educators (e.g. </w:t>
      </w:r>
      <w:r w:rsidR="001F0C71">
        <w:t>extension agents</w:t>
      </w:r>
      <w:r w:rsidR="00DB7372">
        <w:t>)</w:t>
      </w:r>
      <w:r w:rsidR="001F0C71">
        <w:t xml:space="preserve">, using the </w:t>
      </w:r>
      <w:r w:rsidR="004409EA">
        <w:t xml:space="preserve">online </w:t>
      </w:r>
      <w:r w:rsidR="001F0C71">
        <w:t>participant screener (Appendix I). RTI International</w:t>
      </w:r>
      <w:r w:rsidRPr="001F0C71" w:rsidR="001F0C71">
        <w:t xml:space="preserve"> staff will provide all necessary information and instructions to ensure participants arrive at the proper location </w:t>
      </w:r>
      <w:r w:rsidR="00DB7372">
        <w:t xml:space="preserve">(for in-person groups) or </w:t>
      </w:r>
      <w:r w:rsidR="006D7751">
        <w:t xml:space="preserve">have the appropriate technology </w:t>
      </w:r>
      <w:r w:rsidR="00DB7372">
        <w:t xml:space="preserve">(for virtual groups) on the agreed upon date and time. RTI International </w:t>
      </w:r>
      <w:r w:rsidRPr="001F0C71" w:rsidR="001F0C71">
        <w:t>will conduct recruitment and ensure that the needed number of participants show up for their scheduled time slot</w:t>
      </w:r>
      <w:r w:rsidR="00DB7372">
        <w:t xml:space="preserve"> and </w:t>
      </w:r>
      <w:r w:rsidRPr="001F0C71" w:rsidR="001F0C71">
        <w:t>will send confirmation and reminder correspondences to recruited participants to help ensure attendance.</w:t>
      </w:r>
    </w:p>
    <w:p w:rsidRPr="00C523D1" w:rsidR="005E55A2" w:rsidP="005E55A2" w:rsidRDefault="005E55A2" w14:paraId="13FE1F41" w14:textId="77777777">
      <w:pPr>
        <w:ind w:left="720"/>
        <w:jc w:val="both"/>
        <w:rPr>
          <w:color w:val="2E74B5" w:themeColor="accent5" w:themeShade="BF"/>
        </w:rPr>
      </w:pPr>
    </w:p>
    <w:p w:rsidRPr="00656F20" w:rsidR="005E55A2" w:rsidP="005E55A2" w:rsidRDefault="005E55A2" w14:paraId="1701B54A" w14:textId="77777777">
      <w:pPr>
        <w:ind w:left="720"/>
        <w:jc w:val="both"/>
        <w:rPr>
          <w:u w:val="single"/>
        </w:rPr>
      </w:pPr>
      <w:r w:rsidRPr="00656F20">
        <w:rPr>
          <w:u w:val="single"/>
        </w:rPr>
        <w:t>Focus Group Discussions</w:t>
      </w:r>
    </w:p>
    <w:p w:rsidRPr="00656F20" w:rsidR="003C231C" w:rsidP="00315F22" w:rsidRDefault="003C231C" w14:paraId="0BB22F3C" w14:textId="77777777">
      <w:pPr>
        <w:ind w:left="720"/>
      </w:pPr>
    </w:p>
    <w:p w:rsidRPr="00656F20" w:rsidR="00315F22" w:rsidP="00315F22" w:rsidRDefault="00D073FA" w14:paraId="5706C409" w14:textId="6475649D">
      <w:pPr>
        <w:ind w:left="720"/>
      </w:pPr>
      <w:r w:rsidRPr="00656F20">
        <w:t>An</w:t>
      </w:r>
      <w:r w:rsidRPr="00656F20" w:rsidR="00315F22">
        <w:t xml:space="preserve"> RTI International staff member will serve as moderator for all focus groups. </w:t>
      </w:r>
      <w:r w:rsidR="00443420">
        <w:t xml:space="preserve">For in-person groups, </w:t>
      </w:r>
      <w:r w:rsidRPr="00656F20" w:rsidR="00315F22">
        <w:t xml:space="preserve">FDA staff members will observe the sessions </w:t>
      </w:r>
      <w:r w:rsidR="006D7751">
        <w:t xml:space="preserve">either </w:t>
      </w:r>
      <w:r w:rsidR="00443420">
        <w:t xml:space="preserve">at the location where focus groups take place, </w:t>
      </w:r>
      <w:r w:rsidRPr="00656F20" w:rsidR="00315F22">
        <w:t>or remotely using streaming technology</w:t>
      </w:r>
      <w:r w:rsidR="00443420">
        <w:t>, when available. For virtual groups, FDA staff members will observe most, if not all, of the sessions via the virtual focus group platform.</w:t>
      </w:r>
    </w:p>
    <w:p w:rsidRPr="00656F20" w:rsidR="00315F22" w:rsidP="00315F22" w:rsidRDefault="00315F22" w14:paraId="1C89EF6C" w14:textId="77777777">
      <w:pPr>
        <w:ind w:left="720"/>
      </w:pPr>
    </w:p>
    <w:p w:rsidRPr="00656F20" w:rsidR="00315F22" w:rsidP="00315F22" w:rsidRDefault="00315F22" w14:paraId="1B47A219" w14:textId="30EF8C94">
      <w:pPr>
        <w:ind w:left="720"/>
      </w:pPr>
      <w:r w:rsidRPr="00656F20">
        <w:t>The moderator will use the attached moderator guide (Appendix II) to ensure that all relevant topic areas are addressed.</w:t>
      </w:r>
      <w:r w:rsidR="00443420">
        <w:t xml:space="preserve"> RTI International</w:t>
      </w:r>
      <w:r w:rsidRPr="00656F20">
        <w:t xml:space="preserve"> will make audio and video recordings to ensure a verbatim record of the proceedings is captured.</w:t>
      </w:r>
    </w:p>
    <w:p w:rsidRPr="00656F20" w:rsidR="00315F22" w:rsidP="00315F22" w:rsidRDefault="00315F22" w14:paraId="26226429" w14:textId="77777777">
      <w:pPr>
        <w:ind w:left="720"/>
      </w:pPr>
    </w:p>
    <w:p w:rsidRPr="00656F20" w:rsidR="00315F22" w:rsidP="00315F22" w:rsidRDefault="00443420" w14:paraId="106952E3" w14:textId="18BA247A">
      <w:pPr>
        <w:ind w:left="720"/>
      </w:pPr>
      <w:r>
        <w:t xml:space="preserve">RTI International </w:t>
      </w:r>
      <w:r w:rsidRPr="00656F20" w:rsidR="00315F22">
        <w:t>will comply with safeguards for ensuring participant information is kept secure to the extent permitted by law.</w:t>
      </w:r>
      <w:r>
        <w:t xml:space="preserve"> </w:t>
      </w:r>
      <w:r w:rsidRPr="00656F20" w:rsidR="00315F22">
        <w:t>The last names of the participants will not appear on any focus group materials.</w:t>
      </w:r>
      <w:r>
        <w:t xml:space="preserve"> </w:t>
      </w:r>
      <w:r w:rsidRPr="00656F20" w:rsidR="00315F22">
        <w:t>Verbatim quotes included in the final report will not be attributed to any individual.</w:t>
      </w:r>
    </w:p>
    <w:p w:rsidRPr="00C523D1" w:rsidR="005E55A2" w:rsidP="005E55A2" w:rsidRDefault="005E55A2" w14:paraId="628F50F6" w14:textId="77777777">
      <w:pPr>
        <w:ind w:left="720"/>
        <w:jc w:val="both"/>
        <w:rPr>
          <w:color w:val="2E74B5" w:themeColor="accent5" w:themeShade="BF"/>
        </w:rPr>
      </w:pPr>
    </w:p>
    <w:p w:rsidRPr="00656F20" w:rsidR="005E55A2" w:rsidP="005E55A2" w:rsidRDefault="005E55A2" w14:paraId="2F21DB10" w14:textId="77777777">
      <w:pPr>
        <w:keepNext/>
        <w:numPr>
          <w:ilvl w:val="0"/>
          <w:numId w:val="1"/>
        </w:numPr>
        <w:tabs>
          <w:tab w:val="clear" w:pos="1296"/>
          <w:tab w:val="num" w:pos="720"/>
        </w:tabs>
        <w:ind w:left="720"/>
      </w:pPr>
      <w:r w:rsidRPr="00656F20">
        <w:rPr>
          <w:b/>
        </w:rPr>
        <w:t>Number of focus groups:</w:t>
      </w:r>
    </w:p>
    <w:p w:rsidRPr="00656F20" w:rsidR="00CF4CBF" w:rsidP="005E55A2" w:rsidRDefault="00CF4CBF" w14:paraId="10EBE490" w14:textId="77777777">
      <w:pPr>
        <w:ind w:left="720"/>
        <w:jc w:val="both"/>
      </w:pPr>
    </w:p>
    <w:p w:rsidRPr="00656F20" w:rsidR="005E55A2" w:rsidP="005E55A2" w:rsidRDefault="005E55A2" w14:paraId="40DDCBA8" w14:textId="07766C50">
      <w:pPr>
        <w:ind w:left="720"/>
        <w:jc w:val="both"/>
      </w:pPr>
      <w:r w:rsidRPr="00656F20">
        <w:t xml:space="preserve">A total of </w:t>
      </w:r>
      <w:r w:rsidRPr="00656F20" w:rsidR="00656F20">
        <w:t>20</w:t>
      </w:r>
      <w:r w:rsidRPr="00656F20">
        <w:t xml:space="preserve"> focus groups </w:t>
      </w:r>
      <w:r w:rsidRPr="00656F20" w:rsidR="00840E96">
        <w:t>with</w:t>
      </w:r>
      <w:r w:rsidRPr="00656F20">
        <w:t xml:space="preserve"> </w:t>
      </w:r>
      <w:r w:rsidRPr="00656F20" w:rsidR="00FD7B66">
        <w:t>6</w:t>
      </w:r>
      <w:r w:rsidRPr="00656F20" w:rsidR="00656F20">
        <w:t>-8</w:t>
      </w:r>
      <w:r w:rsidRPr="00656F20">
        <w:t xml:space="preserve"> participants </w:t>
      </w:r>
      <w:r w:rsidRPr="00656F20" w:rsidR="00840E96">
        <w:t xml:space="preserve">in each </w:t>
      </w:r>
      <w:r w:rsidRPr="00656F20">
        <w:t xml:space="preserve">will be conducted. </w:t>
      </w:r>
    </w:p>
    <w:p w:rsidRPr="00F82877" w:rsidR="005E55A2" w:rsidP="005E55A2" w:rsidRDefault="005E55A2" w14:paraId="17DAB384" w14:textId="77777777">
      <w:pPr>
        <w:ind w:left="720"/>
      </w:pPr>
    </w:p>
    <w:p w:rsidRPr="00F82877" w:rsidR="005E55A2" w:rsidP="005E55A2" w:rsidRDefault="005E55A2" w14:paraId="3C258D5E" w14:textId="77777777">
      <w:pPr>
        <w:numPr>
          <w:ilvl w:val="0"/>
          <w:numId w:val="1"/>
        </w:numPr>
        <w:tabs>
          <w:tab w:val="clear" w:pos="1296"/>
          <w:tab w:val="num" w:pos="720"/>
        </w:tabs>
        <w:ind w:left="720"/>
      </w:pPr>
      <w:r w:rsidRPr="00F82877">
        <w:rPr>
          <w:b/>
        </w:rPr>
        <w:t>Amount and justification for any proposed incentive:</w:t>
      </w:r>
      <w:r w:rsidRPr="00F82877">
        <w:t xml:space="preserve"> </w:t>
      </w:r>
    </w:p>
    <w:p w:rsidRPr="00F82877" w:rsidR="00CF4CBF" w:rsidP="005E55A2" w:rsidRDefault="00CF4CBF" w14:paraId="1A14A1A9" w14:textId="77777777">
      <w:pPr>
        <w:ind w:left="720"/>
        <w:jc w:val="both"/>
      </w:pPr>
    </w:p>
    <w:p w:rsidRPr="00F82877" w:rsidR="005E55A2" w:rsidP="00A21059" w:rsidRDefault="005E55A2" w14:paraId="07AD34C1" w14:textId="3FD9782E">
      <w:pPr>
        <w:ind w:left="720"/>
      </w:pPr>
      <w:r w:rsidRPr="00F82877">
        <w:t xml:space="preserve">To prepare for these focus groups, we consulted with </w:t>
      </w:r>
      <w:r w:rsidRPr="00F82877" w:rsidR="00F82877">
        <w:t>the Contractor (RTI International)</w:t>
      </w:r>
      <w:r w:rsidR="006D7751">
        <w:t xml:space="preserve"> on their past experience with similar studies </w:t>
      </w:r>
      <w:r w:rsidRPr="00F82877">
        <w:t xml:space="preserve">to determine appropriate amounts as tokens </w:t>
      </w:r>
      <w:r w:rsidRPr="00F82877">
        <w:lastRenderedPageBreak/>
        <w:t xml:space="preserve">of appreciation. Based on these consultations, we propose offering </w:t>
      </w:r>
      <w:r w:rsidR="00A871D7">
        <w:t>a $50 in</w:t>
      </w:r>
      <w:r w:rsidR="00AD7971">
        <w:t xml:space="preserve">centive, </w:t>
      </w:r>
      <w:r w:rsidRPr="00F82877">
        <w:t>as a token of our appreciation</w:t>
      </w:r>
      <w:r w:rsidRPr="00F82877" w:rsidR="00F82877">
        <w:t xml:space="preserve">, </w:t>
      </w:r>
      <w:r w:rsidRPr="00F82877">
        <w:t>to ensure that we are able to attract a reasonable cross section of participants</w:t>
      </w:r>
      <w:r w:rsidR="00AD7971">
        <w:t xml:space="preserve">. </w:t>
      </w:r>
      <w:bookmarkStart w:name="_GoBack" w:id="1"/>
      <w:bookmarkEnd w:id="1"/>
    </w:p>
    <w:p w:rsidRPr="00C523D1" w:rsidR="005E55A2" w:rsidP="0042238F" w:rsidRDefault="005E55A2" w14:paraId="1ACD8F48" w14:textId="77777777">
      <w:pPr>
        <w:rPr>
          <w:color w:val="2E74B5" w:themeColor="accent5" w:themeShade="BF"/>
        </w:rPr>
      </w:pPr>
    </w:p>
    <w:p w:rsidRPr="001A6E5D" w:rsidR="005E55A2" w:rsidP="00A21059" w:rsidRDefault="005E55A2" w14:paraId="5AFE755A" w14:textId="01AC1993">
      <w:pPr>
        <w:ind w:left="720"/>
      </w:pPr>
      <w:r w:rsidRPr="001A6E5D">
        <w:t>Our experience in conducting focus group research indicates that offering nonmonetary incentives or an incentive that is below the commonly accepted rate will result in increased costs that exceed the amount saved on a reduced incentive.</w:t>
      </w:r>
      <w:r w:rsidRPr="001A6E5D" w:rsidR="001A6E5D">
        <w:t xml:space="preserve"> </w:t>
      </w:r>
      <w:r w:rsidRPr="001A6E5D">
        <w:t>The consequences of an insufficient incentive include the following:</w:t>
      </w:r>
    </w:p>
    <w:p w:rsidRPr="001A6E5D" w:rsidR="005E55A2" w:rsidP="005E55A2" w:rsidRDefault="005E55A2" w14:paraId="6EE8E060" w14:textId="77777777">
      <w:pPr>
        <w:ind w:left="720"/>
        <w:jc w:val="both"/>
      </w:pPr>
    </w:p>
    <w:p w:rsidRPr="001A6E5D" w:rsidR="005E55A2" w:rsidP="00A158EA" w:rsidRDefault="005E55A2" w14:paraId="76F4A52E" w14:textId="5CFEF6F4">
      <w:pPr>
        <w:numPr>
          <w:ilvl w:val="0"/>
          <w:numId w:val="7"/>
        </w:numPr>
        <w:tabs>
          <w:tab w:val="clear" w:pos="1800"/>
          <w:tab w:val="num" w:pos="1440"/>
        </w:tabs>
        <w:ind w:left="1440"/>
        <w:contextualSpacing/>
      </w:pPr>
      <w:r w:rsidRPr="001A6E5D">
        <w:t>Increased time and cost of recruitment</w:t>
      </w:r>
      <w:r w:rsidRPr="001A6E5D" w:rsidR="00CF4334">
        <w:t>;</w:t>
      </w:r>
    </w:p>
    <w:p w:rsidRPr="001A6E5D" w:rsidR="005E55A2" w:rsidP="00A158EA" w:rsidRDefault="005E55A2" w14:paraId="2271BB8A" w14:textId="3C54D37F">
      <w:pPr>
        <w:numPr>
          <w:ilvl w:val="0"/>
          <w:numId w:val="7"/>
        </w:numPr>
        <w:tabs>
          <w:tab w:val="clear" w:pos="1800"/>
          <w:tab w:val="num" w:pos="1440"/>
        </w:tabs>
        <w:ind w:left="1440"/>
        <w:contextualSpacing/>
      </w:pPr>
      <w:r w:rsidRPr="001A6E5D">
        <w:t>Increased likelihood of “no-shows” (which may result in methodologically unsound focus groups with small numbers of participants)</w:t>
      </w:r>
      <w:r w:rsidRPr="001A6E5D" w:rsidR="00CF4334">
        <w:t>;</w:t>
      </w:r>
    </w:p>
    <w:p w:rsidRPr="001A6E5D" w:rsidR="005E55A2" w:rsidP="00A158EA" w:rsidRDefault="005E55A2" w14:paraId="00347148" w14:textId="77777777">
      <w:pPr>
        <w:numPr>
          <w:ilvl w:val="0"/>
          <w:numId w:val="7"/>
        </w:numPr>
        <w:tabs>
          <w:tab w:val="clear" w:pos="1800"/>
          <w:tab w:val="num" w:pos="1440"/>
        </w:tabs>
        <w:ind w:left="1440"/>
        <w:contextualSpacing/>
      </w:pPr>
      <w:r w:rsidRPr="001A6E5D">
        <w:t>Increased probability that a focus group may need to be cancelled or postponed due to insufficient numbers recruited by the scheduled date of the focus group, which not only incurs additional costs, but also puts additional burden on the recruited participants who have to reschedule their participation in the focus group.</w:t>
      </w:r>
    </w:p>
    <w:p w:rsidRPr="00C523D1" w:rsidR="005E55A2" w:rsidP="005E55A2" w:rsidRDefault="005E55A2" w14:paraId="76EA89F4" w14:textId="77777777">
      <w:pPr>
        <w:pStyle w:val="ListParagraph"/>
        <w:rPr>
          <w:color w:val="2E74B5" w:themeColor="accent5" w:themeShade="BF"/>
        </w:rPr>
      </w:pPr>
    </w:p>
    <w:p w:rsidR="00AD7971" w:rsidP="009C145A" w:rsidRDefault="005E55A2" w14:paraId="76C85ED8" w14:textId="6E78D376">
      <w:pPr>
        <w:pStyle w:val="ListParagraph"/>
      </w:pPr>
      <w:r w:rsidRPr="001A6E5D">
        <w:t xml:space="preserve">Our proposed incentive amount will help ensure that respondents honor their commitment of participating in the focus groups. </w:t>
      </w:r>
      <w:r w:rsidR="00AD670F">
        <w:t>The</w:t>
      </w:r>
      <w:r w:rsidRPr="001A6E5D" w:rsidR="00AD7971">
        <w:t xml:space="preserve"> </w:t>
      </w:r>
      <w:r w:rsidR="00AD7971">
        <w:t xml:space="preserve">proposed </w:t>
      </w:r>
      <w:r w:rsidR="00AF3DC3">
        <w:t>amount</w:t>
      </w:r>
      <w:r w:rsidR="00AD7971">
        <w:t xml:space="preserve"> </w:t>
      </w:r>
      <w:r w:rsidRPr="001A6E5D" w:rsidR="00AD7971">
        <w:t>w</w:t>
      </w:r>
      <w:r w:rsidR="00AD7971">
        <w:t xml:space="preserve">as </w:t>
      </w:r>
      <w:r w:rsidRPr="001A6E5D" w:rsidR="00AD7971">
        <w:t>chosen based on</w:t>
      </w:r>
      <w:r w:rsidR="00AF3DC3">
        <w:t xml:space="preserve">: (1) </w:t>
      </w:r>
      <w:r w:rsidR="00AD7971">
        <w:t>participants spending approximately 2-3 hours of their time on this effort (including: time spent for online screening and the 90-minute focus group discussion for all groups; time for traveling to and from the location where the focus group takes place, time to park a vehicle, and check-in and check-out procedures for in-person groups; time for testing the platform, the request to log in 15 minutes early to confirm technical operation for virtual groups)</w:t>
      </w:r>
      <w:r w:rsidR="00AF3DC3">
        <w:t xml:space="preserve">; and (2) </w:t>
      </w:r>
      <w:r w:rsidR="00AD670F">
        <w:t>t</w:t>
      </w:r>
      <w:r w:rsidRPr="00AD670F" w:rsidR="00AD670F">
        <w:t>he Bureau of Labor Statistics</w:t>
      </w:r>
      <w:r w:rsidR="00AF3DC3">
        <w:t>’</w:t>
      </w:r>
      <w:r w:rsidRPr="00AD670F" w:rsidR="00AD670F">
        <w:t xml:space="preserve"> (BLS) calculat</w:t>
      </w:r>
      <w:r w:rsidR="00AD670F">
        <w:t>ion</w:t>
      </w:r>
      <w:r w:rsidR="00AF3DC3">
        <w:t xml:space="preserve"> of </w:t>
      </w:r>
      <w:r w:rsidRPr="00AD670F" w:rsidR="00AD670F">
        <w:t>the average hourly wage of employees on education and health services payrolls in June 202</w:t>
      </w:r>
      <w:r w:rsidR="00AF3DC3">
        <w:t xml:space="preserve">0, which </w:t>
      </w:r>
      <w:r w:rsidRPr="00AD670F" w:rsidR="00AD670F">
        <w:t>is $28.41 (Bureau of Labor Statistics, 2020).</w:t>
      </w:r>
      <w:r w:rsidR="00533CB7">
        <w:rPr>
          <w:rStyle w:val="FootnoteReference"/>
        </w:rPr>
        <w:footnoteReference w:id="1"/>
      </w:r>
      <w:r w:rsidR="00AD670F">
        <w:t xml:space="preserve"> </w:t>
      </w:r>
    </w:p>
    <w:p w:rsidR="00B71B29" w:rsidP="009C145A" w:rsidRDefault="00B71B29" w14:paraId="2C5545E3" w14:textId="5E66DE38">
      <w:pPr>
        <w:pStyle w:val="ListParagraph"/>
      </w:pPr>
    </w:p>
    <w:p w:rsidR="00895FD3" w:rsidP="00CB1433" w:rsidRDefault="00B71B29" w14:paraId="14431FE7" w14:textId="3A7022CF">
      <w:pPr>
        <w:pStyle w:val="ListParagraph"/>
      </w:pPr>
      <w:r>
        <w:t xml:space="preserve">The </w:t>
      </w:r>
      <w:r w:rsidRPr="001A6E5D">
        <w:t>importance of monetary compensation for focus group participation has been discussed by Krueger and Casey (2014), who indicate that offering minimal levels of monetary compensation can help ensure that sufficient numbers of participants will attend, thereby yielding more useful research results</w:t>
      </w:r>
      <w:r>
        <w:t>.</w:t>
      </w:r>
      <w:r>
        <w:rPr>
          <w:rStyle w:val="FootnoteReference"/>
        </w:rPr>
        <w:footnoteReference w:id="2"/>
      </w:r>
      <w:r>
        <w:t xml:space="preserve"> </w:t>
      </w:r>
      <w:r w:rsidRPr="001A6E5D">
        <w:t>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t>.</w:t>
      </w:r>
      <w:r>
        <w:rPr>
          <w:rStyle w:val="FootnoteReference"/>
        </w:rPr>
        <w:footnoteReference w:id="3"/>
      </w:r>
      <w:r>
        <w:t xml:space="preserve"> </w:t>
      </w:r>
      <w:r w:rsidRPr="001A6E5D">
        <w:t>When applied in a reasonable manner, incentives are not an unjust inducement and are an approach that acknowledges respondents for their participation and treats them justly and with respect by recognizing and acknowledging the effort they expend to participate</w:t>
      </w:r>
      <w:r>
        <w:t>.</w:t>
      </w:r>
      <w:r>
        <w:rPr>
          <w:rStyle w:val="FootnoteReference"/>
        </w:rPr>
        <w:footnoteReference w:id="4"/>
      </w:r>
      <w:r>
        <w:t xml:space="preserve"> </w:t>
      </w:r>
      <w:r w:rsidRPr="001A6E5D">
        <w:t xml:space="preserve">Finally, the importance of monetary incentives has </w:t>
      </w:r>
      <w:r w:rsidRPr="001A6E5D">
        <w:lastRenderedPageBreak/>
        <w:t>been corroborated in experiences related to the National Adult Literacy Survey by Berlin and colleagues (1992)</w:t>
      </w:r>
      <w:r>
        <w:rPr>
          <w:rStyle w:val="FootnoteReference"/>
        </w:rPr>
        <w:footnoteReference w:id="5"/>
      </w:r>
      <w:r>
        <w:t xml:space="preserve"> </w:t>
      </w:r>
      <w:r w:rsidRPr="001A6E5D">
        <w:t>and internal proprietary research conducted by our contractor.</w:t>
      </w:r>
    </w:p>
    <w:p w:rsidRPr="00C523D1" w:rsidR="005E55A2" w:rsidP="005E55A2" w:rsidRDefault="00B71B29" w14:paraId="5044ED88" w14:textId="39A93644">
      <w:pPr>
        <w:pStyle w:val="ListParagraph"/>
        <w:rPr>
          <w:color w:val="2E74B5" w:themeColor="accent5" w:themeShade="BF"/>
        </w:rPr>
      </w:pPr>
      <w:r w:rsidRPr="001A6E5D" w:rsidDel="00B71B29">
        <w:t xml:space="preserve"> </w:t>
      </w:r>
    </w:p>
    <w:p w:rsidRPr="00DD6E36" w:rsidR="005E55A2" w:rsidP="005E55A2" w:rsidRDefault="005E55A2" w14:paraId="7F5961F4" w14:textId="77777777">
      <w:pPr>
        <w:numPr>
          <w:ilvl w:val="0"/>
          <w:numId w:val="1"/>
        </w:numPr>
        <w:tabs>
          <w:tab w:val="clear" w:pos="1296"/>
          <w:tab w:val="num" w:pos="720"/>
          <w:tab w:val="num" w:pos="900"/>
        </w:tabs>
        <w:ind w:left="720"/>
      </w:pPr>
      <w:r w:rsidRPr="00DD6E36">
        <w:rPr>
          <w:b/>
        </w:rPr>
        <w:t>Questions of a Sensitive Nature:</w:t>
      </w:r>
    </w:p>
    <w:p w:rsidRPr="00DD6E36" w:rsidR="00CF4CBF" w:rsidP="005E55A2" w:rsidRDefault="00CF4CBF" w14:paraId="3DFD2C41" w14:textId="77777777">
      <w:pPr>
        <w:pStyle w:val="ListParagraph"/>
      </w:pPr>
    </w:p>
    <w:p w:rsidRPr="00DD6E36" w:rsidR="005E55A2" w:rsidP="005E55A2" w:rsidRDefault="00CF4CBF" w14:paraId="230FCEE5" w14:textId="3269FB3A">
      <w:pPr>
        <w:pStyle w:val="ListParagraph"/>
      </w:pPr>
      <w:r w:rsidRPr="00DD6E36">
        <w:t xml:space="preserve">There will be no questions </w:t>
      </w:r>
      <w:r w:rsidRPr="00DD6E36" w:rsidR="00D529D9">
        <w:t>of a sensitive nature asked of participants</w:t>
      </w:r>
      <w:r w:rsidRPr="00DD6E36" w:rsidR="005E55A2">
        <w:t>.</w:t>
      </w:r>
    </w:p>
    <w:p w:rsidRPr="00DD6E36" w:rsidR="005E55A2" w:rsidP="005E55A2" w:rsidRDefault="005E55A2" w14:paraId="3080E768" w14:textId="77777777">
      <w:pPr>
        <w:pStyle w:val="ListParagraph"/>
      </w:pPr>
    </w:p>
    <w:p w:rsidRPr="00DD6E36" w:rsidR="005E55A2" w:rsidP="005E55A2" w:rsidRDefault="005E55A2" w14:paraId="5C3A4DCE" w14:textId="77777777">
      <w:pPr>
        <w:numPr>
          <w:ilvl w:val="0"/>
          <w:numId w:val="1"/>
        </w:numPr>
        <w:tabs>
          <w:tab w:val="clear" w:pos="1296"/>
          <w:tab w:val="num" w:pos="720"/>
          <w:tab w:val="num" w:pos="900"/>
        </w:tabs>
        <w:ind w:left="720"/>
      </w:pPr>
      <w:r w:rsidRPr="00DD6E36">
        <w:rPr>
          <w:b/>
        </w:rPr>
        <w:t>Description of statistical methods (i.e., sample size &amp; method of selection):</w:t>
      </w:r>
    </w:p>
    <w:p w:rsidRPr="00DD6E36" w:rsidR="00D529D9" w:rsidP="005E55A2" w:rsidRDefault="00D529D9" w14:paraId="66D58907" w14:textId="77777777">
      <w:pPr>
        <w:ind w:left="720"/>
        <w:jc w:val="both"/>
      </w:pPr>
    </w:p>
    <w:p w:rsidRPr="00DD6E36" w:rsidR="005E55A2" w:rsidP="005E55A2" w:rsidRDefault="005E55A2" w14:paraId="43C7CD8C" w14:textId="048B15F2">
      <w:pPr>
        <w:ind w:left="720"/>
        <w:jc w:val="both"/>
      </w:pPr>
      <w:r w:rsidRPr="00DD6E36">
        <w:t>This study employs qualitative methods and does not entail the use of any statistical methods.</w:t>
      </w:r>
    </w:p>
    <w:p w:rsidRPr="00C523D1" w:rsidR="005E55A2" w:rsidP="005E55A2" w:rsidRDefault="005E55A2" w14:paraId="63255B69" w14:textId="77777777">
      <w:pPr>
        <w:ind w:left="720"/>
        <w:jc w:val="both"/>
        <w:rPr>
          <w:color w:val="2E74B5" w:themeColor="accent5" w:themeShade="BF"/>
        </w:rPr>
      </w:pPr>
    </w:p>
    <w:p w:rsidRPr="00C523D1" w:rsidR="00FD2397" w:rsidP="005E55A2" w:rsidRDefault="00FD2397" w14:paraId="23CA399F" w14:textId="77777777">
      <w:pPr>
        <w:rPr>
          <w:b/>
          <w:color w:val="2E74B5" w:themeColor="accent5" w:themeShade="BF"/>
        </w:rPr>
      </w:pPr>
    </w:p>
    <w:p w:rsidRPr="00656F20" w:rsidR="005E55A2" w:rsidP="005E55A2" w:rsidRDefault="005E55A2" w14:paraId="34B1ED34" w14:textId="0B750840">
      <w:pPr>
        <w:rPr>
          <w:b/>
        </w:rPr>
      </w:pPr>
      <w:r w:rsidRPr="00656F20">
        <w:rPr>
          <w:b/>
        </w:rPr>
        <w:t>BURDEN HOUR COMPUTATION</w:t>
      </w:r>
      <w:r w:rsidRPr="00656F20">
        <w:t xml:space="preserve"> </w:t>
      </w:r>
      <w:r w:rsidRPr="00656F20">
        <w:rPr>
          <w:i/>
        </w:rPr>
        <w:t>(Number of responses (X) estimated response or participation time in minutes (/60) = annual burden hours):</w:t>
      </w:r>
    </w:p>
    <w:p w:rsidRPr="00656F20" w:rsidR="005E55A2" w:rsidP="005E55A2" w:rsidRDefault="005E55A2" w14:paraId="28E5B75D" w14:textId="77777777">
      <w:pPr>
        <w:rPr>
          <w:i/>
        </w:rPr>
      </w:pPr>
    </w:p>
    <w:p w:rsidRPr="00656F20" w:rsidR="005E55A2" w:rsidP="005E55A2" w:rsidRDefault="005E55A2" w14:paraId="0FB82B9A" w14:textId="580285F3">
      <w:pPr>
        <w:jc w:val="both"/>
      </w:pPr>
      <w:r w:rsidRPr="00656F20">
        <w:t xml:space="preserve">Table 1 shows the estimated annual reporting burden for the groups, assuming </w:t>
      </w:r>
      <w:r w:rsidR="009629C3">
        <w:t>8</w:t>
      </w:r>
      <w:r w:rsidRPr="00656F20">
        <w:t xml:space="preserve"> participants per </w:t>
      </w:r>
      <w:r w:rsidR="009629C3">
        <w:t xml:space="preserve">in-person </w:t>
      </w:r>
      <w:r w:rsidRPr="00656F20">
        <w:t>group</w:t>
      </w:r>
      <w:r w:rsidR="009629C3">
        <w:t xml:space="preserve"> and 6 participants per virtual group</w:t>
      </w:r>
      <w:r w:rsidRPr="00656F20">
        <w:t>.</w:t>
      </w:r>
    </w:p>
    <w:p w:rsidRPr="00656F20" w:rsidR="005E55A2" w:rsidP="005E55A2" w:rsidRDefault="005E55A2" w14:paraId="276D6AFE" w14:textId="77777777">
      <w:pPr>
        <w:keepNext/>
        <w:keepLines/>
        <w:rPr>
          <w:b/>
        </w:rPr>
      </w:pPr>
    </w:p>
    <w:p w:rsidRPr="00656F20" w:rsidR="005E55A2" w:rsidP="005E55A2" w:rsidRDefault="005E55A2" w14:paraId="2BAE6705" w14:textId="77777777">
      <w:pPr>
        <w:keepNext/>
        <w:keepLines/>
        <w:rPr>
          <w:b/>
        </w:rPr>
      </w:pPr>
      <w:r w:rsidRPr="00656F20">
        <w:rPr>
          <w:b/>
        </w:rPr>
        <w:t>Table 1.</w:t>
      </w:r>
    </w:p>
    <w:p w:rsidRPr="00656F20" w:rsidR="005E55A2" w:rsidP="005E55A2" w:rsidRDefault="005E55A2" w14:paraId="5CB2EF00"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6"/>
        <w:gridCol w:w="1985"/>
        <w:gridCol w:w="1985"/>
        <w:gridCol w:w="1986"/>
      </w:tblGrid>
      <w:tr w:rsidRPr="00656F20" w:rsidR="00656F20" w:rsidTr="00DB4C5D" w14:paraId="05F7CFC3" w14:textId="77777777">
        <w:trPr>
          <w:cantSplit/>
          <w:trHeight w:val="274"/>
          <w:jc w:val="center"/>
        </w:trPr>
        <w:tc>
          <w:tcPr>
            <w:tcW w:w="2536" w:type="dxa"/>
            <w:shd w:val="clear" w:color="auto" w:fill="E0E0E0"/>
          </w:tcPr>
          <w:p w:rsidRPr="00656F20" w:rsidR="005E55A2" w:rsidP="00DB4C5D" w:rsidRDefault="005E55A2" w14:paraId="5787B814" w14:textId="77777777">
            <w:pPr>
              <w:jc w:val="center"/>
              <w:rPr>
                <w:b/>
              </w:rPr>
            </w:pPr>
            <w:r w:rsidRPr="00656F20">
              <w:rPr>
                <w:b/>
              </w:rPr>
              <w:t>Type/Category of Respondent</w:t>
            </w:r>
          </w:p>
        </w:tc>
        <w:tc>
          <w:tcPr>
            <w:tcW w:w="1985" w:type="dxa"/>
            <w:shd w:val="clear" w:color="auto" w:fill="E0E0E0"/>
          </w:tcPr>
          <w:p w:rsidRPr="00656F20" w:rsidR="005E55A2" w:rsidP="00DB4C5D" w:rsidRDefault="005E55A2" w14:paraId="0CADB262" w14:textId="77777777">
            <w:pPr>
              <w:jc w:val="center"/>
              <w:rPr>
                <w:b/>
              </w:rPr>
            </w:pPr>
            <w:r w:rsidRPr="00656F20">
              <w:rPr>
                <w:b/>
              </w:rPr>
              <w:t>No. of Respondents</w:t>
            </w:r>
          </w:p>
        </w:tc>
        <w:tc>
          <w:tcPr>
            <w:tcW w:w="1985" w:type="dxa"/>
            <w:shd w:val="clear" w:color="auto" w:fill="E0E0E0"/>
          </w:tcPr>
          <w:p w:rsidRPr="00656F20" w:rsidR="005E55A2" w:rsidP="00DB4C5D" w:rsidRDefault="005E55A2" w14:paraId="7EA10847" w14:textId="77777777">
            <w:pPr>
              <w:jc w:val="center"/>
              <w:rPr>
                <w:b/>
              </w:rPr>
            </w:pPr>
            <w:r w:rsidRPr="00656F20">
              <w:rPr>
                <w:b/>
              </w:rPr>
              <w:t>Participation Time (minutes)</w:t>
            </w:r>
          </w:p>
        </w:tc>
        <w:tc>
          <w:tcPr>
            <w:tcW w:w="1986" w:type="dxa"/>
            <w:shd w:val="clear" w:color="auto" w:fill="E0E0E0"/>
          </w:tcPr>
          <w:p w:rsidRPr="00656F20" w:rsidR="005E55A2" w:rsidP="00DB4C5D" w:rsidRDefault="005E55A2" w14:paraId="02C79238" w14:textId="77777777">
            <w:pPr>
              <w:jc w:val="center"/>
              <w:rPr>
                <w:b/>
              </w:rPr>
            </w:pPr>
            <w:r w:rsidRPr="00656F20">
              <w:rPr>
                <w:b/>
              </w:rPr>
              <w:t>Burden</w:t>
            </w:r>
          </w:p>
          <w:p w:rsidRPr="00656F20" w:rsidR="005E55A2" w:rsidP="00DB4C5D" w:rsidRDefault="005E55A2" w14:paraId="3D411CBA" w14:textId="77777777">
            <w:pPr>
              <w:jc w:val="center"/>
              <w:rPr>
                <w:b/>
              </w:rPr>
            </w:pPr>
            <w:r w:rsidRPr="00656F20">
              <w:rPr>
                <w:b/>
              </w:rPr>
              <w:t>(hours)</w:t>
            </w:r>
          </w:p>
        </w:tc>
      </w:tr>
      <w:tr w:rsidRPr="00656F20" w:rsidR="00656F20" w:rsidTr="00DB4C5D" w14:paraId="3E233188" w14:textId="77777777">
        <w:trPr>
          <w:trHeight w:val="274"/>
          <w:jc w:val="center"/>
        </w:trPr>
        <w:tc>
          <w:tcPr>
            <w:tcW w:w="2536" w:type="dxa"/>
          </w:tcPr>
          <w:p w:rsidRPr="00656F20" w:rsidR="005E55A2" w:rsidP="00DB4C5D" w:rsidRDefault="005E55A2" w14:paraId="0EEA1B33" w14:textId="77777777">
            <w:r w:rsidRPr="00656F20">
              <w:t>Screener</w:t>
            </w:r>
          </w:p>
        </w:tc>
        <w:tc>
          <w:tcPr>
            <w:tcW w:w="1985" w:type="dxa"/>
          </w:tcPr>
          <w:p w:rsidRPr="00656F20" w:rsidR="005E55A2" w:rsidP="00DB4C5D" w:rsidRDefault="00656F20" w14:paraId="46221F36" w14:textId="73D16B35">
            <w:pPr>
              <w:jc w:val="right"/>
            </w:pPr>
            <w:r w:rsidRPr="00656F20">
              <w:t>600</w:t>
            </w:r>
          </w:p>
        </w:tc>
        <w:tc>
          <w:tcPr>
            <w:tcW w:w="1985" w:type="dxa"/>
          </w:tcPr>
          <w:p w:rsidRPr="00656F20" w:rsidR="005E55A2" w:rsidP="00DB4C5D" w:rsidRDefault="005E55A2" w14:paraId="2614307D" w14:textId="77777777">
            <w:pPr>
              <w:jc w:val="right"/>
            </w:pPr>
            <w:r w:rsidRPr="00656F20">
              <w:t>5</w:t>
            </w:r>
          </w:p>
        </w:tc>
        <w:tc>
          <w:tcPr>
            <w:tcW w:w="1986" w:type="dxa"/>
          </w:tcPr>
          <w:p w:rsidRPr="00656F20" w:rsidR="005E55A2" w:rsidP="00DB4C5D" w:rsidRDefault="00656F20" w14:paraId="6F94E507" w14:textId="14959D41">
            <w:pPr>
              <w:jc w:val="right"/>
            </w:pPr>
            <w:r w:rsidRPr="00656F20">
              <w:t>50</w:t>
            </w:r>
          </w:p>
        </w:tc>
      </w:tr>
      <w:tr w:rsidRPr="00656F20" w:rsidR="00656F20" w:rsidTr="00DB4C5D" w14:paraId="2309C915" w14:textId="77777777">
        <w:trPr>
          <w:trHeight w:val="274"/>
          <w:jc w:val="center"/>
        </w:trPr>
        <w:tc>
          <w:tcPr>
            <w:tcW w:w="2536" w:type="dxa"/>
          </w:tcPr>
          <w:p w:rsidRPr="00656F20" w:rsidR="005E55A2" w:rsidP="00DB4C5D" w:rsidRDefault="005E55A2" w14:paraId="67300F23" w14:textId="77777777">
            <w:r w:rsidRPr="00656F20">
              <w:t>Focus group discussion</w:t>
            </w:r>
          </w:p>
        </w:tc>
        <w:tc>
          <w:tcPr>
            <w:tcW w:w="1985" w:type="dxa"/>
          </w:tcPr>
          <w:p w:rsidRPr="00656F20" w:rsidR="005E55A2" w:rsidP="00DB4C5D" w:rsidRDefault="00656F20" w14:paraId="39C19EA9" w14:textId="414DC218">
            <w:pPr>
              <w:jc w:val="right"/>
            </w:pPr>
            <w:r w:rsidRPr="00656F20">
              <w:t>144</w:t>
            </w:r>
          </w:p>
        </w:tc>
        <w:tc>
          <w:tcPr>
            <w:tcW w:w="1985" w:type="dxa"/>
          </w:tcPr>
          <w:p w:rsidRPr="00656F20" w:rsidR="005E55A2" w:rsidDel="0016369C" w:rsidP="00DB4C5D" w:rsidRDefault="00D950AC" w14:paraId="53F09747" w14:textId="64C58BA5">
            <w:pPr>
              <w:jc w:val="right"/>
            </w:pPr>
            <w:r>
              <w:t>150</w:t>
            </w:r>
          </w:p>
        </w:tc>
        <w:tc>
          <w:tcPr>
            <w:tcW w:w="1986" w:type="dxa"/>
          </w:tcPr>
          <w:p w:rsidRPr="00656F20" w:rsidR="005E55A2" w:rsidDel="0016369C" w:rsidP="00DB4C5D" w:rsidRDefault="00D950AC" w14:paraId="4FE86F7C" w14:textId="098B19E7">
            <w:pPr>
              <w:jc w:val="right"/>
            </w:pPr>
            <w:r>
              <w:t>360</w:t>
            </w:r>
          </w:p>
        </w:tc>
      </w:tr>
      <w:tr w:rsidRPr="00656F20" w:rsidR="00656F20" w:rsidTr="00DB4C5D" w14:paraId="538E7080" w14:textId="77777777">
        <w:trPr>
          <w:trHeight w:val="274"/>
          <w:jc w:val="center"/>
        </w:trPr>
        <w:tc>
          <w:tcPr>
            <w:tcW w:w="6506" w:type="dxa"/>
            <w:gridSpan w:val="3"/>
          </w:tcPr>
          <w:p w:rsidRPr="00656F20" w:rsidR="005E55A2" w:rsidP="00DB4C5D" w:rsidRDefault="005E55A2" w14:paraId="4973E6B9" w14:textId="77777777">
            <w:r w:rsidRPr="00656F20">
              <w:t>Total</w:t>
            </w:r>
          </w:p>
        </w:tc>
        <w:tc>
          <w:tcPr>
            <w:tcW w:w="1986" w:type="dxa"/>
          </w:tcPr>
          <w:p w:rsidRPr="00656F20" w:rsidR="005E55A2" w:rsidP="00DB4C5D" w:rsidRDefault="00D950AC" w14:paraId="7E67149B" w14:textId="386D680B">
            <w:pPr>
              <w:jc w:val="right"/>
            </w:pPr>
            <w:r>
              <w:t>410</w:t>
            </w:r>
          </w:p>
        </w:tc>
      </w:tr>
    </w:tbl>
    <w:p w:rsidR="005E55A2" w:rsidP="005E55A2" w:rsidRDefault="005E55A2" w14:paraId="096A3F2E" w14:textId="7B3C0169">
      <w:pPr>
        <w:rPr>
          <w:color w:val="2E74B5" w:themeColor="accent5" w:themeShade="BF"/>
        </w:rPr>
      </w:pPr>
    </w:p>
    <w:p w:rsidRPr="00C523D1" w:rsidR="00A158EA" w:rsidP="005E55A2" w:rsidRDefault="00A158EA" w14:paraId="480F178C" w14:textId="77777777">
      <w:pPr>
        <w:rPr>
          <w:color w:val="2E74B5" w:themeColor="accent5" w:themeShade="BF"/>
        </w:rPr>
      </w:pPr>
    </w:p>
    <w:p w:rsidRPr="00C523D1" w:rsidR="005E55A2" w:rsidP="005E55A2" w:rsidRDefault="005E55A2" w14:paraId="4C06763E" w14:textId="7CD2197C">
      <w:pPr>
        <w:rPr>
          <w:color w:val="2E74B5" w:themeColor="accent5" w:themeShade="BF"/>
        </w:rPr>
      </w:pPr>
      <w:r w:rsidRPr="00C523D1">
        <w:rPr>
          <w:b/>
        </w:rPr>
        <w:t xml:space="preserve">REQUESTED APPROVAL DATE:  </w:t>
      </w:r>
      <w:r w:rsidRPr="0042238F" w:rsidR="00C523D1">
        <w:t>August</w:t>
      </w:r>
      <w:r w:rsidRPr="0042238F" w:rsidR="00793DB8">
        <w:t xml:space="preserve"> </w:t>
      </w:r>
      <w:r w:rsidRPr="0042238F" w:rsidR="00C523D1">
        <w:t>2</w:t>
      </w:r>
      <w:r w:rsidRPr="0042238F" w:rsidR="00793DB8">
        <w:t>0</w:t>
      </w:r>
      <w:r w:rsidRPr="0042238F">
        <w:t>, 2020</w:t>
      </w:r>
    </w:p>
    <w:p w:rsidR="005E55A2" w:rsidP="005E55A2" w:rsidRDefault="005E55A2" w14:paraId="2EF2FAA5" w14:textId="77777777">
      <w:pPr>
        <w:rPr>
          <w:b/>
        </w:rPr>
      </w:pPr>
    </w:p>
    <w:p w:rsidR="005E55A2" w:rsidP="005E55A2" w:rsidRDefault="005E55A2" w14:paraId="3A8668C7" w14:textId="77777777">
      <w:pPr>
        <w:rPr>
          <w:b/>
        </w:rPr>
      </w:pPr>
      <w:r>
        <w:rPr>
          <w:b/>
        </w:rPr>
        <w:t xml:space="preserve">NAME OF PRA ANALYST &amp; PROGRAM CONTACT:  </w:t>
      </w:r>
    </w:p>
    <w:p w:rsidR="00D529D9" w:rsidP="005E55A2" w:rsidRDefault="00D529D9" w14:paraId="15B3479C" w14:textId="77777777">
      <w:pPr>
        <w:rPr>
          <w:bCs/>
        </w:rPr>
      </w:pPr>
    </w:p>
    <w:p w:rsidRPr="00D00880" w:rsidR="005E55A2" w:rsidP="005E55A2" w:rsidRDefault="005E55A2" w14:paraId="516E7628" w14:textId="3D26D482">
      <w:pPr>
        <w:rPr>
          <w:bCs/>
        </w:rPr>
      </w:pPr>
      <w:r>
        <w:rPr>
          <w:bCs/>
        </w:rPr>
        <w:t xml:space="preserve">Ila S. Mizrachi </w:t>
      </w:r>
      <w:r w:rsidRPr="00D00880">
        <w:rPr>
          <w:bCs/>
        </w:rPr>
        <w:t xml:space="preserve">(PRA Analyst) </w:t>
      </w:r>
    </w:p>
    <w:p w:rsidR="005E55A2" w:rsidP="005E55A2" w:rsidRDefault="002A3A93" w14:paraId="15B7AA89" w14:textId="77777777">
      <w:hyperlink w:history="1" r:id="rId8">
        <w:r w:rsidRPr="009B5E5A" w:rsidR="005E55A2">
          <w:rPr>
            <w:rStyle w:val="Hyperlink"/>
          </w:rPr>
          <w:t>Ila.Mizrachi@fda.hhs.gov</w:t>
        </w:r>
      </w:hyperlink>
    </w:p>
    <w:p w:rsidRPr="00D00880" w:rsidR="005E55A2" w:rsidP="005E55A2" w:rsidRDefault="005E55A2" w14:paraId="4216009E" w14:textId="77777777">
      <w:pPr>
        <w:rPr>
          <w:bCs/>
        </w:rPr>
      </w:pPr>
      <w:r w:rsidRPr="00D00880">
        <w:rPr>
          <w:bCs/>
        </w:rPr>
        <w:t>301-796-</w:t>
      </w:r>
      <w:r>
        <w:rPr>
          <w:bCs/>
        </w:rPr>
        <w:t>7726</w:t>
      </w:r>
    </w:p>
    <w:p w:rsidRPr="00D00880" w:rsidR="005E55A2" w:rsidP="005E55A2" w:rsidRDefault="005E55A2" w14:paraId="612285BD" w14:textId="77777777">
      <w:pPr>
        <w:rPr>
          <w:bCs/>
        </w:rPr>
      </w:pPr>
    </w:p>
    <w:p w:rsidRPr="00D00880" w:rsidR="005E55A2" w:rsidP="005E55A2" w:rsidRDefault="005E55A2" w14:paraId="0471836C" w14:textId="0B1A3ED5">
      <w:pPr>
        <w:rPr>
          <w:bCs/>
        </w:rPr>
      </w:pPr>
      <w:r>
        <w:rPr>
          <w:bCs/>
        </w:rPr>
        <w:t>Fanfan Wu</w:t>
      </w:r>
      <w:r w:rsidRPr="00D00880">
        <w:rPr>
          <w:bCs/>
        </w:rPr>
        <w:t xml:space="preserve"> (Program Contact)</w:t>
      </w:r>
    </w:p>
    <w:p w:rsidRPr="00D00880" w:rsidR="005E55A2" w:rsidP="005E55A2" w:rsidRDefault="002A3A93" w14:paraId="11CB7EF5" w14:textId="175F4FD2">
      <w:pPr>
        <w:rPr>
          <w:bCs/>
        </w:rPr>
      </w:pPr>
      <w:hyperlink w:history="1" r:id="rId9">
        <w:r w:rsidRPr="00EB276C" w:rsidR="005E55A2">
          <w:rPr>
            <w:rStyle w:val="Hyperlink"/>
            <w:bCs/>
          </w:rPr>
          <w:t>Fanfan.Wu@fda.hhs.gov</w:t>
        </w:r>
      </w:hyperlink>
    </w:p>
    <w:p w:rsidR="005E55A2" w:rsidP="005E55A2" w:rsidRDefault="005E55A2" w14:paraId="46D243BC" w14:textId="6F590057">
      <w:pPr>
        <w:tabs>
          <w:tab w:val="left" w:pos="5670"/>
        </w:tabs>
        <w:suppressAutoHyphens/>
        <w:rPr>
          <w:bCs/>
        </w:rPr>
      </w:pPr>
      <w:r w:rsidRPr="00D00880">
        <w:rPr>
          <w:bCs/>
        </w:rPr>
        <w:t>240-402-</w:t>
      </w:r>
      <w:r w:rsidR="0034696C">
        <w:rPr>
          <w:bCs/>
        </w:rPr>
        <w:t>1808</w:t>
      </w:r>
    </w:p>
    <w:p w:rsidR="005E55A2" w:rsidP="005E55A2" w:rsidRDefault="005E55A2" w14:paraId="0B7D6F1F" w14:textId="77777777">
      <w:pPr>
        <w:tabs>
          <w:tab w:val="left" w:pos="5670"/>
        </w:tabs>
        <w:suppressAutoHyphens/>
        <w:rPr>
          <w:b/>
        </w:rPr>
      </w:pPr>
    </w:p>
    <w:p w:rsidR="001632C9" w:rsidP="00A21059" w:rsidRDefault="005E55A2" w14:paraId="728BD374" w14:textId="0677A315">
      <w:pPr>
        <w:pStyle w:val="EndNoteBibliography"/>
      </w:pPr>
      <w:r>
        <w:rPr>
          <w:b/>
        </w:rPr>
        <w:t xml:space="preserve">FDA CENTER:  </w:t>
      </w:r>
      <w:r>
        <w:t>Center for Food Safety and Applied Nutrition (CFSAN)</w:t>
      </w:r>
    </w:p>
    <w:sectPr w:rsidR="001632C9"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AF736" w14:textId="77777777" w:rsidR="00304D0E" w:rsidRDefault="00304D0E" w:rsidP="005E55A2">
      <w:r>
        <w:separator/>
      </w:r>
    </w:p>
  </w:endnote>
  <w:endnote w:type="continuationSeparator" w:id="0">
    <w:p w14:paraId="789E7D07" w14:textId="77777777" w:rsidR="00304D0E" w:rsidRDefault="00304D0E" w:rsidP="005E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6D12" w14:textId="77777777" w:rsidR="00F12AEE" w:rsidRDefault="005E55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6E1F" w14:textId="77777777" w:rsidR="00304D0E" w:rsidRDefault="00304D0E" w:rsidP="005E55A2">
      <w:r>
        <w:separator/>
      </w:r>
    </w:p>
  </w:footnote>
  <w:footnote w:type="continuationSeparator" w:id="0">
    <w:p w14:paraId="6EBBF6D2" w14:textId="77777777" w:rsidR="00304D0E" w:rsidRDefault="00304D0E" w:rsidP="005E55A2">
      <w:r>
        <w:continuationSeparator/>
      </w:r>
    </w:p>
  </w:footnote>
  <w:footnote w:id="1">
    <w:p w14:paraId="3BE1B726" w14:textId="65267183" w:rsidR="00533CB7" w:rsidRPr="00CB1433" w:rsidRDefault="00533CB7">
      <w:pPr>
        <w:pStyle w:val="FootnoteText"/>
        <w:rPr>
          <w:rFonts w:ascii="Times New Roman" w:hAnsi="Times New Roman"/>
          <w:sz w:val="16"/>
          <w:szCs w:val="16"/>
        </w:rPr>
      </w:pPr>
      <w:r>
        <w:rPr>
          <w:rStyle w:val="FootnoteReference"/>
        </w:rPr>
        <w:footnoteRef/>
      </w:r>
      <w:r>
        <w:t xml:space="preserve"> </w:t>
      </w:r>
      <w:r w:rsidR="00B71B29" w:rsidRPr="00CB1433">
        <w:rPr>
          <w:rFonts w:ascii="Times New Roman" w:hAnsi="Times New Roman"/>
          <w:sz w:val="16"/>
          <w:szCs w:val="16"/>
        </w:rPr>
        <w:t>Bureau of Labor Statistics, U.S. Department of Labor, Economic News Release, on the Internet</w:t>
      </w:r>
      <w:r w:rsidR="00B71B29">
        <w:rPr>
          <w:rFonts w:ascii="Times New Roman" w:hAnsi="Times New Roman"/>
          <w:sz w:val="16"/>
          <w:szCs w:val="16"/>
        </w:rPr>
        <w:t xml:space="preserve"> </w:t>
      </w:r>
      <w:r w:rsidR="00B71B29" w:rsidRPr="00CB1433">
        <w:rPr>
          <w:rFonts w:ascii="Times New Roman" w:hAnsi="Times New Roman"/>
          <w:sz w:val="16"/>
          <w:szCs w:val="16"/>
        </w:rPr>
        <w:t>at </w:t>
      </w:r>
      <w:hyperlink r:id="rId1" w:history="1">
        <w:r w:rsidR="00B71B29" w:rsidRPr="00CB1433">
          <w:rPr>
            <w:rStyle w:val="Hyperlink"/>
            <w:rFonts w:ascii="Times New Roman" w:hAnsi="Times New Roman"/>
            <w:sz w:val="16"/>
            <w:szCs w:val="16"/>
          </w:rPr>
          <w:t>https://www.bls.gov/news.release/empsit.t19.htm</w:t>
        </w:r>
      </w:hyperlink>
      <w:r w:rsidR="00B71B29" w:rsidRPr="00CB1433">
        <w:rPr>
          <w:rFonts w:ascii="Times New Roman" w:hAnsi="Times New Roman"/>
          <w:sz w:val="16"/>
          <w:szCs w:val="16"/>
        </w:rPr>
        <w:t> (visited July 6, 2020).</w:t>
      </w:r>
    </w:p>
  </w:footnote>
  <w:footnote w:id="2">
    <w:p w14:paraId="1C5D3E18" w14:textId="57C1A210" w:rsidR="00B71B29" w:rsidRDefault="00B71B29">
      <w:pPr>
        <w:pStyle w:val="FootnoteText"/>
      </w:pPr>
      <w:r>
        <w:rPr>
          <w:rStyle w:val="FootnoteReference"/>
        </w:rPr>
        <w:footnoteRef/>
      </w:r>
      <w:r>
        <w:t xml:space="preserve"> </w:t>
      </w:r>
      <w:r w:rsidRPr="0012196B">
        <w:rPr>
          <w:rFonts w:ascii="Times New Roman" w:hAnsi="Times New Roman"/>
          <w:sz w:val="16"/>
          <w:szCs w:val="16"/>
        </w:rPr>
        <w:t>Krueger, R.A. &amp; M.A. Casey. (2014). Focus groups: A practical guide for applied research. (5th ed.). Thousand Oaks, CA: Sage Publications, Inc.</w:t>
      </w:r>
    </w:p>
  </w:footnote>
  <w:footnote w:id="3">
    <w:p w14:paraId="1EF6E3D1" w14:textId="53D587B2" w:rsidR="00B71B29" w:rsidRDefault="00B71B29">
      <w:pPr>
        <w:pStyle w:val="FootnoteText"/>
      </w:pPr>
      <w:r>
        <w:rPr>
          <w:rStyle w:val="FootnoteReference"/>
        </w:rPr>
        <w:footnoteRef/>
      </w:r>
      <w:r>
        <w:t xml:space="preserve"> </w:t>
      </w:r>
      <w:r w:rsidRPr="0012196B">
        <w:rPr>
          <w:rFonts w:ascii="Times New Roman" w:hAnsi="Times New Roman"/>
          <w:sz w:val="16"/>
          <w:szCs w:val="16"/>
        </w:rPr>
        <w:t xml:space="preserve">Church, A.H. (1993). Estimating the effect of incentives on mail survey response rates: A meta-analysis. </w:t>
      </w:r>
      <w:r w:rsidRPr="0012196B">
        <w:rPr>
          <w:rFonts w:ascii="Times New Roman" w:hAnsi="Times New Roman"/>
          <w:i/>
          <w:iCs/>
          <w:sz w:val="16"/>
          <w:szCs w:val="16"/>
        </w:rPr>
        <w:t>Public Opinion Quarterly,</w:t>
      </w:r>
      <w:r w:rsidRPr="0012196B">
        <w:rPr>
          <w:rFonts w:ascii="Times New Roman" w:hAnsi="Times New Roman"/>
          <w:sz w:val="16"/>
          <w:szCs w:val="16"/>
        </w:rPr>
        <w:t xml:space="preserve"> 57, 62-79.</w:t>
      </w:r>
    </w:p>
  </w:footnote>
  <w:footnote w:id="4">
    <w:p w14:paraId="386D69FC" w14:textId="00C17A00" w:rsidR="00B71B29" w:rsidRPr="00CB1433" w:rsidRDefault="00B71B29">
      <w:pPr>
        <w:pStyle w:val="FootnoteText"/>
        <w:rPr>
          <w:rFonts w:ascii="Times New Roman" w:hAnsi="Times New Roman"/>
          <w:sz w:val="16"/>
          <w:szCs w:val="16"/>
        </w:rPr>
      </w:pPr>
      <w:r>
        <w:rPr>
          <w:rStyle w:val="FootnoteReference"/>
        </w:rPr>
        <w:footnoteRef/>
      </w:r>
      <w:r>
        <w:t xml:space="preserve"> </w:t>
      </w:r>
      <w:r w:rsidRPr="0012196B">
        <w:rPr>
          <w:rFonts w:ascii="Times New Roman" w:hAnsi="Times New Roman"/>
          <w:sz w:val="16"/>
          <w:szCs w:val="16"/>
        </w:rPr>
        <w:t xml:space="preserve">Halpen, S.D., Karlawish, J.H., Casarett, D., Berlin, J.A., &amp; Asch, D.A. (2004). Empirical assessment of whether moderate payments are undue or unjust inducements for participation in clinical trials. </w:t>
      </w:r>
      <w:r w:rsidRPr="0012196B">
        <w:rPr>
          <w:rFonts w:ascii="Times New Roman" w:hAnsi="Times New Roman"/>
          <w:i/>
          <w:sz w:val="16"/>
          <w:szCs w:val="16"/>
        </w:rPr>
        <w:t>Archives of Internal Medicine</w:t>
      </w:r>
      <w:r w:rsidRPr="0012196B">
        <w:rPr>
          <w:rFonts w:ascii="Times New Roman" w:hAnsi="Times New Roman"/>
          <w:sz w:val="16"/>
          <w:szCs w:val="16"/>
        </w:rPr>
        <w:t xml:space="preserve">, </w:t>
      </w:r>
      <w:r w:rsidRPr="0012196B">
        <w:rPr>
          <w:rFonts w:ascii="Times New Roman" w:hAnsi="Times New Roman"/>
          <w:i/>
          <w:sz w:val="16"/>
          <w:szCs w:val="16"/>
        </w:rPr>
        <w:t>164</w:t>
      </w:r>
      <w:r w:rsidRPr="0012196B">
        <w:rPr>
          <w:rFonts w:ascii="Times New Roman" w:hAnsi="Times New Roman"/>
          <w:sz w:val="16"/>
          <w:szCs w:val="16"/>
        </w:rPr>
        <w:t>(</w:t>
      </w:r>
      <w:r w:rsidRPr="0012196B">
        <w:rPr>
          <w:rFonts w:ascii="Times New Roman" w:hAnsi="Times New Roman"/>
          <w:i/>
          <w:sz w:val="16"/>
          <w:szCs w:val="16"/>
        </w:rPr>
        <w:t>7</w:t>
      </w:r>
      <w:r w:rsidRPr="0012196B">
        <w:rPr>
          <w:rFonts w:ascii="Times New Roman" w:hAnsi="Times New Roman"/>
          <w:sz w:val="16"/>
          <w:szCs w:val="16"/>
        </w:rPr>
        <w:t>), 801-803.</w:t>
      </w:r>
    </w:p>
  </w:footnote>
  <w:footnote w:id="5">
    <w:p w14:paraId="5D14E628" w14:textId="7A15A2F9" w:rsidR="00B71B29" w:rsidRDefault="00B71B29">
      <w:pPr>
        <w:pStyle w:val="FootnoteText"/>
      </w:pPr>
      <w:r>
        <w:rPr>
          <w:rStyle w:val="FootnoteReference"/>
        </w:rPr>
        <w:footnoteRef/>
      </w:r>
      <w:r>
        <w:t xml:space="preserve"> </w:t>
      </w:r>
      <w:r w:rsidRPr="0012196B">
        <w:rPr>
          <w:rFonts w:ascii="Times New Roman" w:hAnsi="Times New Roman"/>
          <w:sz w:val="16"/>
          <w:szCs w:val="16"/>
        </w:rPr>
        <w:t>Berlin, M., L. Mohadjer, J. Waksberg, A. Kolstad, I. Kirsch, D. Rock, &amp; K. Yamamoto. 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4DC"/>
    <w:multiLevelType w:val="hybridMultilevel"/>
    <w:tmpl w:val="B914D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20209"/>
    <w:multiLevelType w:val="hybridMultilevel"/>
    <w:tmpl w:val="88547B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5A4A0D7B"/>
    <w:multiLevelType w:val="hybridMultilevel"/>
    <w:tmpl w:val="4E3EF024"/>
    <w:lvl w:ilvl="0" w:tplc="5FAE096C">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9C1BA5"/>
    <w:multiLevelType w:val="hybridMultilevel"/>
    <w:tmpl w:val="6BF03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7AEE61DD"/>
    <w:multiLevelType w:val="hybridMultilevel"/>
    <w:tmpl w:val="2976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47"/>
    <w:rsid w:val="00044728"/>
    <w:rsid w:val="00045E27"/>
    <w:rsid w:val="00051E20"/>
    <w:rsid w:val="0005534E"/>
    <w:rsid w:val="00072F10"/>
    <w:rsid w:val="00082E5E"/>
    <w:rsid w:val="0008731D"/>
    <w:rsid w:val="000926E5"/>
    <w:rsid w:val="00093BF4"/>
    <w:rsid w:val="000970D8"/>
    <w:rsid w:val="000A3A19"/>
    <w:rsid w:val="000A67F2"/>
    <w:rsid w:val="000C3660"/>
    <w:rsid w:val="00121E03"/>
    <w:rsid w:val="001632C9"/>
    <w:rsid w:val="00164333"/>
    <w:rsid w:val="00181F58"/>
    <w:rsid w:val="00184048"/>
    <w:rsid w:val="001A11DA"/>
    <w:rsid w:val="001A6D58"/>
    <w:rsid w:val="001A6E5D"/>
    <w:rsid w:val="001F0C71"/>
    <w:rsid w:val="00254011"/>
    <w:rsid w:val="0028549D"/>
    <w:rsid w:val="00286548"/>
    <w:rsid w:val="002A3A93"/>
    <w:rsid w:val="002A7D7D"/>
    <w:rsid w:val="002B7656"/>
    <w:rsid w:val="002E52EA"/>
    <w:rsid w:val="00304D0E"/>
    <w:rsid w:val="0031045F"/>
    <w:rsid w:val="00312F4D"/>
    <w:rsid w:val="00315F22"/>
    <w:rsid w:val="0034003B"/>
    <w:rsid w:val="0034696C"/>
    <w:rsid w:val="00360F5F"/>
    <w:rsid w:val="003709D9"/>
    <w:rsid w:val="00370E0E"/>
    <w:rsid w:val="00383EAE"/>
    <w:rsid w:val="003B0F47"/>
    <w:rsid w:val="003C231C"/>
    <w:rsid w:val="0042238F"/>
    <w:rsid w:val="004409EA"/>
    <w:rsid w:val="00443420"/>
    <w:rsid w:val="004812CC"/>
    <w:rsid w:val="00482287"/>
    <w:rsid w:val="004A2CE0"/>
    <w:rsid w:val="004B61C8"/>
    <w:rsid w:val="004D00E3"/>
    <w:rsid w:val="00533CB7"/>
    <w:rsid w:val="00582813"/>
    <w:rsid w:val="00587621"/>
    <w:rsid w:val="005A3785"/>
    <w:rsid w:val="005C3C08"/>
    <w:rsid w:val="005C7F6E"/>
    <w:rsid w:val="005E55A2"/>
    <w:rsid w:val="006139E4"/>
    <w:rsid w:val="00656F20"/>
    <w:rsid w:val="00662197"/>
    <w:rsid w:val="00666AB2"/>
    <w:rsid w:val="006A44DB"/>
    <w:rsid w:val="006B3FF7"/>
    <w:rsid w:val="006C34C8"/>
    <w:rsid w:val="006D7751"/>
    <w:rsid w:val="006F1C8D"/>
    <w:rsid w:val="0070226A"/>
    <w:rsid w:val="00793DB8"/>
    <w:rsid w:val="007A3BA7"/>
    <w:rsid w:val="00807403"/>
    <w:rsid w:val="00814B40"/>
    <w:rsid w:val="00840E96"/>
    <w:rsid w:val="008736AE"/>
    <w:rsid w:val="00895FD3"/>
    <w:rsid w:val="008A6CBF"/>
    <w:rsid w:val="008B0682"/>
    <w:rsid w:val="008E1042"/>
    <w:rsid w:val="008E11B2"/>
    <w:rsid w:val="00902206"/>
    <w:rsid w:val="00915BA5"/>
    <w:rsid w:val="009629BA"/>
    <w:rsid w:val="009629C3"/>
    <w:rsid w:val="009779D9"/>
    <w:rsid w:val="009C145A"/>
    <w:rsid w:val="009D1575"/>
    <w:rsid w:val="009E6E90"/>
    <w:rsid w:val="00A158EA"/>
    <w:rsid w:val="00A21059"/>
    <w:rsid w:val="00A37891"/>
    <w:rsid w:val="00A55B40"/>
    <w:rsid w:val="00A72170"/>
    <w:rsid w:val="00A84BA5"/>
    <w:rsid w:val="00A871D7"/>
    <w:rsid w:val="00AD670F"/>
    <w:rsid w:val="00AD7971"/>
    <w:rsid w:val="00AE71B4"/>
    <w:rsid w:val="00AF3DC3"/>
    <w:rsid w:val="00B1482A"/>
    <w:rsid w:val="00B209AC"/>
    <w:rsid w:val="00B71B29"/>
    <w:rsid w:val="00B75702"/>
    <w:rsid w:val="00BA292C"/>
    <w:rsid w:val="00BB71A5"/>
    <w:rsid w:val="00BC3EDC"/>
    <w:rsid w:val="00BD711B"/>
    <w:rsid w:val="00BE39CB"/>
    <w:rsid w:val="00BE6960"/>
    <w:rsid w:val="00BF328C"/>
    <w:rsid w:val="00C00311"/>
    <w:rsid w:val="00C06851"/>
    <w:rsid w:val="00C17548"/>
    <w:rsid w:val="00C25B2D"/>
    <w:rsid w:val="00C312B2"/>
    <w:rsid w:val="00C416DB"/>
    <w:rsid w:val="00C44BDF"/>
    <w:rsid w:val="00C523D1"/>
    <w:rsid w:val="00CA05A4"/>
    <w:rsid w:val="00CB1433"/>
    <w:rsid w:val="00CF4334"/>
    <w:rsid w:val="00CF4CBF"/>
    <w:rsid w:val="00D073FA"/>
    <w:rsid w:val="00D1719F"/>
    <w:rsid w:val="00D31AAA"/>
    <w:rsid w:val="00D529D9"/>
    <w:rsid w:val="00D730A6"/>
    <w:rsid w:val="00D950AC"/>
    <w:rsid w:val="00DB7372"/>
    <w:rsid w:val="00DC0BC2"/>
    <w:rsid w:val="00DD6E36"/>
    <w:rsid w:val="00E013EE"/>
    <w:rsid w:val="00E01CE1"/>
    <w:rsid w:val="00E31331"/>
    <w:rsid w:val="00EB13BB"/>
    <w:rsid w:val="00F20607"/>
    <w:rsid w:val="00F31C1F"/>
    <w:rsid w:val="00F47947"/>
    <w:rsid w:val="00F5520F"/>
    <w:rsid w:val="00F576B5"/>
    <w:rsid w:val="00F65ED3"/>
    <w:rsid w:val="00F74DC1"/>
    <w:rsid w:val="00F82877"/>
    <w:rsid w:val="00FD070D"/>
    <w:rsid w:val="00FD2397"/>
    <w:rsid w:val="00FD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AAAF"/>
  <w15:chartTrackingRefBased/>
  <w15:docId w15:val="{D3065A92-0260-42C1-9F4F-850C27BE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5A2"/>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5E55A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55A2"/>
    <w:rPr>
      <w:rFonts w:ascii="Times New Roman" w:eastAsia="Times New Roman" w:hAnsi="Times New Roman" w:cs="Times New Roman"/>
      <w:b/>
      <w:bCs/>
      <w:sz w:val="24"/>
      <w:szCs w:val="24"/>
      <w:lang w:eastAsia="en-US"/>
    </w:rPr>
  </w:style>
  <w:style w:type="paragraph" w:styleId="Footer">
    <w:name w:val="footer"/>
    <w:basedOn w:val="Normal"/>
    <w:link w:val="FooterChar"/>
    <w:semiHidden/>
    <w:rsid w:val="005E55A2"/>
    <w:pPr>
      <w:tabs>
        <w:tab w:val="center" w:pos="4320"/>
        <w:tab w:val="right" w:pos="8640"/>
      </w:tabs>
    </w:pPr>
  </w:style>
  <w:style w:type="character" w:customStyle="1" w:styleId="FooterChar">
    <w:name w:val="Footer Char"/>
    <w:basedOn w:val="DefaultParagraphFont"/>
    <w:link w:val="Footer"/>
    <w:semiHidden/>
    <w:rsid w:val="005E55A2"/>
    <w:rPr>
      <w:rFonts w:ascii="Times New Roman" w:eastAsia="Times New Roman" w:hAnsi="Times New Roman" w:cs="Times New Roman"/>
      <w:sz w:val="24"/>
      <w:szCs w:val="24"/>
      <w:lang w:eastAsia="en-US"/>
    </w:rPr>
  </w:style>
  <w:style w:type="character" w:styleId="PageNumber">
    <w:name w:val="page number"/>
    <w:basedOn w:val="DefaultParagraphFont"/>
    <w:semiHidden/>
    <w:rsid w:val="005E55A2"/>
  </w:style>
  <w:style w:type="character" w:styleId="Hyperlink">
    <w:name w:val="Hyperlink"/>
    <w:semiHidden/>
    <w:rsid w:val="005E55A2"/>
    <w:rPr>
      <w:color w:val="0000FF"/>
      <w:u w:val="single"/>
    </w:rPr>
  </w:style>
  <w:style w:type="paragraph" w:styleId="ListParagraph">
    <w:name w:val="List Paragraph"/>
    <w:basedOn w:val="Normal"/>
    <w:uiPriority w:val="34"/>
    <w:qFormat/>
    <w:rsid w:val="005E55A2"/>
    <w:pPr>
      <w:ind w:left="720"/>
    </w:pPr>
  </w:style>
  <w:style w:type="paragraph" w:styleId="FootnoteText">
    <w:name w:val="footnote text"/>
    <w:basedOn w:val="Normal"/>
    <w:link w:val="FootnoteTextChar"/>
    <w:uiPriority w:val="99"/>
    <w:unhideWhenUsed/>
    <w:rsid w:val="005E55A2"/>
    <w:rPr>
      <w:rFonts w:ascii="Garamond" w:hAnsi="Garamond"/>
      <w:sz w:val="20"/>
      <w:szCs w:val="20"/>
    </w:rPr>
  </w:style>
  <w:style w:type="character" w:customStyle="1" w:styleId="FootnoteTextChar">
    <w:name w:val="Footnote Text Char"/>
    <w:basedOn w:val="DefaultParagraphFont"/>
    <w:link w:val="FootnoteText"/>
    <w:uiPriority w:val="99"/>
    <w:rsid w:val="005E55A2"/>
    <w:rPr>
      <w:rFonts w:ascii="Garamond" w:eastAsia="Times New Roman" w:hAnsi="Garamond" w:cs="Times New Roman"/>
      <w:sz w:val="20"/>
      <w:szCs w:val="20"/>
      <w:lang w:eastAsia="en-US"/>
    </w:rPr>
  </w:style>
  <w:style w:type="character" w:styleId="FootnoteReference">
    <w:name w:val="footnote reference"/>
    <w:basedOn w:val="DefaultParagraphFont"/>
    <w:semiHidden/>
    <w:unhideWhenUsed/>
    <w:rsid w:val="005E55A2"/>
    <w:rPr>
      <w:vertAlign w:val="superscript"/>
    </w:rPr>
  </w:style>
  <w:style w:type="character" w:customStyle="1" w:styleId="ref-title">
    <w:name w:val="ref-title"/>
    <w:basedOn w:val="DefaultParagraphFont"/>
    <w:rsid w:val="005E55A2"/>
  </w:style>
  <w:style w:type="character" w:customStyle="1" w:styleId="ref-journal">
    <w:name w:val="ref-journal"/>
    <w:basedOn w:val="DefaultParagraphFont"/>
    <w:rsid w:val="005E55A2"/>
  </w:style>
  <w:style w:type="character" w:customStyle="1" w:styleId="ref-vol">
    <w:name w:val="ref-vol"/>
    <w:basedOn w:val="DefaultParagraphFont"/>
    <w:rsid w:val="005E55A2"/>
  </w:style>
  <w:style w:type="paragraph" w:customStyle="1" w:styleId="EndNoteBibliography">
    <w:name w:val="EndNote Bibliography"/>
    <w:basedOn w:val="Normal"/>
    <w:link w:val="EndNoteBibliographyChar"/>
    <w:rsid w:val="005E55A2"/>
    <w:rPr>
      <w:noProof/>
    </w:rPr>
  </w:style>
  <w:style w:type="character" w:customStyle="1" w:styleId="EndNoteBibliographyChar">
    <w:name w:val="EndNote Bibliography Char"/>
    <w:basedOn w:val="DefaultParagraphFont"/>
    <w:link w:val="EndNoteBibliography"/>
    <w:rsid w:val="005E55A2"/>
    <w:rPr>
      <w:rFonts w:ascii="Times New Roman" w:eastAsia="Times New Roman" w:hAnsi="Times New Roman" w:cs="Times New Roman"/>
      <w:noProof/>
      <w:sz w:val="24"/>
      <w:szCs w:val="24"/>
      <w:lang w:eastAsia="en-US"/>
    </w:rPr>
  </w:style>
  <w:style w:type="character" w:styleId="UnresolvedMention">
    <w:name w:val="Unresolved Mention"/>
    <w:basedOn w:val="DefaultParagraphFont"/>
    <w:uiPriority w:val="99"/>
    <w:semiHidden/>
    <w:unhideWhenUsed/>
    <w:rsid w:val="005E55A2"/>
    <w:rPr>
      <w:color w:val="605E5C"/>
      <w:shd w:val="clear" w:color="auto" w:fill="E1DFDD"/>
    </w:rPr>
  </w:style>
  <w:style w:type="character" w:styleId="CommentReference">
    <w:name w:val="annotation reference"/>
    <w:basedOn w:val="DefaultParagraphFont"/>
    <w:uiPriority w:val="99"/>
    <w:semiHidden/>
    <w:unhideWhenUsed/>
    <w:rsid w:val="001A11DA"/>
    <w:rPr>
      <w:sz w:val="16"/>
      <w:szCs w:val="16"/>
    </w:rPr>
  </w:style>
  <w:style w:type="paragraph" w:styleId="CommentText">
    <w:name w:val="annotation text"/>
    <w:basedOn w:val="Normal"/>
    <w:link w:val="CommentTextChar"/>
    <w:uiPriority w:val="99"/>
    <w:semiHidden/>
    <w:unhideWhenUsed/>
    <w:rsid w:val="001A11DA"/>
    <w:rPr>
      <w:sz w:val="20"/>
      <w:szCs w:val="20"/>
    </w:rPr>
  </w:style>
  <w:style w:type="character" w:customStyle="1" w:styleId="CommentTextChar">
    <w:name w:val="Comment Text Char"/>
    <w:basedOn w:val="DefaultParagraphFont"/>
    <w:link w:val="CommentText"/>
    <w:uiPriority w:val="99"/>
    <w:semiHidden/>
    <w:rsid w:val="001A11D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A11DA"/>
    <w:rPr>
      <w:b/>
      <w:bCs/>
    </w:rPr>
  </w:style>
  <w:style w:type="character" w:customStyle="1" w:styleId="CommentSubjectChar">
    <w:name w:val="Comment Subject Char"/>
    <w:basedOn w:val="CommentTextChar"/>
    <w:link w:val="CommentSubject"/>
    <w:uiPriority w:val="99"/>
    <w:semiHidden/>
    <w:rsid w:val="001A11D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A1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DA"/>
    <w:rPr>
      <w:rFonts w:ascii="Segoe UI" w:eastAsia="Times New Roman" w:hAnsi="Segoe UI" w:cs="Segoe UI"/>
      <w:sz w:val="18"/>
      <w:szCs w:val="18"/>
      <w:lang w:eastAsia="en-US"/>
    </w:rPr>
  </w:style>
  <w:style w:type="table" w:styleId="TableGrid">
    <w:name w:val="Table Grid"/>
    <w:basedOn w:val="TableNormal"/>
    <w:uiPriority w:val="39"/>
    <w:rsid w:val="00DD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84B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A84B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4B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33CB7"/>
    <w:pPr>
      <w:tabs>
        <w:tab w:val="center" w:pos="4680"/>
        <w:tab w:val="right" w:pos="9360"/>
      </w:tabs>
    </w:pPr>
  </w:style>
  <w:style w:type="character" w:customStyle="1" w:styleId="HeaderChar">
    <w:name w:val="Header Char"/>
    <w:basedOn w:val="DefaultParagraphFont"/>
    <w:link w:val="Header"/>
    <w:uiPriority w:val="99"/>
    <w:rsid w:val="00533CB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0865">
      <w:bodyDiv w:val="1"/>
      <w:marLeft w:val="0"/>
      <w:marRight w:val="0"/>
      <w:marTop w:val="0"/>
      <w:marBottom w:val="0"/>
      <w:divBdr>
        <w:top w:val="none" w:sz="0" w:space="0" w:color="auto"/>
        <w:left w:val="none" w:sz="0" w:space="0" w:color="auto"/>
        <w:bottom w:val="none" w:sz="0" w:space="0" w:color="auto"/>
        <w:right w:val="none" w:sz="0" w:space="0" w:color="auto"/>
      </w:divBdr>
    </w:div>
    <w:div w:id="207690759">
      <w:bodyDiv w:val="1"/>
      <w:marLeft w:val="0"/>
      <w:marRight w:val="0"/>
      <w:marTop w:val="0"/>
      <w:marBottom w:val="0"/>
      <w:divBdr>
        <w:top w:val="none" w:sz="0" w:space="0" w:color="auto"/>
        <w:left w:val="none" w:sz="0" w:space="0" w:color="auto"/>
        <w:bottom w:val="none" w:sz="0" w:space="0" w:color="auto"/>
        <w:right w:val="none" w:sz="0" w:space="0" w:color="auto"/>
      </w:divBdr>
    </w:div>
    <w:div w:id="681513020">
      <w:bodyDiv w:val="1"/>
      <w:marLeft w:val="0"/>
      <w:marRight w:val="0"/>
      <w:marTop w:val="0"/>
      <w:marBottom w:val="0"/>
      <w:divBdr>
        <w:top w:val="none" w:sz="0" w:space="0" w:color="auto"/>
        <w:left w:val="none" w:sz="0" w:space="0" w:color="auto"/>
        <w:bottom w:val="none" w:sz="0" w:space="0" w:color="auto"/>
        <w:right w:val="none" w:sz="0" w:space="0" w:color="auto"/>
      </w:divBdr>
    </w:div>
    <w:div w:id="12815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nfan.Wu@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F1249-AAD9-49E6-8256-0F7C90EE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Fanfan</dc:creator>
  <cp:keywords/>
  <dc:description/>
  <cp:lastModifiedBy>Mizrachi, Ila</cp:lastModifiedBy>
  <cp:revision>2</cp:revision>
  <dcterms:created xsi:type="dcterms:W3CDTF">2020-08-07T15:01:00Z</dcterms:created>
  <dcterms:modified xsi:type="dcterms:W3CDTF">2020-08-07T15:01:00Z</dcterms:modified>
</cp:coreProperties>
</file>