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AAF71" w14:textId="2E79B999" w:rsidR="005E714A" w:rsidRDefault="00F06866" w:rsidP="005E067E">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01624D" w:rsidRPr="0001624D">
        <w:rPr>
          <w:sz w:val="28"/>
        </w:rPr>
        <w:t>Generic Clearance for Quantitative Testing for the Development of FDA Communications</w:t>
      </w:r>
      <w:r w:rsidRPr="00F06866">
        <w:rPr>
          <w:sz w:val="28"/>
        </w:rPr>
        <w:t>”</w:t>
      </w:r>
      <w:r w:rsidR="00A23D54">
        <w:rPr>
          <w:sz w:val="28"/>
        </w:rPr>
        <w:br/>
      </w:r>
      <w:r>
        <w:rPr>
          <w:sz w:val="28"/>
        </w:rPr>
        <w:t xml:space="preserve"> (OMB Control Number: </w:t>
      </w:r>
      <w:r w:rsidR="006760E1" w:rsidRPr="006760E1">
        <w:rPr>
          <w:sz w:val="28"/>
        </w:rPr>
        <w:t>0910-0865</w:t>
      </w:r>
      <w:r>
        <w:rPr>
          <w:sz w:val="28"/>
        </w:rPr>
        <w:t>)</w:t>
      </w:r>
    </w:p>
    <w:p w14:paraId="0ED1E832" w14:textId="77777777" w:rsidR="005E067E" w:rsidRPr="005E067E" w:rsidRDefault="005E067E" w:rsidP="005E067E">
      <w:pPr>
        <w:jc w:val="center"/>
      </w:pPr>
    </w:p>
    <w:p w14:paraId="4F297571" w14:textId="5488F258" w:rsidR="001B0AAA" w:rsidRPr="00AA7BC5" w:rsidRDefault="00A23D54">
      <w:pPr>
        <w:rPr>
          <w:b/>
        </w:rPr>
      </w:pPr>
      <w:r>
        <w:rPr>
          <w:b/>
        </w:rPr>
        <w:br/>
      </w:r>
      <w:r w:rsidR="00E40F8F">
        <w:rPr>
          <w:b/>
          <w:noProof/>
        </w:rPr>
        <mc:AlternateContent>
          <mc:Choice Requires="wps">
            <w:drawing>
              <wp:anchor distT="0" distB="0" distL="114300" distR="114300" simplePos="0" relativeHeight="251657728" behindDoc="0" locked="0" layoutInCell="0" allowOverlap="1" wp14:anchorId="4859D482" wp14:editId="393A6B80">
                <wp:simplePos x="0" y="0"/>
                <wp:positionH relativeFrom="column">
                  <wp:posOffset>0</wp:posOffset>
                </wp:positionH>
                <wp:positionV relativeFrom="paragraph">
                  <wp:posOffset>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2B35D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3132EC">
        <w:rPr>
          <w:b/>
        </w:rPr>
        <w:t xml:space="preserve"> </w:t>
      </w:r>
      <w:r w:rsidR="003132EC">
        <w:t>Agricultural Biotechnology Education and Outreach Initiative – Experimental Study to Test the Efficacy of Educational Materials</w:t>
      </w:r>
      <w:r w:rsidR="005E714A">
        <w:t xml:space="preserve"> </w:t>
      </w:r>
    </w:p>
    <w:p w14:paraId="048B3F67" w14:textId="77777777" w:rsidR="00C8488C" w:rsidRDefault="00C8488C"/>
    <w:p w14:paraId="6D0C139A" w14:textId="77777777" w:rsidR="00365E47" w:rsidRPr="005545CA" w:rsidRDefault="00810AA0" w:rsidP="005545CA">
      <w:pPr>
        <w:numPr>
          <w:ilvl w:val="0"/>
          <w:numId w:val="19"/>
        </w:numPr>
      </w:pPr>
      <w:r>
        <w:t>STATEMENT OF NEE</w:t>
      </w:r>
      <w:r w:rsidR="005545CA">
        <w:t>D</w:t>
      </w:r>
    </w:p>
    <w:p w14:paraId="15640E6C" w14:textId="77777777" w:rsidR="00A06AB0" w:rsidRDefault="00A06AB0" w:rsidP="006B3769">
      <w:pPr>
        <w:contextualSpacing/>
      </w:pPr>
    </w:p>
    <w:p w14:paraId="0358FC33" w14:textId="4274C987" w:rsidR="00365E47" w:rsidRPr="005545CA" w:rsidRDefault="00E64A1F" w:rsidP="006B3769">
      <w:pPr>
        <w:contextualSpacing/>
      </w:pPr>
      <w:r>
        <w:t>The U.S. Food and Drug Administration (</w:t>
      </w:r>
      <w:r w:rsidR="00365E47" w:rsidRPr="005545CA">
        <w:t>FDA</w:t>
      </w:r>
      <w:r>
        <w:t>)</w:t>
      </w:r>
      <w:r w:rsidR="00365E47" w:rsidRPr="005545CA">
        <w:t>, in coordination with the Secretary of Agriculture, was commissioned to “provide consumer outreach and education regarding agricultural biotechnology and biotechnology-derived food products and animal feed</w:t>
      </w:r>
      <w:r w:rsidR="005545CA">
        <w:t>,</w:t>
      </w:r>
      <w:r w:rsidR="00365E47" w:rsidRPr="005545CA">
        <w:t>” henceforth referred to as “biotech foods and feed.” The education and outreach is intended to be implemented “through publication and distribution of science based educational information on the environmental, nutritional, food safety, economic, and humanitarian impacts of such biotechnology, food products, and feed” (Consolidated Appropriations Act, 2017).</w:t>
      </w:r>
    </w:p>
    <w:p w14:paraId="07CFF0BF" w14:textId="77777777" w:rsidR="00365E47" w:rsidRPr="005545CA" w:rsidRDefault="00365E47" w:rsidP="006B3769">
      <w:pPr>
        <w:contextualSpacing/>
      </w:pPr>
    </w:p>
    <w:p w14:paraId="4F53760D" w14:textId="18B15D5F" w:rsidR="00365E47" w:rsidRPr="005545CA" w:rsidRDefault="00365E47" w:rsidP="006B3769">
      <w:pPr>
        <w:contextualSpacing/>
      </w:pPr>
      <w:r w:rsidRPr="005545CA">
        <w:t xml:space="preserve">Representatives from the </w:t>
      </w:r>
      <w:r w:rsidR="00E64A1F">
        <w:t>Unite</w:t>
      </w:r>
      <w:r w:rsidR="000A4E4F">
        <w:t>d</w:t>
      </w:r>
      <w:r w:rsidR="00E64A1F">
        <w:t xml:space="preserve"> States Department of Agriculture’s (</w:t>
      </w:r>
      <w:r w:rsidRPr="005545CA">
        <w:t>USDA’s</w:t>
      </w:r>
      <w:r w:rsidR="00E64A1F">
        <w:t>)</w:t>
      </w:r>
      <w:r w:rsidRPr="005545CA">
        <w:t xml:space="preserve"> Agricultural Marketing Service, Foreign Agricultural Service, Animal and Plant Health Inspection Service</w:t>
      </w:r>
      <w:r w:rsidR="00493C8A">
        <w:t>, Office of the Chief Economist, and National Institute of Food and Agriculture</w:t>
      </w:r>
      <w:r w:rsidRPr="005545CA">
        <w:t xml:space="preserve">; and the </w:t>
      </w:r>
      <w:r w:rsidR="000A4E4F">
        <w:t>Environmental Protection Agency’s</w:t>
      </w:r>
      <w:r w:rsidR="000A4E4F" w:rsidRPr="005545CA">
        <w:t xml:space="preserve"> </w:t>
      </w:r>
      <w:r w:rsidR="000A4E4F">
        <w:t>(</w:t>
      </w:r>
      <w:r w:rsidR="000A4E4F" w:rsidRPr="005545CA">
        <w:t>EPA</w:t>
      </w:r>
      <w:r w:rsidR="000A4E4F">
        <w:t>’s)</w:t>
      </w:r>
      <w:r w:rsidRPr="005545CA">
        <w:t xml:space="preserve"> Office of Pesticide Programs are included in the biotech foods and feed consumer research project as well as the biotech education initiative. These representatives are active members of the Consumer Research Workgroup and the Steering Committee, both established specifically for this initiative. The Consumer Research Workgroup oversees the consumer research process and the Steering Committee oversees the entire education initiative. FDA will share all study instruments and reports with these representatives from USDA and EPA</w:t>
      </w:r>
      <w:r w:rsidR="00666E9E">
        <w:t>.</w:t>
      </w:r>
    </w:p>
    <w:p w14:paraId="10DDBA18" w14:textId="45946D2D" w:rsidR="00365E47" w:rsidRDefault="00365E47" w:rsidP="00FC2CE2">
      <w:pPr>
        <w:pStyle w:val="NormalWeb"/>
      </w:pPr>
      <w:r w:rsidRPr="00FC2CE2">
        <w:t xml:space="preserve">Some evidence suggests consumers’ limited knowledge and understanding of agricultural biotechnology poses a significant barrier to them being able to make well-informed decisions about the purchase and use of these products (Wunderlich and Gatto, 2015; Wunderlich, et al, 2017; McFadden and Lusk, 2017). FDA proposes a targeted public information and education initiative to advance knowledge and understanding about biotechnology and FDA’s role in regulating </w:t>
      </w:r>
      <w:r w:rsidR="007F6689" w:rsidRPr="00FC2CE2">
        <w:t xml:space="preserve">biotech food for </w:t>
      </w:r>
      <w:r w:rsidRPr="00FC2CE2">
        <w:t>human</w:t>
      </w:r>
      <w:r w:rsidR="007F6689" w:rsidRPr="00FC2CE2">
        <w:t>s</w:t>
      </w:r>
      <w:r w:rsidRPr="00FC2CE2">
        <w:t xml:space="preserve"> and animal</w:t>
      </w:r>
      <w:r w:rsidR="007F6689" w:rsidRPr="00FC2CE2">
        <w:t xml:space="preserve">s.  In 2018 – 2019, FDA conducted extensive formative research, including a literature review, an environmental scan, and nearly 50 focus groups across the country.  The formative research found that consumers are most familiar with and prefer the term “GMO” to describe genetic food modifications.  The research also found that consumers are generally not familiar with terms such as genetically engineered (GE) or bioengineered (BE) and often react negatively to those terms.  Considering these findings, FDA developed consumer-facing educational materials using the term “GMO” in order to best reach consumers using language with which they are most familiar.  Using unfamiliar terminology or language that consumers perceive as negative could fundamentally reduce the reach and impact of the Initiative. </w:t>
      </w:r>
      <w:r w:rsidR="00FC2CE2" w:rsidRPr="00FC2CE2">
        <w:t> </w:t>
      </w:r>
      <w:r w:rsidR="00FC2CE2" w:rsidRPr="00FC2CE2">
        <w:rPr>
          <w:bCs/>
          <w:iCs/>
        </w:rPr>
        <w:t>The term</w:t>
      </w:r>
      <w:r w:rsidR="00FC2CE2" w:rsidRPr="00FC2CE2">
        <w:rPr>
          <w:bCs/>
        </w:rPr>
        <w:t xml:space="preserve"> </w:t>
      </w:r>
      <w:r w:rsidR="00FC2CE2" w:rsidRPr="00FC2CE2">
        <w:rPr>
          <w:bCs/>
          <w:iCs/>
        </w:rPr>
        <w:t xml:space="preserve">“GMO” will be used in social media and web content to draw in consumers to the initiative’s website. The website will educate consumers on scientific and regulatory terms, such as genetically engineered (GE) or bioengineered (BE), to help bridge the </w:t>
      </w:r>
      <w:r w:rsidR="00FC2CE2" w:rsidRPr="00FC2CE2">
        <w:rPr>
          <w:bCs/>
          <w:iCs/>
        </w:rPr>
        <w:lastRenderedPageBreak/>
        <w:t>gap in consumer knowledge and awareness of agricultural biotechnology. This would include a discussion about the terminology used for USDA’s new bioengineered food disclosure law.</w:t>
      </w:r>
      <w:r w:rsidR="00FC2CE2" w:rsidRPr="00FC2CE2">
        <w:rPr>
          <w:b/>
          <w:bCs/>
          <w:i/>
          <w:iCs/>
        </w:rPr>
        <w:t xml:space="preserve"> </w:t>
      </w:r>
      <w:r w:rsidR="007F6689" w:rsidRPr="00FC2CE2">
        <w:t>This approach has been vetted through the Initiative’s Steering Committee, which includes Subject Matter Experts from all three agencies involved, and FDA Leadership.</w:t>
      </w:r>
      <w:r w:rsidR="007F6689">
        <w:t xml:space="preserve">  </w:t>
      </w:r>
    </w:p>
    <w:p w14:paraId="11D93407" w14:textId="4E55C0F7" w:rsidR="005545CA" w:rsidRDefault="005545CA" w:rsidP="006B3769">
      <w:pPr>
        <w:contextualSpacing/>
        <w:rPr>
          <w:color w:val="000000" w:themeColor="text1"/>
        </w:rPr>
      </w:pPr>
      <w:r w:rsidRPr="005545CA">
        <w:rPr>
          <w:color w:val="000000" w:themeColor="text1"/>
        </w:rPr>
        <w:t xml:space="preserve">FDA Center for Food Safety and Applied Nutrition (CFSAN) is seeking OMB approval under the generic clearance 0910-0865 to conduct an </w:t>
      </w:r>
      <w:r>
        <w:rPr>
          <w:color w:val="000000" w:themeColor="text1"/>
        </w:rPr>
        <w:t>experimental</w:t>
      </w:r>
      <w:r w:rsidRPr="005545CA">
        <w:rPr>
          <w:color w:val="000000" w:themeColor="text1"/>
        </w:rPr>
        <w:t xml:space="preserve"> study of educational materials, “</w:t>
      </w:r>
      <w:r w:rsidR="003132EC">
        <w:t>Agricultural Biotechnology Education and Outreach Initiative – Experimental Study to Test the Efficacy of Educational Materials</w:t>
      </w:r>
      <w:r>
        <w:t>.</w:t>
      </w:r>
      <w:r w:rsidRPr="005545CA">
        <w:rPr>
          <w:color w:val="000000" w:themeColor="text1"/>
        </w:rPr>
        <w:t>” The objective of this study is to collect quantitative information</w:t>
      </w:r>
      <w:r w:rsidRPr="005545CA">
        <w:rPr>
          <w:rFonts w:eastAsia="Calibri"/>
          <w:color w:val="000000" w:themeColor="text1"/>
        </w:rPr>
        <w:t xml:space="preserve"> </w:t>
      </w:r>
      <w:r w:rsidRPr="005545CA">
        <w:rPr>
          <w:color w:val="000000" w:themeColor="text1"/>
        </w:rPr>
        <w:t xml:space="preserve">from consumers to evaluate the efficacy of the initiative’s educational materials through a pre- and post-controlled exposure study incorporating experimental design. </w:t>
      </w:r>
      <w:r>
        <w:rPr>
          <w:color w:val="000000" w:themeColor="text1"/>
        </w:rPr>
        <w:t xml:space="preserve">The study is to be completed and evaluated before </w:t>
      </w:r>
      <w:r w:rsidR="00264050">
        <w:rPr>
          <w:color w:val="000000" w:themeColor="text1"/>
        </w:rPr>
        <w:t>the educational materials are made available to the public.</w:t>
      </w:r>
      <w:r w:rsidR="00D57FA7">
        <w:rPr>
          <w:color w:val="000000" w:themeColor="text1"/>
        </w:rPr>
        <w:t xml:space="preserve"> </w:t>
      </w:r>
      <w:r w:rsidR="00131D6C">
        <w:rPr>
          <w:color w:val="000000" w:themeColor="text1"/>
        </w:rPr>
        <w:t>T</w:t>
      </w:r>
      <w:r w:rsidR="00D57FA7">
        <w:t xml:space="preserve">he target date for </w:t>
      </w:r>
      <w:r w:rsidR="00131D6C">
        <w:t xml:space="preserve">this </w:t>
      </w:r>
      <w:r w:rsidR="00D57FA7">
        <w:t xml:space="preserve">testing </w:t>
      </w:r>
      <w:r w:rsidR="00131D6C">
        <w:t xml:space="preserve">is </w:t>
      </w:r>
      <w:r w:rsidR="002669A5">
        <w:t xml:space="preserve">December 2019 – January 2020, </w:t>
      </w:r>
      <w:r w:rsidR="00D57FA7">
        <w:t xml:space="preserve">prior to the </w:t>
      </w:r>
      <w:r w:rsidR="00131D6C">
        <w:t xml:space="preserve">projected </w:t>
      </w:r>
      <w:r w:rsidR="00D57FA7">
        <w:t>launch of the initiative</w:t>
      </w:r>
      <w:r w:rsidR="00131D6C">
        <w:t xml:space="preserve"> in </w:t>
      </w:r>
      <w:r w:rsidR="005679FA">
        <w:t>early</w:t>
      </w:r>
      <w:r w:rsidR="00131D6C">
        <w:t xml:space="preserve"> 2020</w:t>
      </w:r>
      <w:r w:rsidR="00D57FA7">
        <w:t>. </w:t>
      </w:r>
      <w:r w:rsidR="00131D6C">
        <w:t>A</w:t>
      </w:r>
      <w:r w:rsidR="00D57FA7">
        <w:t xml:space="preserve"> delay in the review of </w:t>
      </w:r>
      <w:r w:rsidR="00131D6C">
        <w:t xml:space="preserve">this submission may therefore </w:t>
      </w:r>
      <w:r w:rsidR="00D57FA7">
        <w:t>consequently delay the launch of the initiative.</w:t>
      </w:r>
    </w:p>
    <w:p w14:paraId="34441A3D" w14:textId="1CAB449A" w:rsidR="002652C1" w:rsidRDefault="002652C1" w:rsidP="003B2971">
      <w:pPr>
        <w:contextualSpacing/>
        <w:rPr>
          <w:color w:val="000000" w:themeColor="text1"/>
        </w:rPr>
      </w:pPr>
    </w:p>
    <w:p w14:paraId="43C209FC" w14:textId="77777777" w:rsidR="00C16FE6" w:rsidRPr="00C16FE6" w:rsidRDefault="00F06866" w:rsidP="00A23D54">
      <w:pPr>
        <w:numPr>
          <w:ilvl w:val="0"/>
          <w:numId w:val="19"/>
        </w:numPr>
        <w:rPr>
          <w:b/>
        </w:rPr>
      </w:pPr>
      <w:r w:rsidRPr="00A23D54">
        <w:t xml:space="preserve">TYPE OF COLLECTION </w:t>
      </w:r>
    </w:p>
    <w:p w14:paraId="0605DD4B" w14:textId="77777777" w:rsidR="00441434" w:rsidRPr="00434E33" w:rsidRDefault="00441434" w:rsidP="0096108F">
      <w:pPr>
        <w:pStyle w:val="BodyTextIndent"/>
        <w:tabs>
          <w:tab w:val="left" w:pos="360"/>
        </w:tabs>
        <w:ind w:left="0"/>
        <w:rPr>
          <w:bCs/>
          <w:sz w:val="16"/>
          <w:szCs w:val="16"/>
        </w:rPr>
      </w:pPr>
    </w:p>
    <w:p w14:paraId="63E40A4F" w14:textId="25A32832" w:rsidR="002534A3" w:rsidRDefault="00C16FE6" w:rsidP="0096108F">
      <w:pPr>
        <w:pStyle w:val="BodyTextIndent"/>
        <w:tabs>
          <w:tab w:val="left" w:pos="360"/>
        </w:tabs>
        <w:ind w:left="0"/>
        <w:rPr>
          <w:bCs/>
          <w:sz w:val="24"/>
        </w:rPr>
      </w:pPr>
      <w:r>
        <w:rPr>
          <w:bCs/>
          <w:sz w:val="24"/>
        </w:rPr>
        <w:tab/>
      </w:r>
      <w:r>
        <w:rPr>
          <w:bCs/>
          <w:sz w:val="24"/>
        </w:rPr>
        <w:tab/>
      </w:r>
      <w:r>
        <w:rPr>
          <w:bCs/>
          <w:sz w:val="24"/>
        </w:rPr>
        <w:tab/>
      </w:r>
      <w:r w:rsidR="0096108F" w:rsidRPr="00F06866">
        <w:rPr>
          <w:bCs/>
          <w:sz w:val="24"/>
        </w:rPr>
        <w:t>[</w:t>
      </w:r>
      <w:r w:rsidR="00797000">
        <w:rPr>
          <w:bCs/>
          <w:sz w:val="24"/>
        </w:rPr>
        <w:t xml:space="preserve">  </w:t>
      </w:r>
      <w:r w:rsidR="0096108F" w:rsidRPr="00F06866">
        <w:rPr>
          <w:bCs/>
          <w:sz w:val="24"/>
        </w:rPr>
        <w:t xml:space="preserve">] </w:t>
      </w:r>
      <w:r>
        <w:rPr>
          <w:bCs/>
          <w:sz w:val="24"/>
        </w:rPr>
        <w:t>Experiment</w:t>
      </w:r>
      <w:r>
        <w:rPr>
          <w:bCs/>
          <w:sz w:val="24"/>
        </w:rPr>
        <w:tab/>
      </w:r>
      <w:r>
        <w:rPr>
          <w:bCs/>
          <w:sz w:val="24"/>
        </w:rPr>
        <w:tab/>
      </w:r>
      <w:r>
        <w:rPr>
          <w:bCs/>
          <w:sz w:val="24"/>
        </w:rPr>
        <w:tab/>
      </w:r>
      <w:r>
        <w:rPr>
          <w:bCs/>
          <w:sz w:val="24"/>
        </w:rPr>
        <w:tab/>
      </w:r>
      <w:r>
        <w:rPr>
          <w:bCs/>
          <w:sz w:val="24"/>
        </w:rPr>
        <w:tab/>
      </w:r>
      <w:r w:rsidR="0096108F" w:rsidRPr="00F06866">
        <w:rPr>
          <w:bCs/>
          <w:sz w:val="24"/>
        </w:rPr>
        <w:t xml:space="preserve"> </w:t>
      </w:r>
      <w:r w:rsidR="0096108F" w:rsidRPr="00F06866">
        <w:rPr>
          <w:bCs/>
          <w:sz w:val="24"/>
        </w:rPr>
        <w:tab/>
        <w:t>[</w:t>
      </w:r>
      <w:r w:rsidR="00C83E22">
        <w:rPr>
          <w:bCs/>
          <w:sz w:val="24"/>
        </w:rPr>
        <w:t>X</w:t>
      </w:r>
      <w:r w:rsidR="0096108F" w:rsidRPr="00F06866">
        <w:rPr>
          <w:bCs/>
          <w:sz w:val="24"/>
        </w:rPr>
        <w:t xml:space="preserve"> ] </w:t>
      </w:r>
      <w:r w:rsidR="00F06866" w:rsidRPr="00F06866">
        <w:rPr>
          <w:bCs/>
          <w:sz w:val="24"/>
        </w:rPr>
        <w:t>Survey</w:t>
      </w:r>
      <w:r w:rsidR="0096108F" w:rsidRPr="00F06866">
        <w:rPr>
          <w:bCs/>
          <w:sz w:val="24"/>
        </w:rPr>
        <w:t xml:space="preserve"> </w:t>
      </w:r>
      <w:r w:rsidR="00CA2650" w:rsidRPr="00F06866">
        <w:rPr>
          <w:bCs/>
          <w:sz w:val="24"/>
        </w:rPr>
        <w:t xml:space="preserve">  </w:t>
      </w:r>
    </w:p>
    <w:p w14:paraId="2A074A6F" w14:textId="11B83C0A" w:rsidR="00F06866" w:rsidRPr="00F06866" w:rsidRDefault="0096108F" w:rsidP="0096108F">
      <w:pPr>
        <w:pStyle w:val="BodyTextIndent"/>
        <w:tabs>
          <w:tab w:val="left" w:pos="360"/>
        </w:tabs>
        <w:ind w:left="0"/>
        <w:rPr>
          <w:bCs/>
          <w:sz w:val="24"/>
        </w:rPr>
      </w:pPr>
      <w:r w:rsidRPr="00F06866">
        <w:rPr>
          <w:bCs/>
          <w:sz w:val="24"/>
        </w:rPr>
        <w:t xml:space="preserve"> </w:t>
      </w:r>
    </w:p>
    <w:p w14:paraId="687BB1BE" w14:textId="77777777" w:rsidR="00434E33" w:rsidRPr="005A0C82" w:rsidRDefault="00C12D14">
      <w:pPr>
        <w:pStyle w:val="Header"/>
        <w:tabs>
          <w:tab w:val="clear" w:pos="4320"/>
          <w:tab w:val="clear" w:pos="8640"/>
        </w:tabs>
      </w:pPr>
      <w:r w:rsidRPr="005A0C82">
        <w:t>3</w:t>
      </w:r>
      <w:r w:rsidR="00416F31" w:rsidRPr="005A0C82">
        <w:t xml:space="preserve">. </w:t>
      </w:r>
      <w:r w:rsidRPr="005A0C82">
        <w:t>PARTICIPANT UNIVERSE AND SAMPLING PLAN</w:t>
      </w:r>
    </w:p>
    <w:p w14:paraId="5A11700C" w14:textId="77777777" w:rsidR="00A06AB0" w:rsidRDefault="00A06AB0" w:rsidP="00725CDC">
      <w:pPr>
        <w:pStyle w:val="P1-StandPara"/>
        <w:spacing w:line="240" w:lineRule="auto"/>
        <w:ind w:firstLine="0"/>
        <w:jc w:val="left"/>
        <w:rPr>
          <w:sz w:val="24"/>
          <w:szCs w:val="24"/>
        </w:rPr>
      </w:pPr>
    </w:p>
    <w:p w14:paraId="6C5EC16E" w14:textId="0EFB735A" w:rsidR="00725CDC" w:rsidRPr="000F342B" w:rsidRDefault="00725CDC" w:rsidP="00725CDC">
      <w:pPr>
        <w:pStyle w:val="P1-StandPara"/>
        <w:spacing w:line="240" w:lineRule="auto"/>
        <w:ind w:firstLine="0"/>
        <w:jc w:val="left"/>
        <w:rPr>
          <w:color w:val="000000"/>
          <w:sz w:val="24"/>
          <w:szCs w:val="24"/>
        </w:rPr>
      </w:pPr>
      <w:r w:rsidRPr="009C0EFE">
        <w:rPr>
          <w:sz w:val="24"/>
          <w:szCs w:val="24"/>
        </w:rPr>
        <w:t xml:space="preserve">The study will employ </w:t>
      </w:r>
      <w:r w:rsidR="009C0EFE">
        <w:rPr>
          <w:sz w:val="24"/>
          <w:szCs w:val="24"/>
        </w:rPr>
        <w:t xml:space="preserve">a </w:t>
      </w:r>
      <w:r w:rsidRPr="009C0EFE">
        <w:rPr>
          <w:color w:val="000000"/>
          <w:sz w:val="24"/>
          <w:szCs w:val="24"/>
        </w:rPr>
        <w:t xml:space="preserve">control group and </w:t>
      </w:r>
      <w:r w:rsidR="009C0EFE">
        <w:rPr>
          <w:color w:val="000000"/>
          <w:sz w:val="24"/>
          <w:szCs w:val="24"/>
        </w:rPr>
        <w:t xml:space="preserve">an </w:t>
      </w:r>
      <w:r w:rsidRPr="009C0EFE">
        <w:rPr>
          <w:color w:val="000000"/>
          <w:sz w:val="24"/>
          <w:szCs w:val="24"/>
        </w:rPr>
        <w:t>intervention</w:t>
      </w:r>
      <w:r w:rsidR="000F0402">
        <w:rPr>
          <w:color w:val="000000"/>
          <w:sz w:val="24"/>
          <w:szCs w:val="24"/>
        </w:rPr>
        <w:t xml:space="preserve"> </w:t>
      </w:r>
      <w:r w:rsidRPr="009C0EFE">
        <w:rPr>
          <w:color w:val="000000"/>
          <w:sz w:val="24"/>
          <w:szCs w:val="24"/>
        </w:rPr>
        <w:t xml:space="preserve">group among a sample of general U.S. adults in a three-step process. </w:t>
      </w:r>
      <w:r w:rsidR="007F6689">
        <w:rPr>
          <w:color w:val="000000"/>
          <w:sz w:val="24"/>
          <w:szCs w:val="24"/>
        </w:rPr>
        <w:t xml:space="preserve"> </w:t>
      </w:r>
      <w:r w:rsidRPr="009C0EFE">
        <w:rPr>
          <w:color w:val="000000"/>
          <w:sz w:val="24"/>
          <w:szCs w:val="24"/>
        </w:rPr>
        <w:t xml:space="preserve">The three steps include: </w:t>
      </w:r>
    </w:p>
    <w:p w14:paraId="0A2F7906" w14:textId="77777777" w:rsidR="00725CDC" w:rsidRPr="009C0EFE" w:rsidRDefault="00725CDC" w:rsidP="00725CDC">
      <w:pPr>
        <w:pStyle w:val="NormalWeb"/>
        <w:spacing w:before="0" w:beforeAutospacing="0" w:after="0" w:afterAutospacing="0"/>
      </w:pPr>
    </w:p>
    <w:p w14:paraId="5A42898F" w14:textId="10E04543" w:rsidR="00725CDC" w:rsidRPr="000F342B" w:rsidRDefault="00725CDC" w:rsidP="00725CDC">
      <w:pPr>
        <w:rPr>
          <w:color w:val="000000"/>
        </w:rPr>
      </w:pPr>
      <w:r w:rsidRPr="009C0EFE">
        <w:rPr>
          <w:color w:val="000000"/>
          <w:u w:val="single"/>
        </w:rPr>
        <w:t>Step 1</w:t>
      </w:r>
      <w:r w:rsidRPr="009C0EFE">
        <w:rPr>
          <w:color w:val="000000"/>
        </w:rPr>
        <w:t xml:space="preserve">: Conduct a baseline </w:t>
      </w:r>
      <w:r w:rsidRPr="009C0EFE">
        <w:rPr>
          <w:bCs/>
          <w:color w:val="000000"/>
        </w:rPr>
        <w:t>online survey among 3,000 general U.S. adults</w:t>
      </w:r>
      <w:r w:rsidRPr="009C0EFE">
        <w:rPr>
          <w:color w:val="000000"/>
        </w:rPr>
        <w:t xml:space="preserve">. Working with fielding partner Ipsos Group, a global market research firm, we will recruit participants at random from the Ipsos online consumer panel. To facilitate segmentation of the data, we will </w:t>
      </w:r>
      <w:r w:rsidR="00F97E31">
        <w:rPr>
          <w:color w:val="000000"/>
        </w:rPr>
        <w:t>use the</w:t>
      </w:r>
      <w:r w:rsidRPr="009C0EFE">
        <w:rPr>
          <w:color w:val="000000"/>
        </w:rPr>
        <w:t xml:space="preserve"> demographic data </w:t>
      </w:r>
      <w:r w:rsidR="00F97E31">
        <w:rPr>
          <w:color w:val="000000"/>
        </w:rPr>
        <w:t>that Ipsos routinely collects from all survey participants</w:t>
      </w:r>
      <w:r w:rsidRPr="009C0EFE">
        <w:rPr>
          <w:color w:val="000000"/>
        </w:rPr>
        <w:t xml:space="preserve">, including gender, age, race/ethnicity, education level, children in the household, marital status, and household income. We will also include attitudinal questions about organic and genetically engineered foods to facilitate segmentation by relevant attitudinal areas. The baseline questionnaire </w:t>
      </w:r>
      <w:r w:rsidR="00481BB9">
        <w:rPr>
          <w:color w:val="000000"/>
        </w:rPr>
        <w:t>(</w:t>
      </w:r>
      <w:r w:rsidR="00A06AB0">
        <w:rPr>
          <w:color w:val="000000"/>
        </w:rPr>
        <w:t>Appendix</w:t>
      </w:r>
      <w:r w:rsidR="00481BB9">
        <w:rPr>
          <w:color w:val="000000"/>
        </w:rPr>
        <w:t xml:space="preserve"> A) </w:t>
      </w:r>
      <w:r w:rsidRPr="009C0EFE">
        <w:rPr>
          <w:color w:val="000000"/>
        </w:rPr>
        <w:t xml:space="preserve">will include items focused on </w:t>
      </w:r>
      <w:r w:rsidRPr="009C0EFE">
        <w:t xml:space="preserve">knowledge, attitudes, and interest in specific aspects of genetic engineering, as well as purchase intent of genetically engineered food products. It is important to note that the questions measuring knowledge </w:t>
      </w:r>
      <w:r w:rsidR="00F97E31">
        <w:t>are</w:t>
      </w:r>
      <w:r w:rsidRPr="009C0EFE">
        <w:t xml:space="preserve"> specific to the consumer education materials </w:t>
      </w:r>
      <w:r w:rsidR="00F97E31">
        <w:t xml:space="preserve">that have been </w:t>
      </w:r>
      <w:r w:rsidRPr="009C0EFE">
        <w:t>produce</w:t>
      </w:r>
      <w:r w:rsidR="00F97E31">
        <w:t>d</w:t>
      </w:r>
      <w:r w:rsidRPr="009C0EFE">
        <w:t xml:space="preserve"> for the initiative</w:t>
      </w:r>
      <w:r w:rsidR="00F97E31">
        <w:t xml:space="preserve"> (A</w:t>
      </w:r>
      <w:r w:rsidR="00F05633">
        <w:t>ppendix</w:t>
      </w:r>
      <w:r w:rsidR="00F97E31">
        <w:t xml:space="preserve"> B)</w:t>
      </w:r>
      <w:r w:rsidRPr="009C0EFE">
        <w:t xml:space="preserve">. </w:t>
      </w:r>
      <w:r w:rsidR="001117AC">
        <w:t>Before launching the survey among</w:t>
      </w:r>
      <w:r w:rsidR="00875362">
        <w:t xml:space="preserve"> intervention</w:t>
      </w:r>
      <w:r w:rsidR="001117AC">
        <w:t xml:space="preserve"> participants, FDA will have an opportunity to test the survey in its programmed format online.</w:t>
      </w:r>
    </w:p>
    <w:p w14:paraId="45A41D7F" w14:textId="77777777" w:rsidR="00725CDC" w:rsidRPr="009C0EFE" w:rsidRDefault="00725CDC" w:rsidP="00725CDC">
      <w:pPr>
        <w:pStyle w:val="NormalWeb"/>
        <w:spacing w:before="0" w:beforeAutospacing="0" w:after="0" w:afterAutospacing="0"/>
      </w:pPr>
    </w:p>
    <w:p w14:paraId="440C7637" w14:textId="5B21F61C" w:rsidR="00725CDC" w:rsidRPr="000F342B" w:rsidRDefault="00725CDC" w:rsidP="005500FD">
      <w:pPr>
        <w:spacing w:after="240"/>
        <w:rPr>
          <w:color w:val="000000"/>
        </w:rPr>
      </w:pPr>
      <w:r w:rsidRPr="009C0EFE">
        <w:rPr>
          <w:u w:val="single"/>
        </w:rPr>
        <w:t>Step 2</w:t>
      </w:r>
      <w:r w:rsidRPr="009C0EFE">
        <w:t>: The second step will be to divide the 3,000 U.S. adult baseline participants into</w:t>
      </w:r>
      <w:r w:rsidR="00E64A1F">
        <w:t xml:space="preserve"> a</w:t>
      </w:r>
      <w:r w:rsidRPr="009C0EFE">
        <w:t xml:space="preserve"> control group and </w:t>
      </w:r>
      <w:r w:rsidR="000A4E4F">
        <w:t xml:space="preserve">an </w:t>
      </w:r>
      <w:r w:rsidRPr="009C0EFE">
        <w:t xml:space="preserve">intervention group. </w:t>
      </w:r>
      <w:r w:rsidR="00E64A1F">
        <w:t>The i</w:t>
      </w:r>
      <w:r w:rsidRPr="009C0EFE">
        <w:t xml:space="preserve">ntervention group will receive </w:t>
      </w:r>
      <w:r w:rsidR="00F97E31">
        <w:t xml:space="preserve">the </w:t>
      </w:r>
      <w:r w:rsidRPr="009C0EFE">
        <w:t xml:space="preserve">educational materials </w:t>
      </w:r>
      <w:r w:rsidR="00F97E31">
        <w:t>(A</w:t>
      </w:r>
      <w:r w:rsidR="00F05633">
        <w:t>ppendix</w:t>
      </w:r>
      <w:r w:rsidR="00F97E31">
        <w:t xml:space="preserve"> B) </w:t>
      </w:r>
      <w:r w:rsidRPr="009C0EFE">
        <w:t xml:space="preserve">on topics in </w:t>
      </w:r>
      <w:r w:rsidR="00592D4A">
        <w:t>agricultural biotechnology</w:t>
      </w:r>
      <w:r w:rsidRPr="009C0EFE">
        <w:t xml:space="preserve">; </w:t>
      </w:r>
      <w:r w:rsidR="00E64A1F">
        <w:t xml:space="preserve">the </w:t>
      </w:r>
      <w:r w:rsidRPr="009C0EFE">
        <w:t xml:space="preserve">control group will </w:t>
      </w:r>
      <w:r w:rsidRPr="009C0EFE">
        <w:rPr>
          <w:i/>
        </w:rPr>
        <w:t>not</w:t>
      </w:r>
      <w:r w:rsidRPr="009C0EFE">
        <w:t xml:space="preserve"> receive educational materials. </w:t>
      </w:r>
      <w:r w:rsidRPr="009C0EFE">
        <w:rPr>
          <w:color w:val="000000" w:themeColor="text1"/>
        </w:rPr>
        <w:t>The benefit of having control and intervention groups is that both groups will be equally primed by seeing the baseline survey, and have an equal chance of becoming information seekers and going online to look into the topic. </w:t>
      </w:r>
      <w:r w:rsidR="00F97E31">
        <w:rPr>
          <w:color w:val="000000" w:themeColor="text1"/>
        </w:rPr>
        <w:t xml:space="preserve">However, because the educational materials are not yet publicly available, control participants will not have access to them. This is </w:t>
      </w:r>
      <w:r w:rsidR="00F97E31">
        <w:rPr>
          <w:color w:val="000000" w:themeColor="text1"/>
        </w:rPr>
        <w:lastRenderedPageBreak/>
        <w:t xml:space="preserve">intended to help </w:t>
      </w:r>
      <w:r w:rsidRPr="009C0EFE">
        <w:rPr>
          <w:color w:val="000000" w:themeColor="text1"/>
        </w:rPr>
        <w:t>determine the effect of the intervention group seeing the materials.</w:t>
      </w:r>
      <w:r w:rsidR="000F342B">
        <w:rPr>
          <w:color w:val="000000" w:themeColor="text1"/>
        </w:rPr>
        <w:t xml:space="preserve"> </w:t>
      </w:r>
      <w:r w:rsidR="000F342B">
        <w:t>T</w:t>
      </w:r>
      <w:r w:rsidRPr="009C0EFE">
        <w:t xml:space="preserve">he groups </w:t>
      </w:r>
      <w:r w:rsidR="000F342B">
        <w:t>will</w:t>
      </w:r>
      <w:r w:rsidRPr="009C0EFE">
        <w:t xml:space="preserve"> be structured as follows:</w:t>
      </w:r>
    </w:p>
    <w:p w14:paraId="2D1FF718" w14:textId="77777777" w:rsidR="00725CDC" w:rsidRPr="009C0EFE" w:rsidRDefault="00725CDC" w:rsidP="00725CDC">
      <w:pPr>
        <w:pStyle w:val="NormalWeb"/>
        <w:numPr>
          <w:ilvl w:val="0"/>
          <w:numId w:val="29"/>
        </w:numPr>
        <w:spacing w:before="0" w:beforeAutospacing="0" w:after="0" w:afterAutospacing="0"/>
      </w:pPr>
      <w:r w:rsidRPr="009C0EFE">
        <w:t xml:space="preserve">1,500 participants </w:t>
      </w:r>
      <w:r w:rsidR="000F342B">
        <w:t>randomly chosen for</w:t>
      </w:r>
      <w:r w:rsidRPr="009C0EFE">
        <w:t xml:space="preserve"> the control group</w:t>
      </w:r>
    </w:p>
    <w:p w14:paraId="3E5728C3" w14:textId="77777777" w:rsidR="00725CDC" w:rsidRPr="009C0EFE" w:rsidRDefault="00725CDC" w:rsidP="00725CDC">
      <w:pPr>
        <w:pStyle w:val="NormalWeb"/>
        <w:numPr>
          <w:ilvl w:val="0"/>
          <w:numId w:val="29"/>
        </w:numPr>
        <w:spacing w:before="0" w:beforeAutospacing="0" w:after="0" w:afterAutospacing="0"/>
      </w:pPr>
      <w:r w:rsidRPr="009C0EFE">
        <w:t xml:space="preserve">1,500 participants </w:t>
      </w:r>
      <w:r w:rsidR="000F342B">
        <w:t xml:space="preserve">randomly chosen for </w:t>
      </w:r>
      <w:r w:rsidRPr="009C0EFE">
        <w:t>the intervention group</w:t>
      </w:r>
    </w:p>
    <w:p w14:paraId="30C3A0E6" w14:textId="77777777" w:rsidR="00725CDC" w:rsidRPr="009C0EFE" w:rsidRDefault="00725CDC" w:rsidP="00725CDC">
      <w:pPr>
        <w:rPr>
          <w:color w:val="000000"/>
        </w:rPr>
      </w:pPr>
    </w:p>
    <w:p w14:paraId="5C006C26" w14:textId="08AF7811" w:rsidR="00725CDC" w:rsidRPr="009C0EFE" w:rsidRDefault="00725CDC" w:rsidP="001117AC">
      <w:pPr>
        <w:rPr>
          <w:color w:val="000000"/>
        </w:rPr>
      </w:pPr>
      <w:r w:rsidRPr="009C0EFE">
        <w:rPr>
          <w:color w:val="000000"/>
        </w:rPr>
        <w:t xml:space="preserve">Participants identified in the intervention group will be re-contacted following the baseline survey and </w:t>
      </w:r>
      <w:r w:rsidR="0047045F">
        <w:rPr>
          <w:color w:val="000000"/>
        </w:rPr>
        <w:t xml:space="preserve">will receive </w:t>
      </w:r>
      <w:r w:rsidRPr="009C0EFE">
        <w:rPr>
          <w:color w:val="000000"/>
        </w:rPr>
        <w:t xml:space="preserve">educational materials </w:t>
      </w:r>
      <w:r w:rsidR="000F342B">
        <w:rPr>
          <w:color w:val="000000"/>
        </w:rPr>
        <w:t>(</w:t>
      </w:r>
      <w:r w:rsidR="00F05633">
        <w:rPr>
          <w:color w:val="000000"/>
        </w:rPr>
        <w:t>Appendix</w:t>
      </w:r>
      <w:r w:rsidR="000F342B">
        <w:rPr>
          <w:color w:val="000000"/>
        </w:rPr>
        <w:t xml:space="preserve"> </w:t>
      </w:r>
      <w:r w:rsidR="00F97E31">
        <w:rPr>
          <w:color w:val="000000"/>
        </w:rPr>
        <w:t>B</w:t>
      </w:r>
      <w:r w:rsidR="000F342B">
        <w:rPr>
          <w:color w:val="000000"/>
        </w:rPr>
        <w:t>)</w:t>
      </w:r>
      <w:r w:rsidR="0047045F">
        <w:rPr>
          <w:color w:val="000000"/>
        </w:rPr>
        <w:t xml:space="preserve"> in a survey format that will prevent downloading of the materials</w:t>
      </w:r>
      <w:r w:rsidRPr="009C0EFE">
        <w:rPr>
          <w:color w:val="000000"/>
        </w:rPr>
        <w:t xml:space="preserve">. </w:t>
      </w:r>
      <w:r w:rsidR="003C67C0">
        <w:rPr>
          <w:color w:val="000000"/>
        </w:rPr>
        <w:t>T</w:t>
      </w:r>
      <w:r w:rsidRPr="009C0EFE">
        <w:rPr>
          <w:color w:val="000000"/>
        </w:rPr>
        <w:t>he</w:t>
      </w:r>
      <w:r w:rsidR="0047045F">
        <w:rPr>
          <w:color w:val="000000"/>
        </w:rPr>
        <w:t xml:space="preserve"> survey format will </w:t>
      </w:r>
      <w:r w:rsidR="001117AC">
        <w:rPr>
          <w:color w:val="000000"/>
        </w:rPr>
        <w:t xml:space="preserve">also </w:t>
      </w:r>
      <w:r w:rsidR="0047045F">
        <w:rPr>
          <w:color w:val="000000"/>
        </w:rPr>
        <w:t xml:space="preserve">include a series of questions </w:t>
      </w:r>
      <w:r w:rsidR="0047045F" w:rsidRPr="009C0EFE">
        <w:rPr>
          <w:color w:val="000000"/>
        </w:rPr>
        <w:t xml:space="preserve">to assess </w:t>
      </w:r>
      <w:r w:rsidR="0047045F">
        <w:rPr>
          <w:color w:val="000000"/>
        </w:rPr>
        <w:t>participants’</w:t>
      </w:r>
      <w:r w:rsidR="0047045F" w:rsidRPr="009C0EFE">
        <w:rPr>
          <w:color w:val="000000"/>
        </w:rPr>
        <w:t xml:space="preserve"> opinions about the consumer education materials</w:t>
      </w:r>
      <w:r w:rsidR="001117AC">
        <w:rPr>
          <w:color w:val="000000"/>
        </w:rPr>
        <w:t xml:space="preserve"> that they will have just reviewed</w:t>
      </w:r>
      <w:r w:rsidR="0047045F">
        <w:rPr>
          <w:color w:val="000000"/>
        </w:rPr>
        <w:t>.</w:t>
      </w:r>
      <w:r w:rsidR="0047045F" w:rsidRPr="009C0EFE">
        <w:rPr>
          <w:color w:val="000000"/>
        </w:rPr>
        <w:t xml:space="preserve"> </w:t>
      </w:r>
      <w:r w:rsidR="0047045F">
        <w:rPr>
          <w:color w:val="000000"/>
        </w:rPr>
        <w:t>Participants will have access to the materials only in the survey format. They will not have access after completing the intervention survey</w:t>
      </w:r>
      <w:r w:rsidR="004A0291">
        <w:rPr>
          <w:color w:val="000000"/>
        </w:rPr>
        <w:t xml:space="preserve"> (Step 2)</w:t>
      </w:r>
      <w:r w:rsidRPr="009C0EFE">
        <w:rPr>
          <w:color w:val="000000"/>
        </w:rPr>
        <w:t xml:space="preserve">. </w:t>
      </w:r>
      <w:r w:rsidR="001117AC" w:rsidRPr="001117AC">
        <w:t xml:space="preserve"> </w:t>
      </w:r>
      <w:r w:rsidR="001117AC">
        <w:t>Before launching the survey among participants, FDA will have an opportunity to test the survey in its programmed format online.</w:t>
      </w:r>
    </w:p>
    <w:p w14:paraId="1741CA6B" w14:textId="77777777" w:rsidR="00725CDC" w:rsidRPr="009C0EFE" w:rsidRDefault="00725CDC" w:rsidP="00725CDC">
      <w:pPr>
        <w:rPr>
          <w:color w:val="000000"/>
        </w:rPr>
      </w:pPr>
    </w:p>
    <w:p w14:paraId="43CB57F8" w14:textId="21BF25A2" w:rsidR="001117AC" w:rsidRPr="000F342B" w:rsidRDefault="00725CDC" w:rsidP="001117AC">
      <w:pPr>
        <w:rPr>
          <w:color w:val="000000"/>
        </w:rPr>
      </w:pPr>
      <w:r w:rsidRPr="009C0EFE">
        <w:rPr>
          <w:color w:val="000000"/>
          <w:u w:val="single"/>
        </w:rPr>
        <w:t>Step 3</w:t>
      </w:r>
      <w:r w:rsidRPr="009C0EFE">
        <w:rPr>
          <w:color w:val="000000"/>
        </w:rPr>
        <w:t xml:space="preserve">: After the intervention group </w:t>
      </w:r>
      <w:r w:rsidR="005041B8">
        <w:rPr>
          <w:color w:val="000000"/>
        </w:rPr>
        <w:t>has</w:t>
      </w:r>
      <w:r w:rsidRPr="009C0EFE">
        <w:rPr>
          <w:color w:val="000000"/>
        </w:rPr>
        <w:t xml:space="preserve"> review</w:t>
      </w:r>
      <w:r w:rsidR="0047045F">
        <w:rPr>
          <w:color w:val="000000"/>
        </w:rPr>
        <w:t>ed</w:t>
      </w:r>
      <w:r w:rsidRPr="009C0EFE">
        <w:rPr>
          <w:color w:val="000000"/>
        </w:rPr>
        <w:t xml:space="preserve"> the materials</w:t>
      </w:r>
      <w:r w:rsidR="0047045F">
        <w:rPr>
          <w:color w:val="000000"/>
        </w:rPr>
        <w:t xml:space="preserve"> in the survey format</w:t>
      </w:r>
      <w:r w:rsidRPr="009C0EFE">
        <w:rPr>
          <w:color w:val="000000"/>
        </w:rPr>
        <w:t>, we will then survey the entire sample of 3,000 again, noting intervention participants and control participants in the data files and crosstabulation files. The questionnaire will include the questions in the baseline survey</w:t>
      </w:r>
      <w:r w:rsidR="00C858C2">
        <w:rPr>
          <w:color w:val="000000"/>
        </w:rPr>
        <w:t xml:space="preserve"> (A</w:t>
      </w:r>
      <w:r w:rsidR="00F05633">
        <w:rPr>
          <w:color w:val="000000"/>
        </w:rPr>
        <w:t>ppendix</w:t>
      </w:r>
      <w:r w:rsidR="00C858C2">
        <w:rPr>
          <w:color w:val="000000"/>
        </w:rPr>
        <w:t xml:space="preserve"> A)</w:t>
      </w:r>
      <w:r w:rsidRPr="009C0EFE">
        <w:rPr>
          <w:color w:val="000000"/>
        </w:rPr>
        <w:t xml:space="preserve">. </w:t>
      </w:r>
      <w:r w:rsidR="001117AC">
        <w:rPr>
          <w:color w:val="000000"/>
        </w:rPr>
        <w:t xml:space="preserve">As in previous steps, </w:t>
      </w:r>
      <w:r w:rsidR="001117AC">
        <w:t>before launching the survey, FDA will have an opportunity to test the survey in its programmed format online.</w:t>
      </w:r>
    </w:p>
    <w:p w14:paraId="51FF31D4" w14:textId="69DC4EE3" w:rsidR="00725CDC" w:rsidRDefault="00725CDC" w:rsidP="00725CDC">
      <w:pPr>
        <w:rPr>
          <w:color w:val="000000"/>
        </w:rPr>
      </w:pPr>
    </w:p>
    <w:p w14:paraId="7175A153" w14:textId="54372D31" w:rsidR="00725CDC" w:rsidRPr="009C0EFE" w:rsidRDefault="00725CDC" w:rsidP="00725CDC">
      <w:pPr>
        <w:pStyle w:val="Header"/>
        <w:tabs>
          <w:tab w:val="clear" w:pos="4320"/>
          <w:tab w:val="clear" w:pos="8640"/>
        </w:tabs>
      </w:pPr>
      <w:r w:rsidRPr="009C0EFE">
        <w:rPr>
          <w:rFonts w:eastAsiaTheme="minorHAnsi"/>
        </w:rPr>
        <w:t>Our fielding vendor, Ipsos Group, has estimated that non-response for the follow-up survey</w:t>
      </w:r>
      <w:r w:rsidR="00E81779">
        <w:rPr>
          <w:rFonts w:eastAsiaTheme="minorHAnsi"/>
        </w:rPr>
        <w:t xml:space="preserve"> (Step 3)</w:t>
      </w:r>
      <w:r w:rsidRPr="009C0EFE">
        <w:rPr>
          <w:rFonts w:eastAsiaTheme="minorHAnsi"/>
        </w:rPr>
        <w:t xml:space="preserve"> could be as high as 50 percent, and that is why we are advocating a starting sample in Step 1 of 3,000. We will </w:t>
      </w:r>
      <w:r w:rsidR="005041B8">
        <w:rPr>
          <w:rFonts w:eastAsiaTheme="minorHAnsi"/>
        </w:rPr>
        <w:t>attempt</w:t>
      </w:r>
      <w:r w:rsidRPr="009C0EFE">
        <w:rPr>
          <w:rFonts w:eastAsiaTheme="minorHAnsi"/>
        </w:rPr>
        <w:t xml:space="preserve"> to minimize non-response on the follow-up survey by sending reminders to those who have not responded. </w:t>
      </w:r>
      <w:r w:rsidR="007F6689">
        <w:rPr>
          <w:rFonts w:eastAsiaTheme="minorHAnsi"/>
        </w:rPr>
        <w:t xml:space="preserve"> Ipsos will provide a $3 incentive in addition to the customary incentive of points to encourage response to the follow-up survey.</w:t>
      </w:r>
    </w:p>
    <w:p w14:paraId="0ED06F81" w14:textId="77777777" w:rsidR="00254571" w:rsidRDefault="00254571">
      <w:pPr>
        <w:pStyle w:val="Header"/>
        <w:tabs>
          <w:tab w:val="clear" w:pos="4320"/>
          <w:tab w:val="clear" w:pos="8640"/>
        </w:tabs>
      </w:pPr>
    </w:p>
    <w:p w14:paraId="41CCA04C" w14:textId="77777777" w:rsidR="00AF1F96" w:rsidRDefault="007020E8" w:rsidP="005A0C82">
      <w:pPr>
        <w:pStyle w:val="ListParagraph"/>
        <w:ind w:left="0"/>
      </w:pPr>
      <w:r>
        <w:t>4</w:t>
      </w:r>
      <w:r w:rsidR="00C12D14">
        <w:t xml:space="preserve">. </w:t>
      </w:r>
      <w:r w:rsidR="00741B94">
        <w:t>INCENTIVE</w:t>
      </w:r>
      <w:r w:rsidR="00F60EE9">
        <w:t xml:space="preserve"> </w:t>
      </w:r>
    </w:p>
    <w:p w14:paraId="7AF684A8" w14:textId="77777777" w:rsidR="00A06AB0" w:rsidRDefault="00A06AB0" w:rsidP="00246D9F"/>
    <w:p w14:paraId="622E5D12" w14:textId="5921A652" w:rsidR="00C86E91" w:rsidRDefault="00C86E91" w:rsidP="00246D9F">
      <w:r>
        <w:t>Is an incentive (e.g., money or reimbursement of expenses, token of appreciation) provided to participants?</w:t>
      </w:r>
      <w:r w:rsidR="003D1F3A">
        <w:t>)</w:t>
      </w:r>
      <w:r>
        <w:t xml:space="preserve">  [</w:t>
      </w:r>
      <w:r w:rsidR="00AA7BC5">
        <w:t>X</w:t>
      </w:r>
      <w:r>
        <w:t xml:space="preserve">] Yes [  ] No  </w:t>
      </w:r>
    </w:p>
    <w:p w14:paraId="27B57719" w14:textId="77777777" w:rsidR="004D6E14" w:rsidRDefault="004D6E14" w:rsidP="005A0C82">
      <w:pPr>
        <w:rPr>
          <w:b/>
        </w:rPr>
      </w:pPr>
    </w:p>
    <w:p w14:paraId="619062D5" w14:textId="35C47815" w:rsidR="002652C1" w:rsidRPr="002652C1" w:rsidRDefault="000F342B" w:rsidP="002652C1">
      <w:pPr>
        <w:rPr>
          <w:color w:val="000000"/>
        </w:rPr>
      </w:pPr>
      <w:r w:rsidRPr="002652C1">
        <w:rPr>
          <w:color w:val="000000"/>
        </w:rPr>
        <w:t xml:space="preserve">Participants will receive points for completing the survey, which over time can be redeemed for small prizes or small amounts of cash. In addition to the customary incentive of points, Ipsos will give participants who complete the follow-up survey (Step 3) an extra $3. This incentive is </w:t>
      </w:r>
      <w:r w:rsidR="002652C1" w:rsidRPr="002652C1">
        <w:rPr>
          <w:color w:val="000000"/>
        </w:rPr>
        <w:t>expected to help increase</w:t>
      </w:r>
      <w:r w:rsidRPr="002652C1">
        <w:rPr>
          <w:color w:val="000000"/>
        </w:rPr>
        <w:t xml:space="preserve"> </w:t>
      </w:r>
      <w:r w:rsidR="002652C1" w:rsidRPr="002652C1">
        <w:rPr>
          <w:color w:val="000000"/>
        </w:rPr>
        <w:t xml:space="preserve">response to </w:t>
      </w:r>
      <w:r w:rsidRPr="002652C1">
        <w:rPr>
          <w:color w:val="000000"/>
        </w:rPr>
        <w:t>the follow-up survey</w:t>
      </w:r>
      <w:r w:rsidR="002652C1" w:rsidRPr="002652C1">
        <w:rPr>
          <w:color w:val="000000"/>
        </w:rPr>
        <w:t xml:space="preserve">, as </w:t>
      </w:r>
      <w:r w:rsidR="002652C1" w:rsidRPr="002652C1">
        <w:t>studies indicate that incentives significantly improve response rates and retention</w:t>
      </w:r>
      <w:r w:rsidR="00C67C41">
        <w:t>.</w:t>
      </w:r>
      <w:r w:rsidR="00C37679">
        <w:rPr>
          <w:rStyle w:val="FootnoteReference"/>
        </w:rPr>
        <w:footnoteReference w:id="1"/>
      </w:r>
      <w:r w:rsidR="00C67C41">
        <w:t xml:space="preserve"> </w:t>
      </w:r>
      <w:r w:rsidR="002652C1" w:rsidRPr="002652C1">
        <w:t xml:space="preserve">Studies also show that incentives reduce the cost per survey completed through their influence on the amount of effort that is required to achieve a completed </w:t>
      </w:r>
      <w:r w:rsidR="00BA5D79">
        <w:t>response.</w:t>
      </w:r>
      <w:r w:rsidR="00BA5D79">
        <w:rPr>
          <w:rStyle w:val="FootnoteReference"/>
        </w:rPr>
        <w:footnoteReference w:id="2"/>
      </w:r>
      <w:r w:rsidR="002652C1" w:rsidRPr="002652C1">
        <w:t xml:space="preserve"> There is little evidence to suggest negative effects of incentives on data quality, sample composition, and response distribution</w:t>
      </w:r>
      <w:r w:rsidR="00C67C41">
        <w:t>.</w:t>
      </w:r>
      <w:r w:rsidR="00C67C41">
        <w:rPr>
          <w:rStyle w:val="FootnoteReference"/>
        </w:rPr>
        <w:footnoteReference w:id="3"/>
      </w:r>
      <w:r w:rsidR="002652C1" w:rsidRPr="002652C1">
        <w:t xml:space="preserve"> For these reasons and because of the large body of evidence supporting these findings, incentives have been supported in many OMB-approved information collection efforts.</w:t>
      </w:r>
    </w:p>
    <w:p w14:paraId="03100250" w14:textId="77777777" w:rsidR="00DE0255" w:rsidRDefault="00DE0255" w:rsidP="00DE0255">
      <w:pPr>
        <w:rPr>
          <w:b/>
        </w:rPr>
      </w:pPr>
    </w:p>
    <w:p w14:paraId="7E83A9D0" w14:textId="77777777" w:rsidR="007020E8" w:rsidRPr="00246D9F" w:rsidRDefault="007020E8" w:rsidP="00246D9F">
      <w:pPr>
        <w:pStyle w:val="Header"/>
        <w:tabs>
          <w:tab w:val="clear" w:pos="4320"/>
          <w:tab w:val="clear" w:pos="8640"/>
        </w:tabs>
      </w:pPr>
      <w:r>
        <w:t>5. DATA ANALYSIS PLAN</w:t>
      </w:r>
    </w:p>
    <w:p w14:paraId="5ABEC947" w14:textId="77777777" w:rsidR="00A06AB0" w:rsidRDefault="00A06AB0" w:rsidP="003132EC">
      <w:pPr>
        <w:rPr>
          <w:color w:val="000000"/>
        </w:rPr>
      </w:pPr>
    </w:p>
    <w:p w14:paraId="0B6D5ABD" w14:textId="4F2BB4AA" w:rsidR="003132EC" w:rsidRDefault="003132EC" w:rsidP="003132EC">
      <w:r w:rsidRPr="009C0EFE">
        <w:rPr>
          <w:color w:val="000000"/>
        </w:rPr>
        <w:t xml:space="preserve">In the </w:t>
      </w:r>
      <w:r>
        <w:rPr>
          <w:color w:val="000000"/>
        </w:rPr>
        <w:t xml:space="preserve">data </w:t>
      </w:r>
      <w:r w:rsidRPr="009C0EFE">
        <w:rPr>
          <w:color w:val="000000"/>
        </w:rPr>
        <w:t xml:space="preserve">analysis, we will assess </w:t>
      </w:r>
      <w:r w:rsidRPr="009C0EFE">
        <w:t>significant differences between control and intervention groups and for intervention group participants from pre- to post-exposure</w:t>
      </w:r>
      <w:r>
        <w:t xml:space="preserve"> to educational materials. Survey items will measure the following:</w:t>
      </w:r>
    </w:p>
    <w:p w14:paraId="7D3EBC2E" w14:textId="77777777" w:rsidR="003132EC" w:rsidRDefault="003132EC" w:rsidP="003132EC"/>
    <w:p w14:paraId="6AC62167" w14:textId="77777777" w:rsidR="003132EC" w:rsidRDefault="003132EC" w:rsidP="005500FD">
      <w:pPr>
        <w:spacing w:after="240"/>
      </w:pPr>
      <w:bookmarkStart w:id="1" w:name="_Hlk23948269"/>
      <w:r>
        <w:t>Changes in knowledge of:</w:t>
      </w:r>
    </w:p>
    <w:p w14:paraId="4DFC4D73" w14:textId="77777777" w:rsidR="003132EC" w:rsidRDefault="003132EC" w:rsidP="003132EC">
      <w:pPr>
        <w:pStyle w:val="ListParagraph"/>
        <w:numPr>
          <w:ilvl w:val="0"/>
          <w:numId w:val="31"/>
        </w:numPr>
      </w:pPr>
      <w:r>
        <w:t>Basic definition of agricultural biotechnology</w:t>
      </w:r>
    </w:p>
    <w:p w14:paraId="6334174E" w14:textId="6F193708" w:rsidR="003132EC" w:rsidRDefault="003132EC" w:rsidP="003132EC">
      <w:pPr>
        <w:pStyle w:val="ListParagraph"/>
        <w:numPr>
          <w:ilvl w:val="0"/>
          <w:numId w:val="31"/>
        </w:numPr>
      </w:pPr>
      <w:r>
        <w:t>Basic definition of bioengineered foods</w:t>
      </w:r>
      <w:r w:rsidR="00687692">
        <w:t xml:space="preserve"> (BE)</w:t>
      </w:r>
    </w:p>
    <w:p w14:paraId="606F0611" w14:textId="259A5518" w:rsidR="003132EC" w:rsidRDefault="003132EC" w:rsidP="003132EC">
      <w:pPr>
        <w:pStyle w:val="ListParagraph"/>
        <w:numPr>
          <w:ilvl w:val="0"/>
          <w:numId w:val="31"/>
        </w:numPr>
      </w:pPr>
      <w:r>
        <w:t>Bioengineered/</w:t>
      </w:r>
      <w:r w:rsidR="00687692">
        <w:t>genetically engineered (GE)</w:t>
      </w:r>
      <w:r>
        <w:t xml:space="preserve"> crops available in the U</w:t>
      </w:r>
      <w:r w:rsidR="00687692">
        <w:t>.</w:t>
      </w:r>
      <w:r>
        <w:t>S</w:t>
      </w:r>
      <w:r w:rsidR="00687692">
        <w:t>.</w:t>
      </w:r>
    </w:p>
    <w:p w14:paraId="1E48A83F" w14:textId="4AB117EB" w:rsidR="003132EC" w:rsidRDefault="003132EC" w:rsidP="003132EC">
      <w:pPr>
        <w:pStyle w:val="ListParagraph"/>
        <w:numPr>
          <w:ilvl w:val="0"/>
          <w:numId w:val="31"/>
        </w:numPr>
      </w:pPr>
      <w:r>
        <w:t xml:space="preserve">Reasons why farmers produce </w:t>
      </w:r>
      <w:r w:rsidR="00687692">
        <w:t>BE/GE</w:t>
      </w:r>
      <w:r>
        <w:t xml:space="preserve"> crops</w:t>
      </w:r>
    </w:p>
    <w:p w14:paraId="646B4C35" w14:textId="22192014" w:rsidR="003132EC" w:rsidRDefault="003132EC" w:rsidP="003132EC">
      <w:pPr>
        <w:pStyle w:val="ListParagraph"/>
        <w:numPr>
          <w:ilvl w:val="0"/>
          <w:numId w:val="31"/>
        </w:numPr>
      </w:pPr>
      <w:r>
        <w:t xml:space="preserve">Safety of </w:t>
      </w:r>
      <w:r w:rsidR="00687692">
        <w:t>BE/GE</w:t>
      </w:r>
      <w:r>
        <w:t xml:space="preserve"> foods</w:t>
      </w:r>
    </w:p>
    <w:p w14:paraId="0357667F" w14:textId="41B5B0E3" w:rsidR="003132EC" w:rsidRDefault="003132EC" w:rsidP="003132EC">
      <w:pPr>
        <w:pStyle w:val="ListParagraph"/>
        <w:numPr>
          <w:ilvl w:val="0"/>
          <w:numId w:val="31"/>
        </w:numPr>
      </w:pPr>
      <w:r>
        <w:t xml:space="preserve">How long </w:t>
      </w:r>
      <w:r w:rsidR="00687692">
        <w:t>BE/GE</w:t>
      </w:r>
      <w:r>
        <w:t xml:space="preserve"> foods have been available in the U</w:t>
      </w:r>
      <w:r w:rsidR="00687692">
        <w:t>.</w:t>
      </w:r>
      <w:r>
        <w:t>S</w:t>
      </w:r>
      <w:r w:rsidR="00687692">
        <w:t>.</w:t>
      </w:r>
    </w:p>
    <w:p w14:paraId="4B03D66D" w14:textId="008FD321" w:rsidR="003132EC" w:rsidRDefault="003132EC" w:rsidP="003132EC">
      <w:pPr>
        <w:pStyle w:val="ListParagraph"/>
        <w:numPr>
          <w:ilvl w:val="0"/>
          <w:numId w:val="31"/>
        </w:numPr>
      </w:pPr>
      <w:r>
        <w:t xml:space="preserve">Which federal agencies regulate the safety of </w:t>
      </w:r>
      <w:r w:rsidR="00687692">
        <w:t>BE/GE</w:t>
      </w:r>
      <w:r>
        <w:t xml:space="preserve"> foods</w:t>
      </w:r>
    </w:p>
    <w:p w14:paraId="6D45E797" w14:textId="7D5D681F" w:rsidR="003132EC" w:rsidRDefault="003132EC" w:rsidP="003132EC">
      <w:pPr>
        <w:pStyle w:val="ListParagraph"/>
        <w:numPr>
          <w:ilvl w:val="0"/>
          <w:numId w:val="31"/>
        </w:numPr>
      </w:pPr>
      <w:r>
        <w:t xml:space="preserve">How federal agencies regulate the safety of </w:t>
      </w:r>
      <w:r w:rsidR="00687692">
        <w:t>BE/GE</w:t>
      </w:r>
      <w:r>
        <w:t xml:space="preserve"> foods </w:t>
      </w:r>
    </w:p>
    <w:p w14:paraId="2DD27D73" w14:textId="40C99011" w:rsidR="003132EC" w:rsidRDefault="003132EC" w:rsidP="003132EC"/>
    <w:bookmarkEnd w:id="1"/>
    <w:p w14:paraId="7C6BA3A2" w14:textId="0084F3EC" w:rsidR="00C60BB8" w:rsidRDefault="00C60BB8" w:rsidP="00C60BB8">
      <w:pPr>
        <w:spacing w:after="240"/>
      </w:pPr>
      <w:r>
        <w:t>Changes in attitudes regarding:</w:t>
      </w:r>
    </w:p>
    <w:p w14:paraId="48718A31" w14:textId="34731720" w:rsidR="00C60BB8" w:rsidRDefault="00C60BB8" w:rsidP="00C60BB8">
      <w:pPr>
        <w:pStyle w:val="ListParagraph"/>
        <w:numPr>
          <w:ilvl w:val="0"/>
          <w:numId w:val="31"/>
        </w:numPr>
      </w:pPr>
      <w:r>
        <w:t>Importance of buying organic foods</w:t>
      </w:r>
    </w:p>
    <w:p w14:paraId="46CF5BE2" w14:textId="7812726E" w:rsidR="00C60BB8" w:rsidRDefault="00C60BB8" w:rsidP="00C60BB8">
      <w:pPr>
        <w:pStyle w:val="ListParagraph"/>
        <w:numPr>
          <w:ilvl w:val="0"/>
          <w:numId w:val="31"/>
        </w:numPr>
      </w:pPr>
      <w:r>
        <w:t>Safety of BE/GE foods</w:t>
      </w:r>
    </w:p>
    <w:p w14:paraId="1C04BE07" w14:textId="5B489AB9" w:rsidR="00C60BB8" w:rsidRDefault="00C60BB8" w:rsidP="00C60BB8">
      <w:pPr>
        <w:pStyle w:val="ListParagraph"/>
        <w:numPr>
          <w:ilvl w:val="0"/>
          <w:numId w:val="31"/>
        </w:numPr>
      </w:pPr>
      <w:r>
        <w:t>Intent to purchase foods labeled organic</w:t>
      </w:r>
    </w:p>
    <w:p w14:paraId="7CFACC9C" w14:textId="0CABC4B7" w:rsidR="00C60BB8" w:rsidRDefault="00C60BB8" w:rsidP="00C60BB8">
      <w:pPr>
        <w:pStyle w:val="ListParagraph"/>
        <w:numPr>
          <w:ilvl w:val="0"/>
          <w:numId w:val="31"/>
        </w:numPr>
      </w:pPr>
      <w:r>
        <w:t>Intent to purchase foods labeled non-GMO</w:t>
      </w:r>
    </w:p>
    <w:p w14:paraId="6DB2D808" w14:textId="48940C1F" w:rsidR="00C60BB8" w:rsidRDefault="00C60BB8" w:rsidP="00C60BB8">
      <w:pPr>
        <w:pStyle w:val="ListParagraph"/>
        <w:numPr>
          <w:ilvl w:val="0"/>
          <w:numId w:val="31"/>
        </w:numPr>
      </w:pPr>
      <w:r>
        <w:t>Intent to purchase foods labeled BE</w:t>
      </w:r>
    </w:p>
    <w:p w14:paraId="0FA8BF9C" w14:textId="77777777" w:rsidR="00C60BB8" w:rsidRDefault="00C60BB8" w:rsidP="003132EC"/>
    <w:p w14:paraId="69E1FD18" w14:textId="38A2AA28" w:rsidR="003132EC" w:rsidRPr="00365E47" w:rsidRDefault="003132EC" w:rsidP="003132EC">
      <w:r>
        <w:t>We</w:t>
      </w:r>
      <w:r w:rsidRPr="00365E47">
        <w:t xml:space="preserve"> will prepare a report of the data using descriptive statistics</w:t>
      </w:r>
      <w:r>
        <w:t>, means testing, and other methods, such as</w:t>
      </w:r>
      <w:r w:rsidRPr="00365E47">
        <w:t xml:space="preserve"> correlation</w:t>
      </w:r>
      <w:r>
        <w:t xml:space="preserve"> and</w:t>
      </w:r>
      <w:r w:rsidRPr="00365E47">
        <w:t xml:space="preserve"> logistical regression</w:t>
      </w:r>
      <w:r>
        <w:t xml:space="preserve">, as necessary to determine </w:t>
      </w:r>
      <w:r w:rsidRPr="009C0EFE">
        <w:t>significant differences between control and intervention groups and for intervention group participants from pre- to post-exposure</w:t>
      </w:r>
      <w:r w:rsidRPr="00365E47">
        <w:t>. No personally identifiable information of any participants will be included in the data tables, data files</w:t>
      </w:r>
      <w:r w:rsidR="00687692">
        <w:t>,</w:t>
      </w:r>
      <w:r w:rsidRPr="00365E47">
        <w:t xml:space="preserve"> or reporting. The report will include recommendations for </w:t>
      </w:r>
      <w:r>
        <w:t xml:space="preserve">any necessary changes to </w:t>
      </w:r>
      <w:r w:rsidRPr="00365E47">
        <w:t xml:space="preserve">the consumer education </w:t>
      </w:r>
      <w:r>
        <w:t>materials</w:t>
      </w:r>
      <w:r w:rsidRPr="00365E47">
        <w:t xml:space="preserve"> </w:t>
      </w:r>
      <w:r>
        <w:t xml:space="preserve">to ensure they are clear, comprehensible, appealing, and relevant for consumers before they are released to the public. </w:t>
      </w:r>
    </w:p>
    <w:p w14:paraId="25E541BF" w14:textId="28527CA9" w:rsidR="00365E47" w:rsidRDefault="0088109A" w:rsidP="005A0C82">
      <w:pPr>
        <w:rPr>
          <w:b/>
        </w:rPr>
      </w:pPr>
      <w:r>
        <w:t xml:space="preserve"> </w:t>
      </w:r>
    </w:p>
    <w:p w14:paraId="285F343F" w14:textId="77777777" w:rsidR="00C60BB8" w:rsidRDefault="00C60BB8">
      <w:r>
        <w:br w:type="page"/>
      </w:r>
    </w:p>
    <w:p w14:paraId="6718042A" w14:textId="2445E497" w:rsidR="00741B94" w:rsidRDefault="00EC046C" w:rsidP="005A0C82">
      <w:r>
        <w:t>6</w:t>
      </w:r>
      <w:r w:rsidR="00C12D14">
        <w:t xml:space="preserve">. </w:t>
      </w:r>
      <w:r w:rsidR="005E714A" w:rsidRPr="00B97662">
        <w:t>B</w:t>
      </w:r>
      <w:r w:rsidR="00810AA0">
        <w:t>URDEN HOURS</w:t>
      </w:r>
    </w:p>
    <w:p w14:paraId="12C50A33" w14:textId="77777777" w:rsidR="00BD712B" w:rsidRDefault="00BD712B" w:rsidP="007F6316">
      <w:pPr>
        <w:rPr>
          <w:b/>
        </w:rPr>
      </w:pPr>
    </w:p>
    <w:p w14:paraId="2C25041F" w14:textId="77777777" w:rsidR="00810AA0" w:rsidRDefault="00810AA0" w:rsidP="007F6316">
      <w:pPr>
        <w:rPr>
          <w:i/>
        </w:rPr>
      </w:pPr>
      <w:r>
        <w:rPr>
          <w:b/>
        </w:rPr>
        <w:t>BURDEN HOUR COMPUTATION</w:t>
      </w:r>
      <w:r>
        <w:t xml:space="preserve"> </w:t>
      </w:r>
      <w:r>
        <w:rPr>
          <w:i/>
        </w:rPr>
        <w:t>(Number of responses (X) estimated response or participation time in minutes (/60) = annual burden hours):</w:t>
      </w:r>
    </w:p>
    <w:p w14:paraId="6E4830FE" w14:textId="77777777" w:rsidR="006832D9" w:rsidRPr="006832D9" w:rsidRDefault="006832D9" w:rsidP="00F3170F">
      <w:pPr>
        <w:keepNext/>
        <w:keepLines/>
        <w:rPr>
          <w:b/>
        </w:rPr>
      </w:pPr>
    </w:p>
    <w:tbl>
      <w:tblPr>
        <w:tblW w:w="88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530"/>
        <w:gridCol w:w="1710"/>
        <w:gridCol w:w="1003"/>
      </w:tblGrid>
      <w:tr w:rsidR="00EF2095" w14:paraId="50802D55" w14:textId="77777777" w:rsidTr="0088109A">
        <w:trPr>
          <w:trHeight w:val="274"/>
        </w:trPr>
        <w:tc>
          <w:tcPr>
            <w:tcW w:w="4590" w:type="dxa"/>
            <w:shd w:val="clear" w:color="auto" w:fill="E7E6E6"/>
          </w:tcPr>
          <w:p w14:paraId="628C6367" w14:textId="77777777" w:rsidR="006832D9" w:rsidRPr="0001027E" w:rsidRDefault="003D1F3A" w:rsidP="00C8488C">
            <w:pPr>
              <w:rPr>
                <w:b/>
              </w:rPr>
            </w:pPr>
            <w:bookmarkStart w:id="2" w:name="_Hlk19780863"/>
            <w:r>
              <w:rPr>
                <w:b/>
              </w:rPr>
              <w:t>Activity</w:t>
            </w:r>
            <w:r w:rsidR="00EF2095" w:rsidRPr="0001027E">
              <w:rPr>
                <w:b/>
              </w:rPr>
              <w:t xml:space="preserve"> </w:t>
            </w:r>
          </w:p>
        </w:tc>
        <w:tc>
          <w:tcPr>
            <w:tcW w:w="1530" w:type="dxa"/>
            <w:shd w:val="clear" w:color="auto" w:fill="E7E6E6"/>
          </w:tcPr>
          <w:p w14:paraId="3ECE4C3F"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shd w:val="clear" w:color="auto" w:fill="E7E6E6"/>
          </w:tcPr>
          <w:p w14:paraId="0B4FE0F6" w14:textId="77777777" w:rsidR="006832D9" w:rsidRPr="0001027E" w:rsidRDefault="006832D9" w:rsidP="00843796">
            <w:pPr>
              <w:rPr>
                <w:b/>
              </w:rPr>
            </w:pPr>
            <w:r w:rsidRPr="0001027E">
              <w:rPr>
                <w:b/>
              </w:rPr>
              <w:t>Participation Time</w:t>
            </w:r>
            <w:r w:rsidR="00CB4858">
              <w:rPr>
                <w:b/>
              </w:rPr>
              <w:t xml:space="preserve"> (minutes)</w:t>
            </w:r>
          </w:p>
        </w:tc>
        <w:tc>
          <w:tcPr>
            <w:tcW w:w="1003" w:type="dxa"/>
            <w:shd w:val="clear" w:color="auto" w:fill="E7E6E6"/>
          </w:tcPr>
          <w:p w14:paraId="1275E934" w14:textId="77777777" w:rsidR="006832D9" w:rsidRPr="0001027E" w:rsidRDefault="006832D9" w:rsidP="00843796">
            <w:pPr>
              <w:rPr>
                <w:b/>
              </w:rPr>
            </w:pPr>
            <w:r w:rsidRPr="0001027E">
              <w:rPr>
                <w:b/>
              </w:rPr>
              <w:t>Burden</w:t>
            </w:r>
            <w:r w:rsidR="00CB4858">
              <w:rPr>
                <w:b/>
              </w:rPr>
              <w:t xml:space="preserve"> (hours)</w:t>
            </w:r>
          </w:p>
        </w:tc>
      </w:tr>
      <w:tr w:rsidR="00EF2095" w14:paraId="02FA7D97" w14:textId="77777777" w:rsidTr="0088109A">
        <w:trPr>
          <w:trHeight w:val="274"/>
        </w:trPr>
        <w:tc>
          <w:tcPr>
            <w:tcW w:w="4590" w:type="dxa"/>
          </w:tcPr>
          <w:p w14:paraId="6057ED9E" w14:textId="4EF5D1D1" w:rsidR="006832D9" w:rsidRDefault="00AA7BC5" w:rsidP="00843796">
            <w:r>
              <w:t>Screen</w:t>
            </w:r>
            <w:r w:rsidR="00F05633">
              <w:t>ed Population</w:t>
            </w:r>
          </w:p>
        </w:tc>
        <w:tc>
          <w:tcPr>
            <w:tcW w:w="1530" w:type="dxa"/>
          </w:tcPr>
          <w:p w14:paraId="2843BB23" w14:textId="77777777" w:rsidR="006832D9" w:rsidRDefault="0088109A" w:rsidP="0088109A">
            <w:pPr>
              <w:jc w:val="center"/>
            </w:pPr>
            <w:r>
              <w:t>6,000</w:t>
            </w:r>
          </w:p>
        </w:tc>
        <w:tc>
          <w:tcPr>
            <w:tcW w:w="1710" w:type="dxa"/>
          </w:tcPr>
          <w:p w14:paraId="496F0767" w14:textId="77777777" w:rsidR="006832D9" w:rsidRDefault="0088109A" w:rsidP="0088109A">
            <w:pPr>
              <w:jc w:val="right"/>
            </w:pPr>
            <w:r>
              <w:t>5</w:t>
            </w:r>
          </w:p>
        </w:tc>
        <w:tc>
          <w:tcPr>
            <w:tcW w:w="1003" w:type="dxa"/>
          </w:tcPr>
          <w:p w14:paraId="437BE484" w14:textId="77777777" w:rsidR="006832D9" w:rsidRDefault="0088109A" w:rsidP="0088109A">
            <w:pPr>
              <w:jc w:val="right"/>
            </w:pPr>
            <w:r>
              <w:t>500</w:t>
            </w:r>
          </w:p>
        </w:tc>
      </w:tr>
      <w:tr w:rsidR="00AA7BC5" w14:paraId="50B240A5" w14:textId="77777777" w:rsidTr="0088109A">
        <w:trPr>
          <w:trHeight w:val="274"/>
        </w:trPr>
        <w:tc>
          <w:tcPr>
            <w:tcW w:w="4590" w:type="dxa"/>
          </w:tcPr>
          <w:p w14:paraId="5EB0B0F7" w14:textId="77777777" w:rsidR="00AA7BC5" w:rsidRDefault="00AA7BC5" w:rsidP="00843796">
            <w:r>
              <w:t>Completing Wave 1 Survey</w:t>
            </w:r>
          </w:p>
        </w:tc>
        <w:tc>
          <w:tcPr>
            <w:tcW w:w="1530" w:type="dxa"/>
          </w:tcPr>
          <w:p w14:paraId="3B81ECE4" w14:textId="77777777" w:rsidR="00AA7BC5" w:rsidRDefault="0088109A" w:rsidP="0088109A">
            <w:pPr>
              <w:jc w:val="center"/>
            </w:pPr>
            <w:r>
              <w:t>3,000</w:t>
            </w:r>
          </w:p>
        </w:tc>
        <w:tc>
          <w:tcPr>
            <w:tcW w:w="1710" w:type="dxa"/>
          </w:tcPr>
          <w:p w14:paraId="0269CCA9" w14:textId="77777777" w:rsidR="00AA7BC5" w:rsidRDefault="0088109A" w:rsidP="0088109A">
            <w:pPr>
              <w:jc w:val="right"/>
            </w:pPr>
            <w:r>
              <w:t>15</w:t>
            </w:r>
          </w:p>
        </w:tc>
        <w:tc>
          <w:tcPr>
            <w:tcW w:w="1003" w:type="dxa"/>
          </w:tcPr>
          <w:p w14:paraId="2FDD1D1A" w14:textId="77777777" w:rsidR="00AA7BC5" w:rsidRDefault="0088109A" w:rsidP="0088109A">
            <w:pPr>
              <w:jc w:val="right"/>
            </w:pPr>
            <w:r>
              <w:t>750</w:t>
            </w:r>
          </w:p>
        </w:tc>
      </w:tr>
      <w:tr w:rsidR="00AA7BC5" w14:paraId="44401A69" w14:textId="77777777" w:rsidTr="0088109A">
        <w:trPr>
          <w:trHeight w:val="274"/>
        </w:trPr>
        <w:tc>
          <w:tcPr>
            <w:tcW w:w="4590" w:type="dxa"/>
          </w:tcPr>
          <w:p w14:paraId="6166CE62" w14:textId="01610830" w:rsidR="00AA7BC5" w:rsidRDefault="00AA7BC5" w:rsidP="00843796">
            <w:r>
              <w:t>Reviewing Educational Materials</w:t>
            </w:r>
            <w:r w:rsidR="00C858C2">
              <w:t xml:space="preserve"> </w:t>
            </w:r>
            <w:r w:rsidR="0047045F">
              <w:t xml:space="preserve">in a survey format </w:t>
            </w:r>
            <w:r w:rsidR="00C858C2">
              <w:t>(intervention cohort)</w:t>
            </w:r>
          </w:p>
        </w:tc>
        <w:tc>
          <w:tcPr>
            <w:tcW w:w="1530" w:type="dxa"/>
          </w:tcPr>
          <w:p w14:paraId="40087AA4" w14:textId="77777777" w:rsidR="00AA7BC5" w:rsidRDefault="0088109A" w:rsidP="0088109A">
            <w:pPr>
              <w:jc w:val="center"/>
            </w:pPr>
            <w:r>
              <w:t>1,500</w:t>
            </w:r>
          </w:p>
        </w:tc>
        <w:tc>
          <w:tcPr>
            <w:tcW w:w="1710" w:type="dxa"/>
          </w:tcPr>
          <w:p w14:paraId="2055B4C8" w14:textId="069681B6" w:rsidR="00AA7BC5" w:rsidRDefault="00C60BB8" w:rsidP="0088109A">
            <w:pPr>
              <w:jc w:val="right"/>
            </w:pPr>
            <w:r>
              <w:t>15</w:t>
            </w:r>
          </w:p>
        </w:tc>
        <w:tc>
          <w:tcPr>
            <w:tcW w:w="1003" w:type="dxa"/>
          </w:tcPr>
          <w:p w14:paraId="13050FE9" w14:textId="56FACE80" w:rsidR="00AA7BC5" w:rsidRDefault="00C60BB8" w:rsidP="0088109A">
            <w:pPr>
              <w:jc w:val="right"/>
            </w:pPr>
            <w:r>
              <w:t>375</w:t>
            </w:r>
          </w:p>
        </w:tc>
      </w:tr>
      <w:tr w:rsidR="00EF2095" w14:paraId="2CD8FB1B" w14:textId="77777777" w:rsidTr="0088109A">
        <w:trPr>
          <w:trHeight w:val="274"/>
        </w:trPr>
        <w:tc>
          <w:tcPr>
            <w:tcW w:w="4590" w:type="dxa"/>
          </w:tcPr>
          <w:p w14:paraId="6A4213E5" w14:textId="77777777" w:rsidR="006832D9" w:rsidRDefault="00AA7BC5" w:rsidP="00843796">
            <w:r>
              <w:t>Completing Wave 2 (Follow-Up) Survey</w:t>
            </w:r>
          </w:p>
        </w:tc>
        <w:tc>
          <w:tcPr>
            <w:tcW w:w="1530" w:type="dxa"/>
          </w:tcPr>
          <w:p w14:paraId="04022BA9" w14:textId="77777777" w:rsidR="006832D9" w:rsidRDefault="0088109A" w:rsidP="0088109A">
            <w:pPr>
              <w:jc w:val="center"/>
            </w:pPr>
            <w:r>
              <w:t>1,500*</w:t>
            </w:r>
          </w:p>
        </w:tc>
        <w:tc>
          <w:tcPr>
            <w:tcW w:w="1710" w:type="dxa"/>
          </w:tcPr>
          <w:p w14:paraId="6251A259" w14:textId="77777777" w:rsidR="006832D9" w:rsidRDefault="0088109A" w:rsidP="0088109A">
            <w:pPr>
              <w:jc w:val="right"/>
            </w:pPr>
            <w:r>
              <w:t>15</w:t>
            </w:r>
          </w:p>
        </w:tc>
        <w:tc>
          <w:tcPr>
            <w:tcW w:w="1003" w:type="dxa"/>
          </w:tcPr>
          <w:p w14:paraId="70CE13C2" w14:textId="77777777" w:rsidR="006832D9" w:rsidRDefault="005D1155" w:rsidP="0088109A">
            <w:pPr>
              <w:jc w:val="right"/>
            </w:pPr>
            <w:r>
              <w:t>375</w:t>
            </w:r>
          </w:p>
        </w:tc>
      </w:tr>
      <w:tr w:rsidR="00EF2095" w14:paraId="08B3890E" w14:textId="77777777" w:rsidTr="0088109A">
        <w:trPr>
          <w:trHeight w:val="289"/>
        </w:trPr>
        <w:tc>
          <w:tcPr>
            <w:tcW w:w="4590" w:type="dxa"/>
          </w:tcPr>
          <w:p w14:paraId="1B25F794" w14:textId="77777777" w:rsidR="006832D9" w:rsidRPr="0001027E" w:rsidRDefault="006832D9" w:rsidP="00843796">
            <w:pPr>
              <w:rPr>
                <w:b/>
              </w:rPr>
            </w:pPr>
            <w:r w:rsidRPr="0001027E">
              <w:rPr>
                <w:b/>
              </w:rPr>
              <w:t>Totals</w:t>
            </w:r>
          </w:p>
        </w:tc>
        <w:tc>
          <w:tcPr>
            <w:tcW w:w="1530" w:type="dxa"/>
          </w:tcPr>
          <w:p w14:paraId="1A97A828" w14:textId="6ED0E4DB" w:rsidR="006832D9" w:rsidRPr="0001027E" w:rsidRDefault="00C60BB8" w:rsidP="0088109A">
            <w:pPr>
              <w:jc w:val="center"/>
              <w:rPr>
                <w:b/>
              </w:rPr>
            </w:pPr>
            <w:r>
              <w:rPr>
                <w:b/>
              </w:rPr>
              <w:t>6</w:t>
            </w:r>
            <w:r w:rsidR="0088109A">
              <w:rPr>
                <w:b/>
              </w:rPr>
              <w:t>,000**</w:t>
            </w:r>
          </w:p>
        </w:tc>
        <w:tc>
          <w:tcPr>
            <w:tcW w:w="1710" w:type="dxa"/>
          </w:tcPr>
          <w:p w14:paraId="471AD3A2" w14:textId="77777777" w:rsidR="006832D9" w:rsidRDefault="006832D9" w:rsidP="0088109A">
            <w:pPr>
              <w:jc w:val="right"/>
            </w:pPr>
          </w:p>
        </w:tc>
        <w:tc>
          <w:tcPr>
            <w:tcW w:w="1003" w:type="dxa"/>
          </w:tcPr>
          <w:p w14:paraId="6B35C42B" w14:textId="5EE89606" w:rsidR="006832D9" w:rsidRPr="0001027E" w:rsidRDefault="005D1155" w:rsidP="0088109A">
            <w:pPr>
              <w:jc w:val="right"/>
              <w:rPr>
                <w:b/>
              </w:rPr>
            </w:pPr>
            <w:r>
              <w:rPr>
                <w:b/>
              </w:rPr>
              <w:t>2,</w:t>
            </w:r>
            <w:r w:rsidR="00C60BB8">
              <w:rPr>
                <w:b/>
              </w:rPr>
              <w:t>000</w:t>
            </w:r>
          </w:p>
        </w:tc>
      </w:tr>
    </w:tbl>
    <w:bookmarkEnd w:id="2"/>
    <w:p w14:paraId="6A9D930F" w14:textId="77777777" w:rsidR="0088109A" w:rsidRDefault="0088109A" w:rsidP="00F3170F">
      <w:pPr>
        <w:rPr>
          <w:i/>
        </w:rPr>
      </w:pPr>
      <w:r>
        <w:rPr>
          <w:i/>
        </w:rPr>
        <w:t>*Assumes Ipsos’ estimated non-response rate of 50%</w:t>
      </w:r>
    </w:p>
    <w:p w14:paraId="3A1F9066" w14:textId="6265C774" w:rsidR="00F3170F" w:rsidRPr="0088109A" w:rsidRDefault="0088109A" w:rsidP="00F3170F">
      <w:pPr>
        <w:rPr>
          <w:i/>
        </w:rPr>
      </w:pPr>
      <w:r>
        <w:rPr>
          <w:i/>
        </w:rPr>
        <w:t>*</w:t>
      </w:r>
      <w:r w:rsidRPr="0088109A">
        <w:rPr>
          <w:i/>
        </w:rPr>
        <w:t xml:space="preserve">*All participants in subsequent waves after screening are included within the </w:t>
      </w:r>
      <w:r w:rsidR="00C60BB8">
        <w:rPr>
          <w:i/>
        </w:rPr>
        <w:t>6</w:t>
      </w:r>
      <w:r w:rsidRPr="0088109A">
        <w:rPr>
          <w:i/>
        </w:rPr>
        <w:t>,000 screened</w:t>
      </w:r>
    </w:p>
    <w:p w14:paraId="67F36CBF" w14:textId="77777777" w:rsidR="00EC046C" w:rsidRDefault="008662D3" w:rsidP="00EC046C">
      <w:r w:rsidRPr="006B18B6" w:rsidDel="008662D3">
        <w:rPr>
          <w:b/>
          <w:bCs/>
        </w:rPr>
        <w:t xml:space="preserve"> </w:t>
      </w:r>
      <w:r w:rsidR="00BD712B">
        <w:rPr>
          <w:b/>
          <w:bCs/>
          <w:u w:val="single"/>
        </w:rPr>
        <w:br/>
      </w:r>
      <w:r w:rsidR="00EC046C">
        <w:t xml:space="preserve">7. </w:t>
      </w:r>
      <w:r w:rsidR="00EC046C" w:rsidRPr="00A23D54">
        <w:t>CERTIFICATION:</w:t>
      </w:r>
      <w:r w:rsidR="00EC046C">
        <w:t xml:space="preserve"> </w:t>
      </w:r>
    </w:p>
    <w:p w14:paraId="009FD779" w14:textId="77777777" w:rsidR="00EC046C" w:rsidRPr="00A23D54" w:rsidRDefault="00EC046C" w:rsidP="00EC046C">
      <w:pPr>
        <w:ind w:left="360"/>
      </w:pPr>
    </w:p>
    <w:p w14:paraId="0F19E8A5" w14:textId="77777777" w:rsidR="00EC046C" w:rsidRDefault="00EC046C" w:rsidP="00EC046C">
      <w:pPr>
        <w:ind w:left="720"/>
      </w:pPr>
      <w:r>
        <w:t xml:space="preserve">In submitting this request, I certify the following to be true: </w:t>
      </w:r>
      <w:r>
        <w:br/>
      </w:r>
    </w:p>
    <w:p w14:paraId="6FFEB172" w14:textId="77777777" w:rsidR="00EC046C" w:rsidRPr="000216D8" w:rsidRDefault="00EC046C" w:rsidP="00EC046C">
      <w:pPr>
        <w:numPr>
          <w:ilvl w:val="0"/>
          <w:numId w:val="26"/>
        </w:numPr>
        <w:spacing w:before="100" w:beforeAutospacing="1" w:after="100" w:afterAutospacing="1" w:line="276" w:lineRule="auto"/>
        <w:contextualSpacing/>
      </w:pPr>
      <w:r w:rsidRPr="000216D8">
        <w:t>The collections are voluntary;</w:t>
      </w:r>
    </w:p>
    <w:p w14:paraId="18EA4DE7" w14:textId="77777777" w:rsidR="00EC046C" w:rsidRPr="000216D8" w:rsidRDefault="00EC046C" w:rsidP="00EC046C">
      <w:pPr>
        <w:numPr>
          <w:ilvl w:val="0"/>
          <w:numId w:val="26"/>
        </w:numPr>
        <w:spacing w:before="100" w:beforeAutospacing="1" w:after="100" w:afterAutospacing="1" w:line="276" w:lineRule="auto"/>
        <w:contextualSpacing/>
      </w:pPr>
      <w:r w:rsidRPr="000216D8">
        <w:t>The collections are low</w:t>
      </w:r>
      <w:r>
        <w:t>-</w:t>
      </w:r>
      <w:r w:rsidRPr="000216D8">
        <w:t xml:space="preserve">burden for </w:t>
      </w:r>
      <w:r>
        <w:t>participants</w:t>
      </w:r>
      <w:r w:rsidRPr="000216D8">
        <w:t xml:space="preserve"> and are low</w:t>
      </w:r>
      <w:r>
        <w:t>-</w:t>
      </w:r>
      <w:r w:rsidRPr="000216D8">
        <w:t xml:space="preserve">cost for both the </w:t>
      </w:r>
      <w:r>
        <w:t>participants</w:t>
      </w:r>
      <w:r w:rsidRPr="000216D8">
        <w:t xml:space="preserve"> and the Federal Government;</w:t>
      </w:r>
    </w:p>
    <w:p w14:paraId="6FBB4CF0" w14:textId="4FA8E586" w:rsidR="00EC046C" w:rsidRPr="000216D8" w:rsidRDefault="00EC046C" w:rsidP="00EC046C">
      <w:pPr>
        <w:numPr>
          <w:ilvl w:val="0"/>
          <w:numId w:val="26"/>
        </w:numPr>
        <w:spacing w:before="100" w:beforeAutospacing="1" w:after="100" w:afterAutospacing="1" w:line="276" w:lineRule="auto"/>
        <w:contextualSpacing/>
      </w:pPr>
      <w:r w:rsidRPr="000216D8">
        <w:t>The collections are noncontroversial</w:t>
      </w:r>
      <w:r w:rsidR="00A06AB0">
        <w:t xml:space="preserve"> and not of a sensitive nature</w:t>
      </w:r>
      <w:r w:rsidRPr="000216D8">
        <w:t>;</w:t>
      </w:r>
      <w:r w:rsidRPr="000216D8" w:rsidDel="004E3487">
        <w:t xml:space="preserve"> </w:t>
      </w:r>
    </w:p>
    <w:p w14:paraId="7F8391F6" w14:textId="77777777" w:rsidR="00EC046C" w:rsidRPr="000216D8" w:rsidRDefault="00EC046C" w:rsidP="00EC046C">
      <w:pPr>
        <w:numPr>
          <w:ilvl w:val="0"/>
          <w:numId w:val="26"/>
        </w:numPr>
        <w:spacing w:before="100" w:beforeAutospacing="1" w:after="100" w:afterAutospacing="1" w:line="276" w:lineRule="auto"/>
        <w:contextualSpacing/>
      </w:pPr>
      <w:r w:rsidRPr="000216D8">
        <w:t>Personally identifiable information (PII) is collected only to the extent necessary</w:t>
      </w:r>
      <w:r w:rsidRPr="000216D8">
        <w:rPr>
          <w:vertAlign w:val="superscript"/>
        </w:rPr>
        <w:footnoteReference w:id="4"/>
      </w:r>
      <w:r w:rsidRPr="000216D8">
        <w:t xml:space="preserve"> and is not retained;</w:t>
      </w:r>
      <w:r>
        <w:t xml:space="preserve"> and</w:t>
      </w:r>
    </w:p>
    <w:p w14:paraId="75839774" w14:textId="77777777" w:rsidR="00EC046C" w:rsidRPr="009C13B9" w:rsidRDefault="00EC046C" w:rsidP="00EC046C">
      <w:pPr>
        <w:numPr>
          <w:ilvl w:val="0"/>
          <w:numId w:val="26"/>
        </w:numPr>
        <w:spacing w:before="100" w:beforeAutospacing="1" w:after="100" w:afterAutospacing="1" w:line="276" w:lineRule="auto"/>
        <w:contextualSpacing/>
      </w:pPr>
      <w:r w:rsidRPr="000216D8">
        <w:t>Information gathered will not be used for the purpose of substantially informing influential policy decisions</w:t>
      </w:r>
      <w:r>
        <w:t>.</w:t>
      </w:r>
      <w:r w:rsidRPr="000216D8">
        <w:rPr>
          <w:vertAlign w:val="superscript"/>
        </w:rPr>
        <w:footnoteReference w:id="5"/>
      </w:r>
    </w:p>
    <w:p w14:paraId="54563E8A" w14:textId="1D7A3074" w:rsidR="0069403B" w:rsidRDefault="0069403B" w:rsidP="00F06866">
      <w:pPr>
        <w:rPr>
          <w:b/>
        </w:rPr>
      </w:pPr>
    </w:p>
    <w:p w14:paraId="73A1A5C2" w14:textId="44BBBC83" w:rsidR="00A06AB0" w:rsidRPr="005500FD" w:rsidRDefault="00236246" w:rsidP="00F06866">
      <w:r>
        <w:rPr>
          <w:b/>
        </w:rPr>
        <w:t xml:space="preserve">REQUESTED APPROVAL DATE:  </w:t>
      </w:r>
      <w:r w:rsidR="008F085C">
        <w:t>Dec</w:t>
      </w:r>
      <w:r w:rsidR="00C60BB8">
        <w:t>ember</w:t>
      </w:r>
      <w:r>
        <w:t xml:space="preserve"> 2019.</w:t>
      </w:r>
    </w:p>
    <w:p w14:paraId="60844A07" w14:textId="77777777" w:rsidR="00A06AB0" w:rsidRDefault="00A06AB0" w:rsidP="00F06866">
      <w:pPr>
        <w:rPr>
          <w:b/>
        </w:rPr>
      </w:pPr>
    </w:p>
    <w:p w14:paraId="0BAA28A6" w14:textId="77777777" w:rsidR="0068072A" w:rsidRPr="00810AA0" w:rsidRDefault="00C12D14" w:rsidP="005A0C82">
      <w:pPr>
        <w:rPr>
          <w:bCs/>
        </w:rPr>
      </w:pPr>
      <w:r w:rsidRPr="005A0C82">
        <w:t>8.</w:t>
      </w:r>
      <w:r>
        <w:rPr>
          <w:b/>
        </w:rPr>
        <w:t xml:space="preserve"> </w:t>
      </w:r>
      <w:r w:rsidR="0068072A" w:rsidRPr="00810AA0">
        <w:t>NAME OF P</w:t>
      </w:r>
      <w:r w:rsidR="0068072A">
        <w:t xml:space="preserve">RA ANALYST &amp; PROGRAM CONTACT: </w:t>
      </w:r>
    </w:p>
    <w:p w14:paraId="19E62D17" w14:textId="77777777" w:rsidR="0068072A" w:rsidRDefault="0068072A" w:rsidP="0068072A">
      <w:pPr>
        <w:rPr>
          <w:bCs/>
          <w:u w:val="single"/>
        </w:rPr>
      </w:pPr>
    </w:p>
    <w:p w14:paraId="2E5C9B75" w14:textId="77777777" w:rsidR="00774CFF" w:rsidRPr="00774CFF" w:rsidRDefault="00774CFF" w:rsidP="00774CFF">
      <w:pPr>
        <w:rPr>
          <w:bCs/>
        </w:rPr>
      </w:pPr>
      <w:r w:rsidRPr="00774CFF">
        <w:rPr>
          <w:bCs/>
        </w:rPr>
        <w:t xml:space="preserve">Ila S. Mizrachi (PRA Analyst) </w:t>
      </w:r>
    </w:p>
    <w:p w14:paraId="31C491A6" w14:textId="77777777" w:rsidR="00774CFF" w:rsidRPr="00774CFF" w:rsidRDefault="0073163F" w:rsidP="00774CFF">
      <w:pPr>
        <w:rPr>
          <w:bCs/>
        </w:rPr>
      </w:pPr>
      <w:hyperlink r:id="rId9" w:history="1">
        <w:r w:rsidR="00774CFF" w:rsidRPr="00774CFF">
          <w:rPr>
            <w:rStyle w:val="Hyperlink"/>
          </w:rPr>
          <w:t>Ila.Mizrachi@fda.hhs.gov</w:t>
        </w:r>
      </w:hyperlink>
      <w:r w:rsidR="00774CFF" w:rsidRPr="00774CFF">
        <w:t xml:space="preserve"> </w:t>
      </w:r>
    </w:p>
    <w:p w14:paraId="5D146558" w14:textId="77777777" w:rsidR="00774CFF" w:rsidRPr="00774CFF" w:rsidRDefault="00774CFF" w:rsidP="00774CFF">
      <w:pPr>
        <w:rPr>
          <w:bCs/>
        </w:rPr>
      </w:pPr>
      <w:r w:rsidRPr="00774CFF">
        <w:rPr>
          <w:bCs/>
        </w:rPr>
        <w:t>301-796-7726</w:t>
      </w:r>
    </w:p>
    <w:p w14:paraId="7280CB37" w14:textId="77777777" w:rsidR="00774CFF" w:rsidRPr="00774CFF" w:rsidRDefault="00774CFF" w:rsidP="00774CFF">
      <w:pPr>
        <w:rPr>
          <w:bCs/>
        </w:rPr>
      </w:pPr>
    </w:p>
    <w:p w14:paraId="5200EC8C" w14:textId="77777777" w:rsidR="00774CFF" w:rsidRPr="00774CFF" w:rsidRDefault="00774CFF" w:rsidP="00774CFF">
      <w:pPr>
        <w:rPr>
          <w:bCs/>
        </w:rPr>
      </w:pPr>
      <w:r w:rsidRPr="00774CFF">
        <w:rPr>
          <w:bCs/>
        </w:rPr>
        <w:t>Kimberly Smith (Program Contact)</w:t>
      </w:r>
    </w:p>
    <w:p w14:paraId="087FA289" w14:textId="77777777" w:rsidR="00774CFF" w:rsidRPr="00774CFF" w:rsidRDefault="0073163F" w:rsidP="00774CFF">
      <w:pPr>
        <w:rPr>
          <w:bCs/>
        </w:rPr>
      </w:pPr>
      <w:hyperlink r:id="rId10" w:history="1">
        <w:r w:rsidR="00774CFF" w:rsidRPr="00774CFF">
          <w:rPr>
            <w:rStyle w:val="Hyperlink"/>
          </w:rPr>
          <w:t>Kimberly.Smith1@fda.hhs.gov</w:t>
        </w:r>
      </w:hyperlink>
    </w:p>
    <w:p w14:paraId="238B15EC" w14:textId="77777777" w:rsidR="00774CFF" w:rsidRPr="00774CFF" w:rsidRDefault="00774CFF" w:rsidP="00774CFF">
      <w:pPr>
        <w:rPr>
          <w:bCs/>
        </w:rPr>
      </w:pPr>
      <w:r w:rsidRPr="00774CFF">
        <w:rPr>
          <w:bCs/>
        </w:rPr>
        <w:t>301-348-1445</w:t>
      </w:r>
    </w:p>
    <w:p w14:paraId="29D4C265" w14:textId="77777777" w:rsidR="00774CFF" w:rsidRPr="00774CFF" w:rsidRDefault="00774CFF" w:rsidP="00774CFF">
      <w:pPr>
        <w:rPr>
          <w:bCs/>
        </w:rPr>
      </w:pPr>
    </w:p>
    <w:p w14:paraId="6232775A" w14:textId="77777777" w:rsidR="00774CFF" w:rsidRPr="00774CFF" w:rsidRDefault="00774CFF" w:rsidP="00774CFF">
      <w:pPr>
        <w:rPr>
          <w:bCs/>
        </w:rPr>
      </w:pPr>
      <w:r w:rsidRPr="00774CFF">
        <w:rPr>
          <w:bCs/>
        </w:rPr>
        <w:t>Ewa Carlton (Program Contact)</w:t>
      </w:r>
    </w:p>
    <w:p w14:paraId="4519AFA8" w14:textId="3549A12F" w:rsidR="00774CFF" w:rsidRPr="00774CFF" w:rsidRDefault="0073163F" w:rsidP="00774CFF">
      <w:pPr>
        <w:rPr>
          <w:rStyle w:val="Hyperlink"/>
          <w:bCs/>
        </w:rPr>
      </w:pPr>
      <w:hyperlink r:id="rId11" w:history="1">
        <w:r w:rsidR="00B609E4" w:rsidRPr="00B609E4">
          <w:rPr>
            <w:rStyle w:val="Hyperlink"/>
            <w:bCs/>
          </w:rPr>
          <w:t>Ewa.Carlton@fda.hhs.gov</w:t>
        </w:r>
      </w:hyperlink>
    </w:p>
    <w:p w14:paraId="05749275" w14:textId="77777777" w:rsidR="00774CFF" w:rsidRPr="00B609E4" w:rsidRDefault="00774CFF" w:rsidP="00774CFF">
      <w:pPr>
        <w:rPr>
          <w:bCs/>
        </w:rPr>
      </w:pPr>
      <w:r w:rsidRPr="00A24EB3">
        <w:rPr>
          <w:rStyle w:val="Hyperlink"/>
          <w:bCs/>
          <w:color w:val="auto"/>
          <w:u w:val="none"/>
        </w:rPr>
        <w:t>240-402-2948</w:t>
      </w:r>
    </w:p>
    <w:p w14:paraId="64233E7C" w14:textId="77777777" w:rsidR="00774CFF" w:rsidRPr="00A13B56" w:rsidRDefault="00774CFF" w:rsidP="00774CFF">
      <w:pPr>
        <w:tabs>
          <w:tab w:val="left" w:pos="5670"/>
        </w:tabs>
        <w:suppressAutoHyphens/>
        <w:rPr>
          <w:rFonts w:ascii="Arial" w:hAnsi="Arial" w:cs="Arial"/>
          <w:b/>
          <w:sz w:val="20"/>
          <w:szCs w:val="20"/>
        </w:rPr>
      </w:pPr>
    </w:p>
    <w:p w14:paraId="37210CCA" w14:textId="0DA20B93" w:rsidR="00774CFF" w:rsidRPr="005D1155" w:rsidRDefault="00774CFF" w:rsidP="00774CFF">
      <w:pPr>
        <w:tabs>
          <w:tab w:val="left" w:pos="5670"/>
        </w:tabs>
        <w:suppressAutoHyphens/>
      </w:pPr>
      <w:r w:rsidRPr="005D1155">
        <w:t xml:space="preserve">FDA CENTER:  Center for Food Safety and Applied Nutrition </w:t>
      </w:r>
    </w:p>
    <w:p w14:paraId="09F470E3" w14:textId="77777777" w:rsidR="00774CFF" w:rsidRPr="00A13B56" w:rsidRDefault="00774CFF" w:rsidP="00774CFF">
      <w:pPr>
        <w:tabs>
          <w:tab w:val="left" w:pos="5670"/>
        </w:tabs>
        <w:suppressAutoHyphens/>
        <w:rPr>
          <w:rFonts w:ascii="Arial" w:hAnsi="Arial" w:cs="Arial"/>
          <w:b/>
          <w:sz w:val="20"/>
          <w:szCs w:val="20"/>
        </w:rPr>
      </w:pPr>
    </w:p>
    <w:p w14:paraId="39F222E4" w14:textId="27AD3155" w:rsidR="00236246" w:rsidRPr="005500FD" w:rsidRDefault="00236246" w:rsidP="00C12D14">
      <w:bookmarkStart w:id="3" w:name="_Hlk19783702"/>
      <w:r w:rsidRPr="005500FD">
        <w:t xml:space="preserve">Attachments: </w:t>
      </w:r>
    </w:p>
    <w:p w14:paraId="40544CB7" w14:textId="77777777" w:rsidR="00C12D14" w:rsidRDefault="00C12D14" w:rsidP="0068072A">
      <w:pPr>
        <w:rPr>
          <w:bCs/>
          <w:u w:val="single"/>
        </w:rPr>
      </w:pPr>
    </w:p>
    <w:p w14:paraId="7D0FEFBB" w14:textId="7FD1D38A" w:rsidR="005D1155" w:rsidRDefault="00236246" w:rsidP="0068072A">
      <w:pPr>
        <w:rPr>
          <w:bCs/>
        </w:rPr>
      </w:pPr>
      <w:r>
        <w:rPr>
          <w:bCs/>
        </w:rPr>
        <w:t>Appendix</w:t>
      </w:r>
      <w:r w:rsidR="005D1155" w:rsidRPr="005D1155">
        <w:rPr>
          <w:bCs/>
        </w:rPr>
        <w:t xml:space="preserve"> A: </w:t>
      </w:r>
      <w:r w:rsidR="002669A5">
        <w:rPr>
          <w:bCs/>
        </w:rPr>
        <w:t>S</w:t>
      </w:r>
      <w:r w:rsidR="00C83E22">
        <w:rPr>
          <w:bCs/>
        </w:rPr>
        <w:t>urvey</w:t>
      </w:r>
      <w:r w:rsidR="005D1155" w:rsidRPr="005D1155">
        <w:rPr>
          <w:bCs/>
        </w:rPr>
        <w:t xml:space="preserve"> </w:t>
      </w:r>
      <w:r>
        <w:rPr>
          <w:bCs/>
        </w:rPr>
        <w:t>Q</w:t>
      </w:r>
      <w:r w:rsidR="005D1155" w:rsidRPr="005D1155">
        <w:rPr>
          <w:bCs/>
        </w:rPr>
        <w:t>uestionnaire</w:t>
      </w:r>
      <w:r w:rsidR="00BC11C4">
        <w:rPr>
          <w:bCs/>
        </w:rPr>
        <w:t>s</w:t>
      </w:r>
    </w:p>
    <w:p w14:paraId="676CC9C6" w14:textId="64B95972" w:rsidR="005D1155" w:rsidRPr="005D1155" w:rsidRDefault="007618C3" w:rsidP="0068072A">
      <w:pPr>
        <w:rPr>
          <w:bCs/>
        </w:rPr>
      </w:pPr>
      <w:r>
        <w:rPr>
          <w:bCs/>
        </w:rPr>
        <w:t>Appendix</w:t>
      </w:r>
      <w:r w:rsidR="005D1155">
        <w:rPr>
          <w:bCs/>
        </w:rPr>
        <w:t xml:space="preserve"> B: Educational </w:t>
      </w:r>
      <w:r w:rsidR="000611EC">
        <w:rPr>
          <w:bCs/>
        </w:rPr>
        <w:t>M</w:t>
      </w:r>
      <w:r w:rsidR="005D1155">
        <w:rPr>
          <w:bCs/>
        </w:rPr>
        <w:t xml:space="preserve">aterials (stimuli) </w:t>
      </w:r>
    </w:p>
    <w:bookmarkEnd w:id="3"/>
    <w:p w14:paraId="5385A00C" w14:textId="5198CCFE" w:rsidR="0068072A" w:rsidRPr="0063107E" w:rsidRDefault="0063107E" w:rsidP="00704821">
      <w:pPr>
        <w:pStyle w:val="ListParagraph"/>
        <w:numPr>
          <w:ilvl w:val="0"/>
          <w:numId w:val="32"/>
        </w:numPr>
      </w:pPr>
      <w:r w:rsidRPr="0063107E">
        <w:t>Appendix B</w:t>
      </w:r>
      <w:r w:rsidR="003169A8">
        <w:t xml:space="preserve">: </w:t>
      </w:r>
      <w:r w:rsidRPr="0063107E">
        <w:t>GMO Crops Video Storyboard</w:t>
      </w:r>
    </w:p>
    <w:p w14:paraId="61031B73" w14:textId="13FD300D" w:rsidR="0063107E" w:rsidRPr="0063107E" w:rsidRDefault="0063107E" w:rsidP="00704821">
      <w:pPr>
        <w:pStyle w:val="ListParagraph"/>
        <w:numPr>
          <w:ilvl w:val="0"/>
          <w:numId w:val="32"/>
        </w:numPr>
      </w:pPr>
      <w:r w:rsidRPr="0063107E">
        <w:t>Appendix B</w:t>
      </w:r>
      <w:r w:rsidR="003169A8">
        <w:t xml:space="preserve">: </w:t>
      </w:r>
      <w:r w:rsidRPr="0063107E">
        <w:t>GMO Timeline</w:t>
      </w:r>
    </w:p>
    <w:p w14:paraId="270A36A9" w14:textId="33736FF9" w:rsidR="0063107E" w:rsidRPr="0063107E" w:rsidRDefault="0063107E" w:rsidP="00704821">
      <w:pPr>
        <w:pStyle w:val="ListParagraph"/>
        <w:numPr>
          <w:ilvl w:val="0"/>
          <w:numId w:val="32"/>
        </w:numPr>
      </w:pPr>
      <w:r w:rsidRPr="0063107E">
        <w:t>Appendix B</w:t>
      </w:r>
      <w:r w:rsidR="003169A8">
        <w:t xml:space="preserve">: </w:t>
      </w:r>
      <w:r w:rsidRPr="0063107E">
        <w:t>GMOs 101</w:t>
      </w:r>
    </w:p>
    <w:p w14:paraId="7C173F84" w14:textId="0E803255" w:rsidR="0063107E" w:rsidRPr="0063107E" w:rsidRDefault="0063107E" w:rsidP="00704821">
      <w:pPr>
        <w:pStyle w:val="ListParagraph"/>
        <w:numPr>
          <w:ilvl w:val="0"/>
          <w:numId w:val="32"/>
        </w:numPr>
      </w:pPr>
      <w:r w:rsidRPr="0063107E">
        <w:t xml:space="preserve">Appendix </w:t>
      </w:r>
      <w:r>
        <w:t>B</w:t>
      </w:r>
      <w:r w:rsidR="003169A8">
        <w:t xml:space="preserve">: </w:t>
      </w:r>
      <w:r w:rsidRPr="0063107E">
        <w:t>Regulatory Fact Sheet</w:t>
      </w:r>
    </w:p>
    <w:sectPr w:rsidR="0063107E" w:rsidRPr="0063107E" w:rsidSect="00053A3B">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CAE62" w14:textId="77777777" w:rsidR="009C2D92" w:rsidRDefault="009C2D92">
      <w:r>
        <w:separator/>
      </w:r>
    </w:p>
  </w:endnote>
  <w:endnote w:type="continuationSeparator" w:id="0">
    <w:p w14:paraId="76677CDE" w14:textId="77777777" w:rsidR="009C2D92" w:rsidRDefault="009C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6F3BF"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F1C339" w14:textId="77777777" w:rsidR="006F62A3" w:rsidRDefault="006F62A3" w:rsidP="00BD71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5D809"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163F">
      <w:rPr>
        <w:rStyle w:val="PageNumber"/>
        <w:noProof/>
      </w:rPr>
      <w:t>1</w:t>
    </w:r>
    <w:r>
      <w:rPr>
        <w:rStyle w:val="PageNumber"/>
      </w:rPr>
      <w:fldChar w:fldCharType="end"/>
    </w:r>
  </w:p>
  <w:p w14:paraId="62CDD4D8" w14:textId="77777777"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2585E" w14:textId="77777777" w:rsidR="009C2D92" w:rsidRDefault="009C2D92">
      <w:r>
        <w:separator/>
      </w:r>
    </w:p>
  </w:footnote>
  <w:footnote w:type="continuationSeparator" w:id="0">
    <w:p w14:paraId="29729E83" w14:textId="77777777" w:rsidR="009C2D92" w:rsidRDefault="009C2D92">
      <w:r>
        <w:continuationSeparator/>
      </w:r>
    </w:p>
  </w:footnote>
  <w:footnote w:id="1">
    <w:p w14:paraId="07E1CAD5" w14:textId="569AAFBB" w:rsidR="00C37679" w:rsidRPr="00BA5D79" w:rsidRDefault="00C37679" w:rsidP="00BA5D79">
      <w:pPr>
        <w:rPr>
          <w:color w:val="000000" w:themeColor="text1"/>
          <w:sz w:val="16"/>
          <w:szCs w:val="16"/>
        </w:rPr>
      </w:pPr>
      <w:r w:rsidRPr="00BA5D79">
        <w:rPr>
          <w:rStyle w:val="FootnoteReference"/>
          <w:color w:val="000000" w:themeColor="text1"/>
          <w:sz w:val="16"/>
          <w:szCs w:val="16"/>
        </w:rPr>
        <w:footnoteRef/>
      </w:r>
      <w:r w:rsidRPr="00BA5D79">
        <w:rPr>
          <w:color w:val="000000" w:themeColor="text1"/>
          <w:sz w:val="16"/>
          <w:szCs w:val="16"/>
        </w:rPr>
        <w:t xml:space="preserve">See: Kulka, RA, et al. (2005). </w:t>
      </w:r>
      <w:r w:rsidRPr="00BA5D79">
        <w:rPr>
          <w:bCs/>
          <w:color w:val="000000" w:themeColor="text1"/>
          <w:kern w:val="36"/>
          <w:sz w:val="16"/>
          <w:szCs w:val="16"/>
        </w:rPr>
        <w:t xml:space="preserve">The use of monetary incentives in federal surveys on substance use and abuse. </w:t>
      </w:r>
      <w:r w:rsidRPr="00BA5D79">
        <w:rPr>
          <w:i/>
          <w:color w:val="000000" w:themeColor="text1"/>
          <w:sz w:val="16"/>
          <w:szCs w:val="16"/>
        </w:rPr>
        <w:t>Journal of Economic and Social Measurement</w:t>
      </w:r>
      <w:r w:rsidRPr="00BA5D79">
        <w:rPr>
          <w:color w:val="000000" w:themeColor="text1"/>
          <w:sz w:val="16"/>
          <w:szCs w:val="16"/>
        </w:rPr>
        <w:t>, vol. 30, no. 2-3, pp. 233-249; Singer, E and Cong Ye. (2013). The Use and Effects of Incentives in Surveys</w:t>
      </w:r>
      <w:r w:rsidR="00C67C41" w:rsidRPr="00BA5D79">
        <w:rPr>
          <w:color w:val="000000" w:themeColor="text1"/>
          <w:sz w:val="16"/>
          <w:szCs w:val="16"/>
        </w:rPr>
        <w:t xml:space="preserve">. </w:t>
      </w:r>
      <w:r w:rsidR="00C67C41" w:rsidRPr="00BA5D79">
        <w:rPr>
          <w:i/>
          <w:iCs/>
          <w:color w:val="000000" w:themeColor="text1"/>
          <w:sz w:val="16"/>
          <w:szCs w:val="16"/>
          <w:shd w:val="clear" w:color="auto" w:fill="FFFFFF"/>
        </w:rPr>
        <w:t>The ANNALS of the American Academy of Political and Social Science</w:t>
      </w:r>
      <w:r w:rsidR="00C67C41" w:rsidRPr="00BA5D79">
        <w:rPr>
          <w:color w:val="000000" w:themeColor="text1"/>
          <w:sz w:val="16"/>
          <w:szCs w:val="16"/>
          <w:shd w:val="clear" w:color="auto" w:fill="FFFFFF"/>
        </w:rPr>
        <w:t>, </w:t>
      </w:r>
      <w:r w:rsidR="00C67C41" w:rsidRPr="00BA5D79">
        <w:rPr>
          <w:i/>
          <w:iCs/>
          <w:color w:val="000000" w:themeColor="text1"/>
          <w:sz w:val="16"/>
          <w:szCs w:val="16"/>
          <w:shd w:val="clear" w:color="auto" w:fill="FFFFFF"/>
        </w:rPr>
        <w:t>645</w:t>
      </w:r>
      <w:r w:rsidR="00C67C41" w:rsidRPr="00BA5D79">
        <w:rPr>
          <w:color w:val="000000" w:themeColor="text1"/>
          <w:sz w:val="16"/>
          <w:szCs w:val="16"/>
          <w:shd w:val="clear" w:color="auto" w:fill="FFFFFF"/>
        </w:rPr>
        <w:t>(1), 112–141; Trussell, N and PJ Lavrakas. (2004). The Influence of Incremental Increases in Token Cash Incentives on Mail Survey Response: Is There an Optimal Amount?, </w:t>
      </w:r>
      <w:r w:rsidR="00C67C41" w:rsidRPr="00BA5D79">
        <w:rPr>
          <w:rStyle w:val="Emphasis"/>
          <w:color w:val="000000" w:themeColor="text1"/>
          <w:sz w:val="16"/>
          <w:szCs w:val="16"/>
          <w:bdr w:val="none" w:sz="0" w:space="0" w:color="auto" w:frame="1"/>
          <w:shd w:val="clear" w:color="auto" w:fill="FFFFFF"/>
        </w:rPr>
        <w:t>Public Opinion Quarterly</w:t>
      </w:r>
      <w:r w:rsidR="00C67C41" w:rsidRPr="00BA5D79">
        <w:rPr>
          <w:color w:val="000000" w:themeColor="text1"/>
          <w:sz w:val="16"/>
          <w:szCs w:val="16"/>
          <w:shd w:val="clear" w:color="auto" w:fill="FFFFFF"/>
        </w:rPr>
        <w:t>, Volume 68, Issue 3, Pages 349–367.</w:t>
      </w:r>
    </w:p>
  </w:footnote>
  <w:footnote w:id="2">
    <w:p w14:paraId="0E77B085" w14:textId="355F7CD7" w:rsidR="00BA5D79" w:rsidRPr="00BA5D79" w:rsidRDefault="00BA5D79" w:rsidP="00BA5D79">
      <w:pPr>
        <w:pStyle w:val="Heading2"/>
        <w:jc w:val="left"/>
        <w:textAlignment w:val="center"/>
        <w:rPr>
          <w:b w:val="0"/>
          <w:color w:val="000000" w:themeColor="text1"/>
          <w:sz w:val="16"/>
          <w:szCs w:val="16"/>
        </w:rPr>
      </w:pPr>
      <w:r w:rsidRPr="00BA5D79">
        <w:rPr>
          <w:rStyle w:val="FootnoteReference"/>
          <w:b w:val="0"/>
          <w:color w:val="000000" w:themeColor="text1"/>
          <w:sz w:val="16"/>
          <w:szCs w:val="16"/>
        </w:rPr>
        <w:footnoteRef/>
      </w:r>
      <w:r w:rsidRPr="00BA5D79">
        <w:rPr>
          <w:b w:val="0"/>
          <w:color w:val="000000" w:themeColor="text1"/>
          <w:sz w:val="16"/>
          <w:szCs w:val="16"/>
        </w:rPr>
        <w:t xml:space="preserve"> Beebe, T., et al. </w:t>
      </w:r>
      <w:r>
        <w:rPr>
          <w:b w:val="0"/>
          <w:color w:val="000000" w:themeColor="text1"/>
          <w:sz w:val="16"/>
          <w:szCs w:val="16"/>
        </w:rPr>
        <w:t xml:space="preserve">(2005). </w:t>
      </w:r>
      <w:r w:rsidRPr="00BA5D79">
        <w:rPr>
          <w:rStyle w:val="title-text"/>
          <w:b w:val="0"/>
          <w:color w:val="000000" w:themeColor="text1"/>
          <w:sz w:val="16"/>
          <w:szCs w:val="16"/>
        </w:rPr>
        <w:t>Mail surveys resulted in more reports of substance use than telephone surveys</w:t>
      </w:r>
      <w:r>
        <w:rPr>
          <w:rStyle w:val="title-text"/>
          <w:b w:val="0"/>
          <w:color w:val="000000" w:themeColor="text1"/>
          <w:sz w:val="16"/>
          <w:szCs w:val="16"/>
        </w:rPr>
        <w:t xml:space="preserve">. </w:t>
      </w:r>
      <w:r w:rsidRPr="00BA5D79">
        <w:rPr>
          <w:b w:val="0"/>
          <w:i/>
          <w:color w:val="000000" w:themeColor="text1"/>
          <w:sz w:val="16"/>
          <w:szCs w:val="16"/>
        </w:rPr>
        <w:t>Journal of Clinical Epidemiology</w:t>
      </w:r>
      <w:r w:rsidRPr="00BA5D79">
        <w:rPr>
          <w:b w:val="0"/>
          <w:color w:val="000000" w:themeColor="text1"/>
          <w:sz w:val="16"/>
          <w:szCs w:val="16"/>
        </w:rPr>
        <w:t>, Volume 58, Issue 4, Pages 421-424.</w:t>
      </w:r>
    </w:p>
  </w:footnote>
  <w:footnote w:id="3">
    <w:p w14:paraId="176E421C" w14:textId="0B742051" w:rsidR="00C67C41" w:rsidRPr="00C67C41" w:rsidRDefault="00C67C41">
      <w:pPr>
        <w:pStyle w:val="FootnoteText"/>
        <w:rPr>
          <w:sz w:val="20"/>
        </w:rPr>
      </w:pPr>
      <w:r w:rsidRPr="00C67C41">
        <w:rPr>
          <w:rStyle w:val="FootnoteReference"/>
          <w:sz w:val="20"/>
        </w:rPr>
        <w:footnoteRef/>
      </w:r>
      <w:r w:rsidRPr="00C67C41">
        <w:rPr>
          <w:color w:val="000000" w:themeColor="text1"/>
          <w:sz w:val="16"/>
          <w:szCs w:val="16"/>
        </w:rPr>
        <w:t>Singer, E and C</w:t>
      </w:r>
      <w:r w:rsidR="00BA5D79">
        <w:rPr>
          <w:color w:val="000000" w:themeColor="text1"/>
          <w:sz w:val="16"/>
          <w:szCs w:val="16"/>
        </w:rPr>
        <w:t xml:space="preserve">. </w:t>
      </w:r>
      <w:r w:rsidRPr="00C67C41">
        <w:rPr>
          <w:color w:val="000000" w:themeColor="text1"/>
          <w:sz w:val="16"/>
          <w:szCs w:val="16"/>
        </w:rPr>
        <w:t xml:space="preserve">Ye. (2013). The Use and Effects of Incentives in Surveys. </w:t>
      </w:r>
      <w:r w:rsidRPr="00C67C41">
        <w:rPr>
          <w:i/>
          <w:iCs/>
          <w:color w:val="000000" w:themeColor="text1"/>
          <w:sz w:val="16"/>
          <w:szCs w:val="16"/>
          <w:shd w:val="clear" w:color="auto" w:fill="FFFFFF"/>
        </w:rPr>
        <w:t>The ANNALS of the American Academy of Political and Social Science</w:t>
      </w:r>
      <w:r w:rsidRPr="00C67C41">
        <w:rPr>
          <w:color w:val="000000" w:themeColor="text1"/>
          <w:sz w:val="16"/>
          <w:szCs w:val="16"/>
          <w:shd w:val="clear" w:color="auto" w:fill="FFFFFF"/>
        </w:rPr>
        <w:t>, </w:t>
      </w:r>
      <w:r w:rsidRPr="00C67C41">
        <w:rPr>
          <w:i/>
          <w:iCs/>
          <w:color w:val="000000" w:themeColor="text1"/>
          <w:sz w:val="16"/>
          <w:szCs w:val="16"/>
          <w:shd w:val="clear" w:color="auto" w:fill="FFFFFF"/>
        </w:rPr>
        <w:t>645</w:t>
      </w:r>
      <w:r w:rsidRPr="00C67C41">
        <w:rPr>
          <w:color w:val="000000" w:themeColor="text1"/>
          <w:sz w:val="16"/>
          <w:szCs w:val="16"/>
          <w:shd w:val="clear" w:color="auto" w:fill="FFFFFF"/>
        </w:rPr>
        <w:t>(1), 112–14</w:t>
      </w:r>
      <w:r>
        <w:rPr>
          <w:color w:val="000000" w:themeColor="text1"/>
          <w:sz w:val="16"/>
          <w:szCs w:val="16"/>
          <w:shd w:val="clear" w:color="auto" w:fill="FFFFFF"/>
        </w:rPr>
        <w:t>1.</w:t>
      </w:r>
    </w:p>
  </w:footnote>
  <w:footnote w:id="4">
    <w:p w14:paraId="76FDF416" w14:textId="77777777" w:rsidR="00EC046C" w:rsidRPr="00C17E80" w:rsidRDefault="00EC046C" w:rsidP="00EC046C">
      <w:pPr>
        <w:pStyle w:val="FootnoteText"/>
        <w:rPr>
          <w:sz w:val="16"/>
          <w:szCs w:val="16"/>
        </w:rPr>
      </w:pPr>
      <w:r w:rsidRPr="00C17E80">
        <w:rPr>
          <w:rStyle w:val="FootnoteReference"/>
          <w:sz w:val="16"/>
          <w:szCs w:val="16"/>
        </w:rPr>
        <w:footnoteRef/>
      </w:r>
      <w:r w:rsidRPr="00C17E80">
        <w:rPr>
          <w:sz w:val="16"/>
          <w:szCs w:val="16"/>
        </w:rPr>
        <w:t xml:space="preserve"> For example, collections that collect PII in order to provide remuneration for participants of cognitive interviews will be submitted under this request.  All privacy act requirements will be met.</w:t>
      </w:r>
    </w:p>
  </w:footnote>
  <w:footnote w:id="5">
    <w:p w14:paraId="0789DD17" w14:textId="77777777" w:rsidR="00EC046C" w:rsidRPr="00C243D2" w:rsidRDefault="00EC046C" w:rsidP="00EC046C">
      <w:pPr>
        <w:pStyle w:val="FootnoteText"/>
      </w:pPr>
      <w:r w:rsidRPr="00C17E80">
        <w:rPr>
          <w:rStyle w:val="FootnoteReference"/>
          <w:sz w:val="16"/>
          <w:szCs w:val="16"/>
        </w:rPr>
        <w:footnoteRef/>
      </w:r>
      <w:r w:rsidRPr="00C17E80">
        <w:rPr>
          <w:sz w:val="16"/>
          <w:szCs w:val="16"/>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6701" w14:textId="77777777" w:rsidR="006F62A3" w:rsidRDefault="006F6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745"/>
    <w:multiLevelType w:val="hybridMultilevel"/>
    <w:tmpl w:val="C280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CE2ABF5C"/>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7FB62DA"/>
    <w:multiLevelType w:val="hybridMultilevel"/>
    <w:tmpl w:val="054E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66936"/>
    <w:multiLevelType w:val="hybridMultilevel"/>
    <w:tmpl w:val="60564956"/>
    <w:lvl w:ilvl="0" w:tplc="04090017">
      <w:start w:val="1"/>
      <w:numFmt w:val="lowerLetter"/>
      <w:lvlText w:val="%1)"/>
      <w:lvlJc w:val="left"/>
      <w:pPr>
        <w:tabs>
          <w:tab w:val="num" w:pos="1080"/>
        </w:tabs>
        <w:ind w:left="1080" w:hanging="360"/>
      </w:pPr>
      <w:rPr>
        <w:rFonts w:hint="default"/>
      </w:rPr>
    </w:lvl>
    <w:lvl w:ilvl="1" w:tplc="F10270E2">
      <w:start w:val="1"/>
      <w:numFmt w:val="decimal"/>
      <w:lvlText w:val="%2."/>
      <w:lvlJc w:val="left"/>
      <w:pPr>
        <w:tabs>
          <w:tab w:val="num" w:pos="1800"/>
        </w:tabs>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B19415D"/>
    <w:multiLevelType w:val="hybridMultilevel"/>
    <w:tmpl w:val="CE2ABF5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205A69"/>
    <w:multiLevelType w:val="hybridMultilevel"/>
    <w:tmpl w:val="5B761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4C4C1C"/>
    <w:multiLevelType w:val="hybridMultilevel"/>
    <w:tmpl w:val="11C622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nsid w:val="6D913255"/>
    <w:multiLevelType w:val="hybridMultilevel"/>
    <w:tmpl w:val="CE2ABF5C"/>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68930A1"/>
    <w:multiLevelType w:val="hybridMultilevel"/>
    <w:tmpl w:val="882A1D56"/>
    <w:lvl w:ilvl="0" w:tplc="A9B65B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29"/>
  </w:num>
  <w:num w:numId="4">
    <w:abstractNumId w:val="31"/>
  </w:num>
  <w:num w:numId="5">
    <w:abstractNumId w:val="6"/>
  </w:num>
  <w:num w:numId="6">
    <w:abstractNumId w:val="2"/>
  </w:num>
  <w:num w:numId="7">
    <w:abstractNumId w:val="13"/>
  </w:num>
  <w:num w:numId="8">
    <w:abstractNumId w:val="24"/>
  </w:num>
  <w:num w:numId="9">
    <w:abstractNumId w:val="14"/>
  </w:num>
  <w:num w:numId="10">
    <w:abstractNumId w:val="3"/>
  </w:num>
  <w:num w:numId="11">
    <w:abstractNumId w:val="9"/>
  </w:num>
  <w:num w:numId="12">
    <w:abstractNumId w:val="10"/>
  </w:num>
  <w:num w:numId="13">
    <w:abstractNumId w:val="1"/>
  </w:num>
  <w:num w:numId="14">
    <w:abstractNumId w:val="26"/>
  </w:num>
  <w:num w:numId="15">
    <w:abstractNumId w:val="22"/>
  </w:num>
  <w:num w:numId="16">
    <w:abstractNumId w:val="19"/>
  </w:num>
  <w:num w:numId="17">
    <w:abstractNumId w:val="7"/>
  </w:num>
  <w:num w:numId="18">
    <w:abstractNumId w:val="8"/>
  </w:num>
  <w:num w:numId="19">
    <w:abstractNumId w:val="4"/>
  </w:num>
  <w:num w:numId="20">
    <w:abstractNumId w:val="27"/>
  </w:num>
  <w:num w:numId="21">
    <w:abstractNumId w:val="20"/>
  </w:num>
  <w:num w:numId="22">
    <w:abstractNumId w:val="11"/>
  </w:num>
  <w:num w:numId="23">
    <w:abstractNumId w:val="16"/>
  </w:num>
  <w:num w:numId="24">
    <w:abstractNumId w:val="21"/>
  </w:num>
  <w:num w:numId="25">
    <w:abstractNumId w:val="12"/>
  </w:num>
  <w:num w:numId="26">
    <w:abstractNumId w:val="23"/>
  </w:num>
  <w:num w:numId="27">
    <w:abstractNumId w:val="17"/>
  </w:num>
  <w:num w:numId="28">
    <w:abstractNumId w:val="25"/>
  </w:num>
  <w:num w:numId="29">
    <w:abstractNumId w:val="5"/>
  </w:num>
  <w:num w:numId="30">
    <w:abstractNumId w:val="18"/>
  </w:num>
  <w:num w:numId="31">
    <w:abstractNumId w:val="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5777"/>
    <w:rsid w:val="0001624D"/>
    <w:rsid w:val="0001795A"/>
    <w:rsid w:val="00023A57"/>
    <w:rsid w:val="000343D4"/>
    <w:rsid w:val="0004153B"/>
    <w:rsid w:val="00047A64"/>
    <w:rsid w:val="000536F6"/>
    <w:rsid w:val="00053A3B"/>
    <w:rsid w:val="00054A94"/>
    <w:rsid w:val="000611EC"/>
    <w:rsid w:val="00067329"/>
    <w:rsid w:val="0008717A"/>
    <w:rsid w:val="000A4E4F"/>
    <w:rsid w:val="000B152B"/>
    <w:rsid w:val="000B2838"/>
    <w:rsid w:val="000D44CA"/>
    <w:rsid w:val="000E143D"/>
    <w:rsid w:val="000E200B"/>
    <w:rsid w:val="000F0402"/>
    <w:rsid w:val="000F342B"/>
    <w:rsid w:val="000F68BE"/>
    <w:rsid w:val="001117AC"/>
    <w:rsid w:val="00131D6C"/>
    <w:rsid w:val="001927A4"/>
    <w:rsid w:val="00194AC6"/>
    <w:rsid w:val="001A23B0"/>
    <w:rsid w:val="001A25CC"/>
    <w:rsid w:val="001B0AAA"/>
    <w:rsid w:val="001B7567"/>
    <w:rsid w:val="001C093F"/>
    <w:rsid w:val="001C163D"/>
    <w:rsid w:val="001C3061"/>
    <w:rsid w:val="001C39F7"/>
    <w:rsid w:val="001D40BB"/>
    <w:rsid w:val="001E11A3"/>
    <w:rsid w:val="001E58E1"/>
    <w:rsid w:val="00212532"/>
    <w:rsid w:val="00214861"/>
    <w:rsid w:val="00230ADB"/>
    <w:rsid w:val="00235C2F"/>
    <w:rsid w:val="00236246"/>
    <w:rsid w:val="00237B48"/>
    <w:rsid w:val="0024521E"/>
    <w:rsid w:val="00246D10"/>
    <w:rsid w:val="00246D9F"/>
    <w:rsid w:val="002534A3"/>
    <w:rsid w:val="00254571"/>
    <w:rsid w:val="00263C3D"/>
    <w:rsid w:val="00264050"/>
    <w:rsid w:val="002652C1"/>
    <w:rsid w:val="002669A5"/>
    <w:rsid w:val="00274D0B"/>
    <w:rsid w:val="002760F6"/>
    <w:rsid w:val="002B052D"/>
    <w:rsid w:val="002B34CD"/>
    <w:rsid w:val="002B3C95"/>
    <w:rsid w:val="002D0B92"/>
    <w:rsid w:val="0030556A"/>
    <w:rsid w:val="003132EC"/>
    <w:rsid w:val="003169A8"/>
    <w:rsid w:val="00320825"/>
    <w:rsid w:val="0033589F"/>
    <w:rsid w:val="00363FA0"/>
    <w:rsid w:val="00365E47"/>
    <w:rsid w:val="00394E88"/>
    <w:rsid w:val="003B2971"/>
    <w:rsid w:val="003C67C0"/>
    <w:rsid w:val="003D1F3A"/>
    <w:rsid w:val="003D5BBE"/>
    <w:rsid w:val="003E3C61"/>
    <w:rsid w:val="003F1C5B"/>
    <w:rsid w:val="0041148E"/>
    <w:rsid w:val="00416F31"/>
    <w:rsid w:val="00434E33"/>
    <w:rsid w:val="00441434"/>
    <w:rsid w:val="0045264C"/>
    <w:rsid w:val="0047045F"/>
    <w:rsid w:val="00481BB9"/>
    <w:rsid w:val="004876EC"/>
    <w:rsid w:val="00492233"/>
    <w:rsid w:val="00493C8A"/>
    <w:rsid w:val="004A0291"/>
    <w:rsid w:val="004A5039"/>
    <w:rsid w:val="004D2F32"/>
    <w:rsid w:val="004D6E14"/>
    <w:rsid w:val="005009B0"/>
    <w:rsid w:val="005041B8"/>
    <w:rsid w:val="005056AB"/>
    <w:rsid w:val="00506686"/>
    <w:rsid w:val="00514377"/>
    <w:rsid w:val="0051455F"/>
    <w:rsid w:val="00547267"/>
    <w:rsid w:val="005500FD"/>
    <w:rsid w:val="005545CA"/>
    <w:rsid w:val="005679FA"/>
    <w:rsid w:val="00592D4A"/>
    <w:rsid w:val="005A0C82"/>
    <w:rsid w:val="005A1006"/>
    <w:rsid w:val="005C61AE"/>
    <w:rsid w:val="005D1155"/>
    <w:rsid w:val="005D40F1"/>
    <w:rsid w:val="005E067E"/>
    <w:rsid w:val="005E714A"/>
    <w:rsid w:val="005F2FBD"/>
    <w:rsid w:val="005F693D"/>
    <w:rsid w:val="00610649"/>
    <w:rsid w:val="006140A0"/>
    <w:rsid w:val="0063107E"/>
    <w:rsid w:val="00636621"/>
    <w:rsid w:val="00642B49"/>
    <w:rsid w:val="00664F68"/>
    <w:rsid w:val="00666E9E"/>
    <w:rsid w:val="006760E1"/>
    <w:rsid w:val="0068072A"/>
    <w:rsid w:val="006832D9"/>
    <w:rsid w:val="00687692"/>
    <w:rsid w:val="00691C61"/>
    <w:rsid w:val="0069403B"/>
    <w:rsid w:val="006B18B6"/>
    <w:rsid w:val="006B3769"/>
    <w:rsid w:val="006C27EA"/>
    <w:rsid w:val="006D2A9A"/>
    <w:rsid w:val="006E557A"/>
    <w:rsid w:val="006E6834"/>
    <w:rsid w:val="006F3DDE"/>
    <w:rsid w:val="006F62A3"/>
    <w:rsid w:val="00701121"/>
    <w:rsid w:val="007020E8"/>
    <w:rsid w:val="00704678"/>
    <w:rsid w:val="00704821"/>
    <w:rsid w:val="00713404"/>
    <w:rsid w:val="00725828"/>
    <w:rsid w:val="00725CDC"/>
    <w:rsid w:val="0073163F"/>
    <w:rsid w:val="007373B8"/>
    <w:rsid w:val="00741B94"/>
    <w:rsid w:val="007425E7"/>
    <w:rsid w:val="00746EAA"/>
    <w:rsid w:val="007618C3"/>
    <w:rsid w:val="00774CFF"/>
    <w:rsid w:val="00780B1D"/>
    <w:rsid w:val="00782137"/>
    <w:rsid w:val="00797000"/>
    <w:rsid w:val="007C33A1"/>
    <w:rsid w:val="007D132B"/>
    <w:rsid w:val="007E239B"/>
    <w:rsid w:val="007E7499"/>
    <w:rsid w:val="007F11A3"/>
    <w:rsid w:val="007F6316"/>
    <w:rsid w:val="007F6689"/>
    <w:rsid w:val="007F7080"/>
    <w:rsid w:val="00802607"/>
    <w:rsid w:val="008101A5"/>
    <w:rsid w:val="00810AA0"/>
    <w:rsid w:val="00814FF3"/>
    <w:rsid w:val="00817C82"/>
    <w:rsid w:val="00822664"/>
    <w:rsid w:val="00843796"/>
    <w:rsid w:val="008612AB"/>
    <w:rsid w:val="008662D3"/>
    <w:rsid w:val="00875362"/>
    <w:rsid w:val="0088109A"/>
    <w:rsid w:val="008942BB"/>
    <w:rsid w:val="00895229"/>
    <w:rsid w:val="008B2EB3"/>
    <w:rsid w:val="008B688A"/>
    <w:rsid w:val="008F0203"/>
    <w:rsid w:val="008F085C"/>
    <w:rsid w:val="008F0946"/>
    <w:rsid w:val="008F50D4"/>
    <w:rsid w:val="009239AA"/>
    <w:rsid w:val="00925AE2"/>
    <w:rsid w:val="00935ADA"/>
    <w:rsid w:val="00946B6C"/>
    <w:rsid w:val="00955A71"/>
    <w:rsid w:val="0096108F"/>
    <w:rsid w:val="0096591A"/>
    <w:rsid w:val="009715B4"/>
    <w:rsid w:val="009C0EFE"/>
    <w:rsid w:val="009C13B9"/>
    <w:rsid w:val="009C20FF"/>
    <w:rsid w:val="009C2D92"/>
    <w:rsid w:val="009D01A2"/>
    <w:rsid w:val="009E1431"/>
    <w:rsid w:val="009F5923"/>
    <w:rsid w:val="009F6E05"/>
    <w:rsid w:val="00A06AB0"/>
    <w:rsid w:val="00A23D54"/>
    <w:rsid w:val="00A24EB3"/>
    <w:rsid w:val="00A403BB"/>
    <w:rsid w:val="00A674DF"/>
    <w:rsid w:val="00A83AA6"/>
    <w:rsid w:val="00A934D6"/>
    <w:rsid w:val="00AA7BC5"/>
    <w:rsid w:val="00AB322F"/>
    <w:rsid w:val="00AD3234"/>
    <w:rsid w:val="00AE1809"/>
    <w:rsid w:val="00AF1F96"/>
    <w:rsid w:val="00AF744F"/>
    <w:rsid w:val="00B609E4"/>
    <w:rsid w:val="00B6243F"/>
    <w:rsid w:val="00B80D76"/>
    <w:rsid w:val="00B832B2"/>
    <w:rsid w:val="00B97662"/>
    <w:rsid w:val="00BA2105"/>
    <w:rsid w:val="00BA5D79"/>
    <w:rsid w:val="00BA7E06"/>
    <w:rsid w:val="00BB43B5"/>
    <w:rsid w:val="00BB6219"/>
    <w:rsid w:val="00BC11C4"/>
    <w:rsid w:val="00BD290F"/>
    <w:rsid w:val="00BD712B"/>
    <w:rsid w:val="00C12D14"/>
    <w:rsid w:val="00C14CC4"/>
    <w:rsid w:val="00C16FE6"/>
    <w:rsid w:val="00C26B7F"/>
    <w:rsid w:val="00C30E33"/>
    <w:rsid w:val="00C33C52"/>
    <w:rsid w:val="00C37679"/>
    <w:rsid w:val="00C40D8B"/>
    <w:rsid w:val="00C56716"/>
    <w:rsid w:val="00C60BB8"/>
    <w:rsid w:val="00C67C41"/>
    <w:rsid w:val="00C83E22"/>
    <w:rsid w:val="00C8407A"/>
    <w:rsid w:val="00C8488C"/>
    <w:rsid w:val="00C858C2"/>
    <w:rsid w:val="00C86E91"/>
    <w:rsid w:val="00CA2650"/>
    <w:rsid w:val="00CA6309"/>
    <w:rsid w:val="00CB1078"/>
    <w:rsid w:val="00CB4858"/>
    <w:rsid w:val="00CC6FAF"/>
    <w:rsid w:val="00CF5FC3"/>
    <w:rsid w:val="00CF6542"/>
    <w:rsid w:val="00D21247"/>
    <w:rsid w:val="00D24698"/>
    <w:rsid w:val="00D360FE"/>
    <w:rsid w:val="00D50EB8"/>
    <w:rsid w:val="00D57FA7"/>
    <w:rsid w:val="00D6383F"/>
    <w:rsid w:val="00D96CE5"/>
    <w:rsid w:val="00DB59D0"/>
    <w:rsid w:val="00DC33D3"/>
    <w:rsid w:val="00DE0255"/>
    <w:rsid w:val="00DE09EC"/>
    <w:rsid w:val="00E26329"/>
    <w:rsid w:val="00E40B50"/>
    <w:rsid w:val="00E40F8F"/>
    <w:rsid w:val="00E40FAA"/>
    <w:rsid w:val="00E50293"/>
    <w:rsid w:val="00E64A1F"/>
    <w:rsid w:val="00E65FFC"/>
    <w:rsid w:val="00E744EA"/>
    <w:rsid w:val="00E80951"/>
    <w:rsid w:val="00E81779"/>
    <w:rsid w:val="00E86CC6"/>
    <w:rsid w:val="00E946A3"/>
    <w:rsid w:val="00EB56B3"/>
    <w:rsid w:val="00EC046C"/>
    <w:rsid w:val="00EC65E0"/>
    <w:rsid w:val="00ED6492"/>
    <w:rsid w:val="00EE67BF"/>
    <w:rsid w:val="00EF2095"/>
    <w:rsid w:val="00F05633"/>
    <w:rsid w:val="00F06866"/>
    <w:rsid w:val="00F104C7"/>
    <w:rsid w:val="00F15956"/>
    <w:rsid w:val="00F23FDF"/>
    <w:rsid w:val="00F24CFC"/>
    <w:rsid w:val="00F3170F"/>
    <w:rsid w:val="00F34BB0"/>
    <w:rsid w:val="00F42EF5"/>
    <w:rsid w:val="00F44471"/>
    <w:rsid w:val="00F54E3D"/>
    <w:rsid w:val="00F60EE9"/>
    <w:rsid w:val="00F6592E"/>
    <w:rsid w:val="00F976B0"/>
    <w:rsid w:val="00F97E31"/>
    <w:rsid w:val="00FA6DE7"/>
    <w:rsid w:val="00FC0A8E"/>
    <w:rsid w:val="00FC2CE2"/>
    <w:rsid w:val="00FE2FA6"/>
    <w:rsid w:val="00FE3DF2"/>
    <w:rsid w:val="00FF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7B8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741B94"/>
    <w:pPr>
      <w:autoSpaceDE w:val="0"/>
      <w:autoSpaceDN w:val="0"/>
      <w:adjustRightInd w:val="0"/>
    </w:pPr>
    <w:rPr>
      <w:lang w:bidi="he-IL"/>
    </w:rPr>
  </w:style>
  <w:style w:type="character" w:customStyle="1" w:styleId="FootnoteTextChar">
    <w:name w:val="Footnote Text Char"/>
    <w:link w:val="FootnoteText"/>
    <w:rsid w:val="00741B94"/>
    <w:rPr>
      <w:sz w:val="24"/>
      <w:szCs w:val="24"/>
      <w:lang w:bidi="he-IL"/>
    </w:rPr>
  </w:style>
  <w:style w:type="character" w:styleId="FootnoteReference">
    <w:name w:val="footnote reference"/>
    <w:rsid w:val="00741B94"/>
    <w:rPr>
      <w:vertAlign w:val="superscript"/>
    </w:rPr>
  </w:style>
  <w:style w:type="character" w:styleId="Hyperlink">
    <w:name w:val="Hyperlink"/>
    <w:rsid w:val="00774CFF"/>
    <w:rPr>
      <w:color w:val="0000FF"/>
      <w:u w:val="single"/>
    </w:rPr>
  </w:style>
  <w:style w:type="character" w:customStyle="1" w:styleId="Heading1Char">
    <w:name w:val="Heading 1 Char"/>
    <w:basedOn w:val="DefaultParagraphFont"/>
    <w:link w:val="Heading1"/>
    <w:rsid w:val="00725CDC"/>
    <w:rPr>
      <w:b/>
      <w:bCs/>
      <w:sz w:val="24"/>
      <w:szCs w:val="24"/>
    </w:rPr>
  </w:style>
  <w:style w:type="paragraph" w:customStyle="1" w:styleId="P1-StandPara">
    <w:name w:val="P1-Stand Para"/>
    <w:uiPriority w:val="99"/>
    <w:rsid w:val="00725CDC"/>
    <w:pPr>
      <w:spacing w:line="360" w:lineRule="atLeast"/>
      <w:ind w:firstLine="1152"/>
      <w:jc w:val="both"/>
    </w:pPr>
    <w:rPr>
      <w:sz w:val="22"/>
    </w:rPr>
  </w:style>
  <w:style w:type="character" w:styleId="Emphasis">
    <w:name w:val="Emphasis"/>
    <w:basedOn w:val="DefaultParagraphFont"/>
    <w:uiPriority w:val="20"/>
    <w:qFormat/>
    <w:rsid w:val="00C67C41"/>
    <w:rPr>
      <w:i/>
      <w:iCs/>
    </w:rPr>
  </w:style>
  <w:style w:type="character" w:customStyle="1" w:styleId="title-text">
    <w:name w:val="title-text"/>
    <w:basedOn w:val="DefaultParagraphFont"/>
    <w:rsid w:val="00BA5D79"/>
  </w:style>
  <w:style w:type="character" w:customStyle="1" w:styleId="UnresolvedMention">
    <w:name w:val="Unresolved Mention"/>
    <w:basedOn w:val="DefaultParagraphFont"/>
    <w:uiPriority w:val="99"/>
    <w:semiHidden/>
    <w:unhideWhenUsed/>
    <w:rsid w:val="00B609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741B94"/>
    <w:pPr>
      <w:autoSpaceDE w:val="0"/>
      <w:autoSpaceDN w:val="0"/>
      <w:adjustRightInd w:val="0"/>
    </w:pPr>
    <w:rPr>
      <w:lang w:bidi="he-IL"/>
    </w:rPr>
  </w:style>
  <w:style w:type="character" w:customStyle="1" w:styleId="FootnoteTextChar">
    <w:name w:val="Footnote Text Char"/>
    <w:link w:val="FootnoteText"/>
    <w:rsid w:val="00741B94"/>
    <w:rPr>
      <w:sz w:val="24"/>
      <w:szCs w:val="24"/>
      <w:lang w:bidi="he-IL"/>
    </w:rPr>
  </w:style>
  <w:style w:type="character" w:styleId="FootnoteReference">
    <w:name w:val="footnote reference"/>
    <w:rsid w:val="00741B94"/>
    <w:rPr>
      <w:vertAlign w:val="superscript"/>
    </w:rPr>
  </w:style>
  <w:style w:type="character" w:styleId="Hyperlink">
    <w:name w:val="Hyperlink"/>
    <w:rsid w:val="00774CFF"/>
    <w:rPr>
      <w:color w:val="0000FF"/>
      <w:u w:val="single"/>
    </w:rPr>
  </w:style>
  <w:style w:type="character" w:customStyle="1" w:styleId="Heading1Char">
    <w:name w:val="Heading 1 Char"/>
    <w:basedOn w:val="DefaultParagraphFont"/>
    <w:link w:val="Heading1"/>
    <w:rsid w:val="00725CDC"/>
    <w:rPr>
      <w:b/>
      <w:bCs/>
      <w:sz w:val="24"/>
      <w:szCs w:val="24"/>
    </w:rPr>
  </w:style>
  <w:style w:type="paragraph" w:customStyle="1" w:styleId="P1-StandPara">
    <w:name w:val="P1-Stand Para"/>
    <w:uiPriority w:val="99"/>
    <w:rsid w:val="00725CDC"/>
    <w:pPr>
      <w:spacing w:line="360" w:lineRule="atLeast"/>
      <w:ind w:firstLine="1152"/>
      <w:jc w:val="both"/>
    </w:pPr>
    <w:rPr>
      <w:sz w:val="22"/>
    </w:rPr>
  </w:style>
  <w:style w:type="character" w:styleId="Emphasis">
    <w:name w:val="Emphasis"/>
    <w:basedOn w:val="DefaultParagraphFont"/>
    <w:uiPriority w:val="20"/>
    <w:qFormat/>
    <w:rsid w:val="00C67C41"/>
    <w:rPr>
      <w:i/>
      <w:iCs/>
    </w:rPr>
  </w:style>
  <w:style w:type="character" w:customStyle="1" w:styleId="title-text">
    <w:name w:val="title-text"/>
    <w:basedOn w:val="DefaultParagraphFont"/>
    <w:rsid w:val="00BA5D79"/>
  </w:style>
  <w:style w:type="character" w:customStyle="1" w:styleId="UnresolvedMention">
    <w:name w:val="Unresolved Mention"/>
    <w:basedOn w:val="DefaultParagraphFont"/>
    <w:uiPriority w:val="99"/>
    <w:semiHidden/>
    <w:unhideWhenUsed/>
    <w:rsid w:val="00B60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20749">
      <w:bodyDiv w:val="1"/>
      <w:marLeft w:val="0"/>
      <w:marRight w:val="0"/>
      <w:marTop w:val="0"/>
      <w:marBottom w:val="0"/>
      <w:divBdr>
        <w:top w:val="none" w:sz="0" w:space="0" w:color="auto"/>
        <w:left w:val="none" w:sz="0" w:space="0" w:color="auto"/>
        <w:bottom w:val="none" w:sz="0" w:space="0" w:color="auto"/>
        <w:right w:val="none" w:sz="0" w:space="0" w:color="auto"/>
      </w:divBdr>
    </w:div>
    <w:div w:id="741607488">
      <w:bodyDiv w:val="1"/>
      <w:marLeft w:val="0"/>
      <w:marRight w:val="0"/>
      <w:marTop w:val="0"/>
      <w:marBottom w:val="0"/>
      <w:divBdr>
        <w:top w:val="none" w:sz="0" w:space="0" w:color="auto"/>
        <w:left w:val="none" w:sz="0" w:space="0" w:color="auto"/>
        <w:bottom w:val="none" w:sz="0" w:space="0" w:color="auto"/>
        <w:right w:val="none" w:sz="0" w:space="0" w:color="auto"/>
      </w:divBdr>
    </w:div>
    <w:div w:id="1483355520">
      <w:bodyDiv w:val="1"/>
      <w:marLeft w:val="0"/>
      <w:marRight w:val="0"/>
      <w:marTop w:val="0"/>
      <w:marBottom w:val="0"/>
      <w:divBdr>
        <w:top w:val="none" w:sz="0" w:space="0" w:color="auto"/>
        <w:left w:val="none" w:sz="0" w:space="0" w:color="auto"/>
        <w:bottom w:val="none" w:sz="0" w:space="0" w:color="auto"/>
        <w:right w:val="none" w:sz="0" w:space="0" w:color="auto"/>
      </w:divBdr>
    </w:div>
    <w:div w:id="165780244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wa.Carlton@fda.hh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imberly.Smith1@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FBEF3-4C49-46BD-A2A2-FE2AEF2B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2019-09-19T15:36:00Z</cp:lastPrinted>
  <dcterms:created xsi:type="dcterms:W3CDTF">2019-12-12T20:54:00Z</dcterms:created>
  <dcterms:modified xsi:type="dcterms:W3CDTF">2019-12-12T20:54:00Z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