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6D257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01624D" w:rsidRPr="0001624D">
        <w:rPr>
          <w:sz w:val="28"/>
        </w:rPr>
        <w:t>Generic Clearance for Quantitative Testing for the Development of FDA Communications</w:t>
      </w:r>
      <w:r w:rsidRPr="00F06866">
        <w:rPr>
          <w:sz w:val="28"/>
        </w:rPr>
        <w:t>”</w:t>
      </w:r>
      <w:r w:rsidR="00A23D54">
        <w:rPr>
          <w:sz w:val="28"/>
        </w:rPr>
        <w:br/>
      </w:r>
      <w:r>
        <w:rPr>
          <w:sz w:val="28"/>
        </w:rPr>
        <w:t xml:space="preserve"> (OMB Control Number: </w:t>
      </w:r>
      <w:r w:rsidR="006760E1" w:rsidRPr="006760E1">
        <w:rPr>
          <w:sz w:val="28"/>
        </w:rPr>
        <w:t>0910-0865</w:t>
      </w:r>
      <w:r>
        <w:rPr>
          <w:sz w:val="28"/>
        </w:rPr>
        <w:t>)</w:t>
      </w:r>
    </w:p>
    <w:p w14:paraId="36E03084" w14:textId="77777777" w:rsidR="001B0AAA" w:rsidRDefault="00A23D54">
      <w:r>
        <w:rPr>
          <w:b/>
        </w:rPr>
        <w:br/>
      </w:r>
      <w:r w:rsidR="00385E9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D40071" wp14:editId="4B21EA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8C5F8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</w:t>
      </w:r>
      <w:r w:rsidR="005E714A" w:rsidRPr="00B74594">
        <w:rPr>
          <w:b/>
        </w:rPr>
        <w:t>:</w:t>
      </w:r>
      <w:r w:rsidR="005E714A" w:rsidRPr="00B74594">
        <w:t xml:space="preserve"> </w:t>
      </w:r>
      <w:r w:rsidR="009F4425" w:rsidRPr="00B74594">
        <w:t>Pre-/Post-Training Test for the Development and Improvement of FDA International On-Farm Readiness Review (OFRR) Training</w:t>
      </w:r>
      <w:r w:rsidR="009F4425">
        <w:t xml:space="preserve"> </w:t>
      </w:r>
    </w:p>
    <w:p w14:paraId="51B21AC8" w14:textId="77777777" w:rsidR="00C8488C" w:rsidRDefault="00C8488C"/>
    <w:p w14:paraId="38BA5AE6" w14:textId="77777777" w:rsidR="009F4425" w:rsidRDefault="00810AA0" w:rsidP="005A0C82">
      <w:pPr>
        <w:numPr>
          <w:ilvl w:val="0"/>
          <w:numId w:val="19"/>
        </w:numPr>
      </w:pPr>
      <w:r w:rsidRPr="009F4425">
        <w:rPr>
          <w:b/>
        </w:rPr>
        <w:t>STATEMENT OF NEED</w:t>
      </w:r>
    </w:p>
    <w:p w14:paraId="603E0723" w14:textId="77777777" w:rsidR="009F4425" w:rsidRDefault="009F4425" w:rsidP="009F4425">
      <w:pPr>
        <w:ind w:left="360"/>
        <w:rPr>
          <w:b/>
        </w:rPr>
      </w:pPr>
    </w:p>
    <w:p w14:paraId="46A4C4E6" w14:textId="49320B29" w:rsidR="009F4425" w:rsidRPr="00B74594" w:rsidRDefault="009F4425" w:rsidP="009F4425">
      <w:pPr>
        <w:pStyle w:val="ListParagraph"/>
        <w:ind w:left="360"/>
      </w:pPr>
      <w:r w:rsidRPr="00B74594">
        <w:t>The FDA Food Safety Modernization Act (FSMA) was signed into law on January 4, 2011.</w:t>
      </w:r>
      <w:r w:rsidR="00C24B5B">
        <w:t xml:space="preserve"> </w:t>
      </w:r>
      <w:r w:rsidRPr="00B74594">
        <w:t xml:space="preserve"> It aims to ensure the U.S. food supply is safe by shifting the focus from responding to contamination to preventing it. </w:t>
      </w:r>
      <w:r w:rsidR="00C24B5B">
        <w:t xml:space="preserve"> </w:t>
      </w:r>
      <w:r w:rsidRPr="00B74594">
        <w:t xml:space="preserve">As part of the agency’s ongoing efforts to implement FSMA, the Produce Safety Rule (PSR) established science-based minimum standards for the safe growing, harvesting, packing, and holding of fruits and vegetables grown for human consumption. </w:t>
      </w:r>
      <w:r w:rsidR="00C24B5B">
        <w:t xml:space="preserve"> </w:t>
      </w:r>
      <w:r w:rsidRPr="00B74594">
        <w:t xml:space="preserve">The final rule went into effect January 26, 2016. </w:t>
      </w:r>
      <w:r w:rsidR="00C24B5B">
        <w:t xml:space="preserve"> </w:t>
      </w:r>
      <w:r w:rsidRPr="00B74594">
        <w:t>The standards apply to fresh produce grown domestically, as well as fresh produce imported to the United States from foreign countries.</w:t>
      </w:r>
    </w:p>
    <w:p w14:paraId="3A2276B5" w14:textId="77777777" w:rsidR="009F4425" w:rsidRPr="0053456D" w:rsidRDefault="009F4425" w:rsidP="009F4425">
      <w:pPr>
        <w:pStyle w:val="ListParagraph"/>
        <w:ind w:left="360"/>
      </w:pPr>
    </w:p>
    <w:p w14:paraId="5730DEB6" w14:textId="172549EE" w:rsidR="009F4425" w:rsidRPr="0053456D" w:rsidRDefault="009F4425" w:rsidP="009F4425">
      <w:pPr>
        <w:pStyle w:val="ListParagraph"/>
        <w:ind w:left="360"/>
      </w:pPr>
      <w:r w:rsidRPr="00B74594">
        <w:t>The FDA has established the Produce Safety Network to support the efforts of farmers and other key stakeholders with complying with the Produce Safety Rule.</w:t>
      </w:r>
      <w:r w:rsidR="00C24B5B">
        <w:t xml:space="preserve"> </w:t>
      </w:r>
      <w:r w:rsidRPr="00B74594">
        <w:t xml:space="preserve"> One of the resources available to farmers is the On-Farm Readiness Review (</w:t>
      </w:r>
      <w:r w:rsidRPr="0053456D">
        <w:t>OFRR) program.</w:t>
      </w:r>
      <w:r w:rsidR="00C24B5B">
        <w:t xml:space="preserve"> </w:t>
      </w:r>
      <w:r w:rsidRPr="0053456D">
        <w:t xml:space="preserve"> </w:t>
      </w:r>
      <w:r>
        <w:t>OFRR</w:t>
      </w:r>
      <w:r w:rsidRPr="0053456D">
        <w:t xml:space="preserve"> provide farmers real-time feedback on their current operations and facilities. </w:t>
      </w:r>
      <w:r w:rsidR="00C24B5B">
        <w:t xml:space="preserve"> </w:t>
      </w:r>
      <w:r w:rsidRPr="0053456D">
        <w:t xml:space="preserve">These reviews can help farmers address any areas in need of improvement before a regulatory inspection takes place in the future.  As part of this program for advance, readiness reviews, food safety professionals conduct voluntary, non-regulatory visits to farms and packinghouses. </w:t>
      </w:r>
      <w:r w:rsidR="00C24B5B">
        <w:t xml:space="preserve"> </w:t>
      </w:r>
      <w:r w:rsidRPr="0053456D">
        <w:t xml:space="preserve">Their goal is to observe current practices and provide feedback on how those practices can be strengthened to better align with regulatory expectations. </w:t>
      </w:r>
      <w:r w:rsidR="00C24B5B">
        <w:t xml:space="preserve"> </w:t>
      </w:r>
      <w:r w:rsidRPr="0053456D">
        <w:t xml:space="preserve">These reviews are not inspections. </w:t>
      </w:r>
    </w:p>
    <w:p w14:paraId="08DCC79C" w14:textId="77777777" w:rsidR="009F4425" w:rsidRPr="0053456D" w:rsidRDefault="009F4425" w:rsidP="009F4425">
      <w:pPr>
        <w:pStyle w:val="ListParagraph"/>
        <w:ind w:left="360"/>
      </w:pPr>
    </w:p>
    <w:p w14:paraId="18E256D5" w14:textId="582E2FA5" w:rsidR="00824A55" w:rsidRDefault="009F4425" w:rsidP="009F4425">
      <w:pPr>
        <w:pStyle w:val="ListParagraph"/>
        <w:ind w:left="360"/>
        <w:rPr>
          <w:color w:val="2E74B5"/>
        </w:rPr>
      </w:pPr>
      <w:r w:rsidRPr="0053456D">
        <w:t>Given the significant volume of imported produce, FDA uses this On-Farm Readiness Review</w:t>
      </w:r>
      <w:r>
        <w:t xml:space="preserve"> </w:t>
      </w:r>
      <w:r w:rsidRPr="0053456D">
        <w:t>tool for farms exporting fresh produce to the United States, to support farmers in achieving compliance with the PSR.</w:t>
      </w:r>
      <w:r>
        <w:t xml:space="preserve"> </w:t>
      </w:r>
      <w:r w:rsidR="00C24B5B">
        <w:t xml:space="preserve"> </w:t>
      </w:r>
      <w:r w:rsidRPr="0053456D">
        <w:t xml:space="preserve">In Latin America, FDA is providing </w:t>
      </w:r>
      <w:r>
        <w:t>OFRR</w:t>
      </w:r>
      <w:r w:rsidRPr="0053456D">
        <w:t xml:space="preserve"> training to foreign government personnel and university personnel. </w:t>
      </w:r>
      <w:r w:rsidR="00C24B5B">
        <w:t xml:space="preserve"> </w:t>
      </w:r>
      <w:r w:rsidRPr="00B74594">
        <w:t>The training</w:t>
      </w:r>
      <w:r w:rsidR="00B40419" w:rsidRPr="00B74594">
        <w:t xml:space="preserve"> </w:t>
      </w:r>
      <w:r w:rsidR="00824A55" w:rsidRPr="00B74594">
        <w:t xml:space="preserve">uses traditional classroom training, </w:t>
      </w:r>
      <w:r w:rsidR="00AF2C10" w:rsidRPr="00B74594">
        <w:t>and</w:t>
      </w:r>
      <w:r w:rsidR="00824A55" w:rsidRPr="00B74594">
        <w:t xml:space="preserve"> </w:t>
      </w:r>
      <w:r w:rsidR="00AF2C10" w:rsidRPr="00B74594">
        <w:t>on-</w:t>
      </w:r>
      <w:r w:rsidR="00824A55" w:rsidRPr="00B74594">
        <w:t xml:space="preserve">farm </w:t>
      </w:r>
      <w:r w:rsidR="00AF2C10" w:rsidRPr="00B74594">
        <w:t xml:space="preserve">training, </w:t>
      </w:r>
      <w:r w:rsidR="00824A55" w:rsidRPr="00B74594">
        <w:t xml:space="preserve">to inform and educate foreign government and university personnel about </w:t>
      </w:r>
      <w:r w:rsidR="00AF2C10" w:rsidRPr="00B74594">
        <w:t xml:space="preserve">the </w:t>
      </w:r>
      <w:r w:rsidR="00824A55" w:rsidRPr="00B74594">
        <w:t>PSR</w:t>
      </w:r>
      <w:r w:rsidR="00AF2C10" w:rsidRPr="00B74594">
        <w:t>,</w:t>
      </w:r>
      <w:r w:rsidR="00824A55" w:rsidRPr="00B74594">
        <w:t xml:space="preserve"> and how to provide OFRR</w:t>
      </w:r>
      <w:r w:rsidR="00AF2C10" w:rsidRPr="00B74594">
        <w:t>s</w:t>
      </w:r>
      <w:r w:rsidR="00824A55" w:rsidRPr="00B74594">
        <w:t xml:space="preserve"> to farmers</w:t>
      </w:r>
      <w:r w:rsidR="00AF2C10" w:rsidRPr="00B74594">
        <w:t>.</w:t>
      </w:r>
    </w:p>
    <w:p w14:paraId="3E29F4D5" w14:textId="77777777" w:rsidR="009F4425" w:rsidRPr="0053456D" w:rsidRDefault="009F4425" w:rsidP="00824A55"/>
    <w:p w14:paraId="6AA265D8" w14:textId="65156579" w:rsidR="00F90F07" w:rsidRPr="00B74594" w:rsidRDefault="00AF2C10" w:rsidP="00824A55">
      <w:pPr>
        <w:ind w:left="360"/>
      </w:pPr>
      <w:r w:rsidRPr="00B74594">
        <w:t xml:space="preserve">FDA developed a Pre-/Post-Training Test, in a survey format, to support the delivery of </w:t>
      </w:r>
      <w:r w:rsidR="00B40419" w:rsidRPr="00B74594">
        <w:t>FDA</w:t>
      </w:r>
      <w:r w:rsidRPr="00B74594">
        <w:t>-sponsored</w:t>
      </w:r>
      <w:r w:rsidR="00B40419" w:rsidRPr="00B74594">
        <w:t xml:space="preserve"> international OFRR training</w:t>
      </w:r>
      <w:r w:rsidRPr="00B74594">
        <w:t>s</w:t>
      </w:r>
      <w:r w:rsidR="00824A55" w:rsidRPr="00B74594">
        <w:t>.</w:t>
      </w:r>
      <w:r w:rsidR="00C24B5B">
        <w:t xml:space="preserve"> </w:t>
      </w:r>
      <w:r w:rsidR="00824A55" w:rsidRPr="00B74594">
        <w:t xml:space="preserve"> </w:t>
      </w:r>
      <w:r w:rsidR="009F4425" w:rsidRPr="00B74594">
        <w:t xml:space="preserve">The </w:t>
      </w:r>
      <w:r w:rsidR="00824A55" w:rsidRPr="00B74594">
        <w:t xml:space="preserve">test </w:t>
      </w:r>
      <w:r w:rsidR="00F90F07" w:rsidRPr="00B74594">
        <w:t xml:space="preserve">contains multiple-choice questions regarding </w:t>
      </w:r>
      <w:r w:rsidRPr="00B74594">
        <w:t xml:space="preserve">the </w:t>
      </w:r>
      <w:r w:rsidR="00F90F07" w:rsidRPr="00B74594">
        <w:t xml:space="preserve">PSR and </w:t>
      </w:r>
      <w:r w:rsidR="00C24B5B" w:rsidRPr="00B74594">
        <w:t>OFRRs and</w:t>
      </w:r>
      <w:r w:rsidR="00FE591B" w:rsidRPr="00B74594">
        <w:t xml:space="preserve"> is intended to be administered to respondents both before and after the training</w:t>
      </w:r>
      <w:r w:rsidR="00F90F07" w:rsidRPr="00B74594">
        <w:t xml:space="preserve">. </w:t>
      </w:r>
      <w:r w:rsidR="00C24B5B">
        <w:t xml:space="preserve"> </w:t>
      </w:r>
      <w:r w:rsidR="00FE591B" w:rsidRPr="00B74594">
        <w:t>The pre-/post-training test will serve as a formative testing.</w:t>
      </w:r>
      <w:r w:rsidR="00C24B5B">
        <w:t xml:space="preserve"> </w:t>
      </w:r>
      <w:r w:rsidR="00FE591B" w:rsidRPr="00B74594">
        <w:t xml:space="preserve"> </w:t>
      </w:r>
      <w:r w:rsidR="00F90F07" w:rsidRPr="00B74594">
        <w:t xml:space="preserve">Results of the test can provide valuable information on the effectiveness of the educational messages delivered during the training. </w:t>
      </w:r>
      <w:r w:rsidR="00C24B5B">
        <w:t xml:space="preserve"> </w:t>
      </w:r>
      <w:r w:rsidR="00F90F07" w:rsidRPr="00B74594">
        <w:t xml:space="preserve">By analyzing and comparing the pre- and post-training test results, FDA can identify topic areas </w:t>
      </w:r>
      <w:r w:rsidR="00FE591B" w:rsidRPr="00B74594">
        <w:t>need</w:t>
      </w:r>
      <w:r w:rsidR="00C24B5B">
        <w:t>ing</w:t>
      </w:r>
      <w:r w:rsidR="00FE591B" w:rsidRPr="00B74594">
        <w:t xml:space="preserve"> </w:t>
      </w:r>
      <w:r w:rsidR="00F90F07" w:rsidRPr="00B74594">
        <w:t xml:space="preserve">improvements </w:t>
      </w:r>
      <w:r w:rsidR="00FE591B" w:rsidRPr="00B74594">
        <w:t xml:space="preserve">and make necessary changes to future OFRR training educational materials. </w:t>
      </w:r>
      <w:r w:rsidR="00F90F07" w:rsidRPr="00B74594">
        <w:t xml:space="preserve"> </w:t>
      </w:r>
    </w:p>
    <w:p w14:paraId="732A00D5" w14:textId="70C87A19" w:rsidR="000B3776" w:rsidRDefault="000B3776">
      <w:pPr>
        <w:rPr>
          <w:color w:val="2E74B5"/>
        </w:rPr>
      </w:pPr>
      <w:r>
        <w:rPr>
          <w:color w:val="2E74B5"/>
        </w:rPr>
        <w:br w:type="page"/>
      </w:r>
    </w:p>
    <w:p w14:paraId="5600FB67" w14:textId="77777777" w:rsidR="00C12D14" w:rsidRPr="00824A55" w:rsidRDefault="00C12D14" w:rsidP="00F90F07">
      <w:pPr>
        <w:rPr>
          <w:color w:val="2E74B5"/>
        </w:rPr>
      </w:pPr>
    </w:p>
    <w:p w14:paraId="2D6EE4C4" w14:textId="77777777" w:rsidR="00C16FE6" w:rsidRPr="00F90F07" w:rsidRDefault="00F06866" w:rsidP="00A23D54">
      <w:pPr>
        <w:numPr>
          <w:ilvl w:val="0"/>
          <w:numId w:val="19"/>
        </w:numPr>
        <w:rPr>
          <w:b/>
        </w:rPr>
      </w:pPr>
      <w:r w:rsidRPr="00F90F07">
        <w:rPr>
          <w:b/>
        </w:rPr>
        <w:t xml:space="preserve">TYPE OF COLLECTION </w:t>
      </w:r>
    </w:p>
    <w:p w14:paraId="124AF093" w14:textId="77777777" w:rsidR="00F90F07" w:rsidRDefault="00C16FE6" w:rsidP="00F90F07">
      <w:pPr>
        <w:ind w:left="720" w:hanging="360"/>
      </w:pPr>
      <w:r>
        <w:t>[</w:t>
      </w:r>
      <w:r w:rsidR="005C61AE" w:rsidRPr="008F50D4">
        <w:t>Check one box.</w:t>
      </w:r>
      <w:r>
        <w:t>]</w:t>
      </w:r>
    </w:p>
    <w:p w14:paraId="5FFBE1CF" w14:textId="77777777" w:rsidR="00F06866" w:rsidRPr="00F90F07" w:rsidRDefault="0096108F" w:rsidP="0003198E">
      <w:pPr>
        <w:ind w:left="360" w:firstLine="360"/>
        <w:rPr>
          <w:b/>
        </w:rPr>
      </w:pPr>
      <w:r w:rsidRPr="00F06866">
        <w:rPr>
          <w:bCs/>
        </w:rPr>
        <w:t xml:space="preserve">[ ] </w:t>
      </w:r>
      <w:r w:rsidR="00C16FE6">
        <w:rPr>
          <w:bCs/>
        </w:rPr>
        <w:t>Experiment</w:t>
      </w:r>
      <w:r w:rsidR="00C16FE6">
        <w:rPr>
          <w:bCs/>
        </w:rPr>
        <w:tab/>
      </w:r>
      <w:r w:rsidR="00C16FE6">
        <w:rPr>
          <w:bCs/>
        </w:rPr>
        <w:tab/>
      </w:r>
      <w:r w:rsidR="00F90F07">
        <w:rPr>
          <w:bCs/>
        </w:rPr>
        <w:t xml:space="preserve">                            </w:t>
      </w:r>
      <w:r w:rsidRPr="00F06866">
        <w:rPr>
          <w:bCs/>
        </w:rPr>
        <w:t>[</w:t>
      </w:r>
      <w:r w:rsidR="00F90F07">
        <w:rPr>
          <w:bCs/>
        </w:rPr>
        <w:t>x</w:t>
      </w:r>
      <w:r w:rsidRPr="00F06866">
        <w:rPr>
          <w:bCs/>
        </w:rPr>
        <w:t xml:space="preserve">] </w:t>
      </w:r>
      <w:r w:rsidR="00F06866" w:rsidRPr="00F06866">
        <w:rPr>
          <w:bCs/>
        </w:rPr>
        <w:t>Survey</w:t>
      </w:r>
      <w:r w:rsidRPr="00F06866">
        <w:rPr>
          <w:bCs/>
        </w:rPr>
        <w:t xml:space="preserve"> </w:t>
      </w:r>
      <w:r w:rsidR="00CA2650" w:rsidRPr="00F06866">
        <w:rPr>
          <w:bCs/>
        </w:rPr>
        <w:t xml:space="preserve">  </w:t>
      </w:r>
      <w:r w:rsidRPr="00F06866">
        <w:rPr>
          <w:bCs/>
        </w:rPr>
        <w:t xml:space="preserve"> </w:t>
      </w:r>
    </w:p>
    <w:p w14:paraId="5D12BB0F" w14:textId="77777777" w:rsidR="00F06866" w:rsidRPr="00F06866" w:rsidRDefault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14:paraId="329F07C4" w14:textId="77777777" w:rsidR="00434E33" w:rsidRPr="00F90F07" w:rsidRDefault="00C12D14">
      <w:pPr>
        <w:pStyle w:val="Header"/>
        <w:tabs>
          <w:tab w:val="clear" w:pos="4320"/>
          <w:tab w:val="clear" w:pos="8640"/>
        </w:tabs>
        <w:rPr>
          <w:b/>
        </w:rPr>
      </w:pPr>
      <w:r w:rsidRPr="00F90F07">
        <w:rPr>
          <w:b/>
        </w:rPr>
        <w:t>3</w:t>
      </w:r>
      <w:r w:rsidR="00416F31" w:rsidRPr="00F90F07">
        <w:rPr>
          <w:b/>
        </w:rPr>
        <w:t xml:space="preserve">. </w:t>
      </w:r>
      <w:r w:rsidR="00F90F07">
        <w:rPr>
          <w:b/>
        </w:rPr>
        <w:t xml:space="preserve">  </w:t>
      </w:r>
      <w:r w:rsidRPr="00F90F07">
        <w:rPr>
          <w:b/>
        </w:rPr>
        <w:t>PARTICIPANT UNIVERSE AND SAMPLING PLAN</w:t>
      </w:r>
    </w:p>
    <w:p w14:paraId="19F9B176" w14:textId="77777777" w:rsidR="00B52C67" w:rsidRDefault="00B52C67">
      <w:pPr>
        <w:pStyle w:val="Header"/>
        <w:tabs>
          <w:tab w:val="clear" w:pos="4320"/>
          <w:tab w:val="clear" w:pos="8640"/>
        </w:tabs>
      </w:pPr>
    </w:p>
    <w:p w14:paraId="1B19CBBE" w14:textId="5062CC38" w:rsidR="00B52C67" w:rsidRDefault="0003198E" w:rsidP="00B52C67">
      <w:pPr>
        <w:pStyle w:val="ListParagraph"/>
        <w:ind w:left="360"/>
      </w:pPr>
      <w:r>
        <w:t xml:space="preserve">Respondents will be trainees of international OFRR trainings - foreign government and university personnel who are over 18 years old. </w:t>
      </w:r>
      <w:r w:rsidR="00C24B5B">
        <w:t xml:space="preserve"> </w:t>
      </w:r>
      <w:r w:rsidR="00B52C67">
        <w:t xml:space="preserve">Responding to the </w:t>
      </w:r>
      <w:r w:rsidR="00B52C67" w:rsidRPr="00B74594">
        <w:t xml:space="preserve">International OFRR </w:t>
      </w:r>
      <w:r w:rsidR="00421D8B" w:rsidRPr="00B74594">
        <w:t>Pre-/Post-Training Test</w:t>
      </w:r>
      <w:r w:rsidR="00421D8B" w:rsidRPr="00B74594" w:rsidDel="00421D8B">
        <w:t xml:space="preserve"> </w:t>
      </w:r>
      <w:r w:rsidR="00B52C67">
        <w:t xml:space="preserve">will be completely voluntary. </w:t>
      </w:r>
    </w:p>
    <w:p w14:paraId="47AA03A0" w14:textId="77777777" w:rsidR="00B52C67" w:rsidRDefault="00B52C67" w:rsidP="00B52C67">
      <w:pPr>
        <w:pStyle w:val="ListParagraph"/>
        <w:ind w:left="360"/>
      </w:pPr>
    </w:p>
    <w:p w14:paraId="6F7F8E1B" w14:textId="15B4C595" w:rsidR="00B74594" w:rsidRDefault="00B52C67" w:rsidP="00B52C67">
      <w:pPr>
        <w:pStyle w:val="ListParagraph"/>
        <w:ind w:left="360"/>
      </w:pPr>
      <w:r w:rsidRPr="00B74594">
        <w:t>A 3</w:t>
      </w:r>
      <w:r w:rsidRPr="00B74594">
        <w:rPr>
          <w:vertAlign w:val="superscript"/>
        </w:rPr>
        <w:t>rd</w:t>
      </w:r>
      <w:r w:rsidRPr="00B74594">
        <w:t xml:space="preserve"> party contractor (University Extension Services) will help to administer the survey and collect data. </w:t>
      </w:r>
      <w:r w:rsidR="00C24B5B">
        <w:t xml:space="preserve"> </w:t>
      </w:r>
      <w:r w:rsidRPr="00B74594">
        <w:t xml:space="preserve">Attendees of the international OFRR training will be notified at the beginning of their training about the data collection. </w:t>
      </w:r>
      <w:r w:rsidR="00C24B5B">
        <w:t xml:space="preserve"> </w:t>
      </w:r>
      <w:r w:rsidRPr="00B74594">
        <w:t>Trainees who are willing to voluntarily take the survey will be recruited.</w:t>
      </w:r>
      <w:r w:rsidR="00C24B5B">
        <w:t xml:space="preserve"> </w:t>
      </w:r>
      <w:r w:rsidRPr="00B74594">
        <w:t xml:space="preserve"> </w:t>
      </w:r>
      <w:r w:rsidR="00B74594">
        <w:t>Respondents will be instructed to complete the pre-training test before the first training session, and will be instructed to complete the post-training test after the last training session.</w:t>
      </w:r>
    </w:p>
    <w:p w14:paraId="325CCA4E" w14:textId="2CC9EC2D" w:rsidR="00E359E5" w:rsidRPr="00B74594" w:rsidRDefault="00E359E5" w:rsidP="00B74594">
      <w:pPr>
        <w:rPr>
          <w:highlight w:val="yellow"/>
        </w:rPr>
      </w:pPr>
    </w:p>
    <w:p w14:paraId="4A62E085" w14:textId="2299D8B1" w:rsidR="00D77434" w:rsidRPr="00B74594" w:rsidRDefault="00D77434" w:rsidP="00B52C67">
      <w:pPr>
        <w:pStyle w:val="ListParagraph"/>
        <w:ind w:left="360"/>
      </w:pPr>
      <w:r w:rsidRPr="00B74594">
        <w:t>Identical survey instrument</w:t>
      </w:r>
      <w:r w:rsidR="00421D8B" w:rsidRPr="00B74594">
        <w:t>s</w:t>
      </w:r>
      <w:r w:rsidRPr="00B74594">
        <w:t xml:space="preserve"> will be used for both the pre- and post-training tests. </w:t>
      </w:r>
    </w:p>
    <w:p w14:paraId="5BD28B03" w14:textId="77777777" w:rsidR="00D77434" w:rsidRDefault="00D77434" w:rsidP="00B52C67">
      <w:pPr>
        <w:pStyle w:val="ListParagraph"/>
        <w:ind w:left="360"/>
        <w:rPr>
          <w:highlight w:val="yellow"/>
        </w:rPr>
      </w:pPr>
    </w:p>
    <w:p w14:paraId="59764C05" w14:textId="54685B78" w:rsidR="00E359E5" w:rsidRPr="00B74594" w:rsidRDefault="00E359E5" w:rsidP="00B52C67">
      <w:pPr>
        <w:pStyle w:val="ListParagraph"/>
        <w:ind w:left="360"/>
      </w:pPr>
      <w:r w:rsidRPr="00B74594">
        <w:t>Respondents will complete the pre- and post-training tests anonymously</w:t>
      </w:r>
      <w:r w:rsidR="00421D8B" w:rsidRPr="00B74594">
        <w:t>.  N</w:t>
      </w:r>
      <w:r w:rsidRPr="00B74594">
        <w:t xml:space="preserve">o Personally Identifiable Information (PII) will be collected. </w:t>
      </w:r>
    </w:p>
    <w:p w14:paraId="762D252A" w14:textId="77777777" w:rsidR="00B52C67" w:rsidRDefault="00B52C67" w:rsidP="00B52C67">
      <w:pPr>
        <w:pStyle w:val="ListParagraph"/>
        <w:ind w:left="360"/>
      </w:pPr>
    </w:p>
    <w:p w14:paraId="2076974E" w14:textId="277D8A81" w:rsidR="00CA275E" w:rsidRDefault="009E5BE5" w:rsidP="00CA275E">
      <w:pPr>
        <w:pStyle w:val="ListParagraph"/>
        <w:ind w:left="360"/>
      </w:pPr>
      <w:r>
        <w:t>Data collection dates</w:t>
      </w:r>
      <w:r w:rsidR="00DB18AE">
        <w:t>: o</w:t>
      </w:r>
      <w:r>
        <w:t xml:space="preserve">ngoing, beginning with OMB’s approval of this collection of information. </w:t>
      </w:r>
      <w:r w:rsidR="00C24B5B">
        <w:t xml:space="preserve"> </w:t>
      </w:r>
      <w:r w:rsidRPr="006D1F8F">
        <w:t>For F</w:t>
      </w:r>
      <w:r>
        <w:t xml:space="preserve">iscal </w:t>
      </w:r>
      <w:r w:rsidRPr="006D1F8F">
        <w:t>Y</w:t>
      </w:r>
      <w:r>
        <w:t>ear 20</w:t>
      </w:r>
      <w:r w:rsidRPr="006D1F8F">
        <w:t xml:space="preserve">20, the anticipated dates for trainings </w:t>
      </w:r>
      <w:r>
        <w:t xml:space="preserve">are </w:t>
      </w:r>
      <w:r w:rsidRPr="006D1F8F">
        <w:t>November 12-15, 2019</w:t>
      </w:r>
      <w:r>
        <w:t xml:space="preserve"> (training will be provided in </w:t>
      </w:r>
      <w:r w:rsidRPr="006D1F8F">
        <w:t>Chile</w:t>
      </w:r>
      <w:r>
        <w:t xml:space="preserve">) </w:t>
      </w:r>
      <w:r w:rsidRPr="006D1F8F">
        <w:t>and March 16-20, 20</w:t>
      </w:r>
      <w:r>
        <w:t xml:space="preserve">20 (training will be provided in </w:t>
      </w:r>
      <w:r w:rsidRPr="006D1F8F">
        <w:t>Mexico</w:t>
      </w:r>
      <w:r>
        <w:t>)</w:t>
      </w:r>
      <w:r w:rsidRPr="006D1F8F">
        <w:t>.</w:t>
      </w:r>
      <w:r>
        <w:t xml:space="preserve"> </w:t>
      </w:r>
      <w:r w:rsidR="00C24B5B">
        <w:t xml:space="preserve"> </w:t>
      </w:r>
      <w:r w:rsidRPr="006D1F8F">
        <w:t xml:space="preserve">These dates are contingent on corresponding approvals.  </w:t>
      </w:r>
    </w:p>
    <w:p w14:paraId="7CDB6E63" w14:textId="0926BA1D" w:rsidR="00CA275E" w:rsidRDefault="00CA275E" w:rsidP="00CA275E">
      <w:pPr>
        <w:pStyle w:val="ListParagraph"/>
        <w:ind w:left="360"/>
      </w:pPr>
    </w:p>
    <w:p w14:paraId="1730DAB2" w14:textId="16374A09" w:rsidR="00CA275E" w:rsidRDefault="00CA275E" w:rsidP="00CA275E">
      <w:pPr>
        <w:pStyle w:val="ListParagraph"/>
        <w:ind w:left="360"/>
      </w:pPr>
      <w:r w:rsidRPr="009E5F83">
        <w:t>The International OFRR Pre-/Post-Training Test</w:t>
      </w:r>
      <w:r w:rsidRPr="009E5F83" w:rsidDel="00421D8B">
        <w:t xml:space="preserve"> </w:t>
      </w:r>
      <w:r w:rsidRPr="009E5F83">
        <w:t>will be translated and administrated in the official language of the country where the training will be provided.</w:t>
      </w:r>
      <w:r w:rsidR="00C24B5B">
        <w:t xml:space="preserve"> </w:t>
      </w:r>
      <w:r w:rsidRPr="009E5F83">
        <w:t xml:space="preserve"> For the FY 2020 trainings in Chile and Mexico, the test will be translated and administrated in Spanish.</w:t>
      </w:r>
      <w:r>
        <w:t xml:space="preserve"> </w:t>
      </w:r>
    </w:p>
    <w:p w14:paraId="40E98D43" w14:textId="77777777" w:rsidR="0003198E" w:rsidRDefault="0003198E" w:rsidP="00E359E5">
      <w:pPr>
        <w:tabs>
          <w:tab w:val="left" w:pos="360"/>
        </w:tabs>
      </w:pPr>
    </w:p>
    <w:p w14:paraId="5ADD208D" w14:textId="77777777" w:rsidR="0003198E" w:rsidRDefault="0003198E" w:rsidP="0003198E">
      <w:pPr>
        <w:tabs>
          <w:tab w:val="left" w:pos="360"/>
        </w:tabs>
        <w:ind w:left="360"/>
      </w:pPr>
      <w:r>
        <w:t xml:space="preserve">The following language will be included on the survey: </w:t>
      </w:r>
    </w:p>
    <w:p w14:paraId="7036998F" w14:textId="77777777" w:rsidR="0003198E" w:rsidRDefault="0003198E" w:rsidP="0003198E">
      <w:pPr>
        <w:tabs>
          <w:tab w:val="left" w:pos="360"/>
        </w:tabs>
        <w:ind w:left="360"/>
        <w:rPr>
          <w:color w:val="000000"/>
        </w:rPr>
      </w:pPr>
    </w:p>
    <w:p w14:paraId="79AE0911" w14:textId="6A79CC6E" w:rsidR="0003198E" w:rsidRPr="00DA0110" w:rsidRDefault="0003198E" w:rsidP="0003198E">
      <w:pPr>
        <w:tabs>
          <w:tab w:val="left" w:pos="360"/>
        </w:tabs>
        <w:ind w:left="360"/>
      </w:pPr>
      <w:r>
        <w:rPr>
          <w:color w:val="000000"/>
        </w:rPr>
        <w:t>“</w:t>
      </w:r>
      <w:r w:rsidRPr="00A31375">
        <w:rPr>
          <w:color w:val="000000"/>
        </w:rPr>
        <w:t xml:space="preserve">Your participation / nonparticipation is completely </w:t>
      </w:r>
      <w:r w:rsidR="00C24B5B" w:rsidRPr="00A31375">
        <w:rPr>
          <w:color w:val="000000"/>
        </w:rPr>
        <w:t>voluntary,</w:t>
      </w:r>
      <w:r w:rsidRPr="00A31375">
        <w:rPr>
          <w:color w:val="000000"/>
        </w:rPr>
        <w:t xml:space="preserve"> and your responses will not have an effect on your eligibility for receipt of any FDA services.</w:t>
      </w:r>
      <w:r w:rsidR="00C24B5B">
        <w:rPr>
          <w:color w:val="000000"/>
        </w:rPr>
        <w:t xml:space="preserve"> </w:t>
      </w:r>
      <w:r w:rsidRPr="00A31375">
        <w:rPr>
          <w:color w:val="000000"/>
        </w:rPr>
        <w:t xml:space="preserve"> In instances where respondent identity is needed (e.g., for follow-up of non-respondents), this information collection</w:t>
      </w:r>
      <w:r w:rsidR="00D91921">
        <w:rPr>
          <w:color w:val="000000"/>
        </w:rPr>
        <w:t>’s</w:t>
      </w:r>
      <w:r w:rsidRPr="00A31375">
        <w:rPr>
          <w:color w:val="000000"/>
        </w:rPr>
        <w:t xml:space="preserve"> </w:t>
      </w:r>
      <w:r w:rsidRPr="00DA0110">
        <w:t xml:space="preserve">data will be kept </w:t>
      </w:r>
      <w:r w:rsidR="00C24B5B">
        <w:t>secure</w:t>
      </w:r>
      <w:r w:rsidR="00C24B5B" w:rsidRPr="00DA0110">
        <w:t xml:space="preserve"> </w:t>
      </w:r>
      <w:r w:rsidRPr="00DA0110">
        <w:t>to the fullest extent allowed by law.”</w:t>
      </w:r>
    </w:p>
    <w:p w14:paraId="249ED6C6" w14:textId="77777777" w:rsidR="00416F31" w:rsidRDefault="00416F31">
      <w:pPr>
        <w:pStyle w:val="Header"/>
        <w:tabs>
          <w:tab w:val="clear" w:pos="4320"/>
          <w:tab w:val="clear" w:pos="8640"/>
        </w:tabs>
      </w:pPr>
    </w:p>
    <w:p w14:paraId="7CA23EAC" w14:textId="77777777" w:rsidR="00AF1F96" w:rsidRPr="00F90F07" w:rsidRDefault="007020E8" w:rsidP="005A0C82">
      <w:pPr>
        <w:pStyle w:val="ListParagraph"/>
        <w:ind w:left="0"/>
        <w:rPr>
          <w:b/>
        </w:rPr>
      </w:pPr>
      <w:r w:rsidRPr="00F90F07">
        <w:rPr>
          <w:b/>
        </w:rPr>
        <w:t>4</w:t>
      </w:r>
      <w:r w:rsidR="00C12D14" w:rsidRPr="00F90F07">
        <w:rPr>
          <w:b/>
        </w:rPr>
        <w:t xml:space="preserve">. </w:t>
      </w:r>
      <w:r w:rsidR="00F90F07">
        <w:rPr>
          <w:b/>
        </w:rPr>
        <w:t xml:space="preserve">  </w:t>
      </w:r>
      <w:r w:rsidR="00741B94" w:rsidRPr="00F90F07">
        <w:rPr>
          <w:b/>
        </w:rPr>
        <w:t>INCENTIVE</w:t>
      </w:r>
      <w:r w:rsidR="00F60EE9" w:rsidRPr="00F90F07">
        <w:rPr>
          <w:b/>
        </w:rPr>
        <w:t xml:space="preserve"> </w:t>
      </w:r>
    </w:p>
    <w:p w14:paraId="774B3708" w14:textId="77777777" w:rsidR="00C86E91" w:rsidRPr="006E557A" w:rsidRDefault="00C86E91" w:rsidP="00AF1F96">
      <w:pPr>
        <w:pStyle w:val="ListParagraph"/>
      </w:pPr>
    </w:p>
    <w:p w14:paraId="1B8B1323" w14:textId="77777777" w:rsidR="00C86E91" w:rsidRDefault="00C86E91" w:rsidP="0003198E">
      <w:pPr>
        <w:ind w:left="360"/>
      </w:pPr>
      <w:r w:rsidRPr="00B74594">
        <w:t>Is an incentive (e.g., money or reimbursement of expenses, token of appreciation) provided to participants?</w:t>
      </w:r>
      <w:r w:rsidR="003D1F3A" w:rsidRPr="00B74594">
        <w:t>)</w:t>
      </w:r>
      <w:r w:rsidRPr="00B74594">
        <w:t xml:space="preserve">  [  ] Yes [ </w:t>
      </w:r>
      <w:r w:rsidR="0003198E" w:rsidRPr="00B74594">
        <w:t>x</w:t>
      </w:r>
      <w:r w:rsidRPr="00B74594">
        <w:t xml:space="preserve"> ] No</w:t>
      </w:r>
      <w:r>
        <w:t xml:space="preserve">  </w:t>
      </w:r>
    </w:p>
    <w:p w14:paraId="4169E87A" w14:textId="77777777" w:rsidR="00741B94" w:rsidRDefault="00741B94" w:rsidP="00F90F07"/>
    <w:p w14:paraId="17086418" w14:textId="77777777" w:rsidR="00741B94" w:rsidRDefault="00741B94" w:rsidP="0003198E">
      <w:pPr>
        <w:ind w:left="360"/>
      </w:pPr>
      <w:r>
        <w:t>[If</w:t>
      </w:r>
      <w:r w:rsidR="003D1F3A">
        <w:t xml:space="preserve"> </w:t>
      </w:r>
      <w:r>
        <w:t>yes</w:t>
      </w:r>
      <w:r w:rsidR="003D1F3A">
        <w:t xml:space="preserve">, </w:t>
      </w:r>
      <w:r w:rsidRPr="008F50D4">
        <w:t>describe</w:t>
      </w:r>
      <w:r>
        <w:t xml:space="preserve"> the incentive</w:t>
      </w:r>
      <w:r w:rsidRPr="008F50D4">
        <w:t xml:space="preserve"> and provide a justification for the amount.</w:t>
      </w:r>
      <w:r>
        <w:t>]</w:t>
      </w:r>
    </w:p>
    <w:p w14:paraId="37F4A30B" w14:textId="77777777" w:rsidR="004D6E14" w:rsidRDefault="004D6E14" w:rsidP="005A0C82">
      <w:pPr>
        <w:rPr>
          <w:b/>
        </w:rPr>
      </w:pPr>
    </w:p>
    <w:p w14:paraId="3F1FAAEC" w14:textId="77777777" w:rsidR="007020E8" w:rsidRPr="0003198E" w:rsidRDefault="007020E8" w:rsidP="007020E8">
      <w:pPr>
        <w:pStyle w:val="Header"/>
        <w:tabs>
          <w:tab w:val="clear" w:pos="4320"/>
          <w:tab w:val="clear" w:pos="8640"/>
        </w:tabs>
        <w:rPr>
          <w:b/>
        </w:rPr>
      </w:pPr>
      <w:r w:rsidRPr="0003198E">
        <w:rPr>
          <w:b/>
        </w:rPr>
        <w:lastRenderedPageBreak/>
        <w:t xml:space="preserve">5. </w:t>
      </w:r>
      <w:r w:rsidR="0003198E">
        <w:rPr>
          <w:b/>
        </w:rPr>
        <w:t xml:space="preserve">  </w:t>
      </w:r>
      <w:r w:rsidRPr="0003198E">
        <w:rPr>
          <w:b/>
        </w:rPr>
        <w:t>DATA ANALYSIS PLAN</w:t>
      </w:r>
    </w:p>
    <w:p w14:paraId="3CECF5FA" w14:textId="77777777" w:rsidR="007020E8" w:rsidRDefault="003D1F3A" w:rsidP="005A0C82">
      <w:r>
        <w:rPr>
          <w:b/>
        </w:rPr>
        <w:tab/>
      </w:r>
    </w:p>
    <w:p w14:paraId="69A55448" w14:textId="61296455" w:rsidR="0003198E" w:rsidRPr="005A0C82" w:rsidRDefault="0003198E" w:rsidP="0003198E">
      <w:pPr>
        <w:pStyle w:val="ListParagraph"/>
        <w:ind w:left="360"/>
      </w:pPr>
      <w:r w:rsidRPr="00B74594">
        <w:t xml:space="preserve">Frequencies and percentages will be generated from the questions. </w:t>
      </w:r>
      <w:r w:rsidR="00C24B5B">
        <w:t xml:space="preserve"> </w:t>
      </w:r>
      <w:r w:rsidRPr="00B74594">
        <w:t>T-tests for respondents’ pre- and post- test scores on each question will be conducted.</w:t>
      </w:r>
    </w:p>
    <w:p w14:paraId="069F2D8B" w14:textId="77777777" w:rsidR="007020E8" w:rsidRDefault="007020E8" w:rsidP="005A0C82">
      <w:pPr>
        <w:rPr>
          <w:b/>
        </w:rPr>
      </w:pPr>
    </w:p>
    <w:p w14:paraId="23A2E9BE" w14:textId="77777777" w:rsidR="00741B94" w:rsidRPr="00A94B97" w:rsidRDefault="00EC046C" w:rsidP="005A0C82">
      <w:pPr>
        <w:rPr>
          <w:b/>
        </w:rPr>
      </w:pPr>
      <w:r w:rsidRPr="00A94B97">
        <w:rPr>
          <w:b/>
        </w:rPr>
        <w:t>6</w:t>
      </w:r>
      <w:r w:rsidR="00C12D14" w:rsidRPr="00A94B97">
        <w:rPr>
          <w:b/>
        </w:rPr>
        <w:t xml:space="preserve">. </w:t>
      </w:r>
      <w:r w:rsidR="00A94B97" w:rsidRPr="00A94B97">
        <w:rPr>
          <w:b/>
        </w:rPr>
        <w:t xml:space="preserve">  </w:t>
      </w:r>
      <w:r w:rsidR="005E714A" w:rsidRPr="00A94B97">
        <w:rPr>
          <w:b/>
        </w:rPr>
        <w:t>B</w:t>
      </w:r>
      <w:r w:rsidR="00810AA0" w:rsidRPr="00A94B97">
        <w:rPr>
          <w:b/>
        </w:rPr>
        <w:t>URDEN HOURS</w:t>
      </w:r>
    </w:p>
    <w:p w14:paraId="3BEDD300" w14:textId="618A33CB" w:rsidR="005C61AE" w:rsidRPr="005A0C82" w:rsidRDefault="00BD712B" w:rsidP="00E410BB">
      <w:pPr>
        <w:ind w:left="360"/>
        <w:rPr>
          <w:b/>
        </w:rPr>
      </w:pPr>
      <w:r>
        <w:br/>
      </w:r>
      <w:r w:rsidR="003D1F3A" w:rsidRPr="005A0C82">
        <w:rPr>
          <w:b/>
        </w:rPr>
        <w:t>Activity</w:t>
      </w:r>
      <w:r w:rsidR="003D1F3A">
        <w:rPr>
          <w:b/>
        </w:rPr>
        <w:t>:</w:t>
      </w:r>
      <w:r w:rsidR="003D1F3A">
        <w:t xml:space="preserve"> </w:t>
      </w:r>
      <w:r w:rsidR="00791FAF">
        <w:t>S</w:t>
      </w:r>
      <w:r w:rsidR="003D1F3A">
        <w:t>urvey</w:t>
      </w:r>
    </w:p>
    <w:p w14:paraId="2DC46A96" w14:textId="0DF1E311" w:rsidR="005C61AE" w:rsidRDefault="005C61AE" w:rsidP="00E410BB">
      <w:pPr>
        <w:ind w:left="36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</w:t>
      </w:r>
      <w:r w:rsidR="00791FAF">
        <w:t>150</w:t>
      </w:r>
      <w:r>
        <w:t>.</w:t>
      </w:r>
    </w:p>
    <w:p w14:paraId="6339D02F" w14:textId="55846198" w:rsidR="005C61AE" w:rsidRDefault="005C61AE" w:rsidP="00E410BB">
      <w:pPr>
        <w:ind w:left="360"/>
      </w:pPr>
      <w:r>
        <w:rPr>
          <w:b/>
        </w:rPr>
        <w:t xml:space="preserve">Participation Time:  </w:t>
      </w:r>
      <w:r w:rsidR="001933D2">
        <w:rPr>
          <w:b/>
        </w:rPr>
        <w:t>10 minutes for pre</w:t>
      </w:r>
      <w:r w:rsidR="00DC02BB">
        <w:rPr>
          <w:b/>
        </w:rPr>
        <w:t xml:space="preserve">-training </w:t>
      </w:r>
      <w:r w:rsidR="001933D2">
        <w:rPr>
          <w:b/>
        </w:rPr>
        <w:t>test; 10 minutes for post</w:t>
      </w:r>
      <w:r w:rsidR="00DC02BB">
        <w:rPr>
          <w:b/>
        </w:rPr>
        <w:t xml:space="preserve">-training </w:t>
      </w:r>
      <w:r w:rsidR="001933D2">
        <w:rPr>
          <w:b/>
        </w:rPr>
        <w:t>test; total of 20 minutes.</w:t>
      </w:r>
    </w:p>
    <w:p w14:paraId="3BF49728" w14:textId="77777777" w:rsidR="00BD712B" w:rsidRDefault="00BD712B" w:rsidP="00E410BB">
      <w:pPr>
        <w:ind w:left="360"/>
        <w:rPr>
          <w:b/>
        </w:rPr>
      </w:pPr>
    </w:p>
    <w:p w14:paraId="3157AB94" w14:textId="77777777" w:rsidR="00810AA0" w:rsidRDefault="00810AA0" w:rsidP="00E410BB">
      <w:pPr>
        <w:ind w:left="36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14:paraId="0B5E22A3" w14:textId="77777777" w:rsidR="00810AA0" w:rsidRDefault="00810AA0" w:rsidP="00E410BB">
      <w:pPr>
        <w:keepNext/>
        <w:keepLines/>
        <w:ind w:left="360"/>
        <w:rPr>
          <w:b/>
        </w:rPr>
      </w:pPr>
    </w:p>
    <w:p w14:paraId="356380D6" w14:textId="77777777" w:rsidR="006832D9" w:rsidRPr="006832D9" w:rsidRDefault="006832D9" w:rsidP="00E410BB">
      <w:pPr>
        <w:keepNext/>
        <w:keepLines/>
        <w:ind w:left="360"/>
        <w:rPr>
          <w:b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800"/>
        <w:gridCol w:w="1890"/>
        <w:gridCol w:w="1800"/>
      </w:tblGrid>
      <w:tr w:rsidR="00EF2095" w14:paraId="5E9DF532" w14:textId="77777777" w:rsidTr="00DB36CD">
        <w:trPr>
          <w:trHeight w:val="274"/>
        </w:trPr>
        <w:tc>
          <w:tcPr>
            <w:tcW w:w="3510" w:type="dxa"/>
            <w:shd w:val="clear" w:color="auto" w:fill="E7E6E6"/>
          </w:tcPr>
          <w:p w14:paraId="45525F5E" w14:textId="77777777" w:rsidR="006832D9" w:rsidRPr="0001027E" w:rsidRDefault="003D1F3A" w:rsidP="00E410BB">
            <w:pPr>
              <w:ind w:left="360"/>
              <w:rPr>
                <w:b/>
              </w:rPr>
            </w:pPr>
            <w:r>
              <w:rPr>
                <w:b/>
              </w:rPr>
              <w:t>Activity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E7E6E6"/>
          </w:tcPr>
          <w:p w14:paraId="042179E3" w14:textId="77777777" w:rsidR="006832D9" w:rsidRPr="0001027E" w:rsidRDefault="006832D9" w:rsidP="00DB36CD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90" w:type="dxa"/>
            <w:shd w:val="clear" w:color="auto" w:fill="E7E6E6"/>
          </w:tcPr>
          <w:p w14:paraId="134D99B0" w14:textId="77777777" w:rsidR="006832D9" w:rsidRPr="0001027E" w:rsidRDefault="006832D9" w:rsidP="00DB36CD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CB4858">
              <w:rPr>
                <w:b/>
              </w:rPr>
              <w:t xml:space="preserve"> (minutes)</w:t>
            </w:r>
          </w:p>
        </w:tc>
        <w:tc>
          <w:tcPr>
            <w:tcW w:w="1800" w:type="dxa"/>
            <w:shd w:val="clear" w:color="auto" w:fill="E7E6E6"/>
          </w:tcPr>
          <w:p w14:paraId="230DAC76" w14:textId="77777777" w:rsidR="006832D9" w:rsidRPr="0001027E" w:rsidRDefault="006832D9" w:rsidP="00DB36CD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CB4858">
              <w:rPr>
                <w:b/>
              </w:rPr>
              <w:t xml:space="preserve"> (hours)</w:t>
            </w:r>
          </w:p>
        </w:tc>
      </w:tr>
      <w:tr w:rsidR="00A94B97" w14:paraId="7AFDF6B7" w14:textId="77777777" w:rsidTr="00DB36CD">
        <w:trPr>
          <w:trHeight w:val="274"/>
        </w:trPr>
        <w:tc>
          <w:tcPr>
            <w:tcW w:w="3510" w:type="dxa"/>
          </w:tcPr>
          <w:p w14:paraId="6CD46032" w14:textId="77777777" w:rsidR="00A94B97" w:rsidRDefault="00A94B97" w:rsidP="00E410BB">
            <w:pPr>
              <w:ind w:left="360"/>
            </w:pPr>
            <w:r>
              <w:t>Pre-training Test</w:t>
            </w:r>
          </w:p>
        </w:tc>
        <w:tc>
          <w:tcPr>
            <w:tcW w:w="1800" w:type="dxa"/>
          </w:tcPr>
          <w:p w14:paraId="2A7B409F" w14:textId="68F339E2" w:rsidR="00A94B97" w:rsidRPr="006D1F8F" w:rsidRDefault="00B74594" w:rsidP="00E410BB">
            <w:pPr>
              <w:ind w:left="360"/>
            </w:pPr>
            <w:r>
              <w:t>1</w:t>
            </w:r>
            <w:r w:rsidR="00A94B97" w:rsidRPr="006D1F8F">
              <w:t>50</w:t>
            </w:r>
          </w:p>
        </w:tc>
        <w:tc>
          <w:tcPr>
            <w:tcW w:w="1890" w:type="dxa"/>
          </w:tcPr>
          <w:p w14:paraId="556AE150" w14:textId="77777777" w:rsidR="00A94B97" w:rsidDel="0016369C" w:rsidRDefault="00A94B97" w:rsidP="00E410BB">
            <w:pPr>
              <w:ind w:left="360"/>
            </w:pPr>
            <w:r>
              <w:t>10</w:t>
            </w:r>
          </w:p>
        </w:tc>
        <w:tc>
          <w:tcPr>
            <w:tcW w:w="1800" w:type="dxa"/>
          </w:tcPr>
          <w:p w14:paraId="005293D5" w14:textId="77277C9E" w:rsidR="00A94B97" w:rsidRPr="00776554" w:rsidRDefault="00B74594" w:rsidP="00E410BB">
            <w:pPr>
              <w:ind w:left="360"/>
            </w:pPr>
            <w:r>
              <w:t>25</w:t>
            </w:r>
          </w:p>
        </w:tc>
      </w:tr>
      <w:tr w:rsidR="00A94B97" w14:paraId="237FFA79" w14:textId="77777777" w:rsidTr="00DB36CD">
        <w:trPr>
          <w:trHeight w:val="274"/>
        </w:trPr>
        <w:tc>
          <w:tcPr>
            <w:tcW w:w="3510" w:type="dxa"/>
          </w:tcPr>
          <w:p w14:paraId="7BEECE5A" w14:textId="77777777" w:rsidR="00A94B97" w:rsidRDefault="00A94B97" w:rsidP="00E410BB">
            <w:pPr>
              <w:ind w:left="360"/>
            </w:pPr>
            <w:r>
              <w:t>Post-training Test</w:t>
            </w:r>
          </w:p>
        </w:tc>
        <w:tc>
          <w:tcPr>
            <w:tcW w:w="1800" w:type="dxa"/>
          </w:tcPr>
          <w:p w14:paraId="136F554C" w14:textId="56007003" w:rsidR="00A94B97" w:rsidRPr="006D1F8F" w:rsidRDefault="00B74594" w:rsidP="00E410BB">
            <w:pPr>
              <w:ind w:left="360"/>
            </w:pPr>
            <w:r>
              <w:t>1</w:t>
            </w:r>
            <w:r w:rsidR="00A94B97" w:rsidRPr="006D1F8F">
              <w:t>50</w:t>
            </w:r>
          </w:p>
        </w:tc>
        <w:tc>
          <w:tcPr>
            <w:tcW w:w="1890" w:type="dxa"/>
          </w:tcPr>
          <w:p w14:paraId="31280F2A" w14:textId="77777777" w:rsidR="00A94B97" w:rsidRDefault="00A94B97" w:rsidP="00E410BB">
            <w:pPr>
              <w:ind w:left="360"/>
            </w:pPr>
            <w:r>
              <w:t>10</w:t>
            </w:r>
          </w:p>
        </w:tc>
        <w:tc>
          <w:tcPr>
            <w:tcW w:w="1800" w:type="dxa"/>
          </w:tcPr>
          <w:p w14:paraId="68DA8DD4" w14:textId="45E9421D" w:rsidR="00A94B97" w:rsidRPr="00776554" w:rsidRDefault="00B74594" w:rsidP="00E410BB">
            <w:pPr>
              <w:ind w:left="360"/>
            </w:pPr>
            <w:r>
              <w:t>25</w:t>
            </w:r>
          </w:p>
        </w:tc>
      </w:tr>
      <w:tr w:rsidR="00EF2095" w14:paraId="05EBA74B" w14:textId="77777777" w:rsidTr="00DB36CD">
        <w:trPr>
          <w:trHeight w:val="289"/>
        </w:trPr>
        <w:tc>
          <w:tcPr>
            <w:tcW w:w="3510" w:type="dxa"/>
          </w:tcPr>
          <w:p w14:paraId="7FB8C27A" w14:textId="77777777" w:rsidR="006832D9" w:rsidRPr="0001027E" w:rsidRDefault="006832D9" w:rsidP="00E410BB">
            <w:pPr>
              <w:ind w:left="36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00" w:type="dxa"/>
          </w:tcPr>
          <w:p w14:paraId="6E09D04F" w14:textId="77777777" w:rsidR="006832D9" w:rsidRPr="0001027E" w:rsidRDefault="006832D9" w:rsidP="00E410BB">
            <w:pPr>
              <w:ind w:left="360"/>
              <w:rPr>
                <w:b/>
              </w:rPr>
            </w:pPr>
          </w:p>
        </w:tc>
        <w:tc>
          <w:tcPr>
            <w:tcW w:w="1890" w:type="dxa"/>
          </w:tcPr>
          <w:p w14:paraId="098948A2" w14:textId="77777777" w:rsidR="006832D9" w:rsidRDefault="006832D9" w:rsidP="00E410BB">
            <w:pPr>
              <w:ind w:left="360"/>
            </w:pPr>
          </w:p>
        </w:tc>
        <w:tc>
          <w:tcPr>
            <w:tcW w:w="1800" w:type="dxa"/>
          </w:tcPr>
          <w:p w14:paraId="72B431E9" w14:textId="37515DD8" w:rsidR="006832D9" w:rsidRPr="00A94B97" w:rsidRDefault="00B74594" w:rsidP="00E410BB">
            <w:pPr>
              <w:ind w:left="360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14:paraId="3C7D8E3C" w14:textId="77777777" w:rsidR="00F3170F" w:rsidRDefault="00F3170F" w:rsidP="00F3170F"/>
    <w:p w14:paraId="37C67129" w14:textId="77777777" w:rsidR="00EC046C" w:rsidRPr="00A94B97" w:rsidRDefault="008662D3" w:rsidP="00A94B97">
      <w:pPr>
        <w:ind w:firstLine="360"/>
        <w:rPr>
          <w:b/>
        </w:rPr>
      </w:pPr>
      <w:r w:rsidRPr="006B18B6" w:rsidDel="008662D3">
        <w:rPr>
          <w:b/>
          <w:bCs/>
        </w:rPr>
        <w:t xml:space="preserve"> </w:t>
      </w:r>
      <w:r w:rsidR="00BD712B">
        <w:rPr>
          <w:b/>
          <w:bCs/>
          <w:u w:val="single"/>
        </w:rPr>
        <w:br/>
      </w:r>
      <w:r w:rsidR="00EC046C" w:rsidRPr="00A94B97">
        <w:rPr>
          <w:b/>
        </w:rPr>
        <w:t xml:space="preserve">7. </w:t>
      </w:r>
      <w:r w:rsidR="00A94B97">
        <w:rPr>
          <w:b/>
        </w:rPr>
        <w:t xml:space="preserve">  </w:t>
      </w:r>
      <w:r w:rsidR="00EC046C" w:rsidRPr="00A94B97">
        <w:rPr>
          <w:b/>
        </w:rPr>
        <w:t xml:space="preserve">CERTIFICATION: </w:t>
      </w:r>
    </w:p>
    <w:p w14:paraId="52EFF1CF" w14:textId="77777777" w:rsidR="00EC046C" w:rsidRPr="00A23D54" w:rsidRDefault="00EC046C" w:rsidP="00EC046C">
      <w:pPr>
        <w:ind w:left="360"/>
      </w:pPr>
    </w:p>
    <w:p w14:paraId="5A1C69B7" w14:textId="77777777" w:rsidR="00EC046C" w:rsidRDefault="00EC046C" w:rsidP="00A94B97">
      <w:pPr>
        <w:ind w:left="720" w:hanging="360"/>
      </w:pPr>
      <w:r>
        <w:t xml:space="preserve">In submitting this request, I certify the following to be true: </w:t>
      </w:r>
      <w:r>
        <w:br/>
      </w:r>
    </w:p>
    <w:p w14:paraId="0F107151" w14:textId="77777777" w:rsidR="00EC046C" w:rsidRPr="000216D8" w:rsidRDefault="00EC046C" w:rsidP="00A94B97">
      <w:pPr>
        <w:numPr>
          <w:ilvl w:val="0"/>
          <w:numId w:val="26"/>
        </w:numPr>
        <w:spacing w:before="100" w:beforeAutospacing="1" w:after="100" w:afterAutospacing="1" w:line="276" w:lineRule="auto"/>
        <w:ind w:left="720"/>
        <w:contextualSpacing/>
      </w:pPr>
      <w:r w:rsidRPr="000216D8">
        <w:t>The collections are voluntary;</w:t>
      </w:r>
    </w:p>
    <w:p w14:paraId="04D7F01E" w14:textId="77777777" w:rsidR="00EC046C" w:rsidRPr="000216D8" w:rsidRDefault="00EC046C" w:rsidP="00A94B97">
      <w:pPr>
        <w:numPr>
          <w:ilvl w:val="0"/>
          <w:numId w:val="26"/>
        </w:numPr>
        <w:spacing w:before="100" w:beforeAutospacing="1" w:after="100" w:afterAutospacing="1" w:line="276" w:lineRule="auto"/>
        <w:ind w:left="720"/>
        <w:contextualSpacing/>
      </w:pPr>
      <w:r w:rsidRPr="000216D8">
        <w:t>The collections are low</w:t>
      </w:r>
      <w:r>
        <w:t>-</w:t>
      </w:r>
      <w:r w:rsidRPr="000216D8">
        <w:t xml:space="preserve">burden for </w:t>
      </w:r>
      <w:r>
        <w:t>participants</w:t>
      </w:r>
      <w:r w:rsidRPr="000216D8">
        <w:t xml:space="preserve"> and are low</w:t>
      </w:r>
      <w:r>
        <w:t>-</w:t>
      </w:r>
      <w:r w:rsidRPr="000216D8">
        <w:t xml:space="preserve">cost for both the </w:t>
      </w:r>
      <w:r>
        <w:t>participants</w:t>
      </w:r>
      <w:r w:rsidRPr="000216D8">
        <w:t xml:space="preserve"> and the Federal Government;</w:t>
      </w:r>
    </w:p>
    <w:p w14:paraId="6B237182" w14:textId="77777777" w:rsidR="00EC046C" w:rsidRPr="000216D8" w:rsidRDefault="00EC046C" w:rsidP="00A94B97">
      <w:pPr>
        <w:numPr>
          <w:ilvl w:val="0"/>
          <w:numId w:val="26"/>
        </w:numPr>
        <w:spacing w:before="100" w:beforeAutospacing="1" w:after="100" w:afterAutospacing="1" w:line="276" w:lineRule="auto"/>
        <w:ind w:left="720"/>
        <w:contextualSpacing/>
      </w:pPr>
      <w:r w:rsidRPr="000216D8">
        <w:t>The collections are noncontroversial;</w:t>
      </w:r>
      <w:r w:rsidRPr="000216D8" w:rsidDel="004E3487">
        <w:t xml:space="preserve"> </w:t>
      </w:r>
    </w:p>
    <w:p w14:paraId="49C6746C" w14:textId="77777777" w:rsidR="00EC046C" w:rsidRPr="000216D8" w:rsidRDefault="00EC046C" w:rsidP="00A94B97">
      <w:pPr>
        <w:numPr>
          <w:ilvl w:val="0"/>
          <w:numId w:val="26"/>
        </w:numPr>
        <w:spacing w:before="100" w:beforeAutospacing="1" w:after="100" w:afterAutospacing="1" w:line="276" w:lineRule="auto"/>
        <w:ind w:left="720"/>
        <w:contextualSpacing/>
      </w:pPr>
      <w:r w:rsidRPr="000216D8">
        <w:t>Personally identifiable information (PII) is collected only to the extent necessary</w:t>
      </w:r>
      <w:r w:rsidRPr="000216D8">
        <w:rPr>
          <w:vertAlign w:val="superscript"/>
        </w:rPr>
        <w:footnoteReference w:id="1"/>
      </w:r>
      <w:r w:rsidRPr="000216D8">
        <w:t xml:space="preserve"> and is not retained;</w:t>
      </w:r>
      <w:r>
        <w:t xml:space="preserve"> and</w:t>
      </w:r>
    </w:p>
    <w:p w14:paraId="2E9563CA" w14:textId="3A2D27CA" w:rsidR="00737498" w:rsidRPr="009C13B9" w:rsidRDefault="00EC046C" w:rsidP="00737498">
      <w:pPr>
        <w:numPr>
          <w:ilvl w:val="0"/>
          <w:numId w:val="26"/>
        </w:numPr>
        <w:spacing w:before="100" w:beforeAutospacing="1" w:after="100" w:afterAutospacing="1" w:line="276" w:lineRule="auto"/>
        <w:ind w:left="720"/>
        <w:contextualSpacing/>
      </w:pPr>
      <w:r w:rsidRPr="000216D8">
        <w:t>Information gathered will not be used for the purpose of substantially informing influential policy decisions</w:t>
      </w:r>
      <w:r>
        <w:t>.</w:t>
      </w:r>
      <w:r w:rsidRPr="000216D8">
        <w:rPr>
          <w:vertAlign w:val="superscript"/>
        </w:rPr>
        <w:footnoteReference w:id="2"/>
      </w:r>
    </w:p>
    <w:p w14:paraId="4210706F" w14:textId="77777777" w:rsidR="0069403B" w:rsidRDefault="0069403B" w:rsidP="00F06866">
      <w:pPr>
        <w:rPr>
          <w:b/>
        </w:rPr>
      </w:pPr>
    </w:p>
    <w:p w14:paraId="0BB62F9D" w14:textId="7EB99507" w:rsidR="000B3776" w:rsidRDefault="000B3776">
      <w:r>
        <w:br w:type="page"/>
      </w:r>
    </w:p>
    <w:p w14:paraId="30971BFD" w14:textId="1558B3DC" w:rsidR="00F24CFC" w:rsidRDefault="00737498" w:rsidP="005A0C82">
      <w:r w:rsidRPr="00EE65F3">
        <w:rPr>
          <w:b/>
        </w:rPr>
        <w:t>REQUESTED APPROVAL DATE:</w:t>
      </w:r>
      <w:r>
        <w:t xml:space="preserve">  </w:t>
      </w:r>
      <w:r w:rsidR="00431CB4">
        <w:t>November</w:t>
      </w:r>
      <w:r>
        <w:t>, 2019.</w:t>
      </w:r>
    </w:p>
    <w:p w14:paraId="7CA97D99" w14:textId="0D4463FA" w:rsidR="00737498" w:rsidRDefault="00737498" w:rsidP="005A0C82"/>
    <w:p w14:paraId="13BC1802" w14:textId="77777777" w:rsidR="00737498" w:rsidRDefault="00737498" w:rsidP="005A0C82"/>
    <w:p w14:paraId="674D52FB" w14:textId="52F09E2B" w:rsidR="0068072A" w:rsidRPr="00E410BB" w:rsidRDefault="00C12D14" w:rsidP="005A0C82">
      <w:pPr>
        <w:rPr>
          <w:b/>
          <w:bCs/>
        </w:rPr>
      </w:pPr>
      <w:r w:rsidRPr="00E410BB">
        <w:rPr>
          <w:b/>
        </w:rPr>
        <w:t xml:space="preserve">8. </w:t>
      </w:r>
      <w:r w:rsidR="00E410BB" w:rsidRPr="00E410BB">
        <w:rPr>
          <w:b/>
        </w:rPr>
        <w:t xml:space="preserve">  </w:t>
      </w:r>
      <w:r w:rsidR="0068072A" w:rsidRPr="00E410BB">
        <w:rPr>
          <w:b/>
        </w:rPr>
        <w:t xml:space="preserve">NAME OF PRA ANALYST &amp; PROGRAM CONTACT: </w:t>
      </w:r>
    </w:p>
    <w:p w14:paraId="1C7542D3" w14:textId="77777777" w:rsidR="0068072A" w:rsidRDefault="0068072A" w:rsidP="0068072A">
      <w:pPr>
        <w:rPr>
          <w:bCs/>
          <w:u w:val="single"/>
        </w:rPr>
      </w:pPr>
    </w:p>
    <w:p w14:paraId="536BAD25" w14:textId="3D310F37" w:rsidR="002B1577" w:rsidRDefault="002B1577" w:rsidP="002B1577">
      <w:pPr>
        <w:ind w:left="720"/>
      </w:pPr>
      <w:r>
        <w:t>Ila</w:t>
      </w:r>
      <w:r w:rsidR="00737498">
        <w:t xml:space="preserve"> S.</w:t>
      </w:r>
      <w:r>
        <w:t xml:space="preserve"> Mizrachi</w:t>
      </w:r>
    </w:p>
    <w:p w14:paraId="51DF53EE" w14:textId="74FA60B0" w:rsidR="00737498" w:rsidRDefault="00423F23" w:rsidP="002B1577">
      <w:pPr>
        <w:ind w:left="720"/>
      </w:pPr>
      <w:hyperlink r:id="rId8" w:history="1">
        <w:r w:rsidR="00737498" w:rsidRPr="004B3647">
          <w:rPr>
            <w:rStyle w:val="Hyperlink"/>
          </w:rPr>
          <w:t>Ila.Mizrachi@fda.hhs.gov</w:t>
        </w:r>
      </w:hyperlink>
      <w:r w:rsidR="00737498">
        <w:rPr>
          <w:rStyle w:val="Hyperlink"/>
        </w:rPr>
        <w:t xml:space="preserve"> </w:t>
      </w:r>
    </w:p>
    <w:p w14:paraId="390F61EF" w14:textId="7C212D7C" w:rsidR="002B1577" w:rsidRDefault="002B1577" w:rsidP="002B1577">
      <w:pPr>
        <w:ind w:left="720"/>
      </w:pPr>
      <w:r>
        <w:t xml:space="preserve">301-796-7726 </w:t>
      </w:r>
    </w:p>
    <w:p w14:paraId="1E2CDE60" w14:textId="77777777" w:rsidR="002B1577" w:rsidRDefault="002B1577" w:rsidP="002B1577"/>
    <w:p w14:paraId="6DD9A8E8" w14:textId="660BBC04" w:rsidR="002B1577" w:rsidRDefault="002B1577" w:rsidP="002B1577">
      <w:pPr>
        <w:ind w:left="720"/>
        <w:rPr>
          <w:bCs/>
        </w:rPr>
      </w:pPr>
      <w:r w:rsidRPr="009F317E">
        <w:t>Program Contact:</w:t>
      </w:r>
      <w:r w:rsidR="000B3776">
        <w:t xml:space="preserve"> </w:t>
      </w:r>
      <w:r>
        <w:t>Fanfan, Ph.D.</w:t>
      </w:r>
    </w:p>
    <w:p w14:paraId="04404416" w14:textId="15F70F7D" w:rsidR="00737498" w:rsidRPr="00781084" w:rsidRDefault="00423F23" w:rsidP="002B1577">
      <w:pPr>
        <w:autoSpaceDE w:val="0"/>
        <w:autoSpaceDN w:val="0"/>
        <w:ind w:left="720"/>
        <w:rPr>
          <w:rFonts w:eastAsia="Calibri"/>
          <w:noProof/>
        </w:rPr>
      </w:pPr>
      <w:hyperlink r:id="rId9" w:history="1">
        <w:r w:rsidR="00737498" w:rsidRPr="00E7583C">
          <w:rPr>
            <w:rStyle w:val="Hyperlink"/>
            <w:rFonts w:eastAsia="Calibri"/>
            <w:noProof/>
          </w:rPr>
          <w:t>Fanfan.Wu@fda.hhs.gov</w:t>
        </w:r>
      </w:hyperlink>
    </w:p>
    <w:p w14:paraId="1EDA9769" w14:textId="42BE0AEE" w:rsidR="002B1577" w:rsidRPr="00891FD3" w:rsidRDefault="002B1577" w:rsidP="002B1577">
      <w:pPr>
        <w:autoSpaceDE w:val="0"/>
        <w:autoSpaceDN w:val="0"/>
        <w:ind w:left="720"/>
        <w:rPr>
          <w:rFonts w:eastAsia="Calibri"/>
          <w:noProof/>
        </w:rPr>
      </w:pPr>
      <w:r w:rsidRPr="00781084">
        <w:rPr>
          <w:rFonts w:eastAsia="Calibri"/>
          <w:noProof/>
        </w:rPr>
        <w:t>240-402-1</w:t>
      </w:r>
      <w:r>
        <w:rPr>
          <w:rFonts w:eastAsia="Calibri"/>
          <w:noProof/>
        </w:rPr>
        <w:t>808</w:t>
      </w:r>
      <w:r w:rsidR="00737498">
        <w:rPr>
          <w:rFonts w:eastAsia="Calibri"/>
          <w:noProof/>
        </w:rPr>
        <w:t>.</w:t>
      </w:r>
      <w:r w:rsidRPr="00781084">
        <w:rPr>
          <w:rFonts w:eastAsia="Calibri"/>
          <w:noProof/>
        </w:rPr>
        <w:t xml:space="preserve">, </w:t>
      </w:r>
    </w:p>
    <w:p w14:paraId="42EF57BC" w14:textId="77777777" w:rsidR="002B1577" w:rsidRDefault="002B1577" w:rsidP="002B1577">
      <w:pPr>
        <w:tabs>
          <w:tab w:val="left" w:pos="5670"/>
        </w:tabs>
        <w:suppressAutoHyphens/>
        <w:ind w:left="720"/>
        <w:rPr>
          <w:b/>
        </w:rPr>
      </w:pPr>
    </w:p>
    <w:p w14:paraId="7457D003" w14:textId="3C2C895C" w:rsidR="0068072A" w:rsidRPr="00BD712B" w:rsidRDefault="002B1577" w:rsidP="00F712B7">
      <w:pPr>
        <w:tabs>
          <w:tab w:val="left" w:pos="5670"/>
        </w:tabs>
        <w:suppressAutoHyphens/>
        <w:ind w:left="720"/>
        <w:rPr>
          <w:b/>
        </w:rPr>
      </w:pPr>
      <w:r>
        <w:rPr>
          <w:b/>
        </w:rPr>
        <w:t xml:space="preserve">FDA CENTER: </w:t>
      </w:r>
      <w:r w:rsidRPr="00891FD3">
        <w:t>C</w:t>
      </w:r>
      <w:r w:rsidR="00737498">
        <w:t xml:space="preserve">enter for </w:t>
      </w:r>
      <w:r w:rsidRPr="00891FD3">
        <w:t>F</w:t>
      </w:r>
      <w:r w:rsidR="00737498">
        <w:t xml:space="preserve">ood </w:t>
      </w:r>
      <w:r w:rsidRPr="00891FD3">
        <w:t>S</w:t>
      </w:r>
      <w:r w:rsidR="00737498">
        <w:t xml:space="preserve">afety and </w:t>
      </w:r>
      <w:r w:rsidRPr="00891FD3">
        <w:t>A</w:t>
      </w:r>
      <w:r w:rsidR="00737498">
        <w:t xml:space="preserve">pplied </w:t>
      </w:r>
      <w:r w:rsidRPr="00891FD3">
        <w:t>N</w:t>
      </w:r>
      <w:r w:rsidR="00737498">
        <w:t>utrition</w:t>
      </w:r>
    </w:p>
    <w:sectPr w:rsidR="0068072A" w:rsidRPr="00BD712B" w:rsidSect="00053A3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1691C" w14:textId="77777777" w:rsidR="00B504AD" w:rsidRDefault="00B504AD">
      <w:r>
        <w:separator/>
      </w:r>
    </w:p>
  </w:endnote>
  <w:endnote w:type="continuationSeparator" w:id="0">
    <w:p w14:paraId="3DEE7226" w14:textId="77777777" w:rsidR="00B504AD" w:rsidRDefault="00B5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35C60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B93A8" w14:textId="77777777" w:rsidR="006F62A3" w:rsidRDefault="006F62A3" w:rsidP="00BD71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9E45A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F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DA5611" w14:textId="77777777" w:rsidR="006F62A3" w:rsidRDefault="006F62A3" w:rsidP="00BD712B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474F6" w14:textId="77777777" w:rsidR="00B504AD" w:rsidRDefault="00B504AD">
      <w:r>
        <w:separator/>
      </w:r>
    </w:p>
  </w:footnote>
  <w:footnote w:type="continuationSeparator" w:id="0">
    <w:p w14:paraId="19BF6690" w14:textId="77777777" w:rsidR="00B504AD" w:rsidRDefault="00B504AD">
      <w:r>
        <w:continuationSeparator/>
      </w:r>
    </w:p>
  </w:footnote>
  <w:footnote w:id="1">
    <w:p w14:paraId="7FC81E14" w14:textId="77777777" w:rsidR="00EC046C" w:rsidRPr="00C17E80" w:rsidRDefault="00EC046C" w:rsidP="00EC046C">
      <w:pPr>
        <w:pStyle w:val="FootnoteText"/>
        <w:rPr>
          <w:sz w:val="16"/>
          <w:szCs w:val="16"/>
        </w:rPr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For example, collections that collect PII in order to provide remuneration for participants of cognitive interviews will be submitted under this request.  All privacy act requirements will be met.</w:t>
      </w:r>
    </w:p>
  </w:footnote>
  <w:footnote w:id="2">
    <w:p w14:paraId="3B36F0EF" w14:textId="77777777" w:rsidR="00EC046C" w:rsidRPr="00C243D2" w:rsidRDefault="00EC046C" w:rsidP="00EC046C">
      <w:pPr>
        <w:pStyle w:val="FootnoteText"/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As defined in OMB and agency Information Quality Guidelines, “influential” means that “an agency can reasonably determine that dissemination of the information will have or does have a clear and substantial impact on important public policies or important private sector decisions.”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A734E" w14:textId="77777777" w:rsidR="006F62A3" w:rsidRDefault="006F6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C28BE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605649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0270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36E74"/>
    <w:multiLevelType w:val="multilevel"/>
    <w:tmpl w:val="09DCA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8C1AE9"/>
    <w:multiLevelType w:val="hybridMultilevel"/>
    <w:tmpl w:val="40D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BC7C48"/>
    <w:multiLevelType w:val="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9415D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D48F6"/>
    <w:multiLevelType w:val="hybridMultilevel"/>
    <w:tmpl w:val="B6568D6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51823"/>
    <w:multiLevelType w:val="hybridMultilevel"/>
    <w:tmpl w:val="5DA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4C4C1C"/>
    <w:multiLevelType w:val="hybridMultilevel"/>
    <w:tmpl w:val="11C622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6D913255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46221AE"/>
    <w:multiLevelType w:val="hybridMultilevel"/>
    <w:tmpl w:val="4F1C413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64F80"/>
    <w:multiLevelType w:val="multilevel"/>
    <w:tmpl w:val="6A68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5"/>
  </w:num>
  <w:num w:numId="4">
    <w:abstractNumId w:val="27"/>
  </w:num>
  <w:num w:numId="5">
    <w:abstractNumId w:val="4"/>
  </w:num>
  <w:num w:numId="6">
    <w:abstractNumId w:val="1"/>
  </w:num>
  <w:num w:numId="7">
    <w:abstractNumId w:val="11"/>
  </w:num>
  <w:num w:numId="8">
    <w:abstractNumId w:val="21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23"/>
  </w:num>
  <w:num w:numId="15">
    <w:abstractNumId w:val="19"/>
  </w:num>
  <w:num w:numId="16">
    <w:abstractNumId w:val="16"/>
  </w:num>
  <w:num w:numId="17">
    <w:abstractNumId w:val="5"/>
  </w:num>
  <w:num w:numId="18">
    <w:abstractNumId w:val="6"/>
  </w:num>
  <w:num w:numId="19">
    <w:abstractNumId w:val="3"/>
  </w:num>
  <w:num w:numId="20">
    <w:abstractNumId w:val="24"/>
  </w:num>
  <w:num w:numId="21">
    <w:abstractNumId w:val="17"/>
  </w:num>
  <w:num w:numId="22">
    <w:abstractNumId w:val="9"/>
  </w:num>
  <w:num w:numId="23">
    <w:abstractNumId w:val="14"/>
  </w:num>
  <w:num w:numId="24">
    <w:abstractNumId w:val="18"/>
  </w:num>
  <w:num w:numId="25">
    <w:abstractNumId w:val="10"/>
  </w:num>
  <w:num w:numId="26">
    <w:abstractNumId w:val="20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54B4"/>
    <w:rsid w:val="0001624D"/>
    <w:rsid w:val="00023A57"/>
    <w:rsid w:val="0003198E"/>
    <w:rsid w:val="00047A64"/>
    <w:rsid w:val="00053A3B"/>
    <w:rsid w:val="00054A94"/>
    <w:rsid w:val="00067329"/>
    <w:rsid w:val="000B152B"/>
    <w:rsid w:val="000B2838"/>
    <w:rsid w:val="000B3776"/>
    <w:rsid w:val="000D44CA"/>
    <w:rsid w:val="000E143D"/>
    <w:rsid w:val="000E200B"/>
    <w:rsid w:val="000F68BE"/>
    <w:rsid w:val="00191220"/>
    <w:rsid w:val="001927A4"/>
    <w:rsid w:val="001933D2"/>
    <w:rsid w:val="00194AC6"/>
    <w:rsid w:val="001A23B0"/>
    <w:rsid w:val="001A25CC"/>
    <w:rsid w:val="001B0AAA"/>
    <w:rsid w:val="001C39F7"/>
    <w:rsid w:val="00207B07"/>
    <w:rsid w:val="00222488"/>
    <w:rsid w:val="00231D9F"/>
    <w:rsid w:val="00237B48"/>
    <w:rsid w:val="0024521E"/>
    <w:rsid w:val="00263C3D"/>
    <w:rsid w:val="002739E8"/>
    <w:rsid w:val="00274D0B"/>
    <w:rsid w:val="00294FBE"/>
    <w:rsid w:val="002B052D"/>
    <w:rsid w:val="002B1577"/>
    <w:rsid w:val="002B34CD"/>
    <w:rsid w:val="002B3C95"/>
    <w:rsid w:val="002C1640"/>
    <w:rsid w:val="002D0B92"/>
    <w:rsid w:val="00351D1B"/>
    <w:rsid w:val="00363FA0"/>
    <w:rsid w:val="00385E93"/>
    <w:rsid w:val="003D1F3A"/>
    <w:rsid w:val="003D5BBE"/>
    <w:rsid w:val="003E3C61"/>
    <w:rsid w:val="003F1C5B"/>
    <w:rsid w:val="00416F31"/>
    <w:rsid w:val="00421D8B"/>
    <w:rsid w:val="00423F23"/>
    <w:rsid w:val="00431CB4"/>
    <w:rsid w:val="00434E33"/>
    <w:rsid w:val="00441434"/>
    <w:rsid w:val="0045264C"/>
    <w:rsid w:val="0046245F"/>
    <w:rsid w:val="004876EC"/>
    <w:rsid w:val="004A5039"/>
    <w:rsid w:val="004D6E14"/>
    <w:rsid w:val="004E0F71"/>
    <w:rsid w:val="005009B0"/>
    <w:rsid w:val="0050370B"/>
    <w:rsid w:val="0051455F"/>
    <w:rsid w:val="00545222"/>
    <w:rsid w:val="005A0C82"/>
    <w:rsid w:val="005A1006"/>
    <w:rsid w:val="005C61AE"/>
    <w:rsid w:val="005D40F1"/>
    <w:rsid w:val="005E714A"/>
    <w:rsid w:val="005F693D"/>
    <w:rsid w:val="006140A0"/>
    <w:rsid w:val="00636621"/>
    <w:rsid w:val="00642B49"/>
    <w:rsid w:val="006760E1"/>
    <w:rsid w:val="0068072A"/>
    <w:rsid w:val="006832D9"/>
    <w:rsid w:val="0069403B"/>
    <w:rsid w:val="006B18B6"/>
    <w:rsid w:val="006D2A9A"/>
    <w:rsid w:val="006E557A"/>
    <w:rsid w:val="006E6834"/>
    <w:rsid w:val="006F3DDE"/>
    <w:rsid w:val="006F62A3"/>
    <w:rsid w:val="007020E8"/>
    <w:rsid w:val="00704678"/>
    <w:rsid w:val="00737498"/>
    <w:rsid w:val="00741B94"/>
    <w:rsid w:val="007425E7"/>
    <w:rsid w:val="007506A9"/>
    <w:rsid w:val="00791FAF"/>
    <w:rsid w:val="007C33A1"/>
    <w:rsid w:val="007E7499"/>
    <w:rsid w:val="007F7080"/>
    <w:rsid w:val="00802607"/>
    <w:rsid w:val="008101A5"/>
    <w:rsid w:val="00810AA0"/>
    <w:rsid w:val="00810AFB"/>
    <w:rsid w:val="00822664"/>
    <w:rsid w:val="00824A55"/>
    <w:rsid w:val="00843796"/>
    <w:rsid w:val="008612AB"/>
    <w:rsid w:val="008662D3"/>
    <w:rsid w:val="00870B98"/>
    <w:rsid w:val="008942BB"/>
    <w:rsid w:val="00895229"/>
    <w:rsid w:val="008B215C"/>
    <w:rsid w:val="008B2EB3"/>
    <w:rsid w:val="008B688A"/>
    <w:rsid w:val="008F0203"/>
    <w:rsid w:val="008F50D4"/>
    <w:rsid w:val="009239AA"/>
    <w:rsid w:val="00935ADA"/>
    <w:rsid w:val="00946B6C"/>
    <w:rsid w:val="00955A71"/>
    <w:rsid w:val="0096108F"/>
    <w:rsid w:val="009C13B9"/>
    <w:rsid w:val="009C43DB"/>
    <w:rsid w:val="009D01A2"/>
    <w:rsid w:val="009E5BE5"/>
    <w:rsid w:val="009E5F83"/>
    <w:rsid w:val="009F317E"/>
    <w:rsid w:val="009F4425"/>
    <w:rsid w:val="009F5923"/>
    <w:rsid w:val="00A23D54"/>
    <w:rsid w:val="00A403BB"/>
    <w:rsid w:val="00A674DF"/>
    <w:rsid w:val="00A83AA6"/>
    <w:rsid w:val="00A934D6"/>
    <w:rsid w:val="00A94B97"/>
    <w:rsid w:val="00AB322F"/>
    <w:rsid w:val="00AE1809"/>
    <w:rsid w:val="00AF1F96"/>
    <w:rsid w:val="00AF2C10"/>
    <w:rsid w:val="00B40419"/>
    <w:rsid w:val="00B504AD"/>
    <w:rsid w:val="00B52C67"/>
    <w:rsid w:val="00B74594"/>
    <w:rsid w:val="00B80D76"/>
    <w:rsid w:val="00B832B2"/>
    <w:rsid w:val="00B97662"/>
    <w:rsid w:val="00BA2105"/>
    <w:rsid w:val="00BA7E06"/>
    <w:rsid w:val="00BB43B5"/>
    <w:rsid w:val="00BB6219"/>
    <w:rsid w:val="00BD290F"/>
    <w:rsid w:val="00BD712B"/>
    <w:rsid w:val="00C12D14"/>
    <w:rsid w:val="00C14CC4"/>
    <w:rsid w:val="00C16FE6"/>
    <w:rsid w:val="00C24B5B"/>
    <w:rsid w:val="00C26B7F"/>
    <w:rsid w:val="00C30E33"/>
    <w:rsid w:val="00C33C52"/>
    <w:rsid w:val="00C40D8B"/>
    <w:rsid w:val="00C8407A"/>
    <w:rsid w:val="00C8488C"/>
    <w:rsid w:val="00C86E91"/>
    <w:rsid w:val="00CA2650"/>
    <w:rsid w:val="00CA275E"/>
    <w:rsid w:val="00CB1078"/>
    <w:rsid w:val="00CB4858"/>
    <w:rsid w:val="00CC6FAF"/>
    <w:rsid w:val="00CF6542"/>
    <w:rsid w:val="00D12BBD"/>
    <w:rsid w:val="00D21247"/>
    <w:rsid w:val="00D24698"/>
    <w:rsid w:val="00D6383F"/>
    <w:rsid w:val="00D77434"/>
    <w:rsid w:val="00D91921"/>
    <w:rsid w:val="00DB18AE"/>
    <w:rsid w:val="00DB36CD"/>
    <w:rsid w:val="00DB59D0"/>
    <w:rsid w:val="00DC02BB"/>
    <w:rsid w:val="00DC33D3"/>
    <w:rsid w:val="00E11AEA"/>
    <w:rsid w:val="00E26329"/>
    <w:rsid w:val="00E359E5"/>
    <w:rsid w:val="00E40B50"/>
    <w:rsid w:val="00E410BB"/>
    <w:rsid w:val="00E50293"/>
    <w:rsid w:val="00E65FFC"/>
    <w:rsid w:val="00E744EA"/>
    <w:rsid w:val="00E80951"/>
    <w:rsid w:val="00E86CC6"/>
    <w:rsid w:val="00E946A3"/>
    <w:rsid w:val="00EB56B3"/>
    <w:rsid w:val="00EC046C"/>
    <w:rsid w:val="00ED6492"/>
    <w:rsid w:val="00EE65F3"/>
    <w:rsid w:val="00EF2095"/>
    <w:rsid w:val="00F06866"/>
    <w:rsid w:val="00F15956"/>
    <w:rsid w:val="00F23FDF"/>
    <w:rsid w:val="00F24CFC"/>
    <w:rsid w:val="00F3170F"/>
    <w:rsid w:val="00F60EE9"/>
    <w:rsid w:val="00F6592E"/>
    <w:rsid w:val="00F712B7"/>
    <w:rsid w:val="00F77390"/>
    <w:rsid w:val="00F90F07"/>
    <w:rsid w:val="00F976B0"/>
    <w:rsid w:val="00FA6DE7"/>
    <w:rsid w:val="00FB6919"/>
    <w:rsid w:val="00FC0A8E"/>
    <w:rsid w:val="00FD5348"/>
    <w:rsid w:val="00FE2FA6"/>
    <w:rsid w:val="00FE3DF2"/>
    <w:rsid w:val="00FE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4F6E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  <w:style w:type="character" w:styleId="Hyperlink">
    <w:name w:val="Hyperlink"/>
    <w:rsid w:val="002B15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  <w:style w:type="character" w:styleId="Hyperlink">
    <w:name w:val="Hyperlink"/>
    <w:rsid w:val="002B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.Mizrachi@fda.hhs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nfan.Wu@fda.hh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2012-01-20T22:21:00Z</cp:lastPrinted>
  <dcterms:created xsi:type="dcterms:W3CDTF">2019-11-06T19:43:00Z</dcterms:created>
  <dcterms:modified xsi:type="dcterms:W3CDTF">2019-11-06T19:43:00Z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