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20DBA" w14:textId="77777777" w:rsidR="004A76F5" w:rsidRPr="00B701E8" w:rsidRDefault="004A76F5" w:rsidP="00493868">
      <w:pPr>
        <w:tabs>
          <w:tab w:val="left" w:pos="540"/>
        </w:tabs>
        <w:ind w:left="540" w:hanging="540"/>
        <w:jc w:val="center"/>
        <w:rPr>
          <w:b/>
          <w:sz w:val="24"/>
          <w:szCs w:val="24"/>
        </w:rPr>
      </w:pPr>
      <w:bookmarkStart w:id="0" w:name="_GoBack"/>
      <w:bookmarkEnd w:id="0"/>
      <w:r w:rsidRPr="00B701E8">
        <w:rPr>
          <w:b/>
          <w:sz w:val="24"/>
          <w:szCs w:val="24"/>
        </w:rPr>
        <w:t>SUPPORTING STATEMENT</w:t>
      </w:r>
    </w:p>
    <w:p w14:paraId="46A5794D" w14:textId="77777777"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14:paraId="552B6BEB" w14:textId="77777777" w:rsidR="004A76F5" w:rsidRPr="00B701E8" w:rsidRDefault="004A76F5" w:rsidP="00493868">
      <w:pPr>
        <w:tabs>
          <w:tab w:val="left" w:pos="540"/>
        </w:tabs>
        <w:ind w:left="540" w:hanging="540"/>
        <w:jc w:val="center"/>
        <w:rPr>
          <w:b/>
          <w:sz w:val="24"/>
          <w:szCs w:val="24"/>
        </w:rPr>
      </w:pPr>
      <w:r w:rsidRPr="00B701E8">
        <w:rPr>
          <w:b/>
          <w:sz w:val="24"/>
          <w:szCs w:val="24"/>
        </w:rPr>
        <w:t>National Oceanic &amp; Atmospheric Administration</w:t>
      </w:r>
    </w:p>
    <w:p w14:paraId="7DD7F441" w14:textId="77777777" w:rsidR="004A76F5" w:rsidRPr="00B701E8" w:rsidRDefault="002A0C93" w:rsidP="00493868">
      <w:pPr>
        <w:tabs>
          <w:tab w:val="left" w:pos="540"/>
        </w:tabs>
        <w:ind w:left="540" w:hanging="540"/>
        <w:jc w:val="center"/>
        <w:rPr>
          <w:b/>
          <w:sz w:val="24"/>
          <w:szCs w:val="24"/>
        </w:rPr>
      </w:pPr>
      <w:r>
        <w:rPr>
          <w:b/>
          <w:sz w:val="24"/>
          <w:szCs w:val="24"/>
        </w:rPr>
        <w:t>Atlantic Herring Amendment 5 Data Collection</w:t>
      </w:r>
    </w:p>
    <w:p w14:paraId="60C2524E" w14:textId="77777777" w:rsidR="004A76F5" w:rsidRPr="00B701E8" w:rsidRDefault="002A0C93" w:rsidP="00493868">
      <w:pPr>
        <w:tabs>
          <w:tab w:val="left" w:pos="540"/>
        </w:tabs>
        <w:ind w:left="540" w:hanging="540"/>
        <w:jc w:val="center"/>
        <w:rPr>
          <w:b/>
          <w:sz w:val="24"/>
          <w:szCs w:val="24"/>
        </w:rPr>
      </w:pPr>
      <w:r>
        <w:rPr>
          <w:b/>
          <w:sz w:val="24"/>
          <w:szCs w:val="24"/>
        </w:rPr>
        <w:t>OMB Control No. 0648-0674</w:t>
      </w:r>
    </w:p>
    <w:p w14:paraId="19DC5B5F" w14:textId="77777777" w:rsidR="004F26E9" w:rsidRDefault="004F26E9" w:rsidP="00493868">
      <w:pPr>
        <w:tabs>
          <w:tab w:val="left" w:pos="540"/>
        </w:tabs>
        <w:ind w:left="540" w:hanging="540"/>
        <w:rPr>
          <w:sz w:val="24"/>
          <w:szCs w:val="24"/>
        </w:rPr>
      </w:pPr>
    </w:p>
    <w:p w14:paraId="35AA079B" w14:textId="77777777" w:rsidR="004F26E9" w:rsidRDefault="004F26E9" w:rsidP="00493868">
      <w:pPr>
        <w:tabs>
          <w:tab w:val="left" w:pos="540"/>
        </w:tabs>
        <w:ind w:left="540" w:hanging="540"/>
        <w:rPr>
          <w:sz w:val="24"/>
          <w:szCs w:val="24"/>
        </w:rPr>
      </w:pPr>
    </w:p>
    <w:p w14:paraId="56F292B5" w14:textId="77777777"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14:paraId="32F31BF2" w14:textId="77777777" w:rsidR="004F26E9" w:rsidRDefault="004F26E9" w:rsidP="00493868">
      <w:pPr>
        <w:tabs>
          <w:tab w:val="left" w:pos="540"/>
        </w:tabs>
        <w:ind w:left="540" w:hanging="540"/>
        <w:rPr>
          <w:sz w:val="24"/>
          <w:szCs w:val="24"/>
        </w:rPr>
      </w:pPr>
    </w:p>
    <w:p w14:paraId="3383E5DC" w14:textId="77777777"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14:paraId="661605AE" w14:textId="77777777"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14:paraId="75E4DF77" w14:textId="77777777"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14:paraId="685DD0B7" w14:textId="77777777" w:rsidR="004F26E9" w:rsidRDefault="004F26E9" w:rsidP="0020448B">
      <w:pPr>
        <w:rPr>
          <w:sz w:val="24"/>
          <w:szCs w:val="24"/>
        </w:rPr>
      </w:pPr>
    </w:p>
    <w:p w14:paraId="721CD950" w14:textId="77777777" w:rsidR="002A0C93" w:rsidRPr="002A0C93" w:rsidRDefault="002A0C93" w:rsidP="002A0C93">
      <w:pPr>
        <w:rPr>
          <w:sz w:val="24"/>
          <w:szCs w:val="24"/>
        </w:rPr>
      </w:pPr>
      <w:r w:rsidRPr="002A0C93">
        <w:rPr>
          <w:sz w:val="24"/>
          <w:szCs w:val="24"/>
        </w:rPr>
        <w:t xml:space="preserve">This request is for a revision, per RIN 0648-BG91, of the information collection to support regulatory requirements of the Atlantic Herring Fishery Management Plan (FMP).  FMPs for Federal Fisheries managed under the National Ocean and Atmospheric Administration’s (NOAA) National Marine Fisheries Service (NMFS) are developed under the authority of the </w:t>
      </w:r>
      <w:hyperlink r:id="rId10" w:history="1">
        <w:r w:rsidRPr="002A0C93">
          <w:rPr>
            <w:rStyle w:val="Hyperlink"/>
            <w:sz w:val="24"/>
            <w:szCs w:val="24"/>
          </w:rPr>
          <w:t>Magnuson-Stevens Fishery Conservation and Management Act</w:t>
        </w:r>
      </w:hyperlink>
      <w:r w:rsidRPr="002A0C93">
        <w:rPr>
          <w:sz w:val="24"/>
          <w:szCs w:val="24"/>
        </w:rPr>
        <w:t xml:space="preserve"> (Magnuson-Stevens Act).  </w:t>
      </w:r>
    </w:p>
    <w:p w14:paraId="57C9D449" w14:textId="77777777" w:rsidR="002A0C93" w:rsidRPr="002A0C93" w:rsidRDefault="002A0C93" w:rsidP="002A0C93">
      <w:pPr>
        <w:rPr>
          <w:sz w:val="24"/>
          <w:szCs w:val="24"/>
        </w:rPr>
      </w:pPr>
    </w:p>
    <w:p w14:paraId="74E1E908" w14:textId="77777777" w:rsidR="002A0C93" w:rsidRPr="002A0C93" w:rsidRDefault="002A0C93" w:rsidP="002A0C93">
      <w:pPr>
        <w:rPr>
          <w:rFonts w:eastAsia="Calibri"/>
          <w:bCs/>
          <w:iCs/>
          <w:sz w:val="24"/>
          <w:szCs w:val="24"/>
        </w:rPr>
      </w:pPr>
      <w:r w:rsidRPr="002A0C93">
        <w:rPr>
          <w:sz w:val="24"/>
          <w:szCs w:val="24"/>
        </w:rPr>
        <w:t xml:space="preserve">Amendment 5 to the Atlantic Herring FMP (Amendment 5) </w:t>
      </w:r>
      <w:r w:rsidRPr="002A0C93">
        <w:rPr>
          <w:rFonts w:eastAsia="Calibri"/>
          <w:bCs/>
          <w:iCs/>
          <w:sz w:val="24"/>
          <w:szCs w:val="24"/>
        </w:rPr>
        <w:t xml:space="preserve">was developed by the New England Fishery Management Council (Council) to </w:t>
      </w:r>
      <w:r w:rsidRPr="002A0C93">
        <w:rPr>
          <w:rFonts w:eastAsia="Calibri"/>
          <w:bCs/>
          <w:iCs/>
          <w:sz w:val="24"/>
          <w:szCs w:val="24"/>
          <w:lang w:val="en-CA"/>
        </w:rPr>
        <w:t>improve the collection of real-time and accurate catch information for the Atlantic herring fishery; enhance the monitoring and sampling of catch at-sea; and address bycatch issues, in particular bycatch of river herrings and shads, through responsible management.</w:t>
      </w:r>
    </w:p>
    <w:p w14:paraId="19B5C30E" w14:textId="77777777" w:rsidR="002A0C93" w:rsidRPr="002A0C93" w:rsidRDefault="002A0C93" w:rsidP="002A0C93">
      <w:pPr>
        <w:rPr>
          <w:sz w:val="24"/>
          <w:szCs w:val="24"/>
        </w:rPr>
      </w:pPr>
    </w:p>
    <w:p w14:paraId="6D08C055" w14:textId="77777777" w:rsidR="002A0C93" w:rsidRPr="002A0C93" w:rsidRDefault="002A0C93" w:rsidP="002A0C93">
      <w:pPr>
        <w:rPr>
          <w:sz w:val="24"/>
          <w:szCs w:val="24"/>
        </w:rPr>
      </w:pPr>
      <w:r w:rsidRPr="002A0C93">
        <w:rPr>
          <w:sz w:val="24"/>
          <w:szCs w:val="24"/>
        </w:rPr>
        <w:t>The items outlined in this information collection include:</w:t>
      </w:r>
    </w:p>
    <w:p w14:paraId="3CC1EB5C" w14:textId="3FEE134D" w:rsidR="002A0C93" w:rsidRPr="002A0C93" w:rsidRDefault="002A0C93" w:rsidP="002A0C93">
      <w:pPr>
        <w:numPr>
          <w:ilvl w:val="0"/>
          <w:numId w:val="3"/>
        </w:numPr>
        <w:rPr>
          <w:sz w:val="24"/>
          <w:szCs w:val="24"/>
        </w:rPr>
      </w:pPr>
      <w:r w:rsidRPr="002A0C93">
        <w:rPr>
          <w:sz w:val="24"/>
          <w:szCs w:val="24"/>
        </w:rPr>
        <w:t>Observer notification requirement for permitted herring vessels;</w:t>
      </w:r>
      <w:r w:rsidR="001B757A">
        <w:rPr>
          <w:sz w:val="24"/>
          <w:szCs w:val="24"/>
        </w:rPr>
        <w:t xml:space="preserve"> and</w:t>
      </w:r>
    </w:p>
    <w:p w14:paraId="766EF081" w14:textId="77777777" w:rsidR="002A0C93" w:rsidRPr="002A0C93" w:rsidRDefault="002A0C93" w:rsidP="002A0C93">
      <w:pPr>
        <w:numPr>
          <w:ilvl w:val="0"/>
          <w:numId w:val="4"/>
        </w:numPr>
        <w:rPr>
          <w:sz w:val="24"/>
          <w:szCs w:val="24"/>
        </w:rPr>
      </w:pPr>
      <w:r w:rsidRPr="002A0C93">
        <w:rPr>
          <w:sz w:val="24"/>
          <w:szCs w:val="24"/>
        </w:rPr>
        <w:t>Requirement for vessel captains to submit a Released Catch Affidavit form documenting slippage events.</w:t>
      </w:r>
    </w:p>
    <w:p w14:paraId="190D6BAB" w14:textId="77777777" w:rsidR="002A0C93" w:rsidRPr="002A0C93" w:rsidRDefault="002A0C93" w:rsidP="002A0C93">
      <w:pPr>
        <w:rPr>
          <w:sz w:val="24"/>
          <w:szCs w:val="24"/>
        </w:rPr>
      </w:pPr>
    </w:p>
    <w:p w14:paraId="32E83AB1" w14:textId="77777777" w:rsidR="002A0C93" w:rsidRPr="002A0C93" w:rsidRDefault="002A0C93" w:rsidP="002A0C93">
      <w:pPr>
        <w:rPr>
          <w:rFonts w:eastAsia="Calibri"/>
          <w:bCs/>
          <w:iCs/>
          <w:sz w:val="24"/>
          <w:szCs w:val="24"/>
        </w:rPr>
      </w:pPr>
      <w:r w:rsidRPr="002A0C93">
        <w:rPr>
          <w:sz w:val="24"/>
          <w:szCs w:val="24"/>
        </w:rPr>
        <w:t xml:space="preserve">Revision: The Industry Funded Monitoring (IFM) Amendment </w:t>
      </w:r>
      <w:r w:rsidRPr="002A0C93">
        <w:rPr>
          <w:rFonts w:eastAsia="Calibri"/>
          <w:bCs/>
          <w:iCs/>
          <w:sz w:val="24"/>
          <w:szCs w:val="24"/>
        </w:rPr>
        <w:t xml:space="preserve">was developed by the New England Fishery Management Council (Council) to </w:t>
      </w:r>
      <w:r w:rsidRPr="002A0C93">
        <w:rPr>
          <w:sz w:val="24"/>
          <w:szCs w:val="24"/>
        </w:rPr>
        <w:t xml:space="preserve">increase monitoring, above levels required by the Standardized Bycatch Reporting Methodology (SBRM), in certain FMPs, to assess the amount and type of catch and to reduce variability around catch estimates.  This amendment would create a structure by which industry funding would be used in conjunction with available Federal funding to pay for additional monitoring to meet FMP-specific coverage targets.  </w:t>
      </w:r>
    </w:p>
    <w:p w14:paraId="12205B4A" w14:textId="77777777" w:rsidR="0020448B" w:rsidRPr="002A0C93" w:rsidRDefault="0020448B" w:rsidP="0020448B">
      <w:pPr>
        <w:rPr>
          <w:sz w:val="24"/>
          <w:szCs w:val="24"/>
        </w:rPr>
      </w:pPr>
    </w:p>
    <w:p w14:paraId="7E5AE831" w14:textId="77777777" w:rsidR="002A0C93" w:rsidRPr="002A0C93" w:rsidRDefault="002A0C93" w:rsidP="002A0C93">
      <w:pPr>
        <w:rPr>
          <w:sz w:val="24"/>
          <w:szCs w:val="24"/>
        </w:rPr>
      </w:pPr>
      <w:r w:rsidRPr="002A0C93">
        <w:rPr>
          <w:sz w:val="24"/>
          <w:szCs w:val="24"/>
        </w:rPr>
        <w:t>The items outlined in this information collection include:</w:t>
      </w:r>
    </w:p>
    <w:p w14:paraId="008A967E" w14:textId="77777777" w:rsidR="002A0C93" w:rsidRPr="002A0C93" w:rsidRDefault="002A0C93" w:rsidP="002A0C93">
      <w:pPr>
        <w:numPr>
          <w:ilvl w:val="0"/>
          <w:numId w:val="3"/>
        </w:numPr>
        <w:rPr>
          <w:sz w:val="24"/>
          <w:szCs w:val="24"/>
        </w:rPr>
      </w:pPr>
      <w:r w:rsidRPr="002A0C93">
        <w:rPr>
          <w:sz w:val="24"/>
          <w:szCs w:val="24"/>
        </w:rPr>
        <w:t>Change from a phone-based observer pre-trip notification system (PTNS) to a web-based system (PTNS 2.0);</w:t>
      </w:r>
    </w:p>
    <w:p w14:paraId="5FBC0875" w14:textId="77777777" w:rsidR="002A0C93" w:rsidRPr="002A0C93" w:rsidRDefault="002A0C93" w:rsidP="002A0C93">
      <w:pPr>
        <w:numPr>
          <w:ilvl w:val="0"/>
          <w:numId w:val="3"/>
        </w:numPr>
        <w:rPr>
          <w:sz w:val="24"/>
          <w:szCs w:val="24"/>
        </w:rPr>
      </w:pPr>
      <w:r w:rsidRPr="002A0C93">
        <w:rPr>
          <w:sz w:val="24"/>
          <w:szCs w:val="24"/>
        </w:rPr>
        <w:t xml:space="preserve">A requirement that Category A and B Atlantic herring permit holders contribute up to $710 per sea day to cover IFM at-sea monitor (ASM) costs on trips selected for coverage (50% coverage target); </w:t>
      </w:r>
    </w:p>
    <w:p w14:paraId="4B9D628C" w14:textId="77777777" w:rsidR="002A0C93" w:rsidRPr="002A0C93" w:rsidRDefault="002A0C93" w:rsidP="002A0C93">
      <w:pPr>
        <w:numPr>
          <w:ilvl w:val="0"/>
          <w:numId w:val="3"/>
        </w:numPr>
        <w:rPr>
          <w:sz w:val="24"/>
          <w:szCs w:val="24"/>
        </w:rPr>
      </w:pPr>
      <w:r w:rsidRPr="002A0C93">
        <w:rPr>
          <w:sz w:val="24"/>
          <w:szCs w:val="24"/>
        </w:rPr>
        <w:t>The option for Category A and B Atlantic herring permit holders that fish with midwater trawl gear to contribute up to $818 per sea day for an IFM observer.  This would allow the vessel to fish in groundfish closed areas;</w:t>
      </w:r>
    </w:p>
    <w:p w14:paraId="6FDA6554" w14:textId="77777777" w:rsidR="002A0C93" w:rsidRPr="002A0C93" w:rsidRDefault="002A0C93" w:rsidP="002A0C93">
      <w:pPr>
        <w:numPr>
          <w:ilvl w:val="0"/>
          <w:numId w:val="4"/>
        </w:numPr>
        <w:rPr>
          <w:sz w:val="24"/>
          <w:szCs w:val="24"/>
        </w:rPr>
      </w:pPr>
      <w:r w:rsidRPr="002A0C93">
        <w:rPr>
          <w:sz w:val="24"/>
          <w:szCs w:val="24"/>
        </w:rPr>
        <w:t>Requirements for IFM monitor service providers.</w:t>
      </w:r>
    </w:p>
    <w:p w14:paraId="286E4ADE" w14:textId="77777777" w:rsidR="004F26E9" w:rsidRDefault="004F26E9" w:rsidP="0020448B">
      <w:pPr>
        <w:rPr>
          <w:sz w:val="24"/>
          <w:szCs w:val="24"/>
        </w:rPr>
      </w:pPr>
    </w:p>
    <w:p w14:paraId="2A3AEA29" w14:textId="77777777" w:rsidR="00AB0379" w:rsidRDefault="00AB0379" w:rsidP="0020448B">
      <w:pPr>
        <w:rPr>
          <w:sz w:val="24"/>
          <w:szCs w:val="24"/>
        </w:rPr>
      </w:pPr>
      <w:r>
        <w:rPr>
          <w:sz w:val="24"/>
          <w:szCs w:val="24"/>
        </w:rPr>
        <w:t xml:space="preserve">This revision also removes the following </w:t>
      </w:r>
      <w:r w:rsidR="00E16327">
        <w:rPr>
          <w:sz w:val="24"/>
          <w:szCs w:val="24"/>
        </w:rPr>
        <w:t>previously approved information collection requirements:</w:t>
      </w:r>
    </w:p>
    <w:p w14:paraId="3135F39F" w14:textId="1B995F65" w:rsidR="00AB0379" w:rsidRDefault="00AB0379" w:rsidP="00AB0379">
      <w:pPr>
        <w:numPr>
          <w:ilvl w:val="0"/>
          <w:numId w:val="3"/>
        </w:numPr>
        <w:rPr>
          <w:sz w:val="24"/>
          <w:szCs w:val="24"/>
        </w:rPr>
      </w:pPr>
      <w:r w:rsidRPr="002A0C93">
        <w:rPr>
          <w:sz w:val="24"/>
          <w:szCs w:val="24"/>
        </w:rPr>
        <w:lastRenderedPageBreak/>
        <w:t>Provisions for renewal of open access herring Category E permits with 20,000 lb possession limit in Areas 2/3 for limited access mackerel permit holders;</w:t>
      </w:r>
    </w:p>
    <w:p w14:paraId="65ED78B6" w14:textId="1921A1FB" w:rsidR="003A2C6C" w:rsidRPr="002A0C93" w:rsidRDefault="003A2C6C" w:rsidP="00AB0379">
      <w:pPr>
        <w:numPr>
          <w:ilvl w:val="0"/>
          <w:numId w:val="3"/>
        </w:numPr>
        <w:rPr>
          <w:sz w:val="24"/>
          <w:szCs w:val="24"/>
        </w:rPr>
      </w:pPr>
      <w:r>
        <w:rPr>
          <w:sz w:val="24"/>
          <w:szCs w:val="24"/>
        </w:rPr>
        <w:t>Provisions for maintaining a herring at-sea dealer permit;</w:t>
      </w:r>
    </w:p>
    <w:p w14:paraId="2DE7899E" w14:textId="77777777" w:rsidR="00AB0379" w:rsidRPr="002A0C93" w:rsidRDefault="00AB0379" w:rsidP="00AB0379">
      <w:pPr>
        <w:numPr>
          <w:ilvl w:val="0"/>
          <w:numId w:val="3"/>
        </w:numPr>
        <w:rPr>
          <w:sz w:val="24"/>
          <w:szCs w:val="24"/>
        </w:rPr>
      </w:pPr>
      <w:r w:rsidRPr="002A0C93">
        <w:rPr>
          <w:sz w:val="24"/>
          <w:szCs w:val="24"/>
        </w:rPr>
        <w:t xml:space="preserve">Requirement for vessels with herring permits to submit herring pre-landing notifications through onboard vessel monitoring systems (VMS); </w:t>
      </w:r>
    </w:p>
    <w:p w14:paraId="26974BF1" w14:textId="21878926" w:rsidR="00AB0379" w:rsidRPr="002A0C93" w:rsidRDefault="00AB0379" w:rsidP="00AB0379">
      <w:pPr>
        <w:numPr>
          <w:ilvl w:val="0"/>
          <w:numId w:val="3"/>
        </w:numPr>
        <w:rPr>
          <w:sz w:val="24"/>
          <w:szCs w:val="24"/>
        </w:rPr>
      </w:pPr>
      <w:r w:rsidRPr="002A0C93">
        <w:rPr>
          <w:sz w:val="24"/>
          <w:szCs w:val="24"/>
        </w:rPr>
        <w:t>The option to use VMS to declare into the herring fishery in lieu of applying for a Letter of Authorization (LOA) for herring carriers;</w:t>
      </w:r>
      <w:r w:rsidR="001B757A">
        <w:rPr>
          <w:sz w:val="24"/>
          <w:szCs w:val="24"/>
        </w:rPr>
        <w:t xml:space="preserve"> and</w:t>
      </w:r>
    </w:p>
    <w:p w14:paraId="1549125A" w14:textId="7BB0D7B0" w:rsidR="00AB0379" w:rsidRPr="002A0C93" w:rsidRDefault="00AB0379" w:rsidP="00AB0379">
      <w:pPr>
        <w:numPr>
          <w:ilvl w:val="0"/>
          <w:numId w:val="3"/>
        </w:numPr>
        <w:rPr>
          <w:sz w:val="24"/>
          <w:szCs w:val="24"/>
        </w:rPr>
      </w:pPr>
      <w:r w:rsidRPr="002A0C93">
        <w:rPr>
          <w:sz w:val="24"/>
          <w:szCs w:val="24"/>
        </w:rPr>
        <w:t>Gear declarations for limited access herring vessels</w:t>
      </w:r>
      <w:r w:rsidR="001B757A">
        <w:rPr>
          <w:sz w:val="24"/>
          <w:szCs w:val="24"/>
        </w:rPr>
        <w:t>.</w:t>
      </w:r>
    </w:p>
    <w:p w14:paraId="2F51CA35" w14:textId="77777777" w:rsidR="002A0C93" w:rsidRDefault="002A0C93" w:rsidP="0020448B">
      <w:pPr>
        <w:rPr>
          <w:sz w:val="24"/>
          <w:szCs w:val="24"/>
        </w:rPr>
      </w:pPr>
    </w:p>
    <w:p w14:paraId="6FC71FFA" w14:textId="3D18DDBB" w:rsidR="00AB0379" w:rsidRDefault="00AB0379" w:rsidP="0020448B">
      <w:pPr>
        <w:rPr>
          <w:sz w:val="24"/>
          <w:szCs w:val="24"/>
        </w:rPr>
      </w:pPr>
      <w:r>
        <w:rPr>
          <w:sz w:val="24"/>
          <w:szCs w:val="24"/>
        </w:rPr>
        <w:t>These items are being r</w:t>
      </w:r>
      <w:r w:rsidR="001B757A">
        <w:rPr>
          <w:sz w:val="24"/>
          <w:szCs w:val="24"/>
        </w:rPr>
        <w:t>emoved because it was discovered</w:t>
      </w:r>
      <w:r>
        <w:rPr>
          <w:sz w:val="24"/>
          <w:szCs w:val="24"/>
        </w:rPr>
        <w:t xml:space="preserve"> that they are </w:t>
      </w:r>
      <w:r w:rsidR="00FF3E98">
        <w:rPr>
          <w:sz w:val="24"/>
          <w:szCs w:val="24"/>
        </w:rPr>
        <w:t xml:space="preserve">now </w:t>
      </w:r>
      <w:r>
        <w:rPr>
          <w:sz w:val="24"/>
          <w:szCs w:val="24"/>
        </w:rPr>
        <w:t xml:space="preserve">being collected under </w:t>
      </w:r>
      <w:r w:rsidR="001B757A">
        <w:rPr>
          <w:sz w:val="24"/>
          <w:szCs w:val="24"/>
        </w:rPr>
        <w:t xml:space="preserve">OMB Control No. </w:t>
      </w:r>
      <w:r>
        <w:rPr>
          <w:sz w:val="24"/>
          <w:szCs w:val="24"/>
        </w:rPr>
        <w:t>0648-0202</w:t>
      </w:r>
      <w:r w:rsidR="003A2C6C">
        <w:rPr>
          <w:sz w:val="24"/>
          <w:szCs w:val="24"/>
        </w:rPr>
        <w:t>,</w:t>
      </w:r>
      <w:r w:rsidR="001E1107">
        <w:rPr>
          <w:sz w:val="24"/>
          <w:szCs w:val="24"/>
        </w:rPr>
        <w:t xml:space="preserve"> </w:t>
      </w:r>
      <w:r w:rsidR="001B757A">
        <w:rPr>
          <w:sz w:val="24"/>
          <w:szCs w:val="24"/>
        </w:rPr>
        <w:t>OMB Control No. 0648-0212</w:t>
      </w:r>
      <w:r w:rsidR="003A2C6C">
        <w:rPr>
          <w:sz w:val="24"/>
          <w:szCs w:val="24"/>
        </w:rPr>
        <w:t>, and OMB Control No. 0648-0229</w:t>
      </w:r>
      <w:r>
        <w:rPr>
          <w:sz w:val="24"/>
          <w:szCs w:val="24"/>
        </w:rPr>
        <w:t>.  If they remain in this collec</w:t>
      </w:r>
      <w:r w:rsidR="00292491">
        <w:rPr>
          <w:sz w:val="24"/>
          <w:szCs w:val="24"/>
        </w:rPr>
        <w:t>tion, responses and burdens would</w:t>
      </w:r>
      <w:r>
        <w:rPr>
          <w:sz w:val="24"/>
          <w:szCs w:val="24"/>
        </w:rPr>
        <w:t xml:space="preserve"> be double counted.</w:t>
      </w:r>
    </w:p>
    <w:p w14:paraId="4522BA06" w14:textId="77777777" w:rsidR="00AB0379" w:rsidRDefault="00AB0379" w:rsidP="0020448B">
      <w:pPr>
        <w:rPr>
          <w:sz w:val="24"/>
          <w:szCs w:val="24"/>
        </w:rPr>
      </w:pPr>
    </w:p>
    <w:p w14:paraId="604749ED" w14:textId="77777777" w:rsidR="00493868" w:rsidRDefault="00493868" w:rsidP="00493868">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p>
    <w:p w14:paraId="29EBE975" w14:textId="77777777" w:rsidR="004F26E9" w:rsidRDefault="00493868" w:rsidP="00493868">
      <w:pPr>
        <w:tabs>
          <w:tab w:val="left" w:pos="540"/>
        </w:tabs>
        <w:ind w:left="540" w:hanging="540"/>
        <w:rPr>
          <w:sz w:val="24"/>
          <w:szCs w:val="24"/>
        </w:rPr>
      </w:pP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14:paraId="5A67F79B" w14:textId="77777777" w:rsidR="004F26E9" w:rsidRDefault="004F26E9" w:rsidP="0020448B">
      <w:pPr>
        <w:rPr>
          <w:sz w:val="24"/>
          <w:szCs w:val="24"/>
        </w:rPr>
      </w:pPr>
    </w:p>
    <w:p w14:paraId="6192E7CC" w14:textId="77777777" w:rsidR="002A0C93" w:rsidRPr="002A0C93" w:rsidRDefault="002A0C93" w:rsidP="002A0C93">
      <w:pPr>
        <w:rPr>
          <w:sz w:val="24"/>
          <w:szCs w:val="24"/>
        </w:rPr>
      </w:pPr>
      <w:r w:rsidRPr="002A0C93">
        <w:rPr>
          <w:sz w:val="24"/>
          <w:szCs w:val="24"/>
        </w:rPr>
        <w:t>The information collections for the IFM Amendment are being used by several offices of NMFS, the USCG, the New England Fishery Management Council (NEFMC), state fishery management agencies, academic institutions, and other fishery research and management organizations to evaluate current management programs and future management proposals.  All information collections are necessary for improved monitoring of the Atlantic herring fishery.</w:t>
      </w:r>
    </w:p>
    <w:p w14:paraId="5BD36BED" w14:textId="77777777" w:rsidR="002A0C93" w:rsidRPr="002A0C93" w:rsidRDefault="002A0C93" w:rsidP="002A0C93">
      <w:pPr>
        <w:rPr>
          <w:sz w:val="24"/>
          <w:szCs w:val="24"/>
        </w:rPr>
      </w:pPr>
    </w:p>
    <w:p w14:paraId="58E055BD" w14:textId="77777777" w:rsidR="002A0C93" w:rsidRPr="002A0C93" w:rsidRDefault="002A0C93" w:rsidP="002A0C93">
      <w:pPr>
        <w:rPr>
          <w:b/>
          <w:sz w:val="24"/>
          <w:szCs w:val="24"/>
        </w:rPr>
      </w:pPr>
      <w:r w:rsidRPr="002A0C93">
        <w:rPr>
          <w:b/>
          <w:sz w:val="24"/>
          <w:szCs w:val="24"/>
        </w:rPr>
        <w:t>Observer/Monitor notification requirements</w:t>
      </w:r>
    </w:p>
    <w:p w14:paraId="31460A0E" w14:textId="77777777" w:rsidR="002A0C93" w:rsidRPr="002A0C93" w:rsidRDefault="002A0C93" w:rsidP="002A0C93">
      <w:pPr>
        <w:rPr>
          <w:sz w:val="24"/>
          <w:szCs w:val="24"/>
        </w:rPr>
      </w:pPr>
      <w:r w:rsidRPr="002A0C93">
        <w:rPr>
          <w:sz w:val="24"/>
          <w:szCs w:val="24"/>
        </w:rPr>
        <w:t xml:space="preserve">The IFM Amendment would modify trip notification requirements for vessels with herring permits.  The goal of this adjustment would be to assist with IFM observer and ASM deployment, and provide enforcement with advance notice of trip information to facilitate enforcement monitoring of landings.  The IFM Amendment would implement a web-based system that vessels would employ to notify NMFS at least 48 hours in advance of a fishing trip to request an IFM observer/ASM.  This measure would assist NMFS in scheduling and deployment of observers and ASM across the herring fleet with no additional burden on the industry, and help to ensure that monitoring coverage targets for the herring fishery would be met.  </w:t>
      </w:r>
    </w:p>
    <w:p w14:paraId="66FC7F1E" w14:textId="77777777" w:rsidR="002A0C93" w:rsidRPr="002A0C93" w:rsidRDefault="002A0C93" w:rsidP="002A0C93">
      <w:pPr>
        <w:rPr>
          <w:sz w:val="24"/>
          <w:szCs w:val="24"/>
        </w:rPr>
      </w:pPr>
    </w:p>
    <w:p w14:paraId="7FA59F66" w14:textId="77777777" w:rsidR="002A0C93" w:rsidRPr="002A0C93" w:rsidRDefault="002A0C93" w:rsidP="002A0C93">
      <w:pPr>
        <w:rPr>
          <w:b/>
          <w:sz w:val="24"/>
          <w:szCs w:val="24"/>
        </w:rPr>
      </w:pPr>
      <w:r w:rsidRPr="002A0C93">
        <w:rPr>
          <w:b/>
          <w:sz w:val="24"/>
          <w:szCs w:val="24"/>
        </w:rPr>
        <w:t>Monitoring Funding Contribution</w:t>
      </w:r>
    </w:p>
    <w:p w14:paraId="0FE115C7" w14:textId="77777777" w:rsidR="002A0C93" w:rsidRPr="002A0C93" w:rsidRDefault="002A0C93" w:rsidP="002A0C93">
      <w:pPr>
        <w:rPr>
          <w:sz w:val="24"/>
          <w:szCs w:val="24"/>
        </w:rPr>
      </w:pPr>
      <w:r w:rsidRPr="002A0C93">
        <w:rPr>
          <w:sz w:val="24"/>
          <w:szCs w:val="24"/>
        </w:rPr>
        <w:t>The IFM Amendment would implement ASM coverage on Category A and B vessels, and require industry contributions for ASMs at a target maximum of $710 per day to help offset the cost of additional coverage.  The cost of monitoring would likely vary among providers, but the maximum target for ASM coverage would be $710 per day.</w:t>
      </w:r>
    </w:p>
    <w:p w14:paraId="490D2160" w14:textId="77777777" w:rsidR="002A0C93" w:rsidRPr="002A0C93" w:rsidRDefault="002A0C93" w:rsidP="002A0C93">
      <w:pPr>
        <w:rPr>
          <w:sz w:val="24"/>
          <w:szCs w:val="24"/>
        </w:rPr>
      </w:pPr>
    </w:p>
    <w:p w14:paraId="17C62E8D" w14:textId="77777777" w:rsidR="002A0C93" w:rsidRPr="002A0C93" w:rsidRDefault="002A0C93" w:rsidP="002A0C93">
      <w:pPr>
        <w:rPr>
          <w:b/>
          <w:sz w:val="24"/>
          <w:szCs w:val="24"/>
        </w:rPr>
      </w:pPr>
      <w:r w:rsidRPr="002A0C93">
        <w:rPr>
          <w:b/>
          <w:sz w:val="24"/>
          <w:szCs w:val="24"/>
        </w:rPr>
        <w:t>Optional IFM Monitoring Funding Contribution to Access Groundfish Closed Areas</w:t>
      </w:r>
    </w:p>
    <w:p w14:paraId="28F4A66C" w14:textId="77777777" w:rsidR="002A0C93" w:rsidRPr="002A0C93" w:rsidRDefault="002A0C93" w:rsidP="002A0C93">
      <w:pPr>
        <w:rPr>
          <w:sz w:val="24"/>
          <w:szCs w:val="24"/>
        </w:rPr>
      </w:pPr>
      <w:r w:rsidRPr="002A0C93">
        <w:rPr>
          <w:sz w:val="24"/>
          <w:szCs w:val="24"/>
        </w:rPr>
        <w:t xml:space="preserve">The IFM Amendment would provide an option for Category A and B vessels that fish with midwater trawl gear to purchase an IFM observer to fish in groundfish closed areas.  Regulations require that these vessels have an observer (note that an ASM does not qualify as an observer) on </w:t>
      </w:r>
      <w:r w:rsidRPr="002A0C93">
        <w:rPr>
          <w:sz w:val="24"/>
          <w:szCs w:val="24"/>
        </w:rPr>
        <w:lastRenderedPageBreak/>
        <w:t>board to access groundfish closed areas.  If not selected for SBRM coverage or IFM ASM coverage, midwater trawl vessels could request an IFM observer for a trip in order to access these closed areas at an estimated cost per sea day of $818.</w:t>
      </w:r>
    </w:p>
    <w:p w14:paraId="4CA156D9" w14:textId="77777777" w:rsidR="004F26E9" w:rsidRPr="002A0C93" w:rsidRDefault="004F26E9" w:rsidP="0020448B">
      <w:pPr>
        <w:rPr>
          <w:sz w:val="24"/>
          <w:szCs w:val="24"/>
        </w:rPr>
      </w:pPr>
    </w:p>
    <w:p w14:paraId="648DA5F6" w14:textId="77777777" w:rsidR="002A0C93" w:rsidRPr="002A0C93" w:rsidRDefault="002A0C93" w:rsidP="002A0C93">
      <w:pPr>
        <w:rPr>
          <w:b/>
          <w:sz w:val="24"/>
          <w:szCs w:val="24"/>
        </w:rPr>
      </w:pPr>
      <w:r w:rsidRPr="002A0C93">
        <w:rPr>
          <w:b/>
          <w:sz w:val="24"/>
          <w:szCs w:val="24"/>
        </w:rPr>
        <w:t>Monitor Service Provider Requirements</w:t>
      </w:r>
    </w:p>
    <w:p w14:paraId="2924B41F" w14:textId="77777777" w:rsidR="002A0C93" w:rsidRPr="002A0C93" w:rsidRDefault="002A0C93" w:rsidP="002A0C93">
      <w:pPr>
        <w:rPr>
          <w:sz w:val="24"/>
          <w:szCs w:val="24"/>
        </w:rPr>
      </w:pPr>
      <w:r w:rsidRPr="002A0C93">
        <w:rPr>
          <w:sz w:val="24"/>
          <w:szCs w:val="24"/>
        </w:rPr>
        <w:t>The following set of requirements would facilitate coordination between the Northeast Fisheries Observer Program (NEFOP) and approved IFM service providers.  IFM service providers would provide ASMs or IFM observers (referred to collectively as “monitors”) to the industry upon selection/request for coverage.  These requirements would be based on those included in the overall observer provider collection (OMB Control No. 0648-0546) but feature the additional burden required to certify and collect information from IFM service providers for the Atlantic herring fishery.</w:t>
      </w:r>
    </w:p>
    <w:p w14:paraId="001ED65E" w14:textId="77777777" w:rsidR="002A0C93" w:rsidRPr="002A0C93" w:rsidRDefault="002A0C93" w:rsidP="002A0C93">
      <w:pPr>
        <w:rPr>
          <w:sz w:val="24"/>
          <w:szCs w:val="24"/>
        </w:rPr>
      </w:pPr>
    </w:p>
    <w:p w14:paraId="3A12841A" w14:textId="77777777" w:rsidR="002A0C93" w:rsidRPr="002A0C93" w:rsidRDefault="002A0C93" w:rsidP="002A0C93">
      <w:pPr>
        <w:widowControl/>
        <w:numPr>
          <w:ilvl w:val="0"/>
          <w:numId w:val="5"/>
        </w:numPr>
        <w:rPr>
          <w:sz w:val="24"/>
          <w:szCs w:val="24"/>
        </w:rPr>
      </w:pPr>
      <w:r w:rsidRPr="002A0C93">
        <w:rPr>
          <w:i/>
          <w:sz w:val="24"/>
          <w:szCs w:val="24"/>
        </w:rPr>
        <w:t>Monitor deployment report:</w:t>
      </w:r>
      <w:r w:rsidRPr="002A0C93">
        <w:rPr>
          <w:sz w:val="24"/>
          <w:szCs w:val="24"/>
        </w:rPr>
        <w:t xml:space="preserve">  Monitor service provider deployment reports would be used to inform NEFOP when, where and to whom a monitor has been deployed within 24 hours of the monitor’s departure.  The monitor service provider also would ensure that the monitor reports data back to the NEFOP, as described in the certified monitor training, within 12 hours of landing.  </w:t>
      </w:r>
    </w:p>
    <w:p w14:paraId="7362BCE0" w14:textId="77777777" w:rsidR="002A0C93" w:rsidRPr="002A0C93" w:rsidRDefault="002A0C93" w:rsidP="002A0C93">
      <w:pPr>
        <w:ind w:left="720"/>
        <w:rPr>
          <w:sz w:val="24"/>
          <w:szCs w:val="24"/>
        </w:rPr>
      </w:pPr>
    </w:p>
    <w:p w14:paraId="2DF4C706" w14:textId="77777777" w:rsidR="002A0C93" w:rsidRPr="002A0C93" w:rsidRDefault="002A0C93" w:rsidP="002A0C93">
      <w:pPr>
        <w:widowControl/>
        <w:numPr>
          <w:ilvl w:val="0"/>
          <w:numId w:val="5"/>
        </w:numPr>
        <w:rPr>
          <w:sz w:val="24"/>
          <w:szCs w:val="24"/>
        </w:rPr>
      </w:pPr>
      <w:r w:rsidRPr="002A0C93">
        <w:rPr>
          <w:i/>
          <w:sz w:val="24"/>
          <w:szCs w:val="24"/>
        </w:rPr>
        <w:t>ASM Availability Report</w:t>
      </w:r>
      <w:r w:rsidRPr="002A0C93">
        <w:rPr>
          <w:sz w:val="24"/>
          <w:szCs w:val="24"/>
        </w:rPr>
        <w:t>:  The monitor service provider availability reports would be used to inform NEFOP of any occurrence of their inability to respond to an industry request for ASM coverage due to the lack of available ASMs on staff by 5:00 pm, Eastern Standard Time, on any day with an industry request for monitor coverage.</w:t>
      </w:r>
    </w:p>
    <w:p w14:paraId="22840F84" w14:textId="77777777" w:rsidR="002A0C93" w:rsidRPr="002A0C93" w:rsidRDefault="002A0C93" w:rsidP="002A0C93">
      <w:pPr>
        <w:ind w:left="720"/>
        <w:rPr>
          <w:sz w:val="24"/>
          <w:szCs w:val="24"/>
        </w:rPr>
      </w:pPr>
    </w:p>
    <w:p w14:paraId="3F5408BB" w14:textId="77777777" w:rsidR="002A0C93" w:rsidRPr="002A0C93" w:rsidRDefault="002A0C93" w:rsidP="002A0C93">
      <w:pPr>
        <w:widowControl/>
        <w:numPr>
          <w:ilvl w:val="0"/>
          <w:numId w:val="5"/>
        </w:numPr>
        <w:rPr>
          <w:sz w:val="24"/>
          <w:szCs w:val="24"/>
        </w:rPr>
      </w:pPr>
      <w:r w:rsidRPr="002A0C93">
        <w:rPr>
          <w:i/>
          <w:sz w:val="24"/>
          <w:szCs w:val="24"/>
        </w:rPr>
        <w:t xml:space="preserve">Safety Refusals:  </w:t>
      </w:r>
      <w:r w:rsidRPr="002A0C93">
        <w:rPr>
          <w:sz w:val="24"/>
          <w:szCs w:val="24"/>
        </w:rPr>
        <w:t>The monitor service provider safety refusal reports would be used to inform NEFOP of any trip that has been refused due to safety issues (e.g., failure to hold a valid USCG Commercial Fishing Vessel Safety Examination Decal or meet the safety requirements of the monitor’s pre-trip vessel safety checklist) within 24 hours of the refusal.</w:t>
      </w:r>
    </w:p>
    <w:p w14:paraId="15DFB63E" w14:textId="77777777" w:rsidR="002A0C93" w:rsidRPr="002A0C93" w:rsidRDefault="002A0C93" w:rsidP="002A0C93">
      <w:pPr>
        <w:ind w:left="720"/>
        <w:rPr>
          <w:sz w:val="24"/>
          <w:szCs w:val="24"/>
        </w:rPr>
      </w:pPr>
    </w:p>
    <w:p w14:paraId="425F26DD" w14:textId="77777777" w:rsidR="002A0C93" w:rsidRPr="002A0C93" w:rsidRDefault="002A0C93" w:rsidP="002A0C93">
      <w:pPr>
        <w:widowControl/>
        <w:numPr>
          <w:ilvl w:val="0"/>
          <w:numId w:val="5"/>
        </w:numPr>
        <w:rPr>
          <w:sz w:val="24"/>
          <w:szCs w:val="24"/>
        </w:rPr>
      </w:pPr>
      <w:r w:rsidRPr="002A0C93">
        <w:rPr>
          <w:i/>
          <w:sz w:val="24"/>
          <w:szCs w:val="24"/>
        </w:rPr>
        <w:t>Raw monitor data</w:t>
      </w:r>
      <w:r w:rsidRPr="002A0C93">
        <w:rPr>
          <w:sz w:val="24"/>
          <w:szCs w:val="24"/>
        </w:rPr>
        <w:t>:  The submission of raw (unedited) monitor data (via courier service e.g. FedEx, DHL, etc.) to the NEFOP within 72 hours of trip landing would be necessary for NEFOP to administer the IFM monitor program.  This data would also be used to monitor bycatch in the Atlantic herring fishery.</w:t>
      </w:r>
    </w:p>
    <w:p w14:paraId="5762CAEB" w14:textId="77777777" w:rsidR="002A0C93" w:rsidRPr="002A0C93" w:rsidRDefault="002A0C93" w:rsidP="002A0C93">
      <w:pPr>
        <w:ind w:left="720"/>
        <w:rPr>
          <w:sz w:val="24"/>
          <w:szCs w:val="24"/>
        </w:rPr>
      </w:pPr>
    </w:p>
    <w:p w14:paraId="040F8306" w14:textId="77777777" w:rsidR="002A0C93" w:rsidRPr="002A0C93" w:rsidRDefault="002A0C93" w:rsidP="002A0C93">
      <w:pPr>
        <w:widowControl/>
        <w:numPr>
          <w:ilvl w:val="0"/>
          <w:numId w:val="5"/>
        </w:numPr>
        <w:rPr>
          <w:sz w:val="24"/>
          <w:szCs w:val="24"/>
        </w:rPr>
      </w:pPr>
      <w:r w:rsidRPr="002A0C93">
        <w:rPr>
          <w:i/>
          <w:sz w:val="24"/>
          <w:szCs w:val="24"/>
        </w:rPr>
        <w:t xml:space="preserve">Monitor debriefing:  </w:t>
      </w:r>
      <w:r w:rsidRPr="002A0C93">
        <w:rPr>
          <w:sz w:val="24"/>
          <w:szCs w:val="24"/>
        </w:rPr>
        <w:t xml:space="preserve">The IFM monitor service provider would ensure that the monitor remains available to the NEFOP and/or NMFS Office for Law Enforcement for debriefing for two weeks following any monitored trip.  Monitor debriefings ensure the data collected by the monitor is as accurate as possible, and any potential issues are addressed.  A monitor that is at sea during the two-week period would contact the NEFOP upon his or her return if requested.  </w:t>
      </w:r>
    </w:p>
    <w:p w14:paraId="62223500" w14:textId="77777777" w:rsidR="002A0C93" w:rsidRPr="002A0C93" w:rsidRDefault="002A0C93" w:rsidP="002A0C93">
      <w:pPr>
        <w:ind w:left="720"/>
        <w:rPr>
          <w:sz w:val="24"/>
          <w:szCs w:val="24"/>
        </w:rPr>
      </w:pPr>
    </w:p>
    <w:p w14:paraId="55582734" w14:textId="77777777" w:rsidR="002A0C93" w:rsidRPr="002A0C93" w:rsidRDefault="002A0C93" w:rsidP="002A0C93">
      <w:pPr>
        <w:widowControl/>
        <w:numPr>
          <w:ilvl w:val="0"/>
          <w:numId w:val="5"/>
        </w:numPr>
        <w:rPr>
          <w:sz w:val="24"/>
          <w:szCs w:val="24"/>
        </w:rPr>
      </w:pPr>
      <w:r w:rsidRPr="002A0C93">
        <w:rPr>
          <w:i/>
          <w:sz w:val="24"/>
          <w:szCs w:val="24"/>
        </w:rPr>
        <w:t>Other reports</w:t>
      </w:r>
      <w:r w:rsidRPr="002A0C93">
        <w:rPr>
          <w:i/>
          <w:iCs/>
          <w:sz w:val="24"/>
          <w:szCs w:val="24"/>
        </w:rPr>
        <w:t xml:space="preserve">:  </w:t>
      </w:r>
      <w:r w:rsidRPr="002A0C93">
        <w:rPr>
          <w:sz w:val="24"/>
          <w:szCs w:val="24"/>
        </w:rPr>
        <w:t xml:space="preserve">Reports of possible monitor harassment, discrimination, concerns about vessel safety or marine casualty, monitor illness or injury, and any information, allegations, or reports regarding monitor conflict of interest or breach of the standards of behavior would be submitted to the NEFOP in a timely manner.  </w:t>
      </w:r>
    </w:p>
    <w:p w14:paraId="31E4C671" w14:textId="77777777" w:rsidR="002A0C93" w:rsidRPr="002A0C93" w:rsidRDefault="002A0C93" w:rsidP="002A0C93">
      <w:pPr>
        <w:ind w:left="720"/>
        <w:rPr>
          <w:sz w:val="24"/>
          <w:szCs w:val="24"/>
        </w:rPr>
      </w:pPr>
    </w:p>
    <w:p w14:paraId="309D9AA5" w14:textId="77777777" w:rsidR="002A0C93" w:rsidRPr="002A0C93" w:rsidRDefault="002A0C93" w:rsidP="002A0C93">
      <w:pPr>
        <w:widowControl/>
        <w:numPr>
          <w:ilvl w:val="0"/>
          <w:numId w:val="5"/>
        </w:numPr>
        <w:rPr>
          <w:sz w:val="24"/>
          <w:szCs w:val="24"/>
        </w:rPr>
      </w:pPr>
      <w:r w:rsidRPr="002A0C93">
        <w:rPr>
          <w:i/>
          <w:sz w:val="24"/>
          <w:szCs w:val="24"/>
        </w:rPr>
        <w:t xml:space="preserve">Biological samples:  </w:t>
      </w:r>
      <w:r w:rsidRPr="002A0C93">
        <w:rPr>
          <w:sz w:val="24"/>
          <w:szCs w:val="24"/>
        </w:rPr>
        <w:t>The monitor service provider would ensure that biological samples, including whole marine mammals, turtles seabirds, and fish be stored/handled properly and transported to the NEFOP within 7 days of landing.</w:t>
      </w:r>
    </w:p>
    <w:p w14:paraId="7419891B" w14:textId="77777777" w:rsidR="002A0C93" w:rsidRPr="002A0C93" w:rsidRDefault="002A0C93" w:rsidP="005944F0">
      <w:pPr>
        <w:rPr>
          <w:sz w:val="24"/>
          <w:szCs w:val="24"/>
        </w:rPr>
      </w:pPr>
    </w:p>
    <w:p w14:paraId="12ADD19D" w14:textId="77777777" w:rsidR="002A0C93" w:rsidRPr="002A0C93" w:rsidRDefault="002A0C93" w:rsidP="002A0C93">
      <w:pPr>
        <w:widowControl/>
        <w:numPr>
          <w:ilvl w:val="0"/>
          <w:numId w:val="5"/>
        </w:numPr>
        <w:rPr>
          <w:sz w:val="24"/>
          <w:szCs w:val="24"/>
        </w:rPr>
      </w:pPr>
      <w:r w:rsidRPr="002A0C93">
        <w:rPr>
          <w:i/>
          <w:sz w:val="24"/>
          <w:szCs w:val="24"/>
        </w:rPr>
        <w:t>New permit application for monitor provider:</w:t>
      </w:r>
      <w:r w:rsidRPr="002A0C93">
        <w:rPr>
          <w:sz w:val="24"/>
          <w:szCs w:val="24"/>
        </w:rPr>
        <w:t xml:space="preserve"> Any third party provider that wishes to operate in the Atlantic herring IFM monitor program would submit a thorough application and gain approval from NMFS.  </w:t>
      </w:r>
    </w:p>
    <w:p w14:paraId="314F30CE" w14:textId="77777777" w:rsidR="002A0C93" w:rsidRPr="002A0C93" w:rsidRDefault="002A0C93" w:rsidP="002A0C93">
      <w:pPr>
        <w:ind w:left="720"/>
        <w:rPr>
          <w:sz w:val="24"/>
          <w:szCs w:val="24"/>
        </w:rPr>
      </w:pPr>
    </w:p>
    <w:p w14:paraId="46100E3A" w14:textId="77777777" w:rsidR="002A0C93" w:rsidRPr="002A0C93" w:rsidRDefault="002A0C93" w:rsidP="002A0C93">
      <w:pPr>
        <w:widowControl/>
        <w:numPr>
          <w:ilvl w:val="0"/>
          <w:numId w:val="5"/>
        </w:numPr>
        <w:rPr>
          <w:sz w:val="24"/>
          <w:szCs w:val="24"/>
        </w:rPr>
      </w:pPr>
      <w:r w:rsidRPr="002A0C93">
        <w:rPr>
          <w:i/>
          <w:sz w:val="24"/>
          <w:szCs w:val="24"/>
        </w:rPr>
        <w:t>Applicant response to a denial:</w:t>
      </w:r>
      <w:r w:rsidRPr="002A0C93">
        <w:rPr>
          <w:sz w:val="24"/>
          <w:szCs w:val="24"/>
        </w:rPr>
        <w:t xml:space="preserve"> If a monitor service provider application for approval is incomplete or does not meet the requirements of an approved monitor service provider, the application would be provided with a written denial.  Each applicant may present additional information to NMFS to rectify the deficiencies specified in the written denial within 30 days of the applicant’s receipt of the denial notification.  </w:t>
      </w:r>
    </w:p>
    <w:p w14:paraId="70FE942B" w14:textId="77777777" w:rsidR="002A0C93" w:rsidRPr="002A0C93" w:rsidRDefault="002A0C93" w:rsidP="002A0C93">
      <w:pPr>
        <w:ind w:left="720"/>
        <w:rPr>
          <w:sz w:val="24"/>
          <w:szCs w:val="24"/>
        </w:rPr>
      </w:pPr>
    </w:p>
    <w:p w14:paraId="7187324D" w14:textId="77777777" w:rsidR="002A0C93" w:rsidRPr="002A0C93" w:rsidRDefault="002A0C93" w:rsidP="002A0C93">
      <w:pPr>
        <w:widowControl/>
        <w:numPr>
          <w:ilvl w:val="0"/>
          <w:numId w:val="5"/>
        </w:numPr>
        <w:rPr>
          <w:sz w:val="24"/>
          <w:szCs w:val="24"/>
        </w:rPr>
      </w:pPr>
      <w:r w:rsidRPr="002A0C93">
        <w:rPr>
          <w:i/>
          <w:sz w:val="24"/>
          <w:szCs w:val="24"/>
        </w:rPr>
        <w:t>Request for monitor training:</w:t>
      </w:r>
      <w:r w:rsidRPr="002A0C93">
        <w:rPr>
          <w:sz w:val="24"/>
          <w:szCs w:val="24"/>
        </w:rPr>
        <w:t xml:space="preserve"> The monitor service provider would submit a request for a certified training class at least 30 days prior to the beginning of the proposed training class to ensure that the NEFOP is provided with the necessary time and information to prepare for the training of candidate monitors.  </w:t>
      </w:r>
    </w:p>
    <w:p w14:paraId="6AA19766" w14:textId="77777777" w:rsidR="002A0C93" w:rsidRPr="002A0C93" w:rsidRDefault="002A0C93" w:rsidP="002A0C93">
      <w:pPr>
        <w:ind w:left="720"/>
        <w:rPr>
          <w:sz w:val="24"/>
          <w:szCs w:val="24"/>
        </w:rPr>
      </w:pPr>
    </w:p>
    <w:p w14:paraId="543A25C1" w14:textId="77777777" w:rsidR="002A0C93" w:rsidRPr="002A0C93" w:rsidRDefault="002A0C93" w:rsidP="002A0C93">
      <w:pPr>
        <w:widowControl/>
        <w:numPr>
          <w:ilvl w:val="0"/>
          <w:numId w:val="5"/>
        </w:numPr>
        <w:rPr>
          <w:sz w:val="24"/>
          <w:szCs w:val="24"/>
        </w:rPr>
      </w:pPr>
      <w:r w:rsidRPr="002A0C93">
        <w:rPr>
          <w:i/>
          <w:sz w:val="24"/>
          <w:szCs w:val="24"/>
        </w:rPr>
        <w:t>Rebuttal of pending removal from list of approved monitor providers:</w:t>
      </w:r>
      <w:r w:rsidRPr="002A0C93">
        <w:rPr>
          <w:sz w:val="24"/>
          <w:szCs w:val="24"/>
        </w:rPr>
        <w:t xml:space="preserve"> </w:t>
      </w:r>
      <w:r w:rsidRPr="002A0C93">
        <w:rPr>
          <w:sz w:val="24"/>
          <w:szCs w:val="24"/>
          <w:lang w:val="en-CA"/>
        </w:rPr>
        <w:fldChar w:fldCharType="begin"/>
      </w:r>
      <w:r w:rsidRPr="002A0C93">
        <w:rPr>
          <w:sz w:val="24"/>
          <w:szCs w:val="24"/>
          <w:lang w:val="en-CA"/>
        </w:rPr>
        <w:instrText xml:space="preserve"> SEQ CHAPTER \h \r 1</w:instrText>
      </w:r>
      <w:r w:rsidRPr="002A0C93">
        <w:rPr>
          <w:sz w:val="24"/>
          <w:szCs w:val="24"/>
        </w:rPr>
        <w:fldChar w:fldCharType="end"/>
      </w:r>
      <w:r w:rsidRPr="002A0C93">
        <w:rPr>
          <w:sz w:val="24"/>
          <w:szCs w:val="24"/>
        </w:rPr>
        <w:t>A monitor provider that fails to meet the requirements, conditions, and responsibilities of an approved monitor service provider would be notified in writing that it is subject to removal from the list of approved service providers.  A monitor service provider that has received notification that it is subject to removal from the list of approved service providers may submit information to rebut the reasons for removal from the list within 30 days and would give written evidence that clearly disproves the reasons for removal.</w:t>
      </w:r>
    </w:p>
    <w:p w14:paraId="55C74710" w14:textId="77777777" w:rsidR="002A0C93" w:rsidRPr="002A0C93" w:rsidRDefault="002A0C93" w:rsidP="002A0C93">
      <w:pPr>
        <w:rPr>
          <w:i/>
          <w:sz w:val="24"/>
          <w:szCs w:val="24"/>
        </w:rPr>
      </w:pPr>
    </w:p>
    <w:p w14:paraId="58FE0482" w14:textId="77777777" w:rsidR="002A0C93" w:rsidRPr="002A0C93" w:rsidRDefault="002A0C93" w:rsidP="002A0C93">
      <w:pPr>
        <w:widowControl/>
        <w:numPr>
          <w:ilvl w:val="0"/>
          <w:numId w:val="5"/>
        </w:numPr>
        <w:rPr>
          <w:b/>
          <w:i/>
          <w:sz w:val="24"/>
          <w:szCs w:val="24"/>
        </w:rPr>
      </w:pPr>
      <w:r w:rsidRPr="002A0C93">
        <w:rPr>
          <w:i/>
          <w:sz w:val="24"/>
          <w:szCs w:val="24"/>
        </w:rPr>
        <w:t xml:space="preserve">Request to service provider to procure an ASM:  </w:t>
      </w:r>
      <w:r w:rsidRPr="002A0C93">
        <w:rPr>
          <w:sz w:val="24"/>
          <w:szCs w:val="24"/>
        </w:rPr>
        <w:t>When a vessel is selected for IFM ASM coverage, a monitor service provider would be contacted through the PTNS 2.0 system with the request to provide an ASM.</w:t>
      </w:r>
    </w:p>
    <w:p w14:paraId="23FFC4F2" w14:textId="77777777" w:rsidR="002A0C93" w:rsidRPr="002A0C93" w:rsidRDefault="002A0C93" w:rsidP="002A0C93">
      <w:pPr>
        <w:widowControl/>
        <w:ind w:left="720"/>
        <w:rPr>
          <w:b/>
          <w:i/>
          <w:sz w:val="24"/>
          <w:szCs w:val="24"/>
        </w:rPr>
      </w:pPr>
    </w:p>
    <w:p w14:paraId="263349F6" w14:textId="77777777" w:rsidR="002A0C93" w:rsidRPr="002A0C93" w:rsidRDefault="002A0C93" w:rsidP="002A0C93">
      <w:pPr>
        <w:widowControl/>
        <w:numPr>
          <w:ilvl w:val="0"/>
          <w:numId w:val="5"/>
        </w:numPr>
        <w:rPr>
          <w:b/>
          <w:sz w:val="24"/>
          <w:szCs w:val="24"/>
        </w:rPr>
      </w:pPr>
      <w:r w:rsidRPr="002A0C93">
        <w:rPr>
          <w:i/>
          <w:sz w:val="24"/>
          <w:szCs w:val="24"/>
        </w:rPr>
        <w:t xml:space="preserve">Notification of unavailability of ASM:  </w:t>
      </w:r>
      <w:r w:rsidRPr="002A0C93">
        <w:rPr>
          <w:sz w:val="24"/>
          <w:szCs w:val="24"/>
        </w:rPr>
        <w:t>Each provider may not have ASMs available for a trip selected for coverage.  Providers would be required to respond through the PTNS 2.0 system indicating that the do not have an ASM available for coverage.</w:t>
      </w:r>
    </w:p>
    <w:p w14:paraId="18A9383D" w14:textId="77777777" w:rsidR="002A0C93" w:rsidRPr="002A0C93" w:rsidRDefault="002A0C93" w:rsidP="002A0C93">
      <w:pPr>
        <w:widowControl/>
        <w:ind w:left="720"/>
        <w:rPr>
          <w:b/>
          <w:sz w:val="24"/>
          <w:szCs w:val="24"/>
        </w:rPr>
      </w:pPr>
    </w:p>
    <w:p w14:paraId="2EDF35C8" w14:textId="77777777" w:rsidR="002A0C93" w:rsidRPr="002A0C93" w:rsidRDefault="002A0C93" w:rsidP="002A0C93">
      <w:pPr>
        <w:widowControl/>
        <w:numPr>
          <w:ilvl w:val="0"/>
          <w:numId w:val="5"/>
        </w:numPr>
        <w:rPr>
          <w:b/>
          <w:i/>
          <w:sz w:val="24"/>
          <w:szCs w:val="24"/>
        </w:rPr>
      </w:pPr>
      <w:r w:rsidRPr="002A0C93">
        <w:rPr>
          <w:i/>
          <w:sz w:val="24"/>
          <w:szCs w:val="24"/>
        </w:rPr>
        <w:t xml:space="preserve">Call to service provider to procure an IFM observer to fish in Groundfish Closed Areas:  </w:t>
      </w:r>
      <w:r w:rsidRPr="002A0C93">
        <w:rPr>
          <w:sz w:val="24"/>
          <w:szCs w:val="24"/>
        </w:rPr>
        <w:t>If a vessel is not selected for NEFOP (SBRM) or IFM ASM coverage, they may elect to purchase an IFM observer to fish in a groundfish closed area.  Vessels would call service providers to request the IFM observer.</w:t>
      </w:r>
    </w:p>
    <w:p w14:paraId="441F0748" w14:textId="77777777" w:rsidR="002A0C93" w:rsidRPr="002A0C93" w:rsidRDefault="002A0C93" w:rsidP="002A0C93">
      <w:pPr>
        <w:widowControl/>
        <w:ind w:left="720"/>
        <w:rPr>
          <w:b/>
          <w:i/>
          <w:sz w:val="24"/>
          <w:szCs w:val="24"/>
        </w:rPr>
      </w:pPr>
    </w:p>
    <w:p w14:paraId="756735E3" w14:textId="77777777" w:rsidR="002A0C93" w:rsidRPr="002A0C93" w:rsidRDefault="002A0C93" w:rsidP="002A0C93">
      <w:pPr>
        <w:widowControl/>
        <w:numPr>
          <w:ilvl w:val="0"/>
          <w:numId w:val="5"/>
        </w:numPr>
        <w:rPr>
          <w:i/>
          <w:sz w:val="24"/>
          <w:szCs w:val="24"/>
        </w:rPr>
      </w:pPr>
      <w:r w:rsidRPr="002A0C93">
        <w:rPr>
          <w:i/>
          <w:sz w:val="24"/>
          <w:szCs w:val="24"/>
        </w:rPr>
        <w:t xml:space="preserve">Notification of unavailability of IFM observer:  </w:t>
      </w:r>
      <w:r w:rsidRPr="002A0C93">
        <w:rPr>
          <w:sz w:val="24"/>
          <w:szCs w:val="24"/>
        </w:rPr>
        <w:t>Each provider may not have an IFM observer available for vessels requesting this service.  Providers would be required to contact the vessels to notify them that coverage is not available.</w:t>
      </w:r>
    </w:p>
    <w:p w14:paraId="138B326A" w14:textId="77777777" w:rsidR="002A0C93" w:rsidRPr="002A0C93" w:rsidRDefault="002A0C93" w:rsidP="002A0C93">
      <w:pPr>
        <w:widowControl/>
        <w:rPr>
          <w:i/>
          <w:sz w:val="24"/>
          <w:szCs w:val="24"/>
        </w:rPr>
      </w:pPr>
    </w:p>
    <w:p w14:paraId="5E19C42E" w14:textId="77777777" w:rsidR="002A0C93" w:rsidRPr="002A0C93" w:rsidRDefault="002A0C93" w:rsidP="002A0C93">
      <w:pPr>
        <w:widowControl/>
        <w:numPr>
          <w:ilvl w:val="0"/>
          <w:numId w:val="5"/>
        </w:numPr>
        <w:rPr>
          <w:sz w:val="24"/>
          <w:szCs w:val="24"/>
        </w:rPr>
      </w:pPr>
      <w:r w:rsidRPr="002A0C93">
        <w:rPr>
          <w:i/>
          <w:sz w:val="24"/>
          <w:szCs w:val="24"/>
        </w:rPr>
        <w:t>Monitor contact list updates</w:t>
      </w:r>
      <w:r w:rsidRPr="002A0C93">
        <w:rPr>
          <w:sz w:val="24"/>
          <w:szCs w:val="24"/>
        </w:rPr>
        <w:t>:  The updated monitor contact list would facilitate the ability of NMFS/NEFOP to contact a monitor when necessary.  This list would be updated by the service provider as necessary.</w:t>
      </w:r>
    </w:p>
    <w:p w14:paraId="1D87F0FB" w14:textId="77777777" w:rsidR="002A0C93" w:rsidRPr="002A0C93" w:rsidRDefault="002A0C93" w:rsidP="002A0C93">
      <w:pPr>
        <w:ind w:left="720"/>
        <w:rPr>
          <w:sz w:val="24"/>
          <w:szCs w:val="24"/>
        </w:rPr>
      </w:pPr>
    </w:p>
    <w:p w14:paraId="03347F9D" w14:textId="77777777" w:rsidR="002A0C93" w:rsidRPr="002A0C93" w:rsidRDefault="002A0C93" w:rsidP="002A0C93">
      <w:pPr>
        <w:widowControl/>
        <w:numPr>
          <w:ilvl w:val="0"/>
          <w:numId w:val="5"/>
        </w:numPr>
        <w:rPr>
          <w:sz w:val="24"/>
          <w:szCs w:val="24"/>
        </w:rPr>
      </w:pPr>
      <w:r w:rsidRPr="002A0C93">
        <w:rPr>
          <w:i/>
          <w:sz w:val="24"/>
          <w:szCs w:val="24"/>
        </w:rPr>
        <w:t xml:space="preserve">Monitor availability updates:  </w:t>
      </w:r>
      <w:r w:rsidRPr="002A0C93">
        <w:rPr>
          <w:sz w:val="24"/>
          <w:szCs w:val="24"/>
        </w:rPr>
        <w:t>The monitor status report would facilitate the ability of NMFS/NEFOP to confirm monitor availability, or the lack thereof, when a provider notifies NFMS/NEFOP of instances when no monitors were available for deployment.  This list would be updated by the service provider as necessary.</w:t>
      </w:r>
    </w:p>
    <w:p w14:paraId="101066E1" w14:textId="77777777" w:rsidR="002A0C93" w:rsidRPr="002A0C93" w:rsidRDefault="002A0C93" w:rsidP="002A0C93">
      <w:pPr>
        <w:ind w:left="720"/>
        <w:rPr>
          <w:sz w:val="24"/>
          <w:szCs w:val="24"/>
        </w:rPr>
      </w:pPr>
    </w:p>
    <w:p w14:paraId="60478C19" w14:textId="77777777" w:rsidR="002A0C93" w:rsidRPr="002A0C93" w:rsidRDefault="002A0C93" w:rsidP="002A0C93">
      <w:pPr>
        <w:widowControl/>
        <w:numPr>
          <w:ilvl w:val="0"/>
          <w:numId w:val="5"/>
        </w:numPr>
        <w:rPr>
          <w:sz w:val="24"/>
          <w:szCs w:val="24"/>
        </w:rPr>
      </w:pPr>
      <w:r w:rsidRPr="002A0C93">
        <w:rPr>
          <w:i/>
          <w:sz w:val="24"/>
          <w:szCs w:val="24"/>
        </w:rPr>
        <w:t xml:space="preserve">Service provider material submissions: </w:t>
      </w:r>
      <w:r w:rsidRPr="002A0C93">
        <w:rPr>
          <w:sz w:val="24"/>
          <w:szCs w:val="24"/>
        </w:rPr>
        <w:t>NMFS/NEFOP may request service providers to provide copies of materials provided to the fishing industry.  This would allow NMFS/NEFOP to ensure such materials are accurate and in keeping with the objectives of the program.  This information would likely be solicited when changes to such materials are made.</w:t>
      </w:r>
    </w:p>
    <w:p w14:paraId="33D67B11" w14:textId="77777777" w:rsidR="002A0C93" w:rsidRPr="002A0C93" w:rsidRDefault="002A0C93" w:rsidP="002A0C93">
      <w:pPr>
        <w:ind w:left="720"/>
        <w:rPr>
          <w:sz w:val="24"/>
          <w:szCs w:val="24"/>
        </w:rPr>
      </w:pPr>
    </w:p>
    <w:p w14:paraId="463C08CD" w14:textId="77777777" w:rsidR="002A0C93" w:rsidRPr="002A0C93" w:rsidRDefault="002A0C93" w:rsidP="002A0C93">
      <w:pPr>
        <w:widowControl/>
        <w:numPr>
          <w:ilvl w:val="0"/>
          <w:numId w:val="5"/>
        </w:numPr>
        <w:rPr>
          <w:sz w:val="24"/>
          <w:szCs w:val="24"/>
        </w:rPr>
      </w:pPr>
      <w:r w:rsidRPr="002A0C93">
        <w:rPr>
          <w:i/>
          <w:sz w:val="24"/>
          <w:szCs w:val="24"/>
        </w:rPr>
        <w:t xml:space="preserve">Service provider contracts: </w:t>
      </w:r>
      <w:r w:rsidRPr="002A0C93">
        <w:rPr>
          <w:sz w:val="24"/>
          <w:szCs w:val="24"/>
        </w:rPr>
        <w:t>NMFS/NEFOP may request service providers to provide a copy of each type of signed and valid contract between the monitor provider and those entities requiring monitor services.  This would allow NMFS/NEFOP to resolve contract disputes between the provider and industry, and to ensure provider contracts with their employees are in keeping with the objectives of the observer program.  This information would likely be solicited when changes to such materials are made.</w:t>
      </w:r>
    </w:p>
    <w:p w14:paraId="082A8135" w14:textId="77777777" w:rsidR="002A0C93" w:rsidRPr="002A0C93" w:rsidRDefault="002A0C93" w:rsidP="0020448B">
      <w:pPr>
        <w:rPr>
          <w:sz w:val="24"/>
          <w:szCs w:val="24"/>
        </w:rPr>
      </w:pPr>
    </w:p>
    <w:p w14:paraId="61AB94D6" w14:textId="24FA70BD" w:rsidR="002A0C93" w:rsidRPr="002A0C93" w:rsidRDefault="002A0C93" w:rsidP="002A0C93">
      <w:pPr>
        <w:rPr>
          <w:b/>
          <w:sz w:val="24"/>
          <w:szCs w:val="24"/>
        </w:rPr>
      </w:pPr>
      <w:r w:rsidRPr="002A0C93">
        <w:rPr>
          <w:b/>
          <w:sz w:val="24"/>
          <w:szCs w:val="24"/>
        </w:rPr>
        <w:t>Currently approved information collection requirements, with no changes (other than observer notifications, whose numbers are adjusted in this revision):</w:t>
      </w:r>
    </w:p>
    <w:p w14:paraId="0EADDCEF" w14:textId="17E3737F" w:rsidR="002A0C93" w:rsidRPr="002A0C93" w:rsidRDefault="002A0C93" w:rsidP="002A0C93">
      <w:pPr>
        <w:rPr>
          <w:sz w:val="24"/>
          <w:szCs w:val="24"/>
        </w:rPr>
      </w:pPr>
    </w:p>
    <w:p w14:paraId="3F018116" w14:textId="77777777" w:rsidR="002A0C93" w:rsidRPr="002A0C93" w:rsidRDefault="002A0C93" w:rsidP="002A0C93">
      <w:pPr>
        <w:rPr>
          <w:b/>
          <w:sz w:val="24"/>
          <w:szCs w:val="24"/>
        </w:rPr>
      </w:pPr>
      <w:r w:rsidRPr="002A0C93">
        <w:rPr>
          <w:b/>
          <w:sz w:val="24"/>
          <w:szCs w:val="24"/>
        </w:rPr>
        <w:t>Observer notification requirements (adjusted burden in this revision)</w:t>
      </w:r>
    </w:p>
    <w:p w14:paraId="37C1EEAD" w14:textId="77777777" w:rsidR="002A0C93" w:rsidRPr="002A0C93" w:rsidRDefault="002A0C93" w:rsidP="002A0C93">
      <w:pPr>
        <w:rPr>
          <w:sz w:val="24"/>
          <w:szCs w:val="24"/>
        </w:rPr>
      </w:pPr>
      <w:r w:rsidRPr="002A0C93">
        <w:rPr>
          <w:sz w:val="24"/>
          <w:szCs w:val="24"/>
        </w:rPr>
        <w:t xml:space="preserve">Amendment 5 expanded and modified trip notification and VMS requirements for vessels with herring permits.  The goal of this adjustment was to assist with observer deployment and provide enforcement with advance notice of trip information to facilitate enforcement monitoring of landings.  Amendment 5 requires that vessels with limited access herring permits, vessels with open access Category D permits fishing with midwater trawl gear in Areas 1A, 1B, and/or 3, vessels with Category E permits, and herring carrier vessels contact NMFS at least 48 hours in advance of a fishing trip to request an observer.  This measure assists NMFS in scheduling and deployment of observers across the herring fleet with minimal additional burden on the industry, and helps ensure that observer coverage targets for the herring fishery are met.  </w:t>
      </w:r>
    </w:p>
    <w:p w14:paraId="25EE39D7" w14:textId="77777777" w:rsidR="002A0C93" w:rsidRPr="002A0C93" w:rsidRDefault="002A0C93" w:rsidP="002A0C93">
      <w:pPr>
        <w:rPr>
          <w:sz w:val="24"/>
          <w:szCs w:val="24"/>
        </w:rPr>
      </w:pPr>
    </w:p>
    <w:p w14:paraId="3F2DC286" w14:textId="77777777" w:rsidR="002A0C93" w:rsidRPr="002A0C93" w:rsidRDefault="002A0C93" w:rsidP="002A0C93">
      <w:pPr>
        <w:rPr>
          <w:sz w:val="24"/>
          <w:szCs w:val="24"/>
        </w:rPr>
      </w:pPr>
      <w:r w:rsidRPr="002A0C93">
        <w:rPr>
          <w:sz w:val="24"/>
          <w:szCs w:val="24"/>
        </w:rPr>
        <w:t xml:space="preserve">Amendment 5 also requires that when vessels issued limited access herring permits are working cooperatively in the Atlantic herring fishery, including pair trawling, purse seining, and transferring herring at-sea, they must provide to observers, when requested, the estimated weight of each species brought on board or released on each tow.  </w:t>
      </w:r>
    </w:p>
    <w:p w14:paraId="598C6B37" w14:textId="77777777" w:rsidR="002A0C93" w:rsidRPr="002A0C93" w:rsidRDefault="002A0C93" w:rsidP="002A0C93">
      <w:pPr>
        <w:rPr>
          <w:sz w:val="24"/>
          <w:szCs w:val="24"/>
        </w:rPr>
      </w:pPr>
    </w:p>
    <w:p w14:paraId="7AFA0354" w14:textId="77777777" w:rsidR="002A0C93" w:rsidRPr="002A0C93" w:rsidRDefault="002A0C93" w:rsidP="002A0C93">
      <w:pPr>
        <w:rPr>
          <w:b/>
          <w:sz w:val="24"/>
          <w:szCs w:val="24"/>
        </w:rPr>
      </w:pPr>
      <w:r w:rsidRPr="002A0C93">
        <w:rPr>
          <w:b/>
          <w:sz w:val="24"/>
          <w:szCs w:val="24"/>
        </w:rPr>
        <w:t>Released Catch Affidavits</w:t>
      </w:r>
    </w:p>
    <w:p w14:paraId="645EB25D" w14:textId="77777777" w:rsidR="002A0C93" w:rsidRPr="002A0C93" w:rsidRDefault="002A0C93" w:rsidP="002A0C93">
      <w:pPr>
        <w:rPr>
          <w:b/>
          <w:sz w:val="24"/>
          <w:szCs w:val="24"/>
        </w:rPr>
      </w:pPr>
      <w:r w:rsidRPr="002A0C93">
        <w:rPr>
          <w:color w:val="000000"/>
          <w:sz w:val="24"/>
          <w:szCs w:val="24"/>
        </w:rPr>
        <w:t xml:space="preserve">Amendment 5 requires limited access vessels to bring all catch aboard the vessel and make it available for sampling by an observer.  This measure was implemented to improve the quality of at-sea monitoring data by reducing the discarding of unsampled catch.  If catch is discarded before it has been made available to the observer, that catch is defined as slippage.  If slippage occurs, the vessel operator must complete a Released Catch Affidavit form within 48 hours of the end of the fishing trip.  The Released Catch Affidavit details:  (1) Why catch was slipped; (2) an estimate of the quantity and species composition of the slipped catch; and (3) the time and location of the slipped catch.  </w:t>
      </w:r>
    </w:p>
    <w:p w14:paraId="1FED7593" w14:textId="77777777" w:rsidR="002A0C93" w:rsidRPr="002A0C93" w:rsidRDefault="002A0C93" w:rsidP="002A0C93">
      <w:pPr>
        <w:rPr>
          <w:sz w:val="24"/>
          <w:szCs w:val="24"/>
        </w:rPr>
      </w:pPr>
    </w:p>
    <w:p w14:paraId="73C44F6E" w14:textId="77777777" w:rsidR="002A0C93" w:rsidRPr="002A0C93" w:rsidRDefault="002A0C93" w:rsidP="002A0C93">
      <w:pPr>
        <w:rPr>
          <w:sz w:val="24"/>
          <w:szCs w:val="24"/>
        </w:rPr>
      </w:pPr>
      <w:r w:rsidRPr="002A0C93">
        <w:rPr>
          <w:sz w:val="24"/>
          <w:szCs w:val="24"/>
        </w:rPr>
        <w:t xml:space="preserve">NMFS would retain control over all information and safeguards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would be subjected to quality control measures and pre-dissemination review pursuant to </w:t>
      </w:r>
      <w:hyperlink r:id="rId11" w:history="1">
        <w:r w:rsidRPr="002A0C93">
          <w:rPr>
            <w:rStyle w:val="Hyperlink"/>
            <w:sz w:val="24"/>
            <w:szCs w:val="24"/>
          </w:rPr>
          <w:t>Section 515 of Public Law 106-554</w:t>
        </w:r>
      </w:hyperlink>
      <w:r w:rsidRPr="002A0C93">
        <w:rPr>
          <w:sz w:val="24"/>
          <w:szCs w:val="24"/>
        </w:rPr>
        <w:t>.</w:t>
      </w:r>
    </w:p>
    <w:p w14:paraId="4D2836A8" w14:textId="77777777" w:rsidR="002A0C93" w:rsidRDefault="002A0C93" w:rsidP="0020448B">
      <w:pPr>
        <w:rPr>
          <w:sz w:val="24"/>
          <w:szCs w:val="24"/>
        </w:rPr>
      </w:pPr>
    </w:p>
    <w:p w14:paraId="1AC5A313" w14:textId="77777777" w:rsidR="002A0C93" w:rsidRPr="002A0C93" w:rsidRDefault="002A0C93" w:rsidP="0020448B">
      <w:pPr>
        <w:rPr>
          <w:sz w:val="24"/>
          <w:szCs w:val="24"/>
        </w:rPr>
      </w:pPr>
    </w:p>
    <w:p w14:paraId="2B0DD3CA" w14:textId="77777777"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14:paraId="4C82B596" w14:textId="77777777" w:rsidR="004F26E9" w:rsidRDefault="004F26E9" w:rsidP="0020448B">
      <w:pPr>
        <w:rPr>
          <w:sz w:val="24"/>
          <w:szCs w:val="24"/>
        </w:rPr>
      </w:pPr>
    </w:p>
    <w:p w14:paraId="4D7D2717" w14:textId="77777777" w:rsidR="002A0C93" w:rsidRPr="002A0C93" w:rsidRDefault="002A0C93" w:rsidP="002A0C93">
      <w:pPr>
        <w:rPr>
          <w:sz w:val="24"/>
          <w:szCs w:val="24"/>
        </w:rPr>
      </w:pPr>
      <w:r w:rsidRPr="002A0C93">
        <w:rPr>
          <w:sz w:val="24"/>
          <w:szCs w:val="24"/>
        </w:rPr>
        <w:t xml:space="preserve">The PTNS 2.0 observer/monitor notification will be a web-based system that will be designed to be as simple as possible for both the public and NMFS.  Vessels will fill in a series of trip characteristics and will be notified at a later time if they are selected for monitoring and what type of monitoring will be required for that trip (SBRM or IFM).  Implementing a web-based notification system makes it widely available to the fishing industry, thereby reducing both public and administrative burden.  Vessels opting to have IFM observer coverage to fish in groundfish closed areas would indicate their intent to do so through PTNS 2.0, but would obtain this coverage through a call to an approved service provider.   </w:t>
      </w:r>
    </w:p>
    <w:p w14:paraId="555170E6" w14:textId="77777777" w:rsidR="002A0C93" w:rsidRPr="002A0C93" w:rsidRDefault="002A0C93" w:rsidP="002A0C93">
      <w:pPr>
        <w:rPr>
          <w:sz w:val="24"/>
          <w:szCs w:val="24"/>
        </w:rPr>
      </w:pPr>
    </w:p>
    <w:p w14:paraId="306515B3" w14:textId="77777777" w:rsidR="002A0C93" w:rsidRPr="002A0C93" w:rsidRDefault="002A0C93" w:rsidP="002A0C93">
      <w:pPr>
        <w:rPr>
          <w:sz w:val="24"/>
          <w:szCs w:val="24"/>
        </w:rPr>
      </w:pPr>
      <w:r w:rsidRPr="002A0C93">
        <w:rPr>
          <w:sz w:val="24"/>
          <w:szCs w:val="24"/>
        </w:rPr>
        <w:t xml:space="preserve">Vessels and IFM monitor providers submit materials to NMFS/NEFOP via email, web-portal, fax, or mail.  Instructions for providers and vessels are available on the GARFO web site. </w:t>
      </w:r>
    </w:p>
    <w:p w14:paraId="402EE827" w14:textId="77777777" w:rsidR="00DB0C46" w:rsidRDefault="00DB0C46" w:rsidP="00493868">
      <w:pPr>
        <w:tabs>
          <w:tab w:val="left" w:pos="540"/>
        </w:tabs>
        <w:ind w:left="540" w:hanging="540"/>
        <w:rPr>
          <w:b/>
          <w:bCs/>
          <w:sz w:val="24"/>
          <w:szCs w:val="24"/>
        </w:rPr>
      </w:pPr>
    </w:p>
    <w:p w14:paraId="3DBAAD81" w14:textId="77777777" w:rsidR="00DB0C46" w:rsidRDefault="00DB0C46" w:rsidP="00493868">
      <w:pPr>
        <w:tabs>
          <w:tab w:val="left" w:pos="540"/>
        </w:tabs>
        <w:ind w:left="540" w:hanging="540"/>
        <w:rPr>
          <w:b/>
          <w:bCs/>
          <w:sz w:val="24"/>
          <w:szCs w:val="24"/>
        </w:rPr>
      </w:pPr>
    </w:p>
    <w:p w14:paraId="11451187" w14:textId="1F4F3BED"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14:paraId="21BE1228" w14:textId="77777777" w:rsidR="004F26E9" w:rsidRDefault="004F26E9" w:rsidP="0020448B">
      <w:pPr>
        <w:rPr>
          <w:sz w:val="24"/>
          <w:szCs w:val="24"/>
        </w:rPr>
      </w:pPr>
    </w:p>
    <w:p w14:paraId="13CB3F28" w14:textId="77777777" w:rsidR="002A0C93" w:rsidRPr="002A0C93" w:rsidRDefault="002A0C93" w:rsidP="002A0C93">
      <w:pPr>
        <w:keepNext/>
        <w:widowControl/>
        <w:rPr>
          <w:sz w:val="24"/>
          <w:szCs w:val="24"/>
        </w:rPr>
      </w:pPr>
      <w:r w:rsidRPr="002A0C93">
        <w:rPr>
          <w:sz w:val="24"/>
          <w:szCs w:val="24"/>
        </w:rPr>
        <w:t>The PTNS 2.0 system is designed to replace the current observer notification system, and will not create any duplicate reporting requirements.</w:t>
      </w:r>
    </w:p>
    <w:p w14:paraId="7742A4F7" w14:textId="77777777" w:rsidR="002A0C93" w:rsidRPr="002A0C93" w:rsidRDefault="002A0C93" w:rsidP="002A0C93">
      <w:pPr>
        <w:keepNext/>
        <w:widowControl/>
        <w:rPr>
          <w:sz w:val="24"/>
          <w:szCs w:val="24"/>
        </w:rPr>
      </w:pPr>
    </w:p>
    <w:p w14:paraId="52BF83DA" w14:textId="77777777" w:rsidR="002A0C93" w:rsidRPr="002A0C93" w:rsidRDefault="002A0C93" w:rsidP="002A0C93">
      <w:pPr>
        <w:rPr>
          <w:sz w:val="24"/>
          <w:szCs w:val="24"/>
        </w:rPr>
      </w:pPr>
      <w:r w:rsidRPr="002A0C93">
        <w:rPr>
          <w:sz w:val="24"/>
          <w:szCs w:val="24"/>
        </w:rPr>
        <w:t>The increased monitoring mandated by the IFM amendment would apply to vessels that are not selected for coverage under current (SBRM) protocol.  There would be no duplication because vessels would not be required to pay for monitoring on trips that have SBRM coverage.</w:t>
      </w:r>
    </w:p>
    <w:p w14:paraId="1832203C" w14:textId="77777777" w:rsidR="002A0C93" w:rsidRPr="002A0C93" w:rsidRDefault="002A0C93" w:rsidP="002A0C93">
      <w:pPr>
        <w:rPr>
          <w:sz w:val="24"/>
          <w:szCs w:val="24"/>
        </w:rPr>
      </w:pPr>
    </w:p>
    <w:p w14:paraId="560B4FB3" w14:textId="77777777" w:rsidR="002A0C93" w:rsidRPr="002A0C93" w:rsidRDefault="002A0C93" w:rsidP="002A0C93">
      <w:pPr>
        <w:rPr>
          <w:sz w:val="24"/>
          <w:szCs w:val="24"/>
        </w:rPr>
      </w:pPr>
      <w:r w:rsidRPr="002A0C93">
        <w:rPr>
          <w:sz w:val="24"/>
          <w:szCs w:val="24"/>
        </w:rPr>
        <w:t>Information submissions for Atlantic herring observer/monitor programs and vessels are unique to this fishery, and direct duplication with other collections does not exist.</w:t>
      </w:r>
    </w:p>
    <w:p w14:paraId="0AFD5ED2" w14:textId="77777777" w:rsidR="002A0C93" w:rsidRPr="002A0C93" w:rsidRDefault="002A0C93" w:rsidP="002A0C93">
      <w:pPr>
        <w:rPr>
          <w:sz w:val="24"/>
          <w:szCs w:val="24"/>
        </w:rPr>
      </w:pPr>
    </w:p>
    <w:p w14:paraId="352B5B22" w14:textId="5412743D" w:rsidR="002A0C93" w:rsidRPr="002A0C93" w:rsidRDefault="00FF3E98" w:rsidP="002A0C93">
      <w:pPr>
        <w:rPr>
          <w:sz w:val="24"/>
          <w:szCs w:val="24"/>
        </w:rPr>
      </w:pPr>
      <w:r w:rsidRPr="005944F0">
        <w:rPr>
          <w:sz w:val="24"/>
          <w:szCs w:val="24"/>
        </w:rPr>
        <w:t>With the removal of previously approved colle</w:t>
      </w:r>
      <w:r w:rsidR="00292491">
        <w:rPr>
          <w:sz w:val="24"/>
          <w:szCs w:val="24"/>
        </w:rPr>
        <w:t>c</w:t>
      </w:r>
      <w:r w:rsidRPr="005944F0">
        <w:rPr>
          <w:sz w:val="24"/>
          <w:szCs w:val="24"/>
        </w:rPr>
        <w:t xml:space="preserve">tion information that </w:t>
      </w:r>
      <w:r w:rsidR="00DB0C46">
        <w:rPr>
          <w:sz w:val="24"/>
          <w:szCs w:val="24"/>
        </w:rPr>
        <w:t>is</w:t>
      </w:r>
      <w:r w:rsidRPr="005944F0">
        <w:rPr>
          <w:sz w:val="24"/>
          <w:szCs w:val="24"/>
        </w:rPr>
        <w:t xml:space="preserve"> now addressed under </w:t>
      </w:r>
      <w:r w:rsidRPr="00FF3E98">
        <w:rPr>
          <w:sz w:val="24"/>
          <w:szCs w:val="24"/>
        </w:rPr>
        <w:t>OMB Control No. 0648-0202</w:t>
      </w:r>
      <w:r w:rsidR="003A2C6C">
        <w:rPr>
          <w:sz w:val="24"/>
          <w:szCs w:val="24"/>
        </w:rPr>
        <w:t xml:space="preserve">, </w:t>
      </w:r>
      <w:r w:rsidRPr="00B723C4">
        <w:rPr>
          <w:sz w:val="24"/>
          <w:szCs w:val="24"/>
        </w:rPr>
        <w:t>OMB Control No. 0648-0212</w:t>
      </w:r>
      <w:r w:rsidR="003A2C6C">
        <w:rPr>
          <w:sz w:val="24"/>
          <w:szCs w:val="24"/>
        </w:rPr>
        <w:t>, and OMB Control No. 0648-0229</w:t>
      </w:r>
      <w:r w:rsidRPr="00292491">
        <w:rPr>
          <w:sz w:val="24"/>
          <w:szCs w:val="24"/>
        </w:rPr>
        <w:t xml:space="preserve">, </w:t>
      </w:r>
      <w:r w:rsidRPr="005944F0">
        <w:rPr>
          <w:sz w:val="24"/>
          <w:szCs w:val="24"/>
        </w:rPr>
        <w:t>n</w:t>
      </w:r>
      <w:r w:rsidR="002A0C93" w:rsidRPr="00FF3E98">
        <w:rPr>
          <w:sz w:val="24"/>
          <w:szCs w:val="24"/>
        </w:rPr>
        <w:t>one of the other information collected through this family of forms is duplicated elsewhere</w:t>
      </w:r>
      <w:r w:rsidR="002A0C93" w:rsidRPr="00B723C4">
        <w:rPr>
          <w:sz w:val="24"/>
          <w:szCs w:val="24"/>
        </w:rPr>
        <w:t>.</w:t>
      </w:r>
      <w:r w:rsidR="002A0C93" w:rsidRPr="002A0C93">
        <w:rPr>
          <w:sz w:val="24"/>
          <w:szCs w:val="24"/>
        </w:rPr>
        <w:t xml:space="preserve">  </w:t>
      </w:r>
    </w:p>
    <w:p w14:paraId="5B53EDB5" w14:textId="77777777" w:rsidR="004F26E9" w:rsidRDefault="004F26E9" w:rsidP="0020448B">
      <w:pPr>
        <w:rPr>
          <w:sz w:val="24"/>
          <w:szCs w:val="24"/>
        </w:rPr>
      </w:pPr>
    </w:p>
    <w:p w14:paraId="3DD32819" w14:textId="77777777" w:rsidR="004F26E9" w:rsidRDefault="004F26E9" w:rsidP="0020448B">
      <w:pPr>
        <w:rPr>
          <w:sz w:val="24"/>
          <w:szCs w:val="24"/>
        </w:rPr>
      </w:pPr>
    </w:p>
    <w:p w14:paraId="68B61DC6" w14:textId="77777777"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14:paraId="2DA114D7" w14:textId="77777777" w:rsidR="004F26E9" w:rsidRDefault="004F26E9" w:rsidP="0020448B">
      <w:pPr>
        <w:rPr>
          <w:sz w:val="24"/>
          <w:szCs w:val="24"/>
        </w:rPr>
      </w:pPr>
    </w:p>
    <w:p w14:paraId="17A942C4" w14:textId="77777777" w:rsidR="002A0C93" w:rsidRPr="002A0C93" w:rsidRDefault="002A0C93" w:rsidP="002A0C93">
      <w:pPr>
        <w:rPr>
          <w:sz w:val="24"/>
          <w:szCs w:val="24"/>
        </w:rPr>
      </w:pPr>
      <w:r w:rsidRPr="002A0C93">
        <w:rPr>
          <w:sz w:val="24"/>
          <w:szCs w:val="24"/>
        </w:rPr>
        <w:t xml:space="preserve">Only the minimum data needed to meet the objectives of the IFM Amendment are requested from all respondents.  Since the respondents are small businesses, separate requirements based on the size of business have not been developed.  </w:t>
      </w:r>
    </w:p>
    <w:p w14:paraId="537317B1" w14:textId="77777777" w:rsidR="002A0C93" w:rsidRPr="002A0C93" w:rsidRDefault="002A0C93" w:rsidP="002A0C93">
      <w:pPr>
        <w:rPr>
          <w:sz w:val="24"/>
          <w:szCs w:val="24"/>
        </w:rPr>
      </w:pPr>
    </w:p>
    <w:p w14:paraId="0160CDE0" w14:textId="77777777" w:rsidR="002A0C93" w:rsidRPr="002A0C93" w:rsidRDefault="002A0C93" w:rsidP="002A0C93">
      <w:pPr>
        <w:rPr>
          <w:sz w:val="24"/>
          <w:szCs w:val="24"/>
        </w:rPr>
      </w:pPr>
      <w:r w:rsidRPr="002A0C93">
        <w:rPr>
          <w:sz w:val="24"/>
          <w:szCs w:val="24"/>
        </w:rPr>
        <w:t xml:space="preserve">PTNS 2.0 is being designed to be a user-friendly system that will notify vessels of any mandatory coverage requirements for a trip.  The system will be accessible from any computer with internet access and at any time of day.  The system will notify service providers of the selection of coverage for a trip, and vessels will be notified that a trip will be monitored only if selected and if coverage is available.  </w:t>
      </w:r>
    </w:p>
    <w:p w14:paraId="79C6C56A" w14:textId="77777777" w:rsidR="002A0C93" w:rsidRPr="002A0C93" w:rsidRDefault="002A0C93" w:rsidP="002A0C93">
      <w:pPr>
        <w:rPr>
          <w:sz w:val="24"/>
          <w:szCs w:val="24"/>
        </w:rPr>
      </w:pPr>
    </w:p>
    <w:p w14:paraId="599078CE" w14:textId="77777777" w:rsidR="002A0C93" w:rsidRPr="002A0C93" w:rsidRDefault="002A0C93" w:rsidP="002A0C93">
      <w:pPr>
        <w:rPr>
          <w:sz w:val="24"/>
          <w:szCs w:val="24"/>
        </w:rPr>
      </w:pPr>
      <w:r w:rsidRPr="002A0C93">
        <w:rPr>
          <w:sz w:val="24"/>
          <w:szCs w:val="24"/>
        </w:rPr>
        <w:t xml:space="preserve">NMFS would likely certify several service providers (best estimate: 4) to offer monitoring services to vessels with Category A or B herring permits.  Each vendor would offer comparable equipment and services over a range of prices.  This would reduce the burden on the public by increasing competition among vendors, thereby decreasing costs to the fishing industry to obtain additional monitoring.  </w:t>
      </w:r>
    </w:p>
    <w:p w14:paraId="1677619D" w14:textId="77777777" w:rsidR="004F26E9" w:rsidRDefault="004F26E9" w:rsidP="0020448B">
      <w:pPr>
        <w:rPr>
          <w:sz w:val="24"/>
          <w:szCs w:val="24"/>
        </w:rPr>
      </w:pPr>
    </w:p>
    <w:p w14:paraId="7CE8714A" w14:textId="77777777" w:rsidR="004F26E9" w:rsidRDefault="004F26E9" w:rsidP="0020448B">
      <w:pPr>
        <w:rPr>
          <w:sz w:val="24"/>
          <w:szCs w:val="24"/>
        </w:rPr>
      </w:pPr>
    </w:p>
    <w:p w14:paraId="7C4F18FE" w14:textId="77777777" w:rsidR="004F26E9" w:rsidRDefault="00493868" w:rsidP="00493868">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14:paraId="017EC4E2" w14:textId="77777777" w:rsidR="004F26E9" w:rsidRDefault="004F26E9" w:rsidP="0020448B">
      <w:pPr>
        <w:rPr>
          <w:sz w:val="24"/>
          <w:szCs w:val="24"/>
        </w:rPr>
      </w:pPr>
    </w:p>
    <w:p w14:paraId="7753C846" w14:textId="77777777" w:rsidR="002A0C93" w:rsidRPr="002A0C93" w:rsidRDefault="002A0C93" w:rsidP="002A0C93">
      <w:pPr>
        <w:rPr>
          <w:sz w:val="24"/>
          <w:szCs w:val="24"/>
        </w:rPr>
      </w:pPr>
      <w:r w:rsidRPr="002A0C93">
        <w:rPr>
          <w:sz w:val="24"/>
          <w:szCs w:val="24"/>
        </w:rPr>
        <w:t>To the extent practicable, frequency of information collection under this family of forms has been minimized. To reduce the frequency any further would compromise the intent of each collection of information requirement.</w:t>
      </w:r>
    </w:p>
    <w:p w14:paraId="64370BC8" w14:textId="77777777" w:rsidR="002A0C93" w:rsidRPr="002A0C93" w:rsidRDefault="002A0C93" w:rsidP="002A0C9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sz w:val="24"/>
          <w:szCs w:val="24"/>
        </w:rPr>
      </w:pPr>
    </w:p>
    <w:p w14:paraId="2ECBE1AE" w14:textId="77777777" w:rsidR="002A0C93" w:rsidRPr="002A0C93" w:rsidRDefault="002A0C93" w:rsidP="002A0C93">
      <w:pPr>
        <w:rPr>
          <w:sz w:val="24"/>
          <w:szCs w:val="24"/>
        </w:rPr>
      </w:pPr>
      <w:r w:rsidRPr="002A0C93">
        <w:rPr>
          <w:sz w:val="24"/>
          <w:szCs w:val="24"/>
        </w:rPr>
        <w:t>All information would be required to meet the requirements of the IFM Amendment, and must be submitted in the time frame requested.  Collecting this information less frequently would jeopardize the goals and objectives of the IFM Amendment and the observer program.</w:t>
      </w:r>
    </w:p>
    <w:p w14:paraId="5E9DAADF" w14:textId="77777777" w:rsidR="004F26E9" w:rsidRDefault="004F26E9" w:rsidP="0020448B">
      <w:pPr>
        <w:rPr>
          <w:sz w:val="24"/>
          <w:szCs w:val="24"/>
        </w:rPr>
      </w:pPr>
    </w:p>
    <w:p w14:paraId="61B124F8" w14:textId="77777777" w:rsidR="004F26E9" w:rsidRDefault="004F26E9" w:rsidP="0020448B">
      <w:pPr>
        <w:rPr>
          <w:sz w:val="24"/>
          <w:szCs w:val="24"/>
        </w:rPr>
      </w:pPr>
    </w:p>
    <w:p w14:paraId="63E436E0" w14:textId="77777777"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14:paraId="451A2816" w14:textId="77777777" w:rsidR="004F26E9" w:rsidRDefault="004F26E9" w:rsidP="00CD5390">
      <w:pPr>
        <w:rPr>
          <w:sz w:val="24"/>
          <w:szCs w:val="24"/>
        </w:rPr>
      </w:pPr>
    </w:p>
    <w:p w14:paraId="17809F5F" w14:textId="77777777" w:rsidR="002A0C93" w:rsidRPr="002A0C93" w:rsidRDefault="002A0C93" w:rsidP="002A0C93">
      <w:pPr>
        <w:rPr>
          <w:sz w:val="24"/>
          <w:szCs w:val="24"/>
        </w:rPr>
      </w:pPr>
      <w:r w:rsidRPr="002A0C93">
        <w:rPr>
          <w:sz w:val="24"/>
          <w:szCs w:val="24"/>
        </w:rPr>
        <w:t>The data collection is consistent with 5 CFR 1320.6 guidelines.</w:t>
      </w:r>
    </w:p>
    <w:p w14:paraId="3C6ECF03" w14:textId="77777777" w:rsidR="004F26E9" w:rsidRDefault="004F26E9" w:rsidP="00CD5390">
      <w:pPr>
        <w:rPr>
          <w:sz w:val="24"/>
          <w:szCs w:val="24"/>
        </w:rPr>
      </w:pPr>
    </w:p>
    <w:p w14:paraId="02087538" w14:textId="77777777" w:rsidR="00725C5C" w:rsidRDefault="00725C5C" w:rsidP="00CD5390">
      <w:pPr>
        <w:rPr>
          <w:b/>
          <w:bCs/>
          <w:sz w:val="24"/>
          <w:szCs w:val="24"/>
        </w:rPr>
      </w:pPr>
    </w:p>
    <w:p w14:paraId="198591A1" w14:textId="77777777"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14:paraId="34308E61" w14:textId="77777777"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14:paraId="45D2F542" w14:textId="77777777"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17AC88" w14:textId="77777777" w:rsidR="004F26E9" w:rsidRDefault="004F26E9" w:rsidP="00CD5390">
      <w:pPr>
        <w:rPr>
          <w:sz w:val="24"/>
          <w:szCs w:val="24"/>
        </w:rPr>
      </w:pPr>
    </w:p>
    <w:p w14:paraId="2C42C928" w14:textId="77777777" w:rsidR="002A0C93" w:rsidRPr="002A0C93" w:rsidRDefault="002A0C93" w:rsidP="002A0C93">
      <w:pPr>
        <w:rPr>
          <w:sz w:val="24"/>
          <w:szCs w:val="24"/>
        </w:rPr>
      </w:pPr>
      <w:r w:rsidRPr="002A0C93">
        <w:rPr>
          <w:sz w:val="24"/>
          <w:szCs w:val="24"/>
        </w:rPr>
        <w:t xml:space="preserve">The NEFMC held many Council and Committee meetings during the development of IFM Amendment between 2013 and April 2017, during which there were opportunities for public discussion of proposed management strategies.  The Council approved the measures contained in IFM Amendment, including the measure specified above, on April 20, 2017. </w:t>
      </w:r>
    </w:p>
    <w:p w14:paraId="192BBEA7" w14:textId="77777777" w:rsidR="002A0C93" w:rsidRPr="002A0C93" w:rsidRDefault="002A0C93" w:rsidP="002A0C93">
      <w:pPr>
        <w:rPr>
          <w:sz w:val="24"/>
          <w:szCs w:val="24"/>
        </w:rPr>
      </w:pPr>
    </w:p>
    <w:p w14:paraId="3E3DCC35" w14:textId="77777777" w:rsidR="002A0C93" w:rsidRPr="002A0C93" w:rsidRDefault="002A0C93" w:rsidP="002A0C93">
      <w:pPr>
        <w:rPr>
          <w:sz w:val="24"/>
          <w:szCs w:val="24"/>
        </w:rPr>
      </w:pPr>
      <w:r w:rsidRPr="002A0C93">
        <w:rPr>
          <w:sz w:val="24"/>
          <w:szCs w:val="24"/>
        </w:rPr>
        <w:t xml:space="preserve">The proposed rule (83 FR 55665) published on November 7, 2018.  NMFS received 18 comment letters on the notice of availability (83 FR 47326; September 19, 2018) and proposed rule. Those comments, and NMFS responses, are contained in the Comments and Responses section of this final rule and are not repeated here. Comments 1, 2, 5, 6, 8, 9, 11, and 12 discussed the economic impacts of the measures, but did not directly comment on the PRA collection.  </w:t>
      </w:r>
    </w:p>
    <w:p w14:paraId="63CFE84A" w14:textId="77777777" w:rsidR="00493868" w:rsidRDefault="00493868" w:rsidP="00CD5390">
      <w:pPr>
        <w:rPr>
          <w:sz w:val="24"/>
          <w:szCs w:val="24"/>
        </w:rPr>
      </w:pPr>
    </w:p>
    <w:p w14:paraId="3A0F5352" w14:textId="77777777" w:rsidR="00493868" w:rsidRDefault="00493868" w:rsidP="00CD5390">
      <w:pPr>
        <w:rPr>
          <w:sz w:val="24"/>
          <w:szCs w:val="24"/>
        </w:rPr>
      </w:pPr>
    </w:p>
    <w:p w14:paraId="78FC54F7" w14:textId="77777777"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14:paraId="03548251" w14:textId="77777777" w:rsidR="004F26E9" w:rsidRDefault="004F26E9" w:rsidP="00CD5390">
      <w:pPr>
        <w:rPr>
          <w:sz w:val="24"/>
          <w:szCs w:val="24"/>
        </w:rPr>
      </w:pPr>
    </w:p>
    <w:p w14:paraId="5C181732" w14:textId="77777777" w:rsidR="002A0C93" w:rsidRPr="002A0C93" w:rsidRDefault="002A0C93" w:rsidP="002A0C9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2A0C93">
        <w:rPr>
          <w:sz w:val="24"/>
          <w:szCs w:val="24"/>
        </w:rPr>
        <w:t>No payment or gift has been or will be made to respondents.</w:t>
      </w:r>
    </w:p>
    <w:p w14:paraId="233EB4BB" w14:textId="77777777" w:rsidR="004F26E9" w:rsidRDefault="004F26E9" w:rsidP="00CD5390">
      <w:pPr>
        <w:rPr>
          <w:sz w:val="24"/>
          <w:szCs w:val="24"/>
        </w:rPr>
      </w:pPr>
    </w:p>
    <w:p w14:paraId="37A83310" w14:textId="77777777" w:rsidR="004F26E9" w:rsidRDefault="004F26E9" w:rsidP="00CD5390">
      <w:pPr>
        <w:rPr>
          <w:sz w:val="24"/>
          <w:szCs w:val="24"/>
        </w:rPr>
      </w:pPr>
    </w:p>
    <w:p w14:paraId="4ABBD171" w14:textId="77777777"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14:paraId="225EB3B8" w14:textId="77777777" w:rsidR="004F26E9" w:rsidRDefault="004F26E9" w:rsidP="00CD5390">
      <w:pPr>
        <w:rPr>
          <w:sz w:val="24"/>
          <w:szCs w:val="24"/>
        </w:rPr>
      </w:pPr>
    </w:p>
    <w:p w14:paraId="26216141" w14:textId="77777777" w:rsidR="002A0C93" w:rsidRPr="002A0C93" w:rsidRDefault="002A0C93" w:rsidP="002A0C93">
      <w:pPr>
        <w:rPr>
          <w:sz w:val="24"/>
          <w:szCs w:val="24"/>
        </w:rPr>
      </w:pPr>
      <w:r w:rsidRPr="002A0C93">
        <w:rPr>
          <w:sz w:val="24"/>
          <w:szCs w:val="24"/>
        </w:rPr>
        <w:t xml:space="preserve">All data would be handled in accordance with </w:t>
      </w:r>
      <w:hyperlink r:id="rId12" w:history="1">
        <w:r w:rsidRPr="002A0C93">
          <w:rPr>
            <w:rStyle w:val="Hyperlink"/>
            <w:sz w:val="24"/>
            <w:szCs w:val="24"/>
          </w:rPr>
          <w:t>NOAA Administrative Order 216-100</w:t>
        </w:r>
      </w:hyperlink>
      <w:r w:rsidRPr="002A0C93">
        <w:rPr>
          <w:sz w:val="24"/>
          <w:szCs w:val="24"/>
        </w:rPr>
        <w:t xml:space="preserve">, Confidentiality of Fisheries Statistics, and would not be released for public use except in aggregate statistical form (and without identifying the source of data, i.e., vessel name, owner, etc).  In addition, any information collected under the Permit Family of Forms would be considered confidential and would not be disclosed except as provided in Section 402(b) of the Magnuson-Stevens Act.  </w:t>
      </w:r>
    </w:p>
    <w:p w14:paraId="699CB20F" w14:textId="77777777" w:rsidR="002A0C93" w:rsidRPr="002A0C93" w:rsidRDefault="002A0C93" w:rsidP="002A0C93">
      <w:pPr>
        <w:rPr>
          <w:sz w:val="24"/>
          <w:szCs w:val="24"/>
        </w:rPr>
      </w:pPr>
    </w:p>
    <w:p w14:paraId="3B67D32C" w14:textId="77777777" w:rsidR="002A0C93" w:rsidRPr="002A0C93" w:rsidRDefault="002A0C93" w:rsidP="002A0C93">
      <w:pPr>
        <w:rPr>
          <w:sz w:val="24"/>
          <w:szCs w:val="24"/>
        </w:rPr>
      </w:pPr>
      <w:r w:rsidRPr="002A0C93">
        <w:rPr>
          <w:sz w:val="24"/>
          <w:szCs w:val="24"/>
        </w:rPr>
        <w:t>COMMERCE/NOAA-19, Permits and Registrations for United States Federally Managed Fisheries covers this information. An amended SORN was published on August 7, 2015 (80 FR 47457).</w:t>
      </w:r>
    </w:p>
    <w:p w14:paraId="191D2424" w14:textId="77777777" w:rsidR="004F26E9" w:rsidRDefault="004F26E9" w:rsidP="00CD5390">
      <w:pPr>
        <w:rPr>
          <w:sz w:val="24"/>
          <w:szCs w:val="24"/>
        </w:rPr>
      </w:pPr>
    </w:p>
    <w:p w14:paraId="0E0034CD" w14:textId="77777777" w:rsidR="004F26E9" w:rsidRDefault="004F26E9" w:rsidP="00CD5390">
      <w:pPr>
        <w:rPr>
          <w:sz w:val="24"/>
          <w:szCs w:val="24"/>
        </w:rPr>
      </w:pPr>
    </w:p>
    <w:p w14:paraId="38F64708" w14:textId="77777777" w:rsidR="004F26E9" w:rsidRDefault="00493868" w:rsidP="00493868">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14:paraId="5B0FDE56" w14:textId="77777777" w:rsidR="004F26E9" w:rsidRDefault="004F26E9" w:rsidP="00CD5390">
      <w:pPr>
        <w:rPr>
          <w:sz w:val="24"/>
          <w:szCs w:val="24"/>
        </w:rPr>
      </w:pPr>
    </w:p>
    <w:p w14:paraId="0AD180AE" w14:textId="77777777" w:rsidR="002A0C93" w:rsidRPr="002A0C93" w:rsidRDefault="002A0C93" w:rsidP="002A0C93">
      <w:pPr>
        <w:rPr>
          <w:sz w:val="24"/>
          <w:szCs w:val="24"/>
        </w:rPr>
      </w:pPr>
      <w:r w:rsidRPr="002A0C93">
        <w:rPr>
          <w:sz w:val="24"/>
          <w:szCs w:val="24"/>
        </w:rPr>
        <w:t xml:space="preserve">There are no questions of a sensitive nature involved in this collection of information. </w:t>
      </w:r>
    </w:p>
    <w:p w14:paraId="22425B38" w14:textId="77777777" w:rsidR="004F26E9" w:rsidRDefault="004F26E9" w:rsidP="00CD5390">
      <w:pPr>
        <w:rPr>
          <w:sz w:val="24"/>
          <w:szCs w:val="24"/>
        </w:rPr>
      </w:pPr>
    </w:p>
    <w:p w14:paraId="66B23C2C" w14:textId="77777777" w:rsidR="004F26E9" w:rsidRDefault="004F26E9" w:rsidP="00CD5390">
      <w:pPr>
        <w:rPr>
          <w:sz w:val="24"/>
          <w:szCs w:val="24"/>
        </w:rPr>
      </w:pPr>
    </w:p>
    <w:p w14:paraId="5EBB531A" w14:textId="77777777" w:rsidR="00CA2B37" w:rsidRDefault="00CA2B37" w:rsidP="00CD5390">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14:paraId="536FF498" w14:textId="77777777" w:rsidR="004F26E9" w:rsidRDefault="00493868" w:rsidP="00493868">
      <w:pPr>
        <w:tabs>
          <w:tab w:val="left" w:pos="540"/>
        </w:tabs>
        <w:ind w:left="540" w:hanging="540"/>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14:paraId="0907577E" w14:textId="77777777" w:rsidR="00580714" w:rsidRDefault="00D9308B" w:rsidP="00580714">
      <w:pPr>
        <w:rPr>
          <w:sz w:val="24"/>
          <w:szCs w:val="24"/>
        </w:rPr>
      </w:pPr>
      <w:r>
        <w:rPr>
          <w:b/>
          <w:bCs/>
          <w:sz w:val="24"/>
          <w:szCs w:val="24"/>
        </w:rPr>
        <w:t>For wage costs:  u</w:t>
      </w:r>
      <w:r w:rsidR="00580714">
        <w:rPr>
          <w:b/>
          <w:bCs/>
          <w:sz w:val="24"/>
          <w:szCs w:val="24"/>
        </w:rPr>
        <w:t xml:space="preserve">se </w:t>
      </w:r>
      <w:hyperlink r:id="rId13"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14:paraId="79B4424E" w14:textId="77777777" w:rsidR="004F26E9" w:rsidRDefault="004F26E9" w:rsidP="00CA2B37">
      <w:pPr>
        <w:ind w:left="-360"/>
        <w:rPr>
          <w:sz w:val="24"/>
          <w:szCs w:val="24"/>
        </w:rPr>
      </w:pPr>
    </w:p>
    <w:tbl>
      <w:tblPr>
        <w:tblW w:w="14110" w:type="dxa"/>
        <w:tblLook w:val="04A0" w:firstRow="1" w:lastRow="0" w:firstColumn="1" w:lastColumn="0" w:noHBand="0" w:noVBand="1"/>
      </w:tblPr>
      <w:tblGrid>
        <w:gridCol w:w="3188"/>
        <w:gridCol w:w="2109"/>
        <w:gridCol w:w="1188"/>
        <w:gridCol w:w="1116"/>
        <w:gridCol w:w="1255"/>
        <w:gridCol w:w="1020"/>
        <w:gridCol w:w="1104"/>
        <w:gridCol w:w="1271"/>
        <w:gridCol w:w="1869"/>
      </w:tblGrid>
      <w:tr w:rsidR="00D65E17" w:rsidRPr="000D49BA" w14:paraId="2D3505D3" w14:textId="77777777" w:rsidTr="003A2C6C">
        <w:trPr>
          <w:trHeight w:val="943"/>
        </w:trPr>
        <w:tc>
          <w:tcPr>
            <w:tcW w:w="3188"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14:paraId="136099C2"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2109" w:type="dxa"/>
            <w:tcBorders>
              <w:top w:val="single" w:sz="8" w:space="0" w:color="auto"/>
              <w:left w:val="nil"/>
              <w:bottom w:val="single" w:sz="8" w:space="0" w:color="auto"/>
              <w:right w:val="single" w:sz="8" w:space="0" w:color="000000"/>
            </w:tcBorders>
            <w:shd w:val="clear" w:color="auto" w:fill="5B9BD5" w:themeFill="accent1"/>
            <w:vAlign w:val="center"/>
            <w:hideMark/>
          </w:tcPr>
          <w:p w14:paraId="7BF75ED8" w14:textId="77777777" w:rsidR="00CA2B37" w:rsidRPr="00CA2B37" w:rsidRDefault="00CA2B37" w:rsidP="00580714">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3" w:type="dxa"/>
            <w:tcBorders>
              <w:top w:val="single" w:sz="8" w:space="0" w:color="auto"/>
              <w:left w:val="nil"/>
              <w:bottom w:val="single" w:sz="8" w:space="0" w:color="auto"/>
              <w:right w:val="single" w:sz="8" w:space="0" w:color="000000"/>
            </w:tcBorders>
            <w:shd w:val="clear" w:color="auto" w:fill="5B9BD5" w:themeFill="accent1"/>
            <w:vAlign w:val="center"/>
            <w:hideMark/>
          </w:tcPr>
          <w:p w14:paraId="5BFE8D96"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11" w:type="dxa"/>
            <w:tcBorders>
              <w:top w:val="single" w:sz="8" w:space="0" w:color="auto"/>
              <w:left w:val="nil"/>
              <w:bottom w:val="single" w:sz="8" w:space="0" w:color="auto"/>
              <w:right w:val="single" w:sz="8" w:space="0" w:color="auto"/>
            </w:tcBorders>
            <w:shd w:val="clear" w:color="auto" w:fill="5B9BD5" w:themeFill="accent1"/>
            <w:vAlign w:val="center"/>
            <w:hideMark/>
          </w:tcPr>
          <w:p w14:paraId="4F8A9CEA"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255" w:type="dxa"/>
            <w:tcBorders>
              <w:top w:val="single" w:sz="8" w:space="0" w:color="auto"/>
              <w:left w:val="nil"/>
              <w:bottom w:val="single" w:sz="8" w:space="0" w:color="auto"/>
              <w:right w:val="single" w:sz="8" w:space="0" w:color="auto"/>
            </w:tcBorders>
            <w:shd w:val="clear" w:color="auto" w:fill="5B9BD5" w:themeFill="accent1"/>
            <w:vAlign w:val="center"/>
            <w:hideMark/>
          </w:tcPr>
          <w:p w14:paraId="13B2ACA7"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20" w:type="dxa"/>
            <w:tcBorders>
              <w:top w:val="single" w:sz="8" w:space="0" w:color="auto"/>
              <w:left w:val="nil"/>
              <w:bottom w:val="single" w:sz="8" w:space="0" w:color="auto"/>
              <w:right w:val="single" w:sz="8" w:space="0" w:color="auto"/>
            </w:tcBorders>
            <w:shd w:val="clear" w:color="auto" w:fill="5B9BD5" w:themeFill="accent1"/>
            <w:vAlign w:val="center"/>
            <w:hideMark/>
          </w:tcPr>
          <w:p w14:paraId="48964EDF"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04" w:type="dxa"/>
            <w:tcBorders>
              <w:top w:val="single" w:sz="8" w:space="0" w:color="auto"/>
              <w:left w:val="nil"/>
              <w:bottom w:val="single" w:sz="8" w:space="0" w:color="auto"/>
              <w:right w:val="single" w:sz="8" w:space="0" w:color="auto"/>
            </w:tcBorders>
            <w:shd w:val="clear" w:color="auto" w:fill="5B9BD5" w:themeFill="accent1"/>
            <w:vAlign w:val="center"/>
            <w:hideMark/>
          </w:tcPr>
          <w:p w14:paraId="495C906F"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271" w:type="dxa"/>
            <w:tcBorders>
              <w:top w:val="single" w:sz="8" w:space="0" w:color="auto"/>
              <w:left w:val="nil"/>
              <w:bottom w:val="single" w:sz="8" w:space="0" w:color="auto"/>
              <w:right w:val="single" w:sz="8" w:space="0" w:color="auto"/>
            </w:tcBorders>
            <w:shd w:val="clear" w:color="auto" w:fill="5B9BD5" w:themeFill="accent1"/>
            <w:vAlign w:val="center"/>
            <w:hideMark/>
          </w:tcPr>
          <w:p w14:paraId="7F1DE0D7" w14:textId="77777777" w:rsidR="00CA2B37" w:rsidRPr="00CA2B37" w:rsidRDefault="00D9308B" w:rsidP="00CA2B3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869" w:type="dxa"/>
            <w:tcBorders>
              <w:top w:val="single" w:sz="8" w:space="0" w:color="auto"/>
              <w:left w:val="nil"/>
              <w:bottom w:val="single" w:sz="8" w:space="0" w:color="auto"/>
              <w:right w:val="single" w:sz="8" w:space="0" w:color="auto"/>
            </w:tcBorders>
            <w:shd w:val="clear" w:color="auto" w:fill="5B9BD5" w:themeFill="accent1"/>
            <w:vAlign w:val="center"/>
            <w:hideMark/>
          </w:tcPr>
          <w:p w14:paraId="3847953D"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D65E17" w:rsidRPr="00CA2B37" w14:paraId="10DB72C2"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FFF2CC" w:themeFill="accent4" w:themeFillTint="33"/>
            <w:vAlign w:val="bottom"/>
          </w:tcPr>
          <w:p w14:paraId="662D4020" w14:textId="77777777" w:rsidR="009E1C14" w:rsidRPr="00C630D6" w:rsidRDefault="009E1C14" w:rsidP="00CA2B37">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2109" w:type="dxa"/>
            <w:tcBorders>
              <w:top w:val="nil"/>
              <w:left w:val="nil"/>
              <w:bottom w:val="single" w:sz="4" w:space="0" w:color="auto"/>
              <w:right w:val="single" w:sz="4" w:space="0" w:color="auto"/>
            </w:tcBorders>
            <w:shd w:val="clear" w:color="auto" w:fill="FFF2CC" w:themeFill="accent4" w:themeFillTint="33"/>
            <w:vAlign w:val="bottom"/>
          </w:tcPr>
          <w:p w14:paraId="7101E89C" w14:textId="77777777" w:rsidR="009E1C14" w:rsidRPr="00CA2B37" w:rsidRDefault="009E1C14" w:rsidP="00CA2B37">
            <w:pPr>
              <w:widowControl/>
              <w:autoSpaceDE/>
              <w:autoSpaceDN/>
              <w:adjustRightInd/>
              <w:jc w:val="center"/>
              <w:rPr>
                <w:rFonts w:ascii="Calibri" w:hAnsi="Calibri" w:cs="Calibri"/>
                <w:color w:val="000000"/>
                <w:sz w:val="16"/>
                <w:szCs w:val="16"/>
              </w:rPr>
            </w:pPr>
          </w:p>
        </w:tc>
        <w:tc>
          <w:tcPr>
            <w:tcW w:w="1183" w:type="dxa"/>
            <w:tcBorders>
              <w:top w:val="nil"/>
              <w:left w:val="nil"/>
              <w:bottom w:val="single" w:sz="4" w:space="0" w:color="auto"/>
              <w:right w:val="single" w:sz="4" w:space="0" w:color="auto"/>
            </w:tcBorders>
            <w:shd w:val="clear" w:color="auto" w:fill="FFF2CC" w:themeFill="accent4" w:themeFillTint="33"/>
            <w:vAlign w:val="bottom"/>
          </w:tcPr>
          <w:p w14:paraId="71459278"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111" w:type="dxa"/>
            <w:tcBorders>
              <w:top w:val="nil"/>
              <w:left w:val="nil"/>
              <w:bottom w:val="single" w:sz="4" w:space="0" w:color="auto"/>
              <w:right w:val="single" w:sz="4" w:space="0" w:color="auto"/>
            </w:tcBorders>
            <w:shd w:val="clear" w:color="auto" w:fill="FFF2CC" w:themeFill="accent4" w:themeFillTint="33"/>
            <w:vAlign w:val="bottom"/>
          </w:tcPr>
          <w:p w14:paraId="1510F1B8"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FFF2CC" w:themeFill="accent4" w:themeFillTint="33"/>
            <w:vAlign w:val="bottom"/>
          </w:tcPr>
          <w:p w14:paraId="4615D784"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020" w:type="dxa"/>
            <w:tcBorders>
              <w:top w:val="nil"/>
              <w:left w:val="nil"/>
              <w:bottom w:val="single" w:sz="4" w:space="0" w:color="auto"/>
              <w:right w:val="single" w:sz="4" w:space="0" w:color="auto"/>
            </w:tcBorders>
            <w:shd w:val="clear" w:color="auto" w:fill="FFF2CC" w:themeFill="accent4" w:themeFillTint="33"/>
            <w:vAlign w:val="bottom"/>
          </w:tcPr>
          <w:p w14:paraId="4EF9BB38"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104" w:type="dxa"/>
            <w:tcBorders>
              <w:top w:val="nil"/>
              <w:left w:val="nil"/>
              <w:bottom w:val="single" w:sz="4" w:space="0" w:color="auto"/>
              <w:right w:val="single" w:sz="4" w:space="0" w:color="auto"/>
            </w:tcBorders>
            <w:shd w:val="clear" w:color="auto" w:fill="FFF2CC" w:themeFill="accent4" w:themeFillTint="33"/>
            <w:vAlign w:val="bottom"/>
          </w:tcPr>
          <w:p w14:paraId="5D902C22"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271" w:type="dxa"/>
            <w:tcBorders>
              <w:top w:val="nil"/>
              <w:left w:val="nil"/>
              <w:bottom w:val="single" w:sz="4" w:space="0" w:color="auto"/>
              <w:right w:val="single" w:sz="4" w:space="0" w:color="auto"/>
            </w:tcBorders>
            <w:shd w:val="clear" w:color="auto" w:fill="FFF2CC" w:themeFill="accent4" w:themeFillTint="33"/>
            <w:noWrap/>
            <w:vAlign w:val="bottom"/>
          </w:tcPr>
          <w:p w14:paraId="7EF9F78E" w14:textId="77777777" w:rsidR="009E1C14" w:rsidRPr="00CA2B37" w:rsidRDefault="009E1C14" w:rsidP="00CA2B37">
            <w:pPr>
              <w:widowControl/>
              <w:autoSpaceDE/>
              <w:autoSpaceDN/>
              <w:adjustRightInd/>
              <w:jc w:val="right"/>
              <w:rPr>
                <w:rFonts w:ascii="Calibri" w:hAnsi="Calibri" w:cs="Calibri"/>
                <w:color w:val="000000"/>
                <w:sz w:val="16"/>
                <w:szCs w:val="16"/>
              </w:rPr>
            </w:pPr>
          </w:p>
        </w:tc>
        <w:tc>
          <w:tcPr>
            <w:tcW w:w="1869" w:type="dxa"/>
            <w:tcBorders>
              <w:top w:val="nil"/>
              <w:left w:val="nil"/>
              <w:bottom w:val="single" w:sz="4" w:space="0" w:color="auto"/>
              <w:right w:val="single" w:sz="8" w:space="0" w:color="auto"/>
            </w:tcBorders>
            <w:shd w:val="clear" w:color="auto" w:fill="FFF2CC" w:themeFill="accent4" w:themeFillTint="33"/>
            <w:noWrap/>
            <w:vAlign w:val="bottom"/>
          </w:tcPr>
          <w:p w14:paraId="569AEF4E" w14:textId="77777777" w:rsidR="009E1C14" w:rsidRPr="00CA2B37" w:rsidRDefault="009E1C14" w:rsidP="00CA2B37">
            <w:pPr>
              <w:widowControl/>
              <w:autoSpaceDE/>
              <w:autoSpaceDN/>
              <w:adjustRightInd/>
              <w:jc w:val="right"/>
              <w:rPr>
                <w:rFonts w:ascii="Calibri" w:hAnsi="Calibri" w:cs="Calibri"/>
                <w:color w:val="000000"/>
                <w:sz w:val="16"/>
                <w:szCs w:val="16"/>
              </w:rPr>
            </w:pPr>
          </w:p>
        </w:tc>
      </w:tr>
      <w:tr w:rsidR="00D65E17" w:rsidRPr="00CA2B37" w14:paraId="178A5B11"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bottom"/>
            <w:hideMark/>
          </w:tcPr>
          <w:p w14:paraId="4DCE33C6" w14:textId="77777777" w:rsidR="00FA375D" w:rsidRPr="00AE62AC" w:rsidRDefault="00FA375D" w:rsidP="00FA375D">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2109" w:type="dxa"/>
            <w:tcBorders>
              <w:top w:val="nil"/>
              <w:left w:val="nil"/>
              <w:bottom w:val="single" w:sz="4" w:space="0" w:color="auto"/>
              <w:right w:val="single" w:sz="4" w:space="0" w:color="auto"/>
            </w:tcBorders>
            <w:shd w:val="clear" w:color="auto" w:fill="auto"/>
            <w:vAlign w:val="bottom"/>
            <w:hideMark/>
          </w:tcPr>
          <w:p w14:paraId="7AA50EB7" w14:textId="77777777" w:rsidR="00FA375D" w:rsidRPr="00DE56DD" w:rsidRDefault="00FA375D" w:rsidP="00FA375D">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hideMark/>
          </w:tcPr>
          <w:p w14:paraId="29326FE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134</w:t>
            </w:r>
          </w:p>
        </w:tc>
        <w:tc>
          <w:tcPr>
            <w:tcW w:w="1111" w:type="dxa"/>
            <w:tcBorders>
              <w:top w:val="nil"/>
              <w:left w:val="nil"/>
              <w:bottom w:val="single" w:sz="4" w:space="0" w:color="auto"/>
              <w:right w:val="single" w:sz="4" w:space="0" w:color="auto"/>
            </w:tcBorders>
            <w:shd w:val="clear" w:color="auto" w:fill="auto"/>
            <w:vAlign w:val="bottom"/>
            <w:hideMark/>
          </w:tcPr>
          <w:p w14:paraId="0EFAC5B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auto" w:fill="auto"/>
            <w:vAlign w:val="bottom"/>
            <w:hideMark/>
          </w:tcPr>
          <w:p w14:paraId="457F88B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p>
        </w:tc>
        <w:tc>
          <w:tcPr>
            <w:tcW w:w="1020" w:type="dxa"/>
            <w:tcBorders>
              <w:top w:val="nil"/>
              <w:left w:val="nil"/>
              <w:bottom w:val="single" w:sz="4" w:space="0" w:color="auto"/>
              <w:right w:val="single" w:sz="4" w:space="0" w:color="auto"/>
            </w:tcBorders>
            <w:shd w:val="clear" w:color="auto" w:fill="auto"/>
            <w:vAlign w:val="bottom"/>
            <w:hideMark/>
          </w:tcPr>
          <w:p w14:paraId="48ACDE2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hideMark/>
          </w:tcPr>
          <w:p w14:paraId="2AD23EF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279</w:t>
            </w:r>
          </w:p>
        </w:tc>
        <w:tc>
          <w:tcPr>
            <w:tcW w:w="1271" w:type="dxa"/>
            <w:tcBorders>
              <w:top w:val="nil"/>
              <w:left w:val="nil"/>
              <w:bottom w:val="single" w:sz="8" w:space="0" w:color="auto"/>
              <w:right w:val="single" w:sz="8" w:space="0" w:color="auto"/>
            </w:tcBorders>
            <w:shd w:val="clear" w:color="auto" w:fill="auto"/>
            <w:noWrap/>
            <w:vAlign w:val="center"/>
            <w:hideMark/>
          </w:tcPr>
          <w:p w14:paraId="5EC5DB80" w14:textId="77777777" w:rsidR="00FA375D"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hideMark/>
          </w:tcPr>
          <w:p w14:paraId="6782949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$920.93</w:t>
            </w:r>
          </w:p>
        </w:tc>
      </w:tr>
      <w:tr w:rsidR="00D65E17" w:rsidRPr="00CA2B37" w14:paraId="3DFEFA2B"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hideMark/>
          </w:tcPr>
          <w:p w14:paraId="31D44D3B"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2109" w:type="dxa"/>
            <w:tcBorders>
              <w:top w:val="nil"/>
              <w:left w:val="nil"/>
              <w:bottom w:val="single" w:sz="4" w:space="0" w:color="auto"/>
              <w:right w:val="single" w:sz="4" w:space="0" w:color="auto"/>
            </w:tcBorders>
            <w:shd w:val="clear" w:color="auto" w:fill="auto"/>
            <w:vAlign w:val="bottom"/>
            <w:hideMark/>
          </w:tcPr>
          <w:p w14:paraId="38A390CC" w14:textId="77777777" w:rsidR="00FA375D" w:rsidRPr="00DE56DD" w:rsidRDefault="00FA375D" w:rsidP="00FA375D">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hideMark/>
          </w:tcPr>
          <w:p w14:paraId="75F6BD1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134</w:t>
            </w:r>
          </w:p>
        </w:tc>
        <w:tc>
          <w:tcPr>
            <w:tcW w:w="1111" w:type="dxa"/>
            <w:tcBorders>
              <w:top w:val="nil"/>
              <w:left w:val="nil"/>
              <w:bottom w:val="single" w:sz="4" w:space="0" w:color="auto"/>
              <w:right w:val="single" w:sz="4" w:space="0" w:color="auto"/>
            </w:tcBorders>
            <w:shd w:val="clear" w:color="auto" w:fill="auto"/>
            <w:vAlign w:val="bottom"/>
            <w:hideMark/>
          </w:tcPr>
          <w:p w14:paraId="15C0490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auto" w:fill="auto"/>
            <w:vAlign w:val="bottom"/>
            <w:hideMark/>
          </w:tcPr>
          <w:p w14:paraId="0CBDBA1B"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p>
        </w:tc>
        <w:tc>
          <w:tcPr>
            <w:tcW w:w="1020" w:type="dxa"/>
            <w:tcBorders>
              <w:top w:val="nil"/>
              <w:left w:val="nil"/>
              <w:bottom w:val="single" w:sz="4" w:space="0" w:color="auto"/>
              <w:right w:val="single" w:sz="4" w:space="0" w:color="auto"/>
            </w:tcBorders>
            <w:shd w:val="clear" w:color="auto" w:fill="auto"/>
            <w:vAlign w:val="bottom"/>
            <w:hideMark/>
          </w:tcPr>
          <w:p w14:paraId="6599524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min</w:t>
            </w:r>
          </w:p>
        </w:tc>
        <w:tc>
          <w:tcPr>
            <w:tcW w:w="1104" w:type="dxa"/>
            <w:tcBorders>
              <w:top w:val="nil"/>
              <w:left w:val="nil"/>
              <w:bottom w:val="single" w:sz="4" w:space="0" w:color="auto"/>
              <w:right w:val="single" w:sz="4" w:space="0" w:color="auto"/>
            </w:tcBorders>
            <w:shd w:val="clear" w:color="auto" w:fill="auto"/>
            <w:vAlign w:val="bottom"/>
            <w:hideMark/>
          </w:tcPr>
          <w:p w14:paraId="45F58D8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w:t>
            </w:r>
          </w:p>
        </w:tc>
        <w:tc>
          <w:tcPr>
            <w:tcW w:w="1271" w:type="dxa"/>
            <w:tcBorders>
              <w:top w:val="nil"/>
              <w:left w:val="nil"/>
              <w:bottom w:val="single" w:sz="8" w:space="0" w:color="auto"/>
              <w:right w:val="single" w:sz="8" w:space="0" w:color="auto"/>
            </w:tcBorders>
            <w:shd w:val="clear" w:color="auto" w:fill="auto"/>
            <w:noWrap/>
            <w:vAlign w:val="center"/>
            <w:hideMark/>
          </w:tcPr>
          <w:p w14:paraId="7842A4C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hideMark/>
          </w:tcPr>
          <w:p w14:paraId="2FB7ECA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$36.97</w:t>
            </w:r>
          </w:p>
        </w:tc>
      </w:tr>
      <w:tr w:rsidR="00D65E17" w:rsidRPr="00CA2B37" w14:paraId="75DF92A5"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hideMark/>
          </w:tcPr>
          <w:p w14:paraId="79D0173D"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Call to Service Provider to request IFM observer to access Groundfish Closed Areas</w:t>
            </w:r>
          </w:p>
        </w:tc>
        <w:tc>
          <w:tcPr>
            <w:tcW w:w="2109" w:type="dxa"/>
            <w:tcBorders>
              <w:top w:val="nil"/>
              <w:left w:val="nil"/>
              <w:bottom w:val="single" w:sz="4" w:space="0" w:color="auto"/>
              <w:right w:val="single" w:sz="4" w:space="0" w:color="auto"/>
            </w:tcBorders>
            <w:shd w:val="clear" w:color="auto" w:fill="auto"/>
            <w:vAlign w:val="bottom"/>
            <w:hideMark/>
          </w:tcPr>
          <w:p w14:paraId="3F187446" w14:textId="77777777" w:rsidR="00FA375D" w:rsidRPr="00DE56DD" w:rsidRDefault="00FA375D" w:rsidP="00FA375D">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hideMark/>
          </w:tcPr>
          <w:p w14:paraId="283177AD"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11" w:type="dxa"/>
            <w:tcBorders>
              <w:top w:val="nil"/>
              <w:left w:val="nil"/>
              <w:bottom w:val="single" w:sz="4" w:space="0" w:color="auto"/>
              <w:right w:val="single" w:sz="4" w:space="0" w:color="auto"/>
            </w:tcBorders>
            <w:shd w:val="clear" w:color="auto" w:fill="auto"/>
            <w:vAlign w:val="bottom"/>
            <w:hideMark/>
          </w:tcPr>
          <w:p w14:paraId="0CC8DDF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auto" w:fill="auto"/>
            <w:vAlign w:val="bottom"/>
            <w:hideMark/>
          </w:tcPr>
          <w:p w14:paraId="10F76C4D"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020" w:type="dxa"/>
            <w:tcBorders>
              <w:top w:val="nil"/>
              <w:left w:val="nil"/>
              <w:bottom w:val="single" w:sz="4" w:space="0" w:color="auto"/>
              <w:right w:val="single" w:sz="4" w:space="0" w:color="auto"/>
            </w:tcBorders>
            <w:shd w:val="clear" w:color="auto" w:fill="auto"/>
            <w:vAlign w:val="bottom"/>
            <w:hideMark/>
          </w:tcPr>
          <w:p w14:paraId="7F02823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hideMark/>
          </w:tcPr>
          <w:p w14:paraId="1E4A535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271" w:type="dxa"/>
            <w:tcBorders>
              <w:top w:val="nil"/>
              <w:left w:val="nil"/>
              <w:bottom w:val="single" w:sz="8" w:space="0" w:color="auto"/>
              <w:right w:val="single" w:sz="8" w:space="0" w:color="auto"/>
            </w:tcBorders>
            <w:shd w:val="clear" w:color="auto" w:fill="auto"/>
            <w:noWrap/>
            <w:vAlign w:val="center"/>
            <w:hideMark/>
          </w:tcPr>
          <w:p w14:paraId="246B347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hideMark/>
          </w:tcPr>
          <w:p w14:paraId="3FC7FA7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$23.11</w:t>
            </w:r>
          </w:p>
        </w:tc>
      </w:tr>
      <w:tr w:rsidR="00D65E17" w:rsidRPr="00CA2B37" w14:paraId="10AFFFAE"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1D09BCBA"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service provider for Groundfish Closed Area </w:t>
            </w:r>
          </w:p>
        </w:tc>
        <w:tc>
          <w:tcPr>
            <w:tcW w:w="2109" w:type="dxa"/>
            <w:tcBorders>
              <w:top w:val="nil"/>
              <w:left w:val="nil"/>
              <w:bottom w:val="single" w:sz="4" w:space="0" w:color="auto"/>
              <w:right w:val="single" w:sz="4" w:space="0" w:color="auto"/>
            </w:tcBorders>
            <w:shd w:val="clear" w:color="auto" w:fill="auto"/>
            <w:vAlign w:val="bottom"/>
          </w:tcPr>
          <w:p w14:paraId="1999FDEB" w14:textId="77777777" w:rsidR="00FA375D" w:rsidRPr="00DE56DD" w:rsidRDefault="00FA375D" w:rsidP="00FA375D">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tcPr>
          <w:p w14:paraId="43AEEBC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11" w:type="dxa"/>
            <w:tcBorders>
              <w:top w:val="nil"/>
              <w:left w:val="nil"/>
              <w:bottom w:val="single" w:sz="4" w:space="0" w:color="auto"/>
              <w:right w:val="single" w:sz="4" w:space="0" w:color="auto"/>
            </w:tcBorders>
            <w:shd w:val="clear" w:color="auto" w:fill="auto"/>
            <w:vAlign w:val="bottom"/>
          </w:tcPr>
          <w:p w14:paraId="2896F44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255" w:type="dxa"/>
            <w:tcBorders>
              <w:top w:val="nil"/>
              <w:left w:val="nil"/>
              <w:bottom w:val="single" w:sz="4" w:space="0" w:color="auto"/>
              <w:right w:val="single" w:sz="4" w:space="0" w:color="auto"/>
            </w:tcBorders>
            <w:shd w:val="clear" w:color="auto" w:fill="auto"/>
            <w:vAlign w:val="bottom"/>
          </w:tcPr>
          <w:p w14:paraId="42250A6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020" w:type="dxa"/>
            <w:tcBorders>
              <w:top w:val="nil"/>
              <w:left w:val="nil"/>
              <w:bottom w:val="single" w:sz="4" w:space="0" w:color="auto"/>
              <w:right w:val="single" w:sz="4" w:space="0" w:color="auto"/>
            </w:tcBorders>
            <w:shd w:val="clear" w:color="auto" w:fill="auto"/>
            <w:vAlign w:val="bottom"/>
          </w:tcPr>
          <w:p w14:paraId="220BD78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min</w:t>
            </w:r>
          </w:p>
        </w:tc>
        <w:tc>
          <w:tcPr>
            <w:tcW w:w="1104" w:type="dxa"/>
            <w:tcBorders>
              <w:top w:val="nil"/>
              <w:left w:val="nil"/>
              <w:bottom w:val="single" w:sz="4" w:space="0" w:color="auto"/>
              <w:right w:val="single" w:sz="4" w:space="0" w:color="auto"/>
            </w:tcBorders>
            <w:shd w:val="clear" w:color="auto" w:fill="auto"/>
            <w:vAlign w:val="bottom"/>
          </w:tcPr>
          <w:p w14:paraId="3B57F09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1" w:type="dxa"/>
            <w:tcBorders>
              <w:top w:val="nil"/>
              <w:left w:val="nil"/>
              <w:bottom w:val="single" w:sz="8" w:space="0" w:color="auto"/>
              <w:right w:val="single" w:sz="8" w:space="0" w:color="auto"/>
            </w:tcBorders>
            <w:shd w:val="clear" w:color="auto" w:fill="auto"/>
            <w:noWrap/>
            <w:vAlign w:val="center"/>
          </w:tcPr>
          <w:p w14:paraId="37B4D00E"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tcPr>
          <w:p w14:paraId="2E9E79B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$0.66</w:t>
            </w:r>
          </w:p>
        </w:tc>
      </w:tr>
      <w:tr w:rsidR="00D65E17" w:rsidRPr="00CA2B37" w14:paraId="7041C01E" w14:textId="77777777" w:rsidTr="003A2C6C">
        <w:trPr>
          <w:trHeight w:val="395"/>
        </w:trPr>
        <w:tc>
          <w:tcPr>
            <w:tcW w:w="3188" w:type="dxa"/>
            <w:tcBorders>
              <w:top w:val="nil"/>
              <w:left w:val="single" w:sz="8" w:space="0" w:color="auto"/>
              <w:bottom w:val="single" w:sz="4" w:space="0" w:color="auto"/>
              <w:right w:val="single" w:sz="4" w:space="0" w:color="auto"/>
            </w:tcBorders>
            <w:shd w:val="clear" w:color="auto" w:fill="auto"/>
            <w:vAlign w:val="center"/>
          </w:tcPr>
          <w:p w14:paraId="4AF07167"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for IFM ASM Coverage</w:t>
            </w:r>
          </w:p>
        </w:tc>
        <w:tc>
          <w:tcPr>
            <w:tcW w:w="2109" w:type="dxa"/>
            <w:tcBorders>
              <w:top w:val="nil"/>
              <w:left w:val="nil"/>
              <w:bottom w:val="single" w:sz="4" w:space="0" w:color="auto"/>
              <w:right w:val="single" w:sz="4" w:space="0" w:color="auto"/>
            </w:tcBorders>
            <w:shd w:val="clear" w:color="auto" w:fill="auto"/>
            <w:vAlign w:val="bottom"/>
          </w:tcPr>
          <w:p w14:paraId="053B694B"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000000"/>
                <w:sz w:val="16"/>
                <w:szCs w:val="16"/>
              </w:rPr>
              <w:t>General and Operations Managers</w:t>
            </w:r>
          </w:p>
        </w:tc>
        <w:tc>
          <w:tcPr>
            <w:tcW w:w="1183" w:type="dxa"/>
            <w:tcBorders>
              <w:top w:val="nil"/>
              <w:left w:val="nil"/>
              <w:bottom w:val="single" w:sz="4" w:space="0" w:color="auto"/>
              <w:right w:val="single" w:sz="4" w:space="0" w:color="auto"/>
            </w:tcBorders>
            <w:shd w:val="clear" w:color="auto" w:fill="auto"/>
            <w:vAlign w:val="bottom"/>
          </w:tcPr>
          <w:p w14:paraId="534312C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111" w:type="dxa"/>
            <w:tcBorders>
              <w:top w:val="nil"/>
              <w:left w:val="nil"/>
              <w:bottom w:val="single" w:sz="4" w:space="0" w:color="auto"/>
              <w:right w:val="single" w:sz="4" w:space="0" w:color="auto"/>
            </w:tcBorders>
            <w:shd w:val="clear" w:color="auto" w:fill="auto"/>
            <w:vAlign w:val="bottom"/>
          </w:tcPr>
          <w:p w14:paraId="4F3510E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255" w:type="dxa"/>
            <w:tcBorders>
              <w:top w:val="nil"/>
              <w:left w:val="nil"/>
              <w:bottom w:val="single" w:sz="4" w:space="0" w:color="auto"/>
              <w:right w:val="single" w:sz="4" w:space="0" w:color="auto"/>
            </w:tcBorders>
            <w:shd w:val="clear" w:color="auto" w:fill="auto"/>
            <w:vAlign w:val="bottom"/>
          </w:tcPr>
          <w:p w14:paraId="41D70E6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798</w:t>
            </w:r>
          </w:p>
        </w:tc>
        <w:tc>
          <w:tcPr>
            <w:tcW w:w="1020" w:type="dxa"/>
            <w:tcBorders>
              <w:top w:val="nil"/>
              <w:left w:val="nil"/>
              <w:bottom w:val="single" w:sz="4" w:space="0" w:color="auto"/>
              <w:right w:val="single" w:sz="4" w:space="0" w:color="auto"/>
            </w:tcBorders>
            <w:shd w:val="clear" w:color="auto" w:fill="auto"/>
            <w:vAlign w:val="bottom"/>
          </w:tcPr>
          <w:p w14:paraId="724FF84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04" w:type="dxa"/>
            <w:tcBorders>
              <w:top w:val="nil"/>
              <w:left w:val="nil"/>
              <w:bottom w:val="single" w:sz="4" w:space="0" w:color="auto"/>
              <w:right w:val="single" w:sz="4" w:space="0" w:color="auto"/>
            </w:tcBorders>
            <w:shd w:val="clear" w:color="auto" w:fill="auto"/>
            <w:vAlign w:val="bottom"/>
          </w:tcPr>
          <w:p w14:paraId="00F5AA5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71" w:type="dxa"/>
            <w:tcBorders>
              <w:top w:val="nil"/>
              <w:left w:val="nil"/>
              <w:bottom w:val="single" w:sz="8" w:space="0" w:color="auto"/>
              <w:right w:val="single" w:sz="8" w:space="0" w:color="auto"/>
            </w:tcBorders>
            <w:shd w:val="clear" w:color="auto" w:fill="auto"/>
            <w:noWrap/>
            <w:vAlign w:val="center"/>
          </w:tcPr>
          <w:p w14:paraId="6B94BBEC"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$59.56</w:t>
            </w:r>
          </w:p>
        </w:tc>
        <w:tc>
          <w:tcPr>
            <w:tcW w:w="1869" w:type="dxa"/>
            <w:tcBorders>
              <w:top w:val="nil"/>
              <w:left w:val="nil"/>
              <w:bottom w:val="single" w:sz="8" w:space="0" w:color="auto"/>
              <w:right w:val="single" w:sz="8" w:space="0" w:color="auto"/>
            </w:tcBorders>
            <w:shd w:val="clear" w:color="auto" w:fill="auto"/>
            <w:noWrap/>
            <w:vAlign w:val="center"/>
          </w:tcPr>
          <w:p w14:paraId="43FA314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$0.00</w:t>
            </w:r>
          </w:p>
        </w:tc>
      </w:tr>
      <w:tr w:rsidR="00D65E17" w:rsidRPr="00CA2B37" w14:paraId="40D722F7"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25742FBE"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(MWT vessels) for optional IFM observers to enter Groundfish Closed Area</w:t>
            </w:r>
          </w:p>
        </w:tc>
        <w:tc>
          <w:tcPr>
            <w:tcW w:w="2109" w:type="dxa"/>
            <w:tcBorders>
              <w:top w:val="nil"/>
              <w:left w:val="nil"/>
              <w:bottom w:val="single" w:sz="4" w:space="0" w:color="auto"/>
              <w:right w:val="single" w:sz="4" w:space="0" w:color="auto"/>
            </w:tcBorders>
            <w:shd w:val="clear" w:color="auto" w:fill="auto"/>
            <w:vAlign w:val="bottom"/>
          </w:tcPr>
          <w:p w14:paraId="755854C7"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000000"/>
                <w:sz w:val="16"/>
                <w:szCs w:val="16"/>
              </w:rPr>
              <w:t>General and Operations Managers</w:t>
            </w:r>
          </w:p>
        </w:tc>
        <w:tc>
          <w:tcPr>
            <w:tcW w:w="1183" w:type="dxa"/>
            <w:tcBorders>
              <w:top w:val="nil"/>
              <w:left w:val="nil"/>
              <w:bottom w:val="single" w:sz="4" w:space="0" w:color="auto"/>
              <w:right w:val="single" w:sz="4" w:space="0" w:color="auto"/>
            </w:tcBorders>
            <w:shd w:val="clear" w:color="auto" w:fill="auto"/>
            <w:vAlign w:val="bottom"/>
          </w:tcPr>
          <w:p w14:paraId="58B93E7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11" w:type="dxa"/>
            <w:tcBorders>
              <w:top w:val="nil"/>
              <w:left w:val="nil"/>
              <w:bottom w:val="single" w:sz="4" w:space="0" w:color="auto"/>
              <w:right w:val="single" w:sz="4" w:space="0" w:color="auto"/>
            </w:tcBorders>
            <w:shd w:val="clear" w:color="auto" w:fill="auto"/>
            <w:vAlign w:val="bottom"/>
          </w:tcPr>
          <w:p w14:paraId="559D617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255" w:type="dxa"/>
            <w:tcBorders>
              <w:top w:val="nil"/>
              <w:left w:val="nil"/>
              <w:bottom w:val="single" w:sz="4" w:space="0" w:color="auto"/>
              <w:right w:val="single" w:sz="4" w:space="0" w:color="auto"/>
            </w:tcBorders>
            <w:shd w:val="clear" w:color="auto" w:fill="auto"/>
            <w:vAlign w:val="bottom"/>
          </w:tcPr>
          <w:p w14:paraId="11B1326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w:t>
            </w:r>
          </w:p>
        </w:tc>
        <w:tc>
          <w:tcPr>
            <w:tcW w:w="1020" w:type="dxa"/>
            <w:tcBorders>
              <w:top w:val="nil"/>
              <w:left w:val="nil"/>
              <w:bottom w:val="single" w:sz="4" w:space="0" w:color="auto"/>
              <w:right w:val="single" w:sz="4" w:space="0" w:color="auto"/>
            </w:tcBorders>
            <w:shd w:val="clear" w:color="auto" w:fill="auto"/>
            <w:vAlign w:val="bottom"/>
          </w:tcPr>
          <w:p w14:paraId="55E866C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04" w:type="dxa"/>
            <w:tcBorders>
              <w:top w:val="nil"/>
              <w:left w:val="nil"/>
              <w:bottom w:val="single" w:sz="4" w:space="0" w:color="auto"/>
              <w:right w:val="single" w:sz="4" w:space="0" w:color="auto"/>
            </w:tcBorders>
            <w:shd w:val="clear" w:color="auto" w:fill="auto"/>
            <w:vAlign w:val="bottom"/>
          </w:tcPr>
          <w:p w14:paraId="4FBB985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71" w:type="dxa"/>
            <w:tcBorders>
              <w:top w:val="nil"/>
              <w:left w:val="nil"/>
              <w:bottom w:val="single" w:sz="8" w:space="0" w:color="auto"/>
              <w:right w:val="single" w:sz="8" w:space="0" w:color="auto"/>
            </w:tcBorders>
            <w:shd w:val="clear" w:color="auto" w:fill="auto"/>
            <w:noWrap/>
            <w:vAlign w:val="center"/>
          </w:tcPr>
          <w:p w14:paraId="6AD01659"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$59.56</w:t>
            </w:r>
          </w:p>
        </w:tc>
        <w:tc>
          <w:tcPr>
            <w:tcW w:w="1869" w:type="dxa"/>
            <w:tcBorders>
              <w:top w:val="nil"/>
              <w:left w:val="nil"/>
              <w:bottom w:val="single" w:sz="8" w:space="0" w:color="auto"/>
              <w:right w:val="single" w:sz="8" w:space="0" w:color="auto"/>
            </w:tcBorders>
            <w:shd w:val="clear" w:color="auto" w:fill="auto"/>
            <w:noWrap/>
            <w:vAlign w:val="center"/>
          </w:tcPr>
          <w:p w14:paraId="4BF63EE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$0.00</w:t>
            </w:r>
          </w:p>
        </w:tc>
      </w:tr>
      <w:tr w:rsidR="00D65E17" w:rsidRPr="00CA2B37" w14:paraId="4E4B5CD2"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FFF2CC" w:themeFill="accent4" w:themeFillTint="33"/>
            <w:vAlign w:val="bottom"/>
          </w:tcPr>
          <w:p w14:paraId="186546C8" w14:textId="77777777" w:rsidR="00FA375D" w:rsidRPr="00C630D6" w:rsidRDefault="00FA375D" w:rsidP="00FA375D">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Monitor Provider Requirements</w:t>
            </w:r>
          </w:p>
        </w:tc>
        <w:tc>
          <w:tcPr>
            <w:tcW w:w="2109" w:type="dxa"/>
            <w:tcBorders>
              <w:top w:val="nil"/>
              <w:left w:val="nil"/>
              <w:bottom w:val="single" w:sz="4" w:space="0" w:color="auto"/>
              <w:right w:val="single" w:sz="4" w:space="0" w:color="auto"/>
            </w:tcBorders>
            <w:shd w:val="clear" w:color="auto" w:fill="FFF2CC" w:themeFill="accent4" w:themeFillTint="33"/>
            <w:vAlign w:val="bottom"/>
          </w:tcPr>
          <w:p w14:paraId="00593376"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p>
        </w:tc>
        <w:tc>
          <w:tcPr>
            <w:tcW w:w="1183" w:type="dxa"/>
            <w:tcBorders>
              <w:top w:val="nil"/>
              <w:left w:val="nil"/>
              <w:bottom w:val="single" w:sz="4" w:space="0" w:color="auto"/>
              <w:right w:val="single" w:sz="4" w:space="0" w:color="auto"/>
            </w:tcBorders>
            <w:shd w:val="clear" w:color="auto" w:fill="FFF2CC" w:themeFill="accent4" w:themeFillTint="33"/>
            <w:vAlign w:val="bottom"/>
          </w:tcPr>
          <w:p w14:paraId="7917F04F"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11" w:type="dxa"/>
            <w:tcBorders>
              <w:top w:val="nil"/>
              <w:left w:val="nil"/>
              <w:bottom w:val="single" w:sz="4" w:space="0" w:color="auto"/>
              <w:right w:val="single" w:sz="4" w:space="0" w:color="auto"/>
            </w:tcBorders>
            <w:shd w:val="clear" w:color="auto" w:fill="FFF2CC" w:themeFill="accent4" w:themeFillTint="33"/>
            <w:vAlign w:val="bottom"/>
          </w:tcPr>
          <w:p w14:paraId="266AFA9E"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FFF2CC" w:themeFill="accent4" w:themeFillTint="33"/>
            <w:vAlign w:val="bottom"/>
          </w:tcPr>
          <w:p w14:paraId="711D4142"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020" w:type="dxa"/>
            <w:tcBorders>
              <w:top w:val="nil"/>
              <w:left w:val="nil"/>
              <w:bottom w:val="single" w:sz="4" w:space="0" w:color="auto"/>
              <w:right w:val="single" w:sz="4" w:space="0" w:color="auto"/>
            </w:tcBorders>
            <w:shd w:val="clear" w:color="auto" w:fill="FFF2CC" w:themeFill="accent4" w:themeFillTint="33"/>
            <w:vAlign w:val="bottom"/>
          </w:tcPr>
          <w:p w14:paraId="0A5D7438"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04" w:type="dxa"/>
            <w:tcBorders>
              <w:top w:val="nil"/>
              <w:left w:val="nil"/>
              <w:bottom w:val="single" w:sz="4" w:space="0" w:color="auto"/>
              <w:right w:val="single" w:sz="4" w:space="0" w:color="auto"/>
            </w:tcBorders>
            <w:shd w:val="clear" w:color="auto" w:fill="FFF2CC" w:themeFill="accent4" w:themeFillTint="33"/>
            <w:vAlign w:val="bottom"/>
          </w:tcPr>
          <w:p w14:paraId="3E4049E8"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271" w:type="dxa"/>
            <w:tcBorders>
              <w:top w:val="nil"/>
              <w:left w:val="nil"/>
              <w:bottom w:val="single" w:sz="8" w:space="0" w:color="auto"/>
              <w:right w:val="single" w:sz="8" w:space="0" w:color="auto"/>
            </w:tcBorders>
            <w:shd w:val="clear" w:color="000000" w:fill="FFF2CC"/>
            <w:noWrap/>
            <w:vAlign w:val="center"/>
          </w:tcPr>
          <w:p w14:paraId="436020A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 </w:t>
            </w:r>
          </w:p>
        </w:tc>
        <w:tc>
          <w:tcPr>
            <w:tcW w:w="1869" w:type="dxa"/>
            <w:tcBorders>
              <w:top w:val="nil"/>
              <w:left w:val="nil"/>
              <w:bottom w:val="single" w:sz="8" w:space="0" w:color="auto"/>
              <w:right w:val="single" w:sz="8" w:space="0" w:color="auto"/>
            </w:tcBorders>
            <w:shd w:val="clear" w:color="000000" w:fill="FFF2CC"/>
            <w:noWrap/>
            <w:vAlign w:val="center"/>
          </w:tcPr>
          <w:p w14:paraId="59D1523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 </w:t>
            </w:r>
          </w:p>
        </w:tc>
      </w:tr>
      <w:tr w:rsidR="00D65E17" w:rsidRPr="00CA2B37" w14:paraId="6D67F56F"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3C34CC84"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deployment report</w:t>
            </w:r>
          </w:p>
        </w:tc>
        <w:tc>
          <w:tcPr>
            <w:tcW w:w="2109" w:type="dxa"/>
            <w:tcBorders>
              <w:top w:val="nil"/>
              <w:left w:val="nil"/>
              <w:bottom w:val="single" w:sz="4" w:space="0" w:color="auto"/>
              <w:right w:val="single" w:sz="4" w:space="0" w:color="auto"/>
            </w:tcBorders>
            <w:shd w:val="clear" w:color="auto" w:fill="auto"/>
            <w:vAlign w:val="bottom"/>
          </w:tcPr>
          <w:p w14:paraId="5096B0D4"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400A9CCB"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722DE12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w:t>
            </w:r>
          </w:p>
        </w:tc>
        <w:tc>
          <w:tcPr>
            <w:tcW w:w="1255" w:type="dxa"/>
            <w:tcBorders>
              <w:top w:val="nil"/>
              <w:left w:val="nil"/>
              <w:bottom w:val="single" w:sz="4" w:space="0" w:color="auto"/>
              <w:right w:val="single" w:sz="4" w:space="0" w:color="auto"/>
            </w:tcBorders>
            <w:shd w:val="clear" w:color="auto" w:fill="auto"/>
            <w:vAlign w:val="bottom"/>
          </w:tcPr>
          <w:p w14:paraId="6524557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020" w:type="dxa"/>
            <w:tcBorders>
              <w:top w:val="nil"/>
              <w:left w:val="nil"/>
              <w:bottom w:val="single" w:sz="4" w:space="0" w:color="auto"/>
              <w:right w:val="single" w:sz="4" w:space="0" w:color="auto"/>
            </w:tcBorders>
            <w:shd w:val="clear" w:color="auto" w:fill="auto"/>
            <w:vAlign w:val="bottom"/>
          </w:tcPr>
          <w:p w14:paraId="3DF063AB"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min</w:t>
            </w:r>
          </w:p>
        </w:tc>
        <w:tc>
          <w:tcPr>
            <w:tcW w:w="1104" w:type="dxa"/>
            <w:tcBorders>
              <w:top w:val="nil"/>
              <w:left w:val="nil"/>
              <w:bottom w:val="single" w:sz="4" w:space="0" w:color="auto"/>
              <w:right w:val="single" w:sz="4" w:space="0" w:color="auto"/>
            </w:tcBorders>
            <w:shd w:val="clear" w:color="auto" w:fill="auto"/>
            <w:vAlign w:val="bottom"/>
          </w:tcPr>
          <w:p w14:paraId="4A2C66F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w:t>
            </w:r>
          </w:p>
        </w:tc>
        <w:tc>
          <w:tcPr>
            <w:tcW w:w="1271" w:type="dxa"/>
            <w:tcBorders>
              <w:top w:val="nil"/>
              <w:left w:val="nil"/>
              <w:bottom w:val="single" w:sz="8" w:space="0" w:color="auto"/>
              <w:right w:val="single" w:sz="8" w:space="0" w:color="auto"/>
            </w:tcBorders>
            <w:shd w:val="clear" w:color="auto" w:fill="auto"/>
            <w:noWrap/>
            <w:vAlign w:val="center"/>
          </w:tcPr>
          <w:p w14:paraId="2478103E"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2D13D89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$473.97</w:t>
            </w:r>
          </w:p>
        </w:tc>
      </w:tr>
      <w:tr w:rsidR="00D65E17" w:rsidRPr="00CA2B37" w14:paraId="70BCECE6"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483F9D75"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ASM availability report</w:t>
            </w:r>
          </w:p>
        </w:tc>
        <w:tc>
          <w:tcPr>
            <w:tcW w:w="2109" w:type="dxa"/>
            <w:tcBorders>
              <w:top w:val="nil"/>
              <w:left w:val="nil"/>
              <w:bottom w:val="single" w:sz="4" w:space="0" w:color="auto"/>
              <w:right w:val="single" w:sz="4" w:space="0" w:color="auto"/>
            </w:tcBorders>
            <w:shd w:val="clear" w:color="auto" w:fill="auto"/>
            <w:vAlign w:val="bottom"/>
          </w:tcPr>
          <w:p w14:paraId="4B886E57"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4BFDDB7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64D9589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p>
        </w:tc>
        <w:tc>
          <w:tcPr>
            <w:tcW w:w="1255" w:type="dxa"/>
            <w:tcBorders>
              <w:top w:val="nil"/>
              <w:left w:val="nil"/>
              <w:bottom w:val="single" w:sz="4" w:space="0" w:color="auto"/>
              <w:right w:val="single" w:sz="4" w:space="0" w:color="auto"/>
            </w:tcBorders>
            <w:shd w:val="clear" w:color="auto" w:fill="auto"/>
            <w:vAlign w:val="bottom"/>
          </w:tcPr>
          <w:p w14:paraId="01289C6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216</w:t>
            </w:r>
          </w:p>
        </w:tc>
        <w:tc>
          <w:tcPr>
            <w:tcW w:w="1020" w:type="dxa"/>
            <w:tcBorders>
              <w:top w:val="nil"/>
              <w:left w:val="nil"/>
              <w:bottom w:val="single" w:sz="4" w:space="0" w:color="auto"/>
              <w:right w:val="single" w:sz="4" w:space="0" w:color="auto"/>
            </w:tcBorders>
            <w:shd w:val="clear" w:color="auto" w:fill="auto"/>
            <w:vAlign w:val="bottom"/>
          </w:tcPr>
          <w:p w14:paraId="0E06004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 min</w:t>
            </w:r>
          </w:p>
        </w:tc>
        <w:tc>
          <w:tcPr>
            <w:tcW w:w="1104" w:type="dxa"/>
            <w:tcBorders>
              <w:top w:val="nil"/>
              <w:left w:val="nil"/>
              <w:bottom w:val="single" w:sz="4" w:space="0" w:color="auto"/>
              <w:right w:val="single" w:sz="4" w:space="0" w:color="auto"/>
            </w:tcBorders>
            <w:shd w:val="clear" w:color="auto" w:fill="auto"/>
            <w:vAlign w:val="bottom"/>
          </w:tcPr>
          <w:p w14:paraId="174669B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w:t>
            </w:r>
          </w:p>
        </w:tc>
        <w:tc>
          <w:tcPr>
            <w:tcW w:w="1271" w:type="dxa"/>
            <w:tcBorders>
              <w:top w:val="nil"/>
              <w:left w:val="nil"/>
              <w:bottom w:val="single" w:sz="8" w:space="0" w:color="auto"/>
              <w:right w:val="single" w:sz="8" w:space="0" w:color="auto"/>
            </w:tcBorders>
            <w:shd w:val="clear" w:color="auto" w:fill="auto"/>
            <w:noWrap/>
            <w:vAlign w:val="center"/>
          </w:tcPr>
          <w:p w14:paraId="0353158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256D64B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$922.32</w:t>
            </w:r>
          </w:p>
        </w:tc>
      </w:tr>
      <w:tr w:rsidR="00D65E17" w:rsidRPr="00CA2B37" w14:paraId="0DF8C668"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1AD91FCB"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Safety refusals</w:t>
            </w:r>
          </w:p>
        </w:tc>
        <w:tc>
          <w:tcPr>
            <w:tcW w:w="2109" w:type="dxa"/>
            <w:tcBorders>
              <w:top w:val="nil"/>
              <w:left w:val="nil"/>
              <w:bottom w:val="single" w:sz="4" w:space="0" w:color="auto"/>
              <w:right w:val="single" w:sz="4" w:space="0" w:color="auto"/>
            </w:tcBorders>
            <w:shd w:val="clear" w:color="auto" w:fill="auto"/>
            <w:vAlign w:val="bottom"/>
          </w:tcPr>
          <w:p w14:paraId="16A55DBB"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61097E2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4438EF3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55" w:type="dxa"/>
            <w:tcBorders>
              <w:top w:val="nil"/>
              <w:left w:val="nil"/>
              <w:bottom w:val="single" w:sz="4" w:space="0" w:color="auto"/>
              <w:right w:val="single" w:sz="4" w:space="0" w:color="auto"/>
            </w:tcBorders>
            <w:shd w:val="clear" w:color="auto" w:fill="auto"/>
            <w:vAlign w:val="bottom"/>
          </w:tcPr>
          <w:p w14:paraId="573CE28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020" w:type="dxa"/>
            <w:tcBorders>
              <w:top w:val="nil"/>
              <w:left w:val="nil"/>
              <w:bottom w:val="single" w:sz="4" w:space="0" w:color="auto"/>
              <w:right w:val="single" w:sz="4" w:space="0" w:color="auto"/>
            </w:tcBorders>
            <w:shd w:val="clear" w:color="auto" w:fill="auto"/>
            <w:vAlign w:val="bottom"/>
          </w:tcPr>
          <w:p w14:paraId="55CBF41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04" w:type="dxa"/>
            <w:tcBorders>
              <w:top w:val="nil"/>
              <w:left w:val="nil"/>
              <w:bottom w:val="single" w:sz="4" w:space="0" w:color="auto"/>
              <w:right w:val="single" w:sz="4" w:space="0" w:color="auto"/>
            </w:tcBorders>
            <w:shd w:val="clear" w:color="auto" w:fill="auto"/>
            <w:vAlign w:val="bottom"/>
          </w:tcPr>
          <w:p w14:paraId="0C60116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71" w:type="dxa"/>
            <w:tcBorders>
              <w:top w:val="nil"/>
              <w:left w:val="nil"/>
              <w:bottom w:val="single" w:sz="8" w:space="0" w:color="auto"/>
              <w:right w:val="single" w:sz="8" w:space="0" w:color="auto"/>
            </w:tcBorders>
            <w:shd w:val="clear" w:color="auto" w:fill="auto"/>
            <w:noWrap/>
            <w:vAlign w:val="center"/>
          </w:tcPr>
          <w:p w14:paraId="5C87E68B"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64A44BB2"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$384.30</w:t>
            </w:r>
          </w:p>
        </w:tc>
      </w:tr>
      <w:tr w:rsidR="00D65E17" w:rsidRPr="00CA2B37" w14:paraId="5C2D0618"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1BE035FC"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Raw monitor data</w:t>
            </w:r>
          </w:p>
        </w:tc>
        <w:tc>
          <w:tcPr>
            <w:tcW w:w="2109" w:type="dxa"/>
            <w:tcBorders>
              <w:top w:val="nil"/>
              <w:left w:val="nil"/>
              <w:bottom w:val="single" w:sz="4" w:space="0" w:color="auto"/>
              <w:right w:val="single" w:sz="4" w:space="0" w:color="auto"/>
            </w:tcBorders>
            <w:shd w:val="clear" w:color="auto" w:fill="auto"/>
            <w:vAlign w:val="bottom"/>
          </w:tcPr>
          <w:p w14:paraId="0383D2D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733CA18D"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780E8C7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w:t>
            </w:r>
          </w:p>
        </w:tc>
        <w:tc>
          <w:tcPr>
            <w:tcW w:w="1255" w:type="dxa"/>
            <w:tcBorders>
              <w:top w:val="nil"/>
              <w:left w:val="nil"/>
              <w:bottom w:val="single" w:sz="4" w:space="0" w:color="auto"/>
              <w:right w:val="single" w:sz="4" w:space="0" w:color="auto"/>
            </w:tcBorders>
            <w:shd w:val="clear" w:color="auto" w:fill="auto"/>
            <w:vAlign w:val="bottom"/>
          </w:tcPr>
          <w:p w14:paraId="612EAC6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020" w:type="dxa"/>
            <w:tcBorders>
              <w:top w:val="nil"/>
              <w:left w:val="nil"/>
              <w:bottom w:val="single" w:sz="4" w:space="0" w:color="auto"/>
              <w:right w:val="single" w:sz="4" w:space="0" w:color="auto"/>
            </w:tcBorders>
            <w:shd w:val="clear" w:color="auto" w:fill="auto"/>
            <w:vAlign w:val="bottom"/>
          </w:tcPr>
          <w:p w14:paraId="569803A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20D094D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w:t>
            </w:r>
          </w:p>
        </w:tc>
        <w:tc>
          <w:tcPr>
            <w:tcW w:w="1271" w:type="dxa"/>
            <w:tcBorders>
              <w:top w:val="nil"/>
              <w:left w:val="nil"/>
              <w:bottom w:val="single" w:sz="8" w:space="0" w:color="auto"/>
              <w:right w:val="single" w:sz="8" w:space="0" w:color="auto"/>
            </w:tcBorders>
            <w:shd w:val="clear" w:color="auto" w:fill="auto"/>
            <w:noWrap/>
            <w:vAlign w:val="center"/>
          </w:tcPr>
          <w:p w14:paraId="7CEA5238"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446119F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$118.49</w:t>
            </w:r>
          </w:p>
        </w:tc>
      </w:tr>
      <w:tr w:rsidR="00D65E17" w:rsidRPr="00CA2B37" w14:paraId="75A8C612"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464FB4DD"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debriefing</w:t>
            </w:r>
          </w:p>
        </w:tc>
        <w:tc>
          <w:tcPr>
            <w:tcW w:w="2109" w:type="dxa"/>
            <w:tcBorders>
              <w:top w:val="nil"/>
              <w:left w:val="nil"/>
              <w:bottom w:val="single" w:sz="4" w:space="0" w:color="auto"/>
              <w:right w:val="single" w:sz="4" w:space="0" w:color="auto"/>
            </w:tcBorders>
            <w:shd w:val="clear" w:color="auto" w:fill="auto"/>
            <w:vAlign w:val="bottom"/>
          </w:tcPr>
          <w:p w14:paraId="7ADA5C92"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261E488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72D0FD5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w:t>
            </w:r>
          </w:p>
        </w:tc>
        <w:tc>
          <w:tcPr>
            <w:tcW w:w="1255" w:type="dxa"/>
            <w:tcBorders>
              <w:top w:val="nil"/>
              <w:left w:val="nil"/>
              <w:bottom w:val="single" w:sz="4" w:space="0" w:color="auto"/>
              <w:right w:val="single" w:sz="4" w:space="0" w:color="auto"/>
            </w:tcBorders>
            <w:shd w:val="clear" w:color="auto" w:fill="auto"/>
            <w:vAlign w:val="bottom"/>
          </w:tcPr>
          <w:p w14:paraId="5693E97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124</w:t>
            </w:r>
          </w:p>
        </w:tc>
        <w:tc>
          <w:tcPr>
            <w:tcW w:w="1020" w:type="dxa"/>
            <w:tcBorders>
              <w:top w:val="nil"/>
              <w:left w:val="nil"/>
              <w:bottom w:val="single" w:sz="4" w:space="0" w:color="auto"/>
              <w:right w:val="single" w:sz="4" w:space="0" w:color="auto"/>
            </w:tcBorders>
            <w:shd w:val="clear" w:color="auto" w:fill="auto"/>
            <w:vAlign w:val="bottom"/>
          </w:tcPr>
          <w:p w14:paraId="036F713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 hr</w:t>
            </w:r>
          </w:p>
        </w:tc>
        <w:tc>
          <w:tcPr>
            <w:tcW w:w="1104" w:type="dxa"/>
            <w:tcBorders>
              <w:top w:val="nil"/>
              <w:left w:val="nil"/>
              <w:bottom w:val="single" w:sz="4" w:space="0" w:color="auto"/>
              <w:right w:val="single" w:sz="4" w:space="0" w:color="auto"/>
            </w:tcBorders>
            <w:shd w:val="clear" w:color="auto" w:fill="auto"/>
            <w:vAlign w:val="bottom"/>
          </w:tcPr>
          <w:p w14:paraId="65560FC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248</w:t>
            </w:r>
          </w:p>
        </w:tc>
        <w:tc>
          <w:tcPr>
            <w:tcW w:w="1271" w:type="dxa"/>
            <w:tcBorders>
              <w:top w:val="nil"/>
              <w:left w:val="nil"/>
              <w:bottom w:val="single" w:sz="8" w:space="0" w:color="auto"/>
              <w:right w:val="single" w:sz="8" w:space="0" w:color="auto"/>
            </w:tcBorders>
            <w:shd w:val="clear" w:color="auto" w:fill="auto"/>
            <w:noWrap/>
            <w:vAlign w:val="center"/>
          </w:tcPr>
          <w:p w14:paraId="31A95C1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493E49F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$19,061.28</w:t>
            </w:r>
          </w:p>
        </w:tc>
      </w:tr>
      <w:tr w:rsidR="00D65E17" w:rsidRPr="00CA2B37" w14:paraId="4403D54D"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66C3A0F7"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Other reports</w:t>
            </w:r>
          </w:p>
        </w:tc>
        <w:tc>
          <w:tcPr>
            <w:tcW w:w="2109" w:type="dxa"/>
            <w:tcBorders>
              <w:top w:val="nil"/>
              <w:left w:val="nil"/>
              <w:bottom w:val="single" w:sz="4" w:space="0" w:color="auto"/>
              <w:right w:val="single" w:sz="4" w:space="0" w:color="auto"/>
            </w:tcBorders>
            <w:shd w:val="clear" w:color="auto" w:fill="auto"/>
            <w:vAlign w:val="bottom"/>
          </w:tcPr>
          <w:p w14:paraId="7A030A74"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61B5057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789F93D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w:t>
            </w:r>
          </w:p>
        </w:tc>
        <w:tc>
          <w:tcPr>
            <w:tcW w:w="1255" w:type="dxa"/>
            <w:tcBorders>
              <w:top w:val="nil"/>
              <w:left w:val="nil"/>
              <w:bottom w:val="single" w:sz="4" w:space="0" w:color="auto"/>
              <w:right w:val="single" w:sz="4" w:space="0" w:color="auto"/>
            </w:tcBorders>
            <w:shd w:val="clear" w:color="auto" w:fill="auto"/>
            <w:vAlign w:val="bottom"/>
          </w:tcPr>
          <w:p w14:paraId="1CF7E21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68</w:t>
            </w:r>
          </w:p>
        </w:tc>
        <w:tc>
          <w:tcPr>
            <w:tcW w:w="1020" w:type="dxa"/>
            <w:tcBorders>
              <w:top w:val="nil"/>
              <w:left w:val="nil"/>
              <w:bottom w:val="single" w:sz="4" w:space="0" w:color="auto"/>
              <w:right w:val="single" w:sz="4" w:space="0" w:color="auto"/>
            </w:tcBorders>
            <w:shd w:val="clear" w:color="auto" w:fill="auto"/>
            <w:vAlign w:val="bottom"/>
          </w:tcPr>
          <w:p w14:paraId="6CA8984A"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04" w:type="dxa"/>
            <w:tcBorders>
              <w:top w:val="nil"/>
              <w:left w:val="nil"/>
              <w:bottom w:val="single" w:sz="4" w:space="0" w:color="auto"/>
              <w:right w:val="single" w:sz="4" w:space="0" w:color="auto"/>
            </w:tcBorders>
            <w:shd w:val="clear" w:color="auto" w:fill="auto"/>
            <w:vAlign w:val="bottom"/>
          </w:tcPr>
          <w:p w14:paraId="1AE7413A"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p>
        </w:tc>
        <w:tc>
          <w:tcPr>
            <w:tcW w:w="1271" w:type="dxa"/>
            <w:tcBorders>
              <w:top w:val="nil"/>
              <w:left w:val="nil"/>
              <w:bottom w:val="single" w:sz="8" w:space="0" w:color="auto"/>
              <w:right w:val="single" w:sz="8" w:space="0" w:color="auto"/>
            </w:tcBorders>
            <w:shd w:val="clear" w:color="auto" w:fill="auto"/>
            <w:noWrap/>
            <w:vAlign w:val="center"/>
          </w:tcPr>
          <w:p w14:paraId="34BE08BD"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79621D1D"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$653.31</w:t>
            </w:r>
          </w:p>
        </w:tc>
      </w:tr>
      <w:tr w:rsidR="00D65E17" w:rsidRPr="00CA2B37" w14:paraId="4D495DD0"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621AB6E0"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Biological samples</w:t>
            </w:r>
          </w:p>
        </w:tc>
        <w:tc>
          <w:tcPr>
            <w:tcW w:w="2109" w:type="dxa"/>
            <w:tcBorders>
              <w:top w:val="nil"/>
              <w:left w:val="nil"/>
              <w:bottom w:val="single" w:sz="4" w:space="0" w:color="auto"/>
              <w:right w:val="single" w:sz="4" w:space="0" w:color="auto"/>
            </w:tcBorders>
            <w:shd w:val="clear" w:color="auto" w:fill="auto"/>
            <w:vAlign w:val="bottom"/>
          </w:tcPr>
          <w:p w14:paraId="35E6894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682DB48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3C734DF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129</w:t>
            </w:r>
          </w:p>
        </w:tc>
        <w:tc>
          <w:tcPr>
            <w:tcW w:w="1255" w:type="dxa"/>
            <w:tcBorders>
              <w:top w:val="nil"/>
              <w:left w:val="nil"/>
              <w:bottom w:val="single" w:sz="4" w:space="0" w:color="auto"/>
              <w:right w:val="single" w:sz="4" w:space="0" w:color="auto"/>
            </w:tcBorders>
            <w:shd w:val="clear" w:color="auto" w:fill="auto"/>
            <w:vAlign w:val="bottom"/>
          </w:tcPr>
          <w:p w14:paraId="2E8231E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516</w:t>
            </w:r>
          </w:p>
        </w:tc>
        <w:tc>
          <w:tcPr>
            <w:tcW w:w="1020" w:type="dxa"/>
            <w:tcBorders>
              <w:top w:val="nil"/>
              <w:left w:val="nil"/>
              <w:bottom w:val="single" w:sz="4" w:space="0" w:color="auto"/>
              <w:right w:val="single" w:sz="4" w:space="0" w:color="auto"/>
            </w:tcBorders>
            <w:shd w:val="clear" w:color="auto" w:fill="auto"/>
            <w:vAlign w:val="bottom"/>
          </w:tcPr>
          <w:p w14:paraId="53C04CF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hr</w:t>
            </w:r>
          </w:p>
        </w:tc>
        <w:tc>
          <w:tcPr>
            <w:tcW w:w="1104" w:type="dxa"/>
            <w:tcBorders>
              <w:top w:val="nil"/>
              <w:left w:val="nil"/>
              <w:bottom w:val="single" w:sz="4" w:space="0" w:color="auto"/>
              <w:right w:val="single" w:sz="4" w:space="0" w:color="auto"/>
            </w:tcBorders>
            <w:shd w:val="clear" w:color="auto" w:fill="auto"/>
            <w:vAlign w:val="bottom"/>
          </w:tcPr>
          <w:p w14:paraId="1355A3D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516</w:t>
            </w:r>
          </w:p>
        </w:tc>
        <w:tc>
          <w:tcPr>
            <w:tcW w:w="1271" w:type="dxa"/>
            <w:tcBorders>
              <w:top w:val="nil"/>
              <w:left w:val="nil"/>
              <w:bottom w:val="single" w:sz="8" w:space="0" w:color="auto"/>
              <w:right w:val="single" w:sz="8" w:space="0" w:color="auto"/>
            </w:tcBorders>
            <w:shd w:val="clear" w:color="auto" w:fill="auto"/>
            <w:noWrap/>
            <w:vAlign w:val="center"/>
          </w:tcPr>
          <w:p w14:paraId="577ADEC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1FC114D8"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$19,829.88</w:t>
            </w:r>
          </w:p>
        </w:tc>
      </w:tr>
      <w:tr w:rsidR="00D65E17" w:rsidRPr="00CA2B37" w14:paraId="460BC2BD"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12A0C903"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New application to be a service provider</w:t>
            </w:r>
          </w:p>
        </w:tc>
        <w:tc>
          <w:tcPr>
            <w:tcW w:w="2109" w:type="dxa"/>
            <w:tcBorders>
              <w:top w:val="nil"/>
              <w:left w:val="nil"/>
              <w:bottom w:val="single" w:sz="4" w:space="0" w:color="auto"/>
              <w:right w:val="single" w:sz="4" w:space="0" w:color="auto"/>
            </w:tcBorders>
            <w:shd w:val="clear" w:color="auto" w:fill="auto"/>
            <w:vAlign w:val="bottom"/>
          </w:tcPr>
          <w:p w14:paraId="3D4C2067"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2C83DE9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5A002D0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auto" w:fill="auto"/>
            <w:vAlign w:val="bottom"/>
          </w:tcPr>
          <w:p w14:paraId="53CBAF3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20" w:type="dxa"/>
            <w:tcBorders>
              <w:top w:val="nil"/>
              <w:left w:val="nil"/>
              <w:bottom w:val="single" w:sz="4" w:space="0" w:color="auto"/>
              <w:right w:val="single" w:sz="4" w:space="0" w:color="auto"/>
            </w:tcBorders>
            <w:shd w:val="clear" w:color="auto" w:fill="auto"/>
            <w:vAlign w:val="bottom"/>
          </w:tcPr>
          <w:p w14:paraId="480DDD1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hr</w:t>
            </w:r>
          </w:p>
        </w:tc>
        <w:tc>
          <w:tcPr>
            <w:tcW w:w="1104" w:type="dxa"/>
            <w:tcBorders>
              <w:top w:val="nil"/>
              <w:left w:val="nil"/>
              <w:bottom w:val="single" w:sz="4" w:space="0" w:color="auto"/>
              <w:right w:val="single" w:sz="4" w:space="0" w:color="auto"/>
            </w:tcBorders>
            <w:shd w:val="clear" w:color="auto" w:fill="auto"/>
            <w:vAlign w:val="bottom"/>
          </w:tcPr>
          <w:p w14:paraId="56E7D52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271" w:type="dxa"/>
            <w:tcBorders>
              <w:top w:val="nil"/>
              <w:left w:val="nil"/>
              <w:bottom w:val="single" w:sz="8" w:space="0" w:color="auto"/>
              <w:right w:val="single" w:sz="8" w:space="0" w:color="auto"/>
            </w:tcBorders>
            <w:shd w:val="clear" w:color="auto" w:fill="auto"/>
            <w:noWrap/>
            <w:vAlign w:val="center"/>
          </w:tcPr>
          <w:p w14:paraId="16EA426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3401D9C2"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$15,372.00</w:t>
            </w:r>
          </w:p>
        </w:tc>
      </w:tr>
      <w:tr w:rsidR="00D65E17" w:rsidRPr="00CA2B37" w14:paraId="2A7F4F74"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4C3AAFA4"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Applicant response to denial</w:t>
            </w:r>
          </w:p>
        </w:tc>
        <w:tc>
          <w:tcPr>
            <w:tcW w:w="2109" w:type="dxa"/>
            <w:tcBorders>
              <w:top w:val="nil"/>
              <w:left w:val="nil"/>
              <w:bottom w:val="single" w:sz="4" w:space="0" w:color="auto"/>
              <w:right w:val="single" w:sz="4" w:space="0" w:color="auto"/>
            </w:tcBorders>
            <w:shd w:val="clear" w:color="auto" w:fill="auto"/>
            <w:vAlign w:val="bottom"/>
          </w:tcPr>
          <w:p w14:paraId="0270FE66"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43DC3E0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11" w:type="dxa"/>
            <w:tcBorders>
              <w:top w:val="nil"/>
              <w:left w:val="nil"/>
              <w:bottom w:val="single" w:sz="4" w:space="0" w:color="auto"/>
              <w:right w:val="single" w:sz="4" w:space="0" w:color="auto"/>
            </w:tcBorders>
            <w:shd w:val="clear" w:color="auto" w:fill="auto"/>
            <w:vAlign w:val="bottom"/>
          </w:tcPr>
          <w:p w14:paraId="7344B4D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auto" w:fill="auto"/>
            <w:vAlign w:val="bottom"/>
          </w:tcPr>
          <w:p w14:paraId="2DDA773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bottom"/>
          </w:tcPr>
          <w:p w14:paraId="311C746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hr</w:t>
            </w:r>
          </w:p>
        </w:tc>
        <w:tc>
          <w:tcPr>
            <w:tcW w:w="1104" w:type="dxa"/>
            <w:tcBorders>
              <w:top w:val="nil"/>
              <w:left w:val="nil"/>
              <w:bottom w:val="single" w:sz="4" w:space="0" w:color="auto"/>
              <w:right w:val="single" w:sz="4" w:space="0" w:color="auto"/>
            </w:tcBorders>
            <w:shd w:val="clear" w:color="auto" w:fill="auto"/>
            <w:vAlign w:val="bottom"/>
          </w:tcPr>
          <w:p w14:paraId="2BA9DA0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71" w:type="dxa"/>
            <w:tcBorders>
              <w:top w:val="nil"/>
              <w:left w:val="nil"/>
              <w:bottom w:val="single" w:sz="8" w:space="0" w:color="auto"/>
              <w:right w:val="single" w:sz="8" w:space="0" w:color="auto"/>
            </w:tcBorders>
            <w:shd w:val="clear" w:color="auto" w:fill="auto"/>
            <w:noWrap/>
            <w:vAlign w:val="center"/>
          </w:tcPr>
          <w:p w14:paraId="2E1DECC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4D11448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$3,843.00</w:t>
            </w:r>
          </w:p>
        </w:tc>
      </w:tr>
      <w:tr w:rsidR="00D65E17" w:rsidRPr="00CA2B37" w14:paraId="46CE517C"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7117EF80"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for monitor training</w:t>
            </w:r>
          </w:p>
        </w:tc>
        <w:tc>
          <w:tcPr>
            <w:tcW w:w="2109" w:type="dxa"/>
            <w:tcBorders>
              <w:top w:val="nil"/>
              <w:left w:val="nil"/>
              <w:bottom w:val="single" w:sz="4" w:space="0" w:color="auto"/>
              <w:right w:val="single" w:sz="4" w:space="0" w:color="auto"/>
            </w:tcBorders>
            <w:shd w:val="clear" w:color="auto" w:fill="auto"/>
            <w:vAlign w:val="bottom"/>
          </w:tcPr>
          <w:p w14:paraId="3E4C03F3"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0540644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12530FC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55" w:type="dxa"/>
            <w:tcBorders>
              <w:top w:val="nil"/>
              <w:left w:val="nil"/>
              <w:bottom w:val="single" w:sz="4" w:space="0" w:color="auto"/>
              <w:right w:val="single" w:sz="4" w:space="0" w:color="auto"/>
            </w:tcBorders>
            <w:shd w:val="clear" w:color="auto" w:fill="auto"/>
            <w:vAlign w:val="bottom"/>
          </w:tcPr>
          <w:p w14:paraId="1791B41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020" w:type="dxa"/>
            <w:tcBorders>
              <w:top w:val="nil"/>
              <w:left w:val="nil"/>
              <w:bottom w:val="single" w:sz="4" w:space="0" w:color="auto"/>
              <w:right w:val="single" w:sz="4" w:space="0" w:color="auto"/>
            </w:tcBorders>
            <w:shd w:val="clear" w:color="auto" w:fill="auto"/>
            <w:vAlign w:val="bottom"/>
          </w:tcPr>
          <w:p w14:paraId="4BB6ABE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04" w:type="dxa"/>
            <w:tcBorders>
              <w:top w:val="nil"/>
              <w:left w:val="nil"/>
              <w:bottom w:val="single" w:sz="4" w:space="0" w:color="auto"/>
              <w:right w:val="single" w:sz="4" w:space="0" w:color="auto"/>
            </w:tcBorders>
            <w:shd w:val="clear" w:color="auto" w:fill="auto"/>
            <w:vAlign w:val="bottom"/>
          </w:tcPr>
          <w:p w14:paraId="39EE673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271" w:type="dxa"/>
            <w:tcBorders>
              <w:top w:val="nil"/>
              <w:left w:val="nil"/>
              <w:bottom w:val="single" w:sz="8" w:space="0" w:color="auto"/>
              <w:right w:val="single" w:sz="8" w:space="0" w:color="auto"/>
            </w:tcBorders>
            <w:shd w:val="clear" w:color="auto" w:fill="auto"/>
            <w:noWrap/>
            <w:vAlign w:val="center"/>
          </w:tcPr>
          <w:p w14:paraId="09FA3A5E"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5F9DE10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$115.29</w:t>
            </w:r>
          </w:p>
        </w:tc>
      </w:tr>
      <w:tr w:rsidR="00D65E17" w:rsidRPr="00CA2B37" w14:paraId="3CD060C0"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hideMark/>
          </w:tcPr>
          <w:p w14:paraId="7418E5A0"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Rebuttal of pending removal from list of approved monitor providers</w:t>
            </w:r>
          </w:p>
        </w:tc>
        <w:tc>
          <w:tcPr>
            <w:tcW w:w="2109" w:type="dxa"/>
            <w:tcBorders>
              <w:top w:val="nil"/>
              <w:left w:val="nil"/>
              <w:bottom w:val="single" w:sz="4" w:space="0" w:color="auto"/>
              <w:right w:val="single" w:sz="4" w:space="0" w:color="auto"/>
            </w:tcBorders>
            <w:shd w:val="clear" w:color="auto" w:fill="auto"/>
            <w:vAlign w:val="bottom"/>
            <w:hideMark/>
          </w:tcPr>
          <w:p w14:paraId="7A2E1452"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hideMark/>
          </w:tcPr>
          <w:p w14:paraId="54CE8EE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11" w:type="dxa"/>
            <w:tcBorders>
              <w:top w:val="nil"/>
              <w:left w:val="nil"/>
              <w:bottom w:val="single" w:sz="4" w:space="0" w:color="auto"/>
              <w:right w:val="single" w:sz="4" w:space="0" w:color="auto"/>
            </w:tcBorders>
            <w:shd w:val="clear" w:color="auto" w:fill="auto"/>
            <w:vAlign w:val="bottom"/>
            <w:hideMark/>
          </w:tcPr>
          <w:p w14:paraId="134C997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auto" w:fill="auto"/>
            <w:vAlign w:val="bottom"/>
            <w:hideMark/>
          </w:tcPr>
          <w:p w14:paraId="7CA865D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bottom"/>
            <w:hideMark/>
          </w:tcPr>
          <w:p w14:paraId="63589DE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 hr</w:t>
            </w:r>
          </w:p>
        </w:tc>
        <w:tc>
          <w:tcPr>
            <w:tcW w:w="1104" w:type="dxa"/>
            <w:tcBorders>
              <w:top w:val="nil"/>
              <w:left w:val="nil"/>
              <w:bottom w:val="single" w:sz="4" w:space="0" w:color="auto"/>
              <w:right w:val="single" w:sz="4" w:space="0" w:color="auto"/>
            </w:tcBorders>
            <w:shd w:val="clear" w:color="auto" w:fill="auto"/>
            <w:vAlign w:val="bottom"/>
            <w:hideMark/>
          </w:tcPr>
          <w:p w14:paraId="59ADD5C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271" w:type="dxa"/>
            <w:tcBorders>
              <w:top w:val="nil"/>
              <w:left w:val="nil"/>
              <w:bottom w:val="single" w:sz="8" w:space="0" w:color="auto"/>
              <w:right w:val="single" w:sz="8" w:space="0" w:color="auto"/>
            </w:tcBorders>
            <w:shd w:val="clear" w:color="auto" w:fill="auto"/>
            <w:noWrap/>
            <w:vAlign w:val="center"/>
            <w:hideMark/>
          </w:tcPr>
          <w:p w14:paraId="7CEECB4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hideMark/>
          </w:tcPr>
          <w:p w14:paraId="6FF8F4B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$2,459.52</w:t>
            </w:r>
          </w:p>
        </w:tc>
      </w:tr>
      <w:tr w:rsidR="00D65E17" w:rsidRPr="00CA2B37" w14:paraId="533C4321"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211C8AFB"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to monitor service provider to procure an ASM</w:t>
            </w:r>
          </w:p>
        </w:tc>
        <w:tc>
          <w:tcPr>
            <w:tcW w:w="2109" w:type="dxa"/>
            <w:tcBorders>
              <w:top w:val="nil"/>
              <w:left w:val="nil"/>
              <w:bottom w:val="single" w:sz="4" w:space="0" w:color="auto"/>
              <w:right w:val="single" w:sz="4" w:space="0" w:color="auto"/>
            </w:tcBorders>
            <w:shd w:val="clear" w:color="auto" w:fill="auto"/>
            <w:vAlign w:val="bottom"/>
          </w:tcPr>
          <w:p w14:paraId="5F0C81DE"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7DDF14C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w:t>
            </w:r>
          </w:p>
        </w:tc>
        <w:tc>
          <w:tcPr>
            <w:tcW w:w="1111" w:type="dxa"/>
            <w:tcBorders>
              <w:top w:val="nil"/>
              <w:left w:val="nil"/>
              <w:bottom w:val="single" w:sz="4" w:space="0" w:color="auto"/>
              <w:right w:val="single" w:sz="4" w:space="0" w:color="auto"/>
            </w:tcBorders>
            <w:shd w:val="clear" w:color="auto" w:fill="auto"/>
            <w:vAlign w:val="bottom"/>
          </w:tcPr>
          <w:p w14:paraId="722E505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auto" w:fill="auto"/>
            <w:vAlign w:val="bottom"/>
          </w:tcPr>
          <w:p w14:paraId="75CE1A0F"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020" w:type="dxa"/>
            <w:tcBorders>
              <w:top w:val="nil"/>
              <w:left w:val="nil"/>
              <w:bottom w:val="single" w:sz="4" w:space="0" w:color="auto"/>
              <w:right w:val="single" w:sz="4" w:space="0" w:color="auto"/>
            </w:tcBorders>
            <w:shd w:val="clear" w:color="auto" w:fill="auto"/>
            <w:vAlign w:val="bottom"/>
          </w:tcPr>
          <w:p w14:paraId="7ECAB1A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min</w:t>
            </w:r>
          </w:p>
        </w:tc>
        <w:tc>
          <w:tcPr>
            <w:tcW w:w="1104" w:type="dxa"/>
            <w:tcBorders>
              <w:top w:val="nil"/>
              <w:left w:val="nil"/>
              <w:bottom w:val="single" w:sz="4" w:space="0" w:color="auto"/>
              <w:right w:val="single" w:sz="4" w:space="0" w:color="auto"/>
            </w:tcBorders>
            <w:shd w:val="clear" w:color="auto" w:fill="auto"/>
            <w:vAlign w:val="bottom"/>
          </w:tcPr>
          <w:p w14:paraId="410E256A"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w:t>
            </w:r>
          </w:p>
        </w:tc>
        <w:tc>
          <w:tcPr>
            <w:tcW w:w="1271" w:type="dxa"/>
            <w:tcBorders>
              <w:top w:val="nil"/>
              <w:left w:val="nil"/>
              <w:bottom w:val="single" w:sz="8" w:space="0" w:color="auto"/>
              <w:right w:val="single" w:sz="8" w:space="0" w:color="auto"/>
            </w:tcBorders>
            <w:shd w:val="clear" w:color="auto" w:fill="auto"/>
            <w:noWrap/>
            <w:vAlign w:val="center"/>
          </w:tcPr>
          <w:p w14:paraId="56BE33F1"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59DB759F"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$384.30</w:t>
            </w:r>
          </w:p>
        </w:tc>
      </w:tr>
      <w:tr w:rsidR="00D65E17" w:rsidRPr="00CA2B37" w14:paraId="5A5F08BB"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49E8382E" w14:textId="77777777" w:rsidR="00FA375D" w:rsidRPr="00AE62AC" w:rsidRDefault="00FA375D" w:rsidP="00FA375D">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Notification of unavailability of ASMs</w:t>
            </w:r>
          </w:p>
        </w:tc>
        <w:tc>
          <w:tcPr>
            <w:tcW w:w="2109" w:type="dxa"/>
            <w:tcBorders>
              <w:top w:val="nil"/>
              <w:left w:val="nil"/>
              <w:bottom w:val="single" w:sz="4" w:space="0" w:color="auto"/>
              <w:right w:val="single" w:sz="4" w:space="0" w:color="auto"/>
            </w:tcBorders>
            <w:shd w:val="clear" w:color="auto" w:fill="auto"/>
            <w:vAlign w:val="bottom"/>
          </w:tcPr>
          <w:p w14:paraId="6CC02BD4"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235E4C2B"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w:t>
            </w:r>
          </w:p>
        </w:tc>
        <w:tc>
          <w:tcPr>
            <w:tcW w:w="1111" w:type="dxa"/>
            <w:tcBorders>
              <w:top w:val="nil"/>
              <w:left w:val="nil"/>
              <w:bottom w:val="single" w:sz="4" w:space="0" w:color="auto"/>
              <w:right w:val="single" w:sz="4" w:space="0" w:color="auto"/>
            </w:tcBorders>
            <w:shd w:val="clear" w:color="auto" w:fill="auto"/>
            <w:vAlign w:val="bottom"/>
          </w:tcPr>
          <w:p w14:paraId="739CD3AD"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auto" w:fill="auto"/>
            <w:vAlign w:val="bottom"/>
          </w:tcPr>
          <w:p w14:paraId="62718DA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020" w:type="dxa"/>
            <w:tcBorders>
              <w:top w:val="nil"/>
              <w:left w:val="nil"/>
              <w:bottom w:val="single" w:sz="4" w:space="0" w:color="auto"/>
              <w:right w:val="single" w:sz="4" w:space="0" w:color="auto"/>
            </w:tcBorders>
            <w:shd w:val="clear" w:color="auto" w:fill="auto"/>
            <w:vAlign w:val="bottom"/>
          </w:tcPr>
          <w:p w14:paraId="3955338A"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14A6FB1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71" w:type="dxa"/>
            <w:tcBorders>
              <w:top w:val="nil"/>
              <w:left w:val="nil"/>
              <w:bottom w:val="single" w:sz="8" w:space="0" w:color="auto"/>
              <w:right w:val="single" w:sz="8" w:space="0" w:color="auto"/>
            </w:tcBorders>
            <w:shd w:val="clear" w:color="auto" w:fill="auto"/>
            <w:noWrap/>
            <w:vAlign w:val="center"/>
          </w:tcPr>
          <w:p w14:paraId="64FC7A6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44F0865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$96.08</w:t>
            </w:r>
          </w:p>
        </w:tc>
      </w:tr>
      <w:tr w:rsidR="00D65E17" w:rsidRPr="00CA2B37" w14:paraId="10EEA6E2"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0ADEC634"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Call to service provider to procure an IFM observer in Groundfish Closed Area</w:t>
            </w:r>
          </w:p>
        </w:tc>
        <w:tc>
          <w:tcPr>
            <w:tcW w:w="2109" w:type="dxa"/>
            <w:tcBorders>
              <w:top w:val="nil"/>
              <w:left w:val="nil"/>
              <w:bottom w:val="single" w:sz="4" w:space="0" w:color="auto"/>
              <w:right w:val="single" w:sz="4" w:space="0" w:color="auto"/>
            </w:tcBorders>
            <w:shd w:val="clear" w:color="auto" w:fill="auto"/>
            <w:vAlign w:val="bottom"/>
          </w:tcPr>
          <w:p w14:paraId="1F666B52"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372FE5A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111" w:type="dxa"/>
            <w:tcBorders>
              <w:top w:val="nil"/>
              <w:left w:val="nil"/>
              <w:bottom w:val="single" w:sz="4" w:space="0" w:color="auto"/>
              <w:right w:val="single" w:sz="4" w:space="0" w:color="auto"/>
            </w:tcBorders>
            <w:shd w:val="clear" w:color="auto" w:fill="auto"/>
            <w:vAlign w:val="bottom"/>
          </w:tcPr>
          <w:p w14:paraId="43893E3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auto" w:fill="auto"/>
            <w:vAlign w:val="bottom"/>
          </w:tcPr>
          <w:p w14:paraId="0324669A"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020" w:type="dxa"/>
            <w:tcBorders>
              <w:top w:val="nil"/>
              <w:left w:val="nil"/>
              <w:bottom w:val="single" w:sz="4" w:space="0" w:color="auto"/>
              <w:right w:val="single" w:sz="4" w:space="0" w:color="auto"/>
            </w:tcBorders>
            <w:shd w:val="clear" w:color="auto" w:fill="auto"/>
            <w:vAlign w:val="bottom"/>
          </w:tcPr>
          <w:p w14:paraId="2680D24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min</w:t>
            </w:r>
          </w:p>
        </w:tc>
        <w:tc>
          <w:tcPr>
            <w:tcW w:w="1104" w:type="dxa"/>
            <w:tcBorders>
              <w:top w:val="nil"/>
              <w:left w:val="nil"/>
              <w:bottom w:val="single" w:sz="4" w:space="0" w:color="auto"/>
              <w:right w:val="single" w:sz="4" w:space="0" w:color="auto"/>
            </w:tcBorders>
            <w:shd w:val="clear" w:color="auto" w:fill="auto"/>
            <w:vAlign w:val="bottom"/>
          </w:tcPr>
          <w:p w14:paraId="370FA75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w:t>
            </w:r>
          </w:p>
        </w:tc>
        <w:tc>
          <w:tcPr>
            <w:tcW w:w="1271" w:type="dxa"/>
            <w:tcBorders>
              <w:top w:val="nil"/>
              <w:left w:val="nil"/>
              <w:bottom w:val="single" w:sz="8" w:space="0" w:color="auto"/>
              <w:right w:val="single" w:sz="8" w:space="0" w:color="auto"/>
            </w:tcBorders>
            <w:shd w:val="clear" w:color="auto" w:fill="auto"/>
            <w:noWrap/>
            <w:vAlign w:val="center"/>
          </w:tcPr>
          <w:p w14:paraId="6E93924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2E5F167E"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$89.67</w:t>
            </w:r>
          </w:p>
        </w:tc>
      </w:tr>
      <w:tr w:rsidR="00D65E17" w:rsidRPr="00CA2B37" w14:paraId="10D087B3"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2E84EE0A"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Notification of unavailability of IFM observers</w:t>
            </w:r>
          </w:p>
        </w:tc>
        <w:tc>
          <w:tcPr>
            <w:tcW w:w="2109" w:type="dxa"/>
            <w:tcBorders>
              <w:top w:val="nil"/>
              <w:left w:val="nil"/>
              <w:bottom w:val="single" w:sz="4" w:space="0" w:color="auto"/>
              <w:right w:val="single" w:sz="4" w:space="0" w:color="auto"/>
            </w:tcBorders>
            <w:shd w:val="clear" w:color="auto" w:fill="auto"/>
            <w:vAlign w:val="bottom"/>
          </w:tcPr>
          <w:p w14:paraId="3CACC97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4BBA30F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111" w:type="dxa"/>
            <w:tcBorders>
              <w:top w:val="nil"/>
              <w:left w:val="nil"/>
              <w:bottom w:val="single" w:sz="4" w:space="0" w:color="auto"/>
              <w:right w:val="single" w:sz="4" w:space="0" w:color="auto"/>
            </w:tcBorders>
            <w:shd w:val="clear" w:color="auto" w:fill="auto"/>
            <w:vAlign w:val="bottom"/>
          </w:tcPr>
          <w:p w14:paraId="40F5B0A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auto" w:fill="auto"/>
            <w:vAlign w:val="bottom"/>
          </w:tcPr>
          <w:p w14:paraId="2C85C0B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020" w:type="dxa"/>
            <w:tcBorders>
              <w:top w:val="nil"/>
              <w:left w:val="nil"/>
              <w:bottom w:val="single" w:sz="4" w:space="0" w:color="auto"/>
              <w:right w:val="single" w:sz="4" w:space="0" w:color="auto"/>
            </w:tcBorders>
            <w:shd w:val="clear" w:color="auto" w:fill="auto"/>
            <w:vAlign w:val="bottom"/>
          </w:tcPr>
          <w:p w14:paraId="224011F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0EFDFB8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271" w:type="dxa"/>
            <w:tcBorders>
              <w:top w:val="nil"/>
              <w:left w:val="nil"/>
              <w:bottom w:val="single" w:sz="8" w:space="0" w:color="auto"/>
              <w:right w:val="single" w:sz="8" w:space="0" w:color="auto"/>
            </w:tcBorders>
            <w:shd w:val="clear" w:color="auto" w:fill="auto"/>
            <w:noWrap/>
            <w:vAlign w:val="center"/>
          </w:tcPr>
          <w:p w14:paraId="40A68EB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50BD7F7C"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$22.42</w:t>
            </w:r>
          </w:p>
        </w:tc>
      </w:tr>
      <w:tr w:rsidR="00D65E17" w:rsidRPr="00CA2B37" w14:paraId="5076A14F"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2AF294BA"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contact list updates</w:t>
            </w:r>
          </w:p>
        </w:tc>
        <w:tc>
          <w:tcPr>
            <w:tcW w:w="2109" w:type="dxa"/>
            <w:tcBorders>
              <w:top w:val="nil"/>
              <w:left w:val="nil"/>
              <w:bottom w:val="single" w:sz="4" w:space="0" w:color="auto"/>
              <w:right w:val="single" w:sz="4" w:space="0" w:color="auto"/>
            </w:tcBorders>
            <w:shd w:val="clear" w:color="auto" w:fill="auto"/>
            <w:vAlign w:val="bottom"/>
          </w:tcPr>
          <w:p w14:paraId="37406DF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3DC7D17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35BB53D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255" w:type="dxa"/>
            <w:tcBorders>
              <w:top w:val="nil"/>
              <w:left w:val="nil"/>
              <w:bottom w:val="single" w:sz="4" w:space="0" w:color="auto"/>
              <w:right w:val="single" w:sz="4" w:space="0" w:color="auto"/>
            </w:tcBorders>
            <w:shd w:val="clear" w:color="auto" w:fill="auto"/>
            <w:vAlign w:val="bottom"/>
          </w:tcPr>
          <w:p w14:paraId="6E8C2CE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p>
        </w:tc>
        <w:tc>
          <w:tcPr>
            <w:tcW w:w="1020" w:type="dxa"/>
            <w:tcBorders>
              <w:top w:val="nil"/>
              <w:left w:val="nil"/>
              <w:bottom w:val="single" w:sz="4" w:space="0" w:color="auto"/>
              <w:right w:val="single" w:sz="4" w:space="0" w:color="auto"/>
            </w:tcBorders>
            <w:shd w:val="clear" w:color="auto" w:fill="auto"/>
            <w:vAlign w:val="bottom"/>
          </w:tcPr>
          <w:p w14:paraId="12A2A26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043D549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71" w:type="dxa"/>
            <w:tcBorders>
              <w:top w:val="nil"/>
              <w:left w:val="nil"/>
              <w:bottom w:val="single" w:sz="8" w:space="0" w:color="auto"/>
              <w:right w:val="single" w:sz="8" w:space="0" w:color="auto"/>
            </w:tcBorders>
            <w:shd w:val="clear" w:color="auto" w:fill="auto"/>
            <w:noWrap/>
            <w:vAlign w:val="center"/>
          </w:tcPr>
          <w:p w14:paraId="3FE1D78D"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561721C0"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$12.81</w:t>
            </w:r>
          </w:p>
        </w:tc>
      </w:tr>
      <w:tr w:rsidR="00D65E17" w:rsidRPr="00CA2B37" w14:paraId="7F4C814F"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72173661"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availability updates</w:t>
            </w:r>
          </w:p>
        </w:tc>
        <w:tc>
          <w:tcPr>
            <w:tcW w:w="2109" w:type="dxa"/>
            <w:tcBorders>
              <w:top w:val="nil"/>
              <w:left w:val="nil"/>
              <w:bottom w:val="single" w:sz="4" w:space="0" w:color="auto"/>
              <w:right w:val="single" w:sz="4" w:space="0" w:color="auto"/>
            </w:tcBorders>
            <w:shd w:val="clear" w:color="auto" w:fill="auto"/>
            <w:vAlign w:val="bottom"/>
          </w:tcPr>
          <w:p w14:paraId="7F8E098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0710FF5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321FE74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255" w:type="dxa"/>
            <w:tcBorders>
              <w:top w:val="nil"/>
              <w:left w:val="nil"/>
              <w:bottom w:val="single" w:sz="4" w:space="0" w:color="auto"/>
              <w:right w:val="single" w:sz="4" w:space="0" w:color="auto"/>
            </w:tcBorders>
            <w:shd w:val="clear" w:color="auto" w:fill="auto"/>
            <w:vAlign w:val="bottom"/>
          </w:tcPr>
          <w:p w14:paraId="0CF927C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p>
        </w:tc>
        <w:tc>
          <w:tcPr>
            <w:tcW w:w="1020" w:type="dxa"/>
            <w:tcBorders>
              <w:top w:val="nil"/>
              <w:left w:val="nil"/>
              <w:bottom w:val="single" w:sz="4" w:space="0" w:color="auto"/>
              <w:right w:val="single" w:sz="4" w:space="0" w:color="auto"/>
            </w:tcBorders>
            <w:shd w:val="clear" w:color="auto" w:fill="auto"/>
            <w:vAlign w:val="bottom"/>
          </w:tcPr>
          <w:p w14:paraId="4D77B69D"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04A57D2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71" w:type="dxa"/>
            <w:tcBorders>
              <w:top w:val="nil"/>
              <w:left w:val="nil"/>
              <w:bottom w:val="single" w:sz="8" w:space="0" w:color="auto"/>
              <w:right w:val="single" w:sz="8" w:space="0" w:color="auto"/>
            </w:tcBorders>
            <w:shd w:val="clear" w:color="auto" w:fill="auto"/>
            <w:noWrap/>
            <w:vAlign w:val="center"/>
          </w:tcPr>
          <w:p w14:paraId="5BBF0C0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4B3D074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$12.81</w:t>
            </w:r>
          </w:p>
        </w:tc>
      </w:tr>
      <w:tr w:rsidR="00D65E17" w:rsidRPr="00CA2B37" w14:paraId="4B0C5EFD"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3509AA16"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material submissions</w:t>
            </w:r>
          </w:p>
        </w:tc>
        <w:tc>
          <w:tcPr>
            <w:tcW w:w="2109" w:type="dxa"/>
            <w:tcBorders>
              <w:top w:val="nil"/>
              <w:left w:val="nil"/>
              <w:bottom w:val="single" w:sz="4" w:space="0" w:color="auto"/>
              <w:right w:val="single" w:sz="4" w:space="0" w:color="auto"/>
            </w:tcBorders>
            <w:shd w:val="clear" w:color="auto" w:fill="auto"/>
            <w:vAlign w:val="bottom"/>
          </w:tcPr>
          <w:p w14:paraId="4ECEE788"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72952891"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5F422C8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55" w:type="dxa"/>
            <w:tcBorders>
              <w:top w:val="nil"/>
              <w:left w:val="nil"/>
              <w:bottom w:val="single" w:sz="4" w:space="0" w:color="auto"/>
              <w:right w:val="single" w:sz="4" w:space="0" w:color="auto"/>
            </w:tcBorders>
            <w:shd w:val="clear" w:color="auto" w:fill="auto"/>
            <w:vAlign w:val="bottom"/>
          </w:tcPr>
          <w:p w14:paraId="08B3EA07"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20" w:type="dxa"/>
            <w:tcBorders>
              <w:top w:val="nil"/>
              <w:left w:val="nil"/>
              <w:bottom w:val="single" w:sz="4" w:space="0" w:color="auto"/>
              <w:right w:val="single" w:sz="4" w:space="0" w:color="auto"/>
            </w:tcBorders>
            <w:shd w:val="clear" w:color="auto" w:fill="auto"/>
            <w:vAlign w:val="bottom"/>
          </w:tcPr>
          <w:p w14:paraId="7925C8FC"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04" w:type="dxa"/>
            <w:tcBorders>
              <w:top w:val="nil"/>
              <w:left w:val="nil"/>
              <w:bottom w:val="single" w:sz="4" w:space="0" w:color="auto"/>
              <w:right w:val="single" w:sz="4" w:space="0" w:color="auto"/>
            </w:tcBorders>
            <w:shd w:val="clear" w:color="auto" w:fill="auto"/>
            <w:vAlign w:val="bottom"/>
          </w:tcPr>
          <w:p w14:paraId="399C5F7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71" w:type="dxa"/>
            <w:tcBorders>
              <w:top w:val="nil"/>
              <w:left w:val="nil"/>
              <w:bottom w:val="single" w:sz="8" w:space="0" w:color="auto"/>
              <w:right w:val="single" w:sz="8" w:space="0" w:color="auto"/>
            </w:tcBorders>
            <w:shd w:val="clear" w:color="auto" w:fill="auto"/>
            <w:noWrap/>
            <w:vAlign w:val="center"/>
          </w:tcPr>
          <w:p w14:paraId="3F070BB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0C58F06E"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$76.86</w:t>
            </w:r>
          </w:p>
        </w:tc>
      </w:tr>
      <w:tr w:rsidR="00D65E17" w:rsidRPr="00CA2B37" w14:paraId="34C190E8"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34A4DE23"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contracts</w:t>
            </w:r>
          </w:p>
        </w:tc>
        <w:tc>
          <w:tcPr>
            <w:tcW w:w="2109" w:type="dxa"/>
            <w:tcBorders>
              <w:top w:val="nil"/>
              <w:left w:val="nil"/>
              <w:bottom w:val="single" w:sz="4" w:space="0" w:color="auto"/>
              <w:right w:val="single" w:sz="4" w:space="0" w:color="auto"/>
            </w:tcBorders>
            <w:shd w:val="clear" w:color="auto" w:fill="auto"/>
            <w:vAlign w:val="bottom"/>
          </w:tcPr>
          <w:p w14:paraId="33EAB078"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Farmers, Ranchers, and Other Agricultural Managers</w:t>
            </w:r>
          </w:p>
        </w:tc>
        <w:tc>
          <w:tcPr>
            <w:tcW w:w="1183" w:type="dxa"/>
            <w:tcBorders>
              <w:top w:val="nil"/>
              <w:left w:val="nil"/>
              <w:bottom w:val="single" w:sz="4" w:space="0" w:color="auto"/>
              <w:right w:val="single" w:sz="4" w:space="0" w:color="auto"/>
            </w:tcBorders>
            <w:shd w:val="clear" w:color="auto" w:fill="auto"/>
            <w:vAlign w:val="bottom"/>
          </w:tcPr>
          <w:p w14:paraId="4D80B79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11" w:type="dxa"/>
            <w:tcBorders>
              <w:top w:val="nil"/>
              <w:left w:val="nil"/>
              <w:bottom w:val="single" w:sz="4" w:space="0" w:color="auto"/>
              <w:right w:val="single" w:sz="4" w:space="0" w:color="auto"/>
            </w:tcBorders>
            <w:shd w:val="clear" w:color="auto" w:fill="auto"/>
            <w:vAlign w:val="bottom"/>
          </w:tcPr>
          <w:p w14:paraId="5E0F3CEB"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55" w:type="dxa"/>
            <w:tcBorders>
              <w:top w:val="nil"/>
              <w:left w:val="nil"/>
              <w:bottom w:val="single" w:sz="4" w:space="0" w:color="auto"/>
              <w:right w:val="single" w:sz="4" w:space="0" w:color="auto"/>
            </w:tcBorders>
            <w:shd w:val="clear" w:color="auto" w:fill="auto"/>
            <w:vAlign w:val="bottom"/>
          </w:tcPr>
          <w:p w14:paraId="09A0FE4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20" w:type="dxa"/>
            <w:tcBorders>
              <w:top w:val="nil"/>
              <w:left w:val="nil"/>
              <w:bottom w:val="single" w:sz="4" w:space="0" w:color="auto"/>
              <w:right w:val="single" w:sz="4" w:space="0" w:color="auto"/>
            </w:tcBorders>
            <w:shd w:val="clear" w:color="auto" w:fill="auto"/>
            <w:vAlign w:val="bottom"/>
          </w:tcPr>
          <w:p w14:paraId="0046D94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04" w:type="dxa"/>
            <w:tcBorders>
              <w:top w:val="nil"/>
              <w:left w:val="nil"/>
              <w:bottom w:val="single" w:sz="4" w:space="0" w:color="auto"/>
              <w:right w:val="single" w:sz="4" w:space="0" w:color="auto"/>
            </w:tcBorders>
            <w:shd w:val="clear" w:color="auto" w:fill="auto"/>
            <w:vAlign w:val="bottom"/>
          </w:tcPr>
          <w:p w14:paraId="3909840E"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71" w:type="dxa"/>
            <w:tcBorders>
              <w:top w:val="nil"/>
              <w:left w:val="nil"/>
              <w:bottom w:val="single" w:sz="8" w:space="0" w:color="auto"/>
              <w:right w:val="single" w:sz="8" w:space="0" w:color="auto"/>
            </w:tcBorders>
            <w:shd w:val="clear" w:color="auto" w:fill="auto"/>
            <w:noWrap/>
            <w:vAlign w:val="center"/>
          </w:tcPr>
          <w:p w14:paraId="3D1BE714"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$38.43</w:t>
            </w:r>
          </w:p>
        </w:tc>
        <w:tc>
          <w:tcPr>
            <w:tcW w:w="1869" w:type="dxa"/>
            <w:tcBorders>
              <w:top w:val="nil"/>
              <w:left w:val="nil"/>
              <w:bottom w:val="single" w:sz="8" w:space="0" w:color="auto"/>
              <w:right w:val="single" w:sz="8" w:space="0" w:color="auto"/>
            </w:tcBorders>
            <w:shd w:val="clear" w:color="auto" w:fill="auto"/>
            <w:noWrap/>
            <w:vAlign w:val="center"/>
          </w:tcPr>
          <w:p w14:paraId="727CB1E5"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$76.86</w:t>
            </w:r>
          </w:p>
        </w:tc>
      </w:tr>
      <w:tr w:rsidR="00D65E17" w:rsidRPr="00CA2B37" w14:paraId="2B8A1023"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E7E6E6" w:themeFill="background2"/>
            <w:vAlign w:val="center"/>
          </w:tcPr>
          <w:p w14:paraId="00E0F1B9" w14:textId="77777777" w:rsidR="00FA375D" w:rsidRPr="002333E8" w:rsidRDefault="00FA375D" w:rsidP="00FA375D">
            <w:pPr>
              <w:widowControl/>
              <w:autoSpaceDE/>
              <w:autoSpaceDN/>
              <w:adjustRightInd/>
              <w:jc w:val="right"/>
              <w:rPr>
                <w:rFonts w:ascii="Calibri" w:hAnsi="Calibri"/>
                <w:b/>
                <w:color w:val="000000"/>
                <w:sz w:val="16"/>
                <w:szCs w:val="16"/>
              </w:rPr>
            </w:pPr>
            <w:r w:rsidRPr="002333E8">
              <w:rPr>
                <w:rFonts w:ascii="Calibri" w:hAnsi="Calibri"/>
                <w:b/>
                <w:color w:val="000000"/>
                <w:sz w:val="16"/>
                <w:szCs w:val="16"/>
              </w:rPr>
              <w:t>Totals</w:t>
            </w:r>
          </w:p>
        </w:tc>
        <w:tc>
          <w:tcPr>
            <w:tcW w:w="2109" w:type="dxa"/>
            <w:tcBorders>
              <w:top w:val="nil"/>
              <w:left w:val="nil"/>
              <w:bottom w:val="single" w:sz="4" w:space="0" w:color="auto"/>
              <w:right w:val="single" w:sz="4" w:space="0" w:color="auto"/>
            </w:tcBorders>
            <w:shd w:val="clear" w:color="auto" w:fill="E7E6E6" w:themeFill="background2"/>
            <w:vAlign w:val="bottom"/>
          </w:tcPr>
          <w:p w14:paraId="50A5E6BA"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p>
        </w:tc>
        <w:tc>
          <w:tcPr>
            <w:tcW w:w="1183" w:type="dxa"/>
            <w:tcBorders>
              <w:top w:val="nil"/>
              <w:left w:val="nil"/>
              <w:bottom w:val="single" w:sz="4" w:space="0" w:color="auto"/>
              <w:right w:val="single" w:sz="4" w:space="0" w:color="auto"/>
            </w:tcBorders>
            <w:shd w:val="clear" w:color="auto" w:fill="E7E6E6" w:themeFill="background2"/>
            <w:vAlign w:val="bottom"/>
          </w:tcPr>
          <w:p w14:paraId="079140F8"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11" w:type="dxa"/>
            <w:tcBorders>
              <w:top w:val="nil"/>
              <w:left w:val="nil"/>
              <w:bottom w:val="single" w:sz="4" w:space="0" w:color="auto"/>
              <w:right w:val="single" w:sz="4" w:space="0" w:color="auto"/>
            </w:tcBorders>
            <w:shd w:val="clear" w:color="auto" w:fill="E7E6E6" w:themeFill="background2"/>
            <w:vAlign w:val="bottom"/>
          </w:tcPr>
          <w:p w14:paraId="6A762F66"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E7E6E6" w:themeFill="background2"/>
            <w:vAlign w:val="bottom"/>
          </w:tcPr>
          <w:p w14:paraId="53055CEE" w14:textId="77777777" w:rsidR="00FA375D" w:rsidRPr="009B11EC" w:rsidRDefault="00FA375D" w:rsidP="00FA375D">
            <w:pPr>
              <w:widowControl/>
              <w:autoSpaceDE/>
              <w:autoSpaceDN/>
              <w:adjustRightInd/>
              <w:jc w:val="right"/>
              <w:rPr>
                <w:rFonts w:ascii="Calibri" w:hAnsi="Calibri" w:cs="Calibri"/>
                <w:b/>
                <w:color w:val="000000"/>
                <w:sz w:val="16"/>
                <w:szCs w:val="16"/>
              </w:rPr>
            </w:pPr>
            <w:r w:rsidRPr="009B11EC">
              <w:rPr>
                <w:rFonts w:ascii="Calibri" w:hAnsi="Calibri" w:cs="Calibri"/>
                <w:b/>
                <w:color w:val="000000"/>
                <w:sz w:val="16"/>
                <w:szCs w:val="16"/>
              </w:rPr>
              <w:t>10,7</w:t>
            </w:r>
            <w:r>
              <w:rPr>
                <w:rFonts w:ascii="Calibri" w:hAnsi="Calibri" w:cs="Calibri"/>
                <w:b/>
                <w:color w:val="000000"/>
                <w:sz w:val="16"/>
                <w:szCs w:val="16"/>
              </w:rPr>
              <w:t>88</w:t>
            </w:r>
          </w:p>
        </w:tc>
        <w:tc>
          <w:tcPr>
            <w:tcW w:w="1020" w:type="dxa"/>
            <w:tcBorders>
              <w:top w:val="nil"/>
              <w:left w:val="nil"/>
              <w:bottom w:val="single" w:sz="4" w:space="0" w:color="auto"/>
              <w:right w:val="single" w:sz="4" w:space="0" w:color="auto"/>
            </w:tcBorders>
            <w:shd w:val="clear" w:color="auto" w:fill="E7E6E6" w:themeFill="background2"/>
            <w:vAlign w:val="bottom"/>
          </w:tcPr>
          <w:p w14:paraId="0FCB007D"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04" w:type="dxa"/>
            <w:tcBorders>
              <w:top w:val="nil"/>
              <w:left w:val="nil"/>
              <w:bottom w:val="single" w:sz="4" w:space="0" w:color="auto"/>
              <w:right w:val="single" w:sz="4" w:space="0" w:color="auto"/>
            </w:tcBorders>
            <w:shd w:val="clear" w:color="auto" w:fill="E7E6E6" w:themeFill="background2"/>
            <w:vAlign w:val="bottom"/>
          </w:tcPr>
          <w:p w14:paraId="79DE6FB5" w14:textId="77777777" w:rsidR="00FA375D" w:rsidRPr="009B11EC" w:rsidRDefault="00FA375D" w:rsidP="00FA375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1,535</w:t>
            </w:r>
          </w:p>
        </w:tc>
        <w:tc>
          <w:tcPr>
            <w:tcW w:w="1271" w:type="dxa"/>
            <w:tcBorders>
              <w:top w:val="nil"/>
              <w:left w:val="nil"/>
              <w:bottom w:val="single" w:sz="8" w:space="0" w:color="auto"/>
              <w:right w:val="single" w:sz="8" w:space="0" w:color="auto"/>
            </w:tcBorders>
            <w:shd w:val="clear" w:color="000000" w:fill="E7E6E6"/>
            <w:noWrap/>
            <w:vAlign w:val="center"/>
          </w:tcPr>
          <w:p w14:paraId="65706AB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 </w:t>
            </w:r>
          </w:p>
        </w:tc>
        <w:tc>
          <w:tcPr>
            <w:tcW w:w="1869" w:type="dxa"/>
            <w:tcBorders>
              <w:top w:val="nil"/>
              <w:left w:val="nil"/>
              <w:bottom w:val="single" w:sz="8" w:space="0" w:color="auto"/>
              <w:right w:val="single" w:sz="8" w:space="0" w:color="auto"/>
            </w:tcBorders>
            <w:shd w:val="clear" w:color="000000" w:fill="E7E6E6"/>
            <w:noWrap/>
            <w:vAlign w:val="center"/>
          </w:tcPr>
          <w:p w14:paraId="24BAC0FA"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$64,986.83 </w:t>
            </w:r>
          </w:p>
        </w:tc>
      </w:tr>
      <w:tr w:rsidR="00D65E17" w:rsidRPr="00CA2B37" w14:paraId="2A402FEC" w14:textId="77777777" w:rsidTr="003A2C6C">
        <w:trPr>
          <w:trHeight w:val="268"/>
        </w:trPr>
        <w:tc>
          <w:tcPr>
            <w:tcW w:w="3188" w:type="dxa"/>
            <w:tcBorders>
              <w:top w:val="nil"/>
              <w:left w:val="single" w:sz="8" w:space="0" w:color="auto"/>
              <w:bottom w:val="single" w:sz="4" w:space="0" w:color="auto"/>
              <w:right w:val="single" w:sz="4" w:space="0" w:color="auto"/>
            </w:tcBorders>
            <w:shd w:val="clear" w:color="auto" w:fill="FFF2CC" w:themeFill="accent4" w:themeFillTint="33"/>
            <w:vAlign w:val="bottom"/>
          </w:tcPr>
          <w:p w14:paraId="77FD3BCF" w14:textId="77777777" w:rsidR="00FA375D" w:rsidRPr="00C630D6" w:rsidRDefault="00FA375D" w:rsidP="00FA375D">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Observer Reporting for Vessels</w:t>
            </w:r>
          </w:p>
        </w:tc>
        <w:tc>
          <w:tcPr>
            <w:tcW w:w="2109" w:type="dxa"/>
            <w:tcBorders>
              <w:top w:val="nil"/>
              <w:left w:val="single" w:sz="8" w:space="0" w:color="auto"/>
              <w:bottom w:val="single" w:sz="4" w:space="0" w:color="auto"/>
              <w:right w:val="single" w:sz="4" w:space="0" w:color="auto"/>
            </w:tcBorders>
            <w:shd w:val="clear" w:color="auto" w:fill="FFF2CC" w:themeFill="accent4" w:themeFillTint="33"/>
            <w:vAlign w:val="bottom"/>
          </w:tcPr>
          <w:p w14:paraId="48EC5ED2" w14:textId="77777777" w:rsidR="00FA375D" w:rsidRPr="00801255" w:rsidRDefault="00FA375D" w:rsidP="00FA375D">
            <w:pPr>
              <w:widowControl/>
              <w:autoSpaceDE/>
              <w:autoSpaceDN/>
              <w:adjustRightInd/>
              <w:rPr>
                <w:rFonts w:asciiTheme="minorHAnsi" w:hAnsiTheme="minorHAnsi" w:cstheme="minorHAnsi"/>
                <w:b/>
                <w:color w:val="000000"/>
                <w:sz w:val="16"/>
                <w:szCs w:val="16"/>
              </w:rPr>
            </w:pPr>
          </w:p>
        </w:tc>
        <w:tc>
          <w:tcPr>
            <w:tcW w:w="1183" w:type="dxa"/>
            <w:tcBorders>
              <w:top w:val="nil"/>
              <w:left w:val="nil"/>
              <w:bottom w:val="single" w:sz="4" w:space="0" w:color="auto"/>
              <w:right w:val="single" w:sz="4" w:space="0" w:color="auto"/>
            </w:tcBorders>
            <w:shd w:val="clear" w:color="auto" w:fill="FFF2CC" w:themeFill="accent4" w:themeFillTint="33"/>
            <w:vAlign w:val="bottom"/>
          </w:tcPr>
          <w:p w14:paraId="2EFE8A69"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11" w:type="dxa"/>
            <w:tcBorders>
              <w:top w:val="nil"/>
              <w:left w:val="nil"/>
              <w:bottom w:val="single" w:sz="4" w:space="0" w:color="auto"/>
              <w:right w:val="single" w:sz="4" w:space="0" w:color="auto"/>
            </w:tcBorders>
            <w:shd w:val="clear" w:color="auto" w:fill="FFF2CC" w:themeFill="accent4" w:themeFillTint="33"/>
            <w:vAlign w:val="bottom"/>
          </w:tcPr>
          <w:p w14:paraId="7610BC1A"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FFF2CC" w:themeFill="accent4" w:themeFillTint="33"/>
            <w:vAlign w:val="bottom"/>
          </w:tcPr>
          <w:p w14:paraId="7B0D291A"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020" w:type="dxa"/>
            <w:tcBorders>
              <w:top w:val="nil"/>
              <w:left w:val="nil"/>
              <w:bottom w:val="single" w:sz="4" w:space="0" w:color="auto"/>
              <w:right w:val="single" w:sz="4" w:space="0" w:color="auto"/>
            </w:tcBorders>
            <w:shd w:val="clear" w:color="auto" w:fill="FFF2CC" w:themeFill="accent4" w:themeFillTint="33"/>
            <w:vAlign w:val="bottom"/>
          </w:tcPr>
          <w:p w14:paraId="42EECDCB"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104" w:type="dxa"/>
            <w:tcBorders>
              <w:top w:val="nil"/>
              <w:left w:val="nil"/>
              <w:bottom w:val="single" w:sz="4" w:space="0" w:color="auto"/>
              <w:right w:val="single" w:sz="4" w:space="0" w:color="auto"/>
            </w:tcBorders>
            <w:shd w:val="clear" w:color="auto" w:fill="FFF2CC" w:themeFill="accent4" w:themeFillTint="33"/>
            <w:vAlign w:val="bottom"/>
          </w:tcPr>
          <w:p w14:paraId="5E59CE9E" w14:textId="77777777" w:rsidR="00FA375D" w:rsidRPr="00CA2B37" w:rsidRDefault="00FA375D" w:rsidP="00FA375D">
            <w:pPr>
              <w:widowControl/>
              <w:autoSpaceDE/>
              <w:autoSpaceDN/>
              <w:adjustRightInd/>
              <w:jc w:val="right"/>
              <w:rPr>
                <w:rFonts w:ascii="Calibri" w:hAnsi="Calibri" w:cs="Calibri"/>
                <w:color w:val="000000"/>
                <w:sz w:val="16"/>
                <w:szCs w:val="16"/>
              </w:rPr>
            </w:pPr>
          </w:p>
        </w:tc>
        <w:tc>
          <w:tcPr>
            <w:tcW w:w="1271" w:type="dxa"/>
            <w:tcBorders>
              <w:top w:val="nil"/>
              <w:left w:val="nil"/>
              <w:bottom w:val="single" w:sz="8" w:space="0" w:color="auto"/>
              <w:right w:val="single" w:sz="8" w:space="0" w:color="auto"/>
            </w:tcBorders>
            <w:shd w:val="clear" w:color="000000" w:fill="FFF2CC"/>
            <w:noWrap/>
            <w:vAlign w:val="center"/>
          </w:tcPr>
          <w:p w14:paraId="3658767D"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 </w:t>
            </w:r>
          </w:p>
        </w:tc>
        <w:tc>
          <w:tcPr>
            <w:tcW w:w="1869" w:type="dxa"/>
            <w:tcBorders>
              <w:top w:val="nil"/>
              <w:left w:val="nil"/>
              <w:bottom w:val="single" w:sz="8" w:space="0" w:color="auto"/>
              <w:right w:val="single" w:sz="8" w:space="0" w:color="auto"/>
            </w:tcBorders>
            <w:shd w:val="clear" w:color="000000" w:fill="FFF2CC"/>
            <w:noWrap/>
            <w:vAlign w:val="center"/>
          </w:tcPr>
          <w:p w14:paraId="7AC6733F"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 </w:t>
            </w:r>
          </w:p>
        </w:tc>
      </w:tr>
      <w:tr w:rsidR="00D65E17" w:rsidRPr="00CA2B37" w14:paraId="11DA2E67"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7B7B4A45"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Released Catch Affidavit</w:t>
            </w:r>
          </w:p>
        </w:tc>
        <w:tc>
          <w:tcPr>
            <w:tcW w:w="2109" w:type="dxa"/>
            <w:tcBorders>
              <w:top w:val="nil"/>
              <w:left w:val="nil"/>
              <w:bottom w:val="single" w:sz="4" w:space="0" w:color="auto"/>
              <w:right w:val="single" w:sz="4" w:space="0" w:color="auto"/>
            </w:tcBorders>
            <w:shd w:val="clear" w:color="auto" w:fill="auto"/>
            <w:vAlign w:val="bottom"/>
          </w:tcPr>
          <w:p w14:paraId="43DD3B97"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tcPr>
          <w:p w14:paraId="1943F9E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93</w:t>
            </w:r>
          </w:p>
        </w:tc>
        <w:tc>
          <w:tcPr>
            <w:tcW w:w="1111" w:type="dxa"/>
            <w:tcBorders>
              <w:top w:val="nil"/>
              <w:left w:val="nil"/>
              <w:bottom w:val="single" w:sz="4" w:space="0" w:color="auto"/>
              <w:right w:val="single" w:sz="4" w:space="0" w:color="auto"/>
            </w:tcBorders>
            <w:shd w:val="clear" w:color="auto" w:fill="auto"/>
            <w:vAlign w:val="bottom"/>
          </w:tcPr>
          <w:p w14:paraId="5FD60766"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255" w:type="dxa"/>
            <w:tcBorders>
              <w:top w:val="nil"/>
              <w:left w:val="nil"/>
              <w:bottom w:val="single" w:sz="4" w:space="0" w:color="auto"/>
              <w:right w:val="single" w:sz="4" w:space="0" w:color="auto"/>
            </w:tcBorders>
            <w:shd w:val="clear" w:color="auto" w:fill="auto"/>
            <w:vAlign w:val="bottom"/>
          </w:tcPr>
          <w:p w14:paraId="30E6CC0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3534</w:t>
            </w:r>
          </w:p>
        </w:tc>
        <w:tc>
          <w:tcPr>
            <w:tcW w:w="1020" w:type="dxa"/>
            <w:tcBorders>
              <w:top w:val="nil"/>
              <w:left w:val="nil"/>
              <w:bottom w:val="single" w:sz="4" w:space="0" w:color="auto"/>
              <w:right w:val="single" w:sz="4" w:space="0" w:color="auto"/>
            </w:tcBorders>
            <w:shd w:val="clear" w:color="auto" w:fill="auto"/>
            <w:vAlign w:val="bottom"/>
          </w:tcPr>
          <w:p w14:paraId="212D87E0"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04" w:type="dxa"/>
            <w:tcBorders>
              <w:top w:val="nil"/>
              <w:left w:val="nil"/>
              <w:bottom w:val="single" w:sz="4" w:space="0" w:color="auto"/>
              <w:right w:val="single" w:sz="4" w:space="0" w:color="auto"/>
            </w:tcBorders>
            <w:shd w:val="clear" w:color="auto" w:fill="auto"/>
            <w:vAlign w:val="bottom"/>
          </w:tcPr>
          <w:p w14:paraId="6AC26EB8"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295</w:t>
            </w:r>
          </w:p>
        </w:tc>
        <w:tc>
          <w:tcPr>
            <w:tcW w:w="1271" w:type="dxa"/>
            <w:tcBorders>
              <w:top w:val="nil"/>
              <w:left w:val="nil"/>
              <w:bottom w:val="single" w:sz="8" w:space="0" w:color="auto"/>
              <w:right w:val="single" w:sz="8" w:space="0" w:color="auto"/>
            </w:tcBorders>
            <w:shd w:val="clear" w:color="auto" w:fill="auto"/>
            <w:noWrap/>
            <w:vAlign w:val="center"/>
          </w:tcPr>
          <w:p w14:paraId="401E7A96"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tcPr>
          <w:p w14:paraId="6C519BFD"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$973.75</w:t>
            </w:r>
          </w:p>
        </w:tc>
      </w:tr>
      <w:tr w:rsidR="00D65E17" w:rsidRPr="00CA2B37" w14:paraId="2809A071"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auto"/>
            <w:vAlign w:val="center"/>
          </w:tcPr>
          <w:p w14:paraId="7A32D1B3" w14:textId="77777777" w:rsidR="00FA375D" w:rsidRPr="002333E8" w:rsidRDefault="00FA375D" w:rsidP="00FA375D">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Vessel Operator Notification of Species lb to Observer</w:t>
            </w:r>
          </w:p>
        </w:tc>
        <w:tc>
          <w:tcPr>
            <w:tcW w:w="2109" w:type="dxa"/>
            <w:tcBorders>
              <w:top w:val="nil"/>
              <w:left w:val="nil"/>
              <w:bottom w:val="single" w:sz="4" w:space="0" w:color="auto"/>
              <w:right w:val="single" w:sz="4" w:space="0" w:color="auto"/>
            </w:tcBorders>
            <w:shd w:val="clear" w:color="auto" w:fill="auto"/>
            <w:vAlign w:val="bottom"/>
          </w:tcPr>
          <w:p w14:paraId="0AA3A748" w14:textId="77777777" w:rsidR="00FA375D" w:rsidRPr="00801255" w:rsidRDefault="00FA375D" w:rsidP="00FA375D">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3" w:type="dxa"/>
            <w:tcBorders>
              <w:top w:val="nil"/>
              <w:left w:val="nil"/>
              <w:bottom w:val="single" w:sz="4" w:space="0" w:color="auto"/>
              <w:right w:val="single" w:sz="4" w:space="0" w:color="auto"/>
            </w:tcBorders>
            <w:shd w:val="clear" w:color="auto" w:fill="auto"/>
            <w:vAlign w:val="bottom"/>
          </w:tcPr>
          <w:p w14:paraId="43553452"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111" w:type="dxa"/>
            <w:tcBorders>
              <w:top w:val="nil"/>
              <w:left w:val="nil"/>
              <w:bottom w:val="single" w:sz="4" w:space="0" w:color="auto"/>
              <w:right w:val="single" w:sz="4" w:space="0" w:color="auto"/>
            </w:tcBorders>
            <w:shd w:val="clear" w:color="auto" w:fill="auto"/>
            <w:vAlign w:val="bottom"/>
          </w:tcPr>
          <w:p w14:paraId="36C50C59"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auto" w:fill="auto"/>
            <w:vAlign w:val="bottom"/>
          </w:tcPr>
          <w:p w14:paraId="40779503"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1050</w:t>
            </w:r>
          </w:p>
        </w:tc>
        <w:tc>
          <w:tcPr>
            <w:tcW w:w="1020" w:type="dxa"/>
            <w:tcBorders>
              <w:top w:val="nil"/>
              <w:left w:val="nil"/>
              <w:bottom w:val="single" w:sz="4" w:space="0" w:color="auto"/>
              <w:right w:val="single" w:sz="4" w:space="0" w:color="auto"/>
            </w:tcBorders>
            <w:shd w:val="clear" w:color="auto" w:fill="auto"/>
            <w:vAlign w:val="bottom"/>
          </w:tcPr>
          <w:p w14:paraId="469C7665"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min</w:t>
            </w:r>
          </w:p>
        </w:tc>
        <w:tc>
          <w:tcPr>
            <w:tcW w:w="1104" w:type="dxa"/>
            <w:tcBorders>
              <w:top w:val="nil"/>
              <w:left w:val="nil"/>
              <w:bottom w:val="single" w:sz="4" w:space="0" w:color="auto"/>
              <w:right w:val="single" w:sz="4" w:space="0" w:color="auto"/>
            </w:tcBorders>
            <w:shd w:val="clear" w:color="auto" w:fill="auto"/>
            <w:vAlign w:val="bottom"/>
          </w:tcPr>
          <w:p w14:paraId="7B76E684" w14:textId="77777777" w:rsidR="00FA375D" w:rsidRPr="00CA2B37" w:rsidRDefault="00FA375D" w:rsidP="00FA37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271" w:type="dxa"/>
            <w:tcBorders>
              <w:top w:val="nil"/>
              <w:left w:val="nil"/>
              <w:bottom w:val="single" w:sz="8" w:space="0" w:color="auto"/>
              <w:right w:val="single" w:sz="8" w:space="0" w:color="auto"/>
            </w:tcBorders>
            <w:shd w:val="clear" w:color="auto" w:fill="auto"/>
            <w:noWrap/>
            <w:vAlign w:val="center"/>
          </w:tcPr>
          <w:p w14:paraId="1B765063"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$39.61</w:t>
            </w:r>
          </w:p>
        </w:tc>
        <w:tc>
          <w:tcPr>
            <w:tcW w:w="1869" w:type="dxa"/>
            <w:tcBorders>
              <w:top w:val="nil"/>
              <w:left w:val="nil"/>
              <w:bottom w:val="single" w:sz="8" w:space="0" w:color="auto"/>
              <w:right w:val="single" w:sz="8" w:space="0" w:color="auto"/>
            </w:tcBorders>
            <w:shd w:val="clear" w:color="auto" w:fill="auto"/>
            <w:noWrap/>
            <w:vAlign w:val="center"/>
          </w:tcPr>
          <w:p w14:paraId="24F6B850" w14:textId="77777777" w:rsidR="00FA375D" w:rsidRDefault="00FA375D" w:rsidP="00FA375D">
            <w:pPr>
              <w:jc w:val="right"/>
              <w:rPr>
                <w:rFonts w:ascii="Calibri" w:hAnsi="Calibri" w:cs="Calibri"/>
                <w:color w:val="000000"/>
                <w:sz w:val="16"/>
                <w:szCs w:val="16"/>
              </w:rPr>
            </w:pPr>
            <w:r>
              <w:rPr>
                <w:rFonts w:ascii="Calibri" w:hAnsi="Calibri" w:cs="Calibri"/>
                <w:color w:val="000000"/>
                <w:sz w:val="16"/>
                <w:szCs w:val="16"/>
              </w:rPr>
              <w:t>$11.88</w:t>
            </w:r>
          </w:p>
        </w:tc>
      </w:tr>
      <w:tr w:rsidR="00D65E17" w:rsidRPr="00CA2B37" w14:paraId="6618F223" w14:textId="77777777" w:rsidTr="003A2C6C">
        <w:trPr>
          <w:trHeight w:val="300"/>
        </w:trPr>
        <w:tc>
          <w:tcPr>
            <w:tcW w:w="3188" w:type="dxa"/>
            <w:tcBorders>
              <w:top w:val="nil"/>
              <w:left w:val="single" w:sz="8" w:space="0" w:color="auto"/>
              <w:bottom w:val="single" w:sz="4" w:space="0" w:color="auto"/>
              <w:right w:val="single" w:sz="4" w:space="0" w:color="auto"/>
            </w:tcBorders>
            <w:shd w:val="clear" w:color="auto" w:fill="E7E6E6" w:themeFill="background2"/>
            <w:vAlign w:val="bottom"/>
            <w:hideMark/>
          </w:tcPr>
          <w:p w14:paraId="145CDE8D" w14:textId="77777777" w:rsidR="00FA375D" w:rsidRPr="003A2C6C" w:rsidRDefault="00FA375D" w:rsidP="00FA375D">
            <w:pPr>
              <w:widowControl/>
              <w:autoSpaceDE/>
              <w:autoSpaceDN/>
              <w:adjustRightInd/>
              <w:jc w:val="right"/>
              <w:rPr>
                <w:rFonts w:ascii="Calibri" w:hAnsi="Calibri" w:cs="Calibri"/>
                <w:b/>
                <w:color w:val="000000"/>
                <w:sz w:val="16"/>
                <w:szCs w:val="16"/>
              </w:rPr>
            </w:pPr>
            <w:r w:rsidRPr="003A2C6C">
              <w:rPr>
                <w:rFonts w:ascii="Calibri" w:hAnsi="Calibri" w:cs="Calibri"/>
                <w:b/>
                <w:color w:val="000000"/>
                <w:sz w:val="16"/>
                <w:szCs w:val="16"/>
              </w:rPr>
              <w:t> Totals</w:t>
            </w:r>
          </w:p>
        </w:tc>
        <w:tc>
          <w:tcPr>
            <w:tcW w:w="2109" w:type="dxa"/>
            <w:tcBorders>
              <w:top w:val="nil"/>
              <w:left w:val="nil"/>
              <w:bottom w:val="single" w:sz="4" w:space="0" w:color="auto"/>
              <w:right w:val="single" w:sz="4" w:space="0" w:color="auto"/>
            </w:tcBorders>
            <w:shd w:val="clear" w:color="auto" w:fill="E7E6E6" w:themeFill="background2"/>
            <w:vAlign w:val="bottom"/>
            <w:hideMark/>
          </w:tcPr>
          <w:p w14:paraId="49D29659" w14:textId="77777777" w:rsidR="00FA375D" w:rsidRPr="00CA2B37" w:rsidRDefault="00FA375D" w:rsidP="00FA375D">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183" w:type="dxa"/>
            <w:tcBorders>
              <w:top w:val="nil"/>
              <w:left w:val="nil"/>
              <w:bottom w:val="single" w:sz="4" w:space="0" w:color="auto"/>
              <w:right w:val="single" w:sz="4" w:space="0" w:color="auto"/>
            </w:tcBorders>
            <w:shd w:val="clear" w:color="auto" w:fill="E7E6E6" w:themeFill="background2"/>
            <w:vAlign w:val="bottom"/>
            <w:hideMark/>
          </w:tcPr>
          <w:p w14:paraId="2EDEA6FB" w14:textId="77777777" w:rsidR="00FA375D" w:rsidRPr="00CA2B37" w:rsidRDefault="00FA375D" w:rsidP="00FA375D">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11" w:type="dxa"/>
            <w:tcBorders>
              <w:top w:val="nil"/>
              <w:left w:val="nil"/>
              <w:bottom w:val="single" w:sz="4" w:space="0" w:color="auto"/>
              <w:right w:val="single" w:sz="4" w:space="0" w:color="auto"/>
            </w:tcBorders>
            <w:shd w:val="clear" w:color="auto" w:fill="E7E6E6" w:themeFill="background2"/>
            <w:vAlign w:val="bottom"/>
            <w:hideMark/>
          </w:tcPr>
          <w:p w14:paraId="2EB8AC13" w14:textId="77777777" w:rsidR="00FA375D" w:rsidRPr="00CA2B37" w:rsidRDefault="00FA375D" w:rsidP="00FA375D">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auto" w:fill="E7E6E6" w:themeFill="background2"/>
            <w:vAlign w:val="bottom"/>
            <w:hideMark/>
          </w:tcPr>
          <w:p w14:paraId="7DAE13EA" w14:textId="36F32FF4" w:rsidR="00FA375D" w:rsidRPr="00E11ABD" w:rsidRDefault="003A2C6C" w:rsidP="00FA375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4,584</w:t>
            </w:r>
          </w:p>
        </w:tc>
        <w:tc>
          <w:tcPr>
            <w:tcW w:w="1020" w:type="dxa"/>
            <w:tcBorders>
              <w:top w:val="nil"/>
              <w:left w:val="nil"/>
              <w:bottom w:val="single" w:sz="4" w:space="0" w:color="auto"/>
              <w:right w:val="single" w:sz="4" w:space="0" w:color="auto"/>
            </w:tcBorders>
            <w:shd w:val="clear" w:color="auto" w:fill="E7E6E6" w:themeFill="background2"/>
            <w:vAlign w:val="bottom"/>
            <w:hideMark/>
          </w:tcPr>
          <w:p w14:paraId="1A3EEEFF" w14:textId="77777777" w:rsidR="00FA375D" w:rsidRPr="00CA2B37" w:rsidRDefault="00FA375D" w:rsidP="00FA375D">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04" w:type="dxa"/>
            <w:tcBorders>
              <w:top w:val="nil"/>
              <w:left w:val="nil"/>
              <w:bottom w:val="single" w:sz="4" w:space="0" w:color="auto"/>
              <w:right w:val="single" w:sz="4" w:space="0" w:color="auto"/>
            </w:tcBorders>
            <w:shd w:val="clear" w:color="auto" w:fill="E7E6E6" w:themeFill="background2"/>
            <w:vAlign w:val="bottom"/>
            <w:hideMark/>
          </w:tcPr>
          <w:p w14:paraId="7B637131" w14:textId="49E04BFD" w:rsidR="00FA375D" w:rsidRPr="00E11ABD" w:rsidRDefault="003A2C6C" w:rsidP="00FA375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313</w:t>
            </w:r>
          </w:p>
        </w:tc>
        <w:tc>
          <w:tcPr>
            <w:tcW w:w="1271" w:type="dxa"/>
            <w:tcBorders>
              <w:top w:val="nil"/>
              <w:left w:val="nil"/>
              <w:bottom w:val="single" w:sz="4" w:space="0" w:color="auto"/>
              <w:right w:val="single" w:sz="4" w:space="0" w:color="auto"/>
            </w:tcBorders>
            <w:shd w:val="clear" w:color="auto" w:fill="E7E6E6" w:themeFill="background2"/>
            <w:noWrap/>
            <w:vAlign w:val="bottom"/>
            <w:hideMark/>
          </w:tcPr>
          <w:p w14:paraId="30FA6CB9" w14:textId="77777777" w:rsidR="00FA375D" w:rsidRPr="00CA2B37" w:rsidRDefault="00FA375D" w:rsidP="00FA375D">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869" w:type="dxa"/>
            <w:tcBorders>
              <w:top w:val="nil"/>
              <w:left w:val="nil"/>
              <w:bottom w:val="single" w:sz="4" w:space="0" w:color="auto"/>
              <w:right w:val="single" w:sz="8" w:space="0" w:color="auto"/>
            </w:tcBorders>
            <w:shd w:val="clear" w:color="auto" w:fill="E7E6E6" w:themeFill="background2"/>
            <w:noWrap/>
            <w:vAlign w:val="bottom"/>
            <w:hideMark/>
          </w:tcPr>
          <w:p w14:paraId="1229BBDE" w14:textId="70B29862" w:rsidR="00FA375D" w:rsidRPr="00CA2B37" w:rsidRDefault="00FA375D" w:rsidP="003A2C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A2C6C">
              <w:rPr>
                <w:rFonts w:ascii="Calibri" w:hAnsi="Calibri" w:cs="Calibri"/>
                <w:color w:val="000000"/>
                <w:sz w:val="16"/>
                <w:szCs w:val="16"/>
              </w:rPr>
              <w:t>985.63</w:t>
            </w:r>
            <w:r w:rsidRPr="00CA2B37">
              <w:rPr>
                <w:rFonts w:ascii="Calibri" w:hAnsi="Calibri" w:cs="Calibri"/>
                <w:color w:val="000000"/>
                <w:sz w:val="16"/>
                <w:szCs w:val="16"/>
              </w:rPr>
              <w:t> </w:t>
            </w:r>
          </w:p>
        </w:tc>
      </w:tr>
      <w:tr w:rsidR="00D65E17" w:rsidRPr="00CA2B37" w14:paraId="7DB992DC" w14:textId="77777777" w:rsidTr="003A2C6C">
        <w:trPr>
          <w:trHeight w:val="315"/>
        </w:trPr>
        <w:tc>
          <w:tcPr>
            <w:tcW w:w="3188" w:type="dxa"/>
            <w:tcBorders>
              <w:top w:val="nil"/>
              <w:left w:val="single" w:sz="8" w:space="0" w:color="auto"/>
              <w:bottom w:val="single" w:sz="8" w:space="0" w:color="auto"/>
              <w:right w:val="single" w:sz="8" w:space="0" w:color="auto"/>
            </w:tcBorders>
            <w:shd w:val="clear" w:color="000000" w:fill="BDD7EE"/>
            <w:noWrap/>
            <w:vAlign w:val="bottom"/>
            <w:hideMark/>
          </w:tcPr>
          <w:p w14:paraId="660E1549" w14:textId="77777777" w:rsidR="00FA375D" w:rsidRPr="0071276E" w:rsidRDefault="00FA375D" w:rsidP="00FA375D">
            <w:pPr>
              <w:widowControl/>
              <w:autoSpaceDE/>
              <w:autoSpaceDN/>
              <w:adjustRightInd/>
              <w:rPr>
                <w:rFonts w:ascii="Calibri" w:hAnsi="Calibri" w:cs="Calibri"/>
                <w:b/>
                <w:bCs/>
                <w:color w:val="000000"/>
              </w:rPr>
            </w:pPr>
            <w:r w:rsidRPr="0071276E">
              <w:rPr>
                <w:rFonts w:ascii="Calibri" w:hAnsi="Calibri" w:cs="Calibri"/>
                <w:b/>
                <w:bCs/>
                <w:color w:val="000000"/>
              </w:rPr>
              <w:t>Totals</w:t>
            </w:r>
          </w:p>
        </w:tc>
        <w:tc>
          <w:tcPr>
            <w:tcW w:w="2109" w:type="dxa"/>
            <w:tcBorders>
              <w:top w:val="nil"/>
              <w:left w:val="nil"/>
              <w:bottom w:val="single" w:sz="8" w:space="0" w:color="auto"/>
              <w:right w:val="single" w:sz="8" w:space="0" w:color="auto"/>
            </w:tcBorders>
            <w:shd w:val="clear" w:color="000000" w:fill="000000"/>
            <w:noWrap/>
            <w:vAlign w:val="bottom"/>
            <w:hideMark/>
          </w:tcPr>
          <w:p w14:paraId="455372ED" w14:textId="77777777" w:rsidR="00FA375D" w:rsidRPr="00CA2B37" w:rsidRDefault="00FA375D" w:rsidP="00FA375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3" w:type="dxa"/>
            <w:tcBorders>
              <w:top w:val="nil"/>
              <w:left w:val="nil"/>
              <w:bottom w:val="single" w:sz="8" w:space="0" w:color="auto"/>
              <w:right w:val="single" w:sz="8" w:space="0" w:color="auto"/>
            </w:tcBorders>
            <w:shd w:val="clear" w:color="000000" w:fill="000000"/>
            <w:noWrap/>
            <w:vAlign w:val="bottom"/>
            <w:hideMark/>
          </w:tcPr>
          <w:p w14:paraId="2D6CCD09" w14:textId="77777777" w:rsidR="00FA375D" w:rsidRPr="00CA2B37" w:rsidRDefault="00FA375D" w:rsidP="00FA375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11" w:type="dxa"/>
            <w:tcBorders>
              <w:top w:val="nil"/>
              <w:left w:val="nil"/>
              <w:bottom w:val="single" w:sz="8" w:space="0" w:color="auto"/>
              <w:right w:val="single" w:sz="8" w:space="0" w:color="auto"/>
            </w:tcBorders>
            <w:shd w:val="clear" w:color="000000" w:fill="000000"/>
            <w:noWrap/>
            <w:vAlign w:val="bottom"/>
            <w:hideMark/>
          </w:tcPr>
          <w:p w14:paraId="42028B11" w14:textId="77777777" w:rsidR="00FA375D" w:rsidRPr="00CA2B37" w:rsidRDefault="00FA375D" w:rsidP="00FA375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55" w:type="dxa"/>
            <w:tcBorders>
              <w:top w:val="nil"/>
              <w:left w:val="nil"/>
              <w:bottom w:val="single" w:sz="8" w:space="0" w:color="auto"/>
              <w:right w:val="single" w:sz="8" w:space="0" w:color="auto"/>
            </w:tcBorders>
            <w:shd w:val="clear" w:color="000000" w:fill="BDD7EE"/>
            <w:noWrap/>
            <w:vAlign w:val="bottom"/>
            <w:hideMark/>
          </w:tcPr>
          <w:p w14:paraId="769DD8E0" w14:textId="1357E230" w:rsidR="00FA375D" w:rsidRPr="0071276E" w:rsidRDefault="003A2C6C" w:rsidP="00FA375D">
            <w:pPr>
              <w:widowControl/>
              <w:autoSpaceDE/>
              <w:autoSpaceDN/>
              <w:adjustRightInd/>
              <w:rPr>
                <w:rFonts w:ascii="Calibri" w:hAnsi="Calibri" w:cs="Calibri"/>
                <w:b/>
                <w:bCs/>
                <w:color w:val="000000"/>
              </w:rPr>
            </w:pPr>
            <w:r>
              <w:rPr>
                <w:rFonts w:ascii="Calibri" w:hAnsi="Calibri" w:cs="Calibri"/>
                <w:b/>
                <w:bCs/>
                <w:color w:val="000000"/>
              </w:rPr>
              <w:t>15,372</w:t>
            </w:r>
          </w:p>
        </w:tc>
        <w:tc>
          <w:tcPr>
            <w:tcW w:w="1020" w:type="dxa"/>
            <w:tcBorders>
              <w:top w:val="nil"/>
              <w:left w:val="nil"/>
              <w:bottom w:val="single" w:sz="8" w:space="0" w:color="auto"/>
              <w:right w:val="single" w:sz="8" w:space="0" w:color="auto"/>
            </w:tcBorders>
            <w:shd w:val="clear" w:color="000000" w:fill="000000"/>
            <w:noWrap/>
            <w:vAlign w:val="bottom"/>
            <w:hideMark/>
          </w:tcPr>
          <w:p w14:paraId="2095F114" w14:textId="77777777" w:rsidR="00FA375D" w:rsidRPr="00CA2B37" w:rsidRDefault="00FA375D" w:rsidP="00FA375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04" w:type="dxa"/>
            <w:tcBorders>
              <w:top w:val="nil"/>
              <w:left w:val="nil"/>
              <w:bottom w:val="single" w:sz="8" w:space="0" w:color="auto"/>
              <w:right w:val="single" w:sz="8" w:space="0" w:color="auto"/>
            </w:tcBorders>
            <w:shd w:val="clear" w:color="000000" w:fill="BDD7EE"/>
            <w:noWrap/>
            <w:vAlign w:val="bottom"/>
            <w:hideMark/>
          </w:tcPr>
          <w:p w14:paraId="334E4EBA" w14:textId="782464F3" w:rsidR="00FA375D" w:rsidRPr="0071276E" w:rsidRDefault="003A2C6C" w:rsidP="00FA375D">
            <w:pPr>
              <w:widowControl/>
              <w:autoSpaceDE/>
              <w:autoSpaceDN/>
              <w:adjustRightInd/>
              <w:rPr>
                <w:rFonts w:ascii="Calibri" w:hAnsi="Calibri" w:cs="Calibri"/>
                <w:b/>
                <w:bCs/>
                <w:color w:val="000000"/>
              </w:rPr>
            </w:pPr>
            <w:r>
              <w:rPr>
                <w:rFonts w:ascii="Calibri" w:hAnsi="Calibri" w:cs="Calibri"/>
                <w:b/>
                <w:bCs/>
                <w:color w:val="000000"/>
              </w:rPr>
              <w:t>1,848</w:t>
            </w:r>
          </w:p>
        </w:tc>
        <w:tc>
          <w:tcPr>
            <w:tcW w:w="1271" w:type="dxa"/>
            <w:tcBorders>
              <w:top w:val="nil"/>
              <w:left w:val="nil"/>
              <w:bottom w:val="single" w:sz="8" w:space="0" w:color="auto"/>
              <w:right w:val="single" w:sz="8" w:space="0" w:color="auto"/>
            </w:tcBorders>
            <w:shd w:val="clear" w:color="000000" w:fill="000000"/>
            <w:noWrap/>
            <w:vAlign w:val="bottom"/>
            <w:hideMark/>
          </w:tcPr>
          <w:p w14:paraId="5E2F13D4" w14:textId="77777777" w:rsidR="00FA375D" w:rsidRPr="00CA2B37" w:rsidRDefault="00FA375D" w:rsidP="00FA375D">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869" w:type="dxa"/>
            <w:tcBorders>
              <w:top w:val="nil"/>
              <w:left w:val="nil"/>
              <w:bottom w:val="single" w:sz="8" w:space="0" w:color="auto"/>
              <w:right w:val="single" w:sz="8" w:space="0" w:color="auto"/>
            </w:tcBorders>
            <w:shd w:val="clear" w:color="000000" w:fill="BDD7EE"/>
            <w:noWrap/>
            <w:vAlign w:val="bottom"/>
            <w:hideMark/>
          </w:tcPr>
          <w:p w14:paraId="4F189930" w14:textId="4A4E823E" w:rsidR="00FA375D" w:rsidRPr="00646C24" w:rsidRDefault="00FA375D" w:rsidP="003A2C6C">
            <w:pPr>
              <w:widowControl/>
              <w:autoSpaceDE/>
              <w:autoSpaceDN/>
              <w:adjustRightInd/>
              <w:rPr>
                <w:rFonts w:ascii="Calibri" w:hAnsi="Calibri" w:cs="Calibri"/>
                <w:b/>
                <w:bCs/>
                <w:color w:val="000000"/>
              </w:rPr>
            </w:pPr>
            <w:r w:rsidRPr="00646C24">
              <w:rPr>
                <w:rFonts w:ascii="Calibri" w:hAnsi="Calibri" w:cs="Calibri"/>
                <w:b/>
                <w:bCs/>
                <w:color w:val="000000"/>
              </w:rPr>
              <w:t> </w:t>
            </w:r>
            <w:r>
              <w:rPr>
                <w:rFonts w:ascii="Calibri" w:hAnsi="Calibri" w:cs="Calibri"/>
                <w:b/>
                <w:bCs/>
                <w:color w:val="000000"/>
              </w:rPr>
              <w:t>$</w:t>
            </w:r>
            <w:r w:rsidR="003A2C6C">
              <w:rPr>
                <w:rFonts w:ascii="Calibri" w:hAnsi="Calibri" w:cs="Calibri"/>
                <w:b/>
                <w:bCs/>
                <w:color w:val="000000"/>
              </w:rPr>
              <w:t>65,972.77</w:t>
            </w:r>
          </w:p>
        </w:tc>
      </w:tr>
    </w:tbl>
    <w:p w14:paraId="53440C9D" w14:textId="77777777" w:rsidR="00CA2B37" w:rsidRDefault="00CA2B37" w:rsidP="00CA2B37">
      <w:pPr>
        <w:ind w:left="-360"/>
        <w:rPr>
          <w:sz w:val="24"/>
          <w:szCs w:val="24"/>
        </w:rPr>
      </w:pPr>
    </w:p>
    <w:p w14:paraId="74A4C543" w14:textId="77777777" w:rsidR="004F26E9" w:rsidRDefault="004F26E9" w:rsidP="00CA2B37">
      <w:pPr>
        <w:ind w:left="-360"/>
        <w:rPr>
          <w:sz w:val="24"/>
          <w:szCs w:val="24"/>
        </w:rPr>
      </w:pPr>
    </w:p>
    <w:p w14:paraId="7030A08F" w14:textId="77777777" w:rsidR="00CA2B37" w:rsidRDefault="00CA2B37" w:rsidP="00CA2B37">
      <w:pPr>
        <w:ind w:left="-360"/>
        <w:rPr>
          <w:sz w:val="24"/>
          <w:szCs w:val="24"/>
        </w:rPr>
        <w:sectPr w:rsidR="00CA2B37" w:rsidSect="00F7628E">
          <w:footnotePr>
            <w:numRestart w:val="eachSect"/>
          </w:footnotePr>
          <w:endnotePr>
            <w:numFmt w:val="decimal"/>
          </w:endnotePr>
          <w:pgSz w:w="15840" w:h="12240" w:orient="landscape"/>
          <w:pgMar w:top="900" w:right="720" w:bottom="810" w:left="990" w:header="720" w:footer="720" w:gutter="0"/>
          <w:cols w:space="720"/>
          <w:docGrid w:linePitch="272"/>
        </w:sectPr>
      </w:pPr>
    </w:p>
    <w:p w14:paraId="148C8CA8" w14:textId="77777777" w:rsidR="004F26E9" w:rsidRDefault="004F26E9" w:rsidP="00493868">
      <w:pPr>
        <w:tabs>
          <w:tab w:val="left" w:pos="540"/>
        </w:tabs>
        <w:ind w:left="540"/>
        <w:rPr>
          <w:sz w:val="24"/>
          <w:szCs w:val="24"/>
        </w:rPr>
      </w:pPr>
    </w:p>
    <w:p w14:paraId="6EFCC280" w14:textId="77777777" w:rsidR="004F26E9" w:rsidRDefault="00493868" w:rsidP="00493868">
      <w:pPr>
        <w:tabs>
          <w:tab w:val="left" w:pos="540"/>
        </w:tabs>
        <w:ind w:left="540" w:hanging="540"/>
        <w:rPr>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14:paraId="71BE8E8D" w14:textId="77777777"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255"/>
        <w:gridCol w:w="1263"/>
        <w:gridCol w:w="1347"/>
      </w:tblGrid>
      <w:tr w:rsidR="00185785" w:rsidRPr="000D49BA" w14:paraId="2372F55F" w14:textId="77777777" w:rsidTr="00C90E2C">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366FA059"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themeFill="accent1"/>
            <w:vAlign w:val="center"/>
            <w:hideMark/>
          </w:tcPr>
          <w:p w14:paraId="73674A2D"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14:paraId="5C958400"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255" w:type="dxa"/>
            <w:tcBorders>
              <w:top w:val="single" w:sz="8" w:space="0" w:color="auto"/>
              <w:left w:val="nil"/>
              <w:bottom w:val="single" w:sz="8" w:space="0" w:color="auto"/>
              <w:right w:val="single" w:sz="8" w:space="0" w:color="auto"/>
            </w:tcBorders>
            <w:shd w:val="clear" w:color="auto" w:fill="5B9BD5" w:themeFill="accent1"/>
            <w:vAlign w:val="center"/>
            <w:hideMark/>
          </w:tcPr>
          <w:p w14:paraId="6EF5E451"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263" w:type="dxa"/>
            <w:tcBorders>
              <w:top w:val="single" w:sz="8" w:space="0" w:color="auto"/>
              <w:left w:val="nil"/>
              <w:bottom w:val="single" w:sz="8" w:space="0" w:color="auto"/>
              <w:right w:val="single" w:sz="8" w:space="0" w:color="auto"/>
            </w:tcBorders>
            <w:shd w:val="clear" w:color="auto" w:fill="5B9BD5" w:themeFill="accent1"/>
            <w:vAlign w:val="center"/>
            <w:hideMark/>
          </w:tcPr>
          <w:p w14:paraId="6A44DBFA"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14:paraId="6EB7FD07"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527CC1" w:rsidRPr="00185785" w14:paraId="34DBB6F9"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FFF2CC" w:themeFill="accent4" w:themeFillTint="33"/>
            <w:vAlign w:val="bottom"/>
            <w:hideMark/>
          </w:tcPr>
          <w:p w14:paraId="0C3C12DC" w14:textId="77777777" w:rsidR="00527CC1" w:rsidRPr="00C630D6" w:rsidRDefault="00527CC1" w:rsidP="00527CC1">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1188" w:type="dxa"/>
            <w:tcBorders>
              <w:top w:val="nil"/>
              <w:left w:val="nil"/>
              <w:bottom w:val="single" w:sz="4" w:space="0" w:color="auto"/>
              <w:right w:val="single" w:sz="4" w:space="0" w:color="auto"/>
            </w:tcBorders>
            <w:shd w:val="clear" w:color="auto" w:fill="FFF2CC" w:themeFill="accent4" w:themeFillTint="33"/>
            <w:vAlign w:val="center"/>
            <w:hideMark/>
          </w:tcPr>
          <w:p w14:paraId="77AC3120" w14:textId="77777777" w:rsidR="00527CC1" w:rsidRPr="00185785" w:rsidRDefault="00527CC1" w:rsidP="00527CC1">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FFF2CC" w:themeFill="accent4" w:themeFillTint="33"/>
            <w:vAlign w:val="center"/>
            <w:hideMark/>
          </w:tcPr>
          <w:p w14:paraId="23E5831A" w14:textId="77777777" w:rsidR="00527CC1" w:rsidRPr="00185785" w:rsidRDefault="00527CC1" w:rsidP="00527CC1">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auto" w:fill="FFF2CC" w:themeFill="accent4" w:themeFillTint="33"/>
            <w:vAlign w:val="center"/>
            <w:hideMark/>
          </w:tcPr>
          <w:p w14:paraId="36E33445" w14:textId="77777777" w:rsidR="00527CC1" w:rsidRPr="00185785" w:rsidRDefault="00527CC1" w:rsidP="00527CC1">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63" w:type="dxa"/>
            <w:tcBorders>
              <w:top w:val="nil"/>
              <w:left w:val="nil"/>
              <w:bottom w:val="single" w:sz="4" w:space="0" w:color="auto"/>
              <w:right w:val="single" w:sz="4" w:space="0" w:color="auto"/>
            </w:tcBorders>
            <w:shd w:val="clear" w:color="auto" w:fill="FFF2CC" w:themeFill="accent4" w:themeFillTint="33"/>
            <w:vAlign w:val="center"/>
            <w:hideMark/>
          </w:tcPr>
          <w:p w14:paraId="4558FAE8" w14:textId="77777777" w:rsidR="00527CC1" w:rsidRPr="00185785" w:rsidRDefault="00527CC1" w:rsidP="00527CC1">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347" w:type="dxa"/>
            <w:tcBorders>
              <w:top w:val="nil"/>
              <w:left w:val="nil"/>
              <w:bottom w:val="single" w:sz="4" w:space="0" w:color="auto"/>
              <w:right w:val="single" w:sz="8" w:space="0" w:color="auto"/>
            </w:tcBorders>
            <w:shd w:val="clear" w:color="auto" w:fill="FFF2CC" w:themeFill="accent4" w:themeFillTint="33"/>
            <w:vAlign w:val="center"/>
            <w:hideMark/>
          </w:tcPr>
          <w:p w14:paraId="019E66D5" w14:textId="77777777" w:rsidR="00527CC1" w:rsidRPr="00185785" w:rsidRDefault="00527CC1" w:rsidP="00527CC1">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r>
      <w:tr w:rsidR="00A01874" w:rsidRPr="00185785" w14:paraId="593F7E98"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14:paraId="6C072DC5" w14:textId="77777777" w:rsidR="00A01874" w:rsidRPr="00AE62AC" w:rsidRDefault="00A01874" w:rsidP="00A01874">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000000" w:fill="FFFFFF"/>
            <w:vAlign w:val="bottom"/>
          </w:tcPr>
          <w:p w14:paraId="6A73D690"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134</w:t>
            </w:r>
          </w:p>
        </w:tc>
        <w:tc>
          <w:tcPr>
            <w:tcW w:w="1170" w:type="dxa"/>
            <w:tcBorders>
              <w:top w:val="nil"/>
              <w:left w:val="nil"/>
              <w:bottom w:val="single" w:sz="4" w:space="0" w:color="auto"/>
              <w:right w:val="single" w:sz="4" w:space="0" w:color="auto"/>
            </w:tcBorders>
            <w:shd w:val="clear" w:color="000000" w:fill="FFFFFF"/>
            <w:vAlign w:val="bottom"/>
          </w:tcPr>
          <w:p w14:paraId="78FB3B6F"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000000" w:fill="FFFFFF"/>
            <w:vAlign w:val="bottom"/>
          </w:tcPr>
          <w:p w14:paraId="59240B75"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p>
        </w:tc>
        <w:tc>
          <w:tcPr>
            <w:tcW w:w="1263" w:type="dxa"/>
            <w:tcBorders>
              <w:top w:val="nil"/>
              <w:left w:val="nil"/>
              <w:bottom w:val="single" w:sz="4" w:space="0" w:color="auto"/>
              <w:right w:val="single" w:sz="4" w:space="0" w:color="auto"/>
            </w:tcBorders>
            <w:shd w:val="clear" w:color="000000" w:fill="FFFFFF"/>
            <w:vAlign w:val="center"/>
          </w:tcPr>
          <w:p w14:paraId="56D86457"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468E3978"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A01874" w:rsidRPr="00185785" w14:paraId="55DFBACF"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73E86A6D" w14:textId="77777777" w:rsidR="00A01874" w:rsidRPr="00AE62AC" w:rsidRDefault="00A01874" w:rsidP="00A01874">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1188" w:type="dxa"/>
            <w:tcBorders>
              <w:top w:val="nil"/>
              <w:left w:val="nil"/>
              <w:bottom w:val="single" w:sz="4" w:space="0" w:color="auto"/>
              <w:right w:val="single" w:sz="4" w:space="0" w:color="auto"/>
            </w:tcBorders>
            <w:shd w:val="clear" w:color="000000" w:fill="FFFFFF"/>
            <w:vAlign w:val="bottom"/>
          </w:tcPr>
          <w:p w14:paraId="3647D64D"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134</w:t>
            </w:r>
          </w:p>
        </w:tc>
        <w:tc>
          <w:tcPr>
            <w:tcW w:w="1170" w:type="dxa"/>
            <w:tcBorders>
              <w:top w:val="nil"/>
              <w:left w:val="nil"/>
              <w:bottom w:val="single" w:sz="4" w:space="0" w:color="auto"/>
              <w:right w:val="single" w:sz="4" w:space="0" w:color="auto"/>
            </w:tcBorders>
            <w:shd w:val="clear" w:color="000000" w:fill="FFFFFF"/>
            <w:vAlign w:val="bottom"/>
          </w:tcPr>
          <w:p w14:paraId="7CF527CD"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000000" w:fill="FFFFFF"/>
            <w:vAlign w:val="bottom"/>
          </w:tcPr>
          <w:p w14:paraId="6404EFE3"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p>
        </w:tc>
        <w:tc>
          <w:tcPr>
            <w:tcW w:w="1263" w:type="dxa"/>
            <w:tcBorders>
              <w:top w:val="nil"/>
              <w:left w:val="nil"/>
              <w:bottom w:val="single" w:sz="4" w:space="0" w:color="auto"/>
              <w:right w:val="single" w:sz="4" w:space="0" w:color="auto"/>
            </w:tcBorders>
            <w:shd w:val="clear" w:color="000000" w:fill="FFFFFF"/>
            <w:vAlign w:val="center"/>
          </w:tcPr>
          <w:p w14:paraId="2C73C097"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6FB0349F"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A01874" w:rsidRPr="00185785" w14:paraId="7BC28109"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030E8B91" w14:textId="77777777" w:rsidR="00A01874" w:rsidRPr="00AE62AC" w:rsidRDefault="00A01874" w:rsidP="00A01874">
            <w:pPr>
              <w:widowControl/>
              <w:autoSpaceDE/>
              <w:autoSpaceDN/>
              <w:adjustRightInd/>
              <w:rPr>
                <w:rFonts w:ascii="Calibri" w:hAnsi="Calibri"/>
                <w:color w:val="000000"/>
                <w:sz w:val="16"/>
                <w:szCs w:val="16"/>
              </w:rPr>
            </w:pPr>
            <w:r w:rsidRPr="00AE62AC">
              <w:rPr>
                <w:rFonts w:ascii="Calibri" w:hAnsi="Calibri"/>
                <w:color w:val="000000"/>
                <w:sz w:val="16"/>
                <w:szCs w:val="16"/>
              </w:rPr>
              <w:t>Call to Service Provider to request IFM observer to access Groundfish Closed Areas</w:t>
            </w:r>
          </w:p>
        </w:tc>
        <w:tc>
          <w:tcPr>
            <w:tcW w:w="1188" w:type="dxa"/>
            <w:tcBorders>
              <w:top w:val="nil"/>
              <w:left w:val="nil"/>
              <w:bottom w:val="single" w:sz="4" w:space="0" w:color="auto"/>
              <w:right w:val="single" w:sz="4" w:space="0" w:color="auto"/>
            </w:tcBorders>
            <w:shd w:val="clear" w:color="000000" w:fill="FFFFFF"/>
            <w:vAlign w:val="bottom"/>
          </w:tcPr>
          <w:p w14:paraId="600CF086"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70" w:type="dxa"/>
            <w:tcBorders>
              <w:top w:val="nil"/>
              <w:left w:val="nil"/>
              <w:bottom w:val="single" w:sz="4" w:space="0" w:color="auto"/>
              <w:right w:val="single" w:sz="4" w:space="0" w:color="auto"/>
            </w:tcBorders>
            <w:shd w:val="clear" w:color="000000" w:fill="FFFFFF"/>
            <w:vAlign w:val="bottom"/>
          </w:tcPr>
          <w:p w14:paraId="6B741D05"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000000" w:fill="FFFFFF"/>
            <w:vAlign w:val="bottom"/>
          </w:tcPr>
          <w:p w14:paraId="608A3F93"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263" w:type="dxa"/>
            <w:tcBorders>
              <w:top w:val="nil"/>
              <w:left w:val="nil"/>
              <w:bottom w:val="single" w:sz="4" w:space="0" w:color="auto"/>
              <w:right w:val="single" w:sz="4" w:space="0" w:color="auto"/>
            </w:tcBorders>
            <w:shd w:val="clear" w:color="000000" w:fill="FFFFFF"/>
            <w:vAlign w:val="center"/>
          </w:tcPr>
          <w:p w14:paraId="32B5E6DC"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$0.50</w:t>
            </w:r>
          </w:p>
        </w:tc>
        <w:tc>
          <w:tcPr>
            <w:tcW w:w="1347" w:type="dxa"/>
            <w:tcBorders>
              <w:top w:val="nil"/>
              <w:left w:val="nil"/>
              <w:bottom w:val="single" w:sz="4" w:space="0" w:color="auto"/>
              <w:right w:val="single" w:sz="8" w:space="0" w:color="auto"/>
            </w:tcBorders>
            <w:shd w:val="clear" w:color="000000" w:fill="FFFFFF"/>
            <w:vAlign w:val="center"/>
          </w:tcPr>
          <w:p w14:paraId="07665473"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r>
      <w:tr w:rsidR="00A01874" w:rsidRPr="00185785" w14:paraId="16A657C6"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6FDD3E7D" w14:textId="77777777" w:rsidR="00A01874" w:rsidRPr="00AE62AC" w:rsidRDefault="00A01874" w:rsidP="00A01874">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service provider for Groundfish Closed Area </w:t>
            </w:r>
          </w:p>
        </w:tc>
        <w:tc>
          <w:tcPr>
            <w:tcW w:w="1188" w:type="dxa"/>
            <w:tcBorders>
              <w:top w:val="nil"/>
              <w:left w:val="nil"/>
              <w:bottom w:val="single" w:sz="4" w:space="0" w:color="auto"/>
              <w:right w:val="single" w:sz="4" w:space="0" w:color="auto"/>
            </w:tcBorders>
            <w:shd w:val="clear" w:color="000000" w:fill="FFFFFF"/>
            <w:vAlign w:val="bottom"/>
          </w:tcPr>
          <w:p w14:paraId="15B323F2"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70" w:type="dxa"/>
            <w:tcBorders>
              <w:top w:val="nil"/>
              <w:left w:val="nil"/>
              <w:bottom w:val="single" w:sz="4" w:space="0" w:color="auto"/>
              <w:right w:val="single" w:sz="4" w:space="0" w:color="auto"/>
            </w:tcBorders>
            <w:shd w:val="clear" w:color="000000" w:fill="FFFFFF"/>
            <w:vAlign w:val="bottom"/>
          </w:tcPr>
          <w:p w14:paraId="1476A8FF"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255" w:type="dxa"/>
            <w:tcBorders>
              <w:top w:val="nil"/>
              <w:left w:val="nil"/>
              <w:bottom w:val="single" w:sz="4" w:space="0" w:color="auto"/>
              <w:right w:val="single" w:sz="4" w:space="0" w:color="auto"/>
            </w:tcBorders>
            <w:shd w:val="clear" w:color="000000" w:fill="FFFFFF"/>
            <w:vAlign w:val="bottom"/>
          </w:tcPr>
          <w:p w14:paraId="273E0D50"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263" w:type="dxa"/>
            <w:tcBorders>
              <w:top w:val="nil"/>
              <w:left w:val="nil"/>
              <w:bottom w:val="single" w:sz="4" w:space="0" w:color="auto"/>
              <w:right w:val="single" w:sz="4" w:space="0" w:color="auto"/>
            </w:tcBorders>
            <w:shd w:val="clear" w:color="000000" w:fill="FFFFFF"/>
            <w:vAlign w:val="center"/>
          </w:tcPr>
          <w:p w14:paraId="12918544"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$0.10</w:t>
            </w:r>
          </w:p>
        </w:tc>
        <w:tc>
          <w:tcPr>
            <w:tcW w:w="1347" w:type="dxa"/>
            <w:tcBorders>
              <w:top w:val="nil"/>
              <w:left w:val="nil"/>
              <w:bottom w:val="single" w:sz="4" w:space="0" w:color="auto"/>
              <w:right w:val="single" w:sz="8" w:space="0" w:color="auto"/>
            </w:tcBorders>
            <w:shd w:val="clear" w:color="000000" w:fill="FFFFFF"/>
            <w:vAlign w:val="center"/>
          </w:tcPr>
          <w:p w14:paraId="73B234F4"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r>
      <w:tr w:rsidR="00A01874" w:rsidRPr="00185785" w14:paraId="4EF9151D"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06820666" w14:textId="77777777" w:rsidR="00A01874" w:rsidRPr="00AE62AC" w:rsidRDefault="00A01874" w:rsidP="00A01874">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for IFM ASM Coverage</w:t>
            </w:r>
          </w:p>
        </w:tc>
        <w:tc>
          <w:tcPr>
            <w:tcW w:w="1188" w:type="dxa"/>
            <w:tcBorders>
              <w:top w:val="nil"/>
              <w:left w:val="nil"/>
              <w:bottom w:val="single" w:sz="4" w:space="0" w:color="auto"/>
              <w:right w:val="single" w:sz="4" w:space="0" w:color="auto"/>
            </w:tcBorders>
            <w:shd w:val="clear" w:color="000000" w:fill="FFFFFF"/>
            <w:vAlign w:val="bottom"/>
          </w:tcPr>
          <w:p w14:paraId="453C24C3"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170" w:type="dxa"/>
            <w:tcBorders>
              <w:top w:val="nil"/>
              <w:left w:val="nil"/>
              <w:bottom w:val="single" w:sz="4" w:space="0" w:color="auto"/>
              <w:right w:val="single" w:sz="4" w:space="0" w:color="auto"/>
            </w:tcBorders>
            <w:shd w:val="clear" w:color="000000" w:fill="FFFFFF"/>
            <w:vAlign w:val="bottom"/>
          </w:tcPr>
          <w:p w14:paraId="2F5B1F0A"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255" w:type="dxa"/>
            <w:tcBorders>
              <w:top w:val="nil"/>
              <w:left w:val="nil"/>
              <w:bottom w:val="single" w:sz="4" w:space="0" w:color="auto"/>
              <w:right w:val="single" w:sz="4" w:space="0" w:color="auto"/>
            </w:tcBorders>
            <w:shd w:val="clear" w:color="auto" w:fill="auto"/>
            <w:vAlign w:val="bottom"/>
          </w:tcPr>
          <w:p w14:paraId="55C28013"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798</w:t>
            </w:r>
          </w:p>
        </w:tc>
        <w:tc>
          <w:tcPr>
            <w:tcW w:w="1263" w:type="dxa"/>
            <w:tcBorders>
              <w:top w:val="nil"/>
              <w:left w:val="nil"/>
              <w:bottom w:val="single" w:sz="4" w:space="0" w:color="auto"/>
              <w:right w:val="single" w:sz="4" w:space="0" w:color="auto"/>
            </w:tcBorders>
            <w:shd w:val="clear" w:color="000000" w:fill="FFFFFF"/>
            <w:vAlign w:val="center"/>
          </w:tcPr>
          <w:p w14:paraId="21B830A5"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$710.00</w:t>
            </w:r>
          </w:p>
        </w:tc>
        <w:tc>
          <w:tcPr>
            <w:tcW w:w="1347" w:type="dxa"/>
            <w:tcBorders>
              <w:top w:val="nil"/>
              <w:left w:val="nil"/>
              <w:bottom w:val="single" w:sz="4" w:space="0" w:color="auto"/>
              <w:right w:val="single" w:sz="8" w:space="0" w:color="auto"/>
            </w:tcBorders>
            <w:shd w:val="clear" w:color="000000" w:fill="FFFFFF"/>
            <w:vAlign w:val="center"/>
          </w:tcPr>
          <w:p w14:paraId="322EF851"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$566,580</w:t>
            </w:r>
          </w:p>
        </w:tc>
      </w:tr>
      <w:tr w:rsidR="00A01874" w:rsidRPr="00185785" w14:paraId="21CF8E24"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44ABE3A2" w14:textId="77777777" w:rsidR="00A01874" w:rsidRPr="00AE62AC" w:rsidRDefault="00A01874" w:rsidP="00A01874">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(MWT vessels) for optional IFM observers to enter Groundfish Closed Area</w:t>
            </w:r>
          </w:p>
        </w:tc>
        <w:tc>
          <w:tcPr>
            <w:tcW w:w="1188" w:type="dxa"/>
            <w:tcBorders>
              <w:top w:val="nil"/>
              <w:left w:val="nil"/>
              <w:bottom w:val="single" w:sz="4" w:space="0" w:color="auto"/>
              <w:right w:val="single" w:sz="4" w:space="0" w:color="auto"/>
            </w:tcBorders>
            <w:shd w:val="clear" w:color="000000" w:fill="FFFFFF"/>
            <w:vAlign w:val="bottom"/>
          </w:tcPr>
          <w:p w14:paraId="11489F7C"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170" w:type="dxa"/>
            <w:tcBorders>
              <w:top w:val="nil"/>
              <w:left w:val="nil"/>
              <w:bottom w:val="single" w:sz="4" w:space="0" w:color="auto"/>
              <w:right w:val="single" w:sz="4" w:space="0" w:color="auto"/>
            </w:tcBorders>
            <w:shd w:val="clear" w:color="000000" w:fill="FFFFFF"/>
            <w:vAlign w:val="bottom"/>
          </w:tcPr>
          <w:p w14:paraId="2A1B2586"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255" w:type="dxa"/>
            <w:tcBorders>
              <w:top w:val="nil"/>
              <w:left w:val="nil"/>
              <w:bottom w:val="single" w:sz="4" w:space="0" w:color="auto"/>
              <w:right w:val="single" w:sz="4" w:space="0" w:color="auto"/>
            </w:tcBorders>
            <w:shd w:val="clear" w:color="auto" w:fill="auto"/>
            <w:vAlign w:val="bottom"/>
          </w:tcPr>
          <w:p w14:paraId="6E7B5879" w14:textId="77777777" w:rsidR="00A01874" w:rsidRPr="00CA2B37" w:rsidRDefault="00A01874"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w:t>
            </w:r>
          </w:p>
        </w:tc>
        <w:tc>
          <w:tcPr>
            <w:tcW w:w="1263" w:type="dxa"/>
            <w:tcBorders>
              <w:top w:val="nil"/>
              <w:left w:val="nil"/>
              <w:bottom w:val="single" w:sz="4" w:space="0" w:color="auto"/>
              <w:right w:val="single" w:sz="4" w:space="0" w:color="auto"/>
            </w:tcBorders>
            <w:shd w:val="clear" w:color="000000" w:fill="FFFFFF"/>
            <w:vAlign w:val="center"/>
          </w:tcPr>
          <w:p w14:paraId="0CFE0F26"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$818.00</w:t>
            </w:r>
          </w:p>
        </w:tc>
        <w:tc>
          <w:tcPr>
            <w:tcW w:w="1347" w:type="dxa"/>
            <w:tcBorders>
              <w:top w:val="nil"/>
              <w:left w:val="nil"/>
              <w:bottom w:val="single" w:sz="4" w:space="0" w:color="auto"/>
              <w:right w:val="single" w:sz="8" w:space="0" w:color="auto"/>
            </w:tcBorders>
            <w:shd w:val="clear" w:color="000000" w:fill="FFFFFF"/>
            <w:vAlign w:val="center"/>
          </w:tcPr>
          <w:p w14:paraId="0997DB95" w14:textId="77777777" w:rsidR="00A01874" w:rsidRPr="00185785" w:rsidRDefault="00606BDF" w:rsidP="00A018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$206,136</w:t>
            </w:r>
          </w:p>
        </w:tc>
      </w:tr>
      <w:tr w:rsidR="00527CC1" w:rsidRPr="00185785" w14:paraId="2E08E8AF" w14:textId="77777777" w:rsidTr="00C90E2C">
        <w:trPr>
          <w:trHeight w:val="215"/>
        </w:trPr>
        <w:tc>
          <w:tcPr>
            <w:tcW w:w="3757" w:type="dxa"/>
            <w:tcBorders>
              <w:top w:val="nil"/>
              <w:left w:val="single" w:sz="4" w:space="0" w:color="auto"/>
              <w:bottom w:val="single" w:sz="4" w:space="0" w:color="auto"/>
              <w:right w:val="single" w:sz="4" w:space="0" w:color="auto"/>
            </w:tcBorders>
            <w:shd w:val="clear" w:color="auto" w:fill="FFF2CC" w:themeFill="accent4" w:themeFillTint="33"/>
            <w:vAlign w:val="bottom"/>
          </w:tcPr>
          <w:p w14:paraId="328CB898" w14:textId="77777777" w:rsidR="00527CC1" w:rsidRPr="00C630D6" w:rsidRDefault="00527CC1" w:rsidP="00527CC1">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Monitor Provider Requirements</w:t>
            </w:r>
          </w:p>
        </w:tc>
        <w:tc>
          <w:tcPr>
            <w:tcW w:w="1188" w:type="dxa"/>
            <w:tcBorders>
              <w:top w:val="nil"/>
              <w:left w:val="nil"/>
              <w:bottom w:val="single" w:sz="4" w:space="0" w:color="auto"/>
              <w:right w:val="single" w:sz="4" w:space="0" w:color="auto"/>
            </w:tcBorders>
            <w:shd w:val="clear" w:color="auto" w:fill="FFF2CC" w:themeFill="accent4" w:themeFillTint="33"/>
            <w:vAlign w:val="center"/>
          </w:tcPr>
          <w:p w14:paraId="5B927DED" w14:textId="77777777" w:rsidR="00527CC1" w:rsidRPr="00185785" w:rsidRDefault="00527CC1" w:rsidP="00527CC1">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FFF2CC" w:themeFill="accent4" w:themeFillTint="33"/>
            <w:vAlign w:val="center"/>
          </w:tcPr>
          <w:p w14:paraId="1DF5DDB8" w14:textId="77777777" w:rsidR="00527CC1" w:rsidRPr="00185785" w:rsidRDefault="00527CC1" w:rsidP="00527CC1">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FFF2CC" w:themeFill="accent4" w:themeFillTint="33"/>
            <w:vAlign w:val="center"/>
          </w:tcPr>
          <w:p w14:paraId="7C478F8A" w14:textId="77777777" w:rsidR="00527CC1" w:rsidRPr="00185785" w:rsidRDefault="00527CC1" w:rsidP="00527CC1">
            <w:pPr>
              <w:widowControl/>
              <w:autoSpaceDE/>
              <w:autoSpaceDN/>
              <w:adjustRightInd/>
              <w:jc w:val="right"/>
              <w:rPr>
                <w:rFonts w:ascii="Calibri" w:hAnsi="Calibri" w:cs="Calibri"/>
                <w:color w:val="000000"/>
                <w:sz w:val="16"/>
                <w:szCs w:val="16"/>
              </w:rPr>
            </w:pPr>
          </w:p>
        </w:tc>
        <w:tc>
          <w:tcPr>
            <w:tcW w:w="1263" w:type="dxa"/>
            <w:tcBorders>
              <w:top w:val="nil"/>
              <w:left w:val="nil"/>
              <w:bottom w:val="single" w:sz="4" w:space="0" w:color="auto"/>
              <w:right w:val="single" w:sz="4" w:space="0" w:color="auto"/>
            </w:tcBorders>
            <w:shd w:val="clear" w:color="auto" w:fill="FFF2CC" w:themeFill="accent4" w:themeFillTint="33"/>
            <w:vAlign w:val="center"/>
          </w:tcPr>
          <w:p w14:paraId="605AAE12" w14:textId="77777777" w:rsidR="00527CC1" w:rsidRPr="00185785" w:rsidRDefault="00527CC1" w:rsidP="00527CC1">
            <w:pPr>
              <w:widowControl/>
              <w:autoSpaceDE/>
              <w:autoSpaceDN/>
              <w:adjustRightInd/>
              <w:jc w:val="right"/>
              <w:rPr>
                <w:rFonts w:ascii="Calibri" w:hAnsi="Calibri" w:cs="Calibri"/>
                <w:color w:val="000000"/>
                <w:sz w:val="16"/>
                <w:szCs w:val="16"/>
              </w:rPr>
            </w:pPr>
          </w:p>
        </w:tc>
        <w:tc>
          <w:tcPr>
            <w:tcW w:w="1347" w:type="dxa"/>
            <w:tcBorders>
              <w:top w:val="nil"/>
              <w:left w:val="nil"/>
              <w:bottom w:val="single" w:sz="4" w:space="0" w:color="auto"/>
              <w:right w:val="single" w:sz="8" w:space="0" w:color="auto"/>
            </w:tcBorders>
            <w:shd w:val="clear" w:color="auto" w:fill="FFF2CC" w:themeFill="accent4" w:themeFillTint="33"/>
            <w:vAlign w:val="center"/>
          </w:tcPr>
          <w:p w14:paraId="11D4DC02" w14:textId="77777777" w:rsidR="00527CC1" w:rsidRPr="00185785" w:rsidRDefault="00527CC1" w:rsidP="00527CC1">
            <w:pPr>
              <w:widowControl/>
              <w:autoSpaceDE/>
              <w:autoSpaceDN/>
              <w:adjustRightInd/>
              <w:jc w:val="right"/>
              <w:rPr>
                <w:rFonts w:ascii="Calibri" w:hAnsi="Calibri" w:cs="Calibri"/>
                <w:color w:val="000000"/>
                <w:sz w:val="16"/>
                <w:szCs w:val="16"/>
              </w:rPr>
            </w:pPr>
          </w:p>
        </w:tc>
      </w:tr>
      <w:tr w:rsidR="00275D80" w:rsidRPr="00185785" w14:paraId="07AEDA70"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26D33EA5"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deployment report</w:t>
            </w:r>
          </w:p>
        </w:tc>
        <w:tc>
          <w:tcPr>
            <w:tcW w:w="1188" w:type="dxa"/>
            <w:tcBorders>
              <w:top w:val="nil"/>
              <w:left w:val="nil"/>
              <w:bottom w:val="single" w:sz="4" w:space="0" w:color="auto"/>
              <w:right w:val="single" w:sz="4" w:space="0" w:color="auto"/>
            </w:tcBorders>
            <w:shd w:val="clear" w:color="000000" w:fill="FFFFFF"/>
            <w:vAlign w:val="bottom"/>
          </w:tcPr>
          <w:p w14:paraId="1116F4D8"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38BBBF16"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w:t>
            </w:r>
          </w:p>
        </w:tc>
        <w:tc>
          <w:tcPr>
            <w:tcW w:w="1255" w:type="dxa"/>
            <w:tcBorders>
              <w:top w:val="nil"/>
              <w:left w:val="nil"/>
              <w:bottom w:val="single" w:sz="4" w:space="0" w:color="auto"/>
              <w:right w:val="single" w:sz="4" w:space="0" w:color="auto"/>
            </w:tcBorders>
            <w:shd w:val="clear" w:color="000000" w:fill="FFFFFF"/>
            <w:vAlign w:val="bottom"/>
          </w:tcPr>
          <w:p w14:paraId="159E86D0"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263" w:type="dxa"/>
            <w:tcBorders>
              <w:top w:val="nil"/>
              <w:left w:val="nil"/>
              <w:bottom w:val="single" w:sz="4" w:space="0" w:color="auto"/>
              <w:right w:val="single" w:sz="4" w:space="0" w:color="auto"/>
            </w:tcBorders>
            <w:shd w:val="clear" w:color="000000" w:fill="FFFFFF"/>
            <w:vAlign w:val="center"/>
          </w:tcPr>
          <w:p w14:paraId="7DA6888A"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78D11210"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75D80" w:rsidRPr="00185785" w14:paraId="26CD5009"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59FEC072"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ASM availability report</w:t>
            </w:r>
          </w:p>
        </w:tc>
        <w:tc>
          <w:tcPr>
            <w:tcW w:w="1188" w:type="dxa"/>
            <w:tcBorders>
              <w:top w:val="nil"/>
              <w:left w:val="nil"/>
              <w:bottom w:val="single" w:sz="4" w:space="0" w:color="auto"/>
              <w:right w:val="single" w:sz="4" w:space="0" w:color="auto"/>
            </w:tcBorders>
            <w:shd w:val="clear" w:color="000000" w:fill="FFFFFF"/>
            <w:vAlign w:val="bottom"/>
          </w:tcPr>
          <w:p w14:paraId="1D29B360"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63D33B2C"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p>
        </w:tc>
        <w:tc>
          <w:tcPr>
            <w:tcW w:w="1255" w:type="dxa"/>
            <w:tcBorders>
              <w:top w:val="nil"/>
              <w:left w:val="nil"/>
              <w:bottom w:val="single" w:sz="4" w:space="0" w:color="auto"/>
              <w:right w:val="single" w:sz="4" w:space="0" w:color="auto"/>
            </w:tcBorders>
            <w:shd w:val="clear" w:color="000000" w:fill="FFFFFF"/>
            <w:vAlign w:val="bottom"/>
          </w:tcPr>
          <w:p w14:paraId="3991E3E5"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216</w:t>
            </w:r>
          </w:p>
        </w:tc>
        <w:tc>
          <w:tcPr>
            <w:tcW w:w="1263" w:type="dxa"/>
            <w:tcBorders>
              <w:top w:val="nil"/>
              <w:left w:val="nil"/>
              <w:bottom w:val="single" w:sz="4" w:space="0" w:color="auto"/>
              <w:right w:val="single" w:sz="4" w:space="0" w:color="auto"/>
            </w:tcBorders>
            <w:shd w:val="clear" w:color="000000" w:fill="FFFFFF"/>
            <w:vAlign w:val="center"/>
          </w:tcPr>
          <w:p w14:paraId="2CE0AB06"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420DCF0F"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75D80" w:rsidRPr="00185785" w14:paraId="79A87585" w14:textId="77777777" w:rsidTr="00C90E2C">
        <w:trPr>
          <w:trHeight w:val="170"/>
        </w:trPr>
        <w:tc>
          <w:tcPr>
            <w:tcW w:w="3757" w:type="dxa"/>
            <w:tcBorders>
              <w:top w:val="nil"/>
              <w:left w:val="single" w:sz="4" w:space="0" w:color="auto"/>
              <w:bottom w:val="single" w:sz="4" w:space="0" w:color="auto"/>
              <w:right w:val="single" w:sz="4" w:space="0" w:color="auto"/>
            </w:tcBorders>
            <w:shd w:val="clear" w:color="auto" w:fill="auto"/>
            <w:vAlign w:val="center"/>
          </w:tcPr>
          <w:p w14:paraId="2D843E17"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Safety refusals</w:t>
            </w:r>
          </w:p>
        </w:tc>
        <w:tc>
          <w:tcPr>
            <w:tcW w:w="1188" w:type="dxa"/>
            <w:tcBorders>
              <w:top w:val="nil"/>
              <w:left w:val="nil"/>
              <w:bottom w:val="single" w:sz="4" w:space="0" w:color="auto"/>
              <w:right w:val="single" w:sz="4" w:space="0" w:color="auto"/>
            </w:tcBorders>
            <w:shd w:val="clear" w:color="000000" w:fill="FFFFFF"/>
            <w:vAlign w:val="bottom"/>
          </w:tcPr>
          <w:p w14:paraId="454EC382"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79AF332E"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55" w:type="dxa"/>
            <w:tcBorders>
              <w:top w:val="nil"/>
              <w:left w:val="nil"/>
              <w:bottom w:val="single" w:sz="4" w:space="0" w:color="auto"/>
              <w:right w:val="single" w:sz="4" w:space="0" w:color="auto"/>
            </w:tcBorders>
            <w:shd w:val="clear" w:color="000000" w:fill="FFFFFF"/>
            <w:vAlign w:val="bottom"/>
          </w:tcPr>
          <w:p w14:paraId="514B6D90"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263" w:type="dxa"/>
            <w:tcBorders>
              <w:top w:val="nil"/>
              <w:left w:val="nil"/>
              <w:bottom w:val="single" w:sz="4" w:space="0" w:color="auto"/>
              <w:right w:val="single" w:sz="4" w:space="0" w:color="auto"/>
            </w:tcBorders>
            <w:shd w:val="clear" w:color="000000" w:fill="FFFFFF"/>
            <w:vAlign w:val="center"/>
          </w:tcPr>
          <w:p w14:paraId="55B6FEE9"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685E0310"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75D80" w:rsidRPr="00185785" w14:paraId="3803A450" w14:textId="77777777" w:rsidTr="00C90E2C">
        <w:trPr>
          <w:trHeight w:val="233"/>
        </w:trPr>
        <w:tc>
          <w:tcPr>
            <w:tcW w:w="3757" w:type="dxa"/>
            <w:tcBorders>
              <w:top w:val="nil"/>
              <w:left w:val="single" w:sz="4" w:space="0" w:color="auto"/>
              <w:bottom w:val="single" w:sz="4" w:space="0" w:color="auto"/>
              <w:right w:val="single" w:sz="4" w:space="0" w:color="auto"/>
            </w:tcBorders>
            <w:shd w:val="clear" w:color="auto" w:fill="auto"/>
            <w:vAlign w:val="center"/>
          </w:tcPr>
          <w:p w14:paraId="4EB1610F"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Raw monitor data</w:t>
            </w:r>
          </w:p>
        </w:tc>
        <w:tc>
          <w:tcPr>
            <w:tcW w:w="1188" w:type="dxa"/>
            <w:tcBorders>
              <w:top w:val="nil"/>
              <w:left w:val="nil"/>
              <w:bottom w:val="single" w:sz="4" w:space="0" w:color="auto"/>
              <w:right w:val="single" w:sz="4" w:space="0" w:color="auto"/>
            </w:tcBorders>
            <w:shd w:val="clear" w:color="000000" w:fill="FFFFFF"/>
            <w:vAlign w:val="bottom"/>
          </w:tcPr>
          <w:p w14:paraId="05E54C1A"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48A53825"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w:t>
            </w:r>
          </w:p>
        </w:tc>
        <w:tc>
          <w:tcPr>
            <w:tcW w:w="1255" w:type="dxa"/>
            <w:tcBorders>
              <w:top w:val="nil"/>
              <w:left w:val="nil"/>
              <w:bottom w:val="single" w:sz="4" w:space="0" w:color="auto"/>
              <w:right w:val="single" w:sz="4" w:space="0" w:color="auto"/>
            </w:tcBorders>
            <w:shd w:val="clear" w:color="000000" w:fill="FFFFFF"/>
            <w:vAlign w:val="bottom"/>
          </w:tcPr>
          <w:p w14:paraId="0567ADD9"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263" w:type="dxa"/>
            <w:tcBorders>
              <w:top w:val="nil"/>
              <w:left w:val="nil"/>
              <w:bottom w:val="single" w:sz="4" w:space="0" w:color="auto"/>
              <w:right w:val="single" w:sz="4" w:space="0" w:color="auto"/>
            </w:tcBorders>
            <w:shd w:val="clear" w:color="000000" w:fill="FFFFFF"/>
            <w:vAlign w:val="center"/>
          </w:tcPr>
          <w:p w14:paraId="75851F77"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$23.75</w:t>
            </w:r>
          </w:p>
        </w:tc>
        <w:tc>
          <w:tcPr>
            <w:tcW w:w="1347" w:type="dxa"/>
            <w:tcBorders>
              <w:top w:val="nil"/>
              <w:left w:val="nil"/>
              <w:bottom w:val="single" w:sz="4" w:space="0" w:color="auto"/>
              <w:right w:val="single" w:sz="8" w:space="0" w:color="auto"/>
            </w:tcBorders>
            <w:shd w:val="clear" w:color="000000" w:fill="FFFFFF"/>
            <w:vAlign w:val="center"/>
          </w:tcPr>
          <w:p w14:paraId="0F151CEF"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$10,545</w:t>
            </w:r>
          </w:p>
        </w:tc>
      </w:tr>
      <w:tr w:rsidR="00275D80" w:rsidRPr="00185785" w14:paraId="2DFA2A8C"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7EC36055"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debriefing</w:t>
            </w:r>
          </w:p>
        </w:tc>
        <w:tc>
          <w:tcPr>
            <w:tcW w:w="1188" w:type="dxa"/>
            <w:tcBorders>
              <w:top w:val="nil"/>
              <w:left w:val="nil"/>
              <w:bottom w:val="single" w:sz="4" w:space="0" w:color="auto"/>
              <w:right w:val="single" w:sz="4" w:space="0" w:color="auto"/>
            </w:tcBorders>
            <w:shd w:val="clear" w:color="000000" w:fill="FFFFFF"/>
            <w:vAlign w:val="bottom"/>
          </w:tcPr>
          <w:p w14:paraId="2853A3D4"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2BC0B4BD"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w:t>
            </w:r>
          </w:p>
        </w:tc>
        <w:tc>
          <w:tcPr>
            <w:tcW w:w="1255" w:type="dxa"/>
            <w:tcBorders>
              <w:top w:val="nil"/>
              <w:left w:val="nil"/>
              <w:bottom w:val="single" w:sz="4" w:space="0" w:color="auto"/>
              <w:right w:val="single" w:sz="4" w:space="0" w:color="auto"/>
            </w:tcBorders>
            <w:shd w:val="clear" w:color="000000" w:fill="FFFFFF"/>
            <w:vAlign w:val="bottom"/>
          </w:tcPr>
          <w:p w14:paraId="1AE27D65"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124</w:t>
            </w:r>
          </w:p>
        </w:tc>
        <w:tc>
          <w:tcPr>
            <w:tcW w:w="1263" w:type="dxa"/>
            <w:tcBorders>
              <w:top w:val="nil"/>
              <w:left w:val="nil"/>
              <w:bottom w:val="single" w:sz="4" w:space="0" w:color="auto"/>
              <w:right w:val="single" w:sz="4" w:space="0" w:color="auto"/>
            </w:tcBorders>
            <w:shd w:val="clear" w:color="000000" w:fill="FFFFFF"/>
            <w:vAlign w:val="center"/>
          </w:tcPr>
          <w:p w14:paraId="7DF15125"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$12.00</w:t>
            </w:r>
          </w:p>
        </w:tc>
        <w:tc>
          <w:tcPr>
            <w:tcW w:w="1347" w:type="dxa"/>
            <w:tcBorders>
              <w:top w:val="nil"/>
              <w:left w:val="nil"/>
              <w:bottom w:val="single" w:sz="4" w:space="0" w:color="auto"/>
              <w:right w:val="single" w:sz="8" w:space="0" w:color="auto"/>
            </w:tcBorders>
            <w:shd w:val="clear" w:color="000000" w:fill="FFFFFF"/>
            <w:vAlign w:val="center"/>
          </w:tcPr>
          <w:p w14:paraId="2DC30742"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$1,488</w:t>
            </w:r>
          </w:p>
        </w:tc>
      </w:tr>
      <w:tr w:rsidR="00275D80" w:rsidRPr="00185785" w14:paraId="4F54AF10"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713EFFD8"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Other reports</w:t>
            </w:r>
          </w:p>
        </w:tc>
        <w:tc>
          <w:tcPr>
            <w:tcW w:w="1188" w:type="dxa"/>
            <w:tcBorders>
              <w:top w:val="nil"/>
              <w:left w:val="nil"/>
              <w:bottom w:val="single" w:sz="4" w:space="0" w:color="auto"/>
              <w:right w:val="single" w:sz="4" w:space="0" w:color="auto"/>
            </w:tcBorders>
            <w:shd w:val="clear" w:color="000000" w:fill="FFFFFF"/>
            <w:vAlign w:val="bottom"/>
          </w:tcPr>
          <w:p w14:paraId="18E9EA25"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60C85DD6"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w:t>
            </w:r>
          </w:p>
        </w:tc>
        <w:tc>
          <w:tcPr>
            <w:tcW w:w="1255" w:type="dxa"/>
            <w:tcBorders>
              <w:top w:val="nil"/>
              <w:left w:val="nil"/>
              <w:bottom w:val="single" w:sz="4" w:space="0" w:color="auto"/>
              <w:right w:val="single" w:sz="4" w:space="0" w:color="auto"/>
            </w:tcBorders>
            <w:shd w:val="clear" w:color="000000" w:fill="FFFFFF"/>
            <w:vAlign w:val="bottom"/>
          </w:tcPr>
          <w:p w14:paraId="01C4D721"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68</w:t>
            </w:r>
          </w:p>
        </w:tc>
        <w:tc>
          <w:tcPr>
            <w:tcW w:w="1263" w:type="dxa"/>
            <w:tcBorders>
              <w:top w:val="nil"/>
              <w:left w:val="nil"/>
              <w:bottom w:val="single" w:sz="4" w:space="0" w:color="auto"/>
              <w:right w:val="single" w:sz="4" w:space="0" w:color="auto"/>
            </w:tcBorders>
            <w:shd w:val="clear" w:color="000000" w:fill="FFFFFF"/>
            <w:vAlign w:val="center"/>
          </w:tcPr>
          <w:p w14:paraId="777DAE2E"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2B900676" w14:textId="77777777" w:rsidR="00275D80" w:rsidRPr="00185785" w:rsidRDefault="00D454B7"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275D80" w:rsidRPr="00185785" w14:paraId="7629D655"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7ECCDC9D"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Biological samples</w:t>
            </w:r>
          </w:p>
        </w:tc>
        <w:tc>
          <w:tcPr>
            <w:tcW w:w="1188" w:type="dxa"/>
            <w:tcBorders>
              <w:top w:val="nil"/>
              <w:left w:val="nil"/>
              <w:bottom w:val="single" w:sz="4" w:space="0" w:color="auto"/>
              <w:right w:val="single" w:sz="4" w:space="0" w:color="auto"/>
            </w:tcBorders>
            <w:shd w:val="clear" w:color="000000" w:fill="FFFFFF"/>
            <w:vAlign w:val="bottom"/>
          </w:tcPr>
          <w:p w14:paraId="14387124"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54594087"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129</w:t>
            </w:r>
          </w:p>
        </w:tc>
        <w:tc>
          <w:tcPr>
            <w:tcW w:w="1255" w:type="dxa"/>
            <w:tcBorders>
              <w:top w:val="nil"/>
              <w:left w:val="nil"/>
              <w:bottom w:val="single" w:sz="4" w:space="0" w:color="auto"/>
              <w:right w:val="single" w:sz="4" w:space="0" w:color="auto"/>
            </w:tcBorders>
            <w:shd w:val="clear" w:color="000000" w:fill="FFFFFF"/>
            <w:vAlign w:val="bottom"/>
          </w:tcPr>
          <w:p w14:paraId="7F0D5BB2"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516</w:t>
            </w:r>
          </w:p>
        </w:tc>
        <w:tc>
          <w:tcPr>
            <w:tcW w:w="1263" w:type="dxa"/>
            <w:tcBorders>
              <w:top w:val="nil"/>
              <w:left w:val="nil"/>
              <w:bottom w:val="single" w:sz="4" w:space="0" w:color="auto"/>
              <w:right w:val="single" w:sz="4" w:space="0" w:color="auto"/>
            </w:tcBorders>
            <w:shd w:val="clear" w:color="000000" w:fill="FFFFFF"/>
            <w:vAlign w:val="center"/>
          </w:tcPr>
          <w:p w14:paraId="3E83C801"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$0.50</w:t>
            </w:r>
          </w:p>
        </w:tc>
        <w:tc>
          <w:tcPr>
            <w:tcW w:w="1347" w:type="dxa"/>
            <w:tcBorders>
              <w:top w:val="nil"/>
              <w:left w:val="nil"/>
              <w:bottom w:val="single" w:sz="4" w:space="0" w:color="auto"/>
              <w:right w:val="single" w:sz="8" w:space="0" w:color="auto"/>
            </w:tcBorders>
            <w:shd w:val="clear" w:color="000000" w:fill="FFFFFF"/>
            <w:vAlign w:val="center"/>
          </w:tcPr>
          <w:p w14:paraId="609CB071"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$258</w:t>
            </w:r>
          </w:p>
        </w:tc>
      </w:tr>
      <w:tr w:rsidR="00275D80" w:rsidRPr="00185785" w14:paraId="64E16DCB"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3E1081AD" w14:textId="77777777" w:rsidR="00275D80" w:rsidRPr="00AE62AC" w:rsidRDefault="00275D80" w:rsidP="00275D80">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New application to be a service provider</w:t>
            </w:r>
          </w:p>
        </w:tc>
        <w:tc>
          <w:tcPr>
            <w:tcW w:w="1188" w:type="dxa"/>
            <w:tcBorders>
              <w:top w:val="nil"/>
              <w:left w:val="nil"/>
              <w:bottom w:val="single" w:sz="4" w:space="0" w:color="auto"/>
              <w:right w:val="single" w:sz="4" w:space="0" w:color="auto"/>
            </w:tcBorders>
            <w:shd w:val="clear" w:color="000000" w:fill="FFFFFF"/>
            <w:vAlign w:val="bottom"/>
          </w:tcPr>
          <w:p w14:paraId="1A4B9AFF"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6185F79C"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000000" w:fill="FFFFFF"/>
            <w:vAlign w:val="bottom"/>
          </w:tcPr>
          <w:p w14:paraId="6B7906BE" w14:textId="77777777" w:rsidR="00275D80" w:rsidRPr="00CA2B37" w:rsidRDefault="00275D80"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sz="4" w:space="0" w:color="auto"/>
              <w:right w:val="single" w:sz="4" w:space="0" w:color="auto"/>
            </w:tcBorders>
            <w:shd w:val="clear" w:color="000000" w:fill="FFFFFF"/>
            <w:vAlign w:val="center"/>
          </w:tcPr>
          <w:p w14:paraId="1D049685"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sz="4" w:space="0" w:color="auto"/>
              <w:right w:val="single" w:sz="8" w:space="0" w:color="auto"/>
            </w:tcBorders>
            <w:shd w:val="clear" w:color="000000" w:fill="FFFFFF"/>
            <w:vAlign w:val="center"/>
          </w:tcPr>
          <w:p w14:paraId="540F2A95" w14:textId="77777777" w:rsidR="00275D80" w:rsidRPr="00185785" w:rsidRDefault="006601DF" w:rsidP="00275D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r>
      <w:tr w:rsidR="006601DF" w:rsidRPr="00185785" w14:paraId="41C221C3"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373DF284" w14:textId="77777777" w:rsidR="006601DF" w:rsidRPr="00AE62AC" w:rsidRDefault="006601DF" w:rsidP="006601DF">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Applicant response to denial</w:t>
            </w:r>
          </w:p>
        </w:tc>
        <w:tc>
          <w:tcPr>
            <w:tcW w:w="1188" w:type="dxa"/>
            <w:tcBorders>
              <w:top w:val="nil"/>
              <w:left w:val="nil"/>
              <w:bottom w:val="single" w:sz="4" w:space="0" w:color="auto"/>
              <w:right w:val="single" w:sz="4" w:space="0" w:color="auto"/>
            </w:tcBorders>
            <w:shd w:val="clear" w:color="000000" w:fill="FFFFFF"/>
            <w:vAlign w:val="bottom"/>
          </w:tcPr>
          <w:p w14:paraId="5E8D8FC3"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bottom"/>
          </w:tcPr>
          <w:p w14:paraId="77D11590"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000000" w:fill="FFFFFF"/>
            <w:vAlign w:val="bottom"/>
          </w:tcPr>
          <w:p w14:paraId="2B351A78"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14:paraId="2F452976"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sz="4" w:space="0" w:color="auto"/>
              <w:right w:val="single" w:sz="8" w:space="0" w:color="auto"/>
            </w:tcBorders>
            <w:shd w:val="clear" w:color="000000" w:fill="FFFFFF"/>
            <w:vAlign w:val="center"/>
          </w:tcPr>
          <w:p w14:paraId="0B5472BB"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r>
      <w:tr w:rsidR="006601DF" w:rsidRPr="00185785" w14:paraId="39F19FB6"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4F9607A9" w14:textId="77777777" w:rsidR="006601DF" w:rsidRPr="00AE62AC" w:rsidRDefault="006601DF" w:rsidP="006601DF">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for monitor training</w:t>
            </w:r>
          </w:p>
        </w:tc>
        <w:tc>
          <w:tcPr>
            <w:tcW w:w="1188" w:type="dxa"/>
            <w:tcBorders>
              <w:top w:val="nil"/>
              <w:left w:val="nil"/>
              <w:bottom w:val="single" w:sz="4" w:space="0" w:color="auto"/>
              <w:right w:val="single" w:sz="4" w:space="0" w:color="auto"/>
            </w:tcBorders>
            <w:shd w:val="clear" w:color="000000" w:fill="FFFFFF"/>
            <w:vAlign w:val="bottom"/>
          </w:tcPr>
          <w:p w14:paraId="49B0C5B8"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1D9E1031"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55" w:type="dxa"/>
            <w:tcBorders>
              <w:top w:val="nil"/>
              <w:left w:val="nil"/>
              <w:bottom w:val="single" w:sz="4" w:space="0" w:color="auto"/>
              <w:right w:val="single" w:sz="4" w:space="0" w:color="auto"/>
            </w:tcBorders>
            <w:shd w:val="clear" w:color="000000" w:fill="FFFFFF"/>
            <w:vAlign w:val="bottom"/>
          </w:tcPr>
          <w:p w14:paraId="53DFF44D"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263" w:type="dxa"/>
            <w:tcBorders>
              <w:top w:val="nil"/>
              <w:left w:val="nil"/>
              <w:bottom w:val="single" w:sz="4" w:space="0" w:color="auto"/>
              <w:right w:val="single" w:sz="4" w:space="0" w:color="auto"/>
            </w:tcBorders>
            <w:shd w:val="clear" w:color="000000" w:fill="FFFFFF"/>
            <w:vAlign w:val="center"/>
          </w:tcPr>
          <w:p w14:paraId="51AC1945"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$1.80</w:t>
            </w:r>
          </w:p>
        </w:tc>
        <w:tc>
          <w:tcPr>
            <w:tcW w:w="1347" w:type="dxa"/>
            <w:tcBorders>
              <w:top w:val="nil"/>
              <w:left w:val="nil"/>
              <w:bottom w:val="single" w:sz="4" w:space="0" w:color="auto"/>
              <w:right w:val="single" w:sz="8" w:space="0" w:color="auto"/>
            </w:tcBorders>
            <w:shd w:val="clear" w:color="000000" w:fill="FFFFFF"/>
            <w:vAlign w:val="center"/>
          </w:tcPr>
          <w:p w14:paraId="52524A1A"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r>
      <w:tr w:rsidR="006601DF" w:rsidRPr="00185785" w14:paraId="5C0B1036"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0588E1E9" w14:textId="77777777" w:rsidR="006601DF" w:rsidRPr="00AE62AC" w:rsidRDefault="006601DF" w:rsidP="006601DF">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Rebuttal of pending removal from list of approved monitor providers</w:t>
            </w:r>
          </w:p>
        </w:tc>
        <w:tc>
          <w:tcPr>
            <w:tcW w:w="1188" w:type="dxa"/>
            <w:tcBorders>
              <w:top w:val="nil"/>
              <w:left w:val="nil"/>
              <w:bottom w:val="single" w:sz="4" w:space="0" w:color="auto"/>
              <w:right w:val="single" w:sz="4" w:space="0" w:color="auto"/>
            </w:tcBorders>
            <w:shd w:val="clear" w:color="000000" w:fill="FFFFFF"/>
            <w:vAlign w:val="bottom"/>
          </w:tcPr>
          <w:p w14:paraId="6F4F647C"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000000" w:fill="FFFFFF"/>
            <w:vAlign w:val="bottom"/>
          </w:tcPr>
          <w:p w14:paraId="53CED5C4"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5" w:type="dxa"/>
            <w:tcBorders>
              <w:top w:val="nil"/>
              <w:left w:val="nil"/>
              <w:bottom w:val="single" w:sz="4" w:space="0" w:color="auto"/>
              <w:right w:val="single" w:sz="4" w:space="0" w:color="auto"/>
            </w:tcBorders>
            <w:shd w:val="clear" w:color="000000" w:fill="FFFFFF"/>
            <w:vAlign w:val="bottom"/>
          </w:tcPr>
          <w:p w14:paraId="40EBAF9F"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sz="4" w:space="0" w:color="auto"/>
              <w:right w:val="single" w:sz="4" w:space="0" w:color="auto"/>
            </w:tcBorders>
            <w:shd w:val="clear" w:color="000000" w:fill="FFFFFF"/>
            <w:vAlign w:val="center"/>
          </w:tcPr>
          <w:p w14:paraId="2CBD446C"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sz="4" w:space="0" w:color="auto"/>
              <w:right w:val="single" w:sz="8" w:space="0" w:color="auto"/>
            </w:tcBorders>
            <w:shd w:val="clear" w:color="000000" w:fill="FFFFFF"/>
            <w:vAlign w:val="center"/>
          </w:tcPr>
          <w:p w14:paraId="73F6BF05"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r>
      <w:tr w:rsidR="006601DF" w:rsidRPr="00185785" w14:paraId="11165C53"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2F79C8F3" w14:textId="77777777" w:rsidR="006601DF" w:rsidRPr="00AE62AC" w:rsidRDefault="006601DF" w:rsidP="006601DF">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to monitor service provider to procure an ASM</w:t>
            </w:r>
          </w:p>
        </w:tc>
        <w:tc>
          <w:tcPr>
            <w:tcW w:w="1188" w:type="dxa"/>
            <w:tcBorders>
              <w:top w:val="nil"/>
              <w:left w:val="nil"/>
              <w:bottom w:val="single" w:sz="4" w:space="0" w:color="auto"/>
              <w:right w:val="single" w:sz="4" w:space="0" w:color="auto"/>
            </w:tcBorders>
            <w:shd w:val="clear" w:color="000000" w:fill="FFFFFF"/>
            <w:vAlign w:val="bottom"/>
          </w:tcPr>
          <w:p w14:paraId="6E1EEA3E"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w:t>
            </w:r>
          </w:p>
        </w:tc>
        <w:tc>
          <w:tcPr>
            <w:tcW w:w="1170" w:type="dxa"/>
            <w:tcBorders>
              <w:top w:val="nil"/>
              <w:left w:val="nil"/>
              <w:bottom w:val="single" w:sz="4" w:space="0" w:color="auto"/>
              <w:right w:val="single" w:sz="4" w:space="0" w:color="auto"/>
            </w:tcBorders>
            <w:shd w:val="clear" w:color="000000" w:fill="FFFFFF"/>
            <w:vAlign w:val="bottom"/>
          </w:tcPr>
          <w:p w14:paraId="330D2FCE"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000000" w:fill="FFFFFF"/>
            <w:vAlign w:val="bottom"/>
          </w:tcPr>
          <w:p w14:paraId="1BEFBF3D"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263" w:type="dxa"/>
            <w:tcBorders>
              <w:top w:val="nil"/>
              <w:left w:val="nil"/>
              <w:bottom w:val="single" w:sz="4" w:space="0" w:color="auto"/>
              <w:right w:val="single" w:sz="4" w:space="0" w:color="auto"/>
            </w:tcBorders>
            <w:shd w:val="clear" w:color="000000" w:fill="FFFFFF"/>
            <w:vAlign w:val="center"/>
          </w:tcPr>
          <w:p w14:paraId="578852FD"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23E486DC"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6601DF" w:rsidRPr="00185785" w14:paraId="1EBF54C7" w14:textId="77777777" w:rsidTr="00C90E2C">
        <w:trPr>
          <w:trHeight w:val="278"/>
        </w:trPr>
        <w:tc>
          <w:tcPr>
            <w:tcW w:w="3757" w:type="dxa"/>
            <w:tcBorders>
              <w:top w:val="nil"/>
              <w:left w:val="single" w:sz="4" w:space="0" w:color="auto"/>
              <w:bottom w:val="single" w:sz="4" w:space="0" w:color="auto"/>
              <w:right w:val="single" w:sz="4" w:space="0" w:color="auto"/>
            </w:tcBorders>
            <w:shd w:val="clear" w:color="auto" w:fill="auto"/>
            <w:vAlign w:val="center"/>
          </w:tcPr>
          <w:p w14:paraId="21E08AAF" w14:textId="77777777" w:rsidR="006601DF" w:rsidRPr="00AE62AC" w:rsidRDefault="006601DF" w:rsidP="006601DF">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Notification of unavailability of ASMs</w:t>
            </w:r>
          </w:p>
        </w:tc>
        <w:tc>
          <w:tcPr>
            <w:tcW w:w="1188" w:type="dxa"/>
            <w:tcBorders>
              <w:top w:val="nil"/>
              <w:left w:val="nil"/>
              <w:bottom w:val="single" w:sz="4" w:space="0" w:color="auto"/>
              <w:right w:val="single" w:sz="4" w:space="0" w:color="auto"/>
            </w:tcBorders>
            <w:shd w:val="clear" w:color="000000" w:fill="FFFFFF"/>
            <w:vAlign w:val="bottom"/>
          </w:tcPr>
          <w:p w14:paraId="3E352DB2"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w:t>
            </w:r>
          </w:p>
        </w:tc>
        <w:tc>
          <w:tcPr>
            <w:tcW w:w="1170" w:type="dxa"/>
            <w:tcBorders>
              <w:top w:val="nil"/>
              <w:left w:val="nil"/>
              <w:bottom w:val="single" w:sz="4" w:space="0" w:color="auto"/>
              <w:right w:val="single" w:sz="4" w:space="0" w:color="auto"/>
            </w:tcBorders>
            <w:shd w:val="clear" w:color="000000" w:fill="FFFFFF"/>
            <w:vAlign w:val="bottom"/>
          </w:tcPr>
          <w:p w14:paraId="1926E281"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000000" w:fill="FFFFFF"/>
            <w:vAlign w:val="bottom"/>
          </w:tcPr>
          <w:p w14:paraId="03CC245E"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360</w:t>
            </w:r>
          </w:p>
        </w:tc>
        <w:tc>
          <w:tcPr>
            <w:tcW w:w="1263" w:type="dxa"/>
            <w:tcBorders>
              <w:top w:val="nil"/>
              <w:left w:val="nil"/>
              <w:bottom w:val="single" w:sz="4" w:space="0" w:color="auto"/>
              <w:right w:val="single" w:sz="4" w:space="0" w:color="auto"/>
            </w:tcBorders>
            <w:shd w:val="clear" w:color="000000" w:fill="FFFFFF"/>
            <w:vAlign w:val="center"/>
          </w:tcPr>
          <w:p w14:paraId="499BD1C9"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79CBE93A"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6601DF" w:rsidRPr="00185785" w14:paraId="621D18D7"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2D240FC4"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Call to service provider to procure an IFM observer in Groundfish Closed Area</w:t>
            </w:r>
          </w:p>
        </w:tc>
        <w:tc>
          <w:tcPr>
            <w:tcW w:w="1188" w:type="dxa"/>
            <w:tcBorders>
              <w:top w:val="nil"/>
              <w:left w:val="nil"/>
              <w:bottom w:val="single" w:sz="4" w:space="0" w:color="auto"/>
              <w:right w:val="single" w:sz="4" w:space="0" w:color="auto"/>
            </w:tcBorders>
            <w:shd w:val="clear" w:color="000000" w:fill="FFFFFF"/>
            <w:vAlign w:val="bottom"/>
          </w:tcPr>
          <w:p w14:paraId="5B7D91E4"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170" w:type="dxa"/>
            <w:tcBorders>
              <w:top w:val="nil"/>
              <w:left w:val="nil"/>
              <w:bottom w:val="single" w:sz="4" w:space="0" w:color="auto"/>
              <w:right w:val="single" w:sz="4" w:space="0" w:color="auto"/>
            </w:tcBorders>
            <w:shd w:val="clear" w:color="000000" w:fill="FFFFFF"/>
            <w:vAlign w:val="bottom"/>
          </w:tcPr>
          <w:p w14:paraId="7B52C0CD"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000000" w:fill="FFFFFF"/>
            <w:vAlign w:val="bottom"/>
          </w:tcPr>
          <w:p w14:paraId="30BB64AC"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263" w:type="dxa"/>
            <w:tcBorders>
              <w:top w:val="nil"/>
              <w:left w:val="nil"/>
              <w:bottom w:val="single" w:sz="4" w:space="0" w:color="auto"/>
              <w:right w:val="single" w:sz="4" w:space="0" w:color="auto"/>
            </w:tcBorders>
            <w:shd w:val="clear" w:color="000000" w:fill="FFFFFF"/>
            <w:vAlign w:val="center"/>
          </w:tcPr>
          <w:p w14:paraId="2011D90D"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347" w:type="dxa"/>
            <w:tcBorders>
              <w:top w:val="nil"/>
              <w:left w:val="nil"/>
              <w:bottom w:val="single" w:sz="4" w:space="0" w:color="auto"/>
              <w:right w:val="single" w:sz="8" w:space="0" w:color="auto"/>
            </w:tcBorders>
            <w:shd w:val="clear" w:color="000000" w:fill="FFFFFF"/>
            <w:vAlign w:val="center"/>
          </w:tcPr>
          <w:p w14:paraId="67C094E6"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r>
      <w:tr w:rsidR="006601DF" w:rsidRPr="00185785" w14:paraId="2A8775EB" w14:textId="77777777" w:rsidTr="00C90E2C">
        <w:trPr>
          <w:trHeight w:val="215"/>
        </w:trPr>
        <w:tc>
          <w:tcPr>
            <w:tcW w:w="3757" w:type="dxa"/>
            <w:tcBorders>
              <w:top w:val="nil"/>
              <w:left w:val="single" w:sz="4" w:space="0" w:color="auto"/>
              <w:bottom w:val="single" w:sz="4" w:space="0" w:color="auto"/>
              <w:right w:val="single" w:sz="4" w:space="0" w:color="auto"/>
            </w:tcBorders>
            <w:shd w:val="clear" w:color="auto" w:fill="auto"/>
            <w:vAlign w:val="center"/>
          </w:tcPr>
          <w:p w14:paraId="114ECF6B"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Notification of unavailability of IFM observers</w:t>
            </w:r>
          </w:p>
        </w:tc>
        <w:tc>
          <w:tcPr>
            <w:tcW w:w="1188" w:type="dxa"/>
            <w:tcBorders>
              <w:top w:val="nil"/>
              <w:left w:val="nil"/>
              <w:bottom w:val="single" w:sz="4" w:space="0" w:color="auto"/>
              <w:right w:val="single" w:sz="4" w:space="0" w:color="auto"/>
            </w:tcBorders>
            <w:shd w:val="clear" w:color="000000" w:fill="FFFFFF"/>
            <w:vAlign w:val="bottom"/>
          </w:tcPr>
          <w:p w14:paraId="1777F126"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170" w:type="dxa"/>
            <w:tcBorders>
              <w:top w:val="nil"/>
              <w:left w:val="nil"/>
              <w:bottom w:val="single" w:sz="4" w:space="0" w:color="auto"/>
              <w:right w:val="single" w:sz="4" w:space="0" w:color="auto"/>
            </w:tcBorders>
            <w:shd w:val="clear" w:color="000000" w:fill="FFFFFF"/>
            <w:vAlign w:val="bottom"/>
          </w:tcPr>
          <w:p w14:paraId="6F6AF7E6"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55" w:type="dxa"/>
            <w:tcBorders>
              <w:top w:val="nil"/>
              <w:left w:val="nil"/>
              <w:bottom w:val="single" w:sz="4" w:space="0" w:color="auto"/>
              <w:right w:val="single" w:sz="4" w:space="0" w:color="auto"/>
            </w:tcBorders>
            <w:shd w:val="clear" w:color="000000" w:fill="FFFFFF"/>
            <w:vAlign w:val="bottom"/>
          </w:tcPr>
          <w:p w14:paraId="75B51C20"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263" w:type="dxa"/>
            <w:tcBorders>
              <w:top w:val="nil"/>
              <w:left w:val="nil"/>
              <w:bottom w:val="single" w:sz="4" w:space="0" w:color="auto"/>
              <w:right w:val="single" w:sz="4" w:space="0" w:color="auto"/>
            </w:tcBorders>
            <w:shd w:val="clear" w:color="000000" w:fill="FFFFFF"/>
            <w:vAlign w:val="center"/>
          </w:tcPr>
          <w:p w14:paraId="4004F548"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$0.50</w:t>
            </w:r>
          </w:p>
        </w:tc>
        <w:tc>
          <w:tcPr>
            <w:tcW w:w="1347" w:type="dxa"/>
            <w:tcBorders>
              <w:top w:val="nil"/>
              <w:left w:val="nil"/>
              <w:bottom w:val="single" w:sz="4" w:space="0" w:color="auto"/>
              <w:right w:val="single" w:sz="8" w:space="0" w:color="auto"/>
            </w:tcBorders>
            <w:shd w:val="clear" w:color="000000" w:fill="FFFFFF"/>
            <w:vAlign w:val="center"/>
          </w:tcPr>
          <w:p w14:paraId="1942962A"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r>
      <w:tr w:rsidR="006601DF" w:rsidRPr="00185785" w14:paraId="71F8F4D3"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29C375BD"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contact list updates</w:t>
            </w:r>
          </w:p>
        </w:tc>
        <w:tc>
          <w:tcPr>
            <w:tcW w:w="1188" w:type="dxa"/>
            <w:tcBorders>
              <w:top w:val="nil"/>
              <w:left w:val="nil"/>
              <w:bottom w:val="single" w:sz="4" w:space="0" w:color="auto"/>
              <w:right w:val="single" w:sz="4" w:space="0" w:color="auto"/>
            </w:tcBorders>
            <w:shd w:val="clear" w:color="000000" w:fill="FFFFFF"/>
            <w:vAlign w:val="bottom"/>
          </w:tcPr>
          <w:p w14:paraId="4A88A46F"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771908D1"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255" w:type="dxa"/>
            <w:tcBorders>
              <w:top w:val="nil"/>
              <w:left w:val="nil"/>
              <w:bottom w:val="single" w:sz="4" w:space="0" w:color="auto"/>
              <w:right w:val="single" w:sz="4" w:space="0" w:color="auto"/>
            </w:tcBorders>
            <w:shd w:val="clear" w:color="000000" w:fill="FFFFFF"/>
            <w:vAlign w:val="bottom"/>
          </w:tcPr>
          <w:p w14:paraId="1674399B"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p>
        </w:tc>
        <w:tc>
          <w:tcPr>
            <w:tcW w:w="1263" w:type="dxa"/>
            <w:tcBorders>
              <w:top w:val="nil"/>
              <w:left w:val="nil"/>
              <w:bottom w:val="single" w:sz="4" w:space="0" w:color="auto"/>
              <w:right w:val="single" w:sz="4" w:space="0" w:color="auto"/>
            </w:tcBorders>
            <w:shd w:val="clear" w:color="000000" w:fill="FFFFFF"/>
            <w:vAlign w:val="center"/>
          </w:tcPr>
          <w:p w14:paraId="03D2B692"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45B2A88D"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6601DF" w:rsidRPr="00185785" w14:paraId="50DAB17A"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76D5270E"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availability updates</w:t>
            </w:r>
          </w:p>
        </w:tc>
        <w:tc>
          <w:tcPr>
            <w:tcW w:w="1188" w:type="dxa"/>
            <w:tcBorders>
              <w:top w:val="nil"/>
              <w:left w:val="nil"/>
              <w:bottom w:val="single" w:sz="4" w:space="0" w:color="auto"/>
              <w:right w:val="single" w:sz="4" w:space="0" w:color="auto"/>
            </w:tcBorders>
            <w:shd w:val="clear" w:color="000000" w:fill="FFFFFF"/>
            <w:vAlign w:val="bottom"/>
          </w:tcPr>
          <w:p w14:paraId="6A482D35"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6DFB4476"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p>
        </w:tc>
        <w:tc>
          <w:tcPr>
            <w:tcW w:w="1255" w:type="dxa"/>
            <w:tcBorders>
              <w:top w:val="nil"/>
              <w:left w:val="nil"/>
              <w:bottom w:val="single" w:sz="4" w:space="0" w:color="auto"/>
              <w:right w:val="single" w:sz="4" w:space="0" w:color="auto"/>
            </w:tcBorders>
            <w:shd w:val="clear" w:color="000000" w:fill="FFFFFF"/>
            <w:vAlign w:val="bottom"/>
          </w:tcPr>
          <w:p w14:paraId="5B7E4685"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p>
        </w:tc>
        <w:tc>
          <w:tcPr>
            <w:tcW w:w="1263" w:type="dxa"/>
            <w:tcBorders>
              <w:top w:val="nil"/>
              <w:left w:val="nil"/>
              <w:bottom w:val="single" w:sz="4" w:space="0" w:color="auto"/>
              <w:right w:val="single" w:sz="4" w:space="0" w:color="auto"/>
            </w:tcBorders>
            <w:shd w:val="clear" w:color="000000" w:fill="FFFFFF"/>
            <w:vAlign w:val="center"/>
          </w:tcPr>
          <w:p w14:paraId="16644CA3"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20DCC768"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6601DF" w:rsidRPr="00185785" w14:paraId="5FADD021"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70D78735"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material submissions</w:t>
            </w:r>
          </w:p>
        </w:tc>
        <w:tc>
          <w:tcPr>
            <w:tcW w:w="1188" w:type="dxa"/>
            <w:tcBorders>
              <w:top w:val="nil"/>
              <w:left w:val="nil"/>
              <w:bottom w:val="single" w:sz="4" w:space="0" w:color="auto"/>
              <w:right w:val="single" w:sz="4" w:space="0" w:color="auto"/>
            </w:tcBorders>
            <w:shd w:val="clear" w:color="000000" w:fill="FFFFFF"/>
            <w:vAlign w:val="bottom"/>
          </w:tcPr>
          <w:p w14:paraId="176B000E"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7EEDE00A"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55" w:type="dxa"/>
            <w:tcBorders>
              <w:top w:val="nil"/>
              <w:left w:val="nil"/>
              <w:bottom w:val="single" w:sz="4" w:space="0" w:color="auto"/>
              <w:right w:val="single" w:sz="4" w:space="0" w:color="auto"/>
            </w:tcBorders>
            <w:shd w:val="clear" w:color="000000" w:fill="FFFFFF"/>
            <w:vAlign w:val="bottom"/>
          </w:tcPr>
          <w:p w14:paraId="06B8E05D"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263" w:type="dxa"/>
            <w:tcBorders>
              <w:top w:val="nil"/>
              <w:left w:val="nil"/>
              <w:bottom w:val="single" w:sz="4" w:space="0" w:color="auto"/>
              <w:right w:val="single" w:sz="4" w:space="0" w:color="auto"/>
            </w:tcBorders>
            <w:shd w:val="clear" w:color="000000" w:fill="FFFFFF"/>
            <w:vAlign w:val="center"/>
          </w:tcPr>
          <w:p w14:paraId="7D8405A8"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347" w:type="dxa"/>
            <w:tcBorders>
              <w:top w:val="nil"/>
              <w:left w:val="nil"/>
              <w:bottom w:val="single" w:sz="4" w:space="0" w:color="auto"/>
              <w:right w:val="single" w:sz="8" w:space="0" w:color="auto"/>
            </w:tcBorders>
            <w:shd w:val="clear" w:color="000000" w:fill="FFFFFF"/>
            <w:vAlign w:val="center"/>
          </w:tcPr>
          <w:p w14:paraId="4CD9EEDF"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r>
      <w:tr w:rsidR="006601DF" w:rsidRPr="00185785" w14:paraId="6C3D9D73"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auto"/>
            <w:vAlign w:val="center"/>
          </w:tcPr>
          <w:p w14:paraId="2A166A24"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contracts</w:t>
            </w:r>
          </w:p>
        </w:tc>
        <w:tc>
          <w:tcPr>
            <w:tcW w:w="1188" w:type="dxa"/>
            <w:tcBorders>
              <w:top w:val="nil"/>
              <w:left w:val="nil"/>
              <w:bottom w:val="single" w:sz="4" w:space="0" w:color="auto"/>
              <w:right w:val="single" w:sz="4" w:space="0" w:color="auto"/>
            </w:tcBorders>
            <w:shd w:val="clear" w:color="000000" w:fill="FFFFFF"/>
            <w:vAlign w:val="bottom"/>
          </w:tcPr>
          <w:p w14:paraId="38F2ACFD"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000000" w:fill="FFFFFF"/>
            <w:vAlign w:val="bottom"/>
          </w:tcPr>
          <w:p w14:paraId="50E32B71"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55" w:type="dxa"/>
            <w:tcBorders>
              <w:top w:val="nil"/>
              <w:left w:val="nil"/>
              <w:bottom w:val="single" w:sz="4" w:space="0" w:color="auto"/>
              <w:right w:val="single" w:sz="4" w:space="0" w:color="auto"/>
            </w:tcBorders>
            <w:shd w:val="clear" w:color="000000" w:fill="FFFFFF"/>
            <w:vAlign w:val="bottom"/>
          </w:tcPr>
          <w:p w14:paraId="36067D78"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263" w:type="dxa"/>
            <w:tcBorders>
              <w:top w:val="nil"/>
              <w:left w:val="nil"/>
              <w:bottom w:val="single" w:sz="4" w:space="0" w:color="auto"/>
              <w:right w:val="single" w:sz="4" w:space="0" w:color="auto"/>
            </w:tcBorders>
            <w:shd w:val="clear" w:color="000000" w:fill="FFFFFF"/>
            <w:vAlign w:val="center"/>
          </w:tcPr>
          <w:p w14:paraId="32084241"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347" w:type="dxa"/>
            <w:tcBorders>
              <w:top w:val="nil"/>
              <w:left w:val="nil"/>
              <w:bottom w:val="single" w:sz="4" w:space="0" w:color="auto"/>
              <w:right w:val="single" w:sz="8" w:space="0" w:color="auto"/>
            </w:tcBorders>
            <w:shd w:val="clear" w:color="000000" w:fill="FFFFFF"/>
            <w:vAlign w:val="center"/>
          </w:tcPr>
          <w:p w14:paraId="01E29368"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r>
      <w:tr w:rsidR="006601DF" w:rsidRPr="00185785" w14:paraId="31A7B166"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E7E6E6" w:themeFill="background2"/>
            <w:vAlign w:val="center"/>
          </w:tcPr>
          <w:p w14:paraId="12CE261D" w14:textId="77777777" w:rsidR="006601DF" w:rsidRPr="002333E8" w:rsidRDefault="006601DF" w:rsidP="006601DF">
            <w:pPr>
              <w:widowControl/>
              <w:autoSpaceDE/>
              <w:autoSpaceDN/>
              <w:adjustRightInd/>
              <w:jc w:val="right"/>
              <w:rPr>
                <w:rFonts w:ascii="Calibri" w:hAnsi="Calibri"/>
                <w:b/>
                <w:color w:val="000000"/>
                <w:sz w:val="16"/>
                <w:szCs w:val="16"/>
              </w:rPr>
            </w:pPr>
            <w:r w:rsidRPr="002333E8">
              <w:rPr>
                <w:rFonts w:ascii="Calibri" w:hAnsi="Calibri"/>
                <w:b/>
                <w:color w:val="000000"/>
                <w:sz w:val="16"/>
                <w:szCs w:val="16"/>
              </w:rPr>
              <w:t>Totals</w:t>
            </w:r>
          </w:p>
        </w:tc>
        <w:tc>
          <w:tcPr>
            <w:tcW w:w="1188" w:type="dxa"/>
            <w:tcBorders>
              <w:top w:val="nil"/>
              <w:left w:val="nil"/>
              <w:bottom w:val="single" w:sz="4" w:space="0" w:color="auto"/>
              <w:right w:val="single" w:sz="4" w:space="0" w:color="auto"/>
            </w:tcBorders>
            <w:shd w:val="clear" w:color="auto" w:fill="E7E6E6" w:themeFill="background2"/>
            <w:vAlign w:val="bottom"/>
          </w:tcPr>
          <w:p w14:paraId="0998EF25" w14:textId="77777777" w:rsidR="006601DF" w:rsidRPr="00CA2B37" w:rsidRDefault="006601DF" w:rsidP="006601DF">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7E6E6" w:themeFill="background2"/>
            <w:vAlign w:val="bottom"/>
          </w:tcPr>
          <w:p w14:paraId="4B1B124B" w14:textId="77777777" w:rsidR="006601DF" w:rsidRPr="00CA2B37" w:rsidRDefault="006601DF" w:rsidP="006601DF">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E7E6E6" w:themeFill="background2"/>
            <w:vAlign w:val="bottom"/>
          </w:tcPr>
          <w:p w14:paraId="68999565" w14:textId="77777777" w:rsidR="006601DF" w:rsidRPr="009B11EC" w:rsidRDefault="006601DF" w:rsidP="006601DF">
            <w:pPr>
              <w:widowControl/>
              <w:autoSpaceDE/>
              <w:autoSpaceDN/>
              <w:adjustRightInd/>
              <w:jc w:val="right"/>
              <w:rPr>
                <w:rFonts w:ascii="Calibri" w:hAnsi="Calibri" w:cs="Calibri"/>
                <w:b/>
                <w:color w:val="000000"/>
                <w:sz w:val="16"/>
                <w:szCs w:val="16"/>
              </w:rPr>
            </w:pPr>
            <w:r w:rsidRPr="009B11EC">
              <w:rPr>
                <w:rFonts w:ascii="Calibri" w:hAnsi="Calibri" w:cs="Calibri"/>
                <w:b/>
                <w:color w:val="000000"/>
                <w:sz w:val="16"/>
                <w:szCs w:val="16"/>
              </w:rPr>
              <w:t>10,7</w:t>
            </w:r>
            <w:r>
              <w:rPr>
                <w:rFonts w:ascii="Calibri" w:hAnsi="Calibri" w:cs="Calibri"/>
                <w:b/>
                <w:color w:val="000000"/>
                <w:sz w:val="16"/>
                <w:szCs w:val="16"/>
              </w:rPr>
              <w:t>88</w:t>
            </w:r>
          </w:p>
        </w:tc>
        <w:tc>
          <w:tcPr>
            <w:tcW w:w="1263" w:type="dxa"/>
            <w:tcBorders>
              <w:top w:val="nil"/>
              <w:left w:val="nil"/>
              <w:bottom w:val="single" w:sz="4" w:space="0" w:color="auto"/>
              <w:right w:val="single" w:sz="4" w:space="0" w:color="auto"/>
            </w:tcBorders>
            <w:shd w:val="clear" w:color="auto" w:fill="E7E6E6" w:themeFill="background2"/>
            <w:vAlign w:val="center"/>
          </w:tcPr>
          <w:p w14:paraId="67052ED6"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347" w:type="dxa"/>
            <w:tcBorders>
              <w:top w:val="nil"/>
              <w:left w:val="nil"/>
              <w:bottom w:val="single" w:sz="4" w:space="0" w:color="auto"/>
              <w:right w:val="single" w:sz="8" w:space="0" w:color="auto"/>
            </w:tcBorders>
            <w:shd w:val="clear" w:color="auto" w:fill="E7E6E6" w:themeFill="background2"/>
            <w:vAlign w:val="center"/>
          </w:tcPr>
          <w:p w14:paraId="4CE2BE34" w14:textId="77777777" w:rsidR="006601DF" w:rsidRPr="00B00AB4" w:rsidRDefault="00B00AB4" w:rsidP="00B015CF">
            <w:pPr>
              <w:widowControl/>
              <w:autoSpaceDE/>
              <w:autoSpaceDN/>
              <w:adjustRightInd/>
              <w:jc w:val="right"/>
              <w:rPr>
                <w:rFonts w:ascii="Calibri" w:hAnsi="Calibri" w:cs="Calibri"/>
                <w:b/>
                <w:color w:val="000000"/>
                <w:sz w:val="16"/>
                <w:szCs w:val="16"/>
              </w:rPr>
            </w:pPr>
            <w:r w:rsidRPr="00B00AB4">
              <w:rPr>
                <w:rFonts w:ascii="Calibri" w:hAnsi="Calibri" w:cs="Calibri"/>
                <w:b/>
                <w:color w:val="000000"/>
                <w:sz w:val="16"/>
                <w:szCs w:val="16"/>
              </w:rPr>
              <w:t>$785,24</w:t>
            </w:r>
            <w:r w:rsidR="00B015CF">
              <w:rPr>
                <w:rFonts w:ascii="Calibri" w:hAnsi="Calibri" w:cs="Calibri"/>
                <w:b/>
                <w:color w:val="000000"/>
                <w:sz w:val="16"/>
                <w:szCs w:val="16"/>
              </w:rPr>
              <w:t>9</w:t>
            </w:r>
          </w:p>
        </w:tc>
      </w:tr>
      <w:tr w:rsidR="006601DF" w:rsidRPr="00185785" w14:paraId="218798A1" w14:textId="77777777" w:rsidTr="00C90E2C">
        <w:trPr>
          <w:trHeight w:val="260"/>
        </w:trPr>
        <w:tc>
          <w:tcPr>
            <w:tcW w:w="3757" w:type="dxa"/>
            <w:tcBorders>
              <w:top w:val="nil"/>
              <w:left w:val="single" w:sz="4" w:space="0" w:color="auto"/>
              <w:bottom w:val="single" w:sz="4" w:space="0" w:color="auto"/>
              <w:right w:val="single" w:sz="4" w:space="0" w:color="auto"/>
            </w:tcBorders>
            <w:shd w:val="clear" w:color="auto" w:fill="FFF2CC" w:themeFill="accent4" w:themeFillTint="33"/>
            <w:vAlign w:val="bottom"/>
          </w:tcPr>
          <w:p w14:paraId="5CAA0CB6" w14:textId="77777777" w:rsidR="006601DF" w:rsidRPr="00C630D6" w:rsidRDefault="006601DF" w:rsidP="006601DF">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Observer Reporting for Vessels</w:t>
            </w:r>
          </w:p>
        </w:tc>
        <w:tc>
          <w:tcPr>
            <w:tcW w:w="1188" w:type="dxa"/>
            <w:tcBorders>
              <w:top w:val="nil"/>
              <w:left w:val="nil"/>
              <w:bottom w:val="single" w:sz="4" w:space="0" w:color="auto"/>
              <w:right w:val="single" w:sz="4" w:space="0" w:color="auto"/>
            </w:tcBorders>
            <w:shd w:val="clear" w:color="auto" w:fill="FFF2CC" w:themeFill="accent4" w:themeFillTint="33"/>
            <w:vAlign w:val="center"/>
          </w:tcPr>
          <w:p w14:paraId="02B692E3"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FFF2CC" w:themeFill="accent4" w:themeFillTint="33"/>
            <w:vAlign w:val="center"/>
          </w:tcPr>
          <w:p w14:paraId="312DD01A"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FFF2CC" w:themeFill="accent4" w:themeFillTint="33"/>
            <w:vAlign w:val="center"/>
          </w:tcPr>
          <w:p w14:paraId="459553C8"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263" w:type="dxa"/>
            <w:tcBorders>
              <w:top w:val="nil"/>
              <w:left w:val="nil"/>
              <w:bottom w:val="single" w:sz="4" w:space="0" w:color="auto"/>
              <w:right w:val="single" w:sz="4" w:space="0" w:color="auto"/>
            </w:tcBorders>
            <w:shd w:val="clear" w:color="auto" w:fill="FFF2CC" w:themeFill="accent4" w:themeFillTint="33"/>
            <w:vAlign w:val="center"/>
          </w:tcPr>
          <w:p w14:paraId="0CBC0470"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347" w:type="dxa"/>
            <w:tcBorders>
              <w:top w:val="nil"/>
              <w:left w:val="nil"/>
              <w:bottom w:val="single" w:sz="4" w:space="0" w:color="auto"/>
              <w:right w:val="single" w:sz="8" w:space="0" w:color="auto"/>
            </w:tcBorders>
            <w:shd w:val="clear" w:color="auto" w:fill="FFF2CC" w:themeFill="accent4" w:themeFillTint="33"/>
            <w:vAlign w:val="center"/>
          </w:tcPr>
          <w:p w14:paraId="2402FBEE" w14:textId="77777777" w:rsidR="006601DF" w:rsidRPr="00185785" w:rsidRDefault="006601DF" w:rsidP="006601DF">
            <w:pPr>
              <w:widowControl/>
              <w:autoSpaceDE/>
              <w:autoSpaceDN/>
              <w:adjustRightInd/>
              <w:jc w:val="right"/>
              <w:rPr>
                <w:rFonts w:ascii="Calibri" w:hAnsi="Calibri" w:cs="Calibri"/>
                <w:color w:val="000000"/>
                <w:sz w:val="16"/>
                <w:szCs w:val="16"/>
              </w:rPr>
            </w:pPr>
          </w:p>
        </w:tc>
      </w:tr>
      <w:tr w:rsidR="00695856" w:rsidRPr="00185785" w14:paraId="141A2D1A"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69F710AF" w14:textId="77777777" w:rsidR="00695856" w:rsidRPr="002333E8" w:rsidRDefault="00695856" w:rsidP="00695856">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Released Catch Affidavit</w:t>
            </w:r>
          </w:p>
        </w:tc>
        <w:tc>
          <w:tcPr>
            <w:tcW w:w="1188" w:type="dxa"/>
            <w:tcBorders>
              <w:top w:val="nil"/>
              <w:left w:val="nil"/>
              <w:bottom w:val="single" w:sz="4" w:space="0" w:color="auto"/>
              <w:right w:val="single" w:sz="4" w:space="0" w:color="auto"/>
            </w:tcBorders>
            <w:shd w:val="clear" w:color="000000" w:fill="FFFFFF"/>
            <w:vAlign w:val="bottom"/>
          </w:tcPr>
          <w:p w14:paraId="4647EC41" w14:textId="77777777" w:rsidR="00695856" w:rsidRPr="00CA2B37" w:rsidRDefault="00695856" w:rsidP="006958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93</w:t>
            </w:r>
          </w:p>
        </w:tc>
        <w:tc>
          <w:tcPr>
            <w:tcW w:w="1170" w:type="dxa"/>
            <w:tcBorders>
              <w:top w:val="nil"/>
              <w:left w:val="nil"/>
              <w:bottom w:val="single" w:sz="4" w:space="0" w:color="auto"/>
              <w:right w:val="single" w:sz="4" w:space="0" w:color="auto"/>
            </w:tcBorders>
            <w:shd w:val="clear" w:color="000000" w:fill="FFFFFF"/>
            <w:vAlign w:val="bottom"/>
          </w:tcPr>
          <w:p w14:paraId="503F5BEB" w14:textId="77777777" w:rsidR="00695856" w:rsidRPr="00CA2B37" w:rsidRDefault="00695856" w:rsidP="006958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255" w:type="dxa"/>
            <w:tcBorders>
              <w:top w:val="nil"/>
              <w:left w:val="nil"/>
              <w:bottom w:val="single" w:sz="4" w:space="0" w:color="auto"/>
              <w:right w:val="single" w:sz="4" w:space="0" w:color="auto"/>
            </w:tcBorders>
            <w:shd w:val="clear" w:color="000000" w:fill="FFFFFF"/>
            <w:vAlign w:val="bottom"/>
          </w:tcPr>
          <w:p w14:paraId="29B62C33" w14:textId="77777777" w:rsidR="00695856" w:rsidRPr="00CA2B37" w:rsidRDefault="00695856" w:rsidP="006958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3534</w:t>
            </w:r>
          </w:p>
        </w:tc>
        <w:tc>
          <w:tcPr>
            <w:tcW w:w="1263" w:type="dxa"/>
            <w:tcBorders>
              <w:top w:val="nil"/>
              <w:left w:val="nil"/>
              <w:bottom w:val="single" w:sz="4" w:space="0" w:color="auto"/>
              <w:right w:val="single" w:sz="4" w:space="0" w:color="auto"/>
            </w:tcBorders>
            <w:shd w:val="clear" w:color="000000" w:fill="FFFFFF"/>
            <w:vAlign w:val="center"/>
          </w:tcPr>
          <w:p w14:paraId="4CCA7499" w14:textId="77777777" w:rsidR="00695856" w:rsidRPr="00185785" w:rsidRDefault="00695856" w:rsidP="006958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sz="4" w:space="0" w:color="auto"/>
              <w:right w:val="single" w:sz="8" w:space="0" w:color="auto"/>
            </w:tcBorders>
            <w:shd w:val="clear" w:color="000000" w:fill="FFFFFF"/>
            <w:vAlign w:val="center"/>
          </w:tcPr>
          <w:p w14:paraId="0DE7E3C8" w14:textId="77777777" w:rsidR="00695856" w:rsidRPr="00185785" w:rsidRDefault="00695856" w:rsidP="006958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$1,944</w:t>
            </w:r>
          </w:p>
        </w:tc>
      </w:tr>
      <w:tr w:rsidR="006601DF" w:rsidRPr="00185785" w14:paraId="131163F9" w14:textId="77777777" w:rsidTr="00C90E2C">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4B40EFD3" w14:textId="77777777" w:rsidR="006601DF" w:rsidRPr="002333E8" w:rsidRDefault="006601DF" w:rsidP="006601DF">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Vessel Operator Notification of Species lb to Observer</w:t>
            </w:r>
          </w:p>
        </w:tc>
        <w:tc>
          <w:tcPr>
            <w:tcW w:w="1188" w:type="dxa"/>
            <w:tcBorders>
              <w:top w:val="nil"/>
              <w:left w:val="nil"/>
              <w:bottom w:val="single" w:sz="4" w:space="0" w:color="auto"/>
              <w:right w:val="single" w:sz="4" w:space="0" w:color="auto"/>
            </w:tcBorders>
            <w:shd w:val="clear" w:color="000000" w:fill="FFFFFF"/>
            <w:vAlign w:val="bottom"/>
          </w:tcPr>
          <w:p w14:paraId="153D4008"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170" w:type="dxa"/>
            <w:tcBorders>
              <w:top w:val="nil"/>
              <w:left w:val="nil"/>
              <w:bottom w:val="single" w:sz="4" w:space="0" w:color="auto"/>
              <w:right w:val="single" w:sz="4" w:space="0" w:color="auto"/>
            </w:tcBorders>
            <w:shd w:val="clear" w:color="000000" w:fill="FFFFFF"/>
            <w:vAlign w:val="bottom"/>
          </w:tcPr>
          <w:p w14:paraId="69CE263B"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55" w:type="dxa"/>
            <w:tcBorders>
              <w:top w:val="nil"/>
              <w:left w:val="nil"/>
              <w:bottom w:val="single" w:sz="4" w:space="0" w:color="auto"/>
              <w:right w:val="single" w:sz="4" w:space="0" w:color="auto"/>
            </w:tcBorders>
            <w:shd w:val="clear" w:color="000000" w:fill="FFFFFF"/>
            <w:vAlign w:val="bottom"/>
          </w:tcPr>
          <w:p w14:paraId="249D8F89" w14:textId="77777777" w:rsidR="006601DF" w:rsidRPr="00CA2B37"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1050</w:t>
            </w:r>
          </w:p>
        </w:tc>
        <w:tc>
          <w:tcPr>
            <w:tcW w:w="1263" w:type="dxa"/>
            <w:tcBorders>
              <w:top w:val="nil"/>
              <w:left w:val="nil"/>
              <w:bottom w:val="single" w:sz="4" w:space="0" w:color="auto"/>
              <w:right w:val="single" w:sz="4" w:space="0" w:color="auto"/>
            </w:tcBorders>
            <w:shd w:val="clear" w:color="000000" w:fill="FFFFFF"/>
            <w:vAlign w:val="center"/>
          </w:tcPr>
          <w:p w14:paraId="4B98360A"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14:paraId="295DEB1C" w14:textId="77777777" w:rsidR="006601DF" w:rsidRPr="00185785" w:rsidRDefault="006601DF" w:rsidP="00660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006601DF" w:rsidRPr="00185785" w14:paraId="256BACA5" w14:textId="77777777" w:rsidTr="00C90E2C">
        <w:trPr>
          <w:trHeight w:val="188"/>
        </w:trPr>
        <w:tc>
          <w:tcPr>
            <w:tcW w:w="3757" w:type="dxa"/>
            <w:tcBorders>
              <w:top w:val="nil"/>
              <w:left w:val="single" w:sz="4" w:space="0" w:color="auto"/>
              <w:bottom w:val="single" w:sz="4" w:space="0" w:color="auto"/>
              <w:right w:val="single" w:sz="4" w:space="0" w:color="auto"/>
            </w:tcBorders>
            <w:shd w:val="clear" w:color="auto" w:fill="E7E6E6" w:themeFill="background2"/>
            <w:vAlign w:val="bottom"/>
          </w:tcPr>
          <w:p w14:paraId="1D34EFEC" w14:textId="77777777" w:rsidR="006601DF" w:rsidRPr="001B2674" w:rsidRDefault="006601DF" w:rsidP="006601DF">
            <w:pPr>
              <w:widowControl/>
              <w:autoSpaceDE/>
              <w:autoSpaceDN/>
              <w:adjustRightInd/>
              <w:jc w:val="right"/>
              <w:rPr>
                <w:rFonts w:ascii="Calibri" w:hAnsi="Calibri" w:cs="Calibri"/>
                <w:b/>
                <w:color w:val="000000"/>
              </w:rPr>
            </w:pPr>
            <w:r w:rsidRPr="001B2674">
              <w:rPr>
                <w:rFonts w:ascii="Calibri" w:hAnsi="Calibri" w:cs="Calibri"/>
                <w:b/>
                <w:color w:val="000000"/>
              </w:rPr>
              <w:t> Totals</w:t>
            </w:r>
          </w:p>
        </w:tc>
        <w:tc>
          <w:tcPr>
            <w:tcW w:w="1188" w:type="dxa"/>
            <w:tcBorders>
              <w:top w:val="nil"/>
              <w:left w:val="nil"/>
              <w:bottom w:val="single" w:sz="4" w:space="0" w:color="auto"/>
              <w:right w:val="single" w:sz="4" w:space="0" w:color="auto"/>
            </w:tcBorders>
            <w:shd w:val="clear" w:color="auto" w:fill="E7E6E6" w:themeFill="background2"/>
            <w:vAlign w:val="bottom"/>
          </w:tcPr>
          <w:p w14:paraId="12E4E783" w14:textId="77777777" w:rsidR="006601DF" w:rsidRPr="00CA2B37" w:rsidRDefault="006601DF" w:rsidP="006601DF">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E7E6E6" w:themeFill="background2"/>
            <w:vAlign w:val="bottom"/>
          </w:tcPr>
          <w:p w14:paraId="72923799" w14:textId="77777777" w:rsidR="006601DF" w:rsidRPr="00CA2B37" w:rsidRDefault="006601DF" w:rsidP="006601DF">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auto" w:fill="E7E6E6" w:themeFill="background2"/>
            <w:vAlign w:val="bottom"/>
          </w:tcPr>
          <w:p w14:paraId="6E6BCC75" w14:textId="761BF54A" w:rsidR="006601DF" w:rsidRPr="00E11ABD" w:rsidRDefault="003A2C6C" w:rsidP="006601DF">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4,584</w:t>
            </w:r>
          </w:p>
        </w:tc>
        <w:tc>
          <w:tcPr>
            <w:tcW w:w="1263" w:type="dxa"/>
            <w:tcBorders>
              <w:top w:val="nil"/>
              <w:left w:val="nil"/>
              <w:bottom w:val="single" w:sz="4" w:space="0" w:color="auto"/>
              <w:right w:val="single" w:sz="4" w:space="0" w:color="auto"/>
            </w:tcBorders>
            <w:shd w:val="clear" w:color="auto" w:fill="E7E6E6" w:themeFill="background2"/>
            <w:vAlign w:val="center"/>
          </w:tcPr>
          <w:p w14:paraId="388FA9A7" w14:textId="77777777" w:rsidR="006601DF" w:rsidRPr="00185785" w:rsidRDefault="006601DF" w:rsidP="006601DF">
            <w:pPr>
              <w:widowControl/>
              <w:autoSpaceDE/>
              <w:autoSpaceDN/>
              <w:adjustRightInd/>
              <w:jc w:val="right"/>
              <w:rPr>
                <w:rFonts w:ascii="Calibri" w:hAnsi="Calibri" w:cs="Calibri"/>
                <w:color w:val="000000"/>
                <w:sz w:val="16"/>
                <w:szCs w:val="16"/>
              </w:rPr>
            </w:pPr>
          </w:p>
        </w:tc>
        <w:tc>
          <w:tcPr>
            <w:tcW w:w="1347" w:type="dxa"/>
            <w:tcBorders>
              <w:top w:val="nil"/>
              <w:left w:val="nil"/>
              <w:bottom w:val="single" w:sz="4" w:space="0" w:color="auto"/>
              <w:right w:val="single" w:sz="8" w:space="0" w:color="auto"/>
            </w:tcBorders>
            <w:shd w:val="clear" w:color="auto" w:fill="E7E6E6" w:themeFill="background2"/>
            <w:vAlign w:val="center"/>
          </w:tcPr>
          <w:p w14:paraId="7A6C3CF6" w14:textId="08F7CAF9" w:rsidR="006601DF" w:rsidRPr="00B00AB4" w:rsidRDefault="003A2C6C" w:rsidP="006601DF">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$1,944</w:t>
            </w:r>
          </w:p>
        </w:tc>
      </w:tr>
      <w:tr w:rsidR="006601DF" w:rsidRPr="00185785" w14:paraId="559BD661" w14:textId="77777777" w:rsidTr="00C90E2C">
        <w:trPr>
          <w:trHeight w:val="187"/>
        </w:trPr>
        <w:tc>
          <w:tcPr>
            <w:tcW w:w="3757"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14:paraId="2ECAF269" w14:textId="77777777" w:rsidR="006601DF" w:rsidRPr="00185785" w:rsidRDefault="006601DF" w:rsidP="006601DF">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themeFill="text1"/>
            <w:vAlign w:val="center"/>
            <w:hideMark/>
          </w:tcPr>
          <w:p w14:paraId="3AC27006" w14:textId="77777777" w:rsidR="006601DF" w:rsidRPr="00185785" w:rsidRDefault="006601DF" w:rsidP="006601DF">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14:paraId="505073C4" w14:textId="77777777" w:rsidR="006601DF" w:rsidRPr="00185785" w:rsidRDefault="006601DF" w:rsidP="006601DF">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55" w:type="dxa"/>
            <w:tcBorders>
              <w:top w:val="single" w:sz="8" w:space="0" w:color="auto"/>
              <w:left w:val="nil"/>
              <w:bottom w:val="single" w:sz="8" w:space="0" w:color="auto"/>
              <w:right w:val="single" w:sz="4" w:space="0" w:color="auto"/>
            </w:tcBorders>
            <w:shd w:val="clear" w:color="auto" w:fill="BDD6EE" w:themeFill="accent1" w:themeFillTint="66"/>
            <w:vAlign w:val="center"/>
          </w:tcPr>
          <w:p w14:paraId="3975FB06" w14:textId="172D41F1" w:rsidR="006601DF" w:rsidRPr="00185785" w:rsidRDefault="003A2C6C" w:rsidP="006601DF">
            <w:pPr>
              <w:widowControl/>
              <w:autoSpaceDE/>
              <w:autoSpaceDN/>
              <w:adjustRightInd/>
              <w:jc w:val="right"/>
              <w:rPr>
                <w:rFonts w:ascii="Calibri" w:hAnsi="Calibri" w:cs="Calibri"/>
                <w:b/>
                <w:bCs/>
                <w:color w:val="000000"/>
                <w:sz w:val="16"/>
                <w:szCs w:val="16"/>
              </w:rPr>
            </w:pPr>
            <w:r>
              <w:rPr>
                <w:rFonts w:ascii="Calibri" w:hAnsi="Calibri" w:cs="Calibri"/>
                <w:b/>
                <w:bCs/>
                <w:color w:val="000000"/>
              </w:rPr>
              <w:t>15,372</w:t>
            </w:r>
          </w:p>
        </w:tc>
        <w:tc>
          <w:tcPr>
            <w:tcW w:w="1263" w:type="dxa"/>
            <w:tcBorders>
              <w:top w:val="single" w:sz="8" w:space="0" w:color="auto"/>
              <w:left w:val="nil"/>
              <w:bottom w:val="single" w:sz="8" w:space="0" w:color="auto"/>
              <w:right w:val="single" w:sz="4" w:space="0" w:color="auto"/>
            </w:tcBorders>
            <w:shd w:val="clear" w:color="auto" w:fill="000000" w:themeFill="text1"/>
            <w:vAlign w:val="center"/>
            <w:hideMark/>
          </w:tcPr>
          <w:p w14:paraId="7E2BE054" w14:textId="77777777" w:rsidR="006601DF" w:rsidRPr="00185785" w:rsidRDefault="006601DF" w:rsidP="006601DF">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449FDD5" w14:textId="122711D8" w:rsidR="006601DF" w:rsidRPr="00B00AB4" w:rsidRDefault="00B00AB4" w:rsidP="00DB5A9F">
            <w:pPr>
              <w:widowControl/>
              <w:autoSpaceDE/>
              <w:autoSpaceDN/>
              <w:adjustRightInd/>
              <w:jc w:val="right"/>
              <w:rPr>
                <w:rFonts w:ascii="Calibri" w:hAnsi="Calibri" w:cs="Calibri"/>
                <w:b/>
                <w:bCs/>
                <w:color w:val="000000"/>
              </w:rPr>
            </w:pPr>
            <w:r w:rsidRPr="00B00AB4">
              <w:rPr>
                <w:rFonts w:ascii="Calibri" w:hAnsi="Calibri" w:cs="Calibri"/>
                <w:b/>
                <w:bCs/>
                <w:color w:val="000000"/>
              </w:rPr>
              <w:t>$7</w:t>
            </w:r>
            <w:r w:rsidR="007A57CA">
              <w:rPr>
                <w:rFonts w:ascii="Calibri" w:hAnsi="Calibri" w:cs="Calibri"/>
                <w:b/>
                <w:bCs/>
                <w:color w:val="000000"/>
              </w:rPr>
              <w:t>87,193</w:t>
            </w:r>
          </w:p>
        </w:tc>
      </w:tr>
    </w:tbl>
    <w:p w14:paraId="567C26C5" w14:textId="77777777" w:rsidR="004F26E9" w:rsidRDefault="004F26E9" w:rsidP="00493868">
      <w:pPr>
        <w:tabs>
          <w:tab w:val="left" w:pos="540"/>
        </w:tabs>
        <w:ind w:left="540"/>
        <w:rPr>
          <w:sz w:val="24"/>
          <w:szCs w:val="24"/>
        </w:rPr>
      </w:pPr>
    </w:p>
    <w:p w14:paraId="73E8441B" w14:textId="77777777" w:rsidR="004F26E9" w:rsidRDefault="004F26E9" w:rsidP="00493868">
      <w:pPr>
        <w:tabs>
          <w:tab w:val="left" w:pos="540"/>
        </w:tabs>
        <w:ind w:left="540"/>
        <w:rPr>
          <w:sz w:val="24"/>
          <w:szCs w:val="24"/>
        </w:rPr>
      </w:pPr>
    </w:p>
    <w:p w14:paraId="3089B945" w14:textId="77777777" w:rsidR="004F26E9" w:rsidRDefault="00493868" w:rsidP="00493868">
      <w:pPr>
        <w:tabs>
          <w:tab w:val="left" w:pos="540"/>
        </w:tabs>
        <w:ind w:left="540" w:hanging="540"/>
        <w:rPr>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14:paraId="2E95507A" w14:textId="77777777"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0D49BA" w:rsidRPr="00F37052" w14:paraId="0720F182" w14:textId="77777777" w:rsidTr="000D49BA">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14:paraId="313D2BF1"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14:paraId="12CB8B4E"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14:paraId="25ABDF24"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14:paraId="4D9C3D92"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14:paraId="7DF2ED8A"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14:paraId="6B8FCFBA"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F37052" w:rsidRPr="00F37052" w14:paraId="0CA2F827" w14:textId="77777777" w:rsidTr="000D49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5DDC11A" w14:textId="77777777" w:rsidR="00F37052" w:rsidRPr="00282B1E" w:rsidRDefault="00F37052" w:rsidP="00F37052">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745B0BF"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79A9954"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F914CB"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14:paraId="3E9F6B17"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04DC25C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E0363C" w:rsidRPr="00F37052" w14:paraId="6AC83784" w14:textId="77777777" w:rsidTr="00AF58A7">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63169901" w14:textId="77777777" w:rsidR="00E0363C" w:rsidRPr="00F37052" w:rsidRDefault="00E0363C" w:rsidP="00AF58A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Permits Specialist</w:t>
            </w:r>
          </w:p>
        </w:tc>
        <w:tc>
          <w:tcPr>
            <w:tcW w:w="1620" w:type="dxa"/>
            <w:tcBorders>
              <w:top w:val="nil"/>
              <w:left w:val="nil"/>
              <w:bottom w:val="single" w:sz="4" w:space="0" w:color="auto"/>
              <w:right w:val="single" w:sz="4" w:space="0" w:color="auto"/>
            </w:tcBorders>
            <w:shd w:val="clear" w:color="auto" w:fill="auto"/>
            <w:noWrap/>
            <w:vAlign w:val="bottom"/>
            <w:hideMark/>
          </w:tcPr>
          <w:p w14:paraId="74F894FA" w14:textId="77777777" w:rsidR="00E0363C" w:rsidRPr="00F37052" w:rsidRDefault="00E0363C"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 Step 3</w:t>
            </w:r>
          </w:p>
        </w:tc>
        <w:tc>
          <w:tcPr>
            <w:tcW w:w="1530" w:type="dxa"/>
            <w:tcBorders>
              <w:top w:val="nil"/>
              <w:left w:val="nil"/>
              <w:bottom w:val="single" w:sz="4" w:space="0" w:color="auto"/>
              <w:right w:val="single" w:sz="4" w:space="0" w:color="auto"/>
            </w:tcBorders>
            <w:shd w:val="clear" w:color="auto" w:fill="auto"/>
            <w:noWrap/>
            <w:vAlign w:val="bottom"/>
            <w:hideMark/>
          </w:tcPr>
          <w:p w14:paraId="7F781DF2" w14:textId="77777777" w:rsidR="00E0363C" w:rsidRPr="00F37052" w:rsidRDefault="00E0363C"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$81,658</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E21D91B" w14:textId="77777777" w:rsidR="00E0363C" w:rsidRPr="00F37052" w:rsidRDefault="00D13E03"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r w:rsidR="00E0363C"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3392B4F4"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1E34CDCF" w14:textId="77777777" w:rsidR="00E0363C" w:rsidRPr="00F37052" w:rsidRDefault="00D13E03"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$52,261</w:t>
            </w:r>
          </w:p>
        </w:tc>
      </w:tr>
      <w:tr w:rsidR="00E0363C" w:rsidRPr="00F37052" w14:paraId="74256F20" w14:textId="77777777" w:rsidTr="00AF58A7">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tcPr>
          <w:p w14:paraId="2451DE67" w14:textId="77777777" w:rsidR="00E0363C" w:rsidRPr="00F37052" w:rsidRDefault="00E0363C" w:rsidP="00AF58A7">
            <w:pPr>
              <w:widowControl/>
              <w:autoSpaceDE/>
              <w:autoSpaceDN/>
              <w:adjustRightInd/>
              <w:rPr>
                <w:rFonts w:ascii="Calibri" w:hAnsi="Calibri" w:cs="Calibri"/>
                <w:color w:val="000000"/>
                <w:sz w:val="16"/>
                <w:szCs w:val="16"/>
              </w:rPr>
            </w:pPr>
            <w:r>
              <w:rPr>
                <w:rFonts w:ascii="Calibri" w:hAnsi="Calibri" w:cs="Calibri"/>
                <w:color w:val="000000"/>
                <w:sz w:val="16"/>
                <w:szCs w:val="16"/>
              </w:rPr>
              <w:t>Fisheries Sampling Branch Manager</w:t>
            </w:r>
          </w:p>
        </w:tc>
        <w:tc>
          <w:tcPr>
            <w:tcW w:w="1620" w:type="dxa"/>
            <w:tcBorders>
              <w:top w:val="nil"/>
              <w:left w:val="nil"/>
              <w:bottom w:val="single" w:sz="4" w:space="0" w:color="auto"/>
              <w:right w:val="single" w:sz="4" w:space="0" w:color="auto"/>
            </w:tcBorders>
            <w:shd w:val="clear" w:color="auto" w:fill="auto"/>
            <w:noWrap/>
            <w:vAlign w:val="bottom"/>
          </w:tcPr>
          <w:p w14:paraId="73CDE4FD" w14:textId="77777777" w:rsidR="00E0363C" w:rsidRPr="00F37052" w:rsidRDefault="00E0363C"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III/ Step 3</w:t>
            </w:r>
          </w:p>
        </w:tc>
        <w:tc>
          <w:tcPr>
            <w:tcW w:w="1530" w:type="dxa"/>
            <w:tcBorders>
              <w:top w:val="nil"/>
              <w:left w:val="nil"/>
              <w:bottom w:val="single" w:sz="4" w:space="0" w:color="auto"/>
              <w:right w:val="single" w:sz="4" w:space="0" w:color="auto"/>
            </w:tcBorders>
            <w:shd w:val="clear" w:color="auto" w:fill="auto"/>
            <w:noWrap/>
            <w:vAlign w:val="bottom"/>
          </w:tcPr>
          <w:p w14:paraId="3CD6BA5E" w14:textId="77777777" w:rsidR="00E0363C" w:rsidRPr="00F37052" w:rsidRDefault="00E0363C"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$107,542</w:t>
            </w:r>
          </w:p>
        </w:tc>
        <w:tc>
          <w:tcPr>
            <w:tcW w:w="1080" w:type="dxa"/>
            <w:tcBorders>
              <w:top w:val="nil"/>
              <w:left w:val="nil"/>
              <w:bottom w:val="single" w:sz="4" w:space="0" w:color="auto"/>
              <w:right w:val="single" w:sz="4" w:space="0" w:color="auto"/>
            </w:tcBorders>
            <w:shd w:val="clear" w:color="auto" w:fill="auto"/>
            <w:noWrap/>
            <w:vAlign w:val="bottom"/>
          </w:tcPr>
          <w:p w14:paraId="14B876C0" w14:textId="77777777" w:rsidR="00E0363C" w:rsidRPr="00F37052" w:rsidRDefault="006504F7"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w:t>
            </w:r>
          </w:p>
        </w:tc>
        <w:tc>
          <w:tcPr>
            <w:tcW w:w="1800" w:type="dxa"/>
            <w:tcBorders>
              <w:top w:val="nil"/>
              <w:left w:val="nil"/>
              <w:bottom w:val="single" w:sz="4" w:space="0" w:color="auto"/>
              <w:right w:val="single" w:sz="4" w:space="0" w:color="auto"/>
            </w:tcBorders>
            <w:shd w:val="clear" w:color="000000" w:fill="808080"/>
            <w:noWrap/>
            <w:vAlign w:val="bottom"/>
          </w:tcPr>
          <w:p w14:paraId="03B06BFC" w14:textId="77777777" w:rsidR="00E0363C" w:rsidRPr="00F37052" w:rsidRDefault="00E0363C" w:rsidP="00AF58A7">
            <w:pPr>
              <w:widowControl/>
              <w:autoSpaceDE/>
              <w:autoSpaceDN/>
              <w:adjustRightInd/>
              <w:jc w:val="right"/>
              <w:rPr>
                <w:rFonts w:ascii="Calibri" w:hAnsi="Calibri" w:cs="Calibri"/>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bottom"/>
          </w:tcPr>
          <w:p w14:paraId="222B59EC" w14:textId="77777777" w:rsidR="00E0363C" w:rsidRPr="00F37052" w:rsidRDefault="006504F7"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$27,960</w:t>
            </w:r>
          </w:p>
        </w:tc>
      </w:tr>
      <w:tr w:rsidR="00E0363C" w:rsidRPr="00F37052" w14:paraId="59419E55" w14:textId="77777777" w:rsidTr="00AF58A7">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14:paraId="5B2507E6" w14:textId="77777777" w:rsidR="00E0363C" w:rsidRPr="00282B1E" w:rsidRDefault="00E0363C" w:rsidP="00AF58A7">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14:paraId="36ACE456"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1C092A8"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C70195"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3494A711"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45DA0D6B"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E0363C" w:rsidRPr="00F37052" w14:paraId="2F83C1A5" w14:textId="77777777" w:rsidTr="00AF58A7">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45640243" w14:textId="77777777" w:rsidR="00E0363C" w:rsidRPr="00F37052" w:rsidRDefault="00E0363C" w:rsidP="00AF58A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Sampling Branch Contractor</w:t>
            </w:r>
          </w:p>
        </w:tc>
        <w:tc>
          <w:tcPr>
            <w:tcW w:w="1620" w:type="dxa"/>
            <w:tcBorders>
              <w:top w:val="nil"/>
              <w:left w:val="nil"/>
              <w:bottom w:val="single" w:sz="4" w:space="0" w:color="auto"/>
              <w:right w:val="single" w:sz="4" w:space="0" w:color="auto"/>
            </w:tcBorders>
            <w:shd w:val="clear" w:color="auto" w:fill="auto"/>
            <w:noWrap/>
            <w:vAlign w:val="bottom"/>
            <w:hideMark/>
          </w:tcPr>
          <w:p w14:paraId="28B7A6F2"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88C6D41" w14:textId="77777777" w:rsidR="00E0363C" w:rsidRPr="00F37052" w:rsidRDefault="00E0363C"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$60,000</w:t>
            </w:r>
          </w:p>
        </w:tc>
        <w:tc>
          <w:tcPr>
            <w:tcW w:w="1080" w:type="dxa"/>
            <w:tcBorders>
              <w:top w:val="nil"/>
              <w:left w:val="nil"/>
              <w:bottom w:val="single" w:sz="4" w:space="0" w:color="auto"/>
              <w:right w:val="single" w:sz="4" w:space="0" w:color="auto"/>
            </w:tcBorders>
            <w:shd w:val="clear" w:color="auto" w:fill="auto"/>
            <w:noWrap/>
            <w:vAlign w:val="bottom"/>
            <w:hideMark/>
          </w:tcPr>
          <w:p w14:paraId="2E481A33" w14:textId="77777777" w:rsidR="00E0363C" w:rsidRPr="00F37052" w:rsidRDefault="006504F7"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w:t>
            </w:r>
            <w:r w:rsidR="00E0363C"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21EA39" w14:textId="77777777" w:rsidR="00E0363C" w:rsidRPr="00F37052" w:rsidRDefault="00E0363C" w:rsidP="00AF58A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7323626C" w14:textId="77777777" w:rsidR="00E0363C" w:rsidRPr="00F37052" w:rsidRDefault="006504F7" w:rsidP="00AF58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$35,400</w:t>
            </w:r>
            <w:r w:rsidR="00E0363C" w:rsidRPr="00F37052">
              <w:rPr>
                <w:rFonts w:ascii="Calibri" w:hAnsi="Calibri" w:cs="Calibri"/>
                <w:color w:val="000000"/>
                <w:sz w:val="16"/>
                <w:szCs w:val="16"/>
              </w:rPr>
              <w:t> </w:t>
            </w:r>
          </w:p>
        </w:tc>
      </w:tr>
      <w:tr w:rsidR="00F37052" w:rsidRPr="00F37052" w14:paraId="1CE1727C"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6CA8ACE2"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14:paraId="1DFD410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17B57FB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28F264B5"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760E2E92"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191D876F" w14:textId="77777777" w:rsidR="00F37052" w:rsidRPr="00F37052" w:rsidRDefault="00D13E03"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r>
      <w:tr w:rsidR="00F37052" w:rsidRPr="00F37052" w14:paraId="333FCB13"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FF1CBA0"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14:paraId="4A1D8507"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69853774"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36AD5C25"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33B4CCB6"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3A1E30B8" w14:textId="77777777" w:rsidR="00F37052" w:rsidRPr="00F37052" w:rsidRDefault="00D13E03"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r>
      <w:tr w:rsidR="001A46F7" w:rsidRPr="00F37052" w14:paraId="3A638BD5" w14:textId="77777777" w:rsidTr="001A46F7">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14:paraId="315E75A4"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14:paraId="0FD3D0F9" w14:textId="77777777"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4C04A35E" w14:textId="77777777"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14:paraId="68FC2EDA" w14:textId="77777777"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2D9E5C01" w14:textId="77777777"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2F3C610A" w14:textId="7FE43D11" w:rsidR="00F37052" w:rsidRPr="00F37052" w:rsidRDefault="00D13E03" w:rsidP="00D13E03">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r w:rsidR="00C978A3">
              <w:rPr>
                <w:rFonts w:ascii="Calibri" w:hAnsi="Calibri" w:cs="Calibri"/>
                <w:b/>
                <w:color w:val="000000"/>
                <w:sz w:val="16"/>
                <w:szCs w:val="16"/>
              </w:rPr>
              <w:t>15,621</w:t>
            </w:r>
            <w:r w:rsidR="00F37052" w:rsidRPr="00F37052">
              <w:rPr>
                <w:rFonts w:ascii="Calibri" w:hAnsi="Calibri" w:cs="Calibri"/>
                <w:b/>
                <w:color w:val="000000"/>
                <w:sz w:val="16"/>
                <w:szCs w:val="16"/>
              </w:rPr>
              <w:t> </w:t>
            </w:r>
          </w:p>
        </w:tc>
      </w:tr>
    </w:tbl>
    <w:p w14:paraId="17F843FF" w14:textId="77777777" w:rsidR="004F26E9" w:rsidRDefault="004F26E9" w:rsidP="00493868">
      <w:pPr>
        <w:tabs>
          <w:tab w:val="left" w:pos="540"/>
        </w:tabs>
        <w:ind w:left="540"/>
        <w:rPr>
          <w:sz w:val="24"/>
          <w:szCs w:val="24"/>
        </w:rPr>
      </w:pPr>
    </w:p>
    <w:p w14:paraId="2A554A68" w14:textId="77777777" w:rsidR="004F26E9" w:rsidRDefault="004F26E9" w:rsidP="00493868">
      <w:pPr>
        <w:tabs>
          <w:tab w:val="left" w:pos="540"/>
        </w:tabs>
        <w:ind w:left="540"/>
        <w:rPr>
          <w:sz w:val="24"/>
          <w:szCs w:val="24"/>
        </w:rPr>
      </w:pPr>
    </w:p>
    <w:p w14:paraId="2514372C" w14:textId="77777777" w:rsidR="00732713" w:rsidRDefault="00732713" w:rsidP="00493868">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14:paraId="13956017" w14:textId="77777777" w:rsidR="004F26E9" w:rsidRDefault="004F26E9" w:rsidP="00493868">
      <w:pPr>
        <w:tabs>
          <w:tab w:val="left" w:pos="540"/>
        </w:tabs>
        <w:ind w:left="540"/>
        <w:rPr>
          <w:sz w:val="24"/>
          <w:szCs w:val="24"/>
        </w:rPr>
      </w:pPr>
    </w:p>
    <w:p w14:paraId="6494024F" w14:textId="77777777" w:rsidR="004F26E9" w:rsidRDefault="00493868" w:rsidP="00493868">
      <w:pPr>
        <w:tabs>
          <w:tab w:val="left" w:pos="540"/>
        </w:tabs>
        <w:ind w:left="540" w:hanging="540"/>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14:paraId="1D297422" w14:textId="77777777" w:rsidR="00A110F0" w:rsidRDefault="00A110F0" w:rsidP="00732713">
      <w:pPr>
        <w:rPr>
          <w:sz w:val="24"/>
          <w:szCs w:val="24"/>
        </w:rPr>
      </w:pPr>
    </w:p>
    <w:p w14:paraId="5A58F140" w14:textId="77777777" w:rsidR="00732713" w:rsidRPr="00732713" w:rsidRDefault="00732713" w:rsidP="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14:paraId="212C073C" w14:textId="77777777" w:rsidR="004F26E9" w:rsidRDefault="004F26E9" w:rsidP="00493868">
      <w:pPr>
        <w:tabs>
          <w:tab w:val="left" w:pos="540"/>
        </w:tabs>
        <w:ind w:left="540"/>
        <w:rPr>
          <w:sz w:val="24"/>
          <w:szCs w:val="24"/>
        </w:rPr>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00732713" w:rsidRPr="00A110F0" w14:paraId="01F7CEFE" w14:textId="77777777" w:rsidTr="00984CDB">
        <w:tc>
          <w:tcPr>
            <w:tcW w:w="2478" w:type="dxa"/>
            <w:vMerge w:val="restart"/>
            <w:shd w:val="clear" w:color="auto" w:fill="5B9BD5" w:themeFill="accent1"/>
            <w:vAlign w:val="center"/>
          </w:tcPr>
          <w:p w14:paraId="311E3A40" w14:textId="77777777" w:rsidR="00732713" w:rsidRPr="00A110F0" w:rsidRDefault="00A110F0"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133" w:type="dxa"/>
            <w:gridSpan w:val="2"/>
            <w:tcBorders>
              <w:bottom w:val="single" w:sz="4" w:space="0" w:color="auto"/>
            </w:tcBorders>
            <w:shd w:val="clear" w:color="auto" w:fill="5B9BD5" w:themeFill="accent1"/>
            <w:vAlign w:val="center"/>
          </w:tcPr>
          <w:p w14:paraId="6FAD7E97"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Respondents</w:t>
            </w:r>
          </w:p>
        </w:tc>
        <w:tc>
          <w:tcPr>
            <w:tcW w:w="2132" w:type="dxa"/>
            <w:gridSpan w:val="2"/>
            <w:tcBorders>
              <w:bottom w:val="single" w:sz="4" w:space="0" w:color="auto"/>
            </w:tcBorders>
            <w:shd w:val="clear" w:color="auto" w:fill="5B9BD5" w:themeFill="accent1"/>
            <w:vAlign w:val="center"/>
          </w:tcPr>
          <w:p w14:paraId="6DDE62C9"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Responses</w:t>
            </w:r>
          </w:p>
        </w:tc>
        <w:tc>
          <w:tcPr>
            <w:tcW w:w="2259" w:type="dxa"/>
            <w:gridSpan w:val="2"/>
            <w:tcBorders>
              <w:bottom w:val="single" w:sz="4" w:space="0" w:color="auto"/>
            </w:tcBorders>
            <w:shd w:val="clear" w:color="auto" w:fill="5B9BD5" w:themeFill="accent1"/>
            <w:vAlign w:val="center"/>
          </w:tcPr>
          <w:p w14:paraId="0780A3A5"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Burden Hours</w:t>
            </w:r>
          </w:p>
        </w:tc>
        <w:tc>
          <w:tcPr>
            <w:tcW w:w="4390" w:type="dxa"/>
            <w:vMerge w:val="restart"/>
            <w:shd w:val="clear" w:color="auto" w:fill="5B9BD5" w:themeFill="accent1"/>
            <w:vAlign w:val="center"/>
          </w:tcPr>
          <w:p w14:paraId="6D12B6B2"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732713" w:rsidRPr="00A110F0" w14:paraId="160DBC63" w14:textId="77777777" w:rsidTr="00984CDB">
        <w:tc>
          <w:tcPr>
            <w:tcW w:w="2478" w:type="dxa"/>
            <w:vMerge/>
            <w:shd w:val="clear" w:color="auto" w:fill="5B9BD5" w:themeFill="accent1"/>
            <w:vAlign w:val="center"/>
          </w:tcPr>
          <w:p w14:paraId="1ACC915C" w14:textId="77777777" w:rsidR="00732713" w:rsidRPr="00A110F0" w:rsidRDefault="00732713" w:rsidP="00FD3D2A">
            <w:pPr>
              <w:keepNext/>
              <w:rPr>
                <w:rFonts w:asciiTheme="minorHAnsi" w:eastAsia="Calibri" w:hAnsiTheme="minorHAnsi"/>
                <w:sz w:val="16"/>
                <w:szCs w:val="16"/>
              </w:rPr>
            </w:pPr>
          </w:p>
        </w:tc>
        <w:tc>
          <w:tcPr>
            <w:tcW w:w="1071" w:type="dxa"/>
            <w:tcBorders>
              <w:bottom w:val="single" w:sz="4" w:space="0" w:color="auto"/>
              <w:right w:val="dashed" w:sz="4" w:space="0" w:color="auto"/>
            </w:tcBorders>
            <w:shd w:val="clear" w:color="auto" w:fill="FBE4D5"/>
            <w:vAlign w:val="center"/>
          </w:tcPr>
          <w:p w14:paraId="34F13AE9"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062" w:type="dxa"/>
            <w:tcBorders>
              <w:left w:val="dashed" w:sz="4" w:space="0" w:color="auto"/>
              <w:bottom w:val="single" w:sz="4" w:space="0" w:color="auto"/>
            </w:tcBorders>
            <w:shd w:val="clear" w:color="auto" w:fill="FBE4D5"/>
            <w:vAlign w:val="center"/>
          </w:tcPr>
          <w:p w14:paraId="256DC7E0"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003" w:type="dxa"/>
            <w:tcBorders>
              <w:right w:val="dashed" w:sz="4" w:space="0" w:color="auto"/>
            </w:tcBorders>
            <w:shd w:val="clear" w:color="auto" w:fill="FBE4D5"/>
            <w:vAlign w:val="center"/>
          </w:tcPr>
          <w:p w14:paraId="7F999DEF" w14:textId="77777777" w:rsidR="00732713" w:rsidRPr="00A110F0" w:rsidRDefault="00732713" w:rsidP="00A110F0">
            <w:pPr>
              <w:keepNext/>
              <w:jc w:val="center"/>
              <w:rPr>
                <w:rFonts w:asciiTheme="minorHAnsi" w:eastAsia="Calibri" w:hAnsiTheme="minorHAnsi"/>
                <w:sz w:val="16"/>
                <w:szCs w:val="16"/>
              </w:rPr>
            </w:pPr>
            <w:r w:rsidRPr="00A110F0">
              <w:rPr>
                <w:rFonts w:asciiTheme="minorHAnsi" w:eastAsia="Calibri" w:hAnsiTheme="minorHAnsi"/>
                <w:sz w:val="16"/>
                <w:szCs w:val="16"/>
              </w:rPr>
              <w:t>Curren</w:t>
            </w:r>
            <w:r w:rsidR="00A110F0" w:rsidRPr="00A110F0">
              <w:rPr>
                <w:rFonts w:asciiTheme="minorHAnsi" w:eastAsia="Calibri" w:hAnsiTheme="minorHAnsi"/>
                <w:sz w:val="16"/>
                <w:szCs w:val="16"/>
              </w:rPr>
              <w:t>t Renewal / Revision</w:t>
            </w:r>
          </w:p>
        </w:tc>
        <w:tc>
          <w:tcPr>
            <w:tcW w:w="1129" w:type="dxa"/>
            <w:tcBorders>
              <w:left w:val="dashed" w:sz="4" w:space="0" w:color="auto"/>
            </w:tcBorders>
            <w:shd w:val="clear" w:color="auto" w:fill="FBE4D5"/>
            <w:vAlign w:val="center"/>
          </w:tcPr>
          <w:p w14:paraId="434CD78E"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129" w:type="dxa"/>
            <w:tcBorders>
              <w:bottom w:val="single" w:sz="4" w:space="0" w:color="auto"/>
              <w:right w:val="dashed" w:sz="4" w:space="0" w:color="auto"/>
            </w:tcBorders>
            <w:shd w:val="clear" w:color="auto" w:fill="FBE4D5"/>
            <w:vAlign w:val="center"/>
          </w:tcPr>
          <w:p w14:paraId="75F634A1"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130" w:type="dxa"/>
            <w:tcBorders>
              <w:left w:val="dashed" w:sz="4" w:space="0" w:color="auto"/>
            </w:tcBorders>
            <w:shd w:val="clear" w:color="auto" w:fill="FBE4D5"/>
            <w:vAlign w:val="center"/>
          </w:tcPr>
          <w:p w14:paraId="014E00B9" w14:textId="77777777"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4390" w:type="dxa"/>
            <w:vMerge/>
            <w:shd w:val="clear" w:color="auto" w:fill="FBE4D5"/>
            <w:vAlign w:val="center"/>
          </w:tcPr>
          <w:p w14:paraId="287E72FA" w14:textId="77777777" w:rsidR="00732713" w:rsidRPr="00A110F0" w:rsidRDefault="00732713" w:rsidP="00FD3D2A">
            <w:pPr>
              <w:keepNext/>
              <w:rPr>
                <w:rFonts w:asciiTheme="minorHAnsi" w:eastAsia="Calibri" w:hAnsiTheme="minorHAnsi"/>
                <w:sz w:val="16"/>
                <w:szCs w:val="16"/>
              </w:rPr>
            </w:pPr>
          </w:p>
        </w:tc>
      </w:tr>
      <w:tr w:rsidR="00BD7E8B" w:rsidRPr="00A110F0" w14:paraId="3A9C6BC1" w14:textId="77777777" w:rsidTr="00EE6B18">
        <w:tc>
          <w:tcPr>
            <w:tcW w:w="2478" w:type="dxa"/>
            <w:shd w:val="clear" w:color="auto" w:fill="FFF2CC" w:themeFill="accent4" w:themeFillTint="33"/>
            <w:vAlign w:val="bottom"/>
          </w:tcPr>
          <w:p w14:paraId="2800DF98" w14:textId="77777777" w:rsidR="00BD7E8B" w:rsidRPr="00C630D6" w:rsidRDefault="00BD7E8B" w:rsidP="00F344B6">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1071" w:type="dxa"/>
            <w:tcBorders>
              <w:bottom w:val="dotted" w:sz="4" w:space="0" w:color="auto"/>
              <w:right w:val="dashed" w:sz="4" w:space="0" w:color="auto"/>
            </w:tcBorders>
            <w:shd w:val="clear" w:color="auto" w:fill="auto"/>
            <w:vAlign w:val="center"/>
          </w:tcPr>
          <w:p w14:paraId="448EA033" w14:textId="77777777" w:rsidR="00BD7E8B" w:rsidRPr="00A110F0" w:rsidRDefault="00BD7E8B" w:rsidP="00F344B6">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2EA49BC8"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center"/>
          </w:tcPr>
          <w:p w14:paraId="7BF92251" w14:textId="77777777" w:rsidR="00BD7E8B" w:rsidRPr="00A110F0" w:rsidRDefault="00BD7E8B" w:rsidP="00F344B6">
            <w:pPr>
              <w:jc w:val="center"/>
              <w:rPr>
                <w:rFonts w:asciiTheme="minorHAnsi" w:eastAsia="Calibri" w:hAnsiTheme="minorHAnsi"/>
                <w:sz w:val="16"/>
                <w:szCs w:val="16"/>
              </w:rPr>
            </w:pPr>
          </w:p>
        </w:tc>
        <w:tc>
          <w:tcPr>
            <w:tcW w:w="1129" w:type="dxa"/>
            <w:tcBorders>
              <w:left w:val="dashed" w:sz="4" w:space="0" w:color="auto"/>
              <w:bottom w:val="dotted" w:sz="4" w:space="0" w:color="auto"/>
            </w:tcBorders>
            <w:shd w:val="clear" w:color="auto" w:fill="auto"/>
            <w:vAlign w:val="center"/>
          </w:tcPr>
          <w:p w14:paraId="1FA67563"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center"/>
          </w:tcPr>
          <w:p w14:paraId="4FF22976" w14:textId="77777777" w:rsidR="00BD7E8B" w:rsidRPr="00A110F0" w:rsidRDefault="00BD7E8B" w:rsidP="00F344B6">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182D6D2F"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val="restart"/>
            <w:tcBorders>
              <w:left w:val="dotted" w:sz="4" w:space="0" w:color="auto"/>
            </w:tcBorders>
            <w:shd w:val="clear" w:color="auto" w:fill="auto"/>
            <w:vAlign w:val="center"/>
          </w:tcPr>
          <w:p w14:paraId="21C26B55" w14:textId="77777777" w:rsidR="00BD7E8B" w:rsidRPr="00A110F0" w:rsidRDefault="00BD7E8B" w:rsidP="00F344B6">
            <w:pPr>
              <w:rPr>
                <w:rFonts w:asciiTheme="minorHAnsi" w:eastAsia="Calibri" w:hAnsiTheme="minorHAnsi"/>
                <w:sz w:val="16"/>
                <w:szCs w:val="16"/>
              </w:rPr>
            </w:pPr>
            <w:r>
              <w:rPr>
                <w:rFonts w:asciiTheme="minorHAnsi" w:eastAsia="Calibri" w:hAnsiTheme="minorHAnsi"/>
                <w:sz w:val="16"/>
                <w:szCs w:val="16"/>
              </w:rPr>
              <w:t>New</w:t>
            </w:r>
            <w:r w:rsidR="005F0A76">
              <w:rPr>
                <w:rFonts w:asciiTheme="minorHAnsi" w:eastAsia="Calibri" w:hAnsiTheme="minorHAnsi"/>
                <w:sz w:val="16"/>
                <w:szCs w:val="16"/>
              </w:rPr>
              <w:t>/Updated</w:t>
            </w:r>
            <w:r>
              <w:rPr>
                <w:rFonts w:asciiTheme="minorHAnsi" w:eastAsia="Calibri" w:hAnsiTheme="minorHAnsi"/>
                <w:sz w:val="16"/>
                <w:szCs w:val="16"/>
              </w:rPr>
              <w:t xml:space="preserve"> Requirements</w:t>
            </w:r>
          </w:p>
        </w:tc>
      </w:tr>
      <w:tr w:rsidR="00BD7E8B" w:rsidRPr="00A110F0" w14:paraId="2A861733" w14:textId="77777777" w:rsidTr="009C4CD4">
        <w:tc>
          <w:tcPr>
            <w:tcW w:w="2478" w:type="dxa"/>
            <w:shd w:val="clear" w:color="auto" w:fill="auto"/>
            <w:vAlign w:val="bottom"/>
          </w:tcPr>
          <w:p w14:paraId="1DDE96B8" w14:textId="77777777" w:rsidR="00BD7E8B" w:rsidRPr="00AE62AC" w:rsidRDefault="00BD7E8B" w:rsidP="00BD7E8B">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1071" w:type="dxa"/>
            <w:tcBorders>
              <w:bottom w:val="dotted" w:sz="4" w:space="0" w:color="auto"/>
              <w:right w:val="dashed" w:sz="4" w:space="0" w:color="auto"/>
            </w:tcBorders>
            <w:shd w:val="clear" w:color="auto" w:fill="auto"/>
            <w:vAlign w:val="bottom"/>
          </w:tcPr>
          <w:p w14:paraId="7F48CEE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134</w:t>
            </w:r>
          </w:p>
        </w:tc>
        <w:tc>
          <w:tcPr>
            <w:tcW w:w="1062" w:type="dxa"/>
            <w:tcBorders>
              <w:left w:val="dashed" w:sz="4" w:space="0" w:color="auto"/>
              <w:bottom w:val="dotted" w:sz="4" w:space="0" w:color="auto"/>
            </w:tcBorders>
            <w:shd w:val="clear" w:color="auto" w:fill="auto"/>
            <w:vAlign w:val="bottom"/>
          </w:tcPr>
          <w:p w14:paraId="27359D3A"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156</w:t>
            </w:r>
          </w:p>
        </w:tc>
        <w:tc>
          <w:tcPr>
            <w:tcW w:w="1003" w:type="dxa"/>
            <w:tcBorders>
              <w:bottom w:val="dotted" w:sz="4" w:space="0" w:color="auto"/>
              <w:right w:val="dashed" w:sz="4" w:space="0" w:color="auto"/>
            </w:tcBorders>
            <w:shd w:val="clear" w:color="auto" w:fill="auto"/>
            <w:vAlign w:val="bottom"/>
          </w:tcPr>
          <w:p w14:paraId="4EDD8DE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3350</w:t>
            </w:r>
          </w:p>
        </w:tc>
        <w:tc>
          <w:tcPr>
            <w:tcW w:w="1129" w:type="dxa"/>
            <w:tcBorders>
              <w:left w:val="dashed" w:sz="4" w:space="0" w:color="auto"/>
              <w:bottom w:val="dotted" w:sz="4" w:space="0" w:color="auto"/>
            </w:tcBorders>
            <w:shd w:val="clear" w:color="auto" w:fill="auto"/>
            <w:vAlign w:val="bottom"/>
          </w:tcPr>
          <w:p w14:paraId="249A2DAA"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3900</w:t>
            </w:r>
          </w:p>
        </w:tc>
        <w:tc>
          <w:tcPr>
            <w:tcW w:w="1129" w:type="dxa"/>
            <w:tcBorders>
              <w:bottom w:val="dotted" w:sz="4" w:space="0" w:color="auto"/>
              <w:right w:val="dashed" w:sz="4" w:space="0" w:color="auto"/>
            </w:tcBorders>
            <w:shd w:val="clear" w:color="auto" w:fill="auto"/>
            <w:vAlign w:val="bottom"/>
          </w:tcPr>
          <w:p w14:paraId="49D69C90"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279</w:t>
            </w:r>
          </w:p>
        </w:tc>
        <w:tc>
          <w:tcPr>
            <w:tcW w:w="1130" w:type="dxa"/>
            <w:tcBorders>
              <w:left w:val="dashed" w:sz="4" w:space="0" w:color="auto"/>
              <w:bottom w:val="dotted" w:sz="4" w:space="0" w:color="auto"/>
            </w:tcBorders>
            <w:shd w:val="clear" w:color="auto" w:fill="auto"/>
            <w:vAlign w:val="bottom"/>
          </w:tcPr>
          <w:p w14:paraId="494116EE"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325</w:t>
            </w:r>
          </w:p>
        </w:tc>
        <w:tc>
          <w:tcPr>
            <w:tcW w:w="4390" w:type="dxa"/>
            <w:vMerge/>
            <w:tcBorders>
              <w:left w:val="dotted" w:sz="4" w:space="0" w:color="auto"/>
            </w:tcBorders>
            <w:shd w:val="clear" w:color="auto" w:fill="auto"/>
            <w:vAlign w:val="center"/>
          </w:tcPr>
          <w:p w14:paraId="61198166" w14:textId="77777777" w:rsidR="00BD7E8B" w:rsidRPr="00A110F0" w:rsidRDefault="00BD7E8B" w:rsidP="00BD7E8B">
            <w:pPr>
              <w:rPr>
                <w:rFonts w:asciiTheme="minorHAnsi" w:eastAsia="Calibri" w:hAnsiTheme="minorHAnsi"/>
                <w:sz w:val="16"/>
                <w:szCs w:val="16"/>
              </w:rPr>
            </w:pPr>
          </w:p>
        </w:tc>
      </w:tr>
      <w:tr w:rsidR="00BD7E8B" w:rsidRPr="00A110F0" w14:paraId="6D9CD597" w14:textId="77777777" w:rsidTr="009C4CD4">
        <w:tc>
          <w:tcPr>
            <w:tcW w:w="2478" w:type="dxa"/>
            <w:shd w:val="clear" w:color="auto" w:fill="auto"/>
            <w:vAlign w:val="center"/>
          </w:tcPr>
          <w:p w14:paraId="7534BDA4"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1071" w:type="dxa"/>
            <w:tcBorders>
              <w:bottom w:val="dotted" w:sz="4" w:space="0" w:color="auto"/>
              <w:right w:val="dashed" w:sz="4" w:space="0" w:color="auto"/>
            </w:tcBorders>
            <w:shd w:val="clear" w:color="auto" w:fill="auto"/>
            <w:vAlign w:val="bottom"/>
          </w:tcPr>
          <w:p w14:paraId="035C2CAD"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134</w:t>
            </w:r>
          </w:p>
        </w:tc>
        <w:tc>
          <w:tcPr>
            <w:tcW w:w="1062" w:type="dxa"/>
            <w:tcBorders>
              <w:left w:val="dashed" w:sz="4" w:space="0" w:color="auto"/>
              <w:bottom w:val="dotted" w:sz="4" w:space="0" w:color="auto"/>
            </w:tcBorders>
            <w:shd w:val="clear" w:color="auto" w:fill="auto"/>
            <w:vAlign w:val="bottom"/>
          </w:tcPr>
          <w:p w14:paraId="022A9223"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156</w:t>
            </w:r>
          </w:p>
        </w:tc>
        <w:tc>
          <w:tcPr>
            <w:tcW w:w="1003" w:type="dxa"/>
            <w:tcBorders>
              <w:bottom w:val="dotted" w:sz="4" w:space="0" w:color="auto"/>
              <w:right w:val="dashed" w:sz="4" w:space="0" w:color="auto"/>
            </w:tcBorders>
            <w:shd w:val="clear" w:color="auto" w:fill="auto"/>
            <w:vAlign w:val="bottom"/>
          </w:tcPr>
          <w:p w14:paraId="3634FF6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3350</w:t>
            </w:r>
          </w:p>
        </w:tc>
        <w:tc>
          <w:tcPr>
            <w:tcW w:w="1129" w:type="dxa"/>
            <w:tcBorders>
              <w:left w:val="dashed" w:sz="4" w:space="0" w:color="auto"/>
              <w:bottom w:val="dotted" w:sz="4" w:space="0" w:color="auto"/>
            </w:tcBorders>
            <w:shd w:val="clear" w:color="auto" w:fill="auto"/>
            <w:vAlign w:val="bottom"/>
          </w:tcPr>
          <w:p w14:paraId="2A374FEA"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3900</w:t>
            </w:r>
          </w:p>
        </w:tc>
        <w:tc>
          <w:tcPr>
            <w:tcW w:w="1129" w:type="dxa"/>
            <w:tcBorders>
              <w:bottom w:val="dotted" w:sz="4" w:space="0" w:color="auto"/>
              <w:right w:val="dashed" w:sz="4" w:space="0" w:color="auto"/>
            </w:tcBorders>
            <w:shd w:val="clear" w:color="auto" w:fill="auto"/>
            <w:vAlign w:val="bottom"/>
          </w:tcPr>
          <w:p w14:paraId="27019CA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56</w:t>
            </w:r>
          </w:p>
        </w:tc>
        <w:tc>
          <w:tcPr>
            <w:tcW w:w="1130" w:type="dxa"/>
            <w:tcBorders>
              <w:left w:val="dashed" w:sz="4" w:space="0" w:color="auto"/>
              <w:bottom w:val="dotted" w:sz="4" w:space="0" w:color="auto"/>
            </w:tcBorders>
            <w:shd w:val="clear" w:color="auto" w:fill="auto"/>
            <w:vAlign w:val="bottom"/>
          </w:tcPr>
          <w:p w14:paraId="03E36194" w14:textId="77777777" w:rsidR="00BD7E8B" w:rsidRPr="00A110F0" w:rsidRDefault="005F0A76" w:rsidP="009C4CD4">
            <w:pPr>
              <w:keepNext/>
              <w:jc w:val="center"/>
              <w:rPr>
                <w:rFonts w:asciiTheme="minorHAnsi" w:eastAsia="Calibri" w:hAnsiTheme="minorHAnsi"/>
                <w:sz w:val="16"/>
                <w:szCs w:val="16"/>
              </w:rPr>
            </w:pPr>
            <w:r>
              <w:rPr>
                <w:rFonts w:asciiTheme="minorHAnsi" w:eastAsia="Calibri" w:hAnsiTheme="minorHAnsi"/>
                <w:sz w:val="16"/>
                <w:szCs w:val="16"/>
              </w:rPr>
              <w:t>65</w:t>
            </w:r>
          </w:p>
        </w:tc>
        <w:tc>
          <w:tcPr>
            <w:tcW w:w="4390" w:type="dxa"/>
            <w:vMerge/>
            <w:tcBorders>
              <w:left w:val="dotted" w:sz="4" w:space="0" w:color="auto"/>
            </w:tcBorders>
            <w:shd w:val="clear" w:color="auto" w:fill="auto"/>
            <w:vAlign w:val="center"/>
          </w:tcPr>
          <w:p w14:paraId="45231301" w14:textId="77777777" w:rsidR="00BD7E8B" w:rsidRPr="00A110F0" w:rsidRDefault="00BD7E8B" w:rsidP="00BD7E8B">
            <w:pPr>
              <w:rPr>
                <w:rFonts w:asciiTheme="minorHAnsi" w:eastAsia="Calibri" w:hAnsiTheme="minorHAnsi"/>
                <w:sz w:val="16"/>
                <w:szCs w:val="16"/>
              </w:rPr>
            </w:pPr>
          </w:p>
        </w:tc>
      </w:tr>
      <w:tr w:rsidR="00BD7E8B" w:rsidRPr="00A110F0" w14:paraId="15D25C08" w14:textId="77777777" w:rsidTr="009C4CD4">
        <w:tc>
          <w:tcPr>
            <w:tcW w:w="2478" w:type="dxa"/>
            <w:shd w:val="clear" w:color="auto" w:fill="auto"/>
            <w:vAlign w:val="center"/>
          </w:tcPr>
          <w:p w14:paraId="34BB05F4"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Call to Service Provider to request IFM observer to access Groundfish Closed Areas</w:t>
            </w:r>
          </w:p>
        </w:tc>
        <w:tc>
          <w:tcPr>
            <w:tcW w:w="1071" w:type="dxa"/>
            <w:tcBorders>
              <w:bottom w:val="dotted" w:sz="4" w:space="0" w:color="auto"/>
              <w:right w:val="dashed" w:sz="4" w:space="0" w:color="auto"/>
            </w:tcBorders>
            <w:shd w:val="clear" w:color="auto" w:fill="auto"/>
            <w:vAlign w:val="bottom"/>
          </w:tcPr>
          <w:p w14:paraId="05E0447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062" w:type="dxa"/>
            <w:tcBorders>
              <w:left w:val="dashed" w:sz="4" w:space="0" w:color="auto"/>
              <w:bottom w:val="dotted" w:sz="4" w:space="0" w:color="auto"/>
            </w:tcBorders>
            <w:shd w:val="clear" w:color="auto" w:fill="auto"/>
            <w:vAlign w:val="bottom"/>
          </w:tcPr>
          <w:p w14:paraId="07AF9FD7"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793B253"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84</w:t>
            </w:r>
          </w:p>
        </w:tc>
        <w:tc>
          <w:tcPr>
            <w:tcW w:w="1129" w:type="dxa"/>
            <w:tcBorders>
              <w:left w:val="dashed" w:sz="4" w:space="0" w:color="auto"/>
              <w:bottom w:val="dotted" w:sz="4" w:space="0" w:color="auto"/>
            </w:tcBorders>
            <w:shd w:val="clear" w:color="auto" w:fill="auto"/>
            <w:vAlign w:val="bottom"/>
          </w:tcPr>
          <w:p w14:paraId="782D1555"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74984F64"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30" w:type="dxa"/>
            <w:tcBorders>
              <w:left w:val="dashed" w:sz="4" w:space="0" w:color="auto"/>
              <w:bottom w:val="dotted" w:sz="4" w:space="0" w:color="auto"/>
            </w:tcBorders>
            <w:shd w:val="clear" w:color="auto" w:fill="auto"/>
            <w:vAlign w:val="bottom"/>
          </w:tcPr>
          <w:p w14:paraId="122AB6BA"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0BB0B9BE" w14:textId="77777777" w:rsidR="00BD7E8B" w:rsidRPr="00A110F0" w:rsidRDefault="00BD7E8B" w:rsidP="00BD7E8B">
            <w:pPr>
              <w:rPr>
                <w:rFonts w:asciiTheme="minorHAnsi" w:eastAsia="Calibri" w:hAnsiTheme="minorHAnsi"/>
                <w:sz w:val="16"/>
                <w:szCs w:val="16"/>
              </w:rPr>
            </w:pPr>
          </w:p>
        </w:tc>
      </w:tr>
      <w:tr w:rsidR="00BD7E8B" w:rsidRPr="00A110F0" w14:paraId="568EA178" w14:textId="77777777" w:rsidTr="009C4CD4">
        <w:tc>
          <w:tcPr>
            <w:tcW w:w="2478" w:type="dxa"/>
            <w:shd w:val="clear" w:color="auto" w:fill="auto"/>
            <w:vAlign w:val="center"/>
          </w:tcPr>
          <w:p w14:paraId="4221669D"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service provider for Groundfish Closed Area </w:t>
            </w:r>
          </w:p>
        </w:tc>
        <w:tc>
          <w:tcPr>
            <w:tcW w:w="1071" w:type="dxa"/>
            <w:tcBorders>
              <w:bottom w:val="dotted" w:sz="4" w:space="0" w:color="auto"/>
              <w:right w:val="dashed" w:sz="4" w:space="0" w:color="auto"/>
            </w:tcBorders>
            <w:shd w:val="clear" w:color="auto" w:fill="auto"/>
            <w:vAlign w:val="bottom"/>
          </w:tcPr>
          <w:p w14:paraId="166A685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062" w:type="dxa"/>
            <w:tcBorders>
              <w:left w:val="dashed" w:sz="4" w:space="0" w:color="auto"/>
              <w:bottom w:val="dotted" w:sz="4" w:space="0" w:color="auto"/>
            </w:tcBorders>
            <w:shd w:val="clear" w:color="auto" w:fill="auto"/>
            <w:vAlign w:val="bottom"/>
          </w:tcPr>
          <w:p w14:paraId="0B32444D"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2272FE43"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84</w:t>
            </w:r>
          </w:p>
        </w:tc>
        <w:tc>
          <w:tcPr>
            <w:tcW w:w="1129" w:type="dxa"/>
            <w:tcBorders>
              <w:left w:val="dashed" w:sz="4" w:space="0" w:color="auto"/>
              <w:bottom w:val="dotted" w:sz="4" w:space="0" w:color="auto"/>
            </w:tcBorders>
            <w:shd w:val="clear" w:color="auto" w:fill="auto"/>
            <w:vAlign w:val="bottom"/>
          </w:tcPr>
          <w:p w14:paraId="30912456"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4B2BC278"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sz="4" w:space="0" w:color="auto"/>
              <w:bottom w:val="dotted" w:sz="4" w:space="0" w:color="auto"/>
            </w:tcBorders>
            <w:shd w:val="clear" w:color="auto" w:fill="auto"/>
            <w:vAlign w:val="bottom"/>
          </w:tcPr>
          <w:p w14:paraId="68D05D84"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1CA08EAF" w14:textId="77777777" w:rsidR="00BD7E8B" w:rsidRPr="00A110F0" w:rsidRDefault="00BD7E8B" w:rsidP="00BD7E8B">
            <w:pPr>
              <w:rPr>
                <w:rFonts w:asciiTheme="minorHAnsi" w:eastAsia="Calibri" w:hAnsiTheme="minorHAnsi"/>
                <w:sz w:val="16"/>
                <w:szCs w:val="16"/>
              </w:rPr>
            </w:pPr>
          </w:p>
        </w:tc>
      </w:tr>
      <w:tr w:rsidR="00BD7E8B" w:rsidRPr="00A110F0" w14:paraId="4F35D8DA" w14:textId="77777777" w:rsidTr="009C4CD4">
        <w:tc>
          <w:tcPr>
            <w:tcW w:w="2478" w:type="dxa"/>
            <w:shd w:val="clear" w:color="auto" w:fill="auto"/>
            <w:vAlign w:val="center"/>
          </w:tcPr>
          <w:p w14:paraId="38D566E4"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for IFM ASM Coverage</w:t>
            </w:r>
          </w:p>
        </w:tc>
        <w:tc>
          <w:tcPr>
            <w:tcW w:w="1071" w:type="dxa"/>
            <w:tcBorders>
              <w:bottom w:val="dotted" w:sz="4" w:space="0" w:color="auto"/>
              <w:right w:val="dashed" w:sz="4" w:space="0" w:color="auto"/>
            </w:tcBorders>
            <w:shd w:val="clear" w:color="auto" w:fill="auto"/>
            <w:vAlign w:val="bottom"/>
          </w:tcPr>
          <w:p w14:paraId="6DD8FAB0"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w:t>
            </w:r>
          </w:p>
        </w:tc>
        <w:tc>
          <w:tcPr>
            <w:tcW w:w="1062" w:type="dxa"/>
            <w:tcBorders>
              <w:left w:val="dashed" w:sz="4" w:space="0" w:color="auto"/>
              <w:bottom w:val="dotted" w:sz="4" w:space="0" w:color="auto"/>
            </w:tcBorders>
            <w:shd w:val="clear" w:color="auto" w:fill="auto"/>
            <w:vAlign w:val="bottom"/>
          </w:tcPr>
          <w:p w14:paraId="3816252E"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449D174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798</w:t>
            </w:r>
          </w:p>
        </w:tc>
        <w:tc>
          <w:tcPr>
            <w:tcW w:w="1129" w:type="dxa"/>
            <w:tcBorders>
              <w:left w:val="dashed" w:sz="4" w:space="0" w:color="auto"/>
              <w:bottom w:val="dotted" w:sz="4" w:space="0" w:color="auto"/>
            </w:tcBorders>
            <w:shd w:val="clear" w:color="auto" w:fill="auto"/>
            <w:vAlign w:val="bottom"/>
          </w:tcPr>
          <w:p w14:paraId="5992AFCB"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6B6EF70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30" w:type="dxa"/>
            <w:tcBorders>
              <w:left w:val="dashed" w:sz="4" w:space="0" w:color="auto"/>
              <w:bottom w:val="dotted" w:sz="4" w:space="0" w:color="auto"/>
            </w:tcBorders>
            <w:shd w:val="clear" w:color="auto" w:fill="auto"/>
            <w:vAlign w:val="bottom"/>
          </w:tcPr>
          <w:p w14:paraId="1B06CFA9"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F594841" w14:textId="77777777" w:rsidR="00BD7E8B" w:rsidRPr="00A110F0" w:rsidRDefault="00BD7E8B" w:rsidP="00BD7E8B">
            <w:pPr>
              <w:rPr>
                <w:rFonts w:asciiTheme="minorHAnsi" w:eastAsia="Calibri" w:hAnsiTheme="minorHAnsi"/>
                <w:sz w:val="16"/>
                <w:szCs w:val="16"/>
              </w:rPr>
            </w:pPr>
          </w:p>
        </w:tc>
      </w:tr>
      <w:tr w:rsidR="00BD7E8B" w:rsidRPr="00A110F0" w14:paraId="16CF4114" w14:textId="77777777" w:rsidTr="009C4CD4">
        <w:tc>
          <w:tcPr>
            <w:tcW w:w="2478" w:type="dxa"/>
            <w:shd w:val="clear" w:color="auto" w:fill="auto"/>
            <w:vAlign w:val="center"/>
          </w:tcPr>
          <w:p w14:paraId="5FCD0B1F"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(MWT vessels) for optional IFM observers to enter Groundfish Closed Area</w:t>
            </w:r>
          </w:p>
        </w:tc>
        <w:tc>
          <w:tcPr>
            <w:tcW w:w="1071" w:type="dxa"/>
            <w:tcBorders>
              <w:bottom w:val="dotted" w:sz="4" w:space="0" w:color="auto"/>
              <w:right w:val="dashed" w:sz="4" w:space="0" w:color="auto"/>
            </w:tcBorders>
            <w:shd w:val="clear" w:color="auto" w:fill="auto"/>
            <w:vAlign w:val="bottom"/>
          </w:tcPr>
          <w:p w14:paraId="58307BA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062" w:type="dxa"/>
            <w:tcBorders>
              <w:left w:val="dashed" w:sz="4" w:space="0" w:color="auto"/>
              <w:bottom w:val="dotted" w:sz="4" w:space="0" w:color="auto"/>
            </w:tcBorders>
            <w:shd w:val="clear" w:color="auto" w:fill="auto"/>
            <w:vAlign w:val="bottom"/>
          </w:tcPr>
          <w:p w14:paraId="5703A162"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41531AE5"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252</w:t>
            </w:r>
          </w:p>
        </w:tc>
        <w:tc>
          <w:tcPr>
            <w:tcW w:w="1129" w:type="dxa"/>
            <w:tcBorders>
              <w:left w:val="dashed" w:sz="4" w:space="0" w:color="auto"/>
              <w:bottom w:val="dotted" w:sz="4" w:space="0" w:color="auto"/>
            </w:tcBorders>
            <w:shd w:val="clear" w:color="auto" w:fill="auto"/>
            <w:vAlign w:val="bottom"/>
          </w:tcPr>
          <w:p w14:paraId="2C3BAB6B"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82BF4C0"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130" w:type="dxa"/>
            <w:tcBorders>
              <w:left w:val="dashed" w:sz="4" w:space="0" w:color="auto"/>
              <w:bottom w:val="dotted" w:sz="4" w:space="0" w:color="auto"/>
            </w:tcBorders>
            <w:shd w:val="clear" w:color="auto" w:fill="auto"/>
            <w:vAlign w:val="bottom"/>
          </w:tcPr>
          <w:p w14:paraId="19592B2A" w14:textId="77777777" w:rsidR="00BD7E8B" w:rsidRPr="00A110F0" w:rsidRDefault="00BD7E8B" w:rsidP="009C4CD4">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0CD9B3B1" w14:textId="77777777" w:rsidR="00BD7E8B" w:rsidRPr="00A110F0" w:rsidRDefault="00BD7E8B" w:rsidP="00BD7E8B">
            <w:pPr>
              <w:rPr>
                <w:rFonts w:asciiTheme="minorHAnsi" w:eastAsia="Calibri" w:hAnsiTheme="minorHAnsi"/>
                <w:sz w:val="16"/>
                <w:szCs w:val="16"/>
              </w:rPr>
            </w:pPr>
          </w:p>
        </w:tc>
      </w:tr>
      <w:tr w:rsidR="00BD7E8B" w:rsidRPr="00A110F0" w14:paraId="22A706FD" w14:textId="77777777" w:rsidTr="00EE6B18">
        <w:tc>
          <w:tcPr>
            <w:tcW w:w="2478" w:type="dxa"/>
            <w:shd w:val="clear" w:color="auto" w:fill="FFF2CC" w:themeFill="accent4" w:themeFillTint="33"/>
            <w:vAlign w:val="bottom"/>
          </w:tcPr>
          <w:p w14:paraId="28006373" w14:textId="77777777" w:rsidR="00BD7E8B" w:rsidRPr="00C630D6" w:rsidRDefault="00BD7E8B" w:rsidP="00F344B6">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Monitor Provider Requirements</w:t>
            </w:r>
          </w:p>
        </w:tc>
        <w:tc>
          <w:tcPr>
            <w:tcW w:w="1071" w:type="dxa"/>
            <w:tcBorders>
              <w:bottom w:val="dotted" w:sz="4" w:space="0" w:color="auto"/>
              <w:right w:val="dashed" w:sz="4" w:space="0" w:color="auto"/>
            </w:tcBorders>
            <w:shd w:val="clear" w:color="auto" w:fill="auto"/>
            <w:vAlign w:val="center"/>
          </w:tcPr>
          <w:p w14:paraId="31F3FBAF" w14:textId="77777777" w:rsidR="00BD7E8B" w:rsidRPr="00A110F0" w:rsidRDefault="00BD7E8B" w:rsidP="00F344B6">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14:paraId="780B384B"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center"/>
          </w:tcPr>
          <w:p w14:paraId="617B9FA3" w14:textId="77777777" w:rsidR="00BD7E8B" w:rsidRPr="00A110F0" w:rsidRDefault="00BD7E8B" w:rsidP="00F344B6">
            <w:pPr>
              <w:jc w:val="center"/>
              <w:rPr>
                <w:rFonts w:asciiTheme="minorHAnsi" w:eastAsia="Calibri" w:hAnsiTheme="minorHAnsi"/>
                <w:sz w:val="16"/>
                <w:szCs w:val="16"/>
              </w:rPr>
            </w:pPr>
          </w:p>
        </w:tc>
        <w:tc>
          <w:tcPr>
            <w:tcW w:w="1129" w:type="dxa"/>
            <w:tcBorders>
              <w:left w:val="dashed" w:sz="4" w:space="0" w:color="auto"/>
              <w:bottom w:val="dotted" w:sz="4" w:space="0" w:color="auto"/>
            </w:tcBorders>
            <w:shd w:val="clear" w:color="auto" w:fill="auto"/>
            <w:vAlign w:val="center"/>
          </w:tcPr>
          <w:p w14:paraId="5EA81CEF"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center"/>
          </w:tcPr>
          <w:p w14:paraId="726AEC2A" w14:textId="77777777" w:rsidR="00BD7E8B" w:rsidRPr="00A110F0" w:rsidRDefault="00BD7E8B" w:rsidP="00F344B6">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14:paraId="0AF30451" w14:textId="77777777" w:rsidR="00BD7E8B" w:rsidRPr="00A110F0" w:rsidRDefault="00BD7E8B"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27F9510C" w14:textId="77777777" w:rsidR="00BD7E8B" w:rsidRPr="00A110F0" w:rsidRDefault="00BD7E8B" w:rsidP="00F344B6">
            <w:pPr>
              <w:rPr>
                <w:rFonts w:asciiTheme="minorHAnsi" w:eastAsia="Calibri" w:hAnsiTheme="minorHAnsi"/>
                <w:sz w:val="16"/>
                <w:szCs w:val="16"/>
              </w:rPr>
            </w:pPr>
          </w:p>
        </w:tc>
      </w:tr>
      <w:tr w:rsidR="00BD7E8B" w:rsidRPr="00A110F0" w14:paraId="4B26A54E" w14:textId="77777777" w:rsidTr="00EE6B18">
        <w:tc>
          <w:tcPr>
            <w:tcW w:w="2478" w:type="dxa"/>
            <w:shd w:val="clear" w:color="auto" w:fill="auto"/>
            <w:vAlign w:val="center"/>
          </w:tcPr>
          <w:p w14:paraId="7CC3D247"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deployment report</w:t>
            </w:r>
          </w:p>
        </w:tc>
        <w:tc>
          <w:tcPr>
            <w:tcW w:w="1071" w:type="dxa"/>
            <w:tcBorders>
              <w:bottom w:val="dotted" w:sz="4" w:space="0" w:color="auto"/>
              <w:right w:val="dashed" w:sz="4" w:space="0" w:color="auto"/>
            </w:tcBorders>
            <w:shd w:val="clear" w:color="auto" w:fill="auto"/>
            <w:vAlign w:val="bottom"/>
          </w:tcPr>
          <w:p w14:paraId="7F66DAB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27E262B2"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32F11F0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111</w:t>
            </w:r>
          </w:p>
        </w:tc>
        <w:tc>
          <w:tcPr>
            <w:tcW w:w="1129" w:type="dxa"/>
            <w:tcBorders>
              <w:left w:val="dashed" w:sz="4" w:space="0" w:color="auto"/>
              <w:bottom w:val="dotted" w:sz="4" w:space="0" w:color="auto"/>
            </w:tcBorders>
            <w:shd w:val="clear" w:color="auto" w:fill="auto"/>
            <w:vAlign w:val="center"/>
          </w:tcPr>
          <w:p w14:paraId="673F491F"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1E5095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74</w:t>
            </w:r>
          </w:p>
        </w:tc>
        <w:tc>
          <w:tcPr>
            <w:tcW w:w="1130" w:type="dxa"/>
            <w:tcBorders>
              <w:left w:val="dashed" w:sz="4" w:space="0" w:color="auto"/>
              <w:bottom w:val="dotted" w:sz="4" w:space="0" w:color="auto"/>
            </w:tcBorders>
            <w:shd w:val="clear" w:color="auto" w:fill="auto"/>
            <w:vAlign w:val="center"/>
          </w:tcPr>
          <w:p w14:paraId="4AA4621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1F52EBA4" w14:textId="77777777" w:rsidR="00BD7E8B" w:rsidRPr="00A110F0" w:rsidRDefault="00BD7E8B" w:rsidP="00BD7E8B">
            <w:pPr>
              <w:rPr>
                <w:rFonts w:asciiTheme="minorHAnsi" w:eastAsia="Calibri" w:hAnsiTheme="minorHAnsi"/>
                <w:sz w:val="16"/>
                <w:szCs w:val="16"/>
              </w:rPr>
            </w:pPr>
          </w:p>
        </w:tc>
      </w:tr>
      <w:tr w:rsidR="00BD7E8B" w:rsidRPr="00A110F0" w14:paraId="3719BCC2" w14:textId="77777777" w:rsidTr="00EE6B18">
        <w:tc>
          <w:tcPr>
            <w:tcW w:w="2478" w:type="dxa"/>
            <w:shd w:val="clear" w:color="auto" w:fill="auto"/>
            <w:vAlign w:val="center"/>
          </w:tcPr>
          <w:p w14:paraId="24A07A0E"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ASM availability report</w:t>
            </w:r>
          </w:p>
        </w:tc>
        <w:tc>
          <w:tcPr>
            <w:tcW w:w="1071" w:type="dxa"/>
            <w:tcBorders>
              <w:bottom w:val="dotted" w:sz="4" w:space="0" w:color="auto"/>
              <w:right w:val="dashed" w:sz="4" w:space="0" w:color="auto"/>
            </w:tcBorders>
            <w:shd w:val="clear" w:color="auto" w:fill="auto"/>
            <w:vAlign w:val="bottom"/>
          </w:tcPr>
          <w:p w14:paraId="3B7720F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643847D8"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5E291870"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54</w:t>
            </w:r>
          </w:p>
        </w:tc>
        <w:tc>
          <w:tcPr>
            <w:tcW w:w="1129" w:type="dxa"/>
            <w:tcBorders>
              <w:left w:val="dashed" w:sz="4" w:space="0" w:color="auto"/>
              <w:bottom w:val="dotted" w:sz="4" w:space="0" w:color="auto"/>
            </w:tcBorders>
            <w:shd w:val="clear" w:color="auto" w:fill="auto"/>
            <w:vAlign w:val="center"/>
          </w:tcPr>
          <w:p w14:paraId="699B5AE6"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7FB1E12"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72</w:t>
            </w:r>
          </w:p>
        </w:tc>
        <w:tc>
          <w:tcPr>
            <w:tcW w:w="1130" w:type="dxa"/>
            <w:tcBorders>
              <w:left w:val="dashed" w:sz="4" w:space="0" w:color="auto"/>
              <w:bottom w:val="dotted" w:sz="4" w:space="0" w:color="auto"/>
            </w:tcBorders>
            <w:shd w:val="clear" w:color="auto" w:fill="auto"/>
            <w:vAlign w:val="center"/>
          </w:tcPr>
          <w:p w14:paraId="47BD5D53"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46B20940" w14:textId="77777777" w:rsidR="00BD7E8B" w:rsidRPr="00A110F0" w:rsidRDefault="00BD7E8B" w:rsidP="00BD7E8B">
            <w:pPr>
              <w:rPr>
                <w:rFonts w:asciiTheme="minorHAnsi" w:eastAsia="Calibri" w:hAnsiTheme="minorHAnsi"/>
                <w:sz w:val="16"/>
                <w:szCs w:val="16"/>
              </w:rPr>
            </w:pPr>
          </w:p>
        </w:tc>
      </w:tr>
      <w:tr w:rsidR="00BD7E8B" w:rsidRPr="00A110F0" w14:paraId="4A9A7C87" w14:textId="77777777" w:rsidTr="00EE6B18">
        <w:tc>
          <w:tcPr>
            <w:tcW w:w="2478" w:type="dxa"/>
            <w:shd w:val="clear" w:color="auto" w:fill="auto"/>
            <w:vAlign w:val="center"/>
          </w:tcPr>
          <w:p w14:paraId="716B3684"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Safety refusals</w:t>
            </w:r>
          </w:p>
        </w:tc>
        <w:tc>
          <w:tcPr>
            <w:tcW w:w="1071" w:type="dxa"/>
            <w:tcBorders>
              <w:bottom w:val="dotted" w:sz="4" w:space="0" w:color="auto"/>
              <w:right w:val="dashed" w:sz="4" w:space="0" w:color="auto"/>
            </w:tcBorders>
            <w:shd w:val="clear" w:color="auto" w:fill="auto"/>
            <w:vAlign w:val="bottom"/>
          </w:tcPr>
          <w:p w14:paraId="39175034"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4E6CA43F"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38E5D80F"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29" w:type="dxa"/>
            <w:tcBorders>
              <w:left w:val="dashed" w:sz="4" w:space="0" w:color="auto"/>
              <w:bottom w:val="dotted" w:sz="4" w:space="0" w:color="auto"/>
            </w:tcBorders>
            <w:shd w:val="clear" w:color="auto" w:fill="auto"/>
            <w:vAlign w:val="center"/>
          </w:tcPr>
          <w:p w14:paraId="649E82C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300AEEA5"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1130" w:type="dxa"/>
            <w:tcBorders>
              <w:left w:val="dashed" w:sz="4" w:space="0" w:color="auto"/>
              <w:bottom w:val="dotted" w:sz="4" w:space="0" w:color="auto"/>
            </w:tcBorders>
            <w:shd w:val="clear" w:color="auto" w:fill="auto"/>
            <w:vAlign w:val="center"/>
          </w:tcPr>
          <w:p w14:paraId="2E72033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6F11AB5" w14:textId="77777777" w:rsidR="00BD7E8B" w:rsidRPr="00A110F0" w:rsidRDefault="00BD7E8B" w:rsidP="00BD7E8B">
            <w:pPr>
              <w:rPr>
                <w:rFonts w:asciiTheme="minorHAnsi" w:eastAsia="Calibri" w:hAnsiTheme="minorHAnsi"/>
                <w:sz w:val="16"/>
                <w:szCs w:val="16"/>
              </w:rPr>
            </w:pPr>
          </w:p>
        </w:tc>
      </w:tr>
      <w:tr w:rsidR="00BD7E8B" w:rsidRPr="00A110F0" w14:paraId="3C934DF2" w14:textId="77777777" w:rsidTr="00EE6B18">
        <w:tc>
          <w:tcPr>
            <w:tcW w:w="2478" w:type="dxa"/>
            <w:shd w:val="clear" w:color="auto" w:fill="auto"/>
            <w:vAlign w:val="center"/>
          </w:tcPr>
          <w:p w14:paraId="23A81AAA"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Raw monitor data</w:t>
            </w:r>
          </w:p>
        </w:tc>
        <w:tc>
          <w:tcPr>
            <w:tcW w:w="1071" w:type="dxa"/>
            <w:tcBorders>
              <w:bottom w:val="dotted" w:sz="4" w:space="0" w:color="auto"/>
              <w:right w:val="dashed" w:sz="4" w:space="0" w:color="auto"/>
            </w:tcBorders>
            <w:shd w:val="clear" w:color="auto" w:fill="auto"/>
            <w:vAlign w:val="bottom"/>
          </w:tcPr>
          <w:p w14:paraId="0313BA83"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26E6E365"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02AE6F3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111</w:t>
            </w:r>
          </w:p>
        </w:tc>
        <w:tc>
          <w:tcPr>
            <w:tcW w:w="1129" w:type="dxa"/>
            <w:tcBorders>
              <w:left w:val="dashed" w:sz="4" w:space="0" w:color="auto"/>
              <w:bottom w:val="dotted" w:sz="4" w:space="0" w:color="auto"/>
            </w:tcBorders>
            <w:shd w:val="clear" w:color="auto" w:fill="auto"/>
            <w:vAlign w:val="center"/>
          </w:tcPr>
          <w:p w14:paraId="78EC5894"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1E0F254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37</w:t>
            </w:r>
          </w:p>
        </w:tc>
        <w:tc>
          <w:tcPr>
            <w:tcW w:w="1130" w:type="dxa"/>
            <w:tcBorders>
              <w:left w:val="dashed" w:sz="4" w:space="0" w:color="auto"/>
              <w:bottom w:val="dotted" w:sz="4" w:space="0" w:color="auto"/>
            </w:tcBorders>
            <w:shd w:val="clear" w:color="auto" w:fill="auto"/>
            <w:vAlign w:val="center"/>
          </w:tcPr>
          <w:p w14:paraId="4616A502"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DC513BE" w14:textId="77777777" w:rsidR="00BD7E8B" w:rsidRPr="00A110F0" w:rsidRDefault="00BD7E8B" w:rsidP="00BD7E8B">
            <w:pPr>
              <w:rPr>
                <w:rFonts w:asciiTheme="minorHAnsi" w:eastAsia="Calibri" w:hAnsiTheme="minorHAnsi"/>
                <w:sz w:val="16"/>
                <w:szCs w:val="16"/>
              </w:rPr>
            </w:pPr>
          </w:p>
        </w:tc>
      </w:tr>
      <w:tr w:rsidR="00BD7E8B" w:rsidRPr="00A110F0" w14:paraId="697DF1D7" w14:textId="77777777" w:rsidTr="00EE6B18">
        <w:tc>
          <w:tcPr>
            <w:tcW w:w="2478" w:type="dxa"/>
            <w:shd w:val="clear" w:color="auto" w:fill="auto"/>
            <w:vAlign w:val="center"/>
          </w:tcPr>
          <w:p w14:paraId="7A22025F"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debriefing</w:t>
            </w:r>
          </w:p>
        </w:tc>
        <w:tc>
          <w:tcPr>
            <w:tcW w:w="1071" w:type="dxa"/>
            <w:tcBorders>
              <w:bottom w:val="dotted" w:sz="4" w:space="0" w:color="auto"/>
              <w:right w:val="dashed" w:sz="4" w:space="0" w:color="auto"/>
            </w:tcBorders>
            <w:shd w:val="clear" w:color="auto" w:fill="auto"/>
            <w:vAlign w:val="bottom"/>
          </w:tcPr>
          <w:p w14:paraId="05C1DEF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7993654C"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26A1FDF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31</w:t>
            </w:r>
          </w:p>
        </w:tc>
        <w:tc>
          <w:tcPr>
            <w:tcW w:w="1129" w:type="dxa"/>
            <w:tcBorders>
              <w:left w:val="dashed" w:sz="4" w:space="0" w:color="auto"/>
              <w:bottom w:val="dotted" w:sz="4" w:space="0" w:color="auto"/>
            </w:tcBorders>
            <w:shd w:val="clear" w:color="auto" w:fill="auto"/>
            <w:vAlign w:val="center"/>
          </w:tcPr>
          <w:p w14:paraId="2F9888D4"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9C60B4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248</w:t>
            </w:r>
          </w:p>
        </w:tc>
        <w:tc>
          <w:tcPr>
            <w:tcW w:w="1130" w:type="dxa"/>
            <w:tcBorders>
              <w:left w:val="dashed" w:sz="4" w:space="0" w:color="auto"/>
              <w:bottom w:val="dotted" w:sz="4" w:space="0" w:color="auto"/>
            </w:tcBorders>
            <w:shd w:val="clear" w:color="auto" w:fill="auto"/>
            <w:vAlign w:val="center"/>
          </w:tcPr>
          <w:p w14:paraId="0DAB699B"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03FF0560" w14:textId="77777777" w:rsidR="00BD7E8B" w:rsidRPr="00A110F0" w:rsidRDefault="00BD7E8B" w:rsidP="00BD7E8B">
            <w:pPr>
              <w:rPr>
                <w:rFonts w:asciiTheme="minorHAnsi" w:eastAsia="Calibri" w:hAnsiTheme="minorHAnsi"/>
                <w:sz w:val="16"/>
                <w:szCs w:val="16"/>
              </w:rPr>
            </w:pPr>
          </w:p>
        </w:tc>
      </w:tr>
      <w:tr w:rsidR="00BD7E8B" w:rsidRPr="00A110F0" w14:paraId="132B457F" w14:textId="77777777" w:rsidTr="00EE6B18">
        <w:tc>
          <w:tcPr>
            <w:tcW w:w="2478" w:type="dxa"/>
            <w:shd w:val="clear" w:color="auto" w:fill="auto"/>
            <w:vAlign w:val="center"/>
          </w:tcPr>
          <w:p w14:paraId="1FB3A744"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Other reports</w:t>
            </w:r>
          </w:p>
        </w:tc>
        <w:tc>
          <w:tcPr>
            <w:tcW w:w="1071" w:type="dxa"/>
            <w:tcBorders>
              <w:bottom w:val="dotted" w:sz="4" w:space="0" w:color="auto"/>
              <w:right w:val="dashed" w:sz="4" w:space="0" w:color="auto"/>
            </w:tcBorders>
            <w:shd w:val="clear" w:color="auto" w:fill="auto"/>
            <w:vAlign w:val="bottom"/>
          </w:tcPr>
          <w:p w14:paraId="4A248D3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774AECB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10692CD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17</w:t>
            </w:r>
          </w:p>
        </w:tc>
        <w:tc>
          <w:tcPr>
            <w:tcW w:w="1129" w:type="dxa"/>
            <w:tcBorders>
              <w:left w:val="dashed" w:sz="4" w:space="0" w:color="auto"/>
              <w:bottom w:val="dotted" w:sz="4" w:space="0" w:color="auto"/>
            </w:tcBorders>
            <w:shd w:val="clear" w:color="auto" w:fill="auto"/>
            <w:vAlign w:val="center"/>
          </w:tcPr>
          <w:p w14:paraId="2DE9D24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7E35B58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34</w:t>
            </w:r>
          </w:p>
        </w:tc>
        <w:tc>
          <w:tcPr>
            <w:tcW w:w="1130" w:type="dxa"/>
            <w:tcBorders>
              <w:left w:val="dashed" w:sz="4" w:space="0" w:color="auto"/>
              <w:bottom w:val="dotted" w:sz="4" w:space="0" w:color="auto"/>
            </w:tcBorders>
            <w:shd w:val="clear" w:color="auto" w:fill="auto"/>
            <w:vAlign w:val="center"/>
          </w:tcPr>
          <w:p w14:paraId="6D81E8E9"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2BD13000" w14:textId="77777777" w:rsidR="00BD7E8B" w:rsidRPr="00A110F0" w:rsidRDefault="00BD7E8B" w:rsidP="00BD7E8B">
            <w:pPr>
              <w:rPr>
                <w:rFonts w:asciiTheme="minorHAnsi" w:eastAsia="Calibri" w:hAnsiTheme="minorHAnsi"/>
                <w:sz w:val="16"/>
                <w:szCs w:val="16"/>
              </w:rPr>
            </w:pPr>
          </w:p>
        </w:tc>
      </w:tr>
      <w:tr w:rsidR="00BD7E8B" w:rsidRPr="00A110F0" w14:paraId="092AC772" w14:textId="77777777" w:rsidTr="00EE6B18">
        <w:tc>
          <w:tcPr>
            <w:tcW w:w="2478" w:type="dxa"/>
            <w:shd w:val="clear" w:color="auto" w:fill="auto"/>
            <w:vAlign w:val="center"/>
          </w:tcPr>
          <w:p w14:paraId="7E15D646"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Biological samples</w:t>
            </w:r>
          </w:p>
        </w:tc>
        <w:tc>
          <w:tcPr>
            <w:tcW w:w="1071" w:type="dxa"/>
            <w:tcBorders>
              <w:bottom w:val="dotted" w:sz="4" w:space="0" w:color="auto"/>
              <w:right w:val="dashed" w:sz="4" w:space="0" w:color="auto"/>
            </w:tcBorders>
            <w:shd w:val="clear" w:color="auto" w:fill="auto"/>
            <w:vAlign w:val="bottom"/>
          </w:tcPr>
          <w:p w14:paraId="26CA440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38A0791D"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F532CB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129</w:t>
            </w:r>
          </w:p>
        </w:tc>
        <w:tc>
          <w:tcPr>
            <w:tcW w:w="1129" w:type="dxa"/>
            <w:tcBorders>
              <w:left w:val="dashed" w:sz="4" w:space="0" w:color="auto"/>
              <w:bottom w:val="dotted" w:sz="4" w:space="0" w:color="auto"/>
            </w:tcBorders>
            <w:shd w:val="clear" w:color="auto" w:fill="auto"/>
            <w:vAlign w:val="center"/>
          </w:tcPr>
          <w:p w14:paraId="34E6765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857B59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516</w:t>
            </w:r>
          </w:p>
        </w:tc>
        <w:tc>
          <w:tcPr>
            <w:tcW w:w="1130" w:type="dxa"/>
            <w:tcBorders>
              <w:left w:val="dashed" w:sz="4" w:space="0" w:color="auto"/>
              <w:bottom w:val="dotted" w:sz="4" w:space="0" w:color="auto"/>
            </w:tcBorders>
            <w:shd w:val="clear" w:color="auto" w:fill="auto"/>
            <w:vAlign w:val="center"/>
          </w:tcPr>
          <w:p w14:paraId="27DD1EB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8F13929" w14:textId="77777777" w:rsidR="00BD7E8B" w:rsidRPr="00A110F0" w:rsidRDefault="00BD7E8B" w:rsidP="00BD7E8B">
            <w:pPr>
              <w:rPr>
                <w:rFonts w:asciiTheme="minorHAnsi" w:eastAsia="Calibri" w:hAnsiTheme="minorHAnsi"/>
                <w:sz w:val="16"/>
                <w:szCs w:val="16"/>
              </w:rPr>
            </w:pPr>
          </w:p>
        </w:tc>
      </w:tr>
      <w:tr w:rsidR="00BD7E8B" w:rsidRPr="00A110F0" w14:paraId="3B92C882" w14:textId="77777777" w:rsidTr="00EE6B18">
        <w:tc>
          <w:tcPr>
            <w:tcW w:w="2478" w:type="dxa"/>
            <w:shd w:val="clear" w:color="auto" w:fill="auto"/>
            <w:vAlign w:val="center"/>
          </w:tcPr>
          <w:p w14:paraId="493202F5"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New application to be a service provider</w:t>
            </w:r>
          </w:p>
        </w:tc>
        <w:tc>
          <w:tcPr>
            <w:tcW w:w="1071" w:type="dxa"/>
            <w:tcBorders>
              <w:bottom w:val="dotted" w:sz="4" w:space="0" w:color="auto"/>
              <w:right w:val="dashed" w:sz="4" w:space="0" w:color="auto"/>
            </w:tcBorders>
            <w:shd w:val="clear" w:color="auto" w:fill="auto"/>
            <w:vAlign w:val="bottom"/>
          </w:tcPr>
          <w:p w14:paraId="1EA840B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37C8039A"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0F3EF13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sz="4" w:space="0" w:color="auto"/>
              <w:bottom w:val="dotted" w:sz="4" w:space="0" w:color="auto"/>
            </w:tcBorders>
            <w:shd w:val="clear" w:color="auto" w:fill="auto"/>
            <w:vAlign w:val="center"/>
          </w:tcPr>
          <w:p w14:paraId="7CB92671"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6604BE3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30" w:type="dxa"/>
            <w:tcBorders>
              <w:left w:val="dashed" w:sz="4" w:space="0" w:color="auto"/>
              <w:bottom w:val="dotted" w:sz="4" w:space="0" w:color="auto"/>
            </w:tcBorders>
            <w:shd w:val="clear" w:color="auto" w:fill="auto"/>
            <w:vAlign w:val="center"/>
          </w:tcPr>
          <w:p w14:paraId="5F02969A"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0158827E" w14:textId="77777777" w:rsidR="00BD7E8B" w:rsidRPr="00A110F0" w:rsidRDefault="00BD7E8B" w:rsidP="00BD7E8B">
            <w:pPr>
              <w:rPr>
                <w:rFonts w:asciiTheme="minorHAnsi" w:eastAsia="Calibri" w:hAnsiTheme="minorHAnsi"/>
                <w:sz w:val="16"/>
                <w:szCs w:val="16"/>
              </w:rPr>
            </w:pPr>
          </w:p>
        </w:tc>
      </w:tr>
      <w:tr w:rsidR="00BD7E8B" w:rsidRPr="00A110F0" w14:paraId="3A46B778" w14:textId="77777777" w:rsidTr="00EE6B18">
        <w:tc>
          <w:tcPr>
            <w:tcW w:w="2478" w:type="dxa"/>
            <w:shd w:val="clear" w:color="auto" w:fill="auto"/>
            <w:vAlign w:val="center"/>
          </w:tcPr>
          <w:p w14:paraId="0922E791"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Applicant response to denial</w:t>
            </w:r>
          </w:p>
        </w:tc>
        <w:tc>
          <w:tcPr>
            <w:tcW w:w="1071" w:type="dxa"/>
            <w:tcBorders>
              <w:bottom w:val="dotted" w:sz="4" w:space="0" w:color="auto"/>
              <w:right w:val="dashed" w:sz="4" w:space="0" w:color="auto"/>
            </w:tcBorders>
            <w:shd w:val="clear" w:color="auto" w:fill="auto"/>
            <w:vAlign w:val="bottom"/>
          </w:tcPr>
          <w:p w14:paraId="1B1A576E"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sz="4" w:space="0" w:color="auto"/>
              <w:bottom w:val="dotted" w:sz="4" w:space="0" w:color="auto"/>
            </w:tcBorders>
            <w:shd w:val="clear" w:color="auto" w:fill="auto"/>
            <w:vAlign w:val="center"/>
          </w:tcPr>
          <w:p w14:paraId="5C98E1D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01BD402"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sz="4" w:space="0" w:color="auto"/>
              <w:bottom w:val="dotted" w:sz="4" w:space="0" w:color="auto"/>
            </w:tcBorders>
            <w:shd w:val="clear" w:color="auto" w:fill="auto"/>
            <w:vAlign w:val="center"/>
          </w:tcPr>
          <w:p w14:paraId="76A13CB2"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22A26F2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30" w:type="dxa"/>
            <w:tcBorders>
              <w:left w:val="dashed" w:sz="4" w:space="0" w:color="auto"/>
              <w:bottom w:val="dotted" w:sz="4" w:space="0" w:color="auto"/>
            </w:tcBorders>
            <w:shd w:val="clear" w:color="auto" w:fill="auto"/>
            <w:vAlign w:val="center"/>
          </w:tcPr>
          <w:p w14:paraId="4C8DFF35"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7E847342" w14:textId="77777777" w:rsidR="00BD7E8B" w:rsidRPr="00A110F0" w:rsidRDefault="00BD7E8B" w:rsidP="00BD7E8B">
            <w:pPr>
              <w:rPr>
                <w:rFonts w:asciiTheme="minorHAnsi" w:eastAsia="Calibri" w:hAnsiTheme="minorHAnsi"/>
                <w:sz w:val="16"/>
                <w:szCs w:val="16"/>
              </w:rPr>
            </w:pPr>
          </w:p>
        </w:tc>
      </w:tr>
      <w:tr w:rsidR="00BD7E8B" w:rsidRPr="00A110F0" w14:paraId="24E92C4A" w14:textId="77777777" w:rsidTr="00EE6B18">
        <w:tc>
          <w:tcPr>
            <w:tcW w:w="2478" w:type="dxa"/>
            <w:shd w:val="clear" w:color="auto" w:fill="auto"/>
            <w:vAlign w:val="center"/>
          </w:tcPr>
          <w:p w14:paraId="45F94040"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for monitor training</w:t>
            </w:r>
          </w:p>
        </w:tc>
        <w:tc>
          <w:tcPr>
            <w:tcW w:w="1071" w:type="dxa"/>
            <w:tcBorders>
              <w:bottom w:val="dotted" w:sz="4" w:space="0" w:color="auto"/>
              <w:right w:val="dashed" w:sz="4" w:space="0" w:color="auto"/>
            </w:tcBorders>
            <w:shd w:val="clear" w:color="auto" w:fill="auto"/>
            <w:vAlign w:val="bottom"/>
          </w:tcPr>
          <w:p w14:paraId="06229FEF"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795E4EA4"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31FBD9F9"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29" w:type="dxa"/>
            <w:tcBorders>
              <w:left w:val="dashed" w:sz="4" w:space="0" w:color="auto"/>
              <w:bottom w:val="dotted" w:sz="4" w:space="0" w:color="auto"/>
            </w:tcBorders>
            <w:shd w:val="clear" w:color="auto" w:fill="auto"/>
            <w:vAlign w:val="center"/>
          </w:tcPr>
          <w:p w14:paraId="25E5EA9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0667BF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w:t>
            </w:r>
          </w:p>
        </w:tc>
        <w:tc>
          <w:tcPr>
            <w:tcW w:w="1130" w:type="dxa"/>
            <w:tcBorders>
              <w:left w:val="dashed" w:sz="4" w:space="0" w:color="auto"/>
              <w:bottom w:val="dotted" w:sz="4" w:space="0" w:color="auto"/>
            </w:tcBorders>
            <w:shd w:val="clear" w:color="auto" w:fill="auto"/>
            <w:vAlign w:val="center"/>
          </w:tcPr>
          <w:p w14:paraId="76AEF1B8"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bottom w:val="dotted" w:sz="4" w:space="0" w:color="auto"/>
            </w:tcBorders>
            <w:shd w:val="clear" w:color="auto" w:fill="auto"/>
            <w:vAlign w:val="center"/>
          </w:tcPr>
          <w:p w14:paraId="307C2020" w14:textId="77777777" w:rsidR="00BD7E8B" w:rsidRPr="00A110F0" w:rsidRDefault="00BD7E8B" w:rsidP="00BD7E8B">
            <w:pPr>
              <w:rPr>
                <w:rFonts w:asciiTheme="minorHAnsi" w:eastAsia="Calibri" w:hAnsiTheme="minorHAnsi"/>
                <w:sz w:val="16"/>
                <w:szCs w:val="16"/>
              </w:rPr>
            </w:pPr>
          </w:p>
        </w:tc>
      </w:tr>
      <w:tr w:rsidR="00BD7E8B" w:rsidRPr="00A110F0" w14:paraId="3FBD2873" w14:textId="77777777" w:rsidTr="00EE6B18">
        <w:tc>
          <w:tcPr>
            <w:tcW w:w="2478" w:type="dxa"/>
            <w:shd w:val="clear" w:color="auto" w:fill="auto"/>
            <w:vAlign w:val="center"/>
          </w:tcPr>
          <w:p w14:paraId="2054E35C"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Rebuttal of pending removal from list of approved monitor providers</w:t>
            </w:r>
          </w:p>
        </w:tc>
        <w:tc>
          <w:tcPr>
            <w:tcW w:w="1071" w:type="dxa"/>
            <w:tcBorders>
              <w:bottom w:val="dotted" w:sz="4" w:space="0" w:color="auto"/>
              <w:right w:val="dashed" w:sz="4" w:space="0" w:color="auto"/>
            </w:tcBorders>
            <w:shd w:val="clear" w:color="auto" w:fill="auto"/>
            <w:vAlign w:val="bottom"/>
          </w:tcPr>
          <w:p w14:paraId="73A2F70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sz="4" w:space="0" w:color="auto"/>
              <w:bottom w:val="dotted" w:sz="4" w:space="0" w:color="auto"/>
            </w:tcBorders>
            <w:shd w:val="clear" w:color="auto" w:fill="auto"/>
            <w:vAlign w:val="center"/>
          </w:tcPr>
          <w:p w14:paraId="4DEC4ACB"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CFE39DD"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sz="4" w:space="0" w:color="auto"/>
              <w:bottom w:val="dotted" w:sz="4" w:space="0" w:color="auto"/>
            </w:tcBorders>
            <w:shd w:val="clear" w:color="auto" w:fill="auto"/>
            <w:vAlign w:val="center"/>
          </w:tcPr>
          <w:p w14:paraId="3FFED79C"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2EA24D1F"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sz="4" w:space="0" w:color="auto"/>
              <w:bottom w:val="dotted" w:sz="4" w:space="0" w:color="auto"/>
            </w:tcBorders>
            <w:shd w:val="clear" w:color="auto" w:fill="auto"/>
            <w:vAlign w:val="center"/>
          </w:tcPr>
          <w:p w14:paraId="237562C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val="restart"/>
            <w:tcBorders>
              <w:left w:val="dotted" w:sz="4" w:space="0" w:color="auto"/>
            </w:tcBorders>
            <w:shd w:val="clear" w:color="auto" w:fill="auto"/>
            <w:vAlign w:val="center"/>
          </w:tcPr>
          <w:p w14:paraId="695A13F9" w14:textId="77777777" w:rsidR="00BD7E8B" w:rsidRPr="00A110F0" w:rsidRDefault="00BD7E8B" w:rsidP="00BD7E8B">
            <w:pPr>
              <w:rPr>
                <w:rFonts w:asciiTheme="minorHAnsi" w:eastAsia="Calibri" w:hAnsiTheme="minorHAnsi"/>
                <w:sz w:val="16"/>
                <w:szCs w:val="16"/>
              </w:rPr>
            </w:pPr>
            <w:r>
              <w:rPr>
                <w:rFonts w:asciiTheme="minorHAnsi" w:eastAsia="Calibri" w:hAnsiTheme="minorHAnsi"/>
                <w:sz w:val="16"/>
                <w:szCs w:val="16"/>
              </w:rPr>
              <w:t>New Requirements</w:t>
            </w:r>
          </w:p>
        </w:tc>
      </w:tr>
      <w:tr w:rsidR="00BD7E8B" w:rsidRPr="00A110F0" w14:paraId="43ACF898" w14:textId="77777777" w:rsidTr="00EE6B18">
        <w:tc>
          <w:tcPr>
            <w:tcW w:w="2478" w:type="dxa"/>
            <w:shd w:val="clear" w:color="auto" w:fill="auto"/>
            <w:vAlign w:val="center"/>
          </w:tcPr>
          <w:p w14:paraId="56C59A52"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to monitor service provider to procure an ASM</w:t>
            </w:r>
          </w:p>
        </w:tc>
        <w:tc>
          <w:tcPr>
            <w:tcW w:w="1071" w:type="dxa"/>
            <w:tcBorders>
              <w:bottom w:val="dotted" w:sz="4" w:space="0" w:color="auto"/>
              <w:right w:val="dashed" w:sz="4" w:space="0" w:color="auto"/>
            </w:tcBorders>
            <w:shd w:val="clear" w:color="auto" w:fill="auto"/>
            <w:vAlign w:val="bottom"/>
          </w:tcPr>
          <w:p w14:paraId="75BE0DC2"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90</w:t>
            </w:r>
          </w:p>
        </w:tc>
        <w:tc>
          <w:tcPr>
            <w:tcW w:w="1062" w:type="dxa"/>
            <w:tcBorders>
              <w:left w:val="dashed" w:sz="4" w:space="0" w:color="auto"/>
              <w:bottom w:val="dotted" w:sz="4" w:space="0" w:color="auto"/>
            </w:tcBorders>
            <w:shd w:val="clear" w:color="auto" w:fill="auto"/>
            <w:vAlign w:val="center"/>
          </w:tcPr>
          <w:p w14:paraId="1722C0B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2B48F6D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sz="4" w:space="0" w:color="auto"/>
              <w:bottom w:val="dotted" w:sz="4" w:space="0" w:color="auto"/>
            </w:tcBorders>
            <w:shd w:val="clear" w:color="auto" w:fill="auto"/>
            <w:vAlign w:val="center"/>
          </w:tcPr>
          <w:p w14:paraId="29326A54"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0E25D24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60</w:t>
            </w:r>
          </w:p>
        </w:tc>
        <w:tc>
          <w:tcPr>
            <w:tcW w:w="1130" w:type="dxa"/>
            <w:tcBorders>
              <w:left w:val="dashed" w:sz="4" w:space="0" w:color="auto"/>
              <w:bottom w:val="dotted" w:sz="4" w:space="0" w:color="auto"/>
            </w:tcBorders>
            <w:shd w:val="clear" w:color="auto" w:fill="auto"/>
            <w:vAlign w:val="center"/>
          </w:tcPr>
          <w:p w14:paraId="5C011615"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30B8FC1F" w14:textId="77777777" w:rsidR="00BD7E8B" w:rsidRPr="00A110F0" w:rsidRDefault="00BD7E8B" w:rsidP="00BD7E8B">
            <w:pPr>
              <w:rPr>
                <w:rFonts w:asciiTheme="minorHAnsi" w:eastAsia="Calibri" w:hAnsiTheme="minorHAnsi"/>
                <w:sz w:val="16"/>
                <w:szCs w:val="16"/>
              </w:rPr>
            </w:pPr>
          </w:p>
        </w:tc>
      </w:tr>
      <w:tr w:rsidR="00BD7E8B" w:rsidRPr="00A110F0" w14:paraId="7A0C3725" w14:textId="77777777" w:rsidTr="00EE6B18">
        <w:tc>
          <w:tcPr>
            <w:tcW w:w="2478" w:type="dxa"/>
            <w:shd w:val="clear" w:color="auto" w:fill="auto"/>
            <w:vAlign w:val="center"/>
          </w:tcPr>
          <w:p w14:paraId="5DC9B60F" w14:textId="77777777" w:rsidR="00BD7E8B" w:rsidRPr="00AE62AC" w:rsidRDefault="00BD7E8B" w:rsidP="00BD7E8B">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Notification of unavailability of ASMs</w:t>
            </w:r>
          </w:p>
        </w:tc>
        <w:tc>
          <w:tcPr>
            <w:tcW w:w="1071" w:type="dxa"/>
            <w:tcBorders>
              <w:bottom w:val="dotted" w:sz="4" w:space="0" w:color="auto"/>
              <w:right w:val="dashed" w:sz="4" w:space="0" w:color="auto"/>
            </w:tcBorders>
            <w:shd w:val="clear" w:color="auto" w:fill="auto"/>
            <w:vAlign w:val="bottom"/>
          </w:tcPr>
          <w:p w14:paraId="1E5A4B4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90</w:t>
            </w:r>
          </w:p>
        </w:tc>
        <w:tc>
          <w:tcPr>
            <w:tcW w:w="1062" w:type="dxa"/>
            <w:tcBorders>
              <w:left w:val="dashed" w:sz="4" w:space="0" w:color="auto"/>
              <w:bottom w:val="dotted" w:sz="4" w:space="0" w:color="auto"/>
            </w:tcBorders>
            <w:shd w:val="clear" w:color="auto" w:fill="auto"/>
            <w:vAlign w:val="center"/>
          </w:tcPr>
          <w:p w14:paraId="09076107"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B2208C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sz="4" w:space="0" w:color="auto"/>
              <w:bottom w:val="dotted" w:sz="4" w:space="0" w:color="auto"/>
            </w:tcBorders>
            <w:shd w:val="clear" w:color="auto" w:fill="auto"/>
            <w:vAlign w:val="center"/>
          </w:tcPr>
          <w:p w14:paraId="63B7C62F"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1C3AD7B6"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130" w:type="dxa"/>
            <w:tcBorders>
              <w:left w:val="dashed" w:sz="4" w:space="0" w:color="auto"/>
              <w:bottom w:val="dotted" w:sz="4" w:space="0" w:color="auto"/>
            </w:tcBorders>
            <w:shd w:val="clear" w:color="auto" w:fill="auto"/>
            <w:vAlign w:val="center"/>
          </w:tcPr>
          <w:p w14:paraId="18722468"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DEB619A" w14:textId="77777777" w:rsidR="00BD7E8B" w:rsidRPr="00A110F0" w:rsidRDefault="00BD7E8B" w:rsidP="00BD7E8B">
            <w:pPr>
              <w:rPr>
                <w:rFonts w:asciiTheme="minorHAnsi" w:eastAsia="Calibri" w:hAnsiTheme="minorHAnsi"/>
                <w:sz w:val="16"/>
                <w:szCs w:val="16"/>
              </w:rPr>
            </w:pPr>
          </w:p>
        </w:tc>
      </w:tr>
      <w:tr w:rsidR="00BD7E8B" w:rsidRPr="00A110F0" w14:paraId="15940830" w14:textId="77777777" w:rsidTr="00EE6B18">
        <w:tc>
          <w:tcPr>
            <w:tcW w:w="2478" w:type="dxa"/>
            <w:shd w:val="clear" w:color="auto" w:fill="auto"/>
            <w:vAlign w:val="center"/>
          </w:tcPr>
          <w:p w14:paraId="41AC7D5A"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Call to service provider to procure an IFM observer in Groundfish Closed Area</w:t>
            </w:r>
          </w:p>
        </w:tc>
        <w:tc>
          <w:tcPr>
            <w:tcW w:w="1071" w:type="dxa"/>
            <w:tcBorders>
              <w:bottom w:val="dotted" w:sz="4" w:space="0" w:color="auto"/>
              <w:right w:val="dashed" w:sz="4" w:space="0" w:color="auto"/>
            </w:tcBorders>
            <w:shd w:val="clear" w:color="auto" w:fill="auto"/>
            <w:vAlign w:val="bottom"/>
          </w:tcPr>
          <w:p w14:paraId="1151C9B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062" w:type="dxa"/>
            <w:tcBorders>
              <w:left w:val="dashed" w:sz="4" w:space="0" w:color="auto"/>
              <w:bottom w:val="dotted" w:sz="4" w:space="0" w:color="auto"/>
            </w:tcBorders>
            <w:shd w:val="clear" w:color="auto" w:fill="auto"/>
            <w:vAlign w:val="center"/>
          </w:tcPr>
          <w:p w14:paraId="09B4AADB"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730B559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sz="4" w:space="0" w:color="auto"/>
              <w:bottom w:val="dotted" w:sz="4" w:space="0" w:color="auto"/>
            </w:tcBorders>
            <w:shd w:val="clear" w:color="auto" w:fill="auto"/>
            <w:vAlign w:val="center"/>
          </w:tcPr>
          <w:p w14:paraId="14DE9CDB"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3B3436B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14</w:t>
            </w:r>
          </w:p>
        </w:tc>
        <w:tc>
          <w:tcPr>
            <w:tcW w:w="1130" w:type="dxa"/>
            <w:tcBorders>
              <w:left w:val="dashed" w:sz="4" w:space="0" w:color="auto"/>
              <w:bottom w:val="dotted" w:sz="4" w:space="0" w:color="auto"/>
            </w:tcBorders>
            <w:shd w:val="clear" w:color="auto" w:fill="auto"/>
            <w:vAlign w:val="center"/>
          </w:tcPr>
          <w:p w14:paraId="5D246E1C"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59A121A1" w14:textId="77777777" w:rsidR="00BD7E8B" w:rsidRPr="00A110F0" w:rsidRDefault="00BD7E8B" w:rsidP="00BD7E8B">
            <w:pPr>
              <w:rPr>
                <w:rFonts w:asciiTheme="minorHAnsi" w:eastAsia="Calibri" w:hAnsiTheme="minorHAnsi"/>
                <w:sz w:val="16"/>
                <w:szCs w:val="16"/>
              </w:rPr>
            </w:pPr>
          </w:p>
        </w:tc>
      </w:tr>
      <w:tr w:rsidR="00BD7E8B" w:rsidRPr="00A110F0" w14:paraId="602C301E" w14:textId="77777777" w:rsidTr="00EE6B18">
        <w:tc>
          <w:tcPr>
            <w:tcW w:w="2478" w:type="dxa"/>
            <w:shd w:val="clear" w:color="auto" w:fill="auto"/>
            <w:vAlign w:val="center"/>
          </w:tcPr>
          <w:p w14:paraId="6B0AE616"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Notification of unavailability of IFM observers</w:t>
            </w:r>
          </w:p>
        </w:tc>
        <w:tc>
          <w:tcPr>
            <w:tcW w:w="1071" w:type="dxa"/>
            <w:tcBorders>
              <w:bottom w:val="dotted" w:sz="4" w:space="0" w:color="auto"/>
              <w:right w:val="dashed" w:sz="4" w:space="0" w:color="auto"/>
            </w:tcBorders>
            <w:shd w:val="clear" w:color="auto" w:fill="auto"/>
            <w:vAlign w:val="bottom"/>
          </w:tcPr>
          <w:p w14:paraId="1C29D33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062" w:type="dxa"/>
            <w:tcBorders>
              <w:left w:val="dashed" w:sz="4" w:space="0" w:color="auto"/>
              <w:bottom w:val="dotted" w:sz="4" w:space="0" w:color="auto"/>
            </w:tcBorders>
            <w:shd w:val="clear" w:color="auto" w:fill="auto"/>
            <w:vAlign w:val="center"/>
          </w:tcPr>
          <w:p w14:paraId="0B992E04"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0E87100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sz="4" w:space="0" w:color="auto"/>
              <w:bottom w:val="dotted" w:sz="4" w:space="0" w:color="auto"/>
            </w:tcBorders>
            <w:shd w:val="clear" w:color="auto" w:fill="auto"/>
            <w:vAlign w:val="center"/>
          </w:tcPr>
          <w:p w14:paraId="6E7F3F8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22B3F29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30" w:type="dxa"/>
            <w:tcBorders>
              <w:left w:val="dashed" w:sz="4" w:space="0" w:color="auto"/>
              <w:bottom w:val="dotted" w:sz="4" w:space="0" w:color="auto"/>
            </w:tcBorders>
            <w:shd w:val="clear" w:color="auto" w:fill="auto"/>
            <w:vAlign w:val="center"/>
          </w:tcPr>
          <w:p w14:paraId="6C6F0DBB"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7B6EAE93" w14:textId="77777777" w:rsidR="00BD7E8B" w:rsidRPr="00A110F0" w:rsidRDefault="00BD7E8B" w:rsidP="00BD7E8B">
            <w:pPr>
              <w:rPr>
                <w:rFonts w:asciiTheme="minorHAnsi" w:eastAsia="Calibri" w:hAnsiTheme="minorHAnsi"/>
                <w:sz w:val="16"/>
                <w:szCs w:val="16"/>
              </w:rPr>
            </w:pPr>
          </w:p>
        </w:tc>
      </w:tr>
      <w:tr w:rsidR="00BD7E8B" w:rsidRPr="00A110F0" w14:paraId="760DABDB" w14:textId="77777777" w:rsidTr="00EE6B18">
        <w:tc>
          <w:tcPr>
            <w:tcW w:w="2478" w:type="dxa"/>
            <w:shd w:val="clear" w:color="auto" w:fill="auto"/>
            <w:vAlign w:val="center"/>
          </w:tcPr>
          <w:p w14:paraId="1A3ECC56"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contact list updates</w:t>
            </w:r>
          </w:p>
        </w:tc>
        <w:tc>
          <w:tcPr>
            <w:tcW w:w="1071" w:type="dxa"/>
            <w:tcBorders>
              <w:bottom w:val="dotted" w:sz="4" w:space="0" w:color="auto"/>
              <w:right w:val="dashed" w:sz="4" w:space="0" w:color="auto"/>
            </w:tcBorders>
            <w:shd w:val="clear" w:color="auto" w:fill="auto"/>
            <w:vAlign w:val="bottom"/>
          </w:tcPr>
          <w:p w14:paraId="7631C61F"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6E8A8D05"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5450D919"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29" w:type="dxa"/>
            <w:tcBorders>
              <w:left w:val="dashed" w:sz="4" w:space="0" w:color="auto"/>
              <w:bottom w:val="dotted" w:sz="4" w:space="0" w:color="auto"/>
            </w:tcBorders>
            <w:shd w:val="clear" w:color="auto" w:fill="auto"/>
            <w:vAlign w:val="center"/>
          </w:tcPr>
          <w:p w14:paraId="3CA57DA8"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33D26D40"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sz="4" w:space="0" w:color="auto"/>
              <w:bottom w:val="dotted" w:sz="4" w:space="0" w:color="auto"/>
            </w:tcBorders>
            <w:shd w:val="clear" w:color="auto" w:fill="auto"/>
            <w:vAlign w:val="center"/>
          </w:tcPr>
          <w:p w14:paraId="2AB5F436"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21668BCB" w14:textId="77777777" w:rsidR="00BD7E8B" w:rsidRPr="00A110F0" w:rsidRDefault="00BD7E8B" w:rsidP="00BD7E8B">
            <w:pPr>
              <w:rPr>
                <w:rFonts w:asciiTheme="minorHAnsi" w:eastAsia="Calibri" w:hAnsiTheme="minorHAnsi"/>
                <w:sz w:val="16"/>
                <w:szCs w:val="16"/>
              </w:rPr>
            </w:pPr>
          </w:p>
        </w:tc>
      </w:tr>
      <w:tr w:rsidR="00BD7E8B" w:rsidRPr="00A110F0" w14:paraId="0F2CCD09" w14:textId="77777777" w:rsidTr="00EE6B18">
        <w:tc>
          <w:tcPr>
            <w:tcW w:w="2478" w:type="dxa"/>
            <w:shd w:val="clear" w:color="auto" w:fill="auto"/>
            <w:vAlign w:val="center"/>
          </w:tcPr>
          <w:p w14:paraId="0586EAD8"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availability updates</w:t>
            </w:r>
          </w:p>
        </w:tc>
        <w:tc>
          <w:tcPr>
            <w:tcW w:w="1071" w:type="dxa"/>
            <w:tcBorders>
              <w:bottom w:val="dotted" w:sz="4" w:space="0" w:color="auto"/>
              <w:right w:val="dashed" w:sz="4" w:space="0" w:color="auto"/>
            </w:tcBorders>
            <w:shd w:val="clear" w:color="auto" w:fill="auto"/>
            <w:vAlign w:val="bottom"/>
          </w:tcPr>
          <w:p w14:paraId="23EC24B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3549DF9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6E148763"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29" w:type="dxa"/>
            <w:tcBorders>
              <w:left w:val="dashed" w:sz="4" w:space="0" w:color="auto"/>
              <w:bottom w:val="dotted" w:sz="4" w:space="0" w:color="auto"/>
            </w:tcBorders>
            <w:shd w:val="clear" w:color="auto" w:fill="auto"/>
            <w:vAlign w:val="center"/>
          </w:tcPr>
          <w:p w14:paraId="249ADCC0"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641367EC"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sz="4" w:space="0" w:color="auto"/>
              <w:bottom w:val="dotted" w:sz="4" w:space="0" w:color="auto"/>
            </w:tcBorders>
            <w:shd w:val="clear" w:color="auto" w:fill="auto"/>
            <w:vAlign w:val="center"/>
          </w:tcPr>
          <w:p w14:paraId="5786AF16"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64F7BD7A" w14:textId="77777777" w:rsidR="00BD7E8B" w:rsidRPr="00A110F0" w:rsidRDefault="00BD7E8B" w:rsidP="00BD7E8B">
            <w:pPr>
              <w:rPr>
                <w:rFonts w:asciiTheme="minorHAnsi" w:eastAsia="Calibri" w:hAnsiTheme="minorHAnsi"/>
                <w:sz w:val="16"/>
                <w:szCs w:val="16"/>
              </w:rPr>
            </w:pPr>
          </w:p>
        </w:tc>
      </w:tr>
      <w:tr w:rsidR="00BD7E8B" w:rsidRPr="00A110F0" w14:paraId="1B1363C3" w14:textId="77777777" w:rsidTr="00EE6B18">
        <w:tc>
          <w:tcPr>
            <w:tcW w:w="2478" w:type="dxa"/>
            <w:shd w:val="clear" w:color="auto" w:fill="auto"/>
            <w:vAlign w:val="center"/>
          </w:tcPr>
          <w:p w14:paraId="44C29255"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material submissions</w:t>
            </w:r>
          </w:p>
        </w:tc>
        <w:tc>
          <w:tcPr>
            <w:tcW w:w="1071" w:type="dxa"/>
            <w:tcBorders>
              <w:bottom w:val="dotted" w:sz="4" w:space="0" w:color="auto"/>
              <w:right w:val="dashed" w:sz="4" w:space="0" w:color="auto"/>
            </w:tcBorders>
            <w:shd w:val="clear" w:color="auto" w:fill="auto"/>
            <w:vAlign w:val="bottom"/>
          </w:tcPr>
          <w:p w14:paraId="7774AC54"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52041078"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00F8B279"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29" w:type="dxa"/>
            <w:tcBorders>
              <w:left w:val="dashed" w:sz="4" w:space="0" w:color="auto"/>
              <w:bottom w:val="dotted" w:sz="4" w:space="0" w:color="auto"/>
            </w:tcBorders>
            <w:shd w:val="clear" w:color="auto" w:fill="auto"/>
            <w:vAlign w:val="center"/>
          </w:tcPr>
          <w:p w14:paraId="5FE38E7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37DE5D01"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sz="4" w:space="0" w:color="auto"/>
              <w:bottom w:val="dotted" w:sz="4" w:space="0" w:color="auto"/>
            </w:tcBorders>
            <w:shd w:val="clear" w:color="auto" w:fill="auto"/>
            <w:vAlign w:val="center"/>
          </w:tcPr>
          <w:p w14:paraId="68A2BD83"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tcBorders>
            <w:shd w:val="clear" w:color="auto" w:fill="auto"/>
            <w:vAlign w:val="center"/>
          </w:tcPr>
          <w:p w14:paraId="464D35BD" w14:textId="77777777" w:rsidR="00BD7E8B" w:rsidRPr="00A110F0" w:rsidRDefault="00BD7E8B" w:rsidP="00BD7E8B">
            <w:pPr>
              <w:rPr>
                <w:rFonts w:asciiTheme="minorHAnsi" w:eastAsia="Calibri" w:hAnsiTheme="minorHAnsi"/>
                <w:sz w:val="16"/>
                <w:szCs w:val="16"/>
              </w:rPr>
            </w:pPr>
          </w:p>
        </w:tc>
      </w:tr>
      <w:tr w:rsidR="00BD7E8B" w:rsidRPr="00A110F0" w14:paraId="0E86B61E" w14:textId="77777777" w:rsidTr="00EE6B18">
        <w:tc>
          <w:tcPr>
            <w:tcW w:w="2478" w:type="dxa"/>
            <w:shd w:val="clear" w:color="auto" w:fill="auto"/>
            <w:vAlign w:val="center"/>
          </w:tcPr>
          <w:p w14:paraId="51E6E9FC" w14:textId="77777777" w:rsidR="00BD7E8B" w:rsidRPr="002333E8" w:rsidRDefault="00BD7E8B" w:rsidP="00BD7E8B">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contracts</w:t>
            </w:r>
          </w:p>
        </w:tc>
        <w:tc>
          <w:tcPr>
            <w:tcW w:w="1071" w:type="dxa"/>
            <w:tcBorders>
              <w:bottom w:val="dotted" w:sz="4" w:space="0" w:color="auto"/>
              <w:right w:val="dashed" w:sz="4" w:space="0" w:color="auto"/>
            </w:tcBorders>
            <w:shd w:val="clear" w:color="auto" w:fill="auto"/>
            <w:vAlign w:val="bottom"/>
          </w:tcPr>
          <w:p w14:paraId="22AB4097"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sz="4" w:space="0" w:color="auto"/>
              <w:bottom w:val="dotted" w:sz="4" w:space="0" w:color="auto"/>
            </w:tcBorders>
            <w:shd w:val="clear" w:color="auto" w:fill="auto"/>
            <w:vAlign w:val="center"/>
          </w:tcPr>
          <w:p w14:paraId="1ED9A4BE"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03" w:type="dxa"/>
            <w:tcBorders>
              <w:bottom w:val="dotted" w:sz="4" w:space="0" w:color="auto"/>
              <w:right w:val="dashed" w:sz="4" w:space="0" w:color="auto"/>
            </w:tcBorders>
            <w:shd w:val="clear" w:color="auto" w:fill="auto"/>
            <w:vAlign w:val="bottom"/>
          </w:tcPr>
          <w:p w14:paraId="1E91D63B"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29" w:type="dxa"/>
            <w:tcBorders>
              <w:left w:val="dashed" w:sz="4" w:space="0" w:color="auto"/>
              <w:bottom w:val="dotted" w:sz="4" w:space="0" w:color="auto"/>
            </w:tcBorders>
            <w:shd w:val="clear" w:color="auto" w:fill="auto"/>
            <w:vAlign w:val="center"/>
          </w:tcPr>
          <w:p w14:paraId="5BD45AAA"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1129" w:type="dxa"/>
            <w:tcBorders>
              <w:bottom w:val="dotted" w:sz="4" w:space="0" w:color="auto"/>
              <w:right w:val="dashed" w:sz="4" w:space="0" w:color="auto"/>
            </w:tcBorders>
            <w:shd w:val="clear" w:color="auto" w:fill="auto"/>
            <w:vAlign w:val="bottom"/>
          </w:tcPr>
          <w:p w14:paraId="7CA725AA" w14:textId="77777777" w:rsidR="00BD7E8B" w:rsidRPr="00CA2B37" w:rsidRDefault="00BD7E8B" w:rsidP="00BD7E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sz="4" w:space="0" w:color="auto"/>
              <w:bottom w:val="dotted" w:sz="4" w:space="0" w:color="auto"/>
            </w:tcBorders>
            <w:shd w:val="clear" w:color="auto" w:fill="auto"/>
            <w:vAlign w:val="center"/>
          </w:tcPr>
          <w:p w14:paraId="335CD8E7" w14:textId="77777777" w:rsidR="00BD7E8B" w:rsidRPr="00A110F0" w:rsidRDefault="00BD7E8B" w:rsidP="00BD7E8B">
            <w:pPr>
              <w:keepNext/>
              <w:jc w:val="center"/>
              <w:rPr>
                <w:rFonts w:asciiTheme="minorHAnsi" w:eastAsia="Calibri" w:hAnsiTheme="minorHAnsi"/>
                <w:sz w:val="16"/>
                <w:szCs w:val="16"/>
              </w:rPr>
            </w:pPr>
            <w:r>
              <w:rPr>
                <w:rFonts w:asciiTheme="minorHAnsi" w:eastAsia="Calibri" w:hAnsiTheme="minorHAnsi"/>
                <w:sz w:val="16"/>
                <w:szCs w:val="16"/>
              </w:rPr>
              <w:t>0</w:t>
            </w:r>
          </w:p>
        </w:tc>
        <w:tc>
          <w:tcPr>
            <w:tcW w:w="4390" w:type="dxa"/>
            <w:vMerge/>
            <w:tcBorders>
              <w:left w:val="dotted" w:sz="4" w:space="0" w:color="auto"/>
              <w:bottom w:val="dotted" w:sz="4" w:space="0" w:color="auto"/>
            </w:tcBorders>
            <w:shd w:val="clear" w:color="auto" w:fill="auto"/>
            <w:vAlign w:val="center"/>
          </w:tcPr>
          <w:p w14:paraId="0BF9F05C" w14:textId="77777777" w:rsidR="00BD7E8B" w:rsidRPr="00A110F0" w:rsidRDefault="00BD7E8B" w:rsidP="00BD7E8B">
            <w:pPr>
              <w:rPr>
                <w:rFonts w:asciiTheme="minorHAnsi" w:eastAsia="Calibri" w:hAnsiTheme="minorHAnsi"/>
                <w:sz w:val="16"/>
                <w:szCs w:val="16"/>
              </w:rPr>
            </w:pPr>
          </w:p>
        </w:tc>
      </w:tr>
      <w:tr w:rsidR="00732713" w:rsidRPr="00A110F0" w14:paraId="4AD2DFBC" w14:textId="77777777" w:rsidTr="00984CDB">
        <w:tc>
          <w:tcPr>
            <w:tcW w:w="2478" w:type="dxa"/>
            <w:shd w:val="clear" w:color="auto" w:fill="BDD6EE" w:themeFill="accent1" w:themeFillTint="66"/>
            <w:vAlign w:val="center"/>
          </w:tcPr>
          <w:p w14:paraId="61055551" w14:textId="77777777"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071" w:type="dxa"/>
            <w:tcBorders>
              <w:right w:val="dashed" w:sz="4" w:space="0" w:color="auto"/>
            </w:tcBorders>
            <w:shd w:val="clear" w:color="auto" w:fill="BDD6EE" w:themeFill="accent1" w:themeFillTint="66"/>
            <w:vAlign w:val="center"/>
          </w:tcPr>
          <w:p w14:paraId="24A6FC03" w14:textId="77777777" w:rsidR="00732713" w:rsidRPr="00A110F0" w:rsidRDefault="00732713" w:rsidP="00FD3D2A">
            <w:pPr>
              <w:keepNext/>
              <w:jc w:val="center"/>
              <w:rPr>
                <w:rFonts w:asciiTheme="minorHAnsi" w:eastAsia="Calibri" w:hAnsiTheme="minorHAnsi"/>
                <w:b/>
                <w:sz w:val="16"/>
                <w:szCs w:val="16"/>
              </w:rPr>
            </w:pPr>
          </w:p>
        </w:tc>
        <w:tc>
          <w:tcPr>
            <w:tcW w:w="1062" w:type="dxa"/>
            <w:tcBorders>
              <w:left w:val="dashed" w:sz="4" w:space="0" w:color="auto"/>
            </w:tcBorders>
            <w:shd w:val="clear" w:color="auto" w:fill="BDD6EE" w:themeFill="accent1" w:themeFillTint="66"/>
            <w:vAlign w:val="center"/>
          </w:tcPr>
          <w:p w14:paraId="351ED509" w14:textId="77777777" w:rsidR="00DB5A9F" w:rsidRPr="00A110F0" w:rsidRDefault="00DB5A9F" w:rsidP="00DB5A9F">
            <w:pPr>
              <w:keepNext/>
              <w:jc w:val="center"/>
              <w:rPr>
                <w:rFonts w:asciiTheme="minorHAnsi" w:eastAsia="Calibri" w:hAnsiTheme="minorHAnsi"/>
                <w:b/>
                <w:sz w:val="16"/>
                <w:szCs w:val="16"/>
              </w:rPr>
            </w:pPr>
            <w:r>
              <w:rPr>
                <w:rFonts w:asciiTheme="minorHAnsi" w:eastAsia="Calibri" w:hAnsiTheme="minorHAnsi"/>
                <w:b/>
                <w:sz w:val="16"/>
                <w:szCs w:val="16"/>
              </w:rPr>
              <w:t>312</w:t>
            </w:r>
          </w:p>
        </w:tc>
        <w:tc>
          <w:tcPr>
            <w:tcW w:w="1003" w:type="dxa"/>
            <w:tcBorders>
              <w:bottom w:val="single" w:sz="4" w:space="0" w:color="auto"/>
              <w:right w:val="dashed" w:sz="4" w:space="0" w:color="auto"/>
            </w:tcBorders>
            <w:shd w:val="clear" w:color="auto" w:fill="BDD6EE" w:themeFill="accent1" w:themeFillTint="66"/>
            <w:vAlign w:val="center"/>
          </w:tcPr>
          <w:p w14:paraId="7ADF7ADB" w14:textId="77777777" w:rsidR="00732713" w:rsidRPr="00A110F0" w:rsidRDefault="00DB5A9F" w:rsidP="00FD3D2A">
            <w:pPr>
              <w:keepNext/>
              <w:jc w:val="center"/>
              <w:rPr>
                <w:rFonts w:asciiTheme="minorHAnsi" w:eastAsia="Calibri" w:hAnsiTheme="minorHAnsi"/>
                <w:b/>
                <w:sz w:val="16"/>
                <w:szCs w:val="16"/>
              </w:rPr>
            </w:pPr>
            <w:r>
              <w:rPr>
                <w:rFonts w:asciiTheme="minorHAnsi" w:eastAsia="Calibri" w:hAnsiTheme="minorHAnsi"/>
                <w:b/>
                <w:sz w:val="16"/>
                <w:szCs w:val="16"/>
              </w:rPr>
              <w:t>8431</w:t>
            </w:r>
          </w:p>
        </w:tc>
        <w:tc>
          <w:tcPr>
            <w:tcW w:w="1129" w:type="dxa"/>
            <w:tcBorders>
              <w:left w:val="dashed" w:sz="4" w:space="0" w:color="auto"/>
              <w:bottom w:val="single" w:sz="4" w:space="0" w:color="auto"/>
            </w:tcBorders>
            <w:shd w:val="clear" w:color="auto" w:fill="BDD6EE" w:themeFill="accent1" w:themeFillTint="66"/>
            <w:vAlign w:val="center"/>
          </w:tcPr>
          <w:p w14:paraId="6A79136D" w14:textId="77777777" w:rsidR="00732713" w:rsidRPr="00A110F0" w:rsidRDefault="00DB5A9F" w:rsidP="00FD3D2A">
            <w:pPr>
              <w:keepNext/>
              <w:jc w:val="center"/>
              <w:rPr>
                <w:rFonts w:asciiTheme="minorHAnsi" w:eastAsia="Calibri" w:hAnsiTheme="minorHAnsi"/>
                <w:b/>
                <w:sz w:val="16"/>
                <w:szCs w:val="16"/>
              </w:rPr>
            </w:pPr>
            <w:r>
              <w:rPr>
                <w:rFonts w:asciiTheme="minorHAnsi" w:eastAsia="Calibri" w:hAnsiTheme="minorHAnsi"/>
                <w:b/>
                <w:sz w:val="16"/>
                <w:szCs w:val="16"/>
              </w:rPr>
              <w:t>7800</w:t>
            </w:r>
          </w:p>
        </w:tc>
        <w:tc>
          <w:tcPr>
            <w:tcW w:w="1129" w:type="dxa"/>
            <w:tcBorders>
              <w:right w:val="dashed" w:sz="4" w:space="0" w:color="auto"/>
            </w:tcBorders>
            <w:shd w:val="clear" w:color="auto" w:fill="BDD6EE" w:themeFill="accent1" w:themeFillTint="66"/>
            <w:vAlign w:val="center"/>
          </w:tcPr>
          <w:p w14:paraId="41EB1DC8" w14:textId="77777777" w:rsidR="00732713" w:rsidRPr="00A110F0" w:rsidRDefault="00DB5A9F" w:rsidP="00FD3D2A">
            <w:pPr>
              <w:keepNext/>
              <w:jc w:val="center"/>
              <w:rPr>
                <w:rFonts w:asciiTheme="minorHAnsi" w:eastAsia="Calibri" w:hAnsiTheme="minorHAnsi"/>
                <w:b/>
                <w:sz w:val="16"/>
                <w:szCs w:val="16"/>
              </w:rPr>
            </w:pPr>
            <w:r>
              <w:rPr>
                <w:rFonts w:asciiTheme="minorHAnsi" w:eastAsia="Calibri" w:hAnsiTheme="minorHAnsi"/>
                <w:b/>
                <w:sz w:val="16"/>
                <w:szCs w:val="16"/>
              </w:rPr>
              <w:t>1535</w:t>
            </w:r>
          </w:p>
        </w:tc>
        <w:tc>
          <w:tcPr>
            <w:tcW w:w="1130" w:type="dxa"/>
            <w:tcBorders>
              <w:left w:val="dashed" w:sz="4" w:space="0" w:color="auto"/>
            </w:tcBorders>
            <w:shd w:val="clear" w:color="auto" w:fill="BDD6EE" w:themeFill="accent1" w:themeFillTint="66"/>
            <w:vAlign w:val="center"/>
          </w:tcPr>
          <w:p w14:paraId="73E24BAF" w14:textId="77777777" w:rsidR="00732713" w:rsidRPr="00A110F0" w:rsidRDefault="00DB5A9F" w:rsidP="00FD3D2A">
            <w:pPr>
              <w:keepNext/>
              <w:jc w:val="center"/>
              <w:rPr>
                <w:rFonts w:asciiTheme="minorHAnsi" w:eastAsia="Calibri" w:hAnsiTheme="minorHAnsi"/>
                <w:b/>
                <w:sz w:val="16"/>
                <w:szCs w:val="16"/>
              </w:rPr>
            </w:pPr>
            <w:r>
              <w:rPr>
                <w:rFonts w:asciiTheme="minorHAnsi" w:eastAsia="Calibri" w:hAnsiTheme="minorHAnsi"/>
                <w:b/>
                <w:sz w:val="16"/>
                <w:szCs w:val="16"/>
              </w:rPr>
              <w:t>390</w:t>
            </w:r>
          </w:p>
        </w:tc>
        <w:tc>
          <w:tcPr>
            <w:tcW w:w="4390" w:type="dxa"/>
            <w:tcBorders>
              <w:left w:val="dotted" w:sz="4" w:space="0" w:color="auto"/>
            </w:tcBorders>
            <w:shd w:val="clear" w:color="auto" w:fill="BDD6EE" w:themeFill="accent1" w:themeFillTint="66"/>
            <w:vAlign w:val="center"/>
          </w:tcPr>
          <w:p w14:paraId="4B7E6419" w14:textId="77777777" w:rsidR="00732713" w:rsidRPr="00A110F0" w:rsidRDefault="00732713" w:rsidP="00FD3D2A">
            <w:pPr>
              <w:keepNext/>
              <w:jc w:val="center"/>
              <w:rPr>
                <w:rFonts w:asciiTheme="minorHAnsi" w:eastAsia="Calibri" w:hAnsiTheme="minorHAnsi"/>
                <w:b/>
                <w:sz w:val="16"/>
                <w:szCs w:val="16"/>
              </w:rPr>
            </w:pPr>
          </w:p>
        </w:tc>
      </w:tr>
    </w:tbl>
    <w:p w14:paraId="16DE022C" w14:textId="77777777" w:rsidR="00732713" w:rsidRPr="00A110F0" w:rsidRDefault="00732713" w:rsidP="00784D9F">
      <w:pPr>
        <w:tabs>
          <w:tab w:val="left" w:pos="540"/>
        </w:tabs>
        <w:ind w:left="540"/>
        <w:rPr>
          <w:rFonts w:asciiTheme="minorHAnsi" w:hAnsiTheme="minorHAnsi"/>
          <w:sz w:val="16"/>
          <w:szCs w:val="16"/>
        </w:rPr>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51"/>
        <w:gridCol w:w="1155"/>
        <w:gridCol w:w="1058"/>
        <w:gridCol w:w="1252"/>
        <w:gridCol w:w="6177"/>
      </w:tblGrid>
      <w:tr w:rsidR="00A110F0" w:rsidRPr="00A110F0" w14:paraId="6343D01B" w14:textId="77777777" w:rsidTr="00784D9F">
        <w:tc>
          <w:tcPr>
            <w:tcW w:w="2478" w:type="dxa"/>
            <w:vMerge w:val="restart"/>
            <w:shd w:val="clear" w:color="auto" w:fill="5B9BD5" w:themeFill="accent1"/>
            <w:vAlign w:val="center"/>
          </w:tcPr>
          <w:p w14:paraId="5E06016A"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406" w:type="dxa"/>
            <w:gridSpan w:val="2"/>
            <w:tcBorders>
              <w:bottom w:val="single" w:sz="4" w:space="0" w:color="auto"/>
            </w:tcBorders>
            <w:shd w:val="clear" w:color="auto" w:fill="5B9BD5" w:themeFill="accent1"/>
            <w:vAlign w:val="center"/>
          </w:tcPr>
          <w:p w14:paraId="27711886"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Labor Costs</w:t>
            </w:r>
          </w:p>
        </w:tc>
        <w:tc>
          <w:tcPr>
            <w:tcW w:w="2310" w:type="dxa"/>
            <w:gridSpan w:val="2"/>
            <w:shd w:val="clear" w:color="auto" w:fill="5B9BD5" w:themeFill="accent1"/>
          </w:tcPr>
          <w:p w14:paraId="38C69E6D"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Miscellaneous Costs</w:t>
            </w:r>
          </w:p>
        </w:tc>
        <w:tc>
          <w:tcPr>
            <w:tcW w:w="6177" w:type="dxa"/>
            <w:vMerge w:val="restart"/>
            <w:tcBorders>
              <w:right w:val="single" w:sz="4" w:space="0" w:color="auto"/>
            </w:tcBorders>
            <w:shd w:val="clear" w:color="auto" w:fill="5B9BD5" w:themeFill="accent1"/>
            <w:vAlign w:val="center"/>
          </w:tcPr>
          <w:p w14:paraId="36B89BF5" w14:textId="77777777"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A110F0" w:rsidRPr="00A110F0" w14:paraId="61B95845" w14:textId="77777777" w:rsidTr="00784D9F">
        <w:tc>
          <w:tcPr>
            <w:tcW w:w="2478" w:type="dxa"/>
            <w:vMerge/>
            <w:shd w:val="clear" w:color="auto" w:fill="5B9BD5" w:themeFill="accent1"/>
            <w:vAlign w:val="center"/>
          </w:tcPr>
          <w:p w14:paraId="3B938E4D" w14:textId="77777777" w:rsidR="00A110F0" w:rsidRPr="00A110F0" w:rsidRDefault="00A110F0" w:rsidP="00FD3D2A">
            <w:pPr>
              <w:keepNext/>
              <w:jc w:val="center"/>
              <w:rPr>
                <w:rFonts w:asciiTheme="minorHAnsi" w:eastAsia="Calibri" w:hAnsiTheme="minorHAnsi"/>
                <w:sz w:val="16"/>
                <w:szCs w:val="16"/>
              </w:rPr>
            </w:pPr>
          </w:p>
        </w:tc>
        <w:tc>
          <w:tcPr>
            <w:tcW w:w="1251" w:type="dxa"/>
            <w:tcBorders>
              <w:bottom w:val="single" w:sz="4" w:space="0" w:color="auto"/>
              <w:right w:val="dashSmallGap" w:sz="4" w:space="0" w:color="auto"/>
            </w:tcBorders>
            <w:shd w:val="clear" w:color="auto" w:fill="FBE4D5"/>
            <w:vAlign w:val="center"/>
          </w:tcPr>
          <w:p w14:paraId="26C6E86E"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155" w:type="dxa"/>
            <w:tcBorders>
              <w:left w:val="dashSmallGap" w:sz="4" w:space="0" w:color="auto"/>
              <w:bottom w:val="single" w:sz="4" w:space="0" w:color="auto"/>
            </w:tcBorders>
            <w:shd w:val="clear" w:color="auto" w:fill="FBE4D5"/>
            <w:vAlign w:val="center"/>
          </w:tcPr>
          <w:p w14:paraId="37CF903D"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1058" w:type="dxa"/>
            <w:tcBorders>
              <w:right w:val="dashSmallGap" w:sz="4" w:space="0" w:color="auto"/>
            </w:tcBorders>
            <w:shd w:val="clear" w:color="auto" w:fill="FBE4D5"/>
            <w:vAlign w:val="center"/>
          </w:tcPr>
          <w:p w14:paraId="30DD4A8E"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252" w:type="dxa"/>
            <w:tcBorders>
              <w:left w:val="dashSmallGap" w:sz="4" w:space="0" w:color="auto"/>
            </w:tcBorders>
            <w:shd w:val="clear" w:color="auto" w:fill="FBE4D5"/>
            <w:vAlign w:val="center"/>
          </w:tcPr>
          <w:p w14:paraId="3481ED9F" w14:textId="77777777"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6177" w:type="dxa"/>
            <w:vMerge/>
            <w:tcBorders>
              <w:right w:val="single" w:sz="4" w:space="0" w:color="auto"/>
            </w:tcBorders>
            <w:shd w:val="clear" w:color="auto" w:fill="FBE4D5"/>
            <w:vAlign w:val="center"/>
          </w:tcPr>
          <w:p w14:paraId="7785C3E6" w14:textId="77777777" w:rsidR="00A110F0" w:rsidRPr="00A110F0" w:rsidRDefault="00A110F0" w:rsidP="00FD3D2A">
            <w:pPr>
              <w:keepNext/>
              <w:rPr>
                <w:rFonts w:asciiTheme="minorHAnsi" w:eastAsia="Calibri" w:hAnsiTheme="minorHAnsi"/>
                <w:sz w:val="16"/>
                <w:szCs w:val="16"/>
              </w:rPr>
            </w:pPr>
          </w:p>
        </w:tc>
      </w:tr>
      <w:tr w:rsidR="00F344B6" w:rsidRPr="00A110F0" w14:paraId="3361CADD" w14:textId="77777777" w:rsidTr="00F344B6">
        <w:tc>
          <w:tcPr>
            <w:tcW w:w="2478" w:type="dxa"/>
            <w:shd w:val="clear" w:color="auto" w:fill="FFF2CC" w:themeFill="accent4" w:themeFillTint="33"/>
            <w:vAlign w:val="bottom"/>
          </w:tcPr>
          <w:p w14:paraId="1E7C49E0" w14:textId="77777777" w:rsidR="00F344B6" w:rsidRPr="00C630D6" w:rsidRDefault="00F344B6" w:rsidP="00F344B6">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1251" w:type="dxa"/>
            <w:tcBorders>
              <w:bottom w:val="dotted" w:sz="4" w:space="0" w:color="auto"/>
              <w:right w:val="dashSmallGap" w:sz="4" w:space="0" w:color="auto"/>
            </w:tcBorders>
            <w:shd w:val="clear" w:color="auto" w:fill="auto"/>
            <w:vAlign w:val="center"/>
          </w:tcPr>
          <w:p w14:paraId="212AE50D" w14:textId="77777777" w:rsidR="00F344B6" w:rsidRPr="00A110F0" w:rsidRDefault="00F344B6" w:rsidP="00F344B6">
            <w:pPr>
              <w:jc w:val="center"/>
              <w:rPr>
                <w:rFonts w:asciiTheme="minorHAnsi" w:eastAsia="Calibri" w:hAnsiTheme="minorHAnsi"/>
                <w:sz w:val="16"/>
                <w:szCs w:val="16"/>
              </w:rPr>
            </w:pPr>
          </w:p>
        </w:tc>
        <w:tc>
          <w:tcPr>
            <w:tcW w:w="1155" w:type="dxa"/>
            <w:tcBorders>
              <w:left w:val="dashSmallGap" w:sz="4" w:space="0" w:color="auto"/>
              <w:bottom w:val="dotted" w:sz="4" w:space="0" w:color="auto"/>
            </w:tcBorders>
            <w:shd w:val="clear" w:color="auto" w:fill="auto"/>
            <w:vAlign w:val="center"/>
          </w:tcPr>
          <w:p w14:paraId="05A1F2ED" w14:textId="77777777" w:rsidR="00F344B6" w:rsidRPr="00A110F0" w:rsidRDefault="00F344B6"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30F1215A" w14:textId="77777777" w:rsidR="00F344B6" w:rsidRPr="00A110F0" w:rsidRDefault="00F344B6" w:rsidP="00F344B6">
            <w:pPr>
              <w:keepNext/>
              <w:jc w:val="center"/>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14:paraId="2D993677" w14:textId="77777777" w:rsidR="00F344B6" w:rsidRPr="00A110F0" w:rsidRDefault="00F344B6" w:rsidP="00F344B6">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69CB329E" w14:textId="77777777" w:rsidR="00F344B6" w:rsidRPr="00A110F0" w:rsidRDefault="00F344B6" w:rsidP="00F344B6">
            <w:pPr>
              <w:keepNext/>
              <w:rPr>
                <w:rFonts w:asciiTheme="minorHAnsi" w:eastAsia="Calibri" w:hAnsiTheme="minorHAnsi"/>
                <w:sz w:val="16"/>
                <w:szCs w:val="16"/>
              </w:rPr>
            </w:pPr>
          </w:p>
        </w:tc>
      </w:tr>
      <w:tr w:rsidR="005F0A76" w:rsidRPr="00A110F0" w14:paraId="77C7AF13" w14:textId="77777777" w:rsidTr="00282B1E">
        <w:tc>
          <w:tcPr>
            <w:tcW w:w="2478" w:type="dxa"/>
            <w:shd w:val="clear" w:color="auto" w:fill="auto"/>
            <w:vAlign w:val="bottom"/>
          </w:tcPr>
          <w:p w14:paraId="49B0569A" w14:textId="77777777" w:rsidR="005F0A76" w:rsidRPr="00AE62AC" w:rsidRDefault="005F0A76" w:rsidP="005F0A76">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1251" w:type="dxa"/>
            <w:tcBorders>
              <w:bottom w:val="dotted" w:sz="4" w:space="0" w:color="auto"/>
              <w:right w:val="dashSmallGap" w:sz="4" w:space="0" w:color="auto"/>
            </w:tcBorders>
            <w:shd w:val="clear" w:color="auto" w:fill="auto"/>
            <w:vAlign w:val="center"/>
          </w:tcPr>
          <w:p w14:paraId="0CF73561" w14:textId="77777777" w:rsidR="005F0A76" w:rsidRPr="00A110F0" w:rsidRDefault="005F0A76" w:rsidP="00193A6B">
            <w:pPr>
              <w:keepNext/>
              <w:jc w:val="center"/>
              <w:rPr>
                <w:rFonts w:asciiTheme="minorHAnsi" w:eastAsia="Calibri" w:hAnsiTheme="minorHAnsi"/>
                <w:sz w:val="16"/>
                <w:szCs w:val="16"/>
              </w:rPr>
            </w:pPr>
            <w:r>
              <w:rPr>
                <w:rFonts w:asciiTheme="minorHAnsi" w:eastAsia="Calibri" w:hAnsiTheme="minorHAnsi"/>
                <w:sz w:val="16"/>
                <w:szCs w:val="16"/>
              </w:rPr>
              <w:t>$</w:t>
            </w:r>
            <w:r w:rsidR="0043584E">
              <w:rPr>
                <w:rFonts w:asciiTheme="minorHAnsi" w:eastAsia="Calibri" w:hAnsiTheme="minorHAnsi"/>
                <w:sz w:val="16"/>
                <w:szCs w:val="16"/>
              </w:rPr>
              <w:t>92</w:t>
            </w:r>
            <w:r w:rsidR="00193A6B">
              <w:rPr>
                <w:rFonts w:asciiTheme="minorHAnsi" w:eastAsia="Calibri" w:hAnsiTheme="minorHAnsi"/>
                <w:sz w:val="16"/>
                <w:szCs w:val="16"/>
              </w:rPr>
              <w:t>1</w:t>
            </w:r>
          </w:p>
        </w:tc>
        <w:tc>
          <w:tcPr>
            <w:tcW w:w="1155" w:type="dxa"/>
            <w:tcBorders>
              <w:left w:val="dashSmallGap" w:sz="4" w:space="0" w:color="auto"/>
              <w:bottom w:val="dotted" w:sz="4" w:space="0" w:color="auto"/>
            </w:tcBorders>
            <w:shd w:val="clear" w:color="auto" w:fill="auto"/>
            <w:vAlign w:val="center"/>
          </w:tcPr>
          <w:p w14:paraId="02C77F24" w14:textId="77777777" w:rsidR="005F0A76" w:rsidRDefault="0043584E" w:rsidP="0043584E">
            <w:pPr>
              <w:keepNext/>
              <w:jc w:val="center"/>
              <w:rPr>
                <w:rFonts w:asciiTheme="minorHAnsi" w:eastAsia="Calibri" w:hAnsiTheme="minorHAnsi"/>
                <w:sz w:val="16"/>
                <w:szCs w:val="16"/>
              </w:rPr>
            </w:pPr>
            <w:r>
              <w:rPr>
                <w:rFonts w:asciiTheme="minorHAnsi" w:eastAsia="Calibri" w:hAnsiTheme="minorHAnsi"/>
                <w:sz w:val="16"/>
                <w:szCs w:val="16"/>
              </w:rPr>
              <w:t>0</w:t>
            </w:r>
          </w:p>
          <w:p w14:paraId="3A6544B2" w14:textId="77777777" w:rsidR="0043584E" w:rsidRPr="00A110F0" w:rsidRDefault="0043584E" w:rsidP="0043584E">
            <w:pPr>
              <w:keepNext/>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5A09387B" w14:textId="77777777" w:rsidR="005F0A76" w:rsidRPr="00185785" w:rsidRDefault="005F0A76" w:rsidP="005F0A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2EC8B308" w14:textId="77777777" w:rsidR="005F0A76" w:rsidRPr="00A110F0" w:rsidRDefault="005F0A76" w:rsidP="005F0A76">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64890668" w14:textId="77777777" w:rsidR="005F0A76" w:rsidRPr="00A110F0" w:rsidRDefault="005F0A76" w:rsidP="005F0A76">
            <w:pPr>
              <w:keepNext/>
              <w:rPr>
                <w:rFonts w:asciiTheme="minorHAnsi" w:eastAsia="Calibri" w:hAnsiTheme="minorHAnsi"/>
                <w:sz w:val="16"/>
                <w:szCs w:val="16"/>
              </w:rPr>
            </w:pPr>
          </w:p>
        </w:tc>
      </w:tr>
      <w:tr w:rsidR="005F0A76" w:rsidRPr="00A110F0" w14:paraId="15653C55" w14:textId="77777777" w:rsidTr="00282B1E">
        <w:tc>
          <w:tcPr>
            <w:tcW w:w="2478" w:type="dxa"/>
            <w:shd w:val="clear" w:color="auto" w:fill="auto"/>
            <w:vAlign w:val="center"/>
          </w:tcPr>
          <w:p w14:paraId="4294704D" w14:textId="77777777" w:rsidR="005F0A76" w:rsidRPr="00AE62AC" w:rsidRDefault="005F0A76" w:rsidP="005F0A76">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1251" w:type="dxa"/>
            <w:tcBorders>
              <w:bottom w:val="dotted" w:sz="4" w:space="0" w:color="auto"/>
              <w:right w:val="dashSmallGap" w:sz="4" w:space="0" w:color="auto"/>
            </w:tcBorders>
            <w:shd w:val="clear" w:color="auto" w:fill="auto"/>
            <w:vAlign w:val="center"/>
          </w:tcPr>
          <w:p w14:paraId="53A51250" w14:textId="77777777" w:rsidR="005F0A76" w:rsidRPr="00A110F0" w:rsidRDefault="005F0A76" w:rsidP="00193A6B">
            <w:pPr>
              <w:keepNext/>
              <w:jc w:val="center"/>
              <w:rPr>
                <w:rFonts w:asciiTheme="minorHAnsi" w:eastAsia="Calibri" w:hAnsiTheme="minorHAnsi"/>
                <w:sz w:val="16"/>
                <w:szCs w:val="16"/>
              </w:rPr>
            </w:pPr>
            <w:r>
              <w:rPr>
                <w:rFonts w:asciiTheme="minorHAnsi" w:eastAsia="Calibri" w:hAnsiTheme="minorHAnsi"/>
                <w:sz w:val="16"/>
                <w:szCs w:val="16"/>
              </w:rPr>
              <w:t>$</w:t>
            </w:r>
            <w:r w:rsidR="0043584E">
              <w:rPr>
                <w:rFonts w:asciiTheme="minorHAnsi" w:eastAsia="Calibri" w:hAnsiTheme="minorHAnsi"/>
                <w:sz w:val="16"/>
                <w:szCs w:val="16"/>
              </w:rPr>
              <w:t>3</w:t>
            </w:r>
            <w:r w:rsidR="00193A6B">
              <w:rPr>
                <w:rFonts w:asciiTheme="minorHAnsi" w:eastAsia="Calibri" w:hAnsiTheme="minorHAnsi"/>
                <w:sz w:val="16"/>
                <w:szCs w:val="16"/>
              </w:rPr>
              <w:t>7</w:t>
            </w:r>
          </w:p>
        </w:tc>
        <w:tc>
          <w:tcPr>
            <w:tcW w:w="1155" w:type="dxa"/>
            <w:tcBorders>
              <w:left w:val="dashSmallGap" w:sz="4" w:space="0" w:color="auto"/>
              <w:bottom w:val="dotted" w:sz="4" w:space="0" w:color="auto"/>
            </w:tcBorders>
            <w:shd w:val="clear" w:color="auto" w:fill="auto"/>
            <w:vAlign w:val="center"/>
          </w:tcPr>
          <w:p w14:paraId="7EBC66D1" w14:textId="77777777" w:rsidR="005F0A76" w:rsidRPr="00A110F0" w:rsidRDefault="0043584E" w:rsidP="0043584E">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CC16560" w14:textId="77777777" w:rsidR="005F0A76" w:rsidRPr="00185785" w:rsidRDefault="005F0A76" w:rsidP="005F0A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425ADAAF" w14:textId="77777777" w:rsidR="005F0A76" w:rsidRPr="00A110F0" w:rsidRDefault="005F0A76" w:rsidP="005F0A76">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32843801" w14:textId="77777777" w:rsidR="005F0A76" w:rsidRPr="00A110F0" w:rsidRDefault="005F0A76" w:rsidP="005F0A76">
            <w:pPr>
              <w:keepNext/>
              <w:rPr>
                <w:rFonts w:asciiTheme="minorHAnsi" w:eastAsia="Calibri" w:hAnsiTheme="minorHAnsi"/>
                <w:sz w:val="16"/>
                <w:szCs w:val="16"/>
              </w:rPr>
            </w:pPr>
          </w:p>
        </w:tc>
      </w:tr>
      <w:tr w:rsidR="00444A97" w:rsidRPr="00A110F0" w14:paraId="3CB12E47" w14:textId="77777777" w:rsidTr="00282B1E">
        <w:tc>
          <w:tcPr>
            <w:tcW w:w="2478" w:type="dxa"/>
            <w:shd w:val="clear" w:color="auto" w:fill="auto"/>
            <w:vAlign w:val="center"/>
          </w:tcPr>
          <w:p w14:paraId="67C844AB"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Call to Service Provider to request IFM observer to access Groundfish Closed Areas</w:t>
            </w:r>
          </w:p>
        </w:tc>
        <w:tc>
          <w:tcPr>
            <w:tcW w:w="1251" w:type="dxa"/>
            <w:tcBorders>
              <w:bottom w:val="dotted" w:sz="4" w:space="0" w:color="auto"/>
              <w:right w:val="dashSmallGap" w:sz="4" w:space="0" w:color="auto"/>
            </w:tcBorders>
            <w:shd w:val="clear" w:color="auto" w:fill="auto"/>
            <w:vAlign w:val="center"/>
          </w:tcPr>
          <w:p w14:paraId="08FF5261"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$2</w:t>
            </w:r>
            <w:r w:rsidR="00193A6B">
              <w:rPr>
                <w:rFonts w:asciiTheme="minorHAnsi" w:eastAsia="Calibri" w:hAnsiTheme="minorHAnsi"/>
                <w:sz w:val="16"/>
                <w:szCs w:val="16"/>
              </w:rPr>
              <w:t>3</w:t>
            </w:r>
          </w:p>
        </w:tc>
        <w:tc>
          <w:tcPr>
            <w:tcW w:w="1155" w:type="dxa"/>
            <w:tcBorders>
              <w:left w:val="dashSmallGap" w:sz="4" w:space="0" w:color="auto"/>
              <w:bottom w:val="dotted" w:sz="4" w:space="0" w:color="auto"/>
            </w:tcBorders>
            <w:shd w:val="clear" w:color="auto" w:fill="auto"/>
            <w:vAlign w:val="center"/>
          </w:tcPr>
          <w:p w14:paraId="46080930"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3D5547E3"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252" w:type="dxa"/>
            <w:tcBorders>
              <w:left w:val="dashSmallGap" w:sz="4" w:space="0" w:color="auto"/>
              <w:bottom w:val="dotted" w:sz="4" w:space="0" w:color="auto"/>
              <w:right w:val="single" w:sz="4" w:space="0" w:color="auto"/>
            </w:tcBorders>
            <w:vAlign w:val="center"/>
          </w:tcPr>
          <w:p w14:paraId="0BB393F4"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033FABDF" w14:textId="77777777" w:rsidR="00444A97" w:rsidRPr="00A110F0" w:rsidRDefault="00444A97" w:rsidP="00444A97">
            <w:pPr>
              <w:keepNext/>
              <w:rPr>
                <w:rFonts w:asciiTheme="minorHAnsi" w:eastAsia="Calibri" w:hAnsiTheme="minorHAnsi"/>
                <w:sz w:val="16"/>
                <w:szCs w:val="16"/>
              </w:rPr>
            </w:pPr>
            <w:r>
              <w:rPr>
                <w:rFonts w:asciiTheme="minorHAnsi" w:eastAsia="Calibri" w:hAnsiTheme="minorHAnsi"/>
                <w:sz w:val="16"/>
                <w:szCs w:val="16"/>
              </w:rPr>
              <w:t>New Requirements</w:t>
            </w:r>
          </w:p>
        </w:tc>
      </w:tr>
      <w:tr w:rsidR="00444A97" w:rsidRPr="00A110F0" w14:paraId="1DC8BFEB" w14:textId="77777777" w:rsidTr="00282B1E">
        <w:tc>
          <w:tcPr>
            <w:tcW w:w="2478" w:type="dxa"/>
            <w:shd w:val="clear" w:color="auto" w:fill="auto"/>
            <w:vAlign w:val="center"/>
          </w:tcPr>
          <w:p w14:paraId="74493056"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service provider for Groundfish Closed Area </w:t>
            </w:r>
          </w:p>
        </w:tc>
        <w:tc>
          <w:tcPr>
            <w:tcW w:w="1251" w:type="dxa"/>
            <w:tcBorders>
              <w:bottom w:val="dotted" w:sz="4" w:space="0" w:color="auto"/>
              <w:right w:val="dashSmallGap" w:sz="4" w:space="0" w:color="auto"/>
            </w:tcBorders>
            <w:shd w:val="clear" w:color="auto" w:fill="auto"/>
            <w:vAlign w:val="center"/>
          </w:tcPr>
          <w:p w14:paraId="36D03C38"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w:t>
            </w:r>
            <w:r w:rsidR="00193A6B">
              <w:rPr>
                <w:rFonts w:asciiTheme="minorHAnsi" w:eastAsia="Calibri" w:hAnsiTheme="minorHAnsi"/>
                <w:sz w:val="16"/>
                <w:szCs w:val="16"/>
              </w:rPr>
              <w:t>1</w:t>
            </w:r>
          </w:p>
        </w:tc>
        <w:tc>
          <w:tcPr>
            <w:tcW w:w="1155" w:type="dxa"/>
            <w:tcBorders>
              <w:left w:val="dashSmallGap" w:sz="4" w:space="0" w:color="auto"/>
              <w:bottom w:val="dotted" w:sz="4" w:space="0" w:color="auto"/>
            </w:tcBorders>
            <w:shd w:val="clear" w:color="auto" w:fill="auto"/>
            <w:vAlign w:val="center"/>
          </w:tcPr>
          <w:p w14:paraId="6DA2F640"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FCDE126"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252" w:type="dxa"/>
            <w:tcBorders>
              <w:left w:val="dashSmallGap" w:sz="4" w:space="0" w:color="auto"/>
              <w:bottom w:val="dotted" w:sz="4" w:space="0" w:color="auto"/>
              <w:right w:val="single" w:sz="4" w:space="0" w:color="auto"/>
            </w:tcBorders>
            <w:vAlign w:val="center"/>
          </w:tcPr>
          <w:p w14:paraId="384337DC"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05C2D096" w14:textId="77777777" w:rsidR="00444A97" w:rsidRPr="00A110F0" w:rsidRDefault="00444A97" w:rsidP="00444A97">
            <w:pPr>
              <w:keepNext/>
              <w:rPr>
                <w:rFonts w:asciiTheme="minorHAnsi" w:eastAsia="Calibri" w:hAnsiTheme="minorHAnsi"/>
                <w:sz w:val="16"/>
                <w:szCs w:val="16"/>
              </w:rPr>
            </w:pPr>
            <w:r>
              <w:rPr>
                <w:rFonts w:asciiTheme="minorHAnsi" w:eastAsia="Calibri" w:hAnsiTheme="minorHAnsi"/>
                <w:sz w:val="16"/>
                <w:szCs w:val="16"/>
              </w:rPr>
              <w:t>New Requirements</w:t>
            </w:r>
          </w:p>
        </w:tc>
      </w:tr>
      <w:tr w:rsidR="00444A97" w:rsidRPr="00A110F0" w14:paraId="119EDAC1" w14:textId="77777777" w:rsidTr="00282B1E">
        <w:tc>
          <w:tcPr>
            <w:tcW w:w="2478" w:type="dxa"/>
            <w:shd w:val="clear" w:color="auto" w:fill="auto"/>
            <w:vAlign w:val="center"/>
          </w:tcPr>
          <w:p w14:paraId="39776167"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for IFM ASM Coverage</w:t>
            </w:r>
          </w:p>
        </w:tc>
        <w:tc>
          <w:tcPr>
            <w:tcW w:w="1251" w:type="dxa"/>
            <w:tcBorders>
              <w:bottom w:val="dotted" w:sz="4" w:space="0" w:color="auto"/>
              <w:right w:val="dashSmallGap" w:sz="4" w:space="0" w:color="auto"/>
            </w:tcBorders>
            <w:shd w:val="clear" w:color="auto" w:fill="auto"/>
            <w:vAlign w:val="center"/>
          </w:tcPr>
          <w:p w14:paraId="33E08DC0" w14:textId="77777777" w:rsidR="00444A97" w:rsidRPr="00A110F0" w:rsidRDefault="00444A97" w:rsidP="00444A97">
            <w:pPr>
              <w:jc w:val="center"/>
              <w:rPr>
                <w:rFonts w:asciiTheme="minorHAnsi" w:eastAsia="Calibri" w:hAnsiTheme="minorHAnsi"/>
                <w:sz w:val="16"/>
                <w:szCs w:val="16"/>
              </w:rPr>
            </w:pPr>
            <w:r>
              <w:rPr>
                <w:rFonts w:asciiTheme="minorHAnsi" w:eastAsia="Calibri" w:hAnsiTheme="minorHAnsi"/>
                <w:sz w:val="16"/>
                <w:szCs w:val="16"/>
              </w:rPr>
              <w:t>0</w:t>
            </w:r>
          </w:p>
        </w:tc>
        <w:tc>
          <w:tcPr>
            <w:tcW w:w="1155" w:type="dxa"/>
            <w:tcBorders>
              <w:left w:val="dashSmallGap" w:sz="4" w:space="0" w:color="auto"/>
              <w:bottom w:val="dotted" w:sz="4" w:space="0" w:color="auto"/>
            </w:tcBorders>
            <w:shd w:val="clear" w:color="auto" w:fill="auto"/>
            <w:vAlign w:val="center"/>
          </w:tcPr>
          <w:p w14:paraId="48AAD6B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5CFC0DC2"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$566,580</w:t>
            </w:r>
          </w:p>
        </w:tc>
        <w:tc>
          <w:tcPr>
            <w:tcW w:w="1252" w:type="dxa"/>
            <w:tcBorders>
              <w:left w:val="dashSmallGap" w:sz="4" w:space="0" w:color="auto"/>
              <w:bottom w:val="dotted" w:sz="4" w:space="0" w:color="auto"/>
              <w:right w:val="single" w:sz="4" w:space="0" w:color="auto"/>
            </w:tcBorders>
            <w:vAlign w:val="center"/>
          </w:tcPr>
          <w:p w14:paraId="4CA8BF2A"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val="restart"/>
            <w:tcBorders>
              <w:left w:val="single" w:sz="4" w:space="0" w:color="auto"/>
              <w:right w:val="single" w:sz="4" w:space="0" w:color="auto"/>
            </w:tcBorders>
            <w:shd w:val="clear" w:color="auto" w:fill="auto"/>
            <w:vAlign w:val="center"/>
          </w:tcPr>
          <w:p w14:paraId="00BA997C" w14:textId="77777777" w:rsidR="00444A97" w:rsidRPr="00A110F0" w:rsidRDefault="00444A97" w:rsidP="00444A97">
            <w:pPr>
              <w:keepNext/>
              <w:rPr>
                <w:rFonts w:asciiTheme="minorHAnsi" w:eastAsia="Calibri" w:hAnsiTheme="minorHAnsi"/>
                <w:sz w:val="16"/>
                <w:szCs w:val="16"/>
              </w:rPr>
            </w:pPr>
            <w:r>
              <w:rPr>
                <w:rFonts w:asciiTheme="minorHAnsi" w:eastAsia="Calibri" w:hAnsiTheme="minorHAnsi"/>
                <w:sz w:val="16"/>
                <w:szCs w:val="16"/>
              </w:rPr>
              <w:t>New Requirements</w:t>
            </w:r>
          </w:p>
        </w:tc>
      </w:tr>
      <w:tr w:rsidR="00444A97" w:rsidRPr="00A110F0" w14:paraId="5D07FB7B" w14:textId="77777777" w:rsidTr="00282B1E">
        <w:tc>
          <w:tcPr>
            <w:tcW w:w="2478" w:type="dxa"/>
            <w:shd w:val="clear" w:color="auto" w:fill="auto"/>
            <w:vAlign w:val="center"/>
          </w:tcPr>
          <w:p w14:paraId="163AD424"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Industry contribution (MWT vessels) for optional IFM observers to enter Groundfish Closed Area</w:t>
            </w:r>
          </w:p>
        </w:tc>
        <w:tc>
          <w:tcPr>
            <w:tcW w:w="1251" w:type="dxa"/>
            <w:tcBorders>
              <w:bottom w:val="dotted" w:sz="4" w:space="0" w:color="auto"/>
              <w:right w:val="dashSmallGap" w:sz="4" w:space="0" w:color="auto"/>
            </w:tcBorders>
            <w:shd w:val="clear" w:color="auto" w:fill="auto"/>
            <w:vAlign w:val="center"/>
          </w:tcPr>
          <w:p w14:paraId="69E926A1" w14:textId="77777777" w:rsidR="00444A97" w:rsidRPr="00A110F0" w:rsidRDefault="00444A97" w:rsidP="00444A97">
            <w:pPr>
              <w:jc w:val="center"/>
              <w:rPr>
                <w:rFonts w:asciiTheme="minorHAnsi" w:eastAsia="Calibri" w:hAnsiTheme="minorHAnsi"/>
                <w:sz w:val="16"/>
                <w:szCs w:val="16"/>
              </w:rPr>
            </w:pPr>
            <w:r>
              <w:rPr>
                <w:rFonts w:asciiTheme="minorHAnsi" w:eastAsia="Calibri" w:hAnsiTheme="minorHAnsi"/>
                <w:sz w:val="16"/>
                <w:szCs w:val="16"/>
              </w:rPr>
              <w:t>0</w:t>
            </w:r>
          </w:p>
        </w:tc>
        <w:tc>
          <w:tcPr>
            <w:tcW w:w="1155" w:type="dxa"/>
            <w:tcBorders>
              <w:left w:val="dashSmallGap" w:sz="4" w:space="0" w:color="auto"/>
              <w:bottom w:val="dotted" w:sz="4" w:space="0" w:color="auto"/>
            </w:tcBorders>
            <w:shd w:val="clear" w:color="auto" w:fill="auto"/>
            <w:vAlign w:val="center"/>
          </w:tcPr>
          <w:p w14:paraId="307BE3DD"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BE170B3"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$206,136</w:t>
            </w:r>
          </w:p>
        </w:tc>
        <w:tc>
          <w:tcPr>
            <w:tcW w:w="1252" w:type="dxa"/>
            <w:tcBorders>
              <w:left w:val="dashSmallGap" w:sz="4" w:space="0" w:color="auto"/>
              <w:bottom w:val="dotted" w:sz="4" w:space="0" w:color="auto"/>
              <w:right w:val="single" w:sz="4" w:space="0" w:color="auto"/>
            </w:tcBorders>
            <w:vAlign w:val="center"/>
          </w:tcPr>
          <w:p w14:paraId="32AD4D95"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3D861CB4" w14:textId="77777777" w:rsidR="00444A97" w:rsidRPr="00A110F0" w:rsidRDefault="00444A97" w:rsidP="00444A97">
            <w:pPr>
              <w:keepNext/>
              <w:rPr>
                <w:rFonts w:asciiTheme="minorHAnsi" w:eastAsia="Calibri" w:hAnsiTheme="minorHAnsi"/>
                <w:sz w:val="16"/>
                <w:szCs w:val="16"/>
              </w:rPr>
            </w:pPr>
          </w:p>
        </w:tc>
      </w:tr>
      <w:tr w:rsidR="00444A97" w:rsidRPr="00A110F0" w14:paraId="5ACB8C17" w14:textId="77777777" w:rsidTr="00EE6B18">
        <w:tc>
          <w:tcPr>
            <w:tcW w:w="2478" w:type="dxa"/>
            <w:shd w:val="clear" w:color="auto" w:fill="FFF2CC" w:themeFill="accent4" w:themeFillTint="33"/>
            <w:vAlign w:val="bottom"/>
          </w:tcPr>
          <w:p w14:paraId="16479293" w14:textId="77777777" w:rsidR="00444A97" w:rsidRPr="00C630D6" w:rsidRDefault="00444A97" w:rsidP="00444A9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Monitor Provider Requirements</w:t>
            </w:r>
          </w:p>
        </w:tc>
        <w:tc>
          <w:tcPr>
            <w:tcW w:w="1251" w:type="dxa"/>
            <w:tcBorders>
              <w:bottom w:val="dotted" w:sz="4" w:space="0" w:color="auto"/>
              <w:right w:val="dashSmallGap" w:sz="4" w:space="0" w:color="auto"/>
            </w:tcBorders>
            <w:shd w:val="clear" w:color="auto" w:fill="auto"/>
            <w:vAlign w:val="center"/>
          </w:tcPr>
          <w:p w14:paraId="52CED2AA" w14:textId="77777777" w:rsidR="00444A97" w:rsidRPr="00A110F0" w:rsidRDefault="00444A97" w:rsidP="00444A97">
            <w:pPr>
              <w:jc w:val="center"/>
              <w:rPr>
                <w:rFonts w:asciiTheme="minorHAnsi" w:eastAsia="Calibri" w:hAnsiTheme="minorHAnsi"/>
                <w:sz w:val="16"/>
                <w:szCs w:val="16"/>
              </w:rPr>
            </w:pPr>
          </w:p>
        </w:tc>
        <w:tc>
          <w:tcPr>
            <w:tcW w:w="1155" w:type="dxa"/>
            <w:tcBorders>
              <w:left w:val="dashSmallGap" w:sz="4" w:space="0" w:color="auto"/>
              <w:bottom w:val="dotted" w:sz="4" w:space="0" w:color="auto"/>
            </w:tcBorders>
            <w:shd w:val="clear" w:color="auto" w:fill="auto"/>
            <w:vAlign w:val="center"/>
          </w:tcPr>
          <w:p w14:paraId="6374A59D" w14:textId="77777777" w:rsidR="00444A97" w:rsidRPr="00A110F0" w:rsidRDefault="00444A97" w:rsidP="00444A97">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0D025A6B" w14:textId="77777777" w:rsidR="00444A97" w:rsidRPr="00A110F0" w:rsidRDefault="00444A97" w:rsidP="00444A97">
            <w:pPr>
              <w:keepNext/>
              <w:jc w:val="center"/>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14:paraId="2E53814E" w14:textId="77777777" w:rsidR="00444A97" w:rsidRPr="00A110F0" w:rsidRDefault="00444A97" w:rsidP="00444A97">
            <w:pPr>
              <w:keepNext/>
              <w:jc w:val="center"/>
              <w:rPr>
                <w:rFonts w:asciiTheme="minorHAnsi" w:eastAsia="Calibri" w:hAnsiTheme="minorHAnsi"/>
                <w:sz w:val="16"/>
                <w:szCs w:val="16"/>
              </w:rPr>
            </w:pPr>
          </w:p>
        </w:tc>
        <w:tc>
          <w:tcPr>
            <w:tcW w:w="6177" w:type="dxa"/>
            <w:vMerge/>
            <w:tcBorders>
              <w:left w:val="single" w:sz="4" w:space="0" w:color="auto"/>
              <w:right w:val="single" w:sz="4" w:space="0" w:color="auto"/>
            </w:tcBorders>
            <w:shd w:val="clear" w:color="auto" w:fill="auto"/>
            <w:vAlign w:val="center"/>
          </w:tcPr>
          <w:p w14:paraId="54945D49" w14:textId="77777777" w:rsidR="00444A97" w:rsidRPr="00A110F0" w:rsidRDefault="00444A97" w:rsidP="00444A97">
            <w:pPr>
              <w:keepNext/>
              <w:rPr>
                <w:rFonts w:asciiTheme="minorHAnsi" w:eastAsia="Calibri" w:hAnsiTheme="minorHAnsi"/>
                <w:sz w:val="16"/>
                <w:szCs w:val="16"/>
              </w:rPr>
            </w:pPr>
          </w:p>
        </w:tc>
      </w:tr>
      <w:tr w:rsidR="00444A97" w:rsidRPr="00A110F0" w14:paraId="182C226B" w14:textId="77777777" w:rsidTr="00282B1E">
        <w:tc>
          <w:tcPr>
            <w:tcW w:w="2478" w:type="dxa"/>
            <w:shd w:val="clear" w:color="auto" w:fill="auto"/>
            <w:vAlign w:val="center"/>
          </w:tcPr>
          <w:p w14:paraId="4DCA2EA3"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deployment report</w:t>
            </w:r>
          </w:p>
        </w:tc>
        <w:tc>
          <w:tcPr>
            <w:tcW w:w="1251" w:type="dxa"/>
            <w:tcBorders>
              <w:bottom w:val="dotted" w:sz="4" w:space="0" w:color="auto"/>
              <w:right w:val="dashSmallGap" w:sz="4" w:space="0" w:color="auto"/>
            </w:tcBorders>
            <w:shd w:val="clear" w:color="auto" w:fill="auto"/>
            <w:vAlign w:val="center"/>
          </w:tcPr>
          <w:p w14:paraId="606C0CB6"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$47</w:t>
            </w:r>
            <w:r w:rsidR="00193A6B">
              <w:rPr>
                <w:rFonts w:asciiTheme="minorHAnsi" w:eastAsia="Calibri" w:hAnsiTheme="minorHAnsi"/>
                <w:sz w:val="16"/>
                <w:szCs w:val="16"/>
              </w:rPr>
              <w:t>4</w:t>
            </w:r>
          </w:p>
        </w:tc>
        <w:tc>
          <w:tcPr>
            <w:tcW w:w="1155" w:type="dxa"/>
            <w:tcBorders>
              <w:left w:val="dashSmallGap" w:sz="4" w:space="0" w:color="auto"/>
              <w:bottom w:val="dotted" w:sz="4" w:space="0" w:color="auto"/>
            </w:tcBorders>
            <w:shd w:val="clear" w:color="auto" w:fill="auto"/>
            <w:vAlign w:val="center"/>
          </w:tcPr>
          <w:p w14:paraId="2C3098B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5F600603"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01D39742"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2D5E5D40" w14:textId="77777777" w:rsidR="00444A97" w:rsidRPr="00A110F0" w:rsidRDefault="00444A97" w:rsidP="00444A97">
            <w:pPr>
              <w:keepNext/>
              <w:rPr>
                <w:rFonts w:asciiTheme="minorHAnsi" w:eastAsia="Calibri" w:hAnsiTheme="minorHAnsi"/>
                <w:sz w:val="16"/>
                <w:szCs w:val="16"/>
              </w:rPr>
            </w:pPr>
          </w:p>
        </w:tc>
      </w:tr>
      <w:tr w:rsidR="00444A97" w:rsidRPr="00A110F0" w14:paraId="0513D9CC" w14:textId="77777777" w:rsidTr="00282B1E">
        <w:tc>
          <w:tcPr>
            <w:tcW w:w="2478" w:type="dxa"/>
            <w:shd w:val="clear" w:color="auto" w:fill="auto"/>
            <w:vAlign w:val="center"/>
          </w:tcPr>
          <w:p w14:paraId="703115E5"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ASM availability report</w:t>
            </w:r>
          </w:p>
        </w:tc>
        <w:tc>
          <w:tcPr>
            <w:tcW w:w="1251" w:type="dxa"/>
            <w:tcBorders>
              <w:bottom w:val="dotted" w:sz="4" w:space="0" w:color="auto"/>
              <w:right w:val="dashSmallGap" w:sz="4" w:space="0" w:color="auto"/>
            </w:tcBorders>
            <w:shd w:val="clear" w:color="auto" w:fill="auto"/>
            <w:vAlign w:val="center"/>
          </w:tcPr>
          <w:p w14:paraId="2621E6C8"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$92</w:t>
            </w:r>
            <w:r w:rsidR="00193A6B">
              <w:rPr>
                <w:rFonts w:asciiTheme="minorHAnsi" w:eastAsia="Calibri" w:hAnsiTheme="minorHAnsi"/>
                <w:sz w:val="16"/>
                <w:szCs w:val="16"/>
              </w:rPr>
              <w:t>2</w:t>
            </w:r>
          </w:p>
        </w:tc>
        <w:tc>
          <w:tcPr>
            <w:tcW w:w="1155" w:type="dxa"/>
            <w:tcBorders>
              <w:left w:val="dashSmallGap" w:sz="4" w:space="0" w:color="auto"/>
              <w:bottom w:val="dotted" w:sz="4" w:space="0" w:color="auto"/>
            </w:tcBorders>
            <w:shd w:val="clear" w:color="auto" w:fill="auto"/>
            <w:vAlign w:val="center"/>
          </w:tcPr>
          <w:p w14:paraId="7D9F5268"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429521F"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2040504C"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5E552FB3" w14:textId="77777777" w:rsidR="00444A97" w:rsidRPr="00A110F0" w:rsidRDefault="00444A97" w:rsidP="00444A97">
            <w:pPr>
              <w:keepNext/>
              <w:rPr>
                <w:rFonts w:asciiTheme="minorHAnsi" w:eastAsia="Calibri" w:hAnsiTheme="minorHAnsi"/>
                <w:sz w:val="16"/>
                <w:szCs w:val="16"/>
              </w:rPr>
            </w:pPr>
          </w:p>
        </w:tc>
      </w:tr>
      <w:tr w:rsidR="00444A97" w:rsidRPr="00A110F0" w14:paraId="538CC46A" w14:textId="77777777" w:rsidTr="00282B1E">
        <w:tc>
          <w:tcPr>
            <w:tcW w:w="2478" w:type="dxa"/>
            <w:shd w:val="clear" w:color="auto" w:fill="auto"/>
            <w:vAlign w:val="center"/>
          </w:tcPr>
          <w:p w14:paraId="65970C92"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Safety refusals</w:t>
            </w:r>
          </w:p>
        </w:tc>
        <w:tc>
          <w:tcPr>
            <w:tcW w:w="1251" w:type="dxa"/>
            <w:tcBorders>
              <w:bottom w:val="dotted" w:sz="4" w:space="0" w:color="auto"/>
              <w:right w:val="dashSmallGap" w:sz="4" w:space="0" w:color="auto"/>
            </w:tcBorders>
            <w:shd w:val="clear" w:color="auto" w:fill="auto"/>
            <w:vAlign w:val="center"/>
          </w:tcPr>
          <w:p w14:paraId="6ECA3658"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$38</w:t>
            </w:r>
            <w:r w:rsidR="00193A6B">
              <w:rPr>
                <w:rFonts w:asciiTheme="minorHAnsi" w:eastAsia="Calibri" w:hAnsiTheme="minorHAnsi"/>
                <w:sz w:val="16"/>
                <w:szCs w:val="16"/>
              </w:rPr>
              <w:t>4</w:t>
            </w:r>
          </w:p>
        </w:tc>
        <w:tc>
          <w:tcPr>
            <w:tcW w:w="1155" w:type="dxa"/>
            <w:tcBorders>
              <w:left w:val="dashSmallGap" w:sz="4" w:space="0" w:color="auto"/>
              <w:bottom w:val="dotted" w:sz="4" w:space="0" w:color="auto"/>
            </w:tcBorders>
            <w:shd w:val="clear" w:color="auto" w:fill="auto"/>
            <w:vAlign w:val="center"/>
          </w:tcPr>
          <w:p w14:paraId="5E93D11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7C95AC3"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32ABCAE6"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0393AE27" w14:textId="77777777" w:rsidR="00444A97" w:rsidRPr="00A110F0" w:rsidRDefault="00444A97" w:rsidP="00444A97">
            <w:pPr>
              <w:keepNext/>
              <w:rPr>
                <w:rFonts w:asciiTheme="minorHAnsi" w:eastAsia="Calibri" w:hAnsiTheme="minorHAnsi"/>
                <w:sz w:val="16"/>
                <w:szCs w:val="16"/>
              </w:rPr>
            </w:pPr>
          </w:p>
        </w:tc>
      </w:tr>
      <w:tr w:rsidR="00444A97" w:rsidRPr="00A110F0" w14:paraId="404E494D" w14:textId="77777777" w:rsidTr="00282B1E">
        <w:tc>
          <w:tcPr>
            <w:tcW w:w="2478" w:type="dxa"/>
            <w:shd w:val="clear" w:color="auto" w:fill="auto"/>
            <w:vAlign w:val="center"/>
          </w:tcPr>
          <w:p w14:paraId="5A5803D4"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Raw monitor data</w:t>
            </w:r>
          </w:p>
        </w:tc>
        <w:tc>
          <w:tcPr>
            <w:tcW w:w="1251" w:type="dxa"/>
            <w:tcBorders>
              <w:bottom w:val="dotted" w:sz="4" w:space="0" w:color="auto"/>
              <w:right w:val="dashSmallGap" w:sz="4" w:space="0" w:color="auto"/>
            </w:tcBorders>
            <w:shd w:val="clear" w:color="auto" w:fill="auto"/>
            <w:vAlign w:val="center"/>
          </w:tcPr>
          <w:p w14:paraId="7D97B660"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$11</w:t>
            </w:r>
            <w:r w:rsidR="00193A6B">
              <w:rPr>
                <w:rFonts w:asciiTheme="minorHAnsi" w:eastAsia="Calibri" w:hAnsiTheme="minorHAnsi"/>
                <w:sz w:val="16"/>
                <w:szCs w:val="16"/>
              </w:rPr>
              <w:t>8</w:t>
            </w:r>
          </w:p>
        </w:tc>
        <w:tc>
          <w:tcPr>
            <w:tcW w:w="1155" w:type="dxa"/>
            <w:tcBorders>
              <w:left w:val="dashSmallGap" w:sz="4" w:space="0" w:color="auto"/>
              <w:bottom w:val="dotted" w:sz="4" w:space="0" w:color="auto"/>
            </w:tcBorders>
            <w:shd w:val="clear" w:color="auto" w:fill="auto"/>
            <w:vAlign w:val="center"/>
          </w:tcPr>
          <w:p w14:paraId="403C8353"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C86EA21"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$10,545</w:t>
            </w:r>
          </w:p>
        </w:tc>
        <w:tc>
          <w:tcPr>
            <w:tcW w:w="1252" w:type="dxa"/>
            <w:tcBorders>
              <w:left w:val="dashSmallGap" w:sz="4" w:space="0" w:color="auto"/>
              <w:bottom w:val="dotted" w:sz="4" w:space="0" w:color="auto"/>
              <w:right w:val="single" w:sz="4" w:space="0" w:color="auto"/>
            </w:tcBorders>
            <w:vAlign w:val="center"/>
          </w:tcPr>
          <w:p w14:paraId="0ED0F22C"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00E730F8" w14:textId="77777777" w:rsidR="00444A97" w:rsidRPr="00A110F0" w:rsidRDefault="00444A97" w:rsidP="00444A97">
            <w:pPr>
              <w:keepNext/>
              <w:rPr>
                <w:rFonts w:asciiTheme="minorHAnsi" w:eastAsia="Calibri" w:hAnsiTheme="minorHAnsi"/>
                <w:sz w:val="16"/>
                <w:szCs w:val="16"/>
              </w:rPr>
            </w:pPr>
          </w:p>
        </w:tc>
      </w:tr>
      <w:tr w:rsidR="00444A97" w:rsidRPr="00A110F0" w14:paraId="03ED1474" w14:textId="77777777" w:rsidTr="00282B1E">
        <w:tc>
          <w:tcPr>
            <w:tcW w:w="2478" w:type="dxa"/>
            <w:shd w:val="clear" w:color="auto" w:fill="auto"/>
            <w:vAlign w:val="center"/>
          </w:tcPr>
          <w:p w14:paraId="165ED316"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Monitor debriefing</w:t>
            </w:r>
          </w:p>
        </w:tc>
        <w:tc>
          <w:tcPr>
            <w:tcW w:w="1251" w:type="dxa"/>
            <w:tcBorders>
              <w:bottom w:val="dotted" w:sz="4" w:space="0" w:color="auto"/>
              <w:right w:val="dashSmallGap" w:sz="4" w:space="0" w:color="auto"/>
            </w:tcBorders>
            <w:shd w:val="clear" w:color="auto" w:fill="auto"/>
            <w:vAlign w:val="center"/>
          </w:tcPr>
          <w:p w14:paraId="4ED4B634"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$19,061</w:t>
            </w:r>
          </w:p>
        </w:tc>
        <w:tc>
          <w:tcPr>
            <w:tcW w:w="1155" w:type="dxa"/>
            <w:tcBorders>
              <w:left w:val="dashSmallGap" w:sz="4" w:space="0" w:color="auto"/>
              <w:bottom w:val="dotted" w:sz="4" w:space="0" w:color="auto"/>
            </w:tcBorders>
            <w:shd w:val="clear" w:color="auto" w:fill="auto"/>
            <w:vAlign w:val="center"/>
          </w:tcPr>
          <w:p w14:paraId="515EC01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3AFCB622"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$1,488</w:t>
            </w:r>
          </w:p>
        </w:tc>
        <w:tc>
          <w:tcPr>
            <w:tcW w:w="1252" w:type="dxa"/>
            <w:tcBorders>
              <w:left w:val="dashSmallGap" w:sz="4" w:space="0" w:color="auto"/>
              <w:bottom w:val="dotted" w:sz="4" w:space="0" w:color="auto"/>
              <w:right w:val="single" w:sz="4" w:space="0" w:color="auto"/>
            </w:tcBorders>
            <w:vAlign w:val="center"/>
          </w:tcPr>
          <w:p w14:paraId="0BE4068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5DB2A28" w14:textId="77777777" w:rsidR="00444A97" w:rsidRPr="00A110F0" w:rsidRDefault="00444A97" w:rsidP="00444A97">
            <w:pPr>
              <w:keepNext/>
              <w:rPr>
                <w:rFonts w:asciiTheme="minorHAnsi" w:eastAsia="Calibri" w:hAnsiTheme="minorHAnsi"/>
                <w:sz w:val="16"/>
                <w:szCs w:val="16"/>
              </w:rPr>
            </w:pPr>
          </w:p>
        </w:tc>
      </w:tr>
      <w:tr w:rsidR="00444A97" w:rsidRPr="00A110F0" w14:paraId="177C9B7B" w14:textId="77777777" w:rsidTr="00282B1E">
        <w:tc>
          <w:tcPr>
            <w:tcW w:w="2478" w:type="dxa"/>
            <w:shd w:val="clear" w:color="auto" w:fill="auto"/>
            <w:vAlign w:val="center"/>
          </w:tcPr>
          <w:p w14:paraId="39366A67"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Other reports</w:t>
            </w:r>
          </w:p>
        </w:tc>
        <w:tc>
          <w:tcPr>
            <w:tcW w:w="1251" w:type="dxa"/>
            <w:tcBorders>
              <w:bottom w:val="dotted" w:sz="4" w:space="0" w:color="auto"/>
              <w:right w:val="dashSmallGap" w:sz="4" w:space="0" w:color="auto"/>
            </w:tcBorders>
            <w:shd w:val="clear" w:color="auto" w:fill="auto"/>
            <w:vAlign w:val="center"/>
          </w:tcPr>
          <w:p w14:paraId="779CB719"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$653</w:t>
            </w:r>
          </w:p>
        </w:tc>
        <w:tc>
          <w:tcPr>
            <w:tcW w:w="1155" w:type="dxa"/>
            <w:tcBorders>
              <w:left w:val="dashSmallGap" w:sz="4" w:space="0" w:color="auto"/>
              <w:bottom w:val="dotted" w:sz="4" w:space="0" w:color="auto"/>
            </w:tcBorders>
            <w:shd w:val="clear" w:color="auto" w:fill="auto"/>
            <w:vAlign w:val="center"/>
          </w:tcPr>
          <w:p w14:paraId="52293770"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240992F"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53415D3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0DA1E937" w14:textId="77777777" w:rsidR="00444A97" w:rsidRPr="00A110F0" w:rsidRDefault="00444A97" w:rsidP="00444A97">
            <w:pPr>
              <w:keepNext/>
              <w:rPr>
                <w:rFonts w:asciiTheme="minorHAnsi" w:eastAsia="Calibri" w:hAnsiTheme="minorHAnsi"/>
                <w:sz w:val="16"/>
                <w:szCs w:val="16"/>
              </w:rPr>
            </w:pPr>
          </w:p>
        </w:tc>
      </w:tr>
      <w:tr w:rsidR="00444A97" w:rsidRPr="00A110F0" w14:paraId="32BDB5A2" w14:textId="77777777" w:rsidTr="00282B1E">
        <w:tc>
          <w:tcPr>
            <w:tcW w:w="2478" w:type="dxa"/>
            <w:shd w:val="clear" w:color="auto" w:fill="auto"/>
            <w:vAlign w:val="center"/>
          </w:tcPr>
          <w:p w14:paraId="22656F83"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Biological samples</w:t>
            </w:r>
          </w:p>
        </w:tc>
        <w:tc>
          <w:tcPr>
            <w:tcW w:w="1251" w:type="dxa"/>
            <w:tcBorders>
              <w:bottom w:val="dotted" w:sz="4" w:space="0" w:color="auto"/>
              <w:right w:val="dashSmallGap" w:sz="4" w:space="0" w:color="auto"/>
            </w:tcBorders>
            <w:shd w:val="clear" w:color="auto" w:fill="auto"/>
            <w:vAlign w:val="center"/>
          </w:tcPr>
          <w:p w14:paraId="2873C66A"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$19,8</w:t>
            </w:r>
            <w:r w:rsidR="00193A6B">
              <w:rPr>
                <w:rFonts w:asciiTheme="minorHAnsi" w:eastAsia="Calibri" w:hAnsiTheme="minorHAnsi"/>
                <w:sz w:val="16"/>
                <w:szCs w:val="16"/>
              </w:rPr>
              <w:t>30</w:t>
            </w:r>
          </w:p>
        </w:tc>
        <w:tc>
          <w:tcPr>
            <w:tcW w:w="1155" w:type="dxa"/>
            <w:tcBorders>
              <w:left w:val="dashSmallGap" w:sz="4" w:space="0" w:color="auto"/>
              <w:bottom w:val="dotted" w:sz="4" w:space="0" w:color="auto"/>
            </w:tcBorders>
            <w:shd w:val="clear" w:color="auto" w:fill="auto"/>
            <w:vAlign w:val="center"/>
          </w:tcPr>
          <w:p w14:paraId="7C8F9178"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2ACC94F1"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$258</w:t>
            </w:r>
          </w:p>
        </w:tc>
        <w:tc>
          <w:tcPr>
            <w:tcW w:w="1252" w:type="dxa"/>
            <w:tcBorders>
              <w:left w:val="dashSmallGap" w:sz="4" w:space="0" w:color="auto"/>
              <w:bottom w:val="dotted" w:sz="4" w:space="0" w:color="auto"/>
              <w:right w:val="single" w:sz="4" w:space="0" w:color="auto"/>
            </w:tcBorders>
            <w:vAlign w:val="center"/>
          </w:tcPr>
          <w:p w14:paraId="057AAE35"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E79D3C3" w14:textId="77777777" w:rsidR="00444A97" w:rsidRPr="00A110F0" w:rsidRDefault="00444A97" w:rsidP="00444A97">
            <w:pPr>
              <w:keepNext/>
              <w:rPr>
                <w:rFonts w:asciiTheme="minorHAnsi" w:eastAsia="Calibri" w:hAnsiTheme="minorHAnsi"/>
                <w:sz w:val="16"/>
                <w:szCs w:val="16"/>
              </w:rPr>
            </w:pPr>
          </w:p>
        </w:tc>
      </w:tr>
      <w:tr w:rsidR="00444A97" w:rsidRPr="00A110F0" w14:paraId="7617413C" w14:textId="77777777" w:rsidTr="00282B1E">
        <w:tc>
          <w:tcPr>
            <w:tcW w:w="2478" w:type="dxa"/>
            <w:shd w:val="clear" w:color="auto" w:fill="auto"/>
            <w:vAlign w:val="center"/>
          </w:tcPr>
          <w:p w14:paraId="32EDE0DE"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New application to be a service provider</w:t>
            </w:r>
          </w:p>
        </w:tc>
        <w:tc>
          <w:tcPr>
            <w:tcW w:w="1251" w:type="dxa"/>
            <w:tcBorders>
              <w:bottom w:val="dotted" w:sz="4" w:space="0" w:color="auto"/>
              <w:right w:val="dashSmallGap" w:sz="4" w:space="0" w:color="auto"/>
            </w:tcBorders>
            <w:shd w:val="clear" w:color="auto" w:fill="auto"/>
            <w:vAlign w:val="center"/>
          </w:tcPr>
          <w:p w14:paraId="6AD87665" w14:textId="77777777" w:rsidR="00444A97" w:rsidRPr="00A110F0" w:rsidRDefault="00444A97" w:rsidP="00444A97">
            <w:pPr>
              <w:jc w:val="center"/>
              <w:rPr>
                <w:rFonts w:asciiTheme="minorHAnsi" w:eastAsia="Calibri" w:hAnsiTheme="minorHAnsi"/>
                <w:sz w:val="16"/>
                <w:szCs w:val="16"/>
              </w:rPr>
            </w:pPr>
            <w:r>
              <w:rPr>
                <w:rFonts w:asciiTheme="minorHAnsi" w:eastAsia="Calibri" w:hAnsiTheme="minorHAnsi"/>
                <w:sz w:val="16"/>
                <w:szCs w:val="16"/>
              </w:rPr>
              <w:t>$15,372</w:t>
            </w:r>
          </w:p>
        </w:tc>
        <w:tc>
          <w:tcPr>
            <w:tcW w:w="1155" w:type="dxa"/>
            <w:tcBorders>
              <w:left w:val="dashSmallGap" w:sz="4" w:space="0" w:color="auto"/>
              <w:bottom w:val="dotted" w:sz="4" w:space="0" w:color="auto"/>
            </w:tcBorders>
            <w:shd w:val="clear" w:color="auto" w:fill="auto"/>
            <w:vAlign w:val="center"/>
          </w:tcPr>
          <w:p w14:paraId="0D42E10D"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59C079FA"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52" w:type="dxa"/>
            <w:tcBorders>
              <w:left w:val="dashSmallGap" w:sz="4" w:space="0" w:color="auto"/>
              <w:bottom w:val="dotted" w:sz="4" w:space="0" w:color="auto"/>
              <w:right w:val="single" w:sz="4" w:space="0" w:color="auto"/>
            </w:tcBorders>
            <w:vAlign w:val="center"/>
          </w:tcPr>
          <w:p w14:paraId="481445E2"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CC9D5AE" w14:textId="77777777" w:rsidR="00444A97" w:rsidRPr="00A110F0" w:rsidRDefault="00444A97" w:rsidP="00444A97">
            <w:pPr>
              <w:keepNext/>
              <w:rPr>
                <w:rFonts w:asciiTheme="minorHAnsi" w:eastAsia="Calibri" w:hAnsiTheme="minorHAnsi"/>
                <w:sz w:val="16"/>
                <w:szCs w:val="16"/>
              </w:rPr>
            </w:pPr>
          </w:p>
        </w:tc>
      </w:tr>
      <w:tr w:rsidR="00444A97" w:rsidRPr="00A110F0" w14:paraId="01FE2FE7" w14:textId="77777777" w:rsidTr="00282B1E">
        <w:tc>
          <w:tcPr>
            <w:tcW w:w="2478" w:type="dxa"/>
            <w:shd w:val="clear" w:color="auto" w:fill="auto"/>
            <w:vAlign w:val="center"/>
          </w:tcPr>
          <w:p w14:paraId="752E9082"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Applicant response to denial</w:t>
            </w:r>
          </w:p>
        </w:tc>
        <w:tc>
          <w:tcPr>
            <w:tcW w:w="1251" w:type="dxa"/>
            <w:tcBorders>
              <w:bottom w:val="dotted" w:sz="4" w:space="0" w:color="auto"/>
              <w:right w:val="dashSmallGap" w:sz="4" w:space="0" w:color="auto"/>
            </w:tcBorders>
            <w:shd w:val="clear" w:color="auto" w:fill="auto"/>
            <w:vAlign w:val="center"/>
          </w:tcPr>
          <w:p w14:paraId="166AB2DB"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$3,843</w:t>
            </w:r>
          </w:p>
        </w:tc>
        <w:tc>
          <w:tcPr>
            <w:tcW w:w="1155" w:type="dxa"/>
            <w:tcBorders>
              <w:left w:val="dashSmallGap" w:sz="4" w:space="0" w:color="auto"/>
              <w:bottom w:val="dotted" w:sz="4" w:space="0" w:color="auto"/>
            </w:tcBorders>
            <w:shd w:val="clear" w:color="auto" w:fill="auto"/>
            <w:vAlign w:val="center"/>
          </w:tcPr>
          <w:p w14:paraId="165C3721"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ABBAFF9"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2" w:type="dxa"/>
            <w:tcBorders>
              <w:left w:val="dashSmallGap" w:sz="4" w:space="0" w:color="auto"/>
              <w:bottom w:val="dotted" w:sz="4" w:space="0" w:color="auto"/>
              <w:right w:val="single" w:sz="4" w:space="0" w:color="auto"/>
            </w:tcBorders>
            <w:vAlign w:val="center"/>
          </w:tcPr>
          <w:p w14:paraId="3D5ACC22"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5F5604AC" w14:textId="77777777" w:rsidR="00444A97" w:rsidRPr="00A110F0" w:rsidRDefault="00444A97" w:rsidP="00444A97">
            <w:pPr>
              <w:keepNext/>
              <w:rPr>
                <w:rFonts w:asciiTheme="minorHAnsi" w:eastAsia="Calibri" w:hAnsiTheme="minorHAnsi"/>
                <w:sz w:val="16"/>
                <w:szCs w:val="16"/>
              </w:rPr>
            </w:pPr>
          </w:p>
        </w:tc>
      </w:tr>
      <w:tr w:rsidR="00444A97" w:rsidRPr="00A110F0" w14:paraId="39F85AB3" w14:textId="77777777" w:rsidTr="00282B1E">
        <w:tc>
          <w:tcPr>
            <w:tcW w:w="2478" w:type="dxa"/>
            <w:shd w:val="clear" w:color="auto" w:fill="auto"/>
            <w:vAlign w:val="center"/>
          </w:tcPr>
          <w:p w14:paraId="0F80563C"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for monitor training</w:t>
            </w:r>
          </w:p>
        </w:tc>
        <w:tc>
          <w:tcPr>
            <w:tcW w:w="1251" w:type="dxa"/>
            <w:tcBorders>
              <w:bottom w:val="dotted" w:sz="4" w:space="0" w:color="auto"/>
              <w:right w:val="dashSmallGap" w:sz="4" w:space="0" w:color="auto"/>
            </w:tcBorders>
            <w:shd w:val="clear" w:color="auto" w:fill="auto"/>
            <w:vAlign w:val="center"/>
          </w:tcPr>
          <w:p w14:paraId="497900CF"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$115</w:t>
            </w:r>
          </w:p>
        </w:tc>
        <w:tc>
          <w:tcPr>
            <w:tcW w:w="1155" w:type="dxa"/>
            <w:tcBorders>
              <w:left w:val="dashSmallGap" w:sz="4" w:space="0" w:color="auto"/>
              <w:bottom w:val="dotted" w:sz="4" w:space="0" w:color="auto"/>
            </w:tcBorders>
            <w:shd w:val="clear" w:color="auto" w:fill="auto"/>
            <w:vAlign w:val="center"/>
          </w:tcPr>
          <w:p w14:paraId="4220DAD8"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01785B8D"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252" w:type="dxa"/>
            <w:tcBorders>
              <w:left w:val="dashSmallGap" w:sz="4" w:space="0" w:color="auto"/>
              <w:bottom w:val="dotted" w:sz="4" w:space="0" w:color="auto"/>
              <w:right w:val="single" w:sz="4" w:space="0" w:color="auto"/>
            </w:tcBorders>
            <w:vAlign w:val="center"/>
          </w:tcPr>
          <w:p w14:paraId="015CE3DA"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639DDB71" w14:textId="77777777" w:rsidR="00444A97" w:rsidRPr="00A110F0" w:rsidRDefault="00444A97" w:rsidP="00444A97">
            <w:pPr>
              <w:keepNext/>
              <w:rPr>
                <w:rFonts w:asciiTheme="minorHAnsi" w:eastAsia="Calibri" w:hAnsiTheme="minorHAnsi"/>
                <w:sz w:val="16"/>
                <w:szCs w:val="16"/>
              </w:rPr>
            </w:pPr>
          </w:p>
        </w:tc>
      </w:tr>
      <w:tr w:rsidR="00444A97" w:rsidRPr="00A110F0" w14:paraId="16E56442" w14:textId="77777777" w:rsidTr="00282B1E">
        <w:tc>
          <w:tcPr>
            <w:tcW w:w="2478" w:type="dxa"/>
            <w:shd w:val="clear" w:color="auto" w:fill="auto"/>
            <w:vAlign w:val="center"/>
          </w:tcPr>
          <w:p w14:paraId="07BC4BB0"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Rebuttal of pending removal from list of approved monitor providers</w:t>
            </w:r>
          </w:p>
        </w:tc>
        <w:tc>
          <w:tcPr>
            <w:tcW w:w="1251" w:type="dxa"/>
            <w:tcBorders>
              <w:bottom w:val="dotted" w:sz="4" w:space="0" w:color="auto"/>
              <w:right w:val="dashSmallGap" w:sz="4" w:space="0" w:color="auto"/>
            </w:tcBorders>
            <w:shd w:val="clear" w:color="auto" w:fill="auto"/>
            <w:vAlign w:val="center"/>
          </w:tcPr>
          <w:p w14:paraId="5DB05D6D"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$2,460</w:t>
            </w:r>
          </w:p>
        </w:tc>
        <w:tc>
          <w:tcPr>
            <w:tcW w:w="1155" w:type="dxa"/>
            <w:tcBorders>
              <w:left w:val="dashSmallGap" w:sz="4" w:space="0" w:color="auto"/>
              <w:bottom w:val="dotted" w:sz="4" w:space="0" w:color="auto"/>
            </w:tcBorders>
            <w:shd w:val="clear" w:color="auto" w:fill="auto"/>
            <w:vAlign w:val="center"/>
          </w:tcPr>
          <w:p w14:paraId="51FD0B2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73A25206"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52" w:type="dxa"/>
            <w:tcBorders>
              <w:left w:val="dashSmallGap" w:sz="4" w:space="0" w:color="auto"/>
              <w:bottom w:val="dotted" w:sz="4" w:space="0" w:color="auto"/>
              <w:right w:val="single" w:sz="4" w:space="0" w:color="auto"/>
            </w:tcBorders>
            <w:vAlign w:val="center"/>
          </w:tcPr>
          <w:p w14:paraId="3531B57A"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F0BE88E" w14:textId="77777777" w:rsidR="00444A97" w:rsidRPr="00A110F0" w:rsidRDefault="00444A97" w:rsidP="00444A97">
            <w:pPr>
              <w:keepNext/>
              <w:rPr>
                <w:rFonts w:asciiTheme="minorHAnsi" w:eastAsia="Calibri" w:hAnsiTheme="minorHAnsi"/>
                <w:sz w:val="16"/>
                <w:szCs w:val="16"/>
              </w:rPr>
            </w:pPr>
          </w:p>
        </w:tc>
      </w:tr>
      <w:tr w:rsidR="00444A97" w:rsidRPr="00A110F0" w14:paraId="7693BA85" w14:textId="77777777" w:rsidTr="00282B1E">
        <w:tc>
          <w:tcPr>
            <w:tcW w:w="2478" w:type="dxa"/>
            <w:shd w:val="clear" w:color="auto" w:fill="auto"/>
            <w:vAlign w:val="center"/>
          </w:tcPr>
          <w:p w14:paraId="7943F531"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Request to monitor service provider to procure an ASM</w:t>
            </w:r>
          </w:p>
        </w:tc>
        <w:tc>
          <w:tcPr>
            <w:tcW w:w="1251" w:type="dxa"/>
            <w:tcBorders>
              <w:bottom w:val="dotted" w:sz="4" w:space="0" w:color="auto"/>
              <w:right w:val="dashSmallGap" w:sz="4" w:space="0" w:color="auto"/>
            </w:tcBorders>
            <w:shd w:val="clear" w:color="auto" w:fill="auto"/>
            <w:vAlign w:val="center"/>
          </w:tcPr>
          <w:p w14:paraId="3F224200"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$384</w:t>
            </w:r>
          </w:p>
        </w:tc>
        <w:tc>
          <w:tcPr>
            <w:tcW w:w="1155" w:type="dxa"/>
            <w:tcBorders>
              <w:left w:val="dashSmallGap" w:sz="4" w:space="0" w:color="auto"/>
              <w:bottom w:val="dotted" w:sz="4" w:space="0" w:color="auto"/>
            </w:tcBorders>
            <w:shd w:val="clear" w:color="auto" w:fill="auto"/>
            <w:vAlign w:val="center"/>
          </w:tcPr>
          <w:p w14:paraId="204AD4BE"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71D02F39"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5AB0925E"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2EC194F" w14:textId="77777777" w:rsidR="00444A97" w:rsidRPr="00A110F0" w:rsidRDefault="00444A97" w:rsidP="00444A97">
            <w:pPr>
              <w:keepNext/>
              <w:rPr>
                <w:rFonts w:asciiTheme="minorHAnsi" w:eastAsia="Calibri" w:hAnsiTheme="minorHAnsi"/>
                <w:sz w:val="16"/>
                <w:szCs w:val="16"/>
              </w:rPr>
            </w:pPr>
          </w:p>
        </w:tc>
      </w:tr>
      <w:tr w:rsidR="00444A97" w:rsidRPr="00A110F0" w14:paraId="29B158D4" w14:textId="77777777" w:rsidTr="00282B1E">
        <w:tc>
          <w:tcPr>
            <w:tcW w:w="2478" w:type="dxa"/>
            <w:shd w:val="clear" w:color="auto" w:fill="auto"/>
            <w:vAlign w:val="center"/>
          </w:tcPr>
          <w:p w14:paraId="1C6783D1" w14:textId="77777777" w:rsidR="00444A97" w:rsidRPr="00AE62AC" w:rsidRDefault="00444A97" w:rsidP="00444A9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     Notification of unavailability of ASMs</w:t>
            </w:r>
          </w:p>
        </w:tc>
        <w:tc>
          <w:tcPr>
            <w:tcW w:w="1251" w:type="dxa"/>
            <w:tcBorders>
              <w:bottom w:val="dotted" w:sz="4" w:space="0" w:color="auto"/>
              <w:right w:val="dashSmallGap" w:sz="4" w:space="0" w:color="auto"/>
            </w:tcBorders>
            <w:shd w:val="clear" w:color="auto" w:fill="auto"/>
            <w:vAlign w:val="center"/>
          </w:tcPr>
          <w:p w14:paraId="4A38BA5F"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$96</w:t>
            </w:r>
          </w:p>
        </w:tc>
        <w:tc>
          <w:tcPr>
            <w:tcW w:w="1155" w:type="dxa"/>
            <w:tcBorders>
              <w:left w:val="dashSmallGap" w:sz="4" w:space="0" w:color="auto"/>
              <w:bottom w:val="dotted" w:sz="4" w:space="0" w:color="auto"/>
            </w:tcBorders>
            <w:shd w:val="clear" w:color="auto" w:fill="auto"/>
            <w:vAlign w:val="center"/>
          </w:tcPr>
          <w:p w14:paraId="7D52B95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99DD902"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679B12C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32CD342" w14:textId="77777777" w:rsidR="00444A97" w:rsidRPr="00A110F0" w:rsidRDefault="00444A97" w:rsidP="00444A97">
            <w:pPr>
              <w:keepNext/>
              <w:rPr>
                <w:rFonts w:asciiTheme="minorHAnsi" w:eastAsia="Calibri" w:hAnsiTheme="minorHAnsi"/>
                <w:sz w:val="16"/>
                <w:szCs w:val="16"/>
              </w:rPr>
            </w:pPr>
          </w:p>
        </w:tc>
      </w:tr>
      <w:tr w:rsidR="00444A97" w:rsidRPr="00A110F0" w14:paraId="7B539D98" w14:textId="77777777" w:rsidTr="00282B1E">
        <w:tc>
          <w:tcPr>
            <w:tcW w:w="2478" w:type="dxa"/>
            <w:shd w:val="clear" w:color="auto" w:fill="auto"/>
            <w:vAlign w:val="center"/>
          </w:tcPr>
          <w:p w14:paraId="13A98C4B"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Call to service provider to procure an IFM observer in Groundfish Closed Area</w:t>
            </w:r>
          </w:p>
        </w:tc>
        <w:tc>
          <w:tcPr>
            <w:tcW w:w="1251" w:type="dxa"/>
            <w:tcBorders>
              <w:bottom w:val="dotted" w:sz="4" w:space="0" w:color="auto"/>
              <w:right w:val="dashSmallGap" w:sz="4" w:space="0" w:color="auto"/>
            </w:tcBorders>
            <w:shd w:val="clear" w:color="auto" w:fill="auto"/>
            <w:vAlign w:val="center"/>
          </w:tcPr>
          <w:p w14:paraId="6A77D377"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w:t>
            </w:r>
            <w:r w:rsidR="00193A6B">
              <w:rPr>
                <w:rFonts w:asciiTheme="minorHAnsi" w:eastAsia="Calibri" w:hAnsiTheme="minorHAnsi"/>
                <w:sz w:val="16"/>
                <w:szCs w:val="16"/>
              </w:rPr>
              <w:t>90</w:t>
            </w:r>
          </w:p>
        </w:tc>
        <w:tc>
          <w:tcPr>
            <w:tcW w:w="1155" w:type="dxa"/>
            <w:tcBorders>
              <w:left w:val="dashSmallGap" w:sz="4" w:space="0" w:color="auto"/>
              <w:bottom w:val="dotted" w:sz="4" w:space="0" w:color="auto"/>
            </w:tcBorders>
            <w:shd w:val="clear" w:color="auto" w:fill="auto"/>
            <w:vAlign w:val="center"/>
          </w:tcPr>
          <w:p w14:paraId="11F85B3E"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7FD11949"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$84</w:t>
            </w:r>
          </w:p>
        </w:tc>
        <w:tc>
          <w:tcPr>
            <w:tcW w:w="1252" w:type="dxa"/>
            <w:tcBorders>
              <w:left w:val="dashSmallGap" w:sz="4" w:space="0" w:color="auto"/>
              <w:bottom w:val="dotted" w:sz="4" w:space="0" w:color="auto"/>
              <w:right w:val="single" w:sz="4" w:space="0" w:color="auto"/>
            </w:tcBorders>
            <w:vAlign w:val="center"/>
          </w:tcPr>
          <w:p w14:paraId="13C3F57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5FAC9817" w14:textId="77777777" w:rsidR="00444A97" w:rsidRPr="00A110F0" w:rsidRDefault="00444A97" w:rsidP="00444A97">
            <w:pPr>
              <w:keepNext/>
              <w:rPr>
                <w:rFonts w:asciiTheme="minorHAnsi" w:eastAsia="Calibri" w:hAnsiTheme="minorHAnsi"/>
                <w:sz w:val="16"/>
                <w:szCs w:val="16"/>
              </w:rPr>
            </w:pPr>
          </w:p>
        </w:tc>
      </w:tr>
      <w:tr w:rsidR="00444A97" w:rsidRPr="00A110F0" w14:paraId="06C37317" w14:textId="77777777" w:rsidTr="00282B1E">
        <w:tc>
          <w:tcPr>
            <w:tcW w:w="2478" w:type="dxa"/>
            <w:shd w:val="clear" w:color="auto" w:fill="auto"/>
            <w:vAlign w:val="center"/>
          </w:tcPr>
          <w:p w14:paraId="51D1B7FE"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Notification of unavailability of IFM observers</w:t>
            </w:r>
          </w:p>
        </w:tc>
        <w:tc>
          <w:tcPr>
            <w:tcW w:w="1251" w:type="dxa"/>
            <w:tcBorders>
              <w:bottom w:val="dotted" w:sz="4" w:space="0" w:color="auto"/>
              <w:right w:val="dashSmallGap" w:sz="4" w:space="0" w:color="auto"/>
            </w:tcBorders>
            <w:shd w:val="clear" w:color="auto" w:fill="auto"/>
            <w:vAlign w:val="center"/>
          </w:tcPr>
          <w:p w14:paraId="758C7B23" w14:textId="77777777" w:rsidR="00444A97" w:rsidRPr="00A110F0" w:rsidRDefault="00193A6B" w:rsidP="00444A97">
            <w:pPr>
              <w:jc w:val="center"/>
              <w:rPr>
                <w:rFonts w:asciiTheme="minorHAnsi" w:eastAsia="Calibri" w:hAnsiTheme="minorHAnsi"/>
                <w:sz w:val="16"/>
                <w:szCs w:val="16"/>
              </w:rPr>
            </w:pPr>
            <w:r>
              <w:rPr>
                <w:rFonts w:asciiTheme="minorHAnsi" w:eastAsia="Calibri" w:hAnsiTheme="minorHAnsi"/>
                <w:sz w:val="16"/>
                <w:szCs w:val="16"/>
              </w:rPr>
              <w:t>$22</w:t>
            </w:r>
          </w:p>
        </w:tc>
        <w:tc>
          <w:tcPr>
            <w:tcW w:w="1155" w:type="dxa"/>
            <w:tcBorders>
              <w:left w:val="dashSmallGap" w:sz="4" w:space="0" w:color="auto"/>
              <w:bottom w:val="dotted" w:sz="4" w:space="0" w:color="auto"/>
            </w:tcBorders>
            <w:shd w:val="clear" w:color="auto" w:fill="auto"/>
            <w:vAlign w:val="center"/>
          </w:tcPr>
          <w:p w14:paraId="295CF530"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6E36F57F"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252" w:type="dxa"/>
            <w:tcBorders>
              <w:left w:val="dashSmallGap" w:sz="4" w:space="0" w:color="auto"/>
              <w:bottom w:val="dotted" w:sz="4" w:space="0" w:color="auto"/>
              <w:right w:val="single" w:sz="4" w:space="0" w:color="auto"/>
            </w:tcBorders>
            <w:vAlign w:val="center"/>
          </w:tcPr>
          <w:p w14:paraId="4D74F8C8"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1B78DD03" w14:textId="77777777" w:rsidR="00444A97" w:rsidRPr="00A110F0" w:rsidRDefault="00444A97" w:rsidP="00444A97">
            <w:pPr>
              <w:keepNext/>
              <w:rPr>
                <w:rFonts w:asciiTheme="minorHAnsi" w:eastAsia="Calibri" w:hAnsiTheme="minorHAnsi"/>
                <w:sz w:val="16"/>
                <w:szCs w:val="16"/>
              </w:rPr>
            </w:pPr>
          </w:p>
        </w:tc>
      </w:tr>
      <w:tr w:rsidR="00444A97" w:rsidRPr="00A110F0" w14:paraId="04394AFD" w14:textId="77777777" w:rsidTr="00282B1E">
        <w:tc>
          <w:tcPr>
            <w:tcW w:w="2478" w:type="dxa"/>
            <w:shd w:val="clear" w:color="auto" w:fill="auto"/>
            <w:vAlign w:val="center"/>
          </w:tcPr>
          <w:p w14:paraId="1322F946"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contact list updates</w:t>
            </w:r>
          </w:p>
        </w:tc>
        <w:tc>
          <w:tcPr>
            <w:tcW w:w="1251" w:type="dxa"/>
            <w:tcBorders>
              <w:bottom w:val="dotted" w:sz="4" w:space="0" w:color="auto"/>
              <w:right w:val="dashSmallGap" w:sz="4" w:space="0" w:color="auto"/>
            </w:tcBorders>
            <w:shd w:val="clear" w:color="auto" w:fill="auto"/>
            <w:vAlign w:val="center"/>
          </w:tcPr>
          <w:p w14:paraId="3FC1A395"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$1</w:t>
            </w:r>
            <w:r w:rsidR="00193A6B">
              <w:rPr>
                <w:rFonts w:asciiTheme="minorHAnsi" w:eastAsia="Calibri" w:hAnsiTheme="minorHAnsi"/>
                <w:sz w:val="16"/>
                <w:szCs w:val="16"/>
              </w:rPr>
              <w:t>3</w:t>
            </w:r>
          </w:p>
        </w:tc>
        <w:tc>
          <w:tcPr>
            <w:tcW w:w="1155" w:type="dxa"/>
            <w:tcBorders>
              <w:left w:val="dashSmallGap" w:sz="4" w:space="0" w:color="auto"/>
              <w:bottom w:val="dotted" w:sz="4" w:space="0" w:color="auto"/>
            </w:tcBorders>
            <w:shd w:val="clear" w:color="auto" w:fill="auto"/>
            <w:vAlign w:val="center"/>
          </w:tcPr>
          <w:p w14:paraId="02AD6AF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51ED456B"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168D02DA"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3AB31BAB" w14:textId="77777777" w:rsidR="00444A97" w:rsidRPr="00A110F0" w:rsidRDefault="00444A97" w:rsidP="00444A97">
            <w:pPr>
              <w:keepNext/>
              <w:rPr>
                <w:rFonts w:asciiTheme="minorHAnsi" w:eastAsia="Calibri" w:hAnsiTheme="minorHAnsi"/>
                <w:sz w:val="16"/>
                <w:szCs w:val="16"/>
              </w:rPr>
            </w:pPr>
          </w:p>
        </w:tc>
      </w:tr>
      <w:tr w:rsidR="00444A97" w:rsidRPr="00A110F0" w14:paraId="2BD13062" w14:textId="77777777" w:rsidTr="00282B1E">
        <w:tc>
          <w:tcPr>
            <w:tcW w:w="2478" w:type="dxa"/>
            <w:shd w:val="clear" w:color="auto" w:fill="auto"/>
            <w:vAlign w:val="center"/>
          </w:tcPr>
          <w:p w14:paraId="24FE738D"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Monitor availability updates</w:t>
            </w:r>
          </w:p>
        </w:tc>
        <w:tc>
          <w:tcPr>
            <w:tcW w:w="1251" w:type="dxa"/>
            <w:tcBorders>
              <w:bottom w:val="dotted" w:sz="4" w:space="0" w:color="auto"/>
              <w:right w:val="dashSmallGap" w:sz="4" w:space="0" w:color="auto"/>
            </w:tcBorders>
            <w:shd w:val="clear" w:color="auto" w:fill="auto"/>
            <w:vAlign w:val="center"/>
          </w:tcPr>
          <w:p w14:paraId="50A39F12"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$1</w:t>
            </w:r>
            <w:r w:rsidR="00193A6B">
              <w:rPr>
                <w:rFonts w:asciiTheme="minorHAnsi" w:eastAsia="Calibri" w:hAnsiTheme="minorHAnsi"/>
                <w:sz w:val="16"/>
                <w:szCs w:val="16"/>
              </w:rPr>
              <w:t>3</w:t>
            </w:r>
          </w:p>
        </w:tc>
        <w:tc>
          <w:tcPr>
            <w:tcW w:w="1155" w:type="dxa"/>
            <w:tcBorders>
              <w:left w:val="dashSmallGap" w:sz="4" w:space="0" w:color="auto"/>
              <w:bottom w:val="dotted" w:sz="4" w:space="0" w:color="auto"/>
            </w:tcBorders>
            <w:shd w:val="clear" w:color="auto" w:fill="auto"/>
            <w:vAlign w:val="center"/>
          </w:tcPr>
          <w:p w14:paraId="301A4DE1"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7C2A907E"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sz="4" w:space="0" w:color="auto"/>
              <w:bottom w:val="dotted" w:sz="4" w:space="0" w:color="auto"/>
              <w:right w:val="single" w:sz="4" w:space="0" w:color="auto"/>
            </w:tcBorders>
            <w:vAlign w:val="center"/>
          </w:tcPr>
          <w:p w14:paraId="07F63739"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0BB14C85" w14:textId="77777777" w:rsidR="00444A97" w:rsidRPr="00A110F0" w:rsidRDefault="00444A97" w:rsidP="00444A97">
            <w:pPr>
              <w:keepNext/>
              <w:rPr>
                <w:rFonts w:asciiTheme="minorHAnsi" w:eastAsia="Calibri" w:hAnsiTheme="minorHAnsi"/>
                <w:sz w:val="16"/>
                <w:szCs w:val="16"/>
              </w:rPr>
            </w:pPr>
          </w:p>
        </w:tc>
      </w:tr>
      <w:tr w:rsidR="00444A97" w:rsidRPr="00A110F0" w14:paraId="70B5FAD3" w14:textId="77777777" w:rsidTr="00282B1E">
        <w:tc>
          <w:tcPr>
            <w:tcW w:w="2478" w:type="dxa"/>
            <w:shd w:val="clear" w:color="auto" w:fill="auto"/>
            <w:vAlign w:val="center"/>
          </w:tcPr>
          <w:p w14:paraId="1339DD92"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material submissions</w:t>
            </w:r>
          </w:p>
        </w:tc>
        <w:tc>
          <w:tcPr>
            <w:tcW w:w="1251" w:type="dxa"/>
            <w:tcBorders>
              <w:bottom w:val="dotted" w:sz="4" w:space="0" w:color="auto"/>
              <w:right w:val="dashSmallGap" w:sz="4" w:space="0" w:color="auto"/>
            </w:tcBorders>
            <w:shd w:val="clear" w:color="auto" w:fill="auto"/>
            <w:vAlign w:val="center"/>
          </w:tcPr>
          <w:p w14:paraId="2DF5E5D5" w14:textId="77777777" w:rsidR="00444A97" w:rsidRPr="00A110F0" w:rsidRDefault="00444A97" w:rsidP="00193A6B">
            <w:pPr>
              <w:jc w:val="center"/>
              <w:rPr>
                <w:rFonts w:asciiTheme="minorHAnsi" w:eastAsia="Calibri" w:hAnsiTheme="minorHAnsi"/>
                <w:sz w:val="16"/>
                <w:szCs w:val="16"/>
              </w:rPr>
            </w:pPr>
            <w:r>
              <w:rPr>
                <w:rFonts w:asciiTheme="minorHAnsi" w:eastAsia="Calibri" w:hAnsiTheme="minorHAnsi"/>
                <w:sz w:val="16"/>
                <w:szCs w:val="16"/>
              </w:rPr>
              <w:t>$7</w:t>
            </w:r>
            <w:r w:rsidR="00193A6B">
              <w:rPr>
                <w:rFonts w:asciiTheme="minorHAnsi" w:eastAsia="Calibri" w:hAnsiTheme="minorHAnsi"/>
                <w:sz w:val="16"/>
                <w:szCs w:val="16"/>
              </w:rPr>
              <w:t>7</w:t>
            </w:r>
          </w:p>
        </w:tc>
        <w:tc>
          <w:tcPr>
            <w:tcW w:w="1155" w:type="dxa"/>
            <w:tcBorders>
              <w:left w:val="dashSmallGap" w:sz="4" w:space="0" w:color="auto"/>
              <w:bottom w:val="dotted" w:sz="4" w:space="0" w:color="auto"/>
            </w:tcBorders>
            <w:shd w:val="clear" w:color="auto" w:fill="auto"/>
            <w:vAlign w:val="center"/>
          </w:tcPr>
          <w:p w14:paraId="4D7EF445"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A6DD761"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52" w:type="dxa"/>
            <w:tcBorders>
              <w:left w:val="dashSmallGap" w:sz="4" w:space="0" w:color="auto"/>
              <w:bottom w:val="dotted" w:sz="4" w:space="0" w:color="auto"/>
              <w:right w:val="single" w:sz="4" w:space="0" w:color="auto"/>
            </w:tcBorders>
            <w:vAlign w:val="center"/>
          </w:tcPr>
          <w:p w14:paraId="02EC75B0"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right w:val="single" w:sz="4" w:space="0" w:color="auto"/>
            </w:tcBorders>
            <w:shd w:val="clear" w:color="auto" w:fill="auto"/>
            <w:vAlign w:val="center"/>
          </w:tcPr>
          <w:p w14:paraId="446BA56C" w14:textId="77777777" w:rsidR="00444A97" w:rsidRPr="00A110F0" w:rsidRDefault="00444A97" w:rsidP="00444A97">
            <w:pPr>
              <w:keepNext/>
              <w:rPr>
                <w:rFonts w:asciiTheme="minorHAnsi" w:eastAsia="Calibri" w:hAnsiTheme="minorHAnsi"/>
                <w:sz w:val="16"/>
                <w:szCs w:val="16"/>
              </w:rPr>
            </w:pPr>
          </w:p>
        </w:tc>
      </w:tr>
      <w:tr w:rsidR="00444A97" w:rsidRPr="00A110F0" w14:paraId="2D07A201" w14:textId="77777777" w:rsidTr="00F344B6">
        <w:tc>
          <w:tcPr>
            <w:tcW w:w="2478" w:type="dxa"/>
            <w:shd w:val="clear" w:color="auto" w:fill="auto"/>
            <w:vAlign w:val="center"/>
          </w:tcPr>
          <w:p w14:paraId="1064524A"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Service provider contracts</w:t>
            </w:r>
          </w:p>
        </w:tc>
        <w:tc>
          <w:tcPr>
            <w:tcW w:w="1251" w:type="dxa"/>
            <w:tcBorders>
              <w:bottom w:val="dotted" w:sz="4" w:space="0" w:color="auto"/>
              <w:right w:val="dashSmallGap" w:sz="4" w:space="0" w:color="auto"/>
            </w:tcBorders>
            <w:shd w:val="clear" w:color="auto" w:fill="auto"/>
            <w:vAlign w:val="center"/>
          </w:tcPr>
          <w:p w14:paraId="73B58811" w14:textId="77777777" w:rsidR="00444A97" w:rsidRPr="00A110F0" w:rsidRDefault="00444A97" w:rsidP="00193A6B">
            <w:pPr>
              <w:jc w:val="center"/>
              <w:rPr>
                <w:rFonts w:asciiTheme="minorHAnsi" w:hAnsiTheme="minorHAnsi"/>
                <w:color w:val="000000"/>
                <w:sz w:val="16"/>
                <w:szCs w:val="16"/>
              </w:rPr>
            </w:pPr>
            <w:r>
              <w:rPr>
                <w:rFonts w:asciiTheme="minorHAnsi" w:hAnsiTheme="minorHAnsi"/>
                <w:color w:val="000000"/>
                <w:sz w:val="16"/>
                <w:szCs w:val="16"/>
              </w:rPr>
              <w:t>$7</w:t>
            </w:r>
            <w:r w:rsidR="00193A6B">
              <w:rPr>
                <w:rFonts w:asciiTheme="minorHAnsi" w:hAnsiTheme="minorHAnsi"/>
                <w:color w:val="000000"/>
                <w:sz w:val="16"/>
                <w:szCs w:val="16"/>
              </w:rPr>
              <w:t>7</w:t>
            </w:r>
          </w:p>
        </w:tc>
        <w:tc>
          <w:tcPr>
            <w:tcW w:w="1155" w:type="dxa"/>
            <w:tcBorders>
              <w:left w:val="dashSmallGap" w:sz="4" w:space="0" w:color="auto"/>
              <w:bottom w:val="dotted" w:sz="4" w:space="0" w:color="auto"/>
            </w:tcBorders>
            <w:shd w:val="clear" w:color="auto" w:fill="auto"/>
            <w:vAlign w:val="center"/>
          </w:tcPr>
          <w:p w14:paraId="1631F44E"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15761F31" w14:textId="77777777" w:rsidR="00444A97" w:rsidRPr="00A110F0" w:rsidRDefault="00444A97" w:rsidP="00444A97">
            <w:pPr>
              <w:keepNext/>
              <w:jc w:val="center"/>
              <w:rPr>
                <w:rFonts w:asciiTheme="minorHAnsi" w:eastAsia="Calibri" w:hAnsiTheme="minorHAnsi"/>
                <w:sz w:val="16"/>
                <w:szCs w:val="16"/>
                <w:highlight w:val="cyan"/>
              </w:rPr>
            </w:pPr>
          </w:p>
        </w:tc>
        <w:tc>
          <w:tcPr>
            <w:tcW w:w="1252" w:type="dxa"/>
            <w:tcBorders>
              <w:left w:val="dashSmallGap" w:sz="4" w:space="0" w:color="auto"/>
              <w:bottom w:val="dotted" w:sz="4" w:space="0" w:color="auto"/>
              <w:right w:val="single" w:sz="4" w:space="0" w:color="auto"/>
            </w:tcBorders>
            <w:vAlign w:val="center"/>
          </w:tcPr>
          <w:p w14:paraId="6F975FE2"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vMerge/>
            <w:tcBorders>
              <w:left w:val="single" w:sz="4" w:space="0" w:color="auto"/>
              <w:bottom w:val="dotted" w:sz="4" w:space="0" w:color="auto"/>
              <w:right w:val="single" w:sz="4" w:space="0" w:color="auto"/>
            </w:tcBorders>
            <w:shd w:val="clear" w:color="auto" w:fill="auto"/>
            <w:vAlign w:val="center"/>
          </w:tcPr>
          <w:p w14:paraId="1D464D13" w14:textId="77777777" w:rsidR="00444A97" w:rsidRPr="00A110F0" w:rsidRDefault="00444A97" w:rsidP="00444A97">
            <w:pPr>
              <w:keepNext/>
              <w:rPr>
                <w:rFonts w:asciiTheme="minorHAnsi" w:eastAsia="Calibri" w:hAnsiTheme="minorHAnsi"/>
                <w:sz w:val="16"/>
                <w:szCs w:val="16"/>
              </w:rPr>
            </w:pPr>
          </w:p>
        </w:tc>
      </w:tr>
      <w:tr w:rsidR="00444A97" w:rsidRPr="00A110F0" w14:paraId="2F32F30A" w14:textId="77777777" w:rsidTr="00F344B6">
        <w:tc>
          <w:tcPr>
            <w:tcW w:w="2478" w:type="dxa"/>
            <w:shd w:val="clear" w:color="auto" w:fill="FFF2CC" w:themeFill="accent4" w:themeFillTint="33"/>
            <w:vAlign w:val="bottom"/>
          </w:tcPr>
          <w:p w14:paraId="7DE87959" w14:textId="77777777" w:rsidR="00444A97" w:rsidRPr="00C630D6" w:rsidRDefault="00444A97" w:rsidP="00444A9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Observer Reporting for Vessels</w:t>
            </w:r>
          </w:p>
        </w:tc>
        <w:tc>
          <w:tcPr>
            <w:tcW w:w="1251" w:type="dxa"/>
            <w:tcBorders>
              <w:bottom w:val="dotted" w:sz="4" w:space="0" w:color="auto"/>
              <w:right w:val="dashSmallGap" w:sz="4" w:space="0" w:color="auto"/>
            </w:tcBorders>
            <w:shd w:val="clear" w:color="auto" w:fill="auto"/>
            <w:vAlign w:val="center"/>
          </w:tcPr>
          <w:p w14:paraId="5A8452E0" w14:textId="77777777" w:rsidR="00444A97" w:rsidRPr="00A110F0" w:rsidRDefault="00444A97" w:rsidP="00444A97">
            <w:pPr>
              <w:jc w:val="center"/>
              <w:rPr>
                <w:rFonts w:asciiTheme="minorHAnsi" w:hAnsiTheme="minorHAnsi"/>
                <w:color w:val="000000"/>
                <w:sz w:val="16"/>
                <w:szCs w:val="16"/>
              </w:rPr>
            </w:pPr>
          </w:p>
        </w:tc>
        <w:tc>
          <w:tcPr>
            <w:tcW w:w="1155" w:type="dxa"/>
            <w:tcBorders>
              <w:left w:val="dashSmallGap" w:sz="4" w:space="0" w:color="auto"/>
              <w:bottom w:val="dotted" w:sz="4" w:space="0" w:color="auto"/>
            </w:tcBorders>
            <w:shd w:val="clear" w:color="auto" w:fill="auto"/>
            <w:vAlign w:val="center"/>
          </w:tcPr>
          <w:p w14:paraId="216C4BD8" w14:textId="77777777" w:rsidR="00444A97" w:rsidRPr="00A110F0" w:rsidRDefault="00444A97" w:rsidP="00444A97">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14:paraId="52A66998" w14:textId="77777777" w:rsidR="00444A97" w:rsidRPr="00A110F0" w:rsidRDefault="00444A97" w:rsidP="00444A97">
            <w:pPr>
              <w:keepNext/>
              <w:jc w:val="right"/>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14:paraId="552DDB09" w14:textId="77777777" w:rsidR="00444A97" w:rsidRPr="00A110F0" w:rsidRDefault="00444A97" w:rsidP="00444A97">
            <w:pPr>
              <w:keepNext/>
              <w:jc w:val="center"/>
              <w:rPr>
                <w:rFonts w:asciiTheme="minorHAnsi" w:eastAsia="Calibri" w:hAnsiTheme="minorHAnsi"/>
                <w:sz w:val="16"/>
                <w:szCs w:val="16"/>
              </w:rPr>
            </w:pPr>
          </w:p>
        </w:tc>
        <w:tc>
          <w:tcPr>
            <w:tcW w:w="6177" w:type="dxa"/>
            <w:tcBorders>
              <w:left w:val="single" w:sz="4" w:space="0" w:color="auto"/>
              <w:bottom w:val="dotted" w:sz="4" w:space="0" w:color="auto"/>
              <w:right w:val="single" w:sz="4" w:space="0" w:color="auto"/>
            </w:tcBorders>
            <w:shd w:val="clear" w:color="auto" w:fill="auto"/>
            <w:vAlign w:val="center"/>
          </w:tcPr>
          <w:p w14:paraId="5B38DAE9" w14:textId="77777777" w:rsidR="00444A97" w:rsidRPr="00A110F0" w:rsidRDefault="00444A97" w:rsidP="00444A97">
            <w:pPr>
              <w:keepNext/>
              <w:rPr>
                <w:rFonts w:asciiTheme="minorHAnsi" w:eastAsia="Calibri" w:hAnsiTheme="minorHAnsi"/>
                <w:sz w:val="16"/>
                <w:szCs w:val="16"/>
              </w:rPr>
            </w:pPr>
          </w:p>
        </w:tc>
      </w:tr>
      <w:tr w:rsidR="00444A97" w:rsidRPr="00A110F0" w14:paraId="7EA40101" w14:textId="77777777" w:rsidTr="00F344B6">
        <w:tc>
          <w:tcPr>
            <w:tcW w:w="2478" w:type="dxa"/>
            <w:shd w:val="clear" w:color="auto" w:fill="auto"/>
            <w:vAlign w:val="center"/>
          </w:tcPr>
          <w:p w14:paraId="50A28AAB"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Released Catch Affidavit</w:t>
            </w:r>
          </w:p>
        </w:tc>
        <w:tc>
          <w:tcPr>
            <w:tcW w:w="1251" w:type="dxa"/>
            <w:tcBorders>
              <w:bottom w:val="dotted" w:sz="4" w:space="0" w:color="auto"/>
              <w:right w:val="dashSmallGap" w:sz="4" w:space="0" w:color="auto"/>
            </w:tcBorders>
            <w:shd w:val="clear" w:color="auto" w:fill="auto"/>
            <w:vAlign w:val="center"/>
          </w:tcPr>
          <w:p w14:paraId="06AE9944" w14:textId="77777777" w:rsidR="00444A97" w:rsidRPr="00A110F0" w:rsidRDefault="00444A97" w:rsidP="00193A6B">
            <w:pPr>
              <w:jc w:val="center"/>
              <w:rPr>
                <w:rFonts w:asciiTheme="minorHAnsi" w:hAnsiTheme="minorHAnsi"/>
                <w:color w:val="000000"/>
                <w:sz w:val="16"/>
                <w:szCs w:val="16"/>
              </w:rPr>
            </w:pPr>
            <w:r>
              <w:rPr>
                <w:rFonts w:asciiTheme="minorHAnsi" w:hAnsiTheme="minorHAnsi"/>
                <w:color w:val="000000"/>
                <w:sz w:val="16"/>
                <w:szCs w:val="16"/>
              </w:rPr>
              <w:t>$97</w:t>
            </w:r>
            <w:r w:rsidR="00193A6B">
              <w:rPr>
                <w:rFonts w:asciiTheme="minorHAnsi" w:hAnsiTheme="minorHAnsi"/>
                <w:color w:val="000000"/>
                <w:sz w:val="16"/>
                <w:szCs w:val="16"/>
              </w:rPr>
              <w:t>4</w:t>
            </w:r>
          </w:p>
        </w:tc>
        <w:tc>
          <w:tcPr>
            <w:tcW w:w="1155" w:type="dxa"/>
            <w:tcBorders>
              <w:left w:val="dashSmallGap" w:sz="4" w:space="0" w:color="auto"/>
              <w:bottom w:val="dotted" w:sz="4" w:space="0" w:color="auto"/>
            </w:tcBorders>
            <w:shd w:val="clear" w:color="auto" w:fill="auto"/>
            <w:vAlign w:val="center"/>
          </w:tcPr>
          <w:p w14:paraId="733A82B1"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26B4BAF6" w14:textId="77777777" w:rsidR="00444A97" w:rsidRPr="00185785" w:rsidRDefault="00444A97" w:rsidP="00444A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$1,944</w:t>
            </w:r>
          </w:p>
        </w:tc>
        <w:tc>
          <w:tcPr>
            <w:tcW w:w="1252" w:type="dxa"/>
            <w:tcBorders>
              <w:left w:val="dashSmallGap" w:sz="4" w:space="0" w:color="auto"/>
              <w:bottom w:val="dotted" w:sz="4" w:space="0" w:color="auto"/>
              <w:right w:val="single" w:sz="4" w:space="0" w:color="auto"/>
            </w:tcBorders>
            <w:vAlign w:val="center"/>
          </w:tcPr>
          <w:p w14:paraId="7E75302D"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$1,732</w:t>
            </w:r>
          </w:p>
        </w:tc>
        <w:tc>
          <w:tcPr>
            <w:tcW w:w="6177" w:type="dxa"/>
            <w:tcBorders>
              <w:left w:val="single" w:sz="4" w:space="0" w:color="auto"/>
              <w:bottom w:val="dotted" w:sz="4" w:space="0" w:color="auto"/>
              <w:right w:val="single" w:sz="4" w:space="0" w:color="auto"/>
            </w:tcBorders>
            <w:shd w:val="clear" w:color="auto" w:fill="auto"/>
            <w:vAlign w:val="center"/>
          </w:tcPr>
          <w:p w14:paraId="70C6331E" w14:textId="77777777" w:rsidR="00444A97" w:rsidRPr="00A110F0" w:rsidRDefault="001D6E05" w:rsidP="00444A97">
            <w:pPr>
              <w:keepNext/>
              <w:rPr>
                <w:rFonts w:asciiTheme="minorHAnsi" w:eastAsia="Calibri" w:hAnsiTheme="minorHAnsi"/>
                <w:sz w:val="16"/>
                <w:szCs w:val="16"/>
              </w:rPr>
            </w:pPr>
            <w:r>
              <w:rPr>
                <w:rFonts w:asciiTheme="minorHAnsi" w:eastAsia="Calibri" w:hAnsiTheme="minorHAnsi"/>
                <w:sz w:val="16"/>
                <w:szCs w:val="16"/>
              </w:rPr>
              <w:t xml:space="preserve">Updated labor rate, </w:t>
            </w:r>
            <w:r w:rsidR="00444A97">
              <w:rPr>
                <w:rFonts w:asciiTheme="minorHAnsi" w:eastAsia="Calibri" w:hAnsiTheme="minorHAnsi"/>
                <w:sz w:val="16"/>
                <w:szCs w:val="16"/>
              </w:rPr>
              <w:t>Change in postal rate.</w:t>
            </w:r>
          </w:p>
        </w:tc>
      </w:tr>
      <w:tr w:rsidR="00444A97" w:rsidRPr="00A110F0" w14:paraId="6C3B7F11" w14:textId="77777777" w:rsidTr="00AF58A7">
        <w:tc>
          <w:tcPr>
            <w:tcW w:w="2478" w:type="dxa"/>
            <w:shd w:val="clear" w:color="auto" w:fill="auto"/>
            <w:vAlign w:val="center"/>
          </w:tcPr>
          <w:p w14:paraId="74C76DFC" w14:textId="77777777" w:rsidR="00444A97" w:rsidRPr="002333E8" w:rsidRDefault="00444A97" w:rsidP="00444A9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Vessel Operator Notification of Species lb to Observer</w:t>
            </w:r>
          </w:p>
        </w:tc>
        <w:tc>
          <w:tcPr>
            <w:tcW w:w="1251" w:type="dxa"/>
            <w:tcBorders>
              <w:bottom w:val="dotted" w:sz="4" w:space="0" w:color="auto"/>
              <w:right w:val="dashSmallGap" w:sz="4" w:space="0" w:color="auto"/>
            </w:tcBorders>
            <w:shd w:val="clear" w:color="auto" w:fill="auto"/>
            <w:vAlign w:val="center"/>
          </w:tcPr>
          <w:p w14:paraId="21D348AC" w14:textId="77777777" w:rsidR="00444A97" w:rsidRPr="00A110F0" w:rsidRDefault="001D6E05" w:rsidP="00193A6B">
            <w:pPr>
              <w:jc w:val="center"/>
              <w:rPr>
                <w:rFonts w:asciiTheme="minorHAnsi" w:hAnsiTheme="minorHAnsi"/>
                <w:color w:val="000000"/>
                <w:sz w:val="16"/>
                <w:szCs w:val="16"/>
              </w:rPr>
            </w:pPr>
            <w:r>
              <w:rPr>
                <w:rFonts w:asciiTheme="minorHAnsi" w:hAnsiTheme="minorHAnsi"/>
                <w:color w:val="000000"/>
                <w:sz w:val="16"/>
                <w:szCs w:val="16"/>
              </w:rPr>
              <w:t>$12</w:t>
            </w:r>
          </w:p>
        </w:tc>
        <w:tc>
          <w:tcPr>
            <w:tcW w:w="1155" w:type="dxa"/>
            <w:tcBorders>
              <w:left w:val="dashSmallGap" w:sz="4" w:space="0" w:color="auto"/>
              <w:bottom w:val="dotted" w:sz="4" w:space="0" w:color="auto"/>
            </w:tcBorders>
            <w:shd w:val="clear" w:color="auto" w:fill="auto"/>
            <w:vAlign w:val="center"/>
          </w:tcPr>
          <w:p w14:paraId="4197A628"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058" w:type="dxa"/>
            <w:tcBorders>
              <w:left w:val="dotted" w:sz="4" w:space="0" w:color="auto"/>
              <w:bottom w:val="dotted" w:sz="4" w:space="0" w:color="auto"/>
              <w:right w:val="dashSmallGap" w:sz="4" w:space="0" w:color="auto"/>
            </w:tcBorders>
            <w:vAlign w:val="center"/>
          </w:tcPr>
          <w:p w14:paraId="71CE24CB"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1252" w:type="dxa"/>
            <w:tcBorders>
              <w:left w:val="dashSmallGap" w:sz="4" w:space="0" w:color="auto"/>
              <w:bottom w:val="dotted" w:sz="4" w:space="0" w:color="auto"/>
              <w:right w:val="single" w:sz="4" w:space="0" w:color="auto"/>
            </w:tcBorders>
            <w:vAlign w:val="center"/>
          </w:tcPr>
          <w:p w14:paraId="0C667EE7" w14:textId="77777777" w:rsidR="00444A97" w:rsidRPr="00A110F0" w:rsidRDefault="00444A97" w:rsidP="00444A97">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14:paraId="531F20D5" w14:textId="77777777" w:rsidR="00444A97" w:rsidRPr="00A110F0" w:rsidRDefault="001D6E05" w:rsidP="00444A97">
            <w:pPr>
              <w:keepNext/>
              <w:rPr>
                <w:rFonts w:asciiTheme="minorHAnsi" w:eastAsia="Calibri" w:hAnsiTheme="minorHAnsi"/>
                <w:sz w:val="16"/>
                <w:szCs w:val="16"/>
              </w:rPr>
            </w:pPr>
            <w:r>
              <w:rPr>
                <w:rFonts w:asciiTheme="minorHAnsi" w:eastAsia="Calibri" w:hAnsiTheme="minorHAnsi"/>
                <w:sz w:val="16"/>
                <w:szCs w:val="16"/>
              </w:rPr>
              <w:t>Updated labor rate</w:t>
            </w:r>
          </w:p>
        </w:tc>
      </w:tr>
      <w:tr w:rsidR="00444A97" w:rsidRPr="00A110F0" w14:paraId="13921061" w14:textId="77777777" w:rsidTr="00784D9F">
        <w:tc>
          <w:tcPr>
            <w:tcW w:w="2478" w:type="dxa"/>
            <w:shd w:val="clear" w:color="auto" w:fill="BDD6EE" w:themeFill="accent1" w:themeFillTint="66"/>
            <w:vAlign w:val="center"/>
          </w:tcPr>
          <w:p w14:paraId="41869A66" w14:textId="77777777" w:rsidR="00444A97" w:rsidRPr="00A110F0" w:rsidRDefault="00444A97" w:rsidP="00444A97">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251" w:type="dxa"/>
            <w:tcBorders>
              <w:right w:val="dashSmallGap" w:sz="4" w:space="0" w:color="auto"/>
            </w:tcBorders>
            <w:shd w:val="clear" w:color="auto" w:fill="BDD6EE" w:themeFill="accent1" w:themeFillTint="66"/>
            <w:vAlign w:val="center"/>
          </w:tcPr>
          <w:p w14:paraId="63DE1232" w14:textId="141109F7" w:rsidR="00444A97" w:rsidRPr="00A110F0" w:rsidRDefault="001D6E05" w:rsidP="00444A97">
            <w:pPr>
              <w:keepNext/>
              <w:jc w:val="center"/>
              <w:rPr>
                <w:rFonts w:asciiTheme="minorHAnsi" w:eastAsia="Calibri" w:hAnsiTheme="minorHAnsi"/>
                <w:b/>
                <w:sz w:val="16"/>
                <w:szCs w:val="16"/>
              </w:rPr>
            </w:pPr>
            <w:r>
              <w:rPr>
                <w:rFonts w:asciiTheme="minorHAnsi" w:eastAsia="Calibri" w:hAnsiTheme="minorHAnsi"/>
                <w:b/>
                <w:sz w:val="16"/>
                <w:szCs w:val="16"/>
              </w:rPr>
              <w:t>$65,9</w:t>
            </w:r>
            <w:r w:rsidR="00C978A3">
              <w:rPr>
                <w:rFonts w:asciiTheme="minorHAnsi" w:eastAsia="Calibri" w:hAnsiTheme="minorHAnsi"/>
                <w:b/>
                <w:sz w:val="16"/>
                <w:szCs w:val="16"/>
              </w:rPr>
              <w:t>72</w:t>
            </w:r>
          </w:p>
        </w:tc>
        <w:tc>
          <w:tcPr>
            <w:tcW w:w="1155" w:type="dxa"/>
            <w:tcBorders>
              <w:left w:val="dashSmallGap" w:sz="4" w:space="0" w:color="auto"/>
            </w:tcBorders>
            <w:shd w:val="clear" w:color="auto" w:fill="BDD6EE" w:themeFill="accent1" w:themeFillTint="66"/>
            <w:vAlign w:val="center"/>
          </w:tcPr>
          <w:p w14:paraId="596CEB85" w14:textId="77777777" w:rsidR="00444A97" w:rsidRPr="00A110F0" w:rsidRDefault="00444A97" w:rsidP="00444A97">
            <w:pPr>
              <w:jc w:val="center"/>
              <w:rPr>
                <w:rFonts w:asciiTheme="minorHAnsi" w:eastAsia="Calibri" w:hAnsiTheme="minorHAnsi"/>
                <w:b/>
                <w:bCs/>
                <w:sz w:val="16"/>
                <w:szCs w:val="16"/>
              </w:rPr>
            </w:pPr>
          </w:p>
        </w:tc>
        <w:tc>
          <w:tcPr>
            <w:tcW w:w="1058" w:type="dxa"/>
            <w:tcBorders>
              <w:left w:val="dotted" w:sz="4" w:space="0" w:color="auto"/>
              <w:right w:val="dashSmallGap" w:sz="4" w:space="0" w:color="auto"/>
            </w:tcBorders>
            <w:shd w:val="clear" w:color="auto" w:fill="BDD6EE" w:themeFill="accent1" w:themeFillTint="66"/>
            <w:vAlign w:val="center"/>
          </w:tcPr>
          <w:p w14:paraId="4294219C" w14:textId="6CB813CE" w:rsidR="00444A97" w:rsidRPr="00A110F0" w:rsidRDefault="001D6E05" w:rsidP="00444A97">
            <w:pPr>
              <w:keepNext/>
              <w:jc w:val="center"/>
              <w:rPr>
                <w:rFonts w:asciiTheme="minorHAnsi" w:eastAsia="Calibri" w:hAnsiTheme="minorHAnsi"/>
                <w:b/>
                <w:sz w:val="16"/>
                <w:szCs w:val="16"/>
              </w:rPr>
            </w:pPr>
            <w:r>
              <w:rPr>
                <w:rFonts w:asciiTheme="minorHAnsi" w:eastAsia="Calibri" w:hAnsiTheme="minorHAnsi"/>
                <w:b/>
                <w:sz w:val="16"/>
                <w:szCs w:val="16"/>
              </w:rPr>
              <w:t>$787,</w:t>
            </w:r>
            <w:r w:rsidR="00C978A3">
              <w:rPr>
                <w:rFonts w:asciiTheme="minorHAnsi" w:eastAsia="Calibri" w:hAnsiTheme="minorHAnsi"/>
                <w:b/>
                <w:sz w:val="16"/>
                <w:szCs w:val="16"/>
              </w:rPr>
              <w:t>173</w:t>
            </w:r>
          </w:p>
        </w:tc>
        <w:tc>
          <w:tcPr>
            <w:tcW w:w="1252" w:type="dxa"/>
            <w:tcBorders>
              <w:left w:val="dashSmallGap" w:sz="4" w:space="0" w:color="auto"/>
              <w:right w:val="single" w:sz="4" w:space="0" w:color="auto"/>
            </w:tcBorders>
            <w:shd w:val="clear" w:color="auto" w:fill="BDD6EE" w:themeFill="accent1" w:themeFillTint="66"/>
            <w:vAlign w:val="center"/>
          </w:tcPr>
          <w:p w14:paraId="47DA44C6" w14:textId="6CDCC630" w:rsidR="00444A97" w:rsidRPr="00A110F0" w:rsidRDefault="001D6E05" w:rsidP="00444A97">
            <w:pPr>
              <w:keepNext/>
              <w:jc w:val="center"/>
              <w:rPr>
                <w:rFonts w:asciiTheme="minorHAnsi" w:eastAsia="Calibri" w:hAnsiTheme="minorHAnsi"/>
                <w:b/>
                <w:sz w:val="16"/>
                <w:szCs w:val="16"/>
              </w:rPr>
            </w:pPr>
            <w:r>
              <w:rPr>
                <w:rFonts w:asciiTheme="minorHAnsi" w:eastAsia="Calibri" w:hAnsiTheme="minorHAnsi"/>
                <w:b/>
                <w:sz w:val="16"/>
                <w:szCs w:val="16"/>
              </w:rPr>
              <w:t>$1,7</w:t>
            </w:r>
            <w:r w:rsidR="00C978A3">
              <w:rPr>
                <w:rFonts w:asciiTheme="minorHAnsi" w:eastAsia="Calibri" w:hAnsiTheme="minorHAnsi"/>
                <w:b/>
                <w:sz w:val="16"/>
                <w:szCs w:val="16"/>
              </w:rPr>
              <w:t>32</w:t>
            </w:r>
          </w:p>
        </w:tc>
        <w:tc>
          <w:tcPr>
            <w:tcW w:w="6177" w:type="dxa"/>
            <w:tcBorders>
              <w:left w:val="single" w:sz="4" w:space="0" w:color="auto"/>
              <w:bottom w:val="single" w:sz="4" w:space="0" w:color="auto"/>
              <w:right w:val="single" w:sz="4" w:space="0" w:color="auto"/>
            </w:tcBorders>
            <w:shd w:val="clear" w:color="auto" w:fill="BDD6EE" w:themeFill="accent1" w:themeFillTint="66"/>
            <w:vAlign w:val="center"/>
          </w:tcPr>
          <w:p w14:paraId="1B8D3760" w14:textId="77777777" w:rsidR="00444A97" w:rsidRPr="00A110F0" w:rsidRDefault="00444A97" w:rsidP="00444A97">
            <w:pPr>
              <w:keepNext/>
              <w:jc w:val="center"/>
              <w:rPr>
                <w:rFonts w:asciiTheme="minorHAnsi" w:eastAsia="Calibri" w:hAnsiTheme="minorHAnsi"/>
                <w:b/>
                <w:sz w:val="16"/>
                <w:szCs w:val="16"/>
              </w:rPr>
            </w:pPr>
          </w:p>
        </w:tc>
      </w:tr>
    </w:tbl>
    <w:p w14:paraId="658B1D0C" w14:textId="77777777" w:rsidR="004F26E9" w:rsidRDefault="004F26E9" w:rsidP="00493868">
      <w:pPr>
        <w:tabs>
          <w:tab w:val="left" w:pos="540"/>
        </w:tabs>
        <w:ind w:left="540"/>
        <w:rPr>
          <w:sz w:val="24"/>
          <w:szCs w:val="24"/>
        </w:rPr>
      </w:pPr>
    </w:p>
    <w:p w14:paraId="24E63DF6" w14:textId="77777777" w:rsidR="00493868" w:rsidRDefault="00493868" w:rsidP="00493868">
      <w:pPr>
        <w:tabs>
          <w:tab w:val="left" w:pos="540"/>
        </w:tabs>
        <w:ind w:left="540"/>
        <w:rPr>
          <w:sz w:val="24"/>
          <w:szCs w:val="24"/>
        </w:rPr>
      </w:pPr>
    </w:p>
    <w:p w14:paraId="2FE3CFB9" w14:textId="77777777" w:rsidR="00732713" w:rsidRDefault="00732713" w:rsidP="00493868">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14:paraId="51A4BF60" w14:textId="77777777" w:rsidR="004F26E9" w:rsidRDefault="004F26E9" w:rsidP="00CD5390">
      <w:pPr>
        <w:rPr>
          <w:sz w:val="24"/>
          <w:szCs w:val="24"/>
        </w:rPr>
      </w:pPr>
    </w:p>
    <w:p w14:paraId="384EB78B" w14:textId="77777777" w:rsidR="004F26E9" w:rsidRDefault="00493868" w:rsidP="00493868">
      <w:pPr>
        <w:tabs>
          <w:tab w:val="left" w:pos="540"/>
        </w:tabs>
        <w:ind w:left="540" w:hanging="540"/>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14:paraId="3EE41807" w14:textId="77777777" w:rsidR="004F26E9" w:rsidRDefault="004F26E9" w:rsidP="00CD5390">
      <w:pPr>
        <w:rPr>
          <w:sz w:val="24"/>
          <w:szCs w:val="24"/>
        </w:rPr>
      </w:pPr>
    </w:p>
    <w:p w14:paraId="4F7A97CA" w14:textId="77777777" w:rsidR="00680952" w:rsidRPr="00680952" w:rsidRDefault="00680952" w:rsidP="00680952">
      <w:pPr>
        <w:widowControl/>
        <w:rPr>
          <w:sz w:val="24"/>
          <w:szCs w:val="24"/>
        </w:rPr>
      </w:pPr>
      <w:r w:rsidRPr="00680952">
        <w:rPr>
          <w:sz w:val="24"/>
          <w:szCs w:val="24"/>
        </w:rPr>
        <w:t>Results from this collection could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14:paraId="2D1DF2A8" w14:textId="77777777" w:rsidR="004F26E9" w:rsidRDefault="004F26E9" w:rsidP="00CD5390">
      <w:pPr>
        <w:rPr>
          <w:sz w:val="24"/>
          <w:szCs w:val="24"/>
        </w:rPr>
      </w:pPr>
    </w:p>
    <w:p w14:paraId="70F2DB70" w14:textId="77777777" w:rsidR="004F26E9" w:rsidRDefault="004F26E9" w:rsidP="00CD5390">
      <w:pPr>
        <w:rPr>
          <w:sz w:val="24"/>
          <w:szCs w:val="24"/>
        </w:rPr>
      </w:pPr>
    </w:p>
    <w:p w14:paraId="2FD951AC" w14:textId="77777777"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14:paraId="3F1F023C" w14:textId="77777777" w:rsidR="004F26E9" w:rsidRDefault="004F26E9" w:rsidP="00CD5390">
      <w:pPr>
        <w:rPr>
          <w:sz w:val="24"/>
          <w:szCs w:val="24"/>
        </w:rPr>
      </w:pPr>
    </w:p>
    <w:p w14:paraId="23A58DF7" w14:textId="77777777" w:rsidR="00680952" w:rsidRPr="00680952" w:rsidRDefault="00680952" w:rsidP="00680952">
      <w:pPr>
        <w:widowControl/>
        <w:rPr>
          <w:color w:val="222222"/>
          <w:sz w:val="24"/>
          <w:szCs w:val="24"/>
          <w:shd w:val="clear" w:color="auto" w:fill="FFFFFF"/>
        </w:rPr>
      </w:pPr>
      <w:r w:rsidRPr="00680952">
        <w:rPr>
          <w:color w:val="222222"/>
          <w:sz w:val="24"/>
          <w:szCs w:val="24"/>
          <w:shd w:val="clear" w:color="auto" w:fill="FFFFFF"/>
        </w:rPr>
        <w:t>All information collection associated with this action is through non-standardized reports, web-based forms, and telephone calls which would be inappropriate to display the expiration date for the OMB approval.</w:t>
      </w:r>
    </w:p>
    <w:p w14:paraId="2144123A" w14:textId="77777777" w:rsidR="004F26E9" w:rsidRDefault="004F26E9" w:rsidP="00CD5390">
      <w:pPr>
        <w:rPr>
          <w:sz w:val="24"/>
          <w:szCs w:val="24"/>
        </w:rPr>
      </w:pPr>
    </w:p>
    <w:p w14:paraId="4B7BF836" w14:textId="77777777" w:rsidR="004F26E9" w:rsidRDefault="004F26E9" w:rsidP="00CD5390">
      <w:pPr>
        <w:rPr>
          <w:sz w:val="24"/>
          <w:szCs w:val="24"/>
        </w:rPr>
      </w:pPr>
    </w:p>
    <w:p w14:paraId="6DEE11D8" w14:textId="77777777"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14:paraId="612F90B1" w14:textId="77777777" w:rsidR="004F26E9" w:rsidRDefault="004F26E9" w:rsidP="00CD5390">
      <w:pPr>
        <w:rPr>
          <w:sz w:val="24"/>
          <w:szCs w:val="24"/>
        </w:rPr>
      </w:pPr>
    </w:p>
    <w:p w14:paraId="78CEAEA3" w14:textId="77777777" w:rsidR="00680952" w:rsidRPr="00680952" w:rsidRDefault="00261CC6" w:rsidP="00680952">
      <w:pPr>
        <w:widowControl/>
        <w:rPr>
          <w:sz w:val="24"/>
          <w:szCs w:val="24"/>
        </w:rPr>
      </w:pPr>
      <w:r w:rsidRPr="00261CC6">
        <w:rPr>
          <w:sz w:val="24"/>
          <w:szCs w:val="24"/>
        </w:rPr>
        <w:t>There are no exceptions for compliance with provisions in the certification statement.</w:t>
      </w:r>
    </w:p>
    <w:p w14:paraId="2C0EA957" w14:textId="77777777" w:rsidR="00946AB0" w:rsidRDefault="00946AB0" w:rsidP="00BC0D51">
      <w:pPr>
        <w:rPr>
          <w:sz w:val="24"/>
          <w:szCs w:val="24"/>
        </w:rPr>
      </w:pPr>
    </w:p>
    <w:sectPr w:rsidR="00946AB0" w:rsidSect="00BC0D51">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BC336" w14:textId="77777777" w:rsidR="001E1107" w:rsidRDefault="001E1107">
      <w:r>
        <w:separator/>
      </w:r>
    </w:p>
  </w:endnote>
  <w:endnote w:type="continuationSeparator" w:id="0">
    <w:p w14:paraId="5602A6E7" w14:textId="77777777" w:rsidR="001E1107" w:rsidRDefault="001E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F1B5" w14:textId="3CE8E09C" w:rsidR="001E1107" w:rsidRDefault="001E110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4D2E">
      <w:rPr>
        <w:rStyle w:val="PageNumber"/>
        <w:noProof/>
        <w:sz w:val="24"/>
        <w:szCs w:val="24"/>
      </w:rPr>
      <w:t>1</w:t>
    </w:r>
    <w:r>
      <w:rPr>
        <w:rStyle w:val="PageNumber"/>
        <w:sz w:val="24"/>
        <w:szCs w:val="24"/>
      </w:rPr>
      <w:fldChar w:fldCharType="end"/>
    </w:r>
  </w:p>
  <w:p w14:paraId="46DC73DC" w14:textId="77777777" w:rsidR="001E1107" w:rsidRDefault="001E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19BDF" w14:textId="77777777" w:rsidR="001E1107" w:rsidRDefault="001E1107">
      <w:r>
        <w:separator/>
      </w:r>
    </w:p>
  </w:footnote>
  <w:footnote w:type="continuationSeparator" w:id="0">
    <w:p w14:paraId="3D41AE11" w14:textId="77777777" w:rsidR="001E1107" w:rsidRDefault="001E1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32FAE"/>
    <w:multiLevelType w:val="hybridMultilevel"/>
    <w:tmpl w:val="3C6A0A52"/>
    <w:lvl w:ilvl="0" w:tplc="371A5090">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6560"/>
    <w:rsid w:val="00011EDB"/>
    <w:rsid w:val="00066544"/>
    <w:rsid w:val="000A0540"/>
    <w:rsid w:val="000C2706"/>
    <w:rsid w:val="000D49BA"/>
    <w:rsid w:val="000F6B71"/>
    <w:rsid w:val="00104C75"/>
    <w:rsid w:val="00107F5D"/>
    <w:rsid w:val="00185785"/>
    <w:rsid w:val="001867FD"/>
    <w:rsid w:val="001876CE"/>
    <w:rsid w:val="0019233E"/>
    <w:rsid w:val="00193A6B"/>
    <w:rsid w:val="00193F97"/>
    <w:rsid w:val="001A46F7"/>
    <w:rsid w:val="001A68BE"/>
    <w:rsid w:val="001A7D04"/>
    <w:rsid w:val="001B2674"/>
    <w:rsid w:val="001B757A"/>
    <w:rsid w:val="001D6E05"/>
    <w:rsid w:val="001E1107"/>
    <w:rsid w:val="001E6F72"/>
    <w:rsid w:val="0020448B"/>
    <w:rsid w:val="002333E8"/>
    <w:rsid w:val="00261CC6"/>
    <w:rsid w:val="00275D80"/>
    <w:rsid w:val="00282B1E"/>
    <w:rsid w:val="00292491"/>
    <w:rsid w:val="002A0C93"/>
    <w:rsid w:val="002A4ECE"/>
    <w:rsid w:val="002C148E"/>
    <w:rsid w:val="003340D8"/>
    <w:rsid w:val="003666C0"/>
    <w:rsid w:val="003A2C6C"/>
    <w:rsid w:val="003C4536"/>
    <w:rsid w:val="003E3EA7"/>
    <w:rsid w:val="003F2E12"/>
    <w:rsid w:val="00426CA3"/>
    <w:rsid w:val="0043584E"/>
    <w:rsid w:val="00444A97"/>
    <w:rsid w:val="004473E2"/>
    <w:rsid w:val="00493868"/>
    <w:rsid w:val="004A76F5"/>
    <w:rsid w:val="004F26E9"/>
    <w:rsid w:val="004F50A5"/>
    <w:rsid w:val="00517B5A"/>
    <w:rsid w:val="00527CC1"/>
    <w:rsid w:val="00532DD5"/>
    <w:rsid w:val="0054376B"/>
    <w:rsid w:val="00544E4B"/>
    <w:rsid w:val="00557696"/>
    <w:rsid w:val="00567D41"/>
    <w:rsid w:val="00580714"/>
    <w:rsid w:val="00581C79"/>
    <w:rsid w:val="005944F0"/>
    <w:rsid w:val="005A6A02"/>
    <w:rsid w:val="005C6849"/>
    <w:rsid w:val="005F0A76"/>
    <w:rsid w:val="00606BDF"/>
    <w:rsid w:val="00640B76"/>
    <w:rsid w:val="00646C24"/>
    <w:rsid w:val="006504F7"/>
    <w:rsid w:val="006601DF"/>
    <w:rsid w:val="00663304"/>
    <w:rsid w:val="00680952"/>
    <w:rsid w:val="00695856"/>
    <w:rsid w:val="006A148C"/>
    <w:rsid w:val="006C6AC7"/>
    <w:rsid w:val="006D76FE"/>
    <w:rsid w:val="0071276E"/>
    <w:rsid w:val="00725C5C"/>
    <w:rsid w:val="00732713"/>
    <w:rsid w:val="00772FFC"/>
    <w:rsid w:val="00773D42"/>
    <w:rsid w:val="00784D9F"/>
    <w:rsid w:val="007955CD"/>
    <w:rsid w:val="007A57CA"/>
    <w:rsid w:val="007B442E"/>
    <w:rsid w:val="007E34C9"/>
    <w:rsid w:val="00801255"/>
    <w:rsid w:val="00844E49"/>
    <w:rsid w:val="00846C18"/>
    <w:rsid w:val="00855631"/>
    <w:rsid w:val="00884D2E"/>
    <w:rsid w:val="008E4C7A"/>
    <w:rsid w:val="0090431D"/>
    <w:rsid w:val="00924327"/>
    <w:rsid w:val="009368F8"/>
    <w:rsid w:val="00946AB0"/>
    <w:rsid w:val="00984CDB"/>
    <w:rsid w:val="009B11EC"/>
    <w:rsid w:val="009C4CD4"/>
    <w:rsid w:val="009D4EF6"/>
    <w:rsid w:val="009E1C14"/>
    <w:rsid w:val="009F499F"/>
    <w:rsid w:val="00A01874"/>
    <w:rsid w:val="00A110F0"/>
    <w:rsid w:val="00A52249"/>
    <w:rsid w:val="00A91F09"/>
    <w:rsid w:val="00AB0379"/>
    <w:rsid w:val="00AD3F53"/>
    <w:rsid w:val="00AE62AC"/>
    <w:rsid w:val="00AE7E8A"/>
    <w:rsid w:val="00AF4B65"/>
    <w:rsid w:val="00AF58A7"/>
    <w:rsid w:val="00B00AB4"/>
    <w:rsid w:val="00B015CF"/>
    <w:rsid w:val="00B22DE1"/>
    <w:rsid w:val="00B664DF"/>
    <w:rsid w:val="00B723C4"/>
    <w:rsid w:val="00B80DFF"/>
    <w:rsid w:val="00BB7E74"/>
    <w:rsid w:val="00BC0D51"/>
    <w:rsid w:val="00BD7E8B"/>
    <w:rsid w:val="00BF0770"/>
    <w:rsid w:val="00C630D6"/>
    <w:rsid w:val="00C63495"/>
    <w:rsid w:val="00C90E2C"/>
    <w:rsid w:val="00C978A3"/>
    <w:rsid w:val="00CA2B37"/>
    <w:rsid w:val="00CD16E0"/>
    <w:rsid w:val="00CD5390"/>
    <w:rsid w:val="00CE1E61"/>
    <w:rsid w:val="00D13E03"/>
    <w:rsid w:val="00D20BBD"/>
    <w:rsid w:val="00D454B7"/>
    <w:rsid w:val="00D65E17"/>
    <w:rsid w:val="00D878A4"/>
    <w:rsid w:val="00D905AC"/>
    <w:rsid w:val="00D9308B"/>
    <w:rsid w:val="00DB0C46"/>
    <w:rsid w:val="00DB5A9F"/>
    <w:rsid w:val="00DE56DD"/>
    <w:rsid w:val="00DF0A85"/>
    <w:rsid w:val="00DF7B97"/>
    <w:rsid w:val="00E0363C"/>
    <w:rsid w:val="00E11ABD"/>
    <w:rsid w:val="00E16327"/>
    <w:rsid w:val="00E166E6"/>
    <w:rsid w:val="00E6174B"/>
    <w:rsid w:val="00EE6B18"/>
    <w:rsid w:val="00F16BFA"/>
    <w:rsid w:val="00F344B6"/>
    <w:rsid w:val="00F37052"/>
    <w:rsid w:val="00F413AC"/>
    <w:rsid w:val="00F54E94"/>
    <w:rsid w:val="00F7628E"/>
    <w:rsid w:val="00FA375D"/>
    <w:rsid w:val="00FC5C5B"/>
    <w:rsid w:val="00FD3D2A"/>
    <w:rsid w:val="00FE66FC"/>
    <w:rsid w:val="00FF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3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llowedHyperlink">
    <w:name w:val="FollowedHyperlink"/>
    <w:basedOn w:val="DefaultParagraphFont"/>
    <w:rsid w:val="00EE6B18"/>
    <w:rPr>
      <w:color w:val="954F72" w:themeColor="followedHyperlink"/>
      <w:u w:val="single"/>
    </w:rPr>
  </w:style>
  <w:style w:type="paragraph" w:styleId="BalloonText">
    <w:name w:val="Balloon Text"/>
    <w:basedOn w:val="Normal"/>
    <w:link w:val="BalloonTextChar"/>
    <w:rsid w:val="009368F8"/>
    <w:rPr>
      <w:rFonts w:ascii="Segoe UI" w:hAnsi="Segoe UI" w:cs="Segoe UI"/>
      <w:sz w:val="18"/>
      <w:szCs w:val="18"/>
    </w:rPr>
  </w:style>
  <w:style w:type="character" w:customStyle="1" w:styleId="BalloonTextChar">
    <w:name w:val="Balloon Text Char"/>
    <w:basedOn w:val="DefaultParagraphFont"/>
    <w:link w:val="BalloonText"/>
    <w:rsid w:val="009368F8"/>
    <w:rPr>
      <w:rFonts w:ascii="Segoe UI" w:hAnsi="Segoe UI" w:cs="Segoe UI"/>
      <w:sz w:val="18"/>
      <w:szCs w:val="18"/>
    </w:rPr>
  </w:style>
  <w:style w:type="character" w:styleId="CommentReference">
    <w:name w:val="annotation reference"/>
    <w:basedOn w:val="DefaultParagraphFont"/>
    <w:rsid w:val="00E16327"/>
    <w:rPr>
      <w:sz w:val="16"/>
      <w:szCs w:val="16"/>
    </w:rPr>
  </w:style>
  <w:style w:type="paragraph" w:styleId="CommentText">
    <w:name w:val="annotation text"/>
    <w:basedOn w:val="Normal"/>
    <w:link w:val="CommentTextChar"/>
    <w:rsid w:val="00E16327"/>
  </w:style>
  <w:style w:type="character" w:customStyle="1" w:styleId="CommentTextChar">
    <w:name w:val="Comment Text Char"/>
    <w:basedOn w:val="DefaultParagraphFont"/>
    <w:link w:val="CommentText"/>
    <w:rsid w:val="00E16327"/>
  </w:style>
  <w:style w:type="paragraph" w:styleId="CommentSubject">
    <w:name w:val="annotation subject"/>
    <w:basedOn w:val="CommentText"/>
    <w:next w:val="CommentText"/>
    <w:link w:val="CommentSubjectChar"/>
    <w:rsid w:val="00E16327"/>
    <w:rPr>
      <w:b/>
      <w:bCs/>
    </w:rPr>
  </w:style>
  <w:style w:type="character" w:customStyle="1" w:styleId="CommentSubjectChar">
    <w:name w:val="Comment Subject Char"/>
    <w:basedOn w:val="CommentTextChar"/>
    <w:link w:val="CommentSubject"/>
    <w:rsid w:val="00E163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llowedHyperlink">
    <w:name w:val="FollowedHyperlink"/>
    <w:basedOn w:val="DefaultParagraphFont"/>
    <w:rsid w:val="00EE6B18"/>
    <w:rPr>
      <w:color w:val="954F72" w:themeColor="followedHyperlink"/>
      <w:u w:val="single"/>
    </w:rPr>
  </w:style>
  <w:style w:type="paragraph" w:styleId="BalloonText">
    <w:name w:val="Balloon Text"/>
    <w:basedOn w:val="Normal"/>
    <w:link w:val="BalloonTextChar"/>
    <w:rsid w:val="009368F8"/>
    <w:rPr>
      <w:rFonts w:ascii="Segoe UI" w:hAnsi="Segoe UI" w:cs="Segoe UI"/>
      <w:sz w:val="18"/>
      <w:szCs w:val="18"/>
    </w:rPr>
  </w:style>
  <w:style w:type="character" w:customStyle="1" w:styleId="BalloonTextChar">
    <w:name w:val="Balloon Text Char"/>
    <w:basedOn w:val="DefaultParagraphFont"/>
    <w:link w:val="BalloonText"/>
    <w:rsid w:val="009368F8"/>
    <w:rPr>
      <w:rFonts w:ascii="Segoe UI" w:hAnsi="Segoe UI" w:cs="Segoe UI"/>
      <w:sz w:val="18"/>
      <w:szCs w:val="18"/>
    </w:rPr>
  </w:style>
  <w:style w:type="character" w:styleId="CommentReference">
    <w:name w:val="annotation reference"/>
    <w:basedOn w:val="DefaultParagraphFont"/>
    <w:rsid w:val="00E16327"/>
    <w:rPr>
      <w:sz w:val="16"/>
      <w:szCs w:val="16"/>
    </w:rPr>
  </w:style>
  <w:style w:type="paragraph" w:styleId="CommentText">
    <w:name w:val="annotation text"/>
    <w:basedOn w:val="Normal"/>
    <w:link w:val="CommentTextChar"/>
    <w:rsid w:val="00E16327"/>
  </w:style>
  <w:style w:type="character" w:customStyle="1" w:styleId="CommentTextChar">
    <w:name w:val="Comment Text Char"/>
    <w:basedOn w:val="DefaultParagraphFont"/>
    <w:link w:val="CommentText"/>
    <w:rsid w:val="00E16327"/>
  </w:style>
  <w:style w:type="paragraph" w:styleId="CommentSubject">
    <w:name w:val="annotation subject"/>
    <w:basedOn w:val="CommentText"/>
    <w:next w:val="CommentText"/>
    <w:link w:val="CommentSubjectChar"/>
    <w:rsid w:val="00E16327"/>
    <w:rPr>
      <w:b/>
      <w:bCs/>
    </w:rPr>
  </w:style>
  <w:style w:type="character" w:customStyle="1" w:styleId="CommentSubjectChar">
    <w:name w:val="Comment Subject Char"/>
    <w:basedOn w:val="CommentTextChar"/>
    <w:link w:val="CommentSubject"/>
    <w:rsid w:val="00E1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469665769">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0AEF-C17C-479A-92EE-2FA61AC0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2019-12-13T19:42:00Z</dcterms:created>
  <dcterms:modified xsi:type="dcterms:W3CDTF">2019-12-13T19:42:00Z</dcterms:modified>
</cp:coreProperties>
</file>