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B6182" w14:textId="77777777" w:rsidR="004F6F5F" w:rsidRPr="00B701E8" w:rsidRDefault="004F6F5F" w:rsidP="004F6F5F">
      <w:pPr>
        <w:jc w:val="center"/>
        <w:rPr>
          <w:b/>
          <w:sz w:val="24"/>
          <w:szCs w:val="24"/>
        </w:rPr>
      </w:pPr>
      <w:bookmarkStart w:id="0" w:name="_GoBack"/>
      <w:bookmarkEnd w:id="0"/>
      <w:r w:rsidRPr="00B701E8">
        <w:rPr>
          <w:b/>
          <w:sz w:val="24"/>
          <w:szCs w:val="24"/>
        </w:rPr>
        <w:t>SUPPORTING STATEMENT</w:t>
      </w:r>
    </w:p>
    <w:p w14:paraId="77D89CDA" w14:textId="77777777" w:rsidR="004F6F5F" w:rsidRPr="00B701E8" w:rsidRDefault="004F6F5F" w:rsidP="004F6F5F">
      <w:pPr>
        <w:jc w:val="center"/>
        <w:rPr>
          <w:b/>
          <w:sz w:val="24"/>
          <w:szCs w:val="24"/>
        </w:rPr>
      </w:pPr>
      <w:r w:rsidRPr="00B701E8">
        <w:rPr>
          <w:b/>
          <w:sz w:val="24"/>
          <w:szCs w:val="24"/>
        </w:rPr>
        <w:t>U.S. Department of Commerce</w:t>
      </w:r>
    </w:p>
    <w:p w14:paraId="4C065539" w14:textId="77777777" w:rsidR="004F6F5F" w:rsidRPr="00B701E8" w:rsidRDefault="004F6F5F" w:rsidP="004F6F5F">
      <w:pPr>
        <w:jc w:val="center"/>
        <w:rPr>
          <w:b/>
          <w:sz w:val="24"/>
          <w:szCs w:val="24"/>
        </w:rPr>
      </w:pPr>
      <w:r w:rsidRPr="00B701E8">
        <w:rPr>
          <w:b/>
          <w:sz w:val="24"/>
          <w:szCs w:val="24"/>
        </w:rPr>
        <w:t>National Oceanic &amp; Atmospheric Administration</w:t>
      </w:r>
    </w:p>
    <w:p w14:paraId="2A0059A1" w14:textId="0FBCC2A7" w:rsidR="004F6F5F" w:rsidRDefault="004F6F5F" w:rsidP="004F6F5F">
      <w:pPr>
        <w:jc w:val="center"/>
        <w:rPr>
          <w:b/>
          <w:sz w:val="24"/>
          <w:szCs w:val="24"/>
        </w:rPr>
      </w:pPr>
      <w:r>
        <w:rPr>
          <w:b/>
          <w:sz w:val="24"/>
          <w:szCs w:val="24"/>
        </w:rPr>
        <w:t>Alaska Notification of Intent to</w:t>
      </w:r>
    </w:p>
    <w:p w14:paraId="57843E2F" w14:textId="60558A24" w:rsidR="004F6F5F" w:rsidRPr="00B701E8" w:rsidRDefault="004F6F5F" w:rsidP="004F6F5F">
      <w:pPr>
        <w:jc w:val="center"/>
        <w:rPr>
          <w:b/>
          <w:sz w:val="24"/>
          <w:szCs w:val="24"/>
        </w:rPr>
      </w:pPr>
      <w:r>
        <w:rPr>
          <w:b/>
          <w:sz w:val="24"/>
          <w:szCs w:val="24"/>
        </w:rPr>
        <w:t>Process Aleutian Islands Pacific Cod</w:t>
      </w:r>
    </w:p>
    <w:p w14:paraId="2E8BF9B6" w14:textId="4A05B93C" w:rsidR="004F6F5F" w:rsidRDefault="004F6F5F" w:rsidP="004F6F5F">
      <w:pPr>
        <w:jc w:val="center"/>
        <w:rPr>
          <w:b/>
          <w:bCs/>
          <w:sz w:val="24"/>
          <w:szCs w:val="24"/>
        </w:rPr>
      </w:pPr>
      <w:r w:rsidRPr="00B701E8">
        <w:rPr>
          <w:b/>
          <w:sz w:val="24"/>
          <w:szCs w:val="24"/>
        </w:rPr>
        <w:t>OMB Control No. 0648-</w:t>
      </w:r>
      <w:r>
        <w:rPr>
          <w:b/>
          <w:sz w:val="24"/>
          <w:szCs w:val="24"/>
        </w:rPr>
        <w:t>0743</w:t>
      </w:r>
      <w:r>
        <w:rPr>
          <w:b/>
          <w:bCs/>
          <w:sz w:val="24"/>
          <w:szCs w:val="24"/>
        </w:rPr>
        <w:t xml:space="preserve"> </w:t>
      </w:r>
    </w:p>
    <w:p w14:paraId="70FA7A67" w14:textId="77777777" w:rsidR="004F26E9" w:rsidRDefault="004F26E9">
      <w:pPr>
        <w:rPr>
          <w:sz w:val="24"/>
          <w:szCs w:val="24"/>
        </w:rPr>
      </w:pPr>
    </w:p>
    <w:p w14:paraId="5436B242" w14:textId="1BCE7D82" w:rsidR="004F26E9" w:rsidRDefault="001A6ED8">
      <w:pPr>
        <w:rPr>
          <w:sz w:val="24"/>
          <w:szCs w:val="24"/>
        </w:rPr>
      </w:pPr>
      <w:r w:rsidRPr="001A6ED8">
        <w:rPr>
          <w:sz w:val="24"/>
          <w:szCs w:val="24"/>
        </w:rPr>
        <w:t>This request is for extension of a currently approved information collection.</w:t>
      </w:r>
      <w:r w:rsidR="00F041B6">
        <w:rPr>
          <w:sz w:val="24"/>
          <w:szCs w:val="24"/>
        </w:rPr>
        <w:t xml:space="preserve"> </w:t>
      </w:r>
    </w:p>
    <w:p w14:paraId="51617D18" w14:textId="25206E65" w:rsidR="001A6ED8" w:rsidRDefault="001A6ED8">
      <w:pPr>
        <w:rPr>
          <w:sz w:val="24"/>
          <w:szCs w:val="24"/>
        </w:rPr>
      </w:pPr>
    </w:p>
    <w:p w14:paraId="6837CF2A" w14:textId="094B0B77" w:rsidR="003A1B9B" w:rsidRDefault="003A1B9B">
      <w:pPr>
        <w:rPr>
          <w:sz w:val="24"/>
          <w:szCs w:val="24"/>
        </w:rPr>
      </w:pPr>
      <w:r w:rsidRPr="003A1B9B">
        <w:rPr>
          <w:sz w:val="24"/>
          <w:szCs w:val="24"/>
        </w:rPr>
        <w:t xml:space="preserve">This collection of information contains the annual notification that the City of Adak or the City of Atka submits to </w:t>
      </w:r>
      <w:r>
        <w:rPr>
          <w:sz w:val="24"/>
          <w:szCs w:val="24"/>
        </w:rPr>
        <w:t>the National Marine Fisheries Service (</w:t>
      </w:r>
      <w:r w:rsidRPr="003A1B9B">
        <w:rPr>
          <w:sz w:val="24"/>
          <w:szCs w:val="24"/>
        </w:rPr>
        <w:t>NMFS</w:t>
      </w:r>
      <w:r>
        <w:rPr>
          <w:sz w:val="24"/>
          <w:szCs w:val="24"/>
        </w:rPr>
        <w:t>)</w:t>
      </w:r>
      <w:r w:rsidRPr="003A1B9B">
        <w:rPr>
          <w:sz w:val="24"/>
          <w:szCs w:val="24"/>
        </w:rPr>
        <w:t xml:space="preserve"> of its intent to process Aleutian Islands Pacific cod in the upcoming fishing year.</w:t>
      </w:r>
    </w:p>
    <w:p w14:paraId="48D1163D" w14:textId="77777777" w:rsidR="003A1B9B" w:rsidRDefault="003A1B9B">
      <w:pPr>
        <w:rPr>
          <w:sz w:val="24"/>
          <w:szCs w:val="24"/>
        </w:rPr>
      </w:pPr>
    </w:p>
    <w:p w14:paraId="2408E9DF"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0500D5EC" w14:textId="77777777" w:rsidR="004F26E9" w:rsidRDefault="004F26E9">
      <w:pPr>
        <w:rPr>
          <w:sz w:val="24"/>
          <w:szCs w:val="24"/>
        </w:rPr>
      </w:pPr>
    </w:p>
    <w:p w14:paraId="0C1B8445" w14:textId="77777777" w:rsidR="004F26E9" w:rsidRDefault="004F26E9">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14:paraId="16AE1420" w14:textId="77777777" w:rsidR="004F26E9" w:rsidRPr="001A6ED8" w:rsidRDefault="004F26E9" w:rsidP="001A6ED8">
      <w:pPr>
        <w:pStyle w:val="ListParagraph"/>
        <w:numPr>
          <w:ilvl w:val="0"/>
          <w:numId w:val="1"/>
        </w:numPr>
        <w:rPr>
          <w:b/>
          <w:bCs/>
          <w:sz w:val="24"/>
          <w:szCs w:val="24"/>
        </w:rPr>
      </w:pPr>
      <w:r w:rsidRPr="001A6ED8">
        <w:rPr>
          <w:b/>
          <w:bCs/>
          <w:sz w:val="24"/>
          <w:szCs w:val="24"/>
        </w:rPr>
        <w:lastRenderedPageBreak/>
        <w:t>Explain the circumstances that make the collection of information necessary.</w:t>
      </w:r>
    </w:p>
    <w:p w14:paraId="700B269C" w14:textId="77777777" w:rsidR="003A1B9B" w:rsidRDefault="003A1B9B" w:rsidP="001A6ED8">
      <w:pPr>
        <w:ind w:firstLine="720"/>
        <w:rPr>
          <w:sz w:val="24"/>
          <w:szCs w:val="24"/>
        </w:rPr>
      </w:pPr>
    </w:p>
    <w:p w14:paraId="43164645" w14:textId="59172957" w:rsidR="00074018" w:rsidRDefault="00074018" w:rsidP="0075490A">
      <w:pPr>
        <w:rPr>
          <w:sz w:val="24"/>
          <w:szCs w:val="24"/>
        </w:rPr>
      </w:pPr>
      <w:r w:rsidRPr="00074018">
        <w:rPr>
          <w:sz w:val="24"/>
          <w:szCs w:val="24"/>
        </w:rPr>
        <w:t>NMFS manages the groundfish fisheries in the Exclusive</w:t>
      </w:r>
      <w:r>
        <w:rPr>
          <w:sz w:val="24"/>
          <w:szCs w:val="24"/>
        </w:rPr>
        <w:t xml:space="preserve"> </w:t>
      </w:r>
      <w:r w:rsidRPr="00074018">
        <w:rPr>
          <w:sz w:val="24"/>
          <w:szCs w:val="24"/>
        </w:rPr>
        <w:t xml:space="preserve">Economic Zone </w:t>
      </w:r>
      <w:r w:rsidR="00853285">
        <w:rPr>
          <w:sz w:val="24"/>
          <w:szCs w:val="24"/>
        </w:rPr>
        <w:t xml:space="preserve">(EEZ) </w:t>
      </w:r>
      <w:r w:rsidRPr="00074018">
        <w:rPr>
          <w:sz w:val="24"/>
          <w:szCs w:val="24"/>
        </w:rPr>
        <w:t xml:space="preserve">of the Bering Sea and Aleutian Islands </w:t>
      </w:r>
      <w:r w:rsidR="002C4FA8">
        <w:rPr>
          <w:sz w:val="24"/>
          <w:szCs w:val="24"/>
        </w:rPr>
        <w:t xml:space="preserve">(BSAI) </w:t>
      </w:r>
      <w:r w:rsidR="009C4241">
        <w:rPr>
          <w:sz w:val="24"/>
          <w:szCs w:val="24"/>
        </w:rPr>
        <w:t xml:space="preserve">management area </w:t>
      </w:r>
      <w:r w:rsidRPr="00074018">
        <w:rPr>
          <w:sz w:val="24"/>
          <w:szCs w:val="24"/>
        </w:rPr>
        <w:t>under the</w:t>
      </w:r>
      <w:r>
        <w:rPr>
          <w:sz w:val="24"/>
          <w:szCs w:val="24"/>
        </w:rPr>
        <w:t xml:space="preserve"> </w:t>
      </w:r>
      <w:r w:rsidRPr="00074018">
        <w:rPr>
          <w:sz w:val="24"/>
          <w:szCs w:val="24"/>
        </w:rPr>
        <w:t>Fishery Management Plan</w:t>
      </w:r>
      <w:r w:rsidR="002C4FA8">
        <w:rPr>
          <w:sz w:val="24"/>
          <w:szCs w:val="24"/>
        </w:rPr>
        <w:t xml:space="preserve"> (FMP)</w:t>
      </w:r>
      <w:r w:rsidRPr="00074018">
        <w:rPr>
          <w:sz w:val="24"/>
          <w:szCs w:val="24"/>
        </w:rPr>
        <w:t xml:space="preserve"> for Groundfish of the Bering Sea and Aleutian Islands Management Area.</w:t>
      </w:r>
      <w:r w:rsidRPr="00074018">
        <w:t xml:space="preserve"> </w:t>
      </w:r>
      <w:r w:rsidRPr="00074018">
        <w:rPr>
          <w:sz w:val="24"/>
          <w:szCs w:val="24"/>
        </w:rPr>
        <w:t>The North Pacific Fishery</w:t>
      </w:r>
      <w:r>
        <w:rPr>
          <w:sz w:val="24"/>
          <w:szCs w:val="24"/>
        </w:rPr>
        <w:t xml:space="preserve"> </w:t>
      </w:r>
      <w:r w:rsidRPr="00074018">
        <w:rPr>
          <w:sz w:val="24"/>
          <w:szCs w:val="24"/>
        </w:rPr>
        <w:t>Management Council prepared, and the Secretary of</w:t>
      </w:r>
      <w:r>
        <w:rPr>
          <w:sz w:val="24"/>
          <w:szCs w:val="24"/>
        </w:rPr>
        <w:t xml:space="preserve"> </w:t>
      </w:r>
      <w:r w:rsidRPr="00074018">
        <w:rPr>
          <w:sz w:val="24"/>
          <w:szCs w:val="24"/>
        </w:rPr>
        <w:t>Commerce approved, the FMP pursuant</w:t>
      </w:r>
      <w:r>
        <w:rPr>
          <w:sz w:val="24"/>
          <w:szCs w:val="24"/>
        </w:rPr>
        <w:t xml:space="preserve"> </w:t>
      </w:r>
      <w:r w:rsidRPr="00074018">
        <w:rPr>
          <w:sz w:val="24"/>
          <w:szCs w:val="24"/>
        </w:rPr>
        <w:t>to the Magnuson-Stevens Fishery</w:t>
      </w:r>
      <w:r>
        <w:rPr>
          <w:sz w:val="24"/>
          <w:szCs w:val="24"/>
        </w:rPr>
        <w:t xml:space="preserve"> </w:t>
      </w:r>
      <w:r w:rsidRPr="00074018">
        <w:rPr>
          <w:sz w:val="24"/>
          <w:szCs w:val="24"/>
        </w:rPr>
        <w:t>Conservation and Management Act</w:t>
      </w:r>
      <w:r>
        <w:rPr>
          <w:sz w:val="24"/>
          <w:szCs w:val="24"/>
        </w:rPr>
        <w:t xml:space="preserve"> </w:t>
      </w:r>
      <w:r w:rsidRPr="00074018">
        <w:rPr>
          <w:sz w:val="24"/>
          <w:szCs w:val="24"/>
        </w:rPr>
        <w:t>(Magnuson-Stevens Act) and other</w:t>
      </w:r>
      <w:r>
        <w:rPr>
          <w:sz w:val="24"/>
          <w:szCs w:val="24"/>
        </w:rPr>
        <w:t xml:space="preserve"> </w:t>
      </w:r>
      <w:r w:rsidRPr="00074018">
        <w:rPr>
          <w:sz w:val="24"/>
          <w:szCs w:val="24"/>
        </w:rPr>
        <w:t>applicable laws. Regulations</w:t>
      </w:r>
      <w:r>
        <w:rPr>
          <w:sz w:val="24"/>
          <w:szCs w:val="24"/>
        </w:rPr>
        <w:t xml:space="preserve"> </w:t>
      </w:r>
      <w:r w:rsidRPr="00074018">
        <w:rPr>
          <w:sz w:val="24"/>
          <w:szCs w:val="24"/>
        </w:rPr>
        <w:t>implementing the FMP appear at 50</w:t>
      </w:r>
      <w:r>
        <w:rPr>
          <w:sz w:val="24"/>
          <w:szCs w:val="24"/>
        </w:rPr>
        <w:t xml:space="preserve"> </w:t>
      </w:r>
      <w:r w:rsidRPr="00074018">
        <w:rPr>
          <w:sz w:val="24"/>
          <w:szCs w:val="24"/>
        </w:rPr>
        <w:t xml:space="preserve">CFR part 679. </w:t>
      </w:r>
    </w:p>
    <w:p w14:paraId="7E068197" w14:textId="77777777" w:rsidR="00074018" w:rsidRDefault="00074018" w:rsidP="001A6ED8">
      <w:pPr>
        <w:ind w:firstLine="720"/>
        <w:rPr>
          <w:sz w:val="24"/>
          <w:szCs w:val="24"/>
        </w:rPr>
      </w:pPr>
    </w:p>
    <w:p w14:paraId="0A72F3DC" w14:textId="4EB743F1" w:rsidR="00C41BAF" w:rsidRDefault="001A6ED8" w:rsidP="00C41BAF">
      <w:pPr>
        <w:rPr>
          <w:sz w:val="24"/>
          <w:szCs w:val="24"/>
        </w:rPr>
      </w:pPr>
      <w:r w:rsidRPr="001A6ED8">
        <w:rPr>
          <w:sz w:val="24"/>
          <w:szCs w:val="24"/>
        </w:rPr>
        <w:t xml:space="preserve">In 2016, NMFS implemented this collection of information under Amendment 113 to the </w:t>
      </w:r>
      <w:r w:rsidR="00074018">
        <w:rPr>
          <w:sz w:val="24"/>
          <w:szCs w:val="24"/>
        </w:rPr>
        <w:t>FMP</w:t>
      </w:r>
      <w:r w:rsidR="00CF5384" w:rsidRPr="00D05D53">
        <w:rPr>
          <w:sz w:val="24"/>
          <w:szCs w:val="24"/>
        </w:rPr>
        <w:t xml:space="preserve"> (</w:t>
      </w:r>
      <w:r w:rsidR="00D05D53" w:rsidRPr="00D05D53">
        <w:rPr>
          <w:sz w:val="24"/>
          <w:szCs w:val="24"/>
        </w:rPr>
        <w:t>81 FR 84434, November 23, 2016</w:t>
      </w:r>
      <w:r w:rsidR="00CF5384" w:rsidRPr="00D05D53">
        <w:rPr>
          <w:sz w:val="24"/>
          <w:szCs w:val="24"/>
        </w:rPr>
        <w:t>)</w:t>
      </w:r>
      <w:r w:rsidRPr="00D05D53">
        <w:rPr>
          <w:sz w:val="24"/>
          <w:szCs w:val="24"/>
        </w:rPr>
        <w:t>. Amendment 113 modified management of the BSAI</w:t>
      </w:r>
      <w:r w:rsidRPr="001A6ED8">
        <w:rPr>
          <w:sz w:val="24"/>
          <w:szCs w:val="24"/>
        </w:rPr>
        <w:t xml:space="preserve"> Pacific cod fishery to set aside a portion of the Aleutian Islands Pacific cod total allowable catch for harvest by </w:t>
      </w:r>
      <w:r w:rsidR="00BE2C63">
        <w:rPr>
          <w:sz w:val="24"/>
          <w:szCs w:val="24"/>
        </w:rPr>
        <w:t xml:space="preserve">catcher </w:t>
      </w:r>
      <w:r w:rsidRPr="001A6ED8">
        <w:rPr>
          <w:sz w:val="24"/>
          <w:szCs w:val="24"/>
        </w:rPr>
        <w:t xml:space="preserve">vessels directed fishing for </w:t>
      </w:r>
      <w:r w:rsidR="00FD2FBB">
        <w:rPr>
          <w:sz w:val="24"/>
          <w:szCs w:val="24"/>
        </w:rPr>
        <w:t>Aleutian Islands</w:t>
      </w:r>
      <w:r w:rsidRPr="001A6ED8">
        <w:rPr>
          <w:sz w:val="24"/>
          <w:szCs w:val="24"/>
        </w:rPr>
        <w:t xml:space="preserve"> Pacific cod and delivering their catch for processing to a shoreside processor located on land west of 170° W. longitude in the Aleutian Islands (“Aleutian Islands shoreplant”). </w:t>
      </w:r>
    </w:p>
    <w:p w14:paraId="2146FE85" w14:textId="77777777" w:rsidR="00C41BAF" w:rsidRDefault="00C41BAF" w:rsidP="00C41BAF">
      <w:pPr>
        <w:rPr>
          <w:sz w:val="24"/>
          <w:szCs w:val="24"/>
        </w:rPr>
      </w:pPr>
    </w:p>
    <w:p w14:paraId="3CDB06B6" w14:textId="33F36440" w:rsidR="001A6ED8" w:rsidRDefault="003A1B9B" w:rsidP="00C41BAF">
      <w:pPr>
        <w:rPr>
          <w:sz w:val="24"/>
          <w:szCs w:val="24"/>
        </w:rPr>
      </w:pPr>
      <w:r>
        <w:rPr>
          <w:sz w:val="24"/>
          <w:szCs w:val="24"/>
        </w:rPr>
        <w:t xml:space="preserve">The final rule added regulations at 50 CFR 679.20(a)(7)(viii) implementing the </w:t>
      </w:r>
      <w:r w:rsidRPr="003E6AE8">
        <w:rPr>
          <w:sz w:val="24"/>
          <w:szCs w:val="24"/>
        </w:rPr>
        <w:t>Aleutian Islands Pacific Cod</w:t>
      </w:r>
      <w:r>
        <w:rPr>
          <w:sz w:val="24"/>
          <w:szCs w:val="24"/>
        </w:rPr>
        <w:t xml:space="preserve"> </w:t>
      </w:r>
      <w:r w:rsidRPr="003E6AE8">
        <w:rPr>
          <w:sz w:val="24"/>
          <w:szCs w:val="24"/>
        </w:rPr>
        <w:t>Catcher Vessel Harvest Set-Aside</w:t>
      </w:r>
      <w:r>
        <w:rPr>
          <w:sz w:val="24"/>
          <w:szCs w:val="24"/>
        </w:rPr>
        <w:t xml:space="preserve"> </w:t>
      </w:r>
      <w:r w:rsidRPr="003E6AE8">
        <w:rPr>
          <w:sz w:val="24"/>
          <w:szCs w:val="24"/>
        </w:rPr>
        <w:t>Program</w:t>
      </w:r>
      <w:r>
        <w:rPr>
          <w:sz w:val="24"/>
          <w:szCs w:val="24"/>
        </w:rPr>
        <w:t>, which includes</w:t>
      </w:r>
      <w:r w:rsidR="00C41BAF">
        <w:rPr>
          <w:sz w:val="24"/>
          <w:szCs w:val="24"/>
        </w:rPr>
        <w:t xml:space="preserve"> </w:t>
      </w:r>
      <w:r w:rsidR="00BE2C63">
        <w:rPr>
          <w:sz w:val="24"/>
          <w:szCs w:val="24"/>
        </w:rPr>
        <w:t>the</w:t>
      </w:r>
      <w:r w:rsidR="00C41BAF">
        <w:rPr>
          <w:sz w:val="24"/>
          <w:szCs w:val="24"/>
        </w:rPr>
        <w:t xml:space="preserve"> harvest set</w:t>
      </w:r>
      <w:r w:rsidR="00BD65C2">
        <w:rPr>
          <w:sz w:val="24"/>
          <w:szCs w:val="24"/>
        </w:rPr>
        <w:t>-</w:t>
      </w:r>
      <w:r w:rsidR="00C41BAF">
        <w:rPr>
          <w:sz w:val="24"/>
          <w:szCs w:val="24"/>
        </w:rPr>
        <w:t xml:space="preserve">aside that </w:t>
      </w:r>
      <w:r w:rsidR="001A6ED8" w:rsidRPr="001A6ED8">
        <w:rPr>
          <w:sz w:val="24"/>
          <w:szCs w:val="24"/>
        </w:rPr>
        <w:t>applies only if specific notification and performance requirements are met, and only during the first few months of the fishing year. Th</w:t>
      </w:r>
      <w:r>
        <w:rPr>
          <w:sz w:val="24"/>
          <w:szCs w:val="24"/>
        </w:rPr>
        <w:t>e</w:t>
      </w:r>
      <w:r w:rsidR="001A6ED8" w:rsidRPr="001A6ED8">
        <w:rPr>
          <w:sz w:val="24"/>
          <w:szCs w:val="24"/>
        </w:rPr>
        <w:t xml:space="preserve"> harvest set-aside provides the opportunity for vessels, Aleutian Islands shoreplants, and the communities where Aleutian Islands shoreplants are located to receive benefits from a portion of </w:t>
      </w:r>
      <w:r w:rsidR="001A6ED8" w:rsidRPr="00773429">
        <w:rPr>
          <w:sz w:val="24"/>
          <w:szCs w:val="24"/>
        </w:rPr>
        <w:t>the Aleutian Islands Pacific cod fishery. The notification and performance requirements preserve an opportunity for the complete harvest of the BSAI Pacific cod resource if the set-aside is not fully harvested.</w:t>
      </w:r>
      <w:r w:rsidR="003E6AE8">
        <w:rPr>
          <w:sz w:val="24"/>
          <w:szCs w:val="24"/>
        </w:rPr>
        <w:t xml:space="preserve"> </w:t>
      </w:r>
    </w:p>
    <w:p w14:paraId="1BAB5CDF" w14:textId="77777777" w:rsidR="00C41BAF" w:rsidRDefault="00C41BAF" w:rsidP="00C41BAF">
      <w:pPr>
        <w:rPr>
          <w:sz w:val="24"/>
          <w:szCs w:val="24"/>
        </w:rPr>
      </w:pPr>
    </w:p>
    <w:p w14:paraId="52D6F615" w14:textId="746CA7C0" w:rsidR="00C41BAF" w:rsidRPr="001E1397" w:rsidRDefault="00C41BAF" w:rsidP="00C41BAF">
      <w:pPr>
        <w:rPr>
          <w:sz w:val="24"/>
          <w:szCs w:val="24"/>
        </w:rPr>
      </w:pPr>
      <w:r w:rsidRPr="003A1B9B">
        <w:rPr>
          <w:sz w:val="24"/>
          <w:szCs w:val="24"/>
        </w:rPr>
        <w:t xml:space="preserve">This collection of information contains the notification </w:t>
      </w:r>
      <w:r>
        <w:rPr>
          <w:sz w:val="24"/>
          <w:szCs w:val="24"/>
        </w:rPr>
        <w:t>submitted</w:t>
      </w:r>
      <w:r w:rsidR="00BE2C63">
        <w:rPr>
          <w:sz w:val="24"/>
          <w:szCs w:val="24"/>
        </w:rPr>
        <w:t xml:space="preserve"> to NMFS</w:t>
      </w:r>
      <w:r>
        <w:rPr>
          <w:sz w:val="24"/>
          <w:szCs w:val="24"/>
        </w:rPr>
        <w:t xml:space="preserve"> by </w:t>
      </w:r>
      <w:r w:rsidRPr="003A1B9B">
        <w:rPr>
          <w:sz w:val="24"/>
          <w:szCs w:val="24"/>
        </w:rPr>
        <w:t xml:space="preserve">the City of Adak or the City of Atka </w:t>
      </w:r>
      <w:r w:rsidR="00BE2C63">
        <w:rPr>
          <w:sz w:val="24"/>
          <w:szCs w:val="24"/>
        </w:rPr>
        <w:t>of its</w:t>
      </w:r>
      <w:r>
        <w:rPr>
          <w:sz w:val="24"/>
          <w:szCs w:val="24"/>
        </w:rPr>
        <w:t xml:space="preserve"> </w:t>
      </w:r>
      <w:r w:rsidRPr="003A1B9B">
        <w:rPr>
          <w:sz w:val="24"/>
          <w:szCs w:val="24"/>
        </w:rPr>
        <w:t xml:space="preserve">intent to process Aleutian Islands Pacific cod in the upcoming fishing year </w:t>
      </w:r>
      <w:r w:rsidRPr="001E1397">
        <w:rPr>
          <w:sz w:val="24"/>
          <w:szCs w:val="24"/>
        </w:rPr>
        <w:t>in order for the Aleutian Islands catcher vessel harvest set-aside to go into effect in the upcoming fishing year.</w:t>
      </w:r>
    </w:p>
    <w:p w14:paraId="02C0E860" w14:textId="77777777" w:rsidR="003E6AE8" w:rsidRPr="001A6ED8" w:rsidRDefault="003E6AE8" w:rsidP="001A6ED8">
      <w:pPr>
        <w:ind w:firstLine="720"/>
        <w:rPr>
          <w:sz w:val="24"/>
          <w:szCs w:val="24"/>
        </w:rPr>
      </w:pPr>
    </w:p>
    <w:p w14:paraId="3B31004E" w14:textId="77777777" w:rsidR="001A6ED8" w:rsidRDefault="001A6ED8" w:rsidP="0075490A">
      <w:pPr>
        <w:rPr>
          <w:sz w:val="24"/>
          <w:szCs w:val="24"/>
        </w:rPr>
      </w:pPr>
      <w:r w:rsidRPr="001A6ED8">
        <w:rPr>
          <w:sz w:val="24"/>
          <w:szCs w:val="24"/>
        </w:rPr>
        <w:t xml:space="preserve">In March 2019, the U.S. District Court for the District of Columbia vacated the rule implementing Amendment 113 and remanded Amendment 113 to NMFS for reconsideration. In </w:t>
      </w:r>
      <w:r w:rsidRPr="001A6ED8">
        <w:rPr>
          <w:sz w:val="24"/>
          <w:szCs w:val="24"/>
        </w:rPr>
        <w:lastRenderedPageBreak/>
        <w:t>May 2019, the U.S. Department of Justice filed a notice of appeal.</w:t>
      </w:r>
    </w:p>
    <w:p w14:paraId="61E57DA9" w14:textId="77777777" w:rsidR="001A6ED8" w:rsidRPr="001A6ED8" w:rsidRDefault="001A6ED8" w:rsidP="0075490A">
      <w:pPr>
        <w:rPr>
          <w:sz w:val="24"/>
          <w:szCs w:val="24"/>
        </w:rPr>
      </w:pPr>
    </w:p>
    <w:p w14:paraId="3C12A79E" w14:textId="02EC7351" w:rsidR="001A6ED8" w:rsidRDefault="001A6ED8" w:rsidP="0075490A">
      <w:pPr>
        <w:rPr>
          <w:sz w:val="24"/>
          <w:szCs w:val="24"/>
        </w:rPr>
      </w:pPr>
      <w:r w:rsidRPr="001A6ED8">
        <w:rPr>
          <w:sz w:val="24"/>
          <w:szCs w:val="24"/>
        </w:rPr>
        <w:t xml:space="preserve">As the annual notification of intent </w:t>
      </w:r>
      <w:r w:rsidR="00233509">
        <w:rPr>
          <w:sz w:val="24"/>
          <w:szCs w:val="24"/>
        </w:rPr>
        <w:t xml:space="preserve">to process Aleutian Islands Pacific cod </w:t>
      </w:r>
      <w:r w:rsidRPr="001A6ED8">
        <w:rPr>
          <w:sz w:val="24"/>
          <w:szCs w:val="24"/>
        </w:rPr>
        <w:t xml:space="preserve">is based on the vacated regulations that implemented Amendment 113, this information will not be collected unless the regulations are reinstated on appeal. </w:t>
      </w:r>
    </w:p>
    <w:p w14:paraId="32B52F77" w14:textId="77777777" w:rsidR="001A6ED8" w:rsidRPr="001A6ED8" w:rsidRDefault="001A6ED8" w:rsidP="0075490A">
      <w:pPr>
        <w:rPr>
          <w:sz w:val="24"/>
          <w:szCs w:val="24"/>
        </w:rPr>
      </w:pPr>
    </w:p>
    <w:p w14:paraId="6BEAC49D" w14:textId="77777777" w:rsidR="004F26E9" w:rsidRDefault="001A6ED8" w:rsidP="0075490A">
      <w:pPr>
        <w:rPr>
          <w:sz w:val="24"/>
          <w:szCs w:val="24"/>
        </w:rPr>
      </w:pPr>
      <w:r w:rsidRPr="001A6ED8">
        <w:rPr>
          <w:sz w:val="24"/>
          <w:szCs w:val="24"/>
        </w:rPr>
        <w:t>NMFS is requesting renewal of this collection of information in the event of a successful appeal.</w:t>
      </w:r>
    </w:p>
    <w:p w14:paraId="2885B9D1" w14:textId="77777777" w:rsidR="004F26E9" w:rsidRDefault="004F26E9">
      <w:pPr>
        <w:rPr>
          <w:sz w:val="24"/>
          <w:szCs w:val="24"/>
        </w:rPr>
      </w:pPr>
    </w:p>
    <w:p w14:paraId="63BE9EE0" w14:textId="16F31D3A" w:rsidR="000B0D80" w:rsidRDefault="004F26E9">
      <w:pPr>
        <w:rPr>
          <w:b/>
          <w:bCs/>
          <w:sz w:val="24"/>
          <w:szCs w:val="24"/>
        </w:rPr>
      </w:pPr>
      <w:r>
        <w:rPr>
          <w:b/>
          <w:bCs/>
          <w:sz w:val="24"/>
          <w:szCs w:val="24"/>
        </w:rPr>
        <w:t>2.</w:t>
      </w:r>
      <w:r w:rsidR="00F041B6">
        <w:rPr>
          <w:b/>
          <w:bCs/>
          <w:sz w:val="24"/>
          <w:szCs w:val="24"/>
        </w:rPr>
        <w:t xml:space="preserve"> </w:t>
      </w:r>
      <w:r w:rsidRPr="000A0540">
        <w:rPr>
          <w:szCs w:val="24"/>
          <w:lang w:val="en-CA"/>
        </w:rPr>
        <w:fldChar w:fldCharType="begin"/>
      </w:r>
      <w:r w:rsidRPr="000A0540">
        <w:rPr>
          <w:szCs w:val="24"/>
          <w:lang w:val="en-CA"/>
        </w:rPr>
        <w:instrText xml:space="preserve"> SEQ CHAPTER \h \r 1</w:instrText>
      </w:r>
      <w:r w:rsidRPr="000A0540">
        <w:rPr>
          <w:szCs w:val="24"/>
          <w:lang w:val="en-CA"/>
        </w:rPr>
        <w:fldChar w:fldCharType="end"/>
      </w:r>
      <w:r w:rsidRPr="000A0540">
        <w:rPr>
          <w:b/>
          <w:bCs/>
          <w:sz w:val="24"/>
          <w:szCs w:val="24"/>
        </w:rPr>
        <w:t>Explain how, by whom, how frequently, and for what purpose the information will be used.</w:t>
      </w:r>
      <w:r w:rsidR="00F041B6">
        <w:rPr>
          <w:b/>
          <w:bCs/>
          <w:sz w:val="24"/>
          <w:szCs w:val="24"/>
        </w:rPr>
        <w:t xml:space="preserve"> </w:t>
      </w:r>
      <w:r w:rsidRPr="000A0540">
        <w:rPr>
          <w:szCs w:val="24"/>
          <w:lang w:val="en-CA"/>
        </w:rPr>
        <w:fldChar w:fldCharType="begin"/>
      </w:r>
      <w:r w:rsidRPr="000A0540">
        <w:rPr>
          <w:szCs w:val="24"/>
          <w:lang w:val="en-CA"/>
        </w:rPr>
        <w:instrText xml:space="preserve"> SEQ CHAPTER \h \r 1</w:instrText>
      </w:r>
      <w:r w:rsidRPr="000A0540">
        <w:rPr>
          <w:szCs w:val="24"/>
          <w:lang w:val="en-CA"/>
        </w:rPr>
        <w:fldChar w:fldCharType="end"/>
      </w:r>
      <w:r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p>
    <w:p w14:paraId="2D36474A" w14:textId="003A9DA6" w:rsidR="004F26E9" w:rsidRDefault="004F26E9" w:rsidP="00B61A4E">
      <w:pPr>
        <w:rPr>
          <w:sz w:val="24"/>
          <w:szCs w:val="24"/>
        </w:rPr>
      </w:pPr>
      <w:r>
        <w:rPr>
          <w:b/>
          <w:bCs/>
          <w:sz w:val="24"/>
          <w:szCs w:val="24"/>
        </w:rPr>
        <w:t xml:space="preserve"> </w:t>
      </w:r>
    </w:p>
    <w:p w14:paraId="544CEEBF" w14:textId="4FC9A6E7" w:rsidR="00B501FD" w:rsidRPr="00B61A4E" w:rsidRDefault="00B501FD" w:rsidP="00B61A4E">
      <w:pPr>
        <w:rPr>
          <w:sz w:val="24"/>
          <w:szCs w:val="24"/>
        </w:rPr>
      </w:pPr>
      <w:r w:rsidRPr="00347C06">
        <w:rPr>
          <w:i/>
          <w:sz w:val="24"/>
          <w:szCs w:val="24"/>
        </w:rPr>
        <w:t xml:space="preserve">Notification of Intent to Process Non-Community Development Quota (CDQ) Aleutian Islands Pacific Cod </w:t>
      </w:r>
      <w:r w:rsidR="003B3BFA" w:rsidRPr="00347C06">
        <w:rPr>
          <w:i/>
          <w:sz w:val="24"/>
          <w:szCs w:val="24"/>
        </w:rPr>
        <w:t>from Directed Fishing</w:t>
      </w:r>
      <w:r w:rsidR="003B3BFA" w:rsidRPr="00B61A4E">
        <w:rPr>
          <w:i/>
          <w:sz w:val="24"/>
          <w:szCs w:val="24"/>
        </w:rPr>
        <w:t xml:space="preserve"> </w:t>
      </w:r>
      <w:r w:rsidR="008B75AE" w:rsidRPr="00B61A4E">
        <w:rPr>
          <w:color w:val="8A0000"/>
          <w:sz w:val="24"/>
          <w:szCs w:val="24"/>
        </w:rPr>
        <w:t>[changed name from Notification of Intent to Process Non-Community Development Quota (CDQ) Directed Aleutian Islands Pacific Cod]</w:t>
      </w:r>
      <w:r w:rsidRPr="00B61A4E">
        <w:rPr>
          <w:color w:val="C00000"/>
          <w:sz w:val="24"/>
          <w:szCs w:val="24"/>
        </w:rPr>
        <w:t xml:space="preserve"> </w:t>
      </w:r>
    </w:p>
    <w:p w14:paraId="3DD98598" w14:textId="77777777" w:rsidR="00B501FD" w:rsidRPr="00B61A4E" w:rsidRDefault="00B501FD" w:rsidP="00B501FD">
      <w:pPr>
        <w:rPr>
          <w:b/>
          <w:sz w:val="24"/>
          <w:szCs w:val="24"/>
        </w:rPr>
      </w:pPr>
    </w:p>
    <w:p w14:paraId="3C671C54" w14:textId="02A0B8E9" w:rsidR="00535342" w:rsidRDefault="008902E6" w:rsidP="00535342">
      <w:pPr>
        <w:rPr>
          <w:sz w:val="24"/>
          <w:szCs w:val="24"/>
        </w:rPr>
      </w:pPr>
      <w:r>
        <w:rPr>
          <w:sz w:val="24"/>
          <w:szCs w:val="24"/>
        </w:rPr>
        <w:t>The</w:t>
      </w:r>
      <w:r w:rsidR="00A972AA">
        <w:rPr>
          <w:sz w:val="24"/>
          <w:szCs w:val="24"/>
        </w:rPr>
        <w:t xml:space="preserve"> </w:t>
      </w:r>
      <w:r w:rsidR="00C02B99" w:rsidRPr="00C02B99">
        <w:rPr>
          <w:sz w:val="24"/>
          <w:szCs w:val="24"/>
        </w:rPr>
        <w:t xml:space="preserve">notification of intent to process Aleutian Islands Pacific cod </w:t>
      </w:r>
      <w:r w:rsidR="00A972AA">
        <w:rPr>
          <w:sz w:val="24"/>
          <w:szCs w:val="24"/>
        </w:rPr>
        <w:t>is</w:t>
      </w:r>
      <w:r>
        <w:rPr>
          <w:sz w:val="24"/>
          <w:szCs w:val="24"/>
        </w:rPr>
        <w:t xml:space="preserve"> </w:t>
      </w:r>
      <w:r w:rsidR="00A972AA">
        <w:rPr>
          <w:sz w:val="24"/>
          <w:szCs w:val="24"/>
        </w:rPr>
        <w:t>a letter or memorandum submitted to NMFS by the City Manager o</w:t>
      </w:r>
      <w:r w:rsidR="00305B97">
        <w:rPr>
          <w:sz w:val="24"/>
          <w:szCs w:val="24"/>
        </w:rPr>
        <w:t xml:space="preserve">f </w:t>
      </w:r>
      <w:r w:rsidR="00A972AA">
        <w:rPr>
          <w:sz w:val="24"/>
          <w:szCs w:val="24"/>
        </w:rPr>
        <w:t>Adak or the City Administrator of Atka indicating that the community he or she represents intends to process Aleutian Islands Pacific cod in the upcoming fishing year</w:t>
      </w:r>
      <w:r w:rsidR="00FF0635">
        <w:rPr>
          <w:sz w:val="24"/>
          <w:szCs w:val="24"/>
        </w:rPr>
        <w:t xml:space="preserve"> following the performance requirements</w:t>
      </w:r>
      <w:r w:rsidR="00A972AA">
        <w:rPr>
          <w:sz w:val="24"/>
          <w:szCs w:val="24"/>
        </w:rPr>
        <w:t xml:space="preserve">. </w:t>
      </w:r>
    </w:p>
    <w:p w14:paraId="61FE0800" w14:textId="77777777" w:rsidR="0055722C" w:rsidRPr="00EA13C5" w:rsidRDefault="0055722C" w:rsidP="00535342">
      <w:pPr>
        <w:rPr>
          <w:sz w:val="24"/>
          <w:szCs w:val="24"/>
        </w:rPr>
      </w:pPr>
    </w:p>
    <w:p w14:paraId="3DC8A8AE" w14:textId="61C94F43" w:rsidR="000F3F9C" w:rsidRDefault="0055722C" w:rsidP="0076654F">
      <w:pPr>
        <w:rPr>
          <w:sz w:val="24"/>
          <w:szCs w:val="24"/>
        </w:rPr>
      </w:pPr>
      <w:r w:rsidRPr="00E91345">
        <w:rPr>
          <w:sz w:val="24"/>
          <w:szCs w:val="24"/>
        </w:rPr>
        <w:t xml:space="preserve">NMFS uses this information </w:t>
      </w:r>
      <w:r w:rsidR="007055CB">
        <w:rPr>
          <w:sz w:val="24"/>
          <w:szCs w:val="24"/>
        </w:rPr>
        <w:t>to determine how to calculate</w:t>
      </w:r>
      <w:r w:rsidR="009370FA" w:rsidRPr="00E91345">
        <w:rPr>
          <w:sz w:val="24"/>
          <w:szCs w:val="24"/>
        </w:rPr>
        <w:t xml:space="preserve"> Pacific cod </w:t>
      </w:r>
      <w:r w:rsidR="0076654F" w:rsidRPr="00E91345">
        <w:rPr>
          <w:sz w:val="24"/>
          <w:szCs w:val="24"/>
        </w:rPr>
        <w:t>allocations</w:t>
      </w:r>
      <w:r w:rsidR="009370FA" w:rsidRPr="00E91345">
        <w:rPr>
          <w:sz w:val="24"/>
          <w:szCs w:val="24"/>
        </w:rPr>
        <w:t xml:space="preserve"> </w:t>
      </w:r>
      <w:r w:rsidR="00935F71" w:rsidRPr="00E91345">
        <w:rPr>
          <w:sz w:val="24"/>
          <w:szCs w:val="24"/>
        </w:rPr>
        <w:t xml:space="preserve">required under 50 CFR 679.20(a)(7)(viii) </w:t>
      </w:r>
      <w:r w:rsidR="0076654F" w:rsidRPr="00E91345">
        <w:rPr>
          <w:sz w:val="24"/>
          <w:szCs w:val="24"/>
        </w:rPr>
        <w:t>during</w:t>
      </w:r>
      <w:r w:rsidR="009370FA" w:rsidRPr="00E91345">
        <w:rPr>
          <w:sz w:val="24"/>
          <w:szCs w:val="24"/>
        </w:rPr>
        <w:t xml:space="preserve"> the</w:t>
      </w:r>
      <w:r w:rsidR="0076654F" w:rsidRPr="00E91345">
        <w:rPr>
          <w:sz w:val="24"/>
          <w:szCs w:val="24"/>
        </w:rPr>
        <w:t xml:space="preserve"> annual BSAI harvest specifications process. </w:t>
      </w:r>
      <w:r w:rsidR="007B2EBC" w:rsidRPr="00E91345">
        <w:rPr>
          <w:sz w:val="24"/>
          <w:szCs w:val="24"/>
        </w:rPr>
        <w:t xml:space="preserve">These </w:t>
      </w:r>
      <w:r w:rsidR="00B639FA" w:rsidRPr="00E91345">
        <w:rPr>
          <w:sz w:val="24"/>
          <w:szCs w:val="24"/>
        </w:rPr>
        <w:t>harvest limits</w:t>
      </w:r>
      <w:r w:rsidR="007B2EBC" w:rsidRPr="00E91345">
        <w:rPr>
          <w:sz w:val="24"/>
          <w:szCs w:val="24"/>
        </w:rPr>
        <w:t xml:space="preserve"> are p</w:t>
      </w:r>
      <w:r w:rsidR="007B2EBC" w:rsidRPr="00756A47">
        <w:rPr>
          <w:sz w:val="24"/>
          <w:szCs w:val="24"/>
        </w:rPr>
        <w:t xml:space="preserve">ublished in the annual harvest specifications </w:t>
      </w:r>
      <w:r w:rsidR="00B21D0D">
        <w:rPr>
          <w:sz w:val="24"/>
          <w:szCs w:val="24"/>
        </w:rPr>
        <w:t xml:space="preserve">for the BSAI </w:t>
      </w:r>
      <w:r w:rsidR="007B2EBC" w:rsidRPr="00756A47">
        <w:rPr>
          <w:sz w:val="24"/>
          <w:szCs w:val="24"/>
        </w:rPr>
        <w:t xml:space="preserve">(e.g., 84 FR 9000, March 13, 2019; Tables 9a and 9b). </w:t>
      </w:r>
      <w:r w:rsidR="0076654F" w:rsidRPr="00756A47">
        <w:rPr>
          <w:sz w:val="24"/>
          <w:szCs w:val="24"/>
        </w:rPr>
        <w:t>If NMFS receives</w:t>
      </w:r>
      <w:r w:rsidR="00BE2C63">
        <w:rPr>
          <w:sz w:val="24"/>
          <w:szCs w:val="24"/>
        </w:rPr>
        <w:t xml:space="preserve"> a</w:t>
      </w:r>
      <w:r w:rsidR="0076654F" w:rsidRPr="00756A47">
        <w:rPr>
          <w:sz w:val="24"/>
          <w:szCs w:val="24"/>
        </w:rPr>
        <w:t xml:space="preserve"> noti</w:t>
      </w:r>
      <w:r w:rsidR="00BE2C63">
        <w:rPr>
          <w:sz w:val="24"/>
          <w:szCs w:val="24"/>
        </w:rPr>
        <w:t>fication of intent to process Aleutian Islands</w:t>
      </w:r>
      <w:r w:rsidR="0076654F" w:rsidRPr="00756A47">
        <w:rPr>
          <w:sz w:val="24"/>
          <w:szCs w:val="24"/>
        </w:rPr>
        <w:t xml:space="preserve"> Pacific cod from either the City</w:t>
      </w:r>
      <w:r w:rsidR="0076654F" w:rsidRPr="0076654F">
        <w:rPr>
          <w:sz w:val="24"/>
          <w:szCs w:val="24"/>
        </w:rPr>
        <w:t xml:space="preserve"> of Adak</w:t>
      </w:r>
      <w:r w:rsidR="0076654F">
        <w:rPr>
          <w:sz w:val="24"/>
          <w:szCs w:val="24"/>
        </w:rPr>
        <w:t xml:space="preserve"> </w:t>
      </w:r>
      <w:r w:rsidR="0076654F" w:rsidRPr="0076654F">
        <w:rPr>
          <w:sz w:val="24"/>
          <w:szCs w:val="24"/>
        </w:rPr>
        <w:t>or</w:t>
      </w:r>
      <w:r w:rsidR="00BE2C63">
        <w:rPr>
          <w:sz w:val="24"/>
          <w:szCs w:val="24"/>
        </w:rPr>
        <w:t xml:space="preserve"> the City of Atka by October 31</w:t>
      </w:r>
      <w:r w:rsidR="0076654F" w:rsidRPr="0076654F">
        <w:rPr>
          <w:sz w:val="24"/>
          <w:szCs w:val="24"/>
        </w:rPr>
        <w:t xml:space="preserve">, </w:t>
      </w:r>
      <w:r w:rsidR="007055CB">
        <w:rPr>
          <w:sz w:val="24"/>
          <w:szCs w:val="24"/>
        </w:rPr>
        <w:t>NMFS establishes an Aleutian Islands Catcher Vessel Pacific cod harvest set-aside, along with other Pacific cod allocations by area, sector, and gear type. T</w:t>
      </w:r>
      <w:r w:rsidR="0076654F" w:rsidRPr="0076654F">
        <w:rPr>
          <w:sz w:val="24"/>
          <w:szCs w:val="24"/>
        </w:rPr>
        <w:t>he</w:t>
      </w:r>
      <w:r w:rsidR="00B639FA">
        <w:rPr>
          <w:sz w:val="24"/>
          <w:szCs w:val="24"/>
        </w:rPr>
        <w:t>se</w:t>
      </w:r>
      <w:r w:rsidR="0076654F" w:rsidRPr="0076654F">
        <w:rPr>
          <w:sz w:val="24"/>
          <w:szCs w:val="24"/>
        </w:rPr>
        <w:t xml:space="preserve"> harvest limits will be in effect in the</w:t>
      </w:r>
      <w:r w:rsidR="0076654F">
        <w:rPr>
          <w:sz w:val="24"/>
          <w:szCs w:val="24"/>
        </w:rPr>
        <w:t xml:space="preserve"> </w:t>
      </w:r>
      <w:r w:rsidR="0076654F" w:rsidRPr="0076654F">
        <w:rPr>
          <w:sz w:val="24"/>
          <w:szCs w:val="24"/>
        </w:rPr>
        <w:t>following year.</w:t>
      </w:r>
      <w:r w:rsidR="004A3080" w:rsidRPr="004A3080">
        <w:t xml:space="preserve"> </w:t>
      </w:r>
    </w:p>
    <w:p w14:paraId="564B8B5C" w14:textId="77777777" w:rsidR="0055722C" w:rsidRDefault="0055722C" w:rsidP="00EA13C5">
      <w:pPr>
        <w:rPr>
          <w:sz w:val="24"/>
          <w:szCs w:val="24"/>
        </w:rPr>
      </w:pPr>
    </w:p>
    <w:p w14:paraId="3BABFE62" w14:textId="1B9DFE77" w:rsidR="002E74D9" w:rsidRDefault="00BE2C63">
      <w:pPr>
        <w:rPr>
          <w:sz w:val="24"/>
          <w:szCs w:val="24"/>
        </w:rPr>
      </w:pPr>
      <w:r w:rsidRPr="000F3F9C">
        <w:rPr>
          <w:sz w:val="24"/>
          <w:szCs w:val="24"/>
        </w:rPr>
        <w:t>The City Manager of Adak or the City Administrator of Atka</w:t>
      </w:r>
      <w:r>
        <w:rPr>
          <w:sz w:val="24"/>
          <w:szCs w:val="24"/>
        </w:rPr>
        <w:t xml:space="preserve"> </w:t>
      </w:r>
      <w:r w:rsidR="00FD2FBB" w:rsidRPr="00EA13C5">
        <w:rPr>
          <w:sz w:val="24"/>
          <w:szCs w:val="24"/>
        </w:rPr>
        <w:t>must submit</w:t>
      </w:r>
      <w:r>
        <w:rPr>
          <w:sz w:val="24"/>
          <w:szCs w:val="24"/>
        </w:rPr>
        <w:t xml:space="preserve"> the notification of intent </w:t>
      </w:r>
      <w:r w:rsidR="002E74D9">
        <w:rPr>
          <w:sz w:val="24"/>
          <w:szCs w:val="24"/>
        </w:rPr>
        <w:t xml:space="preserve">to </w:t>
      </w:r>
      <w:r>
        <w:rPr>
          <w:sz w:val="24"/>
          <w:szCs w:val="24"/>
        </w:rPr>
        <w:t>the</w:t>
      </w:r>
      <w:r w:rsidR="002E74D9">
        <w:rPr>
          <w:sz w:val="24"/>
          <w:szCs w:val="24"/>
        </w:rPr>
        <w:t xml:space="preserve"> NMFS Alaska Region Regional Administrator</w:t>
      </w:r>
      <w:r w:rsidR="00597134">
        <w:rPr>
          <w:rStyle w:val="FootnoteReference"/>
          <w:sz w:val="24"/>
          <w:szCs w:val="24"/>
        </w:rPr>
        <w:footnoteReference w:id="1"/>
      </w:r>
      <w:r w:rsidR="002E74D9">
        <w:rPr>
          <w:sz w:val="24"/>
          <w:szCs w:val="24"/>
        </w:rPr>
        <w:t xml:space="preserve"> </w:t>
      </w:r>
      <w:r w:rsidR="00FD2FBB" w:rsidRPr="00EA13C5">
        <w:rPr>
          <w:sz w:val="24"/>
          <w:szCs w:val="24"/>
        </w:rPr>
        <w:t>by</w:t>
      </w:r>
      <w:r w:rsidR="00FD2FBB" w:rsidRPr="00FD2FBB">
        <w:rPr>
          <w:sz w:val="24"/>
          <w:szCs w:val="24"/>
        </w:rPr>
        <w:t xml:space="preserve"> certified mail through the U.S. Postal Service and postmarked no later than October 31. </w:t>
      </w:r>
      <w:r w:rsidR="002E74D9">
        <w:rPr>
          <w:sz w:val="24"/>
          <w:szCs w:val="24"/>
        </w:rPr>
        <w:t>Certified mail provides the community with proof of postmark date and receipt by NMFS.</w:t>
      </w:r>
      <w:r w:rsidR="00A10874">
        <w:rPr>
          <w:sz w:val="24"/>
          <w:szCs w:val="24"/>
        </w:rPr>
        <w:t xml:space="preserve"> </w:t>
      </w:r>
      <w:r>
        <w:rPr>
          <w:sz w:val="24"/>
          <w:szCs w:val="24"/>
        </w:rPr>
        <w:t>Notifications of intent postmarked on or after November 1 will not be accepted.</w:t>
      </w:r>
    </w:p>
    <w:p w14:paraId="2032A036" w14:textId="77777777" w:rsidR="00FD2FBB" w:rsidRDefault="00FD2FBB">
      <w:pPr>
        <w:rPr>
          <w:sz w:val="24"/>
          <w:szCs w:val="24"/>
        </w:rPr>
      </w:pPr>
    </w:p>
    <w:p w14:paraId="133D5FC0" w14:textId="433B5F2C" w:rsidR="004F26E9" w:rsidRDefault="00A10874">
      <w:pPr>
        <w:rPr>
          <w:sz w:val="24"/>
          <w:szCs w:val="24"/>
        </w:rPr>
      </w:pPr>
      <w:r w:rsidRPr="00A10874">
        <w:rPr>
          <w:sz w:val="24"/>
          <w:szCs w:val="24"/>
        </w:rPr>
        <w:t xml:space="preserve">The </w:t>
      </w:r>
      <w:r w:rsidR="008902E6" w:rsidRPr="008902E6">
        <w:rPr>
          <w:sz w:val="24"/>
          <w:szCs w:val="24"/>
        </w:rPr>
        <w:t xml:space="preserve">City Manager of Adak or the City Administrator of Atka </w:t>
      </w:r>
      <w:r w:rsidR="008902E6">
        <w:rPr>
          <w:sz w:val="24"/>
          <w:szCs w:val="24"/>
        </w:rPr>
        <w:t>must</w:t>
      </w:r>
      <w:r w:rsidR="008902E6" w:rsidRPr="00FD2FBB">
        <w:rPr>
          <w:sz w:val="24"/>
          <w:szCs w:val="24"/>
        </w:rPr>
        <w:t xml:space="preserve"> </w:t>
      </w:r>
      <w:r w:rsidR="002E74D9" w:rsidRPr="00FD2FBB">
        <w:rPr>
          <w:sz w:val="24"/>
          <w:szCs w:val="24"/>
        </w:rPr>
        <w:t xml:space="preserve">also </w:t>
      </w:r>
      <w:r w:rsidR="008902E6">
        <w:rPr>
          <w:sz w:val="24"/>
          <w:szCs w:val="24"/>
        </w:rPr>
        <w:t xml:space="preserve">email </w:t>
      </w:r>
      <w:r w:rsidR="00DB06E7">
        <w:rPr>
          <w:sz w:val="24"/>
          <w:szCs w:val="24"/>
        </w:rPr>
        <w:t xml:space="preserve">a copy of </w:t>
      </w:r>
      <w:r w:rsidR="008902E6">
        <w:rPr>
          <w:sz w:val="24"/>
          <w:szCs w:val="24"/>
        </w:rPr>
        <w:t xml:space="preserve">the notification of intent and the certified mail receipt with postmark </w:t>
      </w:r>
      <w:r w:rsidR="002E74D9" w:rsidRPr="00FD2FBB">
        <w:rPr>
          <w:sz w:val="24"/>
          <w:szCs w:val="24"/>
        </w:rPr>
        <w:t xml:space="preserve">to </w:t>
      </w:r>
      <w:hyperlink r:id="rId10" w:history="1">
        <w:r w:rsidR="002E74D9" w:rsidRPr="00EC3438">
          <w:rPr>
            <w:rStyle w:val="Hyperlink"/>
            <w:sz w:val="24"/>
            <w:szCs w:val="24"/>
          </w:rPr>
          <w:t>nmfs.akr.inseason@noaa.gov</w:t>
        </w:r>
      </w:hyperlink>
      <w:r w:rsidR="002E74D9">
        <w:rPr>
          <w:sz w:val="24"/>
          <w:szCs w:val="24"/>
        </w:rPr>
        <w:t xml:space="preserve"> </w:t>
      </w:r>
      <w:r w:rsidR="00DB06E7">
        <w:rPr>
          <w:sz w:val="24"/>
          <w:szCs w:val="24"/>
        </w:rPr>
        <w:t>no later than October</w:t>
      </w:r>
      <w:r w:rsidR="002E74D9" w:rsidRPr="00FD2FBB">
        <w:rPr>
          <w:sz w:val="24"/>
          <w:szCs w:val="24"/>
        </w:rPr>
        <w:t xml:space="preserve"> </w:t>
      </w:r>
      <w:r w:rsidR="00DB06E7">
        <w:rPr>
          <w:sz w:val="24"/>
          <w:szCs w:val="24"/>
        </w:rPr>
        <w:t>3</w:t>
      </w:r>
      <w:r w:rsidR="002E74D9" w:rsidRPr="00FD2FBB">
        <w:rPr>
          <w:sz w:val="24"/>
          <w:szCs w:val="24"/>
        </w:rPr>
        <w:t>1</w:t>
      </w:r>
      <w:r w:rsidR="00DB06E7">
        <w:rPr>
          <w:sz w:val="24"/>
          <w:szCs w:val="24"/>
        </w:rPr>
        <w:t xml:space="preserve"> each year</w:t>
      </w:r>
      <w:r w:rsidR="002E74D9" w:rsidRPr="00FD2FBB">
        <w:rPr>
          <w:sz w:val="24"/>
          <w:szCs w:val="24"/>
        </w:rPr>
        <w:t xml:space="preserve">. Email notification is in addition to </w:t>
      </w:r>
      <w:r w:rsidR="00DB06E7">
        <w:rPr>
          <w:sz w:val="24"/>
          <w:szCs w:val="24"/>
        </w:rPr>
        <w:t>submission</w:t>
      </w:r>
      <w:r w:rsidR="002E74D9" w:rsidRPr="00FD2FBB">
        <w:rPr>
          <w:sz w:val="24"/>
          <w:szCs w:val="24"/>
        </w:rPr>
        <w:t xml:space="preserve"> via the U.S. Postal Service</w:t>
      </w:r>
      <w:r w:rsidR="00DB06E7">
        <w:rPr>
          <w:sz w:val="24"/>
          <w:szCs w:val="24"/>
        </w:rPr>
        <w:t xml:space="preserve"> and </w:t>
      </w:r>
      <w:r w:rsidR="002E74D9" w:rsidRPr="00FD2FBB">
        <w:rPr>
          <w:sz w:val="24"/>
          <w:szCs w:val="24"/>
        </w:rPr>
        <w:t xml:space="preserve">does not replace the </w:t>
      </w:r>
      <w:r w:rsidR="00BE2C63">
        <w:rPr>
          <w:sz w:val="24"/>
          <w:szCs w:val="24"/>
        </w:rPr>
        <w:t xml:space="preserve">certified mail </w:t>
      </w:r>
      <w:r w:rsidR="00DB06E7">
        <w:rPr>
          <w:sz w:val="24"/>
          <w:szCs w:val="24"/>
        </w:rPr>
        <w:t>requirement</w:t>
      </w:r>
      <w:r w:rsidR="002E74D9" w:rsidRPr="00FD2FBB">
        <w:rPr>
          <w:sz w:val="24"/>
          <w:szCs w:val="24"/>
        </w:rPr>
        <w:t>.</w:t>
      </w:r>
      <w:r w:rsidR="006B532B">
        <w:rPr>
          <w:sz w:val="24"/>
          <w:szCs w:val="24"/>
        </w:rPr>
        <w:t xml:space="preserve"> Email submission provides NMFS with the timely information it needs to manage the upcoming fisheries.</w:t>
      </w:r>
    </w:p>
    <w:p w14:paraId="7275DA83" w14:textId="77777777" w:rsidR="008902E6" w:rsidRDefault="008902E6">
      <w:pPr>
        <w:rPr>
          <w:sz w:val="24"/>
          <w:szCs w:val="24"/>
        </w:rPr>
      </w:pPr>
    </w:p>
    <w:p w14:paraId="116E4558" w14:textId="72895F1F" w:rsidR="005B32B5" w:rsidRDefault="005F420A">
      <w:pPr>
        <w:rPr>
          <w:sz w:val="24"/>
          <w:szCs w:val="24"/>
        </w:rPr>
      </w:pPr>
      <w:r>
        <w:rPr>
          <w:sz w:val="24"/>
          <w:szCs w:val="24"/>
        </w:rPr>
        <w:lastRenderedPageBreak/>
        <w:t>On or shortly after November 1, t</w:t>
      </w:r>
      <w:r w:rsidR="008902E6">
        <w:rPr>
          <w:sz w:val="24"/>
          <w:szCs w:val="24"/>
        </w:rPr>
        <w:t>he Regional Administrator send</w:t>
      </w:r>
      <w:r w:rsidR="008407ED">
        <w:rPr>
          <w:sz w:val="24"/>
          <w:szCs w:val="24"/>
        </w:rPr>
        <w:t>s</w:t>
      </w:r>
      <w:r w:rsidR="008902E6">
        <w:rPr>
          <w:sz w:val="24"/>
          <w:szCs w:val="24"/>
        </w:rPr>
        <w:t xml:space="preserve"> a signed and dated letter </w:t>
      </w:r>
      <w:r>
        <w:rPr>
          <w:sz w:val="24"/>
          <w:szCs w:val="24"/>
        </w:rPr>
        <w:t xml:space="preserve">either </w:t>
      </w:r>
      <w:r w:rsidR="008902E6">
        <w:rPr>
          <w:sz w:val="24"/>
          <w:szCs w:val="24"/>
        </w:rPr>
        <w:t>confirming</w:t>
      </w:r>
      <w:r>
        <w:rPr>
          <w:sz w:val="24"/>
          <w:szCs w:val="24"/>
        </w:rPr>
        <w:t xml:space="preserve"> NMFS’</w:t>
      </w:r>
      <w:r w:rsidR="008902E6">
        <w:rPr>
          <w:sz w:val="24"/>
          <w:szCs w:val="24"/>
        </w:rPr>
        <w:t xml:space="preserve"> receipt of the city’s </w:t>
      </w:r>
      <w:r w:rsidR="008407ED">
        <w:rPr>
          <w:sz w:val="24"/>
          <w:szCs w:val="24"/>
        </w:rPr>
        <w:t>notification of int</w:t>
      </w:r>
      <w:r w:rsidR="008902E6">
        <w:rPr>
          <w:sz w:val="24"/>
          <w:szCs w:val="24"/>
        </w:rPr>
        <w:t xml:space="preserve">ent to process </w:t>
      </w:r>
      <w:r w:rsidR="00074018">
        <w:rPr>
          <w:sz w:val="24"/>
          <w:szCs w:val="24"/>
        </w:rPr>
        <w:t>Aleutian Islands</w:t>
      </w:r>
      <w:r w:rsidR="008902E6">
        <w:rPr>
          <w:sz w:val="24"/>
          <w:szCs w:val="24"/>
        </w:rPr>
        <w:t xml:space="preserve"> Pacific cod</w:t>
      </w:r>
      <w:r w:rsidR="008407ED">
        <w:rPr>
          <w:sz w:val="24"/>
          <w:szCs w:val="24"/>
        </w:rPr>
        <w:t>, or informing</w:t>
      </w:r>
      <w:r>
        <w:rPr>
          <w:sz w:val="24"/>
          <w:szCs w:val="24"/>
        </w:rPr>
        <w:t xml:space="preserve"> the city that NMFS did not receive notification by the deadline.</w:t>
      </w:r>
    </w:p>
    <w:p w14:paraId="306DD510" w14:textId="5EC98E84" w:rsidR="005F420A" w:rsidRDefault="005F420A">
      <w:pPr>
        <w:rPr>
          <w:sz w:val="24"/>
          <w:szCs w:val="24"/>
        </w:rPr>
      </w:pPr>
    </w:p>
    <w:p w14:paraId="756D43C7" w14:textId="79EF9BDA" w:rsidR="00844CDA" w:rsidRDefault="00844CDA">
      <w:pPr>
        <w:rPr>
          <w:sz w:val="24"/>
          <w:szCs w:val="24"/>
        </w:rPr>
      </w:pPr>
      <w:r w:rsidRPr="00844CDA">
        <w:rPr>
          <w:sz w:val="24"/>
          <w:szCs w:val="24"/>
        </w:rPr>
        <w:t xml:space="preserve">No notification is required if the city will not be processing Aleutian Islands Pacific cod in the upcoming year. However, the city can voluntarily provide notice to NMFS prior to the </w:t>
      </w:r>
      <w:r w:rsidR="00BE044D">
        <w:rPr>
          <w:sz w:val="24"/>
          <w:szCs w:val="24"/>
        </w:rPr>
        <w:t>deadline</w:t>
      </w:r>
      <w:r w:rsidRPr="00844CDA">
        <w:rPr>
          <w:sz w:val="24"/>
          <w:szCs w:val="24"/>
        </w:rPr>
        <w:t xml:space="preserve"> if </w:t>
      </w:r>
      <w:r w:rsidR="00BE044D">
        <w:rPr>
          <w:sz w:val="24"/>
          <w:szCs w:val="24"/>
        </w:rPr>
        <w:t>it</w:t>
      </w:r>
      <w:r w:rsidR="00BE044D" w:rsidRPr="00844CDA">
        <w:rPr>
          <w:sz w:val="24"/>
          <w:szCs w:val="24"/>
        </w:rPr>
        <w:t xml:space="preserve"> </w:t>
      </w:r>
      <w:r w:rsidRPr="00844CDA">
        <w:rPr>
          <w:sz w:val="24"/>
          <w:szCs w:val="24"/>
        </w:rPr>
        <w:t>do</w:t>
      </w:r>
      <w:r w:rsidR="00BE044D">
        <w:rPr>
          <w:sz w:val="24"/>
          <w:szCs w:val="24"/>
        </w:rPr>
        <w:t>es</w:t>
      </w:r>
      <w:r w:rsidRPr="00844CDA">
        <w:rPr>
          <w:sz w:val="24"/>
          <w:szCs w:val="24"/>
        </w:rPr>
        <w:t xml:space="preserve"> not intend to process Pacific cod.</w:t>
      </w:r>
    </w:p>
    <w:p w14:paraId="0ADCA353" w14:textId="77777777" w:rsidR="00844CDA" w:rsidRDefault="00844CDA">
      <w:pPr>
        <w:rPr>
          <w:sz w:val="24"/>
          <w:szCs w:val="24"/>
        </w:rPr>
      </w:pPr>
    </w:p>
    <w:p w14:paraId="2C1924C8" w14:textId="7E75ACE5" w:rsidR="00182E79" w:rsidRPr="00182E79" w:rsidRDefault="00182E79" w:rsidP="00182E79">
      <w:pPr>
        <w:widowControl/>
        <w:tabs>
          <w:tab w:val="left" w:pos="360"/>
          <w:tab w:val="left" w:pos="720"/>
          <w:tab w:val="left" w:pos="1080"/>
          <w:tab w:val="left" w:pos="1440"/>
        </w:tabs>
        <w:autoSpaceDE/>
        <w:autoSpaceDN/>
        <w:adjustRightInd/>
        <w:rPr>
          <w:rFonts w:eastAsia="Calibri"/>
          <w:sz w:val="24"/>
          <w:szCs w:val="24"/>
        </w:rPr>
      </w:pPr>
      <w:r w:rsidRPr="00182E79">
        <w:rPr>
          <w:rFonts w:eastAsia="Calibri"/>
          <w:sz w:val="24"/>
          <w:szCs w:val="24"/>
        </w:rPr>
        <w:t>The notification of intent to process Aleutian Island</w:t>
      </w:r>
      <w:r w:rsidR="00C60932">
        <w:rPr>
          <w:rFonts w:eastAsia="Calibri"/>
          <w:sz w:val="24"/>
          <w:szCs w:val="24"/>
        </w:rPr>
        <w:t>s</w:t>
      </w:r>
      <w:r w:rsidRPr="00182E79">
        <w:rPr>
          <w:rFonts w:eastAsia="Calibri"/>
          <w:sz w:val="24"/>
          <w:szCs w:val="24"/>
        </w:rPr>
        <w:t xml:space="preserve"> Pacific cod</w:t>
      </w:r>
      <w:r w:rsidR="00215FB6">
        <w:rPr>
          <w:rFonts w:eastAsia="Calibri"/>
          <w:sz w:val="24"/>
          <w:szCs w:val="24"/>
        </w:rPr>
        <w:t xml:space="preserve"> contains the following information:</w:t>
      </w:r>
      <w:r w:rsidRPr="00182E79">
        <w:rPr>
          <w:rFonts w:eastAsia="Calibri"/>
          <w:sz w:val="24"/>
          <w:szCs w:val="24"/>
        </w:rPr>
        <w:t xml:space="preserve"> </w:t>
      </w:r>
    </w:p>
    <w:p w14:paraId="5BA4E30C" w14:textId="3D1AF71D" w:rsidR="00182E79" w:rsidRPr="00182E79" w:rsidRDefault="00182E79" w:rsidP="00182E79">
      <w:pPr>
        <w:pStyle w:val="ListParagraph"/>
        <w:widowControl/>
        <w:numPr>
          <w:ilvl w:val="0"/>
          <w:numId w:val="2"/>
        </w:numPr>
        <w:tabs>
          <w:tab w:val="left" w:pos="360"/>
          <w:tab w:val="left" w:pos="720"/>
          <w:tab w:val="left" w:pos="1080"/>
          <w:tab w:val="left" w:pos="1440"/>
        </w:tabs>
        <w:autoSpaceDE/>
        <w:autoSpaceDN/>
        <w:adjustRightInd/>
        <w:rPr>
          <w:rFonts w:eastAsia="Calibri"/>
          <w:sz w:val="24"/>
          <w:szCs w:val="24"/>
        </w:rPr>
      </w:pPr>
      <w:r w:rsidRPr="00182E79">
        <w:rPr>
          <w:rFonts w:eastAsia="Calibri"/>
          <w:sz w:val="24"/>
          <w:szCs w:val="24"/>
        </w:rPr>
        <w:t>Date</w:t>
      </w:r>
    </w:p>
    <w:p w14:paraId="5FA72DC2" w14:textId="4F6BB6D6" w:rsidR="00182E79" w:rsidRPr="00182E79" w:rsidRDefault="00182E79" w:rsidP="00182E79">
      <w:pPr>
        <w:pStyle w:val="ListParagraph"/>
        <w:widowControl/>
        <w:numPr>
          <w:ilvl w:val="0"/>
          <w:numId w:val="2"/>
        </w:numPr>
        <w:tabs>
          <w:tab w:val="left" w:pos="360"/>
          <w:tab w:val="left" w:pos="720"/>
          <w:tab w:val="left" w:pos="1080"/>
          <w:tab w:val="left" w:pos="1440"/>
        </w:tabs>
        <w:autoSpaceDE/>
        <w:autoSpaceDN/>
        <w:adjustRightInd/>
        <w:rPr>
          <w:rFonts w:eastAsia="Calibri"/>
          <w:sz w:val="24"/>
          <w:szCs w:val="24"/>
        </w:rPr>
      </w:pPr>
      <w:r w:rsidRPr="00182E79">
        <w:rPr>
          <w:rFonts w:eastAsia="Calibri"/>
          <w:sz w:val="24"/>
          <w:szCs w:val="24"/>
        </w:rPr>
        <w:t>Name of city</w:t>
      </w:r>
    </w:p>
    <w:p w14:paraId="2B93429F" w14:textId="2B6E99DE" w:rsidR="00182E79" w:rsidRPr="00182E79" w:rsidRDefault="00182E79" w:rsidP="00182E79">
      <w:pPr>
        <w:pStyle w:val="ListParagraph"/>
        <w:widowControl/>
        <w:numPr>
          <w:ilvl w:val="0"/>
          <w:numId w:val="2"/>
        </w:numPr>
        <w:tabs>
          <w:tab w:val="left" w:pos="360"/>
          <w:tab w:val="left" w:pos="720"/>
          <w:tab w:val="left" w:pos="1080"/>
          <w:tab w:val="left" w:pos="1440"/>
        </w:tabs>
        <w:autoSpaceDE/>
        <w:autoSpaceDN/>
        <w:adjustRightInd/>
        <w:rPr>
          <w:rFonts w:eastAsia="Calibri"/>
          <w:sz w:val="24"/>
          <w:szCs w:val="24"/>
        </w:rPr>
      </w:pPr>
      <w:r w:rsidRPr="00182E79">
        <w:rPr>
          <w:rFonts w:eastAsia="Calibri"/>
          <w:sz w:val="24"/>
          <w:szCs w:val="24"/>
        </w:rPr>
        <w:t>Statement of intent to process Aleutian Island</w:t>
      </w:r>
      <w:r w:rsidR="00C60932">
        <w:rPr>
          <w:rFonts w:eastAsia="Calibri"/>
          <w:sz w:val="24"/>
          <w:szCs w:val="24"/>
        </w:rPr>
        <w:t>s</w:t>
      </w:r>
      <w:r w:rsidRPr="00182E79">
        <w:rPr>
          <w:rFonts w:eastAsia="Calibri"/>
          <w:sz w:val="24"/>
          <w:szCs w:val="24"/>
        </w:rPr>
        <w:t xml:space="preserve"> Pacific cod</w:t>
      </w:r>
    </w:p>
    <w:p w14:paraId="4B6F8AC1" w14:textId="777A5D75" w:rsidR="00182E79" w:rsidRPr="00182E79" w:rsidRDefault="00215FB6" w:rsidP="00182E79">
      <w:pPr>
        <w:pStyle w:val="ListParagraph"/>
        <w:widowControl/>
        <w:numPr>
          <w:ilvl w:val="0"/>
          <w:numId w:val="2"/>
        </w:numPr>
        <w:tabs>
          <w:tab w:val="left" w:pos="360"/>
          <w:tab w:val="left" w:pos="720"/>
          <w:tab w:val="left" w:pos="1080"/>
          <w:tab w:val="left" w:pos="1440"/>
        </w:tabs>
        <w:autoSpaceDE/>
        <w:autoSpaceDN/>
        <w:adjustRightInd/>
        <w:rPr>
          <w:rFonts w:eastAsia="Calibri"/>
          <w:sz w:val="24"/>
          <w:szCs w:val="24"/>
        </w:rPr>
      </w:pPr>
      <w:r>
        <w:rPr>
          <w:rFonts w:eastAsia="Calibri"/>
          <w:sz w:val="24"/>
          <w:szCs w:val="24"/>
        </w:rPr>
        <w:t>Fishing</w:t>
      </w:r>
      <w:r w:rsidR="00182E79" w:rsidRPr="00182E79">
        <w:rPr>
          <w:rFonts w:eastAsia="Calibri"/>
          <w:sz w:val="24"/>
          <w:szCs w:val="24"/>
        </w:rPr>
        <w:t xml:space="preserve"> year during which the city intends to process Aleutian Island Pacific cod</w:t>
      </w:r>
    </w:p>
    <w:p w14:paraId="112AE269" w14:textId="0839060E" w:rsidR="00182E79" w:rsidRDefault="00182E79" w:rsidP="00182E79">
      <w:pPr>
        <w:pStyle w:val="ListParagraph"/>
        <w:widowControl/>
        <w:numPr>
          <w:ilvl w:val="0"/>
          <w:numId w:val="2"/>
        </w:numPr>
        <w:tabs>
          <w:tab w:val="left" w:pos="360"/>
          <w:tab w:val="left" w:pos="720"/>
          <w:tab w:val="left" w:pos="1080"/>
          <w:tab w:val="left" w:pos="1440"/>
        </w:tabs>
        <w:autoSpaceDE/>
        <w:autoSpaceDN/>
        <w:adjustRightInd/>
        <w:rPr>
          <w:rFonts w:eastAsia="Calibri"/>
          <w:sz w:val="24"/>
          <w:szCs w:val="24"/>
        </w:rPr>
      </w:pPr>
      <w:r w:rsidRPr="00182E79">
        <w:rPr>
          <w:rFonts w:eastAsia="Calibri"/>
          <w:sz w:val="24"/>
          <w:szCs w:val="24"/>
        </w:rPr>
        <w:t xml:space="preserve">Signature of and contact information for the City Manager </w:t>
      </w:r>
      <w:r w:rsidR="00FD04C4">
        <w:rPr>
          <w:rFonts w:eastAsia="Calibri"/>
          <w:sz w:val="24"/>
          <w:szCs w:val="24"/>
        </w:rPr>
        <w:t>or City Administrator</w:t>
      </w:r>
      <w:r w:rsidR="00215FB6">
        <w:rPr>
          <w:rFonts w:eastAsia="Calibri"/>
          <w:sz w:val="24"/>
          <w:szCs w:val="24"/>
        </w:rPr>
        <w:t xml:space="preserve"> of the city intending to process Aleutian Islands Pacific cod.</w:t>
      </w:r>
    </w:p>
    <w:p w14:paraId="7D306CCE" w14:textId="07F29003" w:rsidR="005B32B5" w:rsidRDefault="005B32B5">
      <w:pPr>
        <w:rPr>
          <w:sz w:val="24"/>
          <w:szCs w:val="24"/>
        </w:rPr>
      </w:pPr>
    </w:p>
    <w:p w14:paraId="7F8B7C7B" w14:textId="2602C1DC" w:rsidR="005B32B5" w:rsidRDefault="005B32B5" w:rsidP="005B32B5">
      <w:pPr>
        <w:rPr>
          <w:sz w:val="24"/>
          <w:szCs w:val="24"/>
        </w:rPr>
      </w:pPr>
      <w:r w:rsidRPr="005B32B5">
        <w:rPr>
          <w:sz w:val="24"/>
          <w:szCs w:val="24"/>
        </w:rPr>
        <w:t xml:space="preserve">It is anticipated that the information collected will be disseminated to the public or used to support publicly disseminated information. </w:t>
      </w:r>
      <w:r w:rsidR="009D0A71">
        <w:rPr>
          <w:sz w:val="24"/>
          <w:szCs w:val="24"/>
        </w:rPr>
        <w:t>The</w:t>
      </w:r>
      <w:r w:rsidR="00182E79">
        <w:rPr>
          <w:sz w:val="24"/>
          <w:szCs w:val="24"/>
        </w:rPr>
        <w:t xml:space="preserve"> </w:t>
      </w:r>
      <w:r w:rsidR="008F3D29">
        <w:rPr>
          <w:sz w:val="24"/>
          <w:szCs w:val="24"/>
        </w:rPr>
        <w:t>NMFS Alaska Region</w:t>
      </w:r>
      <w:r w:rsidRPr="005B32B5">
        <w:rPr>
          <w:sz w:val="24"/>
          <w:szCs w:val="24"/>
        </w:rPr>
        <w:t xml:space="preserve"> will retain control over the information and safeguard it from improper access, modification, and</w:t>
      </w:r>
      <w:r>
        <w:rPr>
          <w:sz w:val="24"/>
          <w:szCs w:val="24"/>
        </w:rPr>
        <w:t xml:space="preserve"> </w:t>
      </w:r>
      <w:r w:rsidRPr="005B32B5">
        <w:rPr>
          <w:sz w:val="24"/>
          <w:szCs w:val="24"/>
        </w:rPr>
        <w:t>destruction, consistent with</w:t>
      </w:r>
      <w:r w:rsidR="004843B3">
        <w:rPr>
          <w:sz w:val="24"/>
          <w:szCs w:val="24"/>
        </w:rPr>
        <w:t xml:space="preserve"> National Oceanic and Atmospheric Administration</w:t>
      </w:r>
      <w:r w:rsidRPr="005B32B5">
        <w:rPr>
          <w:sz w:val="24"/>
          <w:szCs w:val="24"/>
        </w:rPr>
        <w:t xml:space="preserve"> </w:t>
      </w:r>
      <w:r w:rsidR="004843B3">
        <w:rPr>
          <w:sz w:val="24"/>
          <w:szCs w:val="24"/>
        </w:rPr>
        <w:t>(</w:t>
      </w:r>
      <w:r w:rsidRPr="005B32B5">
        <w:rPr>
          <w:sz w:val="24"/>
          <w:szCs w:val="24"/>
        </w:rPr>
        <w:t>NOAA</w:t>
      </w:r>
      <w:r w:rsidR="004843B3">
        <w:rPr>
          <w:sz w:val="24"/>
          <w:szCs w:val="24"/>
        </w:rPr>
        <w:t>)</w:t>
      </w:r>
      <w:r w:rsidRPr="005B32B5">
        <w:rPr>
          <w:sz w:val="24"/>
          <w:szCs w:val="24"/>
        </w:rPr>
        <w:t xml:space="preserve"> standards for confidentiality, privacy, and electronic information. See response to Question 10 of this</w:t>
      </w:r>
      <w:r>
        <w:rPr>
          <w:sz w:val="24"/>
          <w:szCs w:val="24"/>
        </w:rPr>
        <w:t xml:space="preserve"> </w:t>
      </w:r>
      <w:r w:rsidRPr="005B32B5">
        <w:rPr>
          <w:sz w:val="24"/>
          <w:szCs w:val="24"/>
        </w:rPr>
        <w:t>Supporting Statement for more information on confidentiality and privacy. The information collection is designed to yield data that meet all</w:t>
      </w:r>
      <w:r>
        <w:rPr>
          <w:sz w:val="24"/>
          <w:szCs w:val="24"/>
        </w:rPr>
        <w:t xml:space="preserve"> </w:t>
      </w:r>
      <w:r w:rsidRPr="005B32B5">
        <w:rPr>
          <w:sz w:val="24"/>
          <w:szCs w:val="24"/>
        </w:rPr>
        <w:t>applicable information quality guidelines. Prior to dissemination, the information will be subjected to quality control measures and a predissemination</w:t>
      </w:r>
      <w:r>
        <w:rPr>
          <w:sz w:val="24"/>
          <w:szCs w:val="24"/>
        </w:rPr>
        <w:t xml:space="preserve"> </w:t>
      </w:r>
      <w:r w:rsidRPr="005B32B5">
        <w:rPr>
          <w:sz w:val="24"/>
          <w:szCs w:val="24"/>
        </w:rPr>
        <w:t xml:space="preserve">review pursuant to </w:t>
      </w:r>
      <w:r w:rsidRPr="00045C30">
        <w:rPr>
          <w:sz w:val="24"/>
          <w:szCs w:val="24"/>
        </w:rPr>
        <w:t>Section 515 of Public Law 106-554</w:t>
      </w:r>
      <w:r w:rsidRPr="005B32B5">
        <w:rPr>
          <w:sz w:val="24"/>
          <w:szCs w:val="24"/>
        </w:rPr>
        <w:t>.</w:t>
      </w:r>
    </w:p>
    <w:p w14:paraId="348F0B83" w14:textId="77777777" w:rsidR="004F26E9" w:rsidRDefault="004F26E9">
      <w:pPr>
        <w:rPr>
          <w:sz w:val="24"/>
          <w:szCs w:val="24"/>
        </w:rPr>
      </w:pPr>
    </w:p>
    <w:p w14:paraId="6EB9745B" w14:textId="769A6278" w:rsidR="004F26E9" w:rsidRDefault="004F26E9">
      <w:pPr>
        <w:rPr>
          <w:sz w:val="24"/>
          <w:szCs w:val="24"/>
        </w:rPr>
      </w:pPr>
      <w:r>
        <w:rPr>
          <w:b/>
          <w:bCs/>
          <w:sz w:val="24"/>
          <w:szCs w:val="24"/>
        </w:rPr>
        <w:t>3.</w:t>
      </w:r>
      <w:r w:rsidR="00F041B6">
        <w:rPr>
          <w:b/>
          <w:bCs/>
          <w:sz w:val="24"/>
          <w:szCs w:val="24"/>
        </w:rPr>
        <w:t xml:space="preserve"> </w:t>
      </w:r>
      <w:r w:rsidRPr="000A0540">
        <w:rPr>
          <w:b/>
          <w:bCs/>
          <w:sz w:val="24"/>
          <w:szCs w:val="24"/>
        </w:rPr>
        <w:t>Describe whether, and to what extent, the collection of information involves the use of automated, electronic, mechanical, or other technological techniques or other forms of information technology</w:t>
      </w:r>
      <w:r>
        <w:rPr>
          <w:b/>
          <w:bCs/>
          <w:sz w:val="24"/>
          <w:szCs w:val="24"/>
        </w:rPr>
        <w:t>.</w:t>
      </w:r>
    </w:p>
    <w:p w14:paraId="5BB1CA1B" w14:textId="77777777" w:rsidR="004F26E9" w:rsidRDefault="004F26E9">
      <w:pPr>
        <w:rPr>
          <w:sz w:val="24"/>
          <w:szCs w:val="24"/>
        </w:rPr>
      </w:pPr>
    </w:p>
    <w:p w14:paraId="3BC01B81" w14:textId="3AB3B971" w:rsidR="0025116E" w:rsidRDefault="00305B97" w:rsidP="0025116E">
      <w:pPr>
        <w:rPr>
          <w:sz w:val="24"/>
          <w:szCs w:val="24"/>
        </w:rPr>
      </w:pPr>
      <w:r>
        <w:rPr>
          <w:sz w:val="24"/>
          <w:szCs w:val="24"/>
        </w:rPr>
        <w:t>A</w:t>
      </w:r>
      <w:r w:rsidR="00B7496F">
        <w:rPr>
          <w:sz w:val="24"/>
          <w:szCs w:val="24"/>
        </w:rPr>
        <w:t xml:space="preserve"> copy of </w:t>
      </w:r>
      <w:r w:rsidR="00CD2881">
        <w:rPr>
          <w:sz w:val="24"/>
          <w:szCs w:val="24"/>
        </w:rPr>
        <w:t>the</w:t>
      </w:r>
      <w:r w:rsidR="00290657" w:rsidRPr="00290657">
        <w:rPr>
          <w:sz w:val="24"/>
          <w:szCs w:val="24"/>
        </w:rPr>
        <w:t xml:space="preserve"> notification of intent </w:t>
      </w:r>
      <w:r w:rsidR="00B7496F">
        <w:rPr>
          <w:sz w:val="24"/>
          <w:szCs w:val="24"/>
        </w:rPr>
        <w:t xml:space="preserve">to process </w:t>
      </w:r>
      <w:r w:rsidR="00074018">
        <w:rPr>
          <w:sz w:val="24"/>
          <w:szCs w:val="24"/>
        </w:rPr>
        <w:t>Aleutian Islands</w:t>
      </w:r>
      <w:r w:rsidR="00B7496F">
        <w:rPr>
          <w:sz w:val="24"/>
          <w:szCs w:val="24"/>
        </w:rPr>
        <w:t xml:space="preserve"> Pacific cod and </w:t>
      </w:r>
      <w:r w:rsidR="00B7496F" w:rsidRPr="00B7496F">
        <w:rPr>
          <w:sz w:val="24"/>
          <w:szCs w:val="24"/>
        </w:rPr>
        <w:t>the certified mail receipt with postmark</w:t>
      </w:r>
      <w:r>
        <w:rPr>
          <w:sz w:val="24"/>
          <w:szCs w:val="24"/>
        </w:rPr>
        <w:t xml:space="preserve"> is emailed</w:t>
      </w:r>
      <w:r w:rsidR="00B7496F" w:rsidRPr="00B7496F">
        <w:rPr>
          <w:sz w:val="24"/>
          <w:szCs w:val="24"/>
        </w:rPr>
        <w:t xml:space="preserve"> to </w:t>
      </w:r>
      <w:hyperlink r:id="rId11" w:history="1">
        <w:r w:rsidR="00B7496F" w:rsidRPr="00B7496F">
          <w:rPr>
            <w:rStyle w:val="Hyperlink"/>
            <w:sz w:val="24"/>
            <w:szCs w:val="24"/>
          </w:rPr>
          <w:t>nmfs.akr.inseason@noaa.gov</w:t>
        </w:r>
      </w:hyperlink>
      <w:r w:rsidR="00B7496F" w:rsidRPr="00B7496F">
        <w:rPr>
          <w:sz w:val="24"/>
          <w:szCs w:val="24"/>
        </w:rPr>
        <w:t xml:space="preserve"> </w:t>
      </w:r>
      <w:r w:rsidR="00B7496F">
        <w:rPr>
          <w:sz w:val="24"/>
          <w:szCs w:val="24"/>
        </w:rPr>
        <w:t>no later than October 3</w:t>
      </w:r>
      <w:r w:rsidR="003F2B82">
        <w:rPr>
          <w:sz w:val="24"/>
          <w:szCs w:val="24"/>
        </w:rPr>
        <w:t>1.</w:t>
      </w:r>
    </w:p>
    <w:p w14:paraId="1DDCE319" w14:textId="77777777" w:rsidR="00290657" w:rsidRDefault="00290657">
      <w:pPr>
        <w:rPr>
          <w:b/>
          <w:bCs/>
          <w:sz w:val="24"/>
          <w:szCs w:val="24"/>
        </w:rPr>
      </w:pPr>
    </w:p>
    <w:p w14:paraId="54B039B2" w14:textId="6ACAF3E4" w:rsidR="004F26E9" w:rsidRDefault="004F26E9">
      <w:pPr>
        <w:rPr>
          <w:sz w:val="24"/>
          <w:szCs w:val="24"/>
        </w:rPr>
      </w:pPr>
      <w:r>
        <w:rPr>
          <w:b/>
          <w:bCs/>
          <w:sz w:val="24"/>
          <w:szCs w:val="24"/>
        </w:rPr>
        <w:t>4.</w:t>
      </w:r>
      <w:r w:rsidR="00F041B6">
        <w:rPr>
          <w:b/>
          <w:bCs/>
          <w:sz w:val="24"/>
          <w:szCs w:val="24"/>
        </w:rPr>
        <w:t xml:space="preserve"> </w:t>
      </w:r>
      <w:r w:rsidRPr="000A0540">
        <w:rPr>
          <w:b/>
          <w:bCs/>
          <w:sz w:val="24"/>
          <w:szCs w:val="24"/>
        </w:rPr>
        <w:t>Describe efforts to identify duplication</w:t>
      </w:r>
      <w:r>
        <w:rPr>
          <w:b/>
          <w:bCs/>
          <w:sz w:val="24"/>
          <w:szCs w:val="24"/>
        </w:rPr>
        <w:t>.</w:t>
      </w:r>
    </w:p>
    <w:p w14:paraId="07A247B8" w14:textId="77777777" w:rsidR="004F26E9" w:rsidRDefault="004F26E9">
      <w:pPr>
        <w:rPr>
          <w:sz w:val="24"/>
          <w:szCs w:val="24"/>
        </w:rPr>
      </w:pPr>
    </w:p>
    <w:p w14:paraId="3B37EE56" w14:textId="497C3451" w:rsidR="004F26E9" w:rsidRDefault="002412F5">
      <w:pPr>
        <w:rPr>
          <w:sz w:val="24"/>
          <w:szCs w:val="24"/>
        </w:rPr>
      </w:pPr>
      <w:r>
        <w:rPr>
          <w:sz w:val="24"/>
          <w:szCs w:val="24"/>
        </w:rPr>
        <w:t>None of the information collected as part of this information collection duplicates other collections. This information collection is part of a specialized and technical program that is not like any other.</w:t>
      </w:r>
    </w:p>
    <w:p w14:paraId="6BBF3E2B" w14:textId="77777777" w:rsidR="004F26E9" w:rsidRDefault="004F26E9">
      <w:pPr>
        <w:rPr>
          <w:sz w:val="24"/>
          <w:szCs w:val="24"/>
        </w:rPr>
      </w:pPr>
    </w:p>
    <w:p w14:paraId="22C0EB2A" w14:textId="612F5F93" w:rsidR="004F26E9" w:rsidRDefault="004F26E9">
      <w:pPr>
        <w:rPr>
          <w:sz w:val="24"/>
          <w:szCs w:val="24"/>
        </w:rPr>
      </w:pPr>
      <w:r>
        <w:rPr>
          <w:b/>
          <w:bCs/>
          <w:sz w:val="24"/>
          <w:szCs w:val="24"/>
        </w:rPr>
        <w:t>5.</w:t>
      </w:r>
      <w:r w:rsidR="00F041B6">
        <w:rPr>
          <w:b/>
          <w:bCs/>
          <w:sz w:val="24"/>
          <w:szCs w:val="24"/>
        </w:rPr>
        <w:t xml:space="preserve"> </w:t>
      </w:r>
      <w:r w:rsidRPr="000A0540">
        <w:rPr>
          <w:b/>
          <w:bCs/>
          <w:sz w:val="24"/>
          <w:szCs w:val="24"/>
        </w:rPr>
        <w:t>If the collection of information involves small businesses or other small entities, describe the methods used to minimize burden</w:t>
      </w:r>
      <w:r>
        <w:rPr>
          <w:b/>
          <w:bCs/>
          <w:sz w:val="24"/>
          <w:szCs w:val="24"/>
        </w:rPr>
        <w:t>.</w:t>
      </w:r>
      <w:r>
        <w:rPr>
          <w:sz w:val="24"/>
          <w:szCs w:val="24"/>
        </w:rPr>
        <w:t xml:space="preserve"> </w:t>
      </w:r>
    </w:p>
    <w:p w14:paraId="4F44C0C3" w14:textId="77777777" w:rsidR="004F26E9" w:rsidRDefault="004F26E9">
      <w:pPr>
        <w:rPr>
          <w:sz w:val="24"/>
          <w:szCs w:val="24"/>
        </w:rPr>
      </w:pPr>
    </w:p>
    <w:p w14:paraId="3BDAA1BC" w14:textId="7A171A9B" w:rsidR="00AA28B2" w:rsidRDefault="00ED4448">
      <w:pPr>
        <w:rPr>
          <w:sz w:val="24"/>
          <w:szCs w:val="24"/>
        </w:rPr>
      </w:pPr>
      <w:r>
        <w:rPr>
          <w:sz w:val="24"/>
          <w:szCs w:val="24"/>
        </w:rPr>
        <w:t>This information collection does not impose a sign</w:t>
      </w:r>
      <w:r w:rsidR="000F61A5">
        <w:rPr>
          <w:sz w:val="24"/>
          <w:szCs w:val="24"/>
        </w:rPr>
        <w:t xml:space="preserve">ificant impact on small </w:t>
      </w:r>
      <w:r w:rsidR="00045C30">
        <w:rPr>
          <w:sz w:val="24"/>
          <w:szCs w:val="24"/>
        </w:rPr>
        <w:t>entities</w:t>
      </w:r>
      <w:r w:rsidR="000F61A5">
        <w:rPr>
          <w:sz w:val="24"/>
          <w:szCs w:val="24"/>
        </w:rPr>
        <w:t xml:space="preserve">. </w:t>
      </w:r>
      <w:r w:rsidR="002E488E">
        <w:rPr>
          <w:sz w:val="24"/>
          <w:szCs w:val="24"/>
        </w:rPr>
        <w:t>The cities of Adak and Atka are small gove</w:t>
      </w:r>
      <w:r w:rsidR="002253A6">
        <w:rPr>
          <w:sz w:val="24"/>
          <w:szCs w:val="24"/>
        </w:rPr>
        <w:t xml:space="preserve">rnmental jurisdictions as defined under the Regulatory Flexibility Act. </w:t>
      </w:r>
      <w:r w:rsidR="001E5C55" w:rsidRPr="001E5C55">
        <w:rPr>
          <w:sz w:val="24"/>
          <w:szCs w:val="24"/>
        </w:rPr>
        <w:t xml:space="preserve">NMFS attempts to minimize the burden of this collection </w:t>
      </w:r>
      <w:r w:rsidR="002E488E">
        <w:rPr>
          <w:sz w:val="24"/>
          <w:szCs w:val="24"/>
        </w:rPr>
        <w:t>on the</w:t>
      </w:r>
      <w:r w:rsidR="00BE2C63">
        <w:rPr>
          <w:sz w:val="24"/>
          <w:szCs w:val="24"/>
        </w:rPr>
        <w:t>se</w:t>
      </w:r>
      <w:r w:rsidR="002E488E">
        <w:rPr>
          <w:sz w:val="24"/>
          <w:szCs w:val="24"/>
        </w:rPr>
        <w:t xml:space="preserve"> cities </w:t>
      </w:r>
      <w:r w:rsidR="001E5C55" w:rsidRPr="001E5C55">
        <w:rPr>
          <w:sz w:val="24"/>
          <w:szCs w:val="24"/>
        </w:rPr>
        <w:t xml:space="preserve">by collecting only </w:t>
      </w:r>
      <w:r w:rsidR="001E5C55">
        <w:rPr>
          <w:sz w:val="24"/>
          <w:szCs w:val="24"/>
        </w:rPr>
        <w:t xml:space="preserve">the </w:t>
      </w:r>
      <w:r w:rsidR="001E5C55" w:rsidRPr="001E5C55">
        <w:rPr>
          <w:sz w:val="24"/>
          <w:szCs w:val="24"/>
        </w:rPr>
        <w:t xml:space="preserve">information necessary to </w:t>
      </w:r>
      <w:r w:rsidR="001E5C55">
        <w:rPr>
          <w:sz w:val="24"/>
          <w:szCs w:val="24"/>
        </w:rPr>
        <w:t xml:space="preserve">inform NMFS of </w:t>
      </w:r>
      <w:r w:rsidR="005D1CFB">
        <w:rPr>
          <w:sz w:val="24"/>
          <w:szCs w:val="24"/>
        </w:rPr>
        <w:t>their</w:t>
      </w:r>
      <w:r w:rsidR="001E5C55">
        <w:rPr>
          <w:sz w:val="24"/>
          <w:szCs w:val="24"/>
        </w:rPr>
        <w:t xml:space="preserve"> intent to process </w:t>
      </w:r>
      <w:r w:rsidR="00074018">
        <w:rPr>
          <w:sz w:val="24"/>
          <w:szCs w:val="24"/>
        </w:rPr>
        <w:t>Aleutian Islands</w:t>
      </w:r>
      <w:r w:rsidR="001E5C55">
        <w:rPr>
          <w:sz w:val="24"/>
          <w:szCs w:val="24"/>
        </w:rPr>
        <w:t xml:space="preserve"> Pacific cod in the upcoming fishing year. This collection is required </w:t>
      </w:r>
      <w:r w:rsidR="00BE2C63">
        <w:rPr>
          <w:sz w:val="24"/>
          <w:szCs w:val="24"/>
        </w:rPr>
        <w:t xml:space="preserve">only </w:t>
      </w:r>
      <w:r w:rsidR="001E5C55">
        <w:rPr>
          <w:sz w:val="24"/>
          <w:szCs w:val="24"/>
        </w:rPr>
        <w:t xml:space="preserve">if the city intends to process </w:t>
      </w:r>
      <w:r w:rsidR="00074018">
        <w:rPr>
          <w:sz w:val="24"/>
          <w:szCs w:val="24"/>
        </w:rPr>
        <w:t>Aleutian Islands</w:t>
      </w:r>
      <w:r w:rsidR="001E5C55">
        <w:rPr>
          <w:sz w:val="24"/>
          <w:szCs w:val="24"/>
        </w:rPr>
        <w:t xml:space="preserve"> Pacific cod in the upcoming year</w:t>
      </w:r>
      <w:r w:rsidR="005D1CFB">
        <w:rPr>
          <w:sz w:val="24"/>
          <w:szCs w:val="24"/>
        </w:rPr>
        <w:t>. N</w:t>
      </w:r>
      <w:r w:rsidR="001E5C55">
        <w:rPr>
          <w:sz w:val="24"/>
          <w:szCs w:val="24"/>
        </w:rPr>
        <w:t xml:space="preserve">o </w:t>
      </w:r>
      <w:r w:rsidR="005D1CFB">
        <w:rPr>
          <w:sz w:val="24"/>
          <w:szCs w:val="24"/>
        </w:rPr>
        <w:t xml:space="preserve">notification </w:t>
      </w:r>
      <w:r w:rsidR="001E5C55">
        <w:rPr>
          <w:sz w:val="24"/>
          <w:szCs w:val="24"/>
        </w:rPr>
        <w:t xml:space="preserve">is </w:t>
      </w:r>
      <w:r w:rsidR="005D1CFB">
        <w:rPr>
          <w:sz w:val="24"/>
          <w:szCs w:val="24"/>
        </w:rPr>
        <w:t xml:space="preserve">required if </w:t>
      </w:r>
      <w:r w:rsidR="001E5C55">
        <w:rPr>
          <w:sz w:val="24"/>
          <w:szCs w:val="24"/>
        </w:rPr>
        <w:t xml:space="preserve">the city will not be processing </w:t>
      </w:r>
      <w:r w:rsidR="00074018">
        <w:rPr>
          <w:sz w:val="24"/>
          <w:szCs w:val="24"/>
        </w:rPr>
        <w:t>Aleutian Islands</w:t>
      </w:r>
      <w:r w:rsidR="001E5C55">
        <w:rPr>
          <w:sz w:val="24"/>
          <w:szCs w:val="24"/>
        </w:rPr>
        <w:t xml:space="preserve"> Pacific cod in the upcoming year.</w:t>
      </w:r>
    </w:p>
    <w:p w14:paraId="1B34DCDE" w14:textId="77777777" w:rsidR="00A570D2" w:rsidRDefault="00A570D2">
      <w:pPr>
        <w:rPr>
          <w:sz w:val="24"/>
          <w:szCs w:val="24"/>
        </w:rPr>
      </w:pPr>
    </w:p>
    <w:p w14:paraId="0629DAE6" w14:textId="0D86FF00" w:rsidR="004F26E9" w:rsidRDefault="004F26E9">
      <w:pPr>
        <w:rPr>
          <w:sz w:val="24"/>
          <w:szCs w:val="24"/>
        </w:rPr>
      </w:pPr>
      <w:r>
        <w:rPr>
          <w:b/>
          <w:bCs/>
          <w:sz w:val="24"/>
          <w:szCs w:val="24"/>
        </w:rPr>
        <w:t>6.</w:t>
      </w:r>
      <w:r w:rsidR="00F041B6">
        <w:rPr>
          <w:b/>
          <w:bCs/>
          <w:sz w:val="24"/>
          <w:szCs w:val="24"/>
        </w:rPr>
        <w:t xml:space="preserve"> </w:t>
      </w:r>
      <w:r w:rsidRPr="000A0540">
        <w:rPr>
          <w:b/>
          <w:bCs/>
          <w:sz w:val="24"/>
          <w:szCs w:val="24"/>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0EBF57A4" w14:textId="77777777" w:rsidR="004F26E9" w:rsidRDefault="004F26E9">
      <w:pPr>
        <w:rPr>
          <w:sz w:val="24"/>
          <w:szCs w:val="24"/>
        </w:rPr>
      </w:pPr>
    </w:p>
    <w:p w14:paraId="385C7F10" w14:textId="0A197793" w:rsidR="00314372" w:rsidRDefault="00314372" w:rsidP="00314372">
      <w:pPr>
        <w:rPr>
          <w:sz w:val="24"/>
          <w:szCs w:val="24"/>
        </w:rPr>
      </w:pPr>
      <w:r w:rsidRPr="00314372">
        <w:rPr>
          <w:sz w:val="24"/>
          <w:szCs w:val="24"/>
        </w:rPr>
        <w:t>As th</w:t>
      </w:r>
      <w:r>
        <w:rPr>
          <w:sz w:val="24"/>
          <w:szCs w:val="24"/>
        </w:rPr>
        <w:t xml:space="preserve">is information collection </w:t>
      </w:r>
      <w:r w:rsidRPr="00314372">
        <w:rPr>
          <w:sz w:val="24"/>
          <w:szCs w:val="24"/>
        </w:rPr>
        <w:t xml:space="preserve">is based on the </w:t>
      </w:r>
      <w:r w:rsidR="00306FDC">
        <w:rPr>
          <w:sz w:val="24"/>
          <w:szCs w:val="24"/>
        </w:rPr>
        <w:t xml:space="preserve">vacated </w:t>
      </w:r>
      <w:r w:rsidRPr="00314372">
        <w:rPr>
          <w:sz w:val="24"/>
          <w:szCs w:val="24"/>
        </w:rPr>
        <w:t xml:space="preserve">regulations that </w:t>
      </w:r>
      <w:r w:rsidR="000D6222">
        <w:rPr>
          <w:sz w:val="24"/>
          <w:szCs w:val="24"/>
        </w:rPr>
        <w:t xml:space="preserve">implemented Amendment 113, </w:t>
      </w:r>
      <w:r w:rsidR="00CD2881">
        <w:rPr>
          <w:sz w:val="24"/>
          <w:szCs w:val="24"/>
        </w:rPr>
        <w:t>it</w:t>
      </w:r>
      <w:r w:rsidR="000D6222">
        <w:rPr>
          <w:sz w:val="24"/>
          <w:szCs w:val="24"/>
        </w:rPr>
        <w:t xml:space="preserve"> </w:t>
      </w:r>
      <w:r w:rsidRPr="00314372">
        <w:rPr>
          <w:sz w:val="24"/>
          <w:szCs w:val="24"/>
        </w:rPr>
        <w:t xml:space="preserve">will not be collected unless the regulations are reinstated on </w:t>
      </w:r>
      <w:r w:rsidRPr="00AD3F75">
        <w:rPr>
          <w:sz w:val="24"/>
          <w:szCs w:val="24"/>
        </w:rPr>
        <w:t>appeal.</w:t>
      </w:r>
      <w:r w:rsidRPr="00314372">
        <w:rPr>
          <w:sz w:val="24"/>
          <w:szCs w:val="24"/>
        </w:rPr>
        <w:t xml:space="preserve"> NMFS is requesting renewal of this </w:t>
      </w:r>
      <w:r w:rsidR="00CD2881">
        <w:rPr>
          <w:sz w:val="24"/>
          <w:szCs w:val="24"/>
        </w:rPr>
        <w:t xml:space="preserve">information </w:t>
      </w:r>
      <w:r w:rsidRPr="00314372">
        <w:rPr>
          <w:sz w:val="24"/>
          <w:szCs w:val="24"/>
        </w:rPr>
        <w:t>collection in the event of a successful appeal.</w:t>
      </w:r>
    </w:p>
    <w:p w14:paraId="64DE9740" w14:textId="16DD7685" w:rsidR="00314372" w:rsidRDefault="00314372">
      <w:pPr>
        <w:rPr>
          <w:sz w:val="24"/>
          <w:szCs w:val="24"/>
        </w:rPr>
      </w:pPr>
    </w:p>
    <w:p w14:paraId="049C9BB2" w14:textId="407C921E" w:rsidR="00CD2881" w:rsidRDefault="00314372">
      <w:pPr>
        <w:rPr>
          <w:sz w:val="24"/>
          <w:szCs w:val="24"/>
        </w:rPr>
      </w:pPr>
      <w:r>
        <w:rPr>
          <w:sz w:val="24"/>
          <w:szCs w:val="24"/>
        </w:rPr>
        <w:t xml:space="preserve">In the event of a successful appeal, </w:t>
      </w:r>
      <w:r w:rsidR="00CD2881" w:rsidRPr="00CD2881">
        <w:rPr>
          <w:sz w:val="24"/>
          <w:szCs w:val="24"/>
        </w:rPr>
        <w:t xml:space="preserve">if this collection is not conducted, the additional opportunities provided for harvesters to deliver Aleutian Islands Pacific cod to Aleutian Islands shoreplants would not exist. </w:t>
      </w:r>
      <w:r w:rsidR="00AD3F75">
        <w:rPr>
          <w:sz w:val="24"/>
          <w:szCs w:val="24"/>
        </w:rPr>
        <w:t>These opportunities</w:t>
      </w:r>
      <w:r w:rsidR="00CD2881" w:rsidRPr="00CD2881">
        <w:rPr>
          <w:sz w:val="24"/>
          <w:szCs w:val="24"/>
        </w:rPr>
        <w:t xml:space="preserve"> provide benefits to </w:t>
      </w:r>
      <w:r w:rsidR="007C0F1A" w:rsidRPr="00CD2881">
        <w:rPr>
          <w:sz w:val="24"/>
          <w:szCs w:val="24"/>
        </w:rPr>
        <w:t xml:space="preserve">the </w:t>
      </w:r>
      <w:r w:rsidR="007C0F1A">
        <w:rPr>
          <w:sz w:val="24"/>
          <w:szCs w:val="24"/>
        </w:rPr>
        <w:t>Aleutian Island</w:t>
      </w:r>
      <w:r w:rsidR="00C60932">
        <w:rPr>
          <w:sz w:val="24"/>
          <w:szCs w:val="24"/>
        </w:rPr>
        <w:t>s</w:t>
      </w:r>
      <w:r w:rsidR="007C0F1A">
        <w:rPr>
          <w:sz w:val="24"/>
          <w:szCs w:val="24"/>
        </w:rPr>
        <w:t xml:space="preserve"> </w:t>
      </w:r>
      <w:r w:rsidR="007C0F1A" w:rsidRPr="00CD2881">
        <w:rPr>
          <w:sz w:val="24"/>
          <w:szCs w:val="24"/>
        </w:rPr>
        <w:t>shoreplants</w:t>
      </w:r>
      <w:r w:rsidR="007C0F1A">
        <w:rPr>
          <w:sz w:val="24"/>
          <w:szCs w:val="24"/>
        </w:rPr>
        <w:t>, the</w:t>
      </w:r>
      <w:r w:rsidR="007C0F1A" w:rsidRPr="00CD2881">
        <w:rPr>
          <w:sz w:val="24"/>
          <w:szCs w:val="24"/>
        </w:rPr>
        <w:t xml:space="preserve"> </w:t>
      </w:r>
      <w:r w:rsidR="00CD2881" w:rsidRPr="00CD2881">
        <w:rPr>
          <w:sz w:val="24"/>
          <w:szCs w:val="24"/>
        </w:rPr>
        <w:t>harvesters delivering t</w:t>
      </w:r>
      <w:r w:rsidR="007C0F1A">
        <w:rPr>
          <w:sz w:val="24"/>
          <w:szCs w:val="24"/>
        </w:rPr>
        <w:t>o Aleutian Islands shoreplants,</w:t>
      </w:r>
      <w:r w:rsidR="00CD2881" w:rsidRPr="00CD2881">
        <w:rPr>
          <w:sz w:val="24"/>
          <w:szCs w:val="24"/>
        </w:rPr>
        <w:t xml:space="preserve"> and the communities where those shoreplants are located.</w:t>
      </w:r>
      <w:r w:rsidR="00F041B6">
        <w:rPr>
          <w:sz w:val="24"/>
          <w:szCs w:val="24"/>
        </w:rPr>
        <w:t xml:space="preserve"> </w:t>
      </w:r>
      <w:r w:rsidR="00CD2881" w:rsidRPr="00CD2881">
        <w:rPr>
          <w:sz w:val="24"/>
          <w:szCs w:val="24"/>
        </w:rPr>
        <w:t>Because of their remote location and limited economic alternatives, Aleutian Islands communities rely on harvesting and processing of the nearby fishery resources to support and sustain their communities.</w:t>
      </w:r>
      <w:r w:rsidR="00F041B6">
        <w:rPr>
          <w:sz w:val="24"/>
          <w:szCs w:val="24"/>
        </w:rPr>
        <w:t xml:space="preserve"> </w:t>
      </w:r>
      <w:r w:rsidR="00CD2881" w:rsidRPr="00CD2881">
        <w:rPr>
          <w:sz w:val="24"/>
          <w:szCs w:val="24"/>
        </w:rPr>
        <w:t>This action is intended to be directly responsive to National Standard 8 of the Magnuson-Stevens Act that states conservation and management measures shall take into account the importance of fishery resources to fishing communities in order to provide for the sustained participation of such communities, and to the extent practicable, minimize adverse economic impacts on such communities (16 U.S.C. 1851(a)(8)).</w:t>
      </w:r>
    </w:p>
    <w:p w14:paraId="099F6153" w14:textId="77777777" w:rsidR="003C3FC7" w:rsidRDefault="003C3FC7">
      <w:pPr>
        <w:rPr>
          <w:sz w:val="24"/>
          <w:szCs w:val="24"/>
        </w:rPr>
      </w:pPr>
    </w:p>
    <w:p w14:paraId="27E955CE" w14:textId="4CDC4124" w:rsidR="004C5719" w:rsidRDefault="00756A47">
      <w:pPr>
        <w:rPr>
          <w:sz w:val="24"/>
          <w:szCs w:val="24"/>
        </w:rPr>
      </w:pPr>
      <w:r w:rsidRPr="008257B7">
        <w:rPr>
          <w:sz w:val="24"/>
          <w:szCs w:val="24"/>
        </w:rPr>
        <w:t xml:space="preserve">In the event of a successful appeal, </w:t>
      </w:r>
      <w:r w:rsidR="003C3FC7" w:rsidRPr="008257B7">
        <w:rPr>
          <w:sz w:val="24"/>
          <w:szCs w:val="24"/>
        </w:rPr>
        <w:t>less frequent</w:t>
      </w:r>
      <w:r w:rsidR="00A91553" w:rsidRPr="008257B7">
        <w:rPr>
          <w:sz w:val="24"/>
          <w:szCs w:val="24"/>
        </w:rPr>
        <w:t xml:space="preserve"> collection would a</w:t>
      </w:r>
      <w:r w:rsidR="004C5719" w:rsidRPr="008257B7">
        <w:rPr>
          <w:sz w:val="24"/>
          <w:szCs w:val="24"/>
        </w:rPr>
        <w:t xml:space="preserve">ffect </w:t>
      </w:r>
      <w:r w:rsidRPr="008257B7">
        <w:rPr>
          <w:sz w:val="24"/>
          <w:szCs w:val="24"/>
        </w:rPr>
        <w:t>NMFS</w:t>
      </w:r>
      <w:r w:rsidR="004C5719" w:rsidRPr="008257B7">
        <w:rPr>
          <w:sz w:val="24"/>
          <w:szCs w:val="24"/>
        </w:rPr>
        <w:t>’</w:t>
      </w:r>
      <w:r w:rsidRPr="008257B7">
        <w:rPr>
          <w:sz w:val="24"/>
          <w:szCs w:val="24"/>
        </w:rPr>
        <w:t xml:space="preserve"> </w:t>
      </w:r>
      <w:r w:rsidR="004C5719" w:rsidRPr="008257B7">
        <w:rPr>
          <w:sz w:val="24"/>
          <w:szCs w:val="24"/>
        </w:rPr>
        <w:t xml:space="preserve">ability to accurately </w:t>
      </w:r>
      <w:r w:rsidRPr="008257B7">
        <w:rPr>
          <w:sz w:val="24"/>
          <w:szCs w:val="24"/>
        </w:rPr>
        <w:t xml:space="preserve">distribute </w:t>
      </w:r>
      <w:r w:rsidR="00B21D0D" w:rsidRPr="008257B7">
        <w:rPr>
          <w:sz w:val="24"/>
          <w:szCs w:val="24"/>
        </w:rPr>
        <w:t xml:space="preserve">Aleutian Islands </w:t>
      </w:r>
      <w:r w:rsidRPr="008257B7">
        <w:rPr>
          <w:sz w:val="24"/>
          <w:szCs w:val="24"/>
        </w:rPr>
        <w:t>P</w:t>
      </w:r>
      <w:r w:rsidR="00B21D0D" w:rsidRPr="008257B7">
        <w:rPr>
          <w:sz w:val="24"/>
          <w:szCs w:val="24"/>
        </w:rPr>
        <w:t>acific cod</w:t>
      </w:r>
      <w:r w:rsidRPr="008257B7">
        <w:rPr>
          <w:sz w:val="24"/>
          <w:szCs w:val="24"/>
        </w:rPr>
        <w:t xml:space="preserve"> among harvesting and processing entities.</w:t>
      </w:r>
      <w:r w:rsidR="000C6F37" w:rsidRPr="008257B7">
        <w:rPr>
          <w:sz w:val="24"/>
          <w:szCs w:val="24"/>
        </w:rPr>
        <w:t xml:space="preserve"> </w:t>
      </w:r>
      <w:r w:rsidR="0007555F">
        <w:rPr>
          <w:sz w:val="24"/>
          <w:szCs w:val="24"/>
        </w:rPr>
        <w:t>The a</w:t>
      </w:r>
      <w:r w:rsidR="00A91553" w:rsidRPr="008257B7">
        <w:rPr>
          <w:sz w:val="24"/>
          <w:szCs w:val="24"/>
        </w:rPr>
        <w:t>nnual notification</w:t>
      </w:r>
      <w:r w:rsidR="0007555F">
        <w:rPr>
          <w:sz w:val="24"/>
          <w:szCs w:val="24"/>
        </w:rPr>
        <w:t xml:space="preserve"> process</w:t>
      </w:r>
      <w:r w:rsidR="00A91553" w:rsidRPr="008257B7">
        <w:rPr>
          <w:sz w:val="24"/>
          <w:szCs w:val="24"/>
        </w:rPr>
        <w:t xml:space="preserve"> is designed to </w:t>
      </w:r>
      <w:r w:rsidR="0007555F">
        <w:rPr>
          <w:sz w:val="24"/>
          <w:szCs w:val="24"/>
        </w:rPr>
        <w:t>coordinate</w:t>
      </w:r>
      <w:r w:rsidR="0007555F" w:rsidRPr="008257B7">
        <w:rPr>
          <w:sz w:val="24"/>
          <w:szCs w:val="24"/>
        </w:rPr>
        <w:t xml:space="preserve"> </w:t>
      </w:r>
      <w:r w:rsidR="00A91553" w:rsidRPr="008257B7">
        <w:rPr>
          <w:sz w:val="24"/>
          <w:szCs w:val="24"/>
        </w:rPr>
        <w:t>with the annual harvest specifications process</w:t>
      </w:r>
      <w:r w:rsidR="000C6F37" w:rsidRPr="008257B7">
        <w:rPr>
          <w:sz w:val="24"/>
          <w:szCs w:val="24"/>
        </w:rPr>
        <w:t>,</w:t>
      </w:r>
      <w:r w:rsidR="00A91553" w:rsidRPr="008257B7">
        <w:rPr>
          <w:sz w:val="24"/>
          <w:szCs w:val="24"/>
        </w:rPr>
        <w:t xml:space="preserve"> </w:t>
      </w:r>
      <w:r w:rsidR="000C6F37" w:rsidRPr="008257B7">
        <w:rPr>
          <w:sz w:val="24"/>
          <w:szCs w:val="24"/>
        </w:rPr>
        <w:t>under</w:t>
      </w:r>
      <w:r w:rsidR="000C6F37">
        <w:rPr>
          <w:sz w:val="24"/>
          <w:szCs w:val="24"/>
        </w:rPr>
        <w:t xml:space="preserve"> which the </w:t>
      </w:r>
      <w:r w:rsidR="000C6F37" w:rsidRPr="004C5719">
        <w:rPr>
          <w:sz w:val="24"/>
          <w:szCs w:val="24"/>
        </w:rPr>
        <w:t xml:space="preserve">Aleutian Islands Pacific cod </w:t>
      </w:r>
      <w:r w:rsidR="000C6F37">
        <w:rPr>
          <w:sz w:val="24"/>
          <w:szCs w:val="24"/>
        </w:rPr>
        <w:t xml:space="preserve">allocations are calculated, </w:t>
      </w:r>
      <w:r w:rsidR="00A91553">
        <w:rPr>
          <w:sz w:val="24"/>
          <w:szCs w:val="24"/>
        </w:rPr>
        <w:t xml:space="preserve">and the </w:t>
      </w:r>
      <w:r w:rsidR="004C5719">
        <w:rPr>
          <w:sz w:val="24"/>
          <w:szCs w:val="24"/>
        </w:rPr>
        <w:t xml:space="preserve">operational reality of </w:t>
      </w:r>
      <w:r w:rsidR="0007555F">
        <w:rPr>
          <w:sz w:val="24"/>
          <w:szCs w:val="24"/>
        </w:rPr>
        <w:t xml:space="preserve">whether </w:t>
      </w:r>
      <w:r w:rsidR="004C5719">
        <w:rPr>
          <w:sz w:val="24"/>
          <w:szCs w:val="24"/>
        </w:rPr>
        <w:t>Pacific cod processing</w:t>
      </w:r>
      <w:r w:rsidR="0007555F">
        <w:rPr>
          <w:sz w:val="24"/>
          <w:szCs w:val="24"/>
        </w:rPr>
        <w:t xml:space="preserve"> will actually occur</w:t>
      </w:r>
      <w:r w:rsidR="004C5719">
        <w:rPr>
          <w:sz w:val="24"/>
          <w:szCs w:val="24"/>
        </w:rPr>
        <w:t xml:space="preserve"> in </w:t>
      </w:r>
      <w:r w:rsidR="00A91553">
        <w:rPr>
          <w:sz w:val="24"/>
          <w:szCs w:val="24"/>
        </w:rPr>
        <w:t xml:space="preserve">the cities of </w:t>
      </w:r>
      <w:r w:rsidR="004C5719">
        <w:rPr>
          <w:sz w:val="24"/>
          <w:szCs w:val="24"/>
        </w:rPr>
        <w:t>Adak and Atka</w:t>
      </w:r>
      <w:r w:rsidR="0007555F">
        <w:rPr>
          <w:sz w:val="24"/>
          <w:szCs w:val="24"/>
        </w:rPr>
        <w:t>.</w:t>
      </w:r>
      <w:r w:rsidR="00F041B6">
        <w:rPr>
          <w:sz w:val="24"/>
          <w:szCs w:val="24"/>
        </w:rPr>
        <w:t xml:space="preserve"> </w:t>
      </w:r>
      <w:r w:rsidR="0007555F">
        <w:rPr>
          <w:sz w:val="24"/>
          <w:szCs w:val="24"/>
        </w:rPr>
        <w:t>The notification process is intended</w:t>
      </w:r>
      <w:r w:rsidR="004C5719">
        <w:rPr>
          <w:sz w:val="24"/>
          <w:szCs w:val="24"/>
        </w:rPr>
        <w:t xml:space="preserve"> </w:t>
      </w:r>
      <w:r w:rsidR="00A91553">
        <w:rPr>
          <w:sz w:val="24"/>
          <w:szCs w:val="24"/>
        </w:rPr>
        <w:t>to reduce the risk of unharvested non-CDQ A</w:t>
      </w:r>
      <w:r w:rsidR="000C6F37">
        <w:rPr>
          <w:sz w:val="24"/>
          <w:szCs w:val="24"/>
        </w:rPr>
        <w:t>leutian Islands</w:t>
      </w:r>
      <w:r w:rsidR="00A91553">
        <w:rPr>
          <w:sz w:val="24"/>
          <w:szCs w:val="24"/>
        </w:rPr>
        <w:t xml:space="preserve"> P</w:t>
      </w:r>
      <w:r w:rsidR="000C6F37">
        <w:rPr>
          <w:sz w:val="24"/>
          <w:szCs w:val="24"/>
        </w:rPr>
        <w:t>acific</w:t>
      </w:r>
      <w:r w:rsidR="00A91553">
        <w:rPr>
          <w:sz w:val="24"/>
          <w:szCs w:val="24"/>
        </w:rPr>
        <w:t xml:space="preserve"> cod </w:t>
      </w:r>
      <w:r w:rsidR="000C6F37">
        <w:rPr>
          <w:sz w:val="24"/>
          <w:szCs w:val="24"/>
        </w:rPr>
        <w:t>total allowable catch</w:t>
      </w:r>
      <w:r w:rsidR="00A91553">
        <w:rPr>
          <w:sz w:val="24"/>
          <w:szCs w:val="24"/>
        </w:rPr>
        <w:t>.</w:t>
      </w:r>
    </w:p>
    <w:p w14:paraId="613599DC" w14:textId="77777777" w:rsidR="004C5719" w:rsidRDefault="004C5719">
      <w:pPr>
        <w:rPr>
          <w:sz w:val="24"/>
          <w:szCs w:val="24"/>
        </w:rPr>
      </w:pPr>
    </w:p>
    <w:p w14:paraId="30C0E7AA" w14:textId="0CD1DEF1" w:rsidR="004F26E9" w:rsidRDefault="004F26E9">
      <w:pPr>
        <w:rPr>
          <w:sz w:val="24"/>
          <w:szCs w:val="24"/>
        </w:rPr>
      </w:pPr>
      <w:r>
        <w:rPr>
          <w:b/>
          <w:bCs/>
          <w:sz w:val="24"/>
          <w:szCs w:val="24"/>
        </w:rPr>
        <w:t>7.</w:t>
      </w:r>
      <w:r w:rsidR="00F041B6">
        <w:rPr>
          <w:b/>
          <w:bCs/>
          <w:sz w:val="24"/>
          <w:szCs w:val="24"/>
        </w:rPr>
        <w:t xml:space="preserve"> </w:t>
      </w:r>
      <w:r w:rsidRPr="000A0540">
        <w:rPr>
          <w:b/>
          <w:bCs/>
          <w:sz w:val="24"/>
          <w:szCs w:val="24"/>
        </w:rPr>
        <w:t>Explain any special circumstances that require the collection to be conducted in a manner inconsistent with OMB guidelines.</w:t>
      </w:r>
      <w:r>
        <w:rPr>
          <w:b/>
          <w:bCs/>
          <w:sz w:val="24"/>
          <w:szCs w:val="24"/>
        </w:rPr>
        <w:t xml:space="preserve"> </w:t>
      </w:r>
    </w:p>
    <w:p w14:paraId="73842425" w14:textId="77777777" w:rsidR="004F26E9" w:rsidRDefault="004F26E9">
      <w:pPr>
        <w:rPr>
          <w:sz w:val="24"/>
          <w:szCs w:val="24"/>
        </w:rPr>
      </w:pPr>
    </w:p>
    <w:p w14:paraId="208D44E3" w14:textId="776E3DEC" w:rsidR="004F26E9" w:rsidRDefault="000D6222">
      <w:pPr>
        <w:rPr>
          <w:sz w:val="24"/>
          <w:szCs w:val="24"/>
        </w:rPr>
      </w:pPr>
      <w:r>
        <w:rPr>
          <w:sz w:val="24"/>
          <w:szCs w:val="24"/>
        </w:rPr>
        <w:t xml:space="preserve">No special circumstances </w:t>
      </w:r>
      <w:r w:rsidR="00AD3F75">
        <w:rPr>
          <w:sz w:val="24"/>
          <w:szCs w:val="24"/>
        </w:rPr>
        <w:t xml:space="preserve">require the collection to be conducted in a manner inconsistent with OMB guidelines. </w:t>
      </w:r>
      <w:r>
        <w:rPr>
          <w:sz w:val="24"/>
          <w:szCs w:val="24"/>
        </w:rPr>
        <w:t>T</w:t>
      </w:r>
      <w:r w:rsidRPr="000D6222">
        <w:rPr>
          <w:sz w:val="24"/>
          <w:szCs w:val="24"/>
        </w:rPr>
        <w:t xml:space="preserve">his information will not be collected unless the </w:t>
      </w:r>
      <w:r w:rsidR="00BE2C63">
        <w:rPr>
          <w:sz w:val="24"/>
          <w:szCs w:val="24"/>
        </w:rPr>
        <w:t xml:space="preserve">vacated </w:t>
      </w:r>
      <w:r w:rsidRPr="000D6222">
        <w:rPr>
          <w:sz w:val="24"/>
          <w:szCs w:val="24"/>
        </w:rPr>
        <w:t>regulations are reinstated on appeal</w:t>
      </w:r>
      <w:r>
        <w:rPr>
          <w:sz w:val="24"/>
          <w:szCs w:val="24"/>
        </w:rPr>
        <w:t>.</w:t>
      </w:r>
    </w:p>
    <w:p w14:paraId="6698693E" w14:textId="77777777" w:rsidR="00725C5C" w:rsidRDefault="00725C5C">
      <w:pPr>
        <w:rPr>
          <w:b/>
          <w:bCs/>
          <w:sz w:val="24"/>
          <w:szCs w:val="24"/>
        </w:rPr>
      </w:pPr>
    </w:p>
    <w:p w14:paraId="000A52E2" w14:textId="18BC9C17" w:rsidR="004F26E9" w:rsidRDefault="004F26E9">
      <w:pPr>
        <w:rPr>
          <w:sz w:val="24"/>
          <w:szCs w:val="24"/>
        </w:rPr>
      </w:pPr>
      <w:r>
        <w:rPr>
          <w:b/>
          <w:bCs/>
          <w:sz w:val="24"/>
          <w:szCs w:val="24"/>
        </w:rPr>
        <w:t>8.</w:t>
      </w:r>
      <w:r w:rsidR="00F041B6">
        <w:rPr>
          <w:b/>
          <w:bCs/>
          <w:sz w:val="24"/>
          <w:szCs w:val="24"/>
        </w:rPr>
        <w:t xml:space="preserve"> </w:t>
      </w:r>
      <w:r w:rsidRPr="000A0540">
        <w:rPr>
          <w:b/>
          <w:bCs/>
          <w:sz w:val="24"/>
          <w:szCs w:val="24"/>
        </w:rPr>
        <w:t xml:space="preserve">Provide </w:t>
      </w:r>
      <w:r w:rsidR="00107F5D" w:rsidRPr="000A0540">
        <w:rPr>
          <w:b/>
          <w:bCs/>
          <w:sz w:val="24"/>
          <w:szCs w:val="24"/>
        </w:rPr>
        <w:t>information on</w:t>
      </w:r>
      <w:r w:rsidRPr="000A0540">
        <w:rPr>
          <w:b/>
          <w:bCs/>
          <w:sz w:val="24"/>
          <w:szCs w:val="24"/>
        </w:rPr>
        <w:t xml:space="preserve"> the PRA Federal Register </w:t>
      </w:r>
      <w:r w:rsidR="001E6F72" w:rsidRPr="000A0540">
        <w:rPr>
          <w:b/>
          <w:bCs/>
          <w:sz w:val="24"/>
          <w:szCs w:val="24"/>
        </w:rPr>
        <w:t>N</w:t>
      </w:r>
      <w:r w:rsidRPr="000A0540">
        <w:rPr>
          <w:b/>
          <w:bCs/>
          <w:sz w:val="24"/>
          <w:szCs w:val="24"/>
        </w:rPr>
        <w:t>otice that solicited public comments on the information collection prior to this submission.</w:t>
      </w:r>
      <w:r w:rsidR="00F041B6">
        <w:rPr>
          <w:b/>
          <w:bCs/>
          <w:sz w:val="24"/>
          <w:szCs w:val="24"/>
        </w:rPr>
        <w:t xml:space="preserve"> </w:t>
      </w:r>
      <w:r w:rsidRPr="000A0540">
        <w:rPr>
          <w:b/>
          <w:bCs/>
          <w:sz w:val="24"/>
          <w:szCs w:val="24"/>
        </w:rPr>
        <w:t>Summarize the public comments received in response to that notice and describe the actions taken by the agency in response to those comments.</w:t>
      </w:r>
      <w:r w:rsidR="00F041B6">
        <w:rPr>
          <w:sz w:val="24"/>
          <w:szCs w:val="24"/>
        </w:rPr>
        <w:t xml:space="preserve"> </w:t>
      </w:r>
      <w:r w:rsidRPr="000A0540">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271A5609" w14:textId="77777777" w:rsidR="004F26E9" w:rsidRDefault="004F26E9">
      <w:pPr>
        <w:rPr>
          <w:sz w:val="24"/>
          <w:szCs w:val="24"/>
        </w:rPr>
      </w:pPr>
    </w:p>
    <w:p w14:paraId="38635802" w14:textId="3831517C" w:rsidR="004F26E9" w:rsidRDefault="008E4BCE">
      <w:pPr>
        <w:rPr>
          <w:sz w:val="24"/>
          <w:szCs w:val="24"/>
        </w:rPr>
      </w:pPr>
      <w:r>
        <w:rPr>
          <w:sz w:val="24"/>
          <w:szCs w:val="24"/>
        </w:rPr>
        <w:t>NMFS published a</w:t>
      </w:r>
      <w:r w:rsidR="001E6F72">
        <w:rPr>
          <w:sz w:val="24"/>
          <w:szCs w:val="24"/>
        </w:rPr>
        <w:t xml:space="preserve"> </w:t>
      </w:r>
      <w:r w:rsidR="001E6F72" w:rsidRPr="008E4BCE">
        <w:rPr>
          <w:i/>
          <w:sz w:val="24"/>
          <w:szCs w:val="24"/>
        </w:rPr>
        <w:t>Federal Register</w:t>
      </w:r>
      <w:r>
        <w:rPr>
          <w:sz w:val="24"/>
          <w:szCs w:val="24"/>
        </w:rPr>
        <w:t xml:space="preserve"> n</w:t>
      </w:r>
      <w:r w:rsidR="001E6F72">
        <w:rPr>
          <w:sz w:val="24"/>
          <w:szCs w:val="24"/>
        </w:rPr>
        <w:t xml:space="preserve">otice on </w:t>
      </w:r>
      <w:r>
        <w:rPr>
          <w:sz w:val="24"/>
          <w:szCs w:val="24"/>
        </w:rPr>
        <w:t>August 23, 2019</w:t>
      </w:r>
      <w:r w:rsidR="001E6F72">
        <w:rPr>
          <w:sz w:val="24"/>
          <w:szCs w:val="24"/>
        </w:rPr>
        <w:t xml:space="preserve"> (</w:t>
      </w:r>
      <w:r>
        <w:rPr>
          <w:sz w:val="24"/>
          <w:szCs w:val="24"/>
        </w:rPr>
        <w:t xml:space="preserve">84 </w:t>
      </w:r>
      <w:r w:rsidR="001E6F72">
        <w:rPr>
          <w:sz w:val="24"/>
          <w:szCs w:val="24"/>
        </w:rPr>
        <w:t xml:space="preserve">FR </w:t>
      </w:r>
      <w:r>
        <w:rPr>
          <w:sz w:val="24"/>
          <w:szCs w:val="24"/>
        </w:rPr>
        <w:t>44286</w:t>
      </w:r>
      <w:r w:rsidR="001E6F72">
        <w:rPr>
          <w:sz w:val="24"/>
          <w:szCs w:val="24"/>
        </w:rPr>
        <w:t>)</w:t>
      </w:r>
      <w:r>
        <w:rPr>
          <w:sz w:val="24"/>
          <w:szCs w:val="24"/>
        </w:rPr>
        <w:t>,</w:t>
      </w:r>
      <w:r w:rsidR="001E6F72">
        <w:rPr>
          <w:sz w:val="24"/>
          <w:szCs w:val="24"/>
        </w:rPr>
        <w:t xml:space="preserve"> solicit</w:t>
      </w:r>
      <w:r>
        <w:rPr>
          <w:sz w:val="24"/>
          <w:szCs w:val="24"/>
        </w:rPr>
        <w:t>ing</w:t>
      </w:r>
      <w:r w:rsidR="001E6F72">
        <w:rPr>
          <w:sz w:val="24"/>
          <w:szCs w:val="24"/>
        </w:rPr>
        <w:t xml:space="preserve"> public comments. </w:t>
      </w:r>
      <w:r w:rsidRPr="008E4BCE">
        <w:rPr>
          <w:sz w:val="24"/>
          <w:szCs w:val="24"/>
        </w:rPr>
        <w:t>T</w:t>
      </w:r>
      <w:r w:rsidR="00771A79">
        <w:rPr>
          <w:sz w:val="24"/>
          <w:szCs w:val="24"/>
        </w:rPr>
        <w:t>he comment period ended on October 22</w:t>
      </w:r>
      <w:r w:rsidRPr="008E4BCE">
        <w:rPr>
          <w:sz w:val="24"/>
          <w:szCs w:val="24"/>
        </w:rPr>
        <w:t>, 2019</w:t>
      </w:r>
      <w:r w:rsidR="00771A79">
        <w:rPr>
          <w:sz w:val="24"/>
          <w:szCs w:val="24"/>
        </w:rPr>
        <w:t xml:space="preserve">. </w:t>
      </w:r>
      <w:r w:rsidR="00647C25" w:rsidRPr="00647C25">
        <w:rPr>
          <w:sz w:val="24"/>
          <w:szCs w:val="24"/>
        </w:rPr>
        <w:t xml:space="preserve">NMFS received </w:t>
      </w:r>
      <w:r w:rsidR="004265D5">
        <w:rPr>
          <w:sz w:val="24"/>
          <w:szCs w:val="24"/>
        </w:rPr>
        <w:t>two</w:t>
      </w:r>
      <w:r w:rsidR="00FF0635">
        <w:rPr>
          <w:sz w:val="24"/>
          <w:szCs w:val="24"/>
        </w:rPr>
        <w:t xml:space="preserve"> </w:t>
      </w:r>
      <w:r w:rsidR="00BA4FB4">
        <w:rPr>
          <w:sz w:val="24"/>
          <w:szCs w:val="24"/>
        </w:rPr>
        <w:t>comment letters</w:t>
      </w:r>
      <w:r w:rsidR="00B25053">
        <w:rPr>
          <w:sz w:val="24"/>
          <w:szCs w:val="24"/>
        </w:rPr>
        <w:t xml:space="preserve"> from the notice—one from a member of the public and one from Golden Harvest Alaska Seafood in Adak</w:t>
      </w:r>
      <w:r w:rsidR="00BA4FB4">
        <w:rPr>
          <w:sz w:val="24"/>
          <w:szCs w:val="24"/>
        </w:rPr>
        <w:t>.</w:t>
      </w:r>
      <w:r w:rsidR="00F041B6">
        <w:rPr>
          <w:sz w:val="24"/>
          <w:szCs w:val="24"/>
        </w:rPr>
        <w:t xml:space="preserve"> </w:t>
      </w:r>
      <w:r w:rsidR="00B80E7B" w:rsidRPr="00FD35B4">
        <w:rPr>
          <w:sz w:val="24"/>
          <w:szCs w:val="24"/>
        </w:rPr>
        <w:t>NMFS’ responses to these comments are presented below.</w:t>
      </w:r>
      <w:r w:rsidR="00B80E7B">
        <w:rPr>
          <w:sz w:val="24"/>
          <w:szCs w:val="24"/>
        </w:rPr>
        <w:t xml:space="preserve"> </w:t>
      </w:r>
      <w:r w:rsidR="00B25053">
        <w:rPr>
          <w:sz w:val="24"/>
          <w:szCs w:val="24"/>
        </w:rPr>
        <w:t xml:space="preserve">Additionally, </w:t>
      </w:r>
      <w:r w:rsidR="00B25053" w:rsidRPr="00B25053">
        <w:rPr>
          <w:sz w:val="24"/>
          <w:szCs w:val="24"/>
        </w:rPr>
        <w:t xml:space="preserve">NMFS Alaska Region contacted </w:t>
      </w:r>
      <w:r w:rsidR="00B25053">
        <w:rPr>
          <w:sz w:val="24"/>
          <w:szCs w:val="24"/>
        </w:rPr>
        <w:t>t</w:t>
      </w:r>
      <w:r w:rsidR="00B25053" w:rsidRPr="00B25053">
        <w:rPr>
          <w:sz w:val="24"/>
          <w:szCs w:val="24"/>
        </w:rPr>
        <w:t xml:space="preserve">he City Manager of Adak </w:t>
      </w:r>
      <w:r w:rsidR="00B25053">
        <w:rPr>
          <w:sz w:val="24"/>
          <w:szCs w:val="24"/>
        </w:rPr>
        <w:t>and</w:t>
      </w:r>
      <w:r w:rsidR="00B25053" w:rsidRPr="00B25053">
        <w:rPr>
          <w:sz w:val="24"/>
          <w:szCs w:val="24"/>
        </w:rPr>
        <w:t xml:space="preserve"> the City Administrator of Atka </w:t>
      </w:r>
      <w:r w:rsidR="00B25053">
        <w:rPr>
          <w:sz w:val="24"/>
          <w:szCs w:val="24"/>
        </w:rPr>
        <w:t xml:space="preserve">requesting </w:t>
      </w:r>
      <w:r w:rsidR="00B25053" w:rsidRPr="00B25053">
        <w:rPr>
          <w:sz w:val="24"/>
          <w:szCs w:val="24"/>
        </w:rPr>
        <w:t>comments</w:t>
      </w:r>
      <w:r w:rsidR="00B80E7B">
        <w:rPr>
          <w:sz w:val="24"/>
          <w:szCs w:val="24"/>
        </w:rPr>
        <w:t xml:space="preserve"> on this information collection; neither submitted comments.</w:t>
      </w:r>
      <w:r w:rsidR="00B25053" w:rsidRPr="00B25053">
        <w:rPr>
          <w:sz w:val="24"/>
          <w:szCs w:val="24"/>
        </w:rPr>
        <w:t xml:space="preserve"> </w:t>
      </w:r>
    </w:p>
    <w:p w14:paraId="563429CE" w14:textId="33E05E50" w:rsidR="004F26E9" w:rsidRDefault="004F26E9">
      <w:pPr>
        <w:rPr>
          <w:sz w:val="24"/>
          <w:szCs w:val="24"/>
        </w:rPr>
      </w:pPr>
    </w:p>
    <w:p w14:paraId="11032424" w14:textId="6BC2B301" w:rsidR="00AF52DC" w:rsidRDefault="007F6AB3">
      <w:pPr>
        <w:rPr>
          <w:sz w:val="24"/>
          <w:szCs w:val="24"/>
        </w:rPr>
      </w:pPr>
      <w:r w:rsidRPr="007F6AB3">
        <w:rPr>
          <w:i/>
          <w:sz w:val="24"/>
          <w:szCs w:val="24"/>
        </w:rPr>
        <w:t>Comment 1</w:t>
      </w:r>
      <w:r>
        <w:rPr>
          <w:sz w:val="24"/>
          <w:szCs w:val="24"/>
        </w:rPr>
        <w:t>:</w:t>
      </w:r>
      <w:r w:rsidR="00F041B6">
        <w:rPr>
          <w:sz w:val="24"/>
          <w:szCs w:val="24"/>
        </w:rPr>
        <w:t xml:space="preserve"> </w:t>
      </w:r>
      <w:r>
        <w:rPr>
          <w:sz w:val="24"/>
          <w:szCs w:val="24"/>
        </w:rPr>
        <w:t xml:space="preserve">I </w:t>
      </w:r>
      <w:r w:rsidRPr="007F6AB3">
        <w:rPr>
          <w:sz w:val="24"/>
          <w:szCs w:val="24"/>
        </w:rPr>
        <w:t>see absolutely no reason to continue allow</w:t>
      </w:r>
      <w:r>
        <w:rPr>
          <w:sz w:val="24"/>
          <w:szCs w:val="24"/>
        </w:rPr>
        <w:t>ing this taking of cod at all. T</w:t>
      </w:r>
      <w:r w:rsidRPr="007F6AB3">
        <w:rPr>
          <w:sz w:val="24"/>
          <w:szCs w:val="24"/>
        </w:rPr>
        <w:t>here is no reason to expl</w:t>
      </w:r>
      <w:r>
        <w:rPr>
          <w:sz w:val="24"/>
          <w:szCs w:val="24"/>
        </w:rPr>
        <w:t>oit the fish like this at all. S</w:t>
      </w:r>
      <w:r w:rsidRPr="007F6AB3">
        <w:rPr>
          <w:sz w:val="24"/>
          <w:szCs w:val="24"/>
        </w:rPr>
        <w:t>hut down the continuing overex</w:t>
      </w:r>
      <w:r>
        <w:rPr>
          <w:sz w:val="24"/>
          <w:szCs w:val="24"/>
        </w:rPr>
        <w:t>ploitation of this fish stock. T</w:t>
      </w:r>
      <w:r w:rsidRPr="007F6AB3">
        <w:rPr>
          <w:sz w:val="24"/>
          <w:szCs w:val="24"/>
        </w:rPr>
        <w:t>his plan has no reason for being.</w:t>
      </w:r>
    </w:p>
    <w:p w14:paraId="3B517666" w14:textId="77777777" w:rsidR="007F6AB3" w:rsidRDefault="007F6AB3">
      <w:pPr>
        <w:rPr>
          <w:sz w:val="24"/>
          <w:szCs w:val="24"/>
        </w:rPr>
      </w:pPr>
    </w:p>
    <w:p w14:paraId="145FAAC5" w14:textId="4A00B1C4" w:rsidR="00AA3684" w:rsidRPr="00AA3684" w:rsidRDefault="007F6AB3" w:rsidP="00AA3684">
      <w:pPr>
        <w:rPr>
          <w:sz w:val="24"/>
          <w:szCs w:val="24"/>
        </w:rPr>
      </w:pPr>
      <w:r w:rsidRPr="00AA3684">
        <w:rPr>
          <w:i/>
          <w:sz w:val="24"/>
          <w:szCs w:val="24"/>
        </w:rPr>
        <w:t>Response</w:t>
      </w:r>
      <w:r>
        <w:rPr>
          <w:sz w:val="24"/>
          <w:szCs w:val="24"/>
        </w:rPr>
        <w:t xml:space="preserve">: </w:t>
      </w:r>
      <w:r w:rsidR="00AA3684">
        <w:rPr>
          <w:sz w:val="24"/>
          <w:szCs w:val="24"/>
        </w:rPr>
        <w:t xml:space="preserve">This comment is beyond the scope of this information collection request (ICR). This ICR requests </w:t>
      </w:r>
      <w:r w:rsidR="00AA3684" w:rsidRPr="00AA3684">
        <w:rPr>
          <w:sz w:val="24"/>
          <w:szCs w:val="24"/>
        </w:rPr>
        <w:t>extensio</w:t>
      </w:r>
      <w:r w:rsidR="00AA3684">
        <w:rPr>
          <w:sz w:val="24"/>
          <w:szCs w:val="24"/>
        </w:rPr>
        <w:t>n of the</w:t>
      </w:r>
      <w:r w:rsidR="00AA3684" w:rsidRPr="00AA3684">
        <w:rPr>
          <w:sz w:val="24"/>
          <w:szCs w:val="24"/>
        </w:rPr>
        <w:t xml:space="preserve"> currently approved </w:t>
      </w:r>
      <w:r w:rsidR="00AA3684">
        <w:rPr>
          <w:sz w:val="24"/>
          <w:szCs w:val="24"/>
        </w:rPr>
        <w:t>notification of intent to process Aleutian Islands Pacific cod</w:t>
      </w:r>
      <w:r w:rsidR="00C01E89">
        <w:rPr>
          <w:sz w:val="24"/>
          <w:szCs w:val="24"/>
        </w:rPr>
        <w:t xml:space="preserve"> </w:t>
      </w:r>
      <w:r w:rsidR="00053DEC">
        <w:rPr>
          <w:sz w:val="24"/>
          <w:szCs w:val="24"/>
        </w:rPr>
        <w:t xml:space="preserve">that is </w:t>
      </w:r>
      <w:r w:rsidR="00C01E89">
        <w:rPr>
          <w:sz w:val="24"/>
          <w:szCs w:val="24"/>
        </w:rPr>
        <w:t xml:space="preserve">submitted by the </w:t>
      </w:r>
      <w:r w:rsidR="00053DEC">
        <w:rPr>
          <w:sz w:val="24"/>
          <w:szCs w:val="24"/>
        </w:rPr>
        <w:t>C</w:t>
      </w:r>
      <w:r w:rsidR="00C01E89">
        <w:rPr>
          <w:sz w:val="24"/>
          <w:szCs w:val="24"/>
        </w:rPr>
        <w:t xml:space="preserve">ity of Adak or </w:t>
      </w:r>
      <w:r w:rsidR="00053DEC">
        <w:rPr>
          <w:sz w:val="24"/>
          <w:szCs w:val="24"/>
        </w:rPr>
        <w:t xml:space="preserve">City of </w:t>
      </w:r>
      <w:r w:rsidR="00C01E89">
        <w:rPr>
          <w:sz w:val="24"/>
          <w:szCs w:val="24"/>
        </w:rPr>
        <w:t>Atka</w:t>
      </w:r>
      <w:r w:rsidR="00AA3684">
        <w:rPr>
          <w:sz w:val="24"/>
          <w:szCs w:val="24"/>
        </w:rPr>
        <w:t xml:space="preserve">. </w:t>
      </w:r>
      <w:r w:rsidR="00D1083E" w:rsidRPr="00B8315F">
        <w:rPr>
          <w:sz w:val="24"/>
          <w:szCs w:val="24"/>
        </w:rPr>
        <w:t>This action is administrative in nature and will not result in any change in fishing activity</w:t>
      </w:r>
      <w:r w:rsidR="00D1083E" w:rsidRPr="00D1083E">
        <w:rPr>
          <w:sz w:val="24"/>
          <w:szCs w:val="24"/>
        </w:rPr>
        <w:t>.</w:t>
      </w:r>
      <w:r w:rsidR="00F041B6">
        <w:rPr>
          <w:sz w:val="24"/>
          <w:szCs w:val="24"/>
        </w:rPr>
        <w:t xml:space="preserve"> </w:t>
      </w:r>
    </w:p>
    <w:p w14:paraId="35271352" w14:textId="77777777" w:rsidR="00AA3684" w:rsidRPr="00AA3684" w:rsidRDefault="00AA3684" w:rsidP="00AA3684">
      <w:pPr>
        <w:rPr>
          <w:sz w:val="24"/>
          <w:szCs w:val="24"/>
        </w:rPr>
      </w:pPr>
    </w:p>
    <w:p w14:paraId="288DABA3" w14:textId="21413310" w:rsidR="00647C25" w:rsidRPr="00647C25" w:rsidRDefault="00647C25" w:rsidP="00DF1CEA">
      <w:pPr>
        <w:rPr>
          <w:sz w:val="24"/>
          <w:szCs w:val="24"/>
        </w:rPr>
      </w:pPr>
      <w:r w:rsidRPr="00DF1CEA">
        <w:rPr>
          <w:i/>
          <w:sz w:val="24"/>
          <w:szCs w:val="24"/>
        </w:rPr>
        <w:t xml:space="preserve">Comment </w:t>
      </w:r>
      <w:r w:rsidR="00AF52DC">
        <w:rPr>
          <w:i/>
          <w:sz w:val="24"/>
          <w:szCs w:val="24"/>
        </w:rPr>
        <w:t>2</w:t>
      </w:r>
      <w:r>
        <w:rPr>
          <w:sz w:val="24"/>
          <w:szCs w:val="24"/>
        </w:rPr>
        <w:t xml:space="preserve">: </w:t>
      </w:r>
      <w:r w:rsidRPr="00647C25">
        <w:rPr>
          <w:sz w:val="24"/>
          <w:szCs w:val="24"/>
        </w:rPr>
        <w:t>We support the Agency request for an extension of the currently approved information collection program.</w:t>
      </w:r>
      <w:r>
        <w:rPr>
          <w:sz w:val="24"/>
          <w:szCs w:val="24"/>
        </w:rPr>
        <w:t xml:space="preserve"> </w:t>
      </w:r>
      <w:r w:rsidRPr="00647C25">
        <w:rPr>
          <w:sz w:val="24"/>
          <w:szCs w:val="24"/>
        </w:rPr>
        <w:t xml:space="preserve">As noted in the FR Notice, NMFS is requesting renewal of this collection of information in the event of a successful court appeal of Amendment 113 to the BSAI </w:t>
      </w:r>
      <w:r w:rsidR="00E70E5D">
        <w:rPr>
          <w:sz w:val="24"/>
          <w:szCs w:val="24"/>
        </w:rPr>
        <w:t>g</w:t>
      </w:r>
      <w:r w:rsidRPr="00647C25">
        <w:rPr>
          <w:sz w:val="24"/>
          <w:szCs w:val="24"/>
        </w:rPr>
        <w:t xml:space="preserve">roundfish </w:t>
      </w:r>
      <w:r w:rsidR="00E70E5D">
        <w:rPr>
          <w:sz w:val="24"/>
          <w:szCs w:val="24"/>
        </w:rPr>
        <w:t>fishery management p</w:t>
      </w:r>
      <w:r w:rsidRPr="00647C25">
        <w:rPr>
          <w:sz w:val="24"/>
          <w:szCs w:val="24"/>
        </w:rPr>
        <w:t>lan. In this spirit, we also request that NMFS take appropriate action to retain all Amendment 113 regulations pending that appeal.</w:t>
      </w:r>
    </w:p>
    <w:p w14:paraId="5FE1C532" w14:textId="77777777" w:rsidR="00DF1CEA" w:rsidRDefault="00DF1CEA" w:rsidP="00DF1CEA">
      <w:pPr>
        <w:rPr>
          <w:sz w:val="24"/>
          <w:szCs w:val="24"/>
        </w:rPr>
      </w:pPr>
    </w:p>
    <w:p w14:paraId="5DFE54BE" w14:textId="23DFE85C" w:rsidR="00647C25" w:rsidRPr="00647C25" w:rsidRDefault="00647C25" w:rsidP="00DF1CEA">
      <w:pPr>
        <w:rPr>
          <w:sz w:val="24"/>
          <w:szCs w:val="24"/>
        </w:rPr>
      </w:pPr>
      <w:r w:rsidRPr="00647C25">
        <w:rPr>
          <w:sz w:val="24"/>
          <w:szCs w:val="24"/>
        </w:rPr>
        <w:t>In response to the FR Notice, our comments are as follows:</w:t>
      </w:r>
    </w:p>
    <w:p w14:paraId="0105F6A3" w14:textId="134FEEDB" w:rsidR="00647C25" w:rsidRPr="00DF1CEA" w:rsidRDefault="00647C25" w:rsidP="00DF1CEA">
      <w:pPr>
        <w:pStyle w:val="ListParagraph"/>
        <w:numPr>
          <w:ilvl w:val="0"/>
          <w:numId w:val="3"/>
        </w:numPr>
        <w:ind w:left="720"/>
        <w:rPr>
          <w:sz w:val="24"/>
          <w:szCs w:val="24"/>
        </w:rPr>
      </w:pPr>
      <w:r w:rsidRPr="00DF1CEA">
        <w:rPr>
          <w:sz w:val="24"/>
          <w:szCs w:val="24"/>
        </w:rPr>
        <w:t>The information is necessary for the proper Agency administration of Amendment 113, and therefore has practical utility;</w:t>
      </w:r>
    </w:p>
    <w:p w14:paraId="5CD3771F" w14:textId="24AC0CD1" w:rsidR="00647C25" w:rsidRPr="00DF1CEA" w:rsidRDefault="00647C25" w:rsidP="00DF1CEA">
      <w:pPr>
        <w:pStyle w:val="ListParagraph"/>
        <w:numPr>
          <w:ilvl w:val="0"/>
          <w:numId w:val="3"/>
        </w:numPr>
        <w:ind w:left="720"/>
        <w:rPr>
          <w:sz w:val="24"/>
          <w:szCs w:val="24"/>
        </w:rPr>
      </w:pPr>
      <w:r w:rsidRPr="00DF1CEA">
        <w:rPr>
          <w:sz w:val="24"/>
          <w:szCs w:val="24"/>
        </w:rPr>
        <w:t>The Agency’s estimate of the burden of this collection of information is accurate;</w:t>
      </w:r>
    </w:p>
    <w:p w14:paraId="378DCB09" w14:textId="623AC955" w:rsidR="00647C25" w:rsidRPr="00DF1CEA" w:rsidRDefault="00647C25" w:rsidP="00DF1CEA">
      <w:pPr>
        <w:pStyle w:val="ListParagraph"/>
        <w:numPr>
          <w:ilvl w:val="0"/>
          <w:numId w:val="3"/>
        </w:numPr>
        <w:ind w:left="720"/>
        <w:rPr>
          <w:sz w:val="24"/>
          <w:szCs w:val="24"/>
        </w:rPr>
      </w:pPr>
      <w:r w:rsidRPr="00DF1CEA">
        <w:rPr>
          <w:sz w:val="24"/>
          <w:szCs w:val="24"/>
        </w:rPr>
        <w:t>We do not have any suggestions concerning enhancements to the quality, utility</w:t>
      </w:r>
      <w:r w:rsidR="00D92EA0">
        <w:rPr>
          <w:sz w:val="24"/>
          <w:szCs w:val="24"/>
        </w:rPr>
        <w:t>,</w:t>
      </w:r>
      <w:r w:rsidRPr="00DF1CEA">
        <w:rPr>
          <w:sz w:val="24"/>
          <w:szCs w:val="24"/>
        </w:rPr>
        <w:t xml:space="preserve"> and clarity of the information;</w:t>
      </w:r>
    </w:p>
    <w:p w14:paraId="55B2F75A" w14:textId="7DFA44C8" w:rsidR="00647C25" w:rsidRPr="00DF1CEA" w:rsidRDefault="00647C25" w:rsidP="00DF1CEA">
      <w:pPr>
        <w:pStyle w:val="ListParagraph"/>
        <w:numPr>
          <w:ilvl w:val="0"/>
          <w:numId w:val="3"/>
        </w:numPr>
        <w:ind w:left="720"/>
        <w:rPr>
          <w:sz w:val="24"/>
          <w:szCs w:val="24"/>
        </w:rPr>
      </w:pPr>
      <w:r w:rsidRPr="00DF1CEA">
        <w:rPr>
          <w:sz w:val="24"/>
          <w:szCs w:val="24"/>
        </w:rPr>
        <w:t>We do not have any suggestions concerning ways to minimize the burden of the collection of information on respondents.</w:t>
      </w:r>
    </w:p>
    <w:p w14:paraId="3EEFD7A7" w14:textId="77777777" w:rsidR="00DF1CEA" w:rsidRDefault="00DF1CEA" w:rsidP="00DF1CEA">
      <w:pPr>
        <w:ind w:firstLine="720"/>
        <w:rPr>
          <w:sz w:val="24"/>
          <w:szCs w:val="24"/>
        </w:rPr>
      </w:pPr>
    </w:p>
    <w:p w14:paraId="418F025F" w14:textId="51121D03" w:rsidR="00647C25" w:rsidRDefault="00647C25" w:rsidP="00DF1CEA">
      <w:pPr>
        <w:rPr>
          <w:sz w:val="24"/>
          <w:szCs w:val="24"/>
        </w:rPr>
      </w:pPr>
      <w:r w:rsidRPr="00647C25">
        <w:rPr>
          <w:sz w:val="24"/>
          <w:szCs w:val="24"/>
        </w:rPr>
        <w:t>Thank you for the opportunity to comment on this important Program.</w:t>
      </w:r>
    </w:p>
    <w:p w14:paraId="2D42E022" w14:textId="6B00B56A" w:rsidR="00DF1CEA" w:rsidRDefault="00DF1CEA" w:rsidP="00647C25">
      <w:pPr>
        <w:rPr>
          <w:sz w:val="24"/>
          <w:szCs w:val="24"/>
        </w:rPr>
      </w:pPr>
    </w:p>
    <w:p w14:paraId="11794853" w14:textId="234B9D3A" w:rsidR="00DF1CEA" w:rsidRDefault="00DF1CEA" w:rsidP="00DF1CEA">
      <w:pPr>
        <w:rPr>
          <w:sz w:val="24"/>
          <w:szCs w:val="24"/>
        </w:rPr>
      </w:pPr>
      <w:r w:rsidRPr="00DF1CEA">
        <w:rPr>
          <w:i/>
          <w:sz w:val="24"/>
          <w:szCs w:val="24"/>
        </w:rPr>
        <w:t>Response</w:t>
      </w:r>
      <w:r w:rsidRPr="00DF1CEA">
        <w:rPr>
          <w:sz w:val="24"/>
          <w:szCs w:val="24"/>
        </w:rPr>
        <w:t>: NMFS acknowledges this comment</w:t>
      </w:r>
      <w:r w:rsidR="003E1575">
        <w:rPr>
          <w:sz w:val="24"/>
          <w:szCs w:val="24"/>
        </w:rPr>
        <w:t xml:space="preserve"> from</w:t>
      </w:r>
      <w:r w:rsidR="00BA48F0" w:rsidRPr="00BA48F0">
        <w:t xml:space="preserve"> </w:t>
      </w:r>
      <w:r w:rsidR="00BA48F0" w:rsidRPr="00BA48F0">
        <w:rPr>
          <w:sz w:val="24"/>
          <w:szCs w:val="24"/>
        </w:rPr>
        <w:t>Golden Harvest Alaska Seafood</w:t>
      </w:r>
      <w:r w:rsidR="008525C6">
        <w:rPr>
          <w:sz w:val="24"/>
          <w:szCs w:val="24"/>
        </w:rPr>
        <w:t xml:space="preserve"> in Adak</w:t>
      </w:r>
      <w:r w:rsidRPr="00DF1CEA">
        <w:rPr>
          <w:sz w:val="24"/>
          <w:szCs w:val="24"/>
        </w:rPr>
        <w:t>.</w:t>
      </w:r>
    </w:p>
    <w:p w14:paraId="21BC2149" w14:textId="77777777" w:rsidR="00992B2E" w:rsidRDefault="00992B2E">
      <w:pPr>
        <w:rPr>
          <w:sz w:val="24"/>
          <w:szCs w:val="24"/>
        </w:rPr>
      </w:pPr>
    </w:p>
    <w:p w14:paraId="2A349EF3" w14:textId="59194DE5" w:rsidR="004F26E9" w:rsidRDefault="004F26E9">
      <w:pPr>
        <w:rPr>
          <w:sz w:val="24"/>
          <w:szCs w:val="24"/>
        </w:rPr>
      </w:pPr>
      <w:r>
        <w:rPr>
          <w:b/>
          <w:bCs/>
          <w:sz w:val="24"/>
          <w:szCs w:val="24"/>
        </w:rPr>
        <w:t>9.</w:t>
      </w:r>
      <w:r w:rsidR="00F041B6">
        <w:rPr>
          <w:b/>
          <w:bCs/>
          <w:sz w:val="24"/>
          <w:szCs w:val="24"/>
        </w:rPr>
        <w:t xml:space="preserve"> </w:t>
      </w:r>
      <w:r w:rsidRPr="000A0540">
        <w:rPr>
          <w:b/>
          <w:bCs/>
          <w:sz w:val="24"/>
          <w:szCs w:val="24"/>
        </w:rPr>
        <w:t>Explain any decisions to provide payments or gifts to respondents, other than remuneration of contractors or grantees.</w:t>
      </w:r>
    </w:p>
    <w:p w14:paraId="3FC2A552" w14:textId="77777777" w:rsidR="004F26E9" w:rsidRDefault="004F26E9">
      <w:pPr>
        <w:rPr>
          <w:sz w:val="24"/>
          <w:szCs w:val="24"/>
        </w:rPr>
      </w:pPr>
    </w:p>
    <w:p w14:paraId="294D1AD9" w14:textId="789E7AE8" w:rsidR="004F26E9" w:rsidRDefault="00354013">
      <w:pPr>
        <w:rPr>
          <w:sz w:val="24"/>
          <w:szCs w:val="24"/>
        </w:rPr>
      </w:pPr>
      <w:r w:rsidRPr="00354013">
        <w:rPr>
          <w:sz w:val="24"/>
          <w:szCs w:val="24"/>
        </w:rPr>
        <w:t>No payment or gift will be provided under this information collection.</w:t>
      </w:r>
    </w:p>
    <w:p w14:paraId="7587F135" w14:textId="77777777" w:rsidR="004F26E9" w:rsidRDefault="004F26E9">
      <w:pPr>
        <w:rPr>
          <w:sz w:val="24"/>
          <w:szCs w:val="24"/>
        </w:rPr>
      </w:pPr>
    </w:p>
    <w:p w14:paraId="7B3D6B92" w14:textId="2AEFBD13" w:rsidR="004F26E9" w:rsidRDefault="004F26E9">
      <w:pPr>
        <w:rPr>
          <w:sz w:val="24"/>
          <w:szCs w:val="24"/>
        </w:rPr>
      </w:pPr>
      <w:r w:rsidRPr="00BD09F5">
        <w:rPr>
          <w:b/>
          <w:bCs/>
          <w:sz w:val="24"/>
          <w:szCs w:val="24"/>
        </w:rPr>
        <w:t>10.</w:t>
      </w:r>
      <w:r w:rsidR="00F041B6">
        <w:rPr>
          <w:b/>
          <w:bCs/>
          <w:sz w:val="24"/>
          <w:szCs w:val="24"/>
        </w:rPr>
        <w:t xml:space="preserve"> </w:t>
      </w:r>
      <w:r w:rsidRPr="00BD09F5">
        <w:rPr>
          <w:b/>
          <w:bCs/>
          <w:sz w:val="24"/>
          <w:szCs w:val="24"/>
        </w:rPr>
        <w:t>Describe any assurance of confidentiality provided to respondents and the basis for assurance in statute, regulation, or agency policy.</w:t>
      </w:r>
    </w:p>
    <w:p w14:paraId="7E54C0D6" w14:textId="31834150" w:rsidR="004F26E9" w:rsidRDefault="004F26E9">
      <w:pPr>
        <w:rPr>
          <w:sz w:val="24"/>
          <w:szCs w:val="24"/>
        </w:rPr>
      </w:pPr>
    </w:p>
    <w:p w14:paraId="136D67EB" w14:textId="1C2E2FA0" w:rsidR="00EB56F4" w:rsidRDefault="00EB56F4">
      <w:pPr>
        <w:rPr>
          <w:sz w:val="24"/>
          <w:szCs w:val="24"/>
        </w:rPr>
      </w:pPr>
      <w:r>
        <w:rPr>
          <w:sz w:val="24"/>
          <w:szCs w:val="24"/>
        </w:rPr>
        <w:t xml:space="preserve">The information collected is confidential under section 402(b) of the Magnuson-Stevens Act as amended in 2006 (16 U.S.C. 1801, </w:t>
      </w:r>
      <w:r w:rsidRPr="00EB56F4">
        <w:rPr>
          <w:i/>
          <w:sz w:val="24"/>
          <w:szCs w:val="24"/>
        </w:rPr>
        <w:t>et seq</w:t>
      </w:r>
      <w:r>
        <w:rPr>
          <w:sz w:val="24"/>
          <w:szCs w:val="24"/>
        </w:rPr>
        <w:t xml:space="preserve">.). It is also confidential under </w:t>
      </w:r>
      <w:r w:rsidR="00693DF5">
        <w:rPr>
          <w:sz w:val="24"/>
          <w:szCs w:val="24"/>
        </w:rPr>
        <w:t>NOAA Administrative Order 216-100, which sets forth procedures to protect confidentiality of fishery statistics.</w:t>
      </w:r>
    </w:p>
    <w:p w14:paraId="67CB3831" w14:textId="77777777" w:rsidR="004F26E9" w:rsidRDefault="004F26E9">
      <w:pPr>
        <w:rPr>
          <w:sz w:val="24"/>
          <w:szCs w:val="24"/>
        </w:rPr>
      </w:pPr>
    </w:p>
    <w:p w14:paraId="7A37A85B" w14:textId="2810356C" w:rsidR="004F26E9" w:rsidRDefault="004F26E9">
      <w:pPr>
        <w:rPr>
          <w:sz w:val="24"/>
          <w:szCs w:val="24"/>
        </w:rPr>
      </w:pPr>
      <w:r>
        <w:rPr>
          <w:b/>
          <w:bCs/>
          <w:sz w:val="24"/>
          <w:szCs w:val="24"/>
        </w:rPr>
        <w:t>11.</w:t>
      </w:r>
      <w:r w:rsidR="00F041B6">
        <w:rPr>
          <w:b/>
          <w:bCs/>
          <w:sz w:val="24"/>
          <w:szCs w:val="24"/>
        </w:rPr>
        <w:t xml:space="preserve"> </w:t>
      </w:r>
      <w:r w:rsidRPr="000A0540">
        <w:rPr>
          <w:b/>
          <w:bCs/>
          <w:sz w:val="24"/>
          <w:szCs w:val="24"/>
        </w:rPr>
        <w:t>Provide additional justification for any questions of a sensitive nature, such as sexual behavior and attitudes, religious beliefs, and other matters that are commonly considered private</w:t>
      </w:r>
      <w:r>
        <w:rPr>
          <w:b/>
          <w:bCs/>
          <w:sz w:val="24"/>
          <w:szCs w:val="24"/>
        </w:rPr>
        <w:t>.</w:t>
      </w:r>
    </w:p>
    <w:p w14:paraId="4442B53A" w14:textId="77777777" w:rsidR="004F26E9" w:rsidRDefault="004F26E9">
      <w:pPr>
        <w:rPr>
          <w:sz w:val="24"/>
          <w:szCs w:val="24"/>
        </w:rPr>
      </w:pPr>
    </w:p>
    <w:p w14:paraId="4E2F49D0" w14:textId="3A3BF0BB" w:rsidR="004F26E9" w:rsidRDefault="00160B12">
      <w:pPr>
        <w:rPr>
          <w:sz w:val="24"/>
          <w:szCs w:val="24"/>
        </w:rPr>
      </w:pPr>
      <w:r>
        <w:rPr>
          <w:sz w:val="24"/>
          <w:szCs w:val="24"/>
        </w:rPr>
        <w:t>This information collection does not involve information of a sensitive nature.</w:t>
      </w:r>
    </w:p>
    <w:p w14:paraId="442596E0" w14:textId="77777777" w:rsidR="004F26E9" w:rsidRDefault="004F26E9">
      <w:pPr>
        <w:rPr>
          <w:sz w:val="24"/>
          <w:szCs w:val="24"/>
        </w:rPr>
      </w:pPr>
    </w:p>
    <w:p w14:paraId="7119F979" w14:textId="44FA9DDB" w:rsidR="004F26E9" w:rsidRDefault="004F26E9">
      <w:pPr>
        <w:rPr>
          <w:sz w:val="24"/>
          <w:szCs w:val="24"/>
        </w:rPr>
      </w:pPr>
      <w:r w:rsidRPr="008B338C">
        <w:rPr>
          <w:b/>
          <w:bCs/>
          <w:sz w:val="24"/>
          <w:szCs w:val="24"/>
        </w:rPr>
        <w:t>12.</w:t>
      </w:r>
      <w:r w:rsidR="00F041B6">
        <w:rPr>
          <w:b/>
          <w:bCs/>
          <w:sz w:val="24"/>
          <w:szCs w:val="24"/>
        </w:rPr>
        <w:t xml:space="preserve"> </w:t>
      </w:r>
      <w:r w:rsidRPr="000A0540">
        <w:rPr>
          <w:b/>
          <w:bCs/>
          <w:sz w:val="24"/>
          <w:szCs w:val="24"/>
        </w:rPr>
        <w:t>Provide an estimate in hours of the burden of the collection of information</w:t>
      </w:r>
      <w:r>
        <w:rPr>
          <w:b/>
          <w:bCs/>
          <w:sz w:val="24"/>
          <w:szCs w:val="24"/>
        </w:rPr>
        <w:t>.</w:t>
      </w:r>
    </w:p>
    <w:p w14:paraId="1FD5EF3B" w14:textId="77777777" w:rsidR="00A82305" w:rsidRDefault="00A82305">
      <w:pPr>
        <w:rPr>
          <w:sz w:val="24"/>
          <w:szCs w:val="24"/>
        </w:rPr>
      </w:pPr>
    </w:p>
    <w:p w14:paraId="3C72A8AA" w14:textId="3AAE3F2B" w:rsidR="006B5041" w:rsidRPr="00A82305" w:rsidRDefault="00A82305">
      <w:pPr>
        <w:rPr>
          <w:rFonts w:ascii="Arial Narrow" w:hAnsi="Arial Narrow"/>
        </w:rPr>
      </w:pPr>
      <w:r w:rsidRPr="00A82305">
        <w:rPr>
          <w:rFonts w:ascii="Arial Narrow" w:hAnsi="Arial Narrow"/>
        </w:rPr>
        <w:t>Notification of Intent to Process Non-</w:t>
      </w:r>
      <w:r w:rsidR="003B3BFA">
        <w:rPr>
          <w:rFonts w:ascii="Arial Narrow" w:hAnsi="Arial Narrow"/>
        </w:rPr>
        <w:t>CDQ</w:t>
      </w:r>
      <w:r w:rsidRPr="00A82305">
        <w:rPr>
          <w:rFonts w:ascii="Arial Narrow" w:hAnsi="Arial Narrow"/>
        </w:rPr>
        <w:t xml:space="preserve"> Aleutian Islands Pacific Cod </w:t>
      </w:r>
      <w:r w:rsidR="003B3BFA">
        <w:rPr>
          <w:rFonts w:ascii="Arial Narrow" w:hAnsi="Arial Narrow"/>
        </w:rPr>
        <w:t xml:space="preserve">from </w:t>
      </w:r>
      <w:r w:rsidR="003B3BFA" w:rsidRPr="003B3BFA">
        <w:rPr>
          <w:rFonts w:ascii="Arial Narrow" w:hAnsi="Arial Narrow"/>
        </w:rPr>
        <w:t>Directed</w:t>
      </w:r>
      <w:r w:rsidR="003B3BFA">
        <w:rPr>
          <w:rFonts w:ascii="Arial Narrow" w:hAnsi="Arial Narrow"/>
        </w:rPr>
        <w:t xml:space="preserve"> Fishing</w:t>
      </w:r>
      <w:r w:rsidRPr="00A82305">
        <w:rPr>
          <w:rFonts w:ascii="Arial Narrow" w:hAnsi="Arial Narrow"/>
        </w:rPr>
        <w:t xml:space="preserve"> </w:t>
      </w:r>
    </w:p>
    <w:tbl>
      <w:tblPr>
        <w:tblStyle w:val="TableGrid"/>
        <w:tblW w:w="0" w:type="auto"/>
        <w:jc w:val="center"/>
        <w:tblLayout w:type="fixed"/>
        <w:tblLook w:val="04A0" w:firstRow="1" w:lastRow="0" w:firstColumn="1" w:lastColumn="0" w:noHBand="0" w:noVBand="1"/>
      </w:tblPr>
      <w:tblGrid>
        <w:gridCol w:w="1525"/>
        <w:gridCol w:w="1260"/>
        <w:gridCol w:w="1440"/>
        <w:gridCol w:w="1530"/>
        <w:gridCol w:w="900"/>
        <w:gridCol w:w="1080"/>
        <w:gridCol w:w="1530"/>
      </w:tblGrid>
      <w:tr w:rsidR="00A65F0C" w:rsidRPr="006B5041" w14:paraId="3E46EEA8" w14:textId="515BCDFA" w:rsidTr="00EC69BF">
        <w:trPr>
          <w:trHeight w:val="260"/>
          <w:jc w:val="center"/>
        </w:trPr>
        <w:tc>
          <w:tcPr>
            <w:tcW w:w="1525" w:type="dxa"/>
            <w:shd w:val="clear" w:color="auto" w:fill="DEEAF6" w:themeFill="accent1" w:themeFillTint="33"/>
            <w:vAlign w:val="center"/>
          </w:tcPr>
          <w:p w14:paraId="4EDB526F" w14:textId="4C13CAF1" w:rsidR="00A65F0C" w:rsidRPr="00BD7B3F" w:rsidRDefault="00A65F0C" w:rsidP="006B5041">
            <w:pPr>
              <w:jc w:val="center"/>
              <w:rPr>
                <w:rFonts w:ascii="Arial Narrow" w:hAnsi="Arial Narrow" w:cstheme="minorHAnsi"/>
                <w:b/>
              </w:rPr>
            </w:pPr>
            <w:r w:rsidRPr="00BD7B3F">
              <w:rPr>
                <w:rFonts w:ascii="Arial Narrow" w:hAnsi="Arial Narrow" w:cstheme="minorHAnsi"/>
                <w:b/>
              </w:rPr>
              <w:t>Type of Respondents</w:t>
            </w:r>
          </w:p>
        </w:tc>
        <w:tc>
          <w:tcPr>
            <w:tcW w:w="1260" w:type="dxa"/>
            <w:shd w:val="clear" w:color="auto" w:fill="DEEAF6" w:themeFill="accent1" w:themeFillTint="33"/>
            <w:vAlign w:val="center"/>
          </w:tcPr>
          <w:p w14:paraId="4EF64411" w14:textId="19AD57A2" w:rsidR="00A65F0C" w:rsidRPr="00BD7B3F" w:rsidRDefault="00A65F0C" w:rsidP="006B5041">
            <w:pPr>
              <w:jc w:val="center"/>
              <w:rPr>
                <w:rFonts w:ascii="Arial Narrow" w:hAnsi="Arial Narrow" w:cstheme="minorHAnsi"/>
                <w:b/>
              </w:rPr>
            </w:pPr>
            <w:r w:rsidRPr="00BD7B3F">
              <w:rPr>
                <w:rFonts w:ascii="Arial Narrow" w:hAnsi="Arial Narrow" w:cstheme="minorHAnsi"/>
                <w:b/>
              </w:rPr>
              <w:t>Number of Respondents</w:t>
            </w:r>
          </w:p>
        </w:tc>
        <w:tc>
          <w:tcPr>
            <w:tcW w:w="1440" w:type="dxa"/>
            <w:shd w:val="clear" w:color="auto" w:fill="DEEAF6" w:themeFill="accent1" w:themeFillTint="33"/>
            <w:vAlign w:val="center"/>
          </w:tcPr>
          <w:p w14:paraId="589E0E8D" w14:textId="2A4ECCCC" w:rsidR="00A65F0C" w:rsidRPr="00BD7B3F" w:rsidRDefault="00A65F0C" w:rsidP="006B5041">
            <w:pPr>
              <w:jc w:val="center"/>
              <w:rPr>
                <w:rFonts w:ascii="Arial Narrow" w:hAnsi="Arial Narrow" w:cstheme="minorHAnsi"/>
                <w:b/>
              </w:rPr>
            </w:pPr>
            <w:r w:rsidRPr="00BD7B3F">
              <w:rPr>
                <w:rFonts w:ascii="Arial Narrow" w:hAnsi="Arial Narrow" w:cstheme="minorHAnsi"/>
                <w:b/>
              </w:rPr>
              <w:t xml:space="preserve">Number of </w:t>
            </w:r>
            <w:r w:rsidR="006471F1">
              <w:rPr>
                <w:rFonts w:ascii="Arial Narrow" w:hAnsi="Arial Narrow" w:cstheme="minorHAnsi"/>
                <w:b/>
              </w:rPr>
              <w:t xml:space="preserve">Annual </w:t>
            </w:r>
            <w:r w:rsidRPr="00BD7B3F">
              <w:rPr>
                <w:rFonts w:ascii="Arial Narrow" w:hAnsi="Arial Narrow" w:cstheme="minorHAnsi"/>
                <w:b/>
              </w:rPr>
              <w:t>Responses per Respondent</w:t>
            </w:r>
          </w:p>
        </w:tc>
        <w:tc>
          <w:tcPr>
            <w:tcW w:w="1530" w:type="dxa"/>
            <w:shd w:val="clear" w:color="auto" w:fill="DEEAF6" w:themeFill="accent1" w:themeFillTint="33"/>
            <w:vAlign w:val="center"/>
          </w:tcPr>
          <w:p w14:paraId="42A110E9" w14:textId="25BA2260" w:rsidR="00A65F0C" w:rsidRPr="00BD7B3F" w:rsidRDefault="00A65F0C" w:rsidP="006B5041">
            <w:pPr>
              <w:jc w:val="center"/>
              <w:rPr>
                <w:rFonts w:ascii="Arial Narrow" w:hAnsi="Arial Narrow" w:cstheme="minorHAnsi"/>
                <w:b/>
              </w:rPr>
            </w:pPr>
            <w:r w:rsidRPr="00BD7B3F">
              <w:rPr>
                <w:rFonts w:ascii="Arial Narrow" w:hAnsi="Arial Narrow" w:cstheme="minorHAnsi"/>
                <w:b/>
              </w:rPr>
              <w:t>Average Burden per Response (in hours)</w:t>
            </w:r>
          </w:p>
        </w:tc>
        <w:tc>
          <w:tcPr>
            <w:tcW w:w="900" w:type="dxa"/>
            <w:shd w:val="clear" w:color="auto" w:fill="DEEAF6" w:themeFill="accent1" w:themeFillTint="33"/>
            <w:vAlign w:val="center"/>
          </w:tcPr>
          <w:p w14:paraId="3812A4BE" w14:textId="40202252" w:rsidR="00A65F0C" w:rsidRPr="00BD7B3F" w:rsidRDefault="00A65F0C" w:rsidP="006B5041">
            <w:pPr>
              <w:jc w:val="center"/>
              <w:rPr>
                <w:rFonts w:ascii="Arial Narrow" w:hAnsi="Arial Narrow" w:cstheme="minorHAnsi"/>
                <w:b/>
              </w:rPr>
            </w:pPr>
            <w:r w:rsidRPr="00BD7B3F">
              <w:rPr>
                <w:rFonts w:ascii="Arial Narrow" w:hAnsi="Arial Narrow" w:cstheme="minorHAnsi"/>
                <w:b/>
              </w:rPr>
              <w:t xml:space="preserve">Total </w:t>
            </w:r>
            <w:r w:rsidR="006471F1">
              <w:rPr>
                <w:rFonts w:ascii="Arial Narrow" w:hAnsi="Arial Narrow" w:cstheme="minorHAnsi"/>
                <w:b/>
              </w:rPr>
              <w:t xml:space="preserve">Annual </w:t>
            </w:r>
            <w:r w:rsidRPr="00BD7B3F">
              <w:rPr>
                <w:rFonts w:ascii="Arial Narrow" w:hAnsi="Arial Narrow" w:cstheme="minorHAnsi"/>
                <w:b/>
              </w:rPr>
              <w:t>Burden Hours</w:t>
            </w:r>
          </w:p>
        </w:tc>
        <w:tc>
          <w:tcPr>
            <w:tcW w:w="1080" w:type="dxa"/>
            <w:shd w:val="clear" w:color="auto" w:fill="DEEAF6" w:themeFill="accent1" w:themeFillTint="33"/>
            <w:vAlign w:val="center"/>
          </w:tcPr>
          <w:p w14:paraId="1C0C204E" w14:textId="16BA91E2" w:rsidR="00A65F0C" w:rsidRPr="00BD7B3F" w:rsidRDefault="00A65F0C" w:rsidP="006B5041">
            <w:pPr>
              <w:jc w:val="center"/>
              <w:rPr>
                <w:rFonts w:ascii="Arial Narrow" w:hAnsi="Arial Narrow" w:cstheme="minorHAnsi"/>
                <w:b/>
              </w:rPr>
            </w:pPr>
            <w:r>
              <w:rPr>
                <w:rFonts w:ascii="Arial Narrow" w:hAnsi="Arial Narrow" w:cstheme="minorHAnsi"/>
                <w:b/>
              </w:rPr>
              <w:t>Hourly Wage Rate</w:t>
            </w:r>
          </w:p>
        </w:tc>
        <w:tc>
          <w:tcPr>
            <w:tcW w:w="1530" w:type="dxa"/>
            <w:shd w:val="clear" w:color="auto" w:fill="DEEAF6" w:themeFill="accent1" w:themeFillTint="33"/>
            <w:vAlign w:val="center"/>
          </w:tcPr>
          <w:p w14:paraId="49F9C085" w14:textId="453CC43E" w:rsidR="00A65F0C" w:rsidRPr="00BD7B3F" w:rsidRDefault="00A65F0C" w:rsidP="009177A4">
            <w:pPr>
              <w:jc w:val="center"/>
              <w:rPr>
                <w:rFonts w:ascii="Arial Narrow" w:hAnsi="Arial Narrow" w:cstheme="minorHAnsi"/>
                <w:b/>
              </w:rPr>
            </w:pPr>
            <w:r>
              <w:rPr>
                <w:rFonts w:ascii="Arial Narrow" w:hAnsi="Arial Narrow" w:cstheme="minorHAnsi"/>
                <w:b/>
              </w:rPr>
              <w:t xml:space="preserve">Total </w:t>
            </w:r>
            <w:r w:rsidR="00F27212">
              <w:rPr>
                <w:rFonts w:ascii="Arial Narrow" w:hAnsi="Arial Narrow" w:cstheme="minorHAnsi"/>
                <w:b/>
              </w:rPr>
              <w:t>Annual Costs for</w:t>
            </w:r>
            <w:r w:rsidR="00F041B6">
              <w:rPr>
                <w:rFonts w:ascii="Arial Narrow" w:hAnsi="Arial Narrow" w:cstheme="minorHAnsi"/>
                <w:b/>
              </w:rPr>
              <w:t xml:space="preserve"> </w:t>
            </w:r>
            <w:r>
              <w:rPr>
                <w:rFonts w:ascii="Arial Narrow" w:hAnsi="Arial Narrow" w:cstheme="minorHAnsi"/>
                <w:b/>
              </w:rPr>
              <w:t>Responde</w:t>
            </w:r>
            <w:r w:rsidR="00F27212">
              <w:rPr>
                <w:rFonts w:ascii="Arial Narrow" w:hAnsi="Arial Narrow" w:cstheme="minorHAnsi"/>
                <w:b/>
              </w:rPr>
              <w:t>nts’</w:t>
            </w:r>
            <w:r>
              <w:rPr>
                <w:rFonts w:ascii="Arial Narrow" w:hAnsi="Arial Narrow" w:cstheme="minorHAnsi"/>
                <w:b/>
              </w:rPr>
              <w:t xml:space="preserve"> </w:t>
            </w:r>
            <w:r w:rsidR="00F27212">
              <w:rPr>
                <w:rFonts w:ascii="Arial Narrow" w:hAnsi="Arial Narrow" w:cstheme="minorHAnsi"/>
                <w:b/>
              </w:rPr>
              <w:t>Burden Hours</w:t>
            </w:r>
          </w:p>
        </w:tc>
      </w:tr>
      <w:tr w:rsidR="00A65F0C" w:rsidRPr="006B5041" w14:paraId="699513C2" w14:textId="0D5B79D9" w:rsidTr="002F504B">
        <w:trPr>
          <w:trHeight w:val="277"/>
          <w:jc w:val="center"/>
        </w:trPr>
        <w:tc>
          <w:tcPr>
            <w:tcW w:w="1525" w:type="dxa"/>
            <w:tcBorders>
              <w:bottom w:val="double" w:sz="4" w:space="0" w:color="auto"/>
            </w:tcBorders>
            <w:vAlign w:val="center"/>
          </w:tcPr>
          <w:p w14:paraId="423E7082" w14:textId="5627EE40" w:rsidR="00A65F0C" w:rsidRPr="006B5041" w:rsidRDefault="00A65F0C" w:rsidP="006B5041">
            <w:pPr>
              <w:jc w:val="center"/>
              <w:rPr>
                <w:rFonts w:ascii="Arial Narrow" w:hAnsi="Arial Narrow"/>
              </w:rPr>
            </w:pPr>
            <w:r w:rsidRPr="006B25C5">
              <w:rPr>
                <w:rFonts w:ascii="Arial Narrow" w:hAnsi="Arial Narrow"/>
              </w:rPr>
              <w:t xml:space="preserve">City manager / </w:t>
            </w:r>
            <w:r w:rsidR="00BD09F5" w:rsidRPr="006B25C5">
              <w:rPr>
                <w:rFonts w:ascii="Arial Narrow" w:hAnsi="Arial Narrow"/>
              </w:rPr>
              <w:t xml:space="preserve">City </w:t>
            </w:r>
            <w:r w:rsidRPr="006B25C5">
              <w:rPr>
                <w:rFonts w:ascii="Arial Narrow" w:hAnsi="Arial Narrow"/>
              </w:rPr>
              <w:t>administrator</w:t>
            </w:r>
          </w:p>
        </w:tc>
        <w:tc>
          <w:tcPr>
            <w:tcW w:w="1260" w:type="dxa"/>
            <w:tcBorders>
              <w:bottom w:val="double" w:sz="4" w:space="0" w:color="auto"/>
            </w:tcBorders>
            <w:vAlign w:val="center"/>
          </w:tcPr>
          <w:p w14:paraId="706EFE05" w14:textId="291039E8" w:rsidR="00A65F0C" w:rsidRPr="006B5041" w:rsidRDefault="00A65F0C" w:rsidP="006B5041">
            <w:pPr>
              <w:jc w:val="center"/>
              <w:rPr>
                <w:rFonts w:ascii="Arial Narrow" w:hAnsi="Arial Narrow"/>
              </w:rPr>
            </w:pPr>
            <w:r w:rsidRPr="006B5041">
              <w:rPr>
                <w:rFonts w:ascii="Arial Narrow" w:hAnsi="Arial Narrow"/>
              </w:rPr>
              <w:t>2</w:t>
            </w:r>
          </w:p>
        </w:tc>
        <w:tc>
          <w:tcPr>
            <w:tcW w:w="1440" w:type="dxa"/>
            <w:tcBorders>
              <w:bottom w:val="double" w:sz="4" w:space="0" w:color="auto"/>
            </w:tcBorders>
            <w:vAlign w:val="center"/>
          </w:tcPr>
          <w:p w14:paraId="6D13FB00" w14:textId="006E9548" w:rsidR="00A65F0C" w:rsidRPr="006B5041" w:rsidRDefault="00A65F0C" w:rsidP="006B5041">
            <w:pPr>
              <w:jc w:val="center"/>
              <w:rPr>
                <w:rFonts w:ascii="Arial Narrow" w:hAnsi="Arial Narrow"/>
              </w:rPr>
            </w:pPr>
            <w:r>
              <w:rPr>
                <w:rFonts w:ascii="Arial Narrow" w:hAnsi="Arial Narrow"/>
              </w:rPr>
              <w:t>1</w:t>
            </w:r>
          </w:p>
        </w:tc>
        <w:tc>
          <w:tcPr>
            <w:tcW w:w="1530" w:type="dxa"/>
            <w:tcBorders>
              <w:bottom w:val="double" w:sz="4" w:space="0" w:color="auto"/>
            </w:tcBorders>
            <w:vAlign w:val="center"/>
          </w:tcPr>
          <w:p w14:paraId="32913280" w14:textId="2A9646B0" w:rsidR="00A65F0C" w:rsidRPr="006B5041" w:rsidRDefault="00A65F0C" w:rsidP="006B5041">
            <w:pPr>
              <w:jc w:val="center"/>
              <w:rPr>
                <w:rFonts w:ascii="Arial Narrow" w:hAnsi="Arial Narrow"/>
              </w:rPr>
            </w:pPr>
            <w:r>
              <w:rPr>
                <w:rFonts w:ascii="Arial Narrow" w:hAnsi="Arial Narrow"/>
              </w:rPr>
              <w:t>0.5</w:t>
            </w:r>
          </w:p>
        </w:tc>
        <w:tc>
          <w:tcPr>
            <w:tcW w:w="900" w:type="dxa"/>
            <w:tcBorders>
              <w:bottom w:val="double" w:sz="4" w:space="0" w:color="auto"/>
            </w:tcBorders>
            <w:vAlign w:val="center"/>
          </w:tcPr>
          <w:p w14:paraId="074B29F3" w14:textId="349EA456" w:rsidR="00A65F0C" w:rsidRPr="006B5041" w:rsidRDefault="00A65F0C" w:rsidP="006B5041">
            <w:pPr>
              <w:jc w:val="center"/>
              <w:rPr>
                <w:rFonts w:ascii="Arial Narrow" w:hAnsi="Arial Narrow"/>
              </w:rPr>
            </w:pPr>
            <w:r>
              <w:rPr>
                <w:rFonts w:ascii="Arial Narrow" w:hAnsi="Arial Narrow"/>
              </w:rPr>
              <w:t>1</w:t>
            </w:r>
          </w:p>
        </w:tc>
        <w:tc>
          <w:tcPr>
            <w:tcW w:w="1080" w:type="dxa"/>
            <w:tcBorders>
              <w:bottom w:val="double" w:sz="4" w:space="0" w:color="auto"/>
            </w:tcBorders>
            <w:vAlign w:val="center"/>
          </w:tcPr>
          <w:p w14:paraId="6A6379CB" w14:textId="4945D68D" w:rsidR="00A65F0C" w:rsidRDefault="00B54431" w:rsidP="006B5041">
            <w:pPr>
              <w:jc w:val="center"/>
              <w:rPr>
                <w:rFonts w:ascii="Arial Narrow" w:hAnsi="Arial Narrow"/>
              </w:rPr>
            </w:pPr>
            <w:r>
              <w:rPr>
                <w:rFonts w:ascii="Arial Narrow" w:hAnsi="Arial Narrow"/>
              </w:rPr>
              <w:t>$54.13</w:t>
            </w:r>
            <w:r w:rsidR="002B0EB6">
              <w:rPr>
                <w:rFonts w:ascii="Arial Narrow" w:hAnsi="Arial Narrow"/>
              </w:rPr>
              <w:t>*</w:t>
            </w:r>
          </w:p>
        </w:tc>
        <w:tc>
          <w:tcPr>
            <w:tcW w:w="1530" w:type="dxa"/>
            <w:tcBorders>
              <w:bottom w:val="double" w:sz="4" w:space="0" w:color="auto"/>
            </w:tcBorders>
            <w:vAlign w:val="center"/>
          </w:tcPr>
          <w:p w14:paraId="095E30E8" w14:textId="5BEFC10A" w:rsidR="00A65F0C" w:rsidRDefault="00EC69BF" w:rsidP="00EC69BF">
            <w:pPr>
              <w:jc w:val="center"/>
              <w:rPr>
                <w:rFonts w:ascii="Arial Narrow" w:hAnsi="Arial Narrow"/>
              </w:rPr>
            </w:pPr>
            <w:r>
              <w:rPr>
                <w:rFonts w:ascii="Arial Narrow" w:hAnsi="Arial Narrow"/>
              </w:rPr>
              <w:t>$54</w:t>
            </w:r>
            <w:r w:rsidR="0018712D">
              <w:rPr>
                <w:rFonts w:ascii="Arial Narrow" w:hAnsi="Arial Narrow"/>
              </w:rPr>
              <w:t>.13</w:t>
            </w:r>
          </w:p>
        </w:tc>
      </w:tr>
      <w:tr w:rsidR="00A65F0C" w:rsidRPr="006B5041" w14:paraId="6B48803A" w14:textId="7D86FB29" w:rsidTr="002F504B">
        <w:trPr>
          <w:trHeight w:val="277"/>
          <w:jc w:val="center"/>
        </w:trPr>
        <w:tc>
          <w:tcPr>
            <w:tcW w:w="1525" w:type="dxa"/>
            <w:tcBorders>
              <w:top w:val="double" w:sz="4" w:space="0" w:color="auto"/>
            </w:tcBorders>
            <w:vAlign w:val="center"/>
          </w:tcPr>
          <w:p w14:paraId="1723FA6E" w14:textId="30BBDACC" w:rsidR="00A65F0C" w:rsidRPr="00BD7B3F" w:rsidRDefault="00A65F0C" w:rsidP="006471F1">
            <w:pPr>
              <w:jc w:val="center"/>
              <w:rPr>
                <w:rFonts w:ascii="Arial Narrow" w:hAnsi="Arial Narrow"/>
                <w:b/>
              </w:rPr>
            </w:pPr>
            <w:r w:rsidRPr="00BD7B3F">
              <w:rPr>
                <w:rFonts w:ascii="Arial Narrow" w:hAnsi="Arial Narrow"/>
                <w:b/>
              </w:rPr>
              <w:t>Total</w:t>
            </w:r>
            <w:r w:rsidR="00D7591A">
              <w:rPr>
                <w:rFonts w:ascii="Arial Narrow" w:hAnsi="Arial Narrow"/>
                <w:b/>
              </w:rPr>
              <w:t xml:space="preserve"> </w:t>
            </w:r>
          </w:p>
        </w:tc>
        <w:tc>
          <w:tcPr>
            <w:tcW w:w="1260" w:type="dxa"/>
            <w:tcBorders>
              <w:top w:val="double" w:sz="4" w:space="0" w:color="auto"/>
            </w:tcBorders>
            <w:vAlign w:val="center"/>
          </w:tcPr>
          <w:p w14:paraId="5A4B1897" w14:textId="2D40E766" w:rsidR="00A65F0C" w:rsidRPr="006B5041" w:rsidRDefault="00A65F0C" w:rsidP="006B5041">
            <w:pPr>
              <w:jc w:val="center"/>
              <w:rPr>
                <w:rFonts w:ascii="Arial Narrow" w:hAnsi="Arial Narrow"/>
              </w:rPr>
            </w:pPr>
            <w:r>
              <w:rPr>
                <w:rFonts w:ascii="Arial Narrow" w:hAnsi="Arial Narrow"/>
              </w:rPr>
              <w:t>2</w:t>
            </w:r>
          </w:p>
        </w:tc>
        <w:tc>
          <w:tcPr>
            <w:tcW w:w="1440" w:type="dxa"/>
            <w:tcBorders>
              <w:top w:val="double" w:sz="4" w:space="0" w:color="auto"/>
            </w:tcBorders>
            <w:vAlign w:val="center"/>
          </w:tcPr>
          <w:p w14:paraId="0DFB2F67" w14:textId="76743FBF" w:rsidR="00A65F0C" w:rsidRPr="006B5041" w:rsidRDefault="00A65F0C" w:rsidP="006B5041">
            <w:pPr>
              <w:jc w:val="center"/>
              <w:rPr>
                <w:rFonts w:ascii="Arial Narrow" w:hAnsi="Arial Narrow"/>
              </w:rPr>
            </w:pPr>
            <w:r>
              <w:rPr>
                <w:rFonts w:ascii="Arial Narrow" w:hAnsi="Arial Narrow"/>
              </w:rPr>
              <w:t>2</w:t>
            </w:r>
          </w:p>
        </w:tc>
        <w:tc>
          <w:tcPr>
            <w:tcW w:w="1530" w:type="dxa"/>
            <w:tcBorders>
              <w:top w:val="double" w:sz="4" w:space="0" w:color="auto"/>
            </w:tcBorders>
            <w:shd w:val="clear" w:color="auto" w:fill="D9D9D9" w:themeFill="background1" w:themeFillShade="D9"/>
            <w:vAlign w:val="center"/>
          </w:tcPr>
          <w:p w14:paraId="78562E06" w14:textId="77777777" w:rsidR="00A65F0C" w:rsidRPr="006B5041" w:rsidRDefault="00A65F0C" w:rsidP="006B5041">
            <w:pPr>
              <w:jc w:val="center"/>
              <w:rPr>
                <w:rFonts w:ascii="Arial Narrow" w:hAnsi="Arial Narrow"/>
              </w:rPr>
            </w:pPr>
          </w:p>
        </w:tc>
        <w:tc>
          <w:tcPr>
            <w:tcW w:w="900" w:type="dxa"/>
            <w:tcBorders>
              <w:top w:val="double" w:sz="4" w:space="0" w:color="auto"/>
            </w:tcBorders>
            <w:vAlign w:val="center"/>
          </w:tcPr>
          <w:p w14:paraId="1D309172" w14:textId="5943DAAE" w:rsidR="00A65F0C" w:rsidRPr="006B5041" w:rsidRDefault="00A65F0C" w:rsidP="006B5041">
            <w:pPr>
              <w:jc w:val="center"/>
              <w:rPr>
                <w:rFonts w:ascii="Arial Narrow" w:hAnsi="Arial Narrow"/>
              </w:rPr>
            </w:pPr>
            <w:r>
              <w:rPr>
                <w:rFonts w:ascii="Arial Narrow" w:hAnsi="Arial Narrow"/>
              </w:rPr>
              <w:t>1 hr</w:t>
            </w:r>
          </w:p>
        </w:tc>
        <w:tc>
          <w:tcPr>
            <w:tcW w:w="1080" w:type="dxa"/>
            <w:tcBorders>
              <w:top w:val="double" w:sz="4" w:space="0" w:color="auto"/>
            </w:tcBorders>
            <w:shd w:val="clear" w:color="auto" w:fill="D9D9D9" w:themeFill="background1" w:themeFillShade="D9"/>
            <w:vAlign w:val="center"/>
          </w:tcPr>
          <w:p w14:paraId="290655F2" w14:textId="77777777" w:rsidR="00A65F0C" w:rsidRDefault="00A65F0C" w:rsidP="006B5041">
            <w:pPr>
              <w:jc w:val="center"/>
              <w:rPr>
                <w:rFonts w:ascii="Arial Narrow" w:hAnsi="Arial Narrow"/>
              </w:rPr>
            </w:pPr>
          </w:p>
        </w:tc>
        <w:tc>
          <w:tcPr>
            <w:tcW w:w="1530" w:type="dxa"/>
            <w:tcBorders>
              <w:top w:val="double" w:sz="4" w:space="0" w:color="auto"/>
            </w:tcBorders>
            <w:vAlign w:val="center"/>
          </w:tcPr>
          <w:p w14:paraId="3E5E4DA7" w14:textId="39A99850" w:rsidR="00A65F0C" w:rsidRDefault="00B54431" w:rsidP="00EC69BF">
            <w:pPr>
              <w:jc w:val="center"/>
              <w:rPr>
                <w:rFonts w:ascii="Arial Narrow" w:hAnsi="Arial Narrow"/>
              </w:rPr>
            </w:pPr>
            <w:r>
              <w:rPr>
                <w:rFonts w:ascii="Arial Narrow" w:hAnsi="Arial Narrow"/>
              </w:rPr>
              <w:t>$54</w:t>
            </w:r>
          </w:p>
        </w:tc>
      </w:tr>
    </w:tbl>
    <w:p w14:paraId="7802344A" w14:textId="6600E0FF" w:rsidR="00A65F0C" w:rsidRDefault="00A65F0C" w:rsidP="00A65F0C">
      <w:pPr>
        <w:rPr>
          <w:sz w:val="24"/>
          <w:szCs w:val="24"/>
        </w:rPr>
      </w:pPr>
      <w:r>
        <w:rPr>
          <w:sz w:val="24"/>
          <w:szCs w:val="24"/>
        </w:rPr>
        <w:t>*</w:t>
      </w:r>
      <w:r w:rsidR="001D3B77">
        <w:t xml:space="preserve"> Occupation Code 11-1021</w:t>
      </w:r>
      <w:r>
        <w:t>:</w:t>
      </w:r>
      <w:r w:rsidRPr="0079427C">
        <w:t xml:space="preserve"> </w:t>
      </w:r>
      <w:r w:rsidR="001D3B77">
        <w:t>General and Operations Managers</w:t>
      </w:r>
      <w:r w:rsidR="00810E3E">
        <w:t>, mean hourly wage</w:t>
      </w:r>
      <w:r w:rsidR="001D3B77">
        <w:t>.</w:t>
      </w:r>
      <w:r w:rsidRPr="0079427C">
        <w:t xml:space="preserve"> </w:t>
      </w:r>
      <w:hyperlink r:id="rId12" w:history="1">
        <w:r w:rsidRPr="0079427C">
          <w:rPr>
            <w:rStyle w:val="Hyperlink"/>
          </w:rPr>
          <w:t>May 2018 State Occupational Employment and Wage Estimates Alaska</w:t>
        </w:r>
      </w:hyperlink>
    </w:p>
    <w:p w14:paraId="5A4DCE90" w14:textId="77777777" w:rsidR="004F26E9" w:rsidRDefault="004F26E9">
      <w:pPr>
        <w:rPr>
          <w:sz w:val="24"/>
          <w:szCs w:val="24"/>
        </w:rPr>
      </w:pPr>
    </w:p>
    <w:p w14:paraId="4BE51849" w14:textId="77777777" w:rsidR="0075490A" w:rsidRDefault="0075490A">
      <w:pPr>
        <w:rPr>
          <w:b/>
          <w:bCs/>
          <w:sz w:val="24"/>
          <w:szCs w:val="24"/>
        </w:rPr>
      </w:pPr>
    </w:p>
    <w:p w14:paraId="75FA47D2" w14:textId="536E2155" w:rsidR="004F26E9" w:rsidRDefault="004F26E9">
      <w:pPr>
        <w:rPr>
          <w:sz w:val="24"/>
          <w:szCs w:val="24"/>
        </w:rPr>
      </w:pPr>
      <w:r>
        <w:rPr>
          <w:b/>
          <w:bCs/>
          <w:sz w:val="24"/>
          <w:szCs w:val="24"/>
        </w:rPr>
        <w:t>13.</w:t>
      </w:r>
      <w:r w:rsidR="00F041B6">
        <w:rPr>
          <w:b/>
          <w:bCs/>
          <w:sz w:val="24"/>
          <w:szCs w:val="24"/>
        </w:rPr>
        <w:t xml:space="preserve"> </w:t>
      </w:r>
      <w:r w:rsidRPr="000A0540">
        <w:rPr>
          <w:b/>
          <w:bCs/>
          <w:sz w:val="24"/>
          <w:szCs w:val="24"/>
        </w:rPr>
        <w:t xml:space="preserve">Provide an estimate of the total annual cost burden to the respondents or record-keepers resulting from the collection (excluding the value of the burden hours in </w:t>
      </w:r>
      <w:r w:rsidR="00725C5C" w:rsidRPr="000A0540">
        <w:rPr>
          <w:b/>
          <w:bCs/>
          <w:sz w:val="24"/>
          <w:szCs w:val="24"/>
        </w:rPr>
        <w:t xml:space="preserve">Question </w:t>
      </w:r>
      <w:r w:rsidRPr="000A0540">
        <w:rPr>
          <w:b/>
          <w:bCs/>
          <w:sz w:val="24"/>
          <w:szCs w:val="24"/>
        </w:rPr>
        <w:t>12 above)</w:t>
      </w:r>
      <w:r>
        <w:rPr>
          <w:b/>
          <w:bCs/>
          <w:sz w:val="24"/>
          <w:szCs w:val="24"/>
        </w:rPr>
        <w:t>.</w:t>
      </w:r>
    </w:p>
    <w:p w14:paraId="279966F2" w14:textId="77777777" w:rsidR="00A82305" w:rsidRDefault="00A82305" w:rsidP="00D34A7B">
      <w:pPr>
        <w:rPr>
          <w:rFonts w:ascii="Arial Narrow" w:hAnsi="Arial Narrow" w:cstheme="minorHAnsi"/>
        </w:rPr>
      </w:pPr>
    </w:p>
    <w:p w14:paraId="221845C5" w14:textId="49BA2432" w:rsidR="00D34A7B" w:rsidRPr="00A82305" w:rsidRDefault="00A82305" w:rsidP="00D34A7B">
      <w:pPr>
        <w:rPr>
          <w:rFonts w:ascii="Arial Narrow" w:hAnsi="Arial Narrow" w:cstheme="minorHAnsi"/>
        </w:rPr>
      </w:pPr>
      <w:r w:rsidRPr="00A82305">
        <w:rPr>
          <w:rFonts w:ascii="Arial Narrow" w:hAnsi="Arial Narrow" w:cstheme="minorHAnsi"/>
        </w:rPr>
        <w:t>Notification of Intent to Process Non-</w:t>
      </w:r>
      <w:r w:rsidR="003B3BFA">
        <w:rPr>
          <w:rFonts w:ascii="Arial Narrow" w:hAnsi="Arial Narrow" w:cstheme="minorHAnsi"/>
        </w:rPr>
        <w:t>CDQ</w:t>
      </w:r>
      <w:r w:rsidRPr="00A82305">
        <w:rPr>
          <w:rFonts w:ascii="Arial Narrow" w:hAnsi="Arial Narrow" w:cstheme="minorHAnsi"/>
        </w:rPr>
        <w:t xml:space="preserve"> Aleutian Islands Pacific Cod </w:t>
      </w:r>
      <w:r w:rsidR="003B3BFA">
        <w:rPr>
          <w:rFonts w:ascii="Arial Narrow" w:hAnsi="Arial Narrow" w:cstheme="minorHAnsi"/>
        </w:rPr>
        <w:t>from</w:t>
      </w:r>
      <w:r w:rsidRPr="00A82305">
        <w:rPr>
          <w:rFonts w:ascii="Arial Narrow" w:hAnsi="Arial Narrow" w:cstheme="minorHAnsi"/>
        </w:rPr>
        <w:t xml:space="preserve"> </w:t>
      </w:r>
      <w:r w:rsidR="003B3BFA" w:rsidRPr="00A82305">
        <w:rPr>
          <w:rFonts w:ascii="Arial Narrow" w:hAnsi="Arial Narrow" w:cstheme="minorHAnsi"/>
        </w:rPr>
        <w:t>Directed</w:t>
      </w:r>
      <w:r w:rsidR="003B3BFA">
        <w:rPr>
          <w:rFonts w:ascii="Arial Narrow" w:hAnsi="Arial Narrow" w:cstheme="minorHAnsi"/>
        </w:rPr>
        <w:t xml:space="preserve"> Fishing</w:t>
      </w:r>
    </w:p>
    <w:tbl>
      <w:tblPr>
        <w:tblStyle w:val="TableGrid"/>
        <w:tblW w:w="9180" w:type="dxa"/>
        <w:tblInd w:w="85" w:type="dxa"/>
        <w:tblLayout w:type="fixed"/>
        <w:tblLook w:val="04A0" w:firstRow="1" w:lastRow="0" w:firstColumn="1" w:lastColumn="0" w:noHBand="0" w:noVBand="1"/>
      </w:tblPr>
      <w:tblGrid>
        <w:gridCol w:w="2250"/>
        <w:gridCol w:w="2430"/>
        <w:gridCol w:w="2520"/>
        <w:gridCol w:w="1980"/>
      </w:tblGrid>
      <w:tr w:rsidR="00D7591A" w:rsidRPr="006B5041" w14:paraId="1942DD36" w14:textId="77777777" w:rsidTr="00D540C0">
        <w:trPr>
          <w:trHeight w:val="458"/>
        </w:trPr>
        <w:tc>
          <w:tcPr>
            <w:tcW w:w="2250" w:type="dxa"/>
            <w:shd w:val="clear" w:color="auto" w:fill="DEEAF6" w:themeFill="accent1" w:themeFillTint="33"/>
            <w:vAlign w:val="center"/>
          </w:tcPr>
          <w:p w14:paraId="52A896E6" w14:textId="37D90755" w:rsidR="00D7591A" w:rsidRPr="00BD7B3F" w:rsidRDefault="005D6C0A" w:rsidP="005D6C0A">
            <w:pPr>
              <w:jc w:val="center"/>
              <w:rPr>
                <w:rFonts w:ascii="Arial Narrow" w:hAnsi="Arial Narrow" w:cstheme="minorHAnsi"/>
                <w:b/>
              </w:rPr>
            </w:pPr>
            <w:r>
              <w:rPr>
                <w:rFonts w:ascii="Arial Narrow" w:hAnsi="Arial Narrow" w:cstheme="minorHAnsi"/>
                <w:b/>
              </w:rPr>
              <w:t xml:space="preserve">Other </w:t>
            </w:r>
            <w:r w:rsidR="00D7591A">
              <w:rPr>
                <w:rFonts w:ascii="Arial Narrow" w:hAnsi="Arial Narrow" w:cstheme="minorHAnsi"/>
                <w:b/>
              </w:rPr>
              <w:t>Cost</w:t>
            </w:r>
            <w:r>
              <w:rPr>
                <w:rFonts w:ascii="Arial Narrow" w:hAnsi="Arial Narrow" w:cstheme="minorHAnsi"/>
                <w:b/>
              </w:rPr>
              <w:t>s</w:t>
            </w:r>
          </w:p>
        </w:tc>
        <w:tc>
          <w:tcPr>
            <w:tcW w:w="2430" w:type="dxa"/>
            <w:shd w:val="clear" w:color="auto" w:fill="DEEAF6" w:themeFill="accent1" w:themeFillTint="33"/>
            <w:vAlign w:val="center"/>
          </w:tcPr>
          <w:p w14:paraId="226089D8" w14:textId="472A9D55" w:rsidR="00D7591A" w:rsidRDefault="00B21D46" w:rsidP="00957A80">
            <w:pPr>
              <w:jc w:val="center"/>
              <w:rPr>
                <w:rFonts w:ascii="Arial Narrow" w:hAnsi="Arial Narrow" w:cstheme="minorHAnsi"/>
                <w:b/>
              </w:rPr>
            </w:pPr>
            <w:r>
              <w:rPr>
                <w:rFonts w:ascii="Arial Narrow" w:hAnsi="Arial Narrow" w:cstheme="minorHAnsi"/>
                <w:b/>
              </w:rPr>
              <w:t xml:space="preserve">Total </w:t>
            </w:r>
            <w:r w:rsidR="00D7591A">
              <w:rPr>
                <w:rFonts w:ascii="Arial Narrow" w:hAnsi="Arial Narrow" w:cstheme="minorHAnsi"/>
                <w:b/>
              </w:rPr>
              <w:t>Number of Annual Responses</w:t>
            </w:r>
          </w:p>
        </w:tc>
        <w:tc>
          <w:tcPr>
            <w:tcW w:w="2520" w:type="dxa"/>
            <w:shd w:val="clear" w:color="auto" w:fill="DEEAF6" w:themeFill="accent1" w:themeFillTint="33"/>
            <w:vAlign w:val="center"/>
          </w:tcPr>
          <w:p w14:paraId="28B1C881" w14:textId="2E6871A6" w:rsidR="00D7591A" w:rsidRPr="00BD7B3F" w:rsidRDefault="00D7591A" w:rsidP="00957A80">
            <w:pPr>
              <w:jc w:val="center"/>
              <w:rPr>
                <w:rFonts w:ascii="Arial Narrow" w:hAnsi="Arial Narrow" w:cstheme="minorHAnsi"/>
                <w:b/>
              </w:rPr>
            </w:pPr>
            <w:r>
              <w:rPr>
                <w:rFonts w:ascii="Arial Narrow" w:hAnsi="Arial Narrow" w:cstheme="minorHAnsi"/>
                <w:b/>
              </w:rPr>
              <w:t>Cost per response</w:t>
            </w:r>
          </w:p>
        </w:tc>
        <w:tc>
          <w:tcPr>
            <w:tcW w:w="1980" w:type="dxa"/>
            <w:shd w:val="clear" w:color="auto" w:fill="DEEAF6" w:themeFill="accent1" w:themeFillTint="33"/>
            <w:vAlign w:val="center"/>
          </w:tcPr>
          <w:p w14:paraId="239AE63C" w14:textId="6BB74033" w:rsidR="00D7591A" w:rsidRPr="00BD7B3F" w:rsidRDefault="00D7591A" w:rsidP="00D7591A">
            <w:pPr>
              <w:jc w:val="center"/>
              <w:rPr>
                <w:rFonts w:ascii="Arial Narrow" w:hAnsi="Arial Narrow" w:cstheme="minorHAnsi"/>
                <w:b/>
              </w:rPr>
            </w:pPr>
            <w:r>
              <w:rPr>
                <w:rFonts w:ascii="Arial Narrow" w:hAnsi="Arial Narrow" w:cstheme="minorHAnsi"/>
                <w:b/>
              </w:rPr>
              <w:t xml:space="preserve">Total Annual </w:t>
            </w:r>
            <w:r w:rsidR="005D6C0A">
              <w:rPr>
                <w:rFonts w:ascii="Arial Narrow" w:hAnsi="Arial Narrow" w:cstheme="minorHAnsi"/>
                <w:b/>
              </w:rPr>
              <w:t xml:space="preserve">Other </w:t>
            </w:r>
            <w:r>
              <w:rPr>
                <w:rFonts w:ascii="Arial Narrow" w:hAnsi="Arial Narrow" w:cstheme="minorHAnsi"/>
                <w:b/>
              </w:rPr>
              <w:t>Cost</w:t>
            </w:r>
            <w:r w:rsidR="005D6C0A">
              <w:rPr>
                <w:rFonts w:ascii="Arial Narrow" w:hAnsi="Arial Narrow" w:cstheme="minorHAnsi"/>
                <w:b/>
              </w:rPr>
              <w:t>s</w:t>
            </w:r>
          </w:p>
        </w:tc>
      </w:tr>
      <w:tr w:rsidR="00D7591A" w:rsidRPr="006B5041" w14:paraId="72747FC4" w14:textId="77777777" w:rsidTr="001E1840">
        <w:trPr>
          <w:trHeight w:val="277"/>
        </w:trPr>
        <w:tc>
          <w:tcPr>
            <w:tcW w:w="2250" w:type="dxa"/>
            <w:tcBorders>
              <w:bottom w:val="single" w:sz="4" w:space="0" w:color="auto"/>
            </w:tcBorders>
            <w:vAlign w:val="center"/>
          </w:tcPr>
          <w:p w14:paraId="46D87F52" w14:textId="4A16473F" w:rsidR="00D7591A" w:rsidRDefault="00D7591A" w:rsidP="00957A80">
            <w:pPr>
              <w:jc w:val="center"/>
              <w:rPr>
                <w:rFonts w:ascii="Arial Narrow" w:hAnsi="Arial Narrow"/>
              </w:rPr>
            </w:pPr>
            <w:r>
              <w:rPr>
                <w:rFonts w:ascii="Arial Narrow" w:hAnsi="Arial Narrow"/>
              </w:rPr>
              <w:t>Certified mail</w:t>
            </w:r>
          </w:p>
        </w:tc>
        <w:tc>
          <w:tcPr>
            <w:tcW w:w="2430" w:type="dxa"/>
            <w:tcBorders>
              <w:bottom w:val="single" w:sz="4" w:space="0" w:color="auto"/>
            </w:tcBorders>
            <w:vAlign w:val="center"/>
          </w:tcPr>
          <w:p w14:paraId="2676C309" w14:textId="277E7034" w:rsidR="00D7591A" w:rsidRDefault="00D7591A" w:rsidP="00A65F0C">
            <w:pPr>
              <w:jc w:val="center"/>
              <w:rPr>
                <w:rFonts w:ascii="Arial Narrow" w:hAnsi="Arial Narrow"/>
              </w:rPr>
            </w:pPr>
            <w:r>
              <w:rPr>
                <w:rFonts w:ascii="Arial Narrow" w:hAnsi="Arial Narrow"/>
              </w:rPr>
              <w:t>2</w:t>
            </w:r>
          </w:p>
        </w:tc>
        <w:tc>
          <w:tcPr>
            <w:tcW w:w="2520" w:type="dxa"/>
            <w:tcBorders>
              <w:bottom w:val="single" w:sz="4" w:space="0" w:color="auto"/>
            </w:tcBorders>
            <w:vAlign w:val="center"/>
          </w:tcPr>
          <w:p w14:paraId="7A994ABF" w14:textId="6C94E088" w:rsidR="00D7591A" w:rsidRPr="006B5041" w:rsidRDefault="00D7591A" w:rsidP="00A65F0C">
            <w:pPr>
              <w:jc w:val="center"/>
              <w:rPr>
                <w:rFonts w:ascii="Arial Narrow" w:hAnsi="Arial Narrow"/>
              </w:rPr>
            </w:pPr>
            <w:r>
              <w:rPr>
                <w:rFonts w:ascii="Arial Narrow" w:hAnsi="Arial Narrow"/>
              </w:rPr>
              <w:t>$3.50</w:t>
            </w:r>
          </w:p>
        </w:tc>
        <w:tc>
          <w:tcPr>
            <w:tcW w:w="1980" w:type="dxa"/>
            <w:tcBorders>
              <w:bottom w:val="single" w:sz="4" w:space="0" w:color="auto"/>
            </w:tcBorders>
            <w:vAlign w:val="center"/>
          </w:tcPr>
          <w:p w14:paraId="65D5790C" w14:textId="410BB098" w:rsidR="00D7591A" w:rsidRPr="006B5041" w:rsidRDefault="00D7591A" w:rsidP="00D7591A">
            <w:pPr>
              <w:jc w:val="center"/>
              <w:rPr>
                <w:rFonts w:ascii="Arial Narrow" w:hAnsi="Arial Narrow"/>
              </w:rPr>
            </w:pPr>
            <w:r>
              <w:rPr>
                <w:rFonts w:ascii="Arial Narrow" w:hAnsi="Arial Narrow"/>
              </w:rPr>
              <w:t>$7.00</w:t>
            </w:r>
          </w:p>
        </w:tc>
      </w:tr>
      <w:tr w:rsidR="00D7591A" w:rsidRPr="006B5041" w14:paraId="15F51D92" w14:textId="77777777" w:rsidTr="001E1840">
        <w:trPr>
          <w:trHeight w:val="277"/>
        </w:trPr>
        <w:tc>
          <w:tcPr>
            <w:tcW w:w="2250" w:type="dxa"/>
            <w:tcBorders>
              <w:bottom w:val="double" w:sz="4" w:space="0" w:color="auto"/>
            </w:tcBorders>
            <w:vAlign w:val="center"/>
          </w:tcPr>
          <w:p w14:paraId="352D161E" w14:textId="5D1CF97B" w:rsidR="00D7591A" w:rsidRPr="006B5041" w:rsidRDefault="00D7591A" w:rsidP="00957A80">
            <w:pPr>
              <w:jc w:val="center"/>
              <w:rPr>
                <w:rFonts w:ascii="Arial Narrow" w:hAnsi="Arial Narrow"/>
              </w:rPr>
            </w:pPr>
            <w:r>
              <w:rPr>
                <w:rFonts w:ascii="Arial Narrow" w:hAnsi="Arial Narrow"/>
              </w:rPr>
              <w:t xml:space="preserve">Photocopy </w:t>
            </w:r>
          </w:p>
        </w:tc>
        <w:tc>
          <w:tcPr>
            <w:tcW w:w="2430" w:type="dxa"/>
            <w:tcBorders>
              <w:bottom w:val="double" w:sz="4" w:space="0" w:color="auto"/>
            </w:tcBorders>
            <w:vAlign w:val="center"/>
          </w:tcPr>
          <w:p w14:paraId="64A65805" w14:textId="401FB041" w:rsidR="00D7591A" w:rsidRDefault="00D7591A" w:rsidP="00A65F0C">
            <w:pPr>
              <w:jc w:val="center"/>
              <w:rPr>
                <w:rFonts w:ascii="Arial Narrow" w:hAnsi="Arial Narrow"/>
              </w:rPr>
            </w:pPr>
            <w:r>
              <w:rPr>
                <w:rFonts w:ascii="Arial Narrow" w:hAnsi="Arial Narrow"/>
              </w:rPr>
              <w:t>2</w:t>
            </w:r>
          </w:p>
        </w:tc>
        <w:tc>
          <w:tcPr>
            <w:tcW w:w="2520" w:type="dxa"/>
            <w:tcBorders>
              <w:bottom w:val="double" w:sz="4" w:space="0" w:color="auto"/>
            </w:tcBorders>
            <w:vAlign w:val="center"/>
          </w:tcPr>
          <w:p w14:paraId="1DB64AE7" w14:textId="4E4EFC1C" w:rsidR="00D7591A" w:rsidRPr="006B5041" w:rsidRDefault="00D7591A" w:rsidP="00B21D46">
            <w:pPr>
              <w:jc w:val="center"/>
              <w:rPr>
                <w:rFonts w:ascii="Arial Narrow" w:hAnsi="Arial Narrow"/>
              </w:rPr>
            </w:pPr>
            <w:r>
              <w:rPr>
                <w:rFonts w:ascii="Arial Narrow" w:hAnsi="Arial Narrow"/>
              </w:rPr>
              <w:t xml:space="preserve">0.15 per page x </w:t>
            </w:r>
            <w:r w:rsidR="00BE2C63">
              <w:rPr>
                <w:rFonts w:ascii="Arial Narrow" w:hAnsi="Arial Narrow"/>
              </w:rPr>
              <w:t>2</w:t>
            </w:r>
            <w:r>
              <w:rPr>
                <w:rFonts w:ascii="Arial Narrow" w:hAnsi="Arial Narrow"/>
              </w:rPr>
              <w:t xml:space="preserve"> page</w:t>
            </w:r>
            <w:r w:rsidR="00BE2C63">
              <w:rPr>
                <w:rFonts w:ascii="Arial Narrow" w:hAnsi="Arial Narrow"/>
              </w:rPr>
              <w:t>s</w:t>
            </w:r>
            <w:r w:rsidR="00FD732A">
              <w:rPr>
                <w:rFonts w:ascii="Arial Narrow" w:hAnsi="Arial Narrow"/>
              </w:rPr>
              <w:t xml:space="preserve"> </w:t>
            </w:r>
          </w:p>
        </w:tc>
        <w:tc>
          <w:tcPr>
            <w:tcW w:w="1980" w:type="dxa"/>
            <w:tcBorders>
              <w:bottom w:val="double" w:sz="4" w:space="0" w:color="auto"/>
            </w:tcBorders>
            <w:vAlign w:val="center"/>
          </w:tcPr>
          <w:p w14:paraId="2095D58C" w14:textId="6915E1AE" w:rsidR="00D7591A" w:rsidRPr="006B5041" w:rsidRDefault="00D7591A" w:rsidP="00D7591A">
            <w:pPr>
              <w:jc w:val="center"/>
              <w:rPr>
                <w:rFonts w:ascii="Arial Narrow" w:hAnsi="Arial Narrow"/>
              </w:rPr>
            </w:pPr>
            <w:r>
              <w:rPr>
                <w:rFonts w:ascii="Arial Narrow" w:hAnsi="Arial Narrow"/>
              </w:rPr>
              <w:t>$</w:t>
            </w:r>
            <w:r w:rsidR="00FD732A">
              <w:rPr>
                <w:rFonts w:ascii="Arial Narrow" w:hAnsi="Arial Narrow"/>
              </w:rPr>
              <w:t>0.60</w:t>
            </w:r>
          </w:p>
        </w:tc>
      </w:tr>
      <w:tr w:rsidR="00D7591A" w:rsidRPr="006B5041" w14:paraId="439F6D33" w14:textId="77777777" w:rsidTr="001E1840">
        <w:trPr>
          <w:trHeight w:val="277"/>
        </w:trPr>
        <w:tc>
          <w:tcPr>
            <w:tcW w:w="2250" w:type="dxa"/>
            <w:tcBorders>
              <w:top w:val="double" w:sz="4" w:space="0" w:color="auto"/>
            </w:tcBorders>
            <w:vAlign w:val="center"/>
          </w:tcPr>
          <w:p w14:paraId="777C2CA6" w14:textId="77777777" w:rsidR="00D7591A" w:rsidRPr="00BD7B3F" w:rsidRDefault="00D7591A" w:rsidP="00957A80">
            <w:pPr>
              <w:jc w:val="center"/>
              <w:rPr>
                <w:rFonts w:ascii="Arial Narrow" w:hAnsi="Arial Narrow"/>
                <w:b/>
              </w:rPr>
            </w:pPr>
            <w:r w:rsidRPr="00BD7B3F">
              <w:rPr>
                <w:rFonts w:ascii="Arial Narrow" w:hAnsi="Arial Narrow"/>
                <w:b/>
              </w:rPr>
              <w:t>Total</w:t>
            </w:r>
          </w:p>
        </w:tc>
        <w:tc>
          <w:tcPr>
            <w:tcW w:w="2430" w:type="dxa"/>
            <w:tcBorders>
              <w:top w:val="double" w:sz="4" w:space="0" w:color="auto"/>
            </w:tcBorders>
            <w:shd w:val="clear" w:color="auto" w:fill="D9D9D9" w:themeFill="background1" w:themeFillShade="D9"/>
            <w:vAlign w:val="center"/>
          </w:tcPr>
          <w:p w14:paraId="7536BF79" w14:textId="58ECCAA3" w:rsidR="00D7591A" w:rsidRPr="006B5041" w:rsidRDefault="00D7591A" w:rsidP="00957A80">
            <w:pPr>
              <w:jc w:val="center"/>
              <w:rPr>
                <w:rFonts w:ascii="Arial Narrow" w:hAnsi="Arial Narrow"/>
              </w:rPr>
            </w:pPr>
          </w:p>
        </w:tc>
        <w:tc>
          <w:tcPr>
            <w:tcW w:w="2520" w:type="dxa"/>
            <w:tcBorders>
              <w:top w:val="double" w:sz="4" w:space="0" w:color="auto"/>
            </w:tcBorders>
            <w:shd w:val="clear" w:color="auto" w:fill="D9D9D9" w:themeFill="background1" w:themeFillShade="D9"/>
            <w:vAlign w:val="center"/>
          </w:tcPr>
          <w:p w14:paraId="71C9C880" w14:textId="5C8BAB48" w:rsidR="00D7591A" w:rsidRPr="006471F1" w:rsidRDefault="00D7591A" w:rsidP="00957A80">
            <w:pPr>
              <w:jc w:val="center"/>
              <w:rPr>
                <w:rFonts w:ascii="Arial Narrow" w:hAnsi="Arial Narrow"/>
              </w:rPr>
            </w:pPr>
          </w:p>
        </w:tc>
        <w:tc>
          <w:tcPr>
            <w:tcW w:w="1980" w:type="dxa"/>
            <w:tcBorders>
              <w:top w:val="double" w:sz="4" w:space="0" w:color="auto"/>
            </w:tcBorders>
            <w:shd w:val="clear" w:color="auto" w:fill="auto"/>
            <w:vAlign w:val="center"/>
          </w:tcPr>
          <w:p w14:paraId="40AC3836" w14:textId="4CF2899C" w:rsidR="00D7591A" w:rsidRPr="006B5041" w:rsidRDefault="00BE2C63" w:rsidP="00EC69BF">
            <w:pPr>
              <w:jc w:val="center"/>
              <w:rPr>
                <w:rFonts w:ascii="Arial Narrow" w:hAnsi="Arial Narrow"/>
              </w:rPr>
            </w:pPr>
            <w:r>
              <w:rPr>
                <w:rFonts w:ascii="Arial Narrow" w:hAnsi="Arial Narrow"/>
              </w:rPr>
              <w:t>$</w:t>
            </w:r>
            <w:r w:rsidR="00FD732A">
              <w:rPr>
                <w:rFonts w:ascii="Arial Narrow" w:hAnsi="Arial Narrow"/>
              </w:rPr>
              <w:t>7.60</w:t>
            </w:r>
          </w:p>
        </w:tc>
      </w:tr>
    </w:tbl>
    <w:p w14:paraId="3650775E" w14:textId="5083C873" w:rsidR="00D34A7B" w:rsidRDefault="00D34A7B">
      <w:pPr>
        <w:rPr>
          <w:sz w:val="24"/>
          <w:szCs w:val="24"/>
        </w:rPr>
      </w:pPr>
    </w:p>
    <w:p w14:paraId="4B12422B" w14:textId="77777777" w:rsidR="004F26E9" w:rsidRDefault="004F26E9">
      <w:pPr>
        <w:rPr>
          <w:sz w:val="24"/>
          <w:szCs w:val="24"/>
        </w:rPr>
      </w:pPr>
    </w:p>
    <w:p w14:paraId="168146A9" w14:textId="34882CFC" w:rsidR="004F26E9" w:rsidRDefault="004F26E9">
      <w:pPr>
        <w:rPr>
          <w:sz w:val="24"/>
          <w:szCs w:val="24"/>
        </w:rPr>
      </w:pPr>
      <w:r w:rsidRPr="008B338C">
        <w:rPr>
          <w:b/>
          <w:bCs/>
          <w:sz w:val="24"/>
          <w:szCs w:val="24"/>
        </w:rPr>
        <w:t>14.</w:t>
      </w:r>
      <w:r w:rsidR="00F041B6">
        <w:rPr>
          <w:b/>
          <w:bCs/>
          <w:sz w:val="24"/>
          <w:szCs w:val="24"/>
        </w:rPr>
        <w:t xml:space="preserve"> </w:t>
      </w:r>
      <w:r w:rsidRPr="000A0540">
        <w:rPr>
          <w:b/>
          <w:bCs/>
          <w:sz w:val="24"/>
          <w:szCs w:val="24"/>
        </w:rPr>
        <w:t>Provide estimates of annualized cost to the Federal government.</w:t>
      </w:r>
    </w:p>
    <w:p w14:paraId="065D9666" w14:textId="77777777" w:rsidR="00A82305" w:rsidRDefault="00A82305">
      <w:pPr>
        <w:rPr>
          <w:rFonts w:ascii="Arial Narrow" w:hAnsi="Arial Narrow"/>
          <w:sz w:val="24"/>
          <w:szCs w:val="24"/>
        </w:rPr>
      </w:pPr>
    </w:p>
    <w:p w14:paraId="78808F77" w14:textId="050B6843" w:rsidR="004F26E9" w:rsidRPr="00A82305" w:rsidRDefault="00A82305">
      <w:pPr>
        <w:rPr>
          <w:rFonts w:ascii="Arial Narrow" w:hAnsi="Arial Narrow"/>
        </w:rPr>
      </w:pPr>
      <w:r w:rsidRPr="00A82305">
        <w:rPr>
          <w:rFonts w:ascii="Arial Narrow" w:hAnsi="Arial Narrow"/>
        </w:rPr>
        <w:t>Notification of Intent to Process Non-</w:t>
      </w:r>
      <w:r w:rsidR="004173BE">
        <w:rPr>
          <w:rFonts w:ascii="Arial Narrow" w:hAnsi="Arial Narrow"/>
        </w:rPr>
        <w:t>CDQ</w:t>
      </w:r>
      <w:r w:rsidRPr="00A82305">
        <w:rPr>
          <w:rFonts w:ascii="Arial Narrow" w:hAnsi="Arial Narrow"/>
        </w:rPr>
        <w:t xml:space="preserve"> Aleutian Islands Pacific Cod </w:t>
      </w:r>
      <w:r w:rsidR="004173BE">
        <w:rPr>
          <w:rFonts w:ascii="Arial Narrow" w:hAnsi="Arial Narrow"/>
        </w:rPr>
        <w:t xml:space="preserve">from </w:t>
      </w:r>
      <w:r w:rsidR="004173BE" w:rsidRPr="004173BE">
        <w:rPr>
          <w:rFonts w:ascii="Arial Narrow" w:hAnsi="Arial Narrow"/>
        </w:rPr>
        <w:t>Directed</w:t>
      </w:r>
      <w:r w:rsidR="004173BE">
        <w:rPr>
          <w:rFonts w:ascii="Arial Narrow" w:hAnsi="Arial Narrow"/>
        </w:rPr>
        <w:t xml:space="preserve"> Fishing</w:t>
      </w:r>
      <w:r w:rsidRPr="00A82305">
        <w:rPr>
          <w:rFonts w:ascii="Arial Narrow" w:hAnsi="Arial Narrow"/>
        </w:rPr>
        <w:t xml:space="preserve"> </w:t>
      </w:r>
    </w:p>
    <w:tbl>
      <w:tblPr>
        <w:tblStyle w:val="TableGrid"/>
        <w:tblW w:w="0" w:type="auto"/>
        <w:jc w:val="center"/>
        <w:tblLayout w:type="fixed"/>
        <w:tblLook w:val="04A0" w:firstRow="1" w:lastRow="0" w:firstColumn="1" w:lastColumn="0" w:noHBand="0" w:noVBand="1"/>
      </w:tblPr>
      <w:tblGrid>
        <w:gridCol w:w="1597"/>
        <w:gridCol w:w="2023"/>
        <w:gridCol w:w="1915"/>
        <w:gridCol w:w="1490"/>
        <w:gridCol w:w="2146"/>
      </w:tblGrid>
      <w:tr w:rsidR="00D540C0" w:rsidRPr="006B5041" w14:paraId="259E5F08" w14:textId="77777777" w:rsidTr="00D540C0">
        <w:trPr>
          <w:trHeight w:val="888"/>
          <w:jc w:val="center"/>
        </w:trPr>
        <w:tc>
          <w:tcPr>
            <w:tcW w:w="1597" w:type="dxa"/>
            <w:tcBorders>
              <w:bottom w:val="single" w:sz="4" w:space="0" w:color="auto"/>
            </w:tcBorders>
            <w:shd w:val="clear" w:color="auto" w:fill="DEEAF6" w:themeFill="accent1" w:themeFillTint="33"/>
            <w:vAlign w:val="center"/>
          </w:tcPr>
          <w:p w14:paraId="30748DF0" w14:textId="438DB778" w:rsidR="00D540C0" w:rsidRPr="00BD7B3F" w:rsidRDefault="00D540C0" w:rsidP="00FE794D">
            <w:pPr>
              <w:jc w:val="center"/>
              <w:rPr>
                <w:rFonts w:ascii="Arial Narrow" w:hAnsi="Arial Narrow" w:cstheme="minorHAnsi"/>
                <w:b/>
              </w:rPr>
            </w:pPr>
            <w:r w:rsidRPr="00BD7B3F">
              <w:rPr>
                <w:rFonts w:ascii="Arial Narrow" w:hAnsi="Arial Narrow" w:cstheme="minorHAnsi"/>
                <w:b/>
              </w:rPr>
              <w:t xml:space="preserve">Number of </w:t>
            </w:r>
            <w:r>
              <w:rPr>
                <w:rFonts w:ascii="Arial Narrow" w:hAnsi="Arial Narrow" w:cstheme="minorHAnsi"/>
                <w:b/>
              </w:rPr>
              <w:t xml:space="preserve">Annual </w:t>
            </w:r>
            <w:r w:rsidRPr="00BD7B3F">
              <w:rPr>
                <w:rFonts w:ascii="Arial Narrow" w:hAnsi="Arial Narrow" w:cstheme="minorHAnsi"/>
                <w:b/>
              </w:rPr>
              <w:t xml:space="preserve">Responses </w:t>
            </w:r>
          </w:p>
        </w:tc>
        <w:tc>
          <w:tcPr>
            <w:tcW w:w="2023" w:type="dxa"/>
            <w:tcBorders>
              <w:bottom w:val="single" w:sz="4" w:space="0" w:color="auto"/>
            </w:tcBorders>
            <w:shd w:val="clear" w:color="auto" w:fill="DEEAF6" w:themeFill="accent1" w:themeFillTint="33"/>
            <w:vAlign w:val="center"/>
          </w:tcPr>
          <w:p w14:paraId="02760024" w14:textId="77777777" w:rsidR="00D540C0" w:rsidRPr="00BD7B3F" w:rsidRDefault="00D540C0" w:rsidP="00BF6C39">
            <w:pPr>
              <w:jc w:val="center"/>
              <w:rPr>
                <w:rFonts w:ascii="Arial Narrow" w:hAnsi="Arial Narrow" w:cstheme="minorHAnsi"/>
                <w:b/>
              </w:rPr>
            </w:pPr>
            <w:r w:rsidRPr="00BD7B3F">
              <w:rPr>
                <w:rFonts w:ascii="Arial Narrow" w:hAnsi="Arial Narrow" w:cstheme="minorHAnsi"/>
                <w:b/>
              </w:rPr>
              <w:t>Average Burden per Response (in hours)</w:t>
            </w:r>
          </w:p>
        </w:tc>
        <w:tc>
          <w:tcPr>
            <w:tcW w:w="1915" w:type="dxa"/>
            <w:tcBorders>
              <w:bottom w:val="single" w:sz="4" w:space="0" w:color="auto"/>
            </w:tcBorders>
            <w:shd w:val="clear" w:color="auto" w:fill="DEEAF6" w:themeFill="accent1" w:themeFillTint="33"/>
            <w:vAlign w:val="center"/>
          </w:tcPr>
          <w:p w14:paraId="03F0114A" w14:textId="08DCF20E" w:rsidR="00D540C0" w:rsidRPr="00BD7B3F" w:rsidRDefault="00D540C0" w:rsidP="00BF6C39">
            <w:pPr>
              <w:jc w:val="center"/>
              <w:rPr>
                <w:rFonts w:ascii="Arial Narrow" w:hAnsi="Arial Narrow" w:cstheme="minorHAnsi"/>
                <w:b/>
              </w:rPr>
            </w:pPr>
            <w:r w:rsidRPr="00BD7B3F">
              <w:rPr>
                <w:rFonts w:ascii="Arial Narrow" w:hAnsi="Arial Narrow" w:cstheme="minorHAnsi"/>
                <w:b/>
              </w:rPr>
              <w:t xml:space="preserve">Total </w:t>
            </w:r>
            <w:r>
              <w:rPr>
                <w:rFonts w:ascii="Arial Narrow" w:hAnsi="Arial Narrow" w:cstheme="minorHAnsi"/>
                <w:b/>
              </w:rPr>
              <w:t xml:space="preserve">Annual </w:t>
            </w:r>
            <w:r w:rsidRPr="00BD7B3F">
              <w:rPr>
                <w:rFonts w:ascii="Arial Narrow" w:hAnsi="Arial Narrow" w:cstheme="minorHAnsi"/>
                <w:b/>
              </w:rPr>
              <w:t>Burden Hours</w:t>
            </w:r>
          </w:p>
        </w:tc>
        <w:tc>
          <w:tcPr>
            <w:tcW w:w="1490" w:type="dxa"/>
            <w:tcBorders>
              <w:bottom w:val="single" w:sz="4" w:space="0" w:color="auto"/>
            </w:tcBorders>
            <w:shd w:val="clear" w:color="auto" w:fill="DEEAF6" w:themeFill="accent1" w:themeFillTint="33"/>
            <w:vAlign w:val="center"/>
          </w:tcPr>
          <w:p w14:paraId="2BD3FDCE" w14:textId="301A9DFD" w:rsidR="00D540C0" w:rsidRPr="00BD7B3F" w:rsidRDefault="00D540C0" w:rsidP="00BF6C39">
            <w:pPr>
              <w:jc w:val="center"/>
              <w:rPr>
                <w:rFonts w:ascii="Arial Narrow" w:hAnsi="Arial Narrow" w:cstheme="minorHAnsi"/>
                <w:b/>
              </w:rPr>
            </w:pPr>
            <w:r>
              <w:rPr>
                <w:rFonts w:ascii="Arial Narrow" w:hAnsi="Arial Narrow" w:cstheme="minorHAnsi"/>
                <w:b/>
              </w:rPr>
              <w:t>Hourly Wage Rate*</w:t>
            </w:r>
          </w:p>
        </w:tc>
        <w:tc>
          <w:tcPr>
            <w:tcW w:w="2146" w:type="dxa"/>
            <w:tcBorders>
              <w:bottom w:val="single" w:sz="4" w:space="0" w:color="auto"/>
            </w:tcBorders>
            <w:shd w:val="clear" w:color="auto" w:fill="DEEAF6" w:themeFill="accent1" w:themeFillTint="33"/>
            <w:vAlign w:val="center"/>
          </w:tcPr>
          <w:p w14:paraId="7EBCA1F6" w14:textId="686A45AF" w:rsidR="00D540C0" w:rsidRPr="00BD7B3F" w:rsidRDefault="00D540C0" w:rsidP="000B0D80">
            <w:pPr>
              <w:jc w:val="center"/>
              <w:rPr>
                <w:rFonts w:ascii="Arial Narrow" w:hAnsi="Arial Narrow" w:cstheme="minorHAnsi"/>
                <w:b/>
              </w:rPr>
            </w:pPr>
            <w:r>
              <w:rPr>
                <w:rFonts w:ascii="Arial Narrow" w:hAnsi="Arial Narrow" w:cstheme="minorHAnsi"/>
                <w:b/>
              </w:rPr>
              <w:t>Total Annual Costs for Fed. Govt. Burden Hours</w:t>
            </w:r>
          </w:p>
        </w:tc>
      </w:tr>
      <w:tr w:rsidR="00D540C0" w:rsidRPr="006B5041" w14:paraId="3E9C36D3" w14:textId="77777777" w:rsidTr="00D540C0">
        <w:trPr>
          <w:trHeight w:val="345"/>
          <w:jc w:val="center"/>
        </w:trPr>
        <w:tc>
          <w:tcPr>
            <w:tcW w:w="1597" w:type="dxa"/>
            <w:tcBorders>
              <w:bottom w:val="single" w:sz="4" w:space="0" w:color="auto"/>
            </w:tcBorders>
            <w:vAlign w:val="center"/>
          </w:tcPr>
          <w:p w14:paraId="7103535A" w14:textId="5DFF2361" w:rsidR="00D540C0" w:rsidRPr="006B5041" w:rsidRDefault="00D540C0" w:rsidP="00BF6C39">
            <w:pPr>
              <w:jc w:val="center"/>
              <w:rPr>
                <w:rFonts w:ascii="Arial Narrow" w:hAnsi="Arial Narrow"/>
              </w:rPr>
            </w:pPr>
            <w:r>
              <w:rPr>
                <w:rFonts w:ascii="Arial Narrow" w:hAnsi="Arial Narrow"/>
              </w:rPr>
              <w:t>2</w:t>
            </w:r>
          </w:p>
        </w:tc>
        <w:tc>
          <w:tcPr>
            <w:tcW w:w="2023" w:type="dxa"/>
            <w:tcBorders>
              <w:bottom w:val="single" w:sz="4" w:space="0" w:color="auto"/>
            </w:tcBorders>
            <w:vAlign w:val="center"/>
          </w:tcPr>
          <w:p w14:paraId="27A184A8" w14:textId="48F00BE4" w:rsidR="00D540C0" w:rsidRPr="006B5041" w:rsidRDefault="00D540C0" w:rsidP="00BF6C39">
            <w:pPr>
              <w:jc w:val="center"/>
              <w:rPr>
                <w:rFonts w:ascii="Arial Narrow" w:hAnsi="Arial Narrow"/>
              </w:rPr>
            </w:pPr>
            <w:r>
              <w:rPr>
                <w:rFonts w:ascii="Arial Narrow" w:hAnsi="Arial Narrow"/>
              </w:rPr>
              <w:t>1</w:t>
            </w:r>
          </w:p>
        </w:tc>
        <w:tc>
          <w:tcPr>
            <w:tcW w:w="1915" w:type="dxa"/>
            <w:tcBorders>
              <w:bottom w:val="single" w:sz="4" w:space="0" w:color="auto"/>
            </w:tcBorders>
            <w:vAlign w:val="center"/>
          </w:tcPr>
          <w:p w14:paraId="7A6AD64D" w14:textId="48FC6FBF" w:rsidR="00D540C0" w:rsidRPr="006B5041" w:rsidRDefault="00D540C0" w:rsidP="00BF6C39">
            <w:pPr>
              <w:jc w:val="center"/>
              <w:rPr>
                <w:rFonts w:ascii="Arial Narrow" w:hAnsi="Arial Narrow"/>
              </w:rPr>
            </w:pPr>
            <w:r>
              <w:rPr>
                <w:rFonts w:ascii="Arial Narrow" w:hAnsi="Arial Narrow"/>
              </w:rPr>
              <w:t>2</w:t>
            </w:r>
          </w:p>
        </w:tc>
        <w:tc>
          <w:tcPr>
            <w:tcW w:w="1490" w:type="dxa"/>
            <w:tcBorders>
              <w:bottom w:val="single" w:sz="4" w:space="0" w:color="auto"/>
            </w:tcBorders>
            <w:vAlign w:val="center"/>
          </w:tcPr>
          <w:p w14:paraId="6FAC4DCB" w14:textId="48C927FB" w:rsidR="00D540C0" w:rsidRPr="00C4406C" w:rsidRDefault="00C357E7" w:rsidP="00C4406C">
            <w:pPr>
              <w:jc w:val="center"/>
              <w:rPr>
                <w:rFonts w:ascii="Arial Narrow" w:hAnsi="Arial Narrow"/>
              </w:rPr>
            </w:pPr>
            <w:r w:rsidRPr="00C4406C">
              <w:rPr>
                <w:rFonts w:ascii="Arial Narrow" w:hAnsi="Arial Narrow"/>
              </w:rPr>
              <w:t>$</w:t>
            </w:r>
            <w:r w:rsidR="00C4406C" w:rsidRPr="00C4406C">
              <w:rPr>
                <w:rFonts w:ascii="Arial Narrow" w:hAnsi="Arial Narrow"/>
              </w:rPr>
              <w:t>77.19</w:t>
            </w:r>
          </w:p>
        </w:tc>
        <w:tc>
          <w:tcPr>
            <w:tcW w:w="2146" w:type="dxa"/>
            <w:tcBorders>
              <w:bottom w:val="single" w:sz="4" w:space="0" w:color="auto"/>
            </w:tcBorders>
            <w:vAlign w:val="center"/>
          </w:tcPr>
          <w:p w14:paraId="40314E78" w14:textId="3E396BD3" w:rsidR="00D540C0" w:rsidRPr="00C4406C" w:rsidRDefault="00D540C0" w:rsidP="00804D0C">
            <w:pPr>
              <w:jc w:val="center"/>
              <w:rPr>
                <w:rFonts w:ascii="Arial Narrow" w:hAnsi="Arial Narrow"/>
              </w:rPr>
            </w:pPr>
            <w:r w:rsidRPr="00C4406C">
              <w:rPr>
                <w:rFonts w:ascii="Arial Narrow" w:hAnsi="Arial Narrow"/>
              </w:rPr>
              <w:t>$</w:t>
            </w:r>
            <w:r w:rsidR="00804D0C">
              <w:rPr>
                <w:rFonts w:ascii="Arial Narrow" w:hAnsi="Arial Narrow"/>
              </w:rPr>
              <w:t>154.38</w:t>
            </w:r>
          </w:p>
        </w:tc>
      </w:tr>
    </w:tbl>
    <w:p w14:paraId="095A46B8" w14:textId="549AF0A5" w:rsidR="00FE794D" w:rsidRPr="008257B7" w:rsidRDefault="001D02D2" w:rsidP="001D02D2">
      <w:r w:rsidRPr="00F27BFC">
        <w:t xml:space="preserve">* </w:t>
      </w:r>
      <w:r w:rsidR="00F27BFC" w:rsidRPr="00F27BFC">
        <w:t xml:space="preserve">based on </w:t>
      </w:r>
      <w:r w:rsidR="00765CD0">
        <w:t xml:space="preserve">maximum rate for </w:t>
      </w:r>
      <w:r w:rsidR="00F27BFC" w:rsidRPr="00F27BFC">
        <w:t>ZP-IV</w:t>
      </w:r>
    </w:p>
    <w:p w14:paraId="57E71F03" w14:textId="77777777" w:rsidR="00A82305" w:rsidRDefault="00A82305">
      <w:pPr>
        <w:rPr>
          <w:sz w:val="24"/>
          <w:szCs w:val="24"/>
        </w:rPr>
      </w:pPr>
    </w:p>
    <w:p w14:paraId="062A689D" w14:textId="21AB7A81" w:rsidR="001E1840" w:rsidRPr="00A82305" w:rsidRDefault="00A82305">
      <w:pPr>
        <w:rPr>
          <w:rFonts w:ascii="Arial Narrow" w:hAnsi="Arial Narrow"/>
        </w:rPr>
      </w:pPr>
      <w:r w:rsidRPr="00A82305">
        <w:rPr>
          <w:rFonts w:ascii="Arial Narrow" w:hAnsi="Arial Narrow"/>
        </w:rPr>
        <w:t>Notification of Intent to Process Non-</w:t>
      </w:r>
      <w:r w:rsidR="004173BE">
        <w:rPr>
          <w:rFonts w:ascii="Arial Narrow" w:hAnsi="Arial Narrow"/>
        </w:rPr>
        <w:t>CDQ</w:t>
      </w:r>
      <w:r w:rsidRPr="00A82305">
        <w:rPr>
          <w:rFonts w:ascii="Arial Narrow" w:hAnsi="Arial Narrow"/>
        </w:rPr>
        <w:t xml:space="preserve"> Aleutian Islands Pacific Cod </w:t>
      </w:r>
      <w:r w:rsidR="004173BE">
        <w:rPr>
          <w:rFonts w:ascii="Arial Narrow" w:hAnsi="Arial Narrow"/>
        </w:rPr>
        <w:t>from</w:t>
      </w:r>
      <w:r w:rsidRPr="00A82305">
        <w:rPr>
          <w:rFonts w:ascii="Arial Narrow" w:hAnsi="Arial Narrow"/>
        </w:rPr>
        <w:t xml:space="preserve"> </w:t>
      </w:r>
      <w:r w:rsidR="004173BE" w:rsidRPr="004173BE">
        <w:rPr>
          <w:rFonts w:ascii="Arial Narrow" w:hAnsi="Arial Narrow"/>
        </w:rPr>
        <w:t>Directed</w:t>
      </w:r>
      <w:r w:rsidR="004173BE">
        <w:rPr>
          <w:rFonts w:ascii="Arial Narrow" w:hAnsi="Arial Narrow"/>
        </w:rPr>
        <w:t xml:space="preserve"> Fishing</w:t>
      </w:r>
    </w:p>
    <w:tbl>
      <w:tblPr>
        <w:tblStyle w:val="TableGrid"/>
        <w:tblW w:w="9180" w:type="dxa"/>
        <w:tblInd w:w="85" w:type="dxa"/>
        <w:tblLayout w:type="fixed"/>
        <w:tblLook w:val="04A0" w:firstRow="1" w:lastRow="0" w:firstColumn="1" w:lastColumn="0" w:noHBand="0" w:noVBand="1"/>
      </w:tblPr>
      <w:tblGrid>
        <w:gridCol w:w="2250"/>
        <w:gridCol w:w="2430"/>
        <w:gridCol w:w="2520"/>
        <w:gridCol w:w="1980"/>
      </w:tblGrid>
      <w:tr w:rsidR="001E1840" w:rsidRPr="006B5041" w14:paraId="6973F931" w14:textId="77777777" w:rsidTr="00D540C0">
        <w:trPr>
          <w:trHeight w:val="458"/>
        </w:trPr>
        <w:tc>
          <w:tcPr>
            <w:tcW w:w="2250" w:type="dxa"/>
            <w:shd w:val="clear" w:color="auto" w:fill="DEEAF6" w:themeFill="accent1" w:themeFillTint="33"/>
            <w:vAlign w:val="center"/>
          </w:tcPr>
          <w:p w14:paraId="2A0DF51B" w14:textId="622063DA" w:rsidR="001E1840" w:rsidRPr="00BD7B3F" w:rsidRDefault="005D6C0A" w:rsidP="005D6C0A">
            <w:pPr>
              <w:jc w:val="center"/>
              <w:rPr>
                <w:rFonts w:ascii="Arial Narrow" w:hAnsi="Arial Narrow" w:cstheme="minorHAnsi"/>
                <w:b/>
              </w:rPr>
            </w:pPr>
            <w:r>
              <w:rPr>
                <w:rFonts w:ascii="Arial Narrow" w:hAnsi="Arial Narrow" w:cstheme="minorHAnsi"/>
                <w:b/>
              </w:rPr>
              <w:t xml:space="preserve">Other </w:t>
            </w:r>
            <w:r w:rsidR="001E1840">
              <w:rPr>
                <w:rFonts w:ascii="Arial Narrow" w:hAnsi="Arial Narrow" w:cstheme="minorHAnsi"/>
                <w:b/>
              </w:rPr>
              <w:t>Cost</w:t>
            </w:r>
            <w:r>
              <w:rPr>
                <w:rFonts w:ascii="Arial Narrow" w:hAnsi="Arial Narrow" w:cstheme="minorHAnsi"/>
                <w:b/>
              </w:rPr>
              <w:t>s</w:t>
            </w:r>
          </w:p>
        </w:tc>
        <w:tc>
          <w:tcPr>
            <w:tcW w:w="2430" w:type="dxa"/>
            <w:shd w:val="clear" w:color="auto" w:fill="DEEAF6" w:themeFill="accent1" w:themeFillTint="33"/>
            <w:vAlign w:val="center"/>
          </w:tcPr>
          <w:p w14:paraId="7480CDB2" w14:textId="77777777" w:rsidR="001E1840" w:rsidRDefault="001E1840" w:rsidP="0055518B">
            <w:pPr>
              <w:jc w:val="center"/>
              <w:rPr>
                <w:rFonts w:ascii="Arial Narrow" w:hAnsi="Arial Narrow" w:cstheme="minorHAnsi"/>
                <w:b/>
              </w:rPr>
            </w:pPr>
            <w:r>
              <w:rPr>
                <w:rFonts w:ascii="Arial Narrow" w:hAnsi="Arial Narrow" w:cstheme="minorHAnsi"/>
                <w:b/>
              </w:rPr>
              <w:t>Number of Annual Responses</w:t>
            </w:r>
          </w:p>
        </w:tc>
        <w:tc>
          <w:tcPr>
            <w:tcW w:w="2520" w:type="dxa"/>
            <w:shd w:val="clear" w:color="auto" w:fill="DEEAF6" w:themeFill="accent1" w:themeFillTint="33"/>
            <w:vAlign w:val="center"/>
          </w:tcPr>
          <w:p w14:paraId="0C600B0C" w14:textId="77777777" w:rsidR="001E1840" w:rsidRPr="00BD7B3F" w:rsidRDefault="001E1840" w:rsidP="0055518B">
            <w:pPr>
              <w:jc w:val="center"/>
              <w:rPr>
                <w:rFonts w:ascii="Arial Narrow" w:hAnsi="Arial Narrow" w:cstheme="minorHAnsi"/>
                <w:b/>
              </w:rPr>
            </w:pPr>
            <w:r>
              <w:rPr>
                <w:rFonts w:ascii="Arial Narrow" w:hAnsi="Arial Narrow" w:cstheme="minorHAnsi"/>
                <w:b/>
              </w:rPr>
              <w:t>Cost per response</w:t>
            </w:r>
          </w:p>
        </w:tc>
        <w:tc>
          <w:tcPr>
            <w:tcW w:w="1980" w:type="dxa"/>
            <w:shd w:val="clear" w:color="auto" w:fill="DEEAF6" w:themeFill="accent1" w:themeFillTint="33"/>
            <w:vAlign w:val="center"/>
          </w:tcPr>
          <w:p w14:paraId="5B9475B1" w14:textId="5E343202" w:rsidR="001E1840" w:rsidRPr="005D6C0A" w:rsidRDefault="001E1840" w:rsidP="0055518B">
            <w:pPr>
              <w:jc w:val="center"/>
              <w:rPr>
                <w:rFonts w:ascii="Arial Narrow" w:hAnsi="Arial Narrow" w:cstheme="minorHAnsi"/>
                <w:b/>
              </w:rPr>
            </w:pPr>
            <w:r w:rsidRPr="005D6C0A">
              <w:rPr>
                <w:rFonts w:ascii="Arial Narrow" w:hAnsi="Arial Narrow" w:cstheme="minorHAnsi"/>
                <w:b/>
              </w:rPr>
              <w:t xml:space="preserve">Total Annual </w:t>
            </w:r>
            <w:r w:rsidR="005D6C0A" w:rsidRPr="005D6C0A">
              <w:rPr>
                <w:rFonts w:ascii="Arial Narrow" w:hAnsi="Arial Narrow" w:cstheme="minorHAnsi"/>
                <w:b/>
              </w:rPr>
              <w:t xml:space="preserve">Other </w:t>
            </w:r>
            <w:r w:rsidRPr="005D6C0A">
              <w:rPr>
                <w:rFonts w:ascii="Arial Narrow" w:hAnsi="Arial Narrow" w:cstheme="minorHAnsi"/>
                <w:b/>
              </w:rPr>
              <w:t>Cost</w:t>
            </w:r>
            <w:r w:rsidR="005D6C0A" w:rsidRPr="005D6C0A">
              <w:rPr>
                <w:rFonts w:ascii="Arial Narrow" w:hAnsi="Arial Narrow"/>
                <w:b/>
              </w:rPr>
              <w:t xml:space="preserve"> for </w:t>
            </w:r>
            <w:r w:rsidR="005D6C0A" w:rsidRPr="005D6C0A">
              <w:rPr>
                <w:rFonts w:ascii="Arial Narrow" w:hAnsi="Arial Narrow" w:cstheme="minorHAnsi"/>
                <w:b/>
              </w:rPr>
              <w:t>Fed. Govt.</w:t>
            </w:r>
          </w:p>
        </w:tc>
      </w:tr>
      <w:tr w:rsidR="001E1840" w:rsidRPr="006B5041" w14:paraId="09ABB84E" w14:textId="77777777" w:rsidTr="001E1840">
        <w:trPr>
          <w:trHeight w:val="277"/>
        </w:trPr>
        <w:tc>
          <w:tcPr>
            <w:tcW w:w="2250" w:type="dxa"/>
            <w:tcBorders>
              <w:bottom w:val="single" w:sz="4" w:space="0" w:color="auto"/>
            </w:tcBorders>
            <w:vAlign w:val="center"/>
          </w:tcPr>
          <w:p w14:paraId="212BAA3D" w14:textId="23CDA4FA" w:rsidR="001E1840" w:rsidRDefault="001E1840" w:rsidP="0055518B">
            <w:pPr>
              <w:jc w:val="center"/>
              <w:rPr>
                <w:rFonts w:ascii="Arial Narrow" w:hAnsi="Arial Narrow"/>
              </w:rPr>
            </w:pPr>
            <w:r>
              <w:rPr>
                <w:rFonts w:ascii="Arial Narrow" w:hAnsi="Arial Narrow"/>
              </w:rPr>
              <w:t>1</w:t>
            </w:r>
            <w:r w:rsidRPr="001E1840">
              <w:rPr>
                <w:rFonts w:ascii="Arial Narrow" w:hAnsi="Arial Narrow"/>
                <w:vertAlign w:val="superscript"/>
              </w:rPr>
              <w:t>st</w:t>
            </w:r>
            <w:r>
              <w:rPr>
                <w:rFonts w:ascii="Arial Narrow" w:hAnsi="Arial Narrow"/>
              </w:rPr>
              <w:t xml:space="preserve"> class postage</w:t>
            </w:r>
          </w:p>
        </w:tc>
        <w:tc>
          <w:tcPr>
            <w:tcW w:w="2430" w:type="dxa"/>
            <w:tcBorders>
              <w:bottom w:val="single" w:sz="4" w:space="0" w:color="auto"/>
            </w:tcBorders>
            <w:vAlign w:val="center"/>
          </w:tcPr>
          <w:p w14:paraId="232EAD0B" w14:textId="77777777" w:rsidR="001E1840" w:rsidRDefault="001E1840" w:rsidP="0055518B">
            <w:pPr>
              <w:jc w:val="center"/>
              <w:rPr>
                <w:rFonts w:ascii="Arial Narrow" w:hAnsi="Arial Narrow"/>
              </w:rPr>
            </w:pPr>
            <w:r>
              <w:rPr>
                <w:rFonts w:ascii="Arial Narrow" w:hAnsi="Arial Narrow"/>
              </w:rPr>
              <w:t>2</w:t>
            </w:r>
          </w:p>
        </w:tc>
        <w:tc>
          <w:tcPr>
            <w:tcW w:w="2520" w:type="dxa"/>
            <w:tcBorders>
              <w:bottom w:val="single" w:sz="4" w:space="0" w:color="auto"/>
            </w:tcBorders>
            <w:vAlign w:val="center"/>
          </w:tcPr>
          <w:p w14:paraId="50B15264" w14:textId="3FD341E8" w:rsidR="001E1840" w:rsidRPr="006B5041" w:rsidRDefault="001E1840" w:rsidP="0055518B">
            <w:pPr>
              <w:jc w:val="center"/>
              <w:rPr>
                <w:rFonts w:ascii="Arial Narrow" w:hAnsi="Arial Narrow"/>
              </w:rPr>
            </w:pPr>
            <w:r>
              <w:rPr>
                <w:rFonts w:ascii="Arial Narrow" w:hAnsi="Arial Narrow"/>
              </w:rPr>
              <w:t>$0.55</w:t>
            </w:r>
          </w:p>
        </w:tc>
        <w:tc>
          <w:tcPr>
            <w:tcW w:w="1980" w:type="dxa"/>
            <w:tcBorders>
              <w:bottom w:val="single" w:sz="4" w:space="0" w:color="auto"/>
            </w:tcBorders>
            <w:vAlign w:val="center"/>
          </w:tcPr>
          <w:p w14:paraId="3DB2A689" w14:textId="2F42D8E2" w:rsidR="001E1840" w:rsidRPr="006B5041" w:rsidRDefault="001E1840" w:rsidP="001E1840">
            <w:pPr>
              <w:jc w:val="center"/>
              <w:rPr>
                <w:rFonts w:ascii="Arial Narrow" w:hAnsi="Arial Narrow"/>
              </w:rPr>
            </w:pPr>
            <w:r>
              <w:rPr>
                <w:rFonts w:ascii="Arial Narrow" w:hAnsi="Arial Narrow"/>
              </w:rPr>
              <w:t>$1.10</w:t>
            </w:r>
          </w:p>
        </w:tc>
      </w:tr>
    </w:tbl>
    <w:p w14:paraId="7AC8470C" w14:textId="57BB39F7" w:rsidR="001E1840" w:rsidRDefault="001E1840">
      <w:pPr>
        <w:rPr>
          <w:sz w:val="24"/>
          <w:szCs w:val="24"/>
        </w:rPr>
      </w:pPr>
    </w:p>
    <w:p w14:paraId="6CCE7AAC" w14:textId="77777777" w:rsidR="004F26E9" w:rsidRDefault="004F26E9">
      <w:pPr>
        <w:rPr>
          <w:sz w:val="24"/>
          <w:szCs w:val="24"/>
        </w:rPr>
      </w:pPr>
    </w:p>
    <w:p w14:paraId="48451A09" w14:textId="7AFBEEBB" w:rsidR="004F26E9" w:rsidRDefault="004F26E9">
      <w:pPr>
        <w:rPr>
          <w:b/>
          <w:bCs/>
          <w:sz w:val="24"/>
          <w:szCs w:val="24"/>
        </w:rPr>
      </w:pPr>
      <w:r>
        <w:rPr>
          <w:b/>
          <w:bCs/>
          <w:sz w:val="24"/>
          <w:szCs w:val="24"/>
        </w:rPr>
        <w:t>15.</w:t>
      </w:r>
      <w:r w:rsidR="00F041B6">
        <w:rPr>
          <w:b/>
          <w:bCs/>
          <w:sz w:val="24"/>
          <w:szCs w:val="24"/>
        </w:rPr>
        <w:t xml:space="preserve"> </w:t>
      </w:r>
      <w:r w:rsidRPr="000A0540">
        <w:rPr>
          <w:b/>
          <w:bCs/>
          <w:sz w:val="24"/>
          <w:szCs w:val="24"/>
        </w:rPr>
        <w:t>Explain the reasons for any program changes or adjustments.</w:t>
      </w:r>
    </w:p>
    <w:p w14:paraId="0392B936" w14:textId="13E90BC5" w:rsidR="00E919A8" w:rsidRDefault="00E919A8">
      <w:pPr>
        <w:rPr>
          <w:sz w:val="24"/>
          <w:szCs w:val="24"/>
        </w:rPr>
      </w:pPr>
    </w:p>
    <w:p w14:paraId="6E75321F" w14:textId="6A0CCC7C" w:rsidR="008A2254" w:rsidRDefault="00A94DAC">
      <w:pPr>
        <w:rPr>
          <w:sz w:val="24"/>
          <w:szCs w:val="24"/>
        </w:rPr>
      </w:pPr>
      <w:r>
        <w:rPr>
          <w:sz w:val="24"/>
          <w:szCs w:val="24"/>
        </w:rPr>
        <w:t>The table below summarizes the current and p</w:t>
      </w:r>
      <w:r w:rsidR="008A2254" w:rsidRPr="008A2254">
        <w:rPr>
          <w:sz w:val="24"/>
          <w:szCs w:val="24"/>
        </w:rPr>
        <w:t xml:space="preserve">revious </w:t>
      </w:r>
      <w:r>
        <w:rPr>
          <w:sz w:val="24"/>
          <w:szCs w:val="24"/>
        </w:rPr>
        <w:t>t</w:t>
      </w:r>
      <w:r w:rsidR="008A2254" w:rsidRPr="008A2254">
        <w:rPr>
          <w:sz w:val="24"/>
          <w:szCs w:val="24"/>
        </w:rPr>
        <w:t xml:space="preserve">ime and </w:t>
      </w:r>
      <w:r>
        <w:rPr>
          <w:sz w:val="24"/>
          <w:szCs w:val="24"/>
        </w:rPr>
        <w:t>c</w:t>
      </w:r>
      <w:r w:rsidR="008A2254" w:rsidRPr="008A2254">
        <w:rPr>
          <w:sz w:val="24"/>
          <w:szCs w:val="24"/>
        </w:rPr>
        <w:t xml:space="preserve">ost </w:t>
      </w:r>
      <w:r>
        <w:rPr>
          <w:sz w:val="24"/>
          <w:szCs w:val="24"/>
        </w:rPr>
        <w:t>burden estimates to the p</w:t>
      </w:r>
      <w:r w:rsidR="008A2254" w:rsidRPr="008A2254">
        <w:rPr>
          <w:sz w:val="24"/>
          <w:szCs w:val="24"/>
        </w:rPr>
        <w:t>ublic</w:t>
      </w:r>
      <w:r>
        <w:rPr>
          <w:sz w:val="24"/>
          <w:szCs w:val="24"/>
        </w:rPr>
        <w:t>.</w:t>
      </w:r>
    </w:p>
    <w:p w14:paraId="3CBBD34E" w14:textId="77777777" w:rsidR="00A82305" w:rsidRDefault="00A82305">
      <w:pPr>
        <w:rPr>
          <w:rFonts w:ascii="Arial Narrow" w:hAnsi="Arial Narrow"/>
        </w:rPr>
      </w:pPr>
    </w:p>
    <w:p w14:paraId="6A556298" w14:textId="4A876820" w:rsidR="00A82305" w:rsidRPr="00A82305" w:rsidRDefault="00A82305">
      <w:pPr>
        <w:rPr>
          <w:rFonts w:ascii="Arial Narrow" w:hAnsi="Arial Narrow"/>
        </w:rPr>
      </w:pPr>
      <w:r w:rsidRPr="00A82305">
        <w:rPr>
          <w:rFonts w:ascii="Arial Narrow" w:hAnsi="Arial Narrow"/>
        </w:rPr>
        <w:t>Notification of Intent to Process Non-</w:t>
      </w:r>
      <w:r w:rsidR="00DC51C7">
        <w:rPr>
          <w:rFonts w:ascii="Arial Narrow" w:hAnsi="Arial Narrow"/>
        </w:rPr>
        <w:t>CDQ</w:t>
      </w:r>
      <w:r w:rsidRPr="00A82305">
        <w:rPr>
          <w:rFonts w:ascii="Arial Narrow" w:hAnsi="Arial Narrow"/>
        </w:rPr>
        <w:t xml:space="preserve"> Aleutian Islands Pacific Cod </w:t>
      </w:r>
      <w:r w:rsidR="00DC51C7">
        <w:rPr>
          <w:rFonts w:ascii="Arial Narrow" w:hAnsi="Arial Narrow"/>
        </w:rPr>
        <w:t xml:space="preserve">from </w:t>
      </w:r>
      <w:r w:rsidR="00DC51C7" w:rsidRPr="00DC51C7">
        <w:rPr>
          <w:rFonts w:ascii="Arial Narrow" w:hAnsi="Arial Narrow"/>
        </w:rPr>
        <w:t>Directed</w:t>
      </w:r>
      <w:r w:rsidR="0027320D">
        <w:rPr>
          <w:rFonts w:ascii="Arial Narrow" w:hAnsi="Arial Narrow"/>
        </w:rPr>
        <w:t xml:space="preserve"> Fi</w:t>
      </w:r>
      <w:r w:rsidR="00DC51C7">
        <w:rPr>
          <w:rFonts w:ascii="Arial Narrow" w:hAnsi="Arial Narrow"/>
        </w:rPr>
        <w:t>shing</w:t>
      </w:r>
      <w:r w:rsidRPr="00A82305">
        <w:rPr>
          <w:rFonts w:ascii="Arial Narrow" w:hAnsi="Arial Narrow"/>
        </w:rPr>
        <w:t xml:space="preserve"> </w:t>
      </w:r>
    </w:p>
    <w:tbl>
      <w:tblPr>
        <w:tblpPr w:leftFromText="180" w:rightFromText="180" w:vertAnchor="text" w:tblpXSpec="center" w:tblpY="1"/>
        <w:tblOverlap w:val="neve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83"/>
        <w:gridCol w:w="747"/>
        <w:gridCol w:w="810"/>
        <w:gridCol w:w="720"/>
        <w:gridCol w:w="810"/>
        <w:gridCol w:w="720"/>
        <w:gridCol w:w="810"/>
        <w:gridCol w:w="720"/>
        <w:gridCol w:w="810"/>
        <w:gridCol w:w="1572"/>
      </w:tblGrid>
      <w:tr w:rsidR="001E1840" w:rsidRPr="001E1840" w14:paraId="59668BD6" w14:textId="77777777" w:rsidTr="008A2254">
        <w:trPr>
          <w:trHeight w:val="388"/>
          <w:jc w:val="center"/>
        </w:trPr>
        <w:tc>
          <w:tcPr>
            <w:tcW w:w="1593" w:type="dxa"/>
            <w:gridSpan w:val="2"/>
            <w:tcBorders>
              <w:bottom w:val="single" w:sz="4" w:space="0" w:color="auto"/>
            </w:tcBorders>
            <w:shd w:val="clear" w:color="auto" w:fill="DEEAF6"/>
            <w:vAlign w:val="center"/>
          </w:tcPr>
          <w:p w14:paraId="4454009B" w14:textId="77777777" w:rsidR="001E1840" w:rsidRPr="001E1840" w:rsidRDefault="001E1840" w:rsidP="009355EF">
            <w:pPr>
              <w:keepNext/>
              <w:keepLines/>
              <w:widowControl/>
              <w:jc w:val="center"/>
              <w:rPr>
                <w:rFonts w:ascii="Calibri" w:eastAsia="Calibri" w:hAnsi="Calibri"/>
                <w:b/>
                <w:sz w:val="18"/>
                <w:szCs w:val="18"/>
              </w:rPr>
            </w:pPr>
            <w:r w:rsidRPr="001E1840">
              <w:rPr>
                <w:rFonts w:ascii="Calibri" w:eastAsia="Calibri" w:hAnsi="Calibri"/>
                <w:b/>
                <w:sz w:val="18"/>
                <w:szCs w:val="18"/>
              </w:rPr>
              <w:t>Respondents</w:t>
            </w:r>
          </w:p>
        </w:tc>
        <w:tc>
          <w:tcPr>
            <w:tcW w:w="1557" w:type="dxa"/>
            <w:gridSpan w:val="2"/>
            <w:tcBorders>
              <w:bottom w:val="single" w:sz="4" w:space="0" w:color="auto"/>
            </w:tcBorders>
            <w:shd w:val="clear" w:color="auto" w:fill="DEEAF6"/>
            <w:vAlign w:val="center"/>
          </w:tcPr>
          <w:p w14:paraId="65A8011D" w14:textId="77777777" w:rsidR="001E1840" w:rsidRPr="001E1840" w:rsidRDefault="001E1840" w:rsidP="009355EF">
            <w:pPr>
              <w:keepNext/>
              <w:keepLines/>
              <w:widowControl/>
              <w:jc w:val="center"/>
              <w:rPr>
                <w:rFonts w:ascii="Calibri" w:eastAsia="Calibri" w:hAnsi="Calibri"/>
                <w:b/>
                <w:sz w:val="18"/>
                <w:szCs w:val="18"/>
              </w:rPr>
            </w:pPr>
            <w:r w:rsidRPr="001E1840">
              <w:rPr>
                <w:rFonts w:ascii="Calibri" w:eastAsia="Calibri" w:hAnsi="Calibri"/>
                <w:b/>
                <w:sz w:val="18"/>
                <w:szCs w:val="18"/>
              </w:rPr>
              <w:t>Responses</w:t>
            </w:r>
          </w:p>
        </w:tc>
        <w:tc>
          <w:tcPr>
            <w:tcW w:w="1530" w:type="dxa"/>
            <w:gridSpan w:val="2"/>
            <w:tcBorders>
              <w:bottom w:val="single" w:sz="4" w:space="0" w:color="auto"/>
            </w:tcBorders>
            <w:shd w:val="clear" w:color="auto" w:fill="DEEAF6"/>
            <w:vAlign w:val="center"/>
          </w:tcPr>
          <w:p w14:paraId="793FA852" w14:textId="77777777" w:rsidR="001E1840" w:rsidRPr="001E1840" w:rsidRDefault="001E1840" w:rsidP="009355EF">
            <w:pPr>
              <w:keepNext/>
              <w:keepLines/>
              <w:widowControl/>
              <w:jc w:val="center"/>
              <w:rPr>
                <w:rFonts w:ascii="Calibri" w:eastAsia="Calibri" w:hAnsi="Calibri"/>
                <w:b/>
                <w:sz w:val="18"/>
                <w:szCs w:val="18"/>
              </w:rPr>
            </w:pPr>
            <w:r w:rsidRPr="001E1840">
              <w:rPr>
                <w:rFonts w:ascii="Calibri" w:eastAsia="Calibri" w:hAnsi="Calibri"/>
                <w:b/>
                <w:sz w:val="18"/>
                <w:szCs w:val="18"/>
              </w:rPr>
              <w:t>Burden Hours</w:t>
            </w:r>
          </w:p>
        </w:tc>
        <w:tc>
          <w:tcPr>
            <w:tcW w:w="1530" w:type="dxa"/>
            <w:gridSpan w:val="2"/>
            <w:tcBorders>
              <w:bottom w:val="single" w:sz="4" w:space="0" w:color="auto"/>
            </w:tcBorders>
            <w:shd w:val="clear" w:color="auto" w:fill="DEEAF6"/>
            <w:vAlign w:val="center"/>
          </w:tcPr>
          <w:p w14:paraId="1A295C7C" w14:textId="77777777" w:rsidR="001E1840" w:rsidRPr="001E1840" w:rsidRDefault="001E1840" w:rsidP="009355EF">
            <w:pPr>
              <w:keepNext/>
              <w:keepLines/>
              <w:widowControl/>
              <w:jc w:val="center"/>
              <w:rPr>
                <w:rFonts w:ascii="Calibri" w:eastAsia="Calibri" w:hAnsi="Calibri"/>
                <w:b/>
                <w:sz w:val="18"/>
                <w:szCs w:val="18"/>
              </w:rPr>
            </w:pPr>
            <w:r w:rsidRPr="001E1840">
              <w:rPr>
                <w:rFonts w:ascii="Calibri" w:eastAsia="Calibri" w:hAnsi="Calibri"/>
                <w:b/>
                <w:sz w:val="18"/>
                <w:szCs w:val="18"/>
              </w:rPr>
              <w:t>Labor Costs ($)</w:t>
            </w:r>
          </w:p>
        </w:tc>
        <w:tc>
          <w:tcPr>
            <w:tcW w:w="1530" w:type="dxa"/>
            <w:gridSpan w:val="2"/>
            <w:tcBorders>
              <w:bottom w:val="single" w:sz="4" w:space="0" w:color="auto"/>
            </w:tcBorders>
            <w:shd w:val="clear" w:color="auto" w:fill="DEEAF6"/>
            <w:vAlign w:val="center"/>
          </w:tcPr>
          <w:p w14:paraId="3FCDBCEA" w14:textId="77777777" w:rsidR="001E1840" w:rsidRPr="001E1840" w:rsidRDefault="001E1840" w:rsidP="009355EF">
            <w:pPr>
              <w:keepNext/>
              <w:keepLines/>
              <w:widowControl/>
              <w:jc w:val="center"/>
              <w:rPr>
                <w:rFonts w:ascii="Calibri" w:eastAsia="Calibri" w:hAnsi="Calibri"/>
                <w:b/>
                <w:sz w:val="18"/>
                <w:szCs w:val="18"/>
              </w:rPr>
            </w:pPr>
            <w:r w:rsidRPr="001E1840">
              <w:rPr>
                <w:rFonts w:ascii="Calibri" w:eastAsia="Calibri" w:hAnsi="Calibri"/>
                <w:b/>
                <w:sz w:val="18"/>
                <w:szCs w:val="18"/>
              </w:rPr>
              <w:t>Miscellaneous Costs ($)</w:t>
            </w:r>
          </w:p>
        </w:tc>
        <w:tc>
          <w:tcPr>
            <w:tcW w:w="1572" w:type="dxa"/>
            <w:tcBorders>
              <w:bottom w:val="single" w:sz="4" w:space="0" w:color="auto"/>
            </w:tcBorders>
            <w:shd w:val="clear" w:color="auto" w:fill="DEEAF6"/>
            <w:vAlign w:val="center"/>
          </w:tcPr>
          <w:p w14:paraId="52D53BDE" w14:textId="77777777" w:rsidR="001E1840" w:rsidRPr="001E1840" w:rsidRDefault="001E1840" w:rsidP="009355EF">
            <w:pPr>
              <w:keepNext/>
              <w:keepLines/>
              <w:widowControl/>
              <w:jc w:val="center"/>
              <w:rPr>
                <w:rFonts w:ascii="Calibri" w:eastAsia="Calibri" w:hAnsi="Calibri"/>
                <w:b/>
                <w:sz w:val="18"/>
                <w:szCs w:val="18"/>
              </w:rPr>
            </w:pPr>
            <w:r w:rsidRPr="001E1840">
              <w:rPr>
                <w:rFonts w:ascii="Calibri" w:eastAsia="Calibri" w:hAnsi="Calibri"/>
                <w:b/>
                <w:sz w:val="18"/>
                <w:szCs w:val="18"/>
              </w:rPr>
              <w:t>Reason for Change</w:t>
            </w:r>
          </w:p>
        </w:tc>
      </w:tr>
      <w:tr w:rsidR="001E1840" w:rsidRPr="001E1840" w14:paraId="14276C26" w14:textId="77777777" w:rsidTr="008A2254">
        <w:trPr>
          <w:trHeight w:val="187"/>
          <w:jc w:val="center"/>
        </w:trPr>
        <w:tc>
          <w:tcPr>
            <w:tcW w:w="810" w:type="dxa"/>
            <w:tcBorders>
              <w:bottom w:val="single" w:sz="4" w:space="0" w:color="auto"/>
              <w:right w:val="dotted" w:sz="4" w:space="0" w:color="auto"/>
            </w:tcBorders>
            <w:shd w:val="clear" w:color="auto" w:fill="FBE4D5"/>
            <w:vAlign w:val="center"/>
          </w:tcPr>
          <w:p w14:paraId="4504D36C" w14:textId="77777777"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Current</w:t>
            </w:r>
          </w:p>
        </w:tc>
        <w:tc>
          <w:tcPr>
            <w:tcW w:w="783" w:type="dxa"/>
            <w:tcBorders>
              <w:left w:val="dotted" w:sz="4" w:space="0" w:color="auto"/>
              <w:bottom w:val="single" w:sz="4" w:space="0" w:color="auto"/>
            </w:tcBorders>
            <w:shd w:val="clear" w:color="auto" w:fill="FBE4D5"/>
            <w:vAlign w:val="center"/>
          </w:tcPr>
          <w:p w14:paraId="652FC294" w14:textId="77777777"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Previous</w:t>
            </w:r>
          </w:p>
        </w:tc>
        <w:tc>
          <w:tcPr>
            <w:tcW w:w="747" w:type="dxa"/>
            <w:tcBorders>
              <w:right w:val="dotted" w:sz="4" w:space="0" w:color="auto"/>
            </w:tcBorders>
            <w:shd w:val="clear" w:color="auto" w:fill="FBE4D5"/>
            <w:vAlign w:val="center"/>
          </w:tcPr>
          <w:p w14:paraId="74489AA1" w14:textId="77777777"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Current</w:t>
            </w:r>
          </w:p>
        </w:tc>
        <w:tc>
          <w:tcPr>
            <w:tcW w:w="810" w:type="dxa"/>
            <w:tcBorders>
              <w:left w:val="dotted" w:sz="4" w:space="0" w:color="auto"/>
            </w:tcBorders>
            <w:shd w:val="clear" w:color="auto" w:fill="FBE4D5"/>
            <w:vAlign w:val="center"/>
          </w:tcPr>
          <w:p w14:paraId="2060FDCA" w14:textId="77777777"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43F4E60E" w14:textId="77777777"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Current</w:t>
            </w:r>
          </w:p>
        </w:tc>
        <w:tc>
          <w:tcPr>
            <w:tcW w:w="810" w:type="dxa"/>
            <w:tcBorders>
              <w:left w:val="dotted" w:sz="4" w:space="0" w:color="auto"/>
            </w:tcBorders>
            <w:shd w:val="clear" w:color="auto" w:fill="FBE4D5"/>
            <w:vAlign w:val="center"/>
          </w:tcPr>
          <w:p w14:paraId="252A7F5A" w14:textId="77777777"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6A64787C" w14:textId="77777777"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Current</w:t>
            </w:r>
          </w:p>
        </w:tc>
        <w:tc>
          <w:tcPr>
            <w:tcW w:w="810" w:type="dxa"/>
            <w:tcBorders>
              <w:left w:val="dotted" w:sz="4" w:space="0" w:color="auto"/>
            </w:tcBorders>
            <w:shd w:val="clear" w:color="auto" w:fill="FBE4D5"/>
            <w:vAlign w:val="center"/>
          </w:tcPr>
          <w:p w14:paraId="2B6F1041" w14:textId="77777777"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5ECF53F8" w14:textId="0EE4FDD2"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Current</w:t>
            </w:r>
          </w:p>
        </w:tc>
        <w:tc>
          <w:tcPr>
            <w:tcW w:w="810" w:type="dxa"/>
            <w:tcBorders>
              <w:left w:val="dotted" w:sz="4" w:space="0" w:color="auto"/>
            </w:tcBorders>
            <w:shd w:val="clear" w:color="auto" w:fill="FBE4D5"/>
            <w:vAlign w:val="center"/>
          </w:tcPr>
          <w:p w14:paraId="52D54070" w14:textId="77777777" w:rsidR="001E1840" w:rsidRPr="001E1840" w:rsidRDefault="001E1840" w:rsidP="009355EF">
            <w:pPr>
              <w:keepNext/>
              <w:keepLines/>
              <w:widowControl/>
              <w:rPr>
                <w:rFonts w:ascii="Calibri" w:eastAsia="Calibri" w:hAnsi="Calibri"/>
                <w:sz w:val="16"/>
                <w:szCs w:val="16"/>
              </w:rPr>
            </w:pPr>
            <w:r w:rsidRPr="001E1840">
              <w:rPr>
                <w:rFonts w:ascii="Calibri" w:eastAsia="Calibri" w:hAnsi="Calibri"/>
                <w:sz w:val="16"/>
                <w:szCs w:val="16"/>
              </w:rPr>
              <w:t>Previous</w:t>
            </w:r>
          </w:p>
        </w:tc>
        <w:tc>
          <w:tcPr>
            <w:tcW w:w="1572" w:type="dxa"/>
            <w:tcBorders>
              <w:left w:val="dotted" w:sz="4" w:space="0" w:color="auto"/>
            </w:tcBorders>
            <w:shd w:val="clear" w:color="auto" w:fill="FBE4D5"/>
            <w:vAlign w:val="center"/>
          </w:tcPr>
          <w:p w14:paraId="5A15DF61" w14:textId="77777777" w:rsidR="001E1840" w:rsidRPr="001E1840" w:rsidRDefault="001E1840" w:rsidP="009355EF">
            <w:pPr>
              <w:keepNext/>
              <w:keepLines/>
              <w:widowControl/>
              <w:rPr>
                <w:rFonts w:ascii="Calibri" w:eastAsia="Calibri" w:hAnsi="Calibri"/>
                <w:sz w:val="16"/>
                <w:szCs w:val="16"/>
              </w:rPr>
            </w:pPr>
          </w:p>
        </w:tc>
      </w:tr>
      <w:tr w:rsidR="001E1840" w:rsidRPr="001E1840" w14:paraId="01C2EA5B" w14:textId="77777777" w:rsidTr="008A2254">
        <w:trPr>
          <w:trHeight w:val="645"/>
          <w:jc w:val="center"/>
        </w:trPr>
        <w:tc>
          <w:tcPr>
            <w:tcW w:w="810" w:type="dxa"/>
            <w:tcBorders>
              <w:right w:val="dotted" w:sz="4" w:space="0" w:color="auto"/>
            </w:tcBorders>
            <w:shd w:val="clear" w:color="auto" w:fill="auto"/>
            <w:vAlign w:val="center"/>
          </w:tcPr>
          <w:p w14:paraId="3053F7B9" w14:textId="239DE67D" w:rsidR="001E1840" w:rsidRPr="001E1840" w:rsidRDefault="00E919A8" w:rsidP="009355EF">
            <w:pPr>
              <w:keepNext/>
              <w:keepLines/>
              <w:widowControl/>
              <w:jc w:val="center"/>
              <w:rPr>
                <w:rFonts w:ascii="Calibri" w:eastAsia="Calibri" w:hAnsi="Calibri"/>
                <w:sz w:val="18"/>
                <w:szCs w:val="18"/>
              </w:rPr>
            </w:pPr>
            <w:r>
              <w:rPr>
                <w:rFonts w:ascii="Calibri" w:eastAsia="Calibri" w:hAnsi="Calibri"/>
                <w:sz w:val="18"/>
                <w:szCs w:val="18"/>
              </w:rPr>
              <w:t>2</w:t>
            </w:r>
          </w:p>
        </w:tc>
        <w:tc>
          <w:tcPr>
            <w:tcW w:w="783" w:type="dxa"/>
            <w:tcBorders>
              <w:left w:val="dotted" w:sz="4" w:space="0" w:color="auto"/>
            </w:tcBorders>
            <w:shd w:val="clear" w:color="auto" w:fill="auto"/>
            <w:vAlign w:val="center"/>
          </w:tcPr>
          <w:p w14:paraId="20533A6B" w14:textId="5C61ADF3" w:rsidR="001E1840" w:rsidRPr="001E1840" w:rsidRDefault="00E919A8" w:rsidP="009355EF">
            <w:pPr>
              <w:keepNext/>
              <w:keepLines/>
              <w:widowControl/>
              <w:jc w:val="center"/>
              <w:rPr>
                <w:rFonts w:ascii="Calibri" w:eastAsia="Calibri" w:hAnsi="Calibri"/>
                <w:sz w:val="18"/>
                <w:szCs w:val="18"/>
              </w:rPr>
            </w:pPr>
            <w:r>
              <w:rPr>
                <w:rFonts w:ascii="Calibri" w:eastAsia="Calibri" w:hAnsi="Calibri"/>
                <w:sz w:val="18"/>
                <w:szCs w:val="18"/>
              </w:rPr>
              <w:t>2</w:t>
            </w:r>
          </w:p>
        </w:tc>
        <w:tc>
          <w:tcPr>
            <w:tcW w:w="747" w:type="dxa"/>
            <w:tcBorders>
              <w:right w:val="dotted" w:sz="4" w:space="0" w:color="auto"/>
            </w:tcBorders>
            <w:shd w:val="clear" w:color="auto" w:fill="auto"/>
            <w:vAlign w:val="center"/>
          </w:tcPr>
          <w:p w14:paraId="33F4D5EA" w14:textId="67E6B514" w:rsidR="001E1840" w:rsidRPr="001E1840" w:rsidRDefault="00E919A8" w:rsidP="009355EF">
            <w:pPr>
              <w:keepNext/>
              <w:keepLines/>
              <w:widowControl/>
              <w:jc w:val="center"/>
              <w:rPr>
                <w:rFonts w:ascii="Calibri" w:eastAsia="Calibri" w:hAnsi="Calibri"/>
                <w:sz w:val="18"/>
                <w:szCs w:val="18"/>
              </w:rPr>
            </w:pPr>
            <w:r>
              <w:rPr>
                <w:rFonts w:ascii="Calibri" w:eastAsia="Calibri" w:hAnsi="Calibri"/>
                <w:sz w:val="18"/>
                <w:szCs w:val="18"/>
              </w:rPr>
              <w:t>2</w:t>
            </w:r>
          </w:p>
        </w:tc>
        <w:tc>
          <w:tcPr>
            <w:tcW w:w="810" w:type="dxa"/>
            <w:tcBorders>
              <w:left w:val="dotted" w:sz="4" w:space="0" w:color="auto"/>
            </w:tcBorders>
            <w:shd w:val="clear" w:color="auto" w:fill="auto"/>
            <w:vAlign w:val="center"/>
          </w:tcPr>
          <w:p w14:paraId="52BF50F1" w14:textId="30AC8F1F" w:rsidR="001E1840" w:rsidRPr="001E1840" w:rsidRDefault="00E919A8" w:rsidP="009355EF">
            <w:pPr>
              <w:keepNext/>
              <w:keepLines/>
              <w:widowControl/>
              <w:jc w:val="center"/>
              <w:rPr>
                <w:rFonts w:ascii="Calibri" w:eastAsia="Calibri" w:hAnsi="Calibri"/>
                <w:sz w:val="18"/>
                <w:szCs w:val="18"/>
              </w:rPr>
            </w:pPr>
            <w:r>
              <w:rPr>
                <w:rFonts w:ascii="Calibri" w:eastAsia="Calibri" w:hAnsi="Calibri"/>
                <w:sz w:val="18"/>
                <w:szCs w:val="18"/>
              </w:rPr>
              <w:t>2</w:t>
            </w:r>
          </w:p>
        </w:tc>
        <w:tc>
          <w:tcPr>
            <w:tcW w:w="720" w:type="dxa"/>
            <w:tcBorders>
              <w:right w:val="dotted" w:sz="4" w:space="0" w:color="auto"/>
            </w:tcBorders>
            <w:shd w:val="clear" w:color="auto" w:fill="auto"/>
            <w:vAlign w:val="center"/>
          </w:tcPr>
          <w:p w14:paraId="10910CB7" w14:textId="68408DDA" w:rsidR="001E1840" w:rsidRPr="001E1840" w:rsidRDefault="00E919A8" w:rsidP="009355EF">
            <w:pPr>
              <w:keepNext/>
              <w:keepLines/>
              <w:widowControl/>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tcBorders>
            <w:shd w:val="clear" w:color="auto" w:fill="auto"/>
            <w:vAlign w:val="center"/>
          </w:tcPr>
          <w:p w14:paraId="27A16FD2" w14:textId="32BBA945" w:rsidR="001E1840" w:rsidRPr="001E1840" w:rsidRDefault="00E919A8" w:rsidP="009355EF">
            <w:pPr>
              <w:keepNext/>
              <w:keepLines/>
              <w:widowControl/>
              <w:jc w:val="center"/>
              <w:rPr>
                <w:rFonts w:ascii="Calibri" w:eastAsia="Calibri" w:hAnsi="Calibri"/>
                <w:sz w:val="18"/>
                <w:szCs w:val="18"/>
              </w:rPr>
            </w:pPr>
            <w:r>
              <w:rPr>
                <w:rFonts w:ascii="Calibri" w:eastAsia="Calibri" w:hAnsi="Calibri"/>
                <w:sz w:val="18"/>
                <w:szCs w:val="18"/>
              </w:rPr>
              <w:t>1</w:t>
            </w:r>
          </w:p>
        </w:tc>
        <w:tc>
          <w:tcPr>
            <w:tcW w:w="720" w:type="dxa"/>
            <w:tcBorders>
              <w:right w:val="dotted" w:sz="4" w:space="0" w:color="auto"/>
            </w:tcBorders>
            <w:shd w:val="clear" w:color="auto" w:fill="auto"/>
            <w:vAlign w:val="center"/>
          </w:tcPr>
          <w:p w14:paraId="774B8CA0" w14:textId="6E3570CE" w:rsidR="001E1840" w:rsidRPr="001E1840" w:rsidRDefault="0018712D" w:rsidP="009355EF">
            <w:pPr>
              <w:keepNext/>
              <w:keepLines/>
              <w:widowControl/>
              <w:jc w:val="center"/>
              <w:rPr>
                <w:rFonts w:ascii="Calibri" w:eastAsia="Calibri" w:hAnsi="Calibri"/>
                <w:sz w:val="18"/>
                <w:szCs w:val="18"/>
              </w:rPr>
            </w:pPr>
            <w:r>
              <w:rPr>
                <w:rFonts w:ascii="Calibri" w:eastAsia="Calibri" w:hAnsi="Calibri"/>
                <w:sz w:val="18"/>
                <w:szCs w:val="18"/>
              </w:rPr>
              <w:t>54</w:t>
            </w:r>
          </w:p>
        </w:tc>
        <w:tc>
          <w:tcPr>
            <w:tcW w:w="810" w:type="dxa"/>
            <w:tcBorders>
              <w:left w:val="dotted" w:sz="4" w:space="0" w:color="auto"/>
            </w:tcBorders>
            <w:shd w:val="clear" w:color="auto" w:fill="auto"/>
            <w:vAlign w:val="center"/>
          </w:tcPr>
          <w:p w14:paraId="285EBEF4" w14:textId="73F0B518" w:rsidR="001E1840" w:rsidRPr="001E1840" w:rsidRDefault="00E919A8" w:rsidP="009355EF">
            <w:pPr>
              <w:keepNext/>
              <w:keepLines/>
              <w:widowControl/>
              <w:jc w:val="center"/>
              <w:rPr>
                <w:rFonts w:ascii="Calibri" w:eastAsia="Calibri" w:hAnsi="Calibri"/>
                <w:sz w:val="18"/>
                <w:szCs w:val="18"/>
              </w:rPr>
            </w:pPr>
            <w:r>
              <w:rPr>
                <w:rFonts w:ascii="Calibri" w:eastAsia="Calibri" w:hAnsi="Calibri"/>
                <w:sz w:val="18"/>
                <w:szCs w:val="18"/>
              </w:rPr>
              <w:t>37</w:t>
            </w:r>
          </w:p>
        </w:tc>
        <w:tc>
          <w:tcPr>
            <w:tcW w:w="720" w:type="dxa"/>
            <w:tcBorders>
              <w:right w:val="dotted" w:sz="4" w:space="0" w:color="auto"/>
            </w:tcBorders>
            <w:shd w:val="clear" w:color="auto" w:fill="auto"/>
            <w:vAlign w:val="center"/>
          </w:tcPr>
          <w:p w14:paraId="55D04E9C" w14:textId="3463F296" w:rsidR="001E1840" w:rsidRPr="001E1840" w:rsidRDefault="007966CA" w:rsidP="009355EF">
            <w:pPr>
              <w:keepNext/>
              <w:keepLines/>
              <w:widowControl/>
              <w:jc w:val="center"/>
              <w:rPr>
                <w:rFonts w:ascii="Calibri" w:eastAsia="Calibri" w:hAnsi="Calibri"/>
                <w:sz w:val="18"/>
                <w:szCs w:val="18"/>
              </w:rPr>
            </w:pPr>
            <w:r>
              <w:rPr>
                <w:rFonts w:ascii="Calibri" w:eastAsia="Calibri" w:hAnsi="Calibri"/>
                <w:sz w:val="18"/>
                <w:szCs w:val="18"/>
              </w:rPr>
              <w:t>8</w:t>
            </w:r>
          </w:p>
        </w:tc>
        <w:tc>
          <w:tcPr>
            <w:tcW w:w="810" w:type="dxa"/>
            <w:tcBorders>
              <w:left w:val="dotted" w:sz="4" w:space="0" w:color="auto"/>
            </w:tcBorders>
            <w:shd w:val="clear" w:color="auto" w:fill="auto"/>
            <w:vAlign w:val="center"/>
          </w:tcPr>
          <w:p w14:paraId="3364AAD0" w14:textId="1ADE93B5" w:rsidR="001E1840" w:rsidRPr="001E1840" w:rsidRDefault="00E919A8" w:rsidP="009355EF">
            <w:pPr>
              <w:keepNext/>
              <w:keepLines/>
              <w:widowControl/>
              <w:jc w:val="center"/>
              <w:rPr>
                <w:rFonts w:ascii="Calibri" w:eastAsia="Calibri" w:hAnsi="Calibri"/>
                <w:sz w:val="18"/>
                <w:szCs w:val="18"/>
              </w:rPr>
            </w:pPr>
            <w:r>
              <w:rPr>
                <w:rFonts w:ascii="Calibri" w:eastAsia="Calibri" w:hAnsi="Calibri"/>
                <w:sz w:val="18"/>
                <w:szCs w:val="18"/>
              </w:rPr>
              <w:t>4</w:t>
            </w:r>
          </w:p>
        </w:tc>
        <w:tc>
          <w:tcPr>
            <w:tcW w:w="1572" w:type="dxa"/>
            <w:tcBorders>
              <w:left w:val="dotted" w:sz="4" w:space="0" w:color="auto"/>
            </w:tcBorders>
            <w:vAlign w:val="center"/>
          </w:tcPr>
          <w:p w14:paraId="37F9B5DE" w14:textId="46F32E1F" w:rsidR="001E1840" w:rsidRPr="001E1840" w:rsidRDefault="00E919A8" w:rsidP="009355EF">
            <w:pPr>
              <w:keepNext/>
              <w:keepLines/>
              <w:widowControl/>
              <w:rPr>
                <w:rFonts w:ascii="Calibri" w:eastAsia="Calibri" w:hAnsi="Calibri"/>
                <w:sz w:val="18"/>
                <w:szCs w:val="18"/>
              </w:rPr>
            </w:pPr>
            <w:r>
              <w:rPr>
                <w:rFonts w:ascii="Calibri" w:eastAsia="Calibri" w:hAnsi="Calibri"/>
                <w:sz w:val="18"/>
                <w:szCs w:val="18"/>
              </w:rPr>
              <w:t>Up</w:t>
            </w:r>
            <w:r w:rsidR="001E1840" w:rsidRPr="001E1840">
              <w:rPr>
                <w:rFonts w:ascii="Calibri" w:eastAsia="Calibri" w:hAnsi="Calibri"/>
                <w:sz w:val="18"/>
                <w:szCs w:val="18"/>
              </w:rPr>
              <w:t>dated</w:t>
            </w:r>
            <w:r>
              <w:rPr>
                <w:rFonts w:ascii="Calibri" w:eastAsia="Calibri" w:hAnsi="Calibri"/>
                <w:sz w:val="18"/>
                <w:szCs w:val="18"/>
              </w:rPr>
              <w:t xml:space="preserve"> labor, postage, and photocopy costs</w:t>
            </w:r>
            <w:r w:rsidR="001E1840" w:rsidRPr="001E1840">
              <w:rPr>
                <w:rFonts w:ascii="Calibri" w:eastAsia="Calibri" w:hAnsi="Calibri"/>
                <w:sz w:val="18"/>
                <w:szCs w:val="18"/>
              </w:rPr>
              <w:t xml:space="preserve"> </w:t>
            </w:r>
          </w:p>
        </w:tc>
      </w:tr>
    </w:tbl>
    <w:p w14:paraId="1E04A75C" w14:textId="77777777" w:rsidR="004F26E9" w:rsidRDefault="004F26E9">
      <w:pPr>
        <w:rPr>
          <w:sz w:val="24"/>
          <w:szCs w:val="24"/>
        </w:rPr>
      </w:pPr>
    </w:p>
    <w:p w14:paraId="7D844493" w14:textId="77777777" w:rsidR="004F26E9" w:rsidRDefault="004F26E9">
      <w:pPr>
        <w:rPr>
          <w:sz w:val="24"/>
          <w:szCs w:val="24"/>
        </w:rPr>
      </w:pPr>
    </w:p>
    <w:p w14:paraId="5647BB3B" w14:textId="36038E12" w:rsidR="004F26E9" w:rsidRDefault="004F26E9">
      <w:pPr>
        <w:rPr>
          <w:sz w:val="24"/>
          <w:szCs w:val="24"/>
        </w:rPr>
      </w:pPr>
      <w:r>
        <w:rPr>
          <w:b/>
          <w:bCs/>
          <w:sz w:val="24"/>
          <w:szCs w:val="24"/>
        </w:rPr>
        <w:t>16.</w:t>
      </w:r>
      <w:r w:rsidR="00F041B6">
        <w:rPr>
          <w:b/>
          <w:bCs/>
          <w:sz w:val="24"/>
          <w:szCs w:val="24"/>
        </w:rPr>
        <w:t xml:space="preserve"> </w:t>
      </w:r>
      <w:r w:rsidRPr="000A0540">
        <w:rPr>
          <w:b/>
          <w:bCs/>
          <w:sz w:val="24"/>
          <w:szCs w:val="24"/>
        </w:rPr>
        <w:t>For collections whose results will be published, outline the plans for tabulation and publication.</w:t>
      </w:r>
    </w:p>
    <w:p w14:paraId="26722C1F" w14:textId="77777777" w:rsidR="004008DD" w:rsidRDefault="004008DD">
      <w:pPr>
        <w:rPr>
          <w:sz w:val="24"/>
          <w:szCs w:val="24"/>
        </w:rPr>
      </w:pPr>
    </w:p>
    <w:p w14:paraId="124B1588" w14:textId="64A608E3" w:rsidR="00CE7ECB" w:rsidRPr="000D7D85" w:rsidRDefault="009C4241">
      <w:pPr>
        <w:rPr>
          <w:sz w:val="24"/>
          <w:szCs w:val="24"/>
        </w:rPr>
      </w:pPr>
      <w:r>
        <w:rPr>
          <w:sz w:val="24"/>
          <w:szCs w:val="24"/>
        </w:rPr>
        <w:t xml:space="preserve">NMFS </w:t>
      </w:r>
      <w:r w:rsidR="00D06B06">
        <w:rPr>
          <w:sz w:val="24"/>
          <w:szCs w:val="24"/>
        </w:rPr>
        <w:t>includes</w:t>
      </w:r>
      <w:r>
        <w:rPr>
          <w:sz w:val="24"/>
          <w:szCs w:val="24"/>
        </w:rPr>
        <w:t xml:space="preserve"> whether notification of intent was received from </w:t>
      </w:r>
      <w:r w:rsidR="004008DD">
        <w:rPr>
          <w:sz w:val="24"/>
          <w:szCs w:val="24"/>
        </w:rPr>
        <w:t xml:space="preserve">the City of </w:t>
      </w:r>
      <w:r>
        <w:rPr>
          <w:sz w:val="24"/>
          <w:szCs w:val="24"/>
        </w:rPr>
        <w:t xml:space="preserve">Adak or </w:t>
      </w:r>
      <w:r w:rsidR="004008DD">
        <w:rPr>
          <w:sz w:val="24"/>
          <w:szCs w:val="24"/>
        </w:rPr>
        <w:t xml:space="preserve">the City of </w:t>
      </w:r>
      <w:r>
        <w:rPr>
          <w:sz w:val="24"/>
          <w:szCs w:val="24"/>
        </w:rPr>
        <w:t xml:space="preserve">Atka in the </w:t>
      </w:r>
      <w:r w:rsidR="004008DD">
        <w:rPr>
          <w:sz w:val="24"/>
          <w:szCs w:val="24"/>
        </w:rPr>
        <w:t xml:space="preserve">BSAI </w:t>
      </w:r>
      <w:r>
        <w:rPr>
          <w:sz w:val="24"/>
          <w:szCs w:val="24"/>
        </w:rPr>
        <w:t>final harvest specifications</w:t>
      </w:r>
      <w:r w:rsidR="004008DD">
        <w:rPr>
          <w:sz w:val="24"/>
          <w:szCs w:val="24"/>
        </w:rPr>
        <w:t xml:space="preserve">, which </w:t>
      </w:r>
      <w:r>
        <w:rPr>
          <w:sz w:val="24"/>
          <w:szCs w:val="24"/>
        </w:rPr>
        <w:t xml:space="preserve">are published </w:t>
      </w:r>
      <w:r w:rsidR="00D06B06">
        <w:rPr>
          <w:sz w:val="24"/>
          <w:szCs w:val="24"/>
        </w:rPr>
        <w:t xml:space="preserve">annually </w:t>
      </w:r>
      <w:r>
        <w:rPr>
          <w:sz w:val="24"/>
          <w:szCs w:val="24"/>
        </w:rPr>
        <w:t xml:space="preserve">in the </w:t>
      </w:r>
      <w:r w:rsidRPr="00B65651">
        <w:rPr>
          <w:i/>
          <w:sz w:val="24"/>
          <w:szCs w:val="24"/>
        </w:rPr>
        <w:t xml:space="preserve">Federal </w:t>
      </w:r>
      <w:r w:rsidRPr="000D7D85">
        <w:rPr>
          <w:i/>
          <w:sz w:val="24"/>
          <w:szCs w:val="24"/>
        </w:rPr>
        <w:t>Register</w:t>
      </w:r>
      <w:r w:rsidR="000D7D85" w:rsidRPr="000D7D85">
        <w:rPr>
          <w:sz w:val="24"/>
          <w:szCs w:val="24"/>
        </w:rPr>
        <w:t xml:space="preserve"> (84 FR 9000, March 13, 2019).</w:t>
      </w:r>
      <w:r w:rsidRPr="000D7D85">
        <w:rPr>
          <w:sz w:val="24"/>
          <w:szCs w:val="24"/>
        </w:rPr>
        <w:t xml:space="preserve"> </w:t>
      </w:r>
    </w:p>
    <w:p w14:paraId="1BB440CE" w14:textId="77777777" w:rsidR="004F26E9" w:rsidRDefault="004F26E9">
      <w:pPr>
        <w:rPr>
          <w:sz w:val="24"/>
          <w:szCs w:val="24"/>
        </w:rPr>
      </w:pPr>
    </w:p>
    <w:p w14:paraId="6D26D7B4" w14:textId="00CC0513" w:rsidR="004F26E9" w:rsidRDefault="004F26E9">
      <w:pPr>
        <w:rPr>
          <w:sz w:val="24"/>
          <w:szCs w:val="24"/>
        </w:rPr>
      </w:pPr>
      <w:r>
        <w:rPr>
          <w:b/>
          <w:bCs/>
          <w:sz w:val="24"/>
          <w:szCs w:val="24"/>
        </w:rPr>
        <w:t>17.</w:t>
      </w:r>
      <w:r w:rsidR="00F041B6">
        <w:rPr>
          <w:b/>
          <w:bCs/>
          <w:sz w:val="24"/>
          <w:szCs w:val="24"/>
        </w:rPr>
        <w:t xml:space="preserve"> </w:t>
      </w:r>
      <w:r w:rsidRPr="000A0540">
        <w:rPr>
          <w:b/>
          <w:bCs/>
          <w:sz w:val="24"/>
          <w:szCs w:val="24"/>
        </w:rPr>
        <w:t>If seeking approval to not display the expiration date for OMB approval of the information collection, explain the reasons why display would be inappropriate.</w:t>
      </w:r>
    </w:p>
    <w:p w14:paraId="062E0F6D" w14:textId="77777777" w:rsidR="004F26E9" w:rsidRDefault="004F26E9">
      <w:pPr>
        <w:rPr>
          <w:sz w:val="24"/>
          <w:szCs w:val="24"/>
        </w:rPr>
      </w:pPr>
    </w:p>
    <w:p w14:paraId="301285F7" w14:textId="3EEAB19D" w:rsidR="004F26E9" w:rsidRDefault="00160B12">
      <w:pPr>
        <w:rPr>
          <w:sz w:val="24"/>
          <w:szCs w:val="24"/>
        </w:rPr>
      </w:pPr>
      <w:r>
        <w:rPr>
          <w:sz w:val="24"/>
          <w:szCs w:val="24"/>
        </w:rPr>
        <w:t xml:space="preserve">The notification of intent to process Aleutian Islands Pacific cod is not a form; rather it is a letter or memorandum created by the respondent. </w:t>
      </w:r>
    </w:p>
    <w:p w14:paraId="51AA2581" w14:textId="77777777" w:rsidR="004F26E9" w:rsidRDefault="004F26E9">
      <w:pPr>
        <w:rPr>
          <w:sz w:val="24"/>
          <w:szCs w:val="24"/>
        </w:rPr>
      </w:pPr>
    </w:p>
    <w:p w14:paraId="076D985D" w14:textId="3DCBEEA1" w:rsidR="004F26E9" w:rsidRPr="00A52249" w:rsidRDefault="004F26E9">
      <w:pPr>
        <w:rPr>
          <w:b/>
          <w:bCs/>
          <w:sz w:val="24"/>
          <w:szCs w:val="24"/>
        </w:rPr>
      </w:pPr>
      <w:r>
        <w:rPr>
          <w:b/>
          <w:bCs/>
          <w:sz w:val="24"/>
          <w:szCs w:val="24"/>
        </w:rPr>
        <w:t>18.</w:t>
      </w:r>
      <w:r w:rsidR="00F041B6">
        <w:rPr>
          <w:b/>
          <w:bCs/>
          <w:sz w:val="24"/>
          <w:szCs w:val="24"/>
        </w:rPr>
        <w:t xml:space="preserve"> </w:t>
      </w:r>
      <w:r w:rsidRPr="000A0540">
        <w:rPr>
          <w:b/>
          <w:bCs/>
          <w:sz w:val="24"/>
          <w:szCs w:val="24"/>
        </w:rPr>
        <w:t>Explain each</w:t>
      </w:r>
      <w:r w:rsidR="00A52249" w:rsidRPr="000A0540">
        <w:rPr>
          <w:b/>
          <w:bCs/>
          <w:sz w:val="24"/>
          <w:szCs w:val="24"/>
        </w:rPr>
        <w:t xml:space="preserve"> exception to the certification </w:t>
      </w:r>
      <w:r w:rsidRPr="000A0540">
        <w:rPr>
          <w:b/>
          <w:bCs/>
          <w:sz w:val="24"/>
          <w:szCs w:val="24"/>
        </w:rPr>
        <w:t>statement.</w:t>
      </w:r>
    </w:p>
    <w:p w14:paraId="127ADABD" w14:textId="77777777" w:rsidR="004F26E9" w:rsidRDefault="004F26E9">
      <w:pPr>
        <w:rPr>
          <w:sz w:val="24"/>
          <w:szCs w:val="24"/>
        </w:rPr>
      </w:pPr>
    </w:p>
    <w:p w14:paraId="3ACF7955" w14:textId="581D77CA" w:rsidR="00F14992" w:rsidRPr="00591A26" w:rsidRDefault="00591A26">
      <w:pPr>
        <w:rPr>
          <w:sz w:val="24"/>
          <w:szCs w:val="24"/>
        </w:rPr>
      </w:pPr>
      <w:r w:rsidRPr="00591A26">
        <w:rPr>
          <w:color w:val="222222"/>
          <w:sz w:val="24"/>
          <w:szCs w:val="24"/>
          <w:shd w:val="clear" w:color="auto" w:fill="FFFFFF"/>
        </w:rPr>
        <w:t>There are no exceptions for compliance with provisions in the certification statement.</w:t>
      </w:r>
    </w:p>
    <w:p w14:paraId="2AC05F25" w14:textId="77777777" w:rsidR="00F14992" w:rsidRDefault="00F14992" w:rsidP="00F14992">
      <w:pPr>
        <w:rPr>
          <w:sz w:val="24"/>
          <w:szCs w:val="24"/>
        </w:rPr>
      </w:pPr>
    </w:p>
    <w:p w14:paraId="354BE6BE" w14:textId="0DEF2739" w:rsidR="00F14992" w:rsidRPr="00F14992" w:rsidRDefault="00F14992" w:rsidP="00F14992">
      <w:pPr>
        <w:rPr>
          <w:b/>
          <w:sz w:val="24"/>
          <w:szCs w:val="24"/>
        </w:rPr>
      </w:pPr>
      <w:r w:rsidRPr="00F14992">
        <w:rPr>
          <w:b/>
          <w:sz w:val="24"/>
          <w:szCs w:val="24"/>
        </w:rPr>
        <w:t>B.</w:t>
      </w:r>
      <w:r w:rsidRPr="00F14992">
        <w:rPr>
          <w:b/>
          <w:sz w:val="24"/>
          <w:szCs w:val="24"/>
        </w:rPr>
        <w:tab/>
        <w:t>COLLECTIONS OF INFORMATION EMPLOYING STATISTICAL METHODS</w:t>
      </w:r>
    </w:p>
    <w:p w14:paraId="3BDFE043" w14:textId="77777777" w:rsidR="00F14992" w:rsidRPr="00F14992" w:rsidRDefault="00F14992" w:rsidP="00F14992">
      <w:pPr>
        <w:rPr>
          <w:sz w:val="24"/>
          <w:szCs w:val="24"/>
        </w:rPr>
      </w:pPr>
    </w:p>
    <w:p w14:paraId="349EABB1" w14:textId="7261EF24" w:rsidR="00F14992" w:rsidRDefault="00F14992" w:rsidP="00F14992">
      <w:pPr>
        <w:rPr>
          <w:sz w:val="24"/>
          <w:szCs w:val="24"/>
        </w:rPr>
      </w:pPr>
      <w:r w:rsidRPr="00F14992">
        <w:rPr>
          <w:sz w:val="24"/>
          <w:szCs w:val="24"/>
        </w:rPr>
        <w:t>This collection does not employ statistical methods.</w:t>
      </w:r>
    </w:p>
    <w:sectPr w:rsidR="00F14992">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AFBD9" w14:textId="77777777" w:rsidR="007D5EBE" w:rsidRDefault="007D5EBE">
      <w:r>
        <w:separator/>
      </w:r>
    </w:p>
    <w:p w14:paraId="018CADF8" w14:textId="77777777" w:rsidR="007D5EBE" w:rsidRDefault="007D5EBE"/>
  </w:endnote>
  <w:endnote w:type="continuationSeparator" w:id="0">
    <w:p w14:paraId="09ADCB8B" w14:textId="77777777" w:rsidR="007D5EBE" w:rsidRDefault="007D5EBE">
      <w:r>
        <w:continuationSeparator/>
      </w:r>
    </w:p>
    <w:p w14:paraId="6B6646A2" w14:textId="77777777" w:rsidR="007D5EBE" w:rsidRDefault="007D5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E838A" w14:textId="696C37FB"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565E4">
      <w:rPr>
        <w:rStyle w:val="PageNumber"/>
        <w:noProof/>
        <w:sz w:val="24"/>
        <w:szCs w:val="24"/>
      </w:rPr>
      <w:t>1</w:t>
    </w:r>
    <w:r>
      <w:rPr>
        <w:rStyle w:val="PageNumber"/>
        <w:sz w:val="24"/>
        <w:szCs w:val="24"/>
      </w:rPr>
      <w:fldChar w:fldCharType="end"/>
    </w:r>
  </w:p>
  <w:p w14:paraId="6278FE60" w14:textId="77777777"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3E026" w14:textId="77777777" w:rsidR="007D5EBE" w:rsidRDefault="007D5EBE">
      <w:r>
        <w:separator/>
      </w:r>
    </w:p>
    <w:p w14:paraId="684B124E" w14:textId="77777777" w:rsidR="007D5EBE" w:rsidRDefault="007D5EBE"/>
  </w:footnote>
  <w:footnote w:type="continuationSeparator" w:id="0">
    <w:p w14:paraId="57ABB1E0" w14:textId="77777777" w:rsidR="007D5EBE" w:rsidRDefault="007D5EBE">
      <w:r>
        <w:continuationSeparator/>
      </w:r>
    </w:p>
    <w:p w14:paraId="70D3D057" w14:textId="77777777" w:rsidR="007D5EBE" w:rsidRDefault="007D5EBE"/>
  </w:footnote>
  <w:footnote w:id="1">
    <w:p w14:paraId="485E1792" w14:textId="27D59DB3" w:rsidR="00597134" w:rsidRDefault="00597134">
      <w:pPr>
        <w:pStyle w:val="FootnoteText"/>
      </w:pPr>
      <w:r>
        <w:rPr>
          <w:rStyle w:val="FootnoteReference"/>
        </w:rPr>
        <w:footnoteRef/>
      </w:r>
      <w:r>
        <w:t xml:space="preserve"> P.O. Box 21668</w:t>
      </w:r>
    </w:p>
    <w:p w14:paraId="490F94AC" w14:textId="4864EB86" w:rsidR="00597134" w:rsidRDefault="00597134">
      <w:pPr>
        <w:pStyle w:val="FootnoteText"/>
      </w:pPr>
      <w:r>
        <w:t xml:space="preserve">  Juneau, AK  99802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97DCF"/>
    <w:multiLevelType w:val="hybridMultilevel"/>
    <w:tmpl w:val="680A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35308"/>
    <w:multiLevelType w:val="hybridMultilevel"/>
    <w:tmpl w:val="C6401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41BA6"/>
    <w:multiLevelType w:val="hybridMultilevel"/>
    <w:tmpl w:val="BB2E4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9F4FBF"/>
    <w:multiLevelType w:val="hybridMultilevel"/>
    <w:tmpl w:val="1A7EC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5661EBE"/>
    <w:multiLevelType w:val="hybridMultilevel"/>
    <w:tmpl w:val="D4685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8A7C78"/>
    <w:multiLevelType w:val="hybridMultilevel"/>
    <w:tmpl w:val="0C14D2E8"/>
    <w:lvl w:ilvl="0" w:tplc="80A47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41E63"/>
    <w:rsid w:val="00045C30"/>
    <w:rsid w:val="000526D1"/>
    <w:rsid w:val="00053DEC"/>
    <w:rsid w:val="0005631C"/>
    <w:rsid w:val="00066544"/>
    <w:rsid w:val="00074018"/>
    <w:rsid w:val="0007555F"/>
    <w:rsid w:val="0008604E"/>
    <w:rsid w:val="00094B73"/>
    <w:rsid w:val="000A0540"/>
    <w:rsid w:val="000B0D80"/>
    <w:rsid w:val="000C6F37"/>
    <w:rsid w:val="000D6222"/>
    <w:rsid w:val="000D6E08"/>
    <w:rsid w:val="000D7D85"/>
    <w:rsid w:val="000E1B17"/>
    <w:rsid w:val="000E589B"/>
    <w:rsid w:val="000E68CE"/>
    <w:rsid w:val="000F3F9C"/>
    <w:rsid w:val="000F61A5"/>
    <w:rsid w:val="00107F5D"/>
    <w:rsid w:val="00124211"/>
    <w:rsid w:val="00136038"/>
    <w:rsid w:val="001565E4"/>
    <w:rsid w:val="00160B12"/>
    <w:rsid w:val="001666D3"/>
    <w:rsid w:val="0017480E"/>
    <w:rsid w:val="00182E79"/>
    <w:rsid w:val="0018712D"/>
    <w:rsid w:val="001A55D1"/>
    <w:rsid w:val="001A68BE"/>
    <w:rsid w:val="001A6ED8"/>
    <w:rsid w:val="001B6E72"/>
    <w:rsid w:val="001D02D2"/>
    <w:rsid w:val="001D3B77"/>
    <w:rsid w:val="001E1397"/>
    <w:rsid w:val="001E13BB"/>
    <w:rsid w:val="001E1840"/>
    <w:rsid w:val="001E5C55"/>
    <w:rsid w:val="001E6F72"/>
    <w:rsid w:val="00215FB6"/>
    <w:rsid w:val="00221550"/>
    <w:rsid w:val="0022251C"/>
    <w:rsid w:val="002253A6"/>
    <w:rsid w:val="00233509"/>
    <w:rsid w:val="002412F5"/>
    <w:rsid w:val="00250D3B"/>
    <w:rsid w:val="0025116E"/>
    <w:rsid w:val="0025357A"/>
    <w:rsid w:val="0027320D"/>
    <w:rsid w:val="002877A3"/>
    <w:rsid w:val="00290657"/>
    <w:rsid w:val="002B0EB6"/>
    <w:rsid w:val="002C0892"/>
    <w:rsid w:val="002C148E"/>
    <w:rsid w:val="002C4FA8"/>
    <w:rsid w:val="002E488E"/>
    <w:rsid w:val="002E74D9"/>
    <w:rsid w:val="002F504B"/>
    <w:rsid w:val="002F690E"/>
    <w:rsid w:val="00305B97"/>
    <w:rsid w:val="00306FDC"/>
    <w:rsid w:val="0031251B"/>
    <w:rsid w:val="00314372"/>
    <w:rsid w:val="00320467"/>
    <w:rsid w:val="00346F62"/>
    <w:rsid w:val="00347C06"/>
    <w:rsid w:val="00353348"/>
    <w:rsid w:val="00354013"/>
    <w:rsid w:val="003A1B9B"/>
    <w:rsid w:val="003B016F"/>
    <w:rsid w:val="003B3BFA"/>
    <w:rsid w:val="003C3FC7"/>
    <w:rsid w:val="003D603C"/>
    <w:rsid w:val="003E1575"/>
    <w:rsid w:val="003E273F"/>
    <w:rsid w:val="003E6AE8"/>
    <w:rsid w:val="003F2B82"/>
    <w:rsid w:val="004008DD"/>
    <w:rsid w:val="004173BE"/>
    <w:rsid w:val="004209A7"/>
    <w:rsid w:val="004265D5"/>
    <w:rsid w:val="0043272B"/>
    <w:rsid w:val="00435366"/>
    <w:rsid w:val="004647E7"/>
    <w:rsid w:val="004843B3"/>
    <w:rsid w:val="004A3080"/>
    <w:rsid w:val="004A31EC"/>
    <w:rsid w:val="004C5719"/>
    <w:rsid w:val="004F26E9"/>
    <w:rsid w:val="004F6F5F"/>
    <w:rsid w:val="00501E5B"/>
    <w:rsid w:val="005060DE"/>
    <w:rsid w:val="0052522C"/>
    <w:rsid w:val="005265DE"/>
    <w:rsid w:val="00532DD5"/>
    <w:rsid w:val="00535342"/>
    <w:rsid w:val="005414AC"/>
    <w:rsid w:val="00550E3D"/>
    <w:rsid w:val="0055722C"/>
    <w:rsid w:val="00564EC9"/>
    <w:rsid w:val="0057078B"/>
    <w:rsid w:val="00582C31"/>
    <w:rsid w:val="00591A26"/>
    <w:rsid w:val="00597134"/>
    <w:rsid w:val="005A4C7E"/>
    <w:rsid w:val="005B0090"/>
    <w:rsid w:val="005B04CB"/>
    <w:rsid w:val="005B1DA5"/>
    <w:rsid w:val="005B32B5"/>
    <w:rsid w:val="005C55E9"/>
    <w:rsid w:val="005C6849"/>
    <w:rsid w:val="005D1CFB"/>
    <w:rsid w:val="005D6C0A"/>
    <w:rsid w:val="005F27E0"/>
    <w:rsid w:val="005F420A"/>
    <w:rsid w:val="0060376F"/>
    <w:rsid w:val="006208E3"/>
    <w:rsid w:val="006471F1"/>
    <w:rsid w:val="00647C25"/>
    <w:rsid w:val="00675284"/>
    <w:rsid w:val="00690E6C"/>
    <w:rsid w:val="00693DF5"/>
    <w:rsid w:val="006B25C5"/>
    <w:rsid w:val="006B5041"/>
    <w:rsid w:val="006B532B"/>
    <w:rsid w:val="006C4298"/>
    <w:rsid w:val="006D5B96"/>
    <w:rsid w:val="006F7010"/>
    <w:rsid w:val="007020DE"/>
    <w:rsid w:val="007055CB"/>
    <w:rsid w:val="0072425D"/>
    <w:rsid w:val="00725C5C"/>
    <w:rsid w:val="0075490A"/>
    <w:rsid w:val="00756A47"/>
    <w:rsid w:val="00765CD0"/>
    <w:rsid w:val="0076654F"/>
    <w:rsid w:val="00771A79"/>
    <w:rsid w:val="00772FFC"/>
    <w:rsid w:val="00773429"/>
    <w:rsid w:val="0079427C"/>
    <w:rsid w:val="007966CA"/>
    <w:rsid w:val="007B290A"/>
    <w:rsid w:val="007B2EBC"/>
    <w:rsid w:val="007B442E"/>
    <w:rsid w:val="007B7769"/>
    <w:rsid w:val="007C0F1A"/>
    <w:rsid w:val="007D5EBE"/>
    <w:rsid w:val="007D65A8"/>
    <w:rsid w:val="007E0CF4"/>
    <w:rsid w:val="007E2701"/>
    <w:rsid w:val="007F6AB3"/>
    <w:rsid w:val="00804D0C"/>
    <w:rsid w:val="00807244"/>
    <w:rsid w:val="0080789A"/>
    <w:rsid w:val="00810E3E"/>
    <w:rsid w:val="008257B7"/>
    <w:rsid w:val="00837601"/>
    <w:rsid w:val="008407ED"/>
    <w:rsid w:val="00843AF1"/>
    <w:rsid w:val="00844CDA"/>
    <w:rsid w:val="00846C18"/>
    <w:rsid w:val="008525C6"/>
    <w:rsid w:val="00853285"/>
    <w:rsid w:val="00862DFF"/>
    <w:rsid w:val="00863792"/>
    <w:rsid w:val="008902E6"/>
    <w:rsid w:val="00892792"/>
    <w:rsid w:val="00894CD2"/>
    <w:rsid w:val="008A1963"/>
    <w:rsid w:val="008A2254"/>
    <w:rsid w:val="008B2AFD"/>
    <w:rsid w:val="008B338C"/>
    <w:rsid w:val="008B75AE"/>
    <w:rsid w:val="008C770C"/>
    <w:rsid w:val="008E4BCE"/>
    <w:rsid w:val="008E7F52"/>
    <w:rsid w:val="008F3D29"/>
    <w:rsid w:val="009177A4"/>
    <w:rsid w:val="009206B1"/>
    <w:rsid w:val="009355EF"/>
    <w:rsid w:val="00935F71"/>
    <w:rsid w:val="009370FA"/>
    <w:rsid w:val="00944A84"/>
    <w:rsid w:val="00966986"/>
    <w:rsid w:val="009879F7"/>
    <w:rsid w:val="00992B2E"/>
    <w:rsid w:val="00995670"/>
    <w:rsid w:val="009A6884"/>
    <w:rsid w:val="009C4241"/>
    <w:rsid w:val="009D0A71"/>
    <w:rsid w:val="009E7542"/>
    <w:rsid w:val="009F499F"/>
    <w:rsid w:val="00A10874"/>
    <w:rsid w:val="00A32104"/>
    <w:rsid w:val="00A33226"/>
    <w:rsid w:val="00A52249"/>
    <w:rsid w:val="00A570D2"/>
    <w:rsid w:val="00A636C1"/>
    <w:rsid w:val="00A65F0C"/>
    <w:rsid w:val="00A8110A"/>
    <w:rsid w:val="00A82305"/>
    <w:rsid w:val="00A91553"/>
    <w:rsid w:val="00A94750"/>
    <w:rsid w:val="00A94DAC"/>
    <w:rsid w:val="00A972AA"/>
    <w:rsid w:val="00AA28B2"/>
    <w:rsid w:val="00AA3684"/>
    <w:rsid w:val="00AC2051"/>
    <w:rsid w:val="00AD3F75"/>
    <w:rsid w:val="00AF52DC"/>
    <w:rsid w:val="00B02218"/>
    <w:rsid w:val="00B2138C"/>
    <w:rsid w:val="00B21622"/>
    <w:rsid w:val="00B21D0D"/>
    <w:rsid w:val="00B21D46"/>
    <w:rsid w:val="00B25053"/>
    <w:rsid w:val="00B37E1C"/>
    <w:rsid w:val="00B43D61"/>
    <w:rsid w:val="00B43DC5"/>
    <w:rsid w:val="00B501FD"/>
    <w:rsid w:val="00B51583"/>
    <w:rsid w:val="00B54431"/>
    <w:rsid w:val="00B61A4E"/>
    <w:rsid w:val="00B639FA"/>
    <w:rsid w:val="00B65651"/>
    <w:rsid w:val="00B65F1E"/>
    <w:rsid w:val="00B71C60"/>
    <w:rsid w:val="00B73CFF"/>
    <w:rsid w:val="00B7496F"/>
    <w:rsid w:val="00B80E7B"/>
    <w:rsid w:val="00B8315F"/>
    <w:rsid w:val="00B943D7"/>
    <w:rsid w:val="00BA4110"/>
    <w:rsid w:val="00BA48F0"/>
    <w:rsid w:val="00BA4FB4"/>
    <w:rsid w:val="00BD09F5"/>
    <w:rsid w:val="00BD65C2"/>
    <w:rsid w:val="00BD7B3F"/>
    <w:rsid w:val="00BE044D"/>
    <w:rsid w:val="00BE2C63"/>
    <w:rsid w:val="00C01E89"/>
    <w:rsid w:val="00C02B99"/>
    <w:rsid w:val="00C15A39"/>
    <w:rsid w:val="00C213BA"/>
    <w:rsid w:val="00C357E7"/>
    <w:rsid w:val="00C41321"/>
    <w:rsid w:val="00C41BAF"/>
    <w:rsid w:val="00C4406C"/>
    <w:rsid w:val="00C52E95"/>
    <w:rsid w:val="00C603EF"/>
    <w:rsid w:val="00C60932"/>
    <w:rsid w:val="00C70A7E"/>
    <w:rsid w:val="00CB5C16"/>
    <w:rsid w:val="00CC1EBA"/>
    <w:rsid w:val="00CD2881"/>
    <w:rsid w:val="00CD4402"/>
    <w:rsid w:val="00CE1E61"/>
    <w:rsid w:val="00CE7ECB"/>
    <w:rsid w:val="00CF5384"/>
    <w:rsid w:val="00D05D53"/>
    <w:rsid w:val="00D06B06"/>
    <w:rsid w:val="00D070DD"/>
    <w:rsid w:val="00D072D3"/>
    <w:rsid w:val="00D1083E"/>
    <w:rsid w:val="00D20664"/>
    <w:rsid w:val="00D34A7B"/>
    <w:rsid w:val="00D356FC"/>
    <w:rsid w:val="00D4064F"/>
    <w:rsid w:val="00D540C0"/>
    <w:rsid w:val="00D56D69"/>
    <w:rsid w:val="00D665CB"/>
    <w:rsid w:val="00D747A6"/>
    <w:rsid w:val="00D7591A"/>
    <w:rsid w:val="00D92EA0"/>
    <w:rsid w:val="00DB06E7"/>
    <w:rsid w:val="00DC51C7"/>
    <w:rsid w:val="00DD4562"/>
    <w:rsid w:val="00DD53BC"/>
    <w:rsid w:val="00DF1CEA"/>
    <w:rsid w:val="00DF7B97"/>
    <w:rsid w:val="00E00201"/>
    <w:rsid w:val="00E052E4"/>
    <w:rsid w:val="00E166E6"/>
    <w:rsid w:val="00E45B6F"/>
    <w:rsid w:val="00E52A67"/>
    <w:rsid w:val="00E70E5D"/>
    <w:rsid w:val="00E85E47"/>
    <w:rsid w:val="00E85EDC"/>
    <w:rsid w:val="00E8743D"/>
    <w:rsid w:val="00E91345"/>
    <w:rsid w:val="00E919A8"/>
    <w:rsid w:val="00EA0C35"/>
    <w:rsid w:val="00EA13C5"/>
    <w:rsid w:val="00EB56F4"/>
    <w:rsid w:val="00EC252A"/>
    <w:rsid w:val="00EC69BF"/>
    <w:rsid w:val="00ED4448"/>
    <w:rsid w:val="00EE5648"/>
    <w:rsid w:val="00EF235A"/>
    <w:rsid w:val="00EF2D2E"/>
    <w:rsid w:val="00F041B6"/>
    <w:rsid w:val="00F14992"/>
    <w:rsid w:val="00F16BFA"/>
    <w:rsid w:val="00F27212"/>
    <w:rsid w:val="00F27BFC"/>
    <w:rsid w:val="00F36D4F"/>
    <w:rsid w:val="00F60E1A"/>
    <w:rsid w:val="00F725B2"/>
    <w:rsid w:val="00F77916"/>
    <w:rsid w:val="00FC3268"/>
    <w:rsid w:val="00FD04C4"/>
    <w:rsid w:val="00FD2FBB"/>
    <w:rsid w:val="00FD35B4"/>
    <w:rsid w:val="00FD732A"/>
    <w:rsid w:val="00FE794D"/>
    <w:rsid w:val="00FF0635"/>
    <w:rsid w:val="00FF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6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1A6ED8"/>
    <w:pPr>
      <w:ind w:left="720"/>
      <w:contextualSpacing/>
    </w:pPr>
  </w:style>
  <w:style w:type="character" w:styleId="CommentReference">
    <w:name w:val="annotation reference"/>
    <w:basedOn w:val="DefaultParagraphFont"/>
    <w:rsid w:val="00FD2FBB"/>
    <w:rPr>
      <w:sz w:val="16"/>
      <w:szCs w:val="16"/>
    </w:rPr>
  </w:style>
  <w:style w:type="paragraph" w:styleId="CommentText">
    <w:name w:val="annotation text"/>
    <w:basedOn w:val="Normal"/>
    <w:link w:val="CommentTextChar"/>
    <w:rsid w:val="00FD2FBB"/>
  </w:style>
  <w:style w:type="character" w:customStyle="1" w:styleId="CommentTextChar">
    <w:name w:val="Comment Text Char"/>
    <w:basedOn w:val="DefaultParagraphFont"/>
    <w:link w:val="CommentText"/>
    <w:rsid w:val="00FD2FBB"/>
  </w:style>
  <w:style w:type="paragraph" w:styleId="CommentSubject">
    <w:name w:val="annotation subject"/>
    <w:basedOn w:val="CommentText"/>
    <w:next w:val="CommentText"/>
    <w:link w:val="CommentSubjectChar"/>
    <w:rsid w:val="00FD2FBB"/>
    <w:rPr>
      <w:b/>
      <w:bCs/>
    </w:rPr>
  </w:style>
  <w:style w:type="character" w:customStyle="1" w:styleId="CommentSubjectChar">
    <w:name w:val="Comment Subject Char"/>
    <w:basedOn w:val="CommentTextChar"/>
    <w:link w:val="CommentSubject"/>
    <w:rsid w:val="00FD2FBB"/>
    <w:rPr>
      <w:b/>
      <w:bCs/>
    </w:rPr>
  </w:style>
  <w:style w:type="paragraph" w:styleId="BalloonText">
    <w:name w:val="Balloon Text"/>
    <w:basedOn w:val="Normal"/>
    <w:link w:val="BalloonTextChar"/>
    <w:rsid w:val="00FD2FBB"/>
    <w:rPr>
      <w:rFonts w:ascii="Segoe UI" w:hAnsi="Segoe UI" w:cs="Segoe UI"/>
      <w:sz w:val="18"/>
      <w:szCs w:val="18"/>
    </w:rPr>
  </w:style>
  <w:style w:type="character" w:customStyle="1" w:styleId="BalloonTextChar">
    <w:name w:val="Balloon Text Char"/>
    <w:basedOn w:val="DefaultParagraphFont"/>
    <w:link w:val="BalloonText"/>
    <w:rsid w:val="00FD2FBB"/>
    <w:rPr>
      <w:rFonts w:ascii="Segoe UI" w:hAnsi="Segoe UI" w:cs="Segoe UI"/>
      <w:sz w:val="18"/>
      <w:szCs w:val="18"/>
    </w:rPr>
  </w:style>
  <w:style w:type="character" w:styleId="Hyperlink">
    <w:name w:val="Hyperlink"/>
    <w:basedOn w:val="DefaultParagraphFont"/>
    <w:rsid w:val="002E74D9"/>
    <w:rPr>
      <w:color w:val="0563C1" w:themeColor="hyperlink"/>
      <w:u w:val="single"/>
    </w:rPr>
  </w:style>
  <w:style w:type="paragraph" w:styleId="FootnoteText">
    <w:name w:val="footnote text"/>
    <w:basedOn w:val="Normal"/>
    <w:link w:val="FootnoteTextChar"/>
    <w:rsid w:val="00597134"/>
  </w:style>
  <w:style w:type="character" w:customStyle="1" w:styleId="FootnoteTextChar">
    <w:name w:val="Footnote Text Char"/>
    <w:basedOn w:val="DefaultParagraphFont"/>
    <w:link w:val="FootnoteText"/>
    <w:rsid w:val="00597134"/>
  </w:style>
  <w:style w:type="character" w:styleId="FootnoteReference">
    <w:name w:val="footnote reference"/>
    <w:basedOn w:val="DefaultParagraphFont"/>
    <w:rsid w:val="00597134"/>
    <w:rPr>
      <w:vertAlign w:val="superscript"/>
    </w:rPr>
  </w:style>
  <w:style w:type="character" w:styleId="FollowedHyperlink">
    <w:name w:val="FollowedHyperlink"/>
    <w:basedOn w:val="DefaultParagraphFont"/>
    <w:rsid w:val="0025116E"/>
    <w:rPr>
      <w:color w:val="954F72" w:themeColor="followedHyperlink"/>
      <w:u w:val="single"/>
    </w:rPr>
  </w:style>
  <w:style w:type="table" w:styleId="TableGrid">
    <w:name w:val="Table Grid"/>
    <w:basedOn w:val="TableNormal"/>
    <w:rsid w:val="006B5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1A6ED8"/>
    <w:pPr>
      <w:ind w:left="720"/>
      <w:contextualSpacing/>
    </w:pPr>
  </w:style>
  <w:style w:type="character" w:styleId="CommentReference">
    <w:name w:val="annotation reference"/>
    <w:basedOn w:val="DefaultParagraphFont"/>
    <w:rsid w:val="00FD2FBB"/>
    <w:rPr>
      <w:sz w:val="16"/>
      <w:szCs w:val="16"/>
    </w:rPr>
  </w:style>
  <w:style w:type="paragraph" w:styleId="CommentText">
    <w:name w:val="annotation text"/>
    <w:basedOn w:val="Normal"/>
    <w:link w:val="CommentTextChar"/>
    <w:rsid w:val="00FD2FBB"/>
  </w:style>
  <w:style w:type="character" w:customStyle="1" w:styleId="CommentTextChar">
    <w:name w:val="Comment Text Char"/>
    <w:basedOn w:val="DefaultParagraphFont"/>
    <w:link w:val="CommentText"/>
    <w:rsid w:val="00FD2FBB"/>
  </w:style>
  <w:style w:type="paragraph" w:styleId="CommentSubject">
    <w:name w:val="annotation subject"/>
    <w:basedOn w:val="CommentText"/>
    <w:next w:val="CommentText"/>
    <w:link w:val="CommentSubjectChar"/>
    <w:rsid w:val="00FD2FBB"/>
    <w:rPr>
      <w:b/>
      <w:bCs/>
    </w:rPr>
  </w:style>
  <w:style w:type="character" w:customStyle="1" w:styleId="CommentSubjectChar">
    <w:name w:val="Comment Subject Char"/>
    <w:basedOn w:val="CommentTextChar"/>
    <w:link w:val="CommentSubject"/>
    <w:rsid w:val="00FD2FBB"/>
    <w:rPr>
      <w:b/>
      <w:bCs/>
    </w:rPr>
  </w:style>
  <w:style w:type="paragraph" w:styleId="BalloonText">
    <w:name w:val="Balloon Text"/>
    <w:basedOn w:val="Normal"/>
    <w:link w:val="BalloonTextChar"/>
    <w:rsid w:val="00FD2FBB"/>
    <w:rPr>
      <w:rFonts w:ascii="Segoe UI" w:hAnsi="Segoe UI" w:cs="Segoe UI"/>
      <w:sz w:val="18"/>
      <w:szCs w:val="18"/>
    </w:rPr>
  </w:style>
  <w:style w:type="character" w:customStyle="1" w:styleId="BalloonTextChar">
    <w:name w:val="Balloon Text Char"/>
    <w:basedOn w:val="DefaultParagraphFont"/>
    <w:link w:val="BalloonText"/>
    <w:rsid w:val="00FD2FBB"/>
    <w:rPr>
      <w:rFonts w:ascii="Segoe UI" w:hAnsi="Segoe UI" w:cs="Segoe UI"/>
      <w:sz w:val="18"/>
      <w:szCs w:val="18"/>
    </w:rPr>
  </w:style>
  <w:style w:type="character" w:styleId="Hyperlink">
    <w:name w:val="Hyperlink"/>
    <w:basedOn w:val="DefaultParagraphFont"/>
    <w:rsid w:val="002E74D9"/>
    <w:rPr>
      <w:color w:val="0563C1" w:themeColor="hyperlink"/>
      <w:u w:val="single"/>
    </w:rPr>
  </w:style>
  <w:style w:type="paragraph" w:styleId="FootnoteText">
    <w:name w:val="footnote text"/>
    <w:basedOn w:val="Normal"/>
    <w:link w:val="FootnoteTextChar"/>
    <w:rsid w:val="00597134"/>
  </w:style>
  <w:style w:type="character" w:customStyle="1" w:styleId="FootnoteTextChar">
    <w:name w:val="Footnote Text Char"/>
    <w:basedOn w:val="DefaultParagraphFont"/>
    <w:link w:val="FootnoteText"/>
    <w:rsid w:val="00597134"/>
  </w:style>
  <w:style w:type="character" w:styleId="FootnoteReference">
    <w:name w:val="footnote reference"/>
    <w:basedOn w:val="DefaultParagraphFont"/>
    <w:rsid w:val="00597134"/>
    <w:rPr>
      <w:vertAlign w:val="superscript"/>
    </w:rPr>
  </w:style>
  <w:style w:type="character" w:styleId="FollowedHyperlink">
    <w:name w:val="FollowedHyperlink"/>
    <w:basedOn w:val="DefaultParagraphFont"/>
    <w:rsid w:val="0025116E"/>
    <w:rPr>
      <w:color w:val="954F72" w:themeColor="followedHyperlink"/>
      <w:u w:val="single"/>
    </w:rPr>
  </w:style>
  <w:style w:type="table" w:styleId="TableGrid">
    <w:name w:val="Table Grid"/>
    <w:basedOn w:val="TableNormal"/>
    <w:rsid w:val="006B5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_ak.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gabrielle.aberle\Downloads\nmfs.akr.inseason@noaa.gov" TargetMode="External"/><Relationship Id="rId5" Type="http://schemas.openxmlformats.org/officeDocument/2006/relationships/settings" Target="settings.xml"/><Relationship Id="rId10" Type="http://schemas.openxmlformats.org/officeDocument/2006/relationships/hyperlink" Target="mailto:nmfs.akr.inseason@noa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C5A1A-07CD-4447-897F-B6F130CB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2019-10-04T18:40:00Z</cp:lastPrinted>
  <dcterms:created xsi:type="dcterms:W3CDTF">2019-11-12T16:21:00Z</dcterms:created>
  <dcterms:modified xsi:type="dcterms:W3CDTF">2019-11-12T16:21:00Z</dcterms:modified>
</cp:coreProperties>
</file>