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56A3" w:rsidR="003E5DF9" w:rsidP="00C25040" w:rsidRDefault="00B740B8" w14:paraId="5147DD67" w14:textId="36A2A7EA">
      <w:pPr>
        <w:rPr>
          <w:color w:val="000000"/>
          <w:sz w:val="24"/>
          <w:szCs w:val="24"/>
        </w:rPr>
      </w:pPr>
      <w:r>
        <w:rPr>
          <w:b/>
          <w:color w:val="000000"/>
          <w:sz w:val="24"/>
          <w:szCs w:val="24"/>
        </w:rPr>
        <w:t>2020 Census Evaluation of Privacy and Confidentiality</w:t>
      </w:r>
      <w:r w:rsidR="00592C69">
        <w:rPr>
          <w:b/>
          <w:color w:val="000000"/>
          <w:sz w:val="24"/>
          <w:szCs w:val="24"/>
        </w:rPr>
        <w:t xml:space="preserve"> Concerns</w:t>
      </w:r>
      <w:r>
        <w:rPr>
          <w:b/>
          <w:color w:val="000000"/>
          <w:sz w:val="24"/>
          <w:szCs w:val="24"/>
        </w:rPr>
        <w:t xml:space="preserve"> – Qualitative Research</w:t>
      </w:r>
    </w:p>
    <w:p w:rsidR="00E45C61" w:rsidP="003E5DF9" w:rsidRDefault="003E5DF9" w14:paraId="04EE0A53" w14:textId="60535FCE">
      <w:pPr>
        <w:rPr>
          <w:color w:val="000000"/>
          <w:sz w:val="24"/>
          <w:szCs w:val="24"/>
        </w:rPr>
      </w:pPr>
      <w:r w:rsidRPr="007156A3">
        <w:rPr>
          <w:b/>
          <w:color w:val="000000"/>
          <w:sz w:val="24"/>
          <w:szCs w:val="24"/>
        </w:rPr>
        <w:t>Request</w:t>
      </w:r>
      <w:r w:rsidRPr="007156A3">
        <w:rPr>
          <w:color w:val="000000"/>
          <w:sz w:val="24"/>
          <w:szCs w:val="24"/>
        </w:rPr>
        <w:t xml:space="preserve">: The Census Bureau plans to conduct research </w:t>
      </w:r>
      <w:r w:rsidRPr="007156A3" w:rsidR="003E3C21">
        <w:rPr>
          <w:color w:val="000000"/>
          <w:sz w:val="24"/>
          <w:szCs w:val="24"/>
        </w:rPr>
        <w:t xml:space="preserve">under the generic clearance for </w:t>
      </w:r>
      <w:r w:rsidR="007F3EA8">
        <w:rPr>
          <w:color w:val="000000"/>
          <w:sz w:val="24"/>
          <w:szCs w:val="24"/>
        </w:rPr>
        <w:t>2020 Experiments and Evaluations</w:t>
      </w:r>
      <w:r w:rsidRPr="007156A3" w:rsidR="003E3C21">
        <w:rPr>
          <w:color w:val="000000"/>
          <w:sz w:val="24"/>
          <w:szCs w:val="24"/>
        </w:rPr>
        <w:t xml:space="preserve"> (OMB number 0607-</w:t>
      </w:r>
      <w:r w:rsidRPr="007156A3" w:rsidR="007F3EA8">
        <w:rPr>
          <w:color w:val="000000"/>
          <w:sz w:val="24"/>
          <w:szCs w:val="24"/>
        </w:rPr>
        <w:t>0</w:t>
      </w:r>
      <w:r w:rsidR="007F3EA8">
        <w:rPr>
          <w:color w:val="000000"/>
          <w:sz w:val="24"/>
          <w:szCs w:val="24"/>
        </w:rPr>
        <w:t>971</w:t>
      </w:r>
      <w:r w:rsidRPr="007156A3" w:rsidR="003E3C21">
        <w:rPr>
          <w:color w:val="000000"/>
          <w:sz w:val="24"/>
          <w:szCs w:val="24"/>
        </w:rPr>
        <w:t xml:space="preserve">). </w:t>
      </w:r>
      <w:r w:rsidR="00FC43D3">
        <w:rPr>
          <w:color w:val="000000"/>
          <w:sz w:val="24"/>
          <w:szCs w:val="24"/>
        </w:rPr>
        <w:t xml:space="preserve">We propose to conduct a </w:t>
      </w:r>
      <w:r w:rsidR="008B74E2">
        <w:rPr>
          <w:color w:val="000000"/>
          <w:sz w:val="24"/>
          <w:szCs w:val="24"/>
        </w:rPr>
        <w:t>2020 Census</w:t>
      </w:r>
      <w:r w:rsidR="00B740B8">
        <w:rPr>
          <w:color w:val="000000"/>
          <w:sz w:val="24"/>
          <w:szCs w:val="24"/>
        </w:rPr>
        <w:t xml:space="preserve"> </w:t>
      </w:r>
      <w:r w:rsidR="00857B3F">
        <w:rPr>
          <w:color w:val="000000"/>
          <w:sz w:val="24"/>
          <w:szCs w:val="24"/>
        </w:rPr>
        <w:t>evaluation of</w:t>
      </w:r>
      <w:r w:rsidR="00592C69">
        <w:rPr>
          <w:color w:val="000000"/>
          <w:sz w:val="24"/>
          <w:szCs w:val="24"/>
        </w:rPr>
        <w:t xml:space="preserve"> privacy an</w:t>
      </w:r>
      <w:r w:rsidR="008B74E2">
        <w:rPr>
          <w:color w:val="000000"/>
          <w:sz w:val="24"/>
          <w:szCs w:val="24"/>
        </w:rPr>
        <w:t>d confidentiality concerns</w:t>
      </w:r>
      <w:r w:rsidR="004F209A">
        <w:rPr>
          <w:color w:val="000000"/>
          <w:sz w:val="24"/>
          <w:szCs w:val="24"/>
        </w:rPr>
        <w:t>, which will have quantitative and qualitative components</w:t>
      </w:r>
      <w:r w:rsidR="008B74E2">
        <w:rPr>
          <w:color w:val="000000"/>
          <w:sz w:val="24"/>
          <w:szCs w:val="24"/>
        </w:rPr>
        <w:t>.</w:t>
      </w:r>
      <w:r w:rsidR="00E45C61">
        <w:rPr>
          <w:color w:val="000000"/>
          <w:sz w:val="24"/>
          <w:szCs w:val="24"/>
        </w:rPr>
        <w:t xml:space="preserve"> </w:t>
      </w:r>
    </w:p>
    <w:p w:rsidR="000837A1" w:rsidP="003E5DF9" w:rsidRDefault="00E45C61" w14:paraId="7A01C28B" w14:textId="2EAA70B6">
      <w:pPr>
        <w:rPr>
          <w:color w:val="000000"/>
          <w:sz w:val="24"/>
          <w:szCs w:val="24"/>
        </w:rPr>
      </w:pPr>
      <w:r>
        <w:rPr>
          <w:color w:val="000000"/>
          <w:sz w:val="24"/>
          <w:szCs w:val="24"/>
        </w:rPr>
        <w:t xml:space="preserve">The qualitative component will be the focus of this OMB package. </w:t>
      </w:r>
      <w:r w:rsidR="008B74E2">
        <w:rPr>
          <w:color w:val="000000"/>
          <w:sz w:val="24"/>
          <w:szCs w:val="24"/>
        </w:rPr>
        <w:t>The</w:t>
      </w:r>
      <w:r w:rsidR="00592C69">
        <w:rPr>
          <w:color w:val="000000"/>
          <w:sz w:val="24"/>
          <w:szCs w:val="24"/>
        </w:rPr>
        <w:t xml:space="preserve"> qualitative component will consist of</w:t>
      </w:r>
      <w:r w:rsidR="00DF5605">
        <w:rPr>
          <w:color w:val="000000"/>
          <w:sz w:val="24"/>
          <w:szCs w:val="24"/>
        </w:rPr>
        <w:t xml:space="preserve"> </w:t>
      </w:r>
      <w:r w:rsidR="00C74E7B">
        <w:rPr>
          <w:color w:val="000000"/>
          <w:sz w:val="24"/>
          <w:szCs w:val="24"/>
        </w:rPr>
        <w:t xml:space="preserve">two </w:t>
      </w:r>
      <w:r w:rsidR="00DF5605">
        <w:rPr>
          <w:color w:val="000000"/>
          <w:sz w:val="24"/>
          <w:szCs w:val="24"/>
        </w:rPr>
        <w:t>subprojects</w:t>
      </w:r>
      <w:r w:rsidR="00165D90">
        <w:rPr>
          <w:color w:val="000000"/>
          <w:sz w:val="24"/>
          <w:szCs w:val="24"/>
        </w:rPr>
        <w:t>, including</w:t>
      </w:r>
      <w:r w:rsidR="00DF5605">
        <w:rPr>
          <w:color w:val="000000"/>
          <w:sz w:val="24"/>
          <w:szCs w:val="24"/>
        </w:rPr>
        <w:t xml:space="preserve">: </w:t>
      </w:r>
    </w:p>
    <w:p w:rsidR="000837A1" w:rsidP="000837A1" w:rsidRDefault="000837A1" w14:paraId="47D57513" w14:textId="320775E6">
      <w:pPr>
        <w:pStyle w:val="ListParagraph"/>
        <w:numPr>
          <w:ilvl w:val="0"/>
          <w:numId w:val="8"/>
        </w:numPr>
        <w:rPr>
          <w:color w:val="000000"/>
          <w:sz w:val="24"/>
          <w:szCs w:val="24"/>
        </w:rPr>
      </w:pPr>
      <w:r w:rsidRPr="000837A1">
        <w:rPr>
          <w:color w:val="000000"/>
          <w:sz w:val="24"/>
          <w:szCs w:val="24"/>
        </w:rPr>
        <w:t>I</w:t>
      </w:r>
      <w:r w:rsidRPr="000837A1" w:rsidR="00592C69">
        <w:rPr>
          <w:color w:val="000000"/>
          <w:sz w:val="24"/>
          <w:szCs w:val="24"/>
        </w:rPr>
        <w:t>nter</w:t>
      </w:r>
      <w:r w:rsidRPr="000837A1" w:rsidR="008B74E2">
        <w:rPr>
          <w:color w:val="000000"/>
          <w:sz w:val="24"/>
          <w:szCs w:val="24"/>
        </w:rPr>
        <w:t>views</w:t>
      </w:r>
      <w:r w:rsidRPr="000837A1" w:rsidR="004A7C0B">
        <w:rPr>
          <w:color w:val="000000"/>
          <w:sz w:val="24"/>
          <w:szCs w:val="24"/>
        </w:rPr>
        <w:t xml:space="preserve"> with partner</w:t>
      </w:r>
      <w:r w:rsidR="00E45C61">
        <w:rPr>
          <w:color w:val="000000"/>
          <w:sz w:val="24"/>
          <w:szCs w:val="24"/>
        </w:rPr>
        <w:t xml:space="preserve"> organization staff working in </w:t>
      </w:r>
      <w:r w:rsidRPr="000837A1" w:rsidR="004A7C0B">
        <w:rPr>
          <w:color w:val="000000"/>
          <w:sz w:val="24"/>
          <w:szCs w:val="24"/>
        </w:rPr>
        <w:t>the 2020 Census National Partne</w:t>
      </w:r>
      <w:r w:rsidR="00FE3A42">
        <w:rPr>
          <w:color w:val="000000"/>
          <w:sz w:val="24"/>
          <w:szCs w:val="24"/>
        </w:rPr>
        <w:t>rship Program</w:t>
      </w:r>
      <w:r w:rsidR="00304015">
        <w:rPr>
          <w:color w:val="000000"/>
          <w:sz w:val="24"/>
          <w:szCs w:val="24"/>
        </w:rPr>
        <w:t xml:space="preserve"> (NPP)</w:t>
      </w:r>
      <w:r w:rsidR="00FE3A42">
        <w:rPr>
          <w:color w:val="000000"/>
          <w:sz w:val="24"/>
          <w:szCs w:val="24"/>
        </w:rPr>
        <w:t>,</w:t>
      </w:r>
      <w:r w:rsidR="008C4AC8">
        <w:rPr>
          <w:color w:val="000000"/>
          <w:sz w:val="24"/>
          <w:szCs w:val="24"/>
        </w:rPr>
        <w:t xml:space="preserve"> and</w:t>
      </w:r>
    </w:p>
    <w:p w:rsidR="009F5B86" w:rsidP="000837A1" w:rsidRDefault="000837A1" w14:paraId="67412956" w14:textId="3CAD00B2">
      <w:pPr>
        <w:pStyle w:val="ListParagraph"/>
        <w:numPr>
          <w:ilvl w:val="0"/>
          <w:numId w:val="8"/>
        </w:numPr>
        <w:rPr>
          <w:color w:val="000000"/>
          <w:sz w:val="24"/>
          <w:szCs w:val="24"/>
        </w:rPr>
      </w:pPr>
      <w:r>
        <w:rPr>
          <w:color w:val="000000"/>
          <w:sz w:val="24"/>
          <w:szCs w:val="24"/>
        </w:rPr>
        <w:t>F</w:t>
      </w:r>
      <w:r w:rsidRPr="000837A1" w:rsidR="004A7C0B">
        <w:rPr>
          <w:color w:val="000000"/>
          <w:sz w:val="24"/>
          <w:szCs w:val="24"/>
        </w:rPr>
        <w:t xml:space="preserve">ocus groups with </w:t>
      </w:r>
      <w:r w:rsidR="00C74E7B">
        <w:rPr>
          <w:color w:val="000000"/>
          <w:sz w:val="24"/>
          <w:szCs w:val="24"/>
        </w:rPr>
        <w:t xml:space="preserve">two types of participants: 1) </w:t>
      </w:r>
      <w:r w:rsidRPr="000837A1" w:rsidR="004A7C0B">
        <w:rPr>
          <w:color w:val="000000"/>
          <w:sz w:val="24"/>
          <w:szCs w:val="24"/>
        </w:rPr>
        <w:t>partner</w:t>
      </w:r>
      <w:r w:rsidR="00E45C61">
        <w:rPr>
          <w:color w:val="000000"/>
          <w:sz w:val="24"/>
          <w:szCs w:val="24"/>
        </w:rPr>
        <w:t xml:space="preserve"> organization staff working in the </w:t>
      </w:r>
      <w:r w:rsidRPr="000837A1" w:rsidR="004A7C0B">
        <w:rPr>
          <w:color w:val="000000"/>
          <w:sz w:val="24"/>
          <w:szCs w:val="24"/>
        </w:rPr>
        <w:t xml:space="preserve">2020 Census </w:t>
      </w:r>
      <w:r w:rsidRPr="000837A1" w:rsidR="00592C69">
        <w:rPr>
          <w:color w:val="000000"/>
          <w:sz w:val="24"/>
          <w:szCs w:val="24"/>
        </w:rPr>
        <w:t>Community Partnershi</w:t>
      </w:r>
      <w:r w:rsidR="00304015">
        <w:rPr>
          <w:color w:val="000000"/>
          <w:sz w:val="24"/>
          <w:szCs w:val="24"/>
        </w:rPr>
        <w:t xml:space="preserve">p and Engagement </w:t>
      </w:r>
      <w:r w:rsidRPr="000837A1" w:rsidR="004F209A">
        <w:rPr>
          <w:color w:val="000000"/>
          <w:sz w:val="24"/>
          <w:szCs w:val="24"/>
        </w:rPr>
        <w:t>Program</w:t>
      </w:r>
      <w:r w:rsidR="00304015">
        <w:rPr>
          <w:color w:val="000000"/>
          <w:sz w:val="24"/>
          <w:szCs w:val="24"/>
        </w:rPr>
        <w:t xml:space="preserve"> (CPEP)</w:t>
      </w:r>
      <w:r w:rsidRPr="000837A1" w:rsidR="004F209A">
        <w:rPr>
          <w:color w:val="000000"/>
          <w:sz w:val="24"/>
          <w:szCs w:val="24"/>
        </w:rPr>
        <w:t xml:space="preserve">, </w:t>
      </w:r>
      <w:r w:rsidR="00C74E7B">
        <w:rPr>
          <w:color w:val="000000"/>
          <w:sz w:val="24"/>
          <w:szCs w:val="24"/>
        </w:rPr>
        <w:t>and 2)</w:t>
      </w:r>
      <w:r w:rsidRPr="000837A1" w:rsidR="004F209A">
        <w:rPr>
          <w:color w:val="000000"/>
          <w:sz w:val="24"/>
          <w:szCs w:val="24"/>
        </w:rPr>
        <w:t xml:space="preserve"> trusted </w:t>
      </w:r>
      <w:r w:rsidRPr="000837A1">
        <w:rPr>
          <w:color w:val="000000"/>
          <w:sz w:val="24"/>
          <w:szCs w:val="24"/>
        </w:rPr>
        <w:t>messengers</w:t>
      </w:r>
      <w:r w:rsidR="00304015">
        <w:rPr>
          <w:color w:val="000000"/>
          <w:sz w:val="24"/>
          <w:szCs w:val="24"/>
        </w:rPr>
        <w:t xml:space="preserve"> from the local community</w:t>
      </w:r>
      <w:r w:rsidR="00FE3A42">
        <w:rPr>
          <w:color w:val="000000"/>
          <w:sz w:val="24"/>
          <w:szCs w:val="24"/>
        </w:rPr>
        <w:t xml:space="preserve"> who help promote</w:t>
      </w:r>
      <w:r w:rsidR="00304015">
        <w:rPr>
          <w:color w:val="000000"/>
          <w:sz w:val="24"/>
          <w:szCs w:val="24"/>
        </w:rPr>
        <w:t xml:space="preserve"> the</w:t>
      </w:r>
      <w:r w:rsidR="008C4AC8">
        <w:rPr>
          <w:color w:val="000000"/>
          <w:sz w:val="24"/>
          <w:szCs w:val="24"/>
        </w:rPr>
        <w:t xml:space="preserve"> 2020 Census</w:t>
      </w:r>
      <w:r w:rsidR="00C74E7B">
        <w:rPr>
          <w:color w:val="000000"/>
          <w:sz w:val="24"/>
          <w:szCs w:val="24"/>
        </w:rPr>
        <w:t>.</w:t>
      </w:r>
    </w:p>
    <w:p w:rsidR="009F5B86" w:rsidP="009F5B86" w:rsidRDefault="009F5B86" w14:paraId="35B57DCC" w14:textId="77777777">
      <w:pPr>
        <w:pStyle w:val="ListParagraph"/>
        <w:rPr>
          <w:color w:val="000000"/>
          <w:sz w:val="24"/>
          <w:szCs w:val="24"/>
        </w:rPr>
      </w:pPr>
    </w:p>
    <w:p w:rsidRPr="008C4AC8" w:rsidR="006F4251" w:rsidP="008C4AC8" w:rsidRDefault="00BA3B3C" w14:paraId="251828C7" w14:textId="545E5FD4">
      <w:pPr>
        <w:rPr>
          <w:color w:val="000000"/>
          <w:sz w:val="24"/>
          <w:szCs w:val="24"/>
        </w:rPr>
      </w:pPr>
      <w:r w:rsidRPr="008C4AC8">
        <w:rPr>
          <w:color w:val="000000"/>
          <w:sz w:val="24"/>
          <w:szCs w:val="24"/>
        </w:rPr>
        <w:t>Focus groups with 2020 Census respondents will also be part of this evaluation, but will be addressed in a separate OMB package.</w:t>
      </w:r>
      <w:r w:rsidRPr="008C4AC8" w:rsidR="006F4251">
        <w:rPr>
          <w:color w:val="000000"/>
          <w:sz w:val="24"/>
          <w:szCs w:val="24"/>
        </w:rPr>
        <w:t xml:space="preserve"> </w:t>
      </w:r>
    </w:p>
    <w:p w:rsidRPr="009F5B86" w:rsidR="00FC43D3" w:rsidP="009F5B86" w:rsidRDefault="00C74E7B" w14:paraId="371D94D4" w14:textId="1230772A">
      <w:pPr>
        <w:rPr>
          <w:color w:val="000000"/>
          <w:sz w:val="24"/>
          <w:szCs w:val="24"/>
        </w:rPr>
      </w:pPr>
      <w:r>
        <w:rPr>
          <w:color w:val="000000"/>
          <w:sz w:val="24"/>
          <w:szCs w:val="24"/>
        </w:rPr>
        <w:t>T</w:t>
      </w:r>
      <w:r w:rsidRPr="009F5B86" w:rsidR="001C238F">
        <w:rPr>
          <w:color w:val="000000"/>
          <w:sz w:val="24"/>
          <w:szCs w:val="24"/>
        </w:rPr>
        <w:t>he</w:t>
      </w:r>
      <w:r w:rsidR="009F5B86">
        <w:rPr>
          <w:color w:val="000000"/>
          <w:sz w:val="24"/>
          <w:szCs w:val="24"/>
        </w:rPr>
        <w:t xml:space="preserve"> subprojects </w:t>
      </w:r>
      <w:r w:rsidRPr="009F5B86" w:rsidR="001C238F">
        <w:rPr>
          <w:color w:val="000000"/>
          <w:sz w:val="24"/>
          <w:szCs w:val="24"/>
        </w:rPr>
        <w:t xml:space="preserve">discussed in the present OMB package </w:t>
      </w:r>
      <w:r w:rsidRPr="009F5B86" w:rsidR="00FC43D3">
        <w:rPr>
          <w:color w:val="000000"/>
          <w:sz w:val="24"/>
          <w:szCs w:val="24"/>
        </w:rPr>
        <w:t>w</w:t>
      </w:r>
      <w:r w:rsidRPr="009F5B86" w:rsidR="00592C69">
        <w:rPr>
          <w:color w:val="000000"/>
          <w:sz w:val="24"/>
          <w:szCs w:val="24"/>
        </w:rPr>
        <w:t>ill be conducted by</w:t>
      </w:r>
      <w:r w:rsidRPr="009F5B86" w:rsidR="00FC43D3">
        <w:rPr>
          <w:color w:val="000000"/>
          <w:sz w:val="24"/>
          <w:szCs w:val="24"/>
        </w:rPr>
        <w:t xml:space="preserve"> </w:t>
      </w:r>
      <w:r w:rsidR="007F73B0">
        <w:rPr>
          <w:color w:val="000000"/>
          <w:sz w:val="24"/>
          <w:szCs w:val="24"/>
        </w:rPr>
        <w:t xml:space="preserve">Census Bureau staff from the </w:t>
      </w:r>
      <w:r w:rsidRPr="009F5B86" w:rsidR="00FC43D3">
        <w:rPr>
          <w:color w:val="000000"/>
          <w:sz w:val="24"/>
          <w:szCs w:val="24"/>
        </w:rPr>
        <w:t xml:space="preserve">Center for </w:t>
      </w:r>
      <w:r w:rsidRPr="009F5B86" w:rsidR="00EF0F5A">
        <w:rPr>
          <w:color w:val="000000"/>
          <w:sz w:val="24"/>
          <w:szCs w:val="24"/>
        </w:rPr>
        <w:t>Behavioral</w:t>
      </w:r>
      <w:r w:rsidRPr="009F5B86" w:rsidR="00FC43D3">
        <w:rPr>
          <w:color w:val="000000"/>
          <w:sz w:val="24"/>
          <w:szCs w:val="24"/>
        </w:rPr>
        <w:t xml:space="preserve"> Science Methods (CBSM)</w:t>
      </w:r>
      <w:r w:rsidR="008C4AC8">
        <w:rPr>
          <w:color w:val="000000"/>
          <w:sz w:val="24"/>
          <w:szCs w:val="24"/>
        </w:rPr>
        <w:t>.</w:t>
      </w:r>
    </w:p>
    <w:p w:rsidR="001A05B2" w:rsidP="00C170DB" w:rsidRDefault="00561569" w14:paraId="4AEE3C8F" w14:textId="4B7D30D1">
      <w:pPr>
        <w:spacing w:line="240" w:lineRule="auto"/>
        <w:contextualSpacing/>
        <w:rPr>
          <w:sz w:val="24"/>
        </w:rPr>
      </w:pPr>
      <w:r w:rsidRPr="007156A3">
        <w:rPr>
          <w:b/>
          <w:sz w:val="24"/>
        </w:rPr>
        <w:t xml:space="preserve">Purpose: </w:t>
      </w:r>
      <w:r w:rsidR="001A05B2">
        <w:rPr>
          <w:sz w:val="24"/>
        </w:rPr>
        <w:t xml:space="preserve">The purpose of the overall study is to </w:t>
      </w:r>
      <w:r w:rsidRPr="00FF3CF1" w:rsidR="00FF3CF1">
        <w:rPr>
          <w:sz w:val="24"/>
        </w:rPr>
        <w:t>evaluate respondent privacy and confidentiality concerns and their relationship to response mode, item nonresponse, and mismatches between administrative records and self-reported data in a decennial census environment.</w:t>
      </w:r>
      <w:r w:rsidR="00FF3CF1">
        <w:rPr>
          <w:sz w:val="24"/>
        </w:rPr>
        <w:t xml:space="preserve"> The quantitative component consists of a survey to assess</w:t>
      </w:r>
      <w:r w:rsidR="00586EFA">
        <w:rPr>
          <w:sz w:val="24"/>
        </w:rPr>
        <w:t xml:space="preserve"> such</w:t>
      </w:r>
      <w:r w:rsidR="00FF3CF1">
        <w:rPr>
          <w:sz w:val="24"/>
        </w:rPr>
        <w:t xml:space="preserve"> concerns with a nationally representative sample of respondents. </w:t>
      </w:r>
    </w:p>
    <w:p w:rsidR="00C170DB" w:rsidP="00C170DB" w:rsidRDefault="00C170DB" w14:paraId="1CC6A848" w14:textId="77777777">
      <w:pPr>
        <w:spacing w:line="240" w:lineRule="auto"/>
        <w:contextualSpacing/>
        <w:rPr>
          <w:sz w:val="24"/>
        </w:rPr>
      </w:pPr>
    </w:p>
    <w:p w:rsidR="00C170DB" w:rsidP="00C170DB" w:rsidRDefault="00C170DB" w14:paraId="43F7FB73" w14:textId="11134BD6">
      <w:pPr>
        <w:spacing w:line="240" w:lineRule="auto"/>
        <w:contextualSpacing/>
        <w:rPr>
          <w:sz w:val="24"/>
          <w:szCs w:val="24"/>
        </w:rPr>
      </w:pPr>
      <w:r>
        <w:rPr>
          <w:sz w:val="24"/>
          <w:szCs w:val="24"/>
        </w:rPr>
        <w:t>Since it is likely that some respondents with privacy and confidentiality concerns will not complete the census or allow entrance to enumerators and observers, we will conduct a qualitative study that leverages the 2020 Census Partnership Program in addition to</w:t>
      </w:r>
      <w:r w:rsidR="00165D90">
        <w:rPr>
          <w:sz w:val="24"/>
          <w:szCs w:val="24"/>
        </w:rPr>
        <w:t xml:space="preserve"> conducting</w:t>
      </w:r>
      <w:r>
        <w:rPr>
          <w:sz w:val="24"/>
          <w:szCs w:val="24"/>
        </w:rPr>
        <w:t xml:space="preserve"> the</w:t>
      </w:r>
      <w:r w:rsidR="00165D90">
        <w:rPr>
          <w:sz w:val="24"/>
          <w:szCs w:val="24"/>
        </w:rPr>
        <w:t xml:space="preserve"> quantitative</w:t>
      </w:r>
      <w:r>
        <w:rPr>
          <w:sz w:val="24"/>
          <w:szCs w:val="24"/>
        </w:rPr>
        <w:t xml:space="preserve"> survey. The qualitative study will </w:t>
      </w:r>
      <w:r w:rsidR="00610E31">
        <w:rPr>
          <w:sz w:val="24"/>
          <w:szCs w:val="24"/>
        </w:rPr>
        <w:t xml:space="preserve">include </w:t>
      </w:r>
      <w:r w:rsidR="006E5AD8">
        <w:rPr>
          <w:sz w:val="24"/>
          <w:szCs w:val="24"/>
        </w:rPr>
        <w:t>three</w:t>
      </w:r>
      <w:r w:rsidRPr="00FB73B4" w:rsidR="006E5AD8">
        <w:rPr>
          <w:sz w:val="24"/>
          <w:szCs w:val="24"/>
        </w:rPr>
        <w:t xml:space="preserve"> </w:t>
      </w:r>
      <w:r w:rsidRPr="00FB73B4">
        <w:rPr>
          <w:sz w:val="24"/>
          <w:szCs w:val="24"/>
        </w:rPr>
        <w:t xml:space="preserve">main </w:t>
      </w:r>
      <w:r w:rsidR="00610E31">
        <w:rPr>
          <w:sz w:val="24"/>
          <w:szCs w:val="24"/>
        </w:rPr>
        <w:t>subprojects</w:t>
      </w:r>
      <w:r w:rsidR="005641E0">
        <w:rPr>
          <w:sz w:val="24"/>
          <w:szCs w:val="24"/>
        </w:rPr>
        <w:t>: 1) q</w:t>
      </w:r>
      <w:r w:rsidRPr="00FB73B4">
        <w:rPr>
          <w:sz w:val="24"/>
          <w:szCs w:val="24"/>
        </w:rPr>
        <w:t>ualitative interviews with</w:t>
      </w:r>
      <w:r w:rsidR="00610E31">
        <w:rPr>
          <w:sz w:val="24"/>
          <w:szCs w:val="24"/>
        </w:rPr>
        <w:t xml:space="preserve"> partner organization staff from the 2020 Census National Partnership Program (NPP)</w:t>
      </w:r>
      <w:r w:rsidRPr="00FB73B4">
        <w:rPr>
          <w:sz w:val="24"/>
          <w:szCs w:val="24"/>
        </w:rPr>
        <w:t>,</w:t>
      </w:r>
      <w:r w:rsidR="00D25B3B">
        <w:rPr>
          <w:sz w:val="24"/>
          <w:szCs w:val="24"/>
        </w:rPr>
        <w:t xml:space="preserve"> </w:t>
      </w:r>
      <w:r w:rsidRPr="00FB73B4">
        <w:rPr>
          <w:sz w:val="24"/>
          <w:szCs w:val="24"/>
        </w:rPr>
        <w:t>2) focus groups with</w:t>
      </w:r>
      <w:r w:rsidR="00610E31">
        <w:rPr>
          <w:sz w:val="24"/>
          <w:szCs w:val="24"/>
        </w:rPr>
        <w:t xml:space="preserve"> partner organization staff from the 2020 Census Partnership and Engagement Program</w:t>
      </w:r>
      <w:r w:rsidR="001B2C1F">
        <w:rPr>
          <w:sz w:val="24"/>
          <w:szCs w:val="24"/>
        </w:rPr>
        <w:t xml:space="preserve"> (CPEP), as well as</w:t>
      </w:r>
      <w:r w:rsidRPr="00FB73B4">
        <w:rPr>
          <w:sz w:val="24"/>
          <w:szCs w:val="24"/>
        </w:rPr>
        <w:t xml:space="preserve"> trusted messengers</w:t>
      </w:r>
      <w:r w:rsidR="001B2C1F">
        <w:rPr>
          <w:sz w:val="24"/>
          <w:szCs w:val="24"/>
        </w:rPr>
        <w:t xml:space="preserve"> from the local community who are helping to promote the 2020 Census</w:t>
      </w:r>
      <w:r w:rsidR="00C819B6">
        <w:rPr>
          <w:sz w:val="24"/>
          <w:szCs w:val="24"/>
        </w:rPr>
        <w:t>, and (</w:t>
      </w:r>
      <w:r w:rsidR="00D25B3B">
        <w:rPr>
          <w:sz w:val="24"/>
          <w:szCs w:val="24"/>
        </w:rPr>
        <w:t>3)</w:t>
      </w:r>
      <w:r w:rsidR="00C819B6">
        <w:rPr>
          <w:sz w:val="24"/>
          <w:szCs w:val="24"/>
        </w:rPr>
        <w:t xml:space="preserve"> focus groups with respondents</w:t>
      </w:r>
      <w:r w:rsidR="00D72DD6">
        <w:rPr>
          <w:sz w:val="24"/>
          <w:szCs w:val="24"/>
        </w:rPr>
        <w:t>.</w:t>
      </w:r>
      <w:r w:rsidR="00C819B6">
        <w:rPr>
          <w:sz w:val="24"/>
          <w:szCs w:val="24"/>
        </w:rPr>
        <w:t xml:space="preserve"> The first </w:t>
      </w:r>
      <w:r w:rsidR="00906EAE">
        <w:rPr>
          <w:sz w:val="24"/>
          <w:szCs w:val="24"/>
        </w:rPr>
        <w:t>t</w:t>
      </w:r>
      <w:r w:rsidR="00D25B3B">
        <w:rPr>
          <w:sz w:val="24"/>
          <w:szCs w:val="24"/>
        </w:rPr>
        <w:t>wo</w:t>
      </w:r>
      <w:r w:rsidR="00906EAE">
        <w:rPr>
          <w:sz w:val="24"/>
          <w:szCs w:val="24"/>
        </w:rPr>
        <w:t xml:space="preserve"> </w:t>
      </w:r>
      <w:r w:rsidR="00C819B6">
        <w:rPr>
          <w:sz w:val="24"/>
          <w:szCs w:val="24"/>
        </w:rPr>
        <w:t>components will be addressed i</w:t>
      </w:r>
      <w:r w:rsidR="006553B4">
        <w:rPr>
          <w:sz w:val="24"/>
          <w:szCs w:val="24"/>
        </w:rPr>
        <w:t>n the present OMB package.</w:t>
      </w:r>
      <w:r w:rsidR="00CB3CC1">
        <w:rPr>
          <w:sz w:val="24"/>
          <w:szCs w:val="24"/>
        </w:rPr>
        <w:t xml:space="preserve"> </w:t>
      </w:r>
      <w:r w:rsidR="006553B4">
        <w:rPr>
          <w:sz w:val="24"/>
          <w:szCs w:val="24"/>
        </w:rPr>
        <w:t xml:space="preserve">The </w:t>
      </w:r>
      <w:r w:rsidR="00D25B3B">
        <w:rPr>
          <w:sz w:val="24"/>
          <w:szCs w:val="24"/>
        </w:rPr>
        <w:t>third</w:t>
      </w:r>
      <w:r w:rsidR="006553B4">
        <w:rPr>
          <w:sz w:val="24"/>
          <w:szCs w:val="24"/>
        </w:rPr>
        <w:t xml:space="preserve"> component (</w:t>
      </w:r>
      <w:r w:rsidR="0018688D">
        <w:rPr>
          <w:sz w:val="24"/>
          <w:szCs w:val="24"/>
        </w:rPr>
        <w:t xml:space="preserve">i.e., </w:t>
      </w:r>
      <w:r w:rsidR="00C819B6">
        <w:rPr>
          <w:sz w:val="24"/>
          <w:szCs w:val="24"/>
        </w:rPr>
        <w:t>focus groups with respondents</w:t>
      </w:r>
      <w:r w:rsidR="00AA39B0">
        <w:rPr>
          <w:sz w:val="24"/>
          <w:szCs w:val="24"/>
        </w:rPr>
        <w:t>)</w:t>
      </w:r>
      <w:r w:rsidR="00C819B6">
        <w:rPr>
          <w:sz w:val="24"/>
          <w:szCs w:val="24"/>
        </w:rPr>
        <w:t xml:space="preserve"> will be addressed in a separate OMB package.</w:t>
      </w:r>
    </w:p>
    <w:p w:rsidR="00C170DB" w:rsidP="00C170DB" w:rsidRDefault="00C170DB" w14:paraId="34809310" w14:textId="77777777">
      <w:pPr>
        <w:spacing w:line="240" w:lineRule="auto"/>
        <w:contextualSpacing/>
        <w:rPr>
          <w:sz w:val="24"/>
          <w:szCs w:val="24"/>
        </w:rPr>
      </w:pPr>
    </w:p>
    <w:p w:rsidR="00AA39B0" w:rsidP="00C170DB" w:rsidRDefault="006D2AF9" w14:paraId="10065BDA" w14:textId="600E45DA">
      <w:pPr>
        <w:spacing w:line="240" w:lineRule="auto"/>
        <w:contextualSpacing/>
        <w:rPr>
          <w:sz w:val="24"/>
          <w:szCs w:val="24"/>
        </w:rPr>
      </w:pPr>
      <w:r>
        <w:rPr>
          <w:sz w:val="24"/>
          <w:szCs w:val="24"/>
        </w:rPr>
        <w:t>This</w:t>
      </w:r>
      <w:r w:rsidR="009A7082">
        <w:rPr>
          <w:sz w:val="24"/>
          <w:szCs w:val="24"/>
        </w:rPr>
        <w:t xml:space="preserve"> qualitative</w:t>
      </w:r>
      <w:r w:rsidR="00C170DB">
        <w:rPr>
          <w:sz w:val="24"/>
          <w:szCs w:val="24"/>
        </w:rPr>
        <w:t xml:space="preserve"> component is not representative research</w:t>
      </w:r>
      <w:r w:rsidR="000C2132">
        <w:rPr>
          <w:sz w:val="24"/>
          <w:szCs w:val="24"/>
        </w:rPr>
        <w:t>,</w:t>
      </w:r>
      <w:r w:rsidR="00C170DB">
        <w:rPr>
          <w:sz w:val="24"/>
          <w:szCs w:val="24"/>
        </w:rPr>
        <w:t xml:space="preserve"> and the findings will be limited in their generalizability to larger populations. However, since people who do not respond to the 2020 Census are not </w:t>
      </w:r>
      <w:r w:rsidR="000C2132">
        <w:rPr>
          <w:sz w:val="24"/>
          <w:szCs w:val="24"/>
        </w:rPr>
        <w:t>likely to be captured using quantitative methods, the</w:t>
      </w:r>
      <w:r w:rsidR="00C170DB">
        <w:rPr>
          <w:sz w:val="24"/>
          <w:szCs w:val="24"/>
        </w:rPr>
        <w:t xml:space="preserve"> </w:t>
      </w:r>
      <w:r w:rsidR="000C2132">
        <w:rPr>
          <w:sz w:val="24"/>
          <w:szCs w:val="24"/>
        </w:rPr>
        <w:t xml:space="preserve">qualitative component </w:t>
      </w:r>
      <w:r w:rsidR="009A7082">
        <w:rPr>
          <w:sz w:val="24"/>
          <w:szCs w:val="24"/>
        </w:rPr>
        <w:t>is intended to</w:t>
      </w:r>
      <w:r w:rsidR="00C170DB">
        <w:rPr>
          <w:sz w:val="24"/>
          <w:szCs w:val="24"/>
        </w:rPr>
        <w:t xml:space="preserve"> fill this gap.</w:t>
      </w:r>
      <w:r w:rsidR="00AA39B0">
        <w:rPr>
          <w:sz w:val="24"/>
          <w:szCs w:val="24"/>
        </w:rPr>
        <w:t xml:space="preserve"> </w:t>
      </w:r>
    </w:p>
    <w:p w:rsidR="005641E0" w:rsidP="00C170DB" w:rsidRDefault="005641E0" w14:paraId="1E9AB236" w14:textId="77777777">
      <w:pPr>
        <w:spacing w:line="240" w:lineRule="auto"/>
        <w:contextualSpacing/>
        <w:rPr>
          <w:sz w:val="24"/>
          <w:szCs w:val="24"/>
        </w:rPr>
      </w:pPr>
    </w:p>
    <w:p w:rsidR="00E009A4" w:rsidP="00A61315" w:rsidRDefault="003E5DF9" w14:paraId="7A1E73DB" w14:textId="2A7025B3">
      <w:pPr>
        <w:shd w:val="clear" w:color="auto" w:fill="FFFFFF"/>
        <w:rPr>
          <w:sz w:val="24"/>
          <w:szCs w:val="24"/>
        </w:rPr>
      </w:pPr>
      <w:r w:rsidRPr="007156A3">
        <w:rPr>
          <w:b/>
          <w:sz w:val="24"/>
          <w:szCs w:val="24"/>
        </w:rPr>
        <w:lastRenderedPageBreak/>
        <w:t>Population</w:t>
      </w:r>
      <w:r w:rsidR="00861A68">
        <w:rPr>
          <w:b/>
          <w:sz w:val="24"/>
          <w:szCs w:val="24"/>
        </w:rPr>
        <w:t>s</w:t>
      </w:r>
      <w:r w:rsidRPr="007156A3">
        <w:rPr>
          <w:b/>
          <w:sz w:val="24"/>
          <w:szCs w:val="24"/>
        </w:rPr>
        <w:t xml:space="preserve"> of Interest</w:t>
      </w:r>
      <w:r w:rsidRPr="007156A3">
        <w:rPr>
          <w:sz w:val="24"/>
          <w:szCs w:val="24"/>
        </w:rPr>
        <w:t xml:space="preserve">: </w:t>
      </w:r>
      <w:r w:rsidR="007A04F2">
        <w:rPr>
          <w:sz w:val="24"/>
          <w:szCs w:val="24"/>
        </w:rPr>
        <w:t xml:space="preserve">We are interested in hard-to-count </w:t>
      </w:r>
      <w:r w:rsidR="00776B37">
        <w:rPr>
          <w:sz w:val="24"/>
          <w:szCs w:val="24"/>
        </w:rPr>
        <w:t xml:space="preserve">(HTC) </w:t>
      </w:r>
      <w:r w:rsidR="007A04F2">
        <w:rPr>
          <w:sz w:val="24"/>
          <w:szCs w:val="24"/>
        </w:rPr>
        <w:t xml:space="preserve">populations in the qualitative component of this research. In particular, we are interested in HTC </w:t>
      </w:r>
      <w:r w:rsidR="00C74E7B">
        <w:rPr>
          <w:sz w:val="24"/>
          <w:szCs w:val="24"/>
        </w:rPr>
        <w:t xml:space="preserve">populations </w:t>
      </w:r>
      <w:r w:rsidR="007A04F2">
        <w:rPr>
          <w:sz w:val="24"/>
          <w:szCs w:val="24"/>
        </w:rPr>
        <w:t xml:space="preserve">where previous research suggests we might find specific privacy and confidentiality concerns. </w:t>
      </w:r>
      <w:r w:rsidR="00776B37">
        <w:rPr>
          <w:sz w:val="24"/>
          <w:szCs w:val="24"/>
        </w:rPr>
        <w:t>It is likely that some</w:t>
      </w:r>
      <w:r w:rsidR="00C74E7B">
        <w:rPr>
          <w:sz w:val="24"/>
          <w:szCs w:val="24"/>
        </w:rPr>
        <w:t xml:space="preserve"> members of these populations</w:t>
      </w:r>
      <w:r w:rsidR="00776B37">
        <w:rPr>
          <w:sz w:val="24"/>
          <w:szCs w:val="24"/>
        </w:rPr>
        <w:t xml:space="preserve"> who have privacy and confidentiality concerns will not speak directly with government employees or contractors. In order to reach </w:t>
      </w:r>
      <w:r w:rsidR="00E009A4">
        <w:rPr>
          <w:sz w:val="24"/>
          <w:szCs w:val="24"/>
        </w:rPr>
        <w:t>them</w:t>
      </w:r>
      <w:r w:rsidR="00776B37">
        <w:rPr>
          <w:sz w:val="24"/>
          <w:szCs w:val="24"/>
        </w:rPr>
        <w:t xml:space="preserve"> we plan to</w:t>
      </w:r>
      <w:r w:rsidR="00933176">
        <w:rPr>
          <w:sz w:val="24"/>
          <w:szCs w:val="24"/>
        </w:rPr>
        <w:t xml:space="preserve"> leverage the</w:t>
      </w:r>
      <w:r w:rsidR="008F2631">
        <w:rPr>
          <w:sz w:val="24"/>
          <w:szCs w:val="24"/>
        </w:rPr>
        <w:t xml:space="preserve"> 2020 Census Partnership Program</w:t>
      </w:r>
      <w:r w:rsidR="00776B37">
        <w:rPr>
          <w:sz w:val="24"/>
          <w:szCs w:val="24"/>
        </w:rPr>
        <w:t xml:space="preserve"> as a proxy for members of these HTC populations.</w:t>
      </w:r>
      <w:r w:rsidR="00933176">
        <w:rPr>
          <w:sz w:val="24"/>
          <w:szCs w:val="24"/>
        </w:rPr>
        <w:t xml:space="preserve"> </w:t>
      </w:r>
    </w:p>
    <w:p w:rsidR="00AA447C" w:rsidP="00A61315" w:rsidRDefault="00933176" w14:paraId="247AA61D" w14:textId="67D37B41">
      <w:pPr>
        <w:shd w:val="clear" w:color="auto" w:fill="FFFFFF"/>
        <w:rPr>
          <w:sz w:val="24"/>
          <w:szCs w:val="24"/>
        </w:rPr>
      </w:pPr>
      <w:r>
        <w:rPr>
          <w:sz w:val="24"/>
          <w:szCs w:val="24"/>
        </w:rPr>
        <w:t xml:space="preserve">The </w:t>
      </w:r>
      <w:r w:rsidR="00CE230C">
        <w:rPr>
          <w:sz w:val="24"/>
          <w:szCs w:val="24"/>
        </w:rPr>
        <w:t>Census Partnership P</w:t>
      </w:r>
      <w:r>
        <w:rPr>
          <w:sz w:val="24"/>
          <w:szCs w:val="24"/>
        </w:rPr>
        <w:t xml:space="preserve">rogram </w:t>
      </w:r>
      <w:r w:rsidR="00F65E81">
        <w:rPr>
          <w:sz w:val="24"/>
          <w:szCs w:val="24"/>
        </w:rPr>
        <w:t xml:space="preserve">consists of </w:t>
      </w:r>
      <w:r w:rsidR="008F2631">
        <w:rPr>
          <w:sz w:val="24"/>
          <w:szCs w:val="24"/>
        </w:rPr>
        <w:t xml:space="preserve">partnerships </w:t>
      </w:r>
      <w:r w:rsidR="00F65E81">
        <w:rPr>
          <w:sz w:val="24"/>
          <w:szCs w:val="24"/>
        </w:rPr>
        <w:t>between the Census Bureau and</w:t>
      </w:r>
      <w:r w:rsidR="008F2631">
        <w:rPr>
          <w:sz w:val="24"/>
          <w:szCs w:val="24"/>
        </w:rPr>
        <w:t xml:space="preserve"> third-party organizations</w:t>
      </w:r>
      <w:r w:rsidR="002054D4">
        <w:rPr>
          <w:sz w:val="24"/>
          <w:szCs w:val="24"/>
        </w:rPr>
        <w:t xml:space="preserve"> who serve hard-to-count (HTC) communities. </w:t>
      </w:r>
      <w:r w:rsidR="00E36929">
        <w:rPr>
          <w:sz w:val="24"/>
          <w:szCs w:val="24"/>
        </w:rPr>
        <w:t xml:space="preserve">Partner organizations with a national reach participate in the National Partnership Program (NPP), and partner organizations with a local reach participate in the Census Partnership </w:t>
      </w:r>
      <w:r w:rsidR="000448AB">
        <w:rPr>
          <w:sz w:val="24"/>
          <w:szCs w:val="24"/>
        </w:rPr>
        <w:t xml:space="preserve">and </w:t>
      </w:r>
      <w:r w:rsidR="00E36929">
        <w:rPr>
          <w:sz w:val="24"/>
          <w:szCs w:val="24"/>
        </w:rPr>
        <w:t xml:space="preserve">Engagement </w:t>
      </w:r>
      <w:r w:rsidR="00055DA8">
        <w:rPr>
          <w:sz w:val="24"/>
          <w:szCs w:val="24"/>
        </w:rPr>
        <w:t>P</w:t>
      </w:r>
      <w:r w:rsidR="00E36929">
        <w:rPr>
          <w:sz w:val="24"/>
          <w:szCs w:val="24"/>
        </w:rPr>
        <w:t xml:space="preserve">rogram (CPEP). </w:t>
      </w:r>
      <w:r w:rsidR="002054D4">
        <w:rPr>
          <w:sz w:val="24"/>
          <w:szCs w:val="24"/>
        </w:rPr>
        <w:t xml:space="preserve">In these partnerships, the Census Bureau works with organizations to help them </w:t>
      </w:r>
      <w:r w:rsidR="008F2631">
        <w:rPr>
          <w:sz w:val="24"/>
          <w:szCs w:val="24"/>
        </w:rPr>
        <w:t xml:space="preserve">promote the </w:t>
      </w:r>
      <w:r w:rsidR="00055DA8">
        <w:rPr>
          <w:sz w:val="24"/>
          <w:szCs w:val="24"/>
        </w:rPr>
        <w:t xml:space="preserve">decennial </w:t>
      </w:r>
      <w:r w:rsidR="008F2631">
        <w:rPr>
          <w:sz w:val="24"/>
          <w:szCs w:val="24"/>
        </w:rPr>
        <w:t>census to</w:t>
      </w:r>
      <w:r w:rsidR="000448AB">
        <w:rPr>
          <w:sz w:val="24"/>
          <w:szCs w:val="24"/>
        </w:rPr>
        <w:t xml:space="preserve"> their target communities</w:t>
      </w:r>
      <w:r w:rsidR="002054D4">
        <w:rPr>
          <w:sz w:val="24"/>
          <w:szCs w:val="24"/>
        </w:rPr>
        <w:t xml:space="preserve">, since the partner organizations have </w:t>
      </w:r>
      <w:r w:rsidR="00E009A4">
        <w:rPr>
          <w:sz w:val="24"/>
          <w:szCs w:val="24"/>
        </w:rPr>
        <w:t xml:space="preserve">existing </w:t>
      </w:r>
      <w:r w:rsidR="002054D4">
        <w:rPr>
          <w:sz w:val="24"/>
          <w:szCs w:val="24"/>
        </w:rPr>
        <w:t>relationships with these communities, and are already trusted</w:t>
      </w:r>
      <w:r w:rsidR="00165D90">
        <w:rPr>
          <w:sz w:val="24"/>
          <w:szCs w:val="24"/>
        </w:rPr>
        <w:t xml:space="preserve"> by these communities</w:t>
      </w:r>
      <w:r>
        <w:rPr>
          <w:sz w:val="24"/>
          <w:szCs w:val="24"/>
        </w:rPr>
        <w:t xml:space="preserve">. </w:t>
      </w:r>
      <w:r w:rsidR="00CE230C">
        <w:rPr>
          <w:sz w:val="24"/>
          <w:szCs w:val="24"/>
        </w:rPr>
        <w:t xml:space="preserve">For more details, please see the </w:t>
      </w:r>
      <w:r w:rsidRPr="0070287E" w:rsidR="00CE230C">
        <w:rPr>
          <w:i/>
          <w:sz w:val="24"/>
          <w:szCs w:val="24"/>
        </w:rPr>
        <w:t>2020 Census Integrated Communications Plan</w:t>
      </w:r>
      <w:r w:rsidR="00CE230C">
        <w:rPr>
          <w:rStyle w:val="FootnoteReference"/>
          <w:i/>
          <w:sz w:val="24"/>
          <w:szCs w:val="24"/>
        </w:rPr>
        <w:footnoteReference w:id="1"/>
      </w:r>
      <w:r w:rsidR="00CE230C">
        <w:rPr>
          <w:sz w:val="24"/>
          <w:szCs w:val="24"/>
        </w:rPr>
        <w:t xml:space="preserve"> and </w:t>
      </w:r>
      <w:r w:rsidRPr="0070287E" w:rsidR="00CE230C">
        <w:rPr>
          <w:i/>
          <w:sz w:val="24"/>
          <w:szCs w:val="24"/>
        </w:rPr>
        <w:t>2020 Census Partnership Plan</w:t>
      </w:r>
      <w:r w:rsidR="00CE230C">
        <w:rPr>
          <w:sz w:val="24"/>
          <w:szCs w:val="24"/>
        </w:rPr>
        <w:t>.</w:t>
      </w:r>
      <w:r w:rsidR="00CE230C">
        <w:rPr>
          <w:rStyle w:val="FootnoteReference"/>
          <w:sz w:val="24"/>
          <w:szCs w:val="24"/>
        </w:rPr>
        <w:footnoteReference w:id="2"/>
      </w:r>
    </w:p>
    <w:p w:rsidR="005450CB" w:rsidP="005450CB" w:rsidRDefault="00776B37" w14:paraId="0F9EA5B9" w14:textId="6E50D860">
      <w:pPr>
        <w:shd w:val="clear" w:color="auto" w:fill="FFFFFF"/>
        <w:rPr>
          <w:sz w:val="24"/>
          <w:szCs w:val="24"/>
        </w:rPr>
      </w:pPr>
      <w:r>
        <w:rPr>
          <w:sz w:val="24"/>
          <w:szCs w:val="24"/>
        </w:rPr>
        <w:t>We plan to focus on the following HTC groups:</w:t>
      </w:r>
      <w:r w:rsidR="005450CB">
        <w:rPr>
          <w:sz w:val="24"/>
          <w:szCs w:val="24"/>
        </w:rPr>
        <w:t xml:space="preserve"> </w:t>
      </w:r>
    </w:p>
    <w:p w:rsidRPr="00D27ABD" w:rsidR="005450CB" w:rsidP="00D27ABD" w:rsidRDefault="005450CB" w14:paraId="544873F0" w14:textId="69C711B6">
      <w:pPr>
        <w:pStyle w:val="ListParagraph"/>
        <w:numPr>
          <w:ilvl w:val="0"/>
          <w:numId w:val="9"/>
        </w:numPr>
        <w:shd w:val="clear" w:color="auto" w:fill="FFFFFF"/>
        <w:rPr>
          <w:sz w:val="24"/>
          <w:szCs w:val="24"/>
        </w:rPr>
      </w:pPr>
      <w:r w:rsidRPr="00D27ABD">
        <w:rPr>
          <w:sz w:val="24"/>
          <w:szCs w:val="24"/>
        </w:rPr>
        <w:t>Hispanics/Latino</w:t>
      </w:r>
      <w:r w:rsidRPr="00D27ABD" w:rsidR="00582231">
        <w:rPr>
          <w:sz w:val="24"/>
          <w:szCs w:val="24"/>
        </w:rPr>
        <w:t>s</w:t>
      </w:r>
      <w:r w:rsidRPr="00D27ABD">
        <w:rPr>
          <w:sz w:val="24"/>
          <w:szCs w:val="24"/>
        </w:rPr>
        <w:t xml:space="preserve">, </w:t>
      </w:r>
    </w:p>
    <w:p w:rsidRPr="00D27ABD" w:rsidR="005450CB" w:rsidP="00D27ABD" w:rsidRDefault="00582231" w14:paraId="7A948DD5" w14:textId="5EA2E12D">
      <w:pPr>
        <w:pStyle w:val="ListParagraph"/>
        <w:numPr>
          <w:ilvl w:val="0"/>
          <w:numId w:val="9"/>
        </w:numPr>
        <w:shd w:val="clear" w:color="auto" w:fill="FFFFFF"/>
        <w:rPr>
          <w:sz w:val="24"/>
          <w:szCs w:val="24"/>
        </w:rPr>
      </w:pPr>
      <w:r w:rsidRPr="00D27ABD">
        <w:rPr>
          <w:sz w:val="24"/>
          <w:szCs w:val="24"/>
        </w:rPr>
        <w:t>Middle East</w:t>
      </w:r>
      <w:r w:rsidRPr="00D27ABD" w:rsidR="005450CB">
        <w:rPr>
          <w:sz w:val="24"/>
          <w:szCs w:val="24"/>
        </w:rPr>
        <w:t xml:space="preserve"> and North African</w:t>
      </w:r>
      <w:r w:rsidRPr="00D27ABD">
        <w:rPr>
          <w:sz w:val="24"/>
          <w:szCs w:val="24"/>
        </w:rPr>
        <w:t>s</w:t>
      </w:r>
      <w:r w:rsidRPr="00D27ABD" w:rsidR="005450CB">
        <w:rPr>
          <w:sz w:val="24"/>
          <w:szCs w:val="24"/>
        </w:rPr>
        <w:t xml:space="preserve"> (MENA), </w:t>
      </w:r>
    </w:p>
    <w:p w:rsidRPr="00D27ABD" w:rsidR="005450CB" w:rsidP="00D27ABD" w:rsidRDefault="005450CB" w14:paraId="301227CE" w14:textId="48A2011F">
      <w:pPr>
        <w:pStyle w:val="ListParagraph"/>
        <w:numPr>
          <w:ilvl w:val="0"/>
          <w:numId w:val="9"/>
        </w:numPr>
        <w:shd w:val="clear" w:color="auto" w:fill="FFFFFF"/>
        <w:rPr>
          <w:sz w:val="24"/>
          <w:szCs w:val="24"/>
        </w:rPr>
      </w:pPr>
      <w:r w:rsidRPr="00D27ABD">
        <w:rPr>
          <w:sz w:val="24"/>
          <w:szCs w:val="24"/>
        </w:rPr>
        <w:t>Asian</w:t>
      </w:r>
      <w:r w:rsidRPr="00D27ABD" w:rsidR="00582231">
        <w:rPr>
          <w:sz w:val="24"/>
          <w:szCs w:val="24"/>
        </w:rPr>
        <w:t>s and Asian Immigrants</w:t>
      </w:r>
      <w:r w:rsidRPr="00D27ABD">
        <w:rPr>
          <w:sz w:val="24"/>
          <w:szCs w:val="24"/>
        </w:rPr>
        <w:t xml:space="preserve">, </w:t>
      </w:r>
    </w:p>
    <w:p w:rsidRPr="00D27ABD" w:rsidR="005450CB" w:rsidP="00D27ABD" w:rsidRDefault="00304827" w14:paraId="438DD464" w14:textId="2C79516D">
      <w:pPr>
        <w:pStyle w:val="ListParagraph"/>
        <w:numPr>
          <w:ilvl w:val="0"/>
          <w:numId w:val="9"/>
        </w:numPr>
        <w:shd w:val="clear" w:color="auto" w:fill="FFFFFF"/>
        <w:rPr>
          <w:sz w:val="24"/>
          <w:szCs w:val="24"/>
        </w:rPr>
      </w:pPr>
      <w:r w:rsidRPr="00D27ABD">
        <w:rPr>
          <w:sz w:val="24"/>
          <w:szCs w:val="24"/>
        </w:rPr>
        <w:t>Migrant workers, and</w:t>
      </w:r>
    </w:p>
    <w:p w:rsidR="005450CB" w:rsidP="00D27ABD" w:rsidRDefault="00304827" w14:paraId="3319CFE7" w14:textId="7CCA71FC">
      <w:pPr>
        <w:pStyle w:val="ListParagraph"/>
        <w:numPr>
          <w:ilvl w:val="0"/>
          <w:numId w:val="9"/>
        </w:numPr>
        <w:shd w:val="clear" w:color="auto" w:fill="FFFFFF"/>
        <w:rPr>
          <w:sz w:val="24"/>
          <w:szCs w:val="24"/>
        </w:rPr>
      </w:pPr>
      <w:r w:rsidRPr="00D27ABD">
        <w:rPr>
          <w:sz w:val="24"/>
          <w:szCs w:val="24"/>
        </w:rPr>
        <w:t>Blacks/</w:t>
      </w:r>
      <w:r w:rsidRPr="00D27ABD" w:rsidR="00582231">
        <w:rPr>
          <w:sz w:val="24"/>
          <w:szCs w:val="24"/>
        </w:rPr>
        <w:t>African Americans</w:t>
      </w:r>
    </w:p>
    <w:p w:rsidRPr="00D27ABD" w:rsidR="00D27ABD" w:rsidP="00D27ABD" w:rsidRDefault="00D27ABD" w14:paraId="7D83DA1D" w14:textId="77777777">
      <w:pPr>
        <w:pStyle w:val="ListParagraph"/>
        <w:shd w:val="clear" w:color="auto" w:fill="FFFFFF"/>
        <w:rPr>
          <w:sz w:val="24"/>
          <w:szCs w:val="24"/>
        </w:rPr>
      </w:pPr>
    </w:p>
    <w:p w:rsidR="00E77BE3" w:rsidP="00E01654" w:rsidRDefault="0070287E" w14:paraId="491FCD2D" w14:textId="2335ADB5">
      <w:pPr>
        <w:shd w:val="clear" w:color="auto" w:fill="FFFFFF"/>
        <w:rPr>
          <w:sz w:val="24"/>
          <w:szCs w:val="24"/>
        </w:rPr>
      </w:pPr>
      <w:r>
        <w:rPr>
          <w:sz w:val="24"/>
          <w:szCs w:val="24"/>
        </w:rPr>
        <w:t>These groups will be served by a number of partner</w:t>
      </w:r>
      <w:r w:rsidR="00D719DA">
        <w:rPr>
          <w:sz w:val="24"/>
          <w:szCs w:val="24"/>
        </w:rPr>
        <w:t xml:space="preserve"> </w:t>
      </w:r>
      <w:r w:rsidR="000448AB">
        <w:rPr>
          <w:sz w:val="24"/>
          <w:szCs w:val="24"/>
        </w:rPr>
        <w:t>organizations</w:t>
      </w:r>
      <w:r>
        <w:rPr>
          <w:sz w:val="24"/>
          <w:szCs w:val="24"/>
        </w:rPr>
        <w:t xml:space="preserve"> in</w:t>
      </w:r>
      <w:r w:rsidR="004A02D6">
        <w:rPr>
          <w:sz w:val="24"/>
          <w:szCs w:val="24"/>
        </w:rPr>
        <w:t xml:space="preserve"> the Census Partnership Program. B</w:t>
      </w:r>
      <w:r w:rsidR="00CE230C">
        <w:rPr>
          <w:sz w:val="24"/>
          <w:szCs w:val="24"/>
        </w:rPr>
        <w:t>ased on previous research, we</w:t>
      </w:r>
      <w:r w:rsidR="004A02D6">
        <w:rPr>
          <w:sz w:val="24"/>
          <w:szCs w:val="24"/>
        </w:rPr>
        <w:t xml:space="preserve"> </w:t>
      </w:r>
      <w:r w:rsidR="00776B37">
        <w:rPr>
          <w:sz w:val="24"/>
          <w:szCs w:val="24"/>
        </w:rPr>
        <w:t>expect that</w:t>
      </w:r>
      <w:r w:rsidR="000448AB">
        <w:rPr>
          <w:sz w:val="24"/>
          <w:szCs w:val="24"/>
        </w:rPr>
        <w:t xml:space="preserve"> these populations</w:t>
      </w:r>
      <w:r w:rsidR="00776B37">
        <w:rPr>
          <w:sz w:val="24"/>
          <w:szCs w:val="24"/>
        </w:rPr>
        <w:t xml:space="preserve"> have specific </w:t>
      </w:r>
      <w:r w:rsidR="00CE230C">
        <w:rPr>
          <w:sz w:val="24"/>
          <w:szCs w:val="24"/>
        </w:rPr>
        <w:t xml:space="preserve">privacy and confidentiality concerns about the </w:t>
      </w:r>
      <w:r w:rsidR="00776B37">
        <w:rPr>
          <w:sz w:val="24"/>
          <w:szCs w:val="24"/>
        </w:rPr>
        <w:t xml:space="preserve">2020 decennial </w:t>
      </w:r>
      <w:r w:rsidR="00CE230C">
        <w:rPr>
          <w:sz w:val="24"/>
          <w:szCs w:val="24"/>
        </w:rPr>
        <w:t xml:space="preserve">census. </w:t>
      </w:r>
    </w:p>
    <w:p w:rsidR="0073058F" w:rsidP="003E5DF9" w:rsidRDefault="003E5DF9" w14:paraId="1B3BE271" w14:textId="43C55842">
      <w:pPr>
        <w:shd w:val="clear" w:color="auto" w:fill="FFFFFF"/>
        <w:rPr>
          <w:color w:val="000000"/>
          <w:sz w:val="24"/>
          <w:szCs w:val="24"/>
        </w:rPr>
      </w:pPr>
      <w:r w:rsidRPr="007156A3">
        <w:rPr>
          <w:b/>
          <w:color w:val="000000"/>
          <w:sz w:val="24"/>
          <w:szCs w:val="24"/>
        </w:rPr>
        <w:t>Timeline</w:t>
      </w:r>
      <w:r w:rsidRPr="007156A3">
        <w:rPr>
          <w:color w:val="000000"/>
          <w:sz w:val="24"/>
          <w:szCs w:val="24"/>
        </w:rPr>
        <w:t>:</w:t>
      </w:r>
      <w:r w:rsidR="006460E7">
        <w:rPr>
          <w:color w:val="000000"/>
          <w:sz w:val="24"/>
          <w:szCs w:val="24"/>
        </w:rPr>
        <w:t xml:space="preserve"> </w:t>
      </w:r>
    </w:p>
    <w:p w:rsidR="00973AE0" w:rsidP="003E5DF9" w:rsidRDefault="00973AE0" w14:paraId="52E74BE4" w14:textId="2199182D">
      <w:pPr>
        <w:shd w:val="clear" w:color="auto" w:fill="FFFFFF"/>
        <w:rPr>
          <w:color w:val="000000"/>
          <w:sz w:val="24"/>
          <w:szCs w:val="24"/>
        </w:rPr>
      </w:pPr>
      <w:r>
        <w:rPr>
          <w:color w:val="000000"/>
          <w:sz w:val="24"/>
          <w:szCs w:val="24"/>
        </w:rPr>
        <w:t xml:space="preserve">Interviews and focus groups will take place between </w:t>
      </w:r>
      <w:r w:rsidR="009A54ED">
        <w:rPr>
          <w:color w:val="000000"/>
          <w:sz w:val="24"/>
          <w:szCs w:val="24"/>
        </w:rPr>
        <w:t xml:space="preserve">May 2020 and September 2020. Recruitment will begin in </w:t>
      </w:r>
      <w:r w:rsidR="005641E0">
        <w:rPr>
          <w:color w:val="000000"/>
          <w:sz w:val="24"/>
          <w:szCs w:val="24"/>
        </w:rPr>
        <w:t>April</w:t>
      </w:r>
      <w:r w:rsidR="009A54ED">
        <w:rPr>
          <w:color w:val="000000"/>
          <w:sz w:val="24"/>
          <w:szCs w:val="24"/>
        </w:rPr>
        <w:t xml:space="preserve"> 2020.</w:t>
      </w:r>
    </w:p>
    <w:p w:rsidR="009443A8" w:rsidP="003E5DF9" w:rsidRDefault="003E5DF9" w14:paraId="05DCD878" w14:textId="26357662">
      <w:pPr>
        <w:shd w:val="clear" w:color="auto" w:fill="FFFFFF"/>
        <w:rPr>
          <w:color w:val="000000"/>
          <w:sz w:val="24"/>
          <w:szCs w:val="24"/>
        </w:rPr>
      </w:pPr>
      <w:r w:rsidRPr="007156A3">
        <w:rPr>
          <w:b/>
          <w:color w:val="000000"/>
          <w:sz w:val="24"/>
          <w:szCs w:val="24"/>
        </w:rPr>
        <w:t>Language</w:t>
      </w:r>
      <w:r w:rsidRPr="007156A3">
        <w:rPr>
          <w:color w:val="000000"/>
          <w:sz w:val="24"/>
          <w:szCs w:val="24"/>
        </w:rPr>
        <w:t xml:space="preserve">: </w:t>
      </w:r>
    </w:p>
    <w:p w:rsidRPr="00F11C6F" w:rsidR="00903D79" w:rsidP="003E5DF9" w:rsidRDefault="009A54ED" w14:paraId="35FDFB38" w14:textId="4F3D8324">
      <w:pPr>
        <w:shd w:val="clear" w:color="auto" w:fill="FFFFFF"/>
        <w:rPr>
          <w:color w:val="000000"/>
          <w:sz w:val="24"/>
          <w:szCs w:val="24"/>
        </w:rPr>
      </w:pPr>
      <w:r>
        <w:rPr>
          <w:color w:val="000000"/>
          <w:sz w:val="24"/>
          <w:szCs w:val="24"/>
        </w:rPr>
        <w:t>This r</w:t>
      </w:r>
      <w:r w:rsidR="00997CC2">
        <w:rPr>
          <w:color w:val="000000"/>
          <w:sz w:val="24"/>
          <w:szCs w:val="24"/>
        </w:rPr>
        <w:t xml:space="preserve">esearch </w:t>
      </w:r>
      <w:r w:rsidR="00BF06F5">
        <w:rPr>
          <w:color w:val="000000"/>
          <w:sz w:val="24"/>
          <w:szCs w:val="24"/>
        </w:rPr>
        <w:t>will be conducted in English</w:t>
      </w:r>
      <w:r w:rsidR="00997CC2">
        <w:rPr>
          <w:color w:val="000000"/>
          <w:sz w:val="24"/>
          <w:szCs w:val="24"/>
        </w:rPr>
        <w:t>.</w:t>
      </w:r>
      <w:r w:rsidRPr="007156A3" w:rsidR="003E5DF9">
        <w:rPr>
          <w:color w:val="000000"/>
          <w:sz w:val="24"/>
          <w:szCs w:val="24"/>
        </w:rPr>
        <w:t xml:space="preserve"> </w:t>
      </w:r>
    </w:p>
    <w:p w:rsidR="005641E0" w:rsidP="003E5DF9" w:rsidRDefault="005641E0" w14:paraId="60944E85" w14:textId="77777777">
      <w:pPr>
        <w:shd w:val="clear" w:color="auto" w:fill="FFFFFF"/>
        <w:rPr>
          <w:b/>
          <w:color w:val="000000"/>
          <w:sz w:val="24"/>
          <w:szCs w:val="24"/>
        </w:rPr>
      </w:pPr>
    </w:p>
    <w:p w:rsidR="005641E0" w:rsidP="003E5DF9" w:rsidRDefault="005641E0" w14:paraId="2A0ECFD0" w14:textId="77777777">
      <w:pPr>
        <w:shd w:val="clear" w:color="auto" w:fill="FFFFFF"/>
        <w:rPr>
          <w:b/>
          <w:color w:val="000000"/>
          <w:sz w:val="24"/>
          <w:szCs w:val="24"/>
        </w:rPr>
      </w:pPr>
    </w:p>
    <w:p w:rsidR="0078001C" w:rsidP="003E5DF9" w:rsidRDefault="003E5DF9" w14:paraId="1B8CF8D0" w14:textId="4D7F5C90">
      <w:pPr>
        <w:shd w:val="clear" w:color="auto" w:fill="FFFFFF"/>
        <w:rPr>
          <w:color w:val="000000"/>
          <w:sz w:val="24"/>
          <w:szCs w:val="24"/>
        </w:rPr>
      </w:pPr>
      <w:r w:rsidRPr="007156A3">
        <w:rPr>
          <w:b/>
          <w:color w:val="000000"/>
          <w:sz w:val="24"/>
          <w:szCs w:val="24"/>
        </w:rPr>
        <w:lastRenderedPageBreak/>
        <w:t>Method</w:t>
      </w:r>
      <w:r w:rsidRPr="007156A3">
        <w:rPr>
          <w:color w:val="000000"/>
          <w:sz w:val="24"/>
          <w:szCs w:val="24"/>
        </w:rPr>
        <w:t xml:space="preserve">: </w:t>
      </w:r>
    </w:p>
    <w:p w:rsidRPr="00AE0B25" w:rsidR="00FA720F" w:rsidP="00691BE8" w:rsidRDefault="0078001C" w14:paraId="3581DA66" w14:textId="512137BB">
      <w:pPr>
        <w:shd w:val="clear" w:color="auto" w:fill="FFFFFF"/>
        <w:rPr>
          <w:color w:val="000000"/>
          <w:sz w:val="24"/>
          <w:szCs w:val="24"/>
          <w:u w:val="single"/>
        </w:rPr>
      </w:pPr>
      <w:r w:rsidRPr="00691BE8">
        <w:rPr>
          <w:color w:val="000000"/>
          <w:sz w:val="24"/>
          <w:szCs w:val="24"/>
          <w:u w:val="single"/>
        </w:rPr>
        <w:t>NPP Interviews</w:t>
      </w:r>
      <w:r w:rsidR="00AE0B25">
        <w:rPr>
          <w:color w:val="000000"/>
          <w:sz w:val="24"/>
          <w:szCs w:val="24"/>
          <w:u w:val="single"/>
        </w:rPr>
        <w:t>:</w:t>
      </w:r>
      <w:r w:rsidRPr="001201F6" w:rsidR="00AE0B25">
        <w:rPr>
          <w:color w:val="000000"/>
          <w:sz w:val="24"/>
          <w:szCs w:val="24"/>
        </w:rPr>
        <w:t xml:space="preserve"> </w:t>
      </w:r>
      <w:r w:rsidR="001201F6">
        <w:rPr>
          <w:color w:val="000000"/>
          <w:sz w:val="24"/>
          <w:szCs w:val="24"/>
        </w:rPr>
        <w:t>Staff from CBSM will conduct 10</w:t>
      </w:r>
      <w:r w:rsidR="00691BE8">
        <w:rPr>
          <w:color w:val="000000"/>
          <w:sz w:val="24"/>
          <w:szCs w:val="24"/>
        </w:rPr>
        <w:t xml:space="preserve"> interviews with NPP partners.</w:t>
      </w:r>
      <w:r w:rsidRPr="00691BE8" w:rsidR="00691BE8">
        <w:rPr>
          <w:color w:val="000000"/>
          <w:sz w:val="24"/>
          <w:szCs w:val="24"/>
        </w:rPr>
        <w:t xml:space="preserve"> </w:t>
      </w:r>
      <w:r w:rsidR="00FA720F">
        <w:rPr>
          <w:color w:val="000000"/>
          <w:sz w:val="24"/>
          <w:szCs w:val="24"/>
        </w:rPr>
        <w:t xml:space="preserve">The NPP interviews will </w:t>
      </w:r>
      <w:r w:rsidR="006F52D6">
        <w:rPr>
          <w:color w:val="000000"/>
          <w:sz w:val="24"/>
          <w:szCs w:val="24"/>
        </w:rPr>
        <w:t xml:space="preserve">be semi-structured, and </w:t>
      </w:r>
      <w:r w:rsidR="00FA720F">
        <w:rPr>
          <w:color w:val="000000"/>
          <w:sz w:val="24"/>
          <w:szCs w:val="24"/>
        </w:rPr>
        <w:t xml:space="preserve">take place </w:t>
      </w:r>
      <w:r w:rsidR="00FA720F">
        <w:rPr>
          <w:sz w:val="24"/>
          <w:szCs w:val="24"/>
        </w:rPr>
        <w:t>in-person or by telephone when necessary.</w:t>
      </w:r>
      <w:r w:rsidR="006F52D6">
        <w:rPr>
          <w:sz w:val="24"/>
          <w:szCs w:val="24"/>
        </w:rPr>
        <w:t xml:space="preserve"> </w:t>
      </w:r>
    </w:p>
    <w:p w:rsidR="00FA720F" w:rsidP="00CB3B5D" w:rsidRDefault="00FA720F" w14:paraId="68916AD1" w14:textId="7D23F2B6">
      <w:pPr>
        <w:shd w:val="clear" w:color="auto" w:fill="FFFFFF"/>
        <w:rPr>
          <w:color w:val="000000"/>
          <w:sz w:val="24"/>
          <w:szCs w:val="24"/>
        </w:rPr>
      </w:pPr>
      <w:r>
        <w:rPr>
          <w:sz w:val="24"/>
          <w:szCs w:val="24"/>
        </w:rPr>
        <w:t>NPP partne</w:t>
      </w:r>
      <w:r w:rsidR="00CB0125">
        <w:rPr>
          <w:sz w:val="24"/>
          <w:szCs w:val="24"/>
        </w:rPr>
        <w:t>r organization staff</w:t>
      </w:r>
      <w:r>
        <w:rPr>
          <w:sz w:val="24"/>
          <w:szCs w:val="24"/>
        </w:rPr>
        <w:t xml:space="preserve"> will come from organizations</w:t>
      </w:r>
      <w:r w:rsidR="00F17DD8">
        <w:rPr>
          <w:sz w:val="24"/>
          <w:szCs w:val="24"/>
        </w:rPr>
        <w:t xml:space="preserve"> with a</w:t>
      </w:r>
      <w:r w:rsidR="00CB0125">
        <w:rPr>
          <w:sz w:val="24"/>
          <w:szCs w:val="24"/>
        </w:rPr>
        <w:t xml:space="preserve"> </w:t>
      </w:r>
      <w:r w:rsidR="00F17DD8">
        <w:rPr>
          <w:sz w:val="24"/>
          <w:szCs w:val="24"/>
        </w:rPr>
        <w:t>national reach</w:t>
      </w:r>
      <w:r w:rsidR="00766293">
        <w:rPr>
          <w:sz w:val="24"/>
          <w:szCs w:val="24"/>
        </w:rPr>
        <w:t xml:space="preserve"> that is broader than the organizations represented in the CPEP program</w:t>
      </w:r>
      <w:r w:rsidR="00CB3B5D">
        <w:rPr>
          <w:sz w:val="24"/>
          <w:szCs w:val="24"/>
        </w:rPr>
        <w:t>, which have a local reach</w:t>
      </w:r>
      <w:r w:rsidR="00F17DD8">
        <w:rPr>
          <w:sz w:val="24"/>
          <w:szCs w:val="24"/>
        </w:rPr>
        <w:t xml:space="preserve">. </w:t>
      </w:r>
      <w:r w:rsidR="00766293">
        <w:rPr>
          <w:sz w:val="24"/>
          <w:szCs w:val="24"/>
        </w:rPr>
        <w:t xml:space="preserve">However, like the CPEP partner organizations, </w:t>
      </w:r>
      <w:r w:rsidR="00CB3B5D">
        <w:rPr>
          <w:sz w:val="24"/>
          <w:szCs w:val="24"/>
        </w:rPr>
        <w:t>NPP partner organizations</w:t>
      </w:r>
      <w:r w:rsidR="008045CB">
        <w:rPr>
          <w:sz w:val="24"/>
          <w:szCs w:val="24"/>
        </w:rPr>
        <w:t xml:space="preserve"> also</w:t>
      </w:r>
      <w:r>
        <w:rPr>
          <w:sz w:val="24"/>
          <w:szCs w:val="24"/>
        </w:rPr>
        <w:t xml:space="preserve"> have experience working with HTC communities. In depth, qualitat</w:t>
      </w:r>
      <w:r w:rsidR="00CB3B5D">
        <w:rPr>
          <w:sz w:val="24"/>
          <w:szCs w:val="24"/>
        </w:rPr>
        <w:t>ive interviews with NPP partner staff</w:t>
      </w:r>
      <w:r>
        <w:rPr>
          <w:sz w:val="24"/>
          <w:szCs w:val="24"/>
        </w:rPr>
        <w:t xml:space="preserve"> will allow us to draw</w:t>
      </w:r>
      <w:r w:rsidR="00CB0125">
        <w:rPr>
          <w:sz w:val="24"/>
          <w:szCs w:val="24"/>
        </w:rPr>
        <w:t xml:space="preserve"> on the experience of those who</w:t>
      </w:r>
      <w:r>
        <w:rPr>
          <w:sz w:val="24"/>
          <w:szCs w:val="24"/>
        </w:rPr>
        <w:t xml:space="preserve"> have successfully reach</w:t>
      </w:r>
      <w:r w:rsidR="00CB3B5D">
        <w:rPr>
          <w:sz w:val="24"/>
          <w:szCs w:val="24"/>
        </w:rPr>
        <w:t>ed HTC groups and</w:t>
      </w:r>
      <w:r>
        <w:rPr>
          <w:sz w:val="24"/>
          <w:szCs w:val="24"/>
        </w:rPr>
        <w:t xml:space="preserve"> </w:t>
      </w:r>
      <w:r w:rsidR="00CB3B5D">
        <w:rPr>
          <w:sz w:val="24"/>
          <w:szCs w:val="24"/>
        </w:rPr>
        <w:t>chose</w:t>
      </w:r>
      <w:r>
        <w:rPr>
          <w:sz w:val="24"/>
          <w:szCs w:val="24"/>
        </w:rPr>
        <w:t xml:space="preserve"> to be part of the Partnership Program. </w:t>
      </w:r>
      <w:r w:rsidR="00DF7744">
        <w:rPr>
          <w:sz w:val="24"/>
          <w:szCs w:val="24"/>
        </w:rPr>
        <w:t>The</w:t>
      </w:r>
      <w:r>
        <w:rPr>
          <w:sz w:val="24"/>
          <w:szCs w:val="24"/>
        </w:rPr>
        <w:t xml:space="preserve"> interv</w:t>
      </w:r>
      <w:r w:rsidR="00DF7744">
        <w:rPr>
          <w:sz w:val="24"/>
          <w:szCs w:val="24"/>
        </w:rPr>
        <w:t>iew protocol</w:t>
      </w:r>
      <w:r w:rsidR="00CB0125">
        <w:rPr>
          <w:sz w:val="24"/>
          <w:szCs w:val="24"/>
        </w:rPr>
        <w:t xml:space="preserve"> will identify concerns that NPP partners</w:t>
      </w:r>
      <w:r w:rsidR="00492207">
        <w:rPr>
          <w:sz w:val="24"/>
          <w:szCs w:val="24"/>
        </w:rPr>
        <w:t xml:space="preserve"> have encountered from </w:t>
      </w:r>
      <w:r w:rsidR="00772F62">
        <w:rPr>
          <w:sz w:val="24"/>
          <w:szCs w:val="24"/>
        </w:rPr>
        <w:t>people</w:t>
      </w:r>
      <w:r w:rsidR="00492207">
        <w:rPr>
          <w:sz w:val="24"/>
          <w:szCs w:val="24"/>
        </w:rPr>
        <w:t xml:space="preserve"> about their</w:t>
      </w:r>
      <w:r>
        <w:rPr>
          <w:sz w:val="24"/>
          <w:szCs w:val="24"/>
        </w:rPr>
        <w:t xml:space="preserve"> participation in the 2020 Census because of</w:t>
      </w:r>
      <w:r w:rsidR="004566E3">
        <w:rPr>
          <w:sz w:val="24"/>
          <w:szCs w:val="24"/>
        </w:rPr>
        <w:t xml:space="preserve"> </w:t>
      </w:r>
      <w:r w:rsidR="00492207">
        <w:rPr>
          <w:sz w:val="24"/>
          <w:szCs w:val="24"/>
        </w:rPr>
        <w:t xml:space="preserve">the socio-political climate, </w:t>
      </w:r>
      <w:r>
        <w:rPr>
          <w:sz w:val="24"/>
          <w:szCs w:val="24"/>
        </w:rPr>
        <w:t xml:space="preserve">and will collect information about strategies </w:t>
      </w:r>
      <w:r w:rsidR="00772F62">
        <w:rPr>
          <w:sz w:val="24"/>
          <w:szCs w:val="24"/>
        </w:rPr>
        <w:t>NPP partners</w:t>
      </w:r>
      <w:r>
        <w:rPr>
          <w:sz w:val="24"/>
          <w:szCs w:val="24"/>
        </w:rPr>
        <w:t xml:space="preserve"> used to increase response</w:t>
      </w:r>
      <w:r w:rsidR="0097105E">
        <w:rPr>
          <w:sz w:val="24"/>
          <w:szCs w:val="24"/>
        </w:rPr>
        <w:t>, as well as the effectiveness of those strategies.</w:t>
      </w:r>
      <w:r w:rsidR="00CB3B5D">
        <w:rPr>
          <w:sz w:val="24"/>
          <w:szCs w:val="24"/>
        </w:rPr>
        <w:t xml:space="preserve"> </w:t>
      </w:r>
    </w:p>
    <w:p w:rsidRPr="005355DA" w:rsidR="00FC2A9C" w:rsidP="003E5DF9" w:rsidRDefault="0078001C" w14:paraId="2166B9E0" w14:textId="77777777">
      <w:pPr>
        <w:shd w:val="clear" w:color="auto" w:fill="FFFFFF"/>
        <w:rPr>
          <w:color w:val="000000"/>
          <w:sz w:val="24"/>
          <w:szCs w:val="24"/>
        </w:rPr>
      </w:pPr>
      <w:r w:rsidRPr="00691BE8">
        <w:rPr>
          <w:color w:val="000000"/>
          <w:sz w:val="24"/>
          <w:szCs w:val="24"/>
          <w:u w:val="single"/>
        </w:rPr>
        <w:t>CPEP Focus Groups</w:t>
      </w:r>
      <w:r w:rsidR="00AE0B25">
        <w:rPr>
          <w:color w:val="000000"/>
          <w:sz w:val="24"/>
          <w:szCs w:val="24"/>
          <w:u w:val="single"/>
        </w:rPr>
        <w:t>:</w:t>
      </w:r>
      <w:r w:rsidRPr="005641E0" w:rsidR="00AE0B25">
        <w:rPr>
          <w:color w:val="000000"/>
          <w:sz w:val="24"/>
          <w:szCs w:val="24"/>
        </w:rPr>
        <w:t xml:space="preserve"> </w:t>
      </w:r>
      <w:r w:rsidRPr="005641E0" w:rsidR="005641E0">
        <w:rPr>
          <w:color w:val="000000"/>
          <w:sz w:val="24"/>
          <w:szCs w:val="24"/>
        </w:rPr>
        <w:t xml:space="preserve"> </w:t>
      </w:r>
      <w:r w:rsidR="00991C64">
        <w:rPr>
          <w:color w:val="000000"/>
          <w:sz w:val="24"/>
          <w:szCs w:val="24"/>
        </w:rPr>
        <w:t>Staff from CBSM will conduct</w:t>
      </w:r>
      <w:r w:rsidR="00F15957">
        <w:rPr>
          <w:color w:val="000000"/>
          <w:sz w:val="24"/>
          <w:szCs w:val="24"/>
        </w:rPr>
        <w:t xml:space="preserve"> </w:t>
      </w:r>
      <w:r w:rsidR="00CB0125">
        <w:rPr>
          <w:color w:val="000000"/>
          <w:sz w:val="24"/>
          <w:szCs w:val="24"/>
        </w:rPr>
        <w:t xml:space="preserve">six </w:t>
      </w:r>
      <w:r w:rsidR="00903D79">
        <w:rPr>
          <w:color w:val="000000"/>
          <w:sz w:val="24"/>
          <w:szCs w:val="24"/>
        </w:rPr>
        <w:t>fo</w:t>
      </w:r>
      <w:r w:rsidR="00707020">
        <w:rPr>
          <w:color w:val="000000"/>
          <w:sz w:val="24"/>
          <w:szCs w:val="24"/>
        </w:rPr>
        <w:t>cus groups of</w:t>
      </w:r>
      <w:r w:rsidR="00691BE8">
        <w:rPr>
          <w:color w:val="000000"/>
          <w:sz w:val="24"/>
          <w:szCs w:val="24"/>
        </w:rPr>
        <w:t xml:space="preserve"> </w:t>
      </w:r>
      <w:r w:rsidR="00492207">
        <w:rPr>
          <w:color w:val="000000"/>
          <w:sz w:val="24"/>
          <w:szCs w:val="24"/>
        </w:rPr>
        <w:t xml:space="preserve">staff from </w:t>
      </w:r>
      <w:r w:rsidR="00691BE8">
        <w:rPr>
          <w:color w:val="000000"/>
          <w:sz w:val="24"/>
          <w:szCs w:val="24"/>
        </w:rPr>
        <w:t>CPEP partner</w:t>
      </w:r>
      <w:r w:rsidR="00492207">
        <w:rPr>
          <w:color w:val="000000"/>
          <w:sz w:val="24"/>
          <w:szCs w:val="24"/>
        </w:rPr>
        <w:t xml:space="preserve"> organizations</w:t>
      </w:r>
      <w:r w:rsidR="00691BE8">
        <w:rPr>
          <w:color w:val="000000"/>
          <w:sz w:val="24"/>
          <w:szCs w:val="24"/>
        </w:rPr>
        <w:t>. T</w:t>
      </w:r>
      <w:r w:rsidR="00997CC2">
        <w:rPr>
          <w:color w:val="000000"/>
          <w:sz w:val="24"/>
          <w:szCs w:val="24"/>
        </w:rPr>
        <w:t>wo</w:t>
      </w:r>
      <w:r w:rsidR="00800E0B">
        <w:rPr>
          <w:color w:val="000000"/>
          <w:sz w:val="24"/>
          <w:szCs w:val="24"/>
        </w:rPr>
        <w:t xml:space="preserve"> focus group </w:t>
      </w:r>
      <w:r w:rsidR="004C3041">
        <w:rPr>
          <w:color w:val="000000"/>
          <w:sz w:val="24"/>
          <w:szCs w:val="24"/>
        </w:rPr>
        <w:t>will be conducted in each of three cities</w:t>
      </w:r>
      <w:r w:rsidR="007B7DF0">
        <w:rPr>
          <w:color w:val="000000"/>
          <w:sz w:val="24"/>
          <w:szCs w:val="24"/>
        </w:rPr>
        <w:t xml:space="preserve">: </w:t>
      </w:r>
      <w:r w:rsidR="00707020">
        <w:rPr>
          <w:color w:val="000000"/>
          <w:sz w:val="24"/>
          <w:szCs w:val="24"/>
        </w:rPr>
        <w:t>Detroit</w:t>
      </w:r>
      <w:r w:rsidR="00DF7744">
        <w:rPr>
          <w:color w:val="000000"/>
          <w:sz w:val="24"/>
          <w:szCs w:val="24"/>
        </w:rPr>
        <w:t>, Michigan, El Paso, Texas</w:t>
      </w:r>
      <w:r w:rsidR="007B7DF0">
        <w:rPr>
          <w:color w:val="000000"/>
          <w:sz w:val="24"/>
          <w:szCs w:val="24"/>
        </w:rPr>
        <w:t>, and Los Angeles, C</w:t>
      </w:r>
      <w:r w:rsidR="00DF7744">
        <w:rPr>
          <w:color w:val="000000"/>
          <w:sz w:val="24"/>
          <w:szCs w:val="24"/>
        </w:rPr>
        <w:t>alifornia</w:t>
      </w:r>
      <w:r w:rsidR="007B7DF0">
        <w:rPr>
          <w:color w:val="000000"/>
          <w:sz w:val="24"/>
          <w:szCs w:val="24"/>
        </w:rPr>
        <w:t xml:space="preserve">. The cities are </w:t>
      </w:r>
      <w:r w:rsidR="004C3041">
        <w:rPr>
          <w:color w:val="000000"/>
          <w:sz w:val="24"/>
          <w:szCs w:val="24"/>
        </w:rPr>
        <w:t xml:space="preserve">known to have relatively high concentrations of </w:t>
      </w:r>
      <w:r w:rsidR="009752C2">
        <w:rPr>
          <w:color w:val="000000"/>
          <w:sz w:val="24"/>
          <w:szCs w:val="24"/>
        </w:rPr>
        <w:t xml:space="preserve">the populations we </w:t>
      </w:r>
      <w:r w:rsidR="004C3041">
        <w:rPr>
          <w:color w:val="000000"/>
          <w:sz w:val="24"/>
          <w:szCs w:val="24"/>
        </w:rPr>
        <w:t xml:space="preserve">hypothesize as having privacy and confidentiality </w:t>
      </w:r>
      <w:r w:rsidRPr="005355DA" w:rsidR="004C3041">
        <w:rPr>
          <w:color w:val="000000"/>
          <w:sz w:val="24"/>
          <w:szCs w:val="24"/>
        </w:rPr>
        <w:t>concerns</w:t>
      </w:r>
      <w:r w:rsidRPr="005355DA" w:rsidR="007B7DF0">
        <w:rPr>
          <w:color w:val="000000"/>
          <w:sz w:val="24"/>
          <w:szCs w:val="24"/>
        </w:rPr>
        <w:t xml:space="preserve"> regarding the 2020 Census</w:t>
      </w:r>
      <w:r w:rsidRPr="005355DA" w:rsidR="00BD6B61">
        <w:rPr>
          <w:color w:val="000000"/>
          <w:sz w:val="24"/>
          <w:szCs w:val="24"/>
        </w:rPr>
        <w:t>. Each focus group will have eight participants.</w:t>
      </w:r>
      <w:r w:rsidRPr="005355DA" w:rsidR="00FC2A9C">
        <w:rPr>
          <w:color w:val="000000"/>
          <w:sz w:val="24"/>
          <w:szCs w:val="24"/>
        </w:rPr>
        <w:t xml:space="preserve"> </w:t>
      </w:r>
    </w:p>
    <w:p w:rsidRPr="00FC2A9C" w:rsidR="00FC2A9C" w:rsidP="003E5DF9" w:rsidRDefault="00FC2A9C" w14:paraId="45D2861F" w14:textId="100722C4">
      <w:pPr>
        <w:shd w:val="clear" w:color="auto" w:fill="FFFFFF"/>
        <w:rPr>
          <w:color w:val="000000"/>
          <w:sz w:val="24"/>
          <w:szCs w:val="24"/>
        </w:rPr>
      </w:pPr>
      <w:r w:rsidRPr="005355DA">
        <w:rPr>
          <w:color w:val="000000"/>
          <w:sz w:val="24"/>
          <w:szCs w:val="24"/>
        </w:rPr>
        <w:t>If social distancing is required, the focus groups will be conducted</w:t>
      </w:r>
      <w:r w:rsidRPr="005355DA" w:rsidR="00EE7393">
        <w:rPr>
          <w:color w:val="000000"/>
          <w:sz w:val="24"/>
          <w:szCs w:val="24"/>
        </w:rPr>
        <w:t xml:space="preserve"> remotely</w:t>
      </w:r>
      <w:r w:rsidRPr="005355DA">
        <w:rPr>
          <w:color w:val="000000"/>
          <w:sz w:val="24"/>
          <w:szCs w:val="24"/>
        </w:rPr>
        <w:t xml:space="preserve"> via conference call. The focus groups will still have eight participants, and these participants will still be from the three cities mentioned above.</w:t>
      </w:r>
    </w:p>
    <w:p w:rsidR="00645D2D" w:rsidP="004566E3" w:rsidRDefault="004C3041" w14:paraId="14C78C9A" w14:textId="7D35F5AE">
      <w:pPr>
        <w:shd w:val="clear" w:color="auto" w:fill="FFFFFF"/>
        <w:rPr>
          <w:sz w:val="24"/>
          <w:szCs w:val="24"/>
        </w:rPr>
      </w:pPr>
      <w:r>
        <w:rPr>
          <w:sz w:val="24"/>
          <w:szCs w:val="24"/>
        </w:rPr>
        <w:t xml:space="preserve">The target participants for these focus groups are </w:t>
      </w:r>
      <w:r w:rsidR="004566E3">
        <w:rPr>
          <w:sz w:val="24"/>
          <w:szCs w:val="24"/>
        </w:rPr>
        <w:t>CPEP partner</w:t>
      </w:r>
      <w:r>
        <w:rPr>
          <w:sz w:val="24"/>
          <w:szCs w:val="24"/>
        </w:rPr>
        <w:t xml:space="preserve"> organization staff and local community members </w:t>
      </w:r>
      <w:r w:rsidR="007B7DF0">
        <w:rPr>
          <w:sz w:val="24"/>
          <w:szCs w:val="24"/>
        </w:rPr>
        <w:t>(</w:t>
      </w:r>
      <w:r w:rsidR="005763BA">
        <w:rPr>
          <w:sz w:val="24"/>
          <w:szCs w:val="24"/>
        </w:rPr>
        <w:t>referred to as</w:t>
      </w:r>
      <w:r w:rsidR="007B7DF0">
        <w:rPr>
          <w:sz w:val="24"/>
          <w:szCs w:val="24"/>
        </w:rPr>
        <w:t xml:space="preserve"> </w:t>
      </w:r>
      <w:r w:rsidR="00C44357">
        <w:rPr>
          <w:sz w:val="24"/>
          <w:szCs w:val="24"/>
        </w:rPr>
        <w:t xml:space="preserve">“trusted </w:t>
      </w:r>
      <w:r w:rsidR="005763BA">
        <w:rPr>
          <w:sz w:val="24"/>
          <w:szCs w:val="24"/>
        </w:rPr>
        <w:t>messengers”</w:t>
      </w:r>
      <w:r w:rsidR="007B7DF0">
        <w:rPr>
          <w:sz w:val="24"/>
          <w:szCs w:val="24"/>
        </w:rPr>
        <w:t xml:space="preserve">) </w:t>
      </w:r>
      <w:r>
        <w:rPr>
          <w:sz w:val="24"/>
          <w:szCs w:val="24"/>
        </w:rPr>
        <w:t>who work</w:t>
      </w:r>
      <w:r w:rsidR="005763BA">
        <w:rPr>
          <w:sz w:val="24"/>
          <w:szCs w:val="24"/>
        </w:rPr>
        <w:t>ed</w:t>
      </w:r>
      <w:r>
        <w:rPr>
          <w:sz w:val="24"/>
          <w:szCs w:val="24"/>
        </w:rPr>
        <w:t xml:space="preserve"> with the CPEP partner organizations to help promote t</w:t>
      </w:r>
      <w:r w:rsidR="00C44357">
        <w:rPr>
          <w:sz w:val="24"/>
          <w:szCs w:val="24"/>
        </w:rPr>
        <w:t>he 2020 Census. These trusted</w:t>
      </w:r>
      <w:r w:rsidR="005763BA">
        <w:rPr>
          <w:sz w:val="24"/>
          <w:szCs w:val="24"/>
        </w:rPr>
        <w:t xml:space="preserve"> messengers</w:t>
      </w:r>
      <w:r w:rsidR="004566E3">
        <w:rPr>
          <w:sz w:val="24"/>
          <w:szCs w:val="24"/>
        </w:rPr>
        <w:t xml:space="preserve"> are influential in their local communities and may affect others’ decisions about when, how, and whether to respond to the census or other surveys. In the context of the decennial census, CPEP aims to engage</w:t>
      </w:r>
      <w:r>
        <w:rPr>
          <w:sz w:val="24"/>
          <w:szCs w:val="24"/>
        </w:rPr>
        <w:t xml:space="preserve"> local</w:t>
      </w:r>
      <w:r w:rsidR="004566E3">
        <w:rPr>
          <w:sz w:val="24"/>
          <w:szCs w:val="24"/>
        </w:rPr>
        <w:t xml:space="preserve"> community partners to increase decennial participation of those who are less likely to respond or are often missed. </w:t>
      </w:r>
      <w:r w:rsidR="007B7DF0">
        <w:rPr>
          <w:sz w:val="24"/>
          <w:szCs w:val="24"/>
        </w:rPr>
        <w:t xml:space="preserve">The </w:t>
      </w:r>
      <w:r w:rsidR="004566E3">
        <w:rPr>
          <w:sz w:val="24"/>
          <w:szCs w:val="24"/>
        </w:rPr>
        <w:t>CPEP plans to leverage</w:t>
      </w:r>
      <w:r w:rsidR="0078564D">
        <w:rPr>
          <w:sz w:val="24"/>
          <w:szCs w:val="24"/>
        </w:rPr>
        <w:t xml:space="preserve"> messengers </w:t>
      </w:r>
      <w:r w:rsidR="007B7DF0">
        <w:rPr>
          <w:sz w:val="24"/>
          <w:szCs w:val="24"/>
        </w:rPr>
        <w:t>acting as</w:t>
      </w:r>
      <w:r w:rsidR="0078564D">
        <w:rPr>
          <w:sz w:val="24"/>
          <w:szCs w:val="24"/>
        </w:rPr>
        <w:t xml:space="preserve"> </w:t>
      </w:r>
      <w:r w:rsidR="007B7DF0">
        <w:rPr>
          <w:sz w:val="24"/>
          <w:szCs w:val="24"/>
        </w:rPr>
        <w:t>trusted voices</w:t>
      </w:r>
      <w:r w:rsidR="0078564D">
        <w:rPr>
          <w:sz w:val="24"/>
          <w:szCs w:val="24"/>
        </w:rPr>
        <w:t xml:space="preserve"> in the community to</w:t>
      </w:r>
      <w:r w:rsidR="0066485B">
        <w:rPr>
          <w:sz w:val="24"/>
          <w:szCs w:val="24"/>
        </w:rPr>
        <w:t xml:space="preserve"> help</w:t>
      </w:r>
      <w:r w:rsidR="0078564D">
        <w:rPr>
          <w:sz w:val="24"/>
          <w:szCs w:val="24"/>
        </w:rPr>
        <w:t xml:space="preserve"> increase response from</w:t>
      </w:r>
      <w:r w:rsidR="004566E3">
        <w:rPr>
          <w:sz w:val="24"/>
          <w:szCs w:val="24"/>
        </w:rPr>
        <w:t xml:space="preserve"> hard-to-count populati</w:t>
      </w:r>
      <w:r w:rsidR="0066485B">
        <w:rPr>
          <w:sz w:val="24"/>
          <w:szCs w:val="24"/>
        </w:rPr>
        <w:t xml:space="preserve">ons. </w:t>
      </w:r>
    </w:p>
    <w:p w:rsidRPr="00645D2D" w:rsidR="004566E3" w:rsidP="004566E3" w:rsidRDefault="0066485B" w14:paraId="513AF491" w14:textId="5EEFCDBB">
      <w:pPr>
        <w:shd w:val="clear" w:color="auto" w:fill="FFFFFF"/>
        <w:rPr>
          <w:sz w:val="24"/>
          <w:szCs w:val="24"/>
        </w:rPr>
      </w:pPr>
      <w:r>
        <w:rPr>
          <w:sz w:val="24"/>
          <w:szCs w:val="24"/>
        </w:rPr>
        <w:t xml:space="preserve">The </w:t>
      </w:r>
      <w:r w:rsidR="00DD014B">
        <w:rPr>
          <w:sz w:val="24"/>
          <w:szCs w:val="24"/>
        </w:rPr>
        <w:t>f</w:t>
      </w:r>
      <w:r w:rsidR="00CE2620">
        <w:rPr>
          <w:sz w:val="24"/>
          <w:szCs w:val="24"/>
        </w:rPr>
        <w:t>ocus group protocol will</w:t>
      </w:r>
      <w:r w:rsidR="00DD014B">
        <w:rPr>
          <w:sz w:val="24"/>
          <w:szCs w:val="24"/>
        </w:rPr>
        <w:t xml:space="preserve"> identify</w:t>
      </w:r>
      <w:r>
        <w:rPr>
          <w:sz w:val="24"/>
          <w:szCs w:val="24"/>
        </w:rPr>
        <w:t xml:space="preserve"> the</w:t>
      </w:r>
      <w:r w:rsidR="004566E3">
        <w:rPr>
          <w:sz w:val="24"/>
          <w:szCs w:val="24"/>
        </w:rPr>
        <w:t xml:space="preserve"> concerns</w:t>
      </w:r>
      <w:r w:rsidR="00645D2D">
        <w:rPr>
          <w:sz w:val="24"/>
          <w:szCs w:val="24"/>
        </w:rPr>
        <w:t xml:space="preserve"> that</w:t>
      </w:r>
      <w:r w:rsidR="004566E3">
        <w:rPr>
          <w:sz w:val="24"/>
          <w:szCs w:val="24"/>
        </w:rPr>
        <w:t xml:space="preserve"> </w:t>
      </w:r>
      <w:r w:rsidR="00645D2D">
        <w:rPr>
          <w:sz w:val="24"/>
          <w:szCs w:val="24"/>
        </w:rPr>
        <w:t xml:space="preserve">partner organization staff and </w:t>
      </w:r>
      <w:r w:rsidR="004566E3">
        <w:rPr>
          <w:sz w:val="24"/>
          <w:szCs w:val="24"/>
        </w:rPr>
        <w:t>trusted messengers may have about respondent participation in the 2020 Census, how they addressed these concerns wit</w:t>
      </w:r>
      <w:r w:rsidR="0078564D">
        <w:rPr>
          <w:sz w:val="24"/>
          <w:szCs w:val="24"/>
        </w:rPr>
        <w:t>h respondents, and</w:t>
      </w:r>
      <w:r>
        <w:rPr>
          <w:sz w:val="24"/>
          <w:szCs w:val="24"/>
        </w:rPr>
        <w:t xml:space="preserve"> their opinions of whether the</w:t>
      </w:r>
      <w:r w:rsidR="004566E3">
        <w:rPr>
          <w:sz w:val="24"/>
          <w:szCs w:val="24"/>
        </w:rPr>
        <w:t xml:space="preserve"> strategies were effective.</w:t>
      </w:r>
    </w:p>
    <w:p w:rsidR="00500CCE" w:rsidP="00AE0B25" w:rsidRDefault="004F690F" w14:paraId="5390DA45" w14:textId="6171E33C">
      <w:pPr>
        <w:shd w:val="clear" w:color="auto" w:fill="FFFFFF"/>
        <w:spacing w:line="276" w:lineRule="auto"/>
        <w:rPr>
          <w:sz w:val="24"/>
          <w:szCs w:val="24"/>
        </w:rPr>
      </w:pPr>
      <w:r w:rsidRPr="00F11C6F">
        <w:rPr>
          <w:b/>
          <w:color w:val="000000"/>
          <w:sz w:val="24"/>
        </w:rPr>
        <w:t>Recruitment</w:t>
      </w:r>
      <w:r w:rsidRPr="00F11C6F">
        <w:rPr>
          <w:color w:val="000000"/>
          <w:sz w:val="24"/>
        </w:rPr>
        <w:t>:</w:t>
      </w:r>
      <w:r w:rsidRPr="00F11C6F" w:rsidR="00FD1D6A">
        <w:rPr>
          <w:color w:val="000000"/>
          <w:sz w:val="24"/>
        </w:rPr>
        <w:t xml:space="preserve"> </w:t>
      </w:r>
      <w:r w:rsidR="00CF6DC2">
        <w:rPr>
          <w:sz w:val="24"/>
          <w:szCs w:val="24"/>
        </w:rPr>
        <w:t>For the NPP</w:t>
      </w:r>
      <w:r w:rsidR="0066485B">
        <w:rPr>
          <w:sz w:val="24"/>
          <w:szCs w:val="24"/>
        </w:rPr>
        <w:t xml:space="preserve"> </w:t>
      </w:r>
      <w:r w:rsidR="00CF6DC2">
        <w:rPr>
          <w:sz w:val="24"/>
          <w:szCs w:val="24"/>
        </w:rPr>
        <w:t>interviews</w:t>
      </w:r>
      <w:r w:rsidR="00DF019A">
        <w:rPr>
          <w:sz w:val="24"/>
          <w:szCs w:val="24"/>
        </w:rPr>
        <w:t xml:space="preserve">, organizations </w:t>
      </w:r>
      <w:r w:rsidR="009A54ED">
        <w:rPr>
          <w:sz w:val="24"/>
          <w:szCs w:val="24"/>
        </w:rPr>
        <w:t xml:space="preserve">that work with our populations of interest </w:t>
      </w:r>
      <w:r w:rsidR="00500CCE">
        <w:rPr>
          <w:sz w:val="24"/>
          <w:szCs w:val="24"/>
        </w:rPr>
        <w:t xml:space="preserve">will be selected </w:t>
      </w:r>
      <w:r w:rsidR="009A54ED">
        <w:rPr>
          <w:sz w:val="24"/>
          <w:szCs w:val="24"/>
        </w:rPr>
        <w:t>for participation</w:t>
      </w:r>
      <w:r w:rsidR="00500CCE">
        <w:rPr>
          <w:sz w:val="24"/>
          <w:szCs w:val="24"/>
        </w:rPr>
        <w:t>.</w:t>
      </w:r>
      <w:r w:rsidR="001B1C88">
        <w:rPr>
          <w:sz w:val="24"/>
          <w:szCs w:val="24"/>
        </w:rPr>
        <w:t xml:space="preserve"> </w:t>
      </w:r>
      <w:r w:rsidR="009A54ED">
        <w:rPr>
          <w:sz w:val="24"/>
          <w:szCs w:val="24"/>
        </w:rPr>
        <w:t>Internal Census Bureau staff have existing relationships with national partnership organization staff who are working on decennial census issues. We will leverage this relation</w:t>
      </w:r>
      <w:r w:rsidR="00502CF7">
        <w:rPr>
          <w:sz w:val="24"/>
          <w:szCs w:val="24"/>
        </w:rPr>
        <w:t xml:space="preserve">ship for recruiting and ask </w:t>
      </w:r>
      <w:r w:rsidR="009A54ED">
        <w:rPr>
          <w:sz w:val="24"/>
          <w:szCs w:val="24"/>
        </w:rPr>
        <w:t xml:space="preserve">Census staff to </w:t>
      </w:r>
      <w:r w:rsidR="005641E0">
        <w:rPr>
          <w:sz w:val="24"/>
          <w:szCs w:val="24"/>
        </w:rPr>
        <w:t>contact</w:t>
      </w:r>
      <w:r w:rsidR="00B462EB">
        <w:rPr>
          <w:sz w:val="24"/>
          <w:szCs w:val="24"/>
        </w:rPr>
        <w:t xml:space="preserve"> selected participants </w:t>
      </w:r>
      <w:r w:rsidR="009A54ED">
        <w:rPr>
          <w:sz w:val="24"/>
          <w:szCs w:val="24"/>
        </w:rPr>
        <w:t>for a potential interview</w:t>
      </w:r>
      <w:r w:rsidR="00B462EB">
        <w:rPr>
          <w:sz w:val="24"/>
          <w:szCs w:val="24"/>
        </w:rPr>
        <w:t>.</w:t>
      </w:r>
    </w:p>
    <w:p w:rsidR="00B00ACC" w:rsidP="00AE0B25" w:rsidRDefault="0066485B" w14:paraId="148B62B0" w14:textId="0E22CAA2">
      <w:pPr>
        <w:shd w:val="clear" w:color="auto" w:fill="FFFFFF"/>
        <w:spacing w:line="276" w:lineRule="auto"/>
        <w:rPr>
          <w:color w:val="000000"/>
          <w:sz w:val="24"/>
        </w:rPr>
      </w:pPr>
      <w:r>
        <w:rPr>
          <w:sz w:val="24"/>
          <w:szCs w:val="24"/>
        </w:rPr>
        <w:lastRenderedPageBreak/>
        <w:t xml:space="preserve">For the </w:t>
      </w:r>
      <w:r w:rsidR="00CF6DC2">
        <w:rPr>
          <w:sz w:val="24"/>
          <w:szCs w:val="24"/>
        </w:rPr>
        <w:t>CPEP focus groups,</w:t>
      </w:r>
      <w:r w:rsidR="00CD40B6">
        <w:rPr>
          <w:sz w:val="24"/>
          <w:szCs w:val="24"/>
        </w:rPr>
        <w:t xml:space="preserve"> partnership staff will be emailed advertisements about the project to elicit interested staff</w:t>
      </w:r>
      <w:r w:rsidR="00E52995">
        <w:rPr>
          <w:sz w:val="24"/>
          <w:szCs w:val="24"/>
        </w:rPr>
        <w:t xml:space="preserve"> (see Enclosure 1)</w:t>
      </w:r>
      <w:r w:rsidR="00CD40B6">
        <w:rPr>
          <w:sz w:val="24"/>
          <w:szCs w:val="24"/>
        </w:rPr>
        <w:t>.</w:t>
      </w:r>
      <w:r w:rsidR="00E52995">
        <w:rPr>
          <w:sz w:val="24"/>
          <w:szCs w:val="24"/>
        </w:rPr>
        <w:t xml:space="preserve"> To recruit trusted messengers, the advertisements will be posted in local community organization buildings and on social media (see Enclosure 1). People </w:t>
      </w:r>
      <w:r w:rsidR="00CD40B6">
        <w:rPr>
          <w:sz w:val="24"/>
          <w:szCs w:val="24"/>
        </w:rPr>
        <w:t>who respond to the email notices</w:t>
      </w:r>
      <w:r w:rsidR="00CF6DC2">
        <w:rPr>
          <w:sz w:val="24"/>
          <w:szCs w:val="24"/>
        </w:rPr>
        <w:t xml:space="preserve"> will be </w:t>
      </w:r>
      <w:r w:rsidR="000C124A">
        <w:rPr>
          <w:sz w:val="24"/>
          <w:szCs w:val="24"/>
        </w:rPr>
        <w:t>screened</w:t>
      </w:r>
      <w:r w:rsidR="00647EA9">
        <w:rPr>
          <w:sz w:val="24"/>
          <w:szCs w:val="24"/>
        </w:rPr>
        <w:t xml:space="preserve"> with the attached recruitment screener</w:t>
      </w:r>
      <w:r w:rsidR="00611887">
        <w:rPr>
          <w:sz w:val="24"/>
          <w:szCs w:val="24"/>
        </w:rPr>
        <w:t xml:space="preserve"> (see Enclosure 2</w:t>
      </w:r>
      <w:r w:rsidR="009443A8">
        <w:rPr>
          <w:sz w:val="24"/>
          <w:szCs w:val="24"/>
        </w:rPr>
        <w:t>)</w:t>
      </w:r>
      <w:r w:rsidR="000C124A">
        <w:rPr>
          <w:sz w:val="24"/>
          <w:szCs w:val="24"/>
        </w:rPr>
        <w:t xml:space="preserve"> and </w:t>
      </w:r>
      <w:r w:rsidR="00CF6DC2">
        <w:rPr>
          <w:sz w:val="24"/>
          <w:szCs w:val="24"/>
        </w:rPr>
        <w:t xml:space="preserve">selected based on </w:t>
      </w:r>
      <w:r>
        <w:rPr>
          <w:sz w:val="24"/>
          <w:szCs w:val="24"/>
        </w:rPr>
        <w:t>the HTC population of focus for each city</w:t>
      </w:r>
      <w:r w:rsidR="00CF6DC2">
        <w:rPr>
          <w:sz w:val="24"/>
          <w:szCs w:val="24"/>
        </w:rPr>
        <w:t>, and having diversity in gender, rac</w:t>
      </w:r>
      <w:r w:rsidR="00997CC2">
        <w:rPr>
          <w:sz w:val="24"/>
          <w:szCs w:val="24"/>
        </w:rPr>
        <w:t xml:space="preserve">e/ethnicity, age, expertise, and other demographic characteristics </w:t>
      </w:r>
      <w:r w:rsidRPr="007156A3" w:rsidR="00997CC2">
        <w:rPr>
          <w:color w:val="000000"/>
          <w:sz w:val="24"/>
        </w:rPr>
        <w:t>to the maximum extent possible.</w:t>
      </w:r>
      <w:r w:rsidR="00EC5BF3">
        <w:rPr>
          <w:color w:val="000000"/>
          <w:sz w:val="24"/>
        </w:rPr>
        <w:t xml:space="preserve"> See the </w:t>
      </w:r>
      <w:r w:rsidR="00B64009">
        <w:rPr>
          <w:color w:val="000000"/>
          <w:sz w:val="24"/>
        </w:rPr>
        <w:t>Table 1</w:t>
      </w:r>
      <w:r w:rsidR="00EC5BF3">
        <w:rPr>
          <w:color w:val="000000"/>
          <w:sz w:val="24"/>
        </w:rPr>
        <w:t xml:space="preserve"> for the city locations and their respective populations of interest.</w:t>
      </w:r>
    </w:p>
    <w:tbl>
      <w:tblPr>
        <w:tblStyle w:val="TableGrid"/>
        <w:tblpPr w:leftFromText="180" w:rightFromText="180" w:vertAnchor="page" w:horzAnchor="margin" w:tblpY="4541"/>
        <w:tblW w:w="0" w:type="auto"/>
        <w:tblCellMar>
          <w:top w:w="43" w:type="dxa"/>
          <w:left w:w="115" w:type="dxa"/>
          <w:bottom w:w="43" w:type="dxa"/>
          <w:right w:w="115" w:type="dxa"/>
        </w:tblCellMar>
        <w:tblLook w:val="04A0" w:firstRow="1" w:lastRow="0" w:firstColumn="1" w:lastColumn="0" w:noHBand="0" w:noVBand="1"/>
      </w:tblPr>
      <w:tblGrid>
        <w:gridCol w:w="2790"/>
        <w:gridCol w:w="6475"/>
      </w:tblGrid>
      <w:tr w:rsidRPr="00066755" w:rsidR="0066609C" w:rsidTr="0066609C" w14:paraId="204D8CA2" w14:textId="77777777">
        <w:tc>
          <w:tcPr>
            <w:tcW w:w="9265" w:type="dxa"/>
            <w:gridSpan w:val="2"/>
            <w:tcBorders>
              <w:top w:val="nil"/>
              <w:left w:val="nil"/>
              <w:bottom w:val="single" w:color="auto" w:sz="4" w:space="0"/>
              <w:right w:val="nil"/>
            </w:tcBorders>
            <w:shd w:val="clear" w:color="auto" w:fill="auto"/>
          </w:tcPr>
          <w:p w:rsidRPr="00B64009" w:rsidR="0066609C" w:rsidP="0066609C" w:rsidRDefault="0066609C" w14:paraId="6681E57B" w14:textId="77777777">
            <w:pPr>
              <w:keepNext/>
              <w:rPr>
                <w:rFonts w:asciiTheme="minorHAnsi" w:hAnsiTheme="minorHAnsi"/>
                <w:sz w:val="24"/>
                <w:szCs w:val="24"/>
              </w:rPr>
            </w:pPr>
            <w:r w:rsidRPr="00B64009">
              <w:rPr>
                <w:rFonts w:asciiTheme="minorHAnsi" w:hAnsiTheme="minorHAnsi"/>
                <w:sz w:val="24"/>
                <w:szCs w:val="24"/>
              </w:rPr>
              <w:t>Table 1. City and Populations of Interest for Focus Groups</w:t>
            </w:r>
          </w:p>
        </w:tc>
      </w:tr>
      <w:tr w:rsidRPr="00066755" w:rsidR="0066609C" w:rsidTr="0066609C" w14:paraId="39172EEC" w14:textId="77777777">
        <w:tc>
          <w:tcPr>
            <w:tcW w:w="2790" w:type="dxa"/>
            <w:tcBorders>
              <w:top w:val="single" w:color="auto" w:sz="4" w:space="0"/>
            </w:tcBorders>
            <w:shd w:val="clear" w:color="auto" w:fill="BFBFBF" w:themeFill="background1" w:themeFillShade="BF"/>
          </w:tcPr>
          <w:p w:rsidR="0066609C" w:rsidP="0066609C" w:rsidRDefault="0066609C" w14:paraId="5A18DA5F" w14:textId="77777777">
            <w:pPr>
              <w:keepNext/>
              <w:rPr>
                <w:b/>
                <w:sz w:val="24"/>
                <w:szCs w:val="24"/>
              </w:rPr>
            </w:pPr>
            <w:r>
              <w:rPr>
                <w:rFonts w:asciiTheme="minorHAnsi" w:hAnsiTheme="minorHAnsi"/>
                <w:b/>
                <w:sz w:val="24"/>
                <w:szCs w:val="24"/>
              </w:rPr>
              <w:t>City</w:t>
            </w:r>
          </w:p>
        </w:tc>
        <w:tc>
          <w:tcPr>
            <w:tcW w:w="6475" w:type="dxa"/>
            <w:tcBorders>
              <w:top w:val="single" w:color="auto" w:sz="4" w:space="0"/>
            </w:tcBorders>
            <w:shd w:val="clear" w:color="auto" w:fill="BFBFBF" w:themeFill="background1" w:themeFillShade="BF"/>
          </w:tcPr>
          <w:p w:rsidR="0066609C" w:rsidP="0066609C" w:rsidRDefault="0066609C" w14:paraId="067E5F35" w14:textId="77777777">
            <w:pPr>
              <w:keepNext/>
              <w:rPr>
                <w:b/>
                <w:sz w:val="24"/>
                <w:szCs w:val="24"/>
              </w:rPr>
            </w:pPr>
            <w:r>
              <w:rPr>
                <w:rFonts w:asciiTheme="minorHAnsi" w:hAnsiTheme="minorHAnsi"/>
                <w:b/>
                <w:sz w:val="24"/>
                <w:szCs w:val="24"/>
              </w:rPr>
              <w:t>Populations of Interest</w:t>
            </w:r>
          </w:p>
        </w:tc>
      </w:tr>
      <w:tr w:rsidRPr="009E7691" w:rsidR="0066609C" w:rsidTr="0066609C" w14:paraId="4A6A2DB8" w14:textId="77777777">
        <w:tc>
          <w:tcPr>
            <w:tcW w:w="2790" w:type="dxa"/>
            <w:shd w:val="clear" w:color="auto" w:fill="auto"/>
          </w:tcPr>
          <w:p w:rsidRPr="00340F0C" w:rsidR="0066609C" w:rsidP="0066609C" w:rsidRDefault="0066609C" w14:paraId="496FF631" w14:textId="77777777">
            <w:pPr>
              <w:keepNext/>
              <w:rPr>
                <w:rFonts w:asciiTheme="minorHAnsi" w:hAnsiTheme="minorHAnsi"/>
                <w:sz w:val="24"/>
                <w:szCs w:val="24"/>
              </w:rPr>
            </w:pPr>
            <w:r w:rsidRPr="00340F0C">
              <w:rPr>
                <w:rFonts w:asciiTheme="minorHAnsi" w:hAnsiTheme="minorHAnsi"/>
                <w:sz w:val="24"/>
                <w:szCs w:val="24"/>
              </w:rPr>
              <w:t>Detroit, Michigan</w:t>
            </w:r>
          </w:p>
        </w:tc>
        <w:tc>
          <w:tcPr>
            <w:tcW w:w="6475" w:type="dxa"/>
            <w:shd w:val="clear" w:color="auto" w:fill="auto"/>
          </w:tcPr>
          <w:p w:rsidRPr="00340F0C" w:rsidR="0066609C" w:rsidP="0066609C" w:rsidRDefault="0066609C" w14:paraId="67448333" w14:textId="77777777">
            <w:pPr>
              <w:keepNext/>
              <w:rPr>
                <w:rFonts w:asciiTheme="minorHAnsi" w:hAnsiTheme="minorHAnsi"/>
                <w:sz w:val="24"/>
                <w:szCs w:val="24"/>
              </w:rPr>
            </w:pPr>
            <w:r w:rsidRPr="00340F0C">
              <w:rPr>
                <w:rFonts w:asciiTheme="minorHAnsi" w:hAnsiTheme="minorHAnsi" w:eastAsiaTheme="minorHAnsi" w:cstheme="minorHAnsi"/>
                <w:sz w:val="24"/>
                <w:szCs w:val="24"/>
              </w:rPr>
              <w:t>Middle Eastern and North African (MENA) and Blacks/African Americans</w:t>
            </w:r>
          </w:p>
        </w:tc>
      </w:tr>
      <w:tr w:rsidRPr="00C41834" w:rsidR="0066609C" w:rsidTr="0066609C" w14:paraId="5F4CE855" w14:textId="77777777">
        <w:tc>
          <w:tcPr>
            <w:tcW w:w="2790" w:type="dxa"/>
            <w:shd w:val="clear" w:color="auto" w:fill="auto"/>
          </w:tcPr>
          <w:p w:rsidRPr="00340F0C" w:rsidR="0066609C" w:rsidP="0066609C" w:rsidRDefault="0066609C" w14:paraId="6668BECA" w14:textId="77777777">
            <w:pPr>
              <w:keepNext/>
              <w:rPr>
                <w:rFonts w:asciiTheme="minorHAnsi" w:hAnsiTheme="minorHAnsi"/>
                <w:sz w:val="24"/>
                <w:szCs w:val="24"/>
              </w:rPr>
            </w:pPr>
            <w:r w:rsidRPr="00340F0C">
              <w:rPr>
                <w:rFonts w:asciiTheme="minorHAnsi" w:hAnsiTheme="minorHAnsi"/>
                <w:sz w:val="24"/>
                <w:szCs w:val="24"/>
              </w:rPr>
              <w:t>Los Angeles, California</w:t>
            </w:r>
          </w:p>
        </w:tc>
        <w:tc>
          <w:tcPr>
            <w:tcW w:w="6475" w:type="dxa"/>
            <w:shd w:val="clear" w:color="auto" w:fill="auto"/>
          </w:tcPr>
          <w:p w:rsidRPr="00340F0C" w:rsidR="0066609C" w:rsidP="0066609C" w:rsidRDefault="0066609C" w14:paraId="5B6C2825" w14:textId="77777777">
            <w:pPr>
              <w:keepNext/>
              <w:rPr>
                <w:rFonts w:asciiTheme="minorHAnsi" w:hAnsiTheme="minorHAnsi"/>
                <w:sz w:val="24"/>
                <w:szCs w:val="24"/>
              </w:rPr>
            </w:pPr>
            <w:r w:rsidRPr="00340F0C">
              <w:rPr>
                <w:rFonts w:asciiTheme="minorHAnsi" w:hAnsiTheme="minorHAnsi" w:eastAsiaTheme="minorHAnsi" w:cstheme="minorHAnsi"/>
                <w:sz w:val="24"/>
                <w:szCs w:val="24"/>
              </w:rPr>
              <w:t>Asians, Asian Immigrants, Hispanics</w:t>
            </w:r>
          </w:p>
        </w:tc>
      </w:tr>
      <w:tr w:rsidRPr="00C41834" w:rsidR="0066609C" w:rsidTr="0066609C" w14:paraId="64B9709F" w14:textId="77777777">
        <w:tc>
          <w:tcPr>
            <w:tcW w:w="2790" w:type="dxa"/>
            <w:shd w:val="clear" w:color="auto" w:fill="auto"/>
          </w:tcPr>
          <w:p w:rsidRPr="00340F0C" w:rsidR="0066609C" w:rsidP="0066609C" w:rsidRDefault="0066609C" w14:paraId="2479FD5E" w14:textId="77777777">
            <w:pPr>
              <w:keepNext/>
              <w:rPr>
                <w:rFonts w:asciiTheme="minorHAnsi" w:hAnsiTheme="minorHAnsi"/>
                <w:sz w:val="24"/>
                <w:szCs w:val="24"/>
              </w:rPr>
            </w:pPr>
            <w:r w:rsidRPr="00340F0C">
              <w:rPr>
                <w:rFonts w:asciiTheme="minorHAnsi" w:hAnsiTheme="minorHAnsi"/>
                <w:sz w:val="24"/>
                <w:szCs w:val="24"/>
              </w:rPr>
              <w:t>El Paso, Texas</w:t>
            </w:r>
          </w:p>
        </w:tc>
        <w:tc>
          <w:tcPr>
            <w:tcW w:w="6475" w:type="dxa"/>
            <w:shd w:val="clear" w:color="auto" w:fill="auto"/>
          </w:tcPr>
          <w:p w:rsidRPr="00340F0C" w:rsidR="0066609C" w:rsidP="0066609C" w:rsidRDefault="0066609C" w14:paraId="76F9B59E" w14:textId="77777777">
            <w:pPr>
              <w:keepNext/>
              <w:rPr>
                <w:rFonts w:asciiTheme="minorHAnsi" w:hAnsiTheme="minorHAnsi"/>
                <w:sz w:val="24"/>
                <w:szCs w:val="24"/>
              </w:rPr>
            </w:pPr>
            <w:r w:rsidRPr="00340F0C">
              <w:rPr>
                <w:rFonts w:asciiTheme="minorHAnsi" w:hAnsiTheme="minorHAnsi" w:eastAsiaTheme="minorHAnsi" w:cstheme="minorHAnsi"/>
                <w:sz w:val="24"/>
                <w:szCs w:val="24"/>
              </w:rPr>
              <w:t>Hispanics, Migrant Workers</w:t>
            </w:r>
          </w:p>
        </w:tc>
      </w:tr>
    </w:tbl>
    <w:p w:rsidR="00ED56B9" w:rsidP="00611887" w:rsidRDefault="00ED56B9" w14:paraId="797E818E" w14:textId="77777777">
      <w:pPr>
        <w:pStyle w:val="NormalWeb"/>
        <w:shd w:val="clear" w:color="auto" w:fill="FFFFFF"/>
        <w:spacing w:before="0" w:beforeAutospacing="0" w:line="259" w:lineRule="auto"/>
        <w:rPr>
          <w:rFonts w:asciiTheme="minorHAnsi" w:hAnsiTheme="minorHAnsi"/>
          <w:color w:val="000000"/>
        </w:rPr>
      </w:pPr>
    </w:p>
    <w:p w:rsidRPr="00611887" w:rsidR="00611887" w:rsidP="00611887" w:rsidRDefault="00587D0F" w14:paraId="72BDFDB3" w14:textId="079BA7BC">
      <w:pPr>
        <w:pStyle w:val="NormalWeb"/>
        <w:shd w:val="clear" w:color="auto" w:fill="FFFFFF"/>
        <w:spacing w:before="0" w:beforeAutospacing="0" w:line="259" w:lineRule="auto"/>
        <w:rPr>
          <w:rFonts w:asciiTheme="minorHAnsi" w:hAnsiTheme="minorHAnsi"/>
          <w:color w:val="000000"/>
        </w:rPr>
      </w:pPr>
      <w:r>
        <w:rPr>
          <w:rFonts w:asciiTheme="minorHAnsi" w:hAnsiTheme="minorHAnsi"/>
          <w:color w:val="000000"/>
        </w:rPr>
        <w:t>Participants</w:t>
      </w:r>
      <w:r w:rsidR="00007761">
        <w:rPr>
          <w:rFonts w:asciiTheme="minorHAnsi" w:hAnsiTheme="minorHAnsi"/>
          <w:color w:val="000000"/>
        </w:rPr>
        <w:t xml:space="preserve"> will be screened</w:t>
      </w:r>
      <w:r w:rsidRPr="007156A3" w:rsidR="0090111D">
        <w:rPr>
          <w:rFonts w:asciiTheme="minorHAnsi" w:hAnsiTheme="minorHAnsi"/>
          <w:color w:val="000000"/>
        </w:rPr>
        <w:t xml:space="preserve"> by te</w:t>
      </w:r>
      <w:r w:rsidR="001B7460">
        <w:rPr>
          <w:rFonts w:asciiTheme="minorHAnsi" w:hAnsiTheme="minorHAnsi"/>
          <w:color w:val="000000"/>
        </w:rPr>
        <w:t xml:space="preserve">lephone </w:t>
      </w:r>
      <w:r w:rsidR="005D25A3">
        <w:rPr>
          <w:rFonts w:asciiTheme="minorHAnsi" w:hAnsiTheme="minorHAnsi"/>
          <w:color w:val="000000"/>
        </w:rPr>
        <w:t xml:space="preserve">or in person </w:t>
      </w:r>
      <w:r w:rsidR="001B7460">
        <w:rPr>
          <w:rFonts w:asciiTheme="minorHAnsi" w:hAnsiTheme="minorHAnsi"/>
          <w:color w:val="000000"/>
        </w:rPr>
        <w:t>and may receive a</w:t>
      </w:r>
      <w:r w:rsidRPr="007156A3" w:rsidR="0090111D">
        <w:rPr>
          <w:rFonts w:asciiTheme="minorHAnsi" w:hAnsiTheme="minorHAnsi"/>
          <w:color w:val="000000"/>
        </w:rPr>
        <w:t xml:space="preserve"> reminder about the </w:t>
      </w:r>
      <w:r w:rsidR="000C124A">
        <w:rPr>
          <w:rFonts w:asciiTheme="minorHAnsi" w:hAnsiTheme="minorHAnsi"/>
          <w:color w:val="000000"/>
        </w:rPr>
        <w:t xml:space="preserve">interview or focus group </w:t>
      </w:r>
      <w:r w:rsidRPr="007156A3" w:rsidR="0090111D">
        <w:rPr>
          <w:rFonts w:asciiTheme="minorHAnsi" w:hAnsiTheme="minorHAnsi"/>
          <w:color w:val="000000"/>
        </w:rPr>
        <w:t>appointment after they agree to participate.</w:t>
      </w:r>
    </w:p>
    <w:p w:rsidR="00D27ABD" w:rsidP="005F631D" w:rsidRDefault="00E25453" w14:paraId="2B9D14A3" w14:textId="6F31489B">
      <w:pPr>
        <w:shd w:val="clear" w:color="auto" w:fill="FFFFFF"/>
        <w:rPr>
          <w:color w:val="000000"/>
          <w:sz w:val="24"/>
          <w:szCs w:val="24"/>
        </w:rPr>
      </w:pPr>
      <w:r w:rsidRPr="007156A3">
        <w:rPr>
          <w:b/>
          <w:color w:val="000000"/>
          <w:sz w:val="24"/>
          <w:szCs w:val="24"/>
        </w:rPr>
        <w:t>Protocol:</w:t>
      </w:r>
      <w:r w:rsidRPr="007156A3" w:rsidR="009309D1">
        <w:rPr>
          <w:color w:val="000000"/>
          <w:sz w:val="24"/>
          <w:szCs w:val="24"/>
        </w:rPr>
        <w:t xml:space="preserve"> </w:t>
      </w:r>
      <w:r w:rsidR="00535CEB">
        <w:rPr>
          <w:color w:val="000000"/>
          <w:sz w:val="24"/>
          <w:szCs w:val="24"/>
        </w:rPr>
        <w:t>For this</w:t>
      </w:r>
      <w:r w:rsidR="00AF098E">
        <w:rPr>
          <w:color w:val="000000"/>
          <w:sz w:val="24"/>
          <w:szCs w:val="24"/>
        </w:rPr>
        <w:t xml:space="preserve"> </w:t>
      </w:r>
      <w:r w:rsidR="00535CEB">
        <w:rPr>
          <w:color w:val="000000"/>
          <w:sz w:val="24"/>
          <w:szCs w:val="24"/>
        </w:rPr>
        <w:t>proposed</w:t>
      </w:r>
      <w:r w:rsidR="00466E68">
        <w:rPr>
          <w:color w:val="000000"/>
          <w:sz w:val="24"/>
          <w:szCs w:val="24"/>
        </w:rPr>
        <w:t xml:space="preserve"> research, each of the</w:t>
      </w:r>
      <w:r w:rsidR="00AF098E">
        <w:rPr>
          <w:color w:val="000000"/>
          <w:sz w:val="24"/>
          <w:szCs w:val="24"/>
        </w:rPr>
        <w:t xml:space="preserve"> </w:t>
      </w:r>
      <w:r w:rsidR="008120CC">
        <w:rPr>
          <w:color w:val="000000"/>
          <w:sz w:val="24"/>
          <w:szCs w:val="24"/>
        </w:rPr>
        <w:t>subprojects will have their own data collection protocol</w:t>
      </w:r>
      <w:r w:rsidR="00AF098E">
        <w:rPr>
          <w:color w:val="000000"/>
          <w:sz w:val="24"/>
          <w:szCs w:val="24"/>
        </w:rPr>
        <w:t xml:space="preserve">, </w:t>
      </w:r>
      <w:r w:rsidR="00CD40B6">
        <w:rPr>
          <w:color w:val="000000"/>
          <w:sz w:val="24"/>
          <w:szCs w:val="24"/>
        </w:rPr>
        <w:t>consisting of</w:t>
      </w:r>
      <w:r w:rsidR="00466E68">
        <w:rPr>
          <w:color w:val="000000"/>
          <w:sz w:val="24"/>
          <w:szCs w:val="24"/>
        </w:rPr>
        <w:t xml:space="preserve"> </w:t>
      </w:r>
      <w:r w:rsidR="004C05F7">
        <w:rPr>
          <w:color w:val="000000"/>
          <w:sz w:val="24"/>
          <w:szCs w:val="24"/>
        </w:rPr>
        <w:t>a</w:t>
      </w:r>
      <w:r w:rsidR="00AF098E">
        <w:rPr>
          <w:color w:val="000000"/>
          <w:sz w:val="24"/>
          <w:szCs w:val="24"/>
        </w:rPr>
        <w:t xml:space="preserve"> protocol for the interviews</w:t>
      </w:r>
      <w:r w:rsidR="004C05F7">
        <w:rPr>
          <w:color w:val="000000"/>
          <w:sz w:val="24"/>
          <w:szCs w:val="24"/>
        </w:rPr>
        <w:t xml:space="preserve"> with NPP partners</w:t>
      </w:r>
      <w:r w:rsidR="00466E68">
        <w:rPr>
          <w:color w:val="000000"/>
          <w:sz w:val="24"/>
          <w:szCs w:val="24"/>
        </w:rPr>
        <w:t xml:space="preserve"> (see Enclosure </w:t>
      </w:r>
      <w:r w:rsidR="00366389">
        <w:rPr>
          <w:color w:val="000000"/>
          <w:sz w:val="24"/>
          <w:szCs w:val="24"/>
        </w:rPr>
        <w:t>3</w:t>
      </w:r>
      <w:r w:rsidR="00ED7830">
        <w:rPr>
          <w:color w:val="000000"/>
          <w:sz w:val="24"/>
          <w:szCs w:val="24"/>
        </w:rPr>
        <w:t>)</w:t>
      </w:r>
      <w:r w:rsidR="00466E68">
        <w:rPr>
          <w:color w:val="000000"/>
          <w:sz w:val="24"/>
          <w:szCs w:val="24"/>
        </w:rPr>
        <w:t>,</w:t>
      </w:r>
      <w:r w:rsidR="004C05F7">
        <w:rPr>
          <w:color w:val="000000"/>
          <w:sz w:val="24"/>
          <w:szCs w:val="24"/>
        </w:rPr>
        <w:t xml:space="preserve"> and </w:t>
      </w:r>
      <w:r w:rsidR="008120CC">
        <w:rPr>
          <w:color w:val="000000"/>
          <w:sz w:val="24"/>
          <w:szCs w:val="24"/>
        </w:rPr>
        <w:t>a moderator guide</w:t>
      </w:r>
      <w:r w:rsidR="004C05F7">
        <w:rPr>
          <w:color w:val="000000"/>
          <w:sz w:val="24"/>
          <w:szCs w:val="24"/>
        </w:rPr>
        <w:t xml:space="preserve"> for the </w:t>
      </w:r>
      <w:r w:rsidR="00ED7830">
        <w:rPr>
          <w:color w:val="000000"/>
          <w:sz w:val="24"/>
          <w:szCs w:val="24"/>
        </w:rPr>
        <w:t xml:space="preserve">CPEP partner focus groups (see </w:t>
      </w:r>
      <w:r w:rsidR="00642C1B">
        <w:rPr>
          <w:color w:val="000000"/>
          <w:sz w:val="24"/>
          <w:szCs w:val="24"/>
        </w:rPr>
        <w:t>Enclo</w:t>
      </w:r>
      <w:r w:rsidR="00BD17C6">
        <w:rPr>
          <w:color w:val="000000"/>
          <w:sz w:val="24"/>
          <w:szCs w:val="24"/>
        </w:rPr>
        <w:t xml:space="preserve">sure </w:t>
      </w:r>
      <w:r w:rsidR="00366389">
        <w:rPr>
          <w:color w:val="000000"/>
          <w:sz w:val="24"/>
          <w:szCs w:val="24"/>
        </w:rPr>
        <w:t>4</w:t>
      </w:r>
      <w:r w:rsidR="008F3F9C">
        <w:rPr>
          <w:color w:val="000000"/>
          <w:sz w:val="24"/>
          <w:szCs w:val="24"/>
        </w:rPr>
        <w:t>)</w:t>
      </w:r>
      <w:r w:rsidR="008120CC">
        <w:rPr>
          <w:color w:val="000000"/>
          <w:sz w:val="24"/>
          <w:szCs w:val="24"/>
        </w:rPr>
        <w:t>.</w:t>
      </w:r>
      <w:r w:rsidR="00F26E54">
        <w:rPr>
          <w:color w:val="000000"/>
          <w:sz w:val="24"/>
          <w:szCs w:val="24"/>
        </w:rPr>
        <w:t xml:space="preserve"> </w:t>
      </w:r>
      <w:r w:rsidR="00D27ABD">
        <w:rPr>
          <w:color w:val="000000"/>
          <w:sz w:val="24"/>
          <w:szCs w:val="24"/>
        </w:rPr>
        <w:t>These d</w:t>
      </w:r>
      <w:r w:rsidR="00CD40B6">
        <w:rPr>
          <w:color w:val="000000"/>
          <w:sz w:val="24"/>
          <w:szCs w:val="24"/>
        </w:rPr>
        <w:t>ata collection protocols include several topics</w:t>
      </w:r>
      <w:r w:rsidR="00D27ABD">
        <w:rPr>
          <w:color w:val="000000"/>
          <w:sz w:val="24"/>
          <w:szCs w:val="24"/>
        </w:rPr>
        <w:t>:</w:t>
      </w:r>
    </w:p>
    <w:p w:rsidR="004050E2" w:rsidP="004050E2" w:rsidRDefault="004050E2" w14:paraId="1D5A1152" w14:textId="5397DB13">
      <w:pPr>
        <w:pStyle w:val="ListParagraph"/>
        <w:numPr>
          <w:ilvl w:val="0"/>
          <w:numId w:val="11"/>
        </w:numPr>
        <w:shd w:val="clear" w:color="auto" w:fill="FFFFFF"/>
        <w:rPr>
          <w:color w:val="000000"/>
          <w:sz w:val="24"/>
          <w:szCs w:val="24"/>
        </w:rPr>
      </w:pPr>
      <w:r>
        <w:rPr>
          <w:color w:val="000000"/>
          <w:sz w:val="24"/>
          <w:szCs w:val="24"/>
        </w:rPr>
        <w:t>G</w:t>
      </w:r>
      <w:r w:rsidRPr="004050E2" w:rsidR="00F26E54">
        <w:rPr>
          <w:color w:val="000000"/>
          <w:sz w:val="24"/>
          <w:szCs w:val="24"/>
        </w:rPr>
        <w:t>eneral work</w:t>
      </w:r>
      <w:r w:rsidR="005641E0">
        <w:rPr>
          <w:color w:val="000000"/>
          <w:sz w:val="24"/>
          <w:szCs w:val="24"/>
        </w:rPr>
        <w:t xml:space="preserve"> participants did</w:t>
      </w:r>
      <w:r w:rsidRPr="004050E2" w:rsidR="00F26E54">
        <w:rPr>
          <w:color w:val="000000"/>
          <w:sz w:val="24"/>
          <w:szCs w:val="24"/>
        </w:rPr>
        <w:t xml:space="preserve"> in </w:t>
      </w:r>
      <w:r>
        <w:rPr>
          <w:color w:val="000000"/>
          <w:sz w:val="24"/>
          <w:szCs w:val="24"/>
        </w:rPr>
        <w:t xml:space="preserve">support of the 2020 Census, </w:t>
      </w:r>
    </w:p>
    <w:p w:rsidRPr="005355DA" w:rsidR="00DA2677" w:rsidP="004050E2" w:rsidRDefault="00DA2677" w14:paraId="03BC54DA" w14:textId="4F4BC542">
      <w:pPr>
        <w:pStyle w:val="ListParagraph"/>
        <w:numPr>
          <w:ilvl w:val="0"/>
          <w:numId w:val="11"/>
        </w:numPr>
        <w:shd w:val="clear" w:color="auto" w:fill="FFFFFF"/>
        <w:rPr>
          <w:color w:val="000000"/>
          <w:sz w:val="24"/>
          <w:szCs w:val="24"/>
        </w:rPr>
      </w:pPr>
      <w:r w:rsidRPr="005355DA">
        <w:rPr>
          <w:color w:val="000000"/>
          <w:sz w:val="24"/>
          <w:szCs w:val="24"/>
        </w:rPr>
        <w:t>The impact of the coronavirus</w:t>
      </w:r>
      <w:r w:rsidR="007977D7">
        <w:rPr>
          <w:color w:val="000000"/>
          <w:sz w:val="24"/>
          <w:szCs w:val="24"/>
        </w:rPr>
        <w:t xml:space="preserve"> pandemic</w:t>
      </w:r>
      <w:r w:rsidRPr="005355DA">
        <w:rPr>
          <w:color w:val="000000"/>
          <w:sz w:val="24"/>
          <w:szCs w:val="24"/>
        </w:rPr>
        <w:t xml:space="preserve"> on their work,</w:t>
      </w:r>
    </w:p>
    <w:p w:rsidR="004050E2" w:rsidP="004050E2" w:rsidRDefault="00F26E54" w14:paraId="51D4FB9E" w14:textId="103BCB65">
      <w:pPr>
        <w:pStyle w:val="ListParagraph"/>
        <w:numPr>
          <w:ilvl w:val="0"/>
          <w:numId w:val="11"/>
        </w:numPr>
        <w:shd w:val="clear" w:color="auto" w:fill="FFFFFF"/>
        <w:rPr>
          <w:color w:val="000000"/>
          <w:sz w:val="24"/>
          <w:szCs w:val="24"/>
        </w:rPr>
      </w:pPr>
      <w:r w:rsidRPr="004050E2">
        <w:rPr>
          <w:color w:val="000000"/>
          <w:sz w:val="24"/>
          <w:szCs w:val="24"/>
        </w:rPr>
        <w:t>2020 Census-related concerns (including privacy and confidentiality concerns) e</w:t>
      </w:r>
      <w:r w:rsidR="005641E0">
        <w:rPr>
          <w:color w:val="000000"/>
          <w:sz w:val="24"/>
          <w:szCs w:val="24"/>
        </w:rPr>
        <w:t>xpressed by the communities that participants</w:t>
      </w:r>
      <w:r w:rsidRPr="004050E2">
        <w:rPr>
          <w:color w:val="000000"/>
          <w:sz w:val="24"/>
          <w:szCs w:val="24"/>
        </w:rPr>
        <w:t xml:space="preserve"> work with, </w:t>
      </w:r>
    </w:p>
    <w:p w:rsidR="004050E2" w:rsidP="004050E2" w:rsidRDefault="004050E2" w14:paraId="25394E0C" w14:textId="4814451B">
      <w:pPr>
        <w:pStyle w:val="ListParagraph"/>
        <w:numPr>
          <w:ilvl w:val="0"/>
          <w:numId w:val="11"/>
        </w:numPr>
        <w:shd w:val="clear" w:color="auto" w:fill="FFFFFF"/>
        <w:rPr>
          <w:color w:val="000000"/>
          <w:sz w:val="24"/>
          <w:szCs w:val="24"/>
        </w:rPr>
      </w:pPr>
      <w:r>
        <w:rPr>
          <w:color w:val="000000"/>
          <w:sz w:val="24"/>
          <w:szCs w:val="24"/>
        </w:rPr>
        <w:t>Opinions about what factors motivate their communities</w:t>
      </w:r>
      <w:r w:rsidR="00A023DE">
        <w:rPr>
          <w:color w:val="000000"/>
          <w:sz w:val="24"/>
          <w:szCs w:val="24"/>
        </w:rPr>
        <w:t xml:space="preserve"> to respond or not respond to the Census,</w:t>
      </w:r>
    </w:p>
    <w:p w:rsidR="004050E2" w:rsidP="004050E2" w:rsidRDefault="004050E2" w14:paraId="5AB8FB34" w14:textId="77777777">
      <w:pPr>
        <w:pStyle w:val="ListParagraph"/>
        <w:numPr>
          <w:ilvl w:val="0"/>
          <w:numId w:val="11"/>
        </w:numPr>
        <w:shd w:val="clear" w:color="auto" w:fill="FFFFFF"/>
        <w:rPr>
          <w:color w:val="000000"/>
          <w:sz w:val="24"/>
          <w:szCs w:val="24"/>
        </w:rPr>
      </w:pPr>
      <w:r>
        <w:rPr>
          <w:color w:val="000000"/>
          <w:sz w:val="24"/>
          <w:szCs w:val="24"/>
        </w:rPr>
        <w:t>S</w:t>
      </w:r>
      <w:r w:rsidRPr="004050E2" w:rsidR="00F26E54">
        <w:rPr>
          <w:color w:val="000000"/>
          <w:sz w:val="24"/>
          <w:szCs w:val="24"/>
        </w:rPr>
        <w:t xml:space="preserve">trategies they use to address concerns, and </w:t>
      </w:r>
    </w:p>
    <w:p w:rsidR="004050E2" w:rsidP="004050E2" w:rsidRDefault="004050E2" w14:paraId="047FE0DC" w14:textId="6225CB28">
      <w:pPr>
        <w:pStyle w:val="ListParagraph"/>
        <w:numPr>
          <w:ilvl w:val="0"/>
          <w:numId w:val="11"/>
        </w:numPr>
        <w:shd w:val="clear" w:color="auto" w:fill="FFFFFF"/>
        <w:rPr>
          <w:color w:val="000000"/>
          <w:sz w:val="24"/>
          <w:szCs w:val="24"/>
        </w:rPr>
      </w:pPr>
      <w:r>
        <w:rPr>
          <w:color w:val="000000"/>
          <w:sz w:val="24"/>
          <w:szCs w:val="24"/>
        </w:rPr>
        <w:t>T</w:t>
      </w:r>
      <w:r w:rsidRPr="004050E2" w:rsidR="00F26E54">
        <w:rPr>
          <w:color w:val="000000"/>
          <w:sz w:val="24"/>
          <w:szCs w:val="24"/>
        </w:rPr>
        <w:t>heir opinions of how well the str</w:t>
      </w:r>
      <w:r>
        <w:rPr>
          <w:color w:val="000000"/>
          <w:sz w:val="24"/>
          <w:szCs w:val="24"/>
        </w:rPr>
        <w:t>ategies work</w:t>
      </w:r>
      <w:r w:rsidRPr="004050E2" w:rsidR="00F26E54">
        <w:rPr>
          <w:color w:val="000000"/>
          <w:sz w:val="24"/>
          <w:szCs w:val="24"/>
        </w:rPr>
        <w:t xml:space="preserve"> </w:t>
      </w:r>
    </w:p>
    <w:p w:rsidR="003A765D" w:rsidP="004050E2" w:rsidRDefault="00F26E54" w14:paraId="4E4A5FA9" w14:textId="317F2C76">
      <w:pPr>
        <w:pStyle w:val="ListParagraph"/>
        <w:shd w:val="clear" w:color="auto" w:fill="FFFFFF"/>
        <w:rPr>
          <w:color w:val="000000"/>
          <w:sz w:val="24"/>
          <w:szCs w:val="24"/>
        </w:rPr>
      </w:pPr>
      <w:r w:rsidRPr="004050E2">
        <w:rPr>
          <w:color w:val="000000"/>
          <w:sz w:val="24"/>
          <w:szCs w:val="24"/>
        </w:rPr>
        <w:t xml:space="preserve">   </w:t>
      </w:r>
    </w:p>
    <w:p w:rsidRPr="00A023DE" w:rsidR="00A023DE" w:rsidP="00A023DE" w:rsidRDefault="00DF0C27" w14:paraId="76D97D36" w14:textId="764218A9">
      <w:pPr>
        <w:shd w:val="clear" w:color="auto" w:fill="FFFFFF"/>
        <w:rPr>
          <w:color w:val="000000"/>
          <w:sz w:val="24"/>
          <w:szCs w:val="24"/>
        </w:rPr>
      </w:pPr>
      <w:r>
        <w:rPr>
          <w:color w:val="000000"/>
          <w:sz w:val="24"/>
          <w:szCs w:val="24"/>
        </w:rPr>
        <w:t>T</w:t>
      </w:r>
      <w:r w:rsidR="005641E0">
        <w:rPr>
          <w:color w:val="000000"/>
          <w:sz w:val="24"/>
          <w:szCs w:val="24"/>
        </w:rPr>
        <w:t>o avoid biasing participant responses towards the privacy and confidentiality topic, a</w:t>
      </w:r>
      <w:r w:rsidR="00382DB5">
        <w:rPr>
          <w:color w:val="000000"/>
          <w:sz w:val="24"/>
          <w:szCs w:val="24"/>
        </w:rPr>
        <w:t>n additional feature for both</w:t>
      </w:r>
      <w:r w:rsidR="00A023DE">
        <w:rPr>
          <w:color w:val="000000"/>
          <w:sz w:val="24"/>
          <w:szCs w:val="24"/>
        </w:rPr>
        <w:t xml:space="preserve"> data collection protocols </w:t>
      </w:r>
      <w:r w:rsidR="001266FB">
        <w:rPr>
          <w:color w:val="000000"/>
          <w:sz w:val="24"/>
          <w:szCs w:val="24"/>
        </w:rPr>
        <w:t xml:space="preserve">is </w:t>
      </w:r>
      <w:r w:rsidR="00A023DE">
        <w:rPr>
          <w:color w:val="000000"/>
          <w:sz w:val="24"/>
          <w:szCs w:val="24"/>
        </w:rPr>
        <w:t>talking about concerns generally at first before</w:t>
      </w:r>
      <w:r w:rsidR="00382DB5">
        <w:rPr>
          <w:color w:val="000000"/>
          <w:sz w:val="24"/>
          <w:szCs w:val="24"/>
        </w:rPr>
        <w:t xml:space="preserve"> directly</w:t>
      </w:r>
      <w:r w:rsidR="00A023DE">
        <w:rPr>
          <w:color w:val="000000"/>
          <w:sz w:val="24"/>
          <w:szCs w:val="24"/>
        </w:rPr>
        <w:t xml:space="preserve"> discussing privacy and confidentiality concerns</w:t>
      </w:r>
      <w:r w:rsidRPr="005355DA" w:rsidR="00382DB5">
        <w:rPr>
          <w:color w:val="000000"/>
          <w:sz w:val="24"/>
          <w:szCs w:val="24"/>
        </w:rPr>
        <w:t xml:space="preserve">. </w:t>
      </w:r>
      <w:r w:rsidRPr="005355DA" w:rsidR="00DA2677">
        <w:rPr>
          <w:color w:val="000000"/>
          <w:sz w:val="24"/>
          <w:szCs w:val="24"/>
        </w:rPr>
        <w:t xml:space="preserve">However, because the coronavirus </w:t>
      </w:r>
      <w:bookmarkStart w:name="_GoBack" w:id="0"/>
      <w:r w:rsidR="007977D7">
        <w:rPr>
          <w:color w:val="000000"/>
          <w:sz w:val="24"/>
          <w:szCs w:val="24"/>
        </w:rPr>
        <w:t xml:space="preserve">pandemic </w:t>
      </w:r>
      <w:bookmarkEnd w:id="0"/>
      <w:r w:rsidRPr="005355DA" w:rsidR="00DA2677">
        <w:rPr>
          <w:color w:val="000000"/>
          <w:sz w:val="24"/>
          <w:szCs w:val="24"/>
        </w:rPr>
        <w:t xml:space="preserve">will likely be a major topic of discussion, we will quickly address this issue first and move on to other topics. </w:t>
      </w:r>
      <w:r w:rsidRPr="005355DA" w:rsidR="00F07F6D">
        <w:rPr>
          <w:color w:val="000000"/>
          <w:sz w:val="24"/>
          <w:szCs w:val="24"/>
        </w:rPr>
        <w:t>Finally, and s</w:t>
      </w:r>
      <w:r w:rsidRPr="005355DA" w:rsidR="00382DB5">
        <w:rPr>
          <w:color w:val="000000"/>
          <w:sz w:val="24"/>
          <w:szCs w:val="24"/>
        </w:rPr>
        <w:t>pecifically for the focus groups</w:t>
      </w:r>
      <w:r w:rsidR="00382DB5">
        <w:rPr>
          <w:color w:val="000000"/>
          <w:sz w:val="24"/>
          <w:szCs w:val="24"/>
        </w:rPr>
        <w:t>,</w:t>
      </w:r>
      <w:r w:rsidR="00DA2677">
        <w:rPr>
          <w:color w:val="000000"/>
          <w:sz w:val="24"/>
          <w:szCs w:val="24"/>
        </w:rPr>
        <w:t xml:space="preserve"> the moderator guide includes</w:t>
      </w:r>
      <w:r w:rsidR="001266FB">
        <w:rPr>
          <w:color w:val="000000"/>
          <w:sz w:val="24"/>
          <w:szCs w:val="24"/>
        </w:rPr>
        <w:t xml:space="preserve"> an</w:t>
      </w:r>
      <w:r w:rsidR="00CD40B6">
        <w:rPr>
          <w:color w:val="000000"/>
          <w:sz w:val="24"/>
          <w:szCs w:val="24"/>
        </w:rPr>
        <w:t xml:space="preserve"> </w:t>
      </w:r>
      <w:r w:rsidR="00382DB5">
        <w:rPr>
          <w:color w:val="000000"/>
          <w:sz w:val="24"/>
          <w:szCs w:val="24"/>
        </w:rPr>
        <w:t>activity to brainstorm concerns as a group.</w:t>
      </w:r>
      <w:r w:rsidR="00A023DE">
        <w:rPr>
          <w:color w:val="000000"/>
          <w:sz w:val="24"/>
          <w:szCs w:val="24"/>
        </w:rPr>
        <w:t xml:space="preserve"> </w:t>
      </w:r>
    </w:p>
    <w:p w:rsidRPr="005355DA" w:rsidR="003E5DF9" w:rsidP="003E5DF9" w:rsidRDefault="003E5DF9" w14:paraId="0260183E" w14:textId="5EAA993A">
      <w:pPr>
        <w:pStyle w:val="NormalWeb"/>
        <w:shd w:val="clear" w:color="auto" w:fill="FFFFFF"/>
        <w:spacing w:before="0" w:beforeAutospacing="0" w:after="0" w:afterAutospacing="0"/>
        <w:rPr>
          <w:rFonts w:asciiTheme="minorHAnsi" w:hAnsiTheme="minorHAnsi"/>
          <w:color w:val="000000"/>
        </w:rPr>
      </w:pPr>
      <w:r w:rsidRPr="007156A3">
        <w:rPr>
          <w:rFonts w:asciiTheme="minorHAnsi" w:hAnsiTheme="minorHAnsi"/>
          <w:b/>
          <w:color w:val="000000"/>
        </w:rPr>
        <w:lastRenderedPageBreak/>
        <w:t xml:space="preserve">Consent: </w:t>
      </w:r>
      <w:r w:rsidRPr="005355DA" w:rsidR="000F6769">
        <w:rPr>
          <w:rFonts w:asciiTheme="minorHAnsi" w:hAnsiTheme="minorHAnsi"/>
          <w:color w:val="000000"/>
        </w:rPr>
        <w:t>For the interview and focus group projects, w</w:t>
      </w:r>
      <w:r w:rsidRPr="005355DA" w:rsidR="00FD3871">
        <w:rPr>
          <w:rFonts w:asciiTheme="minorHAnsi" w:hAnsiTheme="minorHAnsi"/>
          <w:color w:val="000000"/>
        </w:rPr>
        <w:t xml:space="preserve">e will inform participants that their response is voluntary and that the information they provide is confidential and will be accessed only by employees involved in the research project. The consent form will also indicate that the </w:t>
      </w:r>
      <w:r w:rsidRPr="005355DA" w:rsidR="000F6769">
        <w:rPr>
          <w:rFonts w:asciiTheme="minorHAnsi" w:hAnsiTheme="minorHAnsi"/>
          <w:color w:val="000000"/>
        </w:rPr>
        <w:t>participant</w:t>
      </w:r>
      <w:r w:rsidRPr="005355DA" w:rsidR="00FD3871">
        <w:rPr>
          <w:rFonts w:asciiTheme="minorHAnsi" w:hAnsiTheme="minorHAnsi"/>
          <w:color w:val="000000"/>
        </w:rPr>
        <w:t xml:space="preserve"> agrees that the interview can be audio</w:t>
      </w:r>
      <w:r w:rsidRPr="005355DA" w:rsidR="00527F57">
        <w:rPr>
          <w:rFonts w:asciiTheme="minorHAnsi" w:hAnsiTheme="minorHAnsi"/>
          <w:color w:val="000000"/>
        </w:rPr>
        <w:t>-</w:t>
      </w:r>
      <w:r w:rsidRPr="005355DA" w:rsidR="00FD3871">
        <w:rPr>
          <w:rFonts w:asciiTheme="minorHAnsi" w:hAnsiTheme="minorHAnsi"/>
          <w:color w:val="000000"/>
        </w:rPr>
        <w:t xml:space="preserve">taped to facilitate analysis of the results (see </w:t>
      </w:r>
      <w:r w:rsidRPr="005355DA" w:rsidR="00527F57">
        <w:rPr>
          <w:rFonts w:asciiTheme="minorHAnsi" w:hAnsiTheme="minorHAnsi"/>
          <w:color w:val="000000"/>
        </w:rPr>
        <w:t>Enclosure</w:t>
      </w:r>
      <w:r w:rsidRPr="005355DA" w:rsidR="0037105D">
        <w:rPr>
          <w:rFonts w:asciiTheme="minorHAnsi" w:hAnsiTheme="minorHAnsi"/>
          <w:color w:val="000000"/>
        </w:rPr>
        <w:t xml:space="preserve"> 5 and Enclosure 6 for the focus groups and interviews, respectively</w:t>
      </w:r>
      <w:r w:rsidRPr="005355DA" w:rsidR="006C0600">
        <w:rPr>
          <w:rFonts w:asciiTheme="minorHAnsi" w:hAnsiTheme="minorHAnsi"/>
          <w:color w:val="000000"/>
        </w:rPr>
        <w:t>)</w:t>
      </w:r>
      <w:r w:rsidRPr="005355DA" w:rsidR="00FD3871">
        <w:rPr>
          <w:rFonts w:asciiTheme="minorHAnsi" w:hAnsiTheme="minorHAnsi"/>
          <w:color w:val="000000"/>
        </w:rPr>
        <w:t>.</w:t>
      </w:r>
      <w:r w:rsidRPr="005355DA" w:rsidDel="00EB2C92" w:rsidR="00EB2C92">
        <w:rPr>
          <w:rFonts w:asciiTheme="minorHAnsi" w:hAnsiTheme="minorHAnsi"/>
          <w:color w:val="000000"/>
        </w:rPr>
        <w:t xml:space="preserve"> </w:t>
      </w:r>
    </w:p>
    <w:p w:rsidRPr="005355DA" w:rsidR="00404127" w:rsidP="003E5DF9" w:rsidRDefault="00404127" w14:paraId="51C539C2" w14:textId="12332887">
      <w:pPr>
        <w:pStyle w:val="NormalWeb"/>
        <w:shd w:val="clear" w:color="auto" w:fill="FFFFFF"/>
        <w:spacing w:before="0" w:beforeAutospacing="0" w:after="0" w:afterAutospacing="0"/>
        <w:rPr>
          <w:rFonts w:asciiTheme="minorHAnsi" w:hAnsiTheme="minorHAnsi"/>
          <w:color w:val="000000"/>
        </w:rPr>
      </w:pPr>
    </w:p>
    <w:p w:rsidRPr="005355DA" w:rsidR="00404127" w:rsidP="003E5DF9" w:rsidRDefault="00404127" w14:paraId="4FA680EF" w14:textId="4F654890">
      <w:pPr>
        <w:pStyle w:val="NormalWeb"/>
        <w:shd w:val="clear" w:color="auto" w:fill="FFFFFF"/>
        <w:spacing w:before="0" w:beforeAutospacing="0" w:after="0" w:afterAutospacing="0"/>
        <w:rPr>
          <w:rFonts w:asciiTheme="minorHAnsi" w:hAnsiTheme="minorHAnsi"/>
          <w:b/>
          <w:color w:val="000000"/>
        </w:rPr>
      </w:pPr>
      <w:r w:rsidRPr="005355DA">
        <w:rPr>
          <w:rFonts w:asciiTheme="minorHAnsi" w:hAnsiTheme="minorHAnsi"/>
          <w:color w:val="000000"/>
        </w:rPr>
        <w:t>For the interviews and focus groups (if done remotely), participants will be mailed a consent form and a self-addressed, s</w:t>
      </w:r>
      <w:r w:rsidRPr="005355DA" w:rsidR="00124BBB">
        <w:rPr>
          <w:rFonts w:asciiTheme="minorHAnsi" w:hAnsiTheme="minorHAnsi"/>
          <w:color w:val="000000"/>
        </w:rPr>
        <w:t>tamped envelope to send back a</w:t>
      </w:r>
      <w:r w:rsidRPr="005355DA">
        <w:rPr>
          <w:rFonts w:asciiTheme="minorHAnsi" w:hAnsiTheme="minorHAnsi"/>
          <w:color w:val="000000"/>
        </w:rPr>
        <w:t xml:space="preserve"> signed consent form. </w:t>
      </w:r>
      <w:r w:rsidRPr="005355DA" w:rsidR="00CD268F">
        <w:rPr>
          <w:rFonts w:asciiTheme="minorHAnsi" w:hAnsiTheme="minorHAnsi"/>
          <w:color w:val="000000"/>
        </w:rPr>
        <w:t xml:space="preserve">If the focus groups done </w:t>
      </w:r>
      <w:r w:rsidRPr="005355DA" w:rsidR="00124BBB">
        <w:rPr>
          <w:rFonts w:asciiTheme="minorHAnsi" w:hAnsiTheme="minorHAnsi"/>
          <w:color w:val="000000"/>
        </w:rPr>
        <w:t xml:space="preserve">are in </w:t>
      </w:r>
      <w:r w:rsidRPr="005355DA" w:rsidR="00CD268F">
        <w:rPr>
          <w:rFonts w:asciiTheme="minorHAnsi" w:hAnsiTheme="minorHAnsi"/>
          <w:color w:val="000000"/>
        </w:rPr>
        <w:t xml:space="preserve">person, participants will sign and submit the consent forms in person. </w:t>
      </w:r>
    </w:p>
    <w:p w:rsidRPr="005355DA" w:rsidR="003E5DF9" w:rsidP="00DF56FC" w:rsidRDefault="003E5DF9" w14:paraId="3B8EC403" w14:textId="77777777">
      <w:pPr>
        <w:pStyle w:val="NormalWeb"/>
        <w:shd w:val="clear" w:color="auto" w:fill="FFFFFF"/>
        <w:spacing w:before="0" w:beforeAutospacing="0" w:after="0" w:afterAutospacing="0"/>
        <w:rPr>
          <w:rFonts w:asciiTheme="minorHAnsi" w:hAnsiTheme="minorHAnsi"/>
          <w:color w:val="000000"/>
        </w:rPr>
      </w:pPr>
    </w:p>
    <w:p w:rsidRPr="005355DA" w:rsidR="00140B23" w:rsidP="00140B23" w:rsidRDefault="003E5DF9" w14:paraId="7FC07CCB" w14:textId="6C4572B0">
      <w:pPr>
        <w:pStyle w:val="NormalWeb"/>
        <w:shd w:val="clear" w:color="auto" w:fill="FFFFFF"/>
        <w:spacing w:before="0" w:beforeAutospacing="0" w:after="160" w:afterAutospacing="0" w:line="259" w:lineRule="auto"/>
        <w:rPr>
          <w:rFonts w:asciiTheme="minorHAnsi" w:hAnsiTheme="minorHAnsi"/>
          <w:color w:val="000000"/>
        </w:rPr>
      </w:pPr>
      <w:r w:rsidRPr="005355DA">
        <w:rPr>
          <w:rFonts w:asciiTheme="minorHAnsi" w:hAnsiTheme="minorHAnsi"/>
          <w:b/>
          <w:color w:val="000000"/>
        </w:rPr>
        <w:t>Use of Incentive</w:t>
      </w:r>
      <w:r w:rsidRPr="005355DA">
        <w:rPr>
          <w:rFonts w:asciiTheme="minorHAnsi" w:hAnsiTheme="minorHAnsi"/>
          <w:color w:val="000000"/>
        </w:rPr>
        <w:t xml:space="preserve">: </w:t>
      </w:r>
      <w:r w:rsidRPr="005355DA" w:rsidR="00140B23">
        <w:rPr>
          <w:rFonts w:asciiTheme="minorHAnsi" w:hAnsiTheme="minorHAnsi"/>
          <w:color w:val="000000"/>
        </w:rPr>
        <w:t xml:space="preserve">If the focus groups are conducted in person, we plan to offer an incentive of $75 to offset the costs of the 120-minute focus groups, including travel, childcare, parking, and time away from other duties like work. </w:t>
      </w:r>
      <w:r w:rsidRPr="005355DA" w:rsidR="00F632A7">
        <w:rPr>
          <w:rFonts w:asciiTheme="minorHAnsi" w:hAnsiTheme="minorHAnsi"/>
          <w:color w:val="000000"/>
        </w:rPr>
        <w:t xml:space="preserve">If done remotely, the focus group incentive will be $40 to offset the cost of time away from other duties. </w:t>
      </w:r>
    </w:p>
    <w:p w:rsidRPr="007156A3" w:rsidR="00140B23" w:rsidP="00140B23" w:rsidRDefault="00140B23" w14:paraId="168068AA" w14:textId="0EAAC2A7">
      <w:pPr>
        <w:pStyle w:val="NormalWeb"/>
        <w:shd w:val="clear" w:color="auto" w:fill="FFFFFF"/>
        <w:spacing w:before="0" w:beforeAutospacing="0" w:after="160" w:afterAutospacing="0" w:line="259" w:lineRule="auto"/>
        <w:rPr>
          <w:rFonts w:asciiTheme="minorHAnsi" w:hAnsiTheme="minorHAnsi"/>
          <w:color w:val="000000"/>
        </w:rPr>
      </w:pPr>
      <w:r w:rsidRPr="005355DA">
        <w:rPr>
          <w:rFonts w:asciiTheme="minorHAnsi" w:hAnsiTheme="minorHAnsi"/>
          <w:color w:val="000000"/>
        </w:rPr>
        <w:t>For the interviews</w:t>
      </w:r>
      <w:r w:rsidRPr="005355DA" w:rsidR="00F632A7">
        <w:rPr>
          <w:rFonts w:asciiTheme="minorHAnsi" w:hAnsiTheme="minorHAnsi"/>
          <w:color w:val="000000"/>
        </w:rPr>
        <w:t xml:space="preserve">, participants will not be paid an incentive. </w:t>
      </w:r>
    </w:p>
    <w:p w:rsidRPr="00140B23" w:rsidR="00574E96" w:rsidP="00140B23" w:rsidRDefault="00F11C6F" w14:paraId="721CC491" w14:textId="6C331BDA">
      <w:pPr>
        <w:pStyle w:val="NormalWeb"/>
        <w:shd w:val="clear" w:color="auto" w:fill="FFFFFF"/>
        <w:spacing w:before="0" w:beforeAutospacing="0" w:after="160" w:afterAutospacing="0" w:line="259" w:lineRule="auto"/>
        <w:rPr>
          <w:rFonts w:asciiTheme="minorHAnsi" w:hAnsiTheme="minorHAnsi" w:cstheme="minorHAnsi"/>
          <w:color w:val="000000"/>
        </w:rPr>
      </w:pPr>
      <w:r w:rsidRPr="00140B23">
        <w:rPr>
          <w:rFonts w:asciiTheme="minorHAnsi" w:hAnsiTheme="minorHAnsi" w:cstheme="minorHAnsi"/>
          <w:b/>
          <w:color w:val="000000"/>
        </w:rPr>
        <w:t>Length of Data Collections</w:t>
      </w:r>
      <w:r w:rsidRPr="00140B23" w:rsidR="003E5DF9">
        <w:rPr>
          <w:rFonts w:asciiTheme="minorHAnsi" w:hAnsiTheme="minorHAnsi" w:cstheme="minorHAnsi"/>
          <w:color w:val="000000"/>
        </w:rPr>
        <w:t xml:space="preserve">: </w:t>
      </w:r>
      <w:r w:rsidRPr="00140B23" w:rsidR="00531FD8">
        <w:rPr>
          <w:rFonts w:asciiTheme="minorHAnsi" w:hAnsiTheme="minorHAnsi" w:cstheme="minorHAnsi"/>
          <w:color w:val="000000"/>
        </w:rPr>
        <w:t>We estimate that each</w:t>
      </w:r>
      <w:r w:rsidRPr="00140B23" w:rsidR="00DE349C">
        <w:rPr>
          <w:rFonts w:asciiTheme="minorHAnsi" w:hAnsiTheme="minorHAnsi" w:cstheme="minorHAnsi"/>
          <w:color w:val="000000"/>
        </w:rPr>
        <w:t xml:space="preserve"> NPP partner</w:t>
      </w:r>
      <w:r w:rsidRPr="00140B23" w:rsidR="00531FD8">
        <w:rPr>
          <w:rFonts w:asciiTheme="minorHAnsi" w:hAnsiTheme="minorHAnsi" w:cstheme="minorHAnsi"/>
          <w:color w:val="000000"/>
        </w:rPr>
        <w:t xml:space="preserve"> interview wil</w:t>
      </w:r>
      <w:r w:rsidRPr="00140B23" w:rsidR="0074577C">
        <w:rPr>
          <w:rFonts w:asciiTheme="minorHAnsi" w:hAnsiTheme="minorHAnsi" w:cstheme="minorHAnsi"/>
          <w:color w:val="000000"/>
        </w:rPr>
        <w:t>l take approximately</w:t>
      </w:r>
      <w:r w:rsidRPr="00140B23" w:rsidR="00344294">
        <w:rPr>
          <w:rFonts w:asciiTheme="minorHAnsi" w:hAnsiTheme="minorHAnsi" w:cstheme="minorHAnsi"/>
          <w:color w:val="000000"/>
        </w:rPr>
        <w:t xml:space="preserve"> one hour (i.e., 10</w:t>
      </w:r>
      <w:r w:rsidRPr="00140B23" w:rsidR="00531FD8">
        <w:rPr>
          <w:rFonts w:asciiTheme="minorHAnsi" w:hAnsiTheme="minorHAnsi" w:cstheme="minorHAnsi"/>
          <w:color w:val="000000"/>
        </w:rPr>
        <w:t xml:space="preserve"> hours total). </w:t>
      </w:r>
      <w:r w:rsidRPr="00140B23" w:rsidR="005B083E">
        <w:rPr>
          <w:rFonts w:asciiTheme="minorHAnsi" w:hAnsiTheme="minorHAnsi" w:cstheme="minorHAnsi"/>
          <w:color w:val="000000"/>
        </w:rPr>
        <w:t xml:space="preserve">We estimate that each focus group will </w:t>
      </w:r>
      <w:r w:rsidRPr="00140B23" w:rsidR="00344294">
        <w:rPr>
          <w:rFonts w:asciiTheme="minorHAnsi" w:hAnsiTheme="minorHAnsi" w:cstheme="minorHAnsi"/>
          <w:color w:val="000000"/>
        </w:rPr>
        <w:t>take approximately two hours (i.e., 12</w:t>
      </w:r>
      <w:r w:rsidRPr="00140B23" w:rsidR="005B083E">
        <w:rPr>
          <w:rFonts w:asciiTheme="minorHAnsi" w:hAnsiTheme="minorHAnsi" w:cstheme="minorHAnsi"/>
          <w:color w:val="000000"/>
        </w:rPr>
        <w:t xml:space="preserve"> hours total). </w:t>
      </w:r>
      <w:r w:rsidRPr="00140B23" w:rsidR="00531FD8">
        <w:rPr>
          <w:rFonts w:asciiTheme="minorHAnsi" w:hAnsiTheme="minorHAnsi" w:cstheme="minorHAnsi"/>
          <w:color w:val="000000"/>
        </w:rPr>
        <w:t>The screening questionnaire will take approxi</w:t>
      </w:r>
      <w:r w:rsidRPr="00140B23" w:rsidR="00736B0F">
        <w:rPr>
          <w:rFonts w:asciiTheme="minorHAnsi" w:hAnsiTheme="minorHAnsi" w:cstheme="minorHAnsi"/>
          <w:color w:val="000000"/>
        </w:rPr>
        <w:t>mately six</w:t>
      </w:r>
      <w:r w:rsidRPr="00140B23" w:rsidR="00531FD8">
        <w:rPr>
          <w:rFonts w:asciiTheme="minorHAnsi" w:hAnsiTheme="minorHAnsi" w:cstheme="minorHAnsi"/>
          <w:color w:val="000000"/>
        </w:rPr>
        <w:t xml:space="preserve"> minutes per person. </w:t>
      </w:r>
      <w:r w:rsidRPr="00140B23" w:rsidR="00574E96">
        <w:rPr>
          <w:rFonts w:asciiTheme="minorHAnsi" w:hAnsiTheme="minorHAnsi" w:cstheme="minorHAnsi"/>
          <w:color w:val="000000"/>
        </w:rPr>
        <w:t xml:space="preserve">For the focus groups, </w:t>
      </w:r>
      <w:r w:rsidRPr="00140B23" w:rsidR="00545813">
        <w:rPr>
          <w:rFonts w:asciiTheme="minorHAnsi" w:hAnsiTheme="minorHAnsi" w:cstheme="minorHAnsi"/>
          <w:color w:val="000000"/>
        </w:rPr>
        <w:t>our goal is eight participants per group</w:t>
      </w:r>
      <w:r w:rsidRPr="00140B23" w:rsidR="00574E96">
        <w:rPr>
          <w:rFonts w:asciiTheme="minorHAnsi" w:hAnsiTheme="minorHAnsi" w:cstheme="minorHAnsi"/>
          <w:color w:val="000000"/>
        </w:rPr>
        <w:t>.</w:t>
      </w:r>
      <w:r w:rsidRPr="00140B23" w:rsidR="00545813">
        <w:rPr>
          <w:rFonts w:asciiTheme="minorHAnsi" w:hAnsiTheme="minorHAnsi" w:cstheme="minorHAnsi"/>
          <w:color w:val="000000"/>
        </w:rPr>
        <w:t xml:space="preserve"> To reach this goal, we will recruit and invite 12 potential participants to account for no shows. All participants over the goal of 8 will be paid the incentive but will not participate in the focus group.</w:t>
      </w:r>
      <w:r w:rsidRPr="00140B23" w:rsidR="00574E96">
        <w:rPr>
          <w:rFonts w:asciiTheme="minorHAnsi" w:hAnsiTheme="minorHAnsi" w:cstheme="minorHAnsi"/>
          <w:color w:val="000000"/>
        </w:rPr>
        <w:t xml:space="preserve"> </w:t>
      </w:r>
    </w:p>
    <w:p w:rsidRPr="00B00ACC" w:rsidR="0007125C" w:rsidP="00B00ACC" w:rsidRDefault="00736B0F" w14:paraId="74913B6F" w14:textId="2EF4880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We expect to screen </w:t>
      </w:r>
      <w:r w:rsidR="00545813">
        <w:rPr>
          <w:color w:val="000000"/>
          <w:sz w:val="24"/>
          <w:szCs w:val="24"/>
        </w:rPr>
        <w:t xml:space="preserve">five people for each successful recruit. In total, we will screen </w:t>
      </w:r>
      <w:r>
        <w:rPr>
          <w:color w:val="000000"/>
          <w:sz w:val="24"/>
          <w:szCs w:val="24"/>
        </w:rPr>
        <w:t>about</w:t>
      </w:r>
      <w:r w:rsidR="00F937B2">
        <w:rPr>
          <w:color w:val="000000"/>
          <w:sz w:val="24"/>
          <w:szCs w:val="24"/>
        </w:rPr>
        <w:t xml:space="preserve"> </w:t>
      </w:r>
      <w:r w:rsidR="00227F7A">
        <w:rPr>
          <w:color w:val="000000"/>
          <w:sz w:val="24"/>
          <w:szCs w:val="24"/>
        </w:rPr>
        <w:t>360</w:t>
      </w:r>
      <w:r w:rsidRPr="00736B0F">
        <w:rPr>
          <w:color w:val="000000"/>
          <w:sz w:val="24"/>
          <w:szCs w:val="24"/>
        </w:rPr>
        <w:t xml:space="preserve"> </w:t>
      </w:r>
      <w:r>
        <w:rPr>
          <w:color w:val="000000"/>
          <w:sz w:val="24"/>
          <w:szCs w:val="24"/>
        </w:rPr>
        <w:t>people</w:t>
      </w:r>
      <w:r w:rsidR="00227F7A">
        <w:rPr>
          <w:color w:val="000000"/>
          <w:sz w:val="24"/>
          <w:szCs w:val="24"/>
        </w:rPr>
        <w:t xml:space="preserve"> to arrive at 72</w:t>
      </w:r>
      <w:r w:rsidRPr="00736B0F">
        <w:rPr>
          <w:color w:val="000000"/>
          <w:sz w:val="24"/>
          <w:szCs w:val="24"/>
        </w:rPr>
        <w:t xml:space="preserve"> </w:t>
      </w:r>
      <w:r>
        <w:rPr>
          <w:color w:val="000000"/>
          <w:sz w:val="24"/>
          <w:szCs w:val="24"/>
        </w:rPr>
        <w:t>successful recru</w:t>
      </w:r>
      <w:r w:rsidR="00F937B2">
        <w:rPr>
          <w:color w:val="000000"/>
          <w:sz w:val="24"/>
          <w:szCs w:val="24"/>
        </w:rPr>
        <w:t>its</w:t>
      </w:r>
      <w:r w:rsidR="00545813">
        <w:rPr>
          <w:color w:val="000000"/>
          <w:sz w:val="24"/>
          <w:szCs w:val="24"/>
        </w:rPr>
        <w:t xml:space="preserve"> for the six focus groups</w:t>
      </w:r>
      <w:r w:rsidR="00310317">
        <w:rPr>
          <w:color w:val="000000"/>
          <w:sz w:val="24"/>
          <w:szCs w:val="24"/>
        </w:rPr>
        <w:t xml:space="preserve"> (</w:t>
      </w:r>
      <w:r w:rsidR="002D6EF7">
        <w:rPr>
          <w:color w:val="000000"/>
          <w:sz w:val="24"/>
          <w:szCs w:val="24"/>
        </w:rPr>
        <w:t>36</w:t>
      </w:r>
      <w:r>
        <w:rPr>
          <w:color w:val="000000"/>
          <w:sz w:val="24"/>
          <w:szCs w:val="24"/>
        </w:rPr>
        <w:t xml:space="preserve"> hours)</w:t>
      </w:r>
      <w:r w:rsidRPr="00736B0F">
        <w:rPr>
          <w:color w:val="000000"/>
          <w:sz w:val="24"/>
          <w:szCs w:val="24"/>
        </w:rPr>
        <w:t>.</w:t>
      </w:r>
      <w:r w:rsidR="00D90981">
        <w:rPr>
          <w:color w:val="000000"/>
          <w:sz w:val="24"/>
          <w:szCs w:val="24"/>
        </w:rPr>
        <w:t xml:space="preserve"> </w:t>
      </w:r>
      <w:r w:rsidRPr="00D90981" w:rsidR="00D90981">
        <w:rPr>
          <w:b/>
          <w:color w:val="000000"/>
          <w:sz w:val="24"/>
          <w:szCs w:val="24"/>
        </w:rPr>
        <w:t xml:space="preserve">Thus, </w:t>
      </w:r>
      <w:r w:rsidR="00D90981">
        <w:rPr>
          <w:b/>
          <w:color w:val="000000"/>
          <w:sz w:val="24"/>
          <w:szCs w:val="24"/>
        </w:rPr>
        <w:t xml:space="preserve">we estimate </w:t>
      </w:r>
      <w:r w:rsidR="00F937B2">
        <w:rPr>
          <w:b/>
          <w:color w:val="000000"/>
          <w:sz w:val="24"/>
          <w:szCs w:val="24"/>
        </w:rPr>
        <w:t>the</w:t>
      </w:r>
      <w:r w:rsidRPr="00D90981" w:rsidR="00D90981">
        <w:rPr>
          <w:b/>
          <w:color w:val="000000"/>
          <w:sz w:val="24"/>
          <w:szCs w:val="24"/>
        </w:rPr>
        <w:t xml:space="preserve"> burden for</w:t>
      </w:r>
      <w:r w:rsidR="00D90981">
        <w:rPr>
          <w:b/>
          <w:color w:val="000000"/>
          <w:sz w:val="24"/>
          <w:szCs w:val="24"/>
        </w:rPr>
        <w:t xml:space="preserve"> this research</w:t>
      </w:r>
      <w:r w:rsidR="0056166B">
        <w:rPr>
          <w:b/>
          <w:color w:val="000000"/>
          <w:sz w:val="24"/>
          <w:szCs w:val="24"/>
        </w:rPr>
        <w:t xml:space="preserve"> is </w:t>
      </w:r>
      <w:r w:rsidR="002D6EF7">
        <w:rPr>
          <w:b/>
          <w:color w:val="000000"/>
          <w:sz w:val="24"/>
          <w:szCs w:val="24"/>
        </w:rPr>
        <w:t>142</w:t>
      </w:r>
      <w:r w:rsidR="00F937B2">
        <w:rPr>
          <w:b/>
          <w:color w:val="000000"/>
          <w:sz w:val="24"/>
          <w:szCs w:val="24"/>
        </w:rPr>
        <w:t xml:space="preserve"> hours:</w:t>
      </w:r>
      <w:r w:rsidR="00227F7A">
        <w:rPr>
          <w:b/>
          <w:color w:val="000000"/>
          <w:sz w:val="24"/>
          <w:szCs w:val="24"/>
        </w:rPr>
        <w:t xml:space="preserve"> 10</w:t>
      </w:r>
      <w:r w:rsidRPr="00D90981" w:rsidR="00D90981">
        <w:rPr>
          <w:b/>
          <w:color w:val="000000"/>
          <w:sz w:val="24"/>
          <w:szCs w:val="24"/>
        </w:rPr>
        <w:t xml:space="preserve"> hours</w:t>
      </w:r>
      <w:r w:rsidR="00C8258E">
        <w:rPr>
          <w:b/>
          <w:color w:val="000000"/>
          <w:sz w:val="24"/>
          <w:szCs w:val="24"/>
        </w:rPr>
        <w:t xml:space="preserve"> </w:t>
      </w:r>
      <w:r w:rsidR="00227F7A">
        <w:rPr>
          <w:b/>
          <w:color w:val="000000"/>
          <w:sz w:val="24"/>
          <w:szCs w:val="24"/>
        </w:rPr>
        <w:t>for interviewing (1.0 hours X 10</w:t>
      </w:r>
      <w:r w:rsidR="002D6EF7">
        <w:rPr>
          <w:b/>
          <w:color w:val="000000"/>
          <w:sz w:val="24"/>
          <w:szCs w:val="24"/>
        </w:rPr>
        <w:t xml:space="preserve"> interview participants</w:t>
      </w:r>
      <w:r w:rsidR="00227F7A">
        <w:rPr>
          <w:b/>
          <w:color w:val="000000"/>
          <w:sz w:val="24"/>
          <w:szCs w:val="24"/>
        </w:rPr>
        <w:t>), 96</w:t>
      </w:r>
      <w:r w:rsidR="00310317">
        <w:rPr>
          <w:b/>
          <w:color w:val="000000"/>
          <w:sz w:val="24"/>
          <w:szCs w:val="24"/>
        </w:rPr>
        <w:t xml:space="preserve"> hours for </w:t>
      </w:r>
      <w:r w:rsidR="004D5566">
        <w:rPr>
          <w:b/>
          <w:color w:val="000000"/>
          <w:sz w:val="24"/>
          <w:szCs w:val="24"/>
        </w:rPr>
        <w:t>the</w:t>
      </w:r>
      <w:r w:rsidR="00BB27AE">
        <w:rPr>
          <w:b/>
          <w:color w:val="000000"/>
          <w:sz w:val="24"/>
          <w:szCs w:val="24"/>
        </w:rPr>
        <w:t xml:space="preserve"> CPEP</w:t>
      </w:r>
      <w:r w:rsidR="00227F7A">
        <w:rPr>
          <w:b/>
          <w:color w:val="000000"/>
          <w:sz w:val="24"/>
          <w:szCs w:val="24"/>
        </w:rPr>
        <w:t xml:space="preserve"> focus groups (2.0 hours X 48</w:t>
      </w:r>
      <w:r w:rsidR="004D5566">
        <w:rPr>
          <w:b/>
          <w:color w:val="000000"/>
          <w:sz w:val="24"/>
          <w:szCs w:val="24"/>
        </w:rPr>
        <w:t xml:space="preserve"> </w:t>
      </w:r>
      <w:r w:rsidR="002D6EF7">
        <w:rPr>
          <w:b/>
          <w:color w:val="000000"/>
          <w:sz w:val="24"/>
          <w:szCs w:val="24"/>
        </w:rPr>
        <w:t>focus group</w:t>
      </w:r>
      <w:r w:rsidR="004D5566">
        <w:rPr>
          <w:b/>
          <w:color w:val="000000"/>
          <w:sz w:val="24"/>
          <w:szCs w:val="24"/>
        </w:rPr>
        <w:t xml:space="preserve"> participants</w:t>
      </w:r>
      <w:r w:rsidR="002D6EF7">
        <w:rPr>
          <w:b/>
          <w:color w:val="000000"/>
          <w:sz w:val="24"/>
          <w:szCs w:val="24"/>
        </w:rPr>
        <w:t>), and 36</w:t>
      </w:r>
      <w:r w:rsidR="00310317">
        <w:rPr>
          <w:b/>
          <w:color w:val="000000"/>
          <w:sz w:val="24"/>
          <w:szCs w:val="24"/>
        </w:rPr>
        <w:t xml:space="preserve"> hours (</w:t>
      </w:r>
      <w:r w:rsidR="00FF611A">
        <w:rPr>
          <w:b/>
          <w:color w:val="000000"/>
          <w:sz w:val="24"/>
          <w:szCs w:val="24"/>
        </w:rPr>
        <w:t>0.1 hours</w:t>
      </w:r>
      <w:r w:rsidR="00227F7A">
        <w:rPr>
          <w:b/>
          <w:color w:val="000000"/>
          <w:sz w:val="24"/>
          <w:szCs w:val="24"/>
        </w:rPr>
        <w:t xml:space="preserve"> X 360</w:t>
      </w:r>
      <w:r w:rsidR="00C8258E">
        <w:rPr>
          <w:b/>
          <w:color w:val="000000"/>
          <w:sz w:val="24"/>
          <w:szCs w:val="24"/>
        </w:rPr>
        <w:t xml:space="preserve"> people</w:t>
      </w:r>
      <w:r w:rsidRPr="00D90981" w:rsidR="00D90981">
        <w:rPr>
          <w:b/>
          <w:color w:val="000000"/>
          <w:sz w:val="24"/>
          <w:szCs w:val="24"/>
        </w:rPr>
        <w:t>)</w:t>
      </w:r>
      <w:r w:rsidR="00F937B2">
        <w:rPr>
          <w:b/>
          <w:color w:val="000000"/>
          <w:sz w:val="24"/>
          <w:szCs w:val="24"/>
        </w:rPr>
        <w:t xml:space="preserve"> for screening.</w:t>
      </w:r>
    </w:p>
    <w:p w:rsidR="00ED56B9" w:rsidP="00AE04CB" w:rsidRDefault="00ED56B9" w14:paraId="6CB98A8B" w14:textId="77777777">
      <w:pPr>
        <w:pStyle w:val="Caption"/>
        <w:rPr>
          <w:rFonts w:asciiTheme="minorHAnsi" w:hAnsiTheme="minorHAnsi"/>
          <w:color w:val="auto"/>
          <w:sz w:val="24"/>
          <w:szCs w:val="24"/>
        </w:rPr>
      </w:pPr>
    </w:p>
    <w:p w:rsidR="00ED56B9" w:rsidP="00AE04CB" w:rsidRDefault="00ED56B9" w14:paraId="6DC117A4" w14:textId="77777777">
      <w:pPr>
        <w:pStyle w:val="Caption"/>
        <w:rPr>
          <w:rFonts w:asciiTheme="minorHAnsi" w:hAnsiTheme="minorHAnsi"/>
          <w:color w:val="auto"/>
          <w:sz w:val="24"/>
          <w:szCs w:val="24"/>
        </w:rPr>
      </w:pPr>
    </w:p>
    <w:p w:rsidR="00ED56B9" w:rsidP="00AE04CB" w:rsidRDefault="00ED56B9" w14:paraId="5D9AE493" w14:textId="77777777">
      <w:pPr>
        <w:pStyle w:val="Caption"/>
        <w:rPr>
          <w:rFonts w:asciiTheme="minorHAnsi" w:hAnsiTheme="minorHAnsi"/>
          <w:color w:val="auto"/>
          <w:sz w:val="24"/>
          <w:szCs w:val="24"/>
        </w:rPr>
      </w:pPr>
    </w:p>
    <w:p w:rsidR="00ED56B9" w:rsidP="00AE04CB" w:rsidRDefault="00ED56B9" w14:paraId="71CB026C" w14:textId="77777777">
      <w:pPr>
        <w:pStyle w:val="Caption"/>
        <w:rPr>
          <w:rFonts w:asciiTheme="minorHAnsi" w:hAnsiTheme="minorHAnsi"/>
          <w:color w:val="auto"/>
          <w:sz w:val="24"/>
          <w:szCs w:val="24"/>
        </w:rPr>
      </w:pPr>
    </w:p>
    <w:p w:rsidR="00ED56B9" w:rsidP="00AE04CB" w:rsidRDefault="00ED56B9" w14:paraId="32403FD8" w14:textId="77777777">
      <w:pPr>
        <w:pStyle w:val="Caption"/>
        <w:rPr>
          <w:rFonts w:asciiTheme="minorHAnsi" w:hAnsiTheme="minorHAnsi"/>
          <w:color w:val="auto"/>
          <w:sz w:val="24"/>
          <w:szCs w:val="24"/>
        </w:rPr>
      </w:pPr>
    </w:p>
    <w:p w:rsidR="00ED56B9" w:rsidP="00AE04CB" w:rsidRDefault="00ED56B9" w14:paraId="39C59DAC" w14:textId="77777777">
      <w:pPr>
        <w:pStyle w:val="Caption"/>
        <w:rPr>
          <w:rFonts w:asciiTheme="minorHAnsi" w:hAnsiTheme="minorHAnsi"/>
          <w:color w:val="auto"/>
          <w:sz w:val="24"/>
          <w:szCs w:val="24"/>
        </w:rPr>
      </w:pPr>
    </w:p>
    <w:p w:rsidR="00ED56B9" w:rsidP="00AE04CB" w:rsidRDefault="00ED56B9" w14:paraId="26E3A56C" w14:textId="77777777">
      <w:pPr>
        <w:pStyle w:val="Caption"/>
        <w:rPr>
          <w:rFonts w:asciiTheme="minorHAnsi" w:hAnsiTheme="minorHAnsi"/>
          <w:color w:val="auto"/>
          <w:sz w:val="24"/>
          <w:szCs w:val="24"/>
        </w:rPr>
      </w:pPr>
    </w:p>
    <w:p w:rsidR="00ED56B9" w:rsidP="00AE04CB" w:rsidRDefault="00ED56B9" w14:paraId="0331C966" w14:textId="77777777">
      <w:pPr>
        <w:pStyle w:val="Caption"/>
        <w:rPr>
          <w:rFonts w:asciiTheme="minorHAnsi" w:hAnsiTheme="minorHAnsi"/>
          <w:color w:val="auto"/>
          <w:sz w:val="24"/>
          <w:szCs w:val="24"/>
        </w:rPr>
      </w:pPr>
    </w:p>
    <w:p w:rsidRPr="00F937B2" w:rsidR="00AE04CB" w:rsidP="00AE04CB" w:rsidRDefault="00227F7A" w14:paraId="7AB6451C" w14:textId="6E886FB1">
      <w:pPr>
        <w:pStyle w:val="Caption"/>
        <w:rPr>
          <w:rFonts w:asciiTheme="minorHAnsi" w:hAnsiTheme="minorHAnsi"/>
          <w:b w:val="0"/>
          <w:color w:val="auto"/>
          <w:sz w:val="24"/>
          <w:szCs w:val="24"/>
        </w:rPr>
      </w:pPr>
      <w:r>
        <w:rPr>
          <w:rFonts w:asciiTheme="minorHAnsi" w:hAnsiTheme="minorHAnsi"/>
          <w:color w:val="auto"/>
          <w:sz w:val="24"/>
          <w:szCs w:val="24"/>
        </w:rPr>
        <w:lastRenderedPageBreak/>
        <w:t xml:space="preserve">Table of </w:t>
      </w:r>
      <w:r w:rsidRPr="00F937B2" w:rsidR="00AE04CB">
        <w:rPr>
          <w:rFonts w:asciiTheme="minorHAnsi" w:hAnsiTheme="minorHAnsi"/>
          <w:color w:val="auto"/>
          <w:sz w:val="24"/>
          <w:szCs w:val="24"/>
        </w:rPr>
        <w:t>Estimated Burden</w:t>
      </w:r>
    </w:p>
    <w:tbl>
      <w:tblPr>
        <w:tblW w:w="9622" w:type="dxa"/>
        <w:tblBorders>
          <w:top w:val="outset" w:color="auto" w:sz="6" w:space="0"/>
          <w:left w:val="outset" w:color="auto" w:sz="6" w:space="0"/>
          <w:bottom w:val="outset" w:color="auto" w:sz="6" w:space="0"/>
          <w:right w:val="outset" w:color="auto" w:sz="6" w:space="0"/>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1282"/>
      </w:tblGrid>
      <w:tr w:rsidRPr="00F937B2" w:rsidR="00AE04CB" w:rsidTr="00066755" w14:paraId="19DC9DC1" w14:textId="77777777">
        <w:tc>
          <w:tcPr>
            <w:tcW w:w="4920" w:type="dxa"/>
            <w:tcBorders>
              <w:top w:val="outset" w:color="auto" w:sz="6" w:space="0"/>
              <w:left w:val="outset" w:color="auto" w:sz="6" w:space="0"/>
              <w:bottom w:val="outset" w:color="auto" w:sz="6" w:space="0"/>
              <w:right w:val="outset" w:color="auto" w:sz="6" w:space="0"/>
            </w:tcBorders>
            <w:shd w:val="clear" w:color="auto" w:fill="B3B3B3"/>
            <w:tcMar>
              <w:top w:w="60" w:type="dxa"/>
              <w:left w:w="60" w:type="dxa"/>
              <w:bottom w:w="60" w:type="dxa"/>
              <w:right w:w="60" w:type="dxa"/>
            </w:tcMar>
            <w:vAlign w:val="center"/>
            <w:hideMark/>
          </w:tcPr>
          <w:p w:rsidRPr="00F937B2" w:rsidR="00AE04CB" w:rsidP="00066755" w:rsidRDefault="00066755" w14:paraId="3D8643AD" w14:textId="433B6227">
            <w:pPr>
              <w:spacing w:before="100" w:beforeAutospacing="1" w:after="100" w:afterAutospacing="1"/>
              <w:rPr>
                <w:color w:val="000000"/>
                <w:sz w:val="24"/>
                <w:szCs w:val="24"/>
              </w:rPr>
            </w:pPr>
            <w:r>
              <w:rPr>
                <w:b/>
                <w:bCs/>
                <w:color w:val="000000"/>
                <w:sz w:val="24"/>
                <w:szCs w:val="24"/>
              </w:rPr>
              <w:t xml:space="preserve">  </w:t>
            </w:r>
            <w:r w:rsidRPr="00F937B2" w:rsidR="00531FD8">
              <w:rPr>
                <w:b/>
                <w:bCs/>
                <w:color w:val="000000"/>
                <w:sz w:val="24"/>
                <w:szCs w:val="24"/>
              </w:rPr>
              <w:t>Research Activity</w:t>
            </w:r>
          </w:p>
        </w:tc>
        <w:tc>
          <w:tcPr>
            <w:tcW w:w="1800" w:type="dxa"/>
            <w:tcBorders>
              <w:top w:val="outset" w:color="auto" w:sz="6" w:space="0"/>
              <w:left w:val="outset" w:color="auto" w:sz="6" w:space="0"/>
              <w:bottom w:val="outset" w:color="auto" w:sz="6" w:space="0"/>
              <w:right w:val="outset" w:color="auto" w:sz="6" w:space="0"/>
            </w:tcBorders>
            <w:shd w:val="clear" w:color="auto" w:fill="B3B3B3"/>
            <w:tcMar>
              <w:top w:w="60" w:type="dxa"/>
              <w:left w:w="60" w:type="dxa"/>
              <w:bottom w:w="60" w:type="dxa"/>
              <w:right w:w="60" w:type="dxa"/>
            </w:tcMar>
            <w:vAlign w:val="center"/>
            <w:hideMark/>
          </w:tcPr>
          <w:p w:rsidRPr="00F937B2" w:rsidR="00AE04CB" w:rsidP="00587D0F" w:rsidRDefault="00587D0F" w14:paraId="62DF0B1A" w14:textId="19623FE1">
            <w:pPr>
              <w:spacing w:before="100" w:beforeAutospacing="1" w:after="100" w:afterAutospacing="1"/>
              <w:jc w:val="center"/>
              <w:rPr>
                <w:color w:val="000000"/>
                <w:sz w:val="24"/>
                <w:szCs w:val="24"/>
              </w:rPr>
            </w:pPr>
            <w:r>
              <w:rPr>
                <w:b/>
                <w:bCs/>
                <w:color w:val="000000"/>
                <w:sz w:val="24"/>
                <w:szCs w:val="24"/>
              </w:rPr>
              <w:t>Number</w:t>
            </w:r>
            <w:r w:rsidRPr="00F937B2" w:rsidR="00AE04CB">
              <w:rPr>
                <w:b/>
                <w:bCs/>
                <w:color w:val="000000"/>
                <w:sz w:val="24"/>
                <w:szCs w:val="24"/>
              </w:rPr>
              <w:t xml:space="preserve"> of </w:t>
            </w:r>
            <w:r>
              <w:rPr>
                <w:b/>
                <w:bCs/>
                <w:color w:val="000000"/>
                <w:sz w:val="24"/>
                <w:szCs w:val="24"/>
              </w:rPr>
              <w:t>Participants</w:t>
            </w:r>
          </w:p>
        </w:tc>
        <w:tc>
          <w:tcPr>
            <w:tcW w:w="1620" w:type="dxa"/>
            <w:tcBorders>
              <w:top w:val="outset" w:color="auto" w:sz="6" w:space="0"/>
              <w:left w:val="outset" w:color="auto" w:sz="6" w:space="0"/>
              <w:bottom w:val="outset" w:color="auto" w:sz="6" w:space="0"/>
              <w:right w:val="outset" w:color="auto" w:sz="6" w:space="0"/>
            </w:tcBorders>
            <w:shd w:val="clear" w:color="auto" w:fill="B3B3B3"/>
            <w:tcMar>
              <w:top w:w="60" w:type="dxa"/>
              <w:left w:w="60" w:type="dxa"/>
              <w:bottom w:w="60" w:type="dxa"/>
              <w:right w:w="60" w:type="dxa"/>
            </w:tcMar>
            <w:vAlign w:val="center"/>
            <w:hideMark/>
          </w:tcPr>
          <w:p w:rsidRPr="00F937B2" w:rsidR="00AE04CB" w:rsidP="00D95507" w:rsidRDefault="00AE04CB" w14:paraId="21B9DAAF" w14:textId="77777777">
            <w:pPr>
              <w:spacing w:before="100" w:beforeAutospacing="1" w:after="100" w:afterAutospacing="1"/>
              <w:jc w:val="center"/>
              <w:rPr>
                <w:color w:val="000000"/>
                <w:sz w:val="24"/>
                <w:szCs w:val="24"/>
              </w:rPr>
            </w:pPr>
            <w:r w:rsidRPr="00F937B2">
              <w:rPr>
                <w:b/>
                <w:bCs/>
                <w:color w:val="000000"/>
                <w:sz w:val="24"/>
                <w:szCs w:val="24"/>
              </w:rPr>
              <w:t>Participation Time</w:t>
            </w:r>
          </w:p>
        </w:tc>
        <w:tc>
          <w:tcPr>
            <w:tcW w:w="1282" w:type="dxa"/>
            <w:tcBorders>
              <w:top w:val="outset" w:color="auto" w:sz="6" w:space="0"/>
              <w:left w:val="outset" w:color="auto" w:sz="6" w:space="0"/>
              <w:bottom w:val="outset" w:color="auto" w:sz="6" w:space="0"/>
              <w:right w:val="outset" w:color="auto" w:sz="6" w:space="0"/>
            </w:tcBorders>
            <w:shd w:val="clear" w:color="auto" w:fill="B3B3B3"/>
            <w:tcMar>
              <w:top w:w="60" w:type="dxa"/>
              <w:left w:w="60" w:type="dxa"/>
              <w:bottom w:w="60" w:type="dxa"/>
              <w:right w:w="60" w:type="dxa"/>
            </w:tcMar>
            <w:vAlign w:val="center"/>
            <w:hideMark/>
          </w:tcPr>
          <w:p w:rsidRPr="00F937B2" w:rsidR="00AE04CB" w:rsidP="00D95507" w:rsidRDefault="00AE04CB" w14:paraId="7207372D" w14:textId="77777777">
            <w:pPr>
              <w:spacing w:before="100" w:beforeAutospacing="1" w:after="100" w:afterAutospacing="1"/>
              <w:jc w:val="center"/>
              <w:rPr>
                <w:color w:val="000000"/>
                <w:sz w:val="24"/>
                <w:szCs w:val="24"/>
              </w:rPr>
            </w:pPr>
            <w:r w:rsidRPr="00F937B2">
              <w:rPr>
                <w:b/>
                <w:bCs/>
                <w:color w:val="000000"/>
                <w:sz w:val="24"/>
                <w:szCs w:val="24"/>
              </w:rPr>
              <w:t>Burden</w:t>
            </w:r>
          </w:p>
        </w:tc>
      </w:tr>
      <w:tr w:rsidRPr="00F937B2" w:rsidR="00AE04CB" w:rsidTr="00531FD8" w14:paraId="659D321E" w14:textId="77777777">
        <w:trPr>
          <w:trHeight w:val="402"/>
        </w:trPr>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AE04CB" w:rsidP="009735A9" w:rsidRDefault="00AE04CB" w14:paraId="3F9CB7E0" w14:textId="08A0609E">
            <w:pPr>
              <w:spacing w:before="120" w:after="120"/>
              <w:rPr>
                <w:color w:val="000000"/>
                <w:sz w:val="24"/>
                <w:szCs w:val="24"/>
              </w:rPr>
            </w:pPr>
            <w:r w:rsidRPr="00F937B2">
              <w:rPr>
                <w:color w:val="000000"/>
                <w:sz w:val="24"/>
                <w:szCs w:val="24"/>
              </w:rPr>
              <w:t>  Screening</w:t>
            </w:r>
            <w:r w:rsidR="00545813">
              <w:rPr>
                <w:color w:val="000000"/>
                <w:sz w:val="24"/>
                <w:szCs w:val="24"/>
              </w:rPr>
              <w:t xml:space="preserve"> for Focus Groups</w:t>
            </w:r>
          </w:p>
        </w:tc>
        <w:tc>
          <w:tcPr>
            <w:tcW w:w="180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AE04CB" w:rsidP="00227F7A" w:rsidRDefault="002D6EF7" w14:paraId="7A46E024" w14:textId="2C175D5D">
            <w:pPr>
              <w:spacing w:before="120" w:after="120"/>
              <w:jc w:val="center"/>
              <w:rPr>
                <w:color w:val="000000"/>
                <w:sz w:val="24"/>
                <w:szCs w:val="24"/>
              </w:rPr>
            </w:pPr>
            <w:r>
              <w:rPr>
                <w:color w:val="000000"/>
                <w:sz w:val="24"/>
                <w:szCs w:val="24"/>
              </w:rPr>
              <w:t>360</w:t>
            </w:r>
          </w:p>
        </w:tc>
        <w:tc>
          <w:tcPr>
            <w:tcW w:w="16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AE04CB" w:rsidP="009735A9" w:rsidRDefault="00FF611A" w14:paraId="0C11C822" w14:textId="5A95CDCB">
            <w:pPr>
              <w:spacing w:before="120" w:after="120"/>
              <w:jc w:val="center"/>
              <w:rPr>
                <w:color w:val="000000"/>
                <w:sz w:val="24"/>
                <w:szCs w:val="24"/>
              </w:rPr>
            </w:pPr>
            <w:r>
              <w:rPr>
                <w:color w:val="000000"/>
                <w:sz w:val="24"/>
                <w:szCs w:val="24"/>
              </w:rPr>
              <w:t>0.1</w:t>
            </w:r>
            <w:r w:rsidR="00F956FF">
              <w:rPr>
                <w:color w:val="000000"/>
                <w:sz w:val="24"/>
                <w:szCs w:val="24"/>
              </w:rPr>
              <w:t xml:space="preserve"> hours</w:t>
            </w:r>
          </w:p>
        </w:tc>
        <w:tc>
          <w:tcPr>
            <w:tcW w:w="128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AE04CB" w:rsidP="009735A9" w:rsidRDefault="002D6EF7" w14:paraId="213767FE" w14:textId="7011939F">
            <w:pPr>
              <w:spacing w:before="120" w:after="120"/>
              <w:jc w:val="center"/>
              <w:rPr>
                <w:color w:val="000000"/>
                <w:sz w:val="24"/>
                <w:szCs w:val="24"/>
              </w:rPr>
            </w:pPr>
            <w:r>
              <w:rPr>
                <w:color w:val="000000"/>
                <w:sz w:val="24"/>
                <w:szCs w:val="24"/>
              </w:rPr>
              <w:t>36</w:t>
            </w:r>
            <w:r w:rsidRPr="00F937B2" w:rsidR="00AE04CB">
              <w:rPr>
                <w:color w:val="000000"/>
                <w:sz w:val="24"/>
                <w:szCs w:val="24"/>
              </w:rPr>
              <w:t xml:space="preserve"> hours</w:t>
            </w:r>
          </w:p>
        </w:tc>
      </w:tr>
      <w:tr w:rsidRPr="00F937B2" w:rsidR="00AE04CB" w:rsidTr="00531FD8" w14:paraId="1EAEFF8C"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AE04CB" w:rsidP="00531FD8" w:rsidRDefault="0056166B" w14:paraId="5A98A79A" w14:textId="1AC071DB">
            <w:pPr>
              <w:spacing w:before="120" w:after="120"/>
              <w:rPr>
                <w:color w:val="000000"/>
                <w:sz w:val="24"/>
                <w:szCs w:val="24"/>
              </w:rPr>
            </w:pPr>
            <w:r>
              <w:rPr>
                <w:color w:val="000000"/>
                <w:sz w:val="24"/>
                <w:szCs w:val="24"/>
              </w:rPr>
              <w:t xml:space="preserve">  NPP </w:t>
            </w:r>
            <w:r w:rsidRPr="00F937B2" w:rsidR="00AE04CB">
              <w:rPr>
                <w:color w:val="000000"/>
                <w:sz w:val="24"/>
                <w:szCs w:val="24"/>
              </w:rPr>
              <w:t>Interviews</w:t>
            </w:r>
            <w:r w:rsidRPr="00F937B2" w:rsidR="00A5361A">
              <w:rPr>
                <w:color w:val="000000"/>
                <w:sz w:val="24"/>
                <w:szCs w:val="24"/>
              </w:rPr>
              <w:t xml:space="preserve"> </w:t>
            </w:r>
            <w:r w:rsidR="000E693C">
              <w:rPr>
                <w:color w:val="000000"/>
                <w:sz w:val="24"/>
                <w:szCs w:val="24"/>
              </w:rPr>
              <w:t xml:space="preserve"> </w:t>
            </w:r>
          </w:p>
        </w:tc>
        <w:tc>
          <w:tcPr>
            <w:tcW w:w="180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AE04CB" w:rsidP="009735A9" w:rsidRDefault="00227F7A" w14:paraId="2D629EB5" w14:textId="79C73536">
            <w:pPr>
              <w:spacing w:before="120" w:after="120"/>
              <w:jc w:val="center"/>
              <w:rPr>
                <w:color w:val="000000"/>
                <w:sz w:val="24"/>
                <w:szCs w:val="24"/>
              </w:rPr>
            </w:pPr>
            <w:r>
              <w:rPr>
                <w:color w:val="000000"/>
                <w:sz w:val="24"/>
                <w:szCs w:val="24"/>
              </w:rPr>
              <w:t>10</w:t>
            </w:r>
          </w:p>
        </w:tc>
        <w:tc>
          <w:tcPr>
            <w:tcW w:w="16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AE04CB" w:rsidP="009735A9" w:rsidRDefault="00F956FF" w14:paraId="3B6F3E7A" w14:textId="0F6BD297">
            <w:pPr>
              <w:spacing w:before="120" w:after="120"/>
              <w:jc w:val="center"/>
              <w:rPr>
                <w:color w:val="000000"/>
                <w:sz w:val="24"/>
                <w:szCs w:val="24"/>
              </w:rPr>
            </w:pPr>
            <w:r>
              <w:rPr>
                <w:color w:val="000000"/>
                <w:sz w:val="24"/>
                <w:szCs w:val="24"/>
              </w:rPr>
              <w:t>1 hour</w:t>
            </w:r>
          </w:p>
        </w:tc>
        <w:tc>
          <w:tcPr>
            <w:tcW w:w="128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AE04CB" w:rsidP="009735A9" w:rsidRDefault="00227F7A" w14:paraId="35BC950E" w14:textId="77CBC424">
            <w:pPr>
              <w:spacing w:before="120" w:after="120"/>
              <w:jc w:val="center"/>
              <w:rPr>
                <w:color w:val="000000"/>
                <w:sz w:val="24"/>
                <w:szCs w:val="24"/>
              </w:rPr>
            </w:pPr>
            <w:r>
              <w:rPr>
                <w:color w:val="000000"/>
                <w:sz w:val="24"/>
                <w:szCs w:val="24"/>
              </w:rPr>
              <w:t>10</w:t>
            </w:r>
            <w:r w:rsidRPr="00F937B2" w:rsidR="00AE04CB">
              <w:rPr>
                <w:color w:val="000000"/>
                <w:sz w:val="24"/>
                <w:szCs w:val="24"/>
              </w:rPr>
              <w:t xml:space="preserve"> hours</w:t>
            </w:r>
          </w:p>
        </w:tc>
      </w:tr>
      <w:tr w:rsidRPr="00F937B2" w:rsidR="0056166B" w:rsidTr="00531FD8" w14:paraId="3293899B"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0056166B" w:rsidP="00531FD8" w:rsidRDefault="0056166B" w14:paraId="73AC92FC" w14:textId="2DA5C513">
            <w:pPr>
              <w:spacing w:before="120" w:after="120"/>
              <w:rPr>
                <w:color w:val="000000"/>
                <w:sz w:val="24"/>
                <w:szCs w:val="24"/>
              </w:rPr>
            </w:pPr>
            <w:r>
              <w:rPr>
                <w:color w:val="000000"/>
                <w:sz w:val="24"/>
                <w:szCs w:val="24"/>
              </w:rPr>
              <w:t xml:space="preserve"> </w:t>
            </w:r>
            <w:r w:rsidR="005641E0">
              <w:rPr>
                <w:color w:val="000000"/>
                <w:sz w:val="24"/>
                <w:szCs w:val="24"/>
              </w:rPr>
              <w:t xml:space="preserve"> </w:t>
            </w:r>
            <w:r>
              <w:rPr>
                <w:color w:val="000000"/>
                <w:sz w:val="24"/>
                <w:szCs w:val="24"/>
              </w:rPr>
              <w:t xml:space="preserve">CPEP Focus Groups </w:t>
            </w:r>
          </w:p>
        </w:tc>
        <w:tc>
          <w:tcPr>
            <w:tcW w:w="180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0056166B" w:rsidP="009735A9" w:rsidRDefault="00CB3291" w14:paraId="3E8FCFC6" w14:textId="0FC93119">
            <w:pPr>
              <w:spacing w:before="120" w:after="120"/>
              <w:jc w:val="center"/>
              <w:rPr>
                <w:color w:val="000000"/>
                <w:sz w:val="24"/>
                <w:szCs w:val="24"/>
              </w:rPr>
            </w:pPr>
            <w:r>
              <w:rPr>
                <w:color w:val="000000"/>
                <w:sz w:val="24"/>
                <w:szCs w:val="24"/>
              </w:rPr>
              <w:t>48</w:t>
            </w:r>
          </w:p>
        </w:tc>
        <w:tc>
          <w:tcPr>
            <w:tcW w:w="16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F937B2" w:rsidR="0056166B" w:rsidP="009735A9" w:rsidRDefault="00F956FF" w14:paraId="2E22AD15" w14:textId="1977D049">
            <w:pPr>
              <w:spacing w:before="120" w:after="120"/>
              <w:jc w:val="center"/>
              <w:rPr>
                <w:color w:val="000000"/>
                <w:sz w:val="24"/>
                <w:szCs w:val="24"/>
              </w:rPr>
            </w:pPr>
            <w:r>
              <w:rPr>
                <w:color w:val="000000"/>
                <w:sz w:val="24"/>
                <w:szCs w:val="24"/>
              </w:rPr>
              <w:t>2 hours</w:t>
            </w:r>
          </w:p>
        </w:tc>
        <w:tc>
          <w:tcPr>
            <w:tcW w:w="128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0056166B" w:rsidP="009735A9" w:rsidRDefault="00CB3291" w14:paraId="0356C36B" w14:textId="7AC09431">
            <w:pPr>
              <w:spacing w:before="120" w:after="120"/>
              <w:jc w:val="center"/>
              <w:rPr>
                <w:color w:val="000000"/>
                <w:sz w:val="24"/>
                <w:szCs w:val="24"/>
              </w:rPr>
            </w:pPr>
            <w:r>
              <w:rPr>
                <w:color w:val="000000"/>
                <w:sz w:val="24"/>
                <w:szCs w:val="24"/>
              </w:rPr>
              <w:t>96</w:t>
            </w:r>
            <w:r w:rsidR="0020426C">
              <w:rPr>
                <w:color w:val="000000"/>
                <w:sz w:val="24"/>
                <w:szCs w:val="24"/>
              </w:rPr>
              <w:t xml:space="preserve"> hours</w:t>
            </w:r>
          </w:p>
        </w:tc>
      </w:tr>
      <w:tr w:rsidRPr="00F937B2" w:rsidR="008F5AE6" w:rsidTr="00531FD8" w14:paraId="238273DE" w14:textId="77777777">
        <w:tc>
          <w:tcPr>
            <w:tcW w:w="49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hideMark/>
          </w:tcPr>
          <w:p w:rsidRPr="00F937B2" w:rsidR="008F5AE6" w:rsidP="00D95507" w:rsidRDefault="00531FD8" w14:paraId="3A8E5FF2" w14:textId="1877D890">
            <w:pPr>
              <w:spacing w:before="100" w:beforeAutospacing="1" w:after="100" w:afterAutospacing="1"/>
              <w:rPr>
                <w:color w:val="000000"/>
                <w:sz w:val="24"/>
                <w:szCs w:val="24"/>
              </w:rPr>
            </w:pPr>
            <w:r w:rsidRPr="00F937B2">
              <w:rPr>
                <w:b/>
                <w:bCs/>
                <w:color w:val="000000"/>
                <w:sz w:val="24"/>
                <w:szCs w:val="24"/>
              </w:rPr>
              <w:t>Total</w:t>
            </w:r>
          </w:p>
        </w:tc>
        <w:tc>
          <w:tcPr>
            <w:tcW w:w="180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8F5AE6" w:rsidP="008F5AE6" w:rsidRDefault="008F5AE6" w14:paraId="0303A8B3" w14:textId="77777777">
            <w:pPr>
              <w:spacing w:before="120" w:after="120"/>
              <w:jc w:val="center"/>
              <w:rPr>
                <w:color w:val="000000"/>
                <w:sz w:val="24"/>
                <w:szCs w:val="24"/>
              </w:rPr>
            </w:pPr>
          </w:p>
        </w:tc>
        <w:tc>
          <w:tcPr>
            <w:tcW w:w="162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8F5AE6" w:rsidP="008F5AE6" w:rsidRDefault="008F5AE6" w14:paraId="3E6B9014" w14:textId="77777777">
            <w:pPr>
              <w:spacing w:before="120" w:after="120"/>
              <w:jc w:val="center"/>
              <w:rPr>
                <w:color w:val="000000"/>
                <w:sz w:val="24"/>
                <w:szCs w:val="24"/>
              </w:rPr>
            </w:pPr>
          </w:p>
        </w:tc>
        <w:tc>
          <w:tcPr>
            <w:tcW w:w="128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F937B2" w:rsidR="008F5AE6" w:rsidP="00A65481" w:rsidRDefault="002D6EF7" w14:paraId="3F8319D2" w14:textId="5AE9D9FE">
            <w:pPr>
              <w:spacing w:before="120" w:after="120"/>
              <w:jc w:val="center"/>
              <w:rPr>
                <w:color w:val="000000"/>
                <w:sz w:val="24"/>
                <w:szCs w:val="24"/>
              </w:rPr>
            </w:pPr>
            <w:r>
              <w:rPr>
                <w:color w:val="000000"/>
                <w:sz w:val="24"/>
                <w:szCs w:val="24"/>
              </w:rPr>
              <w:t>142</w:t>
            </w:r>
            <w:r w:rsidRPr="00F937B2" w:rsidR="008F5AE6">
              <w:rPr>
                <w:color w:val="000000"/>
                <w:sz w:val="24"/>
                <w:szCs w:val="24"/>
              </w:rPr>
              <w:t xml:space="preserve"> hours</w:t>
            </w:r>
          </w:p>
        </w:tc>
      </w:tr>
    </w:tbl>
    <w:p w:rsidR="00B9301A" w:rsidP="0074577C" w:rsidRDefault="00B9301A" w14:paraId="2DB019FF" w14:textId="1230C5E8">
      <w:pPr>
        <w:rPr>
          <w:color w:val="000000"/>
          <w:sz w:val="24"/>
          <w:szCs w:val="24"/>
        </w:rPr>
      </w:pPr>
    </w:p>
    <w:p w:rsidRPr="00BD17C6" w:rsidR="007071E1" w:rsidP="007071E1" w:rsidRDefault="007071E1" w14:paraId="35CA8890" w14:textId="77777777">
      <w:pPr>
        <w:rPr>
          <w:color w:val="000000"/>
          <w:sz w:val="24"/>
          <w:szCs w:val="24"/>
        </w:rPr>
      </w:pPr>
      <w:r>
        <w:rPr>
          <w:sz w:val="24"/>
        </w:rPr>
        <w:t>The</w:t>
      </w:r>
      <w:r w:rsidRPr="007156A3">
        <w:rPr>
          <w:sz w:val="24"/>
        </w:rPr>
        <w:t xml:space="preserve"> materials to be used in </w:t>
      </w:r>
      <w:r>
        <w:rPr>
          <w:sz w:val="24"/>
        </w:rPr>
        <w:t>this</w:t>
      </w:r>
      <w:r w:rsidRPr="007156A3">
        <w:rPr>
          <w:sz w:val="24"/>
        </w:rPr>
        <w:t xml:space="preserve"> study</w:t>
      </w:r>
      <w:r>
        <w:rPr>
          <w:sz w:val="24"/>
        </w:rPr>
        <w:t xml:space="preserve"> are enclosed with this letter and include</w:t>
      </w:r>
      <w:r w:rsidRPr="007156A3">
        <w:rPr>
          <w:sz w:val="24"/>
        </w:rPr>
        <w:t xml:space="preserve">: </w:t>
      </w:r>
    </w:p>
    <w:p w:rsidR="007071E1" w:rsidP="007071E1" w:rsidRDefault="007071E1" w14:paraId="35E5D481" w14:textId="77777777">
      <w:pPr>
        <w:shd w:val="clear" w:color="auto" w:fill="FFFFFF"/>
        <w:ind w:left="360"/>
        <w:rPr>
          <w:rFonts w:cs="Arial"/>
          <w:color w:val="000000"/>
          <w:sz w:val="24"/>
          <w:szCs w:val="24"/>
        </w:rPr>
      </w:pPr>
      <w:r>
        <w:rPr>
          <w:rFonts w:cs="Arial"/>
          <w:color w:val="000000"/>
          <w:sz w:val="24"/>
          <w:szCs w:val="24"/>
        </w:rPr>
        <w:t>Recruitment advertisements (Enclosure 1)</w:t>
      </w:r>
    </w:p>
    <w:p w:rsidRPr="0074577C" w:rsidR="007071E1" w:rsidP="007071E1" w:rsidRDefault="007071E1" w14:paraId="4D162AAF" w14:textId="77777777">
      <w:pPr>
        <w:shd w:val="clear" w:color="auto" w:fill="FFFFFF"/>
        <w:ind w:left="360"/>
        <w:rPr>
          <w:rFonts w:cs="Arial"/>
          <w:color w:val="000000"/>
          <w:sz w:val="24"/>
          <w:szCs w:val="24"/>
        </w:rPr>
      </w:pPr>
      <w:r>
        <w:rPr>
          <w:rFonts w:cs="Arial"/>
          <w:color w:val="000000"/>
          <w:sz w:val="24"/>
          <w:szCs w:val="24"/>
        </w:rPr>
        <w:t>Re</w:t>
      </w:r>
      <w:r w:rsidRPr="0074577C">
        <w:rPr>
          <w:rFonts w:cs="Arial"/>
          <w:color w:val="000000"/>
          <w:sz w:val="24"/>
          <w:szCs w:val="24"/>
        </w:rPr>
        <w:t>cruitment</w:t>
      </w:r>
      <w:r>
        <w:rPr>
          <w:rFonts w:cs="Arial"/>
          <w:color w:val="000000"/>
          <w:sz w:val="24"/>
          <w:szCs w:val="24"/>
        </w:rPr>
        <w:t xml:space="preserve"> screener (Enclosure 2</w:t>
      </w:r>
      <w:r w:rsidRPr="0074577C">
        <w:rPr>
          <w:rFonts w:cs="Arial"/>
          <w:color w:val="000000"/>
          <w:sz w:val="24"/>
          <w:szCs w:val="24"/>
        </w:rPr>
        <w:t>)</w:t>
      </w:r>
    </w:p>
    <w:p w:rsidR="007071E1" w:rsidP="007071E1" w:rsidRDefault="007071E1" w14:paraId="667062E6" w14:textId="77777777">
      <w:pPr>
        <w:shd w:val="clear" w:color="auto" w:fill="FFFFFF"/>
        <w:ind w:left="360"/>
        <w:rPr>
          <w:rFonts w:cs="Arial"/>
          <w:color w:val="000000"/>
          <w:sz w:val="24"/>
          <w:szCs w:val="24"/>
        </w:rPr>
      </w:pPr>
      <w:r>
        <w:rPr>
          <w:rFonts w:cs="Arial"/>
          <w:color w:val="000000"/>
          <w:sz w:val="24"/>
          <w:szCs w:val="24"/>
        </w:rPr>
        <w:t>NPP partner interview protocol (Enclosure 3</w:t>
      </w:r>
      <w:r w:rsidRPr="0074577C">
        <w:rPr>
          <w:rFonts w:cs="Arial"/>
          <w:color w:val="000000"/>
          <w:sz w:val="24"/>
          <w:szCs w:val="24"/>
        </w:rPr>
        <w:t>)</w:t>
      </w:r>
    </w:p>
    <w:p w:rsidRPr="0074577C" w:rsidR="007071E1" w:rsidP="007071E1" w:rsidRDefault="007071E1" w14:paraId="008EFDE8" w14:textId="77777777">
      <w:pPr>
        <w:shd w:val="clear" w:color="auto" w:fill="FFFFFF"/>
        <w:ind w:left="360"/>
        <w:rPr>
          <w:rFonts w:cs="Arial"/>
          <w:color w:val="000000"/>
          <w:sz w:val="24"/>
          <w:szCs w:val="24"/>
        </w:rPr>
      </w:pPr>
      <w:r>
        <w:rPr>
          <w:rFonts w:cs="Arial"/>
          <w:color w:val="000000"/>
          <w:sz w:val="24"/>
          <w:szCs w:val="24"/>
        </w:rPr>
        <w:t>CPEP partner staff/trusted messenger focus group moderator guide (Enclosure 4)</w:t>
      </w:r>
    </w:p>
    <w:p w:rsidR="007071E1" w:rsidP="007071E1" w:rsidRDefault="007071E1" w14:paraId="08AF536C" w14:textId="77777777">
      <w:pPr>
        <w:shd w:val="clear" w:color="auto" w:fill="FFFFFF"/>
        <w:ind w:left="360"/>
        <w:rPr>
          <w:rFonts w:cs="Arial"/>
          <w:color w:val="000000"/>
          <w:sz w:val="24"/>
          <w:szCs w:val="24"/>
        </w:rPr>
      </w:pPr>
      <w:r>
        <w:rPr>
          <w:rFonts w:cs="Arial"/>
          <w:color w:val="000000"/>
          <w:sz w:val="24"/>
          <w:szCs w:val="24"/>
        </w:rPr>
        <w:t>Consent form for focus groups (Enclosure 5</w:t>
      </w:r>
      <w:r w:rsidRPr="0074577C">
        <w:rPr>
          <w:rFonts w:cs="Arial"/>
          <w:color w:val="000000"/>
          <w:sz w:val="24"/>
          <w:szCs w:val="24"/>
        </w:rPr>
        <w:t>)</w:t>
      </w:r>
    </w:p>
    <w:p w:rsidRPr="0074577C" w:rsidR="007071E1" w:rsidP="007071E1" w:rsidRDefault="007071E1" w14:paraId="49201B2B" w14:textId="6084046D">
      <w:pPr>
        <w:shd w:val="clear" w:color="auto" w:fill="FFFFFF"/>
        <w:ind w:left="360"/>
        <w:rPr>
          <w:rFonts w:cs="Arial"/>
          <w:color w:val="000000"/>
          <w:sz w:val="24"/>
          <w:szCs w:val="24"/>
        </w:rPr>
      </w:pPr>
      <w:r>
        <w:rPr>
          <w:rFonts w:cs="Arial"/>
          <w:color w:val="000000"/>
          <w:sz w:val="24"/>
          <w:szCs w:val="24"/>
        </w:rPr>
        <w:t>Consent form for interview</w:t>
      </w:r>
      <w:r w:rsidR="006644F1">
        <w:rPr>
          <w:rFonts w:cs="Arial"/>
          <w:color w:val="000000"/>
          <w:sz w:val="24"/>
          <w:szCs w:val="24"/>
        </w:rPr>
        <w:t>s</w:t>
      </w:r>
      <w:r>
        <w:rPr>
          <w:rFonts w:cs="Arial"/>
          <w:color w:val="000000"/>
          <w:sz w:val="24"/>
          <w:szCs w:val="24"/>
        </w:rPr>
        <w:t xml:space="preserve"> (Enclosure 6)</w:t>
      </w:r>
    </w:p>
    <w:p w:rsidRPr="0074577C" w:rsidR="0074577C" w:rsidP="0074577C" w:rsidRDefault="0074577C" w14:paraId="4D4507FE" w14:textId="4AE26694">
      <w:pPr>
        <w:rPr>
          <w:color w:val="000000"/>
          <w:sz w:val="24"/>
          <w:szCs w:val="24"/>
        </w:rPr>
      </w:pPr>
      <w:r w:rsidRPr="0074577C">
        <w:rPr>
          <w:color w:val="000000"/>
          <w:sz w:val="24"/>
          <w:szCs w:val="24"/>
        </w:rPr>
        <w:t xml:space="preserve">The contact person for questions regarding data collection and </w:t>
      </w:r>
      <w:r w:rsidR="00EB2C92">
        <w:rPr>
          <w:color w:val="000000"/>
          <w:sz w:val="24"/>
          <w:szCs w:val="24"/>
        </w:rPr>
        <w:t>technical</w:t>
      </w:r>
      <w:r w:rsidRPr="0074577C" w:rsidR="00EB2C92">
        <w:rPr>
          <w:color w:val="000000"/>
          <w:sz w:val="24"/>
          <w:szCs w:val="24"/>
        </w:rPr>
        <w:t xml:space="preserve"> </w:t>
      </w:r>
      <w:r w:rsidRPr="0074577C">
        <w:rPr>
          <w:color w:val="000000"/>
          <w:sz w:val="24"/>
          <w:szCs w:val="24"/>
        </w:rPr>
        <w:t>aspects of the design of</w:t>
      </w:r>
      <w:r w:rsidR="00F937B2">
        <w:rPr>
          <w:color w:val="000000"/>
          <w:sz w:val="24"/>
          <w:szCs w:val="24"/>
        </w:rPr>
        <w:t xml:space="preserve"> this research is listed below:</w:t>
      </w:r>
    </w:p>
    <w:p w:rsidRPr="00D30394" w:rsidR="0074577C" w:rsidP="0074577C" w:rsidRDefault="00861A68" w14:paraId="6C507735" w14:textId="124A5F93">
      <w:pPr>
        <w:contextualSpacing/>
        <w:rPr>
          <w:color w:val="000000"/>
          <w:sz w:val="24"/>
          <w:szCs w:val="24"/>
        </w:rPr>
      </w:pPr>
      <w:r>
        <w:rPr>
          <w:color w:val="000000"/>
          <w:sz w:val="24"/>
          <w:szCs w:val="24"/>
        </w:rPr>
        <w:t>Rodney Terry</w:t>
      </w:r>
    </w:p>
    <w:p w:rsidRPr="00D30394" w:rsidR="0074577C" w:rsidP="0074577C" w:rsidRDefault="0074577C" w14:paraId="5861C46D" w14:textId="6314031C">
      <w:pPr>
        <w:contextualSpacing/>
        <w:rPr>
          <w:color w:val="000000"/>
          <w:sz w:val="24"/>
          <w:szCs w:val="24"/>
        </w:rPr>
      </w:pPr>
      <w:r w:rsidRPr="00D30394">
        <w:rPr>
          <w:color w:val="000000"/>
          <w:sz w:val="24"/>
          <w:szCs w:val="24"/>
        </w:rPr>
        <w:t xml:space="preserve">Center </w:t>
      </w:r>
      <w:r w:rsidR="002D75D6">
        <w:rPr>
          <w:color w:val="000000"/>
          <w:sz w:val="24"/>
          <w:szCs w:val="24"/>
        </w:rPr>
        <w:t>for Behavioral Science Methods</w:t>
      </w:r>
    </w:p>
    <w:p w:rsidRPr="00D30394" w:rsidR="0074577C" w:rsidP="0074577C" w:rsidRDefault="0074577C" w14:paraId="48CD7EBB" w14:textId="530DED9F">
      <w:pPr>
        <w:contextualSpacing/>
        <w:rPr>
          <w:color w:val="000000"/>
          <w:sz w:val="24"/>
          <w:szCs w:val="24"/>
        </w:rPr>
      </w:pPr>
      <w:r w:rsidRPr="00D30394">
        <w:rPr>
          <w:color w:val="000000"/>
          <w:sz w:val="24"/>
          <w:szCs w:val="24"/>
        </w:rPr>
        <w:t xml:space="preserve">U.S. Census Bureau </w:t>
      </w:r>
    </w:p>
    <w:p w:rsidRPr="00D30394" w:rsidR="0074577C" w:rsidP="0074577C" w:rsidRDefault="0074577C" w14:paraId="0E83B297" w14:textId="44665209">
      <w:pPr>
        <w:contextualSpacing/>
        <w:rPr>
          <w:color w:val="000000"/>
          <w:sz w:val="24"/>
          <w:szCs w:val="24"/>
        </w:rPr>
      </w:pPr>
      <w:r w:rsidRPr="00D30394">
        <w:rPr>
          <w:color w:val="000000"/>
          <w:sz w:val="24"/>
          <w:szCs w:val="24"/>
        </w:rPr>
        <w:t>Washington, D.C. 20233</w:t>
      </w:r>
    </w:p>
    <w:p w:rsidRPr="00D30394" w:rsidR="00C32047" w:rsidP="0074577C" w:rsidRDefault="00C32047" w14:paraId="2784B76C" w14:textId="4C1BEEA0">
      <w:pPr>
        <w:contextualSpacing/>
        <w:rPr>
          <w:color w:val="000000"/>
          <w:sz w:val="24"/>
          <w:szCs w:val="24"/>
        </w:rPr>
      </w:pPr>
      <w:r w:rsidRPr="00D30394">
        <w:rPr>
          <w:color w:val="000000"/>
          <w:sz w:val="24"/>
          <w:szCs w:val="24"/>
        </w:rPr>
        <w:t>301-763-</w:t>
      </w:r>
      <w:r w:rsidR="00C41834">
        <w:rPr>
          <w:color w:val="000000"/>
          <w:sz w:val="24"/>
          <w:szCs w:val="24"/>
        </w:rPr>
        <w:t>5475</w:t>
      </w:r>
    </w:p>
    <w:p w:rsidRPr="00D30394" w:rsidR="00C8258E" w:rsidP="0074577C" w:rsidRDefault="00C41834" w14:paraId="157342B7" w14:textId="669E447E">
      <w:pPr>
        <w:contextualSpacing/>
        <w:rPr>
          <w:color w:val="000000"/>
          <w:sz w:val="24"/>
          <w:szCs w:val="24"/>
        </w:rPr>
      </w:pPr>
      <w:r>
        <w:rPr>
          <w:sz w:val="24"/>
          <w:szCs w:val="24"/>
        </w:rPr>
        <w:t>Rodney.Terry</w:t>
      </w:r>
      <w:r w:rsidRPr="00D30394" w:rsidR="00C32047">
        <w:rPr>
          <w:sz w:val="24"/>
          <w:szCs w:val="24"/>
        </w:rPr>
        <w:t>@census.gov</w:t>
      </w:r>
    </w:p>
    <w:sectPr w:rsidRPr="00D30394" w:rsidR="00C8258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BB502" w14:textId="77777777" w:rsidR="00447B4A" w:rsidRDefault="00447B4A">
      <w:pPr>
        <w:spacing w:after="0" w:line="240" w:lineRule="auto"/>
      </w:pPr>
      <w:r>
        <w:separator/>
      </w:r>
    </w:p>
  </w:endnote>
  <w:endnote w:type="continuationSeparator" w:id="0">
    <w:p w14:paraId="6AD8AA0B" w14:textId="77777777" w:rsidR="00447B4A" w:rsidRDefault="0044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rFonts w:asciiTheme="minorHAnsi" w:hAnsiTheme="minorHAnsi"/>
        <w:noProof/>
      </w:rPr>
    </w:sdtEndPr>
    <w:sdtContent>
      <w:p w14:paraId="2DB46AC1" w14:textId="1ABE66A3" w:rsidR="005867D0" w:rsidRPr="00444E27" w:rsidRDefault="005867D0">
        <w:pPr>
          <w:pStyle w:val="Footer"/>
          <w:jc w:val="right"/>
          <w:rPr>
            <w:rFonts w:asciiTheme="minorHAnsi" w:hAnsiTheme="minorHAnsi"/>
          </w:rPr>
        </w:pPr>
        <w:r w:rsidRPr="00444E27">
          <w:rPr>
            <w:rFonts w:asciiTheme="minorHAnsi" w:hAnsiTheme="minorHAnsi"/>
          </w:rPr>
          <w:fldChar w:fldCharType="begin"/>
        </w:r>
        <w:r w:rsidRPr="00444E27">
          <w:rPr>
            <w:rFonts w:asciiTheme="minorHAnsi" w:hAnsiTheme="minorHAnsi"/>
          </w:rPr>
          <w:instrText xml:space="preserve"> PAGE   \* MERGEFORMAT </w:instrText>
        </w:r>
        <w:r w:rsidRPr="00444E27">
          <w:rPr>
            <w:rFonts w:asciiTheme="minorHAnsi" w:hAnsiTheme="minorHAnsi"/>
          </w:rPr>
          <w:fldChar w:fldCharType="separate"/>
        </w:r>
        <w:r w:rsidR="00C87DC1">
          <w:rPr>
            <w:rFonts w:asciiTheme="minorHAnsi" w:hAnsiTheme="minorHAnsi"/>
            <w:noProof/>
          </w:rPr>
          <w:t>4</w:t>
        </w:r>
        <w:r w:rsidRPr="00444E27">
          <w:rPr>
            <w:rFonts w:asciiTheme="minorHAnsi" w:hAnsiTheme="minorHAnsi"/>
            <w:noProof/>
          </w:rPr>
          <w:fldChar w:fldCharType="end"/>
        </w:r>
      </w:p>
    </w:sdtContent>
  </w:sdt>
  <w:p w14:paraId="7D703E5C" w14:textId="77777777" w:rsidR="005867D0" w:rsidRDefault="00586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DBCCC" w14:textId="77777777" w:rsidR="00447B4A" w:rsidRDefault="00447B4A">
      <w:pPr>
        <w:spacing w:after="0" w:line="240" w:lineRule="auto"/>
      </w:pPr>
      <w:r>
        <w:separator/>
      </w:r>
    </w:p>
  </w:footnote>
  <w:footnote w:type="continuationSeparator" w:id="0">
    <w:p w14:paraId="283B599C" w14:textId="77777777" w:rsidR="00447B4A" w:rsidRDefault="00447B4A">
      <w:pPr>
        <w:spacing w:after="0" w:line="240" w:lineRule="auto"/>
      </w:pPr>
      <w:r>
        <w:continuationSeparator/>
      </w:r>
    </w:p>
  </w:footnote>
  <w:footnote w:id="1">
    <w:p w14:paraId="54781326" w14:textId="77777777" w:rsidR="00CE230C" w:rsidRDefault="00CE230C" w:rsidP="00CE230C">
      <w:pPr>
        <w:pStyle w:val="FootnoteText"/>
      </w:pPr>
      <w:r>
        <w:rPr>
          <w:rStyle w:val="FootnoteReference"/>
        </w:rPr>
        <w:footnoteRef/>
      </w:r>
      <w:r>
        <w:t xml:space="preserve"> </w:t>
      </w:r>
      <w:r w:rsidRPr="00730CA8">
        <w:t>https://www2.census.gov/programs-surveys/decennial/2020/program-management/planning-docs/2020_integrated_COM_plan.pdf</w:t>
      </w:r>
    </w:p>
  </w:footnote>
  <w:footnote w:id="2">
    <w:p w14:paraId="1D838886" w14:textId="77777777" w:rsidR="00CE230C" w:rsidRDefault="00CE230C" w:rsidP="00CE230C">
      <w:pPr>
        <w:pStyle w:val="FootnoteText"/>
      </w:pPr>
      <w:r>
        <w:rPr>
          <w:rStyle w:val="FootnoteReference"/>
        </w:rPr>
        <w:footnoteRef/>
      </w:r>
      <w:r>
        <w:t xml:space="preserve"> </w:t>
      </w:r>
      <w:r w:rsidRPr="00730CA8">
        <w:t>https://www2.census.gov/programs-surveys/decennial/2020/partners/2020-partnership-plan.pdf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FA6"/>
    <w:multiLevelType w:val="hybridMultilevel"/>
    <w:tmpl w:val="6752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17B0"/>
    <w:multiLevelType w:val="hybridMultilevel"/>
    <w:tmpl w:val="C4BA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65915"/>
    <w:multiLevelType w:val="hybridMultilevel"/>
    <w:tmpl w:val="813C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F25C9"/>
    <w:multiLevelType w:val="hybridMultilevel"/>
    <w:tmpl w:val="191ED218"/>
    <w:lvl w:ilvl="0" w:tplc="2F1CD0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83314"/>
    <w:multiLevelType w:val="hybridMultilevel"/>
    <w:tmpl w:val="235013A4"/>
    <w:lvl w:ilvl="0" w:tplc="BBEA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30C5B"/>
    <w:multiLevelType w:val="hybridMultilevel"/>
    <w:tmpl w:val="3C12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41783"/>
    <w:multiLevelType w:val="hybridMultilevel"/>
    <w:tmpl w:val="4A0C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238B6"/>
    <w:multiLevelType w:val="hybridMultilevel"/>
    <w:tmpl w:val="092645AC"/>
    <w:lvl w:ilvl="0" w:tplc="0409000F">
      <w:start w:val="1"/>
      <w:numFmt w:val="decimal"/>
      <w:lvlText w:val="%1."/>
      <w:lvlJc w:val="left"/>
      <w:pPr>
        <w:ind w:left="720" w:hanging="360"/>
      </w:pPr>
    </w:lvl>
    <w:lvl w:ilvl="1" w:tplc="464082EC">
      <w:start w:val="1"/>
      <w:numFmt w:val="lowerLetter"/>
      <w:lvlText w:val="%2."/>
      <w:lvlJc w:val="left"/>
      <w:pPr>
        <w:ind w:left="1440" w:hanging="360"/>
      </w:pPr>
      <w:rPr>
        <w:rFonts w:asciiTheme="minorHAnsi" w:eastAsia="Times New Roman" w:hAnsiTheme="minorHAnsi" w:cs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018DD"/>
    <w:multiLevelType w:val="hybridMultilevel"/>
    <w:tmpl w:val="31C0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9"/>
  </w:num>
  <w:num w:numId="5">
    <w:abstractNumId w:val="0"/>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FA"/>
    <w:rsid w:val="000007ED"/>
    <w:rsid w:val="00007761"/>
    <w:rsid w:val="000174B0"/>
    <w:rsid w:val="00020B24"/>
    <w:rsid w:val="000260B0"/>
    <w:rsid w:val="00031FE8"/>
    <w:rsid w:val="000448AB"/>
    <w:rsid w:val="000543A1"/>
    <w:rsid w:val="00055DA8"/>
    <w:rsid w:val="00062860"/>
    <w:rsid w:val="00063B26"/>
    <w:rsid w:val="00066755"/>
    <w:rsid w:val="0007125C"/>
    <w:rsid w:val="00071E1C"/>
    <w:rsid w:val="00072C20"/>
    <w:rsid w:val="000745B7"/>
    <w:rsid w:val="000768A7"/>
    <w:rsid w:val="000823FA"/>
    <w:rsid w:val="00083567"/>
    <w:rsid w:val="000837A1"/>
    <w:rsid w:val="00084EBB"/>
    <w:rsid w:val="00090238"/>
    <w:rsid w:val="000915D3"/>
    <w:rsid w:val="00093960"/>
    <w:rsid w:val="000A1316"/>
    <w:rsid w:val="000B0B6C"/>
    <w:rsid w:val="000B6D10"/>
    <w:rsid w:val="000B6F58"/>
    <w:rsid w:val="000C124A"/>
    <w:rsid w:val="000C2132"/>
    <w:rsid w:val="000E693C"/>
    <w:rsid w:val="000E7D19"/>
    <w:rsid w:val="000E7D5B"/>
    <w:rsid w:val="000E7D5E"/>
    <w:rsid w:val="000F29C2"/>
    <w:rsid w:val="000F5020"/>
    <w:rsid w:val="000F6769"/>
    <w:rsid w:val="000F76BD"/>
    <w:rsid w:val="00100800"/>
    <w:rsid w:val="0011135B"/>
    <w:rsid w:val="001124E4"/>
    <w:rsid w:val="00112BF6"/>
    <w:rsid w:val="001136EF"/>
    <w:rsid w:val="001201F6"/>
    <w:rsid w:val="00122621"/>
    <w:rsid w:val="00124BBB"/>
    <w:rsid w:val="001260F9"/>
    <w:rsid w:val="001266FB"/>
    <w:rsid w:val="00132D29"/>
    <w:rsid w:val="00134B79"/>
    <w:rsid w:val="001363AD"/>
    <w:rsid w:val="00140896"/>
    <w:rsid w:val="00140B23"/>
    <w:rsid w:val="00146DBF"/>
    <w:rsid w:val="00155CCF"/>
    <w:rsid w:val="001566BE"/>
    <w:rsid w:val="001571DB"/>
    <w:rsid w:val="00165D90"/>
    <w:rsid w:val="001675FD"/>
    <w:rsid w:val="00176316"/>
    <w:rsid w:val="0018013E"/>
    <w:rsid w:val="00180F11"/>
    <w:rsid w:val="00181B5C"/>
    <w:rsid w:val="0018688D"/>
    <w:rsid w:val="00190842"/>
    <w:rsid w:val="00193676"/>
    <w:rsid w:val="0019392B"/>
    <w:rsid w:val="00196A9F"/>
    <w:rsid w:val="00197848"/>
    <w:rsid w:val="00197FA0"/>
    <w:rsid w:val="001A04D6"/>
    <w:rsid w:val="001A05B2"/>
    <w:rsid w:val="001A34C2"/>
    <w:rsid w:val="001B0866"/>
    <w:rsid w:val="001B1C88"/>
    <w:rsid w:val="001B22F4"/>
    <w:rsid w:val="001B2C1F"/>
    <w:rsid w:val="001B5A96"/>
    <w:rsid w:val="001B7460"/>
    <w:rsid w:val="001C238F"/>
    <w:rsid w:val="001C6F76"/>
    <w:rsid w:val="001E2276"/>
    <w:rsid w:val="001E5F55"/>
    <w:rsid w:val="001E6854"/>
    <w:rsid w:val="001F774D"/>
    <w:rsid w:val="00202256"/>
    <w:rsid w:val="0020426C"/>
    <w:rsid w:val="00204A75"/>
    <w:rsid w:val="002054D4"/>
    <w:rsid w:val="00214EF8"/>
    <w:rsid w:val="002153D5"/>
    <w:rsid w:val="00227F7A"/>
    <w:rsid w:val="00232649"/>
    <w:rsid w:val="00232E0C"/>
    <w:rsid w:val="00233405"/>
    <w:rsid w:val="00240436"/>
    <w:rsid w:val="00255F54"/>
    <w:rsid w:val="00257E44"/>
    <w:rsid w:val="00261BC4"/>
    <w:rsid w:val="00263008"/>
    <w:rsid w:val="00265901"/>
    <w:rsid w:val="00274C40"/>
    <w:rsid w:val="002765D7"/>
    <w:rsid w:val="00277750"/>
    <w:rsid w:val="00282F29"/>
    <w:rsid w:val="00286B33"/>
    <w:rsid w:val="00287AEB"/>
    <w:rsid w:val="002902C5"/>
    <w:rsid w:val="00290935"/>
    <w:rsid w:val="002A3E4E"/>
    <w:rsid w:val="002B13A0"/>
    <w:rsid w:val="002B3975"/>
    <w:rsid w:val="002B6368"/>
    <w:rsid w:val="002D6EF7"/>
    <w:rsid w:val="002D75D6"/>
    <w:rsid w:val="002F1A4A"/>
    <w:rsid w:val="00301E47"/>
    <w:rsid w:val="00302F84"/>
    <w:rsid w:val="00304015"/>
    <w:rsid w:val="00304827"/>
    <w:rsid w:val="003065D8"/>
    <w:rsid w:val="00307579"/>
    <w:rsid w:val="0030767C"/>
    <w:rsid w:val="00310317"/>
    <w:rsid w:val="00317DED"/>
    <w:rsid w:val="0032147E"/>
    <w:rsid w:val="00322FC0"/>
    <w:rsid w:val="003231B3"/>
    <w:rsid w:val="00325662"/>
    <w:rsid w:val="003265EF"/>
    <w:rsid w:val="0033398F"/>
    <w:rsid w:val="0033491A"/>
    <w:rsid w:val="00340C3D"/>
    <w:rsid w:val="00340F0C"/>
    <w:rsid w:val="00344294"/>
    <w:rsid w:val="00353B7D"/>
    <w:rsid w:val="00354911"/>
    <w:rsid w:val="00362F74"/>
    <w:rsid w:val="00366389"/>
    <w:rsid w:val="00370A59"/>
    <w:rsid w:val="0037105D"/>
    <w:rsid w:val="003736B8"/>
    <w:rsid w:val="00376D86"/>
    <w:rsid w:val="00382DB5"/>
    <w:rsid w:val="00397536"/>
    <w:rsid w:val="003A4275"/>
    <w:rsid w:val="003A638F"/>
    <w:rsid w:val="003A765D"/>
    <w:rsid w:val="003B2CE1"/>
    <w:rsid w:val="003C1625"/>
    <w:rsid w:val="003C3D5C"/>
    <w:rsid w:val="003D2FC1"/>
    <w:rsid w:val="003E11B7"/>
    <w:rsid w:val="003E3C21"/>
    <w:rsid w:val="003E5DF9"/>
    <w:rsid w:val="003F456A"/>
    <w:rsid w:val="004004B9"/>
    <w:rsid w:val="0040160D"/>
    <w:rsid w:val="00401EA3"/>
    <w:rsid w:val="00403320"/>
    <w:rsid w:val="00404127"/>
    <w:rsid w:val="004050E2"/>
    <w:rsid w:val="00407C01"/>
    <w:rsid w:val="00417C6D"/>
    <w:rsid w:val="00421212"/>
    <w:rsid w:val="00422B5D"/>
    <w:rsid w:val="00426AF3"/>
    <w:rsid w:val="004315B2"/>
    <w:rsid w:val="00440E3A"/>
    <w:rsid w:val="00445483"/>
    <w:rsid w:val="00447B4A"/>
    <w:rsid w:val="00451F93"/>
    <w:rsid w:val="0045338F"/>
    <w:rsid w:val="004566E3"/>
    <w:rsid w:val="00460101"/>
    <w:rsid w:val="00461621"/>
    <w:rsid w:val="0046226C"/>
    <w:rsid w:val="004630F1"/>
    <w:rsid w:val="00466E68"/>
    <w:rsid w:val="00481D8E"/>
    <w:rsid w:val="004821C5"/>
    <w:rsid w:val="004842E1"/>
    <w:rsid w:val="00485CED"/>
    <w:rsid w:val="00492207"/>
    <w:rsid w:val="00493812"/>
    <w:rsid w:val="004A02D6"/>
    <w:rsid w:val="004A1C7B"/>
    <w:rsid w:val="004A2589"/>
    <w:rsid w:val="004A7C0B"/>
    <w:rsid w:val="004C05F7"/>
    <w:rsid w:val="004C27AE"/>
    <w:rsid w:val="004C3041"/>
    <w:rsid w:val="004C42FA"/>
    <w:rsid w:val="004D1D76"/>
    <w:rsid w:val="004D2E81"/>
    <w:rsid w:val="004D5566"/>
    <w:rsid w:val="004D6753"/>
    <w:rsid w:val="004E2968"/>
    <w:rsid w:val="004F209A"/>
    <w:rsid w:val="004F690F"/>
    <w:rsid w:val="00500CCE"/>
    <w:rsid w:val="00502CF7"/>
    <w:rsid w:val="00510F11"/>
    <w:rsid w:val="00522EA9"/>
    <w:rsid w:val="00527F57"/>
    <w:rsid w:val="00531094"/>
    <w:rsid w:val="00531FD8"/>
    <w:rsid w:val="005355DA"/>
    <w:rsid w:val="00535CEB"/>
    <w:rsid w:val="00542A3E"/>
    <w:rsid w:val="005450CB"/>
    <w:rsid w:val="00545813"/>
    <w:rsid w:val="00547359"/>
    <w:rsid w:val="00554537"/>
    <w:rsid w:val="00556C4A"/>
    <w:rsid w:val="00561569"/>
    <w:rsid w:val="0056166B"/>
    <w:rsid w:val="005641E0"/>
    <w:rsid w:val="005719E6"/>
    <w:rsid w:val="00574E96"/>
    <w:rsid w:val="005763BA"/>
    <w:rsid w:val="00581542"/>
    <w:rsid w:val="00582231"/>
    <w:rsid w:val="00585F1D"/>
    <w:rsid w:val="005867D0"/>
    <w:rsid w:val="00586EFA"/>
    <w:rsid w:val="00587D0F"/>
    <w:rsid w:val="00592C69"/>
    <w:rsid w:val="005A6227"/>
    <w:rsid w:val="005A74CD"/>
    <w:rsid w:val="005B083E"/>
    <w:rsid w:val="005B318A"/>
    <w:rsid w:val="005C5783"/>
    <w:rsid w:val="005D25A3"/>
    <w:rsid w:val="005E4434"/>
    <w:rsid w:val="005F2DF5"/>
    <w:rsid w:val="005F32D5"/>
    <w:rsid w:val="005F631D"/>
    <w:rsid w:val="005F6B30"/>
    <w:rsid w:val="006012D8"/>
    <w:rsid w:val="00604F40"/>
    <w:rsid w:val="00607F9D"/>
    <w:rsid w:val="00610B5D"/>
    <w:rsid w:val="00610E31"/>
    <w:rsid w:val="006110C3"/>
    <w:rsid w:val="00611314"/>
    <w:rsid w:val="00611887"/>
    <w:rsid w:val="006341CA"/>
    <w:rsid w:val="00635E06"/>
    <w:rsid w:val="00641040"/>
    <w:rsid w:val="00642C1B"/>
    <w:rsid w:val="00645D2D"/>
    <w:rsid w:val="006460E7"/>
    <w:rsid w:val="00646127"/>
    <w:rsid w:val="00647EA9"/>
    <w:rsid w:val="00653D37"/>
    <w:rsid w:val="006553B4"/>
    <w:rsid w:val="00656B91"/>
    <w:rsid w:val="00656C19"/>
    <w:rsid w:val="00656C52"/>
    <w:rsid w:val="0066263D"/>
    <w:rsid w:val="006644F1"/>
    <w:rsid w:val="0066485B"/>
    <w:rsid w:val="00665151"/>
    <w:rsid w:val="0066528D"/>
    <w:rsid w:val="0066609C"/>
    <w:rsid w:val="00671293"/>
    <w:rsid w:val="006733A0"/>
    <w:rsid w:val="00676356"/>
    <w:rsid w:val="00676B96"/>
    <w:rsid w:val="006864D7"/>
    <w:rsid w:val="00691BE8"/>
    <w:rsid w:val="0069488D"/>
    <w:rsid w:val="0069777A"/>
    <w:rsid w:val="006A3B30"/>
    <w:rsid w:val="006B09EB"/>
    <w:rsid w:val="006C0600"/>
    <w:rsid w:val="006C22DE"/>
    <w:rsid w:val="006C4DEF"/>
    <w:rsid w:val="006C5CAA"/>
    <w:rsid w:val="006D13A1"/>
    <w:rsid w:val="006D2AF9"/>
    <w:rsid w:val="006E5AD8"/>
    <w:rsid w:val="006F4251"/>
    <w:rsid w:val="006F52D6"/>
    <w:rsid w:val="0070111D"/>
    <w:rsid w:val="0070257C"/>
    <w:rsid w:val="0070287E"/>
    <w:rsid w:val="00707020"/>
    <w:rsid w:val="007071E1"/>
    <w:rsid w:val="0071141D"/>
    <w:rsid w:val="007156A3"/>
    <w:rsid w:val="00717FFC"/>
    <w:rsid w:val="007210A4"/>
    <w:rsid w:val="00722ED4"/>
    <w:rsid w:val="007244A3"/>
    <w:rsid w:val="007252DD"/>
    <w:rsid w:val="007278FF"/>
    <w:rsid w:val="00727EE5"/>
    <w:rsid w:val="0073058F"/>
    <w:rsid w:val="00730CA8"/>
    <w:rsid w:val="00732C0C"/>
    <w:rsid w:val="00735A8B"/>
    <w:rsid w:val="00736B0F"/>
    <w:rsid w:val="007403C1"/>
    <w:rsid w:val="00742DDC"/>
    <w:rsid w:val="0074577C"/>
    <w:rsid w:val="00751E19"/>
    <w:rsid w:val="0075731E"/>
    <w:rsid w:val="00757F1F"/>
    <w:rsid w:val="00766293"/>
    <w:rsid w:val="00772F62"/>
    <w:rsid w:val="00776363"/>
    <w:rsid w:val="00776B37"/>
    <w:rsid w:val="0078001C"/>
    <w:rsid w:val="00780F04"/>
    <w:rsid w:val="007834F5"/>
    <w:rsid w:val="00783C1B"/>
    <w:rsid w:val="0078564D"/>
    <w:rsid w:val="0078738D"/>
    <w:rsid w:val="00790E40"/>
    <w:rsid w:val="007950FE"/>
    <w:rsid w:val="007977C1"/>
    <w:rsid w:val="007977D7"/>
    <w:rsid w:val="007A04F2"/>
    <w:rsid w:val="007A0BAF"/>
    <w:rsid w:val="007A1473"/>
    <w:rsid w:val="007A3A89"/>
    <w:rsid w:val="007A4C80"/>
    <w:rsid w:val="007B7DF0"/>
    <w:rsid w:val="007D2BD9"/>
    <w:rsid w:val="007F3EA8"/>
    <w:rsid w:val="007F4B6C"/>
    <w:rsid w:val="007F73B0"/>
    <w:rsid w:val="00800E0B"/>
    <w:rsid w:val="008045CB"/>
    <w:rsid w:val="008120CC"/>
    <w:rsid w:val="008125E7"/>
    <w:rsid w:val="008230DD"/>
    <w:rsid w:val="00824C83"/>
    <w:rsid w:val="00826D8D"/>
    <w:rsid w:val="00827556"/>
    <w:rsid w:val="00832827"/>
    <w:rsid w:val="00832A02"/>
    <w:rsid w:val="008355B8"/>
    <w:rsid w:val="00841535"/>
    <w:rsid w:val="00842825"/>
    <w:rsid w:val="0084374C"/>
    <w:rsid w:val="008445B5"/>
    <w:rsid w:val="00845449"/>
    <w:rsid w:val="008537A4"/>
    <w:rsid w:val="00857B3F"/>
    <w:rsid w:val="00861A68"/>
    <w:rsid w:val="0086289D"/>
    <w:rsid w:val="00881E31"/>
    <w:rsid w:val="00882603"/>
    <w:rsid w:val="00882926"/>
    <w:rsid w:val="00891E37"/>
    <w:rsid w:val="00897852"/>
    <w:rsid w:val="008B55C5"/>
    <w:rsid w:val="008B74E2"/>
    <w:rsid w:val="008C198D"/>
    <w:rsid w:val="008C4AC8"/>
    <w:rsid w:val="008C5722"/>
    <w:rsid w:val="008D06FB"/>
    <w:rsid w:val="008D1858"/>
    <w:rsid w:val="008D34C6"/>
    <w:rsid w:val="008E0A3A"/>
    <w:rsid w:val="008E5EC9"/>
    <w:rsid w:val="008F2631"/>
    <w:rsid w:val="008F3F9C"/>
    <w:rsid w:val="008F5AE6"/>
    <w:rsid w:val="008F7208"/>
    <w:rsid w:val="00900B8B"/>
    <w:rsid w:val="0090111D"/>
    <w:rsid w:val="00903CDB"/>
    <w:rsid w:val="00903D79"/>
    <w:rsid w:val="00903DE8"/>
    <w:rsid w:val="00904BAB"/>
    <w:rsid w:val="00906EAE"/>
    <w:rsid w:val="009119B8"/>
    <w:rsid w:val="0091541C"/>
    <w:rsid w:val="00915A16"/>
    <w:rsid w:val="009217E4"/>
    <w:rsid w:val="00923C9C"/>
    <w:rsid w:val="009309D1"/>
    <w:rsid w:val="00931402"/>
    <w:rsid w:val="00933176"/>
    <w:rsid w:val="0093675A"/>
    <w:rsid w:val="0094095E"/>
    <w:rsid w:val="009443A8"/>
    <w:rsid w:val="00950647"/>
    <w:rsid w:val="00951BAF"/>
    <w:rsid w:val="00954B53"/>
    <w:rsid w:val="0095558E"/>
    <w:rsid w:val="00956A37"/>
    <w:rsid w:val="00956F8E"/>
    <w:rsid w:val="00964805"/>
    <w:rsid w:val="009677EB"/>
    <w:rsid w:val="0097105E"/>
    <w:rsid w:val="009735A9"/>
    <w:rsid w:val="00973ACA"/>
    <w:rsid w:val="00973AE0"/>
    <w:rsid w:val="009752C2"/>
    <w:rsid w:val="00981957"/>
    <w:rsid w:val="0099087D"/>
    <w:rsid w:val="00991C64"/>
    <w:rsid w:val="00992C16"/>
    <w:rsid w:val="00993262"/>
    <w:rsid w:val="00993AF6"/>
    <w:rsid w:val="00997CC2"/>
    <w:rsid w:val="009A1861"/>
    <w:rsid w:val="009A54ED"/>
    <w:rsid w:val="009A7082"/>
    <w:rsid w:val="009B017A"/>
    <w:rsid w:val="009B5CC4"/>
    <w:rsid w:val="009B7520"/>
    <w:rsid w:val="009C22F6"/>
    <w:rsid w:val="009C2C58"/>
    <w:rsid w:val="009C51C5"/>
    <w:rsid w:val="009C7E3B"/>
    <w:rsid w:val="009D165E"/>
    <w:rsid w:val="009D4C5D"/>
    <w:rsid w:val="009E26E9"/>
    <w:rsid w:val="009E4912"/>
    <w:rsid w:val="009E7691"/>
    <w:rsid w:val="009F3895"/>
    <w:rsid w:val="009F5B86"/>
    <w:rsid w:val="00A00FDE"/>
    <w:rsid w:val="00A01E5D"/>
    <w:rsid w:val="00A023DE"/>
    <w:rsid w:val="00A11C5F"/>
    <w:rsid w:val="00A20951"/>
    <w:rsid w:val="00A20F83"/>
    <w:rsid w:val="00A2266D"/>
    <w:rsid w:val="00A328D4"/>
    <w:rsid w:val="00A32AA7"/>
    <w:rsid w:val="00A35D0C"/>
    <w:rsid w:val="00A42116"/>
    <w:rsid w:val="00A463F8"/>
    <w:rsid w:val="00A5361A"/>
    <w:rsid w:val="00A555D9"/>
    <w:rsid w:val="00A5645C"/>
    <w:rsid w:val="00A61315"/>
    <w:rsid w:val="00A65481"/>
    <w:rsid w:val="00A70278"/>
    <w:rsid w:val="00A72852"/>
    <w:rsid w:val="00A8260A"/>
    <w:rsid w:val="00A94A88"/>
    <w:rsid w:val="00AA1632"/>
    <w:rsid w:val="00AA39B0"/>
    <w:rsid w:val="00AA447C"/>
    <w:rsid w:val="00AB10C6"/>
    <w:rsid w:val="00AB4489"/>
    <w:rsid w:val="00AB7781"/>
    <w:rsid w:val="00AD4CFE"/>
    <w:rsid w:val="00AD5468"/>
    <w:rsid w:val="00AE04CB"/>
    <w:rsid w:val="00AE0B25"/>
    <w:rsid w:val="00AF098E"/>
    <w:rsid w:val="00AF1CFC"/>
    <w:rsid w:val="00AF5679"/>
    <w:rsid w:val="00AF5A7A"/>
    <w:rsid w:val="00AF6238"/>
    <w:rsid w:val="00AF6A8F"/>
    <w:rsid w:val="00AF7FAF"/>
    <w:rsid w:val="00B0088F"/>
    <w:rsid w:val="00B00ACC"/>
    <w:rsid w:val="00B03534"/>
    <w:rsid w:val="00B04250"/>
    <w:rsid w:val="00B04BA7"/>
    <w:rsid w:val="00B14F6F"/>
    <w:rsid w:val="00B3032F"/>
    <w:rsid w:val="00B313C8"/>
    <w:rsid w:val="00B43CF2"/>
    <w:rsid w:val="00B45115"/>
    <w:rsid w:val="00B462EB"/>
    <w:rsid w:val="00B52A51"/>
    <w:rsid w:val="00B64009"/>
    <w:rsid w:val="00B67790"/>
    <w:rsid w:val="00B722B8"/>
    <w:rsid w:val="00B740B8"/>
    <w:rsid w:val="00B90BEA"/>
    <w:rsid w:val="00B910DB"/>
    <w:rsid w:val="00B9301A"/>
    <w:rsid w:val="00BA3B3C"/>
    <w:rsid w:val="00BA4CA2"/>
    <w:rsid w:val="00BA6FEB"/>
    <w:rsid w:val="00BB1B5B"/>
    <w:rsid w:val="00BB27AE"/>
    <w:rsid w:val="00BD17C6"/>
    <w:rsid w:val="00BD2973"/>
    <w:rsid w:val="00BD6B61"/>
    <w:rsid w:val="00BD7381"/>
    <w:rsid w:val="00BE1BCA"/>
    <w:rsid w:val="00BE204D"/>
    <w:rsid w:val="00BE4DDC"/>
    <w:rsid w:val="00BF06F5"/>
    <w:rsid w:val="00BF365C"/>
    <w:rsid w:val="00C11F5F"/>
    <w:rsid w:val="00C12455"/>
    <w:rsid w:val="00C153CF"/>
    <w:rsid w:val="00C15A9F"/>
    <w:rsid w:val="00C16021"/>
    <w:rsid w:val="00C170DB"/>
    <w:rsid w:val="00C205AD"/>
    <w:rsid w:val="00C25040"/>
    <w:rsid w:val="00C27E7E"/>
    <w:rsid w:val="00C30116"/>
    <w:rsid w:val="00C30E17"/>
    <w:rsid w:val="00C31105"/>
    <w:rsid w:val="00C32047"/>
    <w:rsid w:val="00C33813"/>
    <w:rsid w:val="00C34454"/>
    <w:rsid w:val="00C36665"/>
    <w:rsid w:val="00C41834"/>
    <w:rsid w:val="00C44357"/>
    <w:rsid w:val="00C662C3"/>
    <w:rsid w:val="00C74E7B"/>
    <w:rsid w:val="00C774E0"/>
    <w:rsid w:val="00C8027F"/>
    <w:rsid w:val="00C819B6"/>
    <w:rsid w:val="00C8258E"/>
    <w:rsid w:val="00C8521E"/>
    <w:rsid w:val="00C87DC1"/>
    <w:rsid w:val="00C92EAB"/>
    <w:rsid w:val="00C9364F"/>
    <w:rsid w:val="00C97927"/>
    <w:rsid w:val="00CA14B7"/>
    <w:rsid w:val="00CA1852"/>
    <w:rsid w:val="00CA36FD"/>
    <w:rsid w:val="00CA4AE8"/>
    <w:rsid w:val="00CB0125"/>
    <w:rsid w:val="00CB3291"/>
    <w:rsid w:val="00CB3B5D"/>
    <w:rsid w:val="00CB3CC1"/>
    <w:rsid w:val="00CC0931"/>
    <w:rsid w:val="00CC09FA"/>
    <w:rsid w:val="00CC3A95"/>
    <w:rsid w:val="00CD14D1"/>
    <w:rsid w:val="00CD268F"/>
    <w:rsid w:val="00CD28EA"/>
    <w:rsid w:val="00CD40B6"/>
    <w:rsid w:val="00CD4AE7"/>
    <w:rsid w:val="00CE230C"/>
    <w:rsid w:val="00CE2620"/>
    <w:rsid w:val="00CE4736"/>
    <w:rsid w:val="00CE675B"/>
    <w:rsid w:val="00CF0BEC"/>
    <w:rsid w:val="00CF6916"/>
    <w:rsid w:val="00CF6DC2"/>
    <w:rsid w:val="00D02618"/>
    <w:rsid w:val="00D154CA"/>
    <w:rsid w:val="00D1719E"/>
    <w:rsid w:val="00D23F7A"/>
    <w:rsid w:val="00D25B3B"/>
    <w:rsid w:val="00D27ABD"/>
    <w:rsid w:val="00D30394"/>
    <w:rsid w:val="00D329C2"/>
    <w:rsid w:val="00D34AF1"/>
    <w:rsid w:val="00D4265E"/>
    <w:rsid w:val="00D45165"/>
    <w:rsid w:val="00D45B79"/>
    <w:rsid w:val="00D5144C"/>
    <w:rsid w:val="00D6309D"/>
    <w:rsid w:val="00D635A8"/>
    <w:rsid w:val="00D6515A"/>
    <w:rsid w:val="00D6702F"/>
    <w:rsid w:val="00D719DA"/>
    <w:rsid w:val="00D72DD6"/>
    <w:rsid w:val="00D76339"/>
    <w:rsid w:val="00D76E20"/>
    <w:rsid w:val="00D90981"/>
    <w:rsid w:val="00D92BD5"/>
    <w:rsid w:val="00D93196"/>
    <w:rsid w:val="00D93F19"/>
    <w:rsid w:val="00D95507"/>
    <w:rsid w:val="00DA2677"/>
    <w:rsid w:val="00DB0073"/>
    <w:rsid w:val="00DC04C8"/>
    <w:rsid w:val="00DC2A3F"/>
    <w:rsid w:val="00DC7EFB"/>
    <w:rsid w:val="00DD014B"/>
    <w:rsid w:val="00DD0CE9"/>
    <w:rsid w:val="00DE349C"/>
    <w:rsid w:val="00DE4FC9"/>
    <w:rsid w:val="00DE5FC8"/>
    <w:rsid w:val="00DF00BB"/>
    <w:rsid w:val="00DF019A"/>
    <w:rsid w:val="00DF0C27"/>
    <w:rsid w:val="00DF2168"/>
    <w:rsid w:val="00DF445B"/>
    <w:rsid w:val="00DF45B6"/>
    <w:rsid w:val="00DF5605"/>
    <w:rsid w:val="00DF56FC"/>
    <w:rsid w:val="00DF6544"/>
    <w:rsid w:val="00DF7744"/>
    <w:rsid w:val="00E009A4"/>
    <w:rsid w:val="00E01654"/>
    <w:rsid w:val="00E03342"/>
    <w:rsid w:val="00E04E61"/>
    <w:rsid w:val="00E070BF"/>
    <w:rsid w:val="00E13138"/>
    <w:rsid w:val="00E21979"/>
    <w:rsid w:val="00E2353D"/>
    <w:rsid w:val="00E25453"/>
    <w:rsid w:val="00E30C3A"/>
    <w:rsid w:val="00E36929"/>
    <w:rsid w:val="00E36C67"/>
    <w:rsid w:val="00E43709"/>
    <w:rsid w:val="00E45C61"/>
    <w:rsid w:val="00E462C2"/>
    <w:rsid w:val="00E464FE"/>
    <w:rsid w:val="00E52995"/>
    <w:rsid w:val="00E52B2E"/>
    <w:rsid w:val="00E5420F"/>
    <w:rsid w:val="00E56D5D"/>
    <w:rsid w:val="00E637DF"/>
    <w:rsid w:val="00E67B24"/>
    <w:rsid w:val="00E717FA"/>
    <w:rsid w:val="00E7313D"/>
    <w:rsid w:val="00E77BE3"/>
    <w:rsid w:val="00E81055"/>
    <w:rsid w:val="00E81B0B"/>
    <w:rsid w:val="00E92070"/>
    <w:rsid w:val="00E97AAE"/>
    <w:rsid w:val="00EA7404"/>
    <w:rsid w:val="00EA775A"/>
    <w:rsid w:val="00EB1298"/>
    <w:rsid w:val="00EB1C59"/>
    <w:rsid w:val="00EB2C92"/>
    <w:rsid w:val="00EB3436"/>
    <w:rsid w:val="00EB3773"/>
    <w:rsid w:val="00EB7378"/>
    <w:rsid w:val="00EC24F0"/>
    <w:rsid w:val="00EC3F22"/>
    <w:rsid w:val="00EC5BF3"/>
    <w:rsid w:val="00ED315F"/>
    <w:rsid w:val="00ED56B9"/>
    <w:rsid w:val="00ED7830"/>
    <w:rsid w:val="00EE5AE6"/>
    <w:rsid w:val="00EE7393"/>
    <w:rsid w:val="00EF0F5A"/>
    <w:rsid w:val="00EF6B31"/>
    <w:rsid w:val="00EF6BA3"/>
    <w:rsid w:val="00EF6C27"/>
    <w:rsid w:val="00F01C81"/>
    <w:rsid w:val="00F07F6D"/>
    <w:rsid w:val="00F11C6F"/>
    <w:rsid w:val="00F15957"/>
    <w:rsid w:val="00F17DD8"/>
    <w:rsid w:val="00F20435"/>
    <w:rsid w:val="00F26E54"/>
    <w:rsid w:val="00F35925"/>
    <w:rsid w:val="00F401F0"/>
    <w:rsid w:val="00F413EB"/>
    <w:rsid w:val="00F42753"/>
    <w:rsid w:val="00F45700"/>
    <w:rsid w:val="00F54853"/>
    <w:rsid w:val="00F571E8"/>
    <w:rsid w:val="00F572C0"/>
    <w:rsid w:val="00F57B31"/>
    <w:rsid w:val="00F60514"/>
    <w:rsid w:val="00F632A7"/>
    <w:rsid w:val="00F65E81"/>
    <w:rsid w:val="00F722DA"/>
    <w:rsid w:val="00F73E33"/>
    <w:rsid w:val="00F81761"/>
    <w:rsid w:val="00F833C6"/>
    <w:rsid w:val="00F87831"/>
    <w:rsid w:val="00F937B2"/>
    <w:rsid w:val="00F956FF"/>
    <w:rsid w:val="00FA720F"/>
    <w:rsid w:val="00FB089D"/>
    <w:rsid w:val="00FB1519"/>
    <w:rsid w:val="00FB2789"/>
    <w:rsid w:val="00FB49C5"/>
    <w:rsid w:val="00FB6043"/>
    <w:rsid w:val="00FB632E"/>
    <w:rsid w:val="00FC10DB"/>
    <w:rsid w:val="00FC2A9C"/>
    <w:rsid w:val="00FC43D3"/>
    <w:rsid w:val="00FC50ED"/>
    <w:rsid w:val="00FD1D6A"/>
    <w:rsid w:val="00FD3871"/>
    <w:rsid w:val="00FE3A42"/>
    <w:rsid w:val="00FE7CD2"/>
    <w:rsid w:val="00FF3CF1"/>
    <w:rsid w:val="00FF5E46"/>
    <w:rsid w:val="00FF6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5338E"/>
  <w15:docId w15:val="{5065E30E-6A17-4233-BA12-AFC83AA5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 w:type="paragraph" w:styleId="PlainText">
    <w:name w:val="Plain Text"/>
    <w:basedOn w:val="Normal"/>
    <w:link w:val="PlainTextChar"/>
    <w:uiPriority w:val="99"/>
    <w:unhideWhenUsed/>
    <w:rsid w:val="006C22DE"/>
    <w:pPr>
      <w:spacing w:after="0" w:line="240" w:lineRule="auto"/>
    </w:pPr>
    <w:rPr>
      <w:rFonts w:ascii="Calibri" w:eastAsiaTheme="minorEastAsia" w:hAnsi="Calibri" w:cs="Times New Roman"/>
      <w:lang w:eastAsia="zh-CN"/>
    </w:rPr>
  </w:style>
  <w:style w:type="character" w:customStyle="1" w:styleId="PlainTextChar">
    <w:name w:val="Plain Text Char"/>
    <w:basedOn w:val="DefaultParagraphFont"/>
    <w:link w:val="PlainText"/>
    <w:uiPriority w:val="99"/>
    <w:rsid w:val="006C22DE"/>
    <w:rPr>
      <w:rFonts w:ascii="Calibri" w:eastAsiaTheme="minorEastAsia" w:hAnsi="Calibri" w:cs="Times New Roman"/>
      <w:lang w:eastAsia="zh-CN"/>
    </w:rPr>
  </w:style>
  <w:style w:type="table" w:styleId="TableGrid">
    <w:name w:val="Table Grid"/>
    <w:basedOn w:val="TableNormal"/>
    <w:uiPriority w:val="39"/>
    <w:rsid w:val="007305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1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11D"/>
    <w:rPr>
      <w:sz w:val="20"/>
      <w:szCs w:val="20"/>
    </w:rPr>
  </w:style>
  <w:style w:type="character" w:styleId="FootnoteReference">
    <w:name w:val="footnote reference"/>
    <w:basedOn w:val="DefaultParagraphFont"/>
    <w:uiPriority w:val="99"/>
    <w:semiHidden/>
    <w:unhideWhenUsed/>
    <w:rsid w:val="007011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06D23CBD78F41BFBDE95702777218" ma:contentTypeVersion="4" ma:contentTypeDescription="Create a new document." ma:contentTypeScope="" ma:versionID="815fddf98b63cfa07393cb1803813f10">
  <xsd:schema xmlns:xsd="http://www.w3.org/2001/XMLSchema" xmlns:xs="http://www.w3.org/2001/XMLSchema" xmlns:p="http://schemas.microsoft.com/office/2006/metadata/properties" xmlns:ns1="http://schemas.microsoft.com/sharepoint/v3" xmlns:ns2="04a8719c-f75d-4155-b3f5-a1998a95ac82" targetNamespace="http://schemas.microsoft.com/office/2006/metadata/properties" ma:root="true" ma:fieldsID="ea11531d4eb34a8b5ddca2f755a85b8e" ns1:_="" ns2:_="">
    <xsd:import namespace="http://schemas.microsoft.com/sharepoint/v3"/>
    <xsd:import namespace="04a8719c-f75d-4155-b3f5-a1998a95ac82"/>
    <xsd:element name="properties">
      <xsd:complexType>
        <xsd:sequence>
          <xsd:element name="documentManagement">
            <xsd:complexType>
              <xsd:all>
                <xsd:element ref="ns2:Drafts_x0020_for_x0020_Review" minOccurs="0"/>
                <xsd:element ref="ns2:Sub_x002d_Category" minOccurs="0"/>
                <xsd:element ref="ns2:Category"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8719c-f75d-4155-b3f5-a1998a95ac82" elementFormDefault="qualified">
    <xsd:import namespace="http://schemas.microsoft.com/office/2006/documentManagement/types"/>
    <xsd:import namespace="http://schemas.microsoft.com/office/infopath/2007/PartnerControls"/>
    <xsd:element name="Drafts_x0020_for_x0020_Review" ma:index="8" nillable="true" ma:displayName="Drafts for Review" ma:internalName="Drafts_x0020_for_x0020_Review">
      <xsd:simpleType>
        <xsd:restriction base="dms:Text">
          <xsd:maxLength value="255"/>
        </xsd:restriction>
      </xsd:simpleType>
    </xsd:element>
    <xsd:element name="Sub_x002d_Category" ma:index="9" nillable="true" ma:displayName="Sub-Category" ma:format="RadioButtons" ma:internalName="Sub_x002d_Category">
      <xsd:simpleType>
        <xsd:union memberTypes="dms:Text">
          <xsd:simpleType>
            <xsd:restriction base="dms:Choice">
              <xsd:enumeration value="Drafts"/>
            </xsd:restriction>
          </xsd:simpleType>
        </xsd:union>
      </xsd:simpleType>
    </xsd:element>
    <xsd:element name="Category" ma:index="10" nillable="true" ma:displayName="Category" ma:default="Drafts for Review" ma:format="RadioButtons" ma:internalName="Category">
      <xsd:simpleType>
        <xsd:union memberTypes="dms:Text">
          <xsd:simpleType>
            <xsd:restriction base="dms:Choice">
              <xsd:enumeration value="Drafts for Review"/>
              <xsd:enumeration value="Final Docu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d_Category xmlns="04a8719c-f75d-4155-b3f5-a1998a95ac82">Drafts</Sub_x002d_Category>
    <Category xmlns="04a8719c-f75d-4155-b3f5-a1998a95ac82">Drafts for Review</Category>
    <Drafts_x0020_for_x0020_Review xmlns="04a8719c-f75d-4155-b3f5-a1998a95ac82" xsi:nil="true"/>
    <KpiDescription xmlns="http://schemas.microsoft.com/sharepoint/v3">Due Thursday, July 13</Kpi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B202D-2BED-4C86-82F8-C5616C02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8719c-f75d-4155-b3f5-a1998a95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BD15C-5ABB-441E-89E5-049EBA557A93}">
  <ds:schemaRefs>
    <ds:schemaRef ds:uri="http://schemas.microsoft.com/office/2006/metadata/properties"/>
    <ds:schemaRef ds:uri="http://schemas.microsoft.com/office/infopath/2007/PartnerControls"/>
    <ds:schemaRef ds:uri="04a8719c-f75d-4155-b3f5-a1998a95ac82"/>
    <ds:schemaRef ds:uri="http://schemas.microsoft.com/sharepoint/v3"/>
  </ds:schemaRefs>
</ds:datastoreItem>
</file>

<file path=customXml/itemProps3.xml><?xml version="1.0" encoding="utf-8"?>
<ds:datastoreItem xmlns:ds="http://schemas.openxmlformats.org/officeDocument/2006/customXml" ds:itemID="{A51C029B-87F6-41AB-AB6D-814877BDDFE2}">
  <ds:schemaRefs>
    <ds:schemaRef ds:uri="http://schemas.microsoft.com/sharepoint/v3/contenttype/forms"/>
  </ds:schemaRefs>
</ds:datastoreItem>
</file>

<file path=customXml/itemProps4.xml><?xml version="1.0" encoding="utf-8"?>
<ds:datastoreItem xmlns:ds="http://schemas.openxmlformats.org/officeDocument/2006/customXml" ds:itemID="{FDAFA0E1-2A3C-4CF0-893B-C779E857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OMB_K</cp:lastModifiedBy>
  <cp:revision>2</cp:revision>
  <cp:lastPrinted>2020-02-06T17:54:00Z</cp:lastPrinted>
  <dcterms:created xsi:type="dcterms:W3CDTF">2020-05-18T15:28:00Z</dcterms:created>
  <dcterms:modified xsi:type="dcterms:W3CDTF">2020-05-18T15:28:00Z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0x010100C4806D23CBD78F41BFBDE95702777218</vt:lpwstr>
  </property>
</Properties>
</file>